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customXml/itemProps7.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8.xml" ContentType="application/vnd.openxmlformats-officedocument.customXmlProperties+xml"/>
  <Override PartName="/docProps/custom.xml" ContentType="application/vnd.openxmlformats-officedocument.custom-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B91" w:rsidRPr="00354B8B" w:rsidRDefault="005C5B91" w:rsidP="005015BA">
      <w:pPr>
        <w:rPr>
          <w:rFonts w:ascii="Times New Roman" w:hAnsi="Times New Roman"/>
          <w:sz w:val="24"/>
          <w:szCs w:val="24"/>
        </w:rPr>
      </w:pPr>
    </w:p>
    <w:p w:rsidR="005D7CA7" w:rsidRPr="00354B8B" w:rsidRDefault="00663C9F" w:rsidP="0012168F">
      <w:pPr>
        <w:pStyle w:val="SubSubPar"/>
        <w:numPr>
          <w:ilvl w:val="0"/>
          <w:numId w:val="0"/>
        </w:numPr>
        <w:jc w:val="center"/>
        <w:rPr>
          <w:smallCaps/>
          <w:szCs w:val="24"/>
          <w:lang w:val="es-ES"/>
        </w:rPr>
      </w:pPr>
      <w:r w:rsidRPr="00354B8B">
        <w:rPr>
          <w:smallCaps/>
          <w:szCs w:val="24"/>
          <w:lang w:val="es-ES"/>
        </w:rPr>
        <w:t>Documento del Banco Interamericano de Desarrollo</w:t>
      </w:r>
    </w:p>
    <w:p w:rsidR="005D7CA7" w:rsidRPr="00354B8B" w:rsidRDefault="005D7CA7" w:rsidP="0012168F">
      <w:pPr>
        <w:tabs>
          <w:tab w:val="left" w:pos="1440"/>
          <w:tab w:val="left" w:pos="3060"/>
        </w:tabs>
        <w:spacing w:before="120" w:after="120" w:line="240" w:lineRule="auto"/>
        <w:jc w:val="center"/>
        <w:rPr>
          <w:rFonts w:ascii="Times New Roman" w:hAnsi="Times New Roman"/>
          <w:b/>
          <w:smallCaps/>
          <w:sz w:val="24"/>
          <w:szCs w:val="24"/>
        </w:rPr>
      </w:pPr>
    </w:p>
    <w:p w:rsidR="005D7CA7" w:rsidRPr="00354B8B" w:rsidRDefault="005D7CA7" w:rsidP="0012168F">
      <w:pPr>
        <w:tabs>
          <w:tab w:val="left" w:pos="1440"/>
          <w:tab w:val="left" w:pos="3060"/>
        </w:tabs>
        <w:spacing w:before="120" w:after="120" w:line="240" w:lineRule="auto"/>
        <w:jc w:val="center"/>
        <w:rPr>
          <w:rFonts w:ascii="Times New Roman" w:hAnsi="Times New Roman"/>
          <w:b/>
          <w:smallCaps/>
          <w:sz w:val="24"/>
          <w:szCs w:val="24"/>
        </w:rPr>
      </w:pPr>
    </w:p>
    <w:p w:rsidR="005D7CA7" w:rsidRPr="00354B8B" w:rsidRDefault="005D7CA7" w:rsidP="0012168F">
      <w:pPr>
        <w:tabs>
          <w:tab w:val="left" w:pos="1440"/>
          <w:tab w:val="left" w:pos="3060"/>
        </w:tabs>
        <w:spacing w:before="120" w:after="120" w:line="240" w:lineRule="auto"/>
        <w:jc w:val="center"/>
        <w:rPr>
          <w:rFonts w:ascii="Times New Roman" w:hAnsi="Times New Roman"/>
          <w:b/>
          <w:smallCaps/>
          <w:sz w:val="24"/>
          <w:szCs w:val="24"/>
        </w:rPr>
      </w:pPr>
    </w:p>
    <w:p w:rsidR="005D7CA7" w:rsidRPr="00340730" w:rsidRDefault="005D7CA7" w:rsidP="0012168F">
      <w:pPr>
        <w:tabs>
          <w:tab w:val="left" w:pos="1440"/>
          <w:tab w:val="left" w:pos="3060"/>
        </w:tabs>
        <w:spacing w:before="120" w:after="120" w:line="240" w:lineRule="auto"/>
        <w:jc w:val="center"/>
        <w:rPr>
          <w:rFonts w:ascii="Times New Roman" w:hAnsi="Times New Roman"/>
          <w:b/>
          <w:smallCaps/>
          <w:sz w:val="24"/>
          <w:szCs w:val="24"/>
        </w:rPr>
      </w:pPr>
    </w:p>
    <w:p w:rsidR="005D7CA7" w:rsidRPr="00340730" w:rsidRDefault="003E19C0" w:rsidP="0012168F">
      <w:pPr>
        <w:tabs>
          <w:tab w:val="left" w:pos="1440"/>
          <w:tab w:val="left" w:pos="3060"/>
        </w:tabs>
        <w:spacing w:before="120" w:after="120" w:line="240" w:lineRule="auto"/>
        <w:jc w:val="center"/>
        <w:rPr>
          <w:rFonts w:ascii="Times New Roman" w:hAnsi="Times New Roman"/>
          <w:b/>
          <w:caps/>
          <w:sz w:val="24"/>
          <w:szCs w:val="24"/>
        </w:rPr>
      </w:pPr>
      <w:r w:rsidRPr="00340730">
        <w:rPr>
          <w:rFonts w:ascii="Times New Roman" w:hAnsi="Times New Roman"/>
          <w:b/>
          <w:caps/>
          <w:sz w:val="24"/>
          <w:szCs w:val="24"/>
        </w:rPr>
        <w:t>COLOMBIA</w:t>
      </w:r>
    </w:p>
    <w:p w:rsidR="005D7CA7" w:rsidRPr="00340730" w:rsidRDefault="005D7CA7" w:rsidP="0012168F">
      <w:pPr>
        <w:tabs>
          <w:tab w:val="left" w:pos="1440"/>
          <w:tab w:val="left" w:pos="3060"/>
        </w:tabs>
        <w:spacing w:before="120" w:after="120" w:line="240" w:lineRule="auto"/>
        <w:jc w:val="center"/>
        <w:rPr>
          <w:rFonts w:ascii="Times New Roman" w:hAnsi="Times New Roman"/>
          <w:b/>
          <w:smallCaps/>
          <w:sz w:val="24"/>
          <w:szCs w:val="24"/>
        </w:rPr>
      </w:pPr>
    </w:p>
    <w:p w:rsidR="005D7CA7" w:rsidRPr="00340730" w:rsidRDefault="005D7CA7" w:rsidP="0012168F">
      <w:pPr>
        <w:tabs>
          <w:tab w:val="left" w:pos="1440"/>
          <w:tab w:val="left" w:pos="3060"/>
        </w:tabs>
        <w:spacing w:before="120" w:after="120" w:line="240" w:lineRule="auto"/>
        <w:jc w:val="center"/>
        <w:rPr>
          <w:rFonts w:ascii="Times New Roman" w:hAnsi="Times New Roman"/>
          <w:b/>
          <w:smallCaps/>
          <w:sz w:val="24"/>
          <w:szCs w:val="24"/>
        </w:rPr>
      </w:pPr>
    </w:p>
    <w:p w:rsidR="005D7CA7" w:rsidRPr="00340730" w:rsidRDefault="005D7CA7" w:rsidP="007C47DD">
      <w:pPr>
        <w:tabs>
          <w:tab w:val="left" w:pos="1440"/>
          <w:tab w:val="left" w:pos="3060"/>
        </w:tabs>
        <w:spacing w:before="120" w:after="120" w:line="240" w:lineRule="auto"/>
        <w:jc w:val="right"/>
        <w:rPr>
          <w:rFonts w:ascii="Times New Roman" w:hAnsi="Times New Roman"/>
          <w:b/>
          <w:smallCaps/>
          <w:sz w:val="24"/>
          <w:szCs w:val="24"/>
        </w:rPr>
      </w:pPr>
    </w:p>
    <w:p w:rsidR="003E19C0" w:rsidRPr="00340730" w:rsidRDefault="003E19C0" w:rsidP="003E19C0">
      <w:pPr>
        <w:tabs>
          <w:tab w:val="left" w:pos="720"/>
          <w:tab w:val="left" w:pos="1440"/>
          <w:tab w:val="left" w:pos="3060"/>
        </w:tabs>
        <w:jc w:val="center"/>
        <w:rPr>
          <w:rFonts w:ascii="Times New Roman" w:hAnsi="Times New Roman"/>
          <w:b/>
          <w:smallCaps/>
          <w:sz w:val="24"/>
          <w:szCs w:val="24"/>
          <w:lang w:val="es-ES_tradnl"/>
        </w:rPr>
      </w:pPr>
      <w:r w:rsidRPr="00340730">
        <w:rPr>
          <w:rFonts w:ascii="Times New Roman" w:hAnsi="Times New Roman"/>
          <w:b/>
          <w:smallCaps/>
          <w:sz w:val="24"/>
          <w:szCs w:val="24"/>
          <w:lang w:val="es-ES_tradnl"/>
        </w:rPr>
        <w:t>Programa De Profundización De La Reforma Fiscal En Colombia</w:t>
      </w:r>
    </w:p>
    <w:p w:rsidR="003E19C0" w:rsidRPr="00A259CE" w:rsidRDefault="003E19C0" w:rsidP="003E19C0">
      <w:pPr>
        <w:tabs>
          <w:tab w:val="left" w:pos="720"/>
          <w:tab w:val="left" w:pos="1440"/>
          <w:tab w:val="left" w:pos="3060"/>
        </w:tabs>
        <w:jc w:val="center"/>
        <w:rPr>
          <w:rFonts w:ascii="Times New Roman" w:hAnsi="Times New Roman"/>
          <w:b/>
          <w:smallCaps/>
          <w:szCs w:val="24"/>
          <w:lang w:val="es-ES_tradnl"/>
        </w:rPr>
      </w:pPr>
    </w:p>
    <w:p w:rsidR="003E19C0" w:rsidRPr="00A259CE" w:rsidRDefault="003E19C0" w:rsidP="003E19C0">
      <w:pPr>
        <w:tabs>
          <w:tab w:val="left" w:pos="720"/>
          <w:tab w:val="left" w:pos="1440"/>
          <w:tab w:val="left" w:pos="3060"/>
        </w:tabs>
        <w:jc w:val="center"/>
        <w:rPr>
          <w:rFonts w:ascii="Times New Roman" w:hAnsi="Times New Roman"/>
          <w:b/>
          <w:smallCaps/>
          <w:lang w:val="es-ES_tradnl"/>
        </w:rPr>
      </w:pPr>
      <w:r w:rsidRPr="00A259CE">
        <w:rPr>
          <w:rFonts w:ascii="Times New Roman" w:hAnsi="Times New Roman"/>
          <w:b/>
          <w:smallCaps/>
          <w:lang w:val="es-ES_tradnl"/>
        </w:rPr>
        <w:t>(CO-L1142)</w:t>
      </w:r>
    </w:p>
    <w:p w:rsidR="003E19C0" w:rsidRPr="00A259CE" w:rsidRDefault="003E19C0" w:rsidP="003E19C0">
      <w:pPr>
        <w:jc w:val="center"/>
        <w:rPr>
          <w:rFonts w:ascii="Times New Roman" w:hAnsi="Times New Roman"/>
          <w:lang w:val="es-ES_tradnl"/>
        </w:rPr>
      </w:pPr>
    </w:p>
    <w:p w:rsidR="003E19C0" w:rsidRPr="00A259CE" w:rsidRDefault="003E19C0" w:rsidP="003E19C0">
      <w:pPr>
        <w:tabs>
          <w:tab w:val="left" w:pos="720"/>
          <w:tab w:val="left" w:pos="1440"/>
          <w:tab w:val="left" w:pos="3060"/>
        </w:tabs>
        <w:jc w:val="center"/>
        <w:rPr>
          <w:rFonts w:ascii="Times New Roman" w:hAnsi="Times New Roman"/>
          <w:smallCaps/>
          <w:lang w:val="es-ES_tradnl"/>
        </w:rPr>
      </w:pPr>
    </w:p>
    <w:p w:rsidR="003E19C0" w:rsidRPr="00A259CE" w:rsidRDefault="003E19C0" w:rsidP="003E19C0">
      <w:pPr>
        <w:jc w:val="center"/>
        <w:rPr>
          <w:rFonts w:ascii="Times New Roman" w:hAnsi="Times New Roman"/>
          <w:b/>
          <w:lang w:val="es-ES_tradnl"/>
        </w:rPr>
      </w:pPr>
      <w:r w:rsidRPr="00A259CE">
        <w:rPr>
          <w:rFonts w:ascii="Times New Roman" w:hAnsi="Times New Roman"/>
          <w:b/>
          <w:bCs/>
          <w:smallCaps/>
          <w:lang w:val="es-ES_tradnl"/>
        </w:rPr>
        <w:t>PRÉSTAMO PROGRAMÁTICO DE APOYO A REFORMAS DE POLÍTICAS (PBP)</w:t>
      </w:r>
    </w:p>
    <w:p w:rsidR="005D7CA7" w:rsidRPr="00340730" w:rsidRDefault="005D7CA7" w:rsidP="0012168F">
      <w:pPr>
        <w:tabs>
          <w:tab w:val="left" w:pos="1440"/>
          <w:tab w:val="left" w:pos="3060"/>
        </w:tabs>
        <w:spacing w:before="120" w:after="120" w:line="240" w:lineRule="auto"/>
        <w:jc w:val="center"/>
        <w:rPr>
          <w:rFonts w:ascii="Times New Roman" w:hAnsi="Times New Roman"/>
          <w:b/>
          <w:caps/>
          <w:sz w:val="24"/>
          <w:szCs w:val="24"/>
        </w:rPr>
      </w:pPr>
    </w:p>
    <w:p w:rsidR="005D7CA7" w:rsidRPr="00354B8B" w:rsidRDefault="00CF187C" w:rsidP="0012168F">
      <w:pPr>
        <w:tabs>
          <w:tab w:val="left" w:pos="1440"/>
          <w:tab w:val="left" w:pos="3060"/>
        </w:tabs>
        <w:spacing w:before="120" w:after="120" w:line="240" w:lineRule="auto"/>
        <w:jc w:val="center"/>
        <w:rPr>
          <w:rFonts w:ascii="Times New Roman" w:hAnsi="Times New Roman"/>
          <w:b/>
          <w:smallCaps/>
          <w:sz w:val="24"/>
          <w:szCs w:val="24"/>
        </w:rPr>
      </w:pPr>
      <w:r w:rsidRPr="00340730">
        <w:rPr>
          <w:rFonts w:ascii="Times New Roman" w:hAnsi="Times New Roman"/>
          <w:b/>
          <w:caps/>
          <w:sz w:val="24"/>
          <w:szCs w:val="24"/>
        </w:rPr>
        <w:t>Evaluación Económica</w:t>
      </w:r>
    </w:p>
    <w:p w:rsidR="00114300" w:rsidRPr="00354B8B" w:rsidRDefault="00114300" w:rsidP="0012168F">
      <w:pPr>
        <w:spacing w:before="120" w:after="120" w:line="240" w:lineRule="auto"/>
        <w:rPr>
          <w:rFonts w:ascii="Times New Roman" w:hAnsi="Times New Roman"/>
          <w:sz w:val="24"/>
          <w:szCs w:val="24"/>
        </w:rPr>
      </w:pPr>
    </w:p>
    <w:tbl>
      <w:tblPr>
        <w:tblpPr w:leftFromText="187" w:rightFromText="187" w:horzAnchor="margin" w:tblpXSpec="center" w:tblpYSpec="bottom"/>
        <w:tblW w:w="5000" w:type="pct"/>
        <w:tblLook w:val="04A0" w:firstRow="1" w:lastRow="0" w:firstColumn="1" w:lastColumn="0" w:noHBand="0" w:noVBand="1"/>
      </w:tblPr>
      <w:tblGrid>
        <w:gridCol w:w="8856"/>
      </w:tblGrid>
      <w:tr w:rsidR="00114300" w:rsidRPr="00354B8B">
        <w:tc>
          <w:tcPr>
            <w:tcW w:w="5000" w:type="pct"/>
          </w:tcPr>
          <w:p w:rsidR="00114300" w:rsidRPr="00354B8B" w:rsidRDefault="00114300" w:rsidP="00114B0B">
            <w:pPr>
              <w:spacing w:before="120" w:after="120" w:line="240" w:lineRule="auto"/>
              <w:ind w:left="360"/>
              <w:jc w:val="both"/>
              <w:rPr>
                <w:rFonts w:ascii="Times New Roman" w:hAnsi="Times New Roman"/>
                <w:color w:val="000000"/>
                <w:sz w:val="24"/>
                <w:szCs w:val="24"/>
              </w:rPr>
            </w:pPr>
          </w:p>
        </w:tc>
      </w:tr>
    </w:tbl>
    <w:p w:rsidR="005D50F9" w:rsidRPr="00354B8B" w:rsidRDefault="005D50F9" w:rsidP="0012168F">
      <w:pPr>
        <w:tabs>
          <w:tab w:val="left" w:pos="1440"/>
          <w:tab w:val="left" w:pos="3060"/>
        </w:tabs>
        <w:spacing w:before="120" w:after="120" w:line="240" w:lineRule="auto"/>
        <w:jc w:val="center"/>
        <w:rPr>
          <w:rFonts w:ascii="Times New Roman" w:hAnsi="Times New Roman"/>
          <w:sz w:val="24"/>
          <w:szCs w:val="24"/>
        </w:rPr>
      </w:pPr>
    </w:p>
    <w:p w:rsidR="00367804" w:rsidRPr="00C27FC4" w:rsidRDefault="00367804" w:rsidP="0012168F">
      <w:pPr>
        <w:tabs>
          <w:tab w:val="left" w:pos="1440"/>
          <w:tab w:val="left" w:pos="3060"/>
        </w:tabs>
        <w:spacing w:before="120" w:after="120" w:line="240" w:lineRule="auto"/>
        <w:jc w:val="center"/>
        <w:rPr>
          <w:rFonts w:ascii="Times New Roman" w:hAnsi="Times New Roman"/>
          <w:sz w:val="24"/>
          <w:szCs w:val="24"/>
        </w:rPr>
      </w:pPr>
    </w:p>
    <w:p w:rsidR="00367804" w:rsidRPr="00C27FC4" w:rsidRDefault="00367804" w:rsidP="0012168F">
      <w:pPr>
        <w:tabs>
          <w:tab w:val="left" w:pos="1440"/>
          <w:tab w:val="left" w:pos="3060"/>
        </w:tabs>
        <w:spacing w:before="120" w:after="120" w:line="240" w:lineRule="auto"/>
        <w:jc w:val="center"/>
        <w:rPr>
          <w:rFonts w:ascii="Times New Roman" w:hAnsi="Times New Roman"/>
          <w:sz w:val="24"/>
          <w:szCs w:val="24"/>
        </w:rPr>
      </w:pPr>
    </w:p>
    <w:p w:rsidR="00367804" w:rsidRDefault="00367804" w:rsidP="0012168F">
      <w:pPr>
        <w:tabs>
          <w:tab w:val="left" w:pos="1440"/>
          <w:tab w:val="left" w:pos="3060"/>
        </w:tabs>
        <w:spacing w:before="120" w:after="120" w:line="240" w:lineRule="auto"/>
        <w:jc w:val="center"/>
        <w:rPr>
          <w:rFonts w:ascii="Times New Roman" w:hAnsi="Times New Roman"/>
          <w:sz w:val="24"/>
          <w:szCs w:val="24"/>
        </w:rPr>
      </w:pPr>
    </w:p>
    <w:p w:rsidR="003E19C0" w:rsidRDefault="003E19C0" w:rsidP="0012168F">
      <w:pPr>
        <w:tabs>
          <w:tab w:val="left" w:pos="1440"/>
          <w:tab w:val="left" w:pos="3060"/>
        </w:tabs>
        <w:spacing w:before="120" w:after="120" w:line="240" w:lineRule="auto"/>
        <w:jc w:val="center"/>
        <w:rPr>
          <w:rFonts w:ascii="Times New Roman" w:hAnsi="Times New Roman"/>
          <w:sz w:val="24"/>
          <w:szCs w:val="24"/>
        </w:rPr>
      </w:pPr>
    </w:p>
    <w:p w:rsidR="009E2F1B" w:rsidRDefault="009E2F1B" w:rsidP="0012168F">
      <w:pPr>
        <w:tabs>
          <w:tab w:val="left" w:pos="1440"/>
          <w:tab w:val="left" w:pos="3060"/>
        </w:tabs>
        <w:spacing w:before="120" w:after="120" w:line="240" w:lineRule="auto"/>
        <w:jc w:val="center"/>
        <w:rPr>
          <w:rFonts w:ascii="Times New Roman" w:hAnsi="Times New Roman"/>
          <w:sz w:val="24"/>
          <w:szCs w:val="24"/>
        </w:rPr>
      </w:pPr>
    </w:p>
    <w:p w:rsidR="003E19C0" w:rsidRPr="00C27FC4" w:rsidRDefault="003E19C0" w:rsidP="0012168F">
      <w:pPr>
        <w:tabs>
          <w:tab w:val="left" w:pos="1440"/>
          <w:tab w:val="left" w:pos="3060"/>
        </w:tabs>
        <w:spacing w:before="120" w:after="120" w:line="240" w:lineRule="auto"/>
        <w:jc w:val="center"/>
        <w:rPr>
          <w:rFonts w:ascii="Times New Roman" w:hAnsi="Times New Roman"/>
          <w:sz w:val="24"/>
          <w:szCs w:val="24"/>
        </w:rPr>
      </w:pPr>
    </w:p>
    <w:p w:rsidR="00367804" w:rsidRPr="00C27FC4" w:rsidRDefault="00367804" w:rsidP="0012168F">
      <w:pPr>
        <w:tabs>
          <w:tab w:val="left" w:pos="1440"/>
          <w:tab w:val="left" w:pos="3060"/>
        </w:tabs>
        <w:spacing w:before="120" w:after="120" w:line="240" w:lineRule="auto"/>
        <w:jc w:val="center"/>
        <w:rPr>
          <w:rFonts w:ascii="Times New Roman" w:hAnsi="Times New Roman"/>
          <w:sz w:val="24"/>
          <w:szCs w:val="24"/>
        </w:rPr>
      </w:pPr>
    </w:p>
    <w:p w:rsidR="00431276" w:rsidRPr="007C47DD" w:rsidRDefault="003E19C0" w:rsidP="00431276">
      <w:pPr>
        <w:pStyle w:val="BodyText"/>
        <w:pBdr>
          <w:top w:val="single" w:sz="4" w:space="1" w:color="auto"/>
          <w:left w:val="single" w:sz="4" w:space="4" w:color="auto"/>
          <w:bottom w:val="single" w:sz="4" w:space="1" w:color="auto"/>
          <w:right w:val="single" w:sz="4" w:space="4" w:color="auto"/>
        </w:pBdr>
        <w:tabs>
          <w:tab w:val="left" w:pos="1440"/>
        </w:tabs>
        <w:jc w:val="both"/>
        <w:rPr>
          <w:rFonts w:ascii="Times New Roman" w:hAnsi="Times New Roman"/>
          <w:sz w:val="24"/>
          <w:szCs w:val="24"/>
          <w:lang w:val="es-ES_tradnl" w:eastAsia="en-US"/>
        </w:rPr>
      </w:pPr>
      <w:r w:rsidRPr="007A3796">
        <w:rPr>
          <w:rFonts w:ascii="Times New Roman" w:hAnsi="Times New Roman"/>
          <w:sz w:val="24"/>
          <w:szCs w:val="24"/>
          <w:lang w:val="es-ES_tradnl" w:eastAsia="en-US"/>
        </w:rPr>
        <w:t xml:space="preserve">Este documento fue preparado por </w:t>
      </w:r>
      <w:proofErr w:type="spellStart"/>
      <w:r w:rsidRPr="007A3796">
        <w:rPr>
          <w:rFonts w:ascii="Times New Roman" w:hAnsi="Times New Roman"/>
          <w:sz w:val="24"/>
          <w:szCs w:val="24"/>
          <w:lang w:val="es-ES_tradnl" w:eastAsia="en-US"/>
        </w:rPr>
        <w:t>Marcio</w:t>
      </w:r>
      <w:proofErr w:type="spellEnd"/>
      <w:r w:rsidRPr="007A3796">
        <w:rPr>
          <w:rFonts w:ascii="Times New Roman" w:hAnsi="Times New Roman"/>
          <w:sz w:val="24"/>
          <w:szCs w:val="24"/>
          <w:lang w:val="es-ES_tradnl" w:eastAsia="en-US"/>
        </w:rPr>
        <w:t xml:space="preserve"> </w:t>
      </w:r>
      <w:proofErr w:type="spellStart"/>
      <w:r w:rsidRPr="007A3796">
        <w:rPr>
          <w:rFonts w:ascii="Times New Roman" w:hAnsi="Times New Roman"/>
          <w:sz w:val="24"/>
          <w:szCs w:val="24"/>
          <w:lang w:val="es-ES_tradnl" w:eastAsia="en-US"/>
        </w:rPr>
        <w:t>Cracel</w:t>
      </w:r>
      <w:proofErr w:type="spellEnd"/>
      <w:r w:rsidRPr="007A3796">
        <w:rPr>
          <w:rFonts w:ascii="Times New Roman" w:hAnsi="Times New Roman"/>
          <w:sz w:val="24"/>
          <w:szCs w:val="24"/>
          <w:lang w:val="es-ES_tradnl" w:eastAsia="en-US"/>
        </w:rPr>
        <w:t xml:space="preserve"> en cooperación con Luiz Villela (IFD/FMM), Jefe de Equipo, y Sergio Salinas (IFD/FMM).</w:t>
      </w:r>
    </w:p>
    <w:p w:rsidR="00367804" w:rsidRPr="00C27FC4" w:rsidRDefault="00367804">
      <w:pPr>
        <w:spacing w:after="0" w:line="240" w:lineRule="auto"/>
        <w:rPr>
          <w:rFonts w:ascii="Times New Roman" w:hAnsi="Times New Roman"/>
          <w:smallCaps/>
          <w:sz w:val="20"/>
          <w:szCs w:val="20"/>
        </w:rPr>
      </w:pPr>
      <w:r w:rsidRPr="00C27FC4">
        <w:rPr>
          <w:rFonts w:ascii="Times New Roman" w:hAnsi="Times New Roman"/>
          <w:smallCaps/>
          <w:sz w:val="20"/>
          <w:szCs w:val="20"/>
        </w:rPr>
        <w:br w:type="page"/>
      </w:r>
    </w:p>
    <w:p w:rsidR="00114B0B" w:rsidRPr="00C27FC4" w:rsidRDefault="00114B0B" w:rsidP="00114B0B">
      <w:pPr>
        <w:tabs>
          <w:tab w:val="left" w:pos="1440"/>
          <w:tab w:val="left" w:pos="3060"/>
        </w:tabs>
        <w:jc w:val="center"/>
        <w:rPr>
          <w:smallCaps/>
          <w:sz w:val="24"/>
        </w:rPr>
      </w:pPr>
    </w:p>
    <w:p w:rsidR="003E19C0" w:rsidRPr="009E2F1B" w:rsidRDefault="003E19C0" w:rsidP="003E19C0">
      <w:pPr>
        <w:tabs>
          <w:tab w:val="left" w:pos="720"/>
          <w:tab w:val="left" w:pos="1440"/>
          <w:tab w:val="left" w:pos="3060"/>
        </w:tabs>
        <w:jc w:val="center"/>
        <w:rPr>
          <w:rFonts w:ascii="Times New Roman" w:hAnsi="Times New Roman"/>
          <w:b/>
          <w:smallCaps/>
          <w:sz w:val="24"/>
          <w:szCs w:val="24"/>
          <w:lang w:val="es-ES_tradnl"/>
        </w:rPr>
      </w:pPr>
      <w:r w:rsidRPr="009E2F1B">
        <w:rPr>
          <w:rFonts w:ascii="Times New Roman" w:hAnsi="Times New Roman"/>
          <w:b/>
          <w:smallCaps/>
          <w:sz w:val="24"/>
          <w:szCs w:val="24"/>
          <w:lang w:val="es-ES_tradnl"/>
        </w:rPr>
        <w:t>Programa De Profundización De La Reforma Fiscal En Colombia</w:t>
      </w:r>
    </w:p>
    <w:p w:rsidR="003E19C0" w:rsidRPr="009E2F1B" w:rsidRDefault="003E19C0" w:rsidP="003E19C0">
      <w:pPr>
        <w:tabs>
          <w:tab w:val="left" w:pos="720"/>
          <w:tab w:val="left" w:pos="1440"/>
          <w:tab w:val="left" w:pos="3060"/>
        </w:tabs>
        <w:jc w:val="center"/>
        <w:rPr>
          <w:rFonts w:ascii="Times New Roman" w:hAnsi="Times New Roman"/>
          <w:b/>
          <w:smallCaps/>
          <w:sz w:val="24"/>
          <w:szCs w:val="24"/>
          <w:lang w:val="es-ES_tradnl"/>
        </w:rPr>
      </w:pPr>
      <w:r w:rsidRPr="009E2F1B">
        <w:rPr>
          <w:rFonts w:ascii="Times New Roman" w:hAnsi="Times New Roman"/>
          <w:b/>
          <w:smallCaps/>
          <w:sz w:val="24"/>
          <w:szCs w:val="24"/>
          <w:lang w:val="es-ES_tradnl"/>
        </w:rPr>
        <w:t>(CO-L1142)</w:t>
      </w:r>
    </w:p>
    <w:p w:rsidR="00157BB7" w:rsidRPr="00354B8B" w:rsidRDefault="00157BB7" w:rsidP="00387151">
      <w:pPr>
        <w:spacing w:before="120" w:after="120" w:line="240" w:lineRule="auto"/>
        <w:jc w:val="center"/>
        <w:rPr>
          <w:rFonts w:ascii="Times New Roman" w:hAnsi="Times New Roman"/>
          <w:b/>
          <w:smallCaps/>
          <w:sz w:val="24"/>
          <w:szCs w:val="24"/>
        </w:rPr>
        <w:sectPr w:rsidR="00157BB7" w:rsidRPr="00354B8B" w:rsidSect="0040270D">
          <w:headerReference w:type="default" r:id="rId11"/>
          <w:footerReference w:type="default" r:id="rId12"/>
          <w:pgSz w:w="12240" w:h="15840"/>
          <w:pgMar w:top="1440" w:right="1800" w:bottom="1170" w:left="1800" w:header="720" w:footer="720" w:gutter="0"/>
          <w:pgNumType w:start="0"/>
          <w:cols w:space="720"/>
          <w:titlePg/>
          <w:docGrid w:linePitch="360"/>
        </w:sectPr>
      </w:pPr>
    </w:p>
    <w:p w:rsidR="005C5B91" w:rsidRPr="00C27FC4" w:rsidRDefault="0017289C" w:rsidP="009E2F1B">
      <w:pPr>
        <w:pStyle w:val="Chapter"/>
        <w:spacing w:before="120" w:after="120"/>
        <w:rPr>
          <w:szCs w:val="24"/>
        </w:rPr>
      </w:pPr>
      <w:r w:rsidRPr="00C27FC4">
        <w:rPr>
          <w:szCs w:val="24"/>
        </w:rPr>
        <w:t>Resumen Ejecutivo</w:t>
      </w:r>
    </w:p>
    <w:p w:rsidR="00A16070" w:rsidRPr="00340730" w:rsidRDefault="00984E05" w:rsidP="00E41381">
      <w:pPr>
        <w:pStyle w:val="Paragraph"/>
      </w:pPr>
      <w:r w:rsidRPr="00984E05">
        <w:rPr>
          <w:lang w:val="es-ES_tradnl"/>
        </w:rPr>
        <w:t xml:space="preserve">Este estudio tiene como finalidad demostrar el beneficio financiero que se generará a partir de un conjunto de medidas de política que buscan el fortalecimiento de la reforma fiscal en Colombia. En ese contexto, a través de un análisis del tipo Costo-Beneficio (ACB) se evalúan los resultados esperados </w:t>
      </w:r>
      <w:r w:rsidR="00A16070">
        <w:t>que resultan de la implantación de</w:t>
      </w:r>
      <w:r w:rsidR="000C3AB7" w:rsidRPr="00C27FC4">
        <w:t xml:space="preserve"> </w:t>
      </w:r>
      <w:r w:rsidR="003E19C0">
        <w:t>dos</w:t>
      </w:r>
      <w:r w:rsidR="00A16070">
        <w:t xml:space="preserve"> </w:t>
      </w:r>
      <w:r w:rsidR="003E19C0">
        <w:t>políticas del Programa</w:t>
      </w:r>
      <w:r w:rsidR="00BD187A" w:rsidRPr="00C27FC4">
        <w:t xml:space="preserve">: </w:t>
      </w:r>
      <w:r w:rsidR="00431276" w:rsidRPr="00E41381">
        <w:t xml:space="preserve">(i) </w:t>
      </w:r>
      <w:r w:rsidR="00E41381">
        <w:t>m</w:t>
      </w:r>
      <w:r w:rsidR="00E41381" w:rsidRPr="00E41381">
        <w:rPr>
          <w:szCs w:val="24"/>
        </w:rPr>
        <w:t>odernización de la Aduana por medio de la adopción de nuevos procedimientos y trámites que se adecuan a las actuales prácticas internacionales y a las metas acordadas en los tratados comerciales</w:t>
      </w:r>
      <w:r w:rsidR="006C29A7" w:rsidRPr="00984E05">
        <w:t xml:space="preserve">; y (ii) </w:t>
      </w:r>
      <w:r w:rsidR="00E41381">
        <w:t>f</w:t>
      </w:r>
      <w:r w:rsidR="00E41381">
        <w:rPr>
          <w:szCs w:val="24"/>
        </w:rPr>
        <w:t>ortalecimiento del proceso de compras y licitaciones públicas orientado a mejoras de eficiencia, por medio del e</w:t>
      </w:r>
      <w:r w:rsidR="00E41381" w:rsidRPr="00A8794F">
        <w:rPr>
          <w:szCs w:val="24"/>
        </w:rPr>
        <w:t xml:space="preserve">stablecimiento de un </w:t>
      </w:r>
      <w:r w:rsidR="00E41381" w:rsidRPr="00340730">
        <w:rPr>
          <w:szCs w:val="24"/>
        </w:rPr>
        <w:t>marco regulatorio para agregar demanda.</w:t>
      </w:r>
    </w:p>
    <w:p w:rsidR="00984E05" w:rsidRPr="00340730" w:rsidRDefault="00984E05" w:rsidP="00984E05">
      <w:pPr>
        <w:pStyle w:val="Paragraph"/>
        <w:rPr>
          <w:lang w:val="es-ES_tradnl"/>
        </w:rPr>
      </w:pPr>
      <w:r w:rsidRPr="00340730">
        <w:rPr>
          <w:lang w:val="es-ES_tradnl"/>
        </w:rPr>
        <w:t xml:space="preserve">De manera conservadora, se estima que la reforma fiscal aportará en promedio US$ </w:t>
      </w:r>
      <w:r w:rsidR="00016E0A" w:rsidRPr="00A259CE">
        <w:rPr>
          <w:lang w:val="es-ES_tradnl"/>
        </w:rPr>
        <w:t>106</w:t>
      </w:r>
      <w:r w:rsidRPr="00340730">
        <w:rPr>
          <w:lang w:val="es-ES_tradnl"/>
        </w:rPr>
        <w:t xml:space="preserve"> millones anua</w:t>
      </w:r>
      <w:r w:rsidR="00016E0A" w:rsidRPr="00340730">
        <w:rPr>
          <w:lang w:val="es-ES_tradnl"/>
        </w:rPr>
        <w:t>les</w:t>
      </w:r>
      <w:r w:rsidRPr="00340730">
        <w:rPr>
          <w:lang w:val="es-ES_tradnl"/>
        </w:rPr>
        <w:t xml:space="preserve"> en los siguientes </w:t>
      </w:r>
      <w:r w:rsidR="00016E0A" w:rsidRPr="00340730">
        <w:rPr>
          <w:lang w:val="es-ES_tradnl"/>
        </w:rPr>
        <w:t>quince</w:t>
      </w:r>
      <w:r w:rsidRPr="00340730">
        <w:rPr>
          <w:lang w:val="es-ES_tradnl"/>
        </w:rPr>
        <w:t xml:space="preserve"> años. </w:t>
      </w:r>
    </w:p>
    <w:p w:rsidR="00984E05" w:rsidRPr="0054734B" w:rsidRDefault="00984E05" w:rsidP="00984E05">
      <w:pPr>
        <w:pStyle w:val="Paragraph"/>
        <w:rPr>
          <w:lang w:val="es-ES_tradnl"/>
        </w:rPr>
      </w:pPr>
      <w:r w:rsidRPr="00340730">
        <w:rPr>
          <w:lang w:val="es-ES_tradnl"/>
        </w:rPr>
        <w:t xml:space="preserve">El análisis de costo beneficio financiero del proyecto arroja una Tasa Interna de Retorno (TIR) de </w:t>
      </w:r>
      <w:r w:rsidR="00016E0A" w:rsidRPr="00340730">
        <w:rPr>
          <w:lang w:val="es-ES_tradnl"/>
        </w:rPr>
        <w:t>2</w:t>
      </w:r>
      <w:r w:rsidR="00752444" w:rsidRPr="00340730">
        <w:rPr>
          <w:lang w:val="es-ES_tradnl"/>
        </w:rPr>
        <w:t>1</w:t>
      </w:r>
      <w:r w:rsidRPr="00340730">
        <w:rPr>
          <w:lang w:val="es-ES_tradnl"/>
        </w:rPr>
        <w:t xml:space="preserve">% y un Valor Presente Neto (VPN) de </w:t>
      </w:r>
      <w:r w:rsidR="00752444" w:rsidRPr="00340730">
        <w:rPr>
          <w:lang w:val="es-ES_tradnl"/>
        </w:rPr>
        <w:t>US$</w:t>
      </w:r>
      <w:r w:rsidR="00016E0A" w:rsidRPr="00A259CE">
        <w:rPr>
          <w:lang w:val="es-ES_tradnl"/>
        </w:rPr>
        <w:t>335</w:t>
      </w:r>
      <w:r w:rsidRPr="00340730">
        <w:rPr>
          <w:lang w:val="es-ES_tradnl"/>
        </w:rPr>
        <w:t xml:space="preserve"> millones</w:t>
      </w:r>
      <w:r w:rsidR="00752444" w:rsidRPr="00340730">
        <w:rPr>
          <w:lang w:val="es-ES_tradnl"/>
        </w:rPr>
        <w:t xml:space="preserve"> en 1</w:t>
      </w:r>
      <w:r w:rsidR="00016E0A" w:rsidRPr="00340730">
        <w:rPr>
          <w:lang w:val="es-ES_tradnl"/>
        </w:rPr>
        <w:t>5</w:t>
      </w:r>
      <w:r w:rsidR="00752444" w:rsidRPr="00340730">
        <w:rPr>
          <w:lang w:val="es-ES_tradnl"/>
        </w:rPr>
        <w:t xml:space="preserve"> años</w:t>
      </w:r>
      <w:r w:rsidRPr="00340730">
        <w:rPr>
          <w:lang w:val="es-ES_tradnl"/>
        </w:rPr>
        <w:t>, lo cual justifica el financiamiento de los US$400 millones por parte del Banco Interamericano de Desarrollo (BID). Cabe indicar</w:t>
      </w:r>
      <w:r w:rsidRPr="0054734B">
        <w:rPr>
          <w:lang w:val="es-ES_tradnl"/>
        </w:rPr>
        <w:t xml:space="preserve"> que </w:t>
      </w:r>
      <w:r>
        <w:rPr>
          <w:lang w:val="es-ES_tradnl"/>
        </w:rPr>
        <w:t>los</w:t>
      </w:r>
      <w:r w:rsidRPr="0054734B">
        <w:rPr>
          <w:lang w:val="es-ES_tradnl"/>
        </w:rPr>
        <w:t xml:space="preserve"> beneficios </w:t>
      </w:r>
      <w:r w:rsidR="00752444">
        <w:rPr>
          <w:lang w:val="es-ES_tradnl"/>
        </w:rPr>
        <w:t>financieros</w:t>
      </w:r>
      <w:r w:rsidRPr="0054734B">
        <w:rPr>
          <w:lang w:val="es-ES_tradnl"/>
        </w:rPr>
        <w:t xml:space="preserve"> </w:t>
      </w:r>
      <w:r>
        <w:rPr>
          <w:lang w:val="es-ES_tradnl"/>
        </w:rPr>
        <w:t xml:space="preserve">por </w:t>
      </w:r>
      <w:r w:rsidR="00511714">
        <w:rPr>
          <w:lang w:val="es-ES_tradnl"/>
        </w:rPr>
        <w:t xml:space="preserve">la </w:t>
      </w:r>
      <w:r w:rsidR="00511714" w:rsidRPr="00A8794F">
        <w:rPr>
          <w:szCs w:val="24"/>
        </w:rPr>
        <w:t>modernización de la estructura organizacional de la D</w:t>
      </w:r>
      <w:r w:rsidR="00511714">
        <w:rPr>
          <w:szCs w:val="24"/>
        </w:rPr>
        <w:t xml:space="preserve">irección de </w:t>
      </w:r>
      <w:r w:rsidR="00511714" w:rsidRPr="00A8794F">
        <w:rPr>
          <w:szCs w:val="24"/>
        </w:rPr>
        <w:t>I</w:t>
      </w:r>
      <w:r w:rsidR="00511714">
        <w:rPr>
          <w:szCs w:val="24"/>
        </w:rPr>
        <w:t xml:space="preserve">mpuestos </w:t>
      </w:r>
      <w:r w:rsidR="00511714" w:rsidRPr="00A8794F">
        <w:rPr>
          <w:szCs w:val="24"/>
        </w:rPr>
        <w:t>A</w:t>
      </w:r>
      <w:r w:rsidR="00511714">
        <w:rPr>
          <w:szCs w:val="24"/>
        </w:rPr>
        <w:t xml:space="preserve">duaneros </w:t>
      </w:r>
      <w:r w:rsidR="00511714" w:rsidRPr="00A8794F">
        <w:rPr>
          <w:szCs w:val="24"/>
        </w:rPr>
        <w:t>N</w:t>
      </w:r>
      <w:r w:rsidR="00511714">
        <w:rPr>
          <w:szCs w:val="24"/>
        </w:rPr>
        <w:t>acionales (DIAN) con vista a la mejora en eficiencia no fueron c</w:t>
      </w:r>
      <w:r w:rsidR="006512A0">
        <w:rPr>
          <w:szCs w:val="24"/>
        </w:rPr>
        <w:t>onsiderados en el ACB</w:t>
      </w:r>
      <w:r w:rsidRPr="0054734B">
        <w:rPr>
          <w:lang w:val="es-ES_tradnl"/>
        </w:rPr>
        <w:t xml:space="preserve">, lo cual podría </w:t>
      </w:r>
      <w:r w:rsidR="006512A0">
        <w:rPr>
          <w:lang w:val="es-ES_tradnl"/>
        </w:rPr>
        <w:t>duplicar</w:t>
      </w:r>
      <w:r w:rsidRPr="0054734B">
        <w:rPr>
          <w:lang w:val="es-ES_tradnl"/>
        </w:rPr>
        <w:t xml:space="preserve"> el robusto resultado de la evaluación financiera.</w:t>
      </w:r>
      <w:r w:rsidR="007C47DD">
        <w:rPr>
          <w:lang w:val="es-ES_tradnl"/>
        </w:rPr>
        <w:t xml:space="preserve"> </w:t>
      </w:r>
      <w:r w:rsidR="005015BA">
        <w:rPr>
          <w:lang w:val="es-ES_tradnl"/>
        </w:rPr>
        <w:t>El Anexo I presenta los principales aspectos de la mencionada modernización.</w:t>
      </w:r>
    </w:p>
    <w:p w:rsidR="00713F6B" w:rsidRPr="00984E05" w:rsidRDefault="00984E05" w:rsidP="00984E05">
      <w:pPr>
        <w:pStyle w:val="Paragraph"/>
        <w:rPr>
          <w:lang w:val="es-ES_tradnl"/>
        </w:rPr>
      </w:pPr>
      <w:r w:rsidRPr="00472A9E">
        <w:rPr>
          <w:lang w:val="es-ES_tradnl"/>
        </w:rPr>
        <w:t>En vista</w:t>
      </w:r>
      <w:r>
        <w:rPr>
          <w:lang w:val="es-ES_tradnl"/>
        </w:rPr>
        <w:t xml:space="preserve"> de la evaluación financiera </w:t>
      </w:r>
      <w:r w:rsidRPr="00472A9E">
        <w:rPr>
          <w:lang w:val="es-ES_tradnl"/>
        </w:rPr>
        <w:t xml:space="preserve">realizada, se recomienda </w:t>
      </w:r>
      <w:r w:rsidRPr="00AB3515">
        <w:rPr>
          <w:lang w:val="es-ES_tradnl"/>
        </w:rPr>
        <w:t xml:space="preserve">el apoyo financiero y técnico del </w:t>
      </w:r>
      <w:r>
        <w:rPr>
          <w:lang w:val="es-ES_tradnl"/>
        </w:rPr>
        <w:t>BID</w:t>
      </w:r>
      <w:r w:rsidRPr="00AB3515">
        <w:rPr>
          <w:lang w:val="es-ES_tradnl"/>
        </w:rPr>
        <w:t xml:space="preserve"> mediante el </w:t>
      </w:r>
      <w:r>
        <w:rPr>
          <w:lang w:val="es-ES_tradnl"/>
        </w:rPr>
        <w:t>Programa de Profundización de la Reforma Fiscal e</w:t>
      </w:r>
      <w:r w:rsidRPr="00984E05">
        <w:rPr>
          <w:lang w:val="es-ES_tradnl"/>
        </w:rPr>
        <w:t>n Colombia</w:t>
      </w:r>
      <w:r>
        <w:rPr>
          <w:lang w:val="es-ES_tradnl"/>
        </w:rPr>
        <w:t xml:space="preserve"> (CO-L1142).</w:t>
      </w:r>
    </w:p>
    <w:p w:rsidR="00862434" w:rsidRPr="00C27FC4" w:rsidRDefault="00285105" w:rsidP="0084518D">
      <w:pPr>
        <w:pStyle w:val="Chapter"/>
        <w:spacing w:before="120" w:after="120"/>
      </w:pPr>
      <w:r w:rsidRPr="00C27FC4">
        <w:rPr>
          <w:szCs w:val="24"/>
        </w:rPr>
        <w:br w:type="page"/>
      </w:r>
      <w:r w:rsidR="00F16BB4" w:rsidRPr="00C27FC4">
        <w:t>I</w:t>
      </w:r>
      <w:r w:rsidR="00862434" w:rsidRPr="00C27FC4">
        <w:t>ntroducción</w:t>
      </w:r>
    </w:p>
    <w:p w:rsidR="0014138B" w:rsidRPr="0014138B" w:rsidRDefault="0014138B" w:rsidP="0014138B">
      <w:pPr>
        <w:pStyle w:val="Paragraph"/>
        <w:rPr>
          <w:szCs w:val="24"/>
        </w:rPr>
      </w:pPr>
      <w:r w:rsidRPr="0014138B">
        <w:rPr>
          <w:szCs w:val="24"/>
        </w:rPr>
        <w:t xml:space="preserve">El Gobierno de </w:t>
      </w:r>
      <w:r>
        <w:rPr>
          <w:szCs w:val="24"/>
        </w:rPr>
        <w:t>Colombia</w:t>
      </w:r>
      <w:r w:rsidRPr="0014138B">
        <w:rPr>
          <w:szCs w:val="24"/>
        </w:rPr>
        <w:t xml:space="preserve"> solicitó al Banco su apoyo para llevar a cabo las medidas de política que permitan el fortalecimiento de las finanzas públicas en un marco de sostenibilidad fiscal de mediano plazo y </w:t>
      </w:r>
      <w:r>
        <w:rPr>
          <w:szCs w:val="24"/>
        </w:rPr>
        <w:t>la profundización</w:t>
      </w:r>
      <w:r w:rsidRPr="00984E05">
        <w:rPr>
          <w:szCs w:val="24"/>
          <w:lang w:val="es-ES_tradnl"/>
        </w:rPr>
        <w:t xml:space="preserve"> de la reforma fiscal en Colombia</w:t>
      </w:r>
      <w:r w:rsidRPr="0014138B">
        <w:rPr>
          <w:szCs w:val="24"/>
        </w:rPr>
        <w:t xml:space="preserve">. </w:t>
      </w:r>
    </w:p>
    <w:p w:rsidR="0014138B" w:rsidRPr="0014138B" w:rsidRDefault="0014138B" w:rsidP="0014138B">
      <w:pPr>
        <w:pStyle w:val="Paragraph"/>
        <w:rPr>
          <w:szCs w:val="24"/>
        </w:rPr>
      </w:pPr>
      <w:r w:rsidRPr="0014138B">
        <w:rPr>
          <w:szCs w:val="24"/>
        </w:rPr>
        <w:t>El presente estudio tiene como finalidad demostrar el beneficio financiero que se generará a partir del conjunto de medidas de política tributaria contenidas en el Programa de Apoyo al Fortalecimiento Fiscal. El tipo de análisis realizado es de estimación y actualización de los beneficios financieros, a través del cual se evalúan los resultados esperados del componente de reforma para el logro de un sistema tributario que incremente la recaudac</w:t>
      </w:r>
      <w:r>
        <w:rPr>
          <w:szCs w:val="24"/>
        </w:rPr>
        <w:t>ión.</w:t>
      </w:r>
    </w:p>
    <w:p w:rsidR="0014138B" w:rsidRPr="0014138B" w:rsidRDefault="0014138B" w:rsidP="0014138B">
      <w:pPr>
        <w:pStyle w:val="Paragraph"/>
        <w:rPr>
          <w:szCs w:val="24"/>
        </w:rPr>
      </w:pPr>
      <w:r w:rsidRPr="0014138B">
        <w:rPr>
          <w:szCs w:val="24"/>
        </w:rPr>
        <w:t>La experiencia recabada de programas similares muestra que es difícil hacer un Análisis Costo Beneficio (ACB) preciso, sin contar previamente con la información sobre variables económicas y financieras que son afectadas por las intervenciones. Además de series de datos estructuradas con base a un modelo de relacionamiento, es necesario realizar regresiones y calcular elasticidades que permitan generar parámetros co</w:t>
      </w:r>
      <w:r>
        <w:rPr>
          <w:szCs w:val="24"/>
        </w:rPr>
        <w:t xml:space="preserve">nfiables para un correcto ACB. </w:t>
      </w:r>
    </w:p>
    <w:p w:rsidR="0014138B" w:rsidRPr="0014138B" w:rsidRDefault="0014138B" w:rsidP="0014138B">
      <w:pPr>
        <w:pStyle w:val="Paragraph"/>
        <w:rPr>
          <w:szCs w:val="24"/>
        </w:rPr>
      </w:pPr>
      <w:r w:rsidRPr="0014138B">
        <w:rPr>
          <w:szCs w:val="24"/>
        </w:rPr>
        <w:t>A pesar de lo anterior, es posible hacer una aproximación a un ACB considerando los resultados ya obtenidos por algunas de las acciones de política apoyadas por la operación del programa. El análisis de estas intervenciones permitirá hacer un cálculo parcial de beneficios financieros para generar una Tasa Interna de Retorno (TIR) y un Valor Presente Neto (VPN)</w:t>
      </w:r>
      <w:r>
        <w:rPr>
          <w:szCs w:val="24"/>
        </w:rPr>
        <w:t>.</w:t>
      </w:r>
    </w:p>
    <w:p w:rsidR="0014138B" w:rsidRPr="0014138B" w:rsidRDefault="0014138B" w:rsidP="009E2F1B">
      <w:pPr>
        <w:pStyle w:val="Paragraph"/>
      </w:pPr>
      <w:r w:rsidRPr="0014138B">
        <w:t>El análisis financiero sugiere que habrá efectos importantes. La</w:t>
      </w:r>
      <w:r w:rsidR="00E41381">
        <w:t>s medidas de</w:t>
      </w:r>
      <w:r w:rsidRPr="0014138B">
        <w:t xml:space="preserve"> reforma </w:t>
      </w:r>
      <w:r>
        <w:t>fiscal</w:t>
      </w:r>
      <w:r w:rsidRPr="0014138B">
        <w:t xml:space="preserve"> </w:t>
      </w:r>
      <w:r w:rsidRPr="0014138B">
        <w:rPr>
          <w:szCs w:val="24"/>
        </w:rPr>
        <w:t>aportará</w:t>
      </w:r>
      <w:r w:rsidR="00E41381">
        <w:rPr>
          <w:szCs w:val="24"/>
        </w:rPr>
        <w:t>n</w:t>
      </w:r>
      <w:r w:rsidRPr="0014138B">
        <w:rPr>
          <w:szCs w:val="24"/>
        </w:rPr>
        <w:t xml:space="preserve"> en </w:t>
      </w:r>
      <w:r w:rsidRPr="00340730">
        <w:rPr>
          <w:szCs w:val="24"/>
        </w:rPr>
        <w:t>promedio US$</w:t>
      </w:r>
      <w:r w:rsidR="00016E0A" w:rsidRPr="00A259CE">
        <w:rPr>
          <w:szCs w:val="24"/>
        </w:rPr>
        <w:t>106</w:t>
      </w:r>
      <w:r w:rsidRPr="00340730">
        <w:rPr>
          <w:szCs w:val="24"/>
        </w:rPr>
        <w:t xml:space="preserve"> millones anual</w:t>
      </w:r>
      <w:r w:rsidR="00016E0A" w:rsidRPr="00340730">
        <w:rPr>
          <w:szCs w:val="24"/>
        </w:rPr>
        <w:t>es</w:t>
      </w:r>
      <w:r w:rsidRPr="00340730">
        <w:rPr>
          <w:szCs w:val="24"/>
        </w:rPr>
        <w:t xml:space="preserve"> en los siguientes </w:t>
      </w:r>
      <w:r w:rsidR="00016E0A" w:rsidRPr="00340730">
        <w:rPr>
          <w:szCs w:val="24"/>
        </w:rPr>
        <w:t>quince</w:t>
      </w:r>
      <w:r w:rsidRPr="00340730">
        <w:rPr>
          <w:szCs w:val="24"/>
        </w:rPr>
        <w:t xml:space="preserve"> años.</w:t>
      </w:r>
      <w:r w:rsidRPr="00340730">
        <w:t xml:space="preserve"> Este beneficio se lograría mediante la mejora</w:t>
      </w:r>
      <w:r w:rsidRPr="0014138B">
        <w:t xml:space="preserve"> de los procedimientos aduaneros referentes a la autorización de aduana y control técnico</w:t>
      </w:r>
      <w:r w:rsidR="009E2F1B">
        <w:t xml:space="preserve"> y </w:t>
      </w:r>
      <w:r w:rsidR="009E2F1B" w:rsidRPr="009E2F1B">
        <w:t>a partir de la mejora de los procedimientos de compras públicas</w:t>
      </w:r>
      <w:r w:rsidR="009E2F1B">
        <w:t>.</w:t>
      </w:r>
    </w:p>
    <w:p w:rsidR="0037758D" w:rsidRPr="009E2F1B" w:rsidRDefault="0014138B" w:rsidP="0014138B">
      <w:pPr>
        <w:pStyle w:val="Paragraph"/>
      </w:pPr>
      <w:r w:rsidRPr="0014138B">
        <w:rPr>
          <w:szCs w:val="24"/>
        </w:rPr>
        <w:t>Es preciso destacar, que este análisis financiero no considera el beneficio indirecto (cuyos efectos se pueden medir sólo a largo plazo) que se derivaría de la posibilidad de financiar sostenidamente un alto nivel de inversión social en sectores que reducen la pobreza y aumentan el capital humano</w:t>
      </w:r>
      <w:r w:rsidR="009E2F1B">
        <w:rPr>
          <w:szCs w:val="24"/>
        </w:rPr>
        <w:t>.</w:t>
      </w:r>
    </w:p>
    <w:p w:rsidR="009E2F1B" w:rsidRDefault="009E2F1B" w:rsidP="0014138B">
      <w:pPr>
        <w:pStyle w:val="Paragraph"/>
        <w:rPr>
          <w:szCs w:val="24"/>
          <w:lang w:val="es-ES_tradnl"/>
        </w:rPr>
      </w:pPr>
      <w:r w:rsidRPr="00B538D6">
        <w:rPr>
          <w:szCs w:val="24"/>
          <w:lang w:val="es-ES_tradnl"/>
        </w:rPr>
        <w:t xml:space="preserve">El programa se estructura en dos operaciones independientes pero técnicamente vinculadas, bajo la modalidad </w:t>
      </w:r>
      <w:r w:rsidRPr="00CE608F">
        <w:rPr>
          <w:szCs w:val="24"/>
          <w:lang w:val="es-ES_tradnl"/>
        </w:rPr>
        <w:t>programática</w:t>
      </w:r>
      <w:r w:rsidRPr="00B538D6">
        <w:rPr>
          <w:szCs w:val="24"/>
          <w:lang w:val="es-ES_tradnl"/>
        </w:rPr>
        <w:t xml:space="preserve">, con recursos </w:t>
      </w:r>
      <w:r w:rsidR="00340730">
        <w:rPr>
          <w:szCs w:val="24"/>
          <w:lang w:val="es-ES_tradnl"/>
        </w:rPr>
        <w:t>de</w:t>
      </w:r>
      <w:r w:rsidR="00340730" w:rsidRPr="00B538D6">
        <w:rPr>
          <w:szCs w:val="24"/>
          <w:lang w:val="es-ES_tradnl"/>
        </w:rPr>
        <w:t xml:space="preserve"> </w:t>
      </w:r>
      <w:r w:rsidRPr="00B538D6">
        <w:rPr>
          <w:szCs w:val="24"/>
          <w:lang w:val="es-ES_tradnl"/>
        </w:rPr>
        <w:t>US$</w:t>
      </w:r>
      <w:r>
        <w:rPr>
          <w:szCs w:val="24"/>
          <w:lang w:val="es-ES_tradnl"/>
        </w:rPr>
        <w:t>4</w:t>
      </w:r>
      <w:r w:rsidRPr="00B538D6">
        <w:rPr>
          <w:szCs w:val="24"/>
          <w:lang w:val="es-ES_tradnl"/>
        </w:rPr>
        <w:t xml:space="preserve">00 millones </w:t>
      </w:r>
      <w:r w:rsidR="00340730">
        <w:rPr>
          <w:szCs w:val="24"/>
          <w:lang w:val="es-ES_tradnl"/>
        </w:rPr>
        <w:t>para la</w:t>
      </w:r>
      <w:r w:rsidR="00DA3A28">
        <w:rPr>
          <w:szCs w:val="24"/>
          <w:lang w:val="es-ES_tradnl"/>
        </w:rPr>
        <w:t xml:space="preserve"> primera</w:t>
      </w:r>
      <w:r w:rsidRPr="00B538D6">
        <w:rPr>
          <w:szCs w:val="24"/>
          <w:lang w:val="es-ES_tradnl"/>
        </w:rPr>
        <w:t>.</w:t>
      </w:r>
      <w:r w:rsidR="00DA3A28">
        <w:rPr>
          <w:szCs w:val="24"/>
          <w:lang w:val="es-ES_tradnl"/>
        </w:rPr>
        <w:t xml:space="preserve"> El ACB considera solamente l</w:t>
      </w:r>
      <w:r w:rsidR="00340730">
        <w:rPr>
          <w:szCs w:val="24"/>
          <w:lang w:val="es-ES_tradnl"/>
        </w:rPr>
        <w:t>os beneficios de l</w:t>
      </w:r>
      <w:r w:rsidR="00DA3A28">
        <w:rPr>
          <w:szCs w:val="24"/>
          <w:lang w:val="es-ES_tradnl"/>
        </w:rPr>
        <w:t>a primera operación.</w:t>
      </w:r>
      <w:r w:rsidRPr="00B538D6">
        <w:rPr>
          <w:szCs w:val="24"/>
          <w:lang w:val="es-ES_tradnl"/>
        </w:rPr>
        <w:t xml:space="preserve"> </w:t>
      </w:r>
    </w:p>
    <w:p w:rsidR="009E2F1B" w:rsidRPr="009E2F1B" w:rsidRDefault="009E2F1B" w:rsidP="009E2F1B">
      <w:pPr>
        <w:spacing w:after="0" w:line="240" w:lineRule="auto"/>
        <w:rPr>
          <w:rFonts w:ascii="Times New Roman" w:eastAsia="Times New Roman" w:hAnsi="Times New Roman"/>
          <w:sz w:val="24"/>
          <w:szCs w:val="24"/>
          <w:lang w:val="es-ES_tradnl" w:eastAsia="x-none"/>
        </w:rPr>
      </w:pPr>
      <w:r>
        <w:rPr>
          <w:szCs w:val="24"/>
          <w:lang w:val="es-ES_tradnl"/>
        </w:rPr>
        <w:br w:type="page"/>
      </w:r>
    </w:p>
    <w:p w:rsidR="002E2364" w:rsidRPr="00C27FC4" w:rsidRDefault="002E2364" w:rsidP="002E2364">
      <w:pPr>
        <w:sectPr w:rsidR="002E2364" w:rsidRPr="00C27FC4" w:rsidSect="00157BB7">
          <w:type w:val="continuous"/>
          <w:pgSz w:w="12240" w:h="15840"/>
          <w:pgMar w:top="1440" w:right="1800" w:bottom="1170" w:left="1800" w:header="720" w:footer="720" w:gutter="0"/>
          <w:cols w:space="720"/>
          <w:docGrid w:linePitch="360"/>
        </w:sectPr>
      </w:pPr>
    </w:p>
    <w:p w:rsidR="00A33E61" w:rsidRPr="00C27FC4" w:rsidRDefault="000C3AB7" w:rsidP="0040270D">
      <w:pPr>
        <w:pStyle w:val="Chapter"/>
      </w:pPr>
      <w:r w:rsidRPr="00C27FC4">
        <w:t xml:space="preserve">Supuestos y </w:t>
      </w:r>
      <w:r w:rsidR="00F920D6" w:rsidRPr="00C27FC4">
        <w:t>a</w:t>
      </w:r>
      <w:r w:rsidRPr="00C27FC4">
        <w:t>lternativas</w:t>
      </w:r>
    </w:p>
    <w:tbl>
      <w:tblPr>
        <w:tblStyle w:val="TableGrid"/>
        <w:tblW w:w="7740" w:type="dxa"/>
        <w:tblInd w:w="1008" w:type="dxa"/>
        <w:tblLook w:val="04A0" w:firstRow="1" w:lastRow="0" w:firstColumn="1" w:lastColumn="0" w:noHBand="0" w:noVBand="1"/>
      </w:tblPr>
      <w:tblGrid>
        <w:gridCol w:w="7740"/>
      </w:tblGrid>
      <w:tr w:rsidR="009E2F1B" w:rsidRPr="008E7935" w:rsidTr="007A3796">
        <w:trPr>
          <w:trHeight w:val="1412"/>
        </w:trPr>
        <w:tc>
          <w:tcPr>
            <w:tcW w:w="7740" w:type="dxa"/>
          </w:tcPr>
          <w:p w:rsidR="009E2F1B" w:rsidRPr="007A3796" w:rsidRDefault="009E2F1B" w:rsidP="007A3796">
            <w:pPr>
              <w:spacing w:before="120" w:after="120" w:line="240" w:lineRule="auto"/>
              <w:jc w:val="both"/>
              <w:rPr>
                <w:rFonts w:ascii="Times New Roman" w:hAnsi="Times New Roman"/>
                <w:b/>
                <w:i/>
                <w:sz w:val="24"/>
                <w:szCs w:val="24"/>
                <w:lang w:val="es-ES_tradnl"/>
              </w:rPr>
            </w:pPr>
            <w:r w:rsidRPr="007A3796">
              <w:rPr>
                <w:rFonts w:ascii="Times New Roman" w:hAnsi="Times New Roman"/>
                <w:b/>
                <w:i/>
                <w:color w:val="000000"/>
                <w:sz w:val="24"/>
                <w:szCs w:val="24"/>
                <w:lang w:val="es-ES_tradnl"/>
              </w:rPr>
              <w:t>Supuesto 1 - Se genera un beneficio económico para todos los usuarios involucrados en el proceso de importación de mercancías, a partir de la mejora de los procedimientos aduaneros referentes a la autorización de aduana y control técnico, por medio de los ahorros generados con la reducción del costo para procesar el despacho de contenedores.</w:t>
            </w:r>
          </w:p>
        </w:tc>
      </w:tr>
    </w:tbl>
    <w:p w:rsidR="007A3796" w:rsidRDefault="007A3796" w:rsidP="00842A3F">
      <w:pPr>
        <w:pStyle w:val="ListParagraph"/>
        <w:spacing w:after="160" w:line="259" w:lineRule="auto"/>
        <w:ind w:left="1080"/>
        <w:rPr>
          <w:rFonts w:ascii="Times New Roman" w:hAnsi="Times New Roman"/>
          <w:b/>
          <w:sz w:val="24"/>
          <w:szCs w:val="24"/>
          <w:lang w:val="es-ES_tradnl"/>
        </w:rPr>
      </w:pPr>
    </w:p>
    <w:p w:rsidR="009E2F1B" w:rsidRPr="009E2F1B" w:rsidRDefault="009E2F1B" w:rsidP="007A3796">
      <w:pPr>
        <w:pStyle w:val="ListParagraph"/>
        <w:numPr>
          <w:ilvl w:val="0"/>
          <w:numId w:val="21"/>
        </w:numPr>
        <w:spacing w:after="160" w:line="259" w:lineRule="auto"/>
        <w:jc w:val="center"/>
        <w:rPr>
          <w:rFonts w:ascii="Times New Roman" w:hAnsi="Times New Roman"/>
          <w:b/>
          <w:sz w:val="24"/>
          <w:szCs w:val="24"/>
          <w:lang w:val="es-ES_tradnl"/>
        </w:rPr>
      </w:pPr>
      <w:r w:rsidRPr="009E2F1B">
        <w:rPr>
          <w:rFonts w:ascii="Times New Roman" w:hAnsi="Times New Roman"/>
          <w:b/>
          <w:sz w:val="24"/>
          <w:szCs w:val="24"/>
          <w:lang w:val="es-ES_tradnl"/>
        </w:rPr>
        <w:t>CONTEXTO</w:t>
      </w:r>
    </w:p>
    <w:p w:rsidR="009E2F1B" w:rsidRDefault="009F16EC" w:rsidP="009E2F1B">
      <w:pPr>
        <w:pStyle w:val="ListParagraph"/>
        <w:numPr>
          <w:ilvl w:val="1"/>
          <w:numId w:val="21"/>
        </w:numPr>
        <w:spacing w:before="120" w:after="120" w:line="240" w:lineRule="auto"/>
        <w:ind w:left="900" w:hanging="540"/>
        <w:contextualSpacing w:val="0"/>
        <w:jc w:val="both"/>
        <w:rPr>
          <w:rFonts w:ascii="Times New Roman" w:hAnsi="Times New Roman"/>
          <w:sz w:val="24"/>
          <w:szCs w:val="24"/>
          <w:lang w:val="es-ES_tradnl"/>
        </w:rPr>
      </w:pPr>
      <w:r>
        <w:rPr>
          <w:rFonts w:ascii="Times New Roman" w:hAnsi="Times New Roman"/>
          <w:sz w:val="24"/>
          <w:szCs w:val="24"/>
          <w:lang w:val="es-ES_tradnl"/>
        </w:rPr>
        <w:t>Entre</w:t>
      </w:r>
      <w:r w:rsidR="009E2F1B" w:rsidRPr="00A1283A">
        <w:rPr>
          <w:rFonts w:ascii="Times New Roman" w:hAnsi="Times New Roman"/>
          <w:sz w:val="24"/>
          <w:szCs w:val="24"/>
          <w:lang w:val="es-ES_tradnl"/>
        </w:rPr>
        <w:t xml:space="preserve"> 2009 </w:t>
      </w:r>
      <w:r>
        <w:rPr>
          <w:rFonts w:ascii="Times New Roman" w:hAnsi="Times New Roman"/>
          <w:sz w:val="24"/>
          <w:szCs w:val="24"/>
          <w:lang w:val="es-ES_tradnl"/>
        </w:rPr>
        <w:t>y</w:t>
      </w:r>
      <w:r w:rsidR="009E2F1B" w:rsidRPr="00A1283A">
        <w:rPr>
          <w:rFonts w:ascii="Times New Roman" w:hAnsi="Times New Roman"/>
          <w:sz w:val="24"/>
          <w:szCs w:val="24"/>
          <w:lang w:val="es-ES_tradnl"/>
        </w:rPr>
        <w:t xml:space="preserve"> 2012 las exportaciones y las importaciones de Colombia aumentaron en un 83% y un 76% respectivamente</w:t>
      </w:r>
      <w:r w:rsidR="00340730">
        <w:rPr>
          <w:rFonts w:ascii="Times New Roman" w:hAnsi="Times New Roman"/>
          <w:sz w:val="24"/>
          <w:szCs w:val="24"/>
          <w:lang w:val="es-ES_tradnl"/>
        </w:rPr>
        <w:t>, mientras que</w:t>
      </w:r>
      <w:r w:rsidR="009E2F1B" w:rsidRPr="00A1283A">
        <w:rPr>
          <w:rFonts w:ascii="Times New Roman" w:hAnsi="Times New Roman"/>
          <w:sz w:val="24"/>
          <w:szCs w:val="24"/>
          <w:lang w:val="es-ES_tradnl"/>
        </w:rPr>
        <w:t xml:space="preserve"> el Producto Interno Bruto (PIB) tuvo un crecimiento positivo consecutivo. Asimismo, en 2012 Colombia firmó un tratado de libre comercio con su principal socio comercial, Estados Unidos, en el que más del 80% de su comercio en común ya no está sujeto a tarifas. Estas tendencias del comercio exterior han generado y continuaran generando presión en la cadena logística del comercio exterior por lo que es importante optimizar los procesos relacionados con la operación.</w:t>
      </w:r>
    </w:p>
    <w:p w:rsidR="009E2F1B" w:rsidRDefault="009E2F1B" w:rsidP="009E2F1B">
      <w:pPr>
        <w:pStyle w:val="ListParagraph"/>
        <w:numPr>
          <w:ilvl w:val="1"/>
          <w:numId w:val="21"/>
        </w:numPr>
        <w:spacing w:before="120" w:after="120" w:line="240" w:lineRule="auto"/>
        <w:ind w:left="900" w:hanging="540"/>
        <w:contextualSpacing w:val="0"/>
        <w:jc w:val="both"/>
        <w:rPr>
          <w:rFonts w:ascii="Times New Roman" w:hAnsi="Times New Roman"/>
          <w:sz w:val="24"/>
          <w:szCs w:val="24"/>
          <w:lang w:val="es-ES_tradnl"/>
        </w:rPr>
      </w:pPr>
      <w:r w:rsidRPr="00A1283A">
        <w:rPr>
          <w:rFonts w:ascii="Times New Roman" w:hAnsi="Times New Roman"/>
          <w:sz w:val="24"/>
          <w:szCs w:val="24"/>
          <w:lang w:val="es-ES_tradnl"/>
        </w:rPr>
        <w:t xml:space="preserve">De acuerdo con el artículo 3 de la </w:t>
      </w:r>
      <w:r w:rsidR="00340730">
        <w:rPr>
          <w:rFonts w:ascii="Times New Roman" w:hAnsi="Times New Roman"/>
          <w:sz w:val="24"/>
          <w:szCs w:val="24"/>
          <w:lang w:val="es-ES_tradnl"/>
        </w:rPr>
        <w:t>L</w:t>
      </w:r>
      <w:r w:rsidRPr="00A1283A">
        <w:rPr>
          <w:rFonts w:ascii="Times New Roman" w:hAnsi="Times New Roman"/>
          <w:sz w:val="24"/>
          <w:szCs w:val="24"/>
          <w:lang w:val="es-ES_tradnl"/>
        </w:rPr>
        <w:t>ey 105 de 1993, le corresponde al gobierno de Colombia definir los lineamientos necesarios para llevar a cabo el transporte de mercancías con seguridad y eficiencia incluyendo los procedimientos de control e inspección. En este sentido, el gobierno de Colombia ha tomado medidas para la facilitación de trámites y procedimientos incluyendo la Ventanilla Única de Comercio Exterior, VUCE con módulos para las Importaciones, Exportaciones, el Formulario Único de Comercio Exterior y el Sistema de Inspección Simultanea. Asimismo, el gobierno de Colombia actualmente planea implementar un programa para fortalecer los estándares de seguridad del comercio exterior y el transporte de mercancías a través de la adquisición e implementación de sistemas de inspección no intrusivos, un sistema nacional de análisis de riesgo y selectividad automatizada y un centro de comando y control.</w:t>
      </w:r>
    </w:p>
    <w:p w:rsidR="009E2F1B" w:rsidRDefault="009E2F1B" w:rsidP="009E2F1B">
      <w:pPr>
        <w:pStyle w:val="ListParagraph"/>
        <w:numPr>
          <w:ilvl w:val="1"/>
          <w:numId w:val="21"/>
        </w:numPr>
        <w:spacing w:before="120" w:after="120" w:line="240" w:lineRule="auto"/>
        <w:ind w:left="900" w:hanging="540"/>
        <w:contextualSpacing w:val="0"/>
        <w:jc w:val="both"/>
        <w:rPr>
          <w:rFonts w:ascii="Times New Roman" w:hAnsi="Times New Roman"/>
          <w:sz w:val="24"/>
          <w:szCs w:val="24"/>
          <w:lang w:val="es-ES_tradnl"/>
        </w:rPr>
      </w:pPr>
      <w:r w:rsidRPr="00A1283A">
        <w:rPr>
          <w:rFonts w:ascii="Times New Roman" w:hAnsi="Times New Roman"/>
          <w:sz w:val="24"/>
          <w:szCs w:val="24"/>
          <w:lang w:val="es-ES_tradnl"/>
        </w:rPr>
        <w:t xml:space="preserve">Aproximadamente el 80% de la carga internacional en Colombia se desplaza por medio marítimo. A nivel </w:t>
      </w:r>
      <w:r w:rsidR="009F16EC">
        <w:rPr>
          <w:rFonts w:ascii="Times New Roman" w:hAnsi="Times New Roman"/>
          <w:sz w:val="24"/>
          <w:szCs w:val="24"/>
          <w:lang w:val="es-ES_tradnl"/>
        </w:rPr>
        <w:t xml:space="preserve">latinoamericano, </w:t>
      </w:r>
      <w:r w:rsidRPr="00A1283A">
        <w:rPr>
          <w:rFonts w:ascii="Times New Roman" w:hAnsi="Times New Roman"/>
          <w:sz w:val="24"/>
          <w:szCs w:val="24"/>
          <w:lang w:val="es-ES_tradnl"/>
        </w:rPr>
        <w:t>Colombia es uno de los mayores operadores de carga aérea. Para 2012 la estadística oficial de Aeronáutica Civil señala un aumento del 4.4% de la carga internacional aérea que además ha mantenido porcentajes de crecimiento desde 2009. El modo terrestre es el medio de transporte menos desarrollado en Colombia y el resto de la</w:t>
      </w:r>
      <w:r>
        <w:rPr>
          <w:rFonts w:ascii="Times New Roman" w:hAnsi="Times New Roman"/>
          <w:sz w:val="24"/>
          <w:szCs w:val="24"/>
          <w:lang w:val="es-ES_tradnl"/>
        </w:rPr>
        <w:t xml:space="preserve"> </w:t>
      </w:r>
      <w:r w:rsidRPr="00A1283A">
        <w:rPr>
          <w:rFonts w:ascii="Times New Roman" w:hAnsi="Times New Roman"/>
          <w:sz w:val="24"/>
          <w:szCs w:val="24"/>
          <w:lang w:val="es-ES_tradnl"/>
        </w:rPr>
        <w:t>región debido principalmente a la falta de infraestructura de carreteras y cruces fronterizos y a las distancias entre los mismos.</w:t>
      </w:r>
    </w:p>
    <w:p w:rsidR="009E2F1B" w:rsidRPr="00A1283A" w:rsidRDefault="009E2F1B" w:rsidP="009E2F1B">
      <w:pPr>
        <w:pStyle w:val="ListParagraph"/>
        <w:numPr>
          <w:ilvl w:val="1"/>
          <w:numId w:val="21"/>
        </w:numPr>
        <w:spacing w:before="120" w:after="120" w:line="240" w:lineRule="auto"/>
        <w:ind w:left="900" w:hanging="540"/>
        <w:contextualSpacing w:val="0"/>
        <w:jc w:val="both"/>
        <w:rPr>
          <w:rFonts w:ascii="Times New Roman" w:hAnsi="Times New Roman"/>
          <w:sz w:val="24"/>
          <w:szCs w:val="24"/>
          <w:lang w:val="es-ES_tradnl"/>
        </w:rPr>
      </w:pPr>
      <w:r w:rsidRPr="00A1283A">
        <w:rPr>
          <w:rFonts w:ascii="Times New Roman" w:hAnsi="Times New Roman"/>
          <w:sz w:val="24"/>
          <w:szCs w:val="24"/>
        </w:rPr>
        <w:t>Los principales actores del comercio internacional tienen papeles críticos en el flujo logístico de las operaciones. Estos dependen de las regulaciones y los requerimientos de la operación y la inspección requeridos por las diferentes entidades de gobierno y también influyen directamente en la operación de las autoridades gracias a su responsabilidad de llevar a cabo las transacciones requeridas en el flujo de la operación del comercio internacional.</w:t>
      </w:r>
    </w:p>
    <w:p w:rsidR="009E2F1B" w:rsidRPr="005574BF" w:rsidRDefault="009E2F1B" w:rsidP="009E2F1B">
      <w:pPr>
        <w:pStyle w:val="ListParagraph"/>
        <w:numPr>
          <w:ilvl w:val="1"/>
          <w:numId w:val="21"/>
        </w:numPr>
        <w:spacing w:before="120" w:after="120" w:line="240" w:lineRule="auto"/>
        <w:ind w:left="900" w:hanging="630"/>
        <w:contextualSpacing w:val="0"/>
        <w:jc w:val="both"/>
        <w:rPr>
          <w:rFonts w:ascii="Times New Roman" w:hAnsi="Times New Roman"/>
          <w:sz w:val="24"/>
          <w:szCs w:val="24"/>
          <w:lang w:val="es-ES_tradnl"/>
        </w:rPr>
      </w:pPr>
      <w:r w:rsidRPr="005574BF">
        <w:rPr>
          <w:rFonts w:ascii="Times New Roman" w:hAnsi="Times New Roman"/>
          <w:sz w:val="24"/>
          <w:szCs w:val="24"/>
          <w:lang w:val="es-ES_tradnl"/>
        </w:rPr>
        <w:t>E</w:t>
      </w:r>
      <w:r w:rsidR="009F16EC">
        <w:rPr>
          <w:rFonts w:ascii="Times New Roman" w:hAnsi="Times New Roman"/>
          <w:sz w:val="24"/>
          <w:szCs w:val="24"/>
          <w:lang w:val="es-ES_tradnl"/>
        </w:rPr>
        <w:t>n</w:t>
      </w:r>
      <w:r w:rsidRPr="005574BF">
        <w:rPr>
          <w:rFonts w:ascii="Times New Roman" w:hAnsi="Times New Roman"/>
          <w:sz w:val="24"/>
          <w:szCs w:val="24"/>
          <w:lang w:val="es-ES_tradnl"/>
        </w:rPr>
        <w:t xml:space="preserve"> 2011</w:t>
      </w:r>
      <w:r w:rsidR="00340730">
        <w:rPr>
          <w:rFonts w:ascii="Times New Roman" w:hAnsi="Times New Roman"/>
          <w:sz w:val="24"/>
          <w:szCs w:val="24"/>
          <w:lang w:val="es-ES_tradnl"/>
        </w:rPr>
        <w:t>,</w:t>
      </w:r>
      <w:r w:rsidRPr="005574BF">
        <w:rPr>
          <w:rFonts w:ascii="Times New Roman" w:hAnsi="Times New Roman"/>
          <w:sz w:val="24"/>
          <w:szCs w:val="24"/>
          <w:lang w:val="es-ES_tradnl"/>
        </w:rPr>
        <w:t xml:space="preserve"> la Unidad Administrativa Especial de Impuestos y Aduanas Nacionales firmó un acuerdo de cooperación con la Federación Nacional de Departamentos para diseñar, establecer e implementar un Plan de Acción, incluyendo procesos, procedimientos y un sistema de cooperación para luchar contra el contrabando y la falsificación de productos sujetos al impuesto al consumo en el país. La segunda cláusula de este acuerdo define las actividades que han de desarrollarse, entre las cuales están la de unir esfuerzos para reducir la introducción, venta y distribución ilegal de productos sujetos al impuesto al consumo en Colombia, promoviendo el uso de procesos, procedimientos y equipos eficaces y eficientes para monitorear y rastrear la introducción, transmisión, almacenamiento, distribución y venta de estos productos. La iniciativa NII incluye a varias entidades públicas que tienen funciones relacionadas, entre ellas la DIAN, la Policía Antinarcóticos, el Instituto Nacional de Vigilancia de Medicamentos y Alimentos (INVIMA) y el Instituto Colombiano Agropecuario (ICA).</w:t>
      </w:r>
    </w:p>
    <w:p w:rsidR="009E2F1B" w:rsidRPr="005574BF" w:rsidRDefault="009E2F1B" w:rsidP="007A3796">
      <w:pPr>
        <w:pStyle w:val="ListParagraph"/>
        <w:numPr>
          <w:ilvl w:val="0"/>
          <w:numId w:val="21"/>
        </w:numPr>
        <w:spacing w:after="160" w:line="259" w:lineRule="auto"/>
        <w:jc w:val="center"/>
        <w:rPr>
          <w:rFonts w:ascii="Times New Roman" w:hAnsi="Times New Roman"/>
          <w:b/>
          <w:sz w:val="24"/>
          <w:szCs w:val="24"/>
          <w:lang w:val="es-ES_tradnl"/>
        </w:rPr>
      </w:pPr>
      <w:r>
        <w:rPr>
          <w:rFonts w:ascii="Times New Roman" w:hAnsi="Times New Roman"/>
          <w:b/>
          <w:sz w:val="24"/>
          <w:szCs w:val="24"/>
          <w:lang w:val="es-ES_tradnl"/>
        </w:rPr>
        <w:t>DESAFÍOS</w:t>
      </w:r>
    </w:p>
    <w:p w:rsidR="009E2F1B" w:rsidRPr="005574BF" w:rsidRDefault="009F16EC" w:rsidP="009E2F1B">
      <w:pPr>
        <w:pStyle w:val="ListParagraph"/>
        <w:numPr>
          <w:ilvl w:val="1"/>
          <w:numId w:val="21"/>
        </w:numPr>
        <w:spacing w:before="120" w:after="120" w:line="240" w:lineRule="auto"/>
        <w:ind w:left="990" w:hanging="630"/>
        <w:contextualSpacing w:val="0"/>
        <w:jc w:val="both"/>
        <w:rPr>
          <w:rFonts w:ascii="Times New Roman" w:hAnsi="Times New Roman"/>
          <w:sz w:val="24"/>
          <w:szCs w:val="24"/>
          <w:lang w:val="es-ES_tradnl"/>
        </w:rPr>
      </w:pPr>
      <w:r>
        <w:rPr>
          <w:rFonts w:ascii="Times New Roman" w:hAnsi="Times New Roman"/>
          <w:sz w:val="24"/>
          <w:szCs w:val="24"/>
          <w:lang w:val="es-ES_tradnl"/>
        </w:rPr>
        <w:t xml:space="preserve">No obstante los esfuerzos que se han venido realizando, se han identificados los siguientes </w:t>
      </w:r>
      <w:r w:rsidR="009E2F1B" w:rsidRPr="005574BF">
        <w:rPr>
          <w:rFonts w:ascii="Times New Roman" w:hAnsi="Times New Roman"/>
          <w:sz w:val="24"/>
          <w:szCs w:val="24"/>
          <w:lang w:val="es-ES_tradnl"/>
        </w:rPr>
        <w:t xml:space="preserve"> problemas</w:t>
      </w:r>
      <w:r>
        <w:rPr>
          <w:rFonts w:ascii="Times New Roman" w:hAnsi="Times New Roman"/>
          <w:sz w:val="24"/>
          <w:szCs w:val="24"/>
          <w:lang w:val="es-ES_tradnl"/>
        </w:rPr>
        <w:t>:</w:t>
      </w:r>
      <w:r w:rsidR="009E2F1B" w:rsidRPr="005574BF">
        <w:rPr>
          <w:rFonts w:ascii="Times New Roman" w:hAnsi="Times New Roman"/>
          <w:sz w:val="24"/>
          <w:szCs w:val="24"/>
          <w:lang w:val="es-ES_tradnl"/>
        </w:rPr>
        <w:t xml:space="preserve">   </w:t>
      </w:r>
    </w:p>
    <w:p w:rsidR="009E2F1B" w:rsidRPr="005574BF" w:rsidRDefault="009E2F1B" w:rsidP="00D43CA2">
      <w:pPr>
        <w:pStyle w:val="ListParagraph"/>
        <w:numPr>
          <w:ilvl w:val="0"/>
          <w:numId w:val="22"/>
        </w:numPr>
        <w:spacing w:before="120" w:after="120" w:line="240" w:lineRule="auto"/>
        <w:ind w:left="1541" w:hanging="547"/>
        <w:jc w:val="both"/>
        <w:rPr>
          <w:rFonts w:ascii="Times New Roman" w:hAnsi="Times New Roman"/>
          <w:sz w:val="24"/>
          <w:szCs w:val="24"/>
          <w:lang w:val="es-ES_tradnl"/>
        </w:rPr>
      </w:pPr>
      <w:r w:rsidRPr="005574BF">
        <w:rPr>
          <w:rFonts w:ascii="Times New Roman" w:hAnsi="Times New Roman"/>
          <w:sz w:val="24"/>
          <w:szCs w:val="24"/>
          <w:lang w:val="es-ES_tradnl"/>
        </w:rPr>
        <w:t>Si bien la Ley de Reforma Tributaria establece un nuevo paradigma en materia de tributación internacional, con miras a la inserción de la OECD, aún no se cuenta con una reglamentación específica para cumplir con dicha meta;</w:t>
      </w:r>
    </w:p>
    <w:p w:rsidR="009E2F1B" w:rsidRPr="005574BF" w:rsidRDefault="009E2F1B" w:rsidP="00D43CA2">
      <w:pPr>
        <w:pStyle w:val="ListParagraph"/>
        <w:numPr>
          <w:ilvl w:val="0"/>
          <w:numId w:val="22"/>
        </w:numPr>
        <w:spacing w:before="120" w:after="120" w:line="240" w:lineRule="auto"/>
        <w:ind w:left="1541" w:hanging="547"/>
        <w:jc w:val="both"/>
        <w:rPr>
          <w:rFonts w:ascii="Times New Roman" w:hAnsi="Times New Roman"/>
          <w:sz w:val="24"/>
          <w:szCs w:val="24"/>
          <w:lang w:val="es-ES_tradnl"/>
        </w:rPr>
      </w:pPr>
      <w:r w:rsidRPr="005574BF">
        <w:rPr>
          <w:rFonts w:ascii="Times New Roman" w:hAnsi="Times New Roman"/>
          <w:sz w:val="24"/>
          <w:szCs w:val="24"/>
          <w:lang w:val="es-ES_tradnl"/>
        </w:rPr>
        <w:t>La falta de coordinación entre las autoridades y otros actores principales (concesionarios, autoridades portuarias, etc.);</w:t>
      </w:r>
    </w:p>
    <w:p w:rsidR="009E2F1B" w:rsidRPr="005574BF" w:rsidRDefault="009E2F1B" w:rsidP="00D43CA2">
      <w:pPr>
        <w:pStyle w:val="ListParagraph"/>
        <w:numPr>
          <w:ilvl w:val="0"/>
          <w:numId w:val="22"/>
        </w:numPr>
        <w:spacing w:before="120" w:after="120" w:line="240" w:lineRule="auto"/>
        <w:ind w:left="1541" w:hanging="547"/>
        <w:jc w:val="both"/>
        <w:rPr>
          <w:rFonts w:ascii="Times New Roman" w:hAnsi="Times New Roman"/>
          <w:sz w:val="24"/>
          <w:szCs w:val="24"/>
          <w:lang w:val="es-ES_tradnl"/>
        </w:rPr>
      </w:pPr>
      <w:r w:rsidRPr="005574BF">
        <w:rPr>
          <w:rFonts w:ascii="Times New Roman" w:hAnsi="Times New Roman"/>
          <w:sz w:val="24"/>
          <w:szCs w:val="24"/>
          <w:lang w:val="es-ES_tradnl"/>
        </w:rPr>
        <w:t>El uso de facturas en papel limita la capacidad y efectividad de las autoridades fiscalizadoras para combatir el fraude y la evasión</w:t>
      </w:r>
      <w:r w:rsidRPr="005574BF">
        <w:rPr>
          <w:rFonts w:ascii="Times New Roman" w:hAnsi="Times New Roman"/>
          <w:sz w:val="24"/>
          <w:szCs w:val="24"/>
          <w:vertAlign w:val="superscript"/>
          <w:lang w:val="es-ES_tradnl"/>
        </w:rPr>
        <w:footnoteReference w:id="2"/>
      </w:r>
      <w:r w:rsidRPr="005574BF">
        <w:rPr>
          <w:rFonts w:ascii="Times New Roman" w:hAnsi="Times New Roman"/>
          <w:sz w:val="24"/>
          <w:szCs w:val="24"/>
          <w:lang w:val="es-ES_tradnl"/>
        </w:rPr>
        <w:t>;</w:t>
      </w:r>
    </w:p>
    <w:p w:rsidR="009E2F1B" w:rsidRPr="005574BF" w:rsidRDefault="009E2F1B" w:rsidP="00D43CA2">
      <w:pPr>
        <w:pStyle w:val="ListParagraph"/>
        <w:numPr>
          <w:ilvl w:val="0"/>
          <w:numId w:val="22"/>
        </w:numPr>
        <w:spacing w:before="120" w:after="120" w:line="240" w:lineRule="auto"/>
        <w:ind w:left="1541" w:hanging="547"/>
        <w:jc w:val="both"/>
        <w:rPr>
          <w:rFonts w:ascii="Times New Roman" w:hAnsi="Times New Roman"/>
          <w:sz w:val="24"/>
          <w:szCs w:val="24"/>
          <w:lang w:val="es-ES_tradnl"/>
        </w:rPr>
      </w:pPr>
      <w:r w:rsidRPr="005574BF">
        <w:rPr>
          <w:rFonts w:ascii="Times New Roman" w:hAnsi="Times New Roman"/>
          <w:sz w:val="24"/>
          <w:szCs w:val="24"/>
          <w:lang w:val="es-ES_tradnl"/>
        </w:rPr>
        <w:t>Los procedimientos existentes en los sistemas aduaneros no facilitan el comercio internacional, ni provén de protección efectiva a las fronteras aduanera</w:t>
      </w:r>
      <w:r w:rsidRPr="005574BF">
        <w:rPr>
          <w:rFonts w:ascii="Times New Roman" w:hAnsi="Times New Roman"/>
          <w:sz w:val="24"/>
          <w:szCs w:val="24"/>
          <w:vertAlign w:val="superscript"/>
          <w:lang w:val="es-ES_tradnl"/>
        </w:rPr>
        <w:footnoteReference w:id="3"/>
      </w:r>
      <w:r w:rsidR="00340730">
        <w:rPr>
          <w:rFonts w:ascii="Times New Roman" w:hAnsi="Times New Roman"/>
          <w:sz w:val="24"/>
          <w:szCs w:val="24"/>
          <w:lang w:val="es-ES_tradnl"/>
        </w:rPr>
        <w:t>;</w:t>
      </w:r>
    </w:p>
    <w:p w:rsidR="009E2F1B" w:rsidRPr="005574BF" w:rsidRDefault="009E2F1B" w:rsidP="00D43CA2">
      <w:pPr>
        <w:pStyle w:val="ListParagraph"/>
        <w:numPr>
          <w:ilvl w:val="0"/>
          <w:numId w:val="22"/>
        </w:numPr>
        <w:spacing w:before="120" w:after="120" w:line="240" w:lineRule="auto"/>
        <w:ind w:left="1541" w:hanging="547"/>
        <w:jc w:val="both"/>
        <w:rPr>
          <w:rFonts w:ascii="Times New Roman" w:hAnsi="Times New Roman"/>
          <w:sz w:val="24"/>
          <w:szCs w:val="24"/>
          <w:lang w:val="es-ES_tradnl"/>
        </w:rPr>
      </w:pPr>
      <w:r w:rsidRPr="005574BF">
        <w:rPr>
          <w:rFonts w:ascii="Times New Roman" w:hAnsi="Times New Roman"/>
          <w:sz w:val="24"/>
          <w:szCs w:val="24"/>
          <w:lang w:val="es-ES_tradnl"/>
        </w:rPr>
        <w:t>La deficiencia de la actual estructura organizativa de la DIAN limita la productividad de la recaudación, lo que se refleja en una presión tributaria por debajo de su potencial</w:t>
      </w:r>
      <w:r w:rsidRPr="005574BF">
        <w:rPr>
          <w:rFonts w:ascii="Times New Roman" w:hAnsi="Times New Roman"/>
          <w:sz w:val="24"/>
          <w:szCs w:val="24"/>
          <w:vertAlign w:val="superscript"/>
          <w:lang w:val="es-ES_tradnl"/>
        </w:rPr>
        <w:footnoteReference w:id="4"/>
      </w:r>
      <w:r w:rsidRPr="005574BF">
        <w:rPr>
          <w:rFonts w:ascii="Times New Roman" w:hAnsi="Times New Roman"/>
          <w:sz w:val="24"/>
          <w:szCs w:val="24"/>
          <w:lang w:val="es-ES_tradnl"/>
        </w:rPr>
        <w:t>;</w:t>
      </w:r>
    </w:p>
    <w:p w:rsidR="009E2F1B" w:rsidRPr="005574BF" w:rsidRDefault="009E2F1B" w:rsidP="00D43CA2">
      <w:pPr>
        <w:pStyle w:val="ListParagraph"/>
        <w:numPr>
          <w:ilvl w:val="0"/>
          <w:numId w:val="22"/>
        </w:numPr>
        <w:spacing w:before="120" w:after="120" w:line="240" w:lineRule="auto"/>
        <w:ind w:left="1541" w:hanging="547"/>
        <w:jc w:val="both"/>
        <w:rPr>
          <w:rFonts w:ascii="Times New Roman" w:hAnsi="Times New Roman"/>
          <w:sz w:val="24"/>
          <w:szCs w:val="24"/>
          <w:lang w:val="es-ES_tradnl"/>
        </w:rPr>
      </w:pPr>
      <w:r w:rsidRPr="005574BF">
        <w:rPr>
          <w:rFonts w:ascii="Times New Roman" w:hAnsi="Times New Roman"/>
          <w:sz w:val="24"/>
          <w:szCs w:val="24"/>
          <w:lang w:val="es-ES_tradnl"/>
        </w:rPr>
        <w:t>No existe un estándar en temas de tecnología y procesos en los puertos, incluyendo limitada infraestructura y conectividad;</w:t>
      </w:r>
    </w:p>
    <w:p w:rsidR="009E2F1B" w:rsidRPr="005574BF" w:rsidRDefault="009E2F1B" w:rsidP="00D43CA2">
      <w:pPr>
        <w:pStyle w:val="ListParagraph"/>
        <w:numPr>
          <w:ilvl w:val="0"/>
          <w:numId w:val="22"/>
        </w:numPr>
        <w:spacing w:before="120" w:after="120" w:line="240" w:lineRule="auto"/>
        <w:ind w:left="1541" w:hanging="547"/>
        <w:jc w:val="both"/>
        <w:rPr>
          <w:rFonts w:ascii="Times New Roman" w:hAnsi="Times New Roman"/>
          <w:sz w:val="24"/>
          <w:szCs w:val="24"/>
          <w:lang w:val="es-ES_tradnl"/>
        </w:rPr>
      </w:pPr>
      <w:r w:rsidRPr="005574BF">
        <w:rPr>
          <w:rFonts w:ascii="Times New Roman" w:hAnsi="Times New Roman"/>
          <w:sz w:val="24"/>
          <w:szCs w:val="24"/>
          <w:lang w:val="es-ES_tradnl"/>
        </w:rPr>
        <w:t xml:space="preserve">Hay una gran disparidad de infraestructura de base (es decir, espacio físico, acceso a Internet, fuentes de energía), que pueden afectar el uso de </w:t>
      </w:r>
      <w:r>
        <w:rPr>
          <w:rFonts w:ascii="Times New Roman" w:hAnsi="Times New Roman"/>
          <w:sz w:val="24"/>
          <w:szCs w:val="24"/>
          <w:lang w:val="es-ES_tradnl"/>
        </w:rPr>
        <w:t>Equipo Non Intrusivo (</w:t>
      </w:r>
      <w:r w:rsidRPr="005574BF">
        <w:rPr>
          <w:rFonts w:ascii="Times New Roman" w:hAnsi="Times New Roman"/>
          <w:sz w:val="24"/>
          <w:szCs w:val="24"/>
          <w:lang w:val="es-ES_tradnl"/>
        </w:rPr>
        <w:t>NII</w:t>
      </w:r>
      <w:r>
        <w:rPr>
          <w:rFonts w:ascii="Times New Roman" w:hAnsi="Times New Roman"/>
          <w:sz w:val="24"/>
          <w:szCs w:val="24"/>
          <w:lang w:val="es-ES_tradnl"/>
        </w:rPr>
        <w:t>)</w:t>
      </w:r>
      <w:r w:rsidRPr="005574BF">
        <w:rPr>
          <w:rFonts w:ascii="Times New Roman" w:hAnsi="Times New Roman"/>
          <w:sz w:val="24"/>
          <w:szCs w:val="24"/>
          <w:lang w:val="es-ES_tradnl"/>
        </w:rPr>
        <w:t xml:space="preserve"> o el envío de imágenes u otros datos en tiempo real</w:t>
      </w:r>
      <w:r w:rsidR="00340730">
        <w:rPr>
          <w:rFonts w:ascii="Times New Roman" w:hAnsi="Times New Roman"/>
          <w:sz w:val="24"/>
          <w:szCs w:val="24"/>
          <w:lang w:val="es-ES_tradnl"/>
        </w:rPr>
        <w:t>;</w:t>
      </w:r>
    </w:p>
    <w:p w:rsidR="009E2F1B" w:rsidRPr="005574BF" w:rsidRDefault="009E2F1B" w:rsidP="00D43CA2">
      <w:pPr>
        <w:pStyle w:val="ListParagraph"/>
        <w:numPr>
          <w:ilvl w:val="0"/>
          <w:numId w:val="22"/>
        </w:numPr>
        <w:spacing w:before="120" w:after="120" w:line="240" w:lineRule="auto"/>
        <w:ind w:left="1541" w:hanging="547"/>
        <w:jc w:val="both"/>
        <w:rPr>
          <w:rFonts w:ascii="Times New Roman" w:hAnsi="Times New Roman"/>
          <w:sz w:val="24"/>
          <w:szCs w:val="24"/>
          <w:lang w:val="es-ES_tradnl"/>
        </w:rPr>
      </w:pPr>
      <w:r w:rsidRPr="005574BF">
        <w:rPr>
          <w:rFonts w:ascii="Times New Roman" w:hAnsi="Times New Roman"/>
          <w:sz w:val="24"/>
          <w:szCs w:val="24"/>
          <w:lang w:val="es-ES_tradnl"/>
        </w:rPr>
        <w:t>Algunos puertos tienen mejores condiciones para adoptar/incorporar nueva tecnología</w:t>
      </w:r>
      <w:r w:rsidR="00340730">
        <w:rPr>
          <w:rFonts w:ascii="Times New Roman" w:hAnsi="Times New Roman"/>
          <w:sz w:val="24"/>
          <w:szCs w:val="24"/>
          <w:lang w:val="es-ES_tradnl"/>
        </w:rPr>
        <w:t>;</w:t>
      </w:r>
    </w:p>
    <w:p w:rsidR="009E2F1B" w:rsidRPr="005574BF" w:rsidRDefault="009E2F1B" w:rsidP="00D43CA2">
      <w:pPr>
        <w:pStyle w:val="ListParagraph"/>
        <w:numPr>
          <w:ilvl w:val="0"/>
          <w:numId w:val="22"/>
        </w:numPr>
        <w:spacing w:before="120" w:after="120" w:line="240" w:lineRule="auto"/>
        <w:ind w:left="1541" w:hanging="547"/>
        <w:jc w:val="both"/>
        <w:rPr>
          <w:rFonts w:ascii="Times New Roman" w:hAnsi="Times New Roman"/>
          <w:sz w:val="24"/>
          <w:szCs w:val="24"/>
          <w:lang w:val="es-ES_tradnl"/>
        </w:rPr>
      </w:pPr>
      <w:r w:rsidRPr="005574BF">
        <w:rPr>
          <w:rFonts w:ascii="Times New Roman" w:hAnsi="Times New Roman"/>
          <w:sz w:val="24"/>
          <w:szCs w:val="24"/>
          <w:lang w:val="es-ES_tradnl"/>
        </w:rPr>
        <w:t>Hay una gran diferencia de recursos humanos, operaciones y procesos en puertos grandes frente a pequeños, incluidas las responsabilidades de dichas autoridades, la coordinación entre entidades, la integridad física y los problemas de seguridad y el entrenamiento/capacitación consistente y estandarizada</w:t>
      </w:r>
      <w:r w:rsidR="00340730">
        <w:rPr>
          <w:rFonts w:ascii="Times New Roman" w:hAnsi="Times New Roman"/>
          <w:sz w:val="24"/>
          <w:szCs w:val="24"/>
          <w:lang w:val="es-ES_tradnl"/>
        </w:rPr>
        <w:t>;</w:t>
      </w:r>
    </w:p>
    <w:p w:rsidR="009E2F1B" w:rsidRPr="005574BF" w:rsidRDefault="009E2F1B" w:rsidP="00D43CA2">
      <w:pPr>
        <w:pStyle w:val="ListParagraph"/>
        <w:numPr>
          <w:ilvl w:val="0"/>
          <w:numId w:val="22"/>
        </w:numPr>
        <w:spacing w:before="120" w:after="120" w:line="240" w:lineRule="auto"/>
        <w:ind w:left="1541" w:hanging="547"/>
        <w:jc w:val="both"/>
        <w:rPr>
          <w:rFonts w:ascii="Times New Roman" w:hAnsi="Times New Roman"/>
          <w:sz w:val="24"/>
          <w:szCs w:val="24"/>
          <w:lang w:val="es-ES_tradnl"/>
        </w:rPr>
      </w:pPr>
      <w:r w:rsidRPr="005574BF">
        <w:rPr>
          <w:rFonts w:ascii="Times New Roman" w:hAnsi="Times New Roman"/>
          <w:sz w:val="24"/>
          <w:szCs w:val="24"/>
          <w:lang w:val="es-ES_tradnl"/>
        </w:rPr>
        <w:t>Hay escasez de recursos humanos de todas las autoridades de control en puertos de entrada.</w:t>
      </w:r>
    </w:p>
    <w:p w:rsidR="009E2F1B" w:rsidRPr="00124A9B" w:rsidRDefault="009E2F1B" w:rsidP="00D43CA2">
      <w:pPr>
        <w:pStyle w:val="ListParagraph"/>
        <w:numPr>
          <w:ilvl w:val="1"/>
          <w:numId w:val="21"/>
        </w:numPr>
        <w:spacing w:before="120" w:after="120" w:line="240" w:lineRule="auto"/>
        <w:ind w:left="990" w:hanging="630"/>
        <w:contextualSpacing w:val="0"/>
        <w:jc w:val="both"/>
        <w:rPr>
          <w:rFonts w:ascii="Times New Roman" w:hAnsi="Times New Roman"/>
          <w:sz w:val="24"/>
          <w:szCs w:val="24"/>
          <w:lang w:val="es-ES_tradnl"/>
        </w:rPr>
      </w:pPr>
      <w:r w:rsidRPr="005574BF">
        <w:rPr>
          <w:rFonts w:ascii="Times New Roman" w:hAnsi="Times New Roman"/>
          <w:sz w:val="24"/>
          <w:szCs w:val="24"/>
          <w:lang w:val="es-ES_tradnl"/>
        </w:rPr>
        <w:t xml:space="preserve">Esto significa que es necesario: </w:t>
      </w:r>
    </w:p>
    <w:p w:rsidR="009E2F1B" w:rsidRPr="005574BF" w:rsidRDefault="009E2F1B" w:rsidP="00D43CA2">
      <w:pPr>
        <w:pStyle w:val="ListParagraph"/>
        <w:numPr>
          <w:ilvl w:val="0"/>
          <w:numId w:val="23"/>
        </w:numPr>
        <w:spacing w:before="120" w:after="120" w:line="240" w:lineRule="auto"/>
        <w:ind w:left="1526" w:hanging="446"/>
        <w:jc w:val="both"/>
        <w:rPr>
          <w:rFonts w:ascii="Times New Roman" w:hAnsi="Times New Roman"/>
          <w:sz w:val="24"/>
          <w:szCs w:val="24"/>
          <w:lang w:val="es-ES_tradnl"/>
        </w:rPr>
      </w:pPr>
      <w:r w:rsidRPr="005574BF">
        <w:rPr>
          <w:rFonts w:ascii="Times New Roman" w:hAnsi="Times New Roman"/>
          <w:sz w:val="24"/>
          <w:szCs w:val="24"/>
          <w:lang w:val="es-ES_tradnl"/>
        </w:rPr>
        <w:t xml:space="preserve">Una solución inmediata y completa que abarque todos los puertos de entrada del país quizá no sea la recomendación preferida o incluso posible. </w:t>
      </w:r>
    </w:p>
    <w:p w:rsidR="00340730" w:rsidRPr="005574BF" w:rsidRDefault="009E2F1B" w:rsidP="00D43CA2">
      <w:pPr>
        <w:pStyle w:val="ListParagraph"/>
        <w:numPr>
          <w:ilvl w:val="0"/>
          <w:numId w:val="23"/>
        </w:numPr>
        <w:spacing w:before="120" w:after="120" w:line="240" w:lineRule="auto"/>
        <w:ind w:left="1526" w:hanging="446"/>
        <w:jc w:val="both"/>
        <w:rPr>
          <w:rFonts w:ascii="Times New Roman" w:hAnsi="Times New Roman"/>
          <w:sz w:val="24"/>
          <w:szCs w:val="24"/>
          <w:lang w:val="es-ES_tradnl"/>
        </w:rPr>
      </w:pPr>
      <w:r w:rsidRPr="005574BF">
        <w:rPr>
          <w:rFonts w:ascii="Times New Roman" w:hAnsi="Times New Roman"/>
          <w:sz w:val="24"/>
          <w:szCs w:val="24"/>
          <w:lang w:val="es-ES_tradnl"/>
        </w:rPr>
        <w:t xml:space="preserve">Priorizar los tipos, el alcance y los tiempos para el uso de NII y dar opciones de implementación. </w:t>
      </w:r>
    </w:p>
    <w:p w:rsidR="009E2F1B" w:rsidRPr="00A259CE" w:rsidRDefault="009E2F1B" w:rsidP="00A259CE">
      <w:pPr>
        <w:pStyle w:val="ListParagraph"/>
        <w:numPr>
          <w:ilvl w:val="0"/>
          <w:numId w:val="23"/>
        </w:numPr>
        <w:spacing w:before="120" w:after="120" w:line="240" w:lineRule="auto"/>
        <w:ind w:left="1526" w:hanging="446"/>
        <w:jc w:val="both"/>
        <w:rPr>
          <w:rFonts w:ascii="Times New Roman" w:hAnsi="Times New Roman"/>
          <w:sz w:val="24"/>
          <w:szCs w:val="24"/>
          <w:lang w:val="es-ES_tradnl"/>
        </w:rPr>
      </w:pPr>
      <w:r w:rsidRPr="00A259CE">
        <w:rPr>
          <w:rFonts w:ascii="Times New Roman" w:hAnsi="Times New Roman"/>
          <w:sz w:val="24"/>
          <w:szCs w:val="24"/>
          <w:lang w:val="es-ES_tradnl"/>
        </w:rPr>
        <w:t>Una estrategia que establezca prioridades a largo plazo puede ser el camino más efectivo para asegurar una efectiva implementación de NII y</w:t>
      </w:r>
      <w:r w:rsidR="00845AE1" w:rsidRPr="00A259CE">
        <w:rPr>
          <w:rFonts w:ascii="Times New Roman" w:hAnsi="Times New Roman"/>
          <w:sz w:val="24"/>
          <w:szCs w:val="24"/>
          <w:lang w:val="es-ES_tradnl"/>
        </w:rPr>
        <w:t xml:space="preserve"> del</w:t>
      </w:r>
      <w:r w:rsidRPr="00A259CE">
        <w:rPr>
          <w:rFonts w:ascii="Times New Roman" w:hAnsi="Times New Roman"/>
          <w:sz w:val="24"/>
          <w:szCs w:val="24"/>
          <w:lang w:val="es-ES_tradnl"/>
        </w:rPr>
        <w:t xml:space="preserve"> </w:t>
      </w:r>
      <w:r w:rsidR="00845AE1" w:rsidRPr="00A259CE">
        <w:rPr>
          <w:rFonts w:ascii="Times New Roman" w:hAnsi="Times New Roman"/>
          <w:sz w:val="24"/>
          <w:szCs w:val="24"/>
          <w:lang w:val="es-ES_tradnl"/>
        </w:rPr>
        <w:t>Sistema de Análisis de Riesgos Automatizado y de Selectividad (ARMTS por sus siglas en inglés)</w:t>
      </w:r>
      <w:r w:rsidRPr="00A259CE">
        <w:rPr>
          <w:rFonts w:ascii="Times New Roman" w:hAnsi="Times New Roman"/>
          <w:sz w:val="24"/>
          <w:szCs w:val="24"/>
          <w:lang w:val="es-ES_tradnl"/>
        </w:rPr>
        <w:t xml:space="preserve">. </w:t>
      </w:r>
    </w:p>
    <w:p w:rsidR="009E2F1B" w:rsidRPr="005574BF" w:rsidRDefault="009E2F1B" w:rsidP="00D43CA2">
      <w:pPr>
        <w:pStyle w:val="ListParagraph"/>
        <w:numPr>
          <w:ilvl w:val="0"/>
          <w:numId w:val="23"/>
        </w:numPr>
        <w:spacing w:before="120" w:after="120" w:line="240" w:lineRule="auto"/>
        <w:ind w:left="1526" w:hanging="446"/>
        <w:contextualSpacing w:val="0"/>
        <w:jc w:val="both"/>
        <w:rPr>
          <w:rFonts w:ascii="Times New Roman" w:hAnsi="Times New Roman"/>
          <w:sz w:val="24"/>
          <w:szCs w:val="24"/>
          <w:lang w:val="es-ES_tradnl"/>
        </w:rPr>
      </w:pPr>
      <w:r w:rsidRPr="005574BF">
        <w:rPr>
          <w:rFonts w:ascii="Times New Roman" w:hAnsi="Times New Roman"/>
          <w:sz w:val="24"/>
          <w:szCs w:val="24"/>
          <w:lang w:val="es-ES_tradnl"/>
        </w:rPr>
        <w:t xml:space="preserve">El comercio sigue creciendo, y con este, también el potencial de adquirir nuevas y diferentes amenazas y riesgos, así como las preocupaciones sobre cómo NII y ARMTS podrían afectar los tiempos de proceso en los puertos. </w:t>
      </w:r>
    </w:p>
    <w:p w:rsidR="009E2F1B" w:rsidRPr="00124A9B" w:rsidRDefault="009E2F1B" w:rsidP="00842A3F">
      <w:pPr>
        <w:pStyle w:val="ListParagraph"/>
        <w:numPr>
          <w:ilvl w:val="1"/>
          <w:numId w:val="21"/>
        </w:numPr>
        <w:spacing w:before="120" w:after="120" w:line="240" w:lineRule="auto"/>
        <w:ind w:left="990" w:hanging="630"/>
        <w:contextualSpacing w:val="0"/>
        <w:jc w:val="both"/>
        <w:rPr>
          <w:rFonts w:ascii="Times New Roman" w:hAnsi="Times New Roman"/>
          <w:sz w:val="24"/>
          <w:szCs w:val="24"/>
          <w:lang w:val="es-ES_tradnl"/>
        </w:rPr>
      </w:pPr>
      <w:r w:rsidRPr="005574BF">
        <w:rPr>
          <w:rFonts w:ascii="Times New Roman" w:hAnsi="Times New Roman"/>
          <w:sz w:val="24"/>
          <w:szCs w:val="24"/>
          <w:lang w:val="es-ES_tradnl"/>
        </w:rPr>
        <w:t xml:space="preserve">Una de las consecuencias </w:t>
      </w:r>
      <w:r>
        <w:rPr>
          <w:rFonts w:ascii="Times New Roman" w:hAnsi="Times New Roman"/>
          <w:sz w:val="24"/>
          <w:szCs w:val="24"/>
          <w:lang w:val="es-ES_tradnl"/>
        </w:rPr>
        <w:t xml:space="preserve">negativas </w:t>
      </w:r>
      <w:r w:rsidRPr="005574BF">
        <w:rPr>
          <w:rFonts w:ascii="Times New Roman" w:hAnsi="Times New Roman"/>
          <w:sz w:val="24"/>
          <w:szCs w:val="24"/>
          <w:lang w:val="es-ES_tradnl"/>
        </w:rPr>
        <w:t>de los problemas arriba mencionados, puede ser demostrada a través de la información provenida por el informe “</w:t>
      </w:r>
      <w:proofErr w:type="spellStart"/>
      <w:r w:rsidRPr="005574BF">
        <w:rPr>
          <w:rFonts w:ascii="Times New Roman" w:hAnsi="Times New Roman"/>
          <w:sz w:val="24"/>
          <w:szCs w:val="24"/>
          <w:lang w:val="es-ES_tradnl"/>
        </w:rPr>
        <w:t>Doing</w:t>
      </w:r>
      <w:proofErr w:type="spellEnd"/>
      <w:r w:rsidRPr="005574BF">
        <w:rPr>
          <w:rFonts w:ascii="Times New Roman" w:hAnsi="Times New Roman"/>
          <w:sz w:val="24"/>
          <w:szCs w:val="24"/>
          <w:lang w:val="es-ES_tradnl"/>
        </w:rPr>
        <w:t xml:space="preserve"> Business” del Banco Mundial, el cual detalla el costo de autorización de adu</w:t>
      </w:r>
      <w:r w:rsidR="00845AE1">
        <w:rPr>
          <w:rFonts w:ascii="Times New Roman" w:hAnsi="Times New Roman"/>
          <w:sz w:val="24"/>
          <w:szCs w:val="24"/>
          <w:lang w:val="es-ES_tradnl"/>
        </w:rPr>
        <w:t>a</w:t>
      </w:r>
      <w:r w:rsidRPr="005574BF">
        <w:rPr>
          <w:rFonts w:ascii="Times New Roman" w:hAnsi="Times New Roman"/>
          <w:sz w:val="24"/>
          <w:szCs w:val="24"/>
          <w:lang w:val="es-ES_tradnl"/>
        </w:rPr>
        <w:t xml:space="preserve">na y control técnico </w:t>
      </w:r>
      <w:r w:rsidR="00845AE1">
        <w:rPr>
          <w:rFonts w:ascii="Times New Roman" w:hAnsi="Times New Roman"/>
          <w:sz w:val="24"/>
          <w:szCs w:val="24"/>
          <w:lang w:val="es-ES_tradnl"/>
        </w:rPr>
        <w:t>aplicado</w:t>
      </w:r>
      <w:r w:rsidRPr="005574BF">
        <w:rPr>
          <w:rFonts w:ascii="Times New Roman" w:hAnsi="Times New Roman"/>
          <w:sz w:val="24"/>
          <w:szCs w:val="24"/>
          <w:lang w:val="es-ES_tradnl"/>
        </w:rPr>
        <w:t xml:space="preserve"> por la adu</w:t>
      </w:r>
      <w:r w:rsidR="00845AE1">
        <w:rPr>
          <w:rFonts w:ascii="Times New Roman" w:hAnsi="Times New Roman"/>
          <w:sz w:val="24"/>
          <w:szCs w:val="24"/>
          <w:lang w:val="es-ES_tradnl"/>
        </w:rPr>
        <w:t>a</w:t>
      </w:r>
      <w:r w:rsidRPr="005574BF">
        <w:rPr>
          <w:rFonts w:ascii="Times New Roman" w:hAnsi="Times New Roman"/>
          <w:sz w:val="24"/>
          <w:szCs w:val="24"/>
          <w:lang w:val="es-ES_tradnl"/>
        </w:rPr>
        <w:t>na de Colombia.</w:t>
      </w:r>
      <w:r>
        <w:rPr>
          <w:rFonts w:ascii="Times New Roman" w:hAnsi="Times New Roman"/>
          <w:sz w:val="24"/>
          <w:szCs w:val="24"/>
          <w:lang w:val="es-ES_tradnl"/>
        </w:rPr>
        <w:t xml:space="preserve"> L</w:t>
      </w:r>
      <w:r w:rsidRPr="00124A9B">
        <w:rPr>
          <w:rFonts w:ascii="Times New Roman" w:hAnsi="Times New Roman"/>
          <w:sz w:val="24"/>
          <w:szCs w:val="24"/>
          <w:lang w:val="es-ES_tradnl"/>
        </w:rPr>
        <w:t xml:space="preserve">a autorización de aduana y control técnico en importaciones tiene un costo promedio de </w:t>
      </w:r>
      <w:r>
        <w:rPr>
          <w:rFonts w:ascii="Times New Roman" w:hAnsi="Times New Roman"/>
          <w:sz w:val="24"/>
          <w:szCs w:val="24"/>
          <w:lang w:val="es-ES_tradnl"/>
        </w:rPr>
        <w:t>U</w:t>
      </w:r>
      <w:r w:rsidRPr="00124A9B">
        <w:rPr>
          <w:rFonts w:ascii="Times New Roman" w:hAnsi="Times New Roman"/>
          <w:sz w:val="24"/>
          <w:szCs w:val="24"/>
          <w:lang w:val="es-ES_tradnl"/>
        </w:rPr>
        <w:t>$170 por contened</w:t>
      </w:r>
      <w:r>
        <w:rPr>
          <w:rFonts w:ascii="Times New Roman" w:hAnsi="Times New Roman"/>
          <w:sz w:val="24"/>
          <w:szCs w:val="24"/>
          <w:lang w:val="es-ES_tradnl"/>
        </w:rPr>
        <w:t xml:space="preserve">or, mientras que el promedio de los países de OECD es de 103. </w:t>
      </w:r>
    </w:p>
    <w:p w:rsidR="009E2F1B" w:rsidRPr="005574BF" w:rsidRDefault="009E2F1B" w:rsidP="00D43CA2">
      <w:pPr>
        <w:pStyle w:val="ListParagraph"/>
        <w:spacing w:before="120" w:after="120" w:line="240" w:lineRule="auto"/>
        <w:ind w:left="-270" w:firstLine="180"/>
        <w:jc w:val="both"/>
        <w:rPr>
          <w:rFonts w:ascii="Times New Roman" w:hAnsi="Times New Roman"/>
          <w:sz w:val="24"/>
          <w:szCs w:val="24"/>
          <w:lang w:val="es-ES_tradnl"/>
        </w:rPr>
      </w:pPr>
      <w:r w:rsidRPr="005574BF">
        <w:rPr>
          <w:noProof/>
          <w:lang w:val="en-US"/>
        </w:rPr>
        <mc:AlternateContent>
          <mc:Choice Requires="wps">
            <w:drawing>
              <wp:anchor distT="0" distB="0" distL="114300" distR="114300" simplePos="0" relativeHeight="251659264" behindDoc="0" locked="0" layoutInCell="1" allowOverlap="1" wp14:anchorId="4B222D3E" wp14:editId="792E8082">
                <wp:simplePos x="0" y="0"/>
                <wp:positionH relativeFrom="column">
                  <wp:posOffset>3087014</wp:posOffset>
                </wp:positionH>
                <wp:positionV relativeFrom="paragraph">
                  <wp:posOffset>2771851</wp:posOffset>
                </wp:positionV>
                <wp:extent cx="2531136" cy="149383"/>
                <wp:effectExtent l="0" t="0" r="21590" b="22225"/>
                <wp:wrapNone/>
                <wp:docPr id="4" name="Rectangle 4"/>
                <wp:cNvGraphicFramePr/>
                <a:graphic xmlns:a="http://schemas.openxmlformats.org/drawingml/2006/main">
                  <a:graphicData uri="http://schemas.microsoft.com/office/word/2010/wordprocessingShape">
                    <wps:wsp>
                      <wps:cNvSpPr/>
                      <wps:spPr>
                        <a:xfrm>
                          <a:off x="0" y="0"/>
                          <a:ext cx="2531136" cy="149383"/>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243.05pt;margin-top:218.25pt;width:199.3pt;height:1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" filled="f" strokecolor="red" strokeweight="2pt"/>
            </w:pict>
          </mc:Fallback>
        </mc:AlternateContent>
      </w:r>
      <w:r w:rsidRPr="005574BF">
        <w:rPr>
          <w:noProof/>
          <w:lang w:val="en-US"/>
        </w:rPr>
        <w:drawing>
          <wp:inline distT="0" distB="0" distL="0" distR="0" wp14:anchorId="0804E507" wp14:editId="3ED3034D">
            <wp:extent cx="5931273" cy="4146488"/>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6072913" cy="4245507"/>
                    </a:xfrm>
                    <a:prstGeom prst="rect">
                      <a:avLst/>
                    </a:prstGeom>
                  </pic:spPr>
                </pic:pic>
              </a:graphicData>
            </a:graphic>
          </wp:inline>
        </w:drawing>
      </w:r>
    </w:p>
    <w:p w:rsidR="007A3796" w:rsidRDefault="007A3796" w:rsidP="007A3796">
      <w:pPr>
        <w:pStyle w:val="ListParagraph"/>
        <w:spacing w:before="120" w:after="120" w:line="240" w:lineRule="auto"/>
        <w:ind w:left="1080"/>
        <w:contextualSpacing w:val="0"/>
        <w:rPr>
          <w:rFonts w:ascii="Times New Roman" w:hAnsi="Times New Roman"/>
          <w:b/>
          <w:sz w:val="24"/>
          <w:szCs w:val="24"/>
          <w:lang w:val="es-ES_tradnl"/>
        </w:rPr>
      </w:pPr>
    </w:p>
    <w:p w:rsidR="009E2F1B" w:rsidRPr="002F4BF7" w:rsidRDefault="009E2F1B" w:rsidP="007A3796">
      <w:pPr>
        <w:pStyle w:val="ListParagraph"/>
        <w:numPr>
          <w:ilvl w:val="0"/>
          <w:numId w:val="21"/>
        </w:numPr>
        <w:spacing w:before="120" w:after="120" w:line="240" w:lineRule="auto"/>
        <w:contextualSpacing w:val="0"/>
        <w:jc w:val="center"/>
        <w:rPr>
          <w:rFonts w:ascii="Times New Roman" w:hAnsi="Times New Roman"/>
          <w:b/>
          <w:sz w:val="24"/>
          <w:szCs w:val="24"/>
          <w:lang w:val="es-ES_tradnl"/>
        </w:rPr>
      </w:pPr>
      <w:r w:rsidRPr="002F4BF7">
        <w:rPr>
          <w:rFonts w:ascii="Times New Roman" w:hAnsi="Times New Roman"/>
          <w:b/>
          <w:sz w:val="24"/>
          <w:szCs w:val="24"/>
          <w:lang w:val="es-ES_tradnl"/>
        </w:rPr>
        <w:t>SOLUCIÓN PROPUESTA.</w:t>
      </w:r>
    </w:p>
    <w:p w:rsidR="009E2F1B" w:rsidRPr="002F4BF7" w:rsidRDefault="009E2F1B" w:rsidP="009E2F1B">
      <w:pPr>
        <w:pStyle w:val="ListParagraph"/>
        <w:numPr>
          <w:ilvl w:val="1"/>
          <w:numId w:val="21"/>
        </w:numPr>
        <w:spacing w:before="120" w:after="120" w:line="240" w:lineRule="auto"/>
        <w:ind w:left="990" w:hanging="630"/>
        <w:contextualSpacing w:val="0"/>
        <w:jc w:val="both"/>
        <w:rPr>
          <w:rFonts w:ascii="Times New Roman" w:hAnsi="Times New Roman"/>
          <w:sz w:val="24"/>
          <w:szCs w:val="24"/>
          <w:lang w:val="es-ES_tradnl"/>
        </w:rPr>
      </w:pPr>
      <w:r w:rsidRPr="00691A2E">
        <w:rPr>
          <w:rFonts w:ascii="Times New Roman" w:hAnsi="Times New Roman"/>
          <w:sz w:val="24"/>
          <w:szCs w:val="24"/>
          <w:lang w:val="es-ES_tradnl"/>
        </w:rPr>
        <w:t>La solución propuesta incorpora los siguientes aspectos</w:t>
      </w:r>
      <w:r>
        <w:rPr>
          <w:rFonts w:ascii="Times New Roman" w:hAnsi="Times New Roman"/>
          <w:sz w:val="24"/>
          <w:szCs w:val="24"/>
          <w:lang w:val="es-ES_tradnl"/>
        </w:rPr>
        <w:t>:</w:t>
      </w:r>
      <w:r w:rsidRPr="00691A2E">
        <w:rPr>
          <w:rFonts w:ascii="Times New Roman" w:hAnsi="Times New Roman"/>
          <w:sz w:val="24"/>
          <w:szCs w:val="24"/>
          <w:lang w:val="es-ES_tradnl"/>
        </w:rPr>
        <w:t xml:space="preserve"> </w:t>
      </w:r>
    </w:p>
    <w:p w:rsidR="009E2F1B" w:rsidRDefault="009E2F1B" w:rsidP="009E2F1B">
      <w:pPr>
        <w:pStyle w:val="ListParagraph"/>
        <w:numPr>
          <w:ilvl w:val="0"/>
          <w:numId w:val="24"/>
        </w:numPr>
        <w:spacing w:before="120" w:after="120" w:line="240" w:lineRule="auto"/>
        <w:ind w:left="1620" w:hanging="540"/>
        <w:contextualSpacing w:val="0"/>
        <w:jc w:val="both"/>
        <w:rPr>
          <w:rFonts w:ascii="Times New Roman" w:hAnsi="Times New Roman"/>
          <w:bCs/>
          <w:sz w:val="24"/>
          <w:szCs w:val="24"/>
        </w:rPr>
      </w:pPr>
      <w:r w:rsidRPr="00735DEE">
        <w:rPr>
          <w:rFonts w:ascii="Times New Roman" w:hAnsi="Times New Roman"/>
          <w:bCs/>
          <w:sz w:val="24"/>
          <w:szCs w:val="24"/>
        </w:rPr>
        <w:t xml:space="preserve">Que es necesario armonizar la regulación aduanera con los convenios internacionales, particularmente con las normas de la Comunidad Andina y el Convenio Internacional para la Simplificación y Armonización de los Regímenes Aduaneros, Convenio de </w:t>
      </w:r>
      <w:proofErr w:type="spellStart"/>
      <w:r w:rsidRPr="00735DEE">
        <w:rPr>
          <w:rFonts w:ascii="Times New Roman" w:hAnsi="Times New Roman"/>
          <w:bCs/>
          <w:sz w:val="24"/>
          <w:szCs w:val="24"/>
        </w:rPr>
        <w:t>Kyoto</w:t>
      </w:r>
      <w:proofErr w:type="spellEnd"/>
      <w:r w:rsidRPr="00735DEE">
        <w:rPr>
          <w:rFonts w:ascii="Times New Roman" w:hAnsi="Times New Roman"/>
          <w:bCs/>
          <w:sz w:val="24"/>
          <w:szCs w:val="24"/>
        </w:rPr>
        <w:t xml:space="preserve"> Revisado de la Organización Mundial de Aduanas.</w:t>
      </w:r>
    </w:p>
    <w:p w:rsidR="009E2F1B" w:rsidRPr="00735DEE" w:rsidRDefault="009E2F1B" w:rsidP="009E2F1B">
      <w:pPr>
        <w:pStyle w:val="ListParagraph"/>
        <w:numPr>
          <w:ilvl w:val="0"/>
          <w:numId w:val="24"/>
        </w:numPr>
        <w:spacing w:before="120" w:after="120" w:line="240" w:lineRule="auto"/>
        <w:ind w:left="1620" w:hanging="540"/>
        <w:contextualSpacing w:val="0"/>
        <w:jc w:val="both"/>
        <w:rPr>
          <w:rFonts w:ascii="Times New Roman" w:hAnsi="Times New Roman"/>
          <w:bCs/>
          <w:sz w:val="24"/>
          <w:szCs w:val="24"/>
        </w:rPr>
      </w:pPr>
      <w:r w:rsidRPr="00735DEE">
        <w:rPr>
          <w:rFonts w:ascii="Times New Roman" w:hAnsi="Times New Roman"/>
          <w:bCs/>
          <w:sz w:val="24"/>
          <w:szCs w:val="24"/>
          <w:lang w:val="es-ES_tradnl"/>
        </w:rPr>
        <w:t>Que como resultado de la Revisión de Política Comercial del País ante la Organización para la Cooperación y el Desarrollo Económicos (OCDE), realizado en Paris en noviembre de 2013, se recomendó garantizar una pronta promulgación e implementación de una nueva regulación aduanera</w:t>
      </w:r>
      <w:r>
        <w:rPr>
          <w:rFonts w:ascii="Times New Roman" w:hAnsi="Times New Roman"/>
          <w:bCs/>
          <w:sz w:val="24"/>
          <w:szCs w:val="24"/>
          <w:lang w:val="es-ES_tradnl"/>
        </w:rPr>
        <w:t>.</w:t>
      </w:r>
    </w:p>
    <w:p w:rsidR="009E2F1B" w:rsidRDefault="009E2F1B" w:rsidP="009E2F1B">
      <w:pPr>
        <w:pStyle w:val="ListParagraph"/>
        <w:numPr>
          <w:ilvl w:val="0"/>
          <w:numId w:val="24"/>
        </w:numPr>
        <w:spacing w:before="120" w:after="120" w:line="240" w:lineRule="auto"/>
        <w:ind w:left="1620" w:hanging="540"/>
        <w:contextualSpacing w:val="0"/>
        <w:jc w:val="both"/>
        <w:rPr>
          <w:rFonts w:ascii="Times New Roman" w:hAnsi="Times New Roman"/>
          <w:bCs/>
          <w:sz w:val="24"/>
          <w:szCs w:val="24"/>
        </w:rPr>
      </w:pPr>
      <w:r w:rsidRPr="00691A2E">
        <w:rPr>
          <w:rFonts w:ascii="Times New Roman" w:hAnsi="Times New Roman"/>
          <w:bCs/>
          <w:sz w:val="24"/>
          <w:szCs w:val="24"/>
        </w:rPr>
        <w:t>Que se requiere modernizar, simplificar, compilar la regulación aduanera y adecuarla a las mejores prácticas internacionales, para facilitar el comercio exterior y el cumplimiento de los compromisos adquiridos por el país dentro de los acuerdos comerciales.</w:t>
      </w:r>
    </w:p>
    <w:p w:rsidR="009E2F1B" w:rsidRDefault="009E2F1B" w:rsidP="009E2F1B">
      <w:pPr>
        <w:pStyle w:val="ListParagraph"/>
        <w:numPr>
          <w:ilvl w:val="0"/>
          <w:numId w:val="24"/>
        </w:numPr>
        <w:spacing w:before="120" w:after="120" w:line="240" w:lineRule="auto"/>
        <w:ind w:left="1620" w:hanging="540"/>
        <w:contextualSpacing w:val="0"/>
        <w:jc w:val="both"/>
        <w:rPr>
          <w:rFonts w:ascii="Times New Roman" w:hAnsi="Times New Roman"/>
          <w:bCs/>
          <w:sz w:val="24"/>
          <w:szCs w:val="24"/>
        </w:rPr>
      </w:pPr>
      <w:r w:rsidRPr="00691A2E">
        <w:rPr>
          <w:rFonts w:ascii="Times New Roman" w:hAnsi="Times New Roman"/>
          <w:bCs/>
          <w:sz w:val="24"/>
          <w:szCs w:val="24"/>
        </w:rPr>
        <w:t xml:space="preserve">Que la Decisión andina 618 de 1995, dispone para los países Miembros la necesidad de adecuar su normativa aduanera a los principios, normas y recomendaciones establecidos en el Anexo General del Protocolo de Enmienda del Convenio Internacional para la Simplificación y Armonización de los Regímenes Aduaneros, Convenio de </w:t>
      </w:r>
      <w:proofErr w:type="spellStart"/>
      <w:r w:rsidRPr="00691A2E">
        <w:rPr>
          <w:rFonts w:ascii="Times New Roman" w:hAnsi="Times New Roman"/>
          <w:bCs/>
          <w:sz w:val="24"/>
          <w:szCs w:val="24"/>
        </w:rPr>
        <w:t>Kyoto</w:t>
      </w:r>
      <w:proofErr w:type="spellEnd"/>
      <w:r w:rsidRPr="00691A2E">
        <w:rPr>
          <w:rFonts w:ascii="Times New Roman" w:hAnsi="Times New Roman"/>
          <w:bCs/>
          <w:sz w:val="24"/>
          <w:szCs w:val="24"/>
        </w:rPr>
        <w:t xml:space="preserve"> Revisado.</w:t>
      </w:r>
    </w:p>
    <w:p w:rsidR="009E2F1B" w:rsidRPr="00691A2E" w:rsidRDefault="009E2F1B" w:rsidP="009E2F1B">
      <w:pPr>
        <w:pStyle w:val="ListParagraph"/>
        <w:widowControl w:val="0"/>
        <w:numPr>
          <w:ilvl w:val="0"/>
          <w:numId w:val="24"/>
        </w:numPr>
        <w:autoSpaceDE w:val="0"/>
        <w:autoSpaceDN w:val="0"/>
        <w:adjustRightInd w:val="0"/>
        <w:spacing w:before="120" w:after="120" w:line="240" w:lineRule="auto"/>
        <w:ind w:left="1620" w:hanging="540"/>
        <w:contextualSpacing w:val="0"/>
        <w:jc w:val="both"/>
        <w:rPr>
          <w:rFonts w:ascii="Times New Roman" w:hAnsi="Times New Roman"/>
          <w:sz w:val="24"/>
          <w:szCs w:val="24"/>
        </w:rPr>
      </w:pPr>
      <w:r w:rsidRPr="00691A2E">
        <w:rPr>
          <w:rFonts w:ascii="Times New Roman" w:hAnsi="Times New Roman"/>
          <w:sz w:val="24"/>
          <w:szCs w:val="24"/>
        </w:rPr>
        <w:t>Que es propósito del Gobierno avanzar en la sistematización de los procedimientos aduaneros.</w:t>
      </w:r>
    </w:p>
    <w:p w:rsidR="009E2F1B" w:rsidRPr="00691A2E" w:rsidRDefault="009E2F1B" w:rsidP="009E2F1B">
      <w:pPr>
        <w:pStyle w:val="ListParagraph"/>
        <w:widowControl w:val="0"/>
        <w:numPr>
          <w:ilvl w:val="0"/>
          <w:numId w:val="24"/>
        </w:numPr>
        <w:autoSpaceDE w:val="0"/>
        <w:autoSpaceDN w:val="0"/>
        <w:adjustRightInd w:val="0"/>
        <w:spacing w:before="120" w:after="120" w:line="240" w:lineRule="auto"/>
        <w:ind w:left="1620" w:hanging="540"/>
        <w:contextualSpacing w:val="0"/>
        <w:jc w:val="both"/>
        <w:rPr>
          <w:rFonts w:ascii="Times New Roman" w:hAnsi="Times New Roman"/>
          <w:sz w:val="24"/>
          <w:szCs w:val="24"/>
        </w:rPr>
      </w:pPr>
      <w:r w:rsidRPr="00691A2E">
        <w:rPr>
          <w:rFonts w:ascii="Times New Roman" w:hAnsi="Times New Roman"/>
          <w:sz w:val="24"/>
          <w:szCs w:val="24"/>
        </w:rPr>
        <w:t>Que se requiere fortalecer los criterios de gestión de riesgo en el ejercicio del control aduanero, en orden a neutralizar las conductas de contrabando, lavado de activos, la prevención del riesgo ambiental, de la salud, de la seguridad en fronteras, violación a la propiedad intelectual, y, en general, de la cadena logística.</w:t>
      </w:r>
    </w:p>
    <w:p w:rsidR="009E2F1B" w:rsidRPr="00691A2E" w:rsidRDefault="009E2F1B" w:rsidP="009E2F1B">
      <w:pPr>
        <w:pStyle w:val="ListParagraph"/>
        <w:widowControl w:val="0"/>
        <w:numPr>
          <w:ilvl w:val="0"/>
          <w:numId w:val="24"/>
        </w:numPr>
        <w:autoSpaceDE w:val="0"/>
        <w:autoSpaceDN w:val="0"/>
        <w:adjustRightInd w:val="0"/>
        <w:spacing w:before="120" w:after="120" w:line="240" w:lineRule="auto"/>
        <w:ind w:left="1620" w:hanging="540"/>
        <w:contextualSpacing w:val="0"/>
        <w:jc w:val="both"/>
        <w:rPr>
          <w:rFonts w:ascii="Times New Roman" w:hAnsi="Times New Roman"/>
          <w:sz w:val="24"/>
          <w:szCs w:val="24"/>
        </w:rPr>
      </w:pPr>
      <w:r w:rsidRPr="00691A2E">
        <w:rPr>
          <w:rFonts w:ascii="Times New Roman" w:hAnsi="Times New Roman"/>
          <w:sz w:val="24"/>
          <w:szCs w:val="24"/>
        </w:rPr>
        <w:t>Que es necesario adecuar los procedimientos de control a la realidad del país y a las modernas tendencias del Derecho.</w:t>
      </w:r>
    </w:p>
    <w:p w:rsidR="009E2F1B" w:rsidRPr="00691A2E" w:rsidRDefault="009E2F1B" w:rsidP="009E2F1B">
      <w:pPr>
        <w:pStyle w:val="ListParagraph"/>
        <w:widowControl w:val="0"/>
        <w:numPr>
          <w:ilvl w:val="0"/>
          <w:numId w:val="24"/>
        </w:numPr>
        <w:autoSpaceDE w:val="0"/>
        <w:autoSpaceDN w:val="0"/>
        <w:adjustRightInd w:val="0"/>
        <w:spacing w:before="120" w:after="120" w:line="240" w:lineRule="auto"/>
        <w:ind w:left="1620" w:hanging="540"/>
        <w:contextualSpacing w:val="0"/>
        <w:jc w:val="both"/>
        <w:rPr>
          <w:rFonts w:ascii="Times New Roman" w:hAnsi="Times New Roman"/>
          <w:sz w:val="24"/>
          <w:szCs w:val="24"/>
        </w:rPr>
      </w:pPr>
      <w:r w:rsidRPr="00691A2E">
        <w:rPr>
          <w:rFonts w:ascii="Times New Roman" w:hAnsi="Times New Roman"/>
          <w:sz w:val="24"/>
          <w:szCs w:val="24"/>
        </w:rPr>
        <w:t>Que el Consejo Superior de Comercio Exterior, en sesión del 1° de abril de 2013, consideró el proyecto de nueva regulación aduanera como una estrategia más en la lucha contra el contrabando.</w:t>
      </w:r>
    </w:p>
    <w:p w:rsidR="009E2F1B" w:rsidRDefault="009E2F1B" w:rsidP="009E2F1B">
      <w:pPr>
        <w:pStyle w:val="ListParagraph"/>
        <w:widowControl w:val="0"/>
        <w:numPr>
          <w:ilvl w:val="0"/>
          <w:numId w:val="24"/>
        </w:numPr>
        <w:autoSpaceDE w:val="0"/>
        <w:autoSpaceDN w:val="0"/>
        <w:adjustRightInd w:val="0"/>
        <w:spacing w:before="120" w:after="120" w:line="240" w:lineRule="auto"/>
        <w:ind w:left="1620" w:hanging="540"/>
        <w:contextualSpacing w:val="0"/>
        <w:jc w:val="both"/>
        <w:rPr>
          <w:rFonts w:ascii="Times New Roman" w:hAnsi="Times New Roman"/>
          <w:sz w:val="24"/>
          <w:szCs w:val="24"/>
        </w:rPr>
      </w:pPr>
      <w:r w:rsidRPr="00691A2E">
        <w:rPr>
          <w:rFonts w:ascii="Times New Roman" w:hAnsi="Times New Roman"/>
          <w:sz w:val="24"/>
          <w:szCs w:val="24"/>
        </w:rPr>
        <w:t>Que así mismo, el Comité de Asuntos Aduaneros, Arancelarios y de Comercio Exterior, en sesión 253, del 19 de febrero de 2013, recomendó la expedición de dicha regulación</w:t>
      </w:r>
      <w:r>
        <w:rPr>
          <w:rFonts w:ascii="Times New Roman" w:hAnsi="Times New Roman"/>
          <w:sz w:val="24"/>
          <w:szCs w:val="24"/>
        </w:rPr>
        <w:t>.</w:t>
      </w:r>
    </w:p>
    <w:p w:rsidR="009E2F1B" w:rsidRPr="002F4BF7" w:rsidRDefault="009E2F1B" w:rsidP="00540235">
      <w:pPr>
        <w:pStyle w:val="ListParagraph"/>
        <w:numPr>
          <w:ilvl w:val="0"/>
          <w:numId w:val="21"/>
        </w:numPr>
        <w:spacing w:before="120" w:after="120" w:line="240" w:lineRule="auto"/>
        <w:contextualSpacing w:val="0"/>
        <w:jc w:val="center"/>
        <w:rPr>
          <w:rFonts w:ascii="Times New Roman" w:hAnsi="Times New Roman"/>
          <w:b/>
          <w:sz w:val="24"/>
          <w:szCs w:val="24"/>
          <w:lang w:val="es-ES_tradnl"/>
        </w:rPr>
      </w:pPr>
      <w:r>
        <w:rPr>
          <w:rFonts w:ascii="Times New Roman" w:hAnsi="Times New Roman"/>
          <w:b/>
          <w:sz w:val="24"/>
          <w:szCs w:val="24"/>
          <w:lang w:val="es-ES_tradnl"/>
        </w:rPr>
        <w:t>CÁLCULO DE LOS BENEFÍCIOS</w:t>
      </w:r>
    </w:p>
    <w:p w:rsidR="009E2F1B" w:rsidRPr="00706EAA" w:rsidRDefault="009E2F1B" w:rsidP="009E2F1B">
      <w:pPr>
        <w:pStyle w:val="ListParagraph"/>
        <w:numPr>
          <w:ilvl w:val="1"/>
          <w:numId w:val="21"/>
        </w:numPr>
        <w:spacing w:before="120" w:after="120" w:line="240" w:lineRule="auto"/>
        <w:ind w:left="990" w:hanging="630"/>
        <w:contextualSpacing w:val="0"/>
        <w:jc w:val="both"/>
        <w:rPr>
          <w:rFonts w:ascii="Times New Roman" w:hAnsi="Times New Roman"/>
          <w:sz w:val="24"/>
          <w:szCs w:val="24"/>
          <w:lang w:val="es-ES_tradnl"/>
        </w:rPr>
      </w:pPr>
      <w:r w:rsidRPr="00691A2E">
        <w:rPr>
          <w:rFonts w:ascii="Times New Roman" w:hAnsi="Times New Roman"/>
          <w:sz w:val="24"/>
          <w:szCs w:val="24"/>
          <w:lang w:val="es-ES_tradnl"/>
        </w:rPr>
        <w:t xml:space="preserve">La </w:t>
      </w:r>
      <w:r>
        <w:rPr>
          <w:rFonts w:ascii="Times New Roman" w:hAnsi="Times New Roman"/>
          <w:sz w:val="24"/>
          <w:szCs w:val="24"/>
          <w:lang w:val="es-ES_tradnl"/>
        </w:rPr>
        <w:t xml:space="preserve">metodología para calcular los beneficios leva en consideración los efectos de la mejora de los procedimientos aduaneros en la disminución del costo de autorización de aduana y control técnico. Está comprobado que países que adoptaron los procedimientos recomendados por la OCDE (Cuadro I), presentan costos de transacción significativamente más bajo que aquellos que siguen con procedimientos no estandarizados con los de la OCDE. </w:t>
      </w:r>
    </w:p>
    <w:tbl>
      <w:tblPr>
        <w:tblW w:w="7190" w:type="dxa"/>
        <w:tblInd w:w="1165" w:type="dxa"/>
        <w:tblCellMar>
          <w:left w:w="70" w:type="dxa"/>
          <w:right w:w="70" w:type="dxa"/>
        </w:tblCellMar>
        <w:tblLook w:val="04A0" w:firstRow="1" w:lastRow="0" w:firstColumn="1" w:lastColumn="0" w:noHBand="0" w:noVBand="1"/>
      </w:tblPr>
      <w:tblGrid>
        <w:gridCol w:w="1705"/>
        <w:gridCol w:w="1880"/>
        <w:gridCol w:w="1805"/>
        <w:gridCol w:w="1800"/>
      </w:tblGrid>
      <w:tr w:rsidR="009E2F1B" w:rsidRPr="00A349B2" w:rsidTr="00E41381">
        <w:trPr>
          <w:trHeight w:val="290"/>
        </w:trPr>
        <w:tc>
          <w:tcPr>
            <w:tcW w:w="7190" w:type="dxa"/>
            <w:gridSpan w:val="4"/>
            <w:tcBorders>
              <w:top w:val="single" w:sz="4" w:space="0" w:color="auto"/>
              <w:left w:val="single" w:sz="4" w:space="0" w:color="auto"/>
              <w:bottom w:val="single" w:sz="4" w:space="0" w:color="auto"/>
              <w:right w:val="single" w:sz="4" w:space="0" w:color="auto"/>
            </w:tcBorders>
            <w:shd w:val="clear" w:color="000000" w:fill="D9D9D9"/>
            <w:vAlign w:val="bottom"/>
            <w:hideMark/>
          </w:tcPr>
          <w:p w:rsidR="009E2F1B" w:rsidRDefault="009E2F1B" w:rsidP="00E41381">
            <w:pPr>
              <w:spacing w:after="0" w:line="240" w:lineRule="auto"/>
              <w:jc w:val="center"/>
              <w:rPr>
                <w:rFonts w:ascii="Times New Roman" w:eastAsia="Times New Roman" w:hAnsi="Times New Roman"/>
                <w:b/>
                <w:bCs/>
                <w:color w:val="000000"/>
                <w:sz w:val="18"/>
                <w:szCs w:val="18"/>
                <w:lang w:eastAsia="pt-BR"/>
              </w:rPr>
            </w:pPr>
            <w:r>
              <w:rPr>
                <w:rFonts w:ascii="Times New Roman" w:eastAsia="Times New Roman" w:hAnsi="Times New Roman"/>
                <w:b/>
                <w:bCs/>
                <w:color w:val="000000"/>
                <w:sz w:val="18"/>
                <w:szCs w:val="18"/>
                <w:lang w:eastAsia="pt-BR"/>
              </w:rPr>
              <w:t xml:space="preserve">Cuadro I - </w:t>
            </w:r>
            <w:r w:rsidRPr="0098627C">
              <w:rPr>
                <w:rFonts w:ascii="Times New Roman" w:eastAsia="Times New Roman" w:hAnsi="Times New Roman"/>
                <w:b/>
                <w:bCs/>
                <w:color w:val="000000"/>
                <w:sz w:val="18"/>
                <w:szCs w:val="18"/>
                <w:lang w:eastAsia="pt-BR"/>
              </w:rPr>
              <w:t>Comparación entre la Performance de Países OECD y LAC</w:t>
            </w:r>
          </w:p>
          <w:p w:rsidR="009E2F1B" w:rsidRPr="0098627C" w:rsidRDefault="009E2F1B" w:rsidP="00E41381">
            <w:pPr>
              <w:spacing w:after="0" w:line="240" w:lineRule="auto"/>
              <w:jc w:val="center"/>
              <w:rPr>
                <w:rFonts w:ascii="Times New Roman" w:eastAsia="Times New Roman" w:hAnsi="Times New Roman"/>
                <w:b/>
                <w:bCs/>
                <w:color w:val="000000"/>
                <w:sz w:val="18"/>
                <w:szCs w:val="18"/>
                <w:lang w:eastAsia="pt-BR"/>
              </w:rPr>
            </w:pPr>
            <w:r>
              <w:rPr>
                <w:rFonts w:ascii="Times New Roman" w:eastAsia="Times New Roman" w:hAnsi="Times New Roman"/>
                <w:b/>
                <w:bCs/>
                <w:color w:val="000000"/>
                <w:sz w:val="18"/>
                <w:szCs w:val="18"/>
                <w:lang w:eastAsia="pt-BR"/>
              </w:rPr>
              <w:t>Importaciones</w:t>
            </w:r>
            <w:r w:rsidR="00845AE1">
              <w:rPr>
                <w:rFonts w:ascii="Times New Roman" w:eastAsia="Times New Roman" w:hAnsi="Times New Roman"/>
                <w:b/>
                <w:bCs/>
                <w:color w:val="000000"/>
                <w:sz w:val="18"/>
                <w:szCs w:val="18"/>
                <w:lang w:eastAsia="pt-BR"/>
              </w:rPr>
              <w:t>: Costo aduanero y control técnico</w:t>
            </w:r>
          </w:p>
        </w:tc>
      </w:tr>
      <w:tr w:rsidR="009E2F1B" w:rsidRPr="0098627C" w:rsidTr="00DE181D">
        <w:trPr>
          <w:trHeight w:val="332"/>
        </w:trPr>
        <w:tc>
          <w:tcPr>
            <w:tcW w:w="1705" w:type="dxa"/>
            <w:tcBorders>
              <w:top w:val="nil"/>
              <w:left w:val="single" w:sz="4" w:space="0" w:color="auto"/>
              <w:bottom w:val="single" w:sz="4" w:space="0" w:color="auto"/>
              <w:right w:val="single" w:sz="4" w:space="0" w:color="auto"/>
            </w:tcBorders>
            <w:shd w:val="clear" w:color="000000" w:fill="D9D9D9"/>
            <w:noWrap/>
            <w:vAlign w:val="center"/>
            <w:hideMark/>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r w:rsidRPr="0098627C">
              <w:rPr>
                <w:rFonts w:ascii="Times New Roman" w:eastAsia="Times New Roman" w:hAnsi="Times New Roman"/>
                <w:b/>
                <w:bCs/>
                <w:color w:val="000000"/>
                <w:sz w:val="18"/>
                <w:szCs w:val="18"/>
                <w:lang w:val="pt-BR" w:eastAsia="pt-BR"/>
              </w:rPr>
              <w:t>OECD</w:t>
            </w:r>
          </w:p>
        </w:tc>
        <w:tc>
          <w:tcPr>
            <w:tcW w:w="1880" w:type="dxa"/>
            <w:tcBorders>
              <w:top w:val="nil"/>
              <w:left w:val="nil"/>
              <w:bottom w:val="single" w:sz="4" w:space="0" w:color="auto"/>
              <w:right w:val="single" w:sz="4" w:space="0" w:color="auto"/>
            </w:tcBorders>
            <w:shd w:val="clear" w:color="000000" w:fill="D9D9D9"/>
            <w:vAlign w:val="center"/>
            <w:hideMark/>
          </w:tcPr>
          <w:p w:rsidR="009E2F1B" w:rsidRPr="0098627C" w:rsidRDefault="009E2F1B" w:rsidP="00845AE1">
            <w:pPr>
              <w:spacing w:after="0" w:line="240" w:lineRule="auto"/>
              <w:jc w:val="center"/>
              <w:rPr>
                <w:rFonts w:ascii="Times New Roman" w:eastAsia="Times New Roman" w:hAnsi="Times New Roman"/>
                <w:b/>
                <w:bCs/>
                <w:color w:val="000000"/>
                <w:sz w:val="18"/>
                <w:szCs w:val="18"/>
                <w:lang w:eastAsia="pt-BR"/>
              </w:rPr>
            </w:pPr>
            <w:r w:rsidRPr="0098627C">
              <w:rPr>
                <w:rFonts w:ascii="Times New Roman" w:eastAsia="Times New Roman" w:hAnsi="Times New Roman"/>
                <w:b/>
                <w:bCs/>
                <w:color w:val="000000"/>
                <w:sz w:val="18"/>
                <w:szCs w:val="18"/>
                <w:lang w:eastAsia="pt-BR"/>
              </w:rPr>
              <w:t>Cost</w:t>
            </w:r>
            <w:r w:rsidR="00845AE1">
              <w:rPr>
                <w:rFonts w:ascii="Times New Roman" w:eastAsia="Times New Roman" w:hAnsi="Times New Roman"/>
                <w:b/>
                <w:bCs/>
                <w:color w:val="000000"/>
                <w:sz w:val="18"/>
                <w:szCs w:val="18"/>
                <w:lang w:eastAsia="pt-BR"/>
              </w:rPr>
              <w:t xml:space="preserve">o por contenedor </w:t>
            </w:r>
            <w:r w:rsidRPr="0098627C">
              <w:rPr>
                <w:rFonts w:ascii="Times New Roman" w:eastAsia="Times New Roman" w:hAnsi="Times New Roman"/>
                <w:b/>
                <w:bCs/>
                <w:color w:val="000000"/>
                <w:sz w:val="18"/>
                <w:szCs w:val="18"/>
                <w:lang w:eastAsia="pt-BR"/>
              </w:rPr>
              <w:t xml:space="preserve"> (US$</w:t>
            </w:r>
            <w:r w:rsidR="00845AE1">
              <w:rPr>
                <w:rFonts w:ascii="Times New Roman" w:eastAsia="Times New Roman" w:hAnsi="Times New Roman"/>
                <w:b/>
                <w:bCs/>
                <w:color w:val="000000"/>
                <w:sz w:val="18"/>
                <w:szCs w:val="18"/>
                <w:lang w:eastAsia="pt-BR"/>
              </w:rPr>
              <w:t>)</w:t>
            </w:r>
            <w:r w:rsidRPr="0098627C">
              <w:rPr>
                <w:rFonts w:ascii="Times New Roman" w:eastAsia="Times New Roman" w:hAnsi="Times New Roman"/>
                <w:b/>
                <w:bCs/>
                <w:color w:val="000000"/>
                <w:sz w:val="18"/>
                <w:szCs w:val="18"/>
                <w:lang w:eastAsia="pt-BR"/>
              </w:rPr>
              <w:t xml:space="preserve"> </w:t>
            </w:r>
          </w:p>
        </w:tc>
        <w:tc>
          <w:tcPr>
            <w:tcW w:w="1805" w:type="dxa"/>
            <w:tcBorders>
              <w:top w:val="nil"/>
              <w:left w:val="nil"/>
              <w:bottom w:val="single" w:sz="4" w:space="0" w:color="auto"/>
              <w:right w:val="single" w:sz="4" w:space="0" w:color="auto"/>
            </w:tcBorders>
            <w:shd w:val="clear" w:color="000000" w:fill="D9D9D9"/>
            <w:noWrap/>
            <w:vAlign w:val="center"/>
            <w:hideMark/>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r w:rsidRPr="0098627C">
              <w:rPr>
                <w:rFonts w:ascii="Times New Roman" w:eastAsia="Times New Roman" w:hAnsi="Times New Roman"/>
                <w:b/>
                <w:bCs/>
                <w:color w:val="000000"/>
                <w:sz w:val="18"/>
                <w:szCs w:val="18"/>
                <w:lang w:val="pt-BR" w:eastAsia="pt-BR"/>
              </w:rPr>
              <w:t>LAC</w:t>
            </w:r>
          </w:p>
        </w:tc>
        <w:tc>
          <w:tcPr>
            <w:tcW w:w="1800" w:type="dxa"/>
            <w:tcBorders>
              <w:top w:val="nil"/>
              <w:left w:val="nil"/>
              <w:bottom w:val="single" w:sz="4" w:space="0" w:color="auto"/>
              <w:right w:val="single" w:sz="4" w:space="0" w:color="auto"/>
            </w:tcBorders>
            <w:shd w:val="clear" w:color="000000" w:fill="D9D9D9"/>
            <w:vAlign w:val="center"/>
            <w:hideMark/>
          </w:tcPr>
          <w:p w:rsidR="009E2F1B" w:rsidRPr="0098627C" w:rsidRDefault="009E2F1B" w:rsidP="00B445FA">
            <w:pPr>
              <w:spacing w:after="0" w:line="240" w:lineRule="auto"/>
              <w:jc w:val="center"/>
              <w:rPr>
                <w:rFonts w:ascii="Times New Roman" w:eastAsia="Times New Roman" w:hAnsi="Times New Roman"/>
                <w:b/>
                <w:bCs/>
                <w:color w:val="000000"/>
                <w:sz w:val="18"/>
                <w:szCs w:val="18"/>
                <w:lang w:eastAsia="pt-BR"/>
              </w:rPr>
            </w:pPr>
            <w:r w:rsidRPr="0098627C">
              <w:rPr>
                <w:rFonts w:ascii="Times New Roman" w:eastAsia="Times New Roman" w:hAnsi="Times New Roman"/>
                <w:b/>
                <w:bCs/>
                <w:color w:val="000000"/>
                <w:sz w:val="18"/>
                <w:szCs w:val="18"/>
                <w:lang w:eastAsia="pt-BR"/>
              </w:rPr>
              <w:t>Cost</w:t>
            </w:r>
            <w:r w:rsidR="00B445FA">
              <w:rPr>
                <w:rFonts w:ascii="Times New Roman" w:eastAsia="Times New Roman" w:hAnsi="Times New Roman"/>
                <w:b/>
                <w:bCs/>
                <w:color w:val="000000"/>
                <w:sz w:val="18"/>
                <w:szCs w:val="18"/>
                <w:lang w:eastAsia="pt-BR"/>
              </w:rPr>
              <w:t>o</w:t>
            </w:r>
            <w:r w:rsidRPr="0098627C">
              <w:rPr>
                <w:rFonts w:ascii="Times New Roman" w:eastAsia="Times New Roman" w:hAnsi="Times New Roman"/>
                <w:b/>
                <w:bCs/>
                <w:color w:val="000000"/>
                <w:sz w:val="18"/>
                <w:szCs w:val="18"/>
                <w:lang w:eastAsia="pt-BR"/>
              </w:rPr>
              <w:t xml:space="preserve"> </w:t>
            </w:r>
            <w:r w:rsidR="00B445FA">
              <w:rPr>
                <w:rFonts w:ascii="Times New Roman" w:eastAsia="Times New Roman" w:hAnsi="Times New Roman"/>
                <w:b/>
                <w:bCs/>
                <w:color w:val="000000"/>
                <w:sz w:val="18"/>
                <w:szCs w:val="18"/>
                <w:lang w:eastAsia="pt-BR"/>
              </w:rPr>
              <w:t>por contenedor</w:t>
            </w:r>
            <w:r w:rsidRPr="0098627C">
              <w:rPr>
                <w:rFonts w:ascii="Times New Roman" w:eastAsia="Times New Roman" w:hAnsi="Times New Roman"/>
                <w:b/>
                <w:bCs/>
                <w:color w:val="000000"/>
                <w:sz w:val="18"/>
                <w:szCs w:val="18"/>
                <w:lang w:eastAsia="pt-BR"/>
              </w:rPr>
              <w:t xml:space="preserve"> (US$</w:t>
            </w:r>
            <w:r w:rsidR="00B445FA">
              <w:rPr>
                <w:rFonts w:ascii="Times New Roman" w:eastAsia="Times New Roman" w:hAnsi="Times New Roman"/>
                <w:b/>
                <w:bCs/>
                <w:color w:val="000000"/>
                <w:sz w:val="18"/>
                <w:szCs w:val="18"/>
                <w:lang w:eastAsia="pt-BR"/>
              </w:rPr>
              <w:t>)</w:t>
            </w:r>
          </w:p>
        </w:tc>
      </w:tr>
      <w:tr w:rsidR="009E2F1B" w:rsidRPr="0098627C" w:rsidTr="00E41381">
        <w:trPr>
          <w:trHeight w:val="39"/>
        </w:trPr>
        <w:tc>
          <w:tcPr>
            <w:tcW w:w="1705" w:type="dxa"/>
            <w:tcBorders>
              <w:top w:val="nil"/>
              <w:left w:val="single" w:sz="4" w:space="0" w:color="auto"/>
              <w:bottom w:val="single" w:sz="4" w:space="0" w:color="auto"/>
              <w:right w:val="single" w:sz="4" w:space="0" w:color="auto"/>
            </w:tcBorders>
            <w:shd w:val="clear" w:color="auto" w:fill="auto"/>
            <w:vAlign w:val="center"/>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roofErr w:type="spellStart"/>
            <w:r w:rsidRPr="0098627C">
              <w:rPr>
                <w:rFonts w:ascii="Times New Roman" w:eastAsia="Times New Roman" w:hAnsi="Times New Roman"/>
                <w:b/>
                <w:bCs/>
                <w:color w:val="000000"/>
                <w:sz w:val="18"/>
                <w:szCs w:val="18"/>
                <w:lang w:val="pt-BR" w:eastAsia="pt-BR"/>
              </w:rPr>
              <w:t>Austria</w:t>
            </w:r>
            <w:proofErr w:type="spellEnd"/>
          </w:p>
        </w:tc>
        <w:tc>
          <w:tcPr>
            <w:tcW w:w="1880" w:type="dxa"/>
            <w:tcBorders>
              <w:top w:val="nil"/>
              <w:left w:val="nil"/>
              <w:bottom w:val="single" w:sz="4" w:space="0" w:color="auto"/>
              <w:right w:val="single" w:sz="4" w:space="0" w:color="auto"/>
            </w:tcBorders>
            <w:shd w:val="clear" w:color="auto" w:fill="auto"/>
            <w:noWrap/>
            <w:vAlign w:val="bottom"/>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60</w:t>
            </w:r>
          </w:p>
        </w:tc>
        <w:tc>
          <w:tcPr>
            <w:tcW w:w="1805" w:type="dxa"/>
            <w:tcBorders>
              <w:top w:val="nil"/>
              <w:left w:val="nil"/>
              <w:bottom w:val="single" w:sz="4" w:space="0" w:color="auto"/>
              <w:right w:val="single" w:sz="4" w:space="0" w:color="auto"/>
            </w:tcBorders>
            <w:shd w:val="clear" w:color="auto" w:fill="auto"/>
            <w:vAlign w:val="center"/>
            <w:hideMark/>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r w:rsidRPr="0098627C">
              <w:rPr>
                <w:rFonts w:ascii="Times New Roman" w:eastAsia="Times New Roman" w:hAnsi="Times New Roman"/>
                <w:b/>
                <w:bCs/>
                <w:color w:val="000000"/>
                <w:sz w:val="18"/>
                <w:szCs w:val="18"/>
                <w:lang w:val="pt-BR" w:eastAsia="pt-BR"/>
              </w:rPr>
              <w:t>Argentina</w:t>
            </w:r>
          </w:p>
        </w:tc>
        <w:tc>
          <w:tcPr>
            <w:tcW w:w="1800" w:type="dxa"/>
            <w:tcBorders>
              <w:top w:val="nil"/>
              <w:left w:val="nil"/>
              <w:bottom w:val="single" w:sz="4" w:space="0" w:color="auto"/>
              <w:right w:val="single" w:sz="4" w:space="0" w:color="auto"/>
            </w:tcBorders>
            <w:shd w:val="clear" w:color="auto" w:fill="auto"/>
            <w:noWrap/>
            <w:vAlign w:val="bottom"/>
            <w:hideMark/>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400</w:t>
            </w:r>
          </w:p>
        </w:tc>
      </w:tr>
      <w:tr w:rsidR="009E2F1B" w:rsidRPr="0098627C" w:rsidTr="00E41381">
        <w:trPr>
          <w:trHeight w:val="39"/>
        </w:trPr>
        <w:tc>
          <w:tcPr>
            <w:tcW w:w="1705" w:type="dxa"/>
            <w:tcBorders>
              <w:top w:val="nil"/>
              <w:left w:val="single" w:sz="4" w:space="0" w:color="auto"/>
              <w:bottom w:val="single" w:sz="4" w:space="0" w:color="auto"/>
              <w:right w:val="single" w:sz="4" w:space="0" w:color="auto"/>
            </w:tcBorders>
            <w:shd w:val="clear" w:color="auto" w:fill="auto"/>
            <w:vAlign w:val="center"/>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roofErr w:type="spellStart"/>
            <w:r w:rsidRPr="0098627C">
              <w:rPr>
                <w:rFonts w:ascii="Times New Roman" w:eastAsia="Times New Roman" w:hAnsi="Times New Roman"/>
                <w:b/>
                <w:bCs/>
                <w:color w:val="000000"/>
                <w:sz w:val="18"/>
                <w:szCs w:val="18"/>
                <w:lang w:val="pt-BR" w:eastAsia="pt-BR"/>
              </w:rPr>
              <w:t>Belgium</w:t>
            </w:r>
            <w:proofErr w:type="spellEnd"/>
          </w:p>
        </w:tc>
        <w:tc>
          <w:tcPr>
            <w:tcW w:w="1880" w:type="dxa"/>
            <w:tcBorders>
              <w:top w:val="nil"/>
              <w:left w:val="nil"/>
              <w:bottom w:val="single" w:sz="4" w:space="0" w:color="auto"/>
              <w:right w:val="single" w:sz="4" w:space="0" w:color="auto"/>
            </w:tcBorders>
            <w:shd w:val="clear" w:color="auto" w:fill="auto"/>
            <w:noWrap/>
            <w:vAlign w:val="bottom"/>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100</w:t>
            </w:r>
          </w:p>
        </w:tc>
        <w:tc>
          <w:tcPr>
            <w:tcW w:w="1805" w:type="dxa"/>
            <w:tcBorders>
              <w:top w:val="nil"/>
              <w:left w:val="nil"/>
              <w:bottom w:val="single" w:sz="4" w:space="0" w:color="auto"/>
              <w:right w:val="single" w:sz="4" w:space="0" w:color="auto"/>
            </w:tcBorders>
            <w:shd w:val="clear" w:color="auto" w:fill="auto"/>
            <w:vAlign w:val="center"/>
            <w:hideMark/>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r w:rsidRPr="0098627C">
              <w:rPr>
                <w:rFonts w:ascii="Times New Roman" w:eastAsia="Times New Roman" w:hAnsi="Times New Roman"/>
                <w:b/>
                <w:bCs/>
                <w:color w:val="000000"/>
                <w:sz w:val="18"/>
                <w:szCs w:val="18"/>
                <w:lang w:val="pt-BR" w:eastAsia="pt-BR"/>
              </w:rPr>
              <w:t>Bahamas</w:t>
            </w:r>
          </w:p>
        </w:tc>
        <w:tc>
          <w:tcPr>
            <w:tcW w:w="1800" w:type="dxa"/>
            <w:tcBorders>
              <w:top w:val="nil"/>
              <w:left w:val="nil"/>
              <w:bottom w:val="single" w:sz="4" w:space="0" w:color="auto"/>
              <w:right w:val="single" w:sz="4" w:space="0" w:color="auto"/>
            </w:tcBorders>
            <w:shd w:val="clear" w:color="auto" w:fill="auto"/>
            <w:noWrap/>
            <w:vAlign w:val="bottom"/>
            <w:hideMark/>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220</w:t>
            </w:r>
          </w:p>
        </w:tc>
      </w:tr>
      <w:tr w:rsidR="009E2F1B" w:rsidRPr="0098627C" w:rsidTr="00E41381">
        <w:trPr>
          <w:trHeight w:val="39"/>
        </w:trPr>
        <w:tc>
          <w:tcPr>
            <w:tcW w:w="1705" w:type="dxa"/>
            <w:tcBorders>
              <w:top w:val="nil"/>
              <w:left w:val="single" w:sz="4" w:space="0" w:color="auto"/>
              <w:bottom w:val="single" w:sz="4" w:space="0" w:color="auto"/>
              <w:right w:val="single" w:sz="4" w:space="0" w:color="auto"/>
            </w:tcBorders>
            <w:shd w:val="clear" w:color="auto" w:fill="auto"/>
            <w:vAlign w:val="center"/>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r w:rsidRPr="0098627C">
              <w:rPr>
                <w:rFonts w:ascii="Times New Roman" w:eastAsia="Times New Roman" w:hAnsi="Times New Roman"/>
                <w:b/>
                <w:bCs/>
                <w:color w:val="000000"/>
                <w:sz w:val="18"/>
                <w:szCs w:val="18"/>
                <w:lang w:val="pt-BR" w:eastAsia="pt-BR"/>
              </w:rPr>
              <w:t>Canada</w:t>
            </w:r>
          </w:p>
        </w:tc>
        <w:tc>
          <w:tcPr>
            <w:tcW w:w="1880" w:type="dxa"/>
            <w:tcBorders>
              <w:top w:val="nil"/>
              <w:left w:val="nil"/>
              <w:bottom w:val="single" w:sz="4" w:space="0" w:color="auto"/>
              <w:right w:val="single" w:sz="4" w:space="0" w:color="auto"/>
            </w:tcBorders>
            <w:shd w:val="clear" w:color="auto" w:fill="auto"/>
            <w:noWrap/>
            <w:vAlign w:val="bottom"/>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75</w:t>
            </w:r>
          </w:p>
        </w:tc>
        <w:tc>
          <w:tcPr>
            <w:tcW w:w="1805" w:type="dxa"/>
            <w:tcBorders>
              <w:top w:val="nil"/>
              <w:left w:val="nil"/>
              <w:bottom w:val="single" w:sz="4" w:space="0" w:color="auto"/>
              <w:right w:val="single" w:sz="4" w:space="0" w:color="auto"/>
            </w:tcBorders>
            <w:shd w:val="clear" w:color="auto" w:fill="auto"/>
            <w:vAlign w:val="center"/>
            <w:hideMark/>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r w:rsidRPr="0098627C">
              <w:rPr>
                <w:rFonts w:ascii="Times New Roman" w:eastAsia="Times New Roman" w:hAnsi="Times New Roman"/>
                <w:b/>
                <w:bCs/>
                <w:color w:val="000000"/>
                <w:sz w:val="18"/>
                <w:szCs w:val="18"/>
                <w:lang w:val="pt-BR" w:eastAsia="pt-BR"/>
              </w:rPr>
              <w:t>Barbados</w:t>
            </w:r>
          </w:p>
        </w:tc>
        <w:tc>
          <w:tcPr>
            <w:tcW w:w="1800" w:type="dxa"/>
            <w:tcBorders>
              <w:top w:val="nil"/>
              <w:left w:val="nil"/>
              <w:bottom w:val="single" w:sz="4" w:space="0" w:color="auto"/>
              <w:right w:val="single" w:sz="4" w:space="0" w:color="auto"/>
            </w:tcBorders>
            <w:shd w:val="clear" w:color="auto" w:fill="auto"/>
            <w:noWrap/>
            <w:vAlign w:val="bottom"/>
            <w:hideMark/>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400</w:t>
            </w:r>
          </w:p>
        </w:tc>
      </w:tr>
      <w:tr w:rsidR="009E2F1B" w:rsidRPr="0098627C" w:rsidTr="00E41381">
        <w:trPr>
          <w:trHeight w:val="39"/>
        </w:trPr>
        <w:tc>
          <w:tcPr>
            <w:tcW w:w="1705" w:type="dxa"/>
            <w:tcBorders>
              <w:top w:val="nil"/>
              <w:left w:val="single" w:sz="4" w:space="0" w:color="auto"/>
              <w:bottom w:val="single" w:sz="4" w:space="0" w:color="auto"/>
              <w:right w:val="single" w:sz="4" w:space="0" w:color="auto"/>
            </w:tcBorders>
            <w:shd w:val="clear" w:color="auto" w:fill="auto"/>
            <w:vAlign w:val="center"/>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r w:rsidRPr="0098627C">
              <w:rPr>
                <w:rFonts w:ascii="Times New Roman" w:eastAsia="Times New Roman" w:hAnsi="Times New Roman"/>
                <w:b/>
                <w:bCs/>
                <w:color w:val="000000"/>
                <w:sz w:val="18"/>
                <w:szCs w:val="18"/>
                <w:lang w:val="pt-BR" w:eastAsia="pt-BR"/>
              </w:rPr>
              <w:t>Chile</w:t>
            </w:r>
          </w:p>
        </w:tc>
        <w:tc>
          <w:tcPr>
            <w:tcW w:w="1880" w:type="dxa"/>
            <w:tcBorders>
              <w:top w:val="nil"/>
              <w:left w:val="nil"/>
              <w:bottom w:val="single" w:sz="4" w:space="0" w:color="auto"/>
              <w:right w:val="single" w:sz="4" w:space="0" w:color="auto"/>
            </w:tcBorders>
            <w:shd w:val="clear" w:color="auto" w:fill="auto"/>
            <w:noWrap/>
            <w:vAlign w:val="bottom"/>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100</w:t>
            </w:r>
          </w:p>
        </w:tc>
        <w:tc>
          <w:tcPr>
            <w:tcW w:w="1805" w:type="dxa"/>
            <w:tcBorders>
              <w:top w:val="nil"/>
              <w:left w:val="nil"/>
              <w:bottom w:val="single" w:sz="4" w:space="0" w:color="auto"/>
              <w:right w:val="single" w:sz="4" w:space="0" w:color="auto"/>
            </w:tcBorders>
            <w:shd w:val="clear" w:color="auto" w:fill="auto"/>
            <w:vAlign w:val="center"/>
            <w:hideMark/>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r w:rsidRPr="0098627C">
              <w:rPr>
                <w:rFonts w:ascii="Times New Roman" w:eastAsia="Times New Roman" w:hAnsi="Times New Roman"/>
                <w:b/>
                <w:bCs/>
                <w:color w:val="000000"/>
                <w:sz w:val="18"/>
                <w:szCs w:val="18"/>
                <w:lang w:val="pt-BR" w:eastAsia="pt-BR"/>
              </w:rPr>
              <w:t>Belize</w:t>
            </w:r>
          </w:p>
        </w:tc>
        <w:tc>
          <w:tcPr>
            <w:tcW w:w="1800" w:type="dxa"/>
            <w:tcBorders>
              <w:top w:val="nil"/>
              <w:left w:val="nil"/>
              <w:bottom w:val="single" w:sz="4" w:space="0" w:color="auto"/>
              <w:right w:val="single" w:sz="4" w:space="0" w:color="auto"/>
            </w:tcBorders>
            <w:shd w:val="clear" w:color="auto" w:fill="auto"/>
            <w:noWrap/>
            <w:vAlign w:val="bottom"/>
            <w:hideMark/>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300</w:t>
            </w:r>
          </w:p>
        </w:tc>
      </w:tr>
      <w:tr w:rsidR="009E2F1B" w:rsidRPr="0098627C" w:rsidTr="00E41381">
        <w:trPr>
          <w:trHeight w:val="39"/>
        </w:trPr>
        <w:tc>
          <w:tcPr>
            <w:tcW w:w="1705" w:type="dxa"/>
            <w:tcBorders>
              <w:top w:val="nil"/>
              <w:left w:val="single" w:sz="4" w:space="0" w:color="auto"/>
              <w:bottom w:val="single" w:sz="4" w:space="0" w:color="auto"/>
              <w:right w:val="single" w:sz="4" w:space="0" w:color="auto"/>
            </w:tcBorders>
            <w:shd w:val="clear" w:color="auto" w:fill="auto"/>
            <w:vAlign w:val="center"/>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roofErr w:type="spellStart"/>
            <w:r w:rsidRPr="0098627C">
              <w:rPr>
                <w:rFonts w:ascii="Times New Roman" w:eastAsia="Times New Roman" w:hAnsi="Times New Roman"/>
                <w:b/>
                <w:bCs/>
                <w:color w:val="000000"/>
                <w:sz w:val="18"/>
                <w:szCs w:val="18"/>
                <w:lang w:val="pt-BR" w:eastAsia="pt-BR"/>
              </w:rPr>
              <w:t>Czech</w:t>
            </w:r>
            <w:proofErr w:type="spellEnd"/>
            <w:r w:rsidRPr="0098627C">
              <w:rPr>
                <w:rFonts w:ascii="Times New Roman" w:eastAsia="Times New Roman" w:hAnsi="Times New Roman"/>
                <w:b/>
                <w:bCs/>
                <w:color w:val="000000"/>
                <w:sz w:val="18"/>
                <w:szCs w:val="18"/>
                <w:lang w:val="pt-BR" w:eastAsia="pt-BR"/>
              </w:rPr>
              <w:t xml:space="preserve"> </w:t>
            </w:r>
            <w:proofErr w:type="spellStart"/>
            <w:r w:rsidRPr="0098627C">
              <w:rPr>
                <w:rFonts w:ascii="Times New Roman" w:eastAsia="Times New Roman" w:hAnsi="Times New Roman"/>
                <w:b/>
                <w:bCs/>
                <w:color w:val="000000"/>
                <w:sz w:val="18"/>
                <w:szCs w:val="18"/>
                <w:lang w:val="pt-BR" w:eastAsia="pt-BR"/>
              </w:rPr>
              <w:t>Republic</w:t>
            </w:r>
            <w:proofErr w:type="spellEnd"/>
          </w:p>
        </w:tc>
        <w:tc>
          <w:tcPr>
            <w:tcW w:w="1880" w:type="dxa"/>
            <w:tcBorders>
              <w:top w:val="nil"/>
              <w:left w:val="nil"/>
              <w:bottom w:val="single" w:sz="4" w:space="0" w:color="auto"/>
              <w:right w:val="single" w:sz="4" w:space="0" w:color="auto"/>
            </w:tcBorders>
            <w:shd w:val="clear" w:color="auto" w:fill="auto"/>
            <w:noWrap/>
            <w:vAlign w:val="bottom"/>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55</w:t>
            </w:r>
          </w:p>
        </w:tc>
        <w:tc>
          <w:tcPr>
            <w:tcW w:w="1805" w:type="dxa"/>
            <w:tcBorders>
              <w:top w:val="nil"/>
              <w:left w:val="nil"/>
              <w:bottom w:val="single" w:sz="4" w:space="0" w:color="auto"/>
              <w:right w:val="single" w:sz="4" w:space="0" w:color="auto"/>
            </w:tcBorders>
            <w:shd w:val="clear" w:color="auto" w:fill="auto"/>
            <w:vAlign w:val="center"/>
            <w:hideMark/>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roofErr w:type="spellStart"/>
            <w:r w:rsidRPr="0098627C">
              <w:rPr>
                <w:rFonts w:ascii="Times New Roman" w:eastAsia="Times New Roman" w:hAnsi="Times New Roman"/>
                <w:b/>
                <w:bCs/>
                <w:color w:val="000000"/>
                <w:sz w:val="18"/>
                <w:szCs w:val="18"/>
                <w:lang w:val="pt-BR" w:eastAsia="pt-BR"/>
              </w:rPr>
              <w:t>Bolivia</w:t>
            </w:r>
            <w:proofErr w:type="spellEnd"/>
          </w:p>
        </w:tc>
        <w:tc>
          <w:tcPr>
            <w:tcW w:w="1800" w:type="dxa"/>
            <w:tcBorders>
              <w:top w:val="nil"/>
              <w:left w:val="nil"/>
              <w:bottom w:val="single" w:sz="4" w:space="0" w:color="auto"/>
              <w:right w:val="single" w:sz="4" w:space="0" w:color="auto"/>
            </w:tcBorders>
            <w:shd w:val="clear" w:color="auto" w:fill="auto"/>
            <w:noWrap/>
            <w:vAlign w:val="bottom"/>
            <w:hideMark/>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300</w:t>
            </w:r>
          </w:p>
        </w:tc>
      </w:tr>
      <w:tr w:rsidR="009E2F1B" w:rsidRPr="0098627C" w:rsidTr="00E41381">
        <w:trPr>
          <w:trHeight w:val="39"/>
        </w:trPr>
        <w:tc>
          <w:tcPr>
            <w:tcW w:w="1705" w:type="dxa"/>
            <w:tcBorders>
              <w:top w:val="nil"/>
              <w:left w:val="single" w:sz="4" w:space="0" w:color="auto"/>
              <w:bottom w:val="single" w:sz="4" w:space="0" w:color="auto"/>
              <w:right w:val="single" w:sz="4" w:space="0" w:color="auto"/>
            </w:tcBorders>
            <w:shd w:val="clear" w:color="auto" w:fill="auto"/>
            <w:vAlign w:val="center"/>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roofErr w:type="spellStart"/>
            <w:r w:rsidRPr="0098627C">
              <w:rPr>
                <w:rFonts w:ascii="Times New Roman" w:eastAsia="Times New Roman" w:hAnsi="Times New Roman"/>
                <w:b/>
                <w:bCs/>
                <w:color w:val="000000"/>
                <w:sz w:val="18"/>
                <w:szCs w:val="18"/>
                <w:lang w:val="pt-BR" w:eastAsia="pt-BR"/>
              </w:rPr>
              <w:t>Denmark</w:t>
            </w:r>
            <w:proofErr w:type="spellEnd"/>
          </w:p>
        </w:tc>
        <w:tc>
          <w:tcPr>
            <w:tcW w:w="1880" w:type="dxa"/>
            <w:tcBorders>
              <w:top w:val="nil"/>
              <w:left w:val="nil"/>
              <w:bottom w:val="single" w:sz="4" w:space="0" w:color="auto"/>
              <w:right w:val="single" w:sz="4" w:space="0" w:color="auto"/>
            </w:tcBorders>
            <w:shd w:val="clear" w:color="auto" w:fill="auto"/>
            <w:noWrap/>
            <w:vAlign w:val="bottom"/>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75</w:t>
            </w:r>
          </w:p>
        </w:tc>
        <w:tc>
          <w:tcPr>
            <w:tcW w:w="1805" w:type="dxa"/>
            <w:tcBorders>
              <w:top w:val="nil"/>
              <w:left w:val="nil"/>
              <w:bottom w:val="single" w:sz="4" w:space="0" w:color="auto"/>
              <w:right w:val="single" w:sz="4" w:space="0" w:color="auto"/>
            </w:tcBorders>
            <w:shd w:val="clear" w:color="auto" w:fill="auto"/>
            <w:vAlign w:val="center"/>
            <w:hideMark/>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roofErr w:type="spellStart"/>
            <w:r w:rsidRPr="0098627C">
              <w:rPr>
                <w:rFonts w:ascii="Times New Roman" w:eastAsia="Times New Roman" w:hAnsi="Times New Roman"/>
                <w:b/>
                <w:bCs/>
                <w:color w:val="000000"/>
                <w:sz w:val="18"/>
                <w:szCs w:val="18"/>
                <w:lang w:val="pt-BR" w:eastAsia="pt-BR"/>
              </w:rPr>
              <w:t>Brazil</w:t>
            </w:r>
            <w:proofErr w:type="spellEnd"/>
          </w:p>
        </w:tc>
        <w:tc>
          <w:tcPr>
            <w:tcW w:w="1800" w:type="dxa"/>
            <w:tcBorders>
              <w:top w:val="nil"/>
              <w:left w:val="nil"/>
              <w:bottom w:val="single" w:sz="4" w:space="0" w:color="auto"/>
              <w:right w:val="single" w:sz="4" w:space="0" w:color="auto"/>
            </w:tcBorders>
            <w:shd w:val="clear" w:color="auto" w:fill="auto"/>
            <w:noWrap/>
            <w:vAlign w:val="bottom"/>
            <w:hideMark/>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450</w:t>
            </w:r>
          </w:p>
        </w:tc>
      </w:tr>
      <w:tr w:rsidR="009E2F1B" w:rsidRPr="0098627C" w:rsidTr="00E41381">
        <w:trPr>
          <w:trHeight w:val="39"/>
        </w:trPr>
        <w:tc>
          <w:tcPr>
            <w:tcW w:w="1705" w:type="dxa"/>
            <w:tcBorders>
              <w:top w:val="nil"/>
              <w:left w:val="single" w:sz="4" w:space="0" w:color="auto"/>
              <w:bottom w:val="single" w:sz="4" w:space="0" w:color="auto"/>
              <w:right w:val="single" w:sz="4" w:space="0" w:color="auto"/>
            </w:tcBorders>
            <w:shd w:val="clear" w:color="auto" w:fill="auto"/>
            <w:vAlign w:val="center"/>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roofErr w:type="spellStart"/>
            <w:r w:rsidRPr="0098627C">
              <w:rPr>
                <w:rFonts w:ascii="Times New Roman" w:eastAsia="Times New Roman" w:hAnsi="Times New Roman"/>
                <w:b/>
                <w:bCs/>
                <w:color w:val="000000"/>
                <w:sz w:val="18"/>
                <w:szCs w:val="18"/>
                <w:lang w:val="pt-BR" w:eastAsia="pt-BR"/>
              </w:rPr>
              <w:t>Estonia</w:t>
            </w:r>
            <w:proofErr w:type="spellEnd"/>
          </w:p>
        </w:tc>
        <w:tc>
          <w:tcPr>
            <w:tcW w:w="1880" w:type="dxa"/>
            <w:tcBorders>
              <w:top w:val="nil"/>
              <w:left w:val="nil"/>
              <w:bottom w:val="single" w:sz="4" w:space="0" w:color="auto"/>
              <w:right w:val="single" w:sz="4" w:space="0" w:color="auto"/>
            </w:tcBorders>
            <w:shd w:val="clear" w:color="auto" w:fill="auto"/>
            <w:noWrap/>
            <w:vAlign w:val="bottom"/>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25</w:t>
            </w:r>
          </w:p>
        </w:tc>
        <w:tc>
          <w:tcPr>
            <w:tcW w:w="1805" w:type="dxa"/>
            <w:tcBorders>
              <w:top w:val="nil"/>
              <w:left w:val="nil"/>
              <w:bottom w:val="single" w:sz="4" w:space="0" w:color="auto"/>
              <w:right w:val="single" w:sz="4" w:space="0" w:color="auto"/>
            </w:tcBorders>
            <w:shd w:val="clear" w:color="auto" w:fill="auto"/>
            <w:vAlign w:val="center"/>
            <w:hideMark/>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r w:rsidRPr="0098627C">
              <w:rPr>
                <w:rFonts w:ascii="Times New Roman" w:eastAsia="Times New Roman" w:hAnsi="Times New Roman"/>
                <w:b/>
                <w:bCs/>
                <w:color w:val="000000"/>
                <w:sz w:val="18"/>
                <w:szCs w:val="18"/>
                <w:lang w:val="pt-BR" w:eastAsia="pt-BR"/>
              </w:rPr>
              <w:t>Chile</w:t>
            </w:r>
          </w:p>
        </w:tc>
        <w:tc>
          <w:tcPr>
            <w:tcW w:w="1800" w:type="dxa"/>
            <w:tcBorders>
              <w:top w:val="nil"/>
              <w:left w:val="nil"/>
              <w:bottom w:val="single" w:sz="4" w:space="0" w:color="auto"/>
              <w:right w:val="single" w:sz="4" w:space="0" w:color="auto"/>
            </w:tcBorders>
            <w:shd w:val="clear" w:color="auto" w:fill="auto"/>
            <w:noWrap/>
            <w:vAlign w:val="bottom"/>
            <w:hideMark/>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100</w:t>
            </w:r>
          </w:p>
        </w:tc>
      </w:tr>
      <w:tr w:rsidR="009E2F1B" w:rsidRPr="0098627C" w:rsidTr="00E41381">
        <w:trPr>
          <w:trHeight w:val="39"/>
        </w:trPr>
        <w:tc>
          <w:tcPr>
            <w:tcW w:w="1705" w:type="dxa"/>
            <w:tcBorders>
              <w:top w:val="nil"/>
              <w:left w:val="single" w:sz="4" w:space="0" w:color="auto"/>
              <w:bottom w:val="single" w:sz="4" w:space="0" w:color="auto"/>
              <w:right w:val="single" w:sz="4" w:space="0" w:color="auto"/>
            </w:tcBorders>
            <w:shd w:val="clear" w:color="auto" w:fill="auto"/>
            <w:vAlign w:val="center"/>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roofErr w:type="spellStart"/>
            <w:r w:rsidRPr="0098627C">
              <w:rPr>
                <w:rFonts w:ascii="Times New Roman" w:eastAsia="Times New Roman" w:hAnsi="Times New Roman"/>
                <w:b/>
                <w:bCs/>
                <w:color w:val="000000"/>
                <w:sz w:val="18"/>
                <w:szCs w:val="18"/>
                <w:lang w:val="pt-BR" w:eastAsia="pt-BR"/>
              </w:rPr>
              <w:t>Finland</w:t>
            </w:r>
            <w:proofErr w:type="spellEnd"/>
          </w:p>
        </w:tc>
        <w:tc>
          <w:tcPr>
            <w:tcW w:w="1880" w:type="dxa"/>
            <w:tcBorders>
              <w:top w:val="nil"/>
              <w:left w:val="nil"/>
              <w:bottom w:val="single" w:sz="4" w:space="0" w:color="auto"/>
              <w:right w:val="single" w:sz="4" w:space="0" w:color="auto"/>
            </w:tcBorders>
            <w:shd w:val="clear" w:color="auto" w:fill="auto"/>
            <w:noWrap/>
            <w:vAlign w:val="bottom"/>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85</w:t>
            </w:r>
          </w:p>
        </w:tc>
        <w:tc>
          <w:tcPr>
            <w:tcW w:w="1805" w:type="dxa"/>
            <w:tcBorders>
              <w:top w:val="nil"/>
              <w:left w:val="nil"/>
              <w:bottom w:val="single" w:sz="4" w:space="0" w:color="auto"/>
              <w:right w:val="single" w:sz="4" w:space="0" w:color="auto"/>
            </w:tcBorders>
            <w:shd w:val="clear" w:color="auto" w:fill="auto"/>
            <w:vAlign w:val="center"/>
            <w:hideMark/>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roofErr w:type="spellStart"/>
            <w:r w:rsidRPr="0098627C">
              <w:rPr>
                <w:rFonts w:ascii="Times New Roman" w:eastAsia="Times New Roman" w:hAnsi="Times New Roman"/>
                <w:b/>
                <w:bCs/>
                <w:color w:val="000000"/>
                <w:sz w:val="18"/>
                <w:szCs w:val="18"/>
                <w:lang w:val="pt-BR" w:eastAsia="pt-BR"/>
              </w:rPr>
              <w:t>Colombia</w:t>
            </w:r>
            <w:proofErr w:type="spellEnd"/>
          </w:p>
        </w:tc>
        <w:tc>
          <w:tcPr>
            <w:tcW w:w="1800" w:type="dxa"/>
            <w:tcBorders>
              <w:top w:val="nil"/>
              <w:left w:val="nil"/>
              <w:bottom w:val="single" w:sz="4" w:space="0" w:color="auto"/>
              <w:right w:val="single" w:sz="4" w:space="0" w:color="auto"/>
            </w:tcBorders>
            <w:shd w:val="clear" w:color="auto" w:fill="auto"/>
            <w:noWrap/>
            <w:vAlign w:val="bottom"/>
            <w:hideMark/>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170</w:t>
            </w:r>
          </w:p>
        </w:tc>
      </w:tr>
      <w:tr w:rsidR="009E2F1B" w:rsidRPr="0098627C" w:rsidTr="00E41381">
        <w:trPr>
          <w:trHeight w:val="39"/>
        </w:trPr>
        <w:tc>
          <w:tcPr>
            <w:tcW w:w="1705" w:type="dxa"/>
            <w:tcBorders>
              <w:top w:val="nil"/>
              <w:left w:val="single" w:sz="4" w:space="0" w:color="auto"/>
              <w:bottom w:val="single" w:sz="4" w:space="0" w:color="auto"/>
              <w:right w:val="single" w:sz="4" w:space="0" w:color="auto"/>
            </w:tcBorders>
            <w:shd w:val="clear" w:color="auto" w:fill="auto"/>
            <w:vAlign w:val="center"/>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roofErr w:type="spellStart"/>
            <w:r w:rsidRPr="0098627C">
              <w:rPr>
                <w:rFonts w:ascii="Times New Roman" w:eastAsia="Times New Roman" w:hAnsi="Times New Roman"/>
                <w:b/>
                <w:bCs/>
                <w:color w:val="000000"/>
                <w:sz w:val="18"/>
                <w:szCs w:val="18"/>
                <w:lang w:val="pt-BR" w:eastAsia="pt-BR"/>
              </w:rPr>
              <w:t>Germany</w:t>
            </w:r>
            <w:proofErr w:type="spellEnd"/>
          </w:p>
        </w:tc>
        <w:tc>
          <w:tcPr>
            <w:tcW w:w="1880" w:type="dxa"/>
            <w:tcBorders>
              <w:top w:val="nil"/>
              <w:left w:val="nil"/>
              <w:bottom w:val="single" w:sz="4" w:space="0" w:color="auto"/>
              <w:right w:val="single" w:sz="4" w:space="0" w:color="auto"/>
            </w:tcBorders>
            <w:shd w:val="clear" w:color="auto" w:fill="auto"/>
            <w:noWrap/>
            <w:vAlign w:val="bottom"/>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55</w:t>
            </w:r>
          </w:p>
        </w:tc>
        <w:tc>
          <w:tcPr>
            <w:tcW w:w="1805" w:type="dxa"/>
            <w:tcBorders>
              <w:top w:val="nil"/>
              <w:left w:val="nil"/>
              <w:bottom w:val="single" w:sz="4" w:space="0" w:color="auto"/>
              <w:right w:val="single" w:sz="4" w:space="0" w:color="auto"/>
            </w:tcBorders>
            <w:shd w:val="clear" w:color="auto" w:fill="auto"/>
            <w:vAlign w:val="center"/>
            <w:hideMark/>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r w:rsidRPr="0098627C">
              <w:rPr>
                <w:rFonts w:ascii="Times New Roman" w:eastAsia="Times New Roman" w:hAnsi="Times New Roman"/>
                <w:b/>
                <w:bCs/>
                <w:color w:val="000000"/>
                <w:sz w:val="18"/>
                <w:szCs w:val="18"/>
                <w:lang w:val="pt-BR" w:eastAsia="pt-BR"/>
              </w:rPr>
              <w:t>Costa Rica</w:t>
            </w:r>
          </w:p>
        </w:tc>
        <w:tc>
          <w:tcPr>
            <w:tcW w:w="1800" w:type="dxa"/>
            <w:tcBorders>
              <w:top w:val="nil"/>
              <w:left w:val="nil"/>
              <w:bottom w:val="single" w:sz="4" w:space="0" w:color="auto"/>
              <w:right w:val="single" w:sz="4" w:space="0" w:color="auto"/>
            </w:tcBorders>
            <w:shd w:val="clear" w:color="auto" w:fill="auto"/>
            <w:noWrap/>
            <w:vAlign w:val="bottom"/>
            <w:hideMark/>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155</w:t>
            </w:r>
          </w:p>
        </w:tc>
      </w:tr>
      <w:tr w:rsidR="009E2F1B" w:rsidRPr="0098627C" w:rsidTr="00E41381">
        <w:trPr>
          <w:trHeight w:val="39"/>
        </w:trPr>
        <w:tc>
          <w:tcPr>
            <w:tcW w:w="1705" w:type="dxa"/>
            <w:tcBorders>
              <w:top w:val="nil"/>
              <w:left w:val="single" w:sz="4" w:space="0" w:color="auto"/>
              <w:bottom w:val="single" w:sz="4" w:space="0" w:color="auto"/>
              <w:right w:val="single" w:sz="4" w:space="0" w:color="auto"/>
            </w:tcBorders>
            <w:shd w:val="clear" w:color="auto" w:fill="auto"/>
            <w:vAlign w:val="center"/>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roofErr w:type="spellStart"/>
            <w:r w:rsidRPr="0098627C">
              <w:rPr>
                <w:rFonts w:ascii="Times New Roman" w:eastAsia="Times New Roman" w:hAnsi="Times New Roman"/>
                <w:b/>
                <w:bCs/>
                <w:color w:val="000000"/>
                <w:sz w:val="18"/>
                <w:szCs w:val="18"/>
                <w:lang w:val="pt-BR" w:eastAsia="pt-BR"/>
              </w:rPr>
              <w:t>Hungary</w:t>
            </w:r>
            <w:proofErr w:type="spellEnd"/>
          </w:p>
        </w:tc>
        <w:tc>
          <w:tcPr>
            <w:tcW w:w="1880" w:type="dxa"/>
            <w:tcBorders>
              <w:top w:val="nil"/>
              <w:left w:val="nil"/>
              <w:bottom w:val="single" w:sz="4" w:space="0" w:color="auto"/>
              <w:right w:val="single" w:sz="4" w:space="0" w:color="auto"/>
            </w:tcBorders>
            <w:shd w:val="clear" w:color="auto" w:fill="auto"/>
            <w:noWrap/>
            <w:vAlign w:val="bottom"/>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70</w:t>
            </w:r>
          </w:p>
        </w:tc>
        <w:tc>
          <w:tcPr>
            <w:tcW w:w="1805" w:type="dxa"/>
            <w:tcBorders>
              <w:top w:val="nil"/>
              <w:left w:val="nil"/>
              <w:bottom w:val="single" w:sz="4" w:space="0" w:color="auto"/>
              <w:right w:val="single" w:sz="4" w:space="0" w:color="auto"/>
            </w:tcBorders>
            <w:shd w:val="clear" w:color="auto" w:fill="auto"/>
            <w:vAlign w:val="center"/>
            <w:hideMark/>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roofErr w:type="spellStart"/>
            <w:r w:rsidRPr="0098627C">
              <w:rPr>
                <w:rFonts w:ascii="Times New Roman" w:eastAsia="Times New Roman" w:hAnsi="Times New Roman"/>
                <w:b/>
                <w:bCs/>
                <w:color w:val="000000"/>
                <w:sz w:val="18"/>
                <w:szCs w:val="18"/>
                <w:lang w:val="pt-BR" w:eastAsia="pt-BR"/>
              </w:rPr>
              <w:t>Dominican</w:t>
            </w:r>
            <w:proofErr w:type="spellEnd"/>
            <w:r w:rsidRPr="0098627C">
              <w:rPr>
                <w:rFonts w:ascii="Times New Roman" w:eastAsia="Times New Roman" w:hAnsi="Times New Roman"/>
                <w:b/>
                <w:bCs/>
                <w:color w:val="000000"/>
                <w:sz w:val="18"/>
                <w:szCs w:val="18"/>
                <w:lang w:val="pt-BR" w:eastAsia="pt-BR"/>
              </w:rPr>
              <w:t xml:space="preserve"> </w:t>
            </w:r>
            <w:proofErr w:type="spellStart"/>
            <w:r w:rsidRPr="0098627C">
              <w:rPr>
                <w:rFonts w:ascii="Times New Roman" w:eastAsia="Times New Roman" w:hAnsi="Times New Roman"/>
                <w:b/>
                <w:bCs/>
                <w:color w:val="000000"/>
                <w:sz w:val="18"/>
                <w:szCs w:val="18"/>
                <w:lang w:val="pt-BR" w:eastAsia="pt-BR"/>
              </w:rPr>
              <w:t>Republic</w:t>
            </w:r>
            <w:proofErr w:type="spellEnd"/>
          </w:p>
        </w:tc>
        <w:tc>
          <w:tcPr>
            <w:tcW w:w="1800" w:type="dxa"/>
            <w:tcBorders>
              <w:top w:val="nil"/>
              <w:left w:val="nil"/>
              <w:bottom w:val="single" w:sz="4" w:space="0" w:color="auto"/>
              <w:right w:val="single" w:sz="4" w:space="0" w:color="auto"/>
            </w:tcBorders>
            <w:shd w:val="clear" w:color="auto" w:fill="auto"/>
            <w:noWrap/>
            <w:vAlign w:val="bottom"/>
            <w:hideMark/>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200</w:t>
            </w:r>
          </w:p>
        </w:tc>
      </w:tr>
      <w:tr w:rsidR="009E2F1B" w:rsidRPr="0098627C" w:rsidTr="00E41381">
        <w:trPr>
          <w:trHeight w:val="39"/>
        </w:trPr>
        <w:tc>
          <w:tcPr>
            <w:tcW w:w="1705" w:type="dxa"/>
            <w:tcBorders>
              <w:top w:val="nil"/>
              <w:left w:val="single" w:sz="4" w:space="0" w:color="auto"/>
              <w:bottom w:val="single" w:sz="4" w:space="0" w:color="auto"/>
              <w:right w:val="single" w:sz="4" w:space="0" w:color="auto"/>
            </w:tcBorders>
            <w:shd w:val="clear" w:color="auto" w:fill="auto"/>
            <w:vAlign w:val="center"/>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roofErr w:type="spellStart"/>
            <w:r w:rsidRPr="0098627C">
              <w:rPr>
                <w:rFonts w:ascii="Times New Roman" w:eastAsia="Times New Roman" w:hAnsi="Times New Roman"/>
                <w:b/>
                <w:bCs/>
                <w:color w:val="000000"/>
                <w:sz w:val="18"/>
                <w:szCs w:val="18"/>
                <w:lang w:val="pt-BR" w:eastAsia="pt-BR"/>
              </w:rPr>
              <w:t>Iceland</w:t>
            </w:r>
            <w:proofErr w:type="spellEnd"/>
          </w:p>
        </w:tc>
        <w:tc>
          <w:tcPr>
            <w:tcW w:w="1880" w:type="dxa"/>
            <w:tcBorders>
              <w:top w:val="nil"/>
              <w:left w:val="nil"/>
              <w:bottom w:val="single" w:sz="4" w:space="0" w:color="auto"/>
              <w:right w:val="single" w:sz="4" w:space="0" w:color="auto"/>
            </w:tcBorders>
            <w:shd w:val="clear" w:color="auto" w:fill="auto"/>
            <w:noWrap/>
            <w:vAlign w:val="bottom"/>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50</w:t>
            </w:r>
          </w:p>
        </w:tc>
        <w:tc>
          <w:tcPr>
            <w:tcW w:w="1805" w:type="dxa"/>
            <w:tcBorders>
              <w:top w:val="nil"/>
              <w:left w:val="nil"/>
              <w:bottom w:val="single" w:sz="4" w:space="0" w:color="auto"/>
              <w:right w:val="single" w:sz="4" w:space="0" w:color="auto"/>
            </w:tcBorders>
            <w:shd w:val="clear" w:color="auto" w:fill="auto"/>
            <w:vAlign w:val="center"/>
            <w:hideMark/>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roofErr w:type="spellStart"/>
            <w:r w:rsidRPr="0098627C">
              <w:rPr>
                <w:rFonts w:ascii="Times New Roman" w:eastAsia="Times New Roman" w:hAnsi="Times New Roman"/>
                <w:b/>
                <w:bCs/>
                <w:color w:val="000000"/>
                <w:sz w:val="18"/>
                <w:szCs w:val="18"/>
                <w:lang w:val="pt-BR" w:eastAsia="pt-BR"/>
              </w:rPr>
              <w:t>Ecuador</w:t>
            </w:r>
            <w:proofErr w:type="spellEnd"/>
          </w:p>
        </w:tc>
        <w:tc>
          <w:tcPr>
            <w:tcW w:w="1800" w:type="dxa"/>
            <w:tcBorders>
              <w:top w:val="nil"/>
              <w:left w:val="nil"/>
              <w:bottom w:val="single" w:sz="4" w:space="0" w:color="auto"/>
              <w:right w:val="single" w:sz="4" w:space="0" w:color="auto"/>
            </w:tcBorders>
            <w:shd w:val="clear" w:color="auto" w:fill="auto"/>
            <w:noWrap/>
            <w:vAlign w:val="bottom"/>
            <w:hideMark/>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250</w:t>
            </w:r>
          </w:p>
        </w:tc>
      </w:tr>
      <w:tr w:rsidR="009E2F1B" w:rsidRPr="0098627C" w:rsidTr="00E41381">
        <w:trPr>
          <w:trHeight w:val="39"/>
        </w:trPr>
        <w:tc>
          <w:tcPr>
            <w:tcW w:w="1705" w:type="dxa"/>
            <w:tcBorders>
              <w:top w:val="nil"/>
              <w:left w:val="single" w:sz="4" w:space="0" w:color="auto"/>
              <w:bottom w:val="single" w:sz="4" w:space="0" w:color="auto"/>
              <w:right w:val="single" w:sz="4" w:space="0" w:color="auto"/>
            </w:tcBorders>
            <w:shd w:val="clear" w:color="auto" w:fill="auto"/>
            <w:vAlign w:val="center"/>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roofErr w:type="spellStart"/>
            <w:r w:rsidRPr="0098627C">
              <w:rPr>
                <w:rFonts w:ascii="Times New Roman" w:eastAsia="Times New Roman" w:hAnsi="Times New Roman"/>
                <w:b/>
                <w:bCs/>
                <w:color w:val="000000"/>
                <w:sz w:val="18"/>
                <w:szCs w:val="18"/>
                <w:lang w:val="pt-BR" w:eastAsia="pt-BR"/>
              </w:rPr>
              <w:t>Ireland</w:t>
            </w:r>
            <w:proofErr w:type="spellEnd"/>
          </w:p>
        </w:tc>
        <w:tc>
          <w:tcPr>
            <w:tcW w:w="1880" w:type="dxa"/>
            <w:tcBorders>
              <w:top w:val="nil"/>
              <w:left w:val="nil"/>
              <w:bottom w:val="single" w:sz="4" w:space="0" w:color="auto"/>
              <w:right w:val="single" w:sz="4" w:space="0" w:color="auto"/>
            </w:tcBorders>
            <w:shd w:val="clear" w:color="auto" w:fill="auto"/>
            <w:noWrap/>
            <w:vAlign w:val="bottom"/>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70</w:t>
            </w:r>
          </w:p>
        </w:tc>
        <w:tc>
          <w:tcPr>
            <w:tcW w:w="1805" w:type="dxa"/>
            <w:tcBorders>
              <w:top w:val="nil"/>
              <w:left w:val="nil"/>
              <w:bottom w:val="single" w:sz="4" w:space="0" w:color="auto"/>
              <w:right w:val="single" w:sz="4" w:space="0" w:color="auto"/>
            </w:tcBorders>
            <w:shd w:val="clear" w:color="auto" w:fill="auto"/>
            <w:vAlign w:val="center"/>
            <w:hideMark/>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r w:rsidRPr="0098627C">
              <w:rPr>
                <w:rFonts w:ascii="Times New Roman" w:eastAsia="Times New Roman" w:hAnsi="Times New Roman"/>
                <w:b/>
                <w:bCs/>
                <w:color w:val="000000"/>
                <w:sz w:val="18"/>
                <w:szCs w:val="18"/>
                <w:lang w:val="pt-BR" w:eastAsia="pt-BR"/>
              </w:rPr>
              <w:t>El Salvador</w:t>
            </w:r>
          </w:p>
        </w:tc>
        <w:tc>
          <w:tcPr>
            <w:tcW w:w="1800" w:type="dxa"/>
            <w:tcBorders>
              <w:top w:val="nil"/>
              <w:left w:val="nil"/>
              <w:bottom w:val="single" w:sz="4" w:space="0" w:color="auto"/>
              <w:right w:val="single" w:sz="4" w:space="0" w:color="auto"/>
            </w:tcBorders>
            <w:shd w:val="clear" w:color="auto" w:fill="auto"/>
            <w:noWrap/>
            <w:vAlign w:val="bottom"/>
            <w:hideMark/>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100</w:t>
            </w:r>
          </w:p>
        </w:tc>
      </w:tr>
      <w:tr w:rsidR="009E2F1B" w:rsidRPr="0098627C" w:rsidTr="00E41381">
        <w:trPr>
          <w:trHeight w:val="39"/>
        </w:trPr>
        <w:tc>
          <w:tcPr>
            <w:tcW w:w="1705" w:type="dxa"/>
            <w:tcBorders>
              <w:top w:val="nil"/>
              <w:left w:val="single" w:sz="4" w:space="0" w:color="auto"/>
              <w:bottom w:val="single" w:sz="4" w:space="0" w:color="auto"/>
              <w:right w:val="single" w:sz="4" w:space="0" w:color="auto"/>
            </w:tcBorders>
            <w:shd w:val="clear" w:color="auto" w:fill="auto"/>
            <w:vAlign w:val="center"/>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r w:rsidRPr="0098627C">
              <w:rPr>
                <w:rFonts w:ascii="Times New Roman" w:eastAsia="Times New Roman" w:hAnsi="Times New Roman"/>
                <w:b/>
                <w:bCs/>
                <w:color w:val="000000"/>
                <w:sz w:val="18"/>
                <w:szCs w:val="18"/>
                <w:lang w:val="pt-BR" w:eastAsia="pt-BR"/>
              </w:rPr>
              <w:t>Israel</w:t>
            </w:r>
          </w:p>
        </w:tc>
        <w:tc>
          <w:tcPr>
            <w:tcW w:w="1880" w:type="dxa"/>
            <w:tcBorders>
              <w:top w:val="nil"/>
              <w:left w:val="nil"/>
              <w:bottom w:val="single" w:sz="4" w:space="0" w:color="auto"/>
              <w:right w:val="single" w:sz="4" w:space="0" w:color="auto"/>
            </w:tcBorders>
            <w:shd w:val="clear" w:color="auto" w:fill="auto"/>
            <w:noWrap/>
            <w:vAlign w:val="bottom"/>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70</w:t>
            </w:r>
          </w:p>
        </w:tc>
        <w:tc>
          <w:tcPr>
            <w:tcW w:w="1805" w:type="dxa"/>
            <w:tcBorders>
              <w:top w:val="nil"/>
              <w:left w:val="nil"/>
              <w:bottom w:val="single" w:sz="4" w:space="0" w:color="auto"/>
              <w:right w:val="single" w:sz="4" w:space="0" w:color="auto"/>
            </w:tcBorders>
            <w:shd w:val="clear" w:color="auto" w:fill="auto"/>
            <w:vAlign w:val="center"/>
            <w:hideMark/>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r w:rsidRPr="0098627C">
              <w:rPr>
                <w:rFonts w:ascii="Times New Roman" w:eastAsia="Times New Roman" w:hAnsi="Times New Roman"/>
                <w:b/>
                <w:bCs/>
                <w:color w:val="000000"/>
                <w:sz w:val="18"/>
                <w:szCs w:val="18"/>
                <w:lang w:val="pt-BR" w:eastAsia="pt-BR"/>
              </w:rPr>
              <w:t>Guatemala</w:t>
            </w:r>
          </w:p>
        </w:tc>
        <w:tc>
          <w:tcPr>
            <w:tcW w:w="1800" w:type="dxa"/>
            <w:tcBorders>
              <w:top w:val="nil"/>
              <w:left w:val="nil"/>
              <w:bottom w:val="single" w:sz="4" w:space="0" w:color="auto"/>
              <w:right w:val="single" w:sz="4" w:space="0" w:color="auto"/>
            </w:tcBorders>
            <w:shd w:val="clear" w:color="auto" w:fill="auto"/>
            <w:noWrap/>
            <w:vAlign w:val="bottom"/>
            <w:hideMark/>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200</w:t>
            </w:r>
          </w:p>
        </w:tc>
      </w:tr>
      <w:tr w:rsidR="009E2F1B" w:rsidRPr="0098627C" w:rsidTr="00E41381">
        <w:trPr>
          <w:trHeight w:val="39"/>
        </w:trPr>
        <w:tc>
          <w:tcPr>
            <w:tcW w:w="1705" w:type="dxa"/>
            <w:tcBorders>
              <w:top w:val="nil"/>
              <w:left w:val="single" w:sz="4" w:space="0" w:color="auto"/>
              <w:bottom w:val="single" w:sz="4" w:space="0" w:color="auto"/>
              <w:right w:val="single" w:sz="4" w:space="0" w:color="auto"/>
            </w:tcBorders>
            <w:shd w:val="clear" w:color="auto" w:fill="auto"/>
            <w:vAlign w:val="center"/>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roofErr w:type="spellStart"/>
            <w:r w:rsidRPr="0098627C">
              <w:rPr>
                <w:rFonts w:ascii="Times New Roman" w:eastAsia="Times New Roman" w:hAnsi="Times New Roman"/>
                <w:b/>
                <w:bCs/>
                <w:color w:val="000000"/>
                <w:sz w:val="18"/>
                <w:szCs w:val="18"/>
                <w:lang w:val="pt-BR" w:eastAsia="pt-BR"/>
              </w:rPr>
              <w:t>Italy</w:t>
            </w:r>
            <w:proofErr w:type="spellEnd"/>
          </w:p>
        </w:tc>
        <w:tc>
          <w:tcPr>
            <w:tcW w:w="1880" w:type="dxa"/>
            <w:tcBorders>
              <w:top w:val="nil"/>
              <w:left w:val="nil"/>
              <w:bottom w:val="single" w:sz="4" w:space="0" w:color="auto"/>
              <w:right w:val="single" w:sz="4" w:space="0" w:color="auto"/>
            </w:tcBorders>
            <w:shd w:val="clear" w:color="auto" w:fill="auto"/>
            <w:noWrap/>
            <w:vAlign w:val="bottom"/>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145</w:t>
            </w:r>
          </w:p>
        </w:tc>
        <w:tc>
          <w:tcPr>
            <w:tcW w:w="1805" w:type="dxa"/>
            <w:tcBorders>
              <w:top w:val="nil"/>
              <w:left w:val="nil"/>
              <w:bottom w:val="single" w:sz="4" w:space="0" w:color="auto"/>
              <w:right w:val="single" w:sz="4" w:space="0" w:color="auto"/>
            </w:tcBorders>
            <w:shd w:val="clear" w:color="auto" w:fill="auto"/>
            <w:vAlign w:val="center"/>
            <w:hideMark/>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roofErr w:type="spellStart"/>
            <w:r w:rsidRPr="0098627C">
              <w:rPr>
                <w:rFonts w:ascii="Times New Roman" w:eastAsia="Times New Roman" w:hAnsi="Times New Roman"/>
                <w:b/>
                <w:bCs/>
                <w:color w:val="000000"/>
                <w:sz w:val="18"/>
                <w:szCs w:val="18"/>
                <w:lang w:val="pt-BR" w:eastAsia="pt-BR"/>
              </w:rPr>
              <w:t>Guyana</w:t>
            </w:r>
            <w:proofErr w:type="spellEnd"/>
          </w:p>
        </w:tc>
        <w:tc>
          <w:tcPr>
            <w:tcW w:w="1800" w:type="dxa"/>
            <w:tcBorders>
              <w:top w:val="nil"/>
              <w:left w:val="nil"/>
              <w:bottom w:val="single" w:sz="4" w:space="0" w:color="auto"/>
              <w:right w:val="single" w:sz="4" w:space="0" w:color="auto"/>
            </w:tcBorders>
            <w:shd w:val="clear" w:color="auto" w:fill="auto"/>
            <w:noWrap/>
            <w:vAlign w:val="bottom"/>
            <w:hideMark/>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100</w:t>
            </w:r>
          </w:p>
        </w:tc>
      </w:tr>
      <w:tr w:rsidR="009E2F1B" w:rsidRPr="0098627C" w:rsidTr="00E41381">
        <w:trPr>
          <w:trHeight w:val="39"/>
        </w:trPr>
        <w:tc>
          <w:tcPr>
            <w:tcW w:w="1705" w:type="dxa"/>
            <w:tcBorders>
              <w:top w:val="nil"/>
              <w:left w:val="single" w:sz="4" w:space="0" w:color="auto"/>
              <w:bottom w:val="single" w:sz="4" w:space="0" w:color="auto"/>
              <w:right w:val="single" w:sz="4" w:space="0" w:color="auto"/>
            </w:tcBorders>
            <w:shd w:val="clear" w:color="auto" w:fill="auto"/>
            <w:vAlign w:val="center"/>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roofErr w:type="spellStart"/>
            <w:r w:rsidRPr="0098627C">
              <w:rPr>
                <w:rFonts w:ascii="Times New Roman" w:eastAsia="Times New Roman" w:hAnsi="Times New Roman"/>
                <w:b/>
                <w:bCs/>
                <w:color w:val="000000"/>
                <w:sz w:val="18"/>
                <w:szCs w:val="18"/>
                <w:lang w:val="pt-BR" w:eastAsia="pt-BR"/>
              </w:rPr>
              <w:t>Japan</w:t>
            </w:r>
            <w:proofErr w:type="spellEnd"/>
          </w:p>
        </w:tc>
        <w:tc>
          <w:tcPr>
            <w:tcW w:w="1880" w:type="dxa"/>
            <w:tcBorders>
              <w:top w:val="nil"/>
              <w:left w:val="nil"/>
              <w:bottom w:val="single" w:sz="4" w:space="0" w:color="auto"/>
              <w:right w:val="single" w:sz="4" w:space="0" w:color="auto"/>
            </w:tcBorders>
            <w:shd w:val="clear" w:color="auto" w:fill="auto"/>
            <w:noWrap/>
            <w:vAlign w:val="bottom"/>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135</w:t>
            </w:r>
          </w:p>
        </w:tc>
        <w:tc>
          <w:tcPr>
            <w:tcW w:w="1805" w:type="dxa"/>
            <w:tcBorders>
              <w:top w:val="nil"/>
              <w:left w:val="nil"/>
              <w:bottom w:val="single" w:sz="4" w:space="0" w:color="auto"/>
              <w:right w:val="single" w:sz="4" w:space="0" w:color="auto"/>
            </w:tcBorders>
            <w:shd w:val="clear" w:color="auto" w:fill="auto"/>
            <w:vAlign w:val="center"/>
            <w:hideMark/>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r w:rsidRPr="0098627C">
              <w:rPr>
                <w:rFonts w:ascii="Times New Roman" w:eastAsia="Times New Roman" w:hAnsi="Times New Roman"/>
                <w:b/>
                <w:bCs/>
                <w:color w:val="000000"/>
                <w:sz w:val="18"/>
                <w:szCs w:val="18"/>
                <w:lang w:val="pt-BR" w:eastAsia="pt-BR"/>
              </w:rPr>
              <w:t>Honduras</w:t>
            </w:r>
          </w:p>
        </w:tc>
        <w:tc>
          <w:tcPr>
            <w:tcW w:w="1800" w:type="dxa"/>
            <w:tcBorders>
              <w:top w:val="nil"/>
              <w:left w:val="nil"/>
              <w:bottom w:val="single" w:sz="4" w:space="0" w:color="auto"/>
              <w:right w:val="single" w:sz="4" w:space="0" w:color="auto"/>
            </w:tcBorders>
            <w:shd w:val="clear" w:color="auto" w:fill="auto"/>
            <w:noWrap/>
            <w:vAlign w:val="bottom"/>
            <w:hideMark/>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130</w:t>
            </w:r>
          </w:p>
        </w:tc>
      </w:tr>
      <w:tr w:rsidR="009E2F1B" w:rsidRPr="0098627C" w:rsidTr="00DE181D">
        <w:trPr>
          <w:trHeight w:val="71"/>
        </w:trPr>
        <w:tc>
          <w:tcPr>
            <w:tcW w:w="1705" w:type="dxa"/>
            <w:tcBorders>
              <w:top w:val="nil"/>
              <w:left w:val="single" w:sz="4" w:space="0" w:color="auto"/>
              <w:bottom w:val="single" w:sz="4" w:space="0" w:color="auto"/>
              <w:right w:val="single" w:sz="4" w:space="0" w:color="auto"/>
            </w:tcBorders>
            <w:shd w:val="clear" w:color="auto" w:fill="auto"/>
            <w:vAlign w:val="center"/>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roofErr w:type="spellStart"/>
            <w:r w:rsidRPr="0098627C">
              <w:rPr>
                <w:rFonts w:ascii="Times New Roman" w:eastAsia="Times New Roman" w:hAnsi="Times New Roman"/>
                <w:b/>
                <w:bCs/>
                <w:color w:val="000000"/>
                <w:sz w:val="18"/>
                <w:szCs w:val="18"/>
                <w:lang w:val="pt-BR" w:eastAsia="pt-BR"/>
              </w:rPr>
              <w:t>Korea</w:t>
            </w:r>
            <w:proofErr w:type="spellEnd"/>
            <w:r w:rsidRPr="0098627C">
              <w:rPr>
                <w:rFonts w:ascii="Times New Roman" w:eastAsia="Times New Roman" w:hAnsi="Times New Roman"/>
                <w:b/>
                <w:bCs/>
                <w:color w:val="000000"/>
                <w:sz w:val="18"/>
                <w:szCs w:val="18"/>
                <w:lang w:val="pt-BR" w:eastAsia="pt-BR"/>
              </w:rPr>
              <w:t>, Rep.</w:t>
            </w:r>
          </w:p>
        </w:tc>
        <w:tc>
          <w:tcPr>
            <w:tcW w:w="1880" w:type="dxa"/>
            <w:tcBorders>
              <w:top w:val="nil"/>
              <w:left w:val="nil"/>
              <w:bottom w:val="single" w:sz="4" w:space="0" w:color="auto"/>
              <w:right w:val="single" w:sz="4" w:space="0" w:color="auto"/>
            </w:tcBorders>
            <w:shd w:val="clear" w:color="auto" w:fill="auto"/>
            <w:noWrap/>
            <w:vAlign w:val="bottom"/>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30</w:t>
            </w:r>
          </w:p>
        </w:tc>
        <w:tc>
          <w:tcPr>
            <w:tcW w:w="1805" w:type="dxa"/>
            <w:tcBorders>
              <w:top w:val="nil"/>
              <w:left w:val="nil"/>
              <w:bottom w:val="single" w:sz="4" w:space="0" w:color="auto"/>
              <w:right w:val="single" w:sz="4" w:space="0" w:color="auto"/>
            </w:tcBorders>
            <w:shd w:val="clear" w:color="auto" w:fill="auto"/>
            <w:vAlign w:val="center"/>
            <w:hideMark/>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r w:rsidRPr="0098627C">
              <w:rPr>
                <w:rFonts w:ascii="Times New Roman" w:eastAsia="Times New Roman" w:hAnsi="Times New Roman"/>
                <w:b/>
                <w:bCs/>
                <w:color w:val="000000"/>
                <w:sz w:val="18"/>
                <w:szCs w:val="18"/>
                <w:lang w:val="pt-BR" w:eastAsia="pt-BR"/>
              </w:rPr>
              <w:t>Jamaica</w:t>
            </w:r>
          </w:p>
        </w:tc>
        <w:tc>
          <w:tcPr>
            <w:tcW w:w="1800" w:type="dxa"/>
            <w:tcBorders>
              <w:top w:val="nil"/>
              <w:left w:val="nil"/>
              <w:bottom w:val="single" w:sz="4" w:space="0" w:color="auto"/>
              <w:right w:val="single" w:sz="4" w:space="0" w:color="auto"/>
            </w:tcBorders>
            <w:shd w:val="clear" w:color="auto" w:fill="auto"/>
            <w:noWrap/>
            <w:vAlign w:val="bottom"/>
            <w:hideMark/>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550</w:t>
            </w:r>
          </w:p>
        </w:tc>
      </w:tr>
      <w:tr w:rsidR="009E2F1B" w:rsidRPr="0098627C" w:rsidTr="00E41381">
        <w:trPr>
          <w:trHeight w:val="39"/>
        </w:trPr>
        <w:tc>
          <w:tcPr>
            <w:tcW w:w="1705" w:type="dxa"/>
            <w:tcBorders>
              <w:top w:val="nil"/>
              <w:left w:val="single" w:sz="4" w:space="0" w:color="auto"/>
              <w:bottom w:val="single" w:sz="4" w:space="0" w:color="auto"/>
              <w:right w:val="single" w:sz="4" w:space="0" w:color="auto"/>
            </w:tcBorders>
            <w:shd w:val="clear" w:color="auto" w:fill="auto"/>
            <w:vAlign w:val="center"/>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roofErr w:type="spellStart"/>
            <w:r w:rsidRPr="0098627C">
              <w:rPr>
                <w:rFonts w:ascii="Times New Roman" w:eastAsia="Times New Roman" w:hAnsi="Times New Roman"/>
                <w:b/>
                <w:bCs/>
                <w:color w:val="000000"/>
                <w:sz w:val="18"/>
                <w:szCs w:val="18"/>
                <w:lang w:val="pt-BR" w:eastAsia="pt-BR"/>
              </w:rPr>
              <w:t>Luxembourg</w:t>
            </w:r>
            <w:proofErr w:type="spellEnd"/>
          </w:p>
        </w:tc>
        <w:tc>
          <w:tcPr>
            <w:tcW w:w="1880" w:type="dxa"/>
            <w:tcBorders>
              <w:top w:val="nil"/>
              <w:left w:val="nil"/>
              <w:bottom w:val="single" w:sz="4" w:space="0" w:color="auto"/>
              <w:right w:val="single" w:sz="4" w:space="0" w:color="auto"/>
            </w:tcBorders>
            <w:shd w:val="clear" w:color="auto" w:fill="auto"/>
            <w:noWrap/>
            <w:vAlign w:val="bottom"/>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120</w:t>
            </w:r>
          </w:p>
        </w:tc>
        <w:tc>
          <w:tcPr>
            <w:tcW w:w="1805" w:type="dxa"/>
            <w:tcBorders>
              <w:top w:val="nil"/>
              <w:left w:val="nil"/>
              <w:bottom w:val="single" w:sz="4" w:space="0" w:color="auto"/>
              <w:right w:val="single" w:sz="4" w:space="0" w:color="auto"/>
            </w:tcBorders>
            <w:shd w:val="clear" w:color="auto" w:fill="auto"/>
            <w:vAlign w:val="center"/>
            <w:hideMark/>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roofErr w:type="spellStart"/>
            <w:r w:rsidRPr="0098627C">
              <w:rPr>
                <w:rFonts w:ascii="Times New Roman" w:eastAsia="Times New Roman" w:hAnsi="Times New Roman"/>
                <w:b/>
                <w:bCs/>
                <w:color w:val="000000"/>
                <w:sz w:val="18"/>
                <w:szCs w:val="18"/>
                <w:lang w:val="pt-BR" w:eastAsia="pt-BR"/>
              </w:rPr>
              <w:t>Mexico</w:t>
            </w:r>
            <w:proofErr w:type="spellEnd"/>
          </w:p>
        </w:tc>
        <w:tc>
          <w:tcPr>
            <w:tcW w:w="1800" w:type="dxa"/>
            <w:tcBorders>
              <w:top w:val="nil"/>
              <w:left w:val="nil"/>
              <w:bottom w:val="single" w:sz="4" w:space="0" w:color="auto"/>
              <w:right w:val="single" w:sz="4" w:space="0" w:color="auto"/>
            </w:tcBorders>
            <w:shd w:val="clear" w:color="auto" w:fill="auto"/>
            <w:noWrap/>
            <w:vAlign w:val="bottom"/>
            <w:hideMark/>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200</w:t>
            </w:r>
          </w:p>
        </w:tc>
      </w:tr>
      <w:tr w:rsidR="009E2F1B" w:rsidRPr="0098627C" w:rsidTr="00E41381">
        <w:trPr>
          <w:trHeight w:val="39"/>
        </w:trPr>
        <w:tc>
          <w:tcPr>
            <w:tcW w:w="1705" w:type="dxa"/>
            <w:tcBorders>
              <w:top w:val="nil"/>
              <w:left w:val="single" w:sz="4" w:space="0" w:color="auto"/>
              <w:bottom w:val="single" w:sz="4" w:space="0" w:color="auto"/>
              <w:right w:val="single" w:sz="4" w:space="0" w:color="auto"/>
            </w:tcBorders>
            <w:shd w:val="clear" w:color="auto" w:fill="auto"/>
            <w:vAlign w:val="center"/>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roofErr w:type="spellStart"/>
            <w:r w:rsidRPr="0098627C">
              <w:rPr>
                <w:rFonts w:ascii="Times New Roman" w:eastAsia="Times New Roman" w:hAnsi="Times New Roman"/>
                <w:b/>
                <w:bCs/>
                <w:color w:val="000000"/>
                <w:sz w:val="18"/>
                <w:szCs w:val="18"/>
                <w:lang w:val="pt-BR" w:eastAsia="pt-BR"/>
              </w:rPr>
              <w:t>Netherlands</w:t>
            </w:r>
            <w:proofErr w:type="spellEnd"/>
          </w:p>
        </w:tc>
        <w:tc>
          <w:tcPr>
            <w:tcW w:w="1880" w:type="dxa"/>
            <w:tcBorders>
              <w:top w:val="nil"/>
              <w:left w:val="nil"/>
              <w:bottom w:val="single" w:sz="4" w:space="0" w:color="auto"/>
              <w:right w:val="single" w:sz="4" w:space="0" w:color="auto"/>
            </w:tcBorders>
            <w:shd w:val="clear" w:color="auto" w:fill="auto"/>
            <w:noWrap/>
            <w:vAlign w:val="bottom"/>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90</w:t>
            </w:r>
          </w:p>
        </w:tc>
        <w:tc>
          <w:tcPr>
            <w:tcW w:w="1805" w:type="dxa"/>
            <w:tcBorders>
              <w:top w:val="nil"/>
              <w:left w:val="nil"/>
              <w:bottom w:val="single" w:sz="4" w:space="0" w:color="auto"/>
              <w:right w:val="single" w:sz="4" w:space="0" w:color="auto"/>
            </w:tcBorders>
            <w:shd w:val="clear" w:color="auto" w:fill="auto"/>
            <w:vAlign w:val="center"/>
            <w:hideMark/>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roofErr w:type="spellStart"/>
            <w:r w:rsidRPr="0098627C">
              <w:rPr>
                <w:rFonts w:ascii="Times New Roman" w:eastAsia="Times New Roman" w:hAnsi="Times New Roman"/>
                <w:b/>
                <w:bCs/>
                <w:color w:val="000000"/>
                <w:sz w:val="18"/>
                <w:szCs w:val="18"/>
                <w:lang w:val="pt-BR" w:eastAsia="pt-BR"/>
              </w:rPr>
              <w:t>Nicaragua</w:t>
            </w:r>
            <w:proofErr w:type="spellEnd"/>
          </w:p>
        </w:tc>
        <w:tc>
          <w:tcPr>
            <w:tcW w:w="1800" w:type="dxa"/>
            <w:tcBorders>
              <w:top w:val="nil"/>
              <w:left w:val="nil"/>
              <w:bottom w:val="single" w:sz="4" w:space="0" w:color="auto"/>
              <w:right w:val="single" w:sz="4" w:space="0" w:color="auto"/>
            </w:tcBorders>
            <w:shd w:val="clear" w:color="auto" w:fill="auto"/>
            <w:noWrap/>
            <w:vAlign w:val="bottom"/>
            <w:hideMark/>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200</w:t>
            </w:r>
          </w:p>
        </w:tc>
      </w:tr>
      <w:tr w:rsidR="009E2F1B" w:rsidRPr="0098627C" w:rsidTr="00E41381">
        <w:trPr>
          <w:trHeight w:val="39"/>
        </w:trPr>
        <w:tc>
          <w:tcPr>
            <w:tcW w:w="1705" w:type="dxa"/>
            <w:tcBorders>
              <w:top w:val="nil"/>
              <w:left w:val="single" w:sz="4" w:space="0" w:color="auto"/>
              <w:bottom w:val="single" w:sz="4" w:space="0" w:color="auto"/>
              <w:right w:val="single" w:sz="4" w:space="0" w:color="auto"/>
            </w:tcBorders>
            <w:shd w:val="clear" w:color="auto" w:fill="auto"/>
            <w:vAlign w:val="center"/>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r w:rsidRPr="0098627C">
              <w:rPr>
                <w:rFonts w:ascii="Times New Roman" w:eastAsia="Times New Roman" w:hAnsi="Times New Roman"/>
                <w:b/>
                <w:bCs/>
                <w:color w:val="000000"/>
                <w:sz w:val="18"/>
                <w:szCs w:val="18"/>
                <w:lang w:val="pt-BR" w:eastAsia="pt-BR"/>
              </w:rPr>
              <w:t xml:space="preserve">New </w:t>
            </w:r>
            <w:proofErr w:type="spellStart"/>
            <w:r w:rsidRPr="0098627C">
              <w:rPr>
                <w:rFonts w:ascii="Times New Roman" w:eastAsia="Times New Roman" w:hAnsi="Times New Roman"/>
                <w:b/>
                <w:bCs/>
                <w:color w:val="000000"/>
                <w:sz w:val="18"/>
                <w:szCs w:val="18"/>
                <w:lang w:val="pt-BR" w:eastAsia="pt-BR"/>
              </w:rPr>
              <w:t>Zealand</w:t>
            </w:r>
            <w:proofErr w:type="spellEnd"/>
          </w:p>
        </w:tc>
        <w:tc>
          <w:tcPr>
            <w:tcW w:w="1880" w:type="dxa"/>
            <w:tcBorders>
              <w:top w:val="nil"/>
              <w:left w:val="nil"/>
              <w:bottom w:val="single" w:sz="4" w:space="0" w:color="auto"/>
              <w:right w:val="single" w:sz="4" w:space="0" w:color="auto"/>
            </w:tcBorders>
            <w:shd w:val="clear" w:color="auto" w:fill="auto"/>
            <w:noWrap/>
            <w:vAlign w:val="bottom"/>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50</w:t>
            </w:r>
          </w:p>
        </w:tc>
        <w:tc>
          <w:tcPr>
            <w:tcW w:w="1805" w:type="dxa"/>
            <w:tcBorders>
              <w:top w:val="nil"/>
              <w:left w:val="nil"/>
              <w:bottom w:val="single" w:sz="4" w:space="0" w:color="auto"/>
              <w:right w:val="single" w:sz="4" w:space="0" w:color="auto"/>
            </w:tcBorders>
            <w:shd w:val="clear" w:color="auto" w:fill="auto"/>
            <w:vAlign w:val="center"/>
            <w:hideMark/>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roofErr w:type="spellStart"/>
            <w:r w:rsidRPr="0098627C">
              <w:rPr>
                <w:rFonts w:ascii="Times New Roman" w:eastAsia="Times New Roman" w:hAnsi="Times New Roman"/>
                <w:b/>
                <w:bCs/>
                <w:color w:val="000000"/>
                <w:sz w:val="18"/>
                <w:szCs w:val="18"/>
                <w:lang w:val="pt-BR" w:eastAsia="pt-BR"/>
              </w:rPr>
              <w:t>Panama</w:t>
            </w:r>
            <w:proofErr w:type="spellEnd"/>
          </w:p>
        </w:tc>
        <w:tc>
          <w:tcPr>
            <w:tcW w:w="1800" w:type="dxa"/>
            <w:tcBorders>
              <w:top w:val="nil"/>
              <w:left w:val="nil"/>
              <w:bottom w:val="single" w:sz="4" w:space="0" w:color="auto"/>
              <w:right w:val="single" w:sz="4" w:space="0" w:color="auto"/>
            </w:tcBorders>
            <w:shd w:val="clear" w:color="auto" w:fill="auto"/>
            <w:noWrap/>
            <w:vAlign w:val="bottom"/>
            <w:hideMark/>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200</w:t>
            </w:r>
          </w:p>
        </w:tc>
      </w:tr>
      <w:tr w:rsidR="009E2F1B" w:rsidRPr="0098627C" w:rsidTr="00E41381">
        <w:trPr>
          <w:trHeight w:val="39"/>
        </w:trPr>
        <w:tc>
          <w:tcPr>
            <w:tcW w:w="1705" w:type="dxa"/>
            <w:tcBorders>
              <w:top w:val="nil"/>
              <w:left w:val="single" w:sz="4" w:space="0" w:color="auto"/>
              <w:bottom w:val="single" w:sz="4" w:space="0" w:color="auto"/>
              <w:right w:val="single" w:sz="4" w:space="0" w:color="auto"/>
            </w:tcBorders>
            <w:shd w:val="clear" w:color="auto" w:fill="auto"/>
            <w:vAlign w:val="center"/>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roofErr w:type="spellStart"/>
            <w:r w:rsidRPr="0098627C">
              <w:rPr>
                <w:rFonts w:ascii="Times New Roman" w:eastAsia="Times New Roman" w:hAnsi="Times New Roman"/>
                <w:b/>
                <w:bCs/>
                <w:color w:val="000000"/>
                <w:sz w:val="18"/>
                <w:szCs w:val="18"/>
                <w:lang w:val="pt-BR" w:eastAsia="pt-BR"/>
              </w:rPr>
              <w:t>Norway</w:t>
            </w:r>
            <w:proofErr w:type="spellEnd"/>
          </w:p>
        </w:tc>
        <w:tc>
          <w:tcPr>
            <w:tcW w:w="1880" w:type="dxa"/>
            <w:tcBorders>
              <w:top w:val="nil"/>
              <w:left w:val="nil"/>
              <w:bottom w:val="single" w:sz="4" w:space="0" w:color="auto"/>
              <w:right w:val="single" w:sz="4" w:space="0" w:color="auto"/>
            </w:tcBorders>
            <w:shd w:val="clear" w:color="auto" w:fill="auto"/>
            <w:noWrap/>
            <w:vAlign w:val="bottom"/>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100</w:t>
            </w:r>
          </w:p>
        </w:tc>
        <w:tc>
          <w:tcPr>
            <w:tcW w:w="1805" w:type="dxa"/>
            <w:tcBorders>
              <w:top w:val="nil"/>
              <w:left w:val="nil"/>
              <w:bottom w:val="single" w:sz="4" w:space="0" w:color="auto"/>
              <w:right w:val="single" w:sz="4" w:space="0" w:color="auto"/>
            </w:tcBorders>
            <w:shd w:val="clear" w:color="auto" w:fill="auto"/>
            <w:vAlign w:val="center"/>
            <w:hideMark/>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roofErr w:type="spellStart"/>
            <w:r w:rsidRPr="0098627C">
              <w:rPr>
                <w:rFonts w:ascii="Times New Roman" w:eastAsia="Times New Roman" w:hAnsi="Times New Roman"/>
                <w:b/>
                <w:bCs/>
                <w:color w:val="000000"/>
                <w:sz w:val="18"/>
                <w:szCs w:val="18"/>
                <w:lang w:val="pt-BR" w:eastAsia="pt-BR"/>
              </w:rPr>
              <w:t>Paraguay</w:t>
            </w:r>
            <w:proofErr w:type="spellEnd"/>
          </w:p>
        </w:tc>
        <w:tc>
          <w:tcPr>
            <w:tcW w:w="1800" w:type="dxa"/>
            <w:tcBorders>
              <w:top w:val="nil"/>
              <w:left w:val="nil"/>
              <w:bottom w:val="single" w:sz="4" w:space="0" w:color="auto"/>
              <w:right w:val="single" w:sz="4" w:space="0" w:color="auto"/>
            </w:tcBorders>
            <w:shd w:val="clear" w:color="auto" w:fill="auto"/>
            <w:noWrap/>
            <w:vAlign w:val="bottom"/>
            <w:hideMark/>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250</w:t>
            </w:r>
          </w:p>
        </w:tc>
      </w:tr>
      <w:tr w:rsidR="009E2F1B" w:rsidRPr="0098627C" w:rsidTr="00E41381">
        <w:trPr>
          <w:trHeight w:val="39"/>
        </w:trPr>
        <w:tc>
          <w:tcPr>
            <w:tcW w:w="1705" w:type="dxa"/>
            <w:tcBorders>
              <w:top w:val="nil"/>
              <w:left w:val="single" w:sz="4" w:space="0" w:color="auto"/>
              <w:bottom w:val="single" w:sz="4" w:space="0" w:color="auto"/>
              <w:right w:val="single" w:sz="4" w:space="0" w:color="auto"/>
            </w:tcBorders>
            <w:shd w:val="clear" w:color="auto" w:fill="auto"/>
            <w:vAlign w:val="center"/>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roofErr w:type="spellStart"/>
            <w:r w:rsidRPr="0098627C">
              <w:rPr>
                <w:rFonts w:ascii="Times New Roman" w:eastAsia="Times New Roman" w:hAnsi="Times New Roman"/>
                <w:b/>
                <w:bCs/>
                <w:color w:val="000000"/>
                <w:sz w:val="18"/>
                <w:szCs w:val="18"/>
                <w:lang w:val="pt-BR" w:eastAsia="pt-BR"/>
              </w:rPr>
              <w:t>Poland</w:t>
            </w:r>
            <w:proofErr w:type="spellEnd"/>
          </w:p>
        </w:tc>
        <w:tc>
          <w:tcPr>
            <w:tcW w:w="1880" w:type="dxa"/>
            <w:tcBorders>
              <w:top w:val="nil"/>
              <w:left w:val="nil"/>
              <w:bottom w:val="single" w:sz="4" w:space="0" w:color="auto"/>
              <w:right w:val="single" w:sz="4" w:space="0" w:color="auto"/>
            </w:tcBorders>
            <w:shd w:val="clear" w:color="auto" w:fill="auto"/>
            <w:noWrap/>
            <w:vAlign w:val="bottom"/>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65</w:t>
            </w:r>
          </w:p>
        </w:tc>
        <w:tc>
          <w:tcPr>
            <w:tcW w:w="1805" w:type="dxa"/>
            <w:tcBorders>
              <w:top w:val="nil"/>
              <w:left w:val="nil"/>
              <w:bottom w:val="single" w:sz="4" w:space="0" w:color="auto"/>
              <w:right w:val="single" w:sz="4" w:space="0" w:color="auto"/>
            </w:tcBorders>
            <w:shd w:val="clear" w:color="auto" w:fill="auto"/>
            <w:vAlign w:val="center"/>
            <w:hideMark/>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r w:rsidRPr="0098627C">
              <w:rPr>
                <w:rFonts w:ascii="Times New Roman" w:eastAsia="Times New Roman" w:hAnsi="Times New Roman"/>
                <w:b/>
                <w:bCs/>
                <w:color w:val="000000"/>
                <w:sz w:val="18"/>
                <w:szCs w:val="18"/>
                <w:lang w:val="pt-BR" w:eastAsia="pt-BR"/>
              </w:rPr>
              <w:t>Peru</w:t>
            </w:r>
          </w:p>
        </w:tc>
        <w:tc>
          <w:tcPr>
            <w:tcW w:w="1800" w:type="dxa"/>
            <w:tcBorders>
              <w:top w:val="nil"/>
              <w:left w:val="nil"/>
              <w:bottom w:val="single" w:sz="4" w:space="0" w:color="auto"/>
              <w:right w:val="single" w:sz="4" w:space="0" w:color="auto"/>
            </w:tcBorders>
            <w:shd w:val="clear" w:color="auto" w:fill="auto"/>
            <w:noWrap/>
            <w:vAlign w:val="bottom"/>
            <w:hideMark/>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185</w:t>
            </w:r>
          </w:p>
        </w:tc>
      </w:tr>
      <w:tr w:rsidR="009E2F1B" w:rsidRPr="0098627C" w:rsidTr="00E41381">
        <w:trPr>
          <w:trHeight w:val="39"/>
        </w:trPr>
        <w:tc>
          <w:tcPr>
            <w:tcW w:w="1705" w:type="dxa"/>
            <w:tcBorders>
              <w:top w:val="nil"/>
              <w:left w:val="single" w:sz="4" w:space="0" w:color="auto"/>
              <w:bottom w:val="single" w:sz="4" w:space="0" w:color="auto"/>
              <w:right w:val="single" w:sz="4" w:space="0" w:color="auto"/>
            </w:tcBorders>
            <w:shd w:val="clear" w:color="auto" w:fill="auto"/>
            <w:vAlign w:val="center"/>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roofErr w:type="spellStart"/>
            <w:r w:rsidRPr="0098627C">
              <w:rPr>
                <w:rFonts w:ascii="Times New Roman" w:eastAsia="Times New Roman" w:hAnsi="Times New Roman"/>
                <w:b/>
                <w:bCs/>
                <w:color w:val="000000"/>
                <w:sz w:val="18"/>
                <w:szCs w:val="18"/>
                <w:lang w:val="pt-BR" w:eastAsia="pt-BR"/>
              </w:rPr>
              <w:t>Slovak</w:t>
            </w:r>
            <w:proofErr w:type="spellEnd"/>
            <w:r w:rsidRPr="0098627C">
              <w:rPr>
                <w:rFonts w:ascii="Times New Roman" w:eastAsia="Times New Roman" w:hAnsi="Times New Roman"/>
                <w:b/>
                <w:bCs/>
                <w:color w:val="000000"/>
                <w:sz w:val="18"/>
                <w:szCs w:val="18"/>
                <w:lang w:val="pt-BR" w:eastAsia="pt-BR"/>
              </w:rPr>
              <w:t xml:space="preserve"> </w:t>
            </w:r>
            <w:proofErr w:type="spellStart"/>
            <w:r w:rsidRPr="0098627C">
              <w:rPr>
                <w:rFonts w:ascii="Times New Roman" w:eastAsia="Times New Roman" w:hAnsi="Times New Roman"/>
                <w:b/>
                <w:bCs/>
                <w:color w:val="000000"/>
                <w:sz w:val="18"/>
                <w:szCs w:val="18"/>
                <w:lang w:val="pt-BR" w:eastAsia="pt-BR"/>
              </w:rPr>
              <w:t>Republic</w:t>
            </w:r>
            <w:proofErr w:type="spellEnd"/>
          </w:p>
        </w:tc>
        <w:tc>
          <w:tcPr>
            <w:tcW w:w="1880" w:type="dxa"/>
            <w:tcBorders>
              <w:top w:val="nil"/>
              <w:left w:val="nil"/>
              <w:bottom w:val="single" w:sz="4" w:space="0" w:color="auto"/>
              <w:right w:val="single" w:sz="4" w:space="0" w:color="auto"/>
            </w:tcBorders>
            <w:shd w:val="clear" w:color="auto" w:fill="auto"/>
            <w:noWrap/>
            <w:vAlign w:val="bottom"/>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55</w:t>
            </w:r>
          </w:p>
        </w:tc>
        <w:tc>
          <w:tcPr>
            <w:tcW w:w="1805" w:type="dxa"/>
            <w:tcBorders>
              <w:top w:val="nil"/>
              <w:left w:val="nil"/>
              <w:bottom w:val="single" w:sz="4" w:space="0" w:color="auto"/>
              <w:right w:val="single" w:sz="4" w:space="0" w:color="auto"/>
            </w:tcBorders>
            <w:shd w:val="clear" w:color="auto" w:fill="auto"/>
            <w:vAlign w:val="center"/>
            <w:hideMark/>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roofErr w:type="spellStart"/>
            <w:r w:rsidRPr="0098627C">
              <w:rPr>
                <w:rFonts w:ascii="Times New Roman" w:eastAsia="Times New Roman" w:hAnsi="Times New Roman"/>
                <w:b/>
                <w:bCs/>
                <w:color w:val="000000"/>
                <w:sz w:val="18"/>
                <w:szCs w:val="18"/>
                <w:lang w:val="pt-BR" w:eastAsia="pt-BR"/>
              </w:rPr>
              <w:t>Uruguay</w:t>
            </w:r>
            <w:proofErr w:type="spellEnd"/>
          </w:p>
        </w:tc>
        <w:tc>
          <w:tcPr>
            <w:tcW w:w="1800" w:type="dxa"/>
            <w:tcBorders>
              <w:top w:val="nil"/>
              <w:left w:val="nil"/>
              <w:bottom w:val="single" w:sz="4" w:space="0" w:color="auto"/>
              <w:right w:val="single" w:sz="4" w:space="0" w:color="auto"/>
            </w:tcBorders>
            <w:shd w:val="clear" w:color="auto" w:fill="auto"/>
            <w:noWrap/>
            <w:vAlign w:val="bottom"/>
            <w:hideMark/>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250</w:t>
            </w:r>
          </w:p>
        </w:tc>
      </w:tr>
      <w:tr w:rsidR="009E2F1B" w:rsidRPr="0098627C" w:rsidTr="00E41381">
        <w:trPr>
          <w:trHeight w:val="39"/>
        </w:trPr>
        <w:tc>
          <w:tcPr>
            <w:tcW w:w="1705" w:type="dxa"/>
            <w:tcBorders>
              <w:top w:val="nil"/>
              <w:left w:val="single" w:sz="4" w:space="0" w:color="auto"/>
              <w:bottom w:val="single" w:sz="4" w:space="0" w:color="auto"/>
              <w:right w:val="single" w:sz="4" w:space="0" w:color="auto"/>
            </w:tcBorders>
            <w:shd w:val="clear" w:color="auto" w:fill="auto"/>
            <w:vAlign w:val="center"/>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roofErr w:type="spellStart"/>
            <w:r w:rsidRPr="0098627C">
              <w:rPr>
                <w:rFonts w:ascii="Times New Roman" w:eastAsia="Times New Roman" w:hAnsi="Times New Roman"/>
                <w:b/>
                <w:bCs/>
                <w:color w:val="000000"/>
                <w:sz w:val="18"/>
                <w:szCs w:val="18"/>
                <w:lang w:val="pt-BR" w:eastAsia="pt-BR"/>
              </w:rPr>
              <w:t>Slovenia</w:t>
            </w:r>
            <w:proofErr w:type="spellEnd"/>
          </w:p>
        </w:tc>
        <w:tc>
          <w:tcPr>
            <w:tcW w:w="1880" w:type="dxa"/>
            <w:tcBorders>
              <w:top w:val="nil"/>
              <w:left w:val="nil"/>
              <w:bottom w:val="single" w:sz="4" w:space="0" w:color="auto"/>
              <w:right w:val="single" w:sz="4" w:space="0" w:color="auto"/>
            </w:tcBorders>
            <w:shd w:val="clear" w:color="auto" w:fill="auto"/>
            <w:noWrap/>
            <w:vAlign w:val="bottom"/>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85</w:t>
            </w:r>
          </w:p>
        </w:tc>
        <w:tc>
          <w:tcPr>
            <w:tcW w:w="1805" w:type="dxa"/>
            <w:tcBorders>
              <w:top w:val="nil"/>
              <w:left w:val="nil"/>
              <w:bottom w:val="single" w:sz="4" w:space="0" w:color="auto"/>
              <w:right w:val="single" w:sz="4" w:space="0" w:color="auto"/>
            </w:tcBorders>
            <w:shd w:val="clear" w:color="auto" w:fill="auto"/>
            <w:vAlign w:val="center"/>
            <w:hideMark/>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r w:rsidRPr="0098627C">
              <w:rPr>
                <w:rFonts w:ascii="Times New Roman" w:eastAsia="Times New Roman" w:hAnsi="Times New Roman"/>
                <w:b/>
                <w:bCs/>
                <w:color w:val="000000"/>
                <w:sz w:val="18"/>
                <w:szCs w:val="18"/>
                <w:lang w:val="pt-BR" w:eastAsia="pt-BR"/>
              </w:rPr>
              <w:t>Venezuela, RB</w:t>
            </w:r>
          </w:p>
        </w:tc>
        <w:tc>
          <w:tcPr>
            <w:tcW w:w="1800" w:type="dxa"/>
            <w:tcBorders>
              <w:top w:val="nil"/>
              <w:left w:val="nil"/>
              <w:bottom w:val="single" w:sz="4" w:space="0" w:color="auto"/>
              <w:right w:val="single" w:sz="4" w:space="0" w:color="auto"/>
            </w:tcBorders>
            <w:shd w:val="clear" w:color="auto" w:fill="auto"/>
            <w:noWrap/>
            <w:vAlign w:val="bottom"/>
            <w:hideMark/>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700</w:t>
            </w:r>
          </w:p>
        </w:tc>
      </w:tr>
      <w:tr w:rsidR="009E2F1B" w:rsidRPr="0098627C" w:rsidTr="00E41381">
        <w:trPr>
          <w:trHeight w:val="39"/>
        </w:trPr>
        <w:tc>
          <w:tcPr>
            <w:tcW w:w="1705" w:type="dxa"/>
            <w:tcBorders>
              <w:top w:val="nil"/>
              <w:left w:val="single" w:sz="4" w:space="0" w:color="auto"/>
              <w:bottom w:val="single" w:sz="4" w:space="0" w:color="auto"/>
              <w:right w:val="single" w:sz="4" w:space="0" w:color="auto"/>
            </w:tcBorders>
            <w:shd w:val="clear" w:color="auto" w:fill="auto"/>
            <w:vAlign w:val="center"/>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r w:rsidRPr="0098627C">
              <w:rPr>
                <w:rFonts w:ascii="Times New Roman" w:eastAsia="Times New Roman" w:hAnsi="Times New Roman"/>
                <w:b/>
                <w:bCs/>
                <w:color w:val="000000"/>
                <w:sz w:val="18"/>
                <w:szCs w:val="18"/>
                <w:lang w:val="pt-BR" w:eastAsia="pt-BR"/>
              </w:rPr>
              <w:t>Spain</w:t>
            </w:r>
          </w:p>
        </w:tc>
        <w:tc>
          <w:tcPr>
            <w:tcW w:w="1880" w:type="dxa"/>
            <w:tcBorders>
              <w:top w:val="nil"/>
              <w:left w:val="nil"/>
              <w:bottom w:val="single" w:sz="4" w:space="0" w:color="auto"/>
              <w:right w:val="single" w:sz="4" w:space="0" w:color="auto"/>
            </w:tcBorders>
            <w:shd w:val="clear" w:color="auto" w:fill="auto"/>
            <w:noWrap/>
            <w:vAlign w:val="bottom"/>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150</w:t>
            </w:r>
          </w:p>
        </w:tc>
        <w:tc>
          <w:tcPr>
            <w:tcW w:w="1805" w:type="dxa"/>
            <w:tcBorders>
              <w:top w:val="nil"/>
              <w:left w:val="nil"/>
              <w:bottom w:val="single" w:sz="4" w:space="0" w:color="auto"/>
              <w:right w:val="single" w:sz="4" w:space="0" w:color="auto"/>
            </w:tcBorders>
            <w:shd w:val="clear" w:color="auto" w:fill="auto"/>
            <w:vAlign w:val="center"/>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
        </w:tc>
        <w:tc>
          <w:tcPr>
            <w:tcW w:w="1800" w:type="dxa"/>
            <w:tcBorders>
              <w:top w:val="nil"/>
              <w:left w:val="nil"/>
              <w:bottom w:val="single" w:sz="4" w:space="0" w:color="auto"/>
              <w:right w:val="single" w:sz="4" w:space="0" w:color="auto"/>
            </w:tcBorders>
            <w:shd w:val="clear" w:color="auto" w:fill="auto"/>
            <w:noWrap/>
            <w:vAlign w:val="bottom"/>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
        </w:tc>
      </w:tr>
      <w:tr w:rsidR="009E2F1B" w:rsidRPr="0098627C" w:rsidTr="00E41381">
        <w:trPr>
          <w:trHeight w:val="39"/>
        </w:trPr>
        <w:tc>
          <w:tcPr>
            <w:tcW w:w="1705" w:type="dxa"/>
            <w:tcBorders>
              <w:top w:val="nil"/>
              <w:left w:val="single" w:sz="4" w:space="0" w:color="auto"/>
              <w:bottom w:val="single" w:sz="4" w:space="0" w:color="auto"/>
              <w:right w:val="single" w:sz="4" w:space="0" w:color="auto"/>
            </w:tcBorders>
            <w:shd w:val="clear" w:color="auto" w:fill="auto"/>
            <w:vAlign w:val="center"/>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roofErr w:type="spellStart"/>
            <w:r w:rsidRPr="0098627C">
              <w:rPr>
                <w:rFonts w:ascii="Times New Roman" w:eastAsia="Times New Roman" w:hAnsi="Times New Roman"/>
                <w:b/>
                <w:bCs/>
                <w:color w:val="000000"/>
                <w:sz w:val="18"/>
                <w:szCs w:val="18"/>
                <w:lang w:val="pt-BR" w:eastAsia="pt-BR"/>
              </w:rPr>
              <w:t>Sweden</w:t>
            </w:r>
            <w:proofErr w:type="spellEnd"/>
          </w:p>
        </w:tc>
        <w:tc>
          <w:tcPr>
            <w:tcW w:w="1880" w:type="dxa"/>
            <w:tcBorders>
              <w:top w:val="nil"/>
              <w:left w:val="nil"/>
              <w:bottom w:val="single" w:sz="4" w:space="0" w:color="auto"/>
              <w:right w:val="single" w:sz="4" w:space="0" w:color="auto"/>
            </w:tcBorders>
            <w:shd w:val="clear" w:color="auto" w:fill="auto"/>
            <w:noWrap/>
            <w:vAlign w:val="bottom"/>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55</w:t>
            </w:r>
          </w:p>
        </w:tc>
        <w:tc>
          <w:tcPr>
            <w:tcW w:w="1805" w:type="dxa"/>
            <w:tcBorders>
              <w:top w:val="nil"/>
              <w:left w:val="nil"/>
              <w:bottom w:val="single" w:sz="4" w:space="0" w:color="auto"/>
              <w:right w:val="single" w:sz="4" w:space="0" w:color="auto"/>
            </w:tcBorders>
            <w:shd w:val="clear" w:color="auto" w:fill="auto"/>
            <w:noWrap/>
            <w:vAlign w:val="bottom"/>
            <w:hideMark/>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p>
        </w:tc>
        <w:tc>
          <w:tcPr>
            <w:tcW w:w="1800" w:type="dxa"/>
            <w:tcBorders>
              <w:top w:val="nil"/>
              <w:left w:val="nil"/>
              <w:bottom w:val="single" w:sz="4" w:space="0" w:color="auto"/>
              <w:right w:val="single" w:sz="4" w:space="0" w:color="auto"/>
            </w:tcBorders>
            <w:shd w:val="clear" w:color="auto" w:fill="auto"/>
            <w:noWrap/>
            <w:vAlign w:val="bottom"/>
            <w:hideMark/>
          </w:tcPr>
          <w:p w:rsidR="009E2F1B" w:rsidRPr="0098627C" w:rsidRDefault="009E2F1B" w:rsidP="00E41381">
            <w:pPr>
              <w:spacing w:after="0" w:line="240" w:lineRule="auto"/>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 </w:t>
            </w:r>
          </w:p>
        </w:tc>
      </w:tr>
      <w:tr w:rsidR="009E2F1B" w:rsidRPr="0098627C" w:rsidTr="00E41381">
        <w:trPr>
          <w:trHeight w:val="39"/>
        </w:trPr>
        <w:tc>
          <w:tcPr>
            <w:tcW w:w="1705" w:type="dxa"/>
            <w:tcBorders>
              <w:top w:val="nil"/>
              <w:left w:val="single" w:sz="4" w:space="0" w:color="auto"/>
              <w:bottom w:val="single" w:sz="4" w:space="0" w:color="auto"/>
              <w:right w:val="single" w:sz="4" w:space="0" w:color="auto"/>
            </w:tcBorders>
            <w:shd w:val="clear" w:color="auto" w:fill="auto"/>
            <w:vAlign w:val="center"/>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proofErr w:type="spellStart"/>
            <w:r w:rsidRPr="0098627C">
              <w:rPr>
                <w:rFonts w:ascii="Times New Roman" w:eastAsia="Times New Roman" w:hAnsi="Times New Roman"/>
                <w:b/>
                <w:bCs/>
                <w:color w:val="000000"/>
                <w:sz w:val="18"/>
                <w:szCs w:val="18"/>
                <w:lang w:val="pt-BR" w:eastAsia="pt-BR"/>
              </w:rPr>
              <w:t>Switzerland</w:t>
            </w:r>
            <w:proofErr w:type="spellEnd"/>
          </w:p>
        </w:tc>
        <w:tc>
          <w:tcPr>
            <w:tcW w:w="1880" w:type="dxa"/>
            <w:tcBorders>
              <w:top w:val="nil"/>
              <w:left w:val="nil"/>
              <w:bottom w:val="single" w:sz="4" w:space="0" w:color="auto"/>
              <w:right w:val="single" w:sz="4" w:space="0" w:color="auto"/>
            </w:tcBorders>
            <w:shd w:val="clear" w:color="auto" w:fill="auto"/>
            <w:noWrap/>
            <w:vAlign w:val="bottom"/>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100</w:t>
            </w:r>
          </w:p>
        </w:tc>
        <w:tc>
          <w:tcPr>
            <w:tcW w:w="1805" w:type="dxa"/>
            <w:tcBorders>
              <w:top w:val="nil"/>
              <w:left w:val="nil"/>
              <w:bottom w:val="single" w:sz="4" w:space="0" w:color="auto"/>
              <w:right w:val="single" w:sz="4" w:space="0" w:color="auto"/>
            </w:tcBorders>
            <w:shd w:val="clear" w:color="auto" w:fill="auto"/>
            <w:noWrap/>
            <w:vAlign w:val="bottom"/>
            <w:hideMark/>
          </w:tcPr>
          <w:p w:rsidR="009E2F1B" w:rsidRPr="0098627C" w:rsidRDefault="009E2F1B" w:rsidP="00E41381">
            <w:pPr>
              <w:spacing w:after="0" w:line="240" w:lineRule="auto"/>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 </w:t>
            </w:r>
          </w:p>
        </w:tc>
        <w:tc>
          <w:tcPr>
            <w:tcW w:w="1800" w:type="dxa"/>
            <w:tcBorders>
              <w:top w:val="nil"/>
              <w:left w:val="nil"/>
              <w:bottom w:val="single" w:sz="4" w:space="0" w:color="auto"/>
              <w:right w:val="single" w:sz="4" w:space="0" w:color="auto"/>
            </w:tcBorders>
            <w:shd w:val="clear" w:color="auto" w:fill="auto"/>
            <w:noWrap/>
            <w:vAlign w:val="bottom"/>
            <w:hideMark/>
          </w:tcPr>
          <w:p w:rsidR="009E2F1B" w:rsidRPr="0098627C" w:rsidRDefault="009E2F1B" w:rsidP="00E41381">
            <w:pPr>
              <w:spacing w:after="0" w:line="240" w:lineRule="auto"/>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 </w:t>
            </w:r>
          </w:p>
        </w:tc>
      </w:tr>
      <w:tr w:rsidR="009E2F1B" w:rsidRPr="0098627C" w:rsidTr="00E41381">
        <w:trPr>
          <w:trHeight w:val="39"/>
        </w:trPr>
        <w:tc>
          <w:tcPr>
            <w:tcW w:w="1705" w:type="dxa"/>
            <w:tcBorders>
              <w:top w:val="nil"/>
              <w:left w:val="single" w:sz="4" w:space="0" w:color="auto"/>
              <w:bottom w:val="single" w:sz="4" w:space="0" w:color="auto"/>
              <w:right w:val="single" w:sz="4" w:space="0" w:color="auto"/>
            </w:tcBorders>
            <w:shd w:val="clear" w:color="auto" w:fill="auto"/>
            <w:vAlign w:val="center"/>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r w:rsidRPr="0098627C">
              <w:rPr>
                <w:rFonts w:ascii="Times New Roman" w:eastAsia="Times New Roman" w:hAnsi="Times New Roman"/>
                <w:b/>
                <w:bCs/>
                <w:color w:val="000000"/>
                <w:sz w:val="18"/>
                <w:szCs w:val="18"/>
                <w:lang w:val="pt-BR" w:eastAsia="pt-BR"/>
              </w:rPr>
              <w:t xml:space="preserve">United </w:t>
            </w:r>
            <w:proofErr w:type="spellStart"/>
            <w:r w:rsidRPr="0098627C">
              <w:rPr>
                <w:rFonts w:ascii="Times New Roman" w:eastAsia="Times New Roman" w:hAnsi="Times New Roman"/>
                <w:b/>
                <w:bCs/>
                <w:color w:val="000000"/>
                <w:sz w:val="18"/>
                <w:szCs w:val="18"/>
                <w:lang w:val="pt-BR" w:eastAsia="pt-BR"/>
              </w:rPr>
              <w:t>Kingdom</w:t>
            </w:r>
            <w:proofErr w:type="spellEnd"/>
          </w:p>
        </w:tc>
        <w:tc>
          <w:tcPr>
            <w:tcW w:w="1880" w:type="dxa"/>
            <w:tcBorders>
              <w:top w:val="nil"/>
              <w:left w:val="nil"/>
              <w:bottom w:val="single" w:sz="4" w:space="0" w:color="auto"/>
              <w:right w:val="single" w:sz="4" w:space="0" w:color="auto"/>
            </w:tcBorders>
            <w:shd w:val="clear" w:color="auto" w:fill="auto"/>
            <w:noWrap/>
            <w:vAlign w:val="bottom"/>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75</w:t>
            </w:r>
          </w:p>
        </w:tc>
        <w:tc>
          <w:tcPr>
            <w:tcW w:w="1805" w:type="dxa"/>
            <w:tcBorders>
              <w:top w:val="nil"/>
              <w:left w:val="nil"/>
              <w:bottom w:val="single" w:sz="4" w:space="0" w:color="auto"/>
              <w:right w:val="single" w:sz="4" w:space="0" w:color="auto"/>
            </w:tcBorders>
            <w:shd w:val="clear" w:color="auto" w:fill="auto"/>
            <w:noWrap/>
            <w:vAlign w:val="bottom"/>
            <w:hideMark/>
          </w:tcPr>
          <w:p w:rsidR="009E2F1B" w:rsidRPr="0098627C" w:rsidRDefault="009E2F1B" w:rsidP="00E41381">
            <w:pPr>
              <w:spacing w:after="0" w:line="240" w:lineRule="auto"/>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 </w:t>
            </w:r>
          </w:p>
        </w:tc>
        <w:tc>
          <w:tcPr>
            <w:tcW w:w="1800" w:type="dxa"/>
            <w:tcBorders>
              <w:top w:val="nil"/>
              <w:left w:val="nil"/>
              <w:bottom w:val="single" w:sz="4" w:space="0" w:color="auto"/>
              <w:right w:val="single" w:sz="4" w:space="0" w:color="auto"/>
            </w:tcBorders>
            <w:shd w:val="clear" w:color="auto" w:fill="auto"/>
            <w:noWrap/>
            <w:vAlign w:val="bottom"/>
            <w:hideMark/>
          </w:tcPr>
          <w:p w:rsidR="009E2F1B" w:rsidRPr="0098627C" w:rsidRDefault="009E2F1B" w:rsidP="00E41381">
            <w:pPr>
              <w:spacing w:after="0" w:line="240" w:lineRule="auto"/>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 </w:t>
            </w:r>
          </w:p>
        </w:tc>
      </w:tr>
      <w:tr w:rsidR="009E2F1B" w:rsidRPr="0098627C" w:rsidTr="00E41381">
        <w:trPr>
          <w:trHeight w:val="39"/>
        </w:trPr>
        <w:tc>
          <w:tcPr>
            <w:tcW w:w="1705" w:type="dxa"/>
            <w:tcBorders>
              <w:top w:val="nil"/>
              <w:left w:val="single" w:sz="4" w:space="0" w:color="auto"/>
              <w:bottom w:val="single" w:sz="4" w:space="0" w:color="auto"/>
              <w:right w:val="single" w:sz="4" w:space="0" w:color="auto"/>
            </w:tcBorders>
            <w:shd w:val="clear" w:color="auto" w:fill="auto"/>
            <w:vAlign w:val="center"/>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r w:rsidRPr="0098627C">
              <w:rPr>
                <w:rFonts w:ascii="Times New Roman" w:eastAsia="Times New Roman" w:hAnsi="Times New Roman"/>
                <w:b/>
                <w:bCs/>
                <w:color w:val="000000"/>
                <w:sz w:val="18"/>
                <w:szCs w:val="18"/>
                <w:lang w:val="pt-BR" w:eastAsia="pt-BR"/>
              </w:rPr>
              <w:t xml:space="preserve">United </w:t>
            </w:r>
            <w:proofErr w:type="spellStart"/>
            <w:r w:rsidRPr="0098627C">
              <w:rPr>
                <w:rFonts w:ascii="Times New Roman" w:eastAsia="Times New Roman" w:hAnsi="Times New Roman"/>
                <w:b/>
                <w:bCs/>
                <w:color w:val="000000"/>
                <w:sz w:val="18"/>
                <w:szCs w:val="18"/>
                <w:lang w:val="pt-BR" w:eastAsia="pt-BR"/>
              </w:rPr>
              <w:t>States</w:t>
            </w:r>
            <w:proofErr w:type="spellEnd"/>
          </w:p>
        </w:tc>
        <w:tc>
          <w:tcPr>
            <w:tcW w:w="1880" w:type="dxa"/>
            <w:tcBorders>
              <w:top w:val="nil"/>
              <w:left w:val="nil"/>
              <w:bottom w:val="single" w:sz="4" w:space="0" w:color="auto"/>
              <w:right w:val="single" w:sz="4" w:space="0" w:color="auto"/>
            </w:tcBorders>
            <w:shd w:val="clear" w:color="auto" w:fill="auto"/>
            <w:noWrap/>
            <w:vAlign w:val="bottom"/>
          </w:tcPr>
          <w:p w:rsidR="009E2F1B" w:rsidRPr="0098627C" w:rsidRDefault="009E2F1B" w:rsidP="00E41381">
            <w:pPr>
              <w:spacing w:after="0" w:line="240" w:lineRule="auto"/>
              <w:jc w:val="center"/>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90</w:t>
            </w:r>
          </w:p>
        </w:tc>
        <w:tc>
          <w:tcPr>
            <w:tcW w:w="1805" w:type="dxa"/>
            <w:tcBorders>
              <w:top w:val="nil"/>
              <w:left w:val="nil"/>
              <w:bottom w:val="single" w:sz="4" w:space="0" w:color="auto"/>
              <w:right w:val="single" w:sz="4" w:space="0" w:color="auto"/>
            </w:tcBorders>
            <w:shd w:val="clear" w:color="auto" w:fill="auto"/>
            <w:noWrap/>
            <w:vAlign w:val="bottom"/>
            <w:hideMark/>
          </w:tcPr>
          <w:p w:rsidR="009E2F1B" w:rsidRPr="0098627C" w:rsidRDefault="009E2F1B" w:rsidP="00E41381">
            <w:pPr>
              <w:spacing w:after="0" w:line="240" w:lineRule="auto"/>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 </w:t>
            </w:r>
          </w:p>
        </w:tc>
        <w:tc>
          <w:tcPr>
            <w:tcW w:w="1800" w:type="dxa"/>
            <w:tcBorders>
              <w:top w:val="nil"/>
              <w:left w:val="nil"/>
              <w:bottom w:val="single" w:sz="4" w:space="0" w:color="auto"/>
              <w:right w:val="single" w:sz="4" w:space="0" w:color="auto"/>
            </w:tcBorders>
            <w:shd w:val="clear" w:color="auto" w:fill="auto"/>
            <w:noWrap/>
            <w:vAlign w:val="bottom"/>
            <w:hideMark/>
          </w:tcPr>
          <w:p w:rsidR="009E2F1B" w:rsidRPr="0098627C" w:rsidRDefault="009E2F1B" w:rsidP="00E41381">
            <w:pPr>
              <w:spacing w:after="0" w:line="240" w:lineRule="auto"/>
              <w:rPr>
                <w:rFonts w:ascii="Times New Roman" w:eastAsia="Times New Roman" w:hAnsi="Times New Roman"/>
                <w:color w:val="000000"/>
                <w:sz w:val="18"/>
                <w:szCs w:val="18"/>
                <w:lang w:val="pt-BR" w:eastAsia="pt-BR"/>
              </w:rPr>
            </w:pPr>
            <w:r w:rsidRPr="0098627C">
              <w:rPr>
                <w:rFonts w:ascii="Times New Roman" w:eastAsia="Times New Roman" w:hAnsi="Times New Roman"/>
                <w:color w:val="000000"/>
                <w:sz w:val="18"/>
                <w:szCs w:val="18"/>
                <w:lang w:val="pt-BR" w:eastAsia="pt-BR"/>
              </w:rPr>
              <w:t> </w:t>
            </w:r>
          </w:p>
        </w:tc>
      </w:tr>
      <w:tr w:rsidR="009E2F1B" w:rsidRPr="0098627C" w:rsidTr="00E41381">
        <w:trPr>
          <w:trHeight w:val="290"/>
        </w:trPr>
        <w:tc>
          <w:tcPr>
            <w:tcW w:w="1705" w:type="dxa"/>
            <w:tcBorders>
              <w:top w:val="nil"/>
              <w:left w:val="single" w:sz="4" w:space="0" w:color="auto"/>
              <w:bottom w:val="single" w:sz="4" w:space="0" w:color="auto"/>
              <w:right w:val="single" w:sz="4" w:space="0" w:color="auto"/>
            </w:tcBorders>
            <w:shd w:val="clear" w:color="auto" w:fill="FFC000"/>
            <w:vAlign w:val="center"/>
            <w:hideMark/>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r w:rsidRPr="0098627C">
              <w:rPr>
                <w:rFonts w:ascii="Times New Roman" w:eastAsia="Times New Roman" w:hAnsi="Times New Roman"/>
                <w:b/>
                <w:bCs/>
                <w:color w:val="000000"/>
                <w:sz w:val="18"/>
                <w:szCs w:val="18"/>
                <w:lang w:val="pt-BR" w:eastAsia="pt-BR"/>
              </w:rPr>
              <w:t xml:space="preserve">OECD </w:t>
            </w:r>
            <w:proofErr w:type="spellStart"/>
            <w:r w:rsidRPr="0098627C">
              <w:rPr>
                <w:rFonts w:ascii="Times New Roman" w:eastAsia="Times New Roman" w:hAnsi="Times New Roman"/>
                <w:b/>
                <w:bCs/>
                <w:color w:val="000000"/>
                <w:sz w:val="18"/>
                <w:szCs w:val="18"/>
                <w:lang w:val="pt-BR" w:eastAsia="pt-BR"/>
              </w:rPr>
              <w:t>Average</w:t>
            </w:r>
            <w:proofErr w:type="spellEnd"/>
          </w:p>
        </w:tc>
        <w:tc>
          <w:tcPr>
            <w:tcW w:w="1880" w:type="dxa"/>
            <w:tcBorders>
              <w:top w:val="nil"/>
              <w:left w:val="nil"/>
              <w:bottom w:val="single" w:sz="4" w:space="0" w:color="auto"/>
              <w:right w:val="single" w:sz="4" w:space="0" w:color="auto"/>
            </w:tcBorders>
            <w:shd w:val="clear" w:color="auto" w:fill="FFC000"/>
            <w:noWrap/>
            <w:vAlign w:val="center"/>
            <w:hideMark/>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r w:rsidRPr="0098627C">
              <w:rPr>
                <w:rFonts w:ascii="Times New Roman" w:eastAsia="Times New Roman" w:hAnsi="Times New Roman"/>
                <w:b/>
                <w:bCs/>
                <w:color w:val="000000"/>
                <w:sz w:val="18"/>
                <w:szCs w:val="18"/>
                <w:lang w:val="pt-BR" w:eastAsia="pt-BR"/>
              </w:rPr>
              <w:t>103</w:t>
            </w:r>
          </w:p>
        </w:tc>
        <w:tc>
          <w:tcPr>
            <w:tcW w:w="1805" w:type="dxa"/>
            <w:tcBorders>
              <w:top w:val="nil"/>
              <w:left w:val="nil"/>
              <w:bottom w:val="single" w:sz="4" w:space="0" w:color="auto"/>
              <w:right w:val="single" w:sz="4" w:space="0" w:color="auto"/>
            </w:tcBorders>
            <w:shd w:val="clear" w:color="auto" w:fill="FFC000"/>
            <w:noWrap/>
            <w:vAlign w:val="center"/>
            <w:hideMark/>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r w:rsidRPr="0098627C">
              <w:rPr>
                <w:rFonts w:ascii="Times New Roman" w:eastAsia="Times New Roman" w:hAnsi="Times New Roman"/>
                <w:b/>
                <w:bCs/>
                <w:color w:val="000000"/>
                <w:sz w:val="18"/>
                <w:szCs w:val="18"/>
                <w:lang w:val="pt-BR" w:eastAsia="pt-BR"/>
              </w:rPr>
              <w:t xml:space="preserve">LAC </w:t>
            </w:r>
            <w:proofErr w:type="spellStart"/>
            <w:r w:rsidRPr="0098627C">
              <w:rPr>
                <w:rFonts w:ascii="Times New Roman" w:eastAsia="Times New Roman" w:hAnsi="Times New Roman"/>
                <w:b/>
                <w:bCs/>
                <w:color w:val="000000"/>
                <w:sz w:val="18"/>
                <w:szCs w:val="18"/>
                <w:lang w:val="pt-BR" w:eastAsia="pt-BR"/>
              </w:rPr>
              <w:t>Average</w:t>
            </w:r>
            <w:proofErr w:type="spellEnd"/>
          </w:p>
        </w:tc>
        <w:tc>
          <w:tcPr>
            <w:tcW w:w="1800" w:type="dxa"/>
            <w:tcBorders>
              <w:top w:val="nil"/>
              <w:left w:val="nil"/>
              <w:bottom w:val="single" w:sz="4" w:space="0" w:color="auto"/>
              <w:right w:val="single" w:sz="4" w:space="0" w:color="auto"/>
            </w:tcBorders>
            <w:shd w:val="clear" w:color="auto" w:fill="FFC000"/>
            <w:noWrap/>
            <w:vAlign w:val="center"/>
            <w:hideMark/>
          </w:tcPr>
          <w:p w:rsidR="009E2F1B" w:rsidRPr="0098627C" w:rsidRDefault="009E2F1B" w:rsidP="00E41381">
            <w:pPr>
              <w:spacing w:after="0" w:line="240" w:lineRule="auto"/>
              <w:jc w:val="center"/>
              <w:rPr>
                <w:rFonts w:ascii="Times New Roman" w:eastAsia="Times New Roman" w:hAnsi="Times New Roman"/>
                <w:b/>
                <w:bCs/>
                <w:color w:val="000000"/>
                <w:sz w:val="18"/>
                <w:szCs w:val="18"/>
                <w:lang w:val="pt-BR" w:eastAsia="pt-BR"/>
              </w:rPr>
            </w:pPr>
            <w:r w:rsidRPr="0098627C">
              <w:rPr>
                <w:rFonts w:ascii="Times New Roman" w:eastAsia="Times New Roman" w:hAnsi="Times New Roman"/>
                <w:b/>
                <w:bCs/>
                <w:color w:val="000000"/>
                <w:sz w:val="18"/>
                <w:szCs w:val="18"/>
                <w:lang w:val="pt-BR" w:eastAsia="pt-BR"/>
              </w:rPr>
              <w:t>261</w:t>
            </w:r>
          </w:p>
        </w:tc>
      </w:tr>
      <w:tr w:rsidR="009E2F1B" w:rsidRPr="0098627C" w:rsidTr="00E41381">
        <w:trPr>
          <w:trHeight w:val="224"/>
        </w:trPr>
        <w:tc>
          <w:tcPr>
            <w:tcW w:w="7190" w:type="dxa"/>
            <w:gridSpan w:val="4"/>
            <w:tcBorders>
              <w:top w:val="nil"/>
              <w:left w:val="single" w:sz="4" w:space="0" w:color="auto"/>
              <w:bottom w:val="single" w:sz="4" w:space="0" w:color="auto"/>
              <w:right w:val="single" w:sz="4" w:space="0" w:color="auto"/>
            </w:tcBorders>
            <w:shd w:val="clear" w:color="auto" w:fill="auto"/>
            <w:noWrap/>
            <w:vAlign w:val="bottom"/>
            <w:hideMark/>
          </w:tcPr>
          <w:p w:rsidR="009E2F1B" w:rsidRPr="0098627C" w:rsidRDefault="009E2F1B" w:rsidP="00E41381">
            <w:pPr>
              <w:spacing w:after="0" w:line="240" w:lineRule="auto"/>
              <w:rPr>
                <w:rFonts w:ascii="Times New Roman" w:eastAsia="Times New Roman" w:hAnsi="Times New Roman"/>
                <w:color w:val="000000"/>
                <w:sz w:val="18"/>
                <w:szCs w:val="18"/>
                <w:lang w:val="pt-BR" w:eastAsia="pt-BR"/>
              </w:rPr>
            </w:pPr>
            <w:r>
              <w:rPr>
                <w:rFonts w:ascii="Times New Roman" w:eastAsia="Times New Roman" w:hAnsi="Times New Roman"/>
                <w:color w:val="000000"/>
                <w:sz w:val="18"/>
                <w:szCs w:val="18"/>
                <w:lang w:val="pt-BR" w:eastAsia="pt-BR"/>
              </w:rPr>
              <w:t>Fuente</w:t>
            </w:r>
            <w:r w:rsidRPr="0098627C">
              <w:rPr>
                <w:rFonts w:ascii="Times New Roman" w:eastAsia="Times New Roman" w:hAnsi="Times New Roman"/>
                <w:color w:val="000000"/>
                <w:sz w:val="18"/>
                <w:szCs w:val="18"/>
                <w:lang w:val="pt-BR" w:eastAsia="pt-BR"/>
              </w:rPr>
              <w:t xml:space="preserve">: </w:t>
            </w:r>
            <w:proofErr w:type="spellStart"/>
            <w:r w:rsidRPr="0098627C">
              <w:rPr>
                <w:rFonts w:ascii="Times New Roman" w:eastAsia="Times New Roman" w:hAnsi="Times New Roman"/>
                <w:color w:val="000000"/>
                <w:sz w:val="18"/>
                <w:szCs w:val="18"/>
                <w:lang w:val="pt-BR" w:eastAsia="pt-BR"/>
              </w:rPr>
              <w:t>Doing</w:t>
            </w:r>
            <w:proofErr w:type="spellEnd"/>
            <w:r w:rsidRPr="0098627C">
              <w:rPr>
                <w:rFonts w:ascii="Times New Roman" w:eastAsia="Times New Roman" w:hAnsi="Times New Roman"/>
                <w:color w:val="000000"/>
                <w:sz w:val="18"/>
                <w:szCs w:val="18"/>
                <w:lang w:val="pt-BR" w:eastAsia="pt-BR"/>
              </w:rPr>
              <w:t xml:space="preserve"> Business 2014</w:t>
            </w:r>
          </w:p>
        </w:tc>
      </w:tr>
    </w:tbl>
    <w:p w:rsidR="00DE181D" w:rsidRPr="007A3796" w:rsidRDefault="009E2F1B" w:rsidP="007A3796">
      <w:pPr>
        <w:pStyle w:val="ListParagraph"/>
        <w:numPr>
          <w:ilvl w:val="1"/>
          <w:numId w:val="21"/>
        </w:numPr>
        <w:tabs>
          <w:tab w:val="left" w:pos="900"/>
        </w:tabs>
        <w:spacing w:before="120" w:after="120" w:line="240" w:lineRule="auto"/>
        <w:ind w:left="990" w:hanging="630"/>
        <w:contextualSpacing w:val="0"/>
        <w:jc w:val="both"/>
        <w:rPr>
          <w:rFonts w:ascii="Times New Roman" w:hAnsi="Times New Roman"/>
          <w:sz w:val="24"/>
          <w:szCs w:val="24"/>
          <w:lang w:val="es-ES_tradnl"/>
        </w:rPr>
      </w:pPr>
      <w:r>
        <w:rPr>
          <w:rFonts w:ascii="Times New Roman" w:hAnsi="Times New Roman"/>
          <w:sz w:val="24"/>
          <w:szCs w:val="24"/>
          <w:lang w:val="es-ES_tradnl"/>
        </w:rPr>
        <w:t xml:space="preserve">  </w:t>
      </w:r>
      <w:r w:rsidRPr="00FB6F1B">
        <w:rPr>
          <w:rFonts w:ascii="Times New Roman" w:hAnsi="Times New Roman"/>
          <w:sz w:val="24"/>
          <w:szCs w:val="24"/>
          <w:lang w:val="es-ES_tradnl"/>
        </w:rPr>
        <w:t>El Cuadro II a continuación calcula los beneficios que serán logrados con la adopción de los procedimientos OCDE para los procedimientos de importación. Se presentan dos escenarios, uno con proyecto y otro sin proyecto. El costo unitario actual para procesar un contenedor para importación es de US$170, la meta es alcanzar en 2018 niveles compatibles con la media de los países de la OCDE que es de U$100.</w:t>
      </w:r>
    </w:p>
    <w:tbl>
      <w:tblPr>
        <w:tblW w:w="8550" w:type="dxa"/>
        <w:tblInd w:w="355" w:type="dxa"/>
        <w:tblLayout w:type="fixed"/>
        <w:tblCellMar>
          <w:left w:w="70" w:type="dxa"/>
          <w:right w:w="70" w:type="dxa"/>
        </w:tblCellMar>
        <w:tblLook w:val="04A0" w:firstRow="1" w:lastRow="0" w:firstColumn="1" w:lastColumn="0" w:noHBand="0" w:noVBand="1"/>
      </w:tblPr>
      <w:tblGrid>
        <w:gridCol w:w="587"/>
        <w:gridCol w:w="1318"/>
        <w:gridCol w:w="1511"/>
        <w:gridCol w:w="1174"/>
        <w:gridCol w:w="1511"/>
        <w:gridCol w:w="1279"/>
        <w:gridCol w:w="1170"/>
      </w:tblGrid>
      <w:tr w:rsidR="009E2F1B" w:rsidRPr="008E7935" w:rsidTr="00DE181D">
        <w:trPr>
          <w:trHeight w:val="53"/>
        </w:trPr>
        <w:tc>
          <w:tcPr>
            <w:tcW w:w="8550" w:type="dxa"/>
            <w:gridSpan w:val="7"/>
            <w:tcBorders>
              <w:top w:val="single" w:sz="4" w:space="0" w:color="auto"/>
              <w:left w:val="single" w:sz="4" w:space="0" w:color="auto"/>
              <w:bottom w:val="single" w:sz="4" w:space="0" w:color="auto"/>
              <w:right w:val="single" w:sz="4" w:space="0" w:color="auto"/>
            </w:tcBorders>
            <w:shd w:val="clear" w:color="000000" w:fill="D9D9D9"/>
            <w:vAlign w:val="center"/>
            <w:hideMark/>
          </w:tcPr>
          <w:p w:rsidR="009E2F1B" w:rsidRPr="008D5FA8" w:rsidRDefault="009E2F1B" w:rsidP="00E41381">
            <w:pPr>
              <w:spacing w:after="0" w:line="240" w:lineRule="auto"/>
              <w:jc w:val="center"/>
              <w:rPr>
                <w:rFonts w:ascii="Times New Roman" w:eastAsia="Times New Roman" w:hAnsi="Times New Roman"/>
                <w:b/>
                <w:bCs/>
                <w:color w:val="000000"/>
                <w:sz w:val="20"/>
                <w:szCs w:val="20"/>
                <w:lang w:eastAsia="pt-BR"/>
              </w:rPr>
            </w:pPr>
            <w:r w:rsidRPr="008D5FA8">
              <w:rPr>
                <w:rFonts w:ascii="Times New Roman" w:eastAsia="Times New Roman" w:hAnsi="Times New Roman"/>
                <w:b/>
                <w:bCs/>
                <w:color w:val="000000"/>
                <w:sz w:val="20"/>
                <w:szCs w:val="20"/>
                <w:lang w:eastAsia="pt-BR"/>
              </w:rPr>
              <w:t>Cuadro I</w:t>
            </w:r>
            <w:r w:rsidRPr="00E026C6">
              <w:rPr>
                <w:rFonts w:ascii="Times New Roman" w:eastAsia="Times New Roman" w:hAnsi="Times New Roman"/>
                <w:b/>
                <w:bCs/>
                <w:color w:val="000000"/>
                <w:sz w:val="20"/>
                <w:szCs w:val="20"/>
                <w:lang w:eastAsia="pt-BR"/>
              </w:rPr>
              <w:t>I -</w:t>
            </w:r>
            <w:r w:rsidRPr="008D5FA8">
              <w:rPr>
                <w:rFonts w:ascii="Times New Roman" w:eastAsia="Times New Roman" w:hAnsi="Times New Roman"/>
                <w:b/>
                <w:bCs/>
                <w:color w:val="000000"/>
                <w:sz w:val="20"/>
                <w:szCs w:val="20"/>
                <w:lang w:eastAsia="pt-BR"/>
              </w:rPr>
              <w:t xml:space="preserve"> Calculo de los ahorros proveniente de mejores procedimientos aduaneros</w:t>
            </w:r>
            <w:r w:rsidRPr="008D5FA8">
              <w:rPr>
                <w:rFonts w:ascii="Times New Roman" w:eastAsia="Times New Roman" w:hAnsi="Times New Roman"/>
                <w:b/>
                <w:bCs/>
                <w:color w:val="000000"/>
                <w:sz w:val="20"/>
                <w:szCs w:val="20"/>
                <w:lang w:eastAsia="pt-BR"/>
              </w:rPr>
              <w:br/>
              <w:t>Autorización de Aduanas y Co</w:t>
            </w:r>
            <w:r w:rsidRPr="00E026C6">
              <w:rPr>
                <w:rFonts w:ascii="Times New Roman" w:eastAsia="Times New Roman" w:hAnsi="Times New Roman"/>
                <w:b/>
                <w:bCs/>
                <w:color w:val="000000"/>
                <w:sz w:val="20"/>
                <w:szCs w:val="20"/>
                <w:lang w:eastAsia="pt-BR"/>
              </w:rPr>
              <w:t>n</w:t>
            </w:r>
            <w:r w:rsidRPr="008D5FA8">
              <w:rPr>
                <w:rFonts w:ascii="Times New Roman" w:eastAsia="Times New Roman" w:hAnsi="Times New Roman"/>
                <w:b/>
                <w:bCs/>
                <w:color w:val="000000"/>
                <w:sz w:val="20"/>
                <w:szCs w:val="20"/>
                <w:lang w:eastAsia="pt-BR"/>
              </w:rPr>
              <w:t>trol Técnico</w:t>
            </w:r>
            <w:r>
              <w:rPr>
                <w:rFonts w:ascii="Times New Roman" w:eastAsia="Times New Roman" w:hAnsi="Times New Roman"/>
                <w:b/>
                <w:bCs/>
                <w:color w:val="000000"/>
                <w:sz w:val="20"/>
                <w:szCs w:val="20"/>
                <w:lang w:eastAsia="pt-BR"/>
              </w:rPr>
              <w:t xml:space="preserve"> para Importaciones (</w:t>
            </w:r>
            <w:r w:rsidRPr="008D5FA8">
              <w:rPr>
                <w:rFonts w:ascii="Times New Roman" w:eastAsia="Times New Roman" w:hAnsi="Times New Roman"/>
                <w:b/>
                <w:bCs/>
                <w:color w:val="000000"/>
                <w:sz w:val="20"/>
                <w:szCs w:val="20"/>
                <w:lang w:eastAsia="pt-BR"/>
              </w:rPr>
              <w:t>US$</w:t>
            </w:r>
            <w:r>
              <w:rPr>
                <w:rFonts w:ascii="Times New Roman" w:eastAsia="Times New Roman" w:hAnsi="Times New Roman"/>
                <w:b/>
                <w:bCs/>
                <w:color w:val="000000"/>
                <w:sz w:val="20"/>
                <w:szCs w:val="20"/>
                <w:lang w:eastAsia="pt-BR"/>
              </w:rPr>
              <w:t>)</w:t>
            </w:r>
          </w:p>
        </w:tc>
      </w:tr>
      <w:tr w:rsidR="009E2F1B" w:rsidRPr="008D5FA8" w:rsidTr="00E41381">
        <w:trPr>
          <w:trHeight w:val="98"/>
        </w:trPr>
        <w:tc>
          <w:tcPr>
            <w:tcW w:w="587" w:type="dxa"/>
            <w:vMerge w:val="restart"/>
            <w:tcBorders>
              <w:top w:val="nil"/>
              <w:left w:val="single" w:sz="4" w:space="0" w:color="auto"/>
              <w:bottom w:val="single" w:sz="4" w:space="0" w:color="auto"/>
              <w:right w:val="single" w:sz="4" w:space="0" w:color="auto"/>
            </w:tcBorders>
            <w:shd w:val="clear" w:color="000000" w:fill="DDEBF7"/>
            <w:noWrap/>
            <w:vAlign w:val="center"/>
            <w:hideMark/>
          </w:tcPr>
          <w:p w:rsidR="009E2F1B" w:rsidRPr="008D5FA8"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8D5FA8">
              <w:rPr>
                <w:rFonts w:ascii="Times New Roman" w:eastAsia="Times New Roman" w:hAnsi="Times New Roman"/>
                <w:b/>
                <w:bCs/>
                <w:color w:val="000000"/>
                <w:sz w:val="20"/>
                <w:szCs w:val="20"/>
                <w:lang w:val="es-ES_tradnl" w:eastAsia="pt-BR"/>
              </w:rPr>
              <w:t>Año</w:t>
            </w:r>
          </w:p>
        </w:tc>
        <w:tc>
          <w:tcPr>
            <w:tcW w:w="1318" w:type="dxa"/>
            <w:vMerge w:val="restart"/>
            <w:tcBorders>
              <w:top w:val="nil"/>
              <w:left w:val="single" w:sz="4" w:space="0" w:color="auto"/>
              <w:bottom w:val="single" w:sz="4" w:space="0" w:color="auto"/>
              <w:right w:val="single" w:sz="4" w:space="0" w:color="auto"/>
            </w:tcBorders>
            <w:shd w:val="clear" w:color="000000" w:fill="DDEBF7"/>
            <w:vAlign w:val="center"/>
            <w:hideMark/>
          </w:tcPr>
          <w:p w:rsidR="009E2F1B" w:rsidRPr="008D5FA8"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8D5FA8">
              <w:rPr>
                <w:rFonts w:ascii="Times New Roman" w:eastAsia="Times New Roman" w:hAnsi="Times New Roman"/>
                <w:b/>
                <w:bCs/>
                <w:color w:val="000000"/>
                <w:sz w:val="20"/>
                <w:szCs w:val="20"/>
                <w:lang w:val="es-ES_tradnl" w:eastAsia="pt-BR"/>
              </w:rPr>
              <w:t>Cantidad</w:t>
            </w:r>
            <w:r w:rsidRPr="008D5FA8">
              <w:rPr>
                <w:rFonts w:ascii="Times New Roman" w:eastAsia="Times New Roman" w:hAnsi="Times New Roman"/>
                <w:b/>
                <w:bCs/>
                <w:color w:val="000000"/>
                <w:sz w:val="20"/>
                <w:szCs w:val="20"/>
                <w:lang w:val="es-ES_tradnl" w:eastAsia="pt-BR"/>
              </w:rPr>
              <w:br/>
              <w:t xml:space="preserve">Contenedores </w:t>
            </w:r>
          </w:p>
        </w:tc>
        <w:tc>
          <w:tcPr>
            <w:tcW w:w="2685" w:type="dxa"/>
            <w:gridSpan w:val="2"/>
            <w:tcBorders>
              <w:top w:val="single" w:sz="4" w:space="0" w:color="auto"/>
              <w:left w:val="nil"/>
              <w:bottom w:val="single" w:sz="4" w:space="0" w:color="auto"/>
              <w:right w:val="single" w:sz="4" w:space="0" w:color="auto"/>
            </w:tcBorders>
            <w:shd w:val="clear" w:color="000000" w:fill="DDEBF7"/>
            <w:noWrap/>
            <w:vAlign w:val="center"/>
            <w:hideMark/>
          </w:tcPr>
          <w:p w:rsidR="009E2F1B" w:rsidRPr="008D5FA8"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8D5FA8">
              <w:rPr>
                <w:rFonts w:ascii="Times New Roman" w:eastAsia="Times New Roman" w:hAnsi="Times New Roman"/>
                <w:b/>
                <w:bCs/>
                <w:color w:val="000000"/>
                <w:sz w:val="20"/>
                <w:szCs w:val="20"/>
                <w:lang w:val="es-ES_tradnl" w:eastAsia="pt-BR"/>
              </w:rPr>
              <w:t>Costo Sin proyecto</w:t>
            </w:r>
          </w:p>
        </w:tc>
        <w:tc>
          <w:tcPr>
            <w:tcW w:w="2790" w:type="dxa"/>
            <w:gridSpan w:val="2"/>
            <w:tcBorders>
              <w:top w:val="single" w:sz="4" w:space="0" w:color="auto"/>
              <w:left w:val="nil"/>
              <w:bottom w:val="single" w:sz="4" w:space="0" w:color="auto"/>
              <w:right w:val="single" w:sz="4" w:space="0" w:color="auto"/>
            </w:tcBorders>
            <w:shd w:val="clear" w:color="000000" w:fill="DDEBF7"/>
            <w:noWrap/>
            <w:vAlign w:val="center"/>
            <w:hideMark/>
          </w:tcPr>
          <w:p w:rsidR="009E2F1B" w:rsidRPr="008D5FA8"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8D5FA8">
              <w:rPr>
                <w:rFonts w:ascii="Times New Roman" w:eastAsia="Times New Roman" w:hAnsi="Times New Roman"/>
                <w:b/>
                <w:bCs/>
                <w:color w:val="000000"/>
                <w:sz w:val="20"/>
                <w:szCs w:val="20"/>
                <w:lang w:val="es-ES_tradnl" w:eastAsia="pt-BR"/>
              </w:rPr>
              <w:t>Costo Con proyecto</w:t>
            </w:r>
          </w:p>
        </w:tc>
        <w:tc>
          <w:tcPr>
            <w:tcW w:w="1170" w:type="dxa"/>
            <w:vMerge w:val="restart"/>
            <w:tcBorders>
              <w:top w:val="nil"/>
              <w:left w:val="single" w:sz="4" w:space="0" w:color="auto"/>
              <w:bottom w:val="single" w:sz="4" w:space="0" w:color="000000"/>
              <w:right w:val="single" w:sz="4" w:space="0" w:color="auto"/>
            </w:tcBorders>
            <w:shd w:val="clear" w:color="000000" w:fill="DDEBF7"/>
            <w:vAlign w:val="center"/>
            <w:hideMark/>
          </w:tcPr>
          <w:p w:rsidR="009E2F1B" w:rsidRPr="008D5FA8"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8D5FA8">
              <w:rPr>
                <w:rFonts w:ascii="Times New Roman" w:eastAsia="Times New Roman" w:hAnsi="Times New Roman"/>
                <w:b/>
                <w:bCs/>
                <w:color w:val="000000"/>
                <w:sz w:val="20"/>
                <w:szCs w:val="20"/>
                <w:lang w:val="es-ES_tradnl" w:eastAsia="pt-BR"/>
              </w:rPr>
              <w:t>Ahorros</w:t>
            </w:r>
          </w:p>
        </w:tc>
      </w:tr>
      <w:tr w:rsidR="009E2F1B" w:rsidRPr="008D5FA8" w:rsidTr="00E41381">
        <w:trPr>
          <w:trHeight w:val="56"/>
        </w:trPr>
        <w:tc>
          <w:tcPr>
            <w:tcW w:w="587" w:type="dxa"/>
            <w:vMerge/>
            <w:tcBorders>
              <w:top w:val="nil"/>
              <w:left w:val="single" w:sz="4" w:space="0" w:color="auto"/>
              <w:bottom w:val="single" w:sz="4" w:space="0" w:color="auto"/>
              <w:right w:val="single" w:sz="4" w:space="0" w:color="auto"/>
            </w:tcBorders>
            <w:vAlign w:val="center"/>
            <w:hideMark/>
          </w:tcPr>
          <w:p w:rsidR="009E2F1B" w:rsidRPr="008D5FA8" w:rsidRDefault="009E2F1B" w:rsidP="00E41381">
            <w:pPr>
              <w:spacing w:after="0" w:line="240" w:lineRule="auto"/>
              <w:rPr>
                <w:rFonts w:ascii="Times New Roman" w:eastAsia="Times New Roman" w:hAnsi="Times New Roman"/>
                <w:b/>
                <w:bCs/>
                <w:color w:val="000000"/>
                <w:sz w:val="20"/>
                <w:szCs w:val="20"/>
                <w:lang w:val="es-ES_tradnl" w:eastAsia="pt-BR"/>
              </w:rPr>
            </w:pPr>
          </w:p>
        </w:tc>
        <w:tc>
          <w:tcPr>
            <w:tcW w:w="1318" w:type="dxa"/>
            <w:vMerge/>
            <w:tcBorders>
              <w:top w:val="nil"/>
              <w:left w:val="single" w:sz="4" w:space="0" w:color="auto"/>
              <w:bottom w:val="single" w:sz="4" w:space="0" w:color="auto"/>
              <w:right w:val="single" w:sz="4" w:space="0" w:color="auto"/>
            </w:tcBorders>
            <w:vAlign w:val="center"/>
            <w:hideMark/>
          </w:tcPr>
          <w:p w:rsidR="009E2F1B" w:rsidRPr="008D5FA8" w:rsidRDefault="009E2F1B" w:rsidP="00E41381">
            <w:pPr>
              <w:spacing w:after="0" w:line="240" w:lineRule="auto"/>
              <w:rPr>
                <w:rFonts w:ascii="Times New Roman" w:eastAsia="Times New Roman" w:hAnsi="Times New Roman"/>
                <w:b/>
                <w:bCs/>
                <w:color w:val="000000"/>
                <w:sz w:val="20"/>
                <w:szCs w:val="20"/>
                <w:lang w:val="es-ES_tradnl" w:eastAsia="pt-BR"/>
              </w:rPr>
            </w:pPr>
          </w:p>
        </w:tc>
        <w:tc>
          <w:tcPr>
            <w:tcW w:w="1511" w:type="dxa"/>
            <w:tcBorders>
              <w:top w:val="nil"/>
              <w:left w:val="nil"/>
              <w:bottom w:val="single" w:sz="4" w:space="0" w:color="auto"/>
              <w:right w:val="single" w:sz="4" w:space="0" w:color="auto"/>
            </w:tcBorders>
            <w:shd w:val="clear" w:color="000000" w:fill="DDEBF7"/>
            <w:noWrap/>
            <w:vAlign w:val="center"/>
            <w:hideMark/>
          </w:tcPr>
          <w:p w:rsidR="009E2F1B" w:rsidRPr="008D5FA8"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8D5FA8">
              <w:rPr>
                <w:rFonts w:ascii="Times New Roman" w:eastAsia="Times New Roman" w:hAnsi="Times New Roman"/>
                <w:b/>
                <w:bCs/>
                <w:color w:val="000000"/>
                <w:sz w:val="20"/>
                <w:szCs w:val="20"/>
                <w:lang w:val="es-ES_tradnl" w:eastAsia="pt-BR"/>
              </w:rPr>
              <w:t>Costo unitario</w:t>
            </w:r>
          </w:p>
        </w:tc>
        <w:tc>
          <w:tcPr>
            <w:tcW w:w="1174" w:type="dxa"/>
            <w:tcBorders>
              <w:top w:val="nil"/>
              <w:left w:val="nil"/>
              <w:bottom w:val="single" w:sz="4" w:space="0" w:color="auto"/>
              <w:right w:val="single" w:sz="4" w:space="0" w:color="auto"/>
            </w:tcBorders>
            <w:shd w:val="clear" w:color="000000" w:fill="DDEBF7"/>
            <w:noWrap/>
            <w:vAlign w:val="center"/>
            <w:hideMark/>
          </w:tcPr>
          <w:p w:rsidR="009E2F1B" w:rsidRPr="008D5FA8"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8D5FA8">
              <w:rPr>
                <w:rFonts w:ascii="Times New Roman" w:eastAsia="Times New Roman" w:hAnsi="Times New Roman"/>
                <w:b/>
                <w:bCs/>
                <w:color w:val="000000"/>
                <w:sz w:val="20"/>
                <w:szCs w:val="20"/>
                <w:lang w:val="es-ES_tradnl" w:eastAsia="pt-BR"/>
              </w:rPr>
              <w:t xml:space="preserve"> Total</w:t>
            </w:r>
          </w:p>
        </w:tc>
        <w:tc>
          <w:tcPr>
            <w:tcW w:w="1511" w:type="dxa"/>
            <w:tcBorders>
              <w:top w:val="nil"/>
              <w:left w:val="nil"/>
              <w:bottom w:val="single" w:sz="4" w:space="0" w:color="auto"/>
              <w:right w:val="single" w:sz="4" w:space="0" w:color="auto"/>
            </w:tcBorders>
            <w:shd w:val="clear" w:color="000000" w:fill="DDEBF7"/>
            <w:noWrap/>
            <w:vAlign w:val="center"/>
            <w:hideMark/>
          </w:tcPr>
          <w:p w:rsidR="009E2F1B" w:rsidRPr="008D5FA8"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8D5FA8">
              <w:rPr>
                <w:rFonts w:ascii="Times New Roman" w:eastAsia="Times New Roman" w:hAnsi="Times New Roman"/>
                <w:b/>
                <w:bCs/>
                <w:color w:val="000000"/>
                <w:sz w:val="20"/>
                <w:szCs w:val="20"/>
                <w:lang w:val="es-ES_tradnl" w:eastAsia="pt-BR"/>
              </w:rPr>
              <w:t>Costo unitario</w:t>
            </w:r>
          </w:p>
        </w:tc>
        <w:tc>
          <w:tcPr>
            <w:tcW w:w="1279" w:type="dxa"/>
            <w:tcBorders>
              <w:top w:val="nil"/>
              <w:left w:val="nil"/>
              <w:bottom w:val="single" w:sz="4" w:space="0" w:color="auto"/>
              <w:right w:val="single" w:sz="4" w:space="0" w:color="auto"/>
            </w:tcBorders>
            <w:shd w:val="clear" w:color="000000" w:fill="DDEBF7"/>
            <w:noWrap/>
            <w:vAlign w:val="center"/>
            <w:hideMark/>
          </w:tcPr>
          <w:p w:rsidR="009E2F1B" w:rsidRPr="008D5FA8"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8D5FA8">
              <w:rPr>
                <w:rFonts w:ascii="Times New Roman" w:eastAsia="Times New Roman" w:hAnsi="Times New Roman"/>
                <w:b/>
                <w:bCs/>
                <w:color w:val="000000"/>
                <w:sz w:val="20"/>
                <w:szCs w:val="20"/>
                <w:lang w:val="es-ES_tradnl" w:eastAsia="pt-BR"/>
              </w:rPr>
              <w:t>Total</w:t>
            </w:r>
          </w:p>
        </w:tc>
        <w:tc>
          <w:tcPr>
            <w:tcW w:w="1170" w:type="dxa"/>
            <w:vMerge/>
            <w:tcBorders>
              <w:top w:val="nil"/>
              <w:left w:val="single" w:sz="4" w:space="0" w:color="auto"/>
              <w:bottom w:val="single" w:sz="4" w:space="0" w:color="000000"/>
              <w:right w:val="single" w:sz="4" w:space="0" w:color="auto"/>
            </w:tcBorders>
            <w:vAlign w:val="center"/>
            <w:hideMark/>
          </w:tcPr>
          <w:p w:rsidR="009E2F1B" w:rsidRPr="008D5FA8" w:rsidRDefault="009E2F1B" w:rsidP="00E41381">
            <w:pPr>
              <w:spacing w:after="0" w:line="240" w:lineRule="auto"/>
              <w:rPr>
                <w:rFonts w:ascii="Times New Roman" w:eastAsia="Times New Roman" w:hAnsi="Times New Roman"/>
                <w:b/>
                <w:bCs/>
                <w:color w:val="000000"/>
                <w:sz w:val="20"/>
                <w:szCs w:val="20"/>
                <w:lang w:val="es-ES_tradnl" w:eastAsia="pt-BR"/>
              </w:rPr>
            </w:pPr>
          </w:p>
        </w:tc>
      </w:tr>
      <w:tr w:rsidR="009E2F1B" w:rsidRPr="008D5FA8" w:rsidTr="00E41381">
        <w:trPr>
          <w:trHeight w:val="56"/>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8D5FA8">
              <w:rPr>
                <w:rFonts w:ascii="Times New Roman" w:eastAsia="Times New Roman" w:hAnsi="Times New Roman"/>
                <w:b/>
                <w:bCs/>
                <w:color w:val="000000"/>
                <w:sz w:val="20"/>
                <w:szCs w:val="20"/>
                <w:lang w:val="es-ES_tradnl" w:eastAsia="pt-BR"/>
              </w:rPr>
              <w:t>2012</w:t>
            </w:r>
          </w:p>
        </w:tc>
        <w:tc>
          <w:tcPr>
            <w:tcW w:w="1318"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756,202</w:t>
            </w:r>
          </w:p>
        </w:tc>
        <w:tc>
          <w:tcPr>
            <w:tcW w:w="1511"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170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right"/>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128,554,340</w:t>
            </w:r>
          </w:p>
        </w:tc>
        <w:tc>
          <w:tcPr>
            <w:tcW w:w="1511"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170</w:t>
            </w:r>
          </w:p>
        </w:tc>
        <w:tc>
          <w:tcPr>
            <w:tcW w:w="1279" w:type="dxa"/>
            <w:tcBorders>
              <w:top w:val="nil"/>
              <w:left w:val="nil"/>
              <w:bottom w:val="single" w:sz="4" w:space="0" w:color="auto"/>
              <w:right w:val="single" w:sz="4" w:space="0" w:color="auto"/>
            </w:tcBorders>
            <w:shd w:val="clear" w:color="auto" w:fill="auto"/>
            <w:noWrap/>
            <w:vAlign w:val="center"/>
            <w:hideMark/>
          </w:tcPr>
          <w:p w:rsidR="009E2F1B" w:rsidRPr="00EF31DF"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EF31DF">
              <w:rPr>
                <w:rFonts w:ascii="Times New Roman" w:eastAsia="Times New Roman" w:hAnsi="Times New Roman"/>
                <w:color w:val="000000"/>
                <w:sz w:val="20"/>
                <w:szCs w:val="20"/>
                <w:lang w:val="es-ES_tradnl" w:eastAsia="pt-BR"/>
              </w:rPr>
              <w:t>128,554,340</w:t>
            </w:r>
          </w:p>
        </w:tc>
        <w:tc>
          <w:tcPr>
            <w:tcW w:w="1170" w:type="dxa"/>
            <w:tcBorders>
              <w:top w:val="nil"/>
              <w:left w:val="single" w:sz="4" w:space="0" w:color="auto"/>
              <w:bottom w:val="single" w:sz="4" w:space="0" w:color="auto"/>
              <w:right w:val="single" w:sz="4" w:space="0" w:color="auto"/>
            </w:tcBorders>
            <w:shd w:val="clear" w:color="auto" w:fill="auto"/>
            <w:vAlign w:val="center"/>
            <w:hideMark/>
          </w:tcPr>
          <w:p w:rsidR="009E2F1B" w:rsidRPr="00EF31DF"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EF31DF">
              <w:rPr>
                <w:rFonts w:ascii="Times New Roman" w:eastAsia="Times New Roman" w:hAnsi="Times New Roman"/>
                <w:color w:val="000000"/>
                <w:sz w:val="20"/>
                <w:szCs w:val="20"/>
                <w:lang w:val="es-ES_tradnl" w:eastAsia="pt-BR"/>
              </w:rPr>
              <w:t>0</w:t>
            </w:r>
          </w:p>
        </w:tc>
      </w:tr>
      <w:tr w:rsidR="009E2F1B" w:rsidRPr="008D5FA8" w:rsidTr="00E41381">
        <w:trPr>
          <w:trHeight w:val="56"/>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E2F1B" w:rsidRPr="008D5FA8"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8D5FA8">
              <w:rPr>
                <w:rFonts w:ascii="Times New Roman" w:eastAsia="Times New Roman" w:hAnsi="Times New Roman"/>
                <w:b/>
                <w:bCs/>
                <w:color w:val="000000"/>
                <w:sz w:val="20"/>
                <w:szCs w:val="20"/>
                <w:lang w:val="es-ES_tradnl" w:eastAsia="pt-BR"/>
              </w:rPr>
              <w:t>2013</w:t>
            </w:r>
          </w:p>
        </w:tc>
        <w:tc>
          <w:tcPr>
            <w:tcW w:w="1318"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775,107</w:t>
            </w:r>
          </w:p>
        </w:tc>
        <w:tc>
          <w:tcPr>
            <w:tcW w:w="1511"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170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right"/>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131,768,199</w:t>
            </w:r>
          </w:p>
        </w:tc>
        <w:tc>
          <w:tcPr>
            <w:tcW w:w="1511"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170</w:t>
            </w:r>
          </w:p>
        </w:tc>
        <w:tc>
          <w:tcPr>
            <w:tcW w:w="1279" w:type="dxa"/>
            <w:tcBorders>
              <w:top w:val="nil"/>
              <w:left w:val="nil"/>
              <w:bottom w:val="single" w:sz="4" w:space="0" w:color="auto"/>
              <w:right w:val="single" w:sz="4" w:space="0" w:color="auto"/>
            </w:tcBorders>
            <w:shd w:val="clear" w:color="auto" w:fill="auto"/>
            <w:noWrap/>
            <w:vAlign w:val="center"/>
            <w:hideMark/>
          </w:tcPr>
          <w:p w:rsidR="009E2F1B" w:rsidRPr="00EF31DF"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EF31DF">
              <w:rPr>
                <w:rFonts w:ascii="Times New Roman" w:eastAsia="Times New Roman" w:hAnsi="Times New Roman"/>
                <w:color w:val="000000"/>
                <w:sz w:val="20"/>
                <w:szCs w:val="20"/>
                <w:lang w:val="es-ES_tradnl" w:eastAsia="pt-BR"/>
              </w:rPr>
              <w:t>131,768,199</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2F1B" w:rsidRPr="00EF31DF"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EF31DF">
              <w:rPr>
                <w:rFonts w:ascii="Times New Roman" w:eastAsia="Times New Roman" w:hAnsi="Times New Roman"/>
                <w:color w:val="000000"/>
                <w:sz w:val="20"/>
                <w:szCs w:val="20"/>
                <w:lang w:val="es-ES_tradnl" w:eastAsia="pt-BR"/>
              </w:rPr>
              <w:t>0</w:t>
            </w:r>
          </w:p>
        </w:tc>
      </w:tr>
      <w:tr w:rsidR="009E2F1B" w:rsidRPr="008D5FA8" w:rsidTr="00E41381">
        <w:trPr>
          <w:trHeight w:val="39"/>
        </w:trPr>
        <w:tc>
          <w:tcPr>
            <w:tcW w:w="587" w:type="dxa"/>
            <w:tcBorders>
              <w:top w:val="nil"/>
              <w:left w:val="single" w:sz="4" w:space="0" w:color="auto"/>
              <w:bottom w:val="nil"/>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8D5FA8">
              <w:rPr>
                <w:rFonts w:ascii="Times New Roman" w:eastAsia="Times New Roman" w:hAnsi="Times New Roman"/>
                <w:b/>
                <w:bCs/>
                <w:color w:val="000000"/>
                <w:sz w:val="20"/>
                <w:szCs w:val="20"/>
                <w:lang w:val="es-ES_tradnl" w:eastAsia="pt-BR"/>
              </w:rPr>
              <w:t>2014</w:t>
            </w:r>
          </w:p>
        </w:tc>
        <w:tc>
          <w:tcPr>
            <w:tcW w:w="1318"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794,485</w:t>
            </w:r>
          </w:p>
        </w:tc>
        <w:tc>
          <w:tcPr>
            <w:tcW w:w="1511" w:type="dxa"/>
            <w:tcBorders>
              <w:top w:val="nil"/>
              <w:left w:val="nil"/>
              <w:bottom w:val="nil"/>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170</w:t>
            </w:r>
          </w:p>
        </w:tc>
        <w:tc>
          <w:tcPr>
            <w:tcW w:w="1174" w:type="dxa"/>
            <w:tcBorders>
              <w:top w:val="nil"/>
              <w:left w:val="nil"/>
              <w:bottom w:val="nil"/>
              <w:right w:val="single" w:sz="4" w:space="0" w:color="auto"/>
            </w:tcBorders>
            <w:shd w:val="clear" w:color="auto" w:fill="auto"/>
            <w:noWrap/>
            <w:vAlign w:val="center"/>
            <w:hideMark/>
          </w:tcPr>
          <w:p w:rsidR="009E2F1B" w:rsidRPr="008D5FA8" w:rsidRDefault="009E2F1B" w:rsidP="00E41381">
            <w:pPr>
              <w:spacing w:after="0" w:line="240" w:lineRule="auto"/>
              <w:jc w:val="right"/>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135,062,403</w:t>
            </w:r>
          </w:p>
        </w:tc>
        <w:tc>
          <w:tcPr>
            <w:tcW w:w="1511" w:type="dxa"/>
            <w:tcBorders>
              <w:top w:val="nil"/>
              <w:left w:val="nil"/>
              <w:bottom w:val="nil"/>
              <w:right w:val="single" w:sz="4" w:space="0" w:color="auto"/>
            </w:tcBorders>
            <w:shd w:val="clear" w:color="auto" w:fill="auto"/>
            <w:noWrap/>
            <w:hideMark/>
          </w:tcPr>
          <w:p w:rsidR="009E2F1B" w:rsidRPr="00E026C6" w:rsidRDefault="009E2F1B" w:rsidP="00B445FA">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w:t>
            </w:r>
            <w:r w:rsidR="00B445FA">
              <w:rPr>
                <w:rFonts w:ascii="Times New Roman" w:eastAsia="Times New Roman" w:hAnsi="Times New Roman"/>
                <w:color w:val="000000"/>
                <w:sz w:val="20"/>
                <w:szCs w:val="20"/>
                <w:lang w:val="es-ES_tradnl" w:eastAsia="pt-BR"/>
              </w:rPr>
              <w:t>7</w:t>
            </w:r>
            <w:r w:rsidRPr="008D5FA8">
              <w:rPr>
                <w:rFonts w:ascii="Times New Roman" w:eastAsia="Times New Roman" w:hAnsi="Times New Roman"/>
                <w:color w:val="000000"/>
                <w:sz w:val="20"/>
                <w:szCs w:val="20"/>
                <w:lang w:val="es-ES_tradnl" w:eastAsia="pt-BR"/>
              </w:rPr>
              <w:t>0</w:t>
            </w:r>
          </w:p>
        </w:tc>
        <w:tc>
          <w:tcPr>
            <w:tcW w:w="1279" w:type="dxa"/>
            <w:tcBorders>
              <w:top w:val="nil"/>
              <w:left w:val="nil"/>
              <w:bottom w:val="nil"/>
              <w:right w:val="single" w:sz="4" w:space="0" w:color="auto"/>
            </w:tcBorders>
            <w:shd w:val="clear" w:color="auto" w:fill="auto"/>
            <w:noWrap/>
            <w:vAlign w:val="center"/>
            <w:hideMark/>
          </w:tcPr>
          <w:p w:rsidR="009E2F1B" w:rsidRPr="00EF31DF"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EF31DF">
              <w:rPr>
                <w:rFonts w:ascii="Times New Roman" w:eastAsia="Times New Roman" w:hAnsi="Times New Roman"/>
                <w:color w:val="000000"/>
                <w:sz w:val="20"/>
                <w:szCs w:val="20"/>
                <w:lang w:val="es-ES_tradnl" w:eastAsia="pt-BR"/>
              </w:rPr>
              <w:t>135,062,403</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2F1B" w:rsidRPr="00EF31DF"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EF31DF">
              <w:rPr>
                <w:rFonts w:ascii="Times New Roman" w:eastAsia="Times New Roman" w:hAnsi="Times New Roman"/>
                <w:color w:val="000000"/>
                <w:sz w:val="20"/>
                <w:szCs w:val="20"/>
                <w:lang w:val="es-ES_tradnl" w:eastAsia="pt-BR"/>
              </w:rPr>
              <w:t>0</w:t>
            </w:r>
          </w:p>
        </w:tc>
      </w:tr>
      <w:tr w:rsidR="009E2F1B" w:rsidRPr="008D5FA8" w:rsidTr="00E41381">
        <w:trPr>
          <w:trHeight w:val="39"/>
        </w:trPr>
        <w:tc>
          <w:tcPr>
            <w:tcW w:w="5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E2F1B" w:rsidRPr="008D5FA8"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8D5FA8">
              <w:rPr>
                <w:rFonts w:ascii="Times New Roman" w:eastAsia="Times New Roman" w:hAnsi="Times New Roman"/>
                <w:b/>
                <w:bCs/>
                <w:color w:val="000000"/>
                <w:sz w:val="20"/>
                <w:szCs w:val="20"/>
                <w:lang w:val="es-ES_tradnl" w:eastAsia="pt-BR"/>
              </w:rPr>
              <w:t>2015</w:t>
            </w:r>
          </w:p>
        </w:tc>
        <w:tc>
          <w:tcPr>
            <w:tcW w:w="1318"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814,347</w:t>
            </w:r>
          </w:p>
        </w:tc>
        <w:tc>
          <w:tcPr>
            <w:tcW w:w="1511" w:type="dxa"/>
            <w:tcBorders>
              <w:top w:val="single" w:sz="4" w:space="0" w:color="auto"/>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170</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right"/>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138,438,964</w:t>
            </w:r>
          </w:p>
        </w:tc>
        <w:tc>
          <w:tcPr>
            <w:tcW w:w="1511" w:type="dxa"/>
            <w:tcBorders>
              <w:top w:val="single" w:sz="4" w:space="0" w:color="auto"/>
              <w:left w:val="nil"/>
              <w:bottom w:val="single" w:sz="4" w:space="0" w:color="auto"/>
              <w:right w:val="single" w:sz="4" w:space="0" w:color="auto"/>
            </w:tcBorders>
            <w:shd w:val="clear" w:color="auto" w:fill="auto"/>
            <w:noWrap/>
            <w:hideMark/>
          </w:tcPr>
          <w:p w:rsidR="009E2F1B" w:rsidRPr="00E026C6"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120</w:t>
            </w:r>
          </w:p>
        </w:tc>
        <w:tc>
          <w:tcPr>
            <w:tcW w:w="1279" w:type="dxa"/>
            <w:tcBorders>
              <w:top w:val="single" w:sz="4" w:space="0" w:color="auto"/>
              <w:left w:val="nil"/>
              <w:bottom w:val="single" w:sz="4" w:space="0" w:color="auto"/>
              <w:right w:val="single" w:sz="4" w:space="0" w:color="auto"/>
            </w:tcBorders>
            <w:shd w:val="clear" w:color="auto" w:fill="auto"/>
            <w:noWrap/>
            <w:vAlign w:val="center"/>
            <w:hideMark/>
          </w:tcPr>
          <w:p w:rsidR="009E2F1B" w:rsidRPr="00EF31DF"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EF31DF">
              <w:rPr>
                <w:rFonts w:ascii="Times New Roman" w:eastAsia="Times New Roman" w:hAnsi="Times New Roman"/>
                <w:color w:val="000000"/>
                <w:sz w:val="20"/>
                <w:szCs w:val="20"/>
                <w:lang w:val="es-ES_tradnl" w:eastAsia="pt-BR"/>
              </w:rPr>
              <w:t>97,721,621</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2F1B" w:rsidRPr="00EF31DF"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EF31DF">
              <w:rPr>
                <w:rFonts w:ascii="Times New Roman" w:eastAsia="Times New Roman" w:hAnsi="Times New Roman"/>
                <w:color w:val="000000"/>
                <w:sz w:val="20"/>
                <w:szCs w:val="20"/>
                <w:lang w:val="es-ES_tradnl" w:eastAsia="pt-BR"/>
              </w:rPr>
              <w:t>40,717,342</w:t>
            </w:r>
          </w:p>
        </w:tc>
      </w:tr>
      <w:tr w:rsidR="009E2F1B" w:rsidRPr="008D5FA8" w:rsidTr="00E41381">
        <w:trPr>
          <w:trHeight w:val="39"/>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E2F1B" w:rsidRPr="008D5FA8"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8D5FA8">
              <w:rPr>
                <w:rFonts w:ascii="Times New Roman" w:eastAsia="Times New Roman" w:hAnsi="Times New Roman"/>
                <w:b/>
                <w:bCs/>
                <w:color w:val="000000"/>
                <w:sz w:val="20"/>
                <w:szCs w:val="20"/>
                <w:lang w:val="es-ES_tradnl" w:eastAsia="pt-BR"/>
              </w:rPr>
              <w:t>2016</w:t>
            </w:r>
          </w:p>
        </w:tc>
        <w:tc>
          <w:tcPr>
            <w:tcW w:w="1318"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834,706</w:t>
            </w:r>
          </w:p>
        </w:tc>
        <w:tc>
          <w:tcPr>
            <w:tcW w:w="1511"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170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right"/>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141,899,938</w:t>
            </w:r>
          </w:p>
        </w:tc>
        <w:tc>
          <w:tcPr>
            <w:tcW w:w="1511" w:type="dxa"/>
            <w:tcBorders>
              <w:top w:val="nil"/>
              <w:left w:val="nil"/>
              <w:bottom w:val="single" w:sz="4" w:space="0" w:color="auto"/>
              <w:right w:val="single" w:sz="4" w:space="0" w:color="auto"/>
            </w:tcBorders>
            <w:shd w:val="clear" w:color="auto" w:fill="auto"/>
            <w:noWrap/>
            <w:hideMark/>
          </w:tcPr>
          <w:p w:rsidR="009E2F1B" w:rsidRPr="00E026C6"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120</w:t>
            </w:r>
          </w:p>
        </w:tc>
        <w:tc>
          <w:tcPr>
            <w:tcW w:w="1279" w:type="dxa"/>
            <w:tcBorders>
              <w:top w:val="nil"/>
              <w:left w:val="nil"/>
              <w:bottom w:val="single" w:sz="4" w:space="0" w:color="auto"/>
              <w:right w:val="single" w:sz="4" w:space="0" w:color="auto"/>
            </w:tcBorders>
            <w:shd w:val="clear" w:color="auto" w:fill="auto"/>
            <w:noWrap/>
            <w:vAlign w:val="center"/>
            <w:hideMark/>
          </w:tcPr>
          <w:p w:rsidR="009E2F1B" w:rsidRPr="00EF31DF"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EF31DF">
              <w:rPr>
                <w:rFonts w:ascii="Times New Roman" w:eastAsia="Times New Roman" w:hAnsi="Times New Roman"/>
                <w:color w:val="000000"/>
                <w:sz w:val="20"/>
                <w:szCs w:val="20"/>
                <w:lang w:val="es-ES_tradnl" w:eastAsia="pt-BR"/>
              </w:rPr>
              <w:t>100,164,662</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2F1B" w:rsidRPr="00EF31DF"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EF31DF">
              <w:rPr>
                <w:rFonts w:ascii="Times New Roman" w:eastAsia="Times New Roman" w:hAnsi="Times New Roman"/>
                <w:color w:val="000000"/>
                <w:sz w:val="20"/>
                <w:szCs w:val="20"/>
                <w:lang w:val="es-ES_tradnl" w:eastAsia="pt-BR"/>
              </w:rPr>
              <w:t>41,735,276</w:t>
            </w:r>
          </w:p>
        </w:tc>
      </w:tr>
      <w:tr w:rsidR="009E2F1B" w:rsidRPr="008D5FA8" w:rsidTr="00E41381">
        <w:trPr>
          <w:trHeight w:val="39"/>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E2F1B" w:rsidRPr="008D5FA8"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8D5FA8">
              <w:rPr>
                <w:rFonts w:ascii="Times New Roman" w:eastAsia="Times New Roman" w:hAnsi="Times New Roman"/>
                <w:b/>
                <w:bCs/>
                <w:color w:val="000000"/>
                <w:sz w:val="20"/>
                <w:szCs w:val="20"/>
                <w:lang w:val="es-ES_tradnl" w:eastAsia="pt-BR"/>
              </w:rPr>
              <w:t>2017</w:t>
            </w:r>
          </w:p>
        </w:tc>
        <w:tc>
          <w:tcPr>
            <w:tcW w:w="1318"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855,573</w:t>
            </w:r>
          </w:p>
        </w:tc>
        <w:tc>
          <w:tcPr>
            <w:tcW w:w="1511"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170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right"/>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145,447,436</w:t>
            </w:r>
          </w:p>
        </w:tc>
        <w:tc>
          <w:tcPr>
            <w:tcW w:w="1511" w:type="dxa"/>
            <w:tcBorders>
              <w:top w:val="nil"/>
              <w:left w:val="nil"/>
              <w:bottom w:val="single" w:sz="4" w:space="0" w:color="auto"/>
              <w:right w:val="single" w:sz="4" w:space="0" w:color="auto"/>
            </w:tcBorders>
            <w:shd w:val="clear" w:color="auto" w:fill="auto"/>
            <w:noWrap/>
            <w:hideMark/>
          </w:tcPr>
          <w:p w:rsidR="009E2F1B" w:rsidRPr="00E026C6"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120</w:t>
            </w:r>
          </w:p>
        </w:tc>
        <w:tc>
          <w:tcPr>
            <w:tcW w:w="1279" w:type="dxa"/>
            <w:tcBorders>
              <w:top w:val="nil"/>
              <w:left w:val="nil"/>
              <w:bottom w:val="single" w:sz="4" w:space="0" w:color="auto"/>
              <w:right w:val="single" w:sz="4" w:space="0" w:color="auto"/>
            </w:tcBorders>
            <w:shd w:val="clear" w:color="auto" w:fill="auto"/>
            <w:noWrap/>
            <w:vAlign w:val="center"/>
            <w:hideMark/>
          </w:tcPr>
          <w:p w:rsidR="009E2F1B" w:rsidRPr="00EF31DF"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EF31DF">
              <w:rPr>
                <w:rFonts w:ascii="Times New Roman" w:eastAsia="Times New Roman" w:hAnsi="Times New Roman"/>
                <w:color w:val="000000"/>
                <w:sz w:val="20"/>
                <w:szCs w:val="20"/>
                <w:lang w:val="es-ES_tradnl" w:eastAsia="pt-BR"/>
              </w:rPr>
              <w:t>102,668,778</w:t>
            </w:r>
          </w:p>
        </w:tc>
        <w:tc>
          <w:tcPr>
            <w:tcW w:w="1170" w:type="dxa"/>
            <w:tcBorders>
              <w:top w:val="nil"/>
              <w:left w:val="single" w:sz="4" w:space="0" w:color="auto"/>
              <w:bottom w:val="single" w:sz="4" w:space="0" w:color="auto"/>
              <w:right w:val="single" w:sz="4" w:space="0" w:color="auto"/>
            </w:tcBorders>
            <w:shd w:val="clear" w:color="auto" w:fill="auto"/>
            <w:vAlign w:val="center"/>
            <w:hideMark/>
          </w:tcPr>
          <w:p w:rsidR="009E2F1B" w:rsidRPr="00EF31DF"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EF31DF">
              <w:rPr>
                <w:rFonts w:ascii="Times New Roman" w:eastAsia="Times New Roman" w:hAnsi="Times New Roman"/>
                <w:color w:val="000000"/>
                <w:sz w:val="20"/>
                <w:szCs w:val="20"/>
                <w:lang w:val="es-ES_tradnl" w:eastAsia="pt-BR"/>
              </w:rPr>
              <w:t>42,778,658</w:t>
            </w:r>
          </w:p>
        </w:tc>
      </w:tr>
      <w:tr w:rsidR="009E2F1B" w:rsidRPr="008D5FA8" w:rsidTr="00E41381">
        <w:trPr>
          <w:trHeight w:val="39"/>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E2F1B" w:rsidRPr="008D5FA8"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8D5FA8">
              <w:rPr>
                <w:rFonts w:ascii="Times New Roman" w:eastAsia="Times New Roman" w:hAnsi="Times New Roman"/>
                <w:b/>
                <w:bCs/>
                <w:color w:val="000000"/>
                <w:sz w:val="20"/>
                <w:szCs w:val="20"/>
                <w:lang w:val="es-ES_tradnl" w:eastAsia="pt-BR"/>
              </w:rPr>
              <w:t>2018</w:t>
            </w:r>
          </w:p>
        </w:tc>
        <w:tc>
          <w:tcPr>
            <w:tcW w:w="1318"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876,962</w:t>
            </w:r>
          </w:p>
        </w:tc>
        <w:tc>
          <w:tcPr>
            <w:tcW w:w="1511"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170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right"/>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149,083,622</w:t>
            </w:r>
          </w:p>
        </w:tc>
        <w:tc>
          <w:tcPr>
            <w:tcW w:w="1511"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B445FA">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w:t>
            </w:r>
            <w:r w:rsidR="00B445FA">
              <w:rPr>
                <w:rFonts w:ascii="Times New Roman" w:eastAsia="Times New Roman" w:hAnsi="Times New Roman"/>
                <w:color w:val="000000"/>
                <w:sz w:val="20"/>
                <w:szCs w:val="20"/>
                <w:lang w:val="es-ES_tradnl" w:eastAsia="pt-BR"/>
              </w:rPr>
              <w:t>0</w:t>
            </w:r>
            <w:r w:rsidRPr="008D5FA8">
              <w:rPr>
                <w:rFonts w:ascii="Times New Roman" w:eastAsia="Times New Roman" w:hAnsi="Times New Roman"/>
                <w:color w:val="000000"/>
                <w:sz w:val="20"/>
                <w:szCs w:val="20"/>
                <w:lang w:val="es-ES_tradnl" w:eastAsia="pt-BR"/>
              </w:rPr>
              <w:t>0</w:t>
            </w:r>
          </w:p>
        </w:tc>
        <w:tc>
          <w:tcPr>
            <w:tcW w:w="1279" w:type="dxa"/>
            <w:tcBorders>
              <w:top w:val="nil"/>
              <w:left w:val="nil"/>
              <w:bottom w:val="single" w:sz="4" w:space="0" w:color="auto"/>
              <w:right w:val="single" w:sz="4" w:space="0" w:color="auto"/>
            </w:tcBorders>
            <w:shd w:val="clear" w:color="auto" w:fill="auto"/>
            <w:noWrap/>
            <w:vAlign w:val="center"/>
            <w:hideMark/>
          </w:tcPr>
          <w:p w:rsidR="009E2F1B" w:rsidRPr="00EF31DF"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EF31DF">
              <w:rPr>
                <w:rFonts w:ascii="Times New Roman" w:eastAsia="Times New Roman" w:hAnsi="Times New Roman"/>
                <w:color w:val="000000"/>
                <w:sz w:val="20"/>
                <w:szCs w:val="20"/>
                <w:lang w:val="es-ES_tradnl" w:eastAsia="pt-BR"/>
              </w:rPr>
              <w:t>87,696,248</w:t>
            </w:r>
          </w:p>
        </w:tc>
        <w:tc>
          <w:tcPr>
            <w:tcW w:w="1170" w:type="dxa"/>
            <w:tcBorders>
              <w:top w:val="nil"/>
              <w:left w:val="single" w:sz="4" w:space="0" w:color="auto"/>
              <w:bottom w:val="single" w:sz="4" w:space="0" w:color="auto"/>
              <w:right w:val="single" w:sz="4" w:space="0" w:color="auto"/>
            </w:tcBorders>
            <w:shd w:val="clear" w:color="auto" w:fill="auto"/>
            <w:vAlign w:val="center"/>
            <w:hideMark/>
          </w:tcPr>
          <w:p w:rsidR="009E2F1B" w:rsidRPr="00EF31DF"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EF31DF">
              <w:rPr>
                <w:rFonts w:ascii="Times New Roman" w:eastAsia="Times New Roman" w:hAnsi="Times New Roman"/>
                <w:color w:val="000000"/>
                <w:sz w:val="20"/>
                <w:szCs w:val="20"/>
                <w:lang w:val="es-ES_tradnl" w:eastAsia="pt-BR"/>
              </w:rPr>
              <w:t>61,387,374</w:t>
            </w:r>
          </w:p>
        </w:tc>
      </w:tr>
      <w:tr w:rsidR="009E2F1B" w:rsidRPr="008D5FA8" w:rsidTr="00E41381">
        <w:trPr>
          <w:trHeight w:val="39"/>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E2F1B" w:rsidRPr="008D5FA8"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8D5FA8">
              <w:rPr>
                <w:rFonts w:ascii="Times New Roman" w:eastAsia="Times New Roman" w:hAnsi="Times New Roman"/>
                <w:b/>
                <w:bCs/>
                <w:color w:val="000000"/>
                <w:sz w:val="20"/>
                <w:szCs w:val="20"/>
                <w:lang w:val="es-ES_tradnl" w:eastAsia="pt-BR"/>
              </w:rPr>
              <w:t>2019</w:t>
            </w:r>
          </w:p>
        </w:tc>
        <w:tc>
          <w:tcPr>
            <w:tcW w:w="1318"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898,887</w:t>
            </w:r>
          </w:p>
        </w:tc>
        <w:tc>
          <w:tcPr>
            <w:tcW w:w="1511"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170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right"/>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152,810,713</w:t>
            </w:r>
          </w:p>
        </w:tc>
        <w:tc>
          <w:tcPr>
            <w:tcW w:w="1511"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B445FA">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w:t>
            </w:r>
            <w:r w:rsidR="00B445FA">
              <w:rPr>
                <w:rFonts w:ascii="Times New Roman" w:eastAsia="Times New Roman" w:hAnsi="Times New Roman"/>
                <w:color w:val="000000"/>
                <w:sz w:val="20"/>
                <w:szCs w:val="20"/>
                <w:lang w:val="es-ES_tradnl" w:eastAsia="pt-BR"/>
              </w:rPr>
              <w:t>0</w:t>
            </w:r>
            <w:r w:rsidRPr="008D5FA8">
              <w:rPr>
                <w:rFonts w:ascii="Times New Roman" w:eastAsia="Times New Roman" w:hAnsi="Times New Roman"/>
                <w:color w:val="000000"/>
                <w:sz w:val="20"/>
                <w:szCs w:val="20"/>
                <w:lang w:val="es-ES_tradnl" w:eastAsia="pt-BR"/>
              </w:rPr>
              <w:t>0</w:t>
            </w:r>
          </w:p>
        </w:tc>
        <w:tc>
          <w:tcPr>
            <w:tcW w:w="1279" w:type="dxa"/>
            <w:tcBorders>
              <w:top w:val="nil"/>
              <w:left w:val="nil"/>
              <w:bottom w:val="single" w:sz="4" w:space="0" w:color="auto"/>
              <w:right w:val="single" w:sz="4" w:space="0" w:color="auto"/>
            </w:tcBorders>
            <w:shd w:val="clear" w:color="auto" w:fill="auto"/>
            <w:noWrap/>
            <w:vAlign w:val="center"/>
            <w:hideMark/>
          </w:tcPr>
          <w:p w:rsidR="009E2F1B" w:rsidRPr="00EF31DF"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EF31DF">
              <w:rPr>
                <w:rFonts w:ascii="Times New Roman" w:eastAsia="Times New Roman" w:hAnsi="Times New Roman"/>
                <w:color w:val="000000"/>
                <w:sz w:val="20"/>
                <w:szCs w:val="20"/>
                <w:lang w:val="es-ES_tradnl" w:eastAsia="pt-BR"/>
              </w:rPr>
              <w:t>89,888,654</w:t>
            </w:r>
          </w:p>
        </w:tc>
        <w:tc>
          <w:tcPr>
            <w:tcW w:w="1170" w:type="dxa"/>
            <w:tcBorders>
              <w:top w:val="nil"/>
              <w:left w:val="single" w:sz="4" w:space="0" w:color="auto"/>
              <w:bottom w:val="single" w:sz="4" w:space="0" w:color="auto"/>
              <w:right w:val="single" w:sz="4" w:space="0" w:color="auto"/>
            </w:tcBorders>
            <w:shd w:val="clear" w:color="auto" w:fill="auto"/>
            <w:vAlign w:val="center"/>
            <w:hideMark/>
          </w:tcPr>
          <w:p w:rsidR="009E2F1B" w:rsidRPr="00EF31DF"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EF31DF">
              <w:rPr>
                <w:rFonts w:ascii="Times New Roman" w:eastAsia="Times New Roman" w:hAnsi="Times New Roman"/>
                <w:color w:val="000000"/>
                <w:sz w:val="20"/>
                <w:szCs w:val="20"/>
                <w:lang w:val="es-ES_tradnl" w:eastAsia="pt-BR"/>
              </w:rPr>
              <w:t>62,922,058</w:t>
            </w:r>
          </w:p>
        </w:tc>
      </w:tr>
      <w:tr w:rsidR="009E2F1B" w:rsidRPr="008D5FA8" w:rsidTr="00E41381">
        <w:trPr>
          <w:trHeight w:val="39"/>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E2F1B" w:rsidRPr="008D5FA8"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8D5FA8">
              <w:rPr>
                <w:rFonts w:ascii="Times New Roman" w:eastAsia="Times New Roman" w:hAnsi="Times New Roman"/>
                <w:b/>
                <w:bCs/>
                <w:color w:val="000000"/>
                <w:sz w:val="20"/>
                <w:szCs w:val="20"/>
                <w:lang w:val="es-ES_tradnl" w:eastAsia="pt-BR"/>
              </w:rPr>
              <w:t>2020</w:t>
            </w:r>
          </w:p>
        </w:tc>
        <w:tc>
          <w:tcPr>
            <w:tcW w:w="1318"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921,359</w:t>
            </w:r>
          </w:p>
        </w:tc>
        <w:tc>
          <w:tcPr>
            <w:tcW w:w="1511"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170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right"/>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156,630,980</w:t>
            </w:r>
          </w:p>
        </w:tc>
        <w:tc>
          <w:tcPr>
            <w:tcW w:w="1511"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B445FA">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w:t>
            </w:r>
            <w:r w:rsidR="00B445FA">
              <w:rPr>
                <w:rFonts w:ascii="Times New Roman" w:eastAsia="Times New Roman" w:hAnsi="Times New Roman"/>
                <w:color w:val="000000"/>
                <w:sz w:val="20"/>
                <w:szCs w:val="20"/>
                <w:lang w:val="es-ES_tradnl" w:eastAsia="pt-BR"/>
              </w:rPr>
              <w:t>0</w:t>
            </w:r>
            <w:r w:rsidRPr="008D5FA8">
              <w:rPr>
                <w:rFonts w:ascii="Times New Roman" w:eastAsia="Times New Roman" w:hAnsi="Times New Roman"/>
                <w:color w:val="000000"/>
                <w:sz w:val="20"/>
                <w:szCs w:val="20"/>
                <w:lang w:val="es-ES_tradnl" w:eastAsia="pt-BR"/>
              </w:rPr>
              <w:t>0</w:t>
            </w:r>
          </w:p>
        </w:tc>
        <w:tc>
          <w:tcPr>
            <w:tcW w:w="1279" w:type="dxa"/>
            <w:tcBorders>
              <w:top w:val="nil"/>
              <w:left w:val="nil"/>
              <w:bottom w:val="single" w:sz="4" w:space="0" w:color="auto"/>
              <w:right w:val="single" w:sz="4" w:space="0" w:color="auto"/>
            </w:tcBorders>
            <w:shd w:val="clear" w:color="auto" w:fill="auto"/>
            <w:noWrap/>
            <w:vAlign w:val="center"/>
            <w:hideMark/>
          </w:tcPr>
          <w:p w:rsidR="009E2F1B" w:rsidRPr="00EF31DF"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EF31DF">
              <w:rPr>
                <w:rFonts w:ascii="Times New Roman" w:eastAsia="Times New Roman" w:hAnsi="Times New Roman"/>
                <w:color w:val="000000"/>
                <w:sz w:val="20"/>
                <w:szCs w:val="20"/>
                <w:lang w:val="es-ES_tradnl" w:eastAsia="pt-BR"/>
              </w:rPr>
              <w:t>92,135,871</w:t>
            </w:r>
          </w:p>
        </w:tc>
        <w:tc>
          <w:tcPr>
            <w:tcW w:w="1170" w:type="dxa"/>
            <w:tcBorders>
              <w:top w:val="nil"/>
              <w:left w:val="single" w:sz="4" w:space="0" w:color="auto"/>
              <w:bottom w:val="single" w:sz="4" w:space="0" w:color="auto"/>
              <w:right w:val="single" w:sz="4" w:space="0" w:color="auto"/>
            </w:tcBorders>
            <w:shd w:val="clear" w:color="auto" w:fill="auto"/>
            <w:vAlign w:val="center"/>
            <w:hideMark/>
          </w:tcPr>
          <w:p w:rsidR="009E2F1B" w:rsidRPr="00EF31DF"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EF31DF">
              <w:rPr>
                <w:rFonts w:ascii="Times New Roman" w:eastAsia="Times New Roman" w:hAnsi="Times New Roman"/>
                <w:color w:val="000000"/>
                <w:sz w:val="20"/>
                <w:szCs w:val="20"/>
                <w:lang w:val="es-ES_tradnl" w:eastAsia="pt-BR"/>
              </w:rPr>
              <w:t>64,495,110</w:t>
            </w:r>
          </w:p>
        </w:tc>
      </w:tr>
      <w:tr w:rsidR="009E2F1B" w:rsidRPr="008D5FA8" w:rsidTr="00E41381">
        <w:trPr>
          <w:trHeight w:val="39"/>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E2F1B" w:rsidRPr="008D5FA8"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8D5FA8">
              <w:rPr>
                <w:rFonts w:ascii="Times New Roman" w:eastAsia="Times New Roman" w:hAnsi="Times New Roman"/>
                <w:b/>
                <w:bCs/>
                <w:color w:val="000000"/>
                <w:sz w:val="20"/>
                <w:szCs w:val="20"/>
                <w:lang w:val="es-ES_tradnl" w:eastAsia="pt-BR"/>
              </w:rPr>
              <w:t>2021</w:t>
            </w:r>
          </w:p>
        </w:tc>
        <w:tc>
          <w:tcPr>
            <w:tcW w:w="1318"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944,393</w:t>
            </w:r>
          </w:p>
        </w:tc>
        <w:tc>
          <w:tcPr>
            <w:tcW w:w="1511"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170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right"/>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160,546,755</w:t>
            </w:r>
          </w:p>
        </w:tc>
        <w:tc>
          <w:tcPr>
            <w:tcW w:w="1511"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100</w:t>
            </w:r>
          </w:p>
        </w:tc>
        <w:tc>
          <w:tcPr>
            <w:tcW w:w="1279" w:type="dxa"/>
            <w:tcBorders>
              <w:top w:val="nil"/>
              <w:left w:val="nil"/>
              <w:bottom w:val="single" w:sz="4" w:space="0" w:color="auto"/>
              <w:right w:val="single" w:sz="4" w:space="0" w:color="auto"/>
            </w:tcBorders>
            <w:shd w:val="clear" w:color="auto" w:fill="auto"/>
            <w:noWrap/>
            <w:vAlign w:val="center"/>
            <w:hideMark/>
          </w:tcPr>
          <w:p w:rsidR="009E2F1B" w:rsidRPr="00EF31DF"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EF31DF">
              <w:rPr>
                <w:rFonts w:ascii="Times New Roman" w:eastAsia="Times New Roman" w:hAnsi="Times New Roman"/>
                <w:color w:val="000000"/>
                <w:sz w:val="20"/>
                <w:szCs w:val="20"/>
                <w:lang w:val="es-ES_tradnl" w:eastAsia="pt-BR"/>
              </w:rPr>
              <w:t>94,439,268</w:t>
            </w:r>
          </w:p>
        </w:tc>
        <w:tc>
          <w:tcPr>
            <w:tcW w:w="1170" w:type="dxa"/>
            <w:tcBorders>
              <w:top w:val="nil"/>
              <w:left w:val="single" w:sz="4" w:space="0" w:color="auto"/>
              <w:bottom w:val="single" w:sz="4" w:space="0" w:color="auto"/>
              <w:right w:val="single" w:sz="4" w:space="0" w:color="auto"/>
            </w:tcBorders>
            <w:shd w:val="clear" w:color="auto" w:fill="auto"/>
            <w:vAlign w:val="center"/>
            <w:hideMark/>
          </w:tcPr>
          <w:p w:rsidR="009E2F1B" w:rsidRPr="00EF31DF"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EF31DF">
              <w:rPr>
                <w:rFonts w:ascii="Times New Roman" w:eastAsia="Times New Roman" w:hAnsi="Times New Roman"/>
                <w:color w:val="000000"/>
                <w:sz w:val="20"/>
                <w:szCs w:val="20"/>
                <w:lang w:val="es-ES_tradnl" w:eastAsia="pt-BR"/>
              </w:rPr>
              <w:t>66,107,487</w:t>
            </w:r>
          </w:p>
        </w:tc>
      </w:tr>
      <w:tr w:rsidR="009E2F1B" w:rsidRPr="008D5FA8" w:rsidTr="00E41381">
        <w:trPr>
          <w:trHeight w:val="39"/>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E2F1B" w:rsidRPr="008D5FA8"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8D5FA8">
              <w:rPr>
                <w:rFonts w:ascii="Times New Roman" w:eastAsia="Times New Roman" w:hAnsi="Times New Roman"/>
                <w:b/>
                <w:bCs/>
                <w:color w:val="000000"/>
                <w:sz w:val="20"/>
                <w:szCs w:val="20"/>
                <w:lang w:val="es-ES_tradnl" w:eastAsia="pt-BR"/>
              </w:rPr>
              <w:t>2022</w:t>
            </w:r>
          </w:p>
        </w:tc>
        <w:tc>
          <w:tcPr>
            <w:tcW w:w="1318"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968,002</w:t>
            </w:r>
          </w:p>
        </w:tc>
        <w:tc>
          <w:tcPr>
            <w:tcW w:w="1511"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170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right"/>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164,560,424</w:t>
            </w:r>
          </w:p>
        </w:tc>
        <w:tc>
          <w:tcPr>
            <w:tcW w:w="1511"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100</w:t>
            </w:r>
          </w:p>
        </w:tc>
        <w:tc>
          <w:tcPr>
            <w:tcW w:w="1279" w:type="dxa"/>
            <w:tcBorders>
              <w:top w:val="nil"/>
              <w:left w:val="nil"/>
              <w:bottom w:val="single" w:sz="4" w:space="0" w:color="auto"/>
              <w:right w:val="single" w:sz="4" w:space="0" w:color="auto"/>
            </w:tcBorders>
            <w:shd w:val="clear" w:color="auto" w:fill="auto"/>
            <w:noWrap/>
            <w:vAlign w:val="center"/>
            <w:hideMark/>
          </w:tcPr>
          <w:p w:rsidR="009E2F1B" w:rsidRPr="00EF31DF"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EF31DF">
              <w:rPr>
                <w:rFonts w:ascii="Times New Roman" w:eastAsia="Times New Roman" w:hAnsi="Times New Roman"/>
                <w:color w:val="000000"/>
                <w:sz w:val="20"/>
                <w:szCs w:val="20"/>
                <w:lang w:val="es-ES_tradnl" w:eastAsia="pt-BR"/>
              </w:rPr>
              <w:t>96,800,249</w:t>
            </w:r>
          </w:p>
        </w:tc>
        <w:tc>
          <w:tcPr>
            <w:tcW w:w="1170" w:type="dxa"/>
            <w:tcBorders>
              <w:top w:val="nil"/>
              <w:left w:val="single" w:sz="4" w:space="0" w:color="auto"/>
              <w:bottom w:val="single" w:sz="4" w:space="0" w:color="auto"/>
              <w:right w:val="single" w:sz="4" w:space="0" w:color="auto"/>
            </w:tcBorders>
            <w:shd w:val="clear" w:color="auto" w:fill="auto"/>
            <w:vAlign w:val="center"/>
            <w:hideMark/>
          </w:tcPr>
          <w:p w:rsidR="009E2F1B" w:rsidRPr="00EF31DF"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EF31DF">
              <w:rPr>
                <w:rFonts w:ascii="Times New Roman" w:eastAsia="Times New Roman" w:hAnsi="Times New Roman"/>
                <w:color w:val="000000"/>
                <w:sz w:val="20"/>
                <w:szCs w:val="20"/>
                <w:lang w:val="es-ES_tradnl" w:eastAsia="pt-BR"/>
              </w:rPr>
              <w:t>67,760,174</w:t>
            </w:r>
          </w:p>
        </w:tc>
      </w:tr>
      <w:tr w:rsidR="009E2F1B" w:rsidRPr="008D5FA8" w:rsidTr="00E41381">
        <w:trPr>
          <w:trHeight w:val="39"/>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E2F1B" w:rsidRPr="008D5FA8"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8D5FA8">
              <w:rPr>
                <w:rFonts w:ascii="Times New Roman" w:eastAsia="Times New Roman" w:hAnsi="Times New Roman"/>
                <w:b/>
                <w:bCs/>
                <w:color w:val="000000"/>
                <w:sz w:val="20"/>
                <w:szCs w:val="20"/>
                <w:lang w:val="es-ES_tradnl" w:eastAsia="pt-BR"/>
              </w:rPr>
              <w:t>2023</w:t>
            </w:r>
          </w:p>
        </w:tc>
        <w:tc>
          <w:tcPr>
            <w:tcW w:w="1318"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992,203</w:t>
            </w:r>
          </w:p>
        </w:tc>
        <w:tc>
          <w:tcPr>
            <w:tcW w:w="1511"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170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right"/>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168,674,434</w:t>
            </w:r>
          </w:p>
        </w:tc>
        <w:tc>
          <w:tcPr>
            <w:tcW w:w="1511"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100</w:t>
            </w:r>
          </w:p>
        </w:tc>
        <w:tc>
          <w:tcPr>
            <w:tcW w:w="1279" w:type="dxa"/>
            <w:tcBorders>
              <w:top w:val="nil"/>
              <w:left w:val="nil"/>
              <w:bottom w:val="single" w:sz="4" w:space="0" w:color="auto"/>
              <w:right w:val="single" w:sz="4" w:space="0" w:color="auto"/>
            </w:tcBorders>
            <w:shd w:val="clear" w:color="auto" w:fill="auto"/>
            <w:noWrap/>
            <w:vAlign w:val="center"/>
            <w:hideMark/>
          </w:tcPr>
          <w:p w:rsidR="009E2F1B" w:rsidRPr="00EF31DF"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EF31DF">
              <w:rPr>
                <w:rFonts w:ascii="Times New Roman" w:eastAsia="Times New Roman" w:hAnsi="Times New Roman"/>
                <w:color w:val="000000"/>
                <w:sz w:val="20"/>
                <w:szCs w:val="20"/>
                <w:lang w:val="es-ES_tradnl" w:eastAsia="pt-BR"/>
              </w:rPr>
              <w:t>99,220,255</w:t>
            </w:r>
          </w:p>
        </w:tc>
        <w:tc>
          <w:tcPr>
            <w:tcW w:w="1170" w:type="dxa"/>
            <w:tcBorders>
              <w:top w:val="nil"/>
              <w:left w:val="single" w:sz="4" w:space="0" w:color="auto"/>
              <w:bottom w:val="single" w:sz="4" w:space="0" w:color="auto"/>
              <w:right w:val="single" w:sz="4" w:space="0" w:color="auto"/>
            </w:tcBorders>
            <w:shd w:val="clear" w:color="auto" w:fill="auto"/>
            <w:vAlign w:val="center"/>
            <w:hideMark/>
          </w:tcPr>
          <w:p w:rsidR="009E2F1B" w:rsidRPr="00EF31DF"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EF31DF">
              <w:rPr>
                <w:rFonts w:ascii="Times New Roman" w:eastAsia="Times New Roman" w:hAnsi="Times New Roman"/>
                <w:color w:val="000000"/>
                <w:sz w:val="20"/>
                <w:szCs w:val="20"/>
                <w:lang w:val="es-ES_tradnl" w:eastAsia="pt-BR"/>
              </w:rPr>
              <w:t>69,454,179</w:t>
            </w:r>
          </w:p>
        </w:tc>
      </w:tr>
      <w:tr w:rsidR="009E2F1B" w:rsidRPr="008D5FA8" w:rsidTr="00DE181D">
        <w:trPr>
          <w:trHeight w:val="50"/>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E2F1B" w:rsidRPr="008D5FA8"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8D5FA8">
              <w:rPr>
                <w:rFonts w:ascii="Times New Roman" w:eastAsia="Times New Roman" w:hAnsi="Times New Roman"/>
                <w:b/>
                <w:bCs/>
                <w:color w:val="000000"/>
                <w:sz w:val="20"/>
                <w:szCs w:val="20"/>
                <w:lang w:val="es-ES_tradnl" w:eastAsia="pt-BR"/>
              </w:rPr>
              <w:t>2024</w:t>
            </w:r>
          </w:p>
        </w:tc>
        <w:tc>
          <w:tcPr>
            <w:tcW w:w="1318"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1,017,008</w:t>
            </w:r>
          </w:p>
        </w:tc>
        <w:tc>
          <w:tcPr>
            <w:tcW w:w="1511"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170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right"/>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172,891,295</w:t>
            </w:r>
          </w:p>
        </w:tc>
        <w:tc>
          <w:tcPr>
            <w:tcW w:w="1511" w:type="dxa"/>
            <w:tcBorders>
              <w:top w:val="nil"/>
              <w:left w:val="nil"/>
              <w:bottom w:val="single" w:sz="4" w:space="0" w:color="auto"/>
              <w:right w:val="single" w:sz="4" w:space="0" w:color="auto"/>
            </w:tcBorders>
            <w:shd w:val="clear" w:color="auto" w:fill="auto"/>
            <w:noWrap/>
            <w:vAlign w:val="center"/>
            <w:hideMark/>
          </w:tcPr>
          <w:p w:rsidR="009E2F1B" w:rsidRPr="008D5FA8"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100</w:t>
            </w:r>
          </w:p>
        </w:tc>
        <w:tc>
          <w:tcPr>
            <w:tcW w:w="1279" w:type="dxa"/>
            <w:tcBorders>
              <w:top w:val="nil"/>
              <w:left w:val="nil"/>
              <w:bottom w:val="single" w:sz="4" w:space="0" w:color="auto"/>
              <w:right w:val="single" w:sz="4" w:space="0" w:color="auto"/>
            </w:tcBorders>
            <w:shd w:val="clear" w:color="auto" w:fill="auto"/>
            <w:noWrap/>
            <w:vAlign w:val="center"/>
            <w:hideMark/>
          </w:tcPr>
          <w:p w:rsidR="009E2F1B" w:rsidRPr="00EF31DF"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EF31DF">
              <w:rPr>
                <w:rFonts w:ascii="Times New Roman" w:eastAsia="Times New Roman" w:hAnsi="Times New Roman"/>
                <w:color w:val="000000"/>
                <w:sz w:val="20"/>
                <w:szCs w:val="20"/>
                <w:lang w:val="es-ES_tradnl" w:eastAsia="pt-BR"/>
              </w:rPr>
              <w:t>101,700,762</w:t>
            </w:r>
          </w:p>
        </w:tc>
        <w:tc>
          <w:tcPr>
            <w:tcW w:w="1170" w:type="dxa"/>
            <w:tcBorders>
              <w:top w:val="nil"/>
              <w:left w:val="single" w:sz="4" w:space="0" w:color="auto"/>
              <w:bottom w:val="single" w:sz="4" w:space="0" w:color="auto"/>
              <w:right w:val="single" w:sz="4" w:space="0" w:color="auto"/>
            </w:tcBorders>
            <w:shd w:val="clear" w:color="auto" w:fill="auto"/>
            <w:vAlign w:val="center"/>
            <w:hideMark/>
          </w:tcPr>
          <w:p w:rsidR="009E2F1B" w:rsidRPr="00EF31DF"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EF31DF">
              <w:rPr>
                <w:rFonts w:ascii="Times New Roman" w:eastAsia="Times New Roman" w:hAnsi="Times New Roman"/>
                <w:color w:val="000000"/>
                <w:sz w:val="20"/>
                <w:szCs w:val="20"/>
                <w:lang w:val="es-ES_tradnl" w:eastAsia="pt-BR"/>
              </w:rPr>
              <w:t>71,190,533</w:t>
            </w:r>
          </w:p>
        </w:tc>
      </w:tr>
      <w:tr w:rsidR="009E2F1B" w:rsidRPr="008E7935" w:rsidTr="00DE181D">
        <w:trPr>
          <w:trHeight w:val="50"/>
        </w:trPr>
        <w:tc>
          <w:tcPr>
            <w:tcW w:w="8550" w:type="dxa"/>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rsidR="009E2F1B" w:rsidRPr="008D5FA8" w:rsidRDefault="009E2F1B" w:rsidP="00E41381">
            <w:pPr>
              <w:spacing w:after="0" w:line="240" w:lineRule="auto"/>
              <w:rPr>
                <w:rFonts w:ascii="Times New Roman" w:eastAsia="Times New Roman" w:hAnsi="Times New Roman"/>
                <w:color w:val="000000"/>
                <w:sz w:val="20"/>
                <w:szCs w:val="20"/>
                <w:lang w:val="es-ES_tradnl" w:eastAsia="pt-BR"/>
              </w:rPr>
            </w:pPr>
            <w:r w:rsidRPr="008D5FA8">
              <w:rPr>
                <w:rFonts w:ascii="Times New Roman" w:eastAsia="Times New Roman" w:hAnsi="Times New Roman"/>
                <w:color w:val="000000"/>
                <w:sz w:val="20"/>
                <w:szCs w:val="20"/>
                <w:lang w:val="es-ES_tradnl" w:eastAsia="pt-BR"/>
              </w:rPr>
              <w:t>Fuente - http://datos.bancomundial.org/indicador/IS.SHP.GOOD.TU y DIAN</w:t>
            </w:r>
          </w:p>
        </w:tc>
      </w:tr>
    </w:tbl>
    <w:p w:rsidR="009E2F1B" w:rsidRDefault="009E2F1B" w:rsidP="007A3796">
      <w:pPr>
        <w:pStyle w:val="ListParagraph"/>
        <w:numPr>
          <w:ilvl w:val="0"/>
          <w:numId w:val="21"/>
        </w:numPr>
        <w:spacing w:before="120" w:after="120" w:line="240" w:lineRule="auto"/>
        <w:contextualSpacing w:val="0"/>
        <w:jc w:val="center"/>
        <w:rPr>
          <w:rFonts w:ascii="Times New Roman" w:hAnsi="Times New Roman"/>
          <w:b/>
          <w:sz w:val="24"/>
          <w:szCs w:val="24"/>
          <w:lang w:val="es-ES_tradnl"/>
        </w:rPr>
      </w:pPr>
      <w:r>
        <w:rPr>
          <w:rFonts w:ascii="Times New Roman" w:hAnsi="Times New Roman"/>
          <w:b/>
          <w:sz w:val="24"/>
          <w:szCs w:val="24"/>
          <w:lang w:val="es-ES_tradnl"/>
        </w:rPr>
        <w:t>SENSIBILIDAD</w:t>
      </w:r>
    </w:p>
    <w:p w:rsidR="00DE181D" w:rsidRDefault="009E2F1B" w:rsidP="009E2F1B">
      <w:pPr>
        <w:pStyle w:val="ListParagraph"/>
        <w:numPr>
          <w:ilvl w:val="1"/>
          <w:numId w:val="21"/>
        </w:numPr>
        <w:spacing w:before="120" w:after="120" w:line="240" w:lineRule="auto"/>
        <w:ind w:left="990" w:hanging="630"/>
        <w:contextualSpacing w:val="0"/>
        <w:jc w:val="both"/>
        <w:rPr>
          <w:rFonts w:ascii="Times New Roman" w:hAnsi="Times New Roman"/>
          <w:sz w:val="24"/>
          <w:szCs w:val="24"/>
          <w:lang w:val="es-ES_tradnl"/>
        </w:rPr>
      </w:pPr>
      <w:r>
        <w:rPr>
          <w:rFonts w:ascii="Times New Roman" w:hAnsi="Times New Roman"/>
          <w:sz w:val="24"/>
          <w:szCs w:val="24"/>
          <w:lang w:val="es-ES_tradnl"/>
        </w:rPr>
        <w:t>Para el análisis de sensibilidad fue considerado que los resultados empiezan a ocurrir 1 año después de</w:t>
      </w:r>
      <w:r w:rsidR="00B445FA">
        <w:rPr>
          <w:rFonts w:ascii="Times New Roman" w:hAnsi="Times New Roman"/>
          <w:sz w:val="24"/>
          <w:szCs w:val="24"/>
          <w:lang w:val="es-ES_tradnl"/>
        </w:rPr>
        <w:t xml:space="preserve"> </w:t>
      </w:r>
      <w:r>
        <w:rPr>
          <w:rFonts w:ascii="Times New Roman" w:hAnsi="Times New Roman"/>
          <w:sz w:val="24"/>
          <w:szCs w:val="24"/>
          <w:lang w:val="es-ES_tradnl"/>
        </w:rPr>
        <w:t>l</w:t>
      </w:r>
      <w:r w:rsidR="00B445FA">
        <w:rPr>
          <w:rFonts w:ascii="Times New Roman" w:hAnsi="Times New Roman"/>
          <w:sz w:val="24"/>
          <w:szCs w:val="24"/>
          <w:lang w:val="es-ES_tradnl"/>
        </w:rPr>
        <w:t>o</w:t>
      </w:r>
      <w:r>
        <w:rPr>
          <w:rFonts w:ascii="Times New Roman" w:hAnsi="Times New Roman"/>
          <w:sz w:val="24"/>
          <w:szCs w:val="24"/>
          <w:lang w:val="es-ES_tradnl"/>
        </w:rPr>
        <w:t xml:space="preserve"> previsto, conforme presentado en la tabla a continuación.</w:t>
      </w:r>
    </w:p>
    <w:p w:rsidR="009E2F1B" w:rsidRPr="00DE181D" w:rsidRDefault="00DE181D" w:rsidP="00DE181D">
      <w:pPr>
        <w:spacing w:after="0" w:line="240" w:lineRule="auto"/>
        <w:rPr>
          <w:rFonts w:ascii="Times New Roman" w:hAnsi="Times New Roman"/>
          <w:sz w:val="24"/>
          <w:szCs w:val="24"/>
          <w:lang w:val="es-ES_tradnl"/>
        </w:rPr>
      </w:pPr>
      <w:r>
        <w:rPr>
          <w:rFonts w:ascii="Times New Roman" w:hAnsi="Times New Roman"/>
          <w:sz w:val="24"/>
          <w:szCs w:val="24"/>
          <w:lang w:val="es-ES_tradnl"/>
        </w:rPr>
        <w:br w:type="page"/>
      </w:r>
    </w:p>
    <w:tbl>
      <w:tblPr>
        <w:tblW w:w="8551" w:type="dxa"/>
        <w:tblInd w:w="340" w:type="dxa"/>
        <w:tblCellMar>
          <w:left w:w="70" w:type="dxa"/>
          <w:right w:w="70" w:type="dxa"/>
        </w:tblCellMar>
        <w:tblLook w:val="04A0" w:firstRow="1" w:lastRow="0" w:firstColumn="1" w:lastColumn="0" w:noHBand="0" w:noVBand="1"/>
      </w:tblPr>
      <w:tblGrid>
        <w:gridCol w:w="540"/>
        <w:gridCol w:w="1346"/>
        <w:gridCol w:w="1358"/>
        <w:gridCol w:w="1174"/>
        <w:gridCol w:w="1358"/>
        <w:gridCol w:w="1174"/>
        <w:gridCol w:w="1601"/>
      </w:tblGrid>
      <w:tr w:rsidR="009E2F1B" w:rsidRPr="008E7935" w:rsidTr="00DE181D">
        <w:trPr>
          <w:trHeight w:val="350"/>
        </w:trPr>
        <w:tc>
          <w:tcPr>
            <w:tcW w:w="8551" w:type="dxa"/>
            <w:gridSpan w:val="7"/>
            <w:tcBorders>
              <w:top w:val="single" w:sz="4" w:space="0" w:color="auto"/>
              <w:left w:val="single" w:sz="4" w:space="0" w:color="auto"/>
              <w:bottom w:val="single" w:sz="4" w:space="0" w:color="auto"/>
              <w:right w:val="single" w:sz="4" w:space="0" w:color="auto"/>
            </w:tcBorders>
            <w:shd w:val="clear" w:color="000000" w:fill="D9D9D9"/>
            <w:vAlign w:val="center"/>
            <w:hideMark/>
          </w:tcPr>
          <w:p w:rsidR="009E2F1B" w:rsidRPr="008E7935" w:rsidRDefault="009E2F1B" w:rsidP="00DE181D">
            <w:pPr>
              <w:spacing w:after="0" w:line="240" w:lineRule="auto"/>
              <w:jc w:val="center"/>
              <w:rPr>
                <w:rFonts w:ascii="Times New Roman" w:eastAsia="Times New Roman" w:hAnsi="Times New Roman"/>
                <w:b/>
                <w:bCs/>
                <w:color w:val="000000"/>
                <w:sz w:val="20"/>
                <w:szCs w:val="20"/>
                <w:lang w:eastAsia="pt-BR"/>
              </w:rPr>
            </w:pPr>
            <w:r w:rsidRPr="008E7935">
              <w:rPr>
                <w:rFonts w:ascii="Times New Roman" w:eastAsia="Times New Roman" w:hAnsi="Times New Roman"/>
                <w:b/>
                <w:bCs/>
                <w:color w:val="000000"/>
                <w:sz w:val="20"/>
                <w:szCs w:val="20"/>
                <w:lang w:eastAsia="pt-BR"/>
              </w:rPr>
              <w:t>Cuadro I. Calculo de los ahorros proveniente de mejores procedimientos aduaneros</w:t>
            </w:r>
            <w:r w:rsidRPr="008E7935">
              <w:rPr>
                <w:rFonts w:ascii="Times New Roman" w:eastAsia="Times New Roman" w:hAnsi="Times New Roman"/>
                <w:b/>
                <w:bCs/>
                <w:color w:val="000000"/>
                <w:sz w:val="20"/>
                <w:szCs w:val="20"/>
                <w:lang w:eastAsia="pt-BR"/>
              </w:rPr>
              <w:br/>
              <w:t>Autorización de Aduanas y Contro</w:t>
            </w:r>
            <w:r>
              <w:rPr>
                <w:rFonts w:ascii="Times New Roman" w:eastAsia="Times New Roman" w:hAnsi="Times New Roman"/>
                <w:b/>
                <w:bCs/>
                <w:color w:val="000000"/>
                <w:sz w:val="20"/>
                <w:szCs w:val="20"/>
                <w:lang w:eastAsia="pt-BR"/>
              </w:rPr>
              <w:t>l</w:t>
            </w:r>
            <w:r w:rsidRPr="008E7935">
              <w:rPr>
                <w:rFonts w:ascii="Times New Roman" w:eastAsia="Times New Roman" w:hAnsi="Times New Roman"/>
                <w:b/>
                <w:bCs/>
                <w:color w:val="000000"/>
                <w:sz w:val="20"/>
                <w:szCs w:val="20"/>
                <w:lang w:eastAsia="pt-BR"/>
              </w:rPr>
              <w:t xml:space="preserve"> Técnico Importaciones </w:t>
            </w:r>
            <w:r w:rsidR="00DE181D">
              <w:rPr>
                <w:rFonts w:ascii="Times New Roman" w:eastAsia="Times New Roman" w:hAnsi="Times New Roman"/>
                <w:b/>
                <w:bCs/>
                <w:color w:val="000000"/>
                <w:sz w:val="20"/>
                <w:szCs w:val="20"/>
                <w:lang w:eastAsia="pt-BR"/>
              </w:rPr>
              <w:t>–</w:t>
            </w:r>
            <w:r w:rsidRPr="008E7935">
              <w:rPr>
                <w:rFonts w:ascii="Times New Roman" w:eastAsia="Times New Roman" w:hAnsi="Times New Roman"/>
                <w:b/>
                <w:bCs/>
                <w:color w:val="000000"/>
                <w:sz w:val="20"/>
                <w:szCs w:val="20"/>
                <w:lang w:eastAsia="pt-BR"/>
              </w:rPr>
              <w:t>Sensibilidad</w:t>
            </w:r>
            <w:r w:rsidR="00DE181D">
              <w:rPr>
                <w:rFonts w:ascii="Times New Roman" w:eastAsia="Times New Roman" w:hAnsi="Times New Roman"/>
                <w:b/>
                <w:bCs/>
                <w:color w:val="000000"/>
                <w:sz w:val="20"/>
                <w:szCs w:val="20"/>
                <w:lang w:eastAsia="pt-BR"/>
              </w:rPr>
              <w:t xml:space="preserve"> (</w:t>
            </w:r>
            <w:r w:rsidRPr="008E7935">
              <w:rPr>
                <w:rFonts w:ascii="Times New Roman" w:eastAsia="Times New Roman" w:hAnsi="Times New Roman"/>
                <w:b/>
                <w:bCs/>
                <w:color w:val="000000"/>
                <w:sz w:val="20"/>
                <w:szCs w:val="20"/>
                <w:lang w:eastAsia="pt-BR"/>
              </w:rPr>
              <w:t>US$</w:t>
            </w:r>
            <w:r w:rsidR="00DE181D">
              <w:rPr>
                <w:rFonts w:ascii="Times New Roman" w:eastAsia="Times New Roman" w:hAnsi="Times New Roman"/>
                <w:b/>
                <w:bCs/>
                <w:color w:val="000000"/>
                <w:sz w:val="20"/>
                <w:szCs w:val="20"/>
                <w:lang w:eastAsia="pt-BR"/>
              </w:rPr>
              <w:t>)</w:t>
            </w:r>
          </w:p>
        </w:tc>
      </w:tr>
      <w:tr w:rsidR="009E2F1B" w:rsidRPr="00FB6F1B" w:rsidTr="00DE181D">
        <w:trPr>
          <w:trHeight w:val="62"/>
        </w:trPr>
        <w:tc>
          <w:tcPr>
            <w:tcW w:w="540" w:type="dxa"/>
            <w:vMerge w:val="restart"/>
            <w:tcBorders>
              <w:top w:val="nil"/>
              <w:left w:val="single" w:sz="4" w:space="0" w:color="auto"/>
              <w:bottom w:val="single" w:sz="4" w:space="0" w:color="auto"/>
              <w:right w:val="single" w:sz="4" w:space="0" w:color="auto"/>
            </w:tcBorders>
            <w:shd w:val="clear" w:color="000000" w:fill="DDEBF7"/>
            <w:noWrap/>
            <w:vAlign w:val="center"/>
            <w:hideMark/>
          </w:tcPr>
          <w:p w:rsidR="009E2F1B" w:rsidRPr="00FB6F1B"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FB6F1B">
              <w:rPr>
                <w:rFonts w:ascii="Times New Roman" w:eastAsia="Times New Roman" w:hAnsi="Times New Roman"/>
                <w:b/>
                <w:bCs/>
                <w:color w:val="000000"/>
                <w:sz w:val="20"/>
                <w:szCs w:val="20"/>
                <w:lang w:val="es-ES_tradnl" w:eastAsia="pt-BR"/>
              </w:rPr>
              <w:t>Año</w:t>
            </w:r>
          </w:p>
        </w:tc>
        <w:tc>
          <w:tcPr>
            <w:tcW w:w="1346" w:type="dxa"/>
            <w:vMerge w:val="restart"/>
            <w:tcBorders>
              <w:top w:val="nil"/>
              <w:left w:val="single" w:sz="4" w:space="0" w:color="auto"/>
              <w:bottom w:val="single" w:sz="4" w:space="0" w:color="auto"/>
              <w:right w:val="single" w:sz="4" w:space="0" w:color="auto"/>
            </w:tcBorders>
            <w:shd w:val="clear" w:color="000000" w:fill="DDEBF7"/>
            <w:vAlign w:val="center"/>
            <w:hideMark/>
          </w:tcPr>
          <w:p w:rsidR="009E2F1B" w:rsidRPr="00FB6F1B"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FB6F1B">
              <w:rPr>
                <w:rFonts w:ascii="Times New Roman" w:eastAsia="Times New Roman" w:hAnsi="Times New Roman"/>
                <w:b/>
                <w:bCs/>
                <w:color w:val="000000"/>
                <w:sz w:val="20"/>
                <w:szCs w:val="20"/>
                <w:lang w:val="es-ES_tradnl" w:eastAsia="pt-BR"/>
              </w:rPr>
              <w:t>Cantidad</w:t>
            </w:r>
            <w:r w:rsidRPr="00FB6F1B">
              <w:rPr>
                <w:rFonts w:ascii="Times New Roman" w:eastAsia="Times New Roman" w:hAnsi="Times New Roman"/>
                <w:b/>
                <w:bCs/>
                <w:color w:val="000000"/>
                <w:sz w:val="20"/>
                <w:szCs w:val="20"/>
                <w:lang w:val="es-ES_tradnl" w:eastAsia="pt-BR"/>
              </w:rPr>
              <w:br/>
              <w:t xml:space="preserve">Contenedores </w:t>
            </w:r>
          </w:p>
        </w:tc>
        <w:tc>
          <w:tcPr>
            <w:tcW w:w="2532" w:type="dxa"/>
            <w:gridSpan w:val="2"/>
            <w:tcBorders>
              <w:top w:val="single" w:sz="4" w:space="0" w:color="auto"/>
              <w:left w:val="nil"/>
              <w:bottom w:val="single" w:sz="4" w:space="0" w:color="auto"/>
              <w:right w:val="single" w:sz="4" w:space="0" w:color="auto"/>
            </w:tcBorders>
            <w:shd w:val="clear" w:color="000000" w:fill="DDEBF7"/>
            <w:noWrap/>
            <w:vAlign w:val="center"/>
            <w:hideMark/>
          </w:tcPr>
          <w:p w:rsidR="009E2F1B" w:rsidRPr="00FB6F1B"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FB6F1B">
              <w:rPr>
                <w:rFonts w:ascii="Times New Roman" w:eastAsia="Times New Roman" w:hAnsi="Times New Roman"/>
                <w:b/>
                <w:bCs/>
                <w:color w:val="000000"/>
                <w:sz w:val="20"/>
                <w:szCs w:val="20"/>
                <w:lang w:val="es-ES_tradnl" w:eastAsia="pt-BR"/>
              </w:rPr>
              <w:t>Costo Sin proyecto</w:t>
            </w:r>
          </w:p>
        </w:tc>
        <w:tc>
          <w:tcPr>
            <w:tcW w:w="2532" w:type="dxa"/>
            <w:gridSpan w:val="2"/>
            <w:tcBorders>
              <w:top w:val="single" w:sz="4" w:space="0" w:color="auto"/>
              <w:left w:val="nil"/>
              <w:bottom w:val="single" w:sz="4" w:space="0" w:color="auto"/>
              <w:right w:val="single" w:sz="4" w:space="0" w:color="auto"/>
            </w:tcBorders>
            <w:shd w:val="clear" w:color="000000" w:fill="DDEBF7"/>
            <w:noWrap/>
            <w:vAlign w:val="center"/>
            <w:hideMark/>
          </w:tcPr>
          <w:p w:rsidR="009E2F1B" w:rsidRPr="00FB6F1B"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FB6F1B">
              <w:rPr>
                <w:rFonts w:ascii="Times New Roman" w:eastAsia="Times New Roman" w:hAnsi="Times New Roman"/>
                <w:b/>
                <w:bCs/>
                <w:color w:val="000000"/>
                <w:sz w:val="20"/>
                <w:szCs w:val="20"/>
                <w:lang w:val="es-ES_tradnl" w:eastAsia="pt-BR"/>
              </w:rPr>
              <w:t>Costo Con proyecto</w:t>
            </w:r>
          </w:p>
        </w:tc>
        <w:tc>
          <w:tcPr>
            <w:tcW w:w="1601" w:type="dxa"/>
            <w:vMerge w:val="restart"/>
            <w:tcBorders>
              <w:top w:val="nil"/>
              <w:left w:val="single" w:sz="4" w:space="0" w:color="auto"/>
              <w:bottom w:val="single" w:sz="4" w:space="0" w:color="000000"/>
              <w:right w:val="single" w:sz="4" w:space="0" w:color="auto"/>
            </w:tcBorders>
            <w:shd w:val="clear" w:color="000000" w:fill="DDEBF7"/>
            <w:vAlign w:val="center"/>
            <w:hideMark/>
          </w:tcPr>
          <w:p w:rsidR="009E2F1B" w:rsidRPr="00FB6F1B"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FB6F1B">
              <w:rPr>
                <w:rFonts w:ascii="Times New Roman" w:eastAsia="Times New Roman" w:hAnsi="Times New Roman"/>
                <w:b/>
                <w:bCs/>
                <w:color w:val="000000"/>
                <w:sz w:val="20"/>
                <w:szCs w:val="20"/>
                <w:lang w:val="es-ES_tradnl" w:eastAsia="pt-BR"/>
              </w:rPr>
              <w:t>Ahorros</w:t>
            </w:r>
          </w:p>
        </w:tc>
      </w:tr>
      <w:tr w:rsidR="009E2F1B" w:rsidRPr="00FB6F1B" w:rsidTr="00DE181D">
        <w:trPr>
          <w:trHeight w:val="179"/>
        </w:trPr>
        <w:tc>
          <w:tcPr>
            <w:tcW w:w="540" w:type="dxa"/>
            <w:vMerge/>
            <w:tcBorders>
              <w:top w:val="nil"/>
              <w:left w:val="single" w:sz="4" w:space="0" w:color="auto"/>
              <w:bottom w:val="single" w:sz="4" w:space="0" w:color="auto"/>
              <w:right w:val="single" w:sz="4" w:space="0" w:color="auto"/>
            </w:tcBorders>
            <w:vAlign w:val="center"/>
            <w:hideMark/>
          </w:tcPr>
          <w:p w:rsidR="009E2F1B" w:rsidRPr="00FB6F1B" w:rsidRDefault="009E2F1B" w:rsidP="00E41381">
            <w:pPr>
              <w:spacing w:after="0" w:line="240" w:lineRule="auto"/>
              <w:rPr>
                <w:rFonts w:ascii="Times New Roman" w:eastAsia="Times New Roman" w:hAnsi="Times New Roman"/>
                <w:b/>
                <w:bCs/>
                <w:color w:val="000000"/>
                <w:sz w:val="20"/>
                <w:szCs w:val="20"/>
                <w:lang w:val="es-ES_tradnl" w:eastAsia="pt-BR"/>
              </w:rPr>
            </w:pPr>
          </w:p>
        </w:tc>
        <w:tc>
          <w:tcPr>
            <w:tcW w:w="1346" w:type="dxa"/>
            <w:vMerge/>
            <w:tcBorders>
              <w:top w:val="nil"/>
              <w:left w:val="single" w:sz="4" w:space="0" w:color="auto"/>
              <w:bottom w:val="single" w:sz="4" w:space="0" w:color="auto"/>
              <w:right w:val="single" w:sz="4" w:space="0" w:color="auto"/>
            </w:tcBorders>
            <w:vAlign w:val="center"/>
            <w:hideMark/>
          </w:tcPr>
          <w:p w:rsidR="009E2F1B" w:rsidRPr="00FB6F1B" w:rsidRDefault="009E2F1B" w:rsidP="00E41381">
            <w:pPr>
              <w:spacing w:after="0" w:line="240" w:lineRule="auto"/>
              <w:rPr>
                <w:rFonts w:ascii="Times New Roman" w:eastAsia="Times New Roman" w:hAnsi="Times New Roman"/>
                <w:b/>
                <w:bCs/>
                <w:color w:val="000000"/>
                <w:sz w:val="20"/>
                <w:szCs w:val="20"/>
                <w:lang w:val="es-ES_tradnl" w:eastAsia="pt-BR"/>
              </w:rPr>
            </w:pPr>
          </w:p>
        </w:tc>
        <w:tc>
          <w:tcPr>
            <w:tcW w:w="1358" w:type="dxa"/>
            <w:tcBorders>
              <w:top w:val="nil"/>
              <w:left w:val="nil"/>
              <w:bottom w:val="single" w:sz="4" w:space="0" w:color="auto"/>
              <w:right w:val="single" w:sz="4" w:space="0" w:color="auto"/>
            </w:tcBorders>
            <w:shd w:val="clear" w:color="000000" w:fill="DDEBF7"/>
            <w:noWrap/>
            <w:vAlign w:val="center"/>
            <w:hideMark/>
          </w:tcPr>
          <w:p w:rsidR="009E2F1B" w:rsidRPr="00FB6F1B"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FB6F1B">
              <w:rPr>
                <w:rFonts w:ascii="Times New Roman" w:eastAsia="Times New Roman" w:hAnsi="Times New Roman"/>
                <w:b/>
                <w:bCs/>
                <w:color w:val="000000"/>
                <w:sz w:val="20"/>
                <w:szCs w:val="20"/>
                <w:lang w:val="es-ES_tradnl" w:eastAsia="pt-BR"/>
              </w:rPr>
              <w:t>Costo unitario</w:t>
            </w:r>
          </w:p>
        </w:tc>
        <w:tc>
          <w:tcPr>
            <w:tcW w:w="1174" w:type="dxa"/>
            <w:tcBorders>
              <w:top w:val="nil"/>
              <w:left w:val="nil"/>
              <w:bottom w:val="single" w:sz="4" w:space="0" w:color="auto"/>
              <w:right w:val="single" w:sz="4" w:space="0" w:color="auto"/>
            </w:tcBorders>
            <w:shd w:val="clear" w:color="000000" w:fill="DDEBF7"/>
            <w:noWrap/>
            <w:vAlign w:val="center"/>
            <w:hideMark/>
          </w:tcPr>
          <w:p w:rsidR="009E2F1B" w:rsidRPr="00FB6F1B"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FB6F1B">
              <w:rPr>
                <w:rFonts w:ascii="Times New Roman" w:eastAsia="Times New Roman" w:hAnsi="Times New Roman"/>
                <w:b/>
                <w:bCs/>
                <w:color w:val="000000"/>
                <w:sz w:val="20"/>
                <w:szCs w:val="20"/>
                <w:lang w:val="es-ES_tradnl" w:eastAsia="pt-BR"/>
              </w:rPr>
              <w:t xml:space="preserve"> Total</w:t>
            </w:r>
          </w:p>
        </w:tc>
        <w:tc>
          <w:tcPr>
            <w:tcW w:w="1358" w:type="dxa"/>
            <w:tcBorders>
              <w:top w:val="nil"/>
              <w:left w:val="nil"/>
              <w:bottom w:val="single" w:sz="4" w:space="0" w:color="auto"/>
              <w:right w:val="single" w:sz="4" w:space="0" w:color="auto"/>
            </w:tcBorders>
            <w:shd w:val="clear" w:color="000000" w:fill="DDEBF7"/>
            <w:noWrap/>
            <w:vAlign w:val="center"/>
            <w:hideMark/>
          </w:tcPr>
          <w:p w:rsidR="009E2F1B" w:rsidRPr="00FB6F1B"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FB6F1B">
              <w:rPr>
                <w:rFonts w:ascii="Times New Roman" w:eastAsia="Times New Roman" w:hAnsi="Times New Roman"/>
                <w:b/>
                <w:bCs/>
                <w:color w:val="000000"/>
                <w:sz w:val="20"/>
                <w:szCs w:val="20"/>
                <w:lang w:val="es-ES_tradnl" w:eastAsia="pt-BR"/>
              </w:rPr>
              <w:t>Costo unitario</w:t>
            </w:r>
          </w:p>
        </w:tc>
        <w:tc>
          <w:tcPr>
            <w:tcW w:w="1174" w:type="dxa"/>
            <w:tcBorders>
              <w:top w:val="nil"/>
              <w:left w:val="nil"/>
              <w:bottom w:val="single" w:sz="4" w:space="0" w:color="auto"/>
              <w:right w:val="single" w:sz="4" w:space="0" w:color="auto"/>
            </w:tcBorders>
            <w:shd w:val="clear" w:color="000000" w:fill="DDEBF7"/>
            <w:noWrap/>
            <w:vAlign w:val="center"/>
            <w:hideMark/>
          </w:tcPr>
          <w:p w:rsidR="009E2F1B" w:rsidRPr="00FB6F1B"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FB6F1B">
              <w:rPr>
                <w:rFonts w:ascii="Times New Roman" w:eastAsia="Times New Roman" w:hAnsi="Times New Roman"/>
                <w:b/>
                <w:bCs/>
                <w:color w:val="000000"/>
                <w:sz w:val="20"/>
                <w:szCs w:val="20"/>
                <w:lang w:val="es-ES_tradnl" w:eastAsia="pt-BR"/>
              </w:rPr>
              <w:t>Total</w:t>
            </w:r>
          </w:p>
        </w:tc>
        <w:tc>
          <w:tcPr>
            <w:tcW w:w="1601" w:type="dxa"/>
            <w:vMerge/>
            <w:tcBorders>
              <w:top w:val="nil"/>
              <w:left w:val="single" w:sz="4" w:space="0" w:color="auto"/>
              <w:bottom w:val="single" w:sz="4" w:space="0" w:color="000000"/>
              <w:right w:val="single" w:sz="4" w:space="0" w:color="auto"/>
            </w:tcBorders>
            <w:vAlign w:val="center"/>
            <w:hideMark/>
          </w:tcPr>
          <w:p w:rsidR="009E2F1B" w:rsidRPr="00FB6F1B" w:rsidRDefault="009E2F1B" w:rsidP="00E41381">
            <w:pPr>
              <w:spacing w:after="0" w:line="240" w:lineRule="auto"/>
              <w:rPr>
                <w:rFonts w:ascii="Times New Roman" w:eastAsia="Times New Roman" w:hAnsi="Times New Roman"/>
                <w:b/>
                <w:bCs/>
                <w:color w:val="000000"/>
                <w:sz w:val="20"/>
                <w:szCs w:val="20"/>
                <w:lang w:val="es-ES_tradnl" w:eastAsia="pt-BR"/>
              </w:rPr>
            </w:pPr>
          </w:p>
        </w:tc>
      </w:tr>
      <w:tr w:rsidR="009E2F1B" w:rsidRPr="00FB6F1B" w:rsidTr="00DE181D">
        <w:trPr>
          <w:trHeight w:val="8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FB6F1B">
              <w:rPr>
                <w:rFonts w:ascii="Times New Roman" w:eastAsia="Times New Roman" w:hAnsi="Times New Roman"/>
                <w:b/>
                <w:bCs/>
                <w:color w:val="000000"/>
                <w:sz w:val="20"/>
                <w:szCs w:val="20"/>
                <w:lang w:val="es-ES_tradnl" w:eastAsia="pt-BR"/>
              </w:rPr>
              <w:t>2012</w:t>
            </w:r>
          </w:p>
        </w:tc>
        <w:tc>
          <w:tcPr>
            <w:tcW w:w="1346"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756,202</w:t>
            </w:r>
          </w:p>
        </w:tc>
        <w:tc>
          <w:tcPr>
            <w:tcW w:w="1358"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170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128,554,340</w:t>
            </w:r>
          </w:p>
        </w:tc>
        <w:tc>
          <w:tcPr>
            <w:tcW w:w="1358"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170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128,554,340</w:t>
            </w:r>
          </w:p>
        </w:tc>
        <w:tc>
          <w:tcPr>
            <w:tcW w:w="1601" w:type="dxa"/>
            <w:tcBorders>
              <w:top w:val="nil"/>
              <w:left w:val="nil"/>
              <w:bottom w:val="single" w:sz="4" w:space="0" w:color="auto"/>
              <w:right w:val="single" w:sz="4" w:space="0" w:color="auto"/>
            </w:tcBorders>
            <w:shd w:val="clear" w:color="auto" w:fill="auto"/>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0</w:t>
            </w:r>
          </w:p>
        </w:tc>
      </w:tr>
      <w:tr w:rsidR="009E2F1B" w:rsidRPr="00FB6F1B" w:rsidTr="00DE181D">
        <w:trPr>
          <w:trHeight w:val="107"/>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E2F1B" w:rsidRPr="00FB6F1B"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FB6F1B">
              <w:rPr>
                <w:rFonts w:ascii="Times New Roman" w:eastAsia="Times New Roman" w:hAnsi="Times New Roman"/>
                <w:b/>
                <w:bCs/>
                <w:color w:val="000000"/>
                <w:sz w:val="20"/>
                <w:szCs w:val="20"/>
                <w:lang w:val="es-ES_tradnl" w:eastAsia="pt-BR"/>
              </w:rPr>
              <w:t>2013</w:t>
            </w:r>
          </w:p>
        </w:tc>
        <w:tc>
          <w:tcPr>
            <w:tcW w:w="1346"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775,107</w:t>
            </w:r>
          </w:p>
        </w:tc>
        <w:tc>
          <w:tcPr>
            <w:tcW w:w="1358"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170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131,768,199</w:t>
            </w:r>
          </w:p>
        </w:tc>
        <w:tc>
          <w:tcPr>
            <w:tcW w:w="1358"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170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131,768,199</w:t>
            </w:r>
          </w:p>
        </w:tc>
        <w:tc>
          <w:tcPr>
            <w:tcW w:w="1601" w:type="dxa"/>
            <w:tcBorders>
              <w:top w:val="nil"/>
              <w:left w:val="nil"/>
              <w:bottom w:val="single" w:sz="4" w:space="0" w:color="auto"/>
              <w:right w:val="single" w:sz="4" w:space="0" w:color="auto"/>
            </w:tcBorders>
            <w:shd w:val="clear" w:color="auto" w:fill="auto"/>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0</w:t>
            </w:r>
          </w:p>
        </w:tc>
      </w:tr>
      <w:tr w:rsidR="009E2F1B" w:rsidRPr="00FB6F1B" w:rsidTr="00DE181D">
        <w:trPr>
          <w:trHeight w:val="5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FB6F1B">
              <w:rPr>
                <w:rFonts w:ascii="Times New Roman" w:eastAsia="Times New Roman" w:hAnsi="Times New Roman"/>
                <w:b/>
                <w:bCs/>
                <w:color w:val="000000"/>
                <w:sz w:val="20"/>
                <w:szCs w:val="20"/>
                <w:lang w:val="es-ES_tradnl" w:eastAsia="pt-BR"/>
              </w:rPr>
              <w:t>2014</w:t>
            </w:r>
          </w:p>
        </w:tc>
        <w:tc>
          <w:tcPr>
            <w:tcW w:w="1346"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794,485</w:t>
            </w:r>
          </w:p>
        </w:tc>
        <w:tc>
          <w:tcPr>
            <w:tcW w:w="1358"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170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135,062,403</w:t>
            </w:r>
          </w:p>
        </w:tc>
        <w:tc>
          <w:tcPr>
            <w:tcW w:w="1358"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170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135,062,403</w:t>
            </w:r>
          </w:p>
        </w:tc>
        <w:tc>
          <w:tcPr>
            <w:tcW w:w="1601" w:type="dxa"/>
            <w:tcBorders>
              <w:top w:val="nil"/>
              <w:left w:val="nil"/>
              <w:bottom w:val="single" w:sz="4" w:space="0" w:color="auto"/>
              <w:right w:val="single" w:sz="4" w:space="0" w:color="auto"/>
            </w:tcBorders>
            <w:shd w:val="clear" w:color="auto" w:fill="auto"/>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0</w:t>
            </w:r>
          </w:p>
        </w:tc>
      </w:tr>
      <w:tr w:rsidR="009E2F1B" w:rsidRPr="00FB6F1B" w:rsidTr="00DE181D">
        <w:trPr>
          <w:trHeight w:val="5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E2F1B" w:rsidRPr="00FB6F1B"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FB6F1B">
              <w:rPr>
                <w:rFonts w:ascii="Times New Roman" w:eastAsia="Times New Roman" w:hAnsi="Times New Roman"/>
                <w:b/>
                <w:bCs/>
                <w:color w:val="000000"/>
                <w:sz w:val="20"/>
                <w:szCs w:val="20"/>
                <w:lang w:val="es-ES_tradnl" w:eastAsia="pt-BR"/>
              </w:rPr>
              <w:t>2015</w:t>
            </w:r>
          </w:p>
        </w:tc>
        <w:tc>
          <w:tcPr>
            <w:tcW w:w="1346"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814,347</w:t>
            </w:r>
          </w:p>
        </w:tc>
        <w:tc>
          <w:tcPr>
            <w:tcW w:w="1358"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170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138,438,964</w:t>
            </w:r>
          </w:p>
        </w:tc>
        <w:tc>
          <w:tcPr>
            <w:tcW w:w="1358"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170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138,438,964</w:t>
            </w:r>
          </w:p>
        </w:tc>
        <w:tc>
          <w:tcPr>
            <w:tcW w:w="1601" w:type="dxa"/>
            <w:tcBorders>
              <w:top w:val="nil"/>
              <w:left w:val="nil"/>
              <w:bottom w:val="single" w:sz="4" w:space="0" w:color="auto"/>
              <w:right w:val="single" w:sz="4" w:space="0" w:color="auto"/>
            </w:tcBorders>
            <w:shd w:val="clear" w:color="auto" w:fill="auto"/>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0</w:t>
            </w:r>
          </w:p>
        </w:tc>
      </w:tr>
      <w:tr w:rsidR="009E2F1B" w:rsidRPr="00FB6F1B" w:rsidTr="00DE181D">
        <w:trPr>
          <w:trHeight w:val="5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E2F1B" w:rsidRPr="00FB6F1B"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FB6F1B">
              <w:rPr>
                <w:rFonts w:ascii="Times New Roman" w:eastAsia="Times New Roman" w:hAnsi="Times New Roman"/>
                <w:b/>
                <w:bCs/>
                <w:color w:val="000000"/>
                <w:sz w:val="20"/>
                <w:szCs w:val="20"/>
                <w:lang w:val="es-ES_tradnl" w:eastAsia="pt-BR"/>
              </w:rPr>
              <w:t>2016</w:t>
            </w:r>
          </w:p>
        </w:tc>
        <w:tc>
          <w:tcPr>
            <w:tcW w:w="1346"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834,706</w:t>
            </w:r>
          </w:p>
        </w:tc>
        <w:tc>
          <w:tcPr>
            <w:tcW w:w="1358"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170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141,899,938</w:t>
            </w:r>
          </w:p>
        </w:tc>
        <w:tc>
          <w:tcPr>
            <w:tcW w:w="1358"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Pr>
                <w:rFonts w:ascii="Times New Roman" w:eastAsia="Times New Roman" w:hAnsi="Times New Roman"/>
                <w:color w:val="000000"/>
                <w:sz w:val="20"/>
                <w:szCs w:val="20"/>
                <w:lang w:val="es-ES_tradnl" w:eastAsia="pt-BR"/>
              </w:rPr>
              <w:t>120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EF31DF">
              <w:rPr>
                <w:rFonts w:ascii="Times New Roman" w:eastAsia="Times New Roman" w:hAnsi="Times New Roman"/>
                <w:color w:val="000000"/>
                <w:sz w:val="20"/>
                <w:szCs w:val="20"/>
                <w:lang w:val="es-ES_tradnl" w:eastAsia="pt-BR"/>
              </w:rPr>
              <w:t>100,164,662</w:t>
            </w:r>
          </w:p>
        </w:tc>
        <w:tc>
          <w:tcPr>
            <w:tcW w:w="1601" w:type="dxa"/>
            <w:tcBorders>
              <w:top w:val="nil"/>
              <w:left w:val="nil"/>
              <w:bottom w:val="single" w:sz="4" w:space="0" w:color="auto"/>
              <w:right w:val="single" w:sz="4" w:space="0" w:color="auto"/>
            </w:tcBorders>
            <w:shd w:val="clear" w:color="auto" w:fill="auto"/>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5975">
              <w:rPr>
                <w:rFonts w:ascii="Times New Roman" w:eastAsia="Times New Roman" w:hAnsi="Times New Roman"/>
                <w:color w:val="000000"/>
                <w:sz w:val="20"/>
                <w:szCs w:val="20"/>
                <w:lang w:val="es-ES_tradnl" w:eastAsia="pt-BR"/>
              </w:rPr>
              <w:t>41,735,276</w:t>
            </w:r>
          </w:p>
        </w:tc>
      </w:tr>
      <w:tr w:rsidR="009E2F1B" w:rsidRPr="00FB6F1B" w:rsidTr="00DE181D">
        <w:trPr>
          <w:trHeight w:val="5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E2F1B" w:rsidRPr="00FB6F1B"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FB6F1B">
              <w:rPr>
                <w:rFonts w:ascii="Times New Roman" w:eastAsia="Times New Roman" w:hAnsi="Times New Roman"/>
                <w:b/>
                <w:bCs/>
                <w:color w:val="000000"/>
                <w:sz w:val="20"/>
                <w:szCs w:val="20"/>
                <w:lang w:val="es-ES_tradnl" w:eastAsia="pt-BR"/>
              </w:rPr>
              <w:t>2017</w:t>
            </w:r>
          </w:p>
        </w:tc>
        <w:tc>
          <w:tcPr>
            <w:tcW w:w="1346"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855,573</w:t>
            </w:r>
          </w:p>
        </w:tc>
        <w:tc>
          <w:tcPr>
            <w:tcW w:w="1358"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170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145,447,436</w:t>
            </w:r>
          </w:p>
        </w:tc>
        <w:tc>
          <w:tcPr>
            <w:tcW w:w="1358"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120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102,668,778</w:t>
            </w:r>
          </w:p>
        </w:tc>
        <w:tc>
          <w:tcPr>
            <w:tcW w:w="1601" w:type="dxa"/>
            <w:tcBorders>
              <w:top w:val="nil"/>
              <w:left w:val="nil"/>
              <w:bottom w:val="single" w:sz="4" w:space="0" w:color="auto"/>
              <w:right w:val="single" w:sz="4" w:space="0" w:color="auto"/>
            </w:tcBorders>
            <w:shd w:val="clear" w:color="auto" w:fill="auto"/>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42,778,658</w:t>
            </w:r>
          </w:p>
        </w:tc>
      </w:tr>
      <w:tr w:rsidR="009E2F1B" w:rsidRPr="00FB6F1B" w:rsidTr="00DE181D">
        <w:trPr>
          <w:trHeight w:val="5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E2F1B" w:rsidRPr="00FB6F1B"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FB6F1B">
              <w:rPr>
                <w:rFonts w:ascii="Times New Roman" w:eastAsia="Times New Roman" w:hAnsi="Times New Roman"/>
                <w:b/>
                <w:bCs/>
                <w:color w:val="000000"/>
                <w:sz w:val="20"/>
                <w:szCs w:val="20"/>
                <w:lang w:val="es-ES_tradnl" w:eastAsia="pt-BR"/>
              </w:rPr>
              <w:t>2018</w:t>
            </w:r>
          </w:p>
        </w:tc>
        <w:tc>
          <w:tcPr>
            <w:tcW w:w="1346"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876,962</w:t>
            </w:r>
          </w:p>
        </w:tc>
        <w:tc>
          <w:tcPr>
            <w:tcW w:w="1358"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170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149,083,622</w:t>
            </w:r>
          </w:p>
        </w:tc>
        <w:tc>
          <w:tcPr>
            <w:tcW w:w="1358"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100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87,696,248</w:t>
            </w:r>
          </w:p>
        </w:tc>
        <w:tc>
          <w:tcPr>
            <w:tcW w:w="1601" w:type="dxa"/>
            <w:tcBorders>
              <w:top w:val="nil"/>
              <w:left w:val="nil"/>
              <w:bottom w:val="single" w:sz="4" w:space="0" w:color="auto"/>
              <w:right w:val="single" w:sz="4" w:space="0" w:color="auto"/>
            </w:tcBorders>
            <w:shd w:val="clear" w:color="auto" w:fill="auto"/>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61,387,374</w:t>
            </w:r>
          </w:p>
        </w:tc>
      </w:tr>
      <w:tr w:rsidR="009E2F1B" w:rsidRPr="00FB6F1B" w:rsidTr="00DE181D">
        <w:trPr>
          <w:trHeight w:val="5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E2F1B" w:rsidRPr="00FB6F1B"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FB6F1B">
              <w:rPr>
                <w:rFonts w:ascii="Times New Roman" w:eastAsia="Times New Roman" w:hAnsi="Times New Roman"/>
                <w:b/>
                <w:bCs/>
                <w:color w:val="000000"/>
                <w:sz w:val="20"/>
                <w:szCs w:val="20"/>
                <w:lang w:val="es-ES_tradnl" w:eastAsia="pt-BR"/>
              </w:rPr>
              <w:t>2019</w:t>
            </w:r>
          </w:p>
        </w:tc>
        <w:tc>
          <w:tcPr>
            <w:tcW w:w="1346"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898,887</w:t>
            </w:r>
          </w:p>
        </w:tc>
        <w:tc>
          <w:tcPr>
            <w:tcW w:w="1358"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170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152,810,713</w:t>
            </w:r>
          </w:p>
        </w:tc>
        <w:tc>
          <w:tcPr>
            <w:tcW w:w="1358"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100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89,888,654</w:t>
            </w:r>
          </w:p>
        </w:tc>
        <w:tc>
          <w:tcPr>
            <w:tcW w:w="1601" w:type="dxa"/>
            <w:tcBorders>
              <w:top w:val="nil"/>
              <w:left w:val="nil"/>
              <w:bottom w:val="single" w:sz="4" w:space="0" w:color="auto"/>
              <w:right w:val="single" w:sz="4" w:space="0" w:color="auto"/>
            </w:tcBorders>
            <w:shd w:val="clear" w:color="auto" w:fill="auto"/>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62,922,058</w:t>
            </w:r>
          </w:p>
        </w:tc>
      </w:tr>
      <w:tr w:rsidR="009E2F1B" w:rsidRPr="00FB6F1B" w:rsidTr="00DE181D">
        <w:trPr>
          <w:trHeight w:val="5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E2F1B" w:rsidRPr="00FB6F1B"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FB6F1B">
              <w:rPr>
                <w:rFonts w:ascii="Times New Roman" w:eastAsia="Times New Roman" w:hAnsi="Times New Roman"/>
                <w:b/>
                <w:bCs/>
                <w:color w:val="000000"/>
                <w:sz w:val="20"/>
                <w:szCs w:val="20"/>
                <w:lang w:val="es-ES_tradnl" w:eastAsia="pt-BR"/>
              </w:rPr>
              <w:t>2020</w:t>
            </w:r>
          </w:p>
        </w:tc>
        <w:tc>
          <w:tcPr>
            <w:tcW w:w="1346"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921,359</w:t>
            </w:r>
          </w:p>
        </w:tc>
        <w:tc>
          <w:tcPr>
            <w:tcW w:w="1358"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170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156,630,980</w:t>
            </w:r>
          </w:p>
        </w:tc>
        <w:tc>
          <w:tcPr>
            <w:tcW w:w="1358"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100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92,135,871</w:t>
            </w:r>
          </w:p>
        </w:tc>
        <w:tc>
          <w:tcPr>
            <w:tcW w:w="1601" w:type="dxa"/>
            <w:tcBorders>
              <w:top w:val="nil"/>
              <w:left w:val="nil"/>
              <w:bottom w:val="single" w:sz="4" w:space="0" w:color="auto"/>
              <w:right w:val="single" w:sz="4" w:space="0" w:color="auto"/>
            </w:tcBorders>
            <w:shd w:val="clear" w:color="auto" w:fill="auto"/>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64,495,110</w:t>
            </w:r>
          </w:p>
        </w:tc>
      </w:tr>
      <w:tr w:rsidR="009E2F1B" w:rsidRPr="00FB6F1B" w:rsidTr="00DE181D">
        <w:trPr>
          <w:trHeight w:val="5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E2F1B" w:rsidRPr="00FB6F1B"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FB6F1B">
              <w:rPr>
                <w:rFonts w:ascii="Times New Roman" w:eastAsia="Times New Roman" w:hAnsi="Times New Roman"/>
                <w:b/>
                <w:bCs/>
                <w:color w:val="000000"/>
                <w:sz w:val="20"/>
                <w:szCs w:val="20"/>
                <w:lang w:val="es-ES_tradnl" w:eastAsia="pt-BR"/>
              </w:rPr>
              <w:t>2021</w:t>
            </w:r>
          </w:p>
        </w:tc>
        <w:tc>
          <w:tcPr>
            <w:tcW w:w="1346"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944,393</w:t>
            </w:r>
          </w:p>
        </w:tc>
        <w:tc>
          <w:tcPr>
            <w:tcW w:w="1358"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170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160,546,755</w:t>
            </w:r>
          </w:p>
        </w:tc>
        <w:tc>
          <w:tcPr>
            <w:tcW w:w="1358"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100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94,439,268</w:t>
            </w:r>
          </w:p>
        </w:tc>
        <w:tc>
          <w:tcPr>
            <w:tcW w:w="1601" w:type="dxa"/>
            <w:tcBorders>
              <w:top w:val="nil"/>
              <w:left w:val="nil"/>
              <w:bottom w:val="single" w:sz="4" w:space="0" w:color="auto"/>
              <w:right w:val="single" w:sz="4" w:space="0" w:color="auto"/>
            </w:tcBorders>
            <w:shd w:val="clear" w:color="auto" w:fill="auto"/>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66,107,487</w:t>
            </w:r>
          </w:p>
        </w:tc>
      </w:tr>
      <w:tr w:rsidR="009E2F1B" w:rsidRPr="00FB6F1B" w:rsidTr="00DE181D">
        <w:trPr>
          <w:trHeight w:val="5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E2F1B" w:rsidRPr="00FB6F1B"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FB6F1B">
              <w:rPr>
                <w:rFonts w:ascii="Times New Roman" w:eastAsia="Times New Roman" w:hAnsi="Times New Roman"/>
                <w:b/>
                <w:bCs/>
                <w:color w:val="000000"/>
                <w:sz w:val="20"/>
                <w:szCs w:val="20"/>
                <w:lang w:val="es-ES_tradnl" w:eastAsia="pt-BR"/>
              </w:rPr>
              <w:t>2022</w:t>
            </w:r>
          </w:p>
        </w:tc>
        <w:tc>
          <w:tcPr>
            <w:tcW w:w="1346"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968,002</w:t>
            </w:r>
          </w:p>
        </w:tc>
        <w:tc>
          <w:tcPr>
            <w:tcW w:w="1358"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170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164,560,424</w:t>
            </w:r>
          </w:p>
        </w:tc>
        <w:tc>
          <w:tcPr>
            <w:tcW w:w="1358"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100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96,800,249</w:t>
            </w:r>
          </w:p>
        </w:tc>
        <w:tc>
          <w:tcPr>
            <w:tcW w:w="1601" w:type="dxa"/>
            <w:tcBorders>
              <w:top w:val="nil"/>
              <w:left w:val="nil"/>
              <w:bottom w:val="single" w:sz="4" w:space="0" w:color="auto"/>
              <w:right w:val="single" w:sz="4" w:space="0" w:color="auto"/>
            </w:tcBorders>
            <w:shd w:val="clear" w:color="auto" w:fill="auto"/>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67,760,174</w:t>
            </w:r>
          </w:p>
        </w:tc>
      </w:tr>
      <w:tr w:rsidR="009E2F1B" w:rsidRPr="00FB6F1B" w:rsidTr="00DE181D">
        <w:trPr>
          <w:trHeight w:val="53"/>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E2F1B" w:rsidRPr="00FB6F1B"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FB6F1B">
              <w:rPr>
                <w:rFonts w:ascii="Times New Roman" w:eastAsia="Times New Roman" w:hAnsi="Times New Roman"/>
                <w:b/>
                <w:bCs/>
                <w:color w:val="000000"/>
                <w:sz w:val="20"/>
                <w:szCs w:val="20"/>
                <w:lang w:val="es-ES_tradnl" w:eastAsia="pt-BR"/>
              </w:rPr>
              <w:t>2023</w:t>
            </w:r>
          </w:p>
        </w:tc>
        <w:tc>
          <w:tcPr>
            <w:tcW w:w="1346"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992,203</w:t>
            </w:r>
          </w:p>
        </w:tc>
        <w:tc>
          <w:tcPr>
            <w:tcW w:w="1358"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170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168,674,434</w:t>
            </w:r>
          </w:p>
        </w:tc>
        <w:tc>
          <w:tcPr>
            <w:tcW w:w="1358"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100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99,220,255</w:t>
            </w:r>
          </w:p>
        </w:tc>
        <w:tc>
          <w:tcPr>
            <w:tcW w:w="1601" w:type="dxa"/>
            <w:tcBorders>
              <w:top w:val="nil"/>
              <w:left w:val="nil"/>
              <w:bottom w:val="single" w:sz="4" w:space="0" w:color="auto"/>
              <w:right w:val="single" w:sz="4" w:space="0" w:color="auto"/>
            </w:tcBorders>
            <w:shd w:val="clear" w:color="auto" w:fill="auto"/>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69,454,179</w:t>
            </w:r>
          </w:p>
        </w:tc>
      </w:tr>
      <w:tr w:rsidR="009E2F1B" w:rsidRPr="00FB6F1B" w:rsidTr="00DE181D">
        <w:trPr>
          <w:trHeight w:val="5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E2F1B" w:rsidRPr="00FB6F1B" w:rsidRDefault="009E2F1B" w:rsidP="00E41381">
            <w:pPr>
              <w:spacing w:after="0" w:line="240" w:lineRule="auto"/>
              <w:jc w:val="center"/>
              <w:rPr>
                <w:rFonts w:ascii="Times New Roman" w:eastAsia="Times New Roman" w:hAnsi="Times New Roman"/>
                <w:b/>
                <w:bCs/>
                <w:color w:val="000000"/>
                <w:sz w:val="20"/>
                <w:szCs w:val="20"/>
                <w:lang w:val="es-ES_tradnl" w:eastAsia="pt-BR"/>
              </w:rPr>
            </w:pPr>
            <w:r w:rsidRPr="00FB6F1B">
              <w:rPr>
                <w:rFonts w:ascii="Times New Roman" w:eastAsia="Times New Roman" w:hAnsi="Times New Roman"/>
                <w:b/>
                <w:bCs/>
                <w:color w:val="000000"/>
                <w:sz w:val="20"/>
                <w:szCs w:val="20"/>
                <w:lang w:val="es-ES_tradnl" w:eastAsia="pt-BR"/>
              </w:rPr>
              <w:t>2024</w:t>
            </w:r>
          </w:p>
        </w:tc>
        <w:tc>
          <w:tcPr>
            <w:tcW w:w="1346"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1,017,008</w:t>
            </w:r>
          </w:p>
        </w:tc>
        <w:tc>
          <w:tcPr>
            <w:tcW w:w="1358"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170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172,891,295</w:t>
            </w:r>
          </w:p>
        </w:tc>
        <w:tc>
          <w:tcPr>
            <w:tcW w:w="1358"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100</w:t>
            </w:r>
          </w:p>
        </w:tc>
        <w:tc>
          <w:tcPr>
            <w:tcW w:w="1174" w:type="dxa"/>
            <w:tcBorders>
              <w:top w:val="nil"/>
              <w:left w:val="nil"/>
              <w:bottom w:val="single" w:sz="4" w:space="0" w:color="auto"/>
              <w:right w:val="single" w:sz="4" w:space="0" w:color="auto"/>
            </w:tcBorders>
            <w:shd w:val="clear" w:color="auto" w:fill="auto"/>
            <w:noWrap/>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101,700,762</w:t>
            </w:r>
          </w:p>
        </w:tc>
        <w:tc>
          <w:tcPr>
            <w:tcW w:w="1601" w:type="dxa"/>
            <w:tcBorders>
              <w:top w:val="nil"/>
              <w:left w:val="nil"/>
              <w:bottom w:val="single" w:sz="4" w:space="0" w:color="auto"/>
              <w:right w:val="single" w:sz="4" w:space="0" w:color="auto"/>
            </w:tcBorders>
            <w:shd w:val="clear" w:color="auto" w:fill="auto"/>
            <w:vAlign w:val="center"/>
            <w:hideMark/>
          </w:tcPr>
          <w:p w:rsidR="009E2F1B" w:rsidRPr="00FB6F1B" w:rsidRDefault="009E2F1B" w:rsidP="00E41381">
            <w:pPr>
              <w:spacing w:after="0" w:line="240" w:lineRule="auto"/>
              <w:jc w:val="center"/>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71,190,533</w:t>
            </w:r>
          </w:p>
        </w:tc>
      </w:tr>
      <w:tr w:rsidR="009E2F1B" w:rsidRPr="00FB6F1B" w:rsidTr="00DE181D">
        <w:trPr>
          <w:trHeight w:val="50"/>
        </w:trPr>
        <w:tc>
          <w:tcPr>
            <w:tcW w:w="8551" w:type="dxa"/>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rsidR="009E2F1B" w:rsidRPr="00FB6F1B" w:rsidRDefault="009E2F1B" w:rsidP="00E41381">
            <w:pPr>
              <w:spacing w:after="0" w:line="240" w:lineRule="auto"/>
              <w:rPr>
                <w:rFonts w:ascii="Times New Roman" w:eastAsia="Times New Roman" w:hAnsi="Times New Roman"/>
                <w:color w:val="000000"/>
                <w:sz w:val="20"/>
                <w:szCs w:val="20"/>
                <w:lang w:val="es-ES_tradnl" w:eastAsia="pt-BR"/>
              </w:rPr>
            </w:pPr>
            <w:r w:rsidRPr="00FB6F1B">
              <w:rPr>
                <w:rFonts w:ascii="Times New Roman" w:eastAsia="Times New Roman" w:hAnsi="Times New Roman"/>
                <w:color w:val="000000"/>
                <w:sz w:val="20"/>
                <w:szCs w:val="20"/>
                <w:lang w:val="es-ES_tradnl" w:eastAsia="pt-BR"/>
              </w:rPr>
              <w:t>Fuente - http://datos.bancomundial.org/indicador/IS.SHP.GOOD.TU y DIAN</w:t>
            </w:r>
          </w:p>
        </w:tc>
      </w:tr>
      <w:tr w:rsidR="009E2F1B" w:rsidRPr="008E7935" w:rsidTr="00E41381">
        <w:trPr>
          <w:trHeight w:val="290"/>
        </w:trPr>
        <w:tc>
          <w:tcPr>
            <w:tcW w:w="540" w:type="dxa"/>
            <w:tcBorders>
              <w:top w:val="nil"/>
              <w:left w:val="nil"/>
              <w:bottom w:val="nil"/>
              <w:right w:val="nil"/>
            </w:tcBorders>
            <w:shd w:val="clear" w:color="auto" w:fill="auto"/>
            <w:noWrap/>
            <w:vAlign w:val="bottom"/>
          </w:tcPr>
          <w:p w:rsidR="009E2F1B" w:rsidRDefault="009E2F1B" w:rsidP="00E41381">
            <w:pPr>
              <w:spacing w:after="0" w:line="240" w:lineRule="auto"/>
              <w:rPr>
                <w:rFonts w:ascii="Times New Roman" w:eastAsia="Times New Roman" w:hAnsi="Times New Roman"/>
                <w:color w:val="000000"/>
                <w:sz w:val="20"/>
                <w:szCs w:val="20"/>
                <w:lang w:eastAsia="pt-BR"/>
              </w:rPr>
            </w:pPr>
          </w:p>
          <w:p w:rsidR="009E2F1B" w:rsidRPr="008E7935" w:rsidRDefault="009E2F1B" w:rsidP="00E41381">
            <w:pPr>
              <w:spacing w:after="0" w:line="240" w:lineRule="auto"/>
              <w:rPr>
                <w:rFonts w:ascii="Times New Roman" w:eastAsia="Times New Roman" w:hAnsi="Times New Roman"/>
                <w:color w:val="000000"/>
                <w:sz w:val="20"/>
                <w:szCs w:val="20"/>
                <w:lang w:eastAsia="pt-BR"/>
              </w:rPr>
            </w:pPr>
          </w:p>
        </w:tc>
        <w:tc>
          <w:tcPr>
            <w:tcW w:w="1346" w:type="dxa"/>
            <w:tcBorders>
              <w:top w:val="nil"/>
              <w:left w:val="nil"/>
              <w:bottom w:val="nil"/>
              <w:right w:val="nil"/>
            </w:tcBorders>
            <w:shd w:val="clear" w:color="auto" w:fill="auto"/>
            <w:noWrap/>
            <w:vAlign w:val="bottom"/>
          </w:tcPr>
          <w:p w:rsidR="009E2F1B" w:rsidRPr="008E7935" w:rsidRDefault="009E2F1B" w:rsidP="00E41381">
            <w:pPr>
              <w:spacing w:after="0" w:line="240" w:lineRule="auto"/>
              <w:rPr>
                <w:rFonts w:ascii="Times New Roman" w:eastAsia="Times New Roman" w:hAnsi="Times New Roman"/>
                <w:sz w:val="20"/>
                <w:szCs w:val="20"/>
                <w:lang w:eastAsia="pt-BR"/>
              </w:rPr>
            </w:pPr>
          </w:p>
        </w:tc>
        <w:tc>
          <w:tcPr>
            <w:tcW w:w="1358" w:type="dxa"/>
            <w:tcBorders>
              <w:top w:val="nil"/>
              <w:left w:val="nil"/>
              <w:bottom w:val="nil"/>
              <w:right w:val="nil"/>
            </w:tcBorders>
            <w:shd w:val="clear" w:color="auto" w:fill="auto"/>
            <w:noWrap/>
            <w:vAlign w:val="bottom"/>
          </w:tcPr>
          <w:p w:rsidR="009E2F1B" w:rsidRPr="008E7935" w:rsidRDefault="009E2F1B" w:rsidP="00E41381">
            <w:pPr>
              <w:spacing w:after="0" w:line="240" w:lineRule="auto"/>
              <w:rPr>
                <w:rFonts w:ascii="Times New Roman" w:eastAsia="Times New Roman" w:hAnsi="Times New Roman"/>
                <w:sz w:val="20"/>
                <w:szCs w:val="20"/>
                <w:lang w:eastAsia="pt-BR"/>
              </w:rPr>
            </w:pPr>
          </w:p>
        </w:tc>
        <w:tc>
          <w:tcPr>
            <w:tcW w:w="1174" w:type="dxa"/>
            <w:tcBorders>
              <w:top w:val="nil"/>
              <w:left w:val="nil"/>
              <w:bottom w:val="nil"/>
              <w:right w:val="nil"/>
            </w:tcBorders>
            <w:shd w:val="clear" w:color="auto" w:fill="auto"/>
            <w:noWrap/>
            <w:vAlign w:val="bottom"/>
          </w:tcPr>
          <w:p w:rsidR="009E2F1B" w:rsidRPr="008E7935" w:rsidRDefault="009E2F1B" w:rsidP="00E41381">
            <w:pPr>
              <w:spacing w:after="0" w:line="240" w:lineRule="auto"/>
              <w:rPr>
                <w:rFonts w:ascii="Times New Roman" w:eastAsia="Times New Roman" w:hAnsi="Times New Roman"/>
                <w:sz w:val="20"/>
                <w:szCs w:val="20"/>
                <w:lang w:eastAsia="pt-BR"/>
              </w:rPr>
            </w:pPr>
          </w:p>
        </w:tc>
        <w:tc>
          <w:tcPr>
            <w:tcW w:w="1358" w:type="dxa"/>
            <w:tcBorders>
              <w:top w:val="nil"/>
              <w:left w:val="nil"/>
              <w:bottom w:val="nil"/>
              <w:right w:val="nil"/>
            </w:tcBorders>
            <w:shd w:val="clear" w:color="auto" w:fill="auto"/>
            <w:noWrap/>
            <w:vAlign w:val="bottom"/>
          </w:tcPr>
          <w:p w:rsidR="009E2F1B" w:rsidRPr="008E7935" w:rsidRDefault="009E2F1B" w:rsidP="00E41381">
            <w:pPr>
              <w:spacing w:after="0" w:line="240" w:lineRule="auto"/>
              <w:rPr>
                <w:rFonts w:ascii="Times New Roman" w:eastAsia="Times New Roman" w:hAnsi="Times New Roman"/>
                <w:sz w:val="20"/>
                <w:szCs w:val="20"/>
                <w:lang w:eastAsia="pt-BR"/>
              </w:rPr>
            </w:pPr>
          </w:p>
        </w:tc>
        <w:tc>
          <w:tcPr>
            <w:tcW w:w="1174" w:type="dxa"/>
            <w:tcBorders>
              <w:top w:val="nil"/>
              <w:left w:val="nil"/>
              <w:bottom w:val="nil"/>
              <w:right w:val="nil"/>
            </w:tcBorders>
            <w:shd w:val="clear" w:color="auto" w:fill="auto"/>
            <w:noWrap/>
            <w:vAlign w:val="bottom"/>
          </w:tcPr>
          <w:p w:rsidR="009E2F1B" w:rsidRPr="008E7935" w:rsidRDefault="009E2F1B" w:rsidP="00E41381">
            <w:pPr>
              <w:spacing w:after="0" w:line="240" w:lineRule="auto"/>
              <w:rPr>
                <w:rFonts w:ascii="Times New Roman" w:eastAsia="Times New Roman" w:hAnsi="Times New Roman"/>
                <w:sz w:val="20"/>
                <w:szCs w:val="20"/>
                <w:lang w:eastAsia="pt-BR"/>
              </w:rPr>
            </w:pPr>
          </w:p>
        </w:tc>
        <w:tc>
          <w:tcPr>
            <w:tcW w:w="1601" w:type="dxa"/>
            <w:tcBorders>
              <w:top w:val="nil"/>
              <w:left w:val="nil"/>
              <w:bottom w:val="nil"/>
              <w:right w:val="nil"/>
            </w:tcBorders>
            <w:shd w:val="clear" w:color="auto" w:fill="auto"/>
            <w:noWrap/>
            <w:vAlign w:val="bottom"/>
          </w:tcPr>
          <w:p w:rsidR="009E2F1B" w:rsidRPr="008E7935" w:rsidRDefault="009E2F1B" w:rsidP="00E41381">
            <w:pPr>
              <w:spacing w:after="0" w:line="240" w:lineRule="auto"/>
              <w:rPr>
                <w:rFonts w:ascii="Times New Roman" w:eastAsia="Times New Roman" w:hAnsi="Times New Roman"/>
                <w:sz w:val="20"/>
                <w:szCs w:val="20"/>
                <w:lang w:eastAsia="pt-BR"/>
              </w:rPr>
            </w:pPr>
          </w:p>
        </w:tc>
      </w:tr>
    </w:tbl>
    <w:p w:rsidR="009E2F1B" w:rsidRDefault="009E2F1B" w:rsidP="007A3796">
      <w:pPr>
        <w:pStyle w:val="ListParagraph"/>
        <w:keepNext/>
        <w:numPr>
          <w:ilvl w:val="0"/>
          <w:numId w:val="21"/>
        </w:numPr>
        <w:spacing w:before="120" w:after="120" w:line="240" w:lineRule="auto"/>
        <w:contextualSpacing w:val="0"/>
        <w:jc w:val="center"/>
        <w:rPr>
          <w:rFonts w:ascii="Times New Roman" w:hAnsi="Times New Roman"/>
          <w:b/>
          <w:sz w:val="24"/>
          <w:szCs w:val="24"/>
          <w:lang w:val="es-ES_tradnl"/>
        </w:rPr>
      </w:pPr>
      <w:r>
        <w:rPr>
          <w:rFonts w:ascii="Times New Roman" w:hAnsi="Times New Roman"/>
          <w:b/>
          <w:sz w:val="24"/>
          <w:szCs w:val="24"/>
          <w:lang w:val="es-ES_tradnl"/>
        </w:rPr>
        <w:t>CONCLUSIÓN</w:t>
      </w:r>
    </w:p>
    <w:p w:rsidR="009E2F1B" w:rsidRPr="00BA0E8E" w:rsidRDefault="009E2F1B" w:rsidP="009E2F1B">
      <w:pPr>
        <w:pStyle w:val="ListParagraph"/>
        <w:keepNext/>
        <w:numPr>
          <w:ilvl w:val="1"/>
          <w:numId w:val="21"/>
        </w:numPr>
        <w:spacing w:before="120" w:after="120" w:line="240" w:lineRule="auto"/>
        <w:ind w:left="990" w:hanging="630"/>
        <w:contextualSpacing w:val="0"/>
        <w:jc w:val="both"/>
        <w:rPr>
          <w:rFonts w:ascii="Times New Roman" w:hAnsi="Times New Roman"/>
          <w:sz w:val="24"/>
          <w:szCs w:val="24"/>
          <w:lang w:val="es-ES_tradnl"/>
        </w:rPr>
      </w:pPr>
      <w:r>
        <w:rPr>
          <w:rFonts w:ascii="Times New Roman" w:hAnsi="Times New Roman"/>
          <w:sz w:val="24"/>
          <w:szCs w:val="24"/>
          <w:lang w:val="es-ES_tradnl"/>
        </w:rPr>
        <w:t xml:space="preserve">En las importaciones, se espera que a partir de 2015 se estará generando un beneficio de aproximadamente US$ 40,7 millones que será US$71,1 millones en 2024. </w:t>
      </w:r>
    </w:p>
    <w:p w:rsidR="009E2F1B" w:rsidRPr="002F4BF7" w:rsidRDefault="009E2F1B" w:rsidP="009E2F1B">
      <w:pPr>
        <w:pStyle w:val="ListParagraph"/>
        <w:spacing w:before="120" w:after="120" w:line="240" w:lineRule="auto"/>
        <w:ind w:left="1080"/>
        <w:contextualSpacing w:val="0"/>
        <w:rPr>
          <w:rFonts w:ascii="Times New Roman" w:hAnsi="Times New Roman"/>
          <w:b/>
          <w:sz w:val="24"/>
          <w:szCs w:val="24"/>
          <w:lang w:val="es-ES_tradnl"/>
        </w:rPr>
      </w:pPr>
    </w:p>
    <w:p w:rsidR="009E2F1B" w:rsidRPr="008D5FA8" w:rsidRDefault="009E2F1B" w:rsidP="009E2F1B">
      <w:pPr>
        <w:spacing w:before="120" w:after="120" w:line="240" w:lineRule="auto"/>
        <w:ind w:left="994"/>
        <w:jc w:val="both"/>
        <w:rPr>
          <w:rFonts w:ascii="Times New Roman" w:hAnsi="Times New Roman"/>
          <w:sz w:val="24"/>
          <w:szCs w:val="24"/>
        </w:rPr>
      </w:pPr>
    </w:p>
    <w:tbl>
      <w:tblPr>
        <w:tblStyle w:val="TableGrid"/>
        <w:tblW w:w="0" w:type="auto"/>
        <w:tblInd w:w="1008" w:type="dxa"/>
        <w:tblLook w:val="04A0" w:firstRow="1" w:lastRow="0" w:firstColumn="1" w:lastColumn="0" w:noHBand="0" w:noVBand="1"/>
      </w:tblPr>
      <w:tblGrid>
        <w:gridCol w:w="7740"/>
      </w:tblGrid>
      <w:tr w:rsidR="00A01E42" w:rsidRPr="00881A0E" w:rsidTr="007A3796">
        <w:tc>
          <w:tcPr>
            <w:tcW w:w="7740" w:type="dxa"/>
          </w:tcPr>
          <w:p w:rsidR="00A01E42" w:rsidRPr="00902B91" w:rsidRDefault="00A01E42" w:rsidP="007A3796">
            <w:pPr>
              <w:pStyle w:val="ListParagraph"/>
              <w:spacing w:before="120" w:after="120" w:line="240" w:lineRule="auto"/>
              <w:ind w:left="0"/>
              <w:contextualSpacing w:val="0"/>
              <w:jc w:val="both"/>
              <w:rPr>
                <w:rFonts w:ascii="Times New Roman" w:hAnsi="Times New Roman"/>
                <w:b/>
                <w:i/>
                <w:sz w:val="24"/>
                <w:szCs w:val="24"/>
                <w:lang w:val="es-ES_tradnl"/>
              </w:rPr>
            </w:pPr>
            <w:r w:rsidRPr="007A3796">
              <w:rPr>
                <w:rFonts w:ascii="Times New Roman" w:hAnsi="Times New Roman"/>
                <w:b/>
                <w:i/>
                <w:color w:val="000000"/>
                <w:sz w:val="24"/>
                <w:szCs w:val="24"/>
                <w:lang w:val="es-ES_tradnl"/>
              </w:rPr>
              <w:t>Supuesto 2 - Se genera un beneficio financiero para el Gobierno de Colombia, a partir de la mejora de los procedimientos de compras públicas, por medio de los ahorros administrativos generados con el aumento del uso de los Acuerdos Marco de Precios para las entidades estatales.</w:t>
            </w:r>
          </w:p>
        </w:tc>
      </w:tr>
    </w:tbl>
    <w:p w:rsidR="00A01E42" w:rsidRPr="00902B91" w:rsidRDefault="00A01E42" w:rsidP="00A01E42">
      <w:pPr>
        <w:rPr>
          <w:rFonts w:ascii="Times New Roman" w:hAnsi="Times New Roman"/>
          <w:sz w:val="24"/>
          <w:szCs w:val="24"/>
          <w:lang w:val="es-ES_tradnl"/>
        </w:rPr>
      </w:pPr>
    </w:p>
    <w:p w:rsidR="00A01E42" w:rsidRPr="00902B91" w:rsidRDefault="00A01E42" w:rsidP="007A3796">
      <w:pPr>
        <w:pStyle w:val="ListParagraph"/>
        <w:numPr>
          <w:ilvl w:val="0"/>
          <w:numId w:val="33"/>
        </w:numPr>
        <w:spacing w:before="120" w:after="120" w:line="240" w:lineRule="auto"/>
        <w:contextualSpacing w:val="0"/>
        <w:jc w:val="center"/>
        <w:rPr>
          <w:rFonts w:ascii="Times New Roman" w:hAnsi="Times New Roman"/>
          <w:b/>
          <w:sz w:val="24"/>
          <w:szCs w:val="24"/>
          <w:lang w:val="es-ES_tradnl"/>
        </w:rPr>
      </w:pPr>
      <w:r w:rsidRPr="00902B91">
        <w:rPr>
          <w:rFonts w:ascii="Times New Roman" w:hAnsi="Times New Roman"/>
          <w:b/>
          <w:sz w:val="24"/>
          <w:szCs w:val="24"/>
          <w:lang w:val="es-ES_tradnl"/>
        </w:rPr>
        <w:t>CONTEXTO</w:t>
      </w:r>
    </w:p>
    <w:p w:rsidR="00A01E42" w:rsidRPr="00902B91" w:rsidRDefault="00A01E42" w:rsidP="00D43CA2">
      <w:pPr>
        <w:pStyle w:val="ListParagraph"/>
        <w:numPr>
          <w:ilvl w:val="1"/>
          <w:numId w:val="33"/>
        </w:numPr>
        <w:spacing w:before="120" w:after="120" w:line="240" w:lineRule="auto"/>
        <w:ind w:left="907" w:hanging="547"/>
        <w:contextualSpacing w:val="0"/>
        <w:jc w:val="both"/>
        <w:rPr>
          <w:rFonts w:ascii="Times New Roman" w:hAnsi="Times New Roman"/>
          <w:sz w:val="24"/>
          <w:szCs w:val="24"/>
          <w:lang w:val="es-ES_tradnl"/>
        </w:rPr>
      </w:pPr>
      <w:r w:rsidRPr="00902B91">
        <w:rPr>
          <w:rFonts w:ascii="Times New Roman" w:hAnsi="Times New Roman"/>
          <w:color w:val="1A1A1A"/>
          <w:sz w:val="24"/>
          <w:szCs w:val="24"/>
          <w:lang w:val="es-ES_tradnl"/>
        </w:rPr>
        <w:t>Las compras públicas tienen un peso importante en la economía nacional pues representan más del 15% del PIB además de ser la forma como se materializan las políticas públicas pues con su ejecución el Estado entrega a los ciudadanos los bienes, obras y servicios que necesitan.</w:t>
      </w:r>
    </w:p>
    <w:p w:rsidR="00A01E42" w:rsidRPr="00902B91" w:rsidRDefault="00A01E42" w:rsidP="00D43CA2">
      <w:pPr>
        <w:pStyle w:val="ListParagraph"/>
        <w:numPr>
          <w:ilvl w:val="1"/>
          <w:numId w:val="33"/>
        </w:numPr>
        <w:spacing w:before="120" w:after="120" w:line="240" w:lineRule="auto"/>
        <w:ind w:left="907" w:hanging="547"/>
        <w:contextualSpacing w:val="0"/>
        <w:jc w:val="both"/>
        <w:rPr>
          <w:rFonts w:ascii="Times New Roman" w:hAnsi="Times New Roman"/>
          <w:sz w:val="24"/>
          <w:szCs w:val="24"/>
          <w:lang w:val="es-ES_tradnl"/>
        </w:rPr>
      </w:pPr>
      <w:r w:rsidRPr="00902B91">
        <w:rPr>
          <w:rFonts w:ascii="Times New Roman" w:hAnsi="Times New Roman"/>
          <w:sz w:val="24"/>
          <w:szCs w:val="24"/>
          <w:lang w:val="es-ES_tradnl"/>
        </w:rPr>
        <w:t xml:space="preserve">Dado el peso importante de las compras públicas en el gasto público, en 2011 se creó la Agencia Nacional de Contratación Pública (Colombia Compra Eficiente - CCE), con el objetivo de lograr una mayor eficiencia, transparencia y optimización de los recursos del Estado. No obstante, las características de los procesos de adquisiciones obstaculizan la optimización de los recursos. </w:t>
      </w:r>
    </w:p>
    <w:p w:rsidR="00A01E42" w:rsidRPr="00902B91" w:rsidRDefault="00A01E42" w:rsidP="00D43CA2">
      <w:pPr>
        <w:pStyle w:val="ListParagraph"/>
        <w:numPr>
          <w:ilvl w:val="1"/>
          <w:numId w:val="33"/>
        </w:numPr>
        <w:spacing w:before="120" w:after="120" w:line="240" w:lineRule="auto"/>
        <w:ind w:left="907" w:hanging="547"/>
        <w:contextualSpacing w:val="0"/>
        <w:jc w:val="both"/>
        <w:rPr>
          <w:rFonts w:ascii="Times New Roman" w:hAnsi="Times New Roman"/>
          <w:color w:val="1A1A1A"/>
          <w:sz w:val="24"/>
          <w:szCs w:val="24"/>
          <w:lang w:val="es-ES_tradnl"/>
        </w:rPr>
      </w:pPr>
      <w:r w:rsidRPr="00902B91">
        <w:rPr>
          <w:rFonts w:ascii="Times New Roman" w:hAnsi="Times New Roman"/>
          <w:color w:val="1A1A1A"/>
          <w:sz w:val="24"/>
          <w:szCs w:val="24"/>
          <w:lang w:val="es-ES_tradnl"/>
        </w:rPr>
        <w:t xml:space="preserve">Las </w:t>
      </w:r>
      <w:r w:rsidRPr="00902B91">
        <w:rPr>
          <w:rFonts w:ascii="Times New Roman" w:hAnsi="Times New Roman"/>
          <w:sz w:val="24"/>
          <w:szCs w:val="24"/>
          <w:lang w:val="es-ES_tradnl"/>
        </w:rPr>
        <w:t>áreas</w:t>
      </w:r>
      <w:r w:rsidRPr="00902B91">
        <w:rPr>
          <w:rFonts w:ascii="Times New Roman" w:hAnsi="Times New Roman"/>
          <w:color w:val="1A1A1A"/>
          <w:sz w:val="24"/>
          <w:szCs w:val="24"/>
          <w:lang w:val="es-ES_tradnl"/>
        </w:rPr>
        <w:t xml:space="preserve"> temáticas o líneas de acción de Colombia Compra Eficiente, sobre las cuales fue definido el plan de acción de 2012, 2013 y 2014 son las siguientes:</w:t>
      </w:r>
    </w:p>
    <w:p w:rsidR="00A01E42" w:rsidRPr="00902B91" w:rsidRDefault="00A01E42" w:rsidP="00D43CA2">
      <w:pPr>
        <w:pStyle w:val="ListParagraph"/>
        <w:numPr>
          <w:ilvl w:val="0"/>
          <w:numId w:val="25"/>
        </w:numPr>
        <w:autoSpaceDE w:val="0"/>
        <w:autoSpaceDN w:val="0"/>
        <w:adjustRightInd w:val="0"/>
        <w:spacing w:before="120" w:after="120" w:line="240" w:lineRule="auto"/>
        <w:ind w:left="1350" w:hanging="540"/>
        <w:jc w:val="both"/>
        <w:rPr>
          <w:rFonts w:ascii="Times New Roman" w:hAnsi="Times New Roman"/>
          <w:color w:val="1A1A1A"/>
          <w:sz w:val="24"/>
          <w:szCs w:val="24"/>
          <w:lang w:val="es-ES_tradnl"/>
        </w:rPr>
      </w:pPr>
      <w:r w:rsidRPr="00902B91">
        <w:rPr>
          <w:rFonts w:ascii="Times New Roman" w:hAnsi="Times New Roman"/>
          <w:color w:val="1A1A1A"/>
          <w:sz w:val="24"/>
          <w:szCs w:val="24"/>
          <w:lang w:val="es-ES_tradnl"/>
        </w:rPr>
        <w:t>Posicionamiento de la compra pública como un asunto estratégico del funcionamiento del Estado.</w:t>
      </w:r>
    </w:p>
    <w:p w:rsidR="00A01E42" w:rsidRPr="00902B91" w:rsidRDefault="00A01E42" w:rsidP="00D43CA2">
      <w:pPr>
        <w:pStyle w:val="ListParagraph"/>
        <w:numPr>
          <w:ilvl w:val="0"/>
          <w:numId w:val="25"/>
        </w:numPr>
        <w:autoSpaceDE w:val="0"/>
        <w:autoSpaceDN w:val="0"/>
        <w:adjustRightInd w:val="0"/>
        <w:spacing w:before="120" w:after="120" w:line="240" w:lineRule="auto"/>
        <w:ind w:left="1350" w:hanging="540"/>
        <w:jc w:val="both"/>
        <w:rPr>
          <w:rFonts w:ascii="Times New Roman" w:hAnsi="Times New Roman"/>
          <w:color w:val="1A1A1A"/>
          <w:sz w:val="24"/>
          <w:szCs w:val="24"/>
          <w:lang w:val="es-ES_tradnl"/>
        </w:rPr>
      </w:pPr>
      <w:r w:rsidRPr="00902B91">
        <w:rPr>
          <w:rFonts w:ascii="Times New Roman" w:hAnsi="Times New Roman"/>
          <w:color w:val="1A1A1A"/>
          <w:sz w:val="24"/>
          <w:szCs w:val="24"/>
          <w:lang w:val="es-ES_tradnl"/>
        </w:rPr>
        <w:t>Programas de formación para los partícipes de la compra pública.</w:t>
      </w:r>
    </w:p>
    <w:p w:rsidR="00A01E42" w:rsidRPr="00902B91" w:rsidRDefault="00A01E42" w:rsidP="00D43CA2">
      <w:pPr>
        <w:pStyle w:val="ListParagraph"/>
        <w:numPr>
          <w:ilvl w:val="0"/>
          <w:numId w:val="25"/>
        </w:numPr>
        <w:autoSpaceDE w:val="0"/>
        <w:autoSpaceDN w:val="0"/>
        <w:adjustRightInd w:val="0"/>
        <w:spacing w:before="120" w:after="120" w:line="240" w:lineRule="auto"/>
        <w:ind w:left="1350" w:hanging="540"/>
        <w:jc w:val="both"/>
        <w:rPr>
          <w:rFonts w:ascii="Times New Roman" w:hAnsi="Times New Roman"/>
          <w:color w:val="1A1A1A"/>
          <w:sz w:val="24"/>
          <w:szCs w:val="24"/>
          <w:lang w:val="es-ES_tradnl"/>
        </w:rPr>
      </w:pPr>
      <w:r w:rsidRPr="00902B91">
        <w:rPr>
          <w:rFonts w:ascii="Times New Roman" w:hAnsi="Times New Roman"/>
          <w:color w:val="1A1A1A"/>
          <w:sz w:val="24"/>
          <w:szCs w:val="24"/>
          <w:lang w:val="es-ES_tradnl"/>
        </w:rPr>
        <w:t xml:space="preserve">Estrategia de </w:t>
      </w:r>
      <w:r w:rsidRPr="00902B91">
        <w:rPr>
          <w:rFonts w:ascii="Times New Roman" w:hAnsi="Times New Roman"/>
          <w:i/>
          <w:iCs/>
          <w:color w:val="1A1A1A"/>
          <w:sz w:val="24"/>
          <w:szCs w:val="24"/>
          <w:lang w:val="es-ES_tradnl"/>
        </w:rPr>
        <w:t>e-</w:t>
      </w:r>
      <w:proofErr w:type="spellStart"/>
      <w:r w:rsidRPr="00902B91">
        <w:rPr>
          <w:rFonts w:ascii="Times New Roman" w:hAnsi="Times New Roman"/>
          <w:i/>
          <w:iCs/>
          <w:color w:val="1A1A1A"/>
          <w:sz w:val="24"/>
          <w:szCs w:val="24"/>
          <w:lang w:val="es-ES_tradnl"/>
        </w:rPr>
        <w:t>Procurement</w:t>
      </w:r>
      <w:proofErr w:type="spellEnd"/>
      <w:r w:rsidRPr="00902B91">
        <w:rPr>
          <w:rFonts w:ascii="Times New Roman" w:hAnsi="Times New Roman"/>
          <w:color w:val="1A1A1A"/>
          <w:sz w:val="24"/>
          <w:szCs w:val="24"/>
          <w:lang w:val="es-ES_tradnl"/>
        </w:rPr>
        <w:t>.</w:t>
      </w:r>
    </w:p>
    <w:p w:rsidR="00A01E42" w:rsidRPr="00902B91" w:rsidRDefault="00A01E42" w:rsidP="00D43CA2">
      <w:pPr>
        <w:pStyle w:val="ListParagraph"/>
        <w:numPr>
          <w:ilvl w:val="0"/>
          <w:numId w:val="25"/>
        </w:numPr>
        <w:autoSpaceDE w:val="0"/>
        <w:autoSpaceDN w:val="0"/>
        <w:adjustRightInd w:val="0"/>
        <w:spacing w:before="120" w:after="120" w:line="240" w:lineRule="auto"/>
        <w:ind w:left="1350" w:hanging="540"/>
        <w:jc w:val="both"/>
        <w:rPr>
          <w:rFonts w:ascii="Times New Roman" w:hAnsi="Times New Roman"/>
          <w:color w:val="1A1A1A"/>
          <w:sz w:val="24"/>
          <w:szCs w:val="24"/>
          <w:lang w:val="es-ES_tradnl"/>
        </w:rPr>
      </w:pPr>
      <w:r w:rsidRPr="00902B91">
        <w:rPr>
          <w:rFonts w:ascii="Times New Roman" w:hAnsi="Times New Roman"/>
          <w:color w:val="1A1A1A"/>
          <w:sz w:val="24"/>
          <w:szCs w:val="24"/>
          <w:lang w:val="es-ES_tradnl"/>
        </w:rPr>
        <w:t>Modernización de la estructura legal del SCPC.</w:t>
      </w:r>
    </w:p>
    <w:p w:rsidR="00A01E42" w:rsidRPr="00902B91" w:rsidRDefault="00A01E42" w:rsidP="00D43CA2">
      <w:pPr>
        <w:pStyle w:val="ListParagraph"/>
        <w:numPr>
          <w:ilvl w:val="0"/>
          <w:numId w:val="25"/>
        </w:numPr>
        <w:autoSpaceDE w:val="0"/>
        <w:autoSpaceDN w:val="0"/>
        <w:adjustRightInd w:val="0"/>
        <w:spacing w:before="120" w:after="120" w:line="240" w:lineRule="auto"/>
        <w:ind w:left="1350" w:hanging="540"/>
        <w:jc w:val="both"/>
        <w:rPr>
          <w:rFonts w:ascii="Times New Roman" w:hAnsi="Times New Roman"/>
          <w:color w:val="1A1A1A"/>
          <w:sz w:val="24"/>
          <w:szCs w:val="24"/>
          <w:lang w:val="es-ES_tradnl"/>
        </w:rPr>
      </w:pPr>
      <w:r w:rsidRPr="00902B91">
        <w:rPr>
          <w:rFonts w:ascii="Times New Roman" w:hAnsi="Times New Roman"/>
          <w:color w:val="1A1A1A"/>
          <w:sz w:val="24"/>
          <w:szCs w:val="24"/>
          <w:lang w:val="es-ES_tradnl"/>
        </w:rPr>
        <w:t>Modernización de los sistemas de control.</w:t>
      </w:r>
    </w:p>
    <w:p w:rsidR="00A01E42" w:rsidRPr="00902B91" w:rsidRDefault="00A01E42" w:rsidP="00D43CA2">
      <w:pPr>
        <w:pStyle w:val="ListParagraph"/>
        <w:numPr>
          <w:ilvl w:val="0"/>
          <w:numId w:val="25"/>
        </w:numPr>
        <w:autoSpaceDE w:val="0"/>
        <w:autoSpaceDN w:val="0"/>
        <w:adjustRightInd w:val="0"/>
        <w:spacing w:before="120" w:after="120" w:line="240" w:lineRule="auto"/>
        <w:ind w:left="1350" w:hanging="540"/>
        <w:jc w:val="both"/>
        <w:rPr>
          <w:rFonts w:ascii="Times New Roman" w:hAnsi="Times New Roman"/>
          <w:color w:val="1A1A1A"/>
          <w:sz w:val="24"/>
          <w:szCs w:val="24"/>
          <w:lang w:val="es-ES_tradnl"/>
        </w:rPr>
      </w:pPr>
      <w:r w:rsidRPr="00902B91">
        <w:rPr>
          <w:rFonts w:ascii="Times New Roman" w:hAnsi="Times New Roman"/>
          <w:color w:val="1A1A1A"/>
          <w:sz w:val="24"/>
          <w:szCs w:val="24"/>
          <w:lang w:val="es-ES_tradnl"/>
        </w:rPr>
        <w:t>Asistencia técnica a los gobiernos y entidades territoriales para obtener un mayor valor por el dinero público en las compras y contratación.</w:t>
      </w:r>
    </w:p>
    <w:p w:rsidR="00A01E42" w:rsidRPr="00902B91" w:rsidRDefault="00A01E42" w:rsidP="00D43CA2">
      <w:pPr>
        <w:pStyle w:val="ListParagraph"/>
        <w:numPr>
          <w:ilvl w:val="0"/>
          <w:numId w:val="25"/>
        </w:numPr>
        <w:spacing w:before="120" w:after="120" w:line="240" w:lineRule="auto"/>
        <w:ind w:left="1350" w:hanging="540"/>
        <w:contextualSpacing w:val="0"/>
        <w:jc w:val="both"/>
        <w:rPr>
          <w:rFonts w:ascii="Times New Roman" w:hAnsi="Times New Roman"/>
          <w:sz w:val="24"/>
          <w:szCs w:val="24"/>
          <w:lang w:val="es-ES_tradnl"/>
        </w:rPr>
      </w:pPr>
      <w:r w:rsidRPr="00902B91">
        <w:rPr>
          <w:rFonts w:ascii="Times New Roman" w:hAnsi="Times New Roman"/>
          <w:color w:val="1A1A1A"/>
          <w:sz w:val="24"/>
          <w:szCs w:val="24"/>
          <w:lang w:val="es-ES_tradnl"/>
        </w:rPr>
        <w:t>Fomentar y mejorar la participación ciudadana en el SCPC.</w:t>
      </w:r>
    </w:p>
    <w:p w:rsidR="00A01E42" w:rsidRPr="00902B91" w:rsidRDefault="00A01E42" w:rsidP="00D43CA2">
      <w:pPr>
        <w:pStyle w:val="ListParagraph"/>
        <w:numPr>
          <w:ilvl w:val="1"/>
          <w:numId w:val="33"/>
        </w:numPr>
        <w:spacing w:before="120" w:after="120" w:line="240" w:lineRule="auto"/>
        <w:ind w:left="900" w:hanging="540"/>
        <w:contextualSpacing w:val="0"/>
        <w:jc w:val="both"/>
        <w:rPr>
          <w:rFonts w:ascii="Times New Roman" w:hAnsi="Times New Roman"/>
          <w:sz w:val="24"/>
          <w:szCs w:val="24"/>
          <w:lang w:val="es-ES_tradnl"/>
        </w:rPr>
      </w:pPr>
      <w:r w:rsidRPr="00902B91">
        <w:rPr>
          <w:rFonts w:ascii="Times New Roman" w:hAnsi="Times New Roman"/>
          <w:sz w:val="24"/>
          <w:szCs w:val="24"/>
          <w:lang w:val="es-ES_tradnl"/>
        </w:rPr>
        <w:t xml:space="preserve">El impacto de la </w:t>
      </w:r>
      <w:r w:rsidRPr="00902B91">
        <w:rPr>
          <w:rFonts w:ascii="Times New Roman" w:hAnsi="Times New Roman"/>
          <w:color w:val="1A1A1A"/>
          <w:sz w:val="24"/>
          <w:szCs w:val="24"/>
          <w:lang w:val="es-ES_tradnl"/>
        </w:rPr>
        <w:t>creación</w:t>
      </w:r>
      <w:r w:rsidRPr="00902B91">
        <w:rPr>
          <w:rFonts w:ascii="Times New Roman" w:hAnsi="Times New Roman"/>
          <w:sz w:val="24"/>
          <w:szCs w:val="24"/>
          <w:lang w:val="es-ES_tradnl"/>
        </w:rPr>
        <w:t xml:space="preserve"> de Colombia Compra Eficiente en la publicidad de las compras y la contratación pública es evidente. Entre 2011 y 2013 el valor de los contratos publicados aumentó en un 70,1% y el número de contratos en un 137,5%. La publicidad de los contratos de las Entidades Estatales de nivel nacional creció entre 2011 y 2013 en valor un 72,8% y en número 88% y la de las Entidades Estatales de nivel territorial creció en valor un 66,9% y en número un 169%.</w:t>
      </w:r>
    </w:p>
    <w:p w:rsidR="00A01E42" w:rsidRPr="00902B91" w:rsidRDefault="00A01E42" w:rsidP="00A01E42">
      <w:pPr>
        <w:pStyle w:val="ListParagraph"/>
        <w:spacing w:before="120" w:after="120" w:line="240" w:lineRule="auto"/>
        <w:ind w:left="900"/>
        <w:contextualSpacing w:val="0"/>
        <w:jc w:val="both"/>
        <w:rPr>
          <w:rFonts w:ascii="Times New Roman" w:hAnsi="Times New Roman"/>
          <w:sz w:val="24"/>
          <w:szCs w:val="24"/>
          <w:lang w:val="es-ES_tradnl"/>
        </w:rPr>
      </w:pPr>
      <w:r w:rsidRPr="00902B91">
        <w:rPr>
          <w:noProof/>
          <w:lang w:val="en-US"/>
        </w:rPr>
        <w:drawing>
          <wp:inline distT="0" distB="0" distL="0" distR="0" wp14:anchorId="2AD807F9" wp14:editId="3CB6A4AA">
            <wp:extent cx="4978400" cy="1008815"/>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120840" cy="1037679"/>
                    </a:xfrm>
                    <a:prstGeom prst="rect">
                      <a:avLst/>
                    </a:prstGeom>
                  </pic:spPr>
                </pic:pic>
              </a:graphicData>
            </a:graphic>
          </wp:inline>
        </w:drawing>
      </w:r>
    </w:p>
    <w:p w:rsidR="00A01E42" w:rsidRPr="00902B91" w:rsidRDefault="00A01E42" w:rsidP="00A01E42">
      <w:pPr>
        <w:pStyle w:val="ListParagraph"/>
        <w:numPr>
          <w:ilvl w:val="1"/>
          <w:numId w:val="33"/>
        </w:numPr>
        <w:spacing w:before="120" w:after="120" w:line="240" w:lineRule="auto"/>
        <w:ind w:left="900" w:hanging="540"/>
        <w:contextualSpacing w:val="0"/>
        <w:jc w:val="both"/>
        <w:rPr>
          <w:rFonts w:ascii="Times New Roman" w:hAnsi="Times New Roman"/>
          <w:b/>
          <w:sz w:val="24"/>
          <w:szCs w:val="24"/>
          <w:lang w:val="es-ES_tradnl"/>
        </w:rPr>
      </w:pPr>
      <w:r w:rsidRPr="00B87FE4">
        <w:rPr>
          <w:rFonts w:ascii="Times New Roman" w:hAnsi="Times New Roman"/>
          <w:color w:val="000000"/>
          <w:sz w:val="24"/>
          <w:szCs w:val="24"/>
          <w:lang w:val="es-ES_tradnl"/>
        </w:rPr>
        <w:t xml:space="preserve">El número total de Entidades Estatales inscritas en el </w:t>
      </w:r>
      <w:r w:rsidRPr="00902B91">
        <w:rPr>
          <w:rFonts w:ascii="Times New Roman" w:hAnsi="Times New Roman"/>
          <w:color w:val="000000"/>
          <w:sz w:val="24"/>
          <w:szCs w:val="24"/>
          <w:lang w:val="es-ES_tradnl"/>
        </w:rPr>
        <w:t>Sistema Electrónico para la Contratación Pública (</w:t>
      </w:r>
      <w:r w:rsidRPr="00B87FE4">
        <w:rPr>
          <w:rFonts w:ascii="Times New Roman" w:hAnsi="Times New Roman"/>
          <w:color w:val="000000"/>
          <w:sz w:val="24"/>
          <w:szCs w:val="24"/>
          <w:lang w:val="es-ES_tradnl"/>
        </w:rPr>
        <w:t>SECOP</w:t>
      </w:r>
      <w:r w:rsidRPr="00902B91">
        <w:rPr>
          <w:rFonts w:ascii="Times New Roman" w:hAnsi="Times New Roman"/>
          <w:color w:val="000000"/>
          <w:sz w:val="24"/>
          <w:szCs w:val="24"/>
          <w:lang w:val="es-ES_tradnl"/>
        </w:rPr>
        <w:t>)</w:t>
      </w:r>
      <w:r w:rsidRPr="00B87FE4">
        <w:rPr>
          <w:rFonts w:ascii="Times New Roman" w:hAnsi="Times New Roman"/>
          <w:color w:val="000000"/>
          <w:sz w:val="24"/>
          <w:szCs w:val="24"/>
          <w:lang w:val="es-ES_tradnl"/>
        </w:rPr>
        <w:t xml:space="preserve"> creció considerablemente entre 2011 y 2013, el número de Entidades Estatales inscritas en SECOP creció en un 35%, 19,8% fue el crecimiento en el número de Entidades Estatales de nivel nacional y 36% en el nivel territorial. </w:t>
      </w:r>
      <w:r w:rsidRPr="00902B91">
        <w:rPr>
          <w:rFonts w:ascii="Times New Roman" w:hAnsi="Times New Roman"/>
          <w:color w:val="000000"/>
          <w:sz w:val="24"/>
          <w:szCs w:val="24"/>
          <w:lang w:val="es-ES_tradnl"/>
        </w:rPr>
        <w:t>Aún hay Entidades Estatales que no publican la totalidad de su contratación y que hay espacio para mejorar pero los avances mostrados por los resultados anteriores son importantes.</w:t>
      </w:r>
    </w:p>
    <w:p w:rsidR="00A01E42" w:rsidRPr="00902B91" w:rsidRDefault="00A01E42" w:rsidP="00A01E42">
      <w:pPr>
        <w:pStyle w:val="ListParagraph"/>
        <w:numPr>
          <w:ilvl w:val="1"/>
          <w:numId w:val="33"/>
        </w:numPr>
        <w:spacing w:before="120" w:after="120" w:line="240" w:lineRule="auto"/>
        <w:ind w:left="900" w:hanging="540"/>
        <w:contextualSpacing w:val="0"/>
        <w:jc w:val="both"/>
        <w:rPr>
          <w:rFonts w:ascii="Times New Roman" w:hAnsi="Times New Roman"/>
          <w:b/>
          <w:sz w:val="24"/>
          <w:szCs w:val="24"/>
          <w:lang w:val="es-ES_tradnl"/>
        </w:rPr>
      </w:pPr>
      <w:r w:rsidRPr="00902B91">
        <w:rPr>
          <w:rFonts w:ascii="Times New Roman" w:hAnsi="Times New Roman"/>
          <w:sz w:val="24"/>
          <w:szCs w:val="24"/>
          <w:lang w:val="es-ES_tradnl"/>
        </w:rPr>
        <w:t>En el año 2013 Colombia Compra Eficiente celebró dos Acuerdos Marco luego del proceso de licitación para la adquisición de combustible en la ciudad de Bogotá y de</w:t>
      </w:r>
      <w:r>
        <w:rPr>
          <w:rFonts w:ascii="Times New Roman" w:hAnsi="Times New Roman"/>
          <w:sz w:val="24"/>
          <w:szCs w:val="24"/>
          <w:lang w:val="es-ES_tradnl"/>
        </w:rPr>
        <w:t>l</w:t>
      </w:r>
      <w:r w:rsidRPr="00902B91">
        <w:rPr>
          <w:rFonts w:ascii="Times New Roman" w:hAnsi="Times New Roman"/>
          <w:sz w:val="24"/>
          <w:szCs w:val="24"/>
          <w:lang w:val="es-ES_tradnl"/>
        </w:rPr>
        <w:t xml:space="preserve"> S</w:t>
      </w:r>
      <w:r>
        <w:rPr>
          <w:rFonts w:ascii="Times New Roman" w:hAnsi="Times New Roman"/>
          <w:sz w:val="24"/>
          <w:szCs w:val="24"/>
          <w:lang w:val="es-ES_tradnl"/>
        </w:rPr>
        <w:t>eguro Obligatorio para autos (S</w:t>
      </w:r>
      <w:r w:rsidRPr="00902B91">
        <w:rPr>
          <w:rFonts w:ascii="Times New Roman" w:hAnsi="Times New Roman"/>
          <w:sz w:val="24"/>
          <w:szCs w:val="24"/>
          <w:lang w:val="es-ES_tradnl"/>
        </w:rPr>
        <w:t>OAT</w:t>
      </w:r>
      <w:r>
        <w:rPr>
          <w:rFonts w:ascii="Times New Roman" w:hAnsi="Times New Roman"/>
          <w:sz w:val="24"/>
          <w:szCs w:val="24"/>
          <w:lang w:val="es-ES_tradnl"/>
        </w:rPr>
        <w:t>)</w:t>
      </w:r>
      <w:r w:rsidRPr="00902B91">
        <w:rPr>
          <w:rFonts w:ascii="Times New Roman" w:hAnsi="Times New Roman"/>
          <w:sz w:val="24"/>
          <w:szCs w:val="24"/>
          <w:lang w:val="es-ES_tradnl"/>
        </w:rPr>
        <w:t xml:space="preserve"> a nivel nacional. El Acuerdo Marco de combustible permite a las Entidades Estatales acceder a 43 estaciones de servicio distribuidas en la ciudad de Bogotá, con un descuento de entre 2,4% y 2,9% por galón, con respecto al precio del combustible publicado por el Ministerio de Minas y Energía. Con el Acuerdo Marco de SOAT Colombia Compra Eficiente logró descuentos de entre el 10% y 34% sobre la prima de la póliza emitida para cada tipo de vehículo.</w:t>
      </w:r>
    </w:p>
    <w:p w:rsidR="00A01E42" w:rsidRPr="00902B91" w:rsidRDefault="00A01E42" w:rsidP="00D43CA2">
      <w:pPr>
        <w:pStyle w:val="ListParagraph"/>
        <w:spacing w:before="120" w:after="120" w:line="240" w:lineRule="auto"/>
        <w:ind w:left="1620"/>
        <w:contextualSpacing w:val="0"/>
        <w:jc w:val="both"/>
        <w:rPr>
          <w:rFonts w:ascii="Times New Roman" w:hAnsi="Times New Roman"/>
          <w:b/>
          <w:sz w:val="24"/>
          <w:szCs w:val="24"/>
          <w:lang w:val="es-ES_tradnl"/>
        </w:rPr>
      </w:pPr>
      <w:r w:rsidRPr="00902B91">
        <w:rPr>
          <w:noProof/>
          <w:lang w:val="en-US"/>
        </w:rPr>
        <w:drawing>
          <wp:inline distT="0" distB="0" distL="0" distR="0" wp14:anchorId="45D7D2FE" wp14:editId="03C62DD3">
            <wp:extent cx="4128381" cy="88265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161389" cy="889707"/>
                    </a:xfrm>
                    <a:prstGeom prst="rect">
                      <a:avLst/>
                    </a:prstGeom>
                  </pic:spPr>
                </pic:pic>
              </a:graphicData>
            </a:graphic>
          </wp:inline>
        </w:drawing>
      </w:r>
    </w:p>
    <w:p w:rsidR="00A01E42" w:rsidRPr="00902B91" w:rsidRDefault="00A01E42" w:rsidP="00540235">
      <w:pPr>
        <w:pStyle w:val="ListParagraph"/>
        <w:keepNext/>
        <w:numPr>
          <w:ilvl w:val="0"/>
          <w:numId w:val="33"/>
        </w:numPr>
        <w:spacing w:before="120" w:after="120" w:line="240" w:lineRule="auto"/>
        <w:contextualSpacing w:val="0"/>
        <w:jc w:val="center"/>
        <w:rPr>
          <w:rFonts w:ascii="Times New Roman" w:hAnsi="Times New Roman"/>
          <w:b/>
          <w:sz w:val="24"/>
          <w:szCs w:val="24"/>
          <w:lang w:val="es-ES_tradnl"/>
        </w:rPr>
      </w:pPr>
      <w:r w:rsidRPr="00902B91">
        <w:rPr>
          <w:rFonts w:ascii="Times New Roman" w:hAnsi="Times New Roman"/>
          <w:b/>
          <w:sz w:val="24"/>
          <w:szCs w:val="24"/>
          <w:lang w:val="es-ES_tradnl"/>
        </w:rPr>
        <w:t>DESAFÍOS</w:t>
      </w:r>
    </w:p>
    <w:p w:rsidR="00A01E42" w:rsidRPr="00902B91" w:rsidRDefault="00A01E42" w:rsidP="00842A3F">
      <w:pPr>
        <w:pStyle w:val="ListParagraph"/>
        <w:keepNext/>
        <w:numPr>
          <w:ilvl w:val="1"/>
          <w:numId w:val="33"/>
        </w:numPr>
        <w:spacing w:before="120" w:after="120" w:line="240" w:lineRule="auto"/>
        <w:ind w:left="900" w:hanging="540"/>
        <w:contextualSpacing w:val="0"/>
        <w:jc w:val="both"/>
        <w:rPr>
          <w:rFonts w:ascii="Times New Roman" w:hAnsi="Times New Roman"/>
          <w:color w:val="1A1A1A"/>
          <w:sz w:val="24"/>
          <w:szCs w:val="24"/>
          <w:lang w:val="es-ES_tradnl"/>
        </w:rPr>
      </w:pPr>
      <w:r w:rsidRPr="00902B91">
        <w:rPr>
          <w:rFonts w:ascii="Times New Roman" w:hAnsi="Times New Roman"/>
          <w:color w:val="1A1A1A"/>
          <w:sz w:val="24"/>
          <w:szCs w:val="24"/>
          <w:lang w:val="es-ES_tradnl"/>
        </w:rPr>
        <w:t xml:space="preserve">Las </w:t>
      </w:r>
      <w:r w:rsidRPr="00902B91">
        <w:rPr>
          <w:rFonts w:ascii="Times New Roman" w:hAnsi="Times New Roman"/>
          <w:sz w:val="24"/>
          <w:szCs w:val="24"/>
          <w:lang w:val="es-ES_tradnl"/>
        </w:rPr>
        <w:t>compras</w:t>
      </w:r>
      <w:r w:rsidRPr="00902B91">
        <w:rPr>
          <w:rFonts w:ascii="Times New Roman" w:hAnsi="Times New Roman"/>
          <w:color w:val="1A1A1A"/>
          <w:sz w:val="24"/>
          <w:szCs w:val="24"/>
          <w:lang w:val="es-ES_tradnl"/>
        </w:rPr>
        <w:t xml:space="preserve"> públicas han sido consideradas tradicionalmente como un tema eminentemente procedimental y legal, del cual se desprenden responsabilidades individuales de los servidores públicos. Se le atribuye poco valor estratégico y al tema no se hace referencia en las definiciones básicas de las políticas de gasto.</w:t>
      </w:r>
    </w:p>
    <w:p w:rsidR="00A01E42" w:rsidRPr="00902B91" w:rsidRDefault="00A01E42" w:rsidP="00A01E42">
      <w:pPr>
        <w:pStyle w:val="ListParagraph"/>
        <w:numPr>
          <w:ilvl w:val="1"/>
          <w:numId w:val="33"/>
        </w:numPr>
        <w:spacing w:before="120" w:after="120" w:line="240" w:lineRule="auto"/>
        <w:ind w:left="900" w:hanging="540"/>
        <w:contextualSpacing w:val="0"/>
        <w:jc w:val="both"/>
        <w:rPr>
          <w:rFonts w:ascii="Times New Roman" w:hAnsi="Times New Roman"/>
          <w:color w:val="1A1A1A"/>
          <w:sz w:val="24"/>
          <w:szCs w:val="24"/>
          <w:lang w:val="es-ES_tradnl"/>
        </w:rPr>
      </w:pPr>
      <w:r w:rsidRPr="00902B91">
        <w:rPr>
          <w:rFonts w:ascii="Times New Roman" w:hAnsi="Times New Roman"/>
          <w:color w:val="1A1A1A"/>
          <w:sz w:val="24"/>
          <w:szCs w:val="24"/>
          <w:lang w:val="es-ES_tradnl"/>
        </w:rPr>
        <w:t>La ausencia de políticas públicas y de una visión estratégica de las compras, hace que: (a) en la gestión de compras el Estado no actúe como una sola organización sino como varias organizaciones desarticuladas; y (b) las áreas de compras de las entidades sean dependencias aisladas de la misión de las mismas, frustradas y sobrecargadas de responsabilidades.</w:t>
      </w:r>
    </w:p>
    <w:p w:rsidR="00A01E42" w:rsidRPr="00902B91" w:rsidRDefault="00A01E42" w:rsidP="00A01E42">
      <w:pPr>
        <w:pStyle w:val="ListParagraph"/>
        <w:numPr>
          <w:ilvl w:val="1"/>
          <w:numId w:val="33"/>
        </w:numPr>
        <w:spacing w:before="120" w:after="120" w:line="240" w:lineRule="auto"/>
        <w:ind w:left="900" w:hanging="540"/>
        <w:contextualSpacing w:val="0"/>
        <w:jc w:val="both"/>
        <w:rPr>
          <w:rFonts w:ascii="Times New Roman" w:hAnsi="Times New Roman"/>
          <w:color w:val="1A1A1A"/>
          <w:sz w:val="24"/>
          <w:szCs w:val="24"/>
          <w:lang w:val="es-ES_tradnl"/>
        </w:rPr>
      </w:pPr>
      <w:r w:rsidRPr="00902B91">
        <w:rPr>
          <w:rFonts w:ascii="Times New Roman" w:hAnsi="Times New Roman"/>
          <w:color w:val="1A1A1A"/>
          <w:sz w:val="24"/>
          <w:szCs w:val="24"/>
          <w:lang w:val="es-ES_tradnl"/>
        </w:rPr>
        <w:t>En este contexto, Colombia tiene aún espacio para mejorar el registro de las compras y la contratación pública con cargo a recursos públicos y Colombia Compra Eficiente continuará desplegando iniciativas para alcanzar la meta propuesta por la OCDE de que el 75% de la contratación pública sea registrada en el sistema único de contratación pública de los Estados, es decir en el SECOP para el caso colombiano.</w:t>
      </w:r>
    </w:p>
    <w:p w:rsidR="00A01E42" w:rsidRPr="00902B91" w:rsidRDefault="00A01E42" w:rsidP="00A01E42">
      <w:pPr>
        <w:pStyle w:val="ListParagraph"/>
        <w:numPr>
          <w:ilvl w:val="1"/>
          <w:numId w:val="33"/>
        </w:numPr>
        <w:spacing w:before="120" w:after="120" w:line="240" w:lineRule="auto"/>
        <w:ind w:left="900" w:hanging="540"/>
        <w:contextualSpacing w:val="0"/>
        <w:jc w:val="both"/>
        <w:rPr>
          <w:rFonts w:ascii="Times New Roman" w:hAnsi="Times New Roman"/>
          <w:color w:val="1A1A1A"/>
          <w:sz w:val="24"/>
          <w:szCs w:val="24"/>
          <w:lang w:val="es-ES_tradnl"/>
        </w:rPr>
      </w:pPr>
      <w:r w:rsidRPr="00902B91">
        <w:rPr>
          <w:rFonts w:ascii="Times New Roman" w:hAnsi="Times New Roman"/>
          <w:color w:val="1A1A1A"/>
          <w:sz w:val="24"/>
          <w:szCs w:val="24"/>
          <w:lang w:val="es-ES_tradnl"/>
        </w:rPr>
        <w:t>En la actualidad las entidades públicas adelantan procesos de contratación independientes para adquirir los mismos bienes o servicios, lo cual genera una carga administrativa innecesaria. Esto no permite que el Estado negocie como un solo comprador y crea condiciones contractuales distintas para la adquisición de los mismos bienes o servicios. Los Acuerdos</w:t>
      </w:r>
    </w:p>
    <w:p w:rsidR="00A01E42" w:rsidRPr="008C55D2" w:rsidRDefault="00A01E42" w:rsidP="00540235">
      <w:pPr>
        <w:pStyle w:val="ListParagraph"/>
        <w:numPr>
          <w:ilvl w:val="0"/>
          <w:numId w:val="33"/>
        </w:numPr>
        <w:spacing w:before="120" w:after="120" w:line="240" w:lineRule="auto"/>
        <w:contextualSpacing w:val="0"/>
        <w:jc w:val="center"/>
        <w:rPr>
          <w:rFonts w:ascii="Times New Roman" w:hAnsi="Times New Roman"/>
          <w:b/>
          <w:sz w:val="24"/>
          <w:szCs w:val="24"/>
          <w:lang w:val="es-ES_tradnl"/>
        </w:rPr>
      </w:pPr>
      <w:r w:rsidRPr="00902B91">
        <w:rPr>
          <w:rFonts w:ascii="Times New Roman" w:hAnsi="Times New Roman"/>
          <w:b/>
          <w:sz w:val="24"/>
          <w:szCs w:val="24"/>
          <w:lang w:val="es-ES_tradnl"/>
        </w:rPr>
        <w:t>SOLUCIÓN PROPUESTA.</w:t>
      </w:r>
    </w:p>
    <w:p w:rsidR="00A01E42" w:rsidRPr="00902B91" w:rsidRDefault="00A01E42" w:rsidP="00A01E42">
      <w:pPr>
        <w:pStyle w:val="ListParagraph"/>
        <w:spacing w:before="120" w:after="120" w:line="240" w:lineRule="auto"/>
        <w:ind w:left="900"/>
        <w:contextualSpacing w:val="0"/>
        <w:jc w:val="both"/>
        <w:rPr>
          <w:rFonts w:ascii="Times New Roman" w:hAnsi="Times New Roman"/>
          <w:color w:val="1A1A1A"/>
          <w:sz w:val="24"/>
          <w:szCs w:val="24"/>
          <w:lang w:val="es-ES_tradnl"/>
        </w:rPr>
      </w:pPr>
      <w:r w:rsidRPr="00902B91">
        <w:rPr>
          <w:rFonts w:ascii="Times New Roman" w:hAnsi="Times New Roman"/>
          <w:b/>
          <w:color w:val="1A1A1A"/>
          <w:sz w:val="24"/>
          <w:szCs w:val="24"/>
          <w:lang w:val="es-ES_tradnl"/>
        </w:rPr>
        <w:t xml:space="preserve">La solución propuesta </w:t>
      </w:r>
      <w:r>
        <w:rPr>
          <w:rFonts w:ascii="Times New Roman" w:hAnsi="Times New Roman"/>
          <w:b/>
          <w:color w:val="1A1A1A"/>
          <w:sz w:val="24"/>
          <w:szCs w:val="24"/>
          <w:lang w:val="es-ES_tradnl"/>
        </w:rPr>
        <w:t xml:space="preserve">está </w:t>
      </w:r>
      <w:r w:rsidRPr="00902B91">
        <w:rPr>
          <w:rFonts w:ascii="Times New Roman" w:hAnsi="Times New Roman"/>
          <w:b/>
          <w:color w:val="1A1A1A"/>
          <w:sz w:val="24"/>
          <w:szCs w:val="24"/>
          <w:lang w:val="es-ES_tradnl"/>
        </w:rPr>
        <w:t xml:space="preserve">basada en el </w:t>
      </w:r>
      <w:r>
        <w:rPr>
          <w:rFonts w:ascii="Times New Roman" w:hAnsi="Times New Roman"/>
          <w:b/>
          <w:color w:val="1A1A1A"/>
          <w:sz w:val="24"/>
          <w:szCs w:val="24"/>
          <w:lang w:val="es-ES_tradnl"/>
        </w:rPr>
        <w:t xml:space="preserve">aumento del uso </w:t>
      </w:r>
      <w:r w:rsidRPr="00902B91">
        <w:rPr>
          <w:rFonts w:ascii="Times New Roman" w:hAnsi="Times New Roman"/>
          <w:b/>
          <w:color w:val="1A1A1A"/>
          <w:sz w:val="24"/>
          <w:szCs w:val="24"/>
          <w:lang w:val="es-ES_tradnl"/>
        </w:rPr>
        <w:t>de los Acuerdos Marco de Precios</w:t>
      </w:r>
      <w:r w:rsidRPr="00902B91">
        <w:rPr>
          <w:rFonts w:ascii="Times New Roman" w:hAnsi="Times New Roman"/>
          <w:color w:val="1A1A1A"/>
          <w:sz w:val="24"/>
          <w:szCs w:val="24"/>
          <w:lang w:val="es-ES_tradnl"/>
        </w:rPr>
        <w:t xml:space="preserve">. </w:t>
      </w:r>
    </w:p>
    <w:p w:rsidR="00A01E42" w:rsidRPr="00902B91" w:rsidRDefault="00A01E42" w:rsidP="00A01E42">
      <w:pPr>
        <w:pStyle w:val="ListParagraph"/>
        <w:numPr>
          <w:ilvl w:val="1"/>
          <w:numId w:val="26"/>
        </w:numPr>
        <w:spacing w:before="120" w:after="120" w:line="240" w:lineRule="auto"/>
        <w:ind w:left="900" w:hanging="540"/>
        <w:contextualSpacing w:val="0"/>
        <w:jc w:val="both"/>
        <w:rPr>
          <w:rFonts w:ascii="Times New Roman" w:hAnsi="Times New Roman"/>
          <w:sz w:val="24"/>
          <w:szCs w:val="24"/>
          <w:lang w:val="es-ES_tradnl"/>
        </w:rPr>
      </w:pPr>
      <w:r w:rsidRPr="00902B91">
        <w:rPr>
          <w:rFonts w:ascii="Times New Roman" w:hAnsi="Times New Roman"/>
          <w:sz w:val="24"/>
          <w:szCs w:val="24"/>
          <w:lang w:val="es-ES_tradnl"/>
        </w:rPr>
        <w:t>Los Acuerdos o convenio Marco de Precios son una herramienta para que el Estado agregue demanda y centralice decisiones de adquisición de bienes, obras o servicios para:</w:t>
      </w:r>
    </w:p>
    <w:p w:rsidR="00A01E42" w:rsidRPr="00902B91" w:rsidRDefault="00A01E42" w:rsidP="00A01E42">
      <w:pPr>
        <w:pStyle w:val="ListParagraph"/>
        <w:numPr>
          <w:ilvl w:val="0"/>
          <w:numId w:val="27"/>
        </w:numPr>
        <w:spacing w:before="120" w:after="120" w:line="240" w:lineRule="auto"/>
        <w:ind w:left="1627"/>
        <w:jc w:val="both"/>
        <w:rPr>
          <w:rFonts w:ascii="Times New Roman" w:hAnsi="Times New Roman"/>
          <w:sz w:val="24"/>
          <w:szCs w:val="24"/>
          <w:lang w:val="es-ES_tradnl"/>
        </w:rPr>
      </w:pPr>
      <w:r w:rsidRPr="00902B91">
        <w:rPr>
          <w:rFonts w:ascii="Times New Roman" w:hAnsi="Times New Roman"/>
          <w:sz w:val="24"/>
          <w:szCs w:val="24"/>
          <w:lang w:val="es-ES_tradnl"/>
        </w:rPr>
        <w:t>Producir economías de escala;</w:t>
      </w:r>
    </w:p>
    <w:p w:rsidR="00A01E42" w:rsidRPr="00902B91" w:rsidRDefault="00A01E42" w:rsidP="00A01E42">
      <w:pPr>
        <w:pStyle w:val="ListParagraph"/>
        <w:numPr>
          <w:ilvl w:val="0"/>
          <w:numId w:val="27"/>
        </w:numPr>
        <w:spacing w:before="120" w:after="120" w:line="240" w:lineRule="auto"/>
        <w:ind w:left="1627"/>
        <w:jc w:val="both"/>
        <w:rPr>
          <w:rFonts w:ascii="Times New Roman" w:hAnsi="Times New Roman"/>
          <w:sz w:val="24"/>
          <w:szCs w:val="24"/>
          <w:lang w:val="es-ES_tradnl"/>
        </w:rPr>
      </w:pPr>
      <w:r w:rsidRPr="00902B91">
        <w:rPr>
          <w:rFonts w:ascii="Times New Roman" w:hAnsi="Times New Roman"/>
          <w:sz w:val="24"/>
          <w:szCs w:val="24"/>
          <w:lang w:val="es-ES_tradnl"/>
        </w:rPr>
        <w:t>Incrementar el poder de negociación del Estados;</w:t>
      </w:r>
    </w:p>
    <w:p w:rsidR="00A01E42" w:rsidRPr="00902B91" w:rsidRDefault="00A01E42" w:rsidP="00D43CA2">
      <w:pPr>
        <w:pStyle w:val="ListParagraph"/>
        <w:numPr>
          <w:ilvl w:val="0"/>
          <w:numId w:val="27"/>
        </w:numPr>
        <w:spacing w:before="120" w:after="120" w:line="240" w:lineRule="auto"/>
        <w:ind w:left="1627"/>
        <w:contextualSpacing w:val="0"/>
        <w:jc w:val="both"/>
        <w:rPr>
          <w:rFonts w:ascii="Times New Roman" w:hAnsi="Times New Roman"/>
          <w:sz w:val="24"/>
          <w:szCs w:val="24"/>
          <w:lang w:val="es-ES_tradnl"/>
        </w:rPr>
      </w:pPr>
      <w:r w:rsidRPr="00902B91">
        <w:rPr>
          <w:rFonts w:ascii="Times New Roman" w:hAnsi="Times New Roman"/>
          <w:sz w:val="24"/>
          <w:szCs w:val="24"/>
          <w:lang w:val="es-ES_tradnl"/>
        </w:rPr>
        <w:t>Compartir costos y conocimiento entre las diferentes agencias o departamentos del estado.</w:t>
      </w:r>
    </w:p>
    <w:p w:rsidR="00A01E42" w:rsidRPr="00902B91" w:rsidRDefault="00A01E42" w:rsidP="00D43CA2">
      <w:pPr>
        <w:pStyle w:val="ListParagraph"/>
        <w:numPr>
          <w:ilvl w:val="1"/>
          <w:numId w:val="26"/>
        </w:numPr>
        <w:spacing w:before="120" w:after="120" w:line="240" w:lineRule="auto"/>
        <w:ind w:left="900" w:hanging="450"/>
        <w:contextualSpacing w:val="0"/>
        <w:jc w:val="both"/>
        <w:rPr>
          <w:rFonts w:ascii="Times New Roman" w:hAnsi="Times New Roman"/>
          <w:sz w:val="24"/>
          <w:szCs w:val="24"/>
          <w:lang w:val="es-ES_tradnl"/>
        </w:rPr>
      </w:pPr>
      <w:r w:rsidRPr="00902B91">
        <w:rPr>
          <w:rFonts w:ascii="Times New Roman" w:hAnsi="Times New Roman"/>
          <w:sz w:val="24"/>
          <w:szCs w:val="24"/>
          <w:lang w:val="es-ES_tradnl"/>
        </w:rPr>
        <w:t>El Acuerdo Marco de Precios es un contrato entre un representante de los compradores y uno o varios proveedores, que contiene la identificación del bien o servicio, el precio máximo de adquisición, las garantías mínimas y el plazo mínimo de entrega, así como las condiciones a través de las cuales un comprador puede vincularse al acuerdo. Generalmente, los compradores se vinculan a un Acuerdo Marco de Precios mediante una manifestación de su compromiso de cumplir las condiciones del mismo y la colocación de una orden de compra para la adquisición de los bienes o servicios previstos en el acuerdo. Los Acuerdos Marco de Precios permitirían lograr mejores precios y resultados, en términos de valor por dinero, así como reducir los costos administrativos del proceso de compra, tanto para las entidades como para los proveedores.</w:t>
      </w:r>
    </w:p>
    <w:p w:rsidR="00A01E42" w:rsidRPr="00902B91" w:rsidRDefault="00A01E42" w:rsidP="00A01E42">
      <w:pPr>
        <w:pStyle w:val="ListParagraph"/>
        <w:numPr>
          <w:ilvl w:val="1"/>
          <w:numId w:val="26"/>
        </w:numPr>
        <w:spacing w:before="120" w:after="120" w:line="240" w:lineRule="auto"/>
        <w:ind w:left="900" w:hanging="450"/>
        <w:contextualSpacing w:val="0"/>
        <w:jc w:val="both"/>
        <w:rPr>
          <w:rFonts w:ascii="Times New Roman" w:hAnsi="Times New Roman"/>
          <w:sz w:val="24"/>
          <w:szCs w:val="24"/>
          <w:lang w:val="es-ES_tradnl"/>
        </w:rPr>
      </w:pPr>
      <w:r w:rsidRPr="00902B91">
        <w:rPr>
          <w:rFonts w:ascii="Times New Roman" w:hAnsi="Times New Roman"/>
          <w:sz w:val="24"/>
          <w:szCs w:val="24"/>
          <w:lang w:val="es-ES_tradnl"/>
        </w:rPr>
        <w:t>En el Acuerdo Marco de Precios hay dos tipos de transacciones: (a) Operación principal; y (b) Operación secundaria.</w:t>
      </w:r>
    </w:p>
    <w:p w:rsidR="00A01E42" w:rsidRPr="00902B91" w:rsidRDefault="00A01E42" w:rsidP="00A01E42">
      <w:pPr>
        <w:pStyle w:val="ListParagraph"/>
        <w:numPr>
          <w:ilvl w:val="1"/>
          <w:numId w:val="26"/>
        </w:numPr>
        <w:spacing w:before="120" w:after="120" w:line="240" w:lineRule="auto"/>
        <w:ind w:left="900" w:hanging="450"/>
        <w:contextualSpacing w:val="0"/>
        <w:jc w:val="both"/>
        <w:rPr>
          <w:rFonts w:ascii="Times New Roman" w:hAnsi="Times New Roman"/>
          <w:sz w:val="24"/>
          <w:szCs w:val="24"/>
          <w:lang w:val="es-ES_tradnl"/>
        </w:rPr>
      </w:pPr>
      <w:r w:rsidRPr="00902B91">
        <w:rPr>
          <w:rFonts w:ascii="Times New Roman" w:hAnsi="Times New Roman"/>
          <w:color w:val="333333"/>
          <w:sz w:val="24"/>
          <w:szCs w:val="24"/>
          <w:lang w:val="es-ES_tradnl"/>
        </w:rPr>
        <w:t>En la operación principal, Colombia Compra Eficiente debe:</w:t>
      </w:r>
    </w:p>
    <w:p w:rsidR="00A01E42" w:rsidRPr="00611C9D" w:rsidRDefault="00A01E42" w:rsidP="00A01E42">
      <w:pPr>
        <w:pStyle w:val="ListParagraph"/>
        <w:numPr>
          <w:ilvl w:val="0"/>
          <w:numId w:val="31"/>
        </w:numPr>
        <w:autoSpaceDE w:val="0"/>
        <w:autoSpaceDN w:val="0"/>
        <w:adjustRightInd w:val="0"/>
        <w:spacing w:before="120" w:after="120" w:line="240" w:lineRule="auto"/>
        <w:jc w:val="both"/>
        <w:rPr>
          <w:rFonts w:ascii="Times New Roman" w:hAnsi="Times New Roman"/>
          <w:sz w:val="24"/>
          <w:szCs w:val="24"/>
          <w:lang w:val="es-ES_tradnl"/>
        </w:rPr>
      </w:pPr>
      <w:r w:rsidRPr="00611C9D">
        <w:rPr>
          <w:rFonts w:ascii="Times New Roman" w:hAnsi="Times New Roman"/>
          <w:color w:val="333333"/>
          <w:sz w:val="24"/>
          <w:szCs w:val="24"/>
          <w:lang w:val="es-ES_tradnl"/>
        </w:rPr>
        <w:t>identificar los bienes y servicios de características uniformes y de común utilización, que deben ser objeto de un Acuerdo Marco de Precios;</w:t>
      </w:r>
    </w:p>
    <w:p w:rsidR="00A01E42" w:rsidRPr="00611C9D" w:rsidRDefault="00A01E42" w:rsidP="00D43CA2">
      <w:pPr>
        <w:pStyle w:val="ListParagraph"/>
        <w:numPr>
          <w:ilvl w:val="0"/>
          <w:numId w:val="31"/>
        </w:numPr>
        <w:autoSpaceDE w:val="0"/>
        <w:autoSpaceDN w:val="0"/>
        <w:adjustRightInd w:val="0"/>
        <w:spacing w:before="120" w:after="120" w:line="240" w:lineRule="auto"/>
        <w:contextualSpacing w:val="0"/>
        <w:jc w:val="both"/>
        <w:rPr>
          <w:rFonts w:ascii="Times New Roman" w:hAnsi="Times New Roman"/>
          <w:sz w:val="24"/>
          <w:szCs w:val="24"/>
          <w:lang w:val="es-ES_tradnl"/>
        </w:rPr>
      </w:pPr>
      <w:r w:rsidRPr="00611C9D">
        <w:rPr>
          <w:rFonts w:ascii="Times New Roman" w:hAnsi="Times New Roman"/>
          <w:color w:val="333333"/>
          <w:sz w:val="24"/>
          <w:szCs w:val="24"/>
          <w:lang w:val="es-ES_tradnl"/>
        </w:rPr>
        <w:t>estudiar el mercado correspondiente, teniendo en cuenta la oferta nacional e internacional, así como la demanda de tales bienes y servicios por parte de las entidades públicas, y que el interés de estas sean objeto de un Acuerdo Marco de Precios.</w:t>
      </w:r>
    </w:p>
    <w:p w:rsidR="00A01E42" w:rsidRPr="00902B91" w:rsidRDefault="00A01E42" w:rsidP="00D43CA2">
      <w:pPr>
        <w:pStyle w:val="ListParagraph"/>
        <w:numPr>
          <w:ilvl w:val="1"/>
          <w:numId w:val="26"/>
        </w:numPr>
        <w:spacing w:before="120" w:after="120" w:line="240" w:lineRule="auto"/>
        <w:ind w:left="900" w:hanging="450"/>
        <w:contextualSpacing w:val="0"/>
        <w:jc w:val="both"/>
        <w:rPr>
          <w:rFonts w:ascii="Times New Roman" w:hAnsi="Times New Roman"/>
          <w:color w:val="333333"/>
          <w:sz w:val="24"/>
          <w:szCs w:val="24"/>
          <w:lang w:val="es-ES_tradnl"/>
        </w:rPr>
      </w:pPr>
      <w:r w:rsidRPr="00902B91">
        <w:rPr>
          <w:rFonts w:ascii="Times New Roman" w:hAnsi="Times New Roman"/>
          <w:color w:val="333333"/>
          <w:sz w:val="24"/>
          <w:szCs w:val="24"/>
          <w:lang w:val="es-ES_tradnl"/>
        </w:rPr>
        <w:t>Colombia Compra Eficiente debe entonces adelantar un proceso de contratación para seleccionar al proveedor proveedores de los bienes o servicios objeto de un Acuerdo Marco de Precios. Esta labor la realiza por medio de una campaña de comunicación para que las entidades públicas conozcan los Acuerdos Marco de Precios establecidos, así como los bienes y servicios objeto de estos acuerdos.</w:t>
      </w:r>
    </w:p>
    <w:p w:rsidR="00A01E42" w:rsidRPr="00902B91" w:rsidRDefault="00A01E42" w:rsidP="00842A3F">
      <w:pPr>
        <w:pStyle w:val="ListParagraph"/>
        <w:spacing w:before="120" w:after="120" w:line="240" w:lineRule="auto"/>
        <w:ind w:left="900" w:hanging="1170"/>
        <w:contextualSpacing w:val="0"/>
        <w:jc w:val="both"/>
        <w:rPr>
          <w:rFonts w:ascii="Times New Roman" w:hAnsi="Times New Roman"/>
          <w:color w:val="333333"/>
          <w:sz w:val="24"/>
          <w:szCs w:val="24"/>
          <w:lang w:val="es-ES_tradnl"/>
        </w:rPr>
      </w:pPr>
      <w:r w:rsidRPr="00902B91">
        <w:rPr>
          <w:noProof/>
          <w:lang w:val="en-US"/>
        </w:rPr>
        <w:drawing>
          <wp:inline distT="0" distB="0" distL="0" distR="0" wp14:anchorId="64D89912" wp14:editId="647521D3">
            <wp:extent cx="5857592" cy="27063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887321" cy="2720106"/>
                    </a:xfrm>
                    <a:prstGeom prst="rect">
                      <a:avLst/>
                    </a:prstGeom>
                  </pic:spPr>
                </pic:pic>
              </a:graphicData>
            </a:graphic>
          </wp:inline>
        </w:drawing>
      </w:r>
    </w:p>
    <w:p w:rsidR="00A01E42" w:rsidRPr="00902B91" w:rsidRDefault="00A01E42" w:rsidP="00842A3F">
      <w:pPr>
        <w:pStyle w:val="ListParagraph"/>
        <w:numPr>
          <w:ilvl w:val="1"/>
          <w:numId w:val="26"/>
        </w:numPr>
        <w:spacing w:before="120" w:after="120" w:line="240" w:lineRule="auto"/>
        <w:ind w:left="892" w:hanging="446"/>
        <w:contextualSpacing w:val="0"/>
        <w:jc w:val="both"/>
        <w:rPr>
          <w:rFonts w:ascii="Times New Roman" w:hAnsi="Times New Roman"/>
          <w:color w:val="333333"/>
          <w:sz w:val="24"/>
          <w:szCs w:val="24"/>
          <w:lang w:val="es-ES_tradnl"/>
        </w:rPr>
      </w:pPr>
      <w:r w:rsidRPr="00902B91">
        <w:rPr>
          <w:rFonts w:ascii="Times New Roman" w:hAnsi="Times New Roman"/>
          <w:color w:val="333333"/>
          <w:sz w:val="24"/>
          <w:szCs w:val="24"/>
          <w:lang w:val="es-ES_tradnl"/>
        </w:rPr>
        <w:t>Los Acuerdos Marco de Precios son de uso obligatorios para las entidades de la rama ejecutiva del poder público, en el Orden Nacional, que están sometidas al Estatuto General de Contratación de la Administración Pública. Sin perjuicio de que los Organismos Autónomos y de las Ramas Legislativa y Judicial, así como las Entidades Territoriales, puedan adherir a los Acuerdos Marco de Precios.</w:t>
      </w:r>
    </w:p>
    <w:p w:rsidR="00A01E42" w:rsidRPr="00902B91" w:rsidRDefault="00A01E42" w:rsidP="00842A3F">
      <w:pPr>
        <w:pStyle w:val="ListParagraph"/>
        <w:numPr>
          <w:ilvl w:val="1"/>
          <w:numId w:val="26"/>
        </w:numPr>
        <w:spacing w:before="120" w:after="120" w:line="240" w:lineRule="auto"/>
        <w:ind w:left="892" w:hanging="446"/>
        <w:contextualSpacing w:val="0"/>
        <w:jc w:val="both"/>
        <w:rPr>
          <w:rFonts w:ascii="Times New Roman" w:hAnsi="Times New Roman"/>
          <w:color w:val="333333"/>
          <w:sz w:val="24"/>
          <w:szCs w:val="24"/>
          <w:lang w:val="es-ES_tradnl"/>
        </w:rPr>
      </w:pPr>
      <w:r w:rsidRPr="00902B91">
        <w:rPr>
          <w:rFonts w:ascii="Times New Roman" w:hAnsi="Times New Roman"/>
          <w:color w:val="333333"/>
          <w:sz w:val="24"/>
          <w:szCs w:val="24"/>
          <w:lang w:val="es-ES_tradnl"/>
        </w:rPr>
        <w:t>La operación secundaria es la transacción realizada por la entidad pública compradora, que inicia con la identificación de una necesidad y la decisión de efectuar un gasto para satisfacerla. Antes de adquirir bienes y servicios de características uniformes, la entidad estatal debe verificar si existe un Acuerdo Marco de Precios para ese bien y/o servicio. Si existe, debe suscribirlo enviando para el efecto una comunicación a Colombia Compra Eficiente y poner la orden de compra en los términos establecidos en el Acuerdo Marco de Precios.</w:t>
      </w:r>
    </w:p>
    <w:p w:rsidR="00A01E42" w:rsidRPr="00902B91" w:rsidRDefault="00A01E42" w:rsidP="00842A3F">
      <w:pPr>
        <w:pStyle w:val="ListParagraph"/>
        <w:numPr>
          <w:ilvl w:val="1"/>
          <w:numId w:val="26"/>
        </w:numPr>
        <w:spacing w:before="120" w:after="120" w:line="240" w:lineRule="auto"/>
        <w:ind w:left="900" w:hanging="450"/>
        <w:contextualSpacing w:val="0"/>
        <w:jc w:val="both"/>
        <w:rPr>
          <w:rFonts w:ascii="Times New Roman" w:hAnsi="Times New Roman"/>
          <w:color w:val="333333"/>
          <w:sz w:val="24"/>
          <w:szCs w:val="24"/>
          <w:lang w:val="es-ES_tradnl"/>
        </w:rPr>
      </w:pPr>
      <w:r w:rsidRPr="00902B91">
        <w:rPr>
          <w:rFonts w:ascii="Times New Roman" w:hAnsi="Times New Roman"/>
          <w:color w:val="333333"/>
          <w:sz w:val="24"/>
          <w:szCs w:val="24"/>
          <w:lang w:val="es-ES_tradnl"/>
        </w:rPr>
        <w:t>¿Qué hace Colombia Compra Eficiente en el marco de los Acuerdos Marco de Precios?</w:t>
      </w:r>
    </w:p>
    <w:p w:rsidR="00A01E42" w:rsidRPr="00902B91" w:rsidRDefault="00A01E42" w:rsidP="00842A3F">
      <w:pPr>
        <w:pStyle w:val="ListParagraph"/>
        <w:numPr>
          <w:ilvl w:val="0"/>
          <w:numId w:val="28"/>
        </w:numPr>
        <w:spacing w:before="120" w:after="120" w:line="240" w:lineRule="auto"/>
        <w:ind w:left="1627"/>
        <w:jc w:val="both"/>
        <w:rPr>
          <w:rFonts w:ascii="Times New Roman" w:hAnsi="Times New Roman"/>
          <w:color w:val="333333"/>
          <w:sz w:val="24"/>
          <w:szCs w:val="24"/>
          <w:lang w:val="es-ES_tradnl"/>
        </w:rPr>
      </w:pPr>
      <w:r w:rsidRPr="00902B91">
        <w:rPr>
          <w:rFonts w:ascii="Times New Roman" w:hAnsi="Times New Roman"/>
          <w:color w:val="333333"/>
          <w:sz w:val="24"/>
          <w:szCs w:val="24"/>
          <w:lang w:val="es-ES_tradnl"/>
        </w:rPr>
        <w:t>Identificación de bienes y servicios de características uniformes y uso frecuente;</w:t>
      </w:r>
    </w:p>
    <w:p w:rsidR="00A01E42" w:rsidRPr="00902B91" w:rsidRDefault="00A01E42" w:rsidP="00842A3F">
      <w:pPr>
        <w:pStyle w:val="ListParagraph"/>
        <w:numPr>
          <w:ilvl w:val="0"/>
          <w:numId w:val="28"/>
        </w:numPr>
        <w:spacing w:before="120" w:after="120" w:line="240" w:lineRule="auto"/>
        <w:ind w:left="1627"/>
        <w:jc w:val="both"/>
        <w:rPr>
          <w:rFonts w:ascii="Times New Roman" w:hAnsi="Times New Roman"/>
          <w:color w:val="333333"/>
          <w:sz w:val="24"/>
          <w:szCs w:val="24"/>
          <w:lang w:val="es-ES_tradnl"/>
        </w:rPr>
      </w:pPr>
      <w:r w:rsidRPr="00902B91">
        <w:rPr>
          <w:rFonts w:ascii="Times New Roman" w:hAnsi="Times New Roman"/>
          <w:color w:val="333333"/>
          <w:sz w:val="24"/>
          <w:szCs w:val="24"/>
          <w:lang w:val="es-ES_tradnl"/>
        </w:rPr>
        <w:t>Estudio de la oferta y la demanda de tales bienes y servicios;</w:t>
      </w:r>
    </w:p>
    <w:p w:rsidR="00A01E42" w:rsidRPr="00902B91" w:rsidRDefault="00A01E42" w:rsidP="00842A3F">
      <w:pPr>
        <w:pStyle w:val="ListParagraph"/>
        <w:numPr>
          <w:ilvl w:val="0"/>
          <w:numId w:val="28"/>
        </w:numPr>
        <w:spacing w:before="120" w:after="120" w:line="240" w:lineRule="auto"/>
        <w:ind w:left="1627"/>
        <w:jc w:val="both"/>
        <w:rPr>
          <w:rFonts w:ascii="Times New Roman" w:hAnsi="Times New Roman"/>
          <w:color w:val="333333"/>
          <w:sz w:val="24"/>
          <w:szCs w:val="24"/>
          <w:lang w:val="es-ES_tradnl"/>
        </w:rPr>
      </w:pPr>
      <w:r w:rsidRPr="00902B91">
        <w:rPr>
          <w:rFonts w:ascii="Times New Roman" w:hAnsi="Times New Roman"/>
          <w:color w:val="333333"/>
          <w:sz w:val="24"/>
          <w:szCs w:val="24"/>
          <w:lang w:val="es-ES_tradnl"/>
        </w:rPr>
        <w:t>Identificación junto con las entidades públicas de las oportunidades de negocios para el uso de Acuerdos Marco de Precios;</w:t>
      </w:r>
    </w:p>
    <w:p w:rsidR="00A01E42" w:rsidRPr="00902B91" w:rsidRDefault="00A01E42" w:rsidP="00842A3F">
      <w:pPr>
        <w:pStyle w:val="ListParagraph"/>
        <w:numPr>
          <w:ilvl w:val="0"/>
          <w:numId w:val="28"/>
        </w:numPr>
        <w:spacing w:before="120" w:after="120" w:line="240" w:lineRule="auto"/>
        <w:ind w:left="1627"/>
        <w:jc w:val="both"/>
        <w:rPr>
          <w:rFonts w:ascii="Times New Roman" w:hAnsi="Times New Roman"/>
          <w:color w:val="333333"/>
          <w:sz w:val="24"/>
          <w:szCs w:val="24"/>
          <w:lang w:val="es-ES_tradnl"/>
        </w:rPr>
      </w:pPr>
      <w:r w:rsidRPr="00902B91">
        <w:rPr>
          <w:rFonts w:ascii="Times New Roman" w:hAnsi="Times New Roman"/>
          <w:color w:val="333333"/>
          <w:sz w:val="24"/>
          <w:szCs w:val="24"/>
          <w:lang w:val="es-ES_tradnl"/>
        </w:rPr>
        <w:t>Diseño, estructuración, negociación y firma de Acuerdos Marco de Precios.;</w:t>
      </w:r>
    </w:p>
    <w:p w:rsidR="00A01E42" w:rsidRPr="00902B91" w:rsidRDefault="00A01E42" w:rsidP="00842A3F">
      <w:pPr>
        <w:pStyle w:val="ListParagraph"/>
        <w:numPr>
          <w:ilvl w:val="0"/>
          <w:numId w:val="28"/>
        </w:numPr>
        <w:spacing w:before="120" w:after="120" w:line="240" w:lineRule="auto"/>
        <w:ind w:left="1627"/>
        <w:jc w:val="both"/>
        <w:rPr>
          <w:rFonts w:ascii="Times New Roman" w:hAnsi="Times New Roman"/>
          <w:color w:val="333333"/>
          <w:sz w:val="24"/>
          <w:szCs w:val="24"/>
          <w:lang w:val="es-ES_tradnl"/>
        </w:rPr>
      </w:pPr>
      <w:r w:rsidRPr="00902B91">
        <w:rPr>
          <w:rFonts w:ascii="Times New Roman" w:hAnsi="Times New Roman"/>
          <w:color w:val="333333"/>
          <w:sz w:val="24"/>
          <w:szCs w:val="24"/>
          <w:lang w:val="es-ES_tradnl"/>
        </w:rPr>
        <w:t>Seguimiento a la ejecución de los Acuerdos Marco de Precios;</w:t>
      </w:r>
    </w:p>
    <w:p w:rsidR="00A01E42" w:rsidRPr="00902B91" w:rsidRDefault="00A01E42" w:rsidP="00842A3F">
      <w:pPr>
        <w:pStyle w:val="ListParagraph"/>
        <w:numPr>
          <w:ilvl w:val="0"/>
          <w:numId w:val="28"/>
        </w:numPr>
        <w:spacing w:before="120" w:after="120" w:line="240" w:lineRule="auto"/>
        <w:ind w:left="1627"/>
        <w:jc w:val="both"/>
        <w:rPr>
          <w:rFonts w:ascii="Times New Roman" w:hAnsi="Times New Roman"/>
          <w:color w:val="333333"/>
          <w:sz w:val="24"/>
          <w:szCs w:val="24"/>
          <w:lang w:val="es-ES_tradnl"/>
        </w:rPr>
      </w:pPr>
      <w:r w:rsidRPr="00902B91">
        <w:rPr>
          <w:rFonts w:ascii="Times New Roman" w:hAnsi="Times New Roman"/>
          <w:color w:val="333333"/>
          <w:sz w:val="24"/>
          <w:szCs w:val="24"/>
          <w:lang w:val="es-ES_tradnl"/>
        </w:rPr>
        <w:t>Oferta de la plataforma para el uso de los Acuerdos Marco de Precios;</w:t>
      </w:r>
    </w:p>
    <w:p w:rsidR="00A01E42" w:rsidRPr="00902B91" w:rsidRDefault="00A01E42" w:rsidP="00D43CA2">
      <w:pPr>
        <w:pStyle w:val="ListParagraph"/>
        <w:numPr>
          <w:ilvl w:val="0"/>
          <w:numId w:val="28"/>
        </w:numPr>
        <w:spacing w:before="120" w:after="120" w:line="240" w:lineRule="auto"/>
        <w:ind w:left="1627"/>
        <w:contextualSpacing w:val="0"/>
        <w:jc w:val="both"/>
        <w:rPr>
          <w:rFonts w:ascii="Times New Roman" w:hAnsi="Times New Roman"/>
          <w:color w:val="333333"/>
          <w:sz w:val="24"/>
          <w:szCs w:val="24"/>
          <w:lang w:val="es-ES_tradnl"/>
        </w:rPr>
      </w:pPr>
      <w:r w:rsidRPr="00902B91">
        <w:rPr>
          <w:rFonts w:ascii="Times New Roman" w:hAnsi="Times New Roman"/>
          <w:color w:val="333333"/>
          <w:sz w:val="24"/>
          <w:szCs w:val="24"/>
          <w:lang w:val="es-ES_tradnl"/>
        </w:rPr>
        <w:t>Atención de consultas.</w:t>
      </w:r>
    </w:p>
    <w:p w:rsidR="00A01E42" w:rsidRPr="00902B91" w:rsidRDefault="00A01E42" w:rsidP="00D43CA2">
      <w:pPr>
        <w:pStyle w:val="ListParagraph"/>
        <w:numPr>
          <w:ilvl w:val="1"/>
          <w:numId w:val="26"/>
        </w:numPr>
        <w:spacing w:before="120" w:after="120" w:line="240" w:lineRule="auto"/>
        <w:ind w:left="900" w:hanging="540"/>
        <w:contextualSpacing w:val="0"/>
        <w:jc w:val="both"/>
        <w:rPr>
          <w:rFonts w:ascii="Times New Roman" w:hAnsi="Times New Roman"/>
          <w:color w:val="333333"/>
          <w:sz w:val="24"/>
          <w:szCs w:val="24"/>
          <w:lang w:val="es-ES_tradnl"/>
        </w:rPr>
      </w:pPr>
      <w:r w:rsidRPr="00902B91">
        <w:rPr>
          <w:rFonts w:ascii="Times New Roman" w:hAnsi="Times New Roman"/>
          <w:color w:val="333333"/>
          <w:sz w:val="24"/>
          <w:szCs w:val="24"/>
          <w:lang w:val="es-ES_tradnl"/>
        </w:rPr>
        <w:t>¿Cuáles son los beneficios de la aplicación de los Acuerdos Marco de Precios?</w:t>
      </w:r>
    </w:p>
    <w:p w:rsidR="00A01E42" w:rsidRPr="00902B91" w:rsidRDefault="00A01E42" w:rsidP="00842A3F">
      <w:pPr>
        <w:pStyle w:val="ListParagraph"/>
        <w:numPr>
          <w:ilvl w:val="0"/>
          <w:numId w:val="29"/>
        </w:numPr>
        <w:spacing w:before="120" w:after="120" w:line="240" w:lineRule="auto"/>
        <w:ind w:left="1627"/>
        <w:jc w:val="both"/>
        <w:rPr>
          <w:rFonts w:ascii="Times New Roman" w:hAnsi="Times New Roman"/>
          <w:color w:val="333333"/>
          <w:sz w:val="24"/>
          <w:szCs w:val="24"/>
          <w:lang w:val="es-ES_tradnl"/>
        </w:rPr>
      </w:pPr>
      <w:r w:rsidRPr="00902B91">
        <w:rPr>
          <w:rFonts w:ascii="Times New Roman" w:hAnsi="Times New Roman"/>
          <w:color w:val="333333"/>
          <w:sz w:val="24"/>
          <w:szCs w:val="24"/>
          <w:lang w:val="es-ES_tradnl"/>
        </w:rPr>
        <w:t>Reduce el número de procesos de contratación;</w:t>
      </w:r>
    </w:p>
    <w:p w:rsidR="00A01E42" w:rsidRPr="00902B91" w:rsidRDefault="00A01E42" w:rsidP="00842A3F">
      <w:pPr>
        <w:pStyle w:val="ListParagraph"/>
        <w:numPr>
          <w:ilvl w:val="0"/>
          <w:numId w:val="29"/>
        </w:numPr>
        <w:spacing w:before="120" w:after="120" w:line="240" w:lineRule="auto"/>
        <w:ind w:left="1627"/>
        <w:jc w:val="both"/>
        <w:rPr>
          <w:rFonts w:ascii="Times New Roman" w:hAnsi="Times New Roman"/>
          <w:color w:val="333333"/>
          <w:sz w:val="24"/>
          <w:szCs w:val="24"/>
          <w:lang w:val="es-ES_tradnl"/>
        </w:rPr>
      </w:pPr>
      <w:r w:rsidRPr="00902B91">
        <w:rPr>
          <w:rFonts w:ascii="Times New Roman" w:hAnsi="Times New Roman"/>
          <w:color w:val="333333"/>
          <w:sz w:val="24"/>
          <w:szCs w:val="24"/>
          <w:lang w:val="es-ES_tradnl"/>
        </w:rPr>
        <w:t>El Estado actúa como un único comprador, unificando términos y condiciones para el suministro de bienes y servicios para el Estado;</w:t>
      </w:r>
    </w:p>
    <w:p w:rsidR="00A01E42" w:rsidRPr="00902B91" w:rsidRDefault="00A01E42" w:rsidP="00842A3F">
      <w:pPr>
        <w:pStyle w:val="ListParagraph"/>
        <w:numPr>
          <w:ilvl w:val="0"/>
          <w:numId w:val="29"/>
        </w:numPr>
        <w:spacing w:before="120" w:after="120" w:line="240" w:lineRule="auto"/>
        <w:ind w:left="1627"/>
        <w:jc w:val="both"/>
        <w:rPr>
          <w:rFonts w:ascii="Times New Roman" w:hAnsi="Times New Roman"/>
          <w:color w:val="333333"/>
          <w:sz w:val="24"/>
          <w:szCs w:val="24"/>
          <w:lang w:val="es-ES_tradnl"/>
        </w:rPr>
      </w:pPr>
      <w:r w:rsidRPr="00902B91">
        <w:rPr>
          <w:rFonts w:ascii="Times New Roman" w:hAnsi="Times New Roman"/>
          <w:color w:val="333333"/>
          <w:sz w:val="24"/>
          <w:szCs w:val="24"/>
          <w:lang w:val="es-ES_tradnl"/>
        </w:rPr>
        <w:t>Permite a la entidad manejar inventarios con mayor flexibilidad;</w:t>
      </w:r>
    </w:p>
    <w:p w:rsidR="00A01E42" w:rsidRPr="00902B91" w:rsidRDefault="00A01E42" w:rsidP="00842A3F">
      <w:pPr>
        <w:pStyle w:val="ListParagraph"/>
        <w:numPr>
          <w:ilvl w:val="0"/>
          <w:numId w:val="29"/>
        </w:numPr>
        <w:spacing w:before="120" w:after="120" w:line="240" w:lineRule="auto"/>
        <w:ind w:left="1627"/>
        <w:jc w:val="both"/>
        <w:rPr>
          <w:rFonts w:ascii="Times New Roman" w:hAnsi="Times New Roman"/>
          <w:color w:val="333333"/>
          <w:sz w:val="24"/>
          <w:szCs w:val="24"/>
          <w:lang w:val="es-ES_tradnl"/>
        </w:rPr>
      </w:pPr>
      <w:r w:rsidRPr="00902B91">
        <w:rPr>
          <w:rFonts w:ascii="Times New Roman" w:hAnsi="Times New Roman"/>
          <w:color w:val="333333"/>
          <w:sz w:val="24"/>
          <w:szCs w:val="24"/>
          <w:lang w:val="es-ES_tradnl"/>
        </w:rPr>
        <w:t>Libera tiempo del comprador público para destinar al cumplimiento de la misión de la entidad;</w:t>
      </w:r>
    </w:p>
    <w:p w:rsidR="00A01E42" w:rsidRPr="00902B91" w:rsidRDefault="00A01E42" w:rsidP="00D43CA2">
      <w:pPr>
        <w:pStyle w:val="ListParagraph"/>
        <w:numPr>
          <w:ilvl w:val="0"/>
          <w:numId w:val="29"/>
        </w:numPr>
        <w:spacing w:before="120" w:after="120" w:line="240" w:lineRule="auto"/>
        <w:ind w:left="1627"/>
        <w:contextualSpacing w:val="0"/>
        <w:jc w:val="both"/>
        <w:rPr>
          <w:rFonts w:ascii="Times New Roman" w:hAnsi="Times New Roman"/>
          <w:color w:val="333333"/>
          <w:sz w:val="24"/>
          <w:szCs w:val="24"/>
          <w:lang w:val="es-ES_tradnl"/>
        </w:rPr>
      </w:pPr>
      <w:r w:rsidRPr="00902B91">
        <w:rPr>
          <w:rFonts w:ascii="Times New Roman" w:hAnsi="Times New Roman"/>
          <w:color w:val="333333"/>
          <w:sz w:val="24"/>
          <w:szCs w:val="24"/>
          <w:lang w:val="es-ES_tradnl"/>
        </w:rPr>
        <w:t>Ayuda a obtener mayor valor de los recursos públicos.</w:t>
      </w:r>
    </w:p>
    <w:p w:rsidR="00A01E42" w:rsidRPr="00902B91" w:rsidRDefault="00A01E42" w:rsidP="00540235">
      <w:pPr>
        <w:pStyle w:val="ListParagraph"/>
        <w:numPr>
          <w:ilvl w:val="0"/>
          <w:numId w:val="33"/>
        </w:numPr>
        <w:spacing w:before="120" w:after="120" w:line="240" w:lineRule="auto"/>
        <w:contextualSpacing w:val="0"/>
        <w:jc w:val="center"/>
        <w:rPr>
          <w:rFonts w:ascii="Times New Roman" w:hAnsi="Times New Roman"/>
          <w:b/>
          <w:sz w:val="24"/>
          <w:szCs w:val="24"/>
          <w:lang w:val="es-ES_tradnl"/>
        </w:rPr>
      </w:pPr>
      <w:r w:rsidRPr="00902B91">
        <w:rPr>
          <w:rFonts w:ascii="Times New Roman" w:hAnsi="Times New Roman"/>
          <w:b/>
          <w:sz w:val="24"/>
          <w:szCs w:val="24"/>
          <w:lang w:val="es-ES_tradnl"/>
        </w:rPr>
        <w:t>CÁLCULO DE LOS BENEFÍCIOS</w:t>
      </w:r>
    </w:p>
    <w:p w:rsidR="00A01E42" w:rsidRPr="00FB348F" w:rsidRDefault="00A01E42" w:rsidP="00842A3F">
      <w:pPr>
        <w:pStyle w:val="ListParagraph"/>
        <w:numPr>
          <w:ilvl w:val="1"/>
          <w:numId w:val="26"/>
        </w:numPr>
        <w:spacing w:before="120" w:after="120" w:line="240" w:lineRule="auto"/>
        <w:ind w:left="900" w:hanging="540"/>
        <w:contextualSpacing w:val="0"/>
        <w:jc w:val="both"/>
        <w:rPr>
          <w:rFonts w:ascii="Times New Roman" w:hAnsi="Times New Roman"/>
          <w:b/>
          <w:color w:val="333333"/>
          <w:sz w:val="24"/>
          <w:szCs w:val="24"/>
          <w:lang w:val="es-ES_tradnl"/>
        </w:rPr>
      </w:pPr>
      <w:r w:rsidRPr="00713734">
        <w:rPr>
          <w:rFonts w:ascii="Times New Roman" w:eastAsia="Times New Roman" w:hAnsi="Times New Roman"/>
          <w:b/>
          <w:sz w:val="24"/>
          <w:szCs w:val="24"/>
          <w:lang w:val="es-CO"/>
        </w:rPr>
        <w:t>Descripción de la Metodología:</w:t>
      </w:r>
      <w:r>
        <w:rPr>
          <w:rFonts w:ascii="Times New Roman" w:eastAsia="Times New Roman" w:hAnsi="Times New Roman"/>
          <w:sz w:val="24"/>
          <w:szCs w:val="24"/>
          <w:lang w:val="es-CO"/>
        </w:rPr>
        <w:t xml:space="preserve"> </w:t>
      </w:r>
      <w:r w:rsidRPr="00FB348F">
        <w:rPr>
          <w:rFonts w:ascii="Times New Roman" w:eastAsia="Times New Roman" w:hAnsi="Times New Roman"/>
          <w:sz w:val="24"/>
          <w:szCs w:val="24"/>
          <w:lang w:val="es-CO"/>
        </w:rPr>
        <w:t xml:space="preserve">Teniendo en cuenta que la Agencia Nacional de Compra Pública – Colombia Compra Eficiente (CCE) está en etapa de formación y que a pesar de los avances del país en la materia aún carece de información relevante y oportuna sobre: (i) costos de las unidades de contratación de las distintas agencias gubernamentales y (ii) información histórica sobre ahorros directos por compras realizadas a través de los servicios que presta, se utilizará como referencia la metodología de cuantificación de dichos valores elaborada por Singer, </w:t>
      </w:r>
      <w:proofErr w:type="spellStart"/>
      <w:r w:rsidRPr="00FB348F">
        <w:rPr>
          <w:rFonts w:ascii="Times New Roman" w:eastAsia="Times New Roman" w:hAnsi="Times New Roman"/>
          <w:sz w:val="24"/>
          <w:szCs w:val="24"/>
          <w:lang w:val="es-CO"/>
        </w:rPr>
        <w:t>Konstantinidis</w:t>
      </w:r>
      <w:proofErr w:type="spellEnd"/>
      <w:r w:rsidRPr="00FB348F">
        <w:rPr>
          <w:rFonts w:ascii="Times New Roman" w:eastAsia="Times New Roman" w:hAnsi="Times New Roman"/>
          <w:sz w:val="24"/>
          <w:szCs w:val="24"/>
          <w:lang w:val="es-CO"/>
        </w:rPr>
        <w:t xml:space="preserve">, </w:t>
      </w:r>
      <w:proofErr w:type="spellStart"/>
      <w:r w:rsidRPr="00FB348F">
        <w:rPr>
          <w:rFonts w:ascii="Times New Roman" w:eastAsia="Times New Roman" w:hAnsi="Times New Roman"/>
          <w:sz w:val="24"/>
          <w:szCs w:val="24"/>
          <w:lang w:val="es-CO"/>
        </w:rPr>
        <w:t>Roubik</w:t>
      </w:r>
      <w:proofErr w:type="spellEnd"/>
      <w:r w:rsidRPr="00FB348F">
        <w:rPr>
          <w:rFonts w:ascii="Times New Roman" w:eastAsia="Times New Roman" w:hAnsi="Times New Roman"/>
          <w:sz w:val="24"/>
          <w:szCs w:val="24"/>
          <w:lang w:val="es-CO"/>
        </w:rPr>
        <w:t xml:space="preserve"> and </w:t>
      </w:r>
      <w:proofErr w:type="spellStart"/>
      <w:r w:rsidRPr="00FB348F">
        <w:rPr>
          <w:rFonts w:ascii="Times New Roman" w:eastAsia="Times New Roman" w:hAnsi="Times New Roman"/>
          <w:sz w:val="24"/>
          <w:szCs w:val="24"/>
          <w:lang w:val="es-CO"/>
        </w:rPr>
        <w:t>Beffermann</w:t>
      </w:r>
      <w:proofErr w:type="spellEnd"/>
      <w:r w:rsidRPr="00FB348F">
        <w:rPr>
          <w:rFonts w:ascii="Times New Roman" w:eastAsia="Times New Roman" w:hAnsi="Times New Roman"/>
          <w:sz w:val="24"/>
          <w:szCs w:val="24"/>
          <w:lang w:val="es-CO"/>
        </w:rPr>
        <w:t xml:space="preserve"> (2009)</w:t>
      </w:r>
      <w:r w:rsidRPr="00FB348F">
        <w:rPr>
          <w:rStyle w:val="FootnoteReference"/>
          <w:rFonts w:ascii="Times New Roman" w:hAnsi="Times New Roman"/>
          <w:sz w:val="24"/>
          <w:lang w:val="es-CO"/>
        </w:rPr>
        <w:footnoteReference w:id="5"/>
      </w:r>
      <w:r w:rsidRPr="00FB348F">
        <w:rPr>
          <w:rFonts w:ascii="Times New Roman" w:eastAsia="Times New Roman" w:hAnsi="Times New Roman"/>
          <w:sz w:val="24"/>
          <w:szCs w:val="24"/>
          <w:lang w:val="es-CO"/>
        </w:rPr>
        <w:t>.</w:t>
      </w:r>
    </w:p>
    <w:p w:rsidR="00A01E42" w:rsidRPr="00FB348F" w:rsidRDefault="00A01E42" w:rsidP="00842A3F">
      <w:pPr>
        <w:pStyle w:val="ListParagraph"/>
        <w:numPr>
          <w:ilvl w:val="1"/>
          <w:numId w:val="26"/>
        </w:numPr>
        <w:spacing w:before="120" w:after="120" w:line="240" w:lineRule="auto"/>
        <w:ind w:left="900" w:hanging="540"/>
        <w:contextualSpacing w:val="0"/>
        <w:jc w:val="both"/>
        <w:rPr>
          <w:rFonts w:ascii="Times New Roman" w:hAnsi="Times New Roman"/>
          <w:b/>
          <w:color w:val="333333"/>
          <w:sz w:val="24"/>
          <w:szCs w:val="24"/>
          <w:lang w:val="es-ES_tradnl"/>
        </w:rPr>
      </w:pPr>
      <w:r w:rsidRPr="00FB348F">
        <w:rPr>
          <w:rFonts w:ascii="Times New Roman" w:hAnsi="Times New Roman"/>
          <w:color w:val="333333"/>
          <w:sz w:val="24"/>
          <w:szCs w:val="24"/>
          <w:lang w:val="es-ES_tradnl"/>
        </w:rPr>
        <w:t>El objetivo de la metodología es determinar,</w:t>
      </w:r>
      <w:r w:rsidRPr="00FB348F">
        <w:rPr>
          <w:rFonts w:ascii="Times New Roman" w:eastAsia="Times New Roman" w:hAnsi="Times New Roman"/>
          <w:sz w:val="24"/>
          <w:szCs w:val="24"/>
          <w:lang w:val="es-CO"/>
        </w:rPr>
        <w:t xml:space="preserve"> los beneficios derivados por la prestación del servicio de CCE en términos de: (i) Ahorros operacionales generados por la prestación de los servicios y (ii) ahorros monetarios resultado de la adquisición de bienes o servicios a mejores precios.</w:t>
      </w:r>
    </w:p>
    <w:p w:rsidR="00A01E42" w:rsidRDefault="00A01E42" w:rsidP="00842A3F">
      <w:pPr>
        <w:pStyle w:val="ListParagraph"/>
        <w:numPr>
          <w:ilvl w:val="0"/>
          <w:numId w:val="30"/>
        </w:numPr>
        <w:spacing w:before="120" w:after="120" w:line="240" w:lineRule="auto"/>
        <w:ind w:left="1350" w:hanging="450"/>
        <w:contextualSpacing w:val="0"/>
        <w:jc w:val="both"/>
        <w:rPr>
          <w:rFonts w:ascii="Times New Roman" w:eastAsia="Times New Roman" w:hAnsi="Times New Roman"/>
          <w:sz w:val="24"/>
          <w:szCs w:val="24"/>
          <w:lang w:val="es-CO"/>
        </w:rPr>
      </w:pPr>
      <w:r w:rsidRPr="00FB348F">
        <w:rPr>
          <w:rFonts w:ascii="Times New Roman" w:eastAsia="Times New Roman" w:hAnsi="Times New Roman"/>
          <w:b/>
          <w:sz w:val="24"/>
          <w:szCs w:val="24"/>
          <w:lang w:val="es-CO"/>
        </w:rPr>
        <w:t>Metodología para la cuantificación de ahorros generados por la prestación de servicios de la CCE</w:t>
      </w:r>
      <w:r w:rsidRPr="00FB348F">
        <w:rPr>
          <w:rFonts w:ascii="Times New Roman" w:eastAsia="Times New Roman" w:hAnsi="Times New Roman"/>
          <w:sz w:val="24"/>
          <w:szCs w:val="24"/>
          <w:lang w:val="es-CO"/>
        </w:rPr>
        <w:t xml:space="preserve">. </w:t>
      </w:r>
    </w:p>
    <w:p w:rsidR="00A01E42" w:rsidRPr="00FB348F" w:rsidRDefault="00A01E42" w:rsidP="00842A3F">
      <w:pPr>
        <w:pStyle w:val="ListParagraph"/>
        <w:spacing w:before="120" w:after="120" w:line="240" w:lineRule="auto"/>
        <w:ind w:left="1354"/>
        <w:contextualSpacing w:val="0"/>
        <w:jc w:val="both"/>
        <w:rPr>
          <w:rFonts w:ascii="Times New Roman" w:eastAsia="Times New Roman" w:hAnsi="Times New Roman"/>
          <w:sz w:val="24"/>
          <w:szCs w:val="24"/>
          <w:lang w:val="es-CO"/>
        </w:rPr>
      </w:pPr>
      <w:r w:rsidRPr="00FB348F">
        <w:rPr>
          <w:rFonts w:ascii="Times New Roman" w:eastAsia="Times New Roman" w:hAnsi="Times New Roman"/>
          <w:sz w:val="24"/>
          <w:szCs w:val="24"/>
          <w:lang w:val="es-CO"/>
        </w:rPr>
        <w:t xml:space="preserve">Dado que no hay conocimiento de los costos detallados de las unidades de contratación de las distintas entidades del Gobierno Nacional, se puede estimar el ahorro que se le genera al Estado, como el costo de prestar un servicio para CCE por el número de veces que lo presta.  Entre los posibles servicios que ofrece la CCE está la adquisición de bienes homogéneos, el apoyo en adquisiciones únicas y la certificación de oferentes.  Un ejemplo para ejemplificar a lo que se hace mención es el siguiente: El ahorro generado por la adquisición de un bien sería el equivalente al costo asociado a las actividades que realizó CCE por la cantidad de entidades que utilizaron el convenio marco establecido. </w:t>
      </w:r>
    </w:p>
    <w:p w:rsidR="00A01E42" w:rsidRPr="00FB348F" w:rsidRDefault="00A01E42" w:rsidP="00842A3F">
      <w:pPr>
        <w:pStyle w:val="ListParagraph"/>
        <w:spacing w:before="120" w:after="120" w:line="240" w:lineRule="auto"/>
        <w:ind w:left="1354"/>
        <w:contextualSpacing w:val="0"/>
        <w:jc w:val="both"/>
        <w:rPr>
          <w:rFonts w:ascii="Times New Roman" w:eastAsia="Times New Roman" w:hAnsi="Times New Roman"/>
          <w:sz w:val="24"/>
          <w:szCs w:val="24"/>
          <w:lang w:val="es-CO"/>
        </w:rPr>
      </w:pPr>
      <w:r w:rsidRPr="00FB348F">
        <w:rPr>
          <w:rFonts w:ascii="Times New Roman" w:eastAsia="Times New Roman" w:hAnsi="Times New Roman"/>
          <w:sz w:val="24"/>
          <w:szCs w:val="24"/>
          <w:lang w:val="es-CO"/>
        </w:rPr>
        <w:t xml:space="preserve">El supuesto es que de no existir CCE las múltiples unidades de contratación deberían realizar dicha tarea y que en el peor de los casos usarían la misma cantidad de recursos humanos y financieros.  </w:t>
      </w:r>
    </w:p>
    <w:p w:rsidR="00A01E42" w:rsidRPr="00842A3F" w:rsidRDefault="00A01E42" w:rsidP="00842A3F">
      <w:pPr>
        <w:pStyle w:val="ListParagraph"/>
        <w:autoSpaceDE w:val="0"/>
        <w:autoSpaceDN w:val="0"/>
        <w:adjustRightInd w:val="0"/>
        <w:spacing w:before="120" w:after="120" w:line="240" w:lineRule="auto"/>
        <w:ind w:left="1354"/>
        <w:contextualSpacing w:val="0"/>
        <w:jc w:val="both"/>
        <w:rPr>
          <w:rFonts w:ascii="Times New Roman" w:eastAsia="Times New Roman" w:hAnsi="Times New Roman"/>
          <w:sz w:val="24"/>
          <w:szCs w:val="24"/>
          <w:lang w:val="es-CO"/>
        </w:rPr>
      </w:pPr>
      <w:r w:rsidRPr="00FB348F">
        <w:rPr>
          <w:rFonts w:ascii="Times New Roman" w:eastAsia="Times New Roman" w:hAnsi="Times New Roman"/>
          <w:sz w:val="24"/>
          <w:szCs w:val="24"/>
          <w:lang w:val="es-CO"/>
        </w:rPr>
        <w:t>La ecuación a continuación describe la valoración del ahorro generado por el servicio prestado:</w:t>
      </w:r>
    </w:p>
    <w:p w:rsidR="00A01E42" w:rsidRPr="00FB348F" w:rsidRDefault="00A01E42" w:rsidP="00842A3F">
      <w:pPr>
        <w:autoSpaceDE w:val="0"/>
        <w:autoSpaceDN w:val="0"/>
        <w:adjustRightInd w:val="0"/>
        <w:spacing w:before="120" w:after="120" w:line="240" w:lineRule="auto"/>
        <w:ind w:left="2880" w:firstLine="720"/>
        <w:rPr>
          <w:rFonts w:ascii="Times New Roman" w:eastAsia="Times New Roman" w:hAnsi="Times New Roman"/>
          <w:sz w:val="24"/>
          <w:szCs w:val="24"/>
          <w:lang w:val="es-CO"/>
        </w:rPr>
      </w:pPr>
      <w:r w:rsidRPr="00FB348F">
        <w:rPr>
          <w:rFonts w:ascii="Times New Roman" w:eastAsia="Times New Roman" w:hAnsi="Times New Roman"/>
          <w:sz w:val="24"/>
          <w:szCs w:val="24"/>
          <w:lang w:val="es-CO"/>
        </w:rPr>
        <w:t xml:space="preserve">A= </w:t>
      </w:r>
      <w:proofErr w:type="spellStart"/>
      <w:r w:rsidRPr="00FB348F">
        <w:rPr>
          <w:rFonts w:ascii="Times New Roman" w:eastAsia="Times New Roman" w:hAnsi="Times New Roman"/>
          <w:sz w:val="24"/>
          <w:szCs w:val="24"/>
          <w:lang w:val="es-CO"/>
        </w:rPr>
        <w:t>ΣCs</w:t>
      </w:r>
      <w:proofErr w:type="spellEnd"/>
      <w:r w:rsidRPr="00FB348F">
        <w:rPr>
          <w:rFonts w:ascii="Times New Roman" w:eastAsia="Times New Roman" w:hAnsi="Times New Roman"/>
          <w:sz w:val="24"/>
          <w:szCs w:val="24"/>
          <w:lang w:val="es-CO"/>
        </w:rPr>
        <w:t xml:space="preserve"> x </w:t>
      </w:r>
      <w:proofErr w:type="spellStart"/>
      <w:r w:rsidRPr="00FB348F">
        <w:rPr>
          <w:rFonts w:ascii="Times New Roman" w:eastAsia="Times New Roman" w:hAnsi="Times New Roman"/>
          <w:sz w:val="24"/>
          <w:szCs w:val="24"/>
          <w:lang w:val="es-CO"/>
        </w:rPr>
        <w:t>Us</w:t>
      </w:r>
      <w:proofErr w:type="spellEnd"/>
    </w:p>
    <w:p w:rsidR="00A01E42" w:rsidRPr="00842A3F" w:rsidRDefault="00A01E42" w:rsidP="00D43CA2">
      <w:pPr>
        <w:autoSpaceDE w:val="0"/>
        <w:autoSpaceDN w:val="0"/>
        <w:adjustRightInd w:val="0"/>
        <w:spacing w:before="120" w:after="120" w:line="240" w:lineRule="auto"/>
        <w:ind w:left="720" w:firstLine="720"/>
        <w:contextualSpacing/>
        <w:jc w:val="both"/>
        <w:rPr>
          <w:rFonts w:ascii="Times New Roman" w:eastAsia="Times New Roman" w:hAnsi="Times New Roman"/>
          <w:sz w:val="24"/>
          <w:szCs w:val="24"/>
          <w:lang w:val="es-CO"/>
        </w:rPr>
      </w:pPr>
      <w:r w:rsidRPr="00FB348F">
        <w:rPr>
          <w:rFonts w:ascii="Times New Roman" w:eastAsia="Times New Roman" w:hAnsi="Times New Roman"/>
          <w:sz w:val="24"/>
          <w:szCs w:val="24"/>
          <w:lang w:val="es-CO"/>
        </w:rPr>
        <w:t>Dónde:</w:t>
      </w:r>
    </w:p>
    <w:p w:rsidR="00A01E42" w:rsidRPr="00FB348F" w:rsidRDefault="00A01E42" w:rsidP="00D43CA2">
      <w:pPr>
        <w:pStyle w:val="ListParagraph"/>
        <w:autoSpaceDE w:val="0"/>
        <w:autoSpaceDN w:val="0"/>
        <w:adjustRightInd w:val="0"/>
        <w:spacing w:before="120" w:after="120" w:line="240" w:lineRule="auto"/>
        <w:ind w:left="1800"/>
        <w:jc w:val="both"/>
        <w:rPr>
          <w:rFonts w:ascii="Times New Roman" w:eastAsia="Times New Roman" w:hAnsi="Times New Roman"/>
          <w:sz w:val="24"/>
          <w:szCs w:val="24"/>
          <w:lang w:val="es-CO"/>
        </w:rPr>
      </w:pPr>
      <w:r w:rsidRPr="00FB348F">
        <w:rPr>
          <w:rFonts w:ascii="Times New Roman" w:eastAsia="Times New Roman" w:hAnsi="Times New Roman"/>
          <w:sz w:val="24"/>
          <w:szCs w:val="24"/>
          <w:lang w:val="es-CO"/>
        </w:rPr>
        <w:t>A: Ahorro administrativo</w:t>
      </w:r>
    </w:p>
    <w:p w:rsidR="00A01E42" w:rsidRPr="00FB348F" w:rsidRDefault="00A01E42" w:rsidP="00D43CA2">
      <w:pPr>
        <w:pStyle w:val="ListParagraph"/>
        <w:autoSpaceDE w:val="0"/>
        <w:autoSpaceDN w:val="0"/>
        <w:adjustRightInd w:val="0"/>
        <w:spacing w:before="120" w:after="120" w:line="240" w:lineRule="auto"/>
        <w:ind w:left="1800"/>
        <w:jc w:val="both"/>
        <w:rPr>
          <w:rFonts w:ascii="Times New Roman" w:eastAsia="Times New Roman" w:hAnsi="Times New Roman"/>
          <w:sz w:val="24"/>
          <w:szCs w:val="24"/>
          <w:lang w:val="es-CO"/>
        </w:rPr>
      </w:pPr>
      <w:r w:rsidRPr="00FB348F">
        <w:rPr>
          <w:rFonts w:ascii="Times New Roman" w:eastAsia="Times New Roman" w:hAnsi="Times New Roman"/>
          <w:sz w:val="24"/>
          <w:szCs w:val="24"/>
          <w:lang w:val="es-CO"/>
        </w:rPr>
        <w:t>s: Servicio proveído por CCE</w:t>
      </w:r>
    </w:p>
    <w:p w:rsidR="00A01E42" w:rsidRPr="00FB348F" w:rsidRDefault="00A01E42" w:rsidP="00D43CA2">
      <w:pPr>
        <w:pStyle w:val="ListParagraph"/>
        <w:autoSpaceDE w:val="0"/>
        <w:autoSpaceDN w:val="0"/>
        <w:adjustRightInd w:val="0"/>
        <w:spacing w:before="120" w:after="120" w:line="240" w:lineRule="auto"/>
        <w:ind w:left="1800"/>
        <w:jc w:val="both"/>
        <w:rPr>
          <w:rFonts w:ascii="Times New Roman" w:eastAsia="Times New Roman" w:hAnsi="Times New Roman"/>
          <w:sz w:val="24"/>
          <w:szCs w:val="24"/>
          <w:lang w:val="es-CO"/>
        </w:rPr>
      </w:pPr>
      <w:r>
        <w:rPr>
          <w:rFonts w:ascii="Times New Roman" w:eastAsia="Times New Roman" w:hAnsi="Times New Roman"/>
          <w:sz w:val="24"/>
          <w:szCs w:val="24"/>
          <w:lang w:val="es-CO"/>
        </w:rPr>
        <w:t xml:space="preserve">Cs: Costo del servicio </w:t>
      </w:r>
    </w:p>
    <w:p w:rsidR="00A01E42" w:rsidRPr="00842A3F" w:rsidRDefault="00A01E42" w:rsidP="00D43CA2">
      <w:pPr>
        <w:pStyle w:val="ListParagraph"/>
        <w:autoSpaceDE w:val="0"/>
        <w:autoSpaceDN w:val="0"/>
        <w:adjustRightInd w:val="0"/>
        <w:spacing w:before="120" w:after="120" w:line="240" w:lineRule="auto"/>
        <w:ind w:left="1800"/>
        <w:jc w:val="both"/>
        <w:rPr>
          <w:rFonts w:ascii="Times New Roman" w:eastAsia="Times New Roman" w:hAnsi="Times New Roman"/>
          <w:sz w:val="24"/>
          <w:szCs w:val="24"/>
          <w:lang w:val="es-CO"/>
        </w:rPr>
      </w:pPr>
      <w:proofErr w:type="spellStart"/>
      <w:r w:rsidRPr="00FB348F">
        <w:rPr>
          <w:rFonts w:ascii="Times New Roman" w:eastAsia="Times New Roman" w:hAnsi="Times New Roman"/>
          <w:sz w:val="24"/>
          <w:szCs w:val="24"/>
          <w:lang w:val="es-CO"/>
        </w:rPr>
        <w:t>Us</w:t>
      </w:r>
      <w:proofErr w:type="spellEnd"/>
      <w:r w:rsidRPr="00FB348F">
        <w:rPr>
          <w:rFonts w:ascii="Times New Roman" w:eastAsia="Times New Roman" w:hAnsi="Times New Roman"/>
          <w:sz w:val="24"/>
          <w:szCs w:val="24"/>
          <w:lang w:val="es-CO"/>
        </w:rPr>
        <w:t>: Número de veces que el servicio s fue utilizado por una agencia estatal</w:t>
      </w:r>
    </w:p>
    <w:p w:rsidR="00A01E42" w:rsidRPr="00FB348F" w:rsidRDefault="00A01E42" w:rsidP="00842A3F">
      <w:pPr>
        <w:autoSpaceDE w:val="0"/>
        <w:autoSpaceDN w:val="0"/>
        <w:adjustRightInd w:val="0"/>
        <w:spacing w:before="120" w:after="120" w:line="240" w:lineRule="auto"/>
        <w:ind w:left="1260"/>
        <w:jc w:val="both"/>
        <w:rPr>
          <w:rFonts w:ascii="Times New Roman" w:eastAsia="Times New Roman" w:hAnsi="Times New Roman"/>
          <w:sz w:val="24"/>
          <w:szCs w:val="24"/>
          <w:lang w:val="es-CO"/>
        </w:rPr>
      </w:pPr>
      <w:r w:rsidRPr="00FB348F">
        <w:rPr>
          <w:rFonts w:ascii="Times New Roman" w:eastAsia="Times New Roman" w:hAnsi="Times New Roman"/>
          <w:sz w:val="24"/>
          <w:szCs w:val="24"/>
          <w:lang w:val="es-CO"/>
        </w:rPr>
        <w:t>La cuantificación de Cs varía por tipo de servicio y se puede calcular de dos maneras: (a) Sumatoria de los costos individuales cuando un servicio involucra recurso de distintas unidades funcionales al interior de CCE o (b) el presupuesto anual de una unidad funcional sobre el número total de servicios que ofreció durante dicho periodo.  Este último cálculo asume que la unidad funcional solo presta ese servicio y que cada unidad del servicio prestado tiene el mismo valor (ej. Certificación de Oferentes).</w:t>
      </w:r>
    </w:p>
    <w:p w:rsidR="00A01E42" w:rsidRPr="00084C42" w:rsidRDefault="00A01E42" w:rsidP="00842A3F">
      <w:pPr>
        <w:pStyle w:val="ListParagraph"/>
        <w:numPr>
          <w:ilvl w:val="0"/>
          <w:numId w:val="30"/>
        </w:numPr>
        <w:spacing w:before="120" w:after="120" w:line="240" w:lineRule="auto"/>
        <w:ind w:left="1260" w:hanging="450"/>
        <w:contextualSpacing w:val="0"/>
        <w:jc w:val="both"/>
        <w:rPr>
          <w:rFonts w:ascii="Times New Roman" w:eastAsia="Times New Roman" w:hAnsi="Times New Roman"/>
          <w:b/>
          <w:sz w:val="24"/>
          <w:szCs w:val="24"/>
          <w:lang w:val="es-CO"/>
        </w:rPr>
      </w:pPr>
      <w:r w:rsidRPr="00084C42">
        <w:rPr>
          <w:rFonts w:ascii="Times New Roman" w:eastAsia="Times New Roman" w:hAnsi="Times New Roman"/>
          <w:b/>
          <w:sz w:val="24"/>
          <w:szCs w:val="24"/>
          <w:lang w:val="es-CO"/>
        </w:rPr>
        <w:t>Metodología para la cuantificación de ahorros monetarios resultado de la adquisición de bienes o servicios a mejores precios.</w:t>
      </w:r>
    </w:p>
    <w:p w:rsidR="00A01E42" w:rsidRDefault="00A01E42" w:rsidP="00842A3F">
      <w:pPr>
        <w:pStyle w:val="ListParagraph"/>
        <w:spacing w:before="120" w:after="120" w:line="240" w:lineRule="auto"/>
        <w:ind w:left="1260"/>
        <w:contextualSpacing w:val="0"/>
        <w:jc w:val="both"/>
        <w:rPr>
          <w:rFonts w:ascii="Times New Roman" w:eastAsia="Times New Roman" w:hAnsi="Times New Roman"/>
          <w:sz w:val="24"/>
          <w:szCs w:val="24"/>
          <w:lang w:val="es-CO"/>
        </w:rPr>
      </w:pPr>
      <w:r>
        <w:rPr>
          <w:rFonts w:ascii="Times New Roman" w:eastAsia="Times New Roman" w:hAnsi="Times New Roman"/>
          <w:sz w:val="24"/>
          <w:szCs w:val="24"/>
          <w:lang w:val="es-CO"/>
        </w:rPr>
        <w:t>Para la cuantificación de los ahorros monetarios, fueron utilizados los acuerdos de Marco de Precio de las entidades estatales en los siguientes bienes y servicios:</w:t>
      </w:r>
    </w:p>
    <w:p w:rsidR="00A01E42" w:rsidRDefault="00A01E42" w:rsidP="00842A3F">
      <w:pPr>
        <w:pStyle w:val="ListParagraph"/>
        <w:numPr>
          <w:ilvl w:val="0"/>
          <w:numId w:val="32"/>
        </w:numPr>
        <w:spacing w:before="120" w:after="120" w:line="240" w:lineRule="auto"/>
        <w:ind w:left="1987"/>
        <w:jc w:val="both"/>
        <w:rPr>
          <w:rFonts w:ascii="Times New Roman" w:eastAsia="Times New Roman" w:hAnsi="Times New Roman"/>
          <w:sz w:val="24"/>
          <w:szCs w:val="24"/>
          <w:lang w:val="es-CO"/>
        </w:rPr>
      </w:pPr>
      <w:r>
        <w:rPr>
          <w:rFonts w:ascii="Times New Roman" w:eastAsia="Times New Roman" w:hAnsi="Times New Roman"/>
          <w:sz w:val="24"/>
          <w:szCs w:val="24"/>
          <w:lang w:val="es-CO"/>
        </w:rPr>
        <w:t>Seguro Obligatorio de Accidentes de Tránsito (SOAT);</w:t>
      </w:r>
    </w:p>
    <w:p w:rsidR="00A01E42" w:rsidRDefault="00A01E42" w:rsidP="00842A3F">
      <w:pPr>
        <w:pStyle w:val="ListParagraph"/>
        <w:numPr>
          <w:ilvl w:val="0"/>
          <w:numId w:val="32"/>
        </w:numPr>
        <w:spacing w:before="120" w:after="120" w:line="240" w:lineRule="auto"/>
        <w:ind w:left="1987"/>
        <w:jc w:val="both"/>
        <w:rPr>
          <w:rFonts w:ascii="Times New Roman" w:eastAsia="Times New Roman" w:hAnsi="Times New Roman"/>
          <w:sz w:val="24"/>
          <w:szCs w:val="24"/>
          <w:lang w:val="es-CO"/>
        </w:rPr>
      </w:pPr>
      <w:r>
        <w:rPr>
          <w:rFonts w:ascii="Times New Roman" w:eastAsia="Times New Roman" w:hAnsi="Times New Roman"/>
          <w:sz w:val="24"/>
          <w:szCs w:val="24"/>
          <w:lang w:val="es-CO"/>
        </w:rPr>
        <w:t>Combustibles</w:t>
      </w:r>
      <w:r w:rsidR="00931717">
        <w:rPr>
          <w:rFonts w:ascii="Times New Roman" w:eastAsia="Times New Roman" w:hAnsi="Times New Roman"/>
          <w:sz w:val="24"/>
          <w:szCs w:val="24"/>
          <w:lang w:val="es-CO"/>
        </w:rPr>
        <w:t xml:space="preserve"> (exceptuando Bogotá)</w:t>
      </w:r>
    </w:p>
    <w:p w:rsidR="00A01E42" w:rsidRDefault="00A01E42" w:rsidP="00842A3F">
      <w:pPr>
        <w:pStyle w:val="ListParagraph"/>
        <w:numPr>
          <w:ilvl w:val="0"/>
          <w:numId w:val="32"/>
        </w:numPr>
        <w:spacing w:before="120" w:after="120" w:line="240" w:lineRule="auto"/>
        <w:ind w:left="1987"/>
        <w:jc w:val="both"/>
        <w:rPr>
          <w:rFonts w:ascii="Times New Roman" w:eastAsia="Times New Roman" w:hAnsi="Times New Roman"/>
          <w:sz w:val="24"/>
          <w:szCs w:val="24"/>
          <w:lang w:val="es-CO"/>
        </w:rPr>
      </w:pPr>
      <w:r>
        <w:rPr>
          <w:rFonts w:ascii="Times New Roman" w:eastAsia="Times New Roman" w:hAnsi="Times New Roman"/>
          <w:sz w:val="24"/>
          <w:szCs w:val="24"/>
          <w:lang w:val="es-CO"/>
        </w:rPr>
        <w:t>Vehículos</w:t>
      </w:r>
    </w:p>
    <w:p w:rsidR="00A01E42" w:rsidRDefault="00A01E42" w:rsidP="00842A3F">
      <w:pPr>
        <w:pStyle w:val="ListParagraph"/>
        <w:numPr>
          <w:ilvl w:val="0"/>
          <w:numId w:val="32"/>
        </w:numPr>
        <w:spacing w:before="120" w:after="120" w:line="240" w:lineRule="auto"/>
        <w:ind w:left="1987"/>
        <w:jc w:val="both"/>
        <w:rPr>
          <w:rFonts w:ascii="Times New Roman" w:eastAsia="Times New Roman" w:hAnsi="Times New Roman"/>
          <w:sz w:val="24"/>
          <w:szCs w:val="24"/>
          <w:lang w:val="es-CO"/>
        </w:rPr>
      </w:pPr>
      <w:r>
        <w:rPr>
          <w:rFonts w:ascii="Times New Roman" w:eastAsia="Times New Roman" w:hAnsi="Times New Roman"/>
          <w:sz w:val="24"/>
          <w:szCs w:val="24"/>
          <w:lang w:val="es-CO"/>
        </w:rPr>
        <w:t>Cafetería y Limpieza</w:t>
      </w:r>
    </w:p>
    <w:p w:rsidR="00A01E42" w:rsidRDefault="00A01E42" w:rsidP="00842A3F">
      <w:pPr>
        <w:spacing w:before="120" w:after="120" w:line="240" w:lineRule="auto"/>
        <w:ind w:left="1260"/>
        <w:jc w:val="both"/>
        <w:rPr>
          <w:rFonts w:ascii="Times New Roman" w:eastAsia="Times New Roman" w:hAnsi="Times New Roman"/>
          <w:sz w:val="24"/>
          <w:szCs w:val="24"/>
          <w:lang w:val="es-CO"/>
        </w:rPr>
      </w:pPr>
      <w:r>
        <w:rPr>
          <w:rFonts w:ascii="Times New Roman" w:eastAsia="Times New Roman" w:hAnsi="Times New Roman"/>
          <w:sz w:val="24"/>
          <w:szCs w:val="24"/>
          <w:lang w:val="es-CO"/>
        </w:rPr>
        <w:t xml:space="preserve">La metodología tomó como referencia los mismos resultados presentados por el sistema compra electrónica de Chile. </w:t>
      </w:r>
      <w:r w:rsidRPr="00FB348F">
        <w:rPr>
          <w:rFonts w:ascii="Times New Roman" w:eastAsia="Times New Roman" w:hAnsi="Times New Roman"/>
          <w:sz w:val="24"/>
          <w:szCs w:val="24"/>
          <w:lang w:val="es-CO"/>
        </w:rPr>
        <w:t>El siguiente cuadro resume los ahorros que según la cantidad de oferentes se han generado en Chile como resultado de la implementación de un sistema de compra electrónica centralizado.</w:t>
      </w:r>
    </w:p>
    <w:p w:rsidR="00A01E42" w:rsidRDefault="00A01E42" w:rsidP="00842A3F">
      <w:pPr>
        <w:pStyle w:val="ListParagraph"/>
        <w:ind w:left="450"/>
        <w:jc w:val="both"/>
        <w:rPr>
          <w:rFonts w:ascii="Times New Roman" w:eastAsia="Times New Roman" w:hAnsi="Times New Roman"/>
          <w:sz w:val="24"/>
          <w:szCs w:val="24"/>
          <w:lang w:val="es-CO"/>
        </w:rPr>
      </w:pPr>
      <w:r w:rsidRPr="006458FD">
        <w:rPr>
          <w:noProof/>
          <w:lang w:val="en-US"/>
        </w:rPr>
        <w:drawing>
          <wp:inline distT="0" distB="0" distL="0" distR="0" wp14:anchorId="63DE2D6E" wp14:editId="5D81D34A">
            <wp:extent cx="5069840" cy="1252220"/>
            <wp:effectExtent l="0" t="0" r="0" b="5080"/>
            <wp:docPr id="271" name="Imagen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69840" cy="1252220"/>
                    </a:xfrm>
                    <a:prstGeom prst="rect">
                      <a:avLst/>
                    </a:prstGeom>
                    <a:noFill/>
                    <a:ln>
                      <a:noFill/>
                    </a:ln>
                  </pic:spPr>
                </pic:pic>
              </a:graphicData>
            </a:graphic>
          </wp:inline>
        </w:drawing>
      </w:r>
    </w:p>
    <w:p w:rsidR="00A01E42" w:rsidRPr="00FB348F" w:rsidRDefault="00A01E42" w:rsidP="00A01E42">
      <w:pPr>
        <w:pStyle w:val="ListParagraph"/>
        <w:ind w:left="3510"/>
        <w:jc w:val="both"/>
        <w:rPr>
          <w:rFonts w:ascii="Times New Roman" w:eastAsia="Times New Roman" w:hAnsi="Times New Roman"/>
          <w:sz w:val="24"/>
          <w:szCs w:val="24"/>
          <w:lang w:val="es-CO"/>
        </w:rPr>
      </w:pPr>
    </w:p>
    <w:p w:rsidR="00A01E42" w:rsidRDefault="00A01E42" w:rsidP="00A01E42">
      <w:pPr>
        <w:pStyle w:val="ListParagraph"/>
        <w:spacing w:before="120" w:after="120" w:line="240" w:lineRule="auto"/>
        <w:ind w:left="900"/>
        <w:contextualSpacing w:val="0"/>
        <w:jc w:val="both"/>
        <w:rPr>
          <w:rFonts w:ascii="Times New Roman" w:hAnsi="Times New Roman"/>
        </w:rPr>
      </w:pPr>
      <w:r w:rsidRPr="00574B24">
        <w:rPr>
          <w:rFonts w:ascii="Times New Roman" w:hAnsi="Times New Roman"/>
          <w:b/>
          <w:color w:val="333333"/>
          <w:sz w:val="24"/>
          <w:szCs w:val="24"/>
          <w:lang w:val="es-ES_tradnl"/>
        </w:rPr>
        <w:t>Ahorros</w:t>
      </w:r>
      <w:r w:rsidRPr="00574B24">
        <w:rPr>
          <w:rFonts w:ascii="Times New Roman" w:hAnsi="Times New Roman"/>
          <w:b/>
          <w:lang w:val="es-CO"/>
        </w:rPr>
        <w:t xml:space="preserve"> generados por la prestación de servicios de la CCE</w:t>
      </w:r>
      <w:r w:rsidRPr="00574B24">
        <w:rPr>
          <w:rFonts w:ascii="Times New Roman" w:hAnsi="Times New Roman"/>
          <w:b/>
        </w:rPr>
        <w:t>.</w:t>
      </w:r>
    </w:p>
    <w:p w:rsidR="00A01E42" w:rsidRPr="000E0A66" w:rsidRDefault="00A01E42" w:rsidP="00842A3F">
      <w:pPr>
        <w:pStyle w:val="ListParagraph"/>
        <w:numPr>
          <w:ilvl w:val="1"/>
          <w:numId w:val="26"/>
        </w:numPr>
        <w:spacing w:before="120" w:after="120" w:line="240" w:lineRule="auto"/>
        <w:ind w:left="907" w:hanging="540"/>
        <w:contextualSpacing w:val="0"/>
        <w:jc w:val="both"/>
        <w:rPr>
          <w:rFonts w:ascii="Times New Roman" w:hAnsi="Times New Roman"/>
          <w:sz w:val="24"/>
          <w:szCs w:val="24"/>
        </w:rPr>
      </w:pPr>
      <w:r w:rsidRPr="000E0A66">
        <w:rPr>
          <w:rFonts w:ascii="Times New Roman" w:hAnsi="Times New Roman"/>
          <w:sz w:val="24"/>
          <w:szCs w:val="24"/>
        </w:rPr>
        <w:t xml:space="preserve">Con el fin de desarrollar la metodología de Singer, </w:t>
      </w:r>
      <w:proofErr w:type="spellStart"/>
      <w:r w:rsidRPr="000E0A66">
        <w:rPr>
          <w:rFonts w:ascii="Times New Roman" w:hAnsi="Times New Roman"/>
          <w:sz w:val="24"/>
          <w:szCs w:val="24"/>
        </w:rPr>
        <w:t>Konstantinidis</w:t>
      </w:r>
      <w:proofErr w:type="spellEnd"/>
      <w:r w:rsidRPr="000E0A66">
        <w:rPr>
          <w:rFonts w:ascii="Times New Roman" w:hAnsi="Times New Roman"/>
          <w:sz w:val="24"/>
          <w:szCs w:val="24"/>
        </w:rPr>
        <w:t xml:space="preserve">, </w:t>
      </w:r>
      <w:proofErr w:type="spellStart"/>
      <w:r w:rsidRPr="000E0A66">
        <w:rPr>
          <w:rFonts w:ascii="Times New Roman" w:hAnsi="Times New Roman"/>
          <w:sz w:val="24"/>
          <w:szCs w:val="24"/>
        </w:rPr>
        <w:t>Roubik</w:t>
      </w:r>
      <w:proofErr w:type="spellEnd"/>
      <w:r w:rsidRPr="000E0A66">
        <w:rPr>
          <w:rFonts w:ascii="Times New Roman" w:hAnsi="Times New Roman"/>
          <w:sz w:val="24"/>
          <w:szCs w:val="24"/>
        </w:rPr>
        <w:t xml:space="preserve"> and </w:t>
      </w:r>
      <w:proofErr w:type="spellStart"/>
      <w:r w:rsidRPr="000E0A66">
        <w:rPr>
          <w:rFonts w:ascii="Times New Roman" w:hAnsi="Times New Roman"/>
          <w:sz w:val="24"/>
          <w:szCs w:val="24"/>
        </w:rPr>
        <w:t>Beffermann</w:t>
      </w:r>
      <w:proofErr w:type="spellEnd"/>
      <w:r w:rsidRPr="000E0A66">
        <w:rPr>
          <w:rFonts w:ascii="Times New Roman" w:hAnsi="Times New Roman"/>
          <w:sz w:val="24"/>
          <w:szCs w:val="24"/>
        </w:rPr>
        <w:t xml:space="preserve"> (2009) se identificaron los servicios que actualmente está prestando la CCE que están vinculados con la operación de crédito.  En este sentido se identificó que el principal servicio que encaja dentro de las definiciones acá plasmadas, es el de la suscripción de convenios marco.  </w:t>
      </w:r>
    </w:p>
    <w:p w:rsidR="00A01E42" w:rsidRPr="00331268" w:rsidRDefault="00A01E42" w:rsidP="00842A3F">
      <w:pPr>
        <w:pStyle w:val="ListParagraph"/>
        <w:numPr>
          <w:ilvl w:val="1"/>
          <w:numId w:val="26"/>
        </w:numPr>
        <w:tabs>
          <w:tab w:val="left" w:pos="900"/>
        </w:tabs>
        <w:spacing w:before="120" w:after="120" w:line="240" w:lineRule="auto"/>
        <w:ind w:left="907" w:hanging="540"/>
        <w:contextualSpacing w:val="0"/>
        <w:rPr>
          <w:rFonts w:ascii="Times New Roman" w:hAnsi="Times New Roman"/>
        </w:rPr>
      </w:pPr>
      <w:r>
        <w:rPr>
          <w:rFonts w:ascii="Times New Roman" w:hAnsi="Times New Roman"/>
          <w:color w:val="333333"/>
          <w:sz w:val="24"/>
          <w:szCs w:val="24"/>
          <w:lang w:val="es-ES_tradnl"/>
        </w:rPr>
        <w:t>Calculo del Beneficio. (</w:t>
      </w:r>
      <w:r w:rsidRPr="00331268">
        <w:rPr>
          <w:rFonts w:ascii="Times New Roman" w:hAnsi="Times New Roman"/>
          <w:color w:val="333333"/>
          <w:sz w:val="24"/>
          <w:szCs w:val="24"/>
          <w:lang w:val="es-ES_tradnl"/>
        </w:rPr>
        <w:t xml:space="preserve">A= </w:t>
      </w:r>
      <w:proofErr w:type="spellStart"/>
      <w:r w:rsidRPr="00331268">
        <w:rPr>
          <w:rFonts w:ascii="Times New Roman" w:hAnsi="Times New Roman"/>
          <w:color w:val="333333"/>
          <w:sz w:val="24"/>
          <w:szCs w:val="24"/>
          <w:lang w:val="es-ES_tradnl"/>
        </w:rPr>
        <w:t>ΣCs</w:t>
      </w:r>
      <w:proofErr w:type="spellEnd"/>
      <w:r w:rsidRPr="00331268">
        <w:rPr>
          <w:rFonts w:ascii="Times New Roman" w:hAnsi="Times New Roman"/>
          <w:color w:val="333333"/>
          <w:sz w:val="24"/>
          <w:szCs w:val="24"/>
          <w:lang w:val="es-ES_tradnl"/>
        </w:rPr>
        <w:t xml:space="preserve"> x </w:t>
      </w:r>
      <w:proofErr w:type="spellStart"/>
      <w:r w:rsidRPr="00331268">
        <w:rPr>
          <w:rFonts w:ascii="Times New Roman" w:hAnsi="Times New Roman"/>
          <w:color w:val="333333"/>
          <w:sz w:val="24"/>
          <w:szCs w:val="24"/>
          <w:lang w:val="es-ES_tradnl"/>
        </w:rPr>
        <w:t>Us</w:t>
      </w:r>
      <w:proofErr w:type="spellEnd"/>
      <w:r>
        <w:rPr>
          <w:rFonts w:ascii="Times New Roman" w:hAnsi="Times New Roman"/>
          <w:color w:val="333333"/>
          <w:sz w:val="24"/>
          <w:szCs w:val="24"/>
          <w:lang w:val="es-ES_tradnl"/>
        </w:rPr>
        <w:t>)</w:t>
      </w:r>
    </w:p>
    <w:p w:rsidR="00A01E42" w:rsidRPr="00C95444" w:rsidRDefault="00A01E42" w:rsidP="00842A3F">
      <w:pPr>
        <w:pStyle w:val="ListParagraph"/>
        <w:tabs>
          <w:tab w:val="left" w:pos="900"/>
        </w:tabs>
        <w:spacing w:before="120" w:after="120" w:line="240" w:lineRule="auto"/>
        <w:ind w:left="907"/>
        <w:contextualSpacing w:val="0"/>
        <w:jc w:val="both"/>
        <w:rPr>
          <w:rFonts w:ascii="Times New Roman" w:hAnsi="Times New Roman"/>
          <w:b/>
          <w:i/>
          <w:color w:val="333333"/>
          <w:sz w:val="24"/>
          <w:szCs w:val="24"/>
          <w:lang w:val="es-ES_tradnl"/>
        </w:rPr>
      </w:pPr>
      <w:r w:rsidRPr="00C95444">
        <w:rPr>
          <w:rFonts w:ascii="Times New Roman" w:hAnsi="Times New Roman"/>
          <w:b/>
          <w:i/>
          <w:color w:val="333333"/>
          <w:sz w:val="24"/>
          <w:szCs w:val="24"/>
          <w:lang w:val="es-ES_tradnl"/>
        </w:rPr>
        <w:t xml:space="preserve">Calculo de Cs. </w:t>
      </w:r>
    </w:p>
    <w:p w:rsidR="00A01E42" w:rsidRDefault="00A01E42" w:rsidP="00842A3F">
      <w:pPr>
        <w:pStyle w:val="ListParagraph"/>
        <w:tabs>
          <w:tab w:val="left" w:pos="900"/>
        </w:tabs>
        <w:spacing w:before="120" w:after="120" w:line="240" w:lineRule="auto"/>
        <w:ind w:left="907"/>
        <w:contextualSpacing w:val="0"/>
        <w:jc w:val="both"/>
        <w:rPr>
          <w:rFonts w:ascii="Times New Roman" w:hAnsi="Times New Roman"/>
          <w:color w:val="333333"/>
          <w:sz w:val="24"/>
          <w:szCs w:val="24"/>
          <w:lang w:val="es-ES_tradnl"/>
        </w:rPr>
      </w:pPr>
      <w:r w:rsidRPr="00331268">
        <w:rPr>
          <w:rFonts w:ascii="Times New Roman" w:hAnsi="Times New Roman"/>
          <w:color w:val="333333"/>
          <w:sz w:val="24"/>
          <w:szCs w:val="24"/>
          <w:lang w:val="es-ES_tradnl"/>
        </w:rPr>
        <w:t>La elaboración de un convenio marco tiene un costo aproximado de $40.225.000.  Este cálculo, según información suministrada, fue realizado conjuntamente con el Subdirector de Negocio e incluyó costos de personal detallado</w:t>
      </w:r>
      <w:r>
        <w:rPr>
          <w:rFonts w:ascii="Times New Roman" w:hAnsi="Times New Roman"/>
          <w:color w:val="333333"/>
          <w:sz w:val="24"/>
          <w:szCs w:val="24"/>
          <w:lang w:val="es-ES_tradnl"/>
        </w:rPr>
        <w:t>.</w:t>
      </w:r>
    </w:p>
    <w:p w:rsidR="00A01E42" w:rsidRDefault="00A01E42" w:rsidP="00842A3F">
      <w:pPr>
        <w:pStyle w:val="ListParagraph"/>
        <w:tabs>
          <w:tab w:val="left" w:pos="900"/>
        </w:tabs>
        <w:spacing w:before="120" w:after="120" w:line="240" w:lineRule="auto"/>
        <w:ind w:left="900" w:hanging="900"/>
        <w:contextualSpacing w:val="0"/>
        <w:rPr>
          <w:rFonts w:ascii="Times New Roman" w:hAnsi="Times New Roman"/>
        </w:rPr>
      </w:pPr>
      <w:r>
        <w:rPr>
          <w:rFonts w:ascii="Times New Roman" w:hAnsi="Times New Roman"/>
          <w:noProof/>
          <w:lang w:val="en-US"/>
        </w:rPr>
        <w:drawing>
          <wp:inline distT="0" distB="0" distL="0" distR="0" wp14:anchorId="5893A129" wp14:editId="329A9596">
            <wp:extent cx="5834958" cy="1938655"/>
            <wp:effectExtent l="0" t="0" r="0" b="4445"/>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41055" cy="1940681"/>
                    </a:xfrm>
                    <a:prstGeom prst="rect">
                      <a:avLst/>
                    </a:prstGeom>
                    <a:noFill/>
                  </pic:spPr>
                </pic:pic>
              </a:graphicData>
            </a:graphic>
          </wp:inline>
        </w:drawing>
      </w:r>
    </w:p>
    <w:p w:rsidR="00A01E42" w:rsidRPr="004246D4" w:rsidRDefault="00A01E42" w:rsidP="00842A3F">
      <w:pPr>
        <w:spacing w:before="120" w:after="120" w:line="240" w:lineRule="auto"/>
        <w:ind w:left="360"/>
        <w:rPr>
          <w:rFonts w:ascii="Times New Roman" w:hAnsi="Times New Roman"/>
          <w:b/>
          <w:i/>
          <w:sz w:val="24"/>
          <w:szCs w:val="24"/>
        </w:rPr>
      </w:pPr>
      <w:r w:rsidRPr="004246D4">
        <w:rPr>
          <w:rFonts w:ascii="Times New Roman" w:hAnsi="Times New Roman"/>
          <w:b/>
          <w:i/>
          <w:sz w:val="24"/>
          <w:szCs w:val="24"/>
        </w:rPr>
        <w:t>Número de veces que el servicio fue utilizado (</w:t>
      </w:r>
      <w:proofErr w:type="spellStart"/>
      <w:r w:rsidRPr="004246D4">
        <w:rPr>
          <w:rFonts w:ascii="Times New Roman" w:hAnsi="Times New Roman"/>
          <w:b/>
          <w:i/>
          <w:sz w:val="24"/>
          <w:szCs w:val="24"/>
        </w:rPr>
        <w:t>Us</w:t>
      </w:r>
      <w:proofErr w:type="spellEnd"/>
      <w:r w:rsidRPr="004246D4">
        <w:rPr>
          <w:rFonts w:ascii="Times New Roman" w:hAnsi="Times New Roman"/>
          <w:b/>
          <w:i/>
          <w:sz w:val="24"/>
          <w:szCs w:val="24"/>
        </w:rPr>
        <w:t>)</w:t>
      </w:r>
    </w:p>
    <w:p w:rsidR="00842A3F" w:rsidRDefault="00A01E42" w:rsidP="00842A3F">
      <w:pPr>
        <w:spacing w:before="120" w:after="120" w:line="240" w:lineRule="auto"/>
        <w:ind w:left="360"/>
        <w:jc w:val="both"/>
        <w:rPr>
          <w:rFonts w:ascii="Times New Roman" w:hAnsi="Times New Roman"/>
          <w:sz w:val="24"/>
          <w:szCs w:val="24"/>
          <w:lang w:val="es-ES_tradnl"/>
        </w:rPr>
      </w:pPr>
      <w:r w:rsidRPr="004246D4">
        <w:rPr>
          <w:rFonts w:ascii="Times New Roman" w:hAnsi="Times New Roman"/>
          <w:sz w:val="24"/>
          <w:szCs w:val="24"/>
          <w:lang w:val="es-ES_tradnl"/>
        </w:rPr>
        <w:t xml:space="preserve">Según información suministrada por CCE su meta es que </w:t>
      </w:r>
      <w:r w:rsidRPr="00C513EB">
        <w:rPr>
          <w:rFonts w:ascii="Times New Roman" w:hAnsi="Times New Roman"/>
          <w:sz w:val="24"/>
          <w:szCs w:val="24"/>
          <w:lang w:val="es-ES_tradnl"/>
        </w:rPr>
        <w:t>380 entidades Estatales</w:t>
      </w:r>
      <w:r w:rsidRPr="004246D4">
        <w:rPr>
          <w:rFonts w:ascii="Times New Roman" w:hAnsi="Times New Roman"/>
          <w:sz w:val="24"/>
          <w:szCs w:val="24"/>
          <w:lang w:val="es-ES_tradnl"/>
        </w:rPr>
        <w:t xml:space="preserve"> sobre las cuales existen obligaciones legales para trabajar con la entidad, adquieran bienes a través de los convenios marco. Dado que muchas de ellas cuentan actualmente con contratos para la adquisición de dichos bienes, se estima que no utilizarán el servicio todas al mismo tiempo, por lo que se plantea un cronograma de implementación en los que al 4 año la totalidad de las entidades ya estarían adquiriendo los bienes a través de esta herramienta.  Los escenarios se describen a continuación:</w:t>
      </w:r>
    </w:p>
    <w:p w:rsidR="00A01E42" w:rsidRPr="004246D4" w:rsidRDefault="00842A3F" w:rsidP="00842A3F">
      <w:pPr>
        <w:spacing w:after="0" w:line="240" w:lineRule="auto"/>
        <w:rPr>
          <w:rFonts w:ascii="Times New Roman" w:hAnsi="Times New Roman"/>
          <w:sz w:val="24"/>
          <w:szCs w:val="24"/>
          <w:lang w:val="es-ES_tradnl"/>
        </w:rPr>
      </w:pPr>
      <w:r>
        <w:rPr>
          <w:rFonts w:ascii="Times New Roman" w:hAnsi="Times New Roman"/>
          <w:sz w:val="24"/>
          <w:szCs w:val="24"/>
          <w:lang w:val="es-ES_tradnl"/>
        </w:rPr>
        <w:br w:type="page"/>
      </w:r>
    </w:p>
    <w:tbl>
      <w:tblPr>
        <w:tblStyle w:val="TableGrid"/>
        <w:tblW w:w="0" w:type="auto"/>
        <w:tblInd w:w="360" w:type="dxa"/>
        <w:tblLook w:val="04A0" w:firstRow="1" w:lastRow="0" w:firstColumn="1" w:lastColumn="0" w:noHBand="0" w:noVBand="1"/>
      </w:tblPr>
      <w:tblGrid>
        <w:gridCol w:w="1209"/>
        <w:gridCol w:w="1213"/>
        <w:gridCol w:w="1214"/>
        <w:gridCol w:w="1215"/>
        <w:gridCol w:w="1215"/>
        <w:gridCol w:w="1215"/>
        <w:gridCol w:w="1215"/>
      </w:tblGrid>
      <w:tr w:rsidR="00A01E42" w:rsidRPr="00D43CA2" w:rsidTr="00E41381">
        <w:tc>
          <w:tcPr>
            <w:tcW w:w="8990" w:type="dxa"/>
            <w:gridSpan w:val="7"/>
            <w:shd w:val="clear" w:color="auto" w:fill="D9D9D9" w:themeFill="background1" w:themeFillShade="D9"/>
          </w:tcPr>
          <w:p w:rsidR="00A01E42" w:rsidRPr="00D43CA2" w:rsidRDefault="00A01E42" w:rsidP="00E41381">
            <w:pPr>
              <w:jc w:val="center"/>
              <w:rPr>
                <w:rFonts w:ascii="Times New Roman" w:hAnsi="Times New Roman"/>
                <w:b/>
                <w:sz w:val="20"/>
                <w:szCs w:val="20"/>
                <w:lang w:val="es-ES_tradnl"/>
              </w:rPr>
            </w:pPr>
            <w:r w:rsidRPr="00D43CA2">
              <w:rPr>
                <w:rFonts w:ascii="Times New Roman" w:hAnsi="Times New Roman"/>
                <w:b/>
                <w:sz w:val="20"/>
                <w:szCs w:val="20"/>
                <w:lang w:val="es-ES_tradnl"/>
              </w:rPr>
              <w:t>Cronograma de Implementación</w:t>
            </w:r>
          </w:p>
        </w:tc>
      </w:tr>
      <w:tr w:rsidR="00A01E42" w:rsidRPr="00D43CA2" w:rsidTr="00D43CA2">
        <w:trPr>
          <w:trHeight w:val="242"/>
        </w:trPr>
        <w:tc>
          <w:tcPr>
            <w:tcW w:w="1283" w:type="dxa"/>
            <w:shd w:val="clear" w:color="auto" w:fill="D9D9D9" w:themeFill="background1" w:themeFillShade="D9"/>
          </w:tcPr>
          <w:p w:rsidR="00A01E42" w:rsidRPr="00D43CA2" w:rsidRDefault="00A01E42" w:rsidP="00E41381">
            <w:pPr>
              <w:jc w:val="center"/>
              <w:rPr>
                <w:rFonts w:ascii="Times New Roman" w:hAnsi="Times New Roman"/>
                <w:b/>
                <w:sz w:val="20"/>
                <w:szCs w:val="20"/>
                <w:lang w:val="es-ES_tradnl"/>
              </w:rPr>
            </w:pPr>
            <w:r w:rsidRPr="00D43CA2">
              <w:rPr>
                <w:rFonts w:ascii="Times New Roman" w:hAnsi="Times New Roman"/>
                <w:b/>
                <w:sz w:val="20"/>
                <w:szCs w:val="20"/>
                <w:lang w:val="es-ES_tradnl"/>
              </w:rPr>
              <w:t>Año</w:t>
            </w:r>
          </w:p>
        </w:tc>
        <w:tc>
          <w:tcPr>
            <w:tcW w:w="1283" w:type="dxa"/>
            <w:shd w:val="clear" w:color="auto" w:fill="D9D9D9" w:themeFill="background1" w:themeFillShade="D9"/>
          </w:tcPr>
          <w:p w:rsidR="00A01E42" w:rsidRPr="00D43CA2" w:rsidRDefault="00A01E42" w:rsidP="00E41381">
            <w:pPr>
              <w:jc w:val="center"/>
              <w:rPr>
                <w:rFonts w:ascii="Times New Roman" w:hAnsi="Times New Roman"/>
                <w:b/>
                <w:sz w:val="20"/>
                <w:szCs w:val="20"/>
                <w:lang w:val="es-ES_tradnl"/>
              </w:rPr>
            </w:pPr>
            <w:r w:rsidRPr="00D43CA2">
              <w:rPr>
                <w:rFonts w:ascii="Times New Roman" w:hAnsi="Times New Roman"/>
                <w:b/>
                <w:sz w:val="20"/>
                <w:szCs w:val="20"/>
                <w:lang w:val="es-ES_tradnl"/>
              </w:rPr>
              <w:t>2015</w:t>
            </w:r>
          </w:p>
        </w:tc>
        <w:tc>
          <w:tcPr>
            <w:tcW w:w="1284" w:type="dxa"/>
            <w:shd w:val="clear" w:color="auto" w:fill="D9D9D9" w:themeFill="background1" w:themeFillShade="D9"/>
          </w:tcPr>
          <w:p w:rsidR="00A01E42" w:rsidRPr="00D43CA2" w:rsidRDefault="00A01E42" w:rsidP="00E41381">
            <w:pPr>
              <w:jc w:val="center"/>
              <w:rPr>
                <w:rFonts w:ascii="Times New Roman" w:hAnsi="Times New Roman"/>
                <w:b/>
                <w:sz w:val="20"/>
                <w:szCs w:val="20"/>
                <w:lang w:val="es-ES_tradnl"/>
              </w:rPr>
            </w:pPr>
            <w:r w:rsidRPr="00D43CA2">
              <w:rPr>
                <w:rFonts w:ascii="Times New Roman" w:hAnsi="Times New Roman"/>
                <w:b/>
                <w:sz w:val="20"/>
                <w:szCs w:val="20"/>
                <w:lang w:val="es-ES_tradnl"/>
              </w:rPr>
              <w:t>2016</w:t>
            </w:r>
          </w:p>
        </w:tc>
        <w:tc>
          <w:tcPr>
            <w:tcW w:w="1285" w:type="dxa"/>
            <w:shd w:val="clear" w:color="auto" w:fill="D9D9D9" w:themeFill="background1" w:themeFillShade="D9"/>
          </w:tcPr>
          <w:p w:rsidR="00A01E42" w:rsidRPr="00D43CA2" w:rsidRDefault="00A01E42" w:rsidP="00E41381">
            <w:pPr>
              <w:jc w:val="center"/>
              <w:rPr>
                <w:rFonts w:ascii="Times New Roman" w:hAnsi="Times New Roman"/>
                <w:b/>
                <w:sz w:val="20"/>
                <w:szCs w:val="20"/>
                <w:lang w:val="es-ES_tradnl"/>
              </w:rPr>
            </w:pPr>
            <w:r w:rsidRPr="00D43CA2">
              <w:rPr>
                <w:rFonts w:ascii="Times New Roman" w:hAnsi="Times New Roman"/>
                <w:b/>
                <w:sz w:val="20"/>
                <w:szCs w:val="20"/>
                <w:lang w:val="es-ES_tradnl"/>
              </w:rPr>
              <w:t>2017</w:t>
            </w:r>
          </w:p>
        </w:tc>
        <w:tc>
          <w:tcPr>
            <w:tcW w:w="1285" w:type="dxa"/>
            <w:shd w:val="clear" w:color="auto" w:fill="D9D9D9" w:themeFill="background1" w:themeFillShade="D9"/>
          </w:tcPr>
          <w:p w:rsidR="00A01E42" w:rsidRPr="00D43CA2" w:rsidRDefault="00A01E42" w:rsidP="00E41381">
            <w:pPr>
              <w:jc w:val="center"/>
              <w:rPr>
                <w:rFonts w:ascii="Times New Roman" w:hAnsi="Times New Roman"/>
                <w:b/>
                <w:sz w:val="20"/>
                <w:szCs w:val="20"/>
                <w:lang w:val="es-ES_tradnl"/>
              </w:rPr>
            </w:pPr>
            <w:r w:rsidRPr="00D43CA2">
              <w:rPr>
                <w:rFonts w:ascii="Times New Roman" w:hAnsi="Times New Roman"/>
                <w:b/>
                <w:sz w:val="20"/>
                <w:szCs w:val="20"/>
                <w:lang w:val="es-ES_tradnl"/>
              </w:rPr>
              <w:t>2018</w:t>
            </w:r>
          </w:p>
        </w:tc>
        <w:tc>
          <w:tcPr>
            <w:tcW w:w="1285" w:type="dxa"/>
            <w:shd w:val="clear" w:color="auto" w:fill="D9D9D9" w:themeFill="background1" w:themeFillShade="D9"/>
          </w:tcPr>
          <w:p w:rsidR="00A01E42" w:rsidRPr="00D43CA2" w:rsidRDefault="00A01E42" w:rsidP="00E41381">
            <w:pPr>
              <w:jc w:val="center"/>
              <w:rPr>
                <w:rFonts w:ascii="Times New Roman" w:hAnsi="Times New Roman"/>
                <w:b/>
                <w:sz w:val="20"/>
                <w:szCs w:val="20"/>
                <w:lang w:val="es-ES_tradnl"/>
              </w:rPr>
            </w:pPr>
            <w:r w:rsidRPr="00D43CA2">
              <w:rPr>
                <w:rFonts w:ascii="Times New Roman" w:hAnsi="Times New Roman"/>
                <w:b/>
                <w:sz w:val="20"/>
                <w:szCs w:val="20"/>
                <w:lang w:val="es-ES_tradnl"/>
              </w:rPr>
              <w:t>2019</w:t>
            </w:r>
          </w:p>
        </w:tc>
        <w:tc>
          <w:tcPr>
            <w:tcW w:w="1285" w:type="dxa"/>
            <w:shd w:val="clear" w:color="auto" w:fill="D9D9D9" w:themeFill="background1" w:themeFillShade="D9"/>
          </w:tcPr>
          <w:p w:rsidR="00A01E42" w:rsidRPr="00D43CA2" w:rsidRDefault="00A01E42" w:rsidP="00E41381">
            <w:pPr>
              <w:jc w:val="center"/>
              <w:rPr>
                <w:rFonts w:ascii="Times New Roman" w:hAnsi="Times New Roman"/>
                <w:b/>
                <w:sz w:val="20"/>
                <w:szCs w:val="20"/>
                <w:lang w:val="es-ES_tradnl"/>
              </w:rPr>
            </w:pPr>
            <w:r w:rsidRPr="00D43CA2">
              <w:rPr>
                <w:rFonts w:ascii="Times New Roman" w:hAnsi="Times New Roman"/>
                <w:b/>
                <w:sz w:val="20"/>
                <w:szCs w:val="20"/>
                <w:lang w:val="es-ES_tradnl"/>
              </w:rPr>
              <w:t>2020</w:t>
            </w:r>
          </w:p>
        </w:tc>
      </w:tr>
      <w:tr w:rsidR="00A01E42" w:rsidRPr="00D43CA2" w:rsidTr="00842A3F">
        <w:trPr>
          <w:trHeight w:val="161"/>
        </w:trPr>
        <w:tc>
          <w:tcPr>
            <w:tcW w:w="1283" w:type="dxa"/>
          </w:tcPr>
          <w:p w:rsidR="00A01E42" w:rsidRPr="00D43CA2" w:rsidRDefault="00A01E42" w:rsidP="00E41381">
            <w:pPr>
              <w:jc w:val="center"/>
              <w:rPr>
                <w:rFonts w:ascii="Times New Roman" w:hAnsi="Times New Roman"/>
                <w:b/>
                <w:sz w:val="20"/>
                <w:szCs w:val="20"/>
                <w:lang w:val="es-ES_tradnl"/>
              </w:rPr>
            </w:pPr>
            <w:r w:rsidRPr="00D43CA2">
              <w:rPr>
                <w:rFonts w:ascii="Times New Roman" w:hAnsi="Times New Roman"/>
                <w:b/>
                <w:sz w:val="20"/>
                <w:szCs w:val="20"/>
                <w:lang w:val="es-ES_tradnl"/>
              </w:rPr>
              <w:t>%</w:t>
            </w:r>
          </w:p>
        </w:tc>
        <w:tc>
          <w:tcPr>
            <w:tcW w:w="1283" w:type="dxa"/>
          </w:tcPr>
          <w:p w:rsidR="00A01E42" w:rsidRPr="00D43CA2" w:rsidRDefault="00A01E42" w:rsidP="00E41381">
            <w:pPr>
              <w:jc w:val="center"/>
              <w:rPr>
                <w:rFonts w:ascii="Times New Roman" w:hAnsi="Times New Roman"/>
                <w:sz w:val="20"/>
                <w:szCs w:val="20"/>
                <w:lang w:val="es-ES_tradnl"/>
              </w:rPr>
            </w:pPr>
            <w:r w:rsidRPr="00D43CA2">
              <w:rPr>
                <w:rFonts w:ascii="Times New Roman" w:hAnsi="Times New Roman"/>
                <w:sz w:val="20"/>
                <w:szCs w:val="20"/>
                <w:lang w:val="es-ES_tradnl"/>
              </w:rPr>
              <w:t>25</w:t>
            </w:r>
          </w:p>
        </w:tc>
        <w:tc>
          <w:tcPr>
            <w:tcW w:w="1284" w:type="dxa"/>
          </w:tcPr>
          <w:p w:rsidR="00A01E42" w:rsidRPr="00D43CA2" w:rsidRDefault="00A01E42" w:rsidP="00E41381">
            <w:pPr>
              <w:jc w:val="center"/>
              <w:rPr>
                <w:rFonts w:ascii="Times New Roman" w:hAnsi="Times New Roman"/>
                <w:sz w:val="20"/>
                <w:szCs w:val="20"/>
                <w:lang w:val="es-ES_tradnl"/>
              </w:rPr>
            </w:pPr>
            <w:r w:rsidRPr="00D43CA2">
              <w:rPr>
                <w:rFonts w:ascii="Times New Roman" w:hAnsi="Times New Roman"/>
                <w:sz w:val="20"/>
                <w:szCs w:val="20"/>
                <w:lang w:val="es-ES_tradnl"/>
              </w:rPr>
              <w:t>50</w:t>
            </w:r>
          </w:p>
        </w:tc>
        <w:tc>
          <w:tcPr>
            <w:tcW w:w="1285" w:type="dxa"/>
          </w:tcPr>
          <w:p w:rsidR="00A01E42" w:rsidRPr="00D43CA2" w:rsidRDefault="00A01E42" w:rsidP="00E41381">
            <w:pPr>
              <w:jc w:val="center"/>
              <w:rPr>
                <w:rFonts w:ascii="Times New Roman" w:hAnsi="Times New Roman"/>
                <w:sz w:val="20"/>
                <w:szCs w:val="20"/>
                <w:lang w:val="es-ES_tradnl"/>
              </w:rPr>
            </w:pPr>
            <w:r w:rsidRPr="00D43CA2">
              <w:rPr>
                <w:rFonts w:ascii="Times New Roman" w:hAnsi="Times New Roman"/>
                <w:sz w:val="20"/>
                <w:szCs w:val="20"/>
                <w:lang w:val="es-ES_tradnl"/>
              </w:rPr>
              <w:t>75</w:t>
            </w:r>
          </w:p>
        </w:tc>
        <w:tc>
          <w:tcPr>
            <w:tcW w:w="1285" w:type="dxa"/>
          </w:tcPr>
          <w:p w:rsidR="00A01E42" w:rsidRPr="00D43CA2" w:rsidRDefault="00A01E42" w:rsidP="00E41381">
            <w:pPr>
              <w:jc w:val="center"/>
              <w:rPr>
                <w:rFonts w:ascii="Times New Roman" w:hAnsi="Times New Roman"/>
                <w:sz w:val="20"/>
                <w:szCs w:val="20"/>
                <w:lang w:val="es-ES_tradnl"/>
              </w:rPr>
            </w:pPr>
            <w:r w:rsidRPr="00D43CA2">
              <w:rPr>
                <w:rFonts w:ascii="Times New Roman" w:hAnsi="Times New Roman"/>
                <w:sz w:val="20"/>
                <w:szCs w:val="20"/>
                <w:lang w:val="es-ES_tradnl"/>
              </w:rPr>
              <w:t>100</w:t>
            </w:r>
          </w:p>
        </w:tc>
        <w:tc>
          <w:tcPr>
            <w:tcW w:w="1285" w:type="dxa"/>
          </w:tcPr>
          <w:p w:rsidR="00A01E42" w:rsidRPr="00D43CA2" w:rsidRDefault="00A01E42" w:rsidP="00E41381">
            <w:pPr>
              <w:jc w:val="center"/>
              <w:rPr>
                <w:rFonts w:ascii="Times New Roman" w:hAnsi="Times New Roman"/>
                <w:sz w:val="20"/>
                <w:szCs w:val="20"/>
                <w:lang w:val="es-ES_tradnl"/>
              </w:rPr>
            </w:pPr>
            <w:r w:rsidRPr="00D43CA2">
              <w:rPr>
                <w:rFonts w:ascii="Times New Roman" w:hAnsi="Times New Roman"/>
                <w:sz w:val="20"/>
                <w:szCs w:val="20"/>
                <w:lang w:val="es-ES_tradnl"/>
              </w:rPr>
              <w:t>100</w:t>
            </w:r>
          </w:p>
        </w:tc>
        <w:tc>
          <w:tcPr>
            <w:tcW w:w="1285" w:type="dxa"/>
          </w:tcPr>
          <w:p w:rsidR="00A01E42" w:rsidRPr="00D43CA2" w:rsidRDefault="00A01E42" w:rsidP="00E41381">
            <w:pPr>
              <w:jc w:val="center"/>
              <w:rPr>
                <w:rFonts w:ascii="Times New Roman" w:hAnsi="Times New Roman"/>
                <w:sz w:val="20"/>
                <w:szCs w:val="20"/>
                <w:lang w:val="es-ES_tradnl"/>
              </w:rPr>
            </w:pPr>
            <w:r w:rsidRPr="00D43CA2">
              <w:rPr>
                <w:rFonts w:ascii="Times New Roman" w:hAnsi="Times New Roman"/>
                <w:sz w:val="20"/>
                <w:szCs w:val="20"/>
                <w:lang w:val="es-ES_tradnl"/>
              </w:rPr>
              <w:t>100</w:t>
            </w:r>
          </w:p>
        </w:tc>
      </w:tr>
    </w:tbl>
    <w:p w:rsidR="00A01E42" w:rsidRPr="004246D4" w:rsidRDefault="00A01E42" w:rsidP="00A01E42">
      <w:pPr>
        <w:ind w:left="360"/>
        <w:rPr>
          <w:rFonts w:ascii="Times New Roman" w:hAnsi="Times New Roman"/>
          <w:sz w:val="24"/>
          <w:szCs w:val="24"/>
        </w:rPr>
      </w:pPr>
    </w:p>
    <w:p w:rsidR="00A01E42" w:rsidRPr="004246D4" w:rsidRDefault="00A01E42" w:rsidP="00A01E42">
      <w:pPr>
        <w:autoSpaceDE w:val="0"/>
        <w:autoSpaceDN w:val="0"/>
        <w:adjustRightInd w:val="0"/>
        <w:spacing w:after="0"/>
        <w:ind w:left="360"/>
        <w:rPr>
          <w:rFonts w:ascii="Times New Roman" w:eastAsia="Times New Roman" w:hAnsi="Times New Roman"/>
          <w:sz w:val="24"/>
          <w:szCs w:val="24"/>
          <w:lang w:val="es-CO"/>
        </w:rPr>
      </w:pPr>
      <w:r w:rsidRPr="004246D4">
        <w:rPr>
          <w:rFonts w:ascii="Times New Roman" w:eastAsia="Times New Roman" w:hAnsi="Times New Roman"/>
          <w:sz w:val="24"/>
          <w:szCs w:val="24"/>
          <w:lang w:val="es-CO"/>
        </w:rPr>
        <w:t>El ahorro administrativo generado por año se resume en la siguiente ecuación:</w:t>
      </w:r>
    </w:p>
    <w:p w:rsidR="00A01E42" w:rsidRPr="004C600E" w:rsidRDefault="00A01E42" w:rsidP="00A01E42">
      <w:pPr>
        <w:autoSpaceDE w:val="0"/>
        <w:autoSpaceDN w:val="0"/>
        <w:adjustRightInd w:val="0"/>
        <w:spacing w:after="0"/>
        <w:ind w:left="360"/>
        <w:rPr>
          <w:rFonts w:ascii="Times New Roman" w:eastAsia="Times New Roman" w:hAnsi="Times New Roman"/>
          <w:szCs w:val="24"/>
          <w:lang w:val="es-CO"/>
        </w:rPr>
      </w:pPr>
    </w:p>
    <w:p w:rsidR="00A01E42" w:rsidRPr="00C95444" w:rsidRDefault="00A01E42" w:rsidP="00D43CA2">
      <w:pPr>
        <w:pStyle w:val="ListParagraph"/>
        <w:autoSpaceDE w:val="0"/>
        <w:autoSpaceDN w:val="0"/>
        <w:adjustRightInd w:val="0"/>
        <w:spacing w:before="120" w:after="120" w:line="240" w:lineRule="auto"/>
        <w:ind w:left="1800" w:firstLine="360"/>
        <w:rPr>
          <w:rFonts w:ascii="Times New Roman" w:eastAsia="Times New Roman" w:hAnsi="Times New Roman"/>
          <w:b/>
          <w:szCs w:val="24"/>
          <w:lang w:val="es-CO"/>
        </w:rPr>
      </w:pPr>
      <w:proofErr w:type="spellStart"/>
      <w:r w:rsidRPr="00C95444">
        <w:rPr>
          <w:rFonts w:ascii="Times New Roman" w:eastAsia="Times New Roman" w:hAnsi="Times New Roman"/>
          <w:b/>
          <w:szCs w:val="24"/>
          <w:lang w:val="es-CO"/>
        </w:rPr>
        <w:t>Ai</w:t>
      </w:r>
      <w:proofErr w:type="spellEnd"/>
      <w:r w:rsidRPr="00C95444">
        <w:rPr>
          <w:rFonts w:ascii="Times New Roman" w:eastAsia="Times New Roman" w:hAnsi="Times New Roman"/>
          <w:b/>
          <w:szCs w:val="24"/>
          <w:lang w:val="es-CO"/>
        </w:rPr>
        <w:t xml:space="preserve">= </w:t>
      </w:r>
      <w:proofErr w:type="spellStart"/>
      <w:r w:rsidRPr="00C95444">
        <w:rPr>
          <w:rFonts w:ascii="Times New Roman" w:eastAsia="Times New Roman" w:hAnsi="Times New Roman"/>
          <w:b/>
          <w:szCs w:val="24"/>
          <w:lang w:val="es-CO"/>
        </w:rPr>
        <w:t>C</w:t>
      </w:r>
      <w:r w:rsidRPr="00C95444">
        <w:rPr>
          <w:rFonts w:ascii="Times New Roman" w:eastAsia="Times New Roman" w:hAnsi="Times New Roman"/>
          <w:b/>
          <w:szCs w:val="24"/>
          <w:vertAlign w:val="subscript"/>
          <w:lang w:val="es-CO"/>
        </w:rPr>
        <w:t>CMi</w:t>
      </w:r>
      <w:proofErr w:type="spellEnd"/>
      <w:r w:rsidRPr="00C95444">
        <w:rPr>
          <w:rFonts w:ascii="Times New Roman" w:eastAsia="Times New Roman" w:hAnsi="Times New Roman"/>
          <w:b/>
          <w:szCs w:val="24"/>
          <w:lang w:val="es-CO"/>
        </w:rPr>
        <w:t xml:space="preserve"> x </w:t>
      </w:r>
      <w:proofErr w:type="spellStart"/>
      <w:r w:rsidRPr="00C95444">
        <w:rPr>
          <w:rFonts w:ascii="Times New Roman" w:eastAsia="Times New Roman" w:hAnsi="Times New Roman"/>
          <w:b/>
          <w:szCs w:val="24"/>
          <w:lang w:val="es-CO"/>
        </w:rPr>
        <w:t>U</w:t>
      </w:r>
      <w:r w:rsidRPr="00C95444">
        <w:rPr>
          <w:rFonts w:ascii="Times New Roman" w:eastAsia="Times New Roman" w:hAnsi="Times New Roman"/>
          <w:b/>
          <w:szCs w:val="24"/>
          <w:vertAlign w:val="subscript"/>
          <w:lang w:val="es-CO"/>
        </w:rPr>
        <w:t>CMi</w:t>
      </w:r>
      <w:proofErr w:type="spellEnd"/>
    </w:p>
    <w:p w:rsidR="00A01E42" w:rsidRPr="00C95444" w:rsidRDefault="00A01E42" w:rsidP="00D43CA2">
      <w:pPr>
        <w:spacing w:before="120" w:after="120" w:line="240" w:lineRule="auto"/>
        <w:ind w:left="1080"/>
        <w:contextualSpacing/>
        <w:rPr>
          <w:rFonts w:ascii="Times New Roman" w:hAnsi="Times New Roman"/>
        </w:rPr>
      </w:pPr>
      <w:r w:rsidRPr="00C95444">
        <w:rPr>
          <w:rFonts w:ascii="Times New Roman" w:hAnsi="Times New Roman"/>
        </w:rPr>
        <w:t>Dónde:</w:t>
      </w:r>
    </w:p>
    <w:p w:rsidR="00A01E42" w:rsidRPr="00C95444" w:rsidRDefault="00A01E42" w:rsidP="00D43CA2">
      <w:pPr>
        <w:spacing w:before="120" w:after="120" w:line="240" w:lineRule="auto"/>
        <w:ind w:left="1080"/>
        <w:contextualSpacing/>
        <w:rPr>
          <w:rFonts w:ascii="Times New Roman" w:hAnsi="Times New Roman"/>
        </w:rPr>
      </w:pPr>
      <w:proofErr w:type="spellStart"/>
      <w:r w:rsidRPr="00C95444">
        <w:rPr>
          <w:rFonts w:ascii="Times New Roman" w:hAnsi="Times New Roman"/>
        </w:rPr>
        <w:t>Ai</w:t>
      </w:r>
      <w:proofErr w:type="spellEnd"/>
      <w:r w:rsidRPr="00C95444">
        <w:rPr>
          <w:rFonts w:ascii="Times New Roman" w:hAnsi="Times New Roman"/>
        </w:rPr>
        <w:t xml:space="preserve"> </w:t>
      </w:r>
      <w:r w:rsidRPr="00C95444">
        <w:rPr>
          <w:rFonts w:ascii="Times New Roman" w:hAnsi="Times New Roman"/>
        </w:rPr>
        <w:tab/>
        <w:t>= Ahorro en el año i</w:t>
      </w:r>
    </w:p>
    <w:p w:rsidR="00A01E42" w:rsidRPr="00C95444" w:rsidRDefault="00A01E42" w:rsidP="00D43CA2">
      <w:pPr>
        <w:spacing w:before="120" w:after="120" w:line="240" w:lineRule="auto"/>
        <w:ind w:left="1080"/>
        <w:contextualSpacing/>
        <w:rPr>
          <w:rFonts w:ascii="Times New Roman" w:hAnsi="Times New Roman"/>
        </w:rPr>
      </w:pPr>
      <w:proofErr w:type="spellStart"/>
      <w:r w:rsidRPr="00C95444">
        <w:rPr>
          <w:rFonts w:ascii="Times New Roman" w:hAnsi="Times New Roman"/>
        </w:rPr>
        <w:t>C</w:t>
      </w:r>
      <w:r w:rsidRPr="00C95444">
        <w:rPr>
          <w:rFonts w:ascii="Times New Roman" w:hAnsi="Times New Roman"/>
          <w:vertAlign w:val="subscript"/>
        </w:rPr>
        <w:t>CMi</w:t>
      </w:r>
      <w:proofErr w:type="spellEnd"/>
      <w:r w:rsidRPr="00C95444">
        <w:rPr>
          <w:rFonts w:ascii="Times New Roman" w:hAnsi="Times New Roman"/>
          <w:vertAlign w:val="subscript"/>
        </w:rPr>
        <w:t xml:space="preserve">        </w:t>
      </w:r>
      <w:r w:rsidRPr="00C95444">
        <w:rPr>
          <w:rFonts w:ascii="Times New Roman" w:hAnsi="Times New Roman"/>
        </w:rPr>
        <w:t>= Costo Convenio Marco en el año i</w:t>
      </w:r>
    </w:p>
    <w:p w:rsidR="00A01E42" w:rsidRPr="00C95444" w:rsidRDefault="00A01E42" w:rsidP="00D43CA2">
      <w:pPr>
        <w:spacing w:before="120" w:after="120" w:line="240" w:lineRule="auto"/>
        <w:ind w:left="1080"/>
        <w:contextualSpacing/>
        <w:rPr>
          <w:rFonts w:ascii="Times New Roman" w:hAnsi="Times New Roman"/>
        </w:rPr>
      </w:pPr>
      <w:r w:rsidRPr="00C95444">
        <w:rPr>
          <w:rFonts w:ascii="Times New Roman" w:hAnsi="Times New Roman"/>
        </w:rPr>
        <w:t xml:space="preserve">             = C</w:t>
      </w:r>
      <w:r w:rsidRPr="00C95444">
        <w:rPr>
          <w:rFonts w:ascii="Times New Roman" w:hAnsi="Times New Roman"/>
          <w:vertAlign w:val="subscript"/>
        </w:rPr>
        <w:t xml:space="preserve">CM0 </w:t>
      </w:r>
      <w:r w:rsidRPr="00C95444">
        <w:rPr>
          <w:rFonts w:ascii="Times New Roman" w:hAnsi="Times New Roman"/>
        </w:rPr>
        <w:t>x [(1+IPC)^(i-1)]</w:t>
      </w:r>
    </w:p>
    <w:p w:rsidR="00A01E42" w:rsidRPr="00C95444" w:rsidRDefault="00A01E42" w:rsidP="00D43CA2">
      <w:pPr>
        <w:spacing w:before="120" w:after="120" w:line="240" w:lineRule="auto"/>
        <w:ind w:left="1080"/>
        <w:contextualSpacing/>
        <w:rPr>
          <w:rFonts w:ascii="Times New Roman" w:hAnsi="Times New Roman"/>
        </w:rPr>
      </w:pPr>
      <w:proofErr w:type="spellStart"/>
      <w:r>
        <w:rPr>
          <w:rFonts w:ascii="Times New Roman" w:eastAsia="Times New Roman" w:hAnsi="Times New Roman"/>
          <w:szCs w:val="24"/>
          <w:lang w:val="es-CO"/>
        </w:rPr>
        <w:t>U</w:t>
      </w:r>
      <w:r w:rsidRPr="0036521B">
        <w:rPr>
          <w:rFonts w:ascii="Times New Roman" w:eastAsia="Times New Roman" w:hAnsi="Times New Roman"/>
          <w:szCs w:val="24"/>
          <w:vertAlign w:val="subscript"/>
          <w:lang w:val="es-CO"/>
        </w:rPr>
        <w:t>Cmi</w:t>
      </w:r>
      <w:proofErr w:type="spellEnd"/>
      <w:r>
        <w:rPr>
          <w:rFonts w:ascii="Times New Roman" w:eastAsia="Times New Roman" w:hAnsi="Times New Roman"/>
          <w:szCs w:val="24"/>
          <w:vertAlign w:val="subscript"/>
          <w:lang w:val="es-CO"/>
        </w:rPr>
        <w:t xml:space="preserve">         </w:t>
      </w:r>
      <w:r w:rsidRPr="00C95444">
        <w:rPr>
          <w:rFonts w:ascii="Times New Roman" w:hAnsi="Times New Roman"/>
        </w:rPr>
        <w:t>= Uso de Servicio en el año i</w:t>
      </w:r>
    </w:p>
    <w:p w:rsidR="00A01E42" w:rsidRPr="00C95444" w:rsidRDefault="00A01E42" w:rsidP="00D43CA2">
      <w:pPr>
        <w:spacing w:before="120" w:after="120" w:line="240" w:lineRule="auto"/>
        <w:ind w:left="1080"/>
        <w:contextualSpacing/>
        <w:rPr>
          <w:rFonts w:ascii="Times New Roman" w:hAnsi="Times New Roman"/>
          <w:vertAlign w:val="subscript"/>
        </w:rPr>
      </w:pPr>
      <w:r w:rsidRPr="00C95444">
        <w:rPr>
          <w:rFonts w:ascii="Times New Roman" w:hAnsi="Times New Roman"/>
        </w:rPr>
        <w:t xml:space="preserve">             = Meta de entidades x Tasa de implementación esperada</w:t>
      </w:r>
    </w:p>
    <w:p w:rsidR="00A01E42" w:rsidRPr="00E47037" w:rsidRDefault="00A01E42" w:rsidP="00D43CA2">
      <w:pPr>
        <w:spacing w:before="120" w:after="120" w:line="240" w:lineRule="auto"/>
        <w:ind w:left="1080"/>
        <w:contextualSpacing/>
        <w:rPr>
          <w:rFonts w:ascii="Times New Roman" w:hAnsi="Times New Roman"/>
          <w:vertAlign w:val="subscript"/>
          <w:lang w:val="pt-BR"/>
        </w:rPr>
      </w:pPr>
      <w:r w:rsidRPr="00C95444">
        <w:rPr>
          <w:rFonts w:ascii="Times New Roman" w:hAnsi="Times New Roman"/>
        </w:rPr>
        <w:t xml:space="preserve">             </w:t>
      </w:r>
      <w:r w:rsidRPr="00E47037">
        <w:rPr>
          <w:rFonts w:ascii="Times New Roman" w:hAnsi="Times New Roman"/>
          <w:lang w:val="pt-BR"/>
        </w:rPr>
        <w:t xml:space="preserve">= M x </w:t>
      </w:r>
      <w:proofErr w:type="spellStart"/>
      <w:r w:rsidRPr="00E47037">
        <w:rPr>
          <w:rFonts w:ascii="Times New Roman" w:hAnsi="Times New Roman"/>
          <w:lang w:val="pt-BR"/>
        </w:rPr>
        <w:t>IMP</w:t>
      </w:r>
      <w:r w:rsidRPr="00E47037">
        <w:rPr>
          <w:rFonts w:ascii="Times New Roman" w:hAnsi="Times New Roman"/>
          <w:vertAlign w:val="subscript"/>
          <w:lang w:val="pt-BR"/>
        </w:rPr>
        <w:t>Exi</w:t>
      </w:r>
      <w:proofErr w:type="spellEnd"/>
    </w:p>
    <w:p w:rsidR="00A01E42" w:rsidRPr="00E47037" w:rsidRDefault="00A01E42" w:rsidP="00D43CA2">
      <w:pPr>
        <w:spacing w:before="120" w:after="120" w:line="240" w:lineRule="auto"/>
        <w:ind w:left="1080"/>
        <w:contextualSpacing/>
        <w:rPr>
          <w:rFonts w:ascii="Times New Roman" w:hAnsi="Times New Roman"/>
          <w:lang w:val="pt-BR"/>
        </w:rPr>
      </w:pPr>
      <w:r w:rsidRPr="00E47037">
        <w:rPr>
          <w:rFonts w:ascii="Times New Roman" w:hAnsi="Times New Roman"/>
          <w:lang w:val="pt-BR"/>
        </w:rPr>
        <w:t>C</w:t>
      </w:r>
      <w:r w:rsidRPr="00E47037">
        <w:rPr>
          <w:rFonts w:ascii="Times New Roman" w:hAnsi="Times New Roman"/>
          <w:vertAlign w:val="subscript"/>
          <w:lang w:val="pt-BR"/>
        </w:rPr>
        <w:t xml:space="preserve">CM0        </w:t>
      </w:r>
      <w:r w:rsidRPr="00E47037">
        <w:rPr>
          <w:rFonts w:ascii="Times New Roman" w:hAnsi="Times New Roman"/>
          <w:lang w:val="pt-BR"/>
        </w:rPr>
        <w:t>= $</w:t>
      </w:r>
      <w:r>
        <w:rPr>
          <w:rFonts w:ascii="Times New Roman" w:hAnsi="Times New Roman"/>
          <w:lang w:val="pt-BR"/>
        </w:rPr>
        <w:t>40</w:t>
      </w:r>
      <w:r w:rsidRPr="00E47037">
        <w:rPr>
          <w:rFonts w:ascii="Times New Roman" w:hAnsi="Times New Roman"/>
          <w:lang w:val="pt-BR"/>
        </w:rPr>
        <w:t>.</w:t>
      </w:r>
      <w:r>
        <w:rPr>
          <w:rFonts w:ascii="Times New Roman" w:hAnsi="Times New Roman"/>
          <w:lang w:val="pt-BR"/>
        </w:rPr>
        <w:t>22</w:t>
      </w:r>
      <w:r w:rsidRPr="00E47037">
        <w:rPr>
          <w:rFonts w:ascii="Times New Roman" w:hAnsi="Times New Roman"/>
          <w:lang w:val="pt-BR"/>
        </w:rPr>
        <w:t>5.000 (COP)</w:t>
      </w:r>
    </w:p>
    <w:p w:rsidR="00A01E42" w:rsidRPr="00C95444" w:rsidRDefault="00A01E42" w:rsidP="00D43CA2">
      <w:pPr>
        <w:spacing w:before="120" w:after="120" w:line="240" w:lineRule="auto"/>
        <w:ind w:left="1260"/>
        <w:contextualSpacing/>
        <w:rPr>
          <w:rFonts w:ascii="Times New Roman" w:hAnsi="Times New Roman"/>
        </w:rPr>
      </w:pPr>
      <w:r w:rsidRPr="00C95444">
        <w:rPr>
          <w:rFonts w:ascii="Times New Roman" w:hAnsi="Times New Roman"/>
        </w:rPr>
        <w:t xml:space="preserve">M     </w:t>
      </w:r>
      <w:r w:rsidRPr="00C95444">
        <w:rPr>
          <w:rFonts w:ascii="Times New Roman" w:hAnsi="Times New Roman"/>
          <w:vertAlign w:val="subscript"/>
        </w:rPr>
        <w:t xml:space="preserve">       </w:t>
      </w:r>
      <w:r w:rsidRPr="00C95444">
        <w:rPr>
          <w:rFonts w:ascii="Times New Roman" w:hAnsi="Times New Roman"/>
        </w:rPr>
        <w:t xml:space="preserve">= </w:t>
      </w:r>
      <w:r>
        <w:rPr>
          <w:rFonts w:ascii="Times New Roman" w:hAnsi="Times New Roman"/>
        </w:rPr>
        <w:t>380 unidades estatales</w:t>
      </w:r>
      <w:r>
        <w:rPr>
          <w:rFonts w:ascii="Times New Roman" w:hAnsi="Times New Roman"/>
        </w:rPr>
        <w:tab/>
      </w:r>
    </w:p>
    <w:p w:rsidR="00A01E42" w:rsidRPr="00C95444" w:rsidRDefault="00A01E42" w:rsidP="00D43CA2">
      <w:pPr>
        <w:spacing w:before="120" w:after="120" w:line="240" w:lineRule="auto"/>
        <w:ind w:left="1080"/>
        <w:rPr>
          <w:rFonts w:ascii="Times New Roman" w:hAnsi="Times New Roman"/>
        </w:rPr>
      </w:pPr>
      <w:proofErr w:type="spellStart"/>
      <w:r w:rsidRPr="00C95444">
        <w:rPr>
          <w:rFonts w:ascii="Times New Roman" w:hAnsi="Times New Roman"/>
        </w:rPr>
        <w:t>IMP</w:t>
      </w:r>
      <w:r w:rsidRPr="00C95444">
        <w:rPr>
          <w:rFonts w:ascii="Times New Roman" w:hAnsi="Times New Roman"/>
          <w:vertAlign w:val="subscript"/>
        </w:rPr>
        <w:t>Exi</w:t>
      </w:r>
      <w:proofErr w:type="spellEnd"/>
      <w:r w:rsidRPr="00C95444">
        <w:rPr>
          <w:rFonts w:ascii="Times New Roman" w:hAnsi="Times New Roman"/>
          <w:vertAlign w:val="subscript"/>
        </w:rPr>
        <w:t xml:space="preserve">    </w:t>
      </w:r>
      <w:r w:rsidRPr="00C95444">
        <w:rPr>
          <w:rFonts w:ascii="Times New Roman" w:hAnsi="Times New Roman"/>
        </w:rPr>
        <w:t>= Entidades involucradas de acuerdo a Escenario x año i</w:t>
      </w:r>
    </w:p>
    <w:p w:rsidR="00A01E42" w:rsidRPr="004246D4" w:rsidRDefault="00A01E42" w:rsidP="00D43CA2">
      <w:pPr>
        <w:spacing w:before="120" w:after="120"/>
        <w:ind w:left="1080"/>
        <w:rPr>
          <w:rFonts w:ascii="Times New Roman" w:hAnsi="Times New Roman"/>
          <w:sz w:val="24"/>
          <w:szCs w:val="24"/>
        </w:rPr>
      </w:pPr>
      <w:r w:rsidRPr="004246D4">
        <w:rPr>
          <w:rFonts w:ascii="Times New Roman" w:hAnsi="Times New Roman"/>
          <w:sz w:val="24"/>
          <w:szCs w:val="24"/>
        </w:rPr>
        <w:t>La tabla a la continuación presenta los cálculos de los ahorros administrativos para 10 años:</w:t>
      </w:r>
    </w:p>
    <w:p w:rsidR="00A01E42" w:rsidRPr="00C95444" w:rsidRDefault="00A01E42" w:rsidP="00842A3F">
      <w:pPr>
        <w:ind w:left="-450"/>
        <w:rPr>
          <w:rFonts w:ascii="Times New Roman" w:hAnsi="Times New Roman"/>
        </w:rPr>
      </w:pPr>
      <w:r w:rsidRPr="00317BBD">
        <w:rPr>
          <w:noProof/>
          <w:lang w:val="en-US"/>
        </w:rPr>
        <w:drawing>
          <wp:inline distT="0" distB="0" distL="0" distR="0" wp14:anchorId="6F696059" wp14:editId="38A233C3">
            <wp:extent cx="5943600" cy="1098645"/>
            <wp:effectExtent l="0" t="0" r="0" b="635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1098645"/>
                    </a:xfrm>
                    <a:prstGeom prst="rect">
                      <a:avLst/>
                    </a:prstGeom>
                    <a:noFill/>
                    <a:ln>
                      <a:noFill/>
                    </a:ln>
                  </pic:spPr>
                </pic:pic>
              </a:graphicData>
            </a:graphic>
          </wp:inline>
        </w:drawing>
      </w:r>
    </w:p>
    <w:p w:rsidR="00A01E42" w:rsidRPr="004246D4" w:rsidRDefault="00A01E42" w:rsidP="00842A3F">
      <w:pPr>
        <w:spacing w:before="240" w:after="120"/>
        <w:rPr>
          <w:rFonts w:ascii="Times New Roman" w:hAnsi="Times New Roman"/>
          <w:b/>
          <w:sz w:val="24"/>
          <w:szCs w:val="24"/>
        </w:rPr>
      </w:pPr>
      <w:r w:rsidRPr="004246D4">
        <w:rPr>
          <w:rFonts w:ascii="Times New Roman" w:hAnsi="Times New Roman"/>
          <w:b/>
          <w:sz w:val="24"/>
          <w:szCs w:val="24"/>
          <w:lang w:val="es-CO"/>
        </w:rPr>
        <w:t>Ahorros monetarios generados por la adquisición de Bienes y Servicios</w:t>
      </w:r>
    </w:p>
    <w:p w:rsidR="00A01E42" w:rsidRPr="004246D4" w:rsidRDefault="00A01E42" w:rsidP="00842A3F">
      <w:pPr>
        <w:autoSpaceDE w:val="0"/>
        <w:autoSpaceDN w:val="0"/>
        <w:adjustRightInd w:val="0"/>
        <w:spacing w:before="120" w:after="120"/>
        <w:ind w:left="360"/>
        <w:rPr>
          <w:rFonts w:ascii="Times New Roman" w:eastAsia="Times New Roman" w:hAnsi="Times New Roman"/>
          <w:sz w:val="24"/>
          <w:szCs w:val="24"/>
          <w:lang w:val="es-CO"/>
        </w:rPr>
      </w:pPr>
      <w:r w:rsidRPr="004246D4">
        <w:rPr>
          <w:rFonts w:ascii="Times New Roman" w:eastAsia="Times New Roman" w:hAnsi="Times New Roman"/>
          <w:sz w:val="24"/>
          <w:szCs w:val="24"/>
          <w:lang w:val="es-CO"/>
        </w:rPr>
        <w:t>El ahorro monetario generado por año se resume en la siguiente ecuación:</w:t>
      </w:r>
    </w:p>
    <w:p w:rsidR="00A01E42" w:rsidRPr="00C95444" w:rsidRDefault="00A01E42" w:rsidP="00D43CA2">
      <w:pPr>
        <w:pStyle w:val="ListParagraph"/>
        <w:autoSpaceDE w:val="0"/>
        <w:autoSpaceDN w:val="0"/>
        <w:adjustRightInd w:val="0"/>
        <w:spacing w:before="120" w:after="120"/>
        <w:ind w:left="1800" w:firstLine="360"/>
        <w:rPr>
          <w:rFonts w:ascii="Times New Roman" w:eastAsia="Times New Roman" w:hAnsi="Times New Roman"/>
          <w:b/>
          <w:szCs w:val="24"/>
          <w:lang w:val="es-CO"/>
        </w:rPr>
      </w:pPr>
      <w:proofErr w:type="spellStart"/>
      <w:r w:rsidRPr="00C95444">
        <w:rPr>
          <w:rFonts w:ascii="Times New Roman" w:eastAsia="Times New Roman" w:hAnsi="Times New Roman"/>
          <w:b/>
          <w:szCs w:val="24"/>
          <w:lang w:val="es-CO"/>
        </w:rPr>
        <w:t>Ai</w:t>
      </w:r>
      <w:proofErr w:type="spellEnd"/>
      <w:r w:rsidRPr="00C95444">
        <w:rPr>
          <w:rFonts w:ascii="Times New Roman" w:eastAsia="Times New Roman" w:hAnsi="Times New Roman"/>
          <w:b/>
          <w:szCs w:val="24"/>
          <w:lang w:val="es-CO"/>
        </w:rPr>
        <w:t xml:space="preserve">= </w:t>
      </w:r>
      <w:proofErr w:type="spellStart"/>
      <w:r w:rsidRPr="00C95444">
        <w:rPr>
          <w:rFonts w:ascii="Times New Roman" w:eastAsia="Times New Roman" w:hAnsi="Times New Roman"/>
          <w:b/>
          <w:szCs w:val="24"/>
          <w:lang w:val="es-CO"/>
        </w:rPr>
        <w:t>C</w:t>
      </w:r>
      <w:r w:rsidRPr="00C95444">
        <w:rPr>
          <w:rFonts w:ascii="Times New Roman" w:eastAsia="Times New Roman" w:hAnsi="Times New Roman"/>
          <w:b/>
          <w:szCs w:val="24"/>
          <w:vertAlign w:val="subscript"/>
          <w:lang w:val="es-CO"/>
        </w:rPr>
        <w:t>CMi</w:t>
      </w:r>
      <w:proofErr w:type="spellEnd"/>
      <w:r w:rsidRPr="00C95444">
        <w:rPr>
          <w:rFonts w:ascii="Times New Roman" w:eastAsia="Times New Roman" w:hAnsi="Times New Roman"/>
          <w:b/>
          <w:szCs w:val="24"/>
          <w:lang w:val="es-CO"/>
        </w:rPr>
        <w:t xml:space="preserve"> </w:t>
      </w:r>
      <w:r w:rsidRPr="00183059">
        <w:rPr>
          <w:rFonts w:ascii="Times New Roman" w:eastAsia="Times New Roman" w:hAnsi="Times New Roman"/>
          <w:sz w:val="18"/>
          <w:szCs w:val="18"/>
          <w:lang w:val="es-CO"/>
        </w:rPr>
        <w:t>%</w:t>
      </w:r>
      <w:r w:rsidRPr="00C95444">
        <w:rPr>
          <w:rFonts w:ascii="Times New Roman" w:eastAsia="Times New Roman" w:hAnsi="Times New Roman"/>
          <w:b/>
          <w:szCs w:val="24"/>
          <w:lang w:val="es-CO"/>
        </w:rPr>
        <w:t xml:space="preserve"> </w:t>
      </w:r>
      <w:proofErr w:type="spellStart"/>
      <w:r w:rsidRPr="00183059">
        <w:rPr>
          <w:rFonts w:ascii="Times New Roman" w:eastAsia="Times New Roman" w:hAnsi="Times New Roman"/>
          <w:szCs w:val="24"/>
          <w:lang w:val="es-CO"/>
        </w:rPr>
        <w:t>P</w:t>
      </w:r>
      <w:r w:rsidRPr="00183059">
        <w:rPr>
          <w:rFonts w:ascii="Times New Roman" w:eastAsia="Times New Roman" w:hAnsi="Times New Roman"/>
          <w:sz w:val="16"/>
          <w:szCs w:val="16"/>
          <w:lang w:val="es-CO"/>
        </w:rPr>
        <w:t>a</w:t>
      </w:r>
      <w:proofErr w:type="spellEnd"/>
    </w:p>
    <w:p w:rsidR="00A01E42" w:rsidRPr="00C95444" w:rsidRDefault="00A01E42" w:rsidP="00842A3F">
      <w:pPr>
        <w:spacing w:before="120" w:after="120" w:line="240" w:lineRule="auto"/>
        <w:ind w:left="1080"/>
        <w:contextualSpacing/>
        <w:rPr>
          <w:rFonts w:ascii="Times New Roman" w:hAnsi="Times New Roman"/>
        </w:rPr>
      </w:pPr>
      <w:r w:rsidRPr="00C95444">
        <w:rPr>
          <w:rFonts w:ascii="Times New Roman" w:hAnsi="Times New Roman"/>
        </w:rPr>
        <w:t>Dónde:</w:t>
      </w:r>
    </w:p>
    <w:p w:rsidR="00A01E42" w:rsidRDefault="00A01E42" w:rsidP="00842A3F">
      <w:pPr>
        <w:spacing w:before="120" w:after="120" w:line="240" w:lineRule="auto"/>
        <w:ind w:left="1080"/>
        <w:contextualSpacing/>
        <w:rPr>
          <w:rFonts w:ascii="Times New Roman" w:hAnsi="Times New Roman"/>
        </w:rPr>
      </w:pPr>
      <w:proofErr w:type="spellStart"/>
      <w:r w:rsidRPr="00C95444">
        <w:rPr>
          <w:rFonts w:ascii="Times New Roman" w:hAnsi="Times New Roman"/>
        </w:rPr>
        <w:t>Ai</w:t>
      </w:r>
      <w:proofErr w:type="spellEnd"/>
      <w:r w:rsidRPr="00C95444">
        <w:rPr>
          <w:rFonts w:ascii="Times New Roman" w:hAnsi="Times New Roman"/>
        </w:rPr>
        <w:t xml:space="preserve"> </w:t>
      </w:r>
      <w:r w:rsidRPr="00C95444">
        <w:rPr>
          <w:rFonts w:ascii="Times New Roman" w:hAnsi="Times New Roman"/>
        </w:rPr>
        <w:tab/>
        <w:t>= Ahorro en el año i</w:t>
      </w:r>
    </w:p>
    <w:p w:rsidR="00A01E42" w:rsidRPr="00C95444" w:rsidRDefault="00A01E42" w:rsidP="00842A3F">
      <w:pPr>
        <w:spacing w:before="120" w:after="120" w:line="240" w:lineRule="auto"/>
        <w:ind w:left="1080"/>
        <w:contextualSpacing/>
        <w:rPr>
          <w:rFonts w:ascii="Times New Roman" w:hAnsi="Times New Roman"/>
        </w:rPr>
      </w:pPr>
      <w:proofErr w:type="spellStart"/>
      <w:r w:rsidRPr="00C95444">
        <w:rPr>
          <w:rFonts w:ascii="Times New Roman" w:hAnsi="Times New Roman"/>
        </w:rPr>
        <w:t>C</w:t>
      </w:r>
      <w:r w:rsidRPr="00C95444">
        <w:rPr>
          <w:rFonts w:ascii="Times New Roman" w:hAnsi="Times New Roman"/>
          <w:vertAlign w:val="subscript"/>
        </w:rPr>
        <w:t>CMi</w:t>
      </w:r>
      <w:proofErr w:type="spellEnd"/>
      <w:r w:rsidRPr="00C95444">
        <w:rPr>
          <w:rFonts w:ascii="Times New Roman" w:hAnsi="Times New Roman"/>
          <w:vertAlign w:val="subscript"/>
        </w:rPr>
        <w:t xml:space="preserve">        </w:t>
      </w:r>
      <w:r w:rsidRPr="00C95444">
        <w:rPr>
          <w:rFonts w:ascii="Times New Roman" w:hAnsi="Times New Roman"/>
        </w:rPr>
        <w:t>= Costo Convenio Marco en el año i</w:t>
      </w:r>
    </w:p>
    <w:p w:rsidR="00A01E42" w:rsidRPr="00842A3F" w:rsidRDefault="00A01E42" w:rsidP="00D43CA2">
      <w:pPr>
        <w:spacing w:before="120" w:after="120" w:line="240" w:lineRule="auto"/>
        <w:ind w:left="1080"/>
        <w:rPr>
          <w:rFonts w:ascii="Times New Roman" w:eastAsia="Times New Roman" w:hAnsi="Times New Roman"/>
          <w:lang w:val="es-CO"/>
        </w:rPr>
      </w:pPr>
      <w:proofErr w:type="spellStart"/>
      <w:r w:rsidRPr="00183059">
        <w:rPr>
          <w:rFonts w:ascii="Times New Roman" w:eastAsia="Times New Roman" w:hAnsi="Times New Roman"/>
          <w:szCs w:val="24"/>
          <w:lang w:val="es-CO"/>
        </w:rPr>
        <w:t>P</w:t>
      </w:r>
      <w:r w:rsidRPr="00183059">
        <w:rPr>
          <w:rFonts w:ascii="Times New Roman" w:eastAsia="Times New Roman" w:hAnsi="Times New Roman"/>
          <w:sz w:val="16"/>
          <w:szCs w:val="16"/>
          <w:lang w:val="es-CO"/>
        </w:rPr>
        <w:t>a</w:t>
      </w:r>
      <w:proofErr w:type="spellEnd"/>
      <w:r>
        <w:rPr>
          <w:rFonts w:ascii="Times New Roman" w:eastAsia="Times New Roman" w:hAnsi="Times New Roman"/>
          <w:sz w:val="16"/>
          <w:szCs w:val="16"/>
          <w:lang w:val="es-CO"/>
        </w:rPr>
        <w:t xml:space="preserve">   =  </w:t>
      </w:r>
      <w:r w:rsidRPr="004246D4">
        <w:rPr>
          <w:rFonts w:ascii="Times New Roman" w:eastAsia="Times New Roman" w:hAnsi="Times New Roman"/>
          <w:lang w:val="es-CO"/>
        </w:rPr>
        <w:t xml:space="preserve">El </w:t>
      </w:r>
      <w:r>
        <w:rPr>
          <w:rFonts w:ascii="Times New Roman" w:eastAsia="Times New Roman" w:hAnsi="Times New Roman"/>
          <w:lang w:val="es-CO"/>
        </w:rPr>
        <w:t xml:space="preserve">porcentaje estimado de ahorro </w:t>
      </w:r>
    </w:p>
    <w:p w:rsidR="00A01E42" w:rsidRDefault="00A01E42" w:rsidP="00D43CA2">
      <w:pPr>
        <w:autoSpaceDE w:val="0"/>
        <w:autoSpaceDN w:val="0"/>
        <w:adjustRightInd w:val="0"/>
        <w:spacing w:before="120" w:after="120" w:line="240" w:lineRule="auto"/>
        <w:ind w:left="360"/>
        <w:jc w:val="both"/>
        <w:rPr>
          <w:rFonts w:ascii="Times New Roman" w:eastAsia="Times New Roman" w:hAnsi="Times New Roman"/>
          <w:sz w:val="24"/>
          <w:szCs w:val="24"/>
          <w:lang w:val="es-CO"/>
        </w:rPr>
      </w:pPr>
      <w:r w:rsidRPr="00317BBD">
        <w:rPr>
          <w:rFonts w:ascii="Times New Roman" w:hAnsi="Times New Roman"/>
          <w:sz w:val="24"/>
          <w:szCs w:val="24"/>
        </w:rPr>
        <w:t>Para la SOAT fue utilizado un porcentaje de 14.5 que es el valor real por la cual fueron renegociados</w:t>
      </w:r>
      <w:r>
        <w:rPr>
          <w:rFonts w:ascii="Times New Roman" w:hAnsi="Times New Roman"/>
          <w:sz w:val="24"/>
          <w:szCs w:val="24"/>
        </w:rPr>
        <w:t xml:space="preserve"> los servicios para 2015</w:t>
      </w:r>
      <w:r w:rsidRPr="00317BBD">
        <w:rPr>
          <w:rFonts w:ascii="Times New Roman" w:hAnsi="Times New Roman"/>
          <w:sz w:val="24"/>
          <w:szCs w:val="24"/>
        </w:rPr>
        <w:t xml:space="preserve">. Para combustible, vehicules y Aseo y cafetería fueron utilizados los porcentajes que </w:t>
      </w:r>
      <w:r w:rsidRPr="00317BBD">
        <w:rPr>
          <w:rFonts w:ascii="Times New Roman" w:eastAsia="Times New Roman" w:hAnsi="Times New Roman"/>
          <w:sz w:val="24"/>
          <w:szCs w:val="24"/>
          <w:lang w:val="es-CO"/>
        </w:rPr>
        <w:t>se han generado en Chile</w:t>
      </w:r>
      <w:r>
        <w:rPr>
          <w:rFonts w:ascii="Times New Roman" w:eastAsia="Times New Roman" w:hAnsi="Times New Roman"/>
          <w:sz w:val="24"/>
          <w:szCs w:val="24"/>
          <w:lang w:val="es-CO"/>
        </w:rPr>
        <w:t xml:space="preserve"> (2.65)</w:t>
      </w:r>
      <w:r w:rsidRPr="00317BBD">
        <w:rPr>
          <w:rFonts w:ascii="Times New Roman" w:eastAsia="Times New Roman" w:hAnsi="Times New Roman"/>
          <w:sz w:val="24"/>
          <w:szCs w:val="24"/>
          <w:lang w:val="es-CO"/>
        </w:rPr>
        <w:t xml:space="preserve"> como resultado de la implementación de </w:t>
      </w:r>
      <w:r>
        <w:rPr>
          <w:rFonts w:ascii="Times New Roman" w:eastAsia="Times New Roman" w:hAnsi="Times New Roman"/>
          <w:sz w:val="24"/>
          <w:szCs w:val="24"/>
          <w:lang w:val="es-CO"/>
        </w:rPr>
        <w:t>su</w:t>
      </w:r>
      <w:r w:rsidRPr="00317BBD">
        <w:rPr>
          <w:rFonts w:ascii="Times New Roman" w:eastAsia="Times New Roman" w:hAnsi="Times New Roman"/>
          <w:sz w:val="24"/>
          <w:szCs w:val="24"/>
          <w:lang w:val="es-CO"/>
        </w:rPr>
        <w:t xml:space="preserve"> sistema de compra electrónica</w:t>
      </w:r>
      <w:r w:rsidRPr="00FB348F">
        <w:rPr>
          <w:rFonts w:ascii="Times New Roman" w:eastAsia="Times New Roman" w:hAnsi="Times New Roman"/>
          <w:sz w:val="24"/>
          <w:szCs w:val="24"/>
          <w:lang w:val="es-CO"/>
        </w:rPr>
        <w:t xml:space="preserve"> centralizado</w:t>
      </w:r>
      <w:r>
        <w:rPr>
          <w:rFonts w:ascii="Times New Roman" w:eastAsia="Times New Roman" w:hAnsi="Times New Roman"/>
          <w:sz w:val="24"/>
          <w:szCs w:val="24"/>
          <w:lang w:val="es-CO"/>
        </w:rPr>
        <w:t>.</w:t>
      </w:r>
    </w:p>
    <w:p w:rsidR="00A01E42" w:rsidRDefault="00A01E42" w:rsidP="00842A3F">
      <w:pPr>
        <w:autoSpaceDE w:val="0"/>
        <w:autoSpaceDN w:val="0"/>
        <w:adjustRightInd w:val="0"/>
        <w:spacing w:before="240" w:after="120"/>
        <w:ind w:left="360"/>
        <w:jc w:val="both"/>
        <w:rPr>
          <w:rFonts w:ascii="Times New Roman" w:eastAsia="Times New Roman" w:hAnsi="Times New Roman"/>
          <w:sz w:val="24"/>
          <w:szCs w:val="24"/>
          <w:lang w:val="es-CO"/>
        </w:rPr>
      </w:pPr>
    </w:p>
    <w:p w:rsidR="00A01E42" w:rsidRPr="00E55E90" w:rsidRDefault="00A01E42" w:rsidP="00D43CA2">
      <w:pPr>
        <w:autoSpaceDE w:val="0"/>
        <w:autoSpaceDN w:val="0"/>
        <w:adjustRightInd w:val="0"/>
        <w:spacing w:after="0" w:line="259" w:lineRule="auto"/>
        <w:ind w:left="180"/>
        <w:jc w:val="both"/>
        <w:rPr>
          <w:rFonts w:ascii="Times New Roman" w:hAnsi="Times New Roman"/>
        </w:rPr>
      </w:pPr>
      <w:r w:rsidRPr="00317BBD">
        <w:t xml:space="preserve"> </w:t>
      </w:r>
      <w:r w:rsidRPr="00183059">
        <w:rPr>
          <w:noProof/>
          <w:lang w:val="en-US"/>
        </w:rPr>
        <w:drawing>
          <wp:inline distT="0" distB="0" distL="0" distR="0" wp14:anchorId="41A89C3A" wp14:editId="7C7E357B">
            <wp:extent cx="5138382" cy="1753737"/>
            <wp:effectExtent l="0" t="0" r="5715" b="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40666" cy="1754517"/>
                    </a:xfrm>
                    <a:prstGeom prst="rect">
                      <a:avLst/>
                    </a:prstGeom>
                    <a:noFill/>
                    <a:ln>
                      <a:noFill/>
                    </a:ln>
                  </pic:spPr>
                </pic:pic>
              </a:graphicData>
            </a:graphic>
          </wp:inline>
        </w:drawing>
      </w:r>
    </w:p>
    <w:p w:rsidR="00A01E42" w:rsidRDefault="00A01E42" w:rsidP="00A01E42">
      <w:pPr>
        <w:pStyle w:val="ListParagraph"/>
        <w:numPr>
          <w:ilvl w:val="0"/>
          <w:numId w:val="33"/>
        </w:numPr>
        <w:spacing w:before="120" w:after="120" w:line="240" w:lineRule="auto"/>
        <w:contextualSpacing w:val="0"/>
        <w:rPr>
          <w:rFonts w:ascii="Times New Roman" w:hAnsi="Times New Roman"/>
          <w:b/>
          <w:sz w:val="24"/>
          <w:szCs w:val="24"/>
          <w:lang w:val="es-ES_tradnl"/>
        </w:rPr>
      </w:pPr>
      <w:r>
        <w:rPr>
          <w:rFonts w:ascii="Times New Roman" w:hAnsi="Times New Roman"/>
          <w:b/>
          <w:sz w:val="24"/>
          <w:szCs w:val="24"/>
          <w:lang w:val="es-ES_tradnl"/>
        </w:rPr>
        <w:t xml:space="preserve">Análisis de Sensibilidad – </w:t>
      </w:r>
      <w:r w:rsidRPr="008C55D2">
        <w:rPr>
          <w:rFonts w:ascii="Times New Roman" w:hAnsi="Times New Roman"/>
          <w:sz w:val="24"/>
          <w:szCs w:val="24"/>
          <w:lang w:val="es-ES_tradnl"/>
        </w:rPr>
        <w:t>El costo de un Convenio Marco (</w:t>
      </w:r>
      <w:r w:rsidRPr="00A259CE">
        <w:rPr>
          <w:rFonts w:ascii="Times New Roman" w:hAnsi="Times New Roman"/>
          <w:lang w:val="es-ES_tradnl"/>
        </w:rPr>
        <w:t>C</w:t>
      </w:r>
      <w:r w:rsidRPr="00A259CE">
        <w:rPr>
          <w:rFonts w:ascii="Times New Roman" w:hAnsi="Times New Roman"/>
          <w:vertAlign w:val="subscript"/>
          <w:lang w:val="es-ES_tradnl"/>
        </w:rPr>
        <w:t>CM0</w:t>
      </w:r>
      <w:r w:rsidRPr="008C55D2">
        <w:rPr>
          <w:rFonts w:ascii="Times New Roman" w:hAnsi="Times New Roman"/>
          <w:sz w:val="24"/>
          <w:szCs w:val="24"/>
          <w:lang w:val="es-ES_tradnl"/>
        </w:rPr>
        <w:t>) para calcular el ahorro administrativo es más bajo (</w:t>
      </w:r>
      <w:r w:rsidRPr="00A259CE">
        <w:rPr>
          <w:rFonts w:ascii="Times New Roman" w:hAnsi="Times New Roman"/>
          <w:lang w:val="es-ES_tradnl"/>
        </w:rPr>
        <w:t>$40.225.000 (COP</w:t>
      </w:r>
      <w:r w:rsidRPr="00A259CE">
        <w:rPr>
          <w:rFonts w:ascii="Times New Roman" w:hAnsi="Times New Roman"/>
          <w:color w:val="000000" w:themeColor="text1"/>
          <w:lang w:val="es-ES_tradnl"/>
        </w:rPr>
        <w:t>) -&gt; $35.000.000 (COP)).</w:t>
      </w:r>
    </w:p>
    <w:p w:rsidR="00A01E42" w:rsidRPr="00C95444" w:rsidRDefault="00A01E42" w:rsidP="00D43CA2">
      <w:pPr>
        <w:pStyle w:val="ListParagraph"/>
        <w:autoSpaceDE w:val="0"/>
        <w:autoSpaceDN w:val="0"/>
        <w:adjustRightInd w:val="0"/>
        <w:spacing w:before="120" w:after="120" w:line="240" w:lineRule="auto"/>
        <w:ind w:left="1800" w:firstLine="360"/>
        <w:rPr>
          <w:rFonts w:ascii="Times New Roman" w:eastAsia="Times New Roman" w:hAnsi="Times New Roman"/>
          <w:b/>
          <w:szCs w:val="24"/>
          <w:lang w:val="es-CO"/>
        </w:rPr>
      </w:pPr>
      <w:proofErr w:type="spellStart"/>
      <w:r w:rsidRPr="00C95444">
        <w:rPr>
          <w:rFonts w:ascii="Times New Roman" w:eastAsia="Times New Roman" w:hAnsi="Times New Roman"/>
          <w:b/>
          <w:szCs w:val="24"/>
          <w:lang w:val="es-CO"/>
        </w:rPr>
        <w:t>Ai</w:t>
      </w:r>
      <w:proofErr w:type="spellEnd"/>
      <w:r w:rsidRPr="00C95444">
        <w:rPr>
          <w:rFonts w:ascii="Times New Roman" w:eastAsia="Times New Roman" w:hAnsi="Times New Roman"/>
          <w:b/>
          <w:szCs w:val="24"/>
          <w:lang w:val="es-CO"/>
        </w:rPr>
        <w:t xml:space="preserve">= </w:t>
      </w:r>
      <w:proofErr w:type="spellStart"/>
      <w:r w:rsidRPr="00C95444">
        <w:rPr>
          <w:rFonts w:ascii="Times New Roman" w:eastAsia="Times New Roman" w:hAnsi="Times New Roman"/>
          <w:b/>
          <w:szCs w:val="24"/>
          <w:lang w:val="es-CO"/>
        </w:rPr>
        <w:t>C</w:t>
      </w:r>
      <w:r w:rsidRPr="00C95444">
        <w:rPr>
          <w:rFonts w:ascii="Times New Roman" w:eastAsia="Times New Roman" w:hAnsi="Times New Roman"/>
          <w:b/>
          <w:szCs w:val="24"/>
          <w:vertAlign w:val="subscript"/>
          <w:lang w:val="es-CO"/>
        </w:rPr>
        <w:t>CMi</w:t>
      </w:r>
      <w:proofErr w:type="spellEnd"/>
      <w:r w:rsidRPr="00C95444">
        <w:rPr>
          <w:rFonts w:ascii="Times New Roman" w:eastAsia="Times New Roman" w:hAnsi="Times New Roman"/>
          <w:b/>
          <w:szCs w:val="24"/>
          <w:lang w:val="es-CO"/>
        </w:rPr>
        <w:t xml:space="preserve"> x </w:t>
      </w:r>
      <w:proofErr w:type="spellStart"/>
      <w:r w:rsidRPr="00C95444">
        <w:rPr>
          <w:rFonts w:ascii="Times New Roman" w:eastAsia="Times New Roman" w:hAnsi="Times New Roman"/>
          <w:b/>
          <w:szCs w:val="24"/>
          <w:lang w:val="es-CO"/>
        </w:rPr>
        <w:t>U</w:t>
      </w:r>
      <w:r w:rsidRPr="00C95444">
        <w:rPr>
          <w:rFonts w:ascii="Times New Roman" w:eastAsia="Times New Roman" w:hAnsi="Times New Roman"/>
          <w:b/>
          <w:szCs w:val="24"/>
          <w:vertAlign w:val="subscript"/>
          <w:lang w:val="es-CO"/>
        </w:rPr>
        <w:t>CMi</w:t>
      </w:r>
      <w:proofErr w:type="spellEnd"/>
    </w:p>
    <w:p w:rsidR="00A01E42" w:rsidRPr="008C55D2" w:rsidRDefault="00A01E42" w:rsidP="00842A3F">
      <w:pPr>
        <w:pStyle w:val="ListParagraph"/>
        <w:spacing w:before="120" w:after="120" w:line="240" w:lineRule="auto"/>
        <w:ind w:left="1080"/>
        <w:rPr>
          <w:rFonts w:ascii="Times New Roman" w:hAnsi="Times New Roman"/>
        </w:rPr>
      </w:pPr>
      <w:r w:rsidRPr="008C55D2">
        <w:rPr>
          <w:rFonts w:ascii="Times New Roman" w:hAnsi="Times New Roman"/>
        </w:rPr>
        <w:t>Dónde:</w:t>
      </w:r>
    </w:p>
    <w:p w:rsidR="00A01E42" w:rsidRPr="008C55D2" w:rsidRDefault="00A01E42" w:rsidP="00842A3F">
      <w:pPr>
        <w:pStyle w:val="ListParagraph"/>
        <w:spacing w:before="120" w:after="120" w:line="240" w:lineRule="auto"/>
        <w:ind w:left="1080"/>
        <w:rPr>
          <w:rFonts w:ascii="Times New Roman" w:hAnsi="Times New Roman"/>
        </w:rPr>
      </w:pPr>
      <w:proofErr w:type="spellStart"/>
      <w:r w:rsidRPr="008C55D2">
        <w:rPr>
          <w:rFonts w:ascii="Times New Roman" w:hAnsi="Times New Roman"/>
        </w:rPr>
        <w:t>Ai</w:t>
      </w:r>
      <w:proofErr w:type="spellEnd"/>
      <w:r w:rsidRPr="008C55D2">
        <w:rPr>
          <w:rFonts w:ascii="Times New Roman" w:hAnsi="Times New Roman"/>
        </w:rPr>
        <w:t xml:space="preserve"> </w:t>
      </w:r>
      <w:r w:rsidRPr="008C55D2">
        <w:rPr>
          <w:rFonts w:ascii="Times New Roman" w:hAnsi="Times New Roman"/>
        </w:rPr>
        <w:tab/>
        <w:t>= Ahorro en el año i</w:t>
      </w:r>
    </w:p>
    <w:p w:rsidR="00A01E42" w:rsidRPr="008C55D2" w:rsidRDefault="00A01E42" w:rsidP="00842A3F">
      <w:pPr>
        <w:pStyle w:val="ListParagraph"/>
        <w:spacing w:before="120" w:after="120" w:line="240" w:lineRule="auto"/>
        <w:ind w:left="1080"/>
        <w:rPr>
          <w:rFonts w:ascii="Times New Roman" w:hAnsi="Times New Roman"/>
        </w:rPr>
      </w:pPr>
      <w:proofErr w:type="spellStart"/>
      <w:r w:rsidRPr="008C55D2">
        <w:rPr>
          <w:rFonts w:ascii="Times New Roman" w:hAnsi="Times New Roman"/>
        </w:rPr>
        <w:t>C</w:t>
      </w:r>
      <w:r w:rsidRPr="008C55D2">
        <w:rPr>
          <w:rFonts w:ascii="Times New Roman" w:hAnsi="Times New Roman"/>
          <w:vertAlign w:val="subscript"/>
        </w:rPr>
        <w:t>CMi</w:t>
      </w:r>
      <w:proofErr w:type="spellEnd"/>
      <w:r w:rsidRPr="008C55D2">
        <w:rPr>
          <w:rFonts w:ascii="Times New Roman" w:hAnsi="Times New Roman"/>
          <w:vertAlign w:val="subscript"/>
        </w:rPr>
        <w:t xml:space="preserve">        </w:t>
      </w:r>
      <w:r w:rsidRPr="008C55D2">
        <w:rPr>
          <w:rFonts w:ascii="Times New Roman" w:hAnsi="Times New Roman"/>
        </w:rPr>
        <w:t>= Costo Convenio Marco en el año i</w:t>
      </w:r>
    </w:p>
    <w:p w:rsidR="00A01E42" w:rsidRPr="008C55D2" w:rsidRDefault="00A01E42" w:rsidP="00842A3F">
      <w:pPr>
        <w:pStyle w:val="ListParagraph"/>
        <w:spacing w:before="120" w:after="120" w:line="240" w:lineRule="auto"/>
        <w:ind w:left="1080"/>
        <w:rPr>
          <w:rFonts w:ascii="Times New Roman" w:hAnsi="Times New Roman"/>
        </w:rPr>
      </w:pPr>
      <w:r w:rsidRPr="008C55D2">
        <w:rPr>
          <w:rFonts w:ascii="Times New Roman" w:hAnsi="Times New Roman"/>
        </w:rPr>
        <w:t xml:space="preserve">             = C</w:t>
      </w:r>
      <w:r w:rsidRPr="008C55D2">
        <w:rPr>
          <w:rFonts w:ascii="Times New Roman" w:hAnsi="Times New Roman"/>
          <w:vertAlign w:val="subscript"/>
        </w:rPr>
        <w:t xml:space="preserve">CM0 </w:t>
      </w:r>
      <w:r w:rsidRPr="008C55D2">
        <w:rPr>
          <w:rFonts w:ascii="Times New Roman" w:hAnsi="Times New Roman"/>
        </w:rPr>
        <w:t>x [(1+IPC)^(i-1)]</w:t>
      </w:r>
    </w:p>
    <w:p w:rsidR="00A01E42" w:rsidRPr="008C55D2" w:rsidRDefault="00A01E42" w:rsidP="00842A3F">
      <w:pPr>
        <w:pStyle w:val="ListParagraph"/>
        <w:spacing w:before="120" w:after="120" w:line="240" w:lineRule="auto"/>
        <w:ind w:left="1080"/>
        <w:rPr>
          <w:rFonts w:ascii="Times New Roman" w:hAnsi="Times New Roman"/>
        </w:rPr>
      </w:pPr>
      <w:proofErr w:type="spellStart"/>
      <w:r w:rsidRPr="008C55D2">
        <w:rPr>
          <w:rFonts w:ascii="Times New Roman" w:eastAsia="Times New Roman" w:hAnsi="Times New Roman"/>
          <w:szCs w:val="24"/>
          <w:lang w:val="es-CO"/>
        </w:rPr>
        <w:t>U</w:t>
      </w:r>
      <w:r w:rsidRPr="008C55D2">
        <w:rPr>
          <w:rFonts w:ascii="Times New Roman" w:eastAsia="Times New Roman" w:hAnsi="Times New Roman"/>
          <w:szCs w:val="24"/>
          <w:vertAlign w:val="subscript"/>
          <w:lang w:val="es-CO"/>
        </w:rPr>
        <w:t>Cmi</w:t>
      </w:r>
      <w:proofErr w:type="spellEnd"/>
      <w:r w:rsidRPr="008C55D2">
        <w:rPr>
          <w:rFonts w:ascii="Times New Roman" w:eastAsia="Times New Roman" w:hAnsi="Times New Roman"/>
          <w:szCs w:val="24"/>
          <w:vertAlign w:val="subscript"/>
          <w:lang w:val="es-CO"/>
        </w:rPr>
        <w:t xml:space="preserve">         </w:t>
      </w:r>
      <w:r w:rsidRPr="008C55D2">
        <w:rPr>
          <w:rFonts w:ascii="Times New Roman" w:hAnsi="Times New Roman"/>
        </w:rPr>
        <w:t>= Uso de Servicio en el año i</w:t>
      </w:r>
    </w:p>
    <w:p w:rsidR="00A01E42" w:rsidRPr="008C55D2" w:rsidRDefault="00A01E42" w:rsidP="00842A3F">
      <w:pPr>
        <w:pStyle w:val="ListParagraph"/>
        <w:spacing w:before="120" w:after="120" w:line="240" w:lineRule="auto"/>
        <w:ind w:left="1080"/>
        <w:rPr>
          <w:rFonts w:ascii="Times New Roman" w:hAnsi="Times New Roman"/>
          <w:vertAlign w:val="subscript"/>
        </w:rPr>
      </w:pPr>
      <w:r w:rsidRPr="008C55D2">
        <w:rPr>
          <w:rFonts w:ascii="Times New Roman" w:hAnsi="Times New Roman"/>
        </w:rPr>
        <w:t xml:space="preserve">             = Meta de entidades x Tasa de implementación esperada</w:t>
      </w:r>
    </w:p>
    <w:p w:rsidR="00A01E42" w:rsidRPr="008C55D2" w:rsidRDefault="00A01E42" w:rsidP="00842A3F">
      <w:pPr>
        <w:pStyle w:val="ListParagraph"/>
        <w:spacing w:before="120" w:after="120" w:line="240" w:lineRule="auto"/>
        <w:ind w:left="1080"/>
        <w:rPr>
          <w:rFonts w:ascii="Times New Roman" w:hAnsi="Times New Roman"/>
          <w:vertAlign w:val="subscript"/>
          <w:lang w:val="pt-BR"/>
        </w:rPr>
      </w:pPr>
      <w:r w:rsidRPr="008C55D2">
        <w:rPr>
          <w:rFonts w:ascii="Times New Roman" w:hAnsi="Times New Roman"/>
        </w:rPr>
        <w:t xml:space="preserve">             </w:t>
      </w:r>
      <w:r w:rsidRPr="008C55D2">
        <w:rPr>
          <w:rFonts w:ascii="Times New Roman" w:hAnsi="Times New Roman"/>
          <w:lang w:val="pt-BR"/>
        </w:rPr>
        <w:t xml:space="preserve">= M x </w:t>
      </w:r>
      <w:proofErr w:type="spellStart"/>
      <w:r w:rsidRPr="008C55D2">
        <w:rPr>
          <w:rFonts w:ascii="Times New Roman" w:hAnsi="Times New Roman"/>
          <w:lang w:val="pt-BR"/>
        </w:rPr>
        <w:t>IMP</w:t>
      </w:r>
      <w:r w:rsidRPr="008C55D2">
        <w:rPr>
          <w:rFonts w:ascii="Times New Roman" w:hAnsi="Times New Roman"/>
          <w:vertAlign w:val="subscript"/>
          <w:lang w:val="pt-BR"/>
        </w:rPr>
        <w:t>Exi</w:t>
      </w:r>
      <w:proofErr w:type="spellEnd"/>
    </w:p>
    <w:p w:rsidR="00A01E42" w:rsidRPr="008C55D2" w:rsidRDefault="00A01E42" w:rsidP="00842A3F">
      <w:pPr>
        <w:pStyle w:val="ListParagraph"/>
        <w:spacing w:before="120" w:after="120" w:line="240" w:lineRule="auto"/>
        <w:ind w:left="1080"/>
        <w:rPr>
          <w:rFonts w:ascii="Times New Roman" w:hAnsi="Times New Roman"/>
          <w:color w:val="FF0000"/>
          <w:lang w:val="pt-BR"/>
        </w:rPr>
      </w:pPr>
      <w:r w:rsidRPr="008C55D2">
        <w:rPr>
          <w:rFonts w:ascii="Times New Roman" w:hAnsi="Times New Roman"/>
          <w:color w:val="FF0000"/>
          <w:lang w:val="pt-BR"/>
        </w:rPr>
        <w:t>C</w:t>
      </w:r>
      <w:r w:rsidRPr="008C55D2">
        <w:rPr>
          <w:rFonts w:ascii="Times New Roman" w:hAnsi="Times New Roman"/>
          <w:color w:val="FF0000"/>
          <w:vertAlign w:val="subscript"/>
          <w:lang w:val="pt-BR"/>
        </w:rPr>
        <w:t xml:space="preserve">CM0        </w:t>
      </w:r>
      <w:r w:rsidRPr="008C55D2">
        <w:rPr>
          <w:rFonts w:ascii="Times New Roman" w:hAnsi="Times New Roman"/>
          <w:color w:val="FF0000"/>
          <w:lang w:val="pt-BR"/>
        </w:rPr>
        <w:t>= $35.000.000 (COP)</w:t>
      </w:r>
    </w:p>
    <w:p w:rsidR="00A01E42" w:rsidRPr="008C55D2" w:rsidRDefault="00A01E42" w:rsidP="00842A3F">
      <w:pPr>
        <w:pStyle w:val="ListParagraph"/>
        <w:spacing w:before="120" w:after="120" w:line="240" w:lineRule="auto"/>
        <w:ind w:left="1080"/>
        <w:rPr>
          <w:rFonts w:ascii="Times New Roman" w:hAnsi="Times New Roman"/>
        </w:rPr>
      </w:pPr>
      <w:r w:rsidRPr="008C55D2">
        <w:rPr>
          <w:rFonts w:ascii="Times New Roman" w:hAnsi="Times New Roman"/>
        </w:rPr>
        <w:t xml:space="preserve">M     </w:t>
      </w:r>
      <w:r w:rsidRPr="008C55D2">
        <w:rPr>
          <w:rFonts w:ascii="Times New Roman" w:hAnsi="Times New Roman"/>
          <w:vertAlign w:val="subscript"/>
        </w:rPr>
        <w:t xml:space="preserve">       </w:t>
      </w:r>
      <w:r w:rsidRPr="008C55D2">
        <w:rPr>
          <w:rFonts w:ascii="Times New Roman" w:hAnsi="Times New Roman"/>
        </w:rPr>
        <w:t>= 380 unidades estatales</w:t>
      </w:r>
      <w:r w:rsidRPr="008C55D2">
        <w:rPr>
          <w:rFonts w:ascii="Times New Roman" w:hAnsi="Times New Roman"/>
        </w:rPr>
        <w:tab/>
      </w:r>
    </w:p>
    <w:p w:rsidR="00A01E42" w:rsidRDefault="00A01E42" w:rsidP="00842A3F">
      <w:pPr>
        <w:pStyle w:val="ListParagraph"/>
        <w:spacing w:before="120" w:after="120" w:line="240" w:lineRule="auto"/>
        <w:ind w:left="1080"/>
        <w:rPr>
          <w:rFonts w:ascii="Times New Roman" w:hAnsi="Times New Roman"/>
        </w:rPr>
      </w:pPr>
      <w:proofErr w:type="spellStart"/>
      <w:r w:rsidRPr="008C55D2">
        <w:rPr>
          <w:rFonts w:ascii="Times New Roman" w:hAnsi="Times New Roman"/>
        </w:rPr>
        <w:t>IMP</w:t>
      </w:r>
      <w:r w:rsidRPr="008C55D2">
        <w:rPr>
          <w:rFonts w:ascii="Times New Roman" w:hAnsi="Times New Roman"/>
          <w:vertAlign w:val="subscript"/>
        </w:rPr>
        <w:t>Exi</w:t>
      </w:r>
      <w:proofErr w:type="spellEnd"/>
      <w:r w:rsidRPr="008C55D2">
        <w:rPr>
          <w:rFonts w:ascii="Times New Roman" w:hAnsi="Times New Roman"/>
          <w:vertAlign w:val="subscript"/>
        </w:rPr>
        <w:t xml:space="preserve">    </w:t>
      </w:r>
      <w:r w:rsidRPr="008C55D2">
        <w:rPr>
          <w:rFonts w:ascii="Times New Roman" w:hAnsi="Times New Roman"/>
        </w:rPr>
        <w:t>= Entidades involucradas de acuerdo a Escenario x año i</w:t>
      </w:r>
    </w:p>
    <w:p w:rsidR="00A01E42" w:rsidRDefault="00A01E42" w:rsidP="00A01E42">
      <w:pPr>
        <w:pStyle w:val="ListParagraph"/>
        <w:spacing w:after="0" w:line="240" w:lineRule="auto"/>
        <w:ind w:left="1080"/>
        <w:rPr>
          <w:rFonts w:ascii="Times New Roman" w:hAnsi="Times New Roman"/>
        </w:rPr>
      </w:pPr>
    </w:p>
    <w:p w:rsidR="00A01E42" w:rsidRPr="008C55D2" w:rsidRDefault="00A01E42" w:rsidP="00842A3F">
      <w:pPr>
        <w:pStyle w:val="ListParagraph"/>
        <w:spacing w:after="0" w:line="240" w:lineRule="auto"/>
        <w:ind w:left="-90"/>
        <w:rPr>
          <w:rFonts w:ascii="Times New Roman" w:hAnsi="Times New Roman"/>
        </w:rPr>
      </w:pPr>
      <w:r w:rsidRPr="008C55D2">
        <w:rPr>
          <w:noProof/>
          <w:lang w:val="en-US"/>
        </w:rPr>
        <w:drawing>
          <wp:inline distT="0" distB="0" distL="0" distR="0" wp14:anchorId="22B88010" wp14:editId="1B15BC0F">
            <wp:extent cx="5602406" cy="1057701"/>
            <wp:effectExtent l="0" t="0" r="0" b="9525"/>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04257" cy="1058050"/>
                    </a:xfrm>
                    <a:prstGeom prst="rect">
                      <a:avLst/>
                    </a:prstGeom>
                    <a:noFill/>
                    <a:ln>
                      <a:noFill/>
                    </a:ln>
                  </pic:spPr>
                </pic:pic>
              </a:graphicData>
            </a:graphic>
          </wp:inline>
        </w:drawing>
      </w:r>
    </w:p>
    <w:p w:rsidR="00A01E42" w:rsidRPr="008C55D2" w:rsidRDefault="00A01E42" w:rsidP="00A01E42">
      <w:pPr>
        <w:pStyle w:val="ListParagraph"/>
        <w:spacing w:before="120" w:after="120" w:line="240" w:lineRule="auto"/>
        <w:jc w:val="both"/>
        <w:rPr>
          <w:rFonts w:ascii="Times New Roman" w:hAnsi="Times New Roman"/>
          <w:b/>
          <w:sz w:val="24"/>
          <w:szCs w:val="24"/>
          <w:lang w:val="es-ES_tradnl"/>
        </w:rPr>
      </w:pPr>
    </w:p>
    <w:p w:rsidR="00A01E42" w:rsidRPr="00902B91" w:rsidRDefault="00A01E42" w:rsidP="00540235">
      <w:pPr>
        <w:pStyle w:val="ListParagraph"/>
        <w:numPr>
          <w:ilvl w:val="0"/>
          <w:numId w:val="33"/>
        </w:numPr>
        <w:spacing w:before="120" w:after="120" w:line="240" w:lineRule="auto"/>
        <w:contextualSpacing w:val="0"/>
        <w:jc w:val="center"/>
        <w:rPr>
          <w:rFonts w:ascii="Times New Roman" w:hAnsi="Times New Roman"/>
          <w:b/>
          <w:sz w:val="24"/>
          <w:szCs w:val="24"/>
          <w:lang w:val="es-ES_tradnl"/>
        </w:rPr>
      </w:pPr>
      <w:r w:rsidRPr="00902B91">
        <w:rPr>
          <w:rFonts w:ascii="Times New Roman" w:hAnsi="Times New Roman"/>
          <w:b/>
          <w:sz w:val="24"/>
          <w:szCs w:val="24"/>
          <w:lang w:val="es-ES_tradnl"/>
        </w:rPr>
        <w:t>CONCLUSIÓN</w:t>
      </w:r>
    </w:p>
    <w:p w:rsidR="00A01E42" w:rsidRPr="008C55D2" w:rsidRDefault="00A01E42" w:rsidP="007A3796">
      <w:pPr>
        <w:pStyle w:val="ListParagraph"/>
        <w:numPr>
          <w:ilvl w:val="1"/>
          <w:numId w:val="33"/>
        </w:numPr>
        <w:spacing w:before="120" w:after="120" w:line="240" w:lineRule="auto"/>
        <w:ind w:hanging="720"/>
        <w:contextualSpacing w:val="0"/>
        <w:jc w:val="both"/>
        <w:rPr>
          <w:rFonts w:ascii="Times New Roman" w:hAnsi="Times New Roman"/>
          <w:sz w:val="24"/>
          <w:szCs w:val="24"/>
          <w:lang w:val="es-ES_tradnl"/>
        </w:rPr>
      </w:pPr>
      <w:r w:rsidRPr="008C55D2">
        <w:rPr>
          <w:rFonts w:ascii="Times New Roman" w:hAnsi="Times New Roman"/>
          <w:sz w:val="24"/>
          <w:szCs w:val="24"/>
          <w:lang w:val="es-ES_tradnl"/>
        </w:rPr>
        <w:t>Se espera que a partir de 2015 se estará generando un beneficio de aproximadamente US$ 2.0 millones que será US$ 48.6 millones en 2024.</w:t>
      </w:r>
    </w:p>
    <w:p w:rsidR="00A01E42" w:rsidRPr="00902B91" w:rsidRDefault="00A01E42" w:rsidP="00A01E42">
      <w:pPr>
        <w:pStyle w:val="ListParagraph"/>
        <w:spacing w:before="120" w:after="120" w:line="240" w:lineRule="auto"/>
        <w:ind w:left="1080"/>
        <w:contextualSpacing w:val="0"/>
        <w:rPr>
          <w:rFonts w:ascii="Times New Roman" w:hAnsi="Times New Roman"/>
          <w:b/>
          <w:sz w:val="24"/>
          <w:szCs w:val="24"/>
          <w:lang w:val="es-ES_tradnl"/>
        </w:rPr>
      </w:pPr>
    </w:p>
    <w:p w:rsidR="00A01E42" w:rsidRPr="00902B91" w:rsidRDefault="00A01E42" w:rsidP="00A01E42">
      <w:pPr>
        <w:spacing w:before="120" w:after="120" w:line="240" w:lineRule="auto"/>
        <w:ind w:left="994"/>
        <w:jc w:val="both"/>
        <w:rPr>
          <w:rFonts w:ascii="Times New Roman" w:hAnsi="Times New Roman"/>
          <w:sz w:val="24"/>
          <w:szCs w:val="24"/>
          <w:lang w:val="es-ES_tradnl"/>
        </w:rPr>
      </w:pPr>
    </w:p>
    <w:p w:rsidR="00A01E42" w:rsidRDefault="00A01E42"/>
    <w:p w:rsidR="007A3796" w:rsidRDefault="007A3796">
      <w:pPr>
        <w:spacing w:after="0" w:line="240" w:lineRule="auto"/>
      </w:pPr>
      <w:r>
        <w:br w:type="page"/>
      </w:r>
    </w:p>
    <w:p w:rsidR="007A3796" w:rsidRPr="007A3796" w:rsidRDefault="007A3796" w:rsidP="007A3796">
      <w:pPr>
        <w:pStyle w:val="Chapter"/>
        <w:tabs>
          <w:tab w:val="clear" w:pos="1800"/>
          <w:tab w:val="num" w:pos="648"/>
        </w:tabs>
        <w:spacing w:before="120" w:after="120"/>
        <w:ind w:left="0"/>
      </w:pPr>
      <w:r w:rsidRPr="007A3796">
        <w:t>Costos Financieros y Económicos</w:t>
      </w:r>
    </w:p>
    <w:p w:rsidR="007A3796" w:rsidRPr="000D2D84" w:rsidRDefault="007A3796" w:rsidP="007A3796">
      <w:pPr>
        <w:pStyle w:val="Paragraph"/>
        <w:rPr>
          <w:lang w:val="es-ES_tradnl"/>
        </w:rPr>
      </w:pPr>
      <w:r w:rsidRPr="000D2D84">
        <w:rPr>
          <w:lang w:val="es-ES_tradnl"/>
        </w:rPr>
        <w:t>Para realizar el cálculo del rendimiento financiero del programa se imputaron los costos totales del proyecto, es decir, US$</w:t>
      </w:r>
      <w:r w:rsidR="00540235">
        <w:rPr>
          <w:lang w:val="es-ES_tradnl"/>
        </w:rPr>
        <w:t>400</w:t>
      </w:r>
      <w:r w:rsidRPr="000D2D84">
        <w:rPr>
          <w:lang w:val="es-ES_tradnl"/>
        </w:rPr>
        <w:t xml:space="preserve"> millones en 5 años y los respectivos pagos de interés. (Ver anexo</w:t>
      </w:r>
      <w:r w:rsidR="005015BA">
        <w:rPr>
          <w:lang w:val="es-ES_tradnl"/>
        </w:rPr>
        <w:t xml:space="preserve"> II</w:t>
      </w:r>
      <w:r w:rsidRPr="000D2D84">
        <w:rPr>
          <w:lang w:val="es-ES_tradnl"/>
        </w:rPr>
        <w:t>)</w:t>
      </w:r>
    </w:p>
    <w:p w:rsidR="007A3796" w:rsidRPr="000D2D84" w:rsidRDefault="007A3796" w:rsidP="007A3796">
      <w:pPr>
        <w:spacing w:before="120" w:after="120" w:line="240" w:lineRule="auto"/>
        <w:jc w:val="center"/>
        <w:rPr>
          <w:rFonts w:ascii="Times New Roman" w:hAnsi="Times New Roman"/>
          <w:b/>
          <w:smallCaps/>
          <w:sz w:val="24"/>
          <w:szCs w:val="24"/>
          <w:lang w:val="es-ES_tradnl"/>
        </w:rPr>
      </w:pPr>
      <w:r w:rsidRPr="000D2D84">
        <w:rPr>
          <w:rFonts w:ascii="Times New Roman" w:hAnsi="Times New Roman"/>
          <w:b/>
          <w:smallCaps/>
          <w:sz w:val="24"/>
          <w:szCs w:val="24"/>
          <w:lang w:val="es-ES_tradnl"/>
        </w:rPr>
        <w:t>IV.</w:t>
      </w:r>
      <w:r w:rsidRPr="000D2D84">
        <w:rPr>
          <w:rFonts w:ascii="Times New Roman" w:hAnsi="Times New Roman"/>
          <w:b/>
          <w:smallCaps/>
          <w:sz w:val="24"/>
          <w:szCs w:val="24"/>
          <w:lang w:val="es-ES_tradnl"/>
        </w:rPr>
        <w:tab/>
        <w:t>Evaluación del Programa y Análisis de Sensibilidad</w:t>
      </w:r>
    </w:p>
    <w:p w:rsidR="007A3796" w:rsidRPr="000D2D84" w:rsidRDefault="007A3796" w:rsidP="007A3796">
      <w:pPr>
        <w:pStyle w:val="Paragraph"/>
        <w:rPr>
          <w:szCs w:val="24"/>
          <w:lang w:val="es-ES_tradnl"/>
        </w:rPr>
      </w:pPr>
      <w:r w:rsidRPr="000D2D84">
        <w:rPr>
          <w:szCs w:val="24"/>
          <w:lang w:val="es-ES_tradnl"/>
        </w:rPr>
        <w:t>Para evaluar la situación “con proyecto” se usaron como parámetros el VPN y la TIR. La tasa de descuento aplicada a los flujos</w:t>
      </w:r>
      <w:r w:rsidR="00540235">
        <w:rPr>
          <w:szCs w:val="24"/>
          <w:lang w:val="es-ES_tradnl"/>
        </w:rPr>
        <w:t xml:space="preserve"> netos de beneficios fue de 12%</w:t>
      </w:r>
      <w:r w:rsidRPr="000D2D84">
        <w:rPr>
          <w:szCs w:val="24"/>
          <w:lang w:val="es-ES_tradnl"/>
        </w:rPr>
        <w:t>. El VPN del proyecto es positivo en US$</w:t>
      </w:r>
      <w:r w:rsidR="00340730">
        <w:rPr>
          <w:szCs w:val="24"/>
          <w:lang w:val="es-ES_tradnl"/>
        </w:rPr>
        <w:t>335</w:t>
      </w:r>
      <w:r w:rsidRPr="000D2D84">
        <w:rPr>
          <w:szCs w:val="24"/>
          <w:lang w:val="es-ES_tradnl"/>
        </w:rPr>
        <w:t xml:space="preserve"> millones en 202</w:t>
      </w:r>
      <w:r w:rsidR="00340730">
        <w:rPr>
          <w:szCs w:val="24"/>
          <w:lang w:val="es-ES_tradnl"/>
        </w:rPr>
        <w:t>9</w:t>
      </w:r>
      <w:r w:rsidRPr="000D2D84">
        <w:rPr>
          <w:szCs w:val="24"/>
          <w:lang w:val="es-ES_tradnl"/>
        </w:rPr>
        <w:t>, utilizando un horizonte proyectado de 1</w:t>
      </w:r>
      <w:r w:rsidR="00340730">
        <w:rPr>
          <w:szCs w:val="24"/>
          <w:lang w:val="es-ES_tradnl"/>
        </w:rPr>
        <w:t>5</w:t>
      </w:r>
      <w:r w:rsidRPr="000D2D84">
        <w:rPr>
          <w:szCs w:val="24"/>
          <w:lang w:val="es-ES_tradnl"/>
        </w:rPr>
        <w:t xml:space="preserve"> años y la TIR se estimó en </w:t>
      </w:r>
      <w:r w:rsidR="00340730">
        <w:rPr>
          <w:szCs w:val="24"/>
          <w:lang w:val="es-ES_tradnl"/>
        </w:rPr>
        <w:t>21</w:t>
      </w:r>
      <w:r w:rsidR="00540235">
        <w:rPr>
          <w:szCs w:val="24"/>
          <w:lang w:val="es-ES_tradnl"/>
        </w:rPr>
        <w:t>%</w:t>
      </w:r>
      <w:r w:rsidRPr="000D2D84">
        <w:rPr>
          <w:szCs w:val="24"/>
          <w:lang w:val="es-ES_tradnl"/>
        </w:rPr>
        <w:t xml:space="preserve">. </w:t>
      </w:r>
    </w:p>
    <w:p w:rsidR="007A3796" w:rsidRPr="000D2D84" w:rsidRDefault="007A3796" w:rsidP="00540235">
      <w:pPr>
        <w:pStyle w:val="Paragraph"/>
        <w:rPr>
          <w:lang w:val="es-ES_tradnl"/>
        </w:rPr>
      </w:pPr>
      <w:r w:rsidRPr="000D2D84">
        <w:rPr>
          <w:lang w:val="es-ES_tradnl"/>
        </w:rPr>
        <w:t xml:space="preserve">En relación al análisis de sensibilidad del proyecto, se consideraron tres opciones: (i) </w:t>
      </w:r>
      <w:r w:rsidR="00540235" w:rsidRPr="00540235">
        <w:rPr>
          <w:szCs w:val="24"/>
          <w:lang w:val="es-ES_tradnl"/>
        </w:rPr>
        <w:t>Los ahorros provenientes de la reducción de los costos de autorización empiezan a ocurrir 1 años más tarde</w:t>
      </w:r>
      <w:r w:rsidRPr="000D2D84">
        <w:rPr>
          <w:lang w:val="es-ES_tradnl"/>
        </w:rPr>
        <w:t xml:space="preserve">; (ii) </w:t>
      </w:r>
      <w:r w:rsidR="00540235">
        <w:rPr>
          <w:lang w:val="es-ES_tradnl"/>
        </w:rPr>
        <w:t>e</w:t>
      </w:r>
      <w:r w:rsidR="00540235" w:rsidRPr="00540235">
        <w:rPr>
          <w:lang w:val="es-ES_tradnl"/>
        </w:rPr>
        <w:t>l Costo de un Convenio Marco es más bajo que lo estimado</w:t>
      </w:r>
      <w:r w:rsidRPr="000D2D84">
        <w:rPr>
          <w:lang w:val="es-ES_tradnl"/>
        </w:rPr>
        <w:t>; y (iii) una presentación simultánea de las dos opciones anteriores.</w:t>
      </w:r>
    </w:p>
    <w:p w:rsidR="007A3796" w:rsidRPr="002A3842" w:rsidRDefault="007A3796" w:rsidP="007A3796">
      <w:pPr>
        <w:pStyle w:val="Paragraph"/>
        <w:rPr>
          <w:szCs w:val="24"/>
          <w:lang w:val="es-ES_tradnl"/>
        </w:rPr>
      </w:pPr>
      <w:r w:rsidRPr="000D2D84">
        <w:rPr>
          <w:szCs w:val="24"/>
          <w:lang w:val="es-ES_tradnl"/>
        </w:rPr>
        <w:t xml:space="preserve">Los resultados de las simulaciones no modifican la decisión en relación a la viabilidad del programa, ya que para cada escenario el VPN se mantiene positivo y la TIR sigue siendo robusta y con un valor </w:t>
      </w:r>
      <w:r>
        <w:rPr>
          <w:szCs w:val="24"/>
          <w:lang w:val="es-ES_tradnl"/>
        </w:rPr>
        <w:t>igual a</w:t>
      </w:r>
      <w:r w:rsidRPr="000D2D84">
        <w:rPr>
          <w:szCs w:val="24"/>
          <w:lang w:val="es-ES_tradnl"/>
        </w:rPr>
        <w:t xml:space="preserve"> </w:t>
      </w:r>
      <w:r w:rsidR="00540235">
        <w:rPr>
          <w:szCs w:val="24"/>
          <w:lang w:val="es-ES_tradnl"/>
        </w:rPr>
        <w:t>1</w:t>
      </w:r>
      <w:r w:rsidR="00BA33F7">
        <w:rPr>
          <w:szCs w:val="24"/>
          <w:lang w:val="es-ES_tradnl"/>
        </w:rPr>
        <w:t>8</w:t>
      </w:r>
      <w:r w:rsidRPr="000D2D84">
        <w:rPr>
          <w:szCs w:val="24"/>
          <w:lang w:val="es-ES_tradnl"/>
        </w:rPr>
        <w:t>% en el peor de los escenarios. Los resultados del análisis de sensibilidad están resumidos en el siguiente cuadro.</w:t>
      </w:r>
    </w:p>
    <w:tbl>
      <w:tblPr>
        <w:tblW w:w="8730" w:type="dxa"/>
        <w:tblInd w:w="70" w:type="dxa"/>
        <w:tblLayout w:type="fixed"/>
        <w:tblCellMar>
          <w:left w:w="70" w:type="dxa"/>
          <w:right w:w="70" w:type="dxa"/>
        </w:tblCellMar>
        <w:tblLook w:val="04A0" w:firstRow="1" w:lastRow="0" w:firstColumn="1" w:lastColumn="0" w:noHBand="0" w:noVBand="1"/>
      </w:tblPr>
      <w:tblGrid>
        <w:gridCol w:w="1980"/>
        <w:gridCol w:w="1350"/>
        <w:gridCol w:w="1620"/>
        <w:gridCol w:w="2160"/>
        <w:gridCol w:w="1620"/>
      </w:tblGrid>
      <w:tr w:rsidR="007A3796" w:rsidRPr="002A3842" w:rsidTr="00E41381">
        <w:trPr>
          <w:trHeight w:val="123"/>
        </w:trPr>
        <w:tc>
          <w:tcPr>
            <w:tcW w:w="8730" w:type="dxa"/>
            <w:gridSpan w:val="5"/>
            <w:tcBorders>
              <w:top w:val="single" w:sz="12" w:space="0" w:color="auto"/>
              <w:left w:val="single" w:sz="12" w:space="0" w:color="auto"/>
              <w:bottom w:val="single" w:sz="4" w:space="0" w:color="auto"/>
              <w:right w:val="single" w:sz="12" w:space="0" w:color="auto"/>
            </w:tcBorders>
            <w:shd w:val="clear" w:color="auto" w:fill="D9D9D9"/>
            <w:hideMark/>
          </w:tcPr>
          <w:p w:rsidR="007A3796" w:rsidRPr="002A3842" w:rsidRDefault="007A3796" w:rsidP="00E41381">
            <w:pPr>
              <w:spacing w:before="120" w:after="120" w:line="240" w:lineRule="auto"/>
              <w:jc w:val="center"/>
              <w:rPr>
                <w:rFonts w:ascii="Times New Roman" w:eastAsia="Times New Roman" w:hAnsi="Times New Roman"/>
                <w:b/>
                <w:color w:val="000000"/>
                <w:sz w:val="18"/>
                <w:szCs w:val="18"/>
                <w:lang w:val="es-ES_tradnl" w:eastAsia="es-ES"/>
              </w:rPr>
            </w:pPr>
            <w:r w:rsidRPr="002A3842">
              <w:rPr>
                <w:rFonts w:ascii="Times New Roman" w:eastAsia="Times New Roman" w:hAnsi="Times New Roman"/>
                <w:b/>
                <w:color w:val="000000"/>
                <w:sz w:val="18"/>
                <w:szCs w:val="18"/>
                <w:lang w:val="es-ES_tradnl" w:eastAsia="es-ES"/>
              </w:rPr>
              <w:br w:type="page"/>
              <w:t>Cuadro 3 - Análisis de Sensibilidad</w:t>
            </w:r>
          </w:p>
        </w:tc>
      </w:tr>
      <w:tr w:rsidR="007A3796" w:rsidRPr="002A3842" w:rsidTr="00540235">
        <w:trPr>
          <w:trHeight w:val="276"/>
        </w:trPr>
        <w:tc>
          <w:tcPr>
            <w:tcW w:w="1980" w:type="dxa"/>
            <w:tcBorders>
              <w:top w:val="single" w:sz="12" w:space="0" w:color="auto"/>
              <w:left w:val="single" w:sz="12" w:space="0" w:color="auto"/>
              <w:bottom w:val="single" w:sz="4" w:space="0" w:color="auto"/>
              <w:right w:val="single" w:sz="4" w:space="0" w:color="auto"/>
            </w:tcBorders>
            <w:shd w:val="clear" w:color="auto" w:fill="D9D9D9"/>
            <w:hideMark/>
          </w:tcPr>
          <w:p w:rsidR="007A3796" w:rsidRPr="002A3842" w:rsidRDefault="007A3796" w:rsidP="00E41381">
            <w:pPr>
              <w:spacing w:before="120" w:after="120" w:line="240" w:lineRule="auto"/>
              <w:jc w:val="center"/>
              <w:rPr>
                <w:rFonts w:ascii="Times New Roman" w:eastAsia="Times New Roman" w:hAnsi="Times New Roman"/>
                <w:b/>
                <w:color w:val="000000"/>
                <w:sz w:val="18"/>
                <w:szCs w:val="18"/>
                <w:lang w:val="es-ES_tradnl" w:eastAsia="es-ES"/>
              </w:rPr>
            </w:pPr>
            <w:r w:rsidRPr="002A3842">
              <w:rPr>
                <w:rFonts w:ascii="Times New Roman" w:eastAsia="Times New Roman" w:hAnsi="Times New Roman"/>
                <w:b/>
                <w:color w:val="000000"/>
                <w:sz w:val="18"/>
                <w:szCs w:val="18"/>
                <w:lang w:val="es-ES_tradnl" w:eastAsia="es-ES"/>
              </w:rPr>
              <w:t>Indicadores</w:t>
            </w:r>
          </w:p>
        </w:tc>
        <w:tc>
          <w:tcPr>
            <w:tcW w:w="1350" w:type="dxa"/>
            <w:tcBorders>
              <w:top w:val="single" w:sz="12" w:space="0" w:color="auto"/>
              <w:left w:val="nil"/>
              <w:bottom w:val="single" w:sz="4" w:space="0" w:color="auto"/>
              <w:right w:val="single" w:sz="4" w:space="0" w:color="auto"/>
            </w:tcBorders>
            <w:shd w:val="clear" w:color="auto" w:fill="D9D9D9"/>
            <w:hideMark/>
          </w:tcPr>
          <w:p w:rsidR="007A3796" w:rsidRPr="002A3842" w:rsidRDefault="007A3796" w:rsidP="00E41381">
            <w:pPr>
              <w:spacing w:before="120" w:after="120" w:line="240" w:lineRule="auto"/>
              <w:jc w:val="center"/>
              <w:rPr>
                <w:rFonts w:ascii="Times New Roman" w:eastAsia="Times New Roman" w:hAnsi="Times New Roman"/>
                <w:b/>
                <w:color w:val="000000"/>
                <w:sz w:val="18"/>
                <w:szCs w:val="18"/>
                <w:lang w:val="es-ES_tradnl" w:eastAsia="es-ES"/>
              </w:rPr>
            </w:pPr>
            <w:r w:rsidRPr="002A3842">
              <w:rPr>
                <w:rFonts w:ascii="Times New Roman" w:eastAsia="Times New Roman" w:hAnsi="Times New Roman"/>
                <w:b/>
                <w:color w:val="000000"/>
                <w:sz w:val="18"/>
                <w:szCs w:val="18"/>
                <w:lang w:val="es-ES_tradnl" w:eastAsia="es-ES"/>
              </w:rPr>
              <w:t>Escenario Base</w:t>
            </w:r>
          </w:p>
        </w:tc>
        <w:tc>
          <w:tcPr>
            <w:tcW w:w="1620" w:type="dxa"/>
            <w:tcBorders>
              <w:top w:val="single" w:sz="12" w:space="0" w:color="auto"/>
              <w:left w:val="nil"/>
              <w:bottom w:val="single" w:sz="4" w:space="0" w:color="auto"/>
              <w:right w:val="single" w:sz="4" w:space="0" w:color="auto"/>
            </w:tcBorders>
            <w:shd w:val="clear" w:color="auto" w:fill="D9D9D9"/>
            <w:hideMark/>
          </w:tcPr>
          <w:p w:rsidR="007A3796" w:rsidRPr="002A3842" w:rsidRDefault="00540235" w:rsidP="00540235">
            <w:pPr>
              <w:spacing w:before="120" w:after="120" w:line="240" w:lineRule="auto"/>
              <w:jc w:val="center"/>
              <w:rPr>
                <w:rFonts w:ascii="Times New Roman" w:eastAsia="Times New Roman" w:hAnsi="Times New Roman"/>
                <w:b/>
                <w:color w:val="000000"/>
                <w:sz w:val="18"/>
                <w:szCs w:val="18"/>
                <w:lang w:val="es-ES_tradnl" w:eastAsia="es-ES"/>
              </w:rPr>
            </w:pPr>
            <w:r>
              <w:rPr>
                <w:rFonts w:ascii="Times New Roman" w:eastAsia="Times New Roman" w:hAnsi="Times New Roman"/>
                <w:b/>
                <w:color w:val="000000"/>
                <w:sz w:val="18"/>
                <w:szCs w:val="18"/>
                <w:lang w:val="es-ES_tradnl" w:eastAsia="es-ES"/>
              </w:rPr>
              <w:t>Escenario 1</w:t>
            </w:r>
          </w:p>
        </w:tc>
        <w:tc>
          <w:tcPr>
            <w:tcW w:w="2160" w:type="dxa"/>
            <w:tcBorders>
              <w:top w:val="single" w:sz="12" w:space="0" w:color="auto"/>
              <w:left w:val="nil"/>
              <w:bottom w:val="single" w:sz="4" w:space="0" w:color="auto"/>
              <w:right w:val="single" w:sz="4" w:space="0" w:color="auto"/>
            </w:tcBorders>
            <w:shd w:val="clear" w:color="auto" w:fill="D9D9D9"/>
            <w:hideMark/>
          </w:tcPr>
          <w:p w:rsidR="007A3796" w:rsidRPr="002A3842" w:rsidRDefault="00540235" w:rsidP="00540235">
            <w:pPr>
              <w:spacing w:before="120" w:after="120" w:line="240" w:lineRule="auto"/>
              <w:jc w:val="center"/>
              <w:rPr>
                <w:rFonts w:ascii="Times New Roman" w:eastAsia="Times New Roman" w:hAnsi="Times New Roman"/>
                <w:b/>
                <w:color w:val="000000"/>
                <w:sz w:val="18"/>
                <w:szCs w:val="18"/>
                <w:lang w:val="es-ES_tradnl" w:eastAsia="es-ES"/>
              </w:rPr>
            </w:pPr>
            <w:r>
              <w:rPr>
                <w:rFonts w:ascii="Times New Roman" w:eastAsia="Times New Roman" w:hAnsi="Times New Roman"/>
                <w:b/>
                <w:color w:val="000000"/>
                <w:sz w:val="18"/>
                <w:szCs w:val="18"/>
                <w:lang w:val="es-ES_tradnl" w:eastAsia="es-ES"/>
              </w:rPr>
              <w:t>Escenario 2</w:t>
            </w:r>
          </w:p>
        </w:tc>
        <w:tc>
          <w:tcPr>
            <w:tcW w:w="1620" w:type="dxa"/>
            <w:tcBorders>
              <w:top w:val="single" w:sz="12" w:space="0" w:color="auto"/>
              <w:left w:val="nil"/>
              <w:bottom w:val="single" w:sz="4" w:space="0" w:color="auto"/>
              <w:right w:val="single" w:sz="12" w:space="0" w:color="auto"/>
            </w:tcBorders>
            <w:shd w:val="clear" w:color="auto" w:fill="D9D9D9"/>
            <w:hideMark/>
          </w:tcPr>
          <w:p w:rsidR="007A3796" w:rsidRPr="002A3842" w:rsidRDefault="007A3796" w:rsidP="00540235">
            <w:pPr>
              <w:spacing w:before="120" w:after="120" w:line="240" w:lineRule="auto"/>
              <w:jc w:val="center"/>
              <w:rPr>
                <w:rFonts w:ascii="Times New Roman" w:eastAsia="Times New Roman" w:hAnsi="Times New Roman"/>
                <w:b/>
                <w:color w:val="000000"/>
                <w:sz w:val="18"/>
                <w:szCs w:val="18"/>
                <w:lang w:val="es-ES_tradnl" w:eastAsia="es-ES"/>
              </w:rPr>
            </w:pPr>
            <w:r w:rsidRPr="002A3842">
              <w:rPr>
                <w:rFonts w:ascii="Times New Roman" w:eastAsia="Times New Roman" w:hAnsi="Times New Roman"/>
                <w:b/>
                <w:color w:val="000000"/>
                <w:sz w:val="18"/>
                <w:szCs w:val="18"/>
                <w:lang w:val="es-ES_tradnl" w:eastAsia="es-ES"/>
              </w:rPr>
              <w:t>Escenario 3</w:t>
            </w:r>
          </w:p>
        </w:tc>
      </w:tr>
      <w:tr w:rsidR="007A3796" w:rsidRPr="002A3842" w:rsidTr="00E41381">
        <w:trPr>
          <w:trHeight w:val="143"/>
        </w:trPr>
        <w:tc>
          <w:tcPr>
            <w:tcW w:w="1980" w:type="dxa"/>
            <w:tcBorders>
              <w:top w:val="nil"/>
              <w:left w:val="single" w:sz="12" w:space="0" w:color="auto"/>
              <w:bottom w:val="single" w:sz="4" w:space="0" w:color="auto"/>
              <w:right w:val="single" w:sz="4" w:space="0" w:color="auto"/>
            </w:tcBorders>
            <w:shd w:val="clear" w:color="auto" w:fill="auto"/>
            <w:noWrap/>
            <w:vAlign w:val="bottom"/>
            <w:hideMark/>
          </w:tcPr>
          <w:p w:rsidR="007A3796" w:rsidRPr="002A3842" w:rsidRDefault="007A3796" w:rsidP="00E41381">
            <w:pPr>
              <w:spacing w:before="120" w:after="120" w:line="240" w:lineRule="auto"/>
              <w:rPr>
                <w:rFonts w:ascii="Times New Roman" w:eastAsia="Times New Roman" w:hAnsi="Times New Roman"/>
                <w:color w:val="000000"/>
                <w:sz w:val="18"/>
                <w:szCs w:val="18"/>
                <w:lang w:val="es-ES_tradnl" w:eastAsia="es-ES"/>
              </w:rPr>
            </w:pPr>
            <w:r w:rsidRPr="002A3842">
              <w:rPr>
                <w:rFonts w:ascii="Times New Roman" w:eastAsia="Times New Roman" w:hAnsi="Times New Roman"/>
                <w:color w:val="000000"/>
                <w:sz w:val="18"/>
                <w:szCs w:val="18"/>
                <w:lang w:val="es-ES_tradnl" w:eastAsia="es-ES"/>
              </w:rPr>
              <w:t>VPN (millones US$)</w:t>
            </w:r>
          </w:p>
        </w:tc>
        <w:tc>
          <w:tcPr>
            <w:tcW w:w="1350" w:type="dxa"/>
            <w:tcBorders>
              <w:top w:val="nil"/>
              <w:left w:val="nil"/>
              <w:bottom w:val="single" w:sz="4" w:space="0" w:color="auto"/>
              <w:right w:val="single" w:sz="4" w:space="0" w:color="auto"/>
            </w:tcBorders>
            <w:shd w:val="clear" w:color="auto" w:fill="auto"/>
            <w:noWrap/>
            <w:vAlign w:val="center"/>
            <w:hideMark/>
          </w:tcPr>
          <w:p w:rsidR="007A3796" w:rsidRPr="002A3842" w:rsidRDefault="00340730">
            <w:pPr>
              <w:spacing w:before="120" w:after="120" w:line="240" w:lineRule="auto"/>
              <w:ind w:right="110"/>
              <w:jc w:val="center"/>
              <w:rPr>
                <w:rFonts w:ascii="Times New Roman" w:eastAsia="Times New Roman" w:hAnsi="Times New Roman"/>
                <w:color w:val="000000"/>
                <w:sz w:val="18"/>
                <w:szCs w:val="18"/>
                <w:lang w:val="es-ES_tradnl" w:eastAsia="es-ES"/>
              </w:rPr>
            </w:pPr>
            <w:r>
              <w:rPr>
                <w:rFonts w:ascii="Times New Roman" w:eastAsia="Times New Roman" w:hAnsi="Times New Roman"/>
                <w:color w:val="000000"/>
                <w:sz w:val="18"/>
                <w:szCs w:val="18"/>
                <w:lang w:val="es-ES_tradnl" w:eastAsia="es-ES"/>
              </w:rPr>
              <w:t>335</w:t>
            </w:r>
          </w:p>
        </w:tc>
        <w:tc>
          <w:tcPr>
            <w:tcW w:w="1620" w:type="dxa"/>
            <w:tcBorders>
              <w:top w:val="nil"/>
              <w:left w:val="nil"/>
              <w:bottom w:val="single" w:sz="4" w:space="0" w:color="auto"/>
              <w:right w:val="single" w:sz="4" w:space="0" w:color="auto"/>
            </w:tcBorders>
            <w:shd w:val="clear" w:color="auto" w:fill="auto"/>
            <w:noWrap/>
            <w:vAlign w:val="center"/>
            <w:hideMark/>
          </w:tcPr>
          <w:p w:rsidR="007A3796" w:rsidRPr="002A3842" w:rsidRDefault="00540235">
            <w:pPr>
              <w:spacing w:before="120" w:after="120" w:line="240" w:lineRule="auto"/>
              <w:ind w:right="110"/>
              <w:jc w:val="center"/>
              <w:rPr>
                <w:rFonts w:ascii="Times New Roman" w:eastAsia="Times New Roman" w:hAnsi="Times New Roman"/>
                <w:color w:val="000000"/>
                <w:sz w:val="18"/>
                <w:szCs w:val="18"/>
                <w:lang w:val="es-ES_tradnl" w:eastAsia="es-ES"/>
              </w:rPr>
            </w:pPr>
            <w:r>
              <w:rPr>
                <w:rFonts w:ascii="Times New Roman" w:eastAsia="Times New Roman" w:hAnsi="Times New Roman"/>
                <w:color w:val="000000"/>
                <w:sz w:val="18"/>
                <w:szCs w:val="18"/>
                <w:lang w:val="es-ES_tradnl" w:eastAsia="es-ES"/>
              </w:rPr>
              <w:t>1</w:t>
            </w:r>
            <w:r w:rsidR="00BA33F7">
              <w:rPr>
                <w:rFonts w:ascii="Times New Roman" w:eastAsia="Times New Roman" w:hAnsi="Times New Roman"/>
                <w:color w:val="000000"/>
                <w:sz w:val="18"/>
                <w:szCs w:val="18"/>
                <w:lang w:val="es-ES_tradnl" w:eastAsia="es-ES"/>
              </w:rPr>
              <w:t>96</w:t>
            </w:r>
          </w:p>
        </w:tc>
        <w:tc>
          <w:tcPr>
            <w:tcW w:w="2160" w:type="dxa"/>
            <w:tcBorders>
              <w:top w:val="nil"/>
              <w:left w:val="nil"/>
              <w:bottom w:val="single" w:sz="4" w:space="0" w:color="auto"/>
              <w:right w:val="single" w:sz="4" w:space="0" w:color="auto"/>
            </w:tcBorders>
            <w:shd w:val="clear" w:color="auto" w:fill="auto"/>
            <w:noWrap/>
            <w:vAlign w:val="center"/>
            <w:hideMark/>
          </w:tcPr>
          <w:p w:rsidR="007A3796" w:rsidRPr="002A3842" w:rsidRDefault="00BA33F7">
            <w:pPr>
              <w:spacing w:before="120" w:after="120" w:line="240" w:lineRule="auto"/>
              <w:ind w:right="110"/>
              <w:jc w:val="center"/>
              <w:rPr>
                <w:rFonts w:ascii="Times New Roman" w:eastAsia="Times New Roman" w:hAnsi="Times New Roman"/>
                <w:color w:val="000000"/>
                <w:sz w:val="18"/>
                <w:szCs w:val="18"/>
                <w:lang w:val="es-ES_tradnl" w:eastAsia="es-ES"/>
              </w:rPr>
            </w:pPr>
            <w:r>
              <w:rPr>
                <w:rFonts w:ascii="Times New Roman" w:eastAsia="Times New Roman" w:hAnsi="Times New Roman"/>
                <w:color w:val="000000"/>
                <w:sz w:val="18"/>
                <w:szCs w:val="18"/>
                <w:lang w:val="es-ES_tradnl" w:eastAsia="es-ES"/>
              </w:rPr>
              <w:t>228</w:t>
            </w:r>
          </w:p>
        </w:tc>
        <w:tc>
          <w:tcPr>
            <w:tcW w:w="1620" w:type="dxa"/>
            <w:tcBorders>
              <w:top w:val="nil"/>
              <w:left w:val="nil"/>
              <w:bottom w:val="single" w:sz="4" w:space="0" w:color="auto"/>
              <w:right w:val="single" w:sz="12" w:space="0" w:color="auto"/>
            </w:tcBorders>
            <w:shd w:val="clear" w:color="auto" w:fill="auto"/>
            <w:noWrap/>
            <w:vAlign w:val="center"/>
            <w:hideMark/>
          </w:tcPr>
          <w:p w:rsidR="007A3796" w:rsidRPr="002A3842" w:rsidRDefault="00BA33F7">
            <w:pPr>
              <w:spacing w:before="120" w:after="120" w:line="240" w:lineRule="auto"/>
              <w:ind w:right="110"/>
              <w:jc w:val="center"/>
              <w:rPr>
                <w:rFonts w:ascii="Times New Roman" w:eastAsia="Times New Roman" w:hAnsi="Times New Roman"/>
                <w:color w:val="000000"/>
                <w:sz w:val="18"/>
                <w:szCs w:val="18"/>
                <w:lang w:val="es-ES_tradnl" w:eastAsia="es-ES"/>
              </w:rPr>
            </w:pPr>
            <w:r>
              <w:rPr>
                <w:rFonts w:ascii="Times New Roman" w:eastAsia="Times New Roman" w:hAnsi="Times New Roman"/>
                <w:color w:val="000000"/>
                <w:sz w:val="18"/>
                <w:szCs w:val="18"/>
                <w:lang w:val="es-ES_tradnl" w:eastAsia="es-ES"/>
              </w:rPr>
              <w:t>178</w:t>
            </w:r>
          </w:p>
        </w:tc>
      </w:tr>
      <w:tr w:rsidR="007A3796" w:rsidRPr="002A3842" w:rsidTr="00540235">
        <w:trPr>
          <w:trHeight w:val="269"/>
        </w:trPr>
        <w:tc>
          <w:tcPr>
            <w:tcW w:w="1980" w:type="dxa"/>
            <w:tcBorders>
              <w:top w:val="nil"/>
              <w:left w:val="single" w:sz="12" w:space="0" w:color="auto"/>
              <w:bottom w:val="single" w:sz="12" w:space="0" w:color="auto"/>
              <w:right w:val="single" w:sz="4" w:space="0" w:color="auto"/>
            </w:tcBorders>
            <w:shd w:val="clear" w:color="auto" w:fill="auto"/>
            <w:noWrap/>
            <w:vAlign w:val="bottom"/>
            <w:hideMark/>
          </w:tcPr>
          <w:p w:rsidR="007A3796" w:rsidRPr="002A3842" w:rsidRDefault="007A3796" w:rsidP="00E41381">
            <w:pPr>
              <w:spacing w:before="120" w:after="120" w:line="240" w:lineRule="auto"/>
              <w:rPr>
                <w:rFonts w:ascii="Times New Roman" w:eastAsia="Times New Roman" w:hAnsi="Times New Roman"/>
                <w:color w:val="000000"/>
                <w:sz w:val="18"/>
                <w:szCs w:val="18"/>
                <w:lang w:val="es-ES_tradnl" w:eastAsia="es-ES"/>
              </w:rPr>
            </w:pPr>
            <w:r w:rsidRPr="002A3842">
              <w:rPr>
                <w:rFonts w:ascii="Times New Roman" w:eastAsia="Times New Roman" w:hAnsi="Times New Roman"/>
                <w:color w:val="000000"/>
                <w:sz w:val="18"/>
                <w:szCs w:val="18"/>
                <w:lang w:val="es-ES_tradnl" w:eastAsia="es-ES"/>
              </w:rPr>
              <w:t>TIR (%)</w:t>
            </w:r>
          </w:p>
        </w:tc>
        <w:tc>
          <w:tcPr>
            <w:tcW w:w="1350" w:type="dxa"/>
            <w:tcBorders>
              <w:top w:val="nil"/>
              <w:left w:val="nil"/>
              <w:bottom w:val="single" w:sz="12" w:space="0" w:color="auto"/>
              <w:right w:val="single" w:sz="4" w:space="0" w:color="auto"/>
            </w:tcBorders>
            <w:shd w:val="clear" w:color="auto" w:fill="auto"/>
            <w:noWrap/>
            <w:vAlign w:val="center"/>
            <w:hideMark/>
          </w:tcPr>
          <w:p w:rsidR="007A3796" w:rsidRPr="002A3842" w:rsidRDefault="00340730" w:rsidP="00E41381">
            <w:pPr>
              <w:spacing w:before="120" w:after="120" w:line="240" w:lineRule="auto"/>
              <w:ind w:right="110"/>
              <w:jc w:val="center"/>
              <w:rPr>
                <w:rFonts w:ascii="Times New Roman" w:eastAsia="Times New Roman" w:hAnsi="Times New Roman"/>
                <w:color w:val="000000"/>
                <w:sz w:val="18"/>
                <w:szCs w:val="18"/>
                <w:lang w:val="es-ES_tradnl" w:eastAsia="es-ES"/>
              </w:rPr>
            </w:pPr>
            <w:r>
              <w:rPr>
                <w:rFonts w:ascii="Times New Roman" w:eastAsia="Times New Roman" w:hAnsi="Times New Roman"/>
                <w:color w:val="000000"/>
                <w:sz w:val="18"/>
                <w:szCs w:val="18"/>
                <w:lang w:val="es-ES_tradnl" w:eastAsia="es-ES"/>
              </w:rPr>
              <w:t>21</w:t>
            </w:r>
            <w:r w:rsidR="007A3796" w:rsidRPr="002A3842">
              <w:rPr>
                <w:rFonts w:ascii="Times New Roman" w:eastAsia="Times New Roman" w:hAnsi="Times New Roman"/>
                <w:color w:val="000000"/>
                <w:sz w:val="18"/>
                <w:szCs w:val="18"/>
                <w:lang w:val="es-ES_tradnl" w:eastAsia="es-ES"/>
              </w:rPr>
              <w:t>%</w:t>
            </w:r>
          </w:p>
        </w:tc>
        <w:tc>
          <w:tcPr>
            <w:tcW w:w="1620" w:type="dxa"/>
            <w:tcBorders>
              <w:top w:val="nil"/>
              <w:left w:val="nil"/>
              <w:bottom w:val="single" w:sz="12" w:space="0" w:color="auto"/>
              <w:right w:val="single" w:sz="4" w:space="0" w:color="auto"/>
            </w:tcBorders>
            <w:shd w:val="clear" w:color="auto" w:fill="auto"/>
            <w:noWrap/>
            <w:vAlign w:val="center"/>
            <w:hideMark/>
          </w:tcPr>
          <w:p w:rsidR="007A3796" w:rsidRPr="002A3842" w:rsidRDefault="00540235">
            <w:pPr>
              <w:spacing w:before="120" w:after="120" w:line="240" w:lineRule="auto"/>
              <w:ind w:right="110"/>
              <w:jc w:val="center"/>
              <w:rPr>
                <w:rFonts w:ascii="Times New Roman" w:eastAsia="Times New Roman" w:hAnsi="Times New Roman"/>
                <w:color w:val="000000"/>
                <w:sz w:val="18"/>
                <w:szCs w:val="18"/>
                <w:lang w:val="es-ES_tradnl" w:eastAsia="es-ES"/>
              </w:rPr>
            </w:pPr>
            <w:r>
              <w:rPr>
                <w:rFonts w:ascii="Times New Roman" w:eastAsia="Times New Roman" w:hAnsi="Times New Roman"/>
                <w:color w:val="000000"/>
                <w:sz w:val="18"/>
                <w:szCs w:val="18"/>
                <w:lang w:val="es-ES_tradnl" w:eastAsia="es-ES"/>
              </w:rPr>
              <w:t>1</w:t>
            </w:r>
            <w:r w:rsidR="00BA33F7">
              <w:rPr>
                <w:rFonts w:ascii="Times New Roman" w:eastAsia="Times New Roman" w:hAnsi="Times New Roman"/>
                <w:color w:val="000000"/>
                <w:sz w:val="18"/>
                <w:szCs w:val="18"/>
                <w:lang w:val="es-ES_tradnl" w:eastAsia="es-ES"/>
              </w:rPr>
              <w:t>9</w:t>
            </w:r>
            <w:r w:rsidR="007A3796" w:rsidRPr="002A3842">
              <w:rPr>
                <w:rFonts w:ascii="Times New Roman" w:eastAsia="Times New Roman" w:hAnsi="Times New Roman"/>
                <w:color w:val="000000"/>
                <w:sz w:val="18"/>
                <w:szCs w:val="18"/>
                <w:lang w:val="es-ES_tradnl" w:eastAsia="es-ES"/>
              </w:rPr>
              <w:t>%</w:t>
            </w:r>
          </w:p>
        </w:tc>
        <w:tc>
          <w:tcPr>
            <w:tcW w:w="2160" w:type="dxa"/>
            <w:tcBorders>
              <w:top w:val="nil"/>
              <w:left w:val="nil"/>
              <w:bottom w:val="single" w:sz="12" w:space="0" w:color="auto"/>
              <w:right w:val="single" w:sz="4" w:space="0" w:color="auto"/>
            </w:tcBorders>
            <w:shd w:val="clear" w:color="auto" w:fill="auto"/>
            <w:noWrap/>
            <w:vAlign w:val="center"/>
            <w:hideMark/>
          </w:tcPr>
          <w:p w:rsidR="007A3796" w:rsidRPr="002A3842" w:rsidRDefault="00BA33F7">
            <w:pPr>
              <w:spacing w:before="120" w:after="120" w:line="240" w:lineRule="auto"/>
              <w:ind w:right="110"/>
              <w:jc w:val="center"/>
              <w:rPr>
                <w:rFonts w:ascii="Times New Roman" w:eastAsia="Times New Roman" w:hAnsi="Times New Roman"/>
                <w:color w:val="000000"/>
                <w:sz w:val="18"/>
                <w:szCs w:val="18"/>
                <w:lang w:val="es-ES_tradnl" w:eastAsia="es-ES"/>
              </w:rPr>
            </w:pPr>
            <w:r>
              <w:rPr>
                <w:rFonts w:ascii="Times New Roman" w:eastAsia="Times New Roman" w:hAnsi="Times New Roman"/>
                <w:color w:val="000000"/>
                <w:sz w:val="18"/>
                <w:szCs w:val="18"/>
                <w:lang w:val="es-ES_tradnl" w:eastAsia="es-ES"/>
              </w:rPr>
              <w:t>20</w:t>
            </w:r>
            <w:r w:rsidR="007A3796" w:rsidRPr="002A3842">
              <w:rPr>
                <w:rFonts w:ascii="Times New Roman" w:eastAsia="Times New Roman" w:hAnsi="Times New Roman"/>
                <w:color w:val="000000"/>
                <w:sz w:val="18"/>
                <w:szCs w:val="18"/>
                <w:lang w:val="es-ES_tradnl" w:eastAsia="es-ES"/>
              </w:rPr>
              <w:t>%</w:t>
            </w:r>
          </w:p>
        </w:tc>
        <w:tc>
          <w:tcPr>
            <w:tcW w:w="1620" w:type="dxa"/>
            <w:tcBorders>
              <w:top w:val="nil"/>
              <w:left w:val="nil"/>
              <w:bottom w:val="single" w:sz="12" w:space="0" w:color="auto"/>
              <w:right w:val="single" w:sz="12" w:space="0" w:color="auto"/>
            </w:tcBorders>
            <w:shd w:val="clear" w:color="auto" w:fill="auto"/>
            <w:noWrap/>
            <w:vAlign w:val="center"/>
            <w:hideMark/>
          </w:tcPr>
          <w:p w:rsidR="007A3796" w:rsidRPr="002A3842" w:rsidRDefault="00540235" w:rsidP="00E41381">
            <w:pPr>
              <w:spacing w:before="120" w:after="120" w:line="240" w:lineRule="auto"/>
              <w:ind w:right="110"/>
              <w:jc w:val="center"/>
              <w:rPr>
                <w:rFonts w:ascii="Times New Roman" w:eastAsia="Times New Roman" w:hAnsi="Times New Roman"/>
                <w:color w:val="000000"/>
                <w:sz w:val="18"/>
                <w:szCs w:val="18"/>
                <w:lang w:val="es-ES_tradnl" w:eastAsia="es-ES"/>
              </w:rPr>
            </w:pPr>
            <w:r>
              <w:rPr>
                <w:rFonts w:ascii="Times New Roman" w:eastAsia="Times New Roman" w:hAnsi="Times New Roman"/>
                <w:color w:val="000000"/>
                <w:sz w:val="18"/>
                <w:szCs w:val="18"/>
                <w:lang w:val="es-ES_tradnl" w:eastAsia="es-ES"/>
              </w:rPr>
              <w:t>1</w:t>
            </w:r>
            <w:r w:rsidR="00BA33F7">
              <w:rPr>
                <w:rFonts w:ascii="Times New Roman" w:eastAsia="Times New Roman" w:hAnsi="Times New Roman"/>
                <w:color w:val="000000"/>
                <w:sz w:val="18"/>
                <w:szCs w:val="18"/>
                <w:lang w:val="es-ES_tradnl" w:eastAsia="es-ES"/>
              </w:rPr>
              <w:t>8</w:t>
            </w:r>
            <w:r w:rsidR="007A3796" w:rsidRPr="002A3842">
              <w:rPr>
                <w:rFonts w:ascii="Times New Roman" w:eastAsia="Times New Roman" w:hAnsi="Times New Roman"/>
                <w:color w:val="000000"/>
                <w:sz w:val="18"/>
                <w:szCs w:val="18"/>
                <w:lang w:val="es-ES_tradnl" w:eastAsia="es-ES"/>
              </w:rPr>
              <w:t>%</w:t>
            </w:r>
          </w:p>
        </w:tc>
      </w:tr>
    </w:tbl>
    <w:p w:rsidR="007A3796" w:rsidRPr="000D2D84" w:rsidRDefault="007A3796" w:rsidP="007A3796">
      <w:pPr>
        <w:spacing w:before="120" w:after="120" w:line="240" w:lineRule="auto"/>
        <w:jc w:val="center"/>
        <w:rPr>
          <w:rFonts w:ascii="Times New Roman" w:hAnsi="Times New Roman"/>
          <w:b/>
          <w:smallCaps/>
          <w:sz w:val="24"/>
          <w:szCs w:val="24"/>
          <w:lang w:val="es-ES_tradnl"/>
        </w:rPr>
      </w:pPr>
      <w:r w:rsidRPr="000D2D84">
        <w:rPr>
          <w:rFonts w:ascii="Times New Roman" w:hAnsi="Times New Roman"/>
          <w:b/>
          <w:smallCaps/>
          <w:sz w:val="24"/>
          <w:szCs w:val="24"/>
          <w:lang w:val="es-ES_tradnl"/>
        </w:rPr>
        <w:t>V.</w:t>
      </w:r>
      <w:r w:rsidRPr="000D2D84">
        <w:rPr>
          <w:rFonts w:ascii="Times New Roman" w:hAnsi="Times New Roman"/>
          <w:b/>
          <w:smallCaps/>
          <w:sz w:val="24"/>
          <w:szCs w:val="24"/>
          <w:lang w:val="es-ES_tradnl"/>
        </w:rPr>
        <w:tab/>
        <w:t>Conclusiones</w:t>
      </w:r>
    </w:p>
    <w:p w:rsidR="005015BA" w:rsidRDefault="007A3796" w:rsidP="007A3796">
      <w:pPr>
        <w:pStyle w:val="Title"/>
        <w:jc w:val="both"/>
        <w:rPr>
          <w:caps/>
          <w:lang w:val="es-ES_tradnl"/>
        </w:rPr>
      </w:pPr>
      <w:r w:rsidRPr="000D2D84">
        <w:rPr>
          <w:lang w:val="es-ES_tradnl"/>
        </w:rPr>
        <w:t xml:space="preserve">En vista de la evaluación </w:t>
      </w:r>
      <w:r>
        <w:rPr>
          <w:lang w:val="es-ES_tradnl"/>
        </w:rPr>
        <w:t xml:space="preserve">económica </w:t>
      </w:r>
      <w:r w:rsidRPr="000D2D84">
        <w:rPr>
          <w:lang w:val="es-ES_tradnl"/>
        </w:rPr>
        <w:t xml:space="preserve">que se realizó, se recomienda otorgar el financiamiento por parte del BID al programa propuesto para el </w:t>
      </w:r>
      <w:r w:rsidR="00540235" w:rsidRPr="00540235">
        <w:rPr>
          <w:lang w:val="es-ES_tradnl"/>
        </w:rPr>
        <w:t>Progr</w:t>
      </w:r>
      <w:r w:rsidR="00540235">
        <w:rPr>
          <w:lang w:val="es-ES_tradnl"/>
        </w:rPr>
        <w:t>ama de Profundización d</w:t>
      </w:r>
      <w:r w:rsidR="00540235" w:rsidRPr="00540235">
        <w:rPr>
          <w:lang w:val="es-ES_tradnl"/>
        </w:rPr>
        <w:t xml:space="preserve">e </w:t>
      </w:r>
      <w:r w:rsidR="00540235">
        <w:rPr>
          <w:lang w:val="es-ES_tradnl"/>
        </w:rPr>
        <w:t>la Reforma Fiscal e</w:t>
      </w:r>
      <w:r w:rsidR="00540235" w:rsidRPr="00540235">
        <w:rPr>
          <w:lang w:val="es-ES_tradnl"/>
        </w:rPr>
        <w:t>n Colombia</w:t>
      </w:r>
      <w:r w:rsidR="00540235">
        <w:rPr>
          <w:lang w:val="es-ES_tradnl"/>
        </w:rPr>
        <w:t xml:space="preserve"> (CO-L1142)</w:t>
      </w:r>
      <w:r w:rsidRPr="000D2D84">
        <w:rPr>
          <w:caps/>
          <w:lang w:val="es-ES_tradnl"/>
        </w:rPr>
        <w:t>.</w:t>
      </w:r>
    </w:p>
    <w:p w:rsidR="005015BA" w:rsidRDefault="005015BA">
      <w:pPr>
        <w:spacing w:after="0" w:line="240" w:lineRule="auto"/>
        <w:rPr>
          <w:rFonts w:ascii="Times New Roman" w:eastAsia="Times New Roman" w:hAnsi="Times New Roman"/>
          <w:caps/>
          <w:sz w:val="24"/>
          <w:szCs w:val="24"/>
          <w:lang w:val="es-ES_tradnl" w:eastAsia="x-none"/>
        </w:rPr>
      </w:pPr>
      <w:r>
        <w:rPr>
          <w:caps/>
          <w:lang w:val="es-ES_tradnl"/>
        </w:rPr>
        <w:br w:type="page"/>
      </w:r>
    </w:p>
    <w:p w:rsidR="007A3796" w:rsidRDefault="005015BA" w:rsidP="005015BA">
      <w:pPr>
        <w:pStyle w:val="Title"/>
        <w:rPr>
          <w:b/>
          <w:smallCaps/>
          <w:lang w:val="es-ES_tradnl"/>
        </w:rPr>
      </w:pPr>
      <w:r>
        <w:rPr>
          <w:b/>
          <w:smallCaps/>
          <w:lang w:val="es-ES_tradnl"/>
        </w:rPr>
        <w:t>Anexo I</w:t>
      </w:r>
    </w:p>
    <w:p w:rsidR="005015BA" w:rsidRDefault="005015BA" w:rsidP="005015BA">
      <w:pPr>
        <w:pStyle w:val="Title"/>
        <w:rPr>
          <w:b/>
          <w:smallCaps/>
          <w:lang w:val="es-ES_tradnl"/>
        </w:rPr>
      </w:pPr>
      <w:r>
        <w:rPr>
          <w:b/>
          <w:smallCaps/>
          <w:lang w:val="es-ES_tradnl"/>
        </w:rPr>
        <w:t xml:space="preserve">la </w:t>
      </w:r>
      <w:r w:rsidRPr="005015BA">
        <w:rPr>
          <w:b/>
          <w:smallCaps/>
          <w:lang w:val="es-ES_tradnl"/>
        </w:rPr>
        <w:t>modernización de la estructura organizacional de la D</w:t>
      </w:r>
      <w:r>
        <w:rPr>
          <w:b/>
          <w:smallCaps/>
          <w:lang w:val="es-ES_tradnl"/>
        </w:rPr>
        <w:t>IAN</w:t>
      </w:r>
    </w:p>
    <w:p w:rsidR="005015BA" w:rsidRPr="005015BA" w:rsidRDefault="005015BA" w:rsidP="005015BA">
      <w:pPr>
        <w:spacing w:before="120" w:after="120" w:line="240" w:lineRule="auto"/>
        <w:jc w:val="both"/>
        <w:rPr>
          <w:rFonts w:ascii="Times New Roman" w:hAnsi="Times New Roman"/>
          <w:sz w:val="24"/>
          <w:szCs w:val="24"/>
          <w:lang w:val="es-ES_tradnl"/>
        </w:rPr>
      </w:pPr>
      <w:r w:rsidRPr="005015BA">
        <w:rPr>
          <w:rFonts w:ascii="Times New Roman" w:hAnsi="Times New Roman"/>
          <w:sz w:val="24"/>
          <w:szCs w:val="24"/>
          <w:lang w:val="es-ES_tradnl"/>
        </w:rPr>
        <w:t>La presión fiscal de Colombia es todavía baja (15% del PIB) en comparación al promedio de América Latina (24% del PIB), y es todavía más baja si se consideran los países de similar ingreso (Argentina, Brasil, Chile y Uruguay: 31% del PIB)</w:t>
      </w:r>
      <w:r w:rsidRPr="005015BA">
        <w:rPr>
          <w:rFonts w:ascii="Times New Roman" w:hAnsi="Times New Roman"/>
          <w:sz w:val="24"/>
          <w:szCs w:val="24"/>
          <w:vertAlign w:val="superscript"/>
          <w:lang w:val="es-ES_tradnl"/>
        </w:rPr>
        <w:footnoteReference w:id="6"/>
      </w:r>
      <w:r w:rsidRPr="005015BA">
        <w:rPr>
          <w:rFonts w:ascii="Times New Roman" w:hAnsi="Times New Roman"/>
          <w:sz w:val="24"/>
          <w:szCs w:val="24"/>
          <w:lang w:val="es-ES_tradnl"/>
        </w:rPr>
        <w:t>. Para mejorar este desempeño, el Gobierno de Colombia está realizando esfuerzos para mejorar la eficiencia de la administración tributaria y aduanera de la Dirección de Impuestos y Aduanas Nacionales (DIAN).</w:t>
      </w:r>
    </w:p>
    <w:p w:rsidR="005015BA" w:rsidRPr="005015BA" w:rsidRDefault="005015BA" w:rsidP="005015BA">
      <w:pPr>
        <w:spacing w:before="120" w:after="120" w:line="240" w:lineRule="auto"/>
        <w:jc w:val="both"/>
        <w:rPr>
          <w:rFonts w:ascii="Times New Roman" w:hAnsi="Times New Roman"/>
          <w:sz w:val="24"/>
          <w:szCs w:val="24"/>
          <w:lang w:val="es-ES_tradnl"/>
        </w:rPr>
      </w:pPr>
      <w:r w:rsidRPr="005015BA">
        <w:rPr>
          <w:rFonts w:ascii="Times New Roman" w:hAnsi="Times New Roman"/>
          <w:sz w:val="24"/>
          <w:szCs w:val="24"/>
          <w:lang w:val="es-ES_tradnl"/>
        </w:rPr>
        <w:t>Así, por ejemplo, la recaudación del Impuesto sobre las Ventas (IVA), que es uno de los tributos más significativos para Colombia, representó alrededor del 35% de los ingresos tributarios a nivel nacional y el 5,5% del PIB</w:t>
      </w:r>
      <w:r w:rsidRPr="005015BA">
        <w:rPr>
          <w:rFonts w:ascii="Times New Roman" w:hAnsi="Times New Roman"/>
          <w:sz w:val="24"/>
          <w:szCs w:val="24"/>
          <w:vertAlign w:val="superscript"/>
          <w:lang w:val="es-ES_tradnl"/>
        </w:rPr>
        <w:footnoteReference w:id="7"/>
      </w:r>
      <w:r w:rsidRPr="005015BA">
        <w:rPr>
          <w:rFonts w:ascii="Times New Roman" w:hAnsi="Times New Roman"/>
          <w:sz w:val="24"/>
          <w:szCs w:val="24"/>
          <w:lang w:val="es-ES_tradnl"/>
        </w:rPr>
        <w:t>. Sin embargo, la recaudación de este tributo tan solo alcanza una productividad del 33%</w:t>
      </w:r>
      <w:r w:rsidRPr="005015BA">
        <w:rPr>
          <w:rFonts w:ascii="Times New Roman" w:hAnsi="Times New Roman"/>
          <w:sz w:val="24"/>
          <w:szCs w:val="24"/>
          <w:vertAlign w:val="superscript"/>
          <w:lang w:val="es-ES_tradnl"/>
        </w:rPr>
        <w:footnoteReference w:id="8"/>
      </w:r>
      <w:r w:rsidRPr="005015BA">
        <w:rPr>
          <w:rFonts w:ascii="Times New Roman" w:hAnsi="Times New Roman"/>
          <w:sz w:val="24"/>
          <w:szCs w:val="24"/>
          <w:lang w:val="es-ES_tradnl"/>
        </w:rPr>
        <w:t>, en razón a una tasa de evasión que ronda el 25%</w:t>
      </w:r>
      <w:r w:rsidRPr="005015BA">
        <w:rPr>
          <w:rFonts w:ascii="Times New Roman" w:hAnsi="Times New Roman"/>
          <w:sz w:val="24"/>
          <w:szCs w:val="24"/>
          <w:vertAlign w:val="superscript"/>
          <w:lang w:val="es-ES_tradnl"/>
        </w:rPr>
        <w:footnoteReference w:id="9"/>
      </w:r>
      <w:r w:rsidRPr="005015BA">
        <w:rPr>
          <w:rFonts w:ascii="Times New Roman" w:hAnsi="Times New Roman"/>
          <w:sz w:val="24"/>
          <w:szCs w:val="24"/>
          <w:lang w:val="es-ES_tradnl"/>
        </w:rPr>
        <w:t xml:space="preserve"> y, a la existencia de diversas tarifas diferenciales y de exclusiones y exenciones que reducen la base gravable del impuesto.</w:t>
      </w:r>
    </w:p>
    <w:p w:rsidR="005015BA" w:rsidRPr="005015BA" w:rsidRDefault="005015BA" w:rsidP="005015BA">
      <w:pPr>
        <w:spacing w:before="120" w:after="120" w:line="240" w:lineRule="auto"/>
        <w:jc w:val="both"/>
        <w:rPr>
          <w:rFonts w:ascii="Times New Roman" w:hAnsi="Times New Roman"/>
          <w:sz w:val="24"/>
          <w:szCs w:val="24"/>
          <w:lang w:val="es-ES_tradnl"/>
        </w:rPr>
      </w:pPr>
      <w:r w:rsidRPr="005015BA">
        <w:rPr>
          <w:rFonts w:ascii="Times New Roman" w:hAnsi="Times New Roman"/>
          <w:sz w:val="24"/>
          <w:szCs w:val="24"/>
          <w:lang w:val="es-ES_tradnl"/>
        </w:rPr>
        <w:t>Una de las principales razones que explican el bajo desempeño de la recaudación es la actual estructura organizativa de la DIAN que limita la productividad de la recaudación, lo que se refleja en una presión tributaria por debajo de su potencial</w:t>
      </w:r>
      <w:r w:rsidRPr="005015BA">
        <w:rPr>
          <w:rFonts w:ascii="Times New Roman" w:hAnsi="Times New Roman"/>
          <w:sz w:val="24"/>
          <w:szCs w:val="24"/>
          <w:vertAlign w:val="superscript"/>
          <w:lang w:val="es-ES_tradnl"/>
        </w:rPr>
        <w:footnoteReference w:id="10"/>
      </w:r>
      <w:r w:rsidRPr="005015BA">
        <w:rPr>
          <w:rFonts w:ascii="Times New Roman" w:hAnsi="Times New Roman"/>
          <w:sz w:val="24"/>
          <w:szCs w:val="24"/>
          <w:lang w:val="es-ES_tradnl"/>
        </w:rPr>
        <w:t>. En base a la información de la DIAN, el bajo número de funcionarios (el ratio habitantes por funcionario de recaudación en Colombia es el más alto de la región, más de 10 mil, representando el doble del promedio de América Latina y el Caribe) y  la composición de su planta (edad media del funcionario es superior a los 45 años) aunado a la baja presencia territorial (presencia efectiva en sólo 43 de 1.121 municipios) y a la poca coordinación entre la dirección tributaria y la aduanera, redunda en muy bajo nivel de fiscalización (0,1 inspecciones sobre contribuyentes activos frente al 3,1 promedio de la región.</w:t>
      </w:r>
    </w:p>
    <w:p w:rsidR="005015BA" w:rsidRPr="005015BA" w:rsidRDefault="005015BA" w:rsidP="005015BA">
      <w:pPr>
        <w:spacing w:before="120" w:after="120" w:line="240" w:lineRule="auto"/>
        <w:jc w:val="both"/>
        <w:rPr>
          <w:rFonts w:ascii="Times New Roman" w:hAnsi="Times New Roman"/>
          <w:sz w:val="24"/>
          <w:szCs w:val="24"/>
          <w:lang w:val="es-ES_tradnl"/>
        </w:rPr>
      </w:pPr>
      <w:r w:rsidRPr="005015BA">
        <w:rPr>
          <w:rFonts w:ascii="Times New Roman" w:hAnsi="Times New Roman"/>
          <w:sz w:val="24"/>
          <w:szCs w:val="24"/>
          <w:lang w:val="es-ES_tradnl"/>
        </w:rPr>
        <w:t>Para enfrentar esta problemática y, a su vez, aumentar la productividad de la base tributaria y mejorar la recaudación a nivel nacional, el programa está apoyando la adopción de medidas para el fortalecimiento de la estructura organizacional de la DIAN así como de su planta de personal. Las medidas a adoptarse buscan crear estructuras administrativas que faciliten los procesos de control, de auditoría, así como la protección de la información, que a su vez permitan la adecuada prestación de los servicios y funciones administrativas a cargo de la DIAN, de manera segura, garantizando la transparencia, objetividad, eficiencia, eficacia y efectividad.</w:t>
      </w:r>
    </w:p>
    <w:p w:rsidR="005015BA" w:rsidRPr="005015BA" w:rsidRDefault="005015BA" w:rsidP="005015BA">
      <w:pPr>
        <w:spacing w:before="120" w:after="120" w:line="240" w:lineRule="auto"/>
        <w:jc w:val="both"/>
        <w:rPr>
          <w:rFonts w:ascii="Times New Roman" w:hAnsi="Times New Roman"/>
          <w:sz w:val="24"/>
          <w:szCs w:val="24"/>
          <w:lang w:val="es-ES_tradnl"/>
        </w:rPr>
      </w:pPr>
      <w:r w:rsidRPr="005015BA">
        <w:rPr>
          <w:rFonts w:ascii="Times New Roman" w:hAnsi="Times New Roman"/>
          <w:sz w:val="24"/>
          <w:szCs w:val="24"/>
          <w:lang w:val="es-ES_tradnl"/>
        </w:rPr>
        <w:t>Al cierre de 2013, la DIAN cuenta con alrededor de 9.600 empleados, de los cuales sólo  6.100 son de planta. Para atender mínimamente las necesidades de la institución, se estima que es necesario una ampliación de planta de alrededor de 5.000  empleados hasta el año 2018. Dicho incremento tendría un costo adicional en planillas de aproximadamente US$250 millones anuales a partir de 2018, conforme se detalla en el siguiente cuadro.</w:t>
      </w:r>
    </w:p>
    <w:p w:rsidR="005015BA" w:rsidRPr="005015BA" w:rsidRDefault="005015BA" w:rsidP="005015BA">
      <w:pPr>
        <w:spacing w:before="120" w:after="120" w:line="240" w:lineRule="auto"/>
        <w:jc w:val="both"/>
        <w:rPr>
          <w:rFonts w:ascii="Times New Roman" w:hAnsi="Times New Roman"/>
          <w:sz w:val="24"/>
          <w:szCs w:val="24"/>
          <w:lang w:val="es-ES_tradnl"/>
        </w:rPr>
      </w:pPr>
    </w:p>
    <w:p w:rsidR="005015BA" w:rsidRPr="005015BA" w:rsidRDefault="005015BA" w:rsidP="005015BA">
      <w:pPr>
        <w:spacing w:before="120" w:after="120" w:line="240" w:lineRule="auto"/>
        <w:jc w:val="both"/>
        <w:rPr>
          <w:rFonts w:ascii="Times New Roman" w:hAnsi="Times New Roman"/>
          <w:sz w:val="24"/>
          <w:szCs w:val="24"/>
          <w:lang w:val="es-ES_tradnl"/>
        </w:rPr>
      </w:pPr>
      <w:r w:rsidRPr="005015BA">
        <w:rPr>
          <w:rFonts w:ascii="Times New Roman" w:hAnsi="Times New Roman"/>
          <w:noProof/>
          <w:sz w:val="24"/>
          <w:szCs w:val="24"/>
          <w:lang w:val="en-US"/>
        </w:rPr>
        <w:drawing>
          <wp:inline distT="0" distB="0" distL="0" distR="0" wp14:anchorId="68EC4C56" wp14:editId="4C396525">
            <wp:extent cx="5448300" cy="1416050"/>
            <wp:effectExtent l="0" t="0" r="0" b="0"/>
            <wp:docPr id="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62740" cy="1419803"/>
                    </a:xfrm>
                    <a:prstGeom prst="rect">
                      <a:avLst/>
                    </a:prstGeom>
                    <a:noFill/>
                    <a:ln>
                      <a:noFill/>
                    </a:ln>
                  </pic:spPr>
                </pic:pic>
              </a:graphicData>
            </a:graphic>
          </wp:inline>
        </w:drawing>
      </w:r>
    </w:p>
    <w:p w:rsidR="005015BA" w:rsidRPr="005015BA" w:rsidRDefault="005015BA" w:rsidP="005015BA">
      <w:pPr>
        <w:spacing w:before="120" w:after="120" w:line="240" w:lineRule="auto"/>
        <w:jc w:val="both"/>
        <w:rPr>
          <w:rFonts w:ascii="Times New Roman" w:hAnsi="Times New Roman"/>
          <w:sz w:val="24"/>
          <w:szCs w:val="24"/>
          <w:lang w:val="es-ES_tradnl"/>
        </w:rPr>
      </w:pPr>
    </w:p>
    <w:p w:rsidR="005015BA" w:rsidRPr="005015BA" w:rsidRDefault="005015BA" w:rsidP="005015BA">
      <w:pPr>
        <w:spacing w:before="120" w:after="120" w:line="240" w:lineRule="auto"/>
        <w:jc w:val="both"/>
        <w:rPr>
          <w:rFonts w:ascii="Times New Roman" w:hAnsi="Times New Roman"/>
          <w:sz w:val="24"/>
          <w:szCs w:val="24"/>
          <w:lang w:val="es-ES_tradnl"/>
        </w:rPr>
      </w:pPr>
      <w:r w:rsidRPr="005015BA">
        <w:rPr>
          <w:rFonts w:ascii="Times New Roman" w:hAnsi="Times New Roman"/>
          <w:sz w:val="24"/>
          <w:szCs w:val="24"/>
          <w:lang w:val="es-ES_tradnl"/>
        </w:rPr>
        <w:t xml:space="preserve">Asimismo, es importante resaltar que, pese a las limitaciones del cuadro actual, la DIAN realizó en 2012 un total de 2.232 eventos de fiscalización, lo que resultó en una recaudación adicional por gestión efectiva de fiscalización de 4,1 millones de millones de pesos, equivalente a US$ 2 mil millones anuales. Gracias a la reestructuración administrativa y el aumento de planta de personal, especialmente en el área de fiscalización, habrá un aumento en la capacidad de la institución para la realización de más eventos de fiscalización. Si este aumento de capacidad fuera totalmente proporcional al incremento del cuadro de personal, se podría esperar una recaudación adicional de 33%, lo que correspondería  a US$ 660 millones anuales. De esta manera, el beneficio de neto de esta política ascendería a cerca de US$400 millones, al descontar los costos adicionales de personal. </w:t>
      </w:r>
    </w:p>
    <w:p w:rsidR="005015BA" w:rsidRPr="005015BA" w:rsidRDefault="005015BA" w:rsidP="005015BA">
      <w:pPr>
        <w:spacing w:before="120" w:after="120" w:line="240" w:lineRule="auto"/>
        <w:jc w:val="both"/>
        <w:rPr>
          <w:rFonts w:ascii="Times New Roman" w:hAnsi="Times New Roman"/>
          <w:sz w:val="24"/>
          <w:szCs w:val="24"/>
          <w:lang w:val="es-ES_tradnl"/>
        </w:rPr>
      </w:pPr>
    </w:p>
    <w:p w:rsidR="005015BA" w:rsidRPr="005015BA" w:rsidRDefault="005015BA" w:rsidP="005015BA">
      <w:pPr>
        <w:spacing w:before="120" w:after="120" w:line="240" w:lineRule="auto"/>
        <w:ind w:left="1800"/>
        <w:jc w:val="both"/>
        <w:rPr>
          <w:rFonts w:ascii="Times New Roman" w:hAnsi="Times New Roman"/>
          <w:sz w:val="24"/>
          <w:szCs w:val="24"/>
          <w:lang w:val="es-ES_tradnl"/>
        </w:rPr>
      </w:pPr>
      <w:r w:rsidRPr="005015BA">
        <w:rPr>
          <w:rFonts w:ascii="Times New Roman" w:hAnsi="Times New Roman"/>
          <w:noProof/>
          <w:sz w:val="24"/>
          <w:szCs w:val="24"/>
          <w:lang w:val="en-US"/>
        </w:rPr>
        <w:drawing>
          <wp:inline distT="0" distB="0" distL="0" distR="0" wp14:anchorId="50EA177B" wp14:editId="3F9397C2">
            <wp:extent cx="2496709" cy="1070742"/>
            <wp:effectExtent l="0" t="0" r="0" b="0"/>
            <wp:docPr id="2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498618" cy="1071561"/>
                    </a:xfrm>
                    <a:prstGeom prst="rect">
                      <a:avLst/>
                    </a:prstGeom>
                    <a:noFill/>
                    <a:ln>
                      <a:noFill/>
                    </a:ln>
                  </pic:spPr>
                </pic:pic>
              </a:graphicData>
            </a:graphic>
          </wp:inline>
        </w:drawing>
      </w:r>
    </w:p>
    <w:p w:rsidR="005015BA" w:rsidRPr="005015BA" w:rsidRDefault="005015BA" w:rsidP="005015BA">
      <w:pPr>
        <w:spacing w:before="120" w:after="120" w:line="240" w:lineRule="auto"/>
        <w:ind w:left="1800"/>
        <w:jc w:val="both"/>
        <w:rPr>
          <w:rFonts w:ascii="Times New Roman" w:hAnsi="Times New Roman"/>
          <w:sz w:val="24"/>
          <w:szCs w:val="24"/>
          <w:lang w:val="es-ES_tradnl"/>
        </w:rPr>
      </w:pPr>
      <w:r w:rsidRPr="005015BA">
        <w:rPr>
          <w:rFonts w:ascii="Times New Roman" w:hAnsi="Times New Roman"/>
          <w:noProof/>
          <w:sz w:val="24"/>
          <w:szCs w:val="24"/>
          <w:lang w:val="en-US"/>
        </w:rPr>
        <w:drawing>
          <wp:inline distT="0" distB="0" distL="0" distR="0" wp14:anchorId="1C31D1A8" wp14:editId="3E44EE40">
            <wp:extent cx="2441050" cy="1130255"/>
            <wp:effectExtent l="0" t="0" r="0" b="0"/>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447917" cy="1133434"/>
                    </a:xfrm>
                    <a:prstGeom prst="rect">
                      <a:avLst/>
                    </a:prstGeom>
                    <a:noFill/>
                    <a:ln>
                      <a:noFill/>
                    </a:ln>
                  </pic:spPr>
                </pic:pic>
              </a:graphicData>
            </a:graphic>
          </wp:inline>
        </w:drawing>
      </w:r>
    </w:p>
    <w:p w:rsidR="007A3796" w:rsidRPr="005015BA" w:rsidRDefault="007A3796" w:rsidP="005015BA">
      <w:pPr>
        <w:spacing w:before="120" w:after="120" w:line="240" w:lineRule="auto"/>
        <w:ind w:left="1800"/>
        <w:jc w:val="both"/>
        <w:rPr>
          <w:rFonts w:ascii="Times New Roman" w:hAnsi="Times New Roman"/>
          <w:sz w:val="24"/>
          <w:szCs w:val="24"/>
        </w:rPr>
      </w:pPr>
    </w:p>
    <w:p w:rsidR="00116430" w:rsidRPr="00C27FC4" w:rsidRDefault="00116430" w:rsidP="003049D5">
      <w:pPr>
        <w:framePr w:w="6804" w:wrap="auto" w:hAnchor="text" w:x="2970"/>
        <w:spacing w:before="120" w:after="120" w:line="240" w:lineRule="auto"/>
        <w:rPr>
          <w:rFonts w:ascii="Times New Roman" w:hAnsi="Times New Roman"/>
          <w:sz w:val="24"/>
          <w:szCs w:val="24"/>
        </w:rPr>
        <w:sectPr w:rsidR="00116430" w:rsidRPr="00C27FC4" w:rsidSect="0040270D">
          <w:type w:val="continuous"/>
          <w:pgSz w:w="12240" w:h="15840"/>
          <w:pgMar w:top="1440" w:right="1800" w:bottom="1170" w:left="1800" w:header="720" w:footer="720" w:gutter="0"/>
          <w:cols w:space="720"/>
          <w:docGrid w:linePitch="360"/>
        </w:sectPr>
      </w:pPr>
    </w:p>
    <w:p w:rsidR="00087454" w:rsidRPr="00C27FC4" w:rsidRDefault="003E4FB1" w:rsidP="0012168F">
      <w:pPr>
        <w:pStyle w:val="Caption"/>
        <w:spacing w:before="120" w:after="120"/>
        <w:ind w:left="720"/>
        <w:jc w:val="center"/>
        <w:rPr>
          <w:bCs w:val="0"/>
          <w:sz w:val="24"/>
          <w:szCs w:val="24"/>
        </w:rPr>
      </w:pPr>
      <w:r w:rsidRPr="00C27FC4">
        <w:rPr>
          <w:bCs w:val="0"/>
          <w:sz w:val="24"/>
          <w:szCs w:val="24"/>
        </w:rPr>
        <w:t>Anexo I</w:t>
      </w:r>
      <w:r w:rsidR="005015BA">
        <w:rPr>
          <w:bCs w:val="0"/>
          <w:sz w:val="24"/>
          <w:szCs w:val="24"/>
        </w:rPr>
        <w:t>I</w:t>
      </w:r>
    </w:p>
    <w:p w:rsidR="00547F60" w:rsidRPr="00C27FC4" w:rsidRDefault="00547F60" w:rsidP="00653B7A">
      <w:pPr>
        <w:jc w:val="center"/>
        <w:rPr>
          <w:rFonts w:ascii="Times New Roman" w:hAnsi="Times New Roman"/>
          <w:sz w:val="20"/>
          <w:szCs w:val="18"/>
          <w:lang w:eastAsia="es-ES"/>
        </w:rPr>
      </w:pPr>
      <w:r w:rsidRPr="00C27FC4">
        <w:rPr>
          <w:rFonts w:ascii="Times New Roman" w:hAnsi="Times New Roman"/>
          <w:sz w:val="20"/>
          <w:szCs w:val="18"/>
          <w:lang w:eastAsia="es-ES"/>
        </w:rPr>
        <w:t>(</w:t>
      </w:r>
      <w:r w:rsidR="00100CF8" w:rsidRPr="00C27FC4">
        <w:rPr>
          <w:rFonts w:ascii="Times New Roman" w:hAnsi="Times New Roman"/>
          <w:sz w:val="20"/>
          <w:szCs w:val="18"/>
          <w:lang w:eastAsia="es-ES"/>
        </w:rPr>
        <w:t>Todo</w:t>
      </w:r>
      <w:r w:rsidRPr="00C27FC4">
        <w:rPr>
          <w:rFonts w:ascii="Times New Roman" w:hAnsi="Times New Roman"/>
          <w:sz w:val="20"/>
          <w:szCs w:val="18"/>
          <w:lang w:eastAsia="es-ES"/>
        </w:rPr>
        <w:t xml:space="preserve">s los anexos </w:t>
      </w:r>
      <w:r w:rsidR="00100CF8" w:rsidRPr="00C27FC4">
        <w:rPr>
          <w:rFonts w:ascii="Times New Roman" w:hAnsi="Times New Roman"/>
          <w:sz w:val="20"/>
          <w:szCs w:val="18"/>
          <w:lang w:eastAsia="es-ES"/>
        </w:rPr>
        <w:t>son presentados utilizando los</w:t>
      </w:r>
      <w:r w:rsidRPr="00C27FC4">
        <w:rPr>
          <w:rFonts w:ascii="Times New Roman" w:hAnsi="Times New Roman"/>
          <w:sz w:val="20"/>
          <w:szCs w:val="18"/>
          <w:lang w:eastAsia="es-ES"/>
        </w:rPr>
        <w:t xml:space="preserve"> montos en US$</w:t>
      </w:r>
      <w:r w:rsidR="00100CF8" w:rsidRPr="00C27FC4">
        <w:rPr>
          <w:rFonts w:ascii="Times New Roman" w:hAnsi="Times New Roman"/>
          <w:sz w:val="20"/>
          <w:szCs w:val="18"/>
          <w:lang w:eastAsia="es-ES"/>
        </w:rPr>
        <w:t xml:space="preserve"> y los montos </w:t>
      </w:r>
      <w:r w:rsidR="006E6E29" w:rsidRPr="00C27FC4">
        <w:rPr>
          <w:rFonts w:ascii="Times New Roman" w:hAnsi="Times New Roman"/>
          <w:sz w:val="20"/>
          <w:szCs w:val="18"/>
          <w:lang w:eastAsia="es-ES"/>
        </w:rPr>
        <w:t>de los beneficios están en valores reales</w:t>
      </w:r>
      <w:r w:rsidR="00100CF8" w:rsidRPr="00C27FC4">
        <w:rPr>
          <w:rFonts w:ascii="Times New Roman" w:hAnsi="Times New Roman"/>
          <w:sz w:val="20"/>
          <w:szCs w:val="18"/>
          <w:lang w:eastAsia="es-ES"/>
        </w:rPr>
        <w:t>)</w:t>
      </w:r>
    </w:p>
    <w:p w:rsidR="009B30C4" w:rsidRPr="00A259CE" w:rsidRDefault="00423CCB" w:rsidP="00C6615B">
      <w:pPr>
        <w:tabs>
          <w:tab w:val="center" w:pos="6480"/>
        </w:tabs>
        <w:spacing w:before="120" w:after="120" w:line="240" w:lineRule="auto"/>
        <w:rPr>
          <w:rFonts w:ascii="Times New Roman" w:hAnsi="Times New Roman"/>
          <w:sz w:val="24"/>
          <w:szCs w:val="24"/>
          <w:highlight w:val="yellow"/>
        </w:rPr>
      </w:pPr>
      <w:r w:rsidRPr="00C27FC4" w:rsidDel="00423CCB">
        <w:rPr>
          <w:szCs w:val="24"/>
        </w:rPr>
        <w:t xml:space="preserve"> </w:t>
      </w:r>
      <w:r w:rsidR="00C6615B" w:rsidRPr="00C27FC4">
        <w:rPr>
          <w:szCs w:val="24"/>
        </w:rPr>
        <w:tab/>
      </w:r>
      <w:bookmarkStart w:id="0" w:name="_GoBack"/>
      <w:r w:rsidR="00A259CE" w:rsidRPr="00A259CE">
        <w:drawing>
          <wp:inline distT="0" distB="0" distL="0" distR="0" wp14:anchorId="3C2E9C2C" wp14:editId="632A05C5">
            <wp:extent cx="8229600" cy="2915729"/>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229600" cy="2915729"/>
                    </a:xfrm>
                    <a:prstGeom prst="rect">
                      <a:avLst/>
                    </a:prstGeom>
                    <a:noFill/>
                    <a:ln>
                      <a:noFill/>
                    </a:ln>
                  </pic:spPr>
                </pic:pic>
              </a:graphicData>
            </a:graphic>
          </wp:inline>
        </w:drawing>
      </w:r>
      <w:bookmarkEnd w:id="0"/>
    </w:p>
    <w:p w:rsidR="00153308" w:rsidRPr="00C27FC4" w:rsidRDefault="00153308" w:rsidP="0012168F">
      <w:pPr>
        <w:tabs>
          <w:tab w:val="left" w:pos="3120"/>
        </w:tabs>
        <w:spacing w:before="120" w:after="120" w:line="240" w:lineRule="auto"/>
        <w:rPr>
          <w:rFonts w:ascii="Times New Roman" w:hAnsi="Times New Roman"/>
          <w:sz w:val="24"/>
          <w:szCs w:val="24"/>
        </w:rPr>
      </w:pPr>
    </w:p>
    <w:p w:rsidR="0049478A" w:rsidRPr="00C27FC4" w:rsidRDefault="00153308" w:rsidP="0012168F">
      <w:pPr>
        <w:spacing w:before="120" w:after="120" w:line="240" w:lineRule="auto"/>
        <w:rPr>
          <w:rFonts w:ascii="Times New Roman" w:hAnsi="Times New Roman"/>
          <w:sz w:val="20"/>
          <w:szCs w:val="24"/>
          <w:lang w:eastAsia="es-ES"/>
        </w:rPr>
      </w:pPr>
      <w:r w:rsidRPr="00C27FC4">
        <w:rPr>
          <w:rFonts w:ascii="Times New Roman" w:hAnsi="Times New Roman"/>
          <w:sz w:val="20"/>
          <w:szCs w:val="24"/>
          <w:lang w:eastAsia="es-ES"/>
        </w:rPr>
        <w:t>De acuerdo con el cuad</w:t>
      </w:r>
      <w:r w:rsidR="00416445" w:rsidRPr="00C27FC4">
        <w:rPr>
          <w:rFonts w:ascii="Times New Roman" w:hAnsi="Times New Roman"/>
          <w:sz w:val="20"/>
          <w:szCs w:val="24"/>
          <w:lang w:eastAsia="es-ES"/>
        </w:rPr>
        <w:t>ro</w:t>
      </w:r>
      <w:r w:rsidR="003C2630" w:rsidRPr="00C27FC4">
        <w:rPr>
          <w:rFonts w:ascii="Times New Roman" w:hAnsi="Times New Roman"/>
          <w:sz w:val="20"/>
          <w:szCs w:val="24"/>
          <w:lang w:eastAsia="es-ES"/>
        </w:rPr>
        <w:t xml:space="preserve"> </w:t>
      </w:r>
      <w:r w:rsidR="00E71FA4" w:rsidRPr="00C27FC4">
        <w:rPr>
          <w:rFonts w:ascii="Times New Roman" w:hAnsi="Times New Roman"/>
          <w:sz w:val="20"/>
          <w:szCs w:val="24"/>
          <w:lang w:eastAsia="es-ES"/>
        </w:rPr>
        <w:t>anterior</w:t>
      </w:r>
      <w:r w:rsidR="00416445" w:rsidRPr="00C27FC4">
        <w:rPr>
          <w:rFonts w:ascii="Times New Roman" w:hAnsi="Times New Roman"/>
          <w:sz w:val="20"/>
          <w:szCs w:val="24"/>
          <w:lang w:eastAsia="es-ES"/>
        </w:rPr>
        <w:t>, se estima que</w:t>
      </w:r>
      <w:r w:rsidR="00A8604A" w:rsidRPr="00C27FC4">
        <w:rPr>
          <w:rFonts w:ascii="Times New Roman" w:hAnsi="Times New Roman"/>
          <w:sz w:val="20"/>
          <w:szCs w:val="24"/>
          <w:lang w:eastAsia="es-ES"/>
        </w:rPr>
        <w:t>,</w:t>
      </w:r>
      <w:r w:rsidR="00416445" w:rsidRPr="00C27FC4">
        <w:rPr>
          <w:rFonts w:ascii="Times New Roman" w:hAnsi="Times New Roman"/>
          <w:sz w:val="20"/>
          <w:szCs w:val="24"/>
          <w:lang w:eastAsia="es-ES"/>
        </w:rPr>
        <w:t xml:space="preserve"> en el año 20</w:t>
      </w:r>
      <w:r w:rsidR="00976DB1">
        <w:rPr>
          <w:rFonts w:ascii="Times New Roman" w:hAnsi="Times New Roman"/>
          <w:sz w:val="20"/>
          <w:szCs w:val="24"/>
          <w:lang w:eastAsia="es-ES"/>
        </w:rPr>
        <w:t>22</w:t>
      </w:r>
      <w:r w:rsidR="00A8604A" w:rsidRPr="00C27FC4">
        <w:rPr>
          <w:rFonts w:ascii="Times New Roman" w:hAnsi="Times New Roman"/>
          <w:sz w:val="20"/>
          <w:szCs w:val="24"/>
          <w:lang w:eastAsia="es-ES"/>
        </w:rPr>
        <w:t xml:space="preserve">, el proyecto ya </w:t>
      </w:r>
      <w:r w:rsidRPr="00C27FC4">
        <w:rPr>
          <w:rFonts w:ascii="Times New Roman" w:hAnsi="Times New Roman"/>
          <w:sz w:val="20"/>
          <w:szCs w:val="24"/>
          <w:lang w:eastAsia="es-ES"/>
        </w:rPr>
        <w:t>presenta</w:t>
      </w:r>
      <w:r w:rsidR="00A8604A" w:rsidRPr="00C27FC4">
        <w:rPr>
          <w:rFonts w:ascii="Times New Roman" w:hAnsi="Times New Roman"/>
          <w:sz w:val="20"/>
          <w:szCs w:val="24"/>
          <w:lang w:eastAsia="es-ES"/>
        </w:rPr>
        <w:t>rá</w:t>
      </w:r>
      <w:r w:rsidRPr="00C27FC4">
        <w:rPr>
          <w:rFonts w:ascii="Times New Roman" w:hAnsi="Times New Roman"/>
          <w:sz w:val="20"/>
          <w:szCs w:val="24"/>
          <w:lang w:eastAsia="es-ES"/>
        </w:rPr>
        <w:t xml:space="preserve"> un beneficio </w:t>
      </w:r>
      <w:r w:rsidR="007D7A26" w:rsidRPr="00C27FC4">
        <w:rPr>
          <w:rFonts w:ascii="Times New Roman" w:hAnsi="Times New Roman"/>
          <w:sz w:val="20"/>
          <w:szCs w:val="24"/>
          <w:lang w:eastAsia="es-ES"/>
        </w:rPr>
        <w:t>neto</w:t>
      </w:r>
      <w:r w:rsidRPr="00C27FC4">
        <w:rPr>
          <w:rFonts w:ascii="Times New Roman" w:hAnsi="Times New Roman"/>
          <w:sz w:val="20"/>
          <w:szCs w:val="24"/>
          <w:lang w:eastAsia="es-ES"/>
        </w:rPr>
        <w:t xml:space="preserve"> acumulado en valor presente </w:t>
      </w:r>
      <w:r w:rsidR="00A8604A" w:rsidRPr="00C27FC4">
        <w:rPr>
          <w:rFonts w:ascii="Times New Roman" w:hAnsi="Times New Roman"/>
          <w:sz w:val="20"/>
          <w:szCs w:val="24"/>
          <w:lang w:eastAsia="es-ES"/>
        </w:rPr>
        <w:t>alrededor</w:t>
      </w:r>
      <w:r w:rsidRPr="00C27FC4">
        <w:rPr>
          <w:rFonts w:ascii="Times New Roman" w:hAnsi="Times New Roman"/>
          <w:sz w:val="20"/>
          <w:szCs w:val="24"/>
          <w:lang w:eastAsia="es-ES"/>
        </w:rPr>
        <w:t xml:space="preserve"> de </w:t>
      </w:r>
      <w:r w:rsidR="00423CCB" w:rsidRPr="00C27FC4">
        <w:rPr>
          <w:rFonts w:ascii="Times New Roman" w:hAnsi="Times New Roman"/>
          <w:sz w:val="20"/>
          <w:szCs w:val="24"/>
          <w:lang w:eastAsia="es-ES"/>
        </w:rPr>
        <w:t>US</w:t>
      </w:r>
      <w:r w:rsidR="00C84EF2" w:rsidRPr="00C27FC4">
        <w:rPr>
          <w:rFonts w:ascii="Times New Roman" w:hAnsi="Times New Roman"/>
          <w:sz w:val="20"/>
          <w:szCs w:val="24"/>
          <w:lang w:eastAsia="es-ES"/>
        </w:rPr>
        <w:t>$</w:t>
      </w:r>
      <w:r w:rsidR="00976DB1">
        <w:rPr>
          <w:rFonts w:ascii="Times New Roman" w:hAnsi="Times New Roman"/>
          <w:sz w:val="20"/>
          <w:szCs w:val="24"/>
          <w:lang w:eastAsia="es-ES"/>
        </w:rPr>
        <w:t xml:space="preserve"> 22</w:t>
      </w:r>
      <w:r w:rsidR="00423CCB" w:rsidRPr="00C27FC4">
        <w:rPr>
          <w:rFonts w:ascii="Times New Roman" w:hAnsi="Times New Roman"/>
          <w:sz w:val="20"/>
          <w:szCs w:val="24"/>
          <w:lang w:eastAsia="es-ES"/>
        </w:rPr>
        <w:t xml:space="preserve"> </w:t>
      </w:r>
      <w:r w:rsidR="006E6E29" w:rsidRPr="00C27FC4">
        <w:rPr>
          <w:rFonts w:ascii="Times New Roman" w:hAnsi="Times New Roman"/>
          <w:sz w:val="20"/>
          <w:szCs w:val="24"/>
          <w:lang w:eastAsia="es-ES"/>
        </w:rPr>
        <w:t xml:space="preserve">millones </w:t>
      </w:r>
      <w:r w:rsidR="00E71FA4" w:rsidRPr="00C27FC4">
        <w:rPr>
          <w:rFonts w:ascii="Times New Roman" w:hAnsi="Times New Roman"/>
          <w:sz w:val="20"/>
          <w:szCs w:val="24"/>
          <w:lang w:eastAsia="es-ES"/>
        </w:rPr>
        <w:t>y,</w:t>
      </w:r>
      <w:r w:rsidR="00416445" w:rsidRPr="00C27FC4">
        <w:rPr>
          <w:rFonts w:ascii="Times New Roman" w:hAnsi="Times New Roman"/>
          <w:sz w:val="20"/>
          <w:szCs w:val="24"/>
          <w:lang w:eastAsia="es-ES"/>
        </w:rPr>
        <w:t xml:space="preserve"> que</w:t>
      </w:r>
      <w:r w:rsidR="006E6E29" w:rsidRPr="00C27FC4">
        <w:rPr>
          <w:rFonts w:ascii="Times New Roman" w:hAnsi="Times New Roman"/>
          <w:sz w:val="20"/>
          <w:szCs w:val="24"/>
          <w:lang w:eastAsia="es-ES"/>
        </w:rPr>
        <w:t xml:space="preserve"> e</w:t>
      </w:r>
      <w:r w:rsidR="00416445" w:rsidRPr="00C27FC4">
        <w:rPr>
          <w:rFonts w:ascii="Times New Roman" w:hAnsi="Times New Roman"/>
          <w:sz w:val="20"/>
          <w:szCs w:val="24"/>
          <w:lang w:eastAsia="es-ES"/>
        </w:rPr>
        <w:t>n el año 202</w:t>
      </w:r>
      <w:r w:rsidR="00340730">
        <w:rPr>
          <w:rFonts w:ascii="Times New Roman" w:hAnsi="Times New Roman"/>
          <w:sz w:val="20"/>
          <w:szCs w:val="24"/>
          <w:lang w:eastAsia="es-ES"/>
        </w:rPr>
        <w:t>9</w:t>
      </w:r>
      <w:r w:rsidR="00A8604A" w:rsidRPr="00C27FC4">
        <w:rPr>
          <w:rFonts w:ascii="Times New Roman" w:hAnsi="Times New Roman"/>
          <w:sz w:val="20"/>
          <w:szCs w:val="24"/>
          <w:lang w:eastAsia="es-ES"/>
        </w:rPr>
        <w:t>,</w:t>
      </w:r>
      <w:r w:rsidRPr="00C27FC4">
        <w:rPr>
          <w:rFonts w:ascii="Times New Roman" w:hAnsi="Times New Roman"/>
          <w:sz w:val="20"/>
          <w:szCs w:val="24"/>
          <w:lang w:eastAsia="es-ES"/>
        </w:rPr>
        <w:t xml:space="preserve"> este beneficio será del orden de US$</w:t>
      </w:r>
      <w:r w:rsidR="00340730">
        <w:rPr>
          <w:rFonts w:ascii="Times New Roman" w:hAnsi="Times New Roman"/>
          <w:sz w:val="20"/>
          <w:szCs w:val="24"/>
          <w:lang w:eastAsia="es-ES"/>
        </w:rPr>
        <w:t>335</w:t>
      </w:r>
      <w:r w:rsidR="00423CCB" w:rsidRPr="00C27FC4">
        <w:rPr>
          <w:rFonts w:ascii="Times New Roman" w:hAnsi="Times New Roman"/>
          <w:sz w:val="20"/>
          <w:szCs w:val="24"/>
          <w:lang w:eastAsia="es-ES"/>
        </w:rPr>
        <w:t xml:space="preserve"> </w:t>
      </w:r>
      <w:r w:rsidRPr="00C27FC4">
        <w:rPr>
          <w:rFonts w:ascii="Times New Roman" w:hAnsi="Times New Roman"/>
          <w:sz w:val="20"/>
          <w:szCs w:val="24"/>
          <w:lang w:eastAsia="es-ES"/>
        </w:rPr>
        <w:t>millones, justificando plenamente la realización del programa.</w:t>
      </w:r>
    </w:p>
    <w:p w:rsidR="00C6615B" w:rsidRPr="00C27FC4" w:rsidRDefault="00C6615B">
      <w:pPr>
        <w:spacing w:after="0" w:line="240" w:lineRule="auto"/>
        <w:rPr>
          <w:rFonts w:ascii="Times New Roman" w:hAnsi="Times New Roman"/>
          <w:b/>
          <w:sz w:val="24"/>
          <w:szCs w:val="24"/>
          <w:lang w:eastAsia="es-ES"/>
        </w:rPr>
      </w:pPr>
      <w:r w:rsidRPr="00C27FC4">
        <w:rPr>
          <w:rFonts w:ascii="Times New Roman" w:hAnsi="Times New Roman"/>
          <w:b/>
          <w:sz w:val="24"/>
          <w:szCs w:val="24"/>
          <w:lang w:eastAsia="es-ES"/>
        </w:rPr>
        <w:br w:type="page"/>
      </w:r>
    </w:p>
    <w:p w:rsidR="00153308" w:rsidRDefault="0049478A" w:rsidP="0012168F">
      <w:pPr>
        <w:spacing w:before="120" w:after="120" w:line="240" w:lineRule="auto"/>
        <w:jc w:val="center"/>
        <w:rPr>
          <w:rFonts w:ascii="Times New Roman" w:hAnsi="Times New Roman"/>
          <w:b/>
          <w:sz w:val="24"/>
          <w:szCs w:val="24"/>
          <w:lang w:eastAsia="es-ES"/>
        </w:rPr>
      </w:pPr>
      <w:r w:rsidRPr="00C27FC4">
        <w:rPr>
          <w:rFonts w:ascii="Times New Roman" w:hAnsi="Times New Roman"/>
          <w:b/>
          <w:sz w:val="24"/>
          <w:szCs w:val="24"/>
          <w:lang w:eastAsia="es-ES"/>
        </w:rPr>
        <w:t>Sensibilidad 1</w:t>
      </w:r>
    </w:p>
    <w:p w:rsidR="0049478A" w:rsidRPr="00C27FC4" w:rsidRDefault="0049478A" w:rsidP="0012168F">
      <w:pPr>
        <w:spacing w:before="120" w:after="120" w:line="240" w:lineRule="auto"/>
        <w:rPr>
          <w:rFonts w:ascii="Times New Roman" w:hAnsi="Times New Roman"/>
          <w:b/>
          <w:sz w:val="24"/>
          <w:szCs w:val="24"/>
          <w:lang w:eastAsia="es-ES"/>
        </w:rPr>
      </w:pPr>
    </w:p>
    <w:p w:rsidR="00D8506E" w:rsidRDefault="00D8631E" w:rsidP="003E19C0">
      <w:pPr>
        <w:spacing w:after="0" w:line="240" w:lineRule="auto"/>
        <w:rPr>
          <w:rFonts w:ascii="Times New Roman" w:hAnsi="Times New Roman"/>
          <w:b/>
          <w:sz w:val="24"/>
          <w:szCs w:val="24"/>
          <w:lang w:eastAsia="es-ES"/>
        </w:rPr>
      </w:pPr>
      <w:r w:rsidRPr="00D8631E">
        <w:rPr>
          <w:noProof/>
          <w:lang w:val="en-US"/>
        </w:rPr>
        <w:drawing>
          <wp:inline distT="0" distB="0" distL="0" distR="0" wp14:anchorId="12FE0BB6" wp14:editId="3713F3A6">
            <wp:extent cx="8229600" cy="3314645"/>
            <wp:effectExtent l="0" t="0" r="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229600" cy="3314645"/>
                    </a:xfrm>
                    <a:prstGeom prst="rect">
                      <a:avLst/>
                    </a:prstGeom>
                    <a:noFill/>
                    <a:ln>
                      <a:noFill/>
                    </a:ln>
                  </pic:spPr>
                </pic:pic>
              </a:graphicData>
            </a:graphic>
          </wp:inline>
        </w:drawing>
      </w:r>
    </w:p>
    <w:p w:rsidR="00976DB1" w:rsidRDefault="00976DB1">
      <w:pPr>
        <w:spacing w:after="0" w:line="240" w:lineRule="auto"/>
        <w:rPr>
          <w:rFonts w:ascii="Times New Roman" w:hAnsi="Times New Roman"/>
          <w:b/>
          <w:sz w:val="24"/>
          <w:szCs w:val="24"/>
          <w:lang w:eastAsia="es-ES"/>
        </w:rPr>
      </w:pPr>
      <w:r>
        <w:rPr>
          <w:rFonts w:ascii="Times New Roman" w:hAnsi="Times New Roman"/>
          <w:b/>
          <w:sz w:val="24"/>
          <w:szCs w:val="24"/>
          <w:lang w:eastAsia="es-ES"/>
        </w:rPr>
        <w:br w:type="page"/>
      </w:r>
    </w:p>
    <w:p w:rsidR="00DC515A" w:rsidRPr="00C27FC4" w:rsidRDefault="0049478A" w:rsidP="0012168F">
      <w:pPr>
        <w:spacing w:before="120" w:after="120" w:line="240" w:lineRule="auto"/>
        <w:jc w:val="center"/>
        <w:rPr>
          <w:rFonts w:ascii="Times New Roman" w:hAnsi="Times New Roman"/>
          <w:b/>
          <w:sz w:val="24"/>
          <w:szCs w:val="24"/>
          <w:lang w:eastAsia="es-ES"/>
        </w:rPr>
      </w:pPr>
      <w:r w:rsidRPr="00C27FC4">
        <w:rPr>
          <w:rFonts w:ascii="Times New Roman" w:hAnsi="Times New Roman"/>
          <w:b/>
          <w:sz w:val="24"/>
          <w:szCs w:val="24"/>
          <w:lang w:eastAsia="es-ES"/>
        </w:rPr>
        <w:t>Sensibilidad 2</w:t>
      </w:r>
    </w:p>
    <w:p w:rsidR="0049478A" w:rsidRPr="00C27FC4" w:rsidRDefault="00A716F6" w:rsidP="002C3A0B">
      <w:pPr>
        <w:tabs>
          <w:tab w:val="center" w:pos="6480"/>
        </w:tabs>
        <w:spacing w:before="120" w:after="120" w:line="240" w:lineRule="auto"/>
        <w:rPr>
          <w:rFonts w:ascii="Times New Roman" w:hAnsi="Times New Roman"/>
          <w:sz w:val="24"/>
          <w:szCs w:val="24"/>
          <w:lang w:eastAsia="es-ES"/>
        </w:rPr>
      </w:pPr>
      <w:r w:rsidRPr="00C27FC4" w:rsidDel="00A716F6">
        <w:rPr>
          <w:szCs w:val="24"/>
        </w:rPr>
        <w:t xml:space="preserve"> </w:t>
      </w:r>
      <w:r w:rsidR="002C3A0B">
        <w:rPr>
          <w:szCs w:val="24"/>
        </w:rPr>
        <w:tab/>
      </w:r>
      <w:r w:rsidR="00D8631E" w:rsidRPr="00D8631E">
        <w:rPr>
          <w:noProof/>
          <w:lang w:val="en-US"/>
        </w:rPr>
        <w:drawing>
          <wp:inline distT="0" distB="0" distL="0" distR="0" wp14:anchorId="783F1D5C" wp14:editId="28563F85">
            <wp:extent cx="8229600" cy="3085171"/>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29600" cy="3085171"/>
                    </a:xfrm>
                    <a:prstGeom prst="rect">
                      <a:avLst/>
                    </a:prstGeom>
                    <a:noFill/>
                    <a:ln>
                      <a:noFill/>
                    </a:ln>
                  </pic:spPr>
                </pic:pic>
              </a:graphicData>
            </a:graphic>
          </wp:inline>
        </w:drawing>
      </w:r>
    </w:p>
    <w:p w:rsidR="00D8506E" w:rsidRPr="003E19C0" w:rsidRDefault="00D8506E" w:rsidP="003E19C0">
      <w:pPr>
        <w:spacing w:after="0" w:line="240" w:lineRule="auto"/>
        <w:rPr>
          <w:rFonts w:ascii="Times New Roman" w:hAnsi="Times New Roman"/>
          <w:b/>
          <w:sz w:val="24"/>
        </w:rPr>
      </w:pPr>
      <w:r w:rsidRPr="003E19C0">
        <w:rPr>
          <w:rFonts w:ascii="Times New Roman" w:hAnsi="Times New Roman"/>
          <w:b/>
          <w:sz w:val="24"/>
        </w:rPr>
        <w:br w:type="page"/>
      </w:r>
    </w:p>
    <w:p w:rsidR="0049478A" w:rsidRPr="00C27FC4" w:rsidRDefault="0049478A" w:rsidP="0012168F">
      <w:pPr>
        <w:spacing w:before="120" w:after="120" w:line="240" w:lineRule="auto"/>
        <w:jc w:val="center"/>
        <w:rPr>
          <w:rFonts w:ascii="Times New Roman" w:hAnsi="Times New Roman"/>
          <w:b/>
          <w:sz w:val="24"/>
          <w:szCs w:val="24"/>
          <w:lang w:eastAsia="es-ES"/>
        </w:rPr>
      </w:pPr>
      <w:r w:rsidRPr="00C27FC4">
        <w:rPr>
          <w:rFonts w:ascii="Times New Roman" w:hAnsi="Times New Roman"/>
          <w:b/>
          <w:sz w:val="24"/>
          <w:szCs w:val="24"/>
          <w:lang w:eastAsia="es-ES"/>
        </w:rPr>
        <w:t>Sensibilidad 3</w:t>
      </w:r>
    </w:p>
    <w:p w:rsidR="0049478A" w:rsidRDefault="00D8631E" w:rsidP="0012168F">
      <w:pPr>
        <w:spacing w:before="120" w:after="120" w:line="240" w:lineRule="auto"/>
        <w:jc w:val="center"/>
        <w:rPr>
          <w:szCs w:val="24"/>
        </w:rPr>
      </w:pPr>
      <w:r w:rsidRPr="00D8631E">
        <w:rPr>
          <w:noProof/>
          <w:lang w:val="en-US"/>
        </w:rPr>
        <w:drawing>
          <wp:inline distT="0" distB="0" distL="0" distR="0" wp14:anchorId="7722D49A" wp14:editId="0E42FF93">
            <wp:extent cx="8229600" cy="3277166"/>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29600" cy="3277166"/>
                    </a:xfrm>
                    <a:prstGeom prst="rect">
                      <a:avLst/>
                    </a:prstGeom>
                    <a:noFill/>
                    <a:ln>
                      <a:noFill/>
                    </a:ln>
                  </pic:spPr>
                </pic:pic>
              </a:graphicData>
            </a:graphic>
          </wp:inline>
        </w:drawing>
      </w:r>
      <w:r w:rsidR="00A716F6" w:rsidRPr="00C27FC4" w:rsidDel="00A716F6">
        <w:rPr>
          <w:szCs w:val="24"/>
        </w:rPr>
        <w:t xml:space="preserve"> </w:t>
      </w:r>
    </w:p>
    <w:p w:rsidR="005015BA" w:rsidRPr="00C27FC4" w:rsidRDefault="005015BA" w:rsidP="0012168F">
      <w:pPr>
        <w:spacing w:before="120" w:after="120" w:line="240" w:lineRule="auto"/>
        <w:jc w:val="center"/>
        <w:rPr>
          <w:rFonts w:ascii="Times New Roman" w:hAnsi="Times New Roman"/>
          <w:b/>
          <w:sz w:val="24"/>
          <w:szCs w:val="24"/>
          <w:lang w:eastAsia="es-ES"/>
        </w:rPr>
      </w:pPr>
    </w:p>
    <w:sectPr w:rsidR="005015BA" w:rsidRPr="00C27FC4" w:rsidSect="004E476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3F7" w:rsidRDefault="00BA33F7" w:rsidP="00D60DB6">
      <w:pPr>
        <w:spacing w:after="0" w:line="240" w:lineRule="auto"/>
      </w:pPr>
      <w:r>
        <w:separator/>
      </w:r>
    </w:p>
  </w:endnote>
  <w:endnote w:type="continuationSeparator" w:id="0">
    <w:p w:rsidR="00BA33F7" w:rsidRDefault="00BA33F7" w:rsidP="00D60DB6">
      <w:pPr>
        <w:spacing w:after="0" w:line="240" w:lineRule="auto"/>
      </w:pPr>
      <w:r>
        <w:continuationSeparator/>
      </w:r>
    </w:p>
  </w:endnote>
  <w:endnote w:type="continuationNotice" w:id="1">
    <w:p w:rsidR="00BA33F7" w:rsidRDefault="00BA33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3F7" w:rsidRDefault="00BA33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3F7" w:rsidRDefault="00BA33F7" w:rsidP="00D60DB6">
      <w:pPr>
        <w:spacing w:after="0" w:line="240" w:lineRule="auto"/>
      </w:pPr>
      <w:r>
        <w:separator/>
      </w:r>
    </w:p>
  </w:footnote>
  <w:footnote w:type="continuationSeparator" w:id="0">
    <w:p w:rsidR="00BA33F7" w:rsidRDefault="00BA33F7" w:rsidP="00D60DB6">
      <w:pPr>
        <w:spacing w:after="0" w:line="240" w:lineRule="auto"/>
      </w:pPr>
      <w:r>
        <w:continuationSeparator/>
      </w:r>
    </w:p>
  </w:footnote>
  <w:footnote w:type="continuationNotice" w:id="1">
    <w:p w:rsidR="00BA33F7" w:rsidRDefault="00BA33F7">
      <w:pPr>
        <w:spacing w:after="0" w:line="240" w:lineRule="auto"/>
      </w:pPr>
    </w:p>
  </w:footnote>
  <w:footnote w:id="2">
    <w:p w:rsidR="00BA33F7" w:rsidRPr="00A01E42" w:rsidRDefault="00BA33F7" w:rsidP="009E2F1B">
      <w:pPr>
        <w:pStyle w:val="FootnoteText"/>
        <w:spacing w:after="0"/>
        <w:rPr>
          <w:lang w:val="es-ES_tradnl"/>
        </w:rPr>
      </w:pPr>
      <w:r>
        <w:rPr>
          <w:rStyle w:val="FootnoteReference"/>
        </w:rPr>
        <w:footnoteRef/>
      </w:r>
      <w:r>
        <w:t xml:space="preserve"> </w:t>
      </w:r>
      <w:r>
        <w:tab/>
      </w:r>
      <w:r w:rsidRPr="00A01E42">
        <w:rPr>
          <w:sz w:val="18"/>
          <w:lang w:val="es-ES_tradnl"/>
        </w:rPr>
        <w:t>El uso de facturas en papel impacta negativamente en la capacidad de la DIAN dado el limitado acceso que brinda en términos de información de calidad para la toma de decisiones.</w:t>
      </w:r>
    </w:p>
  </w:footnote>
  <w:footnote w:id="3">
    <w:p w:rsidR="00BA33F7" w:rsidRPr="00A01E42" w:rsidRDefault="00BA33F7" w:rsidP="009E2F1B">
      <w:pPr>
        <w:pStyle w:val="FootnoteText"/>
        <w:spacing w:after="0"/>
        <w:rPr>
          <w:lang w:val="es-ES_tradnl"/>
        </w:rPr>
      </w:pPr>
      <w:r w:rsidRPr="00A01E42">
        <w:rPr>
          <w:rStyle w:val="FootnoteReference"/>
          <w:lang w:val="es-ES_tradnl"/>
        </w:rPr>
        <w:footnoteRef/>
      </w:r>
      <w:r w:rsidRPr="00A01E42">
        <w:rPr>
          <w:lang w:val="es-ES_tradnl"/>
        </w:rPr>
        <w:t xml:space="preserve">  </w:t>
      </w:r>
      <w:r w:rsidRPr="00A01E42">
        <w:rPr>
          <w:lang w:val="es-ES_tradnl"/>
        </w:rPr>
        <w:tab/>
      </w:r>
      <w:r w:rsidRPr="00A01E42">
        <w:rPr>
          <w:sz w:val="18"/>
          <w:lang w:val="es-ES_tradnl"/>
        </w:rPr>
        <w:t xml:space="preserve">Según el </w:t>
      </w:r>
      <w:proofErr w:type="spellStart"/>
      <w:r w:rsidRPr="00A01E42">
        <w:rPr>
          <w:sz w:val="18"/>
          <w:lang w:val="es-ES_tradnl"/>
        </w:rPr>
        <w:t>Doing</w:t>
      </w:r>
      <w:proofErr w:type="spellEnd"/>
      <w:r w:rsidRPr="00A01E42">
        <w:rPr>
          <w:sz w:val="18"/>
          <w:lang w:val="es-ES_tradnl"/>
        </w:rPr>
        <w:t xml:space="preserve"> Business, la autorización de aduana y control técnico en importaciones demora 2 días y tiene un costo promedio de $170 por contenedor, niv</w:t>
      </w:r>
      <w:r w:rsidRPr="00A01E42">
        <w:rPr>
          <w:sz w:val="18"/>
          <w:szCs w:val="18"/>
          <w:lang w:val="es-ES_tradnl"/>
        </w:rPr>
        <w:t xml:space="preserve">el superior al observado en países como Chile ($100). </w:t>
      </w:r>
    </w:p>
  </w:footnote>
  <w:footnote w:id="4">
    <w:p w:rsidR="00BA33F7" w:rsidRPr="00161985" w:rsidRDefault="00BA33F7" w:rsidP="009E2F1B">
      <w:pPr>
        <w:pStyle w:val="FootnoteText"/>
        <w:spacing w:after="0"/>
        <w:rPr>
          <w:sz w:val="18"/>
          <w:szCs w:val="18"/>
        </w:rPr>
      </w:pPr>
      <w:r>
        <w:rPr>
          <w:rStyle w:val="FootnoteReference"/>
        </w:rPr>
        <w:footnoteRef/>
      </w:r>
      <w:r>
        <w:t xml:space="preserve"> </w:t>
      </w:r>
      <w:r>
        <w:tab/>
      </w:r>
      <w:r w:rsidRPr="00DE181D">
        <w:rPr>
          <w:sz w:val="18"/>
          <w:szCs w:val="18"/>
          <w:lang w:val="es-ES_tradnl"/>
        </w:rPr>
        <w:t>En base a la información de la DIAN, el bajo número de funcionarios (habitantes por funcionario de recaudación en Colombia es el más alto de la región, más de 10 mil, representando el doble del promedio de América Latina y el Caribe) y  la composición de su planta (edad media del funcionario es superior a los 45 años) aunado a la baja presencia territorial (presencia efectiva en sólo 43 de 1.121 municipios)</w:t>
      </w:r>
      <w:r w:rsidRPr="00DE181D">
        <w:rPr>
          <w:sz w:val="18"/>
          <w:lang w:val="es-ES_tradnl"/>
        </w:rPr>
        <w:t xml:space="preserve"> y a la poca coordinación entre la dirección tributaria y la aduanera, redunda en muy bajo nivel de fiscalización (0,1 inspecciones sobre contribuyentes activos frente al 3,1 promedio de la región).</w:t>
      </w:r>
      <w:r>
        <w:t xml:space="preserve"> </w:t>
      </w:r>
    </w:p>
  </w:footnote>
  <w:footnote w:id="5">
    <w:p w:rsidR="00BA33F7" w:rsidRPr="00A259CE" w:rsidRDefault="00BA33F7" w:rsidP="00A01E42">
      <w:pPr>
        <w:pStyle w:val="FootnoteText"/>
        <w:spacing w:after="0"/>
        <w:ind w:left="90" w:hanging="90"/>
        <w:rPr>
          <w:sz w:val="16"/>
          <w:szCs w:val="16"/>
          <w:lang w:val="es-ES_tradnl"/>
        </w:rPr>
      </w:pPr>
      <w:r w:rsidRPr="003B5370">
        <w:rPr>
          <w:rStyle w:val="FootnoteReference"/>
          <w:sz w:val="16"/>
          <w:szCs w:val="16"/>
        </w:rPr>
        <w:footnoteRef/>
      </w:r>
      <w:r w:rsidRPr="003B5370">
        <w:rPr>
          <w:sz w:val="16"/>
          <w:szCs w:val="16"/>
          <w:lang w:val="en-US"/>
        </w:rPr>
        <w:t xml:space="preserve"> Para mayor </w:t>
      </w:r>
      <w:proofErr w:type="spellStart"/>
      <w:r w:rsidRPr="003B5370">
        <w:rPr>
          <w:sz w:val="16"/>
          <w:szCs w:val="16"/>
          <w:lang w:val="en-US"/>
        </w:rPr>
        <w:t>información</w:t>
      </w:r>
      <w:proofErr w:type="spellEnd"/>
      <w:r w:rsidRPr="003B5370">
        <w:rPr>
          <w:sz w:val="16"/>
          <w:szCs w:val="16"/>
          <w:lang w:val="en-US"/>
        </w:rPr>
        <w:t xml:space="preserve"> </w:t>
      </w:r>
      <w:proofErr w:type="spellStart"/>
      <w:r w:rsidRPr="003B5370">
        <w:rPr>
          <w:sz w:val="16"/>
          <w:szCs w:val="16"/>
          <w:lang w:val="en-US"/>
        </w:rPr>
        <w:t>remitirse</w:t>
      </w:r>
      <w:proofErr w:type="spellEnd"/>
      <w:r w:rsidRPr="003B5370">
        <w:rPr>
          <w:sz w:val="16"/>
          <w:szCs w:val="16"/>
          <w:lang w:val="en-US"/>
        </w:rPr>
        <w:t xml:space="preserve"> a DOES e-PROCUREMENT SAVE THE STATE MONEY? </w:t>
      </w:r>
      <w:proofErr w:type="gramStart"/>
      <w:r w:rsidRPr="003B5370">
        <w:rPr>
          <w:sz w:val="16"/>
          <w:szCs w:val="16"/>
          <w:lang w:val="en-US"/>
        </w:rPr>
        <w:t xml:space="preserve">(Singer, </w:t>
      </w:r>
      <w:proofErr w:type="spellStart"/>
      <w:r w:rsidRPr="003B5370">
        <w:rPr>
          <w:sz w:val="16"/>
          <w:szCs w:val="16"/>
          <w:lang w:val="en-US"/>
        </w:rPr>
        <w:t>Konstantinidis</w:t>
      </w:r>
      <w:proofErr w:type="spellEnd"/>
      <w:r w:rsidRPr="003B5370">
        <w:rPr>
          <w:sz w:val="16"/>
          <w:szCs w:val="16"/>
          <w:lang w:val="en-US"/>
        </w:rPr>
        <w:t xml:space="preserve">, </w:t>
      </w:r>
      <w:proofErr w:type="spellStart"/>
      <w:r w:rsidRPr="003B5370">
        <w:rPr>
          <w:sz w:val="16"/>
          <w:szCs w:val="16"/>
          <w:lang w:val="en-US"/>
        </w:rPr>
        <w:t>Roubik</w:t>
      </w:r>
      <w:proofErr w:type="spellEnd"/>
      <w:r w:rsidRPr="003B5370">
        <w:rPr>
          <w:sz w:val="16"/>
          <w:szCs w:val="16"/>
          <w:lang w:val="en-US"/>
        </w:rPr>
        <w:t xml:space="preserve"> and </w:t>
      </w:r>
      <w:proofErr w:type="spellStart"/>
      <w:r w:rsidRPr="003B5370">
        <w:rPr>
          <w:sz w:val="16"/>
          <w:szCs w:val="16"/>
          <w:lang w:val="en-US"/>
        </w:rPr>
        <w:t>Beffermann</w:t>
      </w:r>
      <w:proofErr w:type="spellEnd"/>
      <w:r w:rsidRPr="003B5370">
        <w:rPr>
          <w:sz w:val="16"/>
          <w:szCs w:val="16"/>
          <w:lang w:val="en-US"/>
        </w:rPr>
        <w:t>, 2009).</w:t>
      </w:r>
      <w:proofErr w:type="gramEnd"/>
      <w:r w:rsidRPr="003B5370">
        <w:rPr>
          <w:sz w:val="16"/>
          <w:szCs w:val="16"/>
          <w:lang w:val="en-US"/>
        </w:rPr>
        <w:t xml:space="preserve">  </w:t>
      </w:r>
      <w:r w:rsidRPr="00A259CE">
        <w:rPr>
          <w:sz w:val="16"/>
          <w:szCs w:val="16"/>
          <w:lang w:val="es-ES_tradnl"/>
        </w:rPr>
        <w:t>JOURNAL OF PUBLIC PROCUREMENT, VOLUME 9, ISSUE 1, 58-78</w:t>
      </w:r>
    </w:p>
  </w:footnote>
  <w:footnote w:id="6">
    <w:p w:rsidR="00BA33F7" w:rsidRPr="005015BA" w:rsidRDefault="00BA33F7" w:rsidP="005015BA">
      <w:pPr>
        <w:pStyle w:val="FootnoteText"/>
        <w:spacing w:after="0"/>
        <w:contextualSpacing/>
        <w:rPr>
          <w:sz w:val="18"/>
          <w:szCs w:val="18"/>
          <w:lang w:val="es-ES_tradnl"/>
        </w:rPr>
      </w:pPr>
      <w:r w:rsidRPr="005015BA">
        <w:rPr>
          <w:rStyle w:val="FootnoteReference"/>
          <w:sz w:val="18"/>
          <w:szCs w:val="18"/>
        </w:rPr>
        <w:footnoteRef/>
      </w:r>
      <w:r w:rsidRPr="005015BA">
        <w:rPr>
          <w:sz w:val="18"/>
          <w:szCs w:val="18"/>
        </w:rPr>
        <w:t xml:space="preserve"> </w:t>
      </w:r>
      <w:r w:rsidRPr="005015BA">
        <w:rPr>
          <w:sz w:val="18"/>
          <w:szCs w:val="18"/>
        </w:rPr>
        <w:tab/>
      </w:r>
      <w:r w:rsidRPr="005015BA">
        <w:rPr>
          <w:sz w:val="18"/>
          <w:szCs w:val="18"/>
          <w:lang w:val="es-ES_tradnl"/>
        </w:rPr>
        <w:t>Información en base al DIA 2013, elaborado por el Banco.</w:t>
      </w:r>
    </w:p>
  </w:footnote>
  <w:footnote w:id="7">
    <w:p w:rsidR="00BA33F7" w:rsidRPr="005015BA" w:rsidRDefault="00BA33F7" w:rsidP="005015BA">
      <w:pPr>
        <w:pStyle w:val="FootnoteText"/>
        <w:spacing w:after="0"/>
        <w:contextualSpacing/>
        <w:rPr>
          <w:sz w:val="18"/>
          <w:szCs w:val="18"/>
          <w:lang w:val="es-ES_tradnl"/>
        </w:rPr>
      </w:pPr>
      <w:r w:rsidRPr="005015BA">
        <w:rPr>
          <w:rStyle w:val="FootnoteReference"/>
          <w:sz w:val="18"/>
          <w:szCs w:val="18"/>
          <w:lang w:val="es-ES_tradnl"/>
        </w:rPr>
        <w:footnoteRef/>
      </w:r>
      <w:r w:rsidRPr="005015BA">
        <w:rPr>
          <w:sz w:val="18"/>
          <w:szCs w:val="18"/>
          <w:lang w:val="es-ES_tradnl"/>
        </w:rPr>
        <w:t xml:space="preserve"> </w:t>
      </w:r>
      <w:r w:rsidRPr="005015BA">
        <w:rPr>
          <w:sz w:val="18"/>
          <w:szCs w:val="18"/>
          <w:lang w:val="es-ES_tradnl"/>
        </w:rPr>
        <w:tab/>
        <w:t xml:space="preserve">Información en base a </w:t>
      </w:r>
      <w:proofErr w:type="spellStart"/>
      <w:r w:rsidRPr="005015BA">
        <w:rPr>
          <w:sz w:val="18"/>
          <w:szCs w:val="18"/>
          <w:lang w:val="es-ES_tradnl"/>
        </w:rPr>
        <w:t>Cepal</w:t>
      </w:r>
      <w:proofErr w:type="spellEnd"/>
      <w:r w:rsidRPr="005015BA">
        <w:rPr>
          <w:sz w:val="18"/>
          <w:szCs w:val="18"/>
          <w:lang w:val="es-ES_tradnl"/>
        </w:rPr>
        <w:t>: Estadísticas  tributarias en América Latina 1990-2012.</w:t>
      </w:r>
    </w:p>
  </w:footnote>
  <w:footnote w:id="8">
    <w:p w:rsidR="00BA33F7" w:rsidRPr="005015BA" w:rsidRDefault="00BA33F7" w:rsidP="005015BA">
      <w:pPr>
        <w:pStyle w:val="FootnoteText"/>
        <w:spacing w:after="0"/>
        <w:contextualSpacing/>
        <w:rPr>
          <w:sz w:val="18"/>
          <w:szCs w:val="18"/>
          <w:lang w:val="es-ES_tradnl"/>
        </w:rPr>
      </w:pPr>
      <w:r w:rsidRPr="005015BA">
        <w:rPr>
          <w:rStyle w:val="FootnoteReference"/>
          <w:sz w:val="18"/>
          <w:szCs w:val="18"/>
          <w:lang w:val="es-ES_tradnl"/>
        </w:rPr>
        <w:footnoteRef/>
      </w:r>
      <w:r w:rsidRPr="005015BA">
        <w:rPr>
          <w:sz w:val="18"/>
          <w:szCs w:val="18"/>
          <w:lang w:val="es-ES_tradnl"/>
        </w:rPr>
        <w:t xml:space="preserve"> </w:t>
      </w:r>
      <w:r w:rsidRPr="005015BA">
        <w:rPr>
          <w:sz w:val="18"/>
          <w:szCs w:val="18"/>
          <w:lang w:val="es-ES_tradnl"/>
        </w:rPr>
        <w:tab/>
        <w:t>Según el DIA 2013, la productividad del IVA en la región es, en promedio, 41%.</w:t>
      </w:r>
    </w:p>
  </w:footnote>
  <w:footnote w:id="9">
    <w:p w:rsidR="00BA33F7" w:rsidRPr="005015BA" w:rsidRDefault="00BA33F7" w:rsidP="005015BA">
      <w:pPr>
        <w:pStyle w:val="FootnoteText"/>
        <w:spacing w:after="0"/>
        <w:contextualSpacing/>
        <w:rPr>
          <w:sz w:val="18"/>
          <w:szCs w:val="18"/>
          <w:lang w:val="es-ES_tradnl"/>
        </w:rPr>
      </w:pPr>
      <w:r w:rsidRPr="005015BA">
        <w:rPr>
          <w:rStyle w:val="FootnoteReference"/>
          <w:sz w:val="18"/>
          <w:szCs w:val="18"/>
          <w:lang w:val="es-ES_tradnl"/>
        </w:rPr>
        <w:footnoteRef/>
      </w:r>
      <w:r w:rsidRPr="005015BA">
        <w:rPr>
          <w:sz w:val="18"/>
          <w:szCs w:val="18"/>
          <w:lang w:val="es-ES_tradnl"/>
        </w:rPr>
        <w:t xml:space="preserve"> </w:t>
      </w:r>
      <w:r w:rsidRPr="005015BA">
        <w:rPr>
          <w:sz w:val="18"/>
          <w:szCs w:val="18"/>
          <w:lang w:val="es-ES_tradnl"/>
        </w:rPr>
        <w:tab/>
        <w:t>Según la última estimación disponible (2010), la tasa de evasión del IVA es del 25,4%, que representa el 2% del PIB</w:t>
      </w:r>
    </w:p>
  </w:footnote>
  <w:footnote w:id="10">
    <w:p w:rsidR="00BA33F7" w:rsidRPr="005015BA" w:rsidRDefault="00BA33F7" w:rsidP="005015BA">
      <w:pPr>
        <w:pStyle w:val="FootnoteText"/>
        <w:spacing w:after="0"/>
        <w:contextualSpacing/>
        <w:rPr>
          <w:sz w:val="18"/>
          <w:szCs w:val="18"/>
          <w:lang w:val="es-ES_tradnl"/>
        </w:rPr>
      </w:pPr>
      <w:r w:rsidRPr="005015BA">
        <w:rPr>
          <w:rStyle w:val="FootnoteReference"/>
          <w:sz w:val="18"/>
          <w:szCs w:val="18"/>
          <w:lang w:val="es-ES_tradnl"/>
        </w:rPr>
        <w:footnoteRef/>
      </w:r>
      <w:r w:rsidRPr="005015BA">
        <w:rPr>
          <w:sz w:val="18"/>
          <w:szCs w:val="18"/>
          <w:lang w:val="es-ES_tradnl"/>
        </w:rPr>
        <w:t xml:space="preserve"> </w:t>
      </w:r>
      <w:r w:rsidRPr="005015BA">
        <w:rPr>
          <w:sz w:val="18"/>
          <w:szCs w:val="18"/>
          <w:lang w:val="es-ES_tradnl"/>
        </w:rPr>
        <w:tab/>
        <w:t>En base a la información de la DIAN, el bajo número de funcionarios (habitantes por funcionario de recaudación en Colombia es el más alto de la región, más de 10 mil, representando el doble del promedio de América Latina y el Caribe) y  la composición de su planta (edad media del funcionario es superior a los 45 años) aunado a la baja presencia territorial (presencia efectiva en sólo 43 de 1.121 municipios) y a la poca coordinación entre la dirección tributaria y la aduanera, redunda en muy bajo nivel de fiscalización (0,1 inspecciones sobre contribuyentes activos frente al 3,1 promedio de la región, según DIA 2013).</w:t>
      </w:r>
      <w:r w:rsidRPr="005015BA">
        <w:rPr>
          <w:lang w:val="es-ES_tradnl"/>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3F7" w:rsidRDefault="00BA33F7">
    <w:pPr>
      <w:pStyle w:val="Header"/>
      <w:jc w:val="center"/>
    </w:pPr>
    <w:r>
      <w:t>- </w:t>
    </w:r>
    <w:r w:rsidRPr="0040270D">
      <w:rPr>
        <w:rFonts w:ascii="Times New Roman" w:hAnsi="Times New Roman"/>
        <w:sz w:val="24"/>
      </w:rPr>
      <w:fldChar w:fldCharType="begin"/>
    </w:r>
    <w:r w:rsidRPr="0040270D">
      <w:rPr>
        <w:rFonts w:ascii="Times New Roman" w:hAnsi="Times New Roman"/>
        <w:sz w:val="24"/>
      </w:rPr>
      <w:instrText xml:space="preserve"> PAGE   \* MERGEFORMAT </w:instrText>
    </w:r>
    <w:r w:rsidRPr="0040270D">
      <w:rPr>
        <w:rFonts w:ascii="Times New Roman" w:hAnsi="Times New Roman"/>
        <w:sz w:val="24"/>
      </w:rPr>
      <w:fldChar w:fldCharType="separate"/>
    </w:r>
    <w:r w:rsidR="00A259CE">
      <w:rPr>
        <w:rFonts w:ascii="Times New Roman" w:hAnsi="Times New Roman"/>
        <w:noProof/>
        <w:sz w:val="24"/>
      </w:rPr>
      <w:t>21</w:t>
    </w:r>
    <w:r w:rsidRPr="0040270D">
      <w:rPr>
        <w:rFonts w:ascii="Times New Roman" w:hAnsi="Times New Roman"/>
        <w:sz w:val="24"/>
      </w:rPr>
      <w:fldChar w:fldCharType="end"/>
    </w:r>
    <w:r>
      <w:t xml:space="preserve"> </w:t>
    </w:r>
    <w:r>
      <w:noBreakHyphen/>
    </w:r>
  </w:p>
  <w:p w:rsidR="00BA33F7" w:rsidRDefault="00BA33F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27E98"/>
    <w:multiLevelType w:val="multilevel"/>
    <w:tmpl w:val="6E1831E0"/>
    <w:lvl w:ilvl="0">
      <w:start w:val="1"/>
      <w:numFmt w:val="upperLetter"/>
      <w:lvlText w:val="%1."/>
      <w:lvlJc w:val="left"/>
      <w:pPr>
        <w:ind w:left="1080" w:hanging="720"/>
      </w:pPr>
      <w:rPr>
        <w:rFonts w:ascii="Times New Roman" w:eastAsia="Calibri" w:hAnsi="Times New Roman" w:cs="Times New Roman"/>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2104273"/>
    <w:multiLevelType w:val="hybridMultilevel"/>
    <w:tmpl w:val="F0D26A52"/>
    <w:name w:val="WW8Num2"/>
    <w:lvl w:ilvl="0" w:tplc="7A6028AA">
      <w:start w:val="1"/>
      <w:numFmt w:val="decimal"/>
      <w:lvlText w:val="%1."/>
      <w:lvlJc w:val="left"/>
      <w:pPr>
        <w:ind w:left="720" w:hanging="360"/>
      </w:pPr>
    </w:lvl>
    <w:lvl w:ilvl="1" w:tplc="7AB63006" w:tentative="1">
      <w:start w:val="1"/>
      <w:numFmt w:val="lowerLetter"/>
      <w:lvlText w:val="%2."/>
      <w:lvlJc w:val="left"/>
      <w:pPr>
        <w:ind w:left="1440" w:hanging="360"/>
      </w:pPr>
    </w:lvl>
    <w:lvl w:ilvl="2" w:tplc="CB3E7FC4" w:tentative="1">
      <w:start w:val="1"/>
      <w:numFmt w:val="lowerRoman"/>
      <w:lvlText w:val="%3."/>
      <w:lvlJc w:val="right"/>
      <w:pPr>
        <w:ind w:left="2160" w:hanging="180"/>
      </w:pPr>
    </w:lvl>
    <w:lvl w:ilvl="3" w:tplc="FB5239A4" w:tentative="1">
      <w:start w:val="1"/>
      <w:numFmt w:val="decimal"/>
      <w:lvlText w:val="%4."/>
      <w:lvlJc w:val="left"/>
      <w:pPr>
        <w:ind w:left="2880" w:hanging="360"/>
      </w:pPr>
    </w:lvl>
    <w:lvl w:ilvl="4" w:tplc="D72EC170" w:tentative="1">
      <w:start w:val="1"/>
      <w:numFmt w:val="lowerLetter"/>
      <w:lvlText w:val="%5."/>
      <w:lvlJc w:val="left"/>
      <w:pPr>
        <w:ind w:left="3600" w:hanging="360"/>
      </w:pPr>
    </w:lvl>
    <w:lvl w:ilvl="5" w:tplc="86F4B516" w:tentative="1">
      <w:start w:val="1"/>
      <w:numFmt w:val="lowerRoman"/>
      <w:lvlText w:val="%6."/>
      <w:lvlJc w:val="right"/>
      <w:pPr>
        <w:ind w:left="4320" w:hanging="180"/>
      </w:pPr>
    </w:lvl>
    <w:lvl w:ilvl="6" w:tplc="B16042C4" w:tentative="1">
      <w:start w:val="1"/>
      <w:numFmt w:val="decimal"/>
      <w:lvlText w:val="%7."/>
      <w:lvlJc w:val="left"/>
      <w:pPr>
        <w:ind w:left="5040" w:hanging="360"/>
      </w:pPr>
    </w:lvl>
    <w:lvl w:ilvl="7" w:tplc="D278F4F0" w:tentative="1">
      <w:start w:val="1"/>
      <w:numFmt w:val="lowerLetter"/>
      <w:lvlText w:val="%8."/>
      <w:lvlJc w:val="left"/>
      <w:pPr>
        <w:ind w:left="5760" w:hanging="360"/>
      </w:pPr>
    </w:lvl>
    <w:lvl w:ilvl="8" w:tplc="57D2822C" w:tentative="1">
      <w:start w:val="1"/>
      <w:numFmt w:val="lowerRoman"/>
      <w:lvlText w:val="%9."/>
      <w:lvlJc w:val="right"/>
      <w:pPr>
        <w:ind w:left="6480" w:hanging="180"/>
      </w:pPr>
    </w:lvl>
  </w:abstractNum>
  <w:abstractNum w:abstractNumId="2">
    <w:nsid w:val="03FE5E66"/>
    <w:multiLevelType w:val="hybridMultilevel"/>
    <w:tmpl w:val="8C9829FA"/>
    <w:lvl w:ilvl="0" w:tplc="DE3C6600">
      <w:start w:val="1"/>
      <w:numFmt w:val="lowerLetter"/>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3">
    <w:nsid w:val="0786524D"/>
    <w:multiLevelType w:val="hybridMultilevel"/>
    <w:tmpl w:val="C7F8ECFA"/>
    <w:lvl w:ilvl="0" w:tplc="BB4AA880">
      <w:start w:val="1"/>
      <w:numFmt w:val="lowerRoman"/>
      <w:lvlText w:val="(%1)"/>
      <w:lvlJc w:val="left"/>
      <w:pPr>
        <w:ind w:left="1620" w:hanging="720"/>
      </w:pPr>
      <w:rPr>
        <w:rFonts w:hint="default"/>
      </w:rPr>
    </w:lvl>
    <w:lvl w:ilvl="1" w:tplc="04160019" w:tentative="1">
      <w:start w:val="1"/>
      <w:numFmt w:val="lowerLetter"/>
      <w:lvlText w:val="%2."/>
      <w:lvlJc w:val="left"/>
      <w:pPr>
        <w:ind w:left="1980" w:hanging="360"/>
      </w:pPr>
    </w:lvl>
    <w:lvl w:ilvl="2" w:tplc="0416001B" w:tentative="1">
      <w:start w:val="1"/>
      <w:numFmt w:val="lowerRoman"/>
      <w:lvlText w:val="%3."/>
      <w:lvlJc w:val="right"/>
      <w:pPr>
        <w:ind w:left="2700" w:hanging="180"/>
      </w:pPr>
    </w:lvl>
    <w:lvl w:ilvl="3" w:tplc="0416000F" w:tentative="1">
      <w:start w:val="1"/>
      <w:numFmt w:val="decimal"/>
      <w:lvlText w:val="%4."/>
      <w:lvlJc w:val="left"/>
      <w:pPr>
        <w:ind w:left="3420" w:hanging="360"/>
      </w:pPr>
    </w:lvl>
    <w:lvl w:ilvl="4" w:tplc="04160019" w:tentative="1">
      <w:start w:val="1"/>
      <w:numFmt w:val="lowerLetter"/>
      <w:lvlText w:val="%5."/>
      <w:lvlJc w:val="left"/>
      <w:pPr>
        <w:ind w:left="4140" w:hanging="360"/>
      </w:pPr>
    </w:lvl>
    <w:lvl w:ilvl="5" w:tplc="0416001B" w:tentative="1">
      <w:start w:val="1"/>
      <w:numFmt w:val="lowerRoman"/>
      <w:lvlText w:val="%6."/>
      <w:lvlJc w:val="right"/>
      <w:pPr>
        <w:ind w:left="4860" w:hanging="180"/>
      </w:pPr>
    </w:lvl>
    <w:lvl w:ilvl="6" w:tplc="0416000F" w:tentative="1">
      <w:start w:val="1"/>
      <w:numFmt w:val="decimal"/>
      <w:lvlText w:val="%7."/>
      <w:lvlJc w:val="left"/>
      <w:pPr>
        <w:ind w:left="5580" w:hanging="360"/>
      </w:pPr>
    </w:lvl>
    <w:lvl w:ilvl="7" w:tplc="04160019" w:tentative="1">
      <w:start w:val="1"/>
      <w:numFmt w:val="lowerLetter"/>
      <w:lvlText w:val="%8."/>
      <w:lvlJc w:val="left"/>
      <w:pPr>
        <w:ind w:left="6300" w:hanging="360"/>
      </w:pPr>
    </w:lvl>
    <w:lvl w:ilvl="8" w:tplc="0416001B" w:tentative="1">
      <w:start w:val="1"/>
      <w:numFmt w:val="lowerRoman"/>
      <w:lvlText w:val="%9."/>
      <w:lvlJc w:val="right"/>
      <w:pPr>
        <w:ind w:left="7020" w:hanging="180"/>
      </w:pPr>
    </w:lvl>
  </w:abstractNum>
  <w:abstractNum w:abstractNumId="4">
    <w:nsid w:val="081B2B60"/>
    <w:multiLevelType w:val="multilevel"/>
    <w:tmpl w:val="5964E942"/>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rPr>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nsid w:val="0DAB7FC9"/>
    <w:multiLevelType w:val="multilevel"/>
    <w:tmpl w:val="EACAEB92"/>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386"/>
        </w:tabs>
        <w:ind w:left="1386"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
    <w:nsid w:val="145A04BD"/>
    <w:multiLevelType w:val="hybridMultilevel"/>
    <w:tmpl w:val="5D3ADEC4"/>
    <w:lvl w:ilvl="0" w:tplc="7C30C81C">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E903921"/>
    <w:multiLevelType w:val="multilevel"/>
    <w:tmpl w:val="DE749DA8"/>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nsid w:val="2190563A"/>
    <w:multiLevelType w:val="hybridMultilevel"/>
    <w:tmpl w:val="906C1F1C"/>
    <w:lvl w:ilvl="0" w:tplc="E904D906">
      <w:start w:val="1"/>
      <w:numFmt w:val="lowerRoman"/>
      <w:lvlText w:val="(%1)"/>
      <w:lvlJc w:val="left"/>
      <w:pPr>
        <w:ind w:left="1620" w:hanging="720"/>
      </w:pPr>
      <w:rPr>
        <w:rFonts w:hint="default"/>
      </w:rPr>
    </w:lvl>
    <w:lvl w:ilvl="1" w:tplc="04160019" w:tentative="1">
      <w:start w:val="1"/>
      <w:numFmt w:val="lowerLetter"/>
      <w:lvlText w:val="%2."/>
      <w:lvlJc w:val="left"/>
      <w:pPr>
        <w:ind w:left="1980" w:hanging="360"/>
      </w:pPr>
    </w:lvl>
    <w:lvl w:ilvl="2" w:tplc="0416001B" w:tentative="1">
      <w:start w:val="1"/>
      <w:numFmt w:val="lowerRoman"/>
      <w:lvlText w:val="%3."/>
      <w:lvlJc w:val="right"/>
      <w:pPr>
        <w:ind w:left="2700" w:hanging="180"/>
      </w:pPr>
    </w:lvl>
    <w:lvl w:ilvl="3" w:tplc="0416000F" w:tentative="1">
      <w:start w:val="1"/>
      <w:numFmt w:val="decimal"/>
      <w:lvlText w:val="%4."/>
      <w:lvlJc w:val="left"/>
      <w:pPr>
        <w:ind w:left="3420" w:hanging="360"/>
      </w:pPr>
    </w:lvl>
    <w:lvl w:ilvl="4" w:tplc="04160019" w:tentative="1">
      <w:start w:val="1"/>
      <w:numFmt w:val="lowerLetter"/>
      <w:lvlText w:val="%5."/>
      <w:lvlJc w:val="left"/>
      <w:pPr>
        <w:ind w:left="4140" w:hanging="360"/>
      </w:pPr>
    </w:lvl>
    <w:lvl w:ilvl="5" w:tplc="0416001B" w:tentative="1">
      <w:start w:val="1"/>
      <w:numFmt w:val="lowerRoman"/>
      <w:lvlText w:val="%6."/>
      <w:lvlJc w:val="right"/>
      <w:pPr>
        <w:ind w:left="4860" w:hanging="180"/>
      </w:pPr>
    </w:lvl>
    <w:lvl w:ilvl="6" w:tplc="0416000F" w:tentative="1">
      <w:start w:val="1"/>
      <w:numFmt w:val="decimal"/>
      <w:lvlText w:val="%7."/>
      <w:lvlJc w:val="left"/>
      <w:pPr>
        <w:ind w:left="5580" w:hanging="360"/>
      </w:pPr>
    </w:lvl>
    <w:lvl w:ilvl="7" w:tplc="04160019" w:tentative="1">
      <w:start w:val="1"/>
      <w:numFmt w:val="lowerLetter"/>
      <w:lvlText w:val="%8."/>
      <w:lvlJc w:val="left"/>
      <w:pPr>
        <w:ind w:left="6300" w:hanging="360"/>
      </w:pPr>
    </w:lvl>
    <w:lvl w:ilvl="8" w:tplc="0416001B" w:tentative="1">
      <w:start w:val="1"/>
      <w:numFmt w:val="lowerRoman"/>
      <w:lvlText w:val="%9."/>
      <w:lvlJc w:val="right"/>
      <w:pPr>
        <w:ind w:left="7020" w:hanging="180"/>
      </w:pPr>
    </w:lvl>
  </w:abstractNum>
  <w:abstractNum w:abstractNumId="9">
    <w:nsid w:val="26457101"/>
    <w:multiLevelType w:val="multilevel"/>
    <w:tmpl w:val="761210BE"/>
    <w:lvl w:ilvl="0">
      <w:start w:val="1"/>
      <w:numFmt w:val="decimal"/>
      <w:lvlText w:val="%1."/>
      <w:lvlJc w:val="left"/>
      <w:pPr>
        <w:ind w:left="720" w:hanging="360"/>
      </w:pPr>
      <w:rPr>
        <w:rFonts w:hint="default"/>
        <w:b/>
      </w:rPr>
    </w:lvl>
    <w:lvl w:ilvl="1">
      <w:start w:val="19"/>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69D0A8F"/>
    <w:multiLevelType w:val="hybridMultilevel"/>
    <w:tmpl w:val="4FC22AAC"/>
    <w:lvl w:ilvl="0" w:tplc="1A5A46D8">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C116B6"/>
    <w:multiLevelType w:val="multilevel"/>
    <w:tmpl w:val="25F809C8"/>
    <w:lvl w:ilvl="0">
      <w:start w:val="1"/>
      <w:numFmt w:val="upperRoman"/>
      <w:lvlText w:val="%1."/>
      <w:lvlJc w:val="right"/>
      <w:pPr>
        <w:ind w:left="1440" w:hanging="360"/>
      </w:pPr>
    </w:lvl>
    <w:lvl w:ilvl="1">
      <w:start w:val="1"/>
      <w:numFmt w:val="decimal"/>
      <w:isLgl/>
      <w:lvlText w:val="%1.%2"/>
      <w:lvlJc w:val="left"/>
      <w:pPr>
        <w:ind w:left="660" w:hanging="39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2">
    <w:nsid w:val="2ADD0AB3"/>
    <w:multiLevelType w:val="hybridMultilevel"/>
    <w:tmpl w:val="569E71E8"/>
    <w:lvl w:ilvl="0" w:tplc="F39424B0">
      <w:start w:val="1"/>
      <w:numFmt w:val="lowerLetter"/>
      <w:lvlText w:val="%1)"/>
      <w:lvlJc w:val="left"/>
      <w:pPr>
        <w:ind w:left="720" w:hanging="360"/>
      </w:pPr>
      <w:rPr>
        <w:rFonts w:hint="default"/>
        <w:b w:val="0"/>
        <w:bCs w:val="0"/>
        <w:color w:val="auto"/>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13">
    <w:nsid w:val="2CCE1CA6"/>
    <w:multiLevelType w:val="multilevel"/>
    <w:tmpl w:val="91D416C4"/>
    <w:lvl w:ilvl="0">
      <w:start w:val="3"/>
      <w:numFmt w:val="decimal"/>
      <w:lvlText w:val="%1"/>
      <w:lvlJc w:val="left"/>
      <w:pPr>
        <w:ind w:left="420" w:hanging="420"/>
      </w:pPr>
      <w:rPr>
        <w:rFonts w:hint="default"/>
      </w:rPr>
    </w:lvl>
    <w:lvl w:ilvl="1">
      <w:start w:val="25"/>
      <w:numFmt w:val="decimal"/>
      <w:lvlText w:val="%1.%2"/>
      <w:lvlJc w:val="left"/>
      <w:pPr>
        <w:ind w:left="780" w:hanging="420"/>
      </w:pPr>
      <w:rPr>
        <w:rFonts w:hint="default"/>
        <w:b w:val="0"/>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31D32344"/>
    <w:multiLevelType w:val="multilevel"/>
    <w:tmpl w:val="00200E54"/>
    <w:lvl w:ilvl="0">
      <w:start w:val="1"/>
      <w:numFmt w:val="decimal"/>
      <w:lvlText w:val="%1."/>
      <w:lvlJc w:val="left"/>
      <w:pPr>
        <w:ind w:left="720" w:hanging="360"/>
      </w:pPr>
      <w:rPr>
        <w:rFonts w:hint="default"/>
        <w:b/>
        <w:color w:val="auto"/>
      </w:rPr>
    </w:lvl>
    <w:lvl w:ilvl="1">
      <w:start w:val="39"/>
      <w:numFmt w:val="decimal"/>
      <w:isLgl/>
      <w:lvlText w:val="%1.%2"/>
      <w:lvlJc w:val="left"/>
      <w:pPr>
        <w:ind w:left="825" w:hanging="465"/>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5">
    <w:nsid w:val="32885177"/>
    <w:multiLevelType w:val="multilevel"/>
    <w:tmpl w:val="0D10756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342111F2"/>
    <w:multiLevelType w:val="hybridMultilevel"/>
    <w:tmpl w:val="B57624A8"/>
    <w:lvl w:ilvl="0" w:tplc="E6BAFE42">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7">
    <w:nsid w:val="3B33581A"/>
    <w:multiLevelType w:val="hybridMultilevel"/>
    <w:tmpl w:val="F50C8BD6"/>
    <w:lvl w:ilvl="0" w:tplc="514C3C54">
      <w:start w:val="1"/>
      <w:numFmt w:val="lowerRoman"/>
      <w:lvlText w:val="(%1)"/>
      <w:lvlJc w:val="left"/>
      <w:pPr>
        <w:ind w:left="1440" w:hanging="72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8">
    <w:nsid w:val="3C287882"/>
    <w:multiLevelType w:val="multilevel"/>
    <w:tmpl w:val="DFD2125C"/>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D1D521E"/>
    <w:multiLevelType w:val="hybridMultilevel"/>
    <w:tmpl w:val="2440075C"/>
    <w:lvl w:ilvl="0" w:tplc="B12C9372">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405A7846"/>
    <w:multiLevelType w:val="multilevel"/>
    <w:tmpl w:val="DA404C0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21">
    <w:nsid w:val="482E6045"/>
    <w:multiLevelType w:val="hybridMultilevel"/>
    <w:tmpl w:val="EAD0BCD2"/>
    <w:lvl w:ilvl="0" w:tplc="75689DC4">
      <w:start w:val="1"/>
      <w:numFmt w:val="lowerRoman"/>
      <w:lvlText w:val="(%1)"/>
      <w:lvlJc w:val="left"/>
      <w:pPr>
        <w:ind w:left="1620" w:hanging="720"/>
      </w:pPr>
      <w:rPr>
        <w:rFonts w:hint="default"/>
        <w:color w:val="333333"/>
      </w:rPr>
    </w:lvl>
    <w:lvl w:ilvl="1" w:tplc="04160019" w:tentative="1">
      <w:start w:val="1"/>
      <w:numFmt w:val="lowerLetter"/>
      <w:lvlText w:val="%2."/>
      <w:lvlJc w:val="left"/>
      <w:pPr>
        <w:ind w:left="1980" w:hanging="360"/>
      </w:pPr>
    </w:lvl>
    <w:lvl w:ilvl="2" w:tplc="0416001B" w:tentative="1">
      <w:start w:val="1"/>
      <w:numFmt w:val="lowerRoman"/>
      <w:lvlText w:val="%3."/>
      <w:lvlJc w:val="right"/>
      <w:pPr>
        <w:ind w:left="2700" w:hanging="180"/>
      </w:pPr>
    </w:lvl>
    <w:lvl w:ilvl="3" w:tplc="0416000F" w:tentative="1">
      <w:start w:val="1"/>
      <w:numFmt w:val="decimal"/>
      <w:lvlText w:val="%4."/>
      <w:lvlJc w:val="left"/>
      <w:pPr>
        <w:ind w:left="3420" w:hanging="360"/>
      </w:pPr>
    </w:lvl>
    <w:lvl w:ilvl="4" w:tplc="04160019" w:tentative="1">
      <w:start w:val="1"/>
      <w:numFmt w:val="lowerLetter"/>
      <w:lvlText w:val="%5."/>
      <w:lvlJc w:val="left"/>
      <w:pPr>
        <w:ind w:left="4140" w:hanging="360"/>
      </w:pPr>
    </w:lvl>
    <w:lvl w:ilvl="5" w:tplc="0416001B" w:tentative="1">
      <w:start w:val="1"/>
      <w:numFmt w:val="lowerRoman"/>
      <w:lvlText w:val="%6."/>
      <w:lvlJc w:val="right"/>
      <w:pPr>
        <w:ind w:left="4860" w:hanging="180"/>
      </w:pPr>
    </w:lvl>
    <w:lvl w:ilvl="6" w:tplc="0416000F" w:tentative="1">
      <w:start w:val="1"/>
      <w:numFmt w:val="decimal"/>
      <w:lvlText w:val="%7."/>
      <w:lvlJc w:val="left"/>
      <w:pPr>
        <w:ind w:left="5580" w:hanging="360"/>
      </w:pPr>
    </w:lvl>
    <w:lvl w:ilvl="7" w:tplc="04160019" w:tentative="1">
      <w:start w:val="1"/>
      <w:numFmt w:val="lowerLetter"/>
      <w:lvlText w:val="%8."/>
      <w:lvlJc w:val="left"/>
      <w:pPr>
        <w:ind w:left="6300" w:hanging="360"/>
      </w:pPr>
    </w:lvl>
    <w:lvl w:ilvl="8" w:tplc="0416001B" w:tentative="1">
      <w:start w:val="1"/>
      <w:numFmt w:val="lowerRoman"/>
      <w:lvlText w:val="%9."/>
      <w:lvlJc w:val="right"/>
      <w:pPr>
        <w:ind w:left="7020" w:hanging="180"/>
      </w:pPr>
    </w:lvl>
  </w:abstractNum>
  <w:abstractNum w:abstractNumId="22">
    <w:nsid w:val="4DDF301E"/>
    <w:multiLevelType w:val="hybridMultilevel"/>
    <w:tmpl w:val="CF68561E"/>
    <w:lvl w:ilvl="0" w:tplc="BFACB762">
      <w:start w:val="1"/>
      <w:numFmt w:val="lowerRoman"/>
      <w:lvlText w:val="(%1)"/>
      <w:lvlJc w:val="left"/>
      <w:pPr>
        <w:ind w:left="1080" w:hanging="72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4F6E79DE"/>
    <w:multiLevelType w:val="hybridMultilevel"/>
    <w:tmpl w:val="28129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CF57411"/>
    <w:multiLevelType w:val="hybridMultilevel"/>
    <w:tmpl w:val="9D9E655A"/>
    <w:lvl w:ilvl="0" w:tplc="DE3C6600">
      <w:start w:val="1"/>
      <w:numFmt w:val="lowerLetter"/>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25">
    <w:nsid w:val="5EEF38E3"/>
    <w:multiLevelType w:val="hybridMultilevel"/>
    <w:tmpl w:val="0B761C24"/>
    <w:lvl w:ilvl="0" w:tplc="58CAD376">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2854B63"/>
    <w:multiLevelType w:val="multilevel"/>
    <w:tmpl w:val="6E1831E0"/>
    <w:lvl w:ilvl="0">
      <w:start w:val="1"/>
      <w:numFmt w:val="upperLetter"/>
      <w:lvlText w:val="%1."/>
      <w:lvlJc w:val="left"/>
      <w:pPr>
        <w:ind w:left="1080" w:hanging="720"/>
      </w:pPr>
      <w:rPr>
        <w:rFonts w:ascii="Times New Roman" w:eastAsia="Calibri" w:hAnsi="Times New Roman" w:cs="Times New Roman"/>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659D0353"/>
    <w:multiLevelType w:val="hybridMultilevel"/>
    <w:tmpl w:val="758CDD44"/>
    <w:lvl w:ilvl="0" w:tplc="04090001">
      <w:start w:val="1"/>
      <w:numFmt w:val="bullet"/>
      <w:lvlText w:val=""/>
      <w:lvlJc w:val="left"/>
      <w:pPr>
        <w:tabs>
          <w:tab w:val="num" w:pos="6480"/>
        </w:tabs>
        <w:ind w:left="6480" w:hanging="360"/>
      </w:pPr>
      <w:rPr>
        <w:rFonts w:ascii="Symbol" w:hAnsi="Symbol" w:hint="default"/>
      </w:rPr>
    </w:lvl>
    <w:lvl w:ilvl="1" w:tplc="04160019">
      <w:start w:val="1"/>
      <w:numFmt w:val="lowerLetter"/>
      <w:lvlText w:val="%2."/>
      <w:lvlJc w:val="left"/>
      <w:pPr>
        <w:tabs>
          <w:tab w:val="num" w:pos="7200"/>
        </w:tabs>
        <w:ind w:left="7200" w:hanging="360"/>
      </w:pPr>
    </w:lvl>
    <w:lvl w:ilvl="2" w:tplc="0416001B">
      <w:start w:val="1"/>
      <w:numFmt w:val="lowerRoman"/>
      <w:lvlText w:val="%3."/>
      <w:lvlJc w:val="right"/>
      <w:pPr>
        <w:tabs>
          <w:tab w:val="num" w:pos="7920"/>
        </w:tabs>
        <w:ind w:left="7920" w:hanging="180"/>
      </w:pPr>
    </w:lvl>
    <w:lvl w:ilvl="3" w:tplc="0416000F">
      <w:start w:val="1"/>
      <w:numFmt w:val="decimal"/>
      <w:lvlText w:val="%4."/>
      <w:lvlJc w:val="left"/>
      <w:pPr>
        <w:tabs>
          <w:tab w:val="num" w:pos="8640"/>
        </w:tabs>
        <w:ind w:left="8640" w:hanging="360"/>
      </w:pPr>
    </w:lvl>
    <w:lvl w:ilvl="4" w:tplc="04160019">
      <w:start w:val="1"/>
      <w:numFmt w:val="lowerLetter"/>
      <w:lvlText w:val="%5."/>
      <w:lvlJc w:val="left"/>
      <w:pPr>
        <w:tabs>
          <w:tab w:val="num" w:pos="9360"/>
        </w:tabs>
        <w:ind w:left="9360" w:hanging="360"/>
      </w:pPr>
    </w:lvl>
    <w:lvl w:ilvl="5" w:tplc="0416001B">
      <w:start w:val="1"/>
      <w:numFmt w:val="lowerRoman"/>
      <w:lvlText w:val="%6."/>
      <w:lvlJc w:val="right"/>
      <w:pPr>
        <w:tabs>
          <w:tab w:val="num" w:pos="10080"/>
        </w:tabs>
        <w:ind w:left="10080" w:hanging="180"/>
      </w:pPr>
    </w:lvl>
    <w:lvl w:ilvl="6" w:tplc="0416000F">
      <w:start w:val="1"/>
      <w:numFmt w:val="decimal"/>
      <w:lvlText w:val="%7."/>
      <w:lvlJc w:val="left"/>
      <w:pPr>
        <w:tabs>
          <w:tab w:val="num" w:pos="10800"/>
        </w:tabs>
        <w:ind w:left="10800" w:hanging="360"/>
      </w:pPr>
    </w:lvl>
    <w:lvl w:ilvl="7" w:tplc="04160019">
      <w:start w:val="1"/>
      <w:numFmt w:val="lowerLetter"/>
      <w:lvlText w:val="%8."/>
      <w:lvlJc w:val="left"/>
      <w:pPr>
        <w:tabs>
          <w:tab w:val="num" w:pos="11520"/>
        </w:tabs>
        <w:ind w:left="11520" w:hanging="360"/>
      </w:pPr>
    </w:lvl>
    <w:lvl w:ilvl="8" w:tplc="0416001B">
      <w:start w:val="1"/>
      <w:numFmt w:val="lowerRoman"/>
      <w:lvlText w:val="%9."/>
      <w:lvlJc w:val="right"/>
      <w:pPr>
        <w:tabs>
          <w:tab w:val="num" w:pos="12240"/>
        </w:tabs>
        <w:ind w:left="12240" w:hanging="180"/>
      </w:pPr>
    </w:lvl>
  </w:abstractNum>
  <w:abstractNum w:abstractNumId="28">
    <w:nsid w:val="66C022F2"/>
    <w:multiLevelType w:val="hybridMultilevel"/>
    <w:tmpl w:val="3E384D24"/>
    <w:lvl w:ilvl="0" w:tplc="E904D906">
      <w:start w:val="1"/>
      <w:numFmt w:val="lowerRoman"/>
      <w:lvlText w:val="(%1)"/>
      <w:lvlJc w:val="left"/>
      <w:pPr>
        <w:ind w:left="1620" w:hanging="720"/>
      </w:pPr>
      <w:rPr>
        <w:rFonts w:hint="default"/>
      </w:rPr>
    </w:lvl>
    <w:lvl w:ilvl="1" w:tplc="04160019" w:tentative="1">
      <w:start w:val="1"/>
      <w:numFmt w:val="lowerLetter"/>
      <w:lvlText w:val="%2."/>
      <w:lvlJc w:val="left"/>
      <w:pPr>
        <w:ind w:left="1980" w:hanging="360"/>
      </w:pPr>
    </w:lvl>
    <w:lvl w:ilvl="2" w:tplc="0416001B" w:tentative="1">
      <w:start w:val="1"/>
      <w:numFmt w:val="lowerRoman"/>
      <w:lvlText w:val="%3."/>
      <w:lvlJc w:val="right"/>
      <w:pPr>
        <w:ind w:left="2700" w:hanging="180"/>
      </w:pPr>
    </w:lvl>
    <w:lvl w:ilvl="3" w:tplc="0416000F" w:tentative="1">
      <w:start w:val="1"/>
      <w:numFmt w:val="decimal"/>
      <w:lvlText w:val="%4."/>
      <w:lvlJc w:val="left"/>
      <w:pPr>
        <w:ind w:left="3420" w:hanging="360"/>
      </w:pPr>
    </w:lvl>
    <w:lvl w:ilvl="4" w:tplc="04160019" w:tentative="1">
      <w:start w:val="1"/>
      <w:numFmt w:val="lowerLetter"/>
      <w:lvlText w:val="%5."/>
      <w:lvlJc w:val="left"/>
      <w:pPr>
        <w:ind w:left="4140" w:hanging="360"/>
      </w:pPr>
    </w:lvl>
    <w:lvl w:ilvl="5" w:tplc="0416001B" w:tentative="1">
      <w:start w:val="1"/>
      <w:numFmt w:val="lowerRoman"/>
      <w:lvlText w:val="%6."/>
      <w:lvlJc w:val="right"/>
      <w:pPr>
        <w:ind w:left="4860" w:hanging="180"/>
      </w:pPr>
    </w:lvl>
    <w:lvl w:ilvl="6" w:tplc="0416000F" w:tentative="1">
      <w:start w:val="1"/>
      <w:numFmt w:val="decimal"/>
      <w:lvlText w:val="%7."/>
      <w:lvlJc w:val="left"/>
      <w:pPr>
        <w:ind w:left="5580" w:hanging="360"/>
      </w:pPr>
    </w:lvl>
    <w:lvl w:ilvl="7" w:tplc="04160019" w:tentative="1">
      <w:start w:val="1"/>
      <w:numFmt w:val="lowerLetter"/>
      <w:lvlText w:val="%8."/>
      <w:lvlJc w:val="left"/>
      <w:pPr>
        <w:ind w:left="6300" w:hanging="360"/>
      </w:pPr>
    </w:lvl>
    <w:lvl w:ilvl="8" w:tplc="0416001B" w:tentative="1">
      <w:start w:val="1"/>
      <w:numFmt w:val="lowerRoman"/>
      <w:lvlText w:val="%9."/>
      <w:lvlJc w:val="right"/>
      <w:pPr>
        <w:ind w:left="7020" w:hanging="180"/>
      </w:pPr>
    </w:lvl>
  </w:abstractNum>
  <w:abstractNum w:abstractNumId="29">
    <w:nsid w:val="6B9F0AE9"/>
    <w:multiLevelType w:val="hybridMultilevel"/>
    <w:tmpl w:val="BA7E0BE0"/>
    <w:lvl w:ilvl="0" w:tplc="F39424B0">
      <w:start w:val="1"/>
      <w:numFmt w:val="lowerLetter"/>
      <w:lvlText w:val="%1)"/>
      <w:lvlJc w:val="left"/>
      <w:pPr>
        <w:ind w:left="720" w:hanging="360"/>
      </w:pPr>
      <w:rPr>
        <w:rFonts w:hint="default"/>
        <w:b w:val="0"/>
        <w:bCs w:val="0"/>
        <w:color w:val="auto"/>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0">
    <w:nsid w:val="6C3D4140"/>
    <w:multiLevelType w:val="hybridMultilevel"/>
    <w:tmpl w:val="3406330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nsid w:val="724E7B55"/>
    <w:multiLevelType w:val="hybridMultilevel"/>
    <w:tmpl w:val="2BBACA40"/>
    <w:lvl w:ilvl="0" w:tplc="FDC641EA">
      <w:start w:val="1"/>
      <w:numFmt w:val="lowerRoman"/>
      <w:lvlText w:val="(%1)"/>
      <w:lvlJc w:val="left"/>
      <w:pPr>
        <w:ind w:left="1800" w:hanging="72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2">
    <w:nsid w:val="74C74592"/>
    <w:multiLevelType w:val="multilevel"/>
    <w:tmpl w:val="2098A97C"/>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nsid w:val="751B711B"/>
    <w:multiLevelType w:val="hybridMultilevel"/>
    <w:tmpl w:val="D24AEC6C"/>
    <w:lvl w:ilvl="0" w:tplc="B93EFB3C">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75A92BE8"/>
    <w:multiLevelType w:val="hybridMultilevel"/>
    <w:tmpl w:val="5688FBE2"/>
    <w:lvl w:ilvl="0" w:tplc="8D963B04">
      <w:start w:val="1"/>
      <w:numFmt w:val="lowerRoman"/>
      <w:lvlText w:val="(%1)"/>
      <w:lvlJc w:val="left"/>
      <w:pPr>
        <w:ind w:left="1440" w:hanging="72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num w:numId="1">
    <w:abstractNumId w:val="7"/>
  </w:num>
  <w:num w:numId="2">
    <w:abstractNumId w:val="20"/>
  </w:num>
  <w:num w:numId="3">
    <w:abstractNumId w:val="19"/>
  </w:num>
  <w:num w:numId="4">
    <w:abstractNumId w:val="6"/>
  </w:num>
  <w:num w:numId="5">
    <w:abstractNumId w:val="33"/>
  </w:num>
  <w:num w:numId="6">
    <w:abstractNumId w:val="30"/>
  </w:num>
  <w:num w:numId="7">
    <w:abstractNumId w:val="29"/>
  </w:num>
  <w:num w:numId="8">
    <w:abstractNumId w:val="24"/>
  </w:num>
  <w:num w:numId="9">
    <w:abstractNumId w:val="12"/>
  </w:num>
  <w:num w:numId="10">
    <w:abstractNumId w:val="27"/>
  </w:num>
  <w:num w:numId="11">
    <w:abstractNumId w:val="2"/>
  </w:num>
  <w:num w:numId="12">
    <w:abstractNumId w:val="9"/>
  </w:num>
  <w:num w:numId="13">
    <w:abstractNumId w:val="13"/>
  </w:num>
  <w:num w:numId="14">
    <w:abstractNumId w:val="14"/>
  </w:num>
  <w:num w:numId="15">
    <w:abstractNumId w:val="10"/>
  </w:num>
  <w:num w:numId="16">
    <w:abstractNumId w:val="4"/>
  </w:num>
  <w:num w:numId="17">
    <w:abstractNumId w:val="32"/>
  </w:num>
  <w:num w:numId="18">
    <w:abstractNumId w:val="5"/>
  </w:num>
  <w:num w:numId="19">
    <w:abstractNumId w:val="23"/>
  </w:num>
  <w:num w:numId="20">
    <w:abstractNumId w:val="11"/>
  </w:num>
  <w:num w:numId="21">
    <w:abstractNumId w:val="0"/>
  </w:num>
  <w:num w:numId="22">
    <w:abstractNumId w:val="22"/>
  </w:num>
  <w:num w:numId="23">
    <w:abstractNumId w:val="17"/>
  </w:num>
  <w:num w:numId="24">
    <w:abstractNumId w:val="25"/>
  </w:num>
  <w:num w:numId="25">
    <w:abstractNumId w:val="34"/>
  </w:num>
  <w:num w:numId="26">
    <w:abstractNumId w:val="18"/>
  </w:num>
  <w:num w:numId="27">
    <w:abstractNumId w:val="3"/>
  </w:num>
  <w:num w:numId="28">
    <w:abstractNumId w:val="28"/>
  </w:num>
  <w:num w:numId="29">
    <w:abstractNumId w:val="8"/>
  </w:num>
  <w:num w:numId="30">
    <w:abstractNumId w:val="31"/>
  </w:num>
  <w:num w:numId="31">
    <w:abstractNumId w:val="21"/>
  </w:num>
  <w:num w:numId="32">
    <w:abstractNumId w:val="16"/>
  </w:num>
  <w:num w:numId="33">
    <w:abstractNumId w:val="26"/>
  </w:num>
  <w:num w:numId="34">
    <w:abstractNumId w:val="15"/>
  </w:num>
  <w:num w:numId="35">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434"/>
    <w:rsid w:val="00004B24"/>
    <w:rsid w:val="000052E3"/>
    <w:rsid w:val="00005D70"/>
    <w:rsid w:val="00006889"/>
    <w:rsid w:val="00011CB9"/>
    <w:rsid w:val="00012524"/>
    <w:rsid w:val="00014CAC"/>
    <w:rsid w:val="00016E0A"/>
    <w:rsid w:val="000242D6"/>
    <w:rsid w:val="0002458C"/>
    <w:rsid w:val="00027213"/>
    <w:rsid w:val="0002745A"/>
    <w:rsid w:val="000302D3"/>
    <w:rsid w:val="00030BE4"/>
    <w:rsid w:val="00036992"/>
    <w:rsid w:val="00036C6C"/>
    <w:rsid w:val="00040972"/>
    <w:rsid w:val="00040DD3"/>
    <w:rsid w:val="00040E35"/>
    <w:rsid w:val="00041082"/>
    <w:rsid w:val="000414F9"/>
    <w:rsid w:val="000418F1"/>
    <w:rsid w:val="0004770A"/>
    <w:rsid w:val="00051821"/>
    <w:rsid w:val="000528CC"/>
    <w:rsid w:val="00053F90"/>
    <w:rsid w:val="000548B3"/>
    <w:rsid w:val="00054A9E"/>
    <w:rsid w:val="00055E94"/>
    <w:rsid w:val="0005625A"/>
    <w:rsid w:val="0006357E"/>
    <w:rsid w:val="000648D1"/>
    <w:rsid w:val="00067DBD"/>
    <w:rsid w:val="00070D9F"/>
    <w:rsid w:val="0007257B"/>
    <w:rsid w:val="0007304E"/>
    <w:rsid w:val="00077F7F"/>
    <w:rsid w:val="00081365"/>
    <w:rsid w:val="0008139F"/>
    <w:rsid w:val="000835CB"/>
    <w:rsid w:val="00084539"/>
    <w:rsid w:val="000853E0"/>
    <w:rsid w:val="00086B9C"/>
    <w:rsid w:val="00087030"/>
    <w:rsid w:val="00087454"/>
    <w:rsid w:val="00087E79"/>
    <w:rsid w:val="00091A24"/>
    <w:rsid w:val="000921CA"/>
    <w:rsid w:val="000936CA"/>
    <w:rsid w:val="00095BD0"/>
    <w:rsid w:val="000A31A6"/>
    <w:rsid w:val="000A38BB"/>
    <w:rsid w:val="000A392B"/>
    <w:rsid w:val="000A54B4"/>
    <w:rsid w:val="000A59ED"/>
    <w:rsid w:val="000A6E8E"/>
    <w:rsid w:val="000A6F3E"/>
    <w:rsid w:val="000B01E8"/>
    <w:rsid w:val="000B13FC"/>
    <w:rsid w:val="000B2F74"/>
    <w:rsid w:val="000B30CE"/>
    <w:rsid w:val="000B3437"/>
    <w:rsid w:val="000C3AB7"/>
    <w:rsid w:val="000C63BE"/>
    <w:rsid w:val="000C7109"/>
    <w:rsid w:val="000C72D7"/>
    <w:rsid w:val="000C7848"/>
    <w:rsid w:val="000D2503"/>
    <w:rsid w:val="000D2D84"/>
    <w:rsid w:val="000D3596"/>
    <w:rsid w:val="000D39D4"/>
    <w:rsid w:val="000D674F"/>
    <w:rsid w:val="000D67AD"/>
    <w:rsid w:val="000D79F1"/>
    <w:rsid w:val="000E02F4"/>
    <w:rsid w:val="000E24E2"/>
    <w:rsid w:val="000E35AF"/>
    <w:rsid w:val="000E4B7C"/>
    <w:rsid w:val="000E5C37"/>
    <w:rsid w:val="000F012D"/>
    <w:rsid w:val="000F4A98"/>
    <w:rsid w:val="000F6863"/>
    <w:rsid w:val="000F6EE0"/>
    <w:rsid w:val="00100B3E"/>
    <w:rsid w:val="00100BCD"/>
    <w:rsid w:val="00100CF8"/>
    <w:rsid w:val="0010419C"/>
    <w:rsid w:val="00106EAA"/>
    <w:rsid w:val="00112AEC"/>
    <w:rsid w:val="00114300"/>
    <w:rsid w:val="00114B0B"/>
    <w:rsid w:val="00116430"/>
    <w:rsid w:val="00121369"/>
    <w:rsid w:val="0012168F"/>
    <w:rsid w:val="001223C1"/>
    <w:rsid w:val="001272C2"/>
    <w:rsid w:val="00130920"/>
    <w:rsid w:val="00132A36"/>
    <w:rsid w:val="00133057"/>
    <w:rsid w:val="0013416D"/>
    <w:rsid w:val="00134CAA"/>
    <w:rsid w:val="001350B3"/>
    <w:rsid w:val="0014138B"/>
    <w:rsid w:val="001440A0"/>
    <w:rsid w:val="00147DCD"/>
    <w:rsid w:val="0015181B"/>
    <w:rsid w:val="00151879"/>
    <w:rsid w:val="00153308"/>
    <w:rsid w:val="00155ED6"/>
    <w:rsid w:val="00156467"/>
    <w:rsid w:val="00157BB7"/>
    <w:rsid w:val="00162C4D"/>
    <w:rsid w:val="00163DF2"/>
    <w:rsid w:val="00165EE7"/>
    <w:rsid w:val="00166453"/>
    <w:rsid w:val="0016785C"/>
    <w:rsid w:val="00170345"/>
    <w:rsid w:val="0017172D"/>
    <w:rsid w:val="0017289C"/>
    <w:rsid w:val="00173600"/>
    <w:rsid w:val="00176024"/>
    <w:rsid w:val="00176054"/>
    <w:rsid w:val="00176A50"/>
    <w:rsid w:val="00182FB0"/>
    <w:rsid w:val="00183D4B"/>
    <w:rsid w:val="00185546"/>
    <w:rsid w:val="00186003"/>
    <w:rsid w:val="00194159"/>
    <w:rsid w:val="00194893"/>
    <w:rsid w:val="00194AE2"/>
    <w:rsid w:val="001A1B6F"/>
    <w:rsid w:val="001A4635"/>
    <w:rsid w:val="001A5C53"/>
    <w:rsid w:val="001B0F4C"/>
    <w:rsid w:val="001B29B2"/>
    <w:rsid w:val="001B590F"/>
    <w:rsid w:val="001B64FF"/>
    <w:rsid w:val="001B697A"/>
    <w:rsid w:val="001B6AF9"/>
    <w:rsid w:val="001B7C17"/>
    <w:rsid w:val="001C50B9"/>
    <w:rsid w:val="001C5B07"/>
    <w:rsid w:val="001D7E2F"/>
    <w:rsid w:val="001E0051"/>
    <w:rsid w:val="001E0606"/>
    <w:rsid w:val="001E25B6"/>
    <w:rsid w:val="001E2A9C"/>
    <w:rsid w:val="001E2F77"/>
    <w:rsid w:val="001E3977"/>
    <w:rsid w:val="001E610B"/>
    <w:rsid w:val="001F051C"/>
    <w:rsid w:val="001F1038"/>
    <w:rsid w:val="001F1912"/>
    <w:rsid w:val="001F24F2"/>
    <w:rsid w:val="001F59F3"/>
    <w:rsid w:val="002001FC"/>
    <w:rsid w:val="00200967"/>
    <w:rsid w:val="00202008"/>
    <w:rsid w:val="0020274D"/>
    <w:rsid w:val="002045E7"/>
    <w:rsid w:val="002135C1"/>
    <w:rsid w:val="00213651"/>
    <w:rsid w:val="00213B96"/>
    <w:rsid w:val="00214402"/>
    <w:rsid w:val="00215E02"/>
    <w:rsid w:val="002176D4"/>
    <w:rsid w:val="00220E13"/>
    <w:rsid w:val="00224E06"/>
    <w:rsid w:val="00225A1E"/>
    <w:rsid w:val="00227EDA"/>
    <w:rsid w:val="0023217D"/>
    <w:rsid w:val="002329F8"/>
    <w:rsid w:val="00234C4B"/>
    <w:rsid w:val="00241C04"/>
    <w:rsid w:val="00242C79"/>
    <w:rsid w:val="00244410"/>
    <w:rsid w:val="002447A7"/>
    <w:rsid w:val="0024566F"/>
    <w:rsid w:val="0025058C"/>
    <w:rsid w:val="002562A3"/>
    <w:rsid w:val="00256CCD"/>
    <w:rsid w:val="00257A30"/>
    <w:rsid w:val="00260BC5"/>
    <w:rsid w:val="00262986"/>
    <w:rsid w:val="00265154"/>
    <w:rsid w:val="00265749"/>
    <w:rsid w:val="00265E6A"/>
    <w:rsid w:val="0027002C"/>
    <w:rsid w:val="00274689"/>
    <w:rsid w:val="00275D05"/>
    <w:rsid w:val="00281C1D"/>
    <w:rsid w:val="00282722"/>
    <w:rsid w:val="002848A6"/>
    <w:rsid w:val="00285105"/>
    <w:rsid w:val="0028527F"/>
    <w:rsid w:val="00286096"/>
    <w:rsid w:val="002862B0"/>
    <w:rsid w:val="00286D2B"/>
    <w:rsid w:val="002871FD"/>
    <w:rsid w:val="0029174A"/>
    <w:rsid w:val="0029435B"/>
    <w:rsid w:val="00296B0F"/>
    <w:rsid w:val="002970CC"/>
    <w:rsid w:val="002A09F9"/>
    <w:rsid w:val="002A1FCE"/>
    <w:rsid w:val="002A2300"/>
    <w:rsid w:val="002A3658"/>
    <w:rsid w:val="002A3842"/>
    <w:rsid w:val="002A6A63"/>
    <w:rsid w:val="002A7455"/>
    <w:rsid w:val="002B08D3"/>
    <w:rsid w:val="002B0F19"/>
    <w:rsid w:val="002B12F8"/>
    <w:rsid w:val="002B30DC"/>
    <w:rsid w:val="002B399D"/>
    <w:rsid w:val="002B5C7F"/>
    <w:rsid w:val="002B5CCD"/>
    <w:rsid w:val="002B70A4"/>
    <w:rsid w:val="002B769C"/>
    <w:rsid w:val="002B7B94"/>
    <w:rsid w:val="002C267E"/>
    <w:rsid w:val="002C3A0B"/>
    <w:rsid w:val="002C4F9C"/>
    <w:rsid w:val="002C6237"/>
    <w:rsid w:val="002D0BBC"/>
    <w:rsid w:val="002D12C5"/>
    <w:rsid w:val="002D37A9"/>
    <w:rsid w:val="002D41B7"/>
    <w:rsid w:val="002D4DDD"/>
    <w:rsid w:val="002D536E"/>
    <w:rsid w:val="002E0057"/>
    <w:rsid w:val="002E0DA4"/>
    <w:rsid w:val="002E2364"/>
    <w:rsid w:val="002E4E61"/>
    <w:rsid w:val="002E4F27"/>
    <w:rsid w:val="002E6C48"/>
    <w:rsid w:val="002E7382"/>
    <w:rsid w:val="002F3EA2"/>
    <w:rsid w:val="002F41B9"/>
    <w:rsid w:val="002F54AF"/>
    <w:rsid w:val="002F7340"/>
    <w:rsid w:val="00300B78"/>
    <w:rsid w:val="00300D15"/>
    <w:rsid w:val="003016BD"/>
    <w:rsid w:val="003017DF"/>
    <w:rsid w:val="00303779"/>
    <w:rsid w:val="003049D5"/>
    <w:rsid w:val="00306EA2"/>
    <w:rsid w:val="00311F4C"/>
    <w:rsid w:val="0031235D"/>
    <w:rsid w:val="0031314D"/>
    <w:rsid w:val="00313245"/>
    <w:rsid w:val="00317219"/>
    <w:rsid w:val="00321038"/>
    <w:rsid w:val="0032166E"/>
    <w:rsid w:val="00321D78"/>
    <w:rsid w:val="00323E14"/>
    <w:rsid w:val="003245AA"/>
    <w:rsid w:val="00325E97"/>
    <w:rsid w:val="00332EEA"/>
    <w:rsid w:val="00340077"/>
    <w:rsid w:val="00340730"/>
    <w:rsid w:val="00343683"/>
    <w:rsid w:val="0034382A"/>
    <w:rsid w:val="00344A11"/>
    <w:rsid w:val="00345E3E"/>
    <w:rsid w:val="00345FE6"/>
    <w:rsid w:val="00346DC5"/>
    <w:rsid w:val="0035198B"/>
    <w:rsid w:val="00352B22"/>
    <w:rsid w:val="0035326C"/>
    <w:rsid w:val="0035326E"/>
    <w:rsid w:val="00353442"/>
    <w:rsid w:val="00354B8B"/>
    <w:rsid w:val="003566C7"/>
    <w:rsid w:val="003579B7"/>
    <w:rsid w:val="00357C1F"/>
    <w:rsid w:val="00357D0E"/>
    <w:rsid w:val="00357DC1"/>
    <w:rsid w:val="003604B3"/>
    <w:rsid w:val="00361FC8"/>
    <w:rsid w:val="00363AF9"/>
    <w:rsid w:val="00364457"/>
    <w:rsid w:val="0036722A"/>
    <w:rsid w:val="00367804"/>
    <w:rsid w:val="00367FA0"/>
    <w:rsid w:val="00370907"/>
    <w:rsid w:val="00370A81"/>
    <w:rsid w:val="003713F0"/>
    <w:rsid w:val="00372435"/>
    <w:rsid w:val="00372C0E"/>
    <w:rsid w:val="00373102"/>
    <w:rsid w:val="00374C35"/>
    <w:rsid w:val="00375FB0"/>
    <w:rsid w:val="0037758D"/>
    <w:rsid w:val="00381784"/>
    <w:rsid w:val="00383339"/>
    <w:rsid w:val="0038376E"/>
    <w:rsid w:val="00384BC2"/>
    <w:rsid w:val="00384FB0"/>
    <w:rsid w:val="00385491"/>
    <w:rsid w:val="00385753"/>
    <w:rsid w:val="00385BA5"/>
    <w:rsid w:val="003861DB"/>
    <w:rsid w:val="003867C7"/>
    <w:rsid w:val="00387151"/>
    <w:rsid w:val="003902F8"/>
    <w:rsid w:val="00390417"/>
    <w:rsid w:val="00391EB5"/>
    <w:rsid w:val="003922F7"/>
    <w:rsid w:val="00393807"/>
    <w:rsid w:val="00393F38"/>
    <w:rsid w:val="003951A0"/>
    <w:rsid w:val="00395356"/>
    <w:rsid w:val="00395DAE"/>
    <w:rsid w:val="0039643E"/>
    <w:rsid w:val="003A1831"/>
    <w:rsid w:val="003A4C6E"/>
    <w:rsid w:val="003A58B7"/>
    <w:rsid w:val="003A6EFA"/>
    <w:rsid w:val="003B19E6"/>
    <w:rsid w:val="003B249A"/>
    <w:rsid w:val="003B27CA"/>
    <w:rsid w:val="003C2630"/>
    <w:rsid w:val="003C43A2"/>
    <w:rsid w:val="003C458A"/>
    <w:rsid w:val="003C54EF"/>
    <w:rsid w:val="003C640F"/>
    <w:rsid w:val="003C674F"/>
    <w:rsid w:val="003C78FB"/>
    <w:rsid w:val="003C7AB2"/>
    <w:rsid w:val="003D0EBF"/>
    <w:rsid w:val="003D0FAA"/>
    <w:rsid w:val="003D1D35"/>
    <w:rsid w:val="003D1F60"/>
    <w:rsid w:val="003D2511"/>
    <w:rsid w:val="003D48BB"/>
    <w:rsid w:val="003D67BB"/>
    <w:rsid w:val="003D687F"/>
    <w:rsid w:val="003D756C"/>
    <w:rsid w:val="003D7C4E"/>
    <w:rsid w:val="003E080F"/>
    <w:rsid w:val="003E0AAE"/>
    <w:rsid w:val="003E19C0"/>
    <w:rsid w:val="003E236A"/>
    <w:rsid w:val="003E2953"/>
    <w:rsid w:val="003E2B7D"/>
    <w:rsid w:val="003E3945"/>
    <w:rsid w:val="003E3E51"/>
    <w:rsid w:val="003E4FB1"/>
    <w:rsid w:val="003E5DD3"/>
    <w:rsid w:val="003E6EA7"/>
    <w:rsid w:val="003E754E"/>
    <w:rsid w:val="003E7CB9"/>
    <w:rsid w:val="003F251C"/>
    <w:rsid w:val="003F51F4"/>
    <w:rsid w:val="0040144E"/>
    <w:rsid w:val="00401FEC"/>
    <w:rsid w:val="0040270D"/>
    <w:rsid w:val="00404EEE"/>
    <w:rsid w:val="004057BD"/>
    <w:rsid w:val="0041137B"/>
    <w:rsid w:val="00414C77"/>
    <w:rsid w:val="00416445"/>
    <w:rsid w:val="00417009"/>
    <w:rsid w:val="00421279"/>
    <w:rsid w:val="0042176B"/>
    <w:rsid w:val="00423CCB"/>
    <w:rsid w:val="00431276"/>
    <w:rsid w:val="00434EDD"/>
    <w:rsid w:val="00437ABB"/>
    <w:rsid w:val="004429EF"/>
    <w:rsid w:val="00443622"/>
    <w:rsid w:val="00447A25"/>
    <w:rsid w:val="00451D35"/>
    <w:rsid w:val="00452B7C"/>
    <w:rsid w:val="00452EF0"/>
    <w:rsid w:val="00453701"/>
    <w:rsid w:val="00453A59"/>
    <w:rsid w:val="004558FC"/>
    <w:rsid w:val="00456CEF"/>
    <w:rsid w:val="0046003F"/>
    <w:rsid w:val="00460C72"/>
    <w:rsid w:val="004623C8"/>
    <w:rsid w:val="00462686"/>
    <w:rsid w:val="00466D46"/>
    <w:rsid w:val="004701FA"/>
    <w:rsid w:val="00470963"/>
    <w:rsid w:val="00471E17"/>
    <w:rsid w:val="004725F8"/>
    <w:rsid w:val="0047510C"/>
    <w:rsid w:val="00480A30"/>
    <w:rsid w:val="00482527"/>
    <w:rsid w:val="004844DE"/>
    <w:rsid w:val="00485A60"/>
    <w:rsid w:val="004923A8"/>
    <w:rsid w:val="0049478A"/>
    <w:rsid w:val="00494B98"/>
    <w:rsid w:val="0049514B"/>
    <w:rsid w:val="00496B86"/>
    <w:rsid w:val="004A0219"/>
    <w:rsid w:val="004A116C"/>
    <w:rsid w:val="004A2760"/>
    <w:rsid w:val="004A2BA6"/>
    <w:rsid w:val="004A3058"/>
    <w:rsid w:val="004A3617"/>
    <w:rsid w:val="004A416E"/>
    <w:rsid w:val="004A61A4"/>
    <w:rsid w:val="004B072A"/>
    <w:rsid w:val="004B155E"/>
    <w:rsid w:val="004B31F7"/>
    <w:rsid w:val="004B48CF"/>
    <w:rsid w:val="004C5905"/>
    <w:rsid w:val="004D2E00"/>
    <w:rsid w:val="004D3A72"/>
    <w:rsid w:val="004D7316"/>
    <w:rsid w:val="004E0A18"/>
    <w:rsid w:val="004E12AE"/>
    <w:rsid w:val="004E2FF4"/>
    <w:rsid w:val="004E355D"/>
    <w:rsid w:val="004E44F8"/>
    <w:rsid w:val="004E4768"/>
    <w:rsid w:val="004E4BD6"/>
    <w:rsid w:val="004E55BB"/>
    <w:rsid w:val="004E6F38"/>
    <w:rsid w:val="004F16A3"/>
    <w:rsid w:val="004F2696"/>
    <w:rsid w:val="004F402D"/>
    <w:rsid w:val="004F493E"/>
    <w:rsid w:val="00500641"/>
    <w:rsid w:val="005015BA"/>
    <w:rsid w:val="005031C7"/>
    <w:rsid w:val="0050775A"/>
    <w:rsid w:val="005078F9"/>
    <w:rsid w:val="00510EC2"/>
    <w:rsid w:val="0051101D"/>
    <w:rsid w:val="00511714"/>
    <w:rsid w:val="00512567"/>
    <w:rsid w:val="00516063"/>
    <w:rsid w:val="005171C5"/>
    <w:rsid w:val="00517C80"/>
    <w:rsid w:val="00521E38"/>
    <w:rsid w:val="00524891"/>
    <w:rsid w:val="00525403"/>
    <w:rsid w:val="00530D70"/>
    <w:rsid w:val="005311C8"/>
    <w:rsid w:val="00531DFC"/>
    <w:rsid w:val="005325D5"/>
    <w:rsid w:val="00532991"/>
    <w:rsid w:val="00536BB4"/>
    <w:rsid w:val="00540235"/>
    <w:rsid w:val="00540E43"/>
    <w:rsid w:val="0054286A"/>
    <w:rsid w:val="00544C61"/>
    <w:rsid w:val="00546B41"/>
    <w:rsid w:val="0054734B"/>
    <w:rsid w:val="00547F60"/>
    <w:rsid w:val="0055085A"/>
    <w:rsid w:val="00552412"/>
    <w:rsid w:val="00552C9D"/>
    <w:rsid w:val="00552EA0"/>
    <w:rsid w:val="00555CCC"/>
    <w:rsid w:val="00556416"/>
    <w:rsid w:val="00561440"/>
    <w:rsid w:val="00562FE6"/>
    <w:rsid w:val="0056329D"/>
    <w:rsid w:val="0056479F"/>
    <w:rsid w:val="00565EEC"/>
    <w:rsid w:val="00567AA6"/>
    <w:rsid w:val="00570182"/>
    <w:rsid w:val="00570A31"/>
    <w:rsid w:val="00573BF6"/>
    <w:rsid w:val="00573FAF"/>
    <w:rsid w:val="005775A0"/>
    <w:rsid w:val="0058244D"/>
    <w:rsid w:val="00583379"/>
    <w:rsid w:val="00583FD1"/>
    <w:rsid w:val="00585F45"/>
    <w:rsid w:val="00586DC1"/>
    <w:rsid w:val="00595C48"/>
    <w:rsid w:val="00596300"/>
    <w:rsid w:val="005965CD"/>
    <w:rsid w:val="00596E1F"/>
    <w:rsid w:val="00597484"/>
    <w:rsid w:val="005975DF"/>
    <w:rsid w:val="005A32AB"/>
    <w:rsid w:val="005A4F3F"/>
    <w:rsid w:val="005A4F53"/>
    <w:rsid w:val="005B16DC"/>
    <w:rsid w:val="005B595B"/>
    <w:rsid w:val="005B6231"/>
    <w:rsid w:val="005C1094"/>
    <w:rsid w:val="005C13AE"/>
    <w:rsid w:val="005C3BCC"/>
    <w:rsid w:val="005C4B9B"/>
    <w:rsid w:val="005C5B91"/>
    <w:rsid w:val="005C774A"/>
    <w:rsid w:val="005D06F0"/>
    <w:rsid w:val="005D28B4"/>
    <w:rsid w:val="005D50F9"/>
    <w:rsid w:val="005D5DDD"/>
    <w:rsid w:val="005D68C9"/>
    <w:rsid w:val="005D6963"/>
    <w:rsid w:val="005D7CA7"/>
    <w:rsid w:val="005D7DB6"/>
    <w:rsid w:val="005E1CC9"/>
    <w:rsid w:val="005E2A9D"/>
    <w:rsid w:val="005E2D60"/>
    <w:rsid w:val="005E33D7"/>
    <w:rsid w:val="005E5429"/>
    <w:rsid w:val="005E6DDC"/>
    <w:rsid w:val="005F0068"/>
    <w:rsid w:val="005F1AD6"/>
    <w:rsid w:val="005F1E9C"/>
    <w:rsid w:val="005F4FCC"/>
    <w:rsid w:val="005F59B4"/>
    <w:rsid w:val="00600282"/>
    <w:rsid w:val="00602376"/>
    <w:rsid w:val="006059FA"/>
    <w:rsid w:val="00607BA3"/>
    <w:rsid w:val="00610598"/>
    <w:rsid w:val="00612D32"/>
    <w:rsid w:val="0061459D"/>
    <w:rsid w:val="00615103"/>
    <w:rsid w:val="00615CB0"/>
    <w:rsid w:val="0062086B"/>
    <w:rsid w:val="0062091C"/>
    <w:rsid w:val="006231E7"/>
    <w:rsid w:val="00624E06"/>
    <w:rsid w:val="0062584D"/>
    <w:rsid w:val="00631057"/>
    <w:rsid w:val="0063138C"/>
    <w:rsid w:val="006316B2"/>
    <w:rsid w:val="00633D16"/>
    <w:rsid w:val="00634C72"/>
    <w:rsid w:val="0064045C"/>
    <w:rsid w:val="0064092F"/>
    <w:rsid w:val="00641F11"/>
    <w:rsid w:val="00642F28"/>
    <w:rsid w:val="00642F7B"/>
    <w:rsid w:val="00645FBF"/>
    <w:rsid w:val="00647CD5"/>
    <w:rsid w:val="006512A0"/>
    <w:rsid w:val="006522D7"/>
    <w:rsid w:val="00653B7A"/>
    <w:rsid w:val="00657071"/>
    <w:rsid w:val="00660454"/>
    <w:rsid w:val="006604EE"/>
    <w:rsid w:val="00663C9F"/>
    <w:rsid w:val="00664620"/>
    <w:rsid w:val="0066628E"/>
    <w:rsid w:val="006673E7"/>
    <w:rsid w:val="00667513"/>
    <w:rsid w:val="0067239C"/>
    <w:rsid w:val="00674A3B"/>
    <w:rsid w:val="0067740C"/>
    <w:rsid w:val="00677E63"/>
    <w:rsid w:val="00682690"/>
    <w:rsid w:val="00683165"/>
    <w:rsid w:val="006845C5"/>
    <w:rsid w:val="0068599D"/>
    <w:rsid w:val="00686586"/>
    <w:rsid w:val="0069158A"/>
    <w:rsid w:val="00692E97"/>
    <w:rsid w:val="006933BA"/>
    <w:rsid w:val="006A10F7"/>
    <w:rsid w:val="006A1DBB"/>
    <w:rsid w:val="006A5C6B"/>
    <w:rsid w:val="006A6D73"/>
    <w:rsid w:val="006B211C"/>
    <w:rsid w:val="006B3879"/>
    <w:rsid w:val="006B47EC"/>
    <w:rsid w:val="006B518B"/>
    <w:rsid w:val="006B5333"/>
    <w:rsid w:val="006B6C7A"/>
    <w:rsid w:val="006C043F"/>
    <w:rsid w:val="006C1B0F"/>
    <w:rsid w:val="006C2556"/>
    <w:rsid w:val="006C29A7"/>
    <w:rsid w:val="006C39C8"/>
    <w:rsid w:val="006C4E74"/>
    <w:rsid w:val="006C5115"/>
    <w:rsid w:val="006C6B57"/>
    <w:rsid w:val="006D33FB"/>
    <w:rsid w:val="006E0DA0"/>
    <w:rsid w:val="006E1235"/>
    <w:rsid w:val="006E162B"/>
    <w:rsid w:val="006E2A9D"/>
    <w:rsid w:val="006E2F4E"/>
    <w:rsid w:val="006E4D64"/>
    <w:rsid w:val="006E621C"/>
    <w:rsid w:val="006E6646"/>
    <w:rsid w:val="006E6C14"/>
    <w:rsid w:val="006E6E29"/>
    <w:rsid w:val="006F0A7B"/>
    <w:rsid w:val="006F0AFB"/>
    <w:rsid w:val="006F2725"/>
    <w:rsid w:val="006F47B1"/>
    <w:rsid w:val="006F6047"/>
    <w:rsid w:val="006F7D91"/>
    <w:rsid w:val="00700CAC"/>
    <w:rsid w:val="00701CE6"/>
    <w:rsid w:val="00710BE3"/>
    <w:rsid w:val="0071193E"/>
    <w:rsid w:val="0071203F"/>
    <w:rsid w:val="007125A3"/>
    <w:rsid w:val="007125AB"/>
    <w:rsid w:val="00713058"/>
    <w:rsid w:val="00713D67"/>
    <w:rsid w:val="00713F6B"/>
    <w:rsid w:val="0071465B"/>
    <w:rsid w:val="00714880"/>
    <w:rsid w:val="00715477"/>
    <w:rsid w:val="00715DD9"/>
    <w:rsid w:val="00716419"/>
    <w:rsid w:val="007174F6"/>
    <w:rsid w:val="00721D33"/>
    <w:rsid w:val="00725BFF"/>
    <w:rsid w:val="00730727"/>
    <w:rsid w:val="00731A45"/>
    <w:rsid w:val="00735E49"/>
    <w:rsid w:val="007409A2"/>
    <w:rsid w:val="00745831"/>
    <w:rsid w:val="00745A48"/>
    <w:rsid w:val="00750183"/>
    <w:rsid w:val="007514F3"/>
    <w:rsid w:val="00752444"/>
    <w:rsid w:val="0075283D"/>
    <w:rsid w:val="00753DD6"/>
    <w:rsid w:val="007548A6"/>
    <w:rsid w:val="00754ACD"/>
    <w:rsid w:val="007570BF"/>
    <w:rsid w:val="0076115B"/>
    <w:rsid w:val="007613E5"/>
    <w:rsid w:val="007617F5"/>
    <w:rsid w:val="00764B8C"/>
    <w:rsid w:val="00766C0E"/>
    <w:rsid w:val="00767631"/>
    <w:rsid w:val="007710FC"/>
    <w:rsid w:val="00771D94"/>
    <w:rsid w:val="00771F9C"/>
    <w:rsid w:val="007803EE"/>
    <w:rsid w:val="00780E17"/>
    <w:rsid w:val="00781521"/>
    <w:rsid w:val="007836AF"/>
    <w:rsid w:val="0079054C"/>
    <w:rsid w:val="00795686"/>
    <w:rsid w:val="00796548"/>
    <w:rsid w:val="0079690E"/>
    <w:rsid w:val="007979E1"/>
    <w:rsid w:val="007A0142"/>
    <w:rsid w:val="007A04B8"/>
    <w:rsid w:val="007A0DB7"/>
    <w:rsid w:val="007A3796"/>
    <w:rsid w:val="007A3C8C"/>
    <w:rsid w:val="007A4F51"/>
    <w:rsid w:val="007A5C8B"/>
    <w:rsid w:val="007A5FB8"/>
    <w:rsid w:val="007A682C"/>
    <w:rsid w:val="007B04E4"/>
    <w:rsid w:val="007B142B"/>
    <w:rsid w:val="007B470B"/>
    <w:rsid w:val="007B5092"/>
    <w:rsid w:val="007B596C"/>
    <w:rsid w:val="007B689F"/>
    <w:rsid w:val="007B77BE"/>
    <w:rsid w:val="007C33A1"/>
    <w:rsid w:val="007C391B"/>
    <w:rsid w:val="007C47DD"/>
    <w:rsid w:val="007D0D55"/>
    <w:rsid w:val="007D1B7C"/>
    <w:rsid w:val="007D4DAC"/>
    <w:rsid w:val="007D52BD"/>
    <w:rsid w:val="007D729C"/>
    <w:rsid w:val="007D7797"/>
    <w:rsid w:val="007D7A26"/>
    <w:rsid w:val="007E01A7"/>
    <w:rsid w:val="007E0355"/>
    <w:rsid w:val="007E447F"/>
    <w:rsid w:val="007E6FCD"/>
    <w:rsid w:val="007F2E5A"/>
    <w:rsid w:val="007F3176"/>
    <w:rsid w:val="007F3429"/>
    <w:rsid w:val="007F3F0C"/>
    <w:rsid w:val="007F4416"/>
    <w:rsid w:val="007F689B"/>
    <w:rsid w:val="007F6C48"/>
    <w:rsid w:val="0080143D"/>
    <w:rsid w:val="00803DCA"/>
    <w:rsid w:val="00806B57"/>
    <w:rsid w:val="00806CB2"/>
    <w:rsid w:val="008076FE"/>
    <w:rsid w:val="00811A2B"/>
    <w:rsid w:val="00812080"/>
    <w:rsid w:val="008129EE"/>
    <w:rsid w:val="008132E8"/>
    <w:rsid w:val="008132F0"/>
    <w:rsid w:val="008142A9"/>
    <w:rsid w:val="008165F8"/>
    <w:rsid w:val="00816636"/>
    <w:rsid w:val="008173BD"/>
    <w:rsid w:val="00817D7D"/>
    <w:rsid w:val="00823117"/>
    <w:rsid w:val="0082400D"/>
    <w:rsid w:val="0082403B"/>
    <w:rsid w:val="00830665"/>
    <w:rsid w:val="00833C19"/>
    <w:rsid w:val="00835681"/>
    <w:rsid w:val="00836696"/>
    <w:rsid w:val="00837ECB"/>
    <w:rsid w:val="008422EE"/>
    <w:rsid w:val="00842A3F"/>
    <w:rsid w:val="00842AAF"/>
    <w:rsid w:val="0084518D"/>
    <w:rsid w:val="00845AE1"/>
    <w:rsid w:val="00851A14"/>
    <w:rsid w:val="008531C7"/>
    <w:rsid w:val="00853464"/>
    <w:rsid w:val="00854433"/>
    <w:rsid w:val="00854917"/>
    <w:rsid w:val="00855E27"/>
    <w:rsid w:val="00857865"/>
    <w:rsid w:val="00862434"/>
    <w:rsid w:val="0086276E"/>
    <w:rsid w:val="008628F0"/>
    <w:rsid w:val="0086576D"/>
    <w:rsid w:val="0086672D"/>
    <w:rsid w:val="00867788"/>
    <w:rsid w:val="00867F04"/>
    <w:rsid w:val="00870117"/>
    <w:rsid w:val="00873AE8"/>
    <w:rsid w:val="00877A15"/>
    <w:rsid w:val="00880E22"/>
    <w:rsid w:val="0088101A"/>
    <w:rsid w:val="0088243C"/>
    <w:rsid w:val="0088525F"/>
    <w:rsid w:val="00885ADE"/>
    <w:rsid w:val="00885AF1"/>
    <w:rsid w:val="00893028"/>
    <w:rsid w:val="008936EA"/>
    <w:rsid w:val="0089407F"/>
    <w:rsid w:val="00894A0C"/>
    <w:rsid w:val="008958CC"/>
    <w:rsid w:val="00896984"/>
    <w:rsid w:val="008975AE"/>
    <w:rsid w:val="008A0EEF"/>
    <w:rsid w:val="008A3760"/>
    <w:rsid w:val="008A5954"/>
    <w:rsid w:val="008A5CF7"/>
    <w:rsid w:val="008B0715"/>
    <w:rsid w:val="008B0F10"/>
    <w:rsid w:val="008B248A"/>
    <w:rsid w:val="008B709E"/>
    <w:rsid w:val="008C14E5"/>
    <w:rsid w:val="008C219F"/>
    <w:rsid w:val="008C49C9"/>
    <w:rsid w:val="008C52DB"/>
    <w:rsid w:val="008C5862"/>
    <w:rsid w:val="008C74BF"/>
    <w:rsid w:val="008D001C"/>
    <w:rsid w:val="008D1500"/>
    <w:rsid w:val="008D2CD7"/>
    <w:rsid w:val="008D304B"/>
    <w:rsid w:val="008D3709"/>
    <w:rsid w:val="008D49F7"/>
    <w:rsid w:val="008D5AD8"/>
    <w:rsid w:val="008D65C6"/>
    <w:rsid w:val="008D7A70"/>
    <w:rsid w:val="008E24D4"/>
    <w:rsid w:val="008E2704"/>
    <w:rsid w:val="008E384F"/>
    <w:rsid w:val="008E396B"/>
    <w:rsid w:val="008E43AF"/>
    <w:rsid w:val="008E6002"/>
    <w:rsid w:val="008E7EA8"/>
    <w:rsid w:val="008F1F50"/>
    <w:rsid w:val="008F328A"/>
    <w:rsid w:val="008F430F"/>
    <w:rsid w:val="008F437D"/>
    <w:rsid w:val="008F72A7"/>
    <w:rsid w:val="00904573"/>
    <w:rsid w:val="00904FBC"/>
    <w:rsid w:val="00905CA7"/>
    <w:rsid w:val="0090642F"/>
    <w:rsid w:val="009101A4"/>
    <w:rsid w:val="00911E8C"/>
    <w:rsid w:val="00912294"/>
    <w:rsid w:val="0091386C"/>
    <w:rsid w:val="0091572E"/>
    <w:rsid w:val="00915CCF"/>
    <w:rsid w:val="00916D8F"/>
    <w:rsid w:val="009172CE"/>
    <w:rsid w:val="00920082"/>
    <w:rsid w:val="009219D9"/>
    <w:rsid w:val="00922591"/>
    <w:rsid w:val="009248BC"/>
    <w:rsid w:val="00925509"/>
    <w:rsid w:val="0092587F"/>
    <w:rsid w:val="00925C36"/>
    <w:rsid w:val="00931717"/>
    <w:rsid w:val="00933169"/>
    <w:rsid w:val="00935526"/>
    <w:rsid w:val="009363F6"/>
    <w:rsid w:val="00936C29"/>
    <w:rsid w:val="0093712A"/>
    <w:rsid w:val="00940406"/>
    <w:rsid w:val="0094145C"/>
    <w:rsid w:val="009422E4"/>
    <w:rsid w:val="00943B3F"/>
    <w:rsid w:val="00950C87"/>
    <w:rsid w:val="00953CD9"/>
    <w:rsid w:val="009544F5"/>
    <w:rsid w:val="00955E64"/>
    <w:rsid w:val="009560C3"/>
    <w:rsid w:val="00956262"/>
    <w:rsid w:val="0095672C"/>
    <w:rsid w:val="009600ED"/>
    <w:rsid w:val="00961A3A"/>
    <w:rsid w:val="00961FE0"/>
    <w:rsid w:val="00963148"/>
    <w:rsid w:val="00963EBF"/>
    <w:rsid w:val="00970590"/>
    <w:rsid w:val="00971317"/>
    <w:rsid w:val="00975D21"/>
    <w:rsid w:val="00976310"/>
    <w:rsid w:val="00976693"/>
    <w:rsid w:val="00976DB1"/>
    <w:rsid w:val="009771B9"/>
    <w:rsid w:val="0097785E"/>
    <w:rsid w:val="00977905"/>
    <w:rsid w:val="00977BA8"/>
    <w:rsid w:val="00977C18"/>
    <w:rsid w:val="00984E05"/>
    <w:rsid w:val="009858FA"/>
    <w:rsid w:val="00985FA2"/>
    <w:rsid w:val="00990F07"/>
    <w:rsid w:val="00991E4B"/>
    <w:rsid w:val="009932AC"/>
    <w:rsid w:val="00993374"/>
    <w:rsid w:val="00995A95"/>
    <w:rsid w:val="00996D81"/>
    <w:rsid w:val="009A1895"/>
    <w:rsid w:val="009A2235"/>
    <w:rsid w:val="009A353F"/>
    <w:rsid w:val="009B30C4"/>
    <w:rsid w:val="009C2827"/>
    <w:rsid w:val="009C440A"/>
    <w:rsid w:val="009C50D3"/>
    <w:rsid w:val="009C657B"/>
    <w:rsid w:val="009C6C00"/>
    <w:rsid w:val="009D1CAF"/>
    <w:rsid w:val="009D4698"/>
    <w:rsid w:val="009D7F22"/>
    <w:rsid w:val="009E29B6"/>
    <w:rsid w:val="009E2F1B"/>
    <w:rsid w:val="009E2FA5"/>
    <w:rsid w:val="009E33B7"/>
    <w:rsid w:val="009E33F5"/>
    <w:rsid w:val="009E6847"/>
    <w:rsid w:val="009E693A"/>
    <w:rsid w:val="009F1440"/>
    <w:rsid w:val="009F16EC"/>
    <w:rsid w:val="009F1ECB"/>
    <w:rsid w:val="009F321A"/>
    <w:rsid w:val="009F4417"/>
    <w:rsid w:val="009F4EAF"/>
    <w:rsid w:val="009F57B6"/>
    <w:rsid w:val="009F5A45"/>
    <w:rsid w:val="009F5A4E"/>
    <w:rsid w:val="00A0082F"/>
    <w:rsid w:val="00A01E42"/>
    <w:rsid w:val="00A02DF9"/>
    <w:rsid w:val="00A05E7F"/>
    <w:rsid w:val="00A10D3A"/>
    <w:rsid w:val="00A10EFD"/>
    <w:rsid w:val="00A1198E"/>
    <w:rsid w:val="00A11FCE"/>
    <w:rsid w:val="00A144E5"/>
    <w:rsid w:val="00A1472E"/>
    <w:rsid w:val="00A147AC"/>
    <w:rsid w:val="00A149CC"/>
    <w:rsid w:val="00A15D3E"/>
    <w:rsid w:val="00A16070"/>
    <w:rsid w:val="00A16736"/>
    <w:rsid w:val="00A1699D"/>
    <w:rsid w:val="00A17956"/>
    <w:rsid w:val="00A2052D"/>
    <w:rsid w:val="00A212D6"/>
    <w:rsid w:val="00A2179C"/>
    <w:rsid w:val="00A21EB8"/>
    <w:rsid w:val="00A23467"/>
    <w:rsid w:val="00A2362B"/>
    <w:rsid w:val="00A23CCD"/>
    <w:rsid w:val="00A259CE"/>
    <w:rsid w:val="00A2672C"/>
    <w:rsid w:val="00A302FC"/>
    <w:rsid w:val="00A337B4"/>
    <w:rsid w:val="00A33E61"/>
    <w:rsid w:val="00A33F2D"/>
    <w:rsid w:val="00A35618"/>
    <w:rsid w:val="00A41739"/>
    <w:rsid w:val="00A4231E"/>
    <w:rsid w:val="00A426B2"/>
    <w:rsid w:val="00A43C59"/>
    <w:rsid w:val="00A46B54"/>
    <w:rsid w:val="00A472B6"/>
    <w:rsid w:val="00A50DF8"/>
    <w:rsid w:val="00A51EEB"/>
    <w:rsid w:val="00A525EE"/>
    <w:rsid w:val="00A53C46"/>
    <w:rsid w:val="00A54162"/>
    <w:rsid w:val="00A56E15"/>
    <w:rsid w:val="00A57859"/>
    <w:rsid w:val="00A60FFB"/>
    <w:rsid w:val="00A6349E"/>
    <w:rsid w:val="00A63C63"/>
    <w:rsid w:val="00A6416F"/>
    <w:rsid w:val="00A64D8A"/>
    <w:rsid w:val="00A70A1D"/>
    <w:rsid w:val="00A716F6"/>
    <w:rsid w:val="00A742E1"/>
    <w:rsid w:val="00A74EE1"/>
    <w:rsid w:val="00A76153"/>
    <w:rsid w:val="00A80DC6"/>
    <w:rsid w:val="00A8604A"/>
    <w:rsid w:val="00A902A3"/>
    <w:rsid w:val="00A94A8B"/>
    <w:rsid w:val="00A95C48"/>
    <w:rsid w:val="00AA0817"/>
    <w:rsid w:val="00AA1A19"/>
    <w:rsid w:val="00AA4451"/>
    <w:rsid w:val="00AA5869"/>
    <w:rsid w:val="00AA62B4"/>
    <w:rsid w:val="00AB1128"/>
    <w:rsid w:val="00AB18E2"/>
    <w:rsid w:val="00AB421C"/>
    <w:rsid w:val="00AB6A69"/>
    <w:rsid w:val="00AC24BB"/>
    <w:rsid w:val="00AC2708"/>
    <w:rsid w:val="00AC3AC8"/>
    <w:rsid w:val="00AC4F99"/>
    <w:rsid w:val="00AD651B"/>
    <w:rsid w:val="00AE0CC0"/>
    <w:rsid w:val="00AE31E3"/>
    <w:rsid w:val="00AE3877"/>
    <w:rsid w:val="00AE5B55"/>
    <w:rsid w:val="00AE760B"/>
    <w:rsid w:val="00AE77AA"/>
    <w:rsid w:val="00AF0EB2"/>
    <w:rsid w:val="00AF25E7"/>
    <w:rsid w:val="00AF2ABA"/>
    <w:rsid w:val="00AF4514"/>
    <w:rsid w:val="00AF6F28"/>
    <w:rsid w:val="00AF7D81"/>
    <w:rsid w:val="00B01CAA"/>
    <w:rsid w:val="00B030D5"/>
    <w:rsid w:val="00B0314E"/>
    <w:rsid w:val="00B14C92"/>
    <w:rsid w:val="00B160EC"/>
    <w:rsid w:val="00B17A13"/>
    <w:rsid w:val="00B219DB"/>
    <w:rsid w:val="00B21EBB"/>
    <w:rsid w:val="00B22BB8"/>
    <w:rsid w:val="00B23A25"/>
    <w:rsid w:val="00B25378"/>
    <w:rsid w:val="00B26E80"/>
    <w:rsid w:val="00B27EF1"/>
    <w:rsid w:val="00B357EB"/>
    <w:rsid w:val="00B373D1"/>
    <w:rsid w:val="00B37D90"/>
    <w:rsid w:val="00B42694"/>
    <w:rsid w:val="00B42798"/>
    <w:rsid w:val="00B433C7"/>
    <w:rsid w:val="00B43A7B"/>
    <w:rsid w:val="00B43D51"/>
    <w:rsid w:val="00B445FA"/>
    <w:rsid w:val="00B44645"/>
    <w:rsid w:val="00B46928"/>
    <w:rsid w:val="00B51033"/>
    <w:rsid w:val="00B54C2E"/>
    <w:rsid w:val="00B55A5C"/>
    <w:rsid w:val="00B56D3D"/>
    <w:rsid w:val="00B57A05"/>
    <w:rsid w:val="00B57B6F"/>
    <w:rsid w:val="00B611EB"/>
    <w:rsid w:val="00B61708"/>
    <w:rsid w:val="00B6396B"/>
    <w:rsid w:val="00B645DC"/>
    <w:rsid w:val="00B65659"/>
    <w:rsid w:val="00B66158"/>
    <w:rsid w:val="00B66806"/>
    <w:rsid w:val="00B67742"/>
    <w:rsid w:val="00B70E94"/>
    <w:rsid w:val="00B71159"/>
    <w:rsid w:val="00B7347D"/>
    <w:rsid w:val="00B75ECF"/>
    <w:rsid w:val="00B76A37"/>
    <w:rsid w:val="00B778A9"/>
    <w:rsid w:val="00B80564"/>
    <w:rsid w:val="00B80AFB"/>
    <w:rsid w:val="00B8458A"/>
    <w:rsid w:val="00B85ECE"/>
    <w:rsid w:val="00B869B3"/>
    <w:rsid w:val="00B93191"/>
    <w:rsid w:val="00B93458"/>
    <w:rsid w:val="00B95670"/>
    <w:rsid w:val="00B9600E"/>
    <w:rsid w:val="00B96C12"/>
    <w:rsid w:val="00BA33F7"/>
    <w:rsid w:val="00BA47B9"/>
    <w:rsid w:val="00BA511D"/>
    <w:rsid w:val="00BA54F6"/>
    <w:rsid w:val="00BA6372"/>
    <w:rsid w:val="00BB0707"/>
    <w:rsid w:val="00BB7D5B"/>
    <w:rsid w:val="00BC17EC"/>
    <w:rsid w:val="00BC18E1"/>
    <w:rsid w:val="00BC22ED"/>
    <w:rsid w:val="00BC3192"/>
    <w:rsid w:val="00BC337F"/>
    <w:rsid w:val="00BC67A0"/>
    <w:rsid w:val="00BC7360"/>
    <w:rsid w:val="00BC766D"/>
    <w:rsid w:val="00BD0211"/>
    <w:rsid w:val="00BD1364"/>
    <w:rsid w:val="00BD187A"/>
    <w:rsid w:val="00BD19EE"/>
    <w:rsid w:val="00BD2442"/>
    <w:rsid w:val="00BD44C4"/>
    <w:rsid w:val="00BD59F4"/>
    <w:rsid w:val="00BE03CA"/>
    <w:rsid w:val="00BE183E"/>
    <w:rsid w:val="00BE4A1F"/>
    <w:rsid w:val="00BF01CD"/>
    <w:rsid w:val="00BF1249"/>
    <w:rsid w:val="00BF12A6"/>
    <w:rsid w:val="00BF3934"/>
    <w:rsid w:val="00BF595A"/>
    <w:rsid w:val="00C02044"/>
    <w:rsid w:val="00C0208A"/>
    <w:rsid w:val="00C02558"/>
    <w:rsid w:val="00C05B6F"/>
    <w:rsid w:val="00C05C48"/>
    <w:rsid w:val="00C0670A"/>
    <w:rsid w:val="00C106EC"/>
    <w:rsid w:val="00C1194C"/>
    <w:rsid w:val="00C152DA"/>
    <w:rsid w:val="00C15584"/>
    <w:rsid w:val="00C171E2"/>
    <w:rsid w:val="00C21432"/>
    <w:rsid w:val="00C21662"/>
    <w:rsid w:val="00C23866"/>
    <w:rsid w:val="00C240B6"/>
    <w:rsid w:val="00C26DB5"/>
    <w:rsid w:val="00C27FC4"/>
    <w:rsid w:val="00C314C9"/>
    <w:rsid w:val="00C318C1"/>
    <w:rsid w:val="00C321DB"/>
    <w:rsid w:val="00C3316D"/>
    <w:rsid w:val="00C34ED4"/>
    <w:rsid w:val="00C40AEA"/>
    <w:rsid w:val="00C44548"/>
    <w:rsid w:val="00C44807"/>
    <w:rsid w:val="00C44B53"/>
    <w:rsid w:val="00C46150"/>
    <w:rsid w:val="00C50662"/>
    <w:rsid w:val="00C51013"/>
    <w:rsid w:val="00C5247E"/>
    <w:rsid w:val="00C52ABF"/>
    <w:rsid w:val="00C55248"/>
    <w:rsid w:val="00C56863"/>
    <w:rsid w:val="00C56C61"/>
    <w:rsid w:val="00C6008A"/>
    <w:rsid w:val="00C600DC"/>
    <w:rsid w:val="00C648DC"/>
    <w:rsid w:val="00C64E31"/>
    <w:rsid w:val="00C65163"/>
    <w:rsid w:val="00C65546"/>
    <w:rsid w:val="00C6615B"/>
    <w:rsid w:val="00C66F4A"/>
    <w:rsid w:val="00C67754"/>
    <w:rsid w:val="00C71032"/>
    <w:rsid w:val="00C711F1"/>
    <w:rsid w:val="00C72771"/>
    <w:rsid w:val="00C73C05"/>
    <w:rsid w:val="00C73C2B"/>
    <w:rsid w:val="00C73F1E"/>
    <w:rsid w:val="00C743B9"/>
    <w:rsid w:val="00C744A4"/>
    <w:rsid w:val="00C7450B"/>
    <w:rsid w:val="00C7486A"/>
    <w:rsid w:val="00C749DD"/>
    <w:rsid w:val="00C7513F"/>
    <w:rsid w:val="00C75F72"/>
    <w:rsid w:val="00C76512"/>
    <w:rsid w:val="00C77AB1"/>
    <w:rsid w:val="00C77FDE"/>
    <w:rsid w:val="00C82A96"/>
    <w:rsid w:val="00C82F9C"/>
    <w:rsid w:val="00C83BD1"/>
    <w:rsid w:val="00C84EF2"/>
    <w:rsid w:val="00C85F56"/>
    <w:rsid w:val="00C87345"/>
    <w:rsid w:val="00C902B3"/>
    <w:rsid w:val="00C911AA"/>
    <w:rsid w:val="00C92B6A"/>
    <w:rsid w:val="00C93188"/>
    <w:rsid w:val="00C931E3"/>
    <w:rsid w:val="00C93AF8"/>
    <w:rsid w:val="00C93BEF"/>
    <w:rsid w:val="00C94F65"/>
    <w:rsid w:val="00C953A2"/>
    <w:rsid w:val="00CA4487"/>
    <w:rsid w:val="00CA50ED"/>
    <w:rsid w:val="00CA5598"/>
    <w:rsid w:val="00CA6FF6"/>
    <w:rsid w:val="00CA7A17"/>
    <w:rsid w:val="00CB0CB8"/>
    <w:rsid w:val="00CB2AFD"/>
    <w:rsid w:val="00CB434B"/>
    <w:rsid w:val="00CB4C9E"/>
    <w:rsid w:val="00CC051B"/>
    <w:rsid w:val="00CC238A"/>
    <w:rsid w:val="00CC36E6"/>
    <w:rsid w:val="00CC3B5E"/>
    <w:rsid w:val="00CC3C98"/>
    <w:rsid w:val="00CC52F8"/>
    <w:rsid w:val="00CC742F"/>
    <w:rsid w:val="00CC7EC3"/>
    <w:rsid w:val="00CD5BD8"/>
    <w:rsid w:val="00CE1192"/>
    <w:rsid w:val="00CE15E3"/>
    <w:rsid w:val="00CE1B01"/>
    <w:rsid w:val="00CE1DEB"/>
    <w:rsid w:val="00CE2D3F"/>
    <w:rsid w:val="00CE2E9A"/>
    <w:rsid w:val="00CE5B9D"/>
    <w:rsid w:val="00CF187C"/>
    <w:rsid w:val="00CF1A79"/>
    <w:rsid w:val="00CF1BCF"/>
    <w:rsid w:val="00CF55D7"/>
    <w:rsid w:val="00CF63BC"/>
    <w:rsid w:val="00CF796A"/>
    <w:rsid w:val="00D03475"/>
    <w:rsid w:val="00D04565"/>
    <w:rsid w:val="00D056F7"/>
    <w:rsid w:val="00D0664A"/>
    <w:rsid w:val="00D07DE7"/>
    <w:rsid w:val="00D20AF5"/>
    <w:rsid w:val="00D22071"/>
    <w:rsid w:val="00D2669B"/>
    <w:rsid w:val="00D27822"/>
    <w:rsid w:val="00D308C4"/>
    <w:rsid w:val="00D32E92"/>
    <w:rsid w:val="00D32EAF"/>
    <w:rsid w:val="00D33A20"/>
    <w:rsid w:val="00D33B61"/>
    <w:rsid w:val="00D34045"/>
    <w:rsid w:val="00D34F1A"/>
    <w:rsid w:val="00D35911"/>
    <w:rsid w:val="00D36EB4"/>
    <w:rsid w:val="00D405D8"/>
    <w:rsid w:val="00D41967"/>
    <w:rsid w:val="00D43CA2"/>
    <w:rsid w:val="00D454BC"/>
    <w:rsid w:val="00D45A5D"/>
    <w:rsid w:val="00D463AA"/>
    <w:rsid w:val="00D46DCA"/>
    <w:rsid w:val="00D47708"/>
    <w:rsid w:val="00D5377D"/>
    <w:rsid w:val="00D55599"/>
    <w:rsid w:val="00D60DB6"/>
    <w:rsid w:val="00D60FA2"/>
    <w:rsid w:val="00D6131E"/>
    <w:rsid w:val="00D61F12"/>
    <w:rsid w:val="00D643E2"/>
    <w:rsid w:val="00D64446"/>
    <w:rsid w:val="00D64909"/>
    <w:rsid w:val="00D66507"/>
    <w:rsid w:val="00D7011B"/>
    <w:rsid w:val="00D714A4"/>
    <w:rsid w:val="00D71662"/>
    <w:rsid w:val="00D72A23"/>
    <w:rsid w:val="00D7302E"/>
    <w:rsid w:val="00D7613D"/>
    <w:rsid w:val="00D81F75"/>
    <w:rsid w:val="00D82503"/>
    <w:rsid w:val="00D82638"/>
    <w:rsid w:val="00D82EEE"/>
    <w:rsid w:val="00D8372A"/>
    <w:rsid w:val="00D8506E"/>
    <w:rsid w:val="00D8631E"/>
    <w:rsid w:val="00D8653F"/>
    <w:rsid w:val="00D90C4E"/>
    <w:rsid w:val="00D910B9"/>
    <w:rsid w:val="00D91698"/>
    <w:rsid w:val="00D927FF"/>
    <w:rsid w:val="00D9400B"/>
    <w:rsid w:val="00D96F3F"/>
    <w:rsid w:val="00D97C23"/>
    <w:rsid w:val="00DA2BC0"/>
    <w:rsid w:val="00DA3A28"/>
    <w:rsid w:val="00DA6CDD"/>
    <w:rsid w:val="00DB1129"/>
    <w:rsid w:val="00DB5A85"/>
    <w:rsid w:val="00DB6DB7"/>
    <w:rsid w:val="00DC1936"/>
    <w:rsid w:val="00DC2CFE"/>
    <w:rsid w:val="00DC515A"/>
    <w:rsid w:val="00DC64BA"/>
    <w:rsid w:val="00DC6601"/>
    <w:rsid w:val="00DC758F"/>
    <w:rsid w:val="00DC7DD4"/>
    <w:rsid w:val="00DD1515"/>
    <w:rsid w:val="00DD345A"/>
    <w:rsid w:val="00DD4872"/>
    <w:rsid w:val="00DD53B3"/>
    <w:rsid w:val="00DE181D"/>
    <w:rsid w:val="00DE5503"/>
    <w:rsid w:val="00DE57A6"/>
    <w:rsid w:val="00DE6823"/>
    <w:rsid w:val="00DE7335"/>
    <w:rsid w:val="00DE744E"/>
    <w:rsid w:val="00DE7731"/>
    <w:rsid w:val="00DF00A6"/>
    <w:rsid w:val="00DF157A"/>
    <w:rsid w:val="00DF230A"/>
    <w:rsid w:val="00DF28F5"/>
    <w:rsid w:val="00DF43A4"/>
    <w:rsid w:val="00DF4F4B"/>
    <w:rsid w:val="00DF65EA"/>
    <w:rsid w:val="00E00406"/>
    <w:rsid w:val="00E03F12"/>
    <w:rsid w:val="00E04DB8"/>
    <w:rsid w:val="00E04E33"/>
    <w:rsid w:val="00E050E6"/>
    <w:rsid w:val="00E06121"/>
    <w:rsid w:val="00E070CA"/>
    <w:rsid w:val="00E13885"/>
    <w:rsid w:val="00E13995"/>
    <w:rsid w:val="00E17442"/>
    <w:rsid w:val="00E210CF"/>
    <w:rsid w:val="00E2540D"/>
    <w:rsid w:val="00E2667F"/>
    <w:rsid w:val="00E27DC5"/>
    <w:rsid w:val="00E304FD"/>
    <w:rsid w:val="00E325DF"/>
    <w:rsid w:val="00E33791"/>
    <w:rsid w:val="00E3384B"/>
    <w:rsid w:val="00E33A93"/>
    <w:rsid w:val="00E3591F"/>
    <w:rsid w:val="00E370C1"/>
    <w:rsid w:val="00E37431"/>
    <w:rsid w:val="00E4033E"/>
    <w:rsid w:val="00E4105A"/>
    <w:rsid w:val="00E41381"/>
    <w:rsid w:val="00E41A01"/>
    <w:rsid w:val="00E4416F"/>
    <w:rsid w:val="00E476AC"/>
    <w:rsid w:val="00E53AD1"/>
    <w:rsid w:val="00E53C79"/>
    <w:rsid w:val="00E56113"/>
    <w:rsid w:val="00E567AF"/>
    <w:rsid w:val="00E57868"/>
    <w:rsid w:val="00E60657"/>
    <w:rsid w:val="00E628E6"/>
    <w:rsid w:val="00E62A05"/>
    <w:rsid w:val="00E70335"/>
    <w:rsid w:val="00E70631"/>
    <w:rsid w:val="00E709A7"/>
    <w:rsid w:val="00E71FA4"/>
    <w:rsid w:val="00E7291C"/>
    <w:rsid w:val="00E73E28"/>
    <w:rsid w:val="00E84802"/>
    <w:rsid w:val="00E85475"/>
    <w:rsid w:val="00E85734"/>
    <w:rsid w:val="00E857F7"/>
    <w:rsid w:val="00E86D72"/>
    <w:rsid w:val="00E87263"/>
    <w:rsid w:val="00E91E47"/>
    <w:rsid w:val="00E95741"/>
    <w:rsid w:val="00E97579"/>
    <w:rsid w:val="00EA0465"/>
    <w:rsid w:val="00EA36B5"/>
    <w:rsid w:val="00EA3F2A"/>
    <w:rsid w:val="00EA709E"/>
    <w:rsid w:val="00EB0B74"/>
    <w:rsid w:val="00EB2A7A"/>
    <w:rsid w:val="00EB3D48"/>
    <w:rsid w:val="00EB7559"/>
    <w:rsid w:val="00EB7D6D"/>
    <w:rsid w:val="00EC0673"/>
    <w:rsid w:val="00EC3A44"/>
    <w:rsid w:val="00EC444A"/>
    <w:rsid w:val="00ED0BEE"/>
    <w:rsid w:val="00ED654E"/>
    <w:rsid w:val="00EE2537"/>
    <w:rsid w:val="00EE3E4A"/>
    <w:rsid w:val="00EE7BAB"/>
    <w:rsid w:val="00EF2766"/>
    <w:rsid w:val="00EF27F3"/>
    <w:rsid w:val="00EF3839"/>
    <w:rsid w:val="00EF3F08"/>
    <w:rsid w:val="00EF3FF0"/>
    <w:rsid w:val="00EF6209"/>
    <w:rsid w:val="00EF6486"/>
    <w:rsid w:val="00EF7806"/>
    <w:rsid w:val="00EF7B53"/>
    <w:rsid w:val="00F007B8"/>
    <w:rsid w:val="00F00EEF"/>
    <w:rsid w:val="00F04250"/>
    <w:rsid w:val="00F045B7"/>
    <w:rsid w:val="00F05287"/>
    <w:rsid w:val="00F11431"/>
    <w:rsid w:val="00F11805"/>
    <w:rsid w:val="00F11F05"/>
    <w:rsid w:val="00F13CE2"/>
    <w:rsid w:val="00F13E1D"/>
    <w:rsid w:val="00F13FAF"/>
    <w:rsid w:val="00F1407B"/>
    <w:rsid w:val="00F153DB"/>
    <w:rsid w:val="00F156FB"/>
    <w:rsid w:val="00F16BB4"/>
    <w:rsid w:val="00F16BBF"/>
    <w:rsid w:val="00F21489"/>
    <w:rsid w:val="00F2478B"/>
    <w:rsid w:val="00F30ED2"/>
    <w:rsid w:val="00F31720"/>
    <w:rsid w:val="00F33F18"/>
    <w:rsid w:val="00F34322"/>
    <w:rsid w:val="00F35D9E"/>
    <w:rsid w:val="00F36CF1"/>
    <w:rsid w:val="00F4042F"/>
    <w:rsid w:val="00F4241F"/>
    <w:rsid w:val="00F44535"/>
    <w:rsid w:val="00F47C0E"/>
    <w:rsid w:val="00F50107"/>
    <w:rsid w:val="00F50C5A"/>
    <w:rsid w:val="00F51C68"/>
    <w:rsid w:val="00F527B7"/>
    <w:rsid w:val="00F53C06"/>
    <w:rsid w:val="00F546A9"/>
    <w:rsid w:val="00F56CBA"/>
    <w:rsid w:val="00F6203A"/>
    <w:rsid w:val="00F629BD"/>
    <w:rsid w:val="00F63F49"/>
    <w:rsid w:val="00F640A4"/>
    <w:rsid w:val="00F64785"/>
    <w:rsid w:val="00F64CB0"/>
    <w:rsid w:val="00F657D5"/>
    <w:rsid w:val="00F668D3"/>
    <w:rsid w:val="00F677D5"/>
    <w:rsid w:val="00F70F9D"/>
    <w:rsid w:val="00F71FB3"/>
    <w:rsid w:val="00F735A1"/>
    <w:rsid w:val="00F73693"/>
    <w:rsid w:val="00F73A66"/>
    <w:rsid w:val="00F74241"/>
    <w:rsid w:val="00F81BF7"/>
    <w:rsid w:val="00F84FA6"/>
    <w:rsid w:val="00F8634F"/>
    <w:rsid w:val="00F86383"/>
    <w:rsid w:val="00F917B2"/>
    <w:rsid w:val="00F920D6"/>
    <w:rsid w:val="00F95D5F"/>
    <w:rsid w:val="00F97A00"/>
    <w:rsid w:val="00FA07AD"/>
    <w:rsid w:val="00FA62E0"/>
    <w:rsid w:val="00FB096C"/>
    <w:rsid w:val="00FB3D6A"/>
    <w:rsid w:val="00FB4C00"/>
    <w:rsid w:val="00FB570F"/>
    <w:rsid w:val="00FB6F6E"/>
    <w:rsid w:val="00FC28BA"/>
    <w:rsid w:val="00FC297E"/>
    <w:rsid w:val="00FC2E07"/>
    <w:rsid w:val="00FC3BAA"/>
    <w:rsid w:val="00FC4556"/>
    <w:rsid w:val="00FC5F72"/>
    <w:rsid w:val="00FC7230"/>
    <w:rsid w:val="00FD4A49"/>
    <w:rsid w:val="00FD4EF2"/>
    <w:rsid w:val="00FD5C7C"/>
    <w:rsid w:val="00FD6A22"/>
    <w:rsid w:val="00FD6D59"/>
    <w:rsid w:val="00FE1407"/>
    <w:rsid w:val="00FE51E8"/>
    <w:rsid w:val="00FF2CF5"/>
    <w:rsid w:val="00FF6020"/>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417009"/>
    <w:pPr>
      <w:spacing w:after="200" w:line="276" w:lineRule="auto"/>
    </w:pPr>
    <w:rPr>
      <w:sz w:val="22"/>
      <w:szCs w:val="22"/>
      <w:lang w:val="es-ES"/>
    </w:rPr>
  </w:style>
  <w:style w:type="paragraph" w:styleId="Heading1">
    <w:name w:val="heading 1"/>
    <w:aliases w:val="Heading 1-Agriteam"/>
    <w:basedOn w:val="Normal"/>
    <w:next w:val="Normal"/>
    <w:link w:val="Heading1Char"/>
    <w:qFormat/>
    <w:rsid w:val="00443622"/>
    <w:pPr>
      <w:keepNext/>
      <w:tabs>
        <w:tab w:val="num" w:pos="360"/>
      </w:tabs>
      <w:spacing w:before="120" w:after="120" w:line="240" w:lineRule="auto"/>
      <w:jc w:val="both"/>
      <w:outlineLvl w:val="0"/>
    </w:pPr>
    <w:rPr>
      <w:rFonts w:ascii="Arial" w:eastAsia="Times New Roman" w:hAnsi="Arial"/>
      <w:b/>
      <w:caps/>
      <w:szCs w:val="20"/>
      <w:lang w:val="pt-BR" w:eastAsia="x-none"/>
    </w:rPr>
  </w:style>
  <w:style w:type="paragraph" w:styleId="Heading2">
    <w:name w:val="heading 2"/>
    <w:aliases w:val="Heading 2-Agriteam"/>
    <w:basedOn w:val="Normal"/>
    <w:next w:val="Normal"/>
    <w:link w:val="Heading2Char"/>
    <w:qFormat/>
    <w:rsid w:val="00443622"/>
    <w:pPr>
      <w:keepNext/>
      <w:tabs>
        <w:tab w:val="num" w:pos="360"/>
      </w:tabs>
      <w:spacing w:before="120" w:after="120" w:line="240" w:lineRule="auto"/>
      <w:jc w:val="both"/>
      <w:outlineLvl w:val="1"/>
    </w:pPr>
    <w:rPr>
      <w:rFonts w:ascii="Arial" w:eastAsia="Times New Roman" w:hAnsi="Arial"/>
      <w:bCs/>
      <w:iCs/>
      <w:lang w:val="x-none" w:eastAsia="x-none"/>
    </w:rPr>
  </w:style>
  <w:style w:type="paragraph" w:styleId="Heading3">
    <w:name w:val="heading 3"/>
    <w:aliases w:val="Heading 3-Agriteam"/>
    <w:basedOn w:val="Normal"/>
    <w:next w:val="Normal"/>
    <w:link w:val="Heading3Char"/>
    <w:qFormat/>
    <w:rsid w:val="00040972"/>
    <w:pPr>
      <w:keepNext/>
      <w:tabs>
        <w:tab w:val="num" w:pos="720"/>
      </w:tabs>
      <w:spacing w:before="120"/>
      <w:ind w:left="720" w:hanging="720"/>
      <w:outlineLvl w:val="2"/>
    </w:pPr>
    <w:rPr>
      <w:rFonts w:eastAsia="Times New Roman" w:cs="Calibri"/>
      <w:b/>
      <w:bCs/>
      <w:color w:val="000000"/>
    </w:rPr>
  </w:style>
  <w:style w:type="paragraph" w:styleId="Heading4">
    <w:name w:val="heading 4"/>
    <w:basedOn w:val="Normal"/>
    <w:next w:val="Normal"/>
    <w:link w:val="Heading4Char"/>
    <w:qFormat/>
    <w:rsid w:val="00040972"/>
    <w:pPr>
      <w:keepNext/>
      <w:tabs>
        <w:tab w:val="num" w:pos="1080"/>
      </w:tabs>
      <w:spacing w:before="120"/>
      <w:ind w:left="864" w:hanging="864"/>
      <w:outlineLvl w:val="3"/>
    </w:pPr>
    <w:rPr>
      <w:rFonts w:eastAsia="Times New Roman" w:cs="Calibri"/>
      <w:b/>
      <w:bCs/>
      <w:i/>
      <w:iCs/>
    </w:rPr>
  </w:style>
  <w:style w:type="paragraph" w:styleId="Heading5">
    <w:name w:val="heading 5"/>
    <w:basedOn w:val="Normal"/>
    <w:next w:val="Normal"/>
    <w:link w:val="Heading5Char"/>
    <w:uiPriority w:val="99"/>
    <w:qFormat/>
    <w:rsid w:val="002E2364"/>
    <w:pPr>
      <w:keepNext/>
      <w:numPr>
        <w:ilvl w:val="4"/>
        <w:numId w:val="2"/>
      </w:numPr>
      <w:spacing w:before="120" w:after="120" w:line="240" w:lineRule="auto"/>
      <w:jc w:val="both"/>
      <w:outlineLvl w:val="4"/>
    </w:pPr>
    <w:rPr>
      <w:rFonts w:ascii="Arial" w:eastAsia="Times New Roman" w:hAnsi="Arial"/>
      <w:bCs/>
      <w:iCs/>
      <w:szCs w:val="26"/>
      <w:lang w:val="x-none" w:eastAsia="x-none"/>
    </w:rPr>
  </w:style>
  <w:style w:type="paragraph" w:styleId="Heading6">
    <w:name w:val="heading 6"/>
    <w:basedOn w:val="Normal"/>
    <w:next w:val="Normal"/>
    <w:link w:val="Heading6Char"/>
    <w:uiPriority w:val="99"/>
    <w:qFormat/>
    <w:rsid w:val="002E2364"/>
    <w:pPr>
      <w:keepNext/>
      <w:numPr>
        <w:ilvl w:val="5"/>
        <w:numId w:val="2"/>
      </w:numPr>
      <w:spacing w:before="120" w:after="120" w:line="240" w:lineRule="auto"/>
      <w:jc w:val="both"/>
      <w:outlineLvl w:val="5"/>
    </w:pPr>
    <w:rPr>
      <w:rFonts w:ascii="Arial" w:eastAsia="Times New Roman" w:hAnsi="Arial"/>
      <w:szCs w:val="20"/>
      <w:lang w:val="pt-BR" w:eastAsia="x-none"/>
    </w:rPr>
  </w:style>
  <w:style w:type="paragraph" w:styleId="Heading7">
    <w:name w:val="heading 7"/>
    <w:basedOn w:val="Normal"/>
    <w:next w:val="Normal"/>
    <w:link w:val="Heading7Char"/>
    <w:uiPriority w:val="99"/>
    <w:qFormat/>
    <w:rsid w:val="002E2364"/>
    <w:pPr>
      <w:numPr>
        <w:ilvl w:val="6"/>
        <w:numId w:val="2"/>
      </w:numPr>
      <w:spacing w:before="120" w:after="120" w:line="240" w:lineRule="auto"/>
      <w:jc w:val="both"/>
      <w:outlineLvl w:val="6"/>
    </w:pPr>
    <w:rPr>
      <w:rFonts w:ascii="Arial" w:eastAsia="Times New Roman" w:hAnsi="Arial"/>
      <w:szCs w:val="24"/>
      <w:lang w:val="x-none" w:eastAsia="x-none"/>
    </w:rPr>
  </w:style>
  <w:style w:type="paragraph" w:styleId="Heading8">
    <w:name w:val="heading 8"/>
    <w:basedOn w:val="Normal"/>
    <w:next w:val="Normal"/>
    <w:link w:val="Heading8Char"/>
    <w:uiPriority w:val="99"/>
    <w:qFormat/>
    <w:rsid w:val="002E2364"/>
    <w:pPr>
      <w:numPr>
        <w:ilvl w:val="7"/>
        <w:numId w:val="2"/>
      </w:numPr>
      <w:spacing w:before="120" w:after="120" w:line="240" w:lineRule="auto"/>
      <w:jc w:val="both"/>
      <w:outlineLvl w:val="7"/>
    </w:pPr>
    <w:rPr>
      <w:rFonts w:ascii="Arial" w:eastAsia="Times New Roman" w:hAnsi="Arial"/>
      <w:iCs/>
      <w:szCs w:val="24"/>
      <w:lang w:val="x-none" w:eastAsia="x-none"/>
    </w:rPr>
  </w:style>
  <w:style w:type="paragraph" w:styleId="Heading9">
    <w:name w:val="heading 9"/>
    <w:basedOn w:val="Normal"/>
    <w:next w:val="Normal"/>
    <w:link w:val="Heading9Char"/>
    <w:uiPriority w:val="99"/>
    <w:qFormat/>
    <w:rsid w:val="002E2364"/>
    <w:pPr>
      <w:numPr>
        <w:ilvl w:val="8"/>
        <w:numId w:val="2"/>
      </w:numPr>
      <w:spacing w:before="240" w:after="60" w:line="240" w:lineRule="auto"/>
      <w:outlineLvl w:val="8"/>
    </w:pPr>
    <w:rPr>
      <w:rFonts w:ascii="Arial" w:eastAsia="Times New Roman" w:hAnsi="Arial"/>
      <w:sz w:val="20"/>
      <w:szCs w:val="20"/>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Agriteam Char"/>
    <w:link w:val="Heading1"/>
    <w:uiPriority w:val="99"/>
    <w:rsid w:val="00443622"/>
    <w:rPr>
      <w:rFonts w:ascii="Arial" w:eastAsia="Times New Roman" w:hAnsi="Arial"/>
      <w:b/>
      <w:caps/>
      <w:sz w:val="22"/>
      <w:lang w:val="pt-BR"/>
    </w:rPr>
  </w:style>
  <w:style w:type="character" w:customStyle="1" w:styleId="Heading2Char">
    <w:name w:val="Heading 2 Char"/>
    <w:aliases w:val="Heading 2-Agriteam Char"/>
    <w:link w:val="Heading2"/>
    <w:uiPriority w:val="99"/>
    <w:rsid w:val="00443622"/>
    <w:rPr>
      <w:rFonts w:ascii="Arial" w:eastAsia="Times New Roman" w:hAnsi="Arial" w:cs="Arial"/>
      <w:bCs/>
      <w:iCs/>
      <w:sz w:val="22"/>
      <w:szCs w:val="22"/>
    </w:rPr>
  </w:style>
  <w:style w:type="character" w:customStyle="1" w:styleId="Heading3Char">
    <w:name w:val="Heading 3 Char"/>
    <w:aliases w:val="Heading 3-Agriteam Char"/>
    <w:basedOn w:val="DefaultParagraphFont"/>
    <w:link w:val="Heading3"/>
    <w:uiPriority w:val="99"/>
    <w:rsid w:val="00040972"/>
    <w:rPr>
      <w:rFonts w:eastAsia="Times New Roman" w:cs="Calibri"/>
      <w:b/>
      <w:bCs/>
      <w:noProof/>
      <w:color w:val="000000"/>
      <w:sz w:val="22"/>
      <w:szCs w:val="22"/>
      <w:lang w:val="es-ES"/>
    </w:rPr>
  </w:style>
  <w:style w:type="character" w:customStyle="1" w:styleId="Heading4Char">
    <w:name w:val="Heading 4 Char"/>
    <w:basedOn w:val="DefaultParagraphFont"/>
    <w:link w:val="Heading4"/>
    <w:uiPriority w:val="99"/>
    <w:rsid w:val="00040972"/>
    <w:rPr>
      <w:rFonts w:eastAsia="Times New Roman" w:cs="Calibri"/>
      <w:b/>
      <w:bCs/>
      <w:i/>
      <w:iCs/>
      <w:noProof/>
      <w:sz w:val="22"/>
      <w:szCs w:val="22"/>
      <w:lang w:val="es-ES"/>
    </w:rPr>
  </w:style>
  <w:style w:type="character" w:customStyle="1" w:styleId="Heading5Char">
    <w:name w:val="Heading 5 Char"/>
    <w:link w:val="Heading5"/>
    <w:uiPriority w:val="99"/>
    <w:rsid w:val="002E2364"/>
    <w:rPr>
      <w:rFonts w:ascii="Arial" w:eastAsia="Times New Roman" w:hAnsi="Arial"/>
      <w:bCs/>
      <w:iCs/>
      <w:sz w:val="22"/>
      <w:szCs w:val="26"/>
      <w:lang w:val="x-none" w:eastAsia="x-none"/>
    </w:rPr>
  </w:style>
  <w:style w:type="character" w:customStyle="1" w:styleId="Heading6Char">
    <w:name w:val="Heading 6 Char"/>
    <w:link w:val="Heading6"/>
    <w:uiPriority w:val="99"/>
    <w:rsid w:val="002E2364"/>
    <w:rPr>
      <w:rFonts w:ascii="Arial" w:eastAsia="Times New Roman" w:hAnsi="Arial"/>
      <w:sz w:val="22"/>
      <w:lang w:val="pt-BR" w:eastAsia="x-none"/>
    </w:rPr>
  </w:style>
  <w:style w:type="character" w:customStyle="1" w:styleId="Heading7Char">
    <w:name w:val="Heading 7 Char"/>
    <w:link w:val="Heading7"/>
    <w:uiPriority w:val="99"/>
    <w:rsid w:val="002E2364"/>
    <w:rPr>
      <w:rFonts w:ascii="Arial" w:eastAsia="Times New Roman" w:hAnsi="Arial"/>
      <w:sz w:val="22"/>
      <w:szCs w:val="24"/>
      <w:lang w:val="x-none" w:eastAsia="x-none"/>
    </w:rPr>
  </w:style>
  <w:style w:type="character" w:customStyle="1" w:styleId="Heading8Char">
    <w:name w:val="Heading 8 Char"/>
    <w:link w:val="Heading8"/>
    <w:uiPriority w:val="99"/>
    <w:rsid w:val="002E2364"/>
    <w:rPr>
      <w:rFonts w:ascii="Arial" w:eastAsia="Times New Roman" w:hAnsi="Arial"/>
      <w:iCs/>
      <w:sz w:val="22"/>
      <w:szCs w:val="24"/>
      <w:lang w:val="x-none" w:eastAsia="x-none"/>
    </w:rPr>
  </w:style>
  <w:style w:type="character" w:customStyle="1" w:styleId="Heading9Char">
    <w:name w:val="Heading 9 Char"/>
    <w:link w:val="Heading9"/>
    <w:uiPriority w:val="99"/>
    <w:rsid w:val="002E2364"/>
    <w:rPr>
      <w:rFonts w:ascii="Arial" w:eastAsia="Times New Roman" w:hAnsi="Arial"/>
      <w:lang w:val="es-ES" w:eastAsia="es-ES"/>
    </w:rPr>
  </w:style>
  <w:style w:type="paragraph" w:styleId="ListParagraph">
    <w:name w:val="List Paragraph"/>
    <w:basedOn w:val="Normal"/>
    <w:link w:val="ListParagraphChar"/>
    <w:uiPriority w:val="99"/>
    <w:qFormat/>
    <w:rsid w:val="00862434"/>
    <w:pPr>
      <w:ind w:left="720"/>
      <w:contextualSpacing/>
    </w:pPr>
  </w:style>
  <w:style w:type="character" w:customStyle="1" w:styleId="ListParagraphChar">
    <w:name w:val="List Paragraph Char"/>
    <w:basedOn w:val="DefaultParagraphFont"/>
    <w:link w:val="ListParagraph"/>
    <w:uiPriority w:val="99"/>
    <w:rsid w:val="00157BB7"/>
    <w:rPr>
      <w:noProof/>
      <w:sz w:val="22"/>
      <w:szCs w:val="22"/>
      <w:lang w:val="es-ES"/>
    </w:rPr>
  </w:style>
  <w:style w:type="paragraph" w:customStyle="1" w:styleId="Chapter">
    <w:name w:val="Chapter"/>
    <w:basedOn w:val="Normal"/>
    <w:next w:val="Normal"/>
    <w:link w:val="ChapterChar"/>
    <w:rsid w:val="002E2364"/>
    <w:pPr>
      <w:keepNext/>
      <w:numPr>
        <w:numId w:val="1"/>
      </w:numPr>
      <w:tabs>
        <w:tab w:val="left" w:pos="1440"/>
      </w:tabs>
      <w:spacing w:before="240" w:after="240" w:line="240" w:lineRule="auto"/>
      <w:jc w:val="center"/>
    </w:pPr>
    <w:rPr>
      <w:rFonts w:ascii="Times New Roman" w:eastAsia="Times New Roman" w:hAnsi="Times New Roman"/>
      <w:b/>
      <w:smallCaps/>
      <w:sz w:val="24"/>
      <w:szCs w:val="20"/>
      <w:lang w:eastAsia="x-none"/>
    </w:rPr>
  </w:style>
  <w:style w:type="character" w:customStyle="1" w:styleId="ChapterChar">
    <w:name w:val="Chapter Char"/>
    <w:link w:val="Chapter"/>
    <w:locked/>
    <w:rsid w:val="002E2364"/>
    <w:rPr>
      <w:rFonts w:ascii="Times New Roman" w:eastAsia="Times New Roman" w:hAnsi="Times New Roman"/>
      <w:b/>
      <w:smallCaps/>
      <w:sz w:val="24"/>
      <w:lang w:val="es-ES" w:eastAsia="x-none"/>
    </w:rPr>
  </w:style>
  <w:style w:type="paragraph" w:customStyle="1" w:styleId="Paragraph">
    <w:name w:val="Paragraph"/>
    <w:aliases w:val="paragraph,p,PARAGRAPH,PG,pa,at"/>
    <w:basedOn w:val="BodyTextIndent"/>
    <w:link w:val="ParagraphChar"/>
    <w:rsid w:val="002E2364"/>
    <w:pPr>
      <w:numPr>
        <w:ilvl w:val="1"/>
        <w:numId w:val="1"/>
      </w:numPr>
      <w:tabs>
        <w:tab w:val="clear" w:pos="2448"/>
        <w:tab w:val="num" w:pos="720"/>
      </w:tabs>
      <w:spacing w:before="120"/>
      <w:ind w:left="720" w:hanging="720"/>
      <w:jc w:val="both"/>
      <w:outlineLvl w:val="1"/>
    </w:pPr>
    <w:rPr>
      <w:rFonts w:eastAsia="Times New Roman"/>
      <w:szCs w:val="20"/>
      <w:lang w:eastAsia="x-none"/>
    </w:rPr>
  </w:style>
  <w:style w:type="paragraph" w:styleId="BodyTextIndent">
    <w:name w:val="Body Text Indent"/>
    <w:basedOn w:val="Normal"/>
    <w:link w:val="BodyTextIndentChar"/>
    <w:uiPriority w:val="99"/>
    <w:semiHidden/>
    <w:unhideWhenUsed/>
    <w:rsid w:val="008E7EA8"/>
    <w:pPr>
      <w:spacing w:after="120" w:line="240" w:lineRule="auto"/>
      <w:ind w:left="360"/>
    </w:pPr>
    <w:rPr>
      <w:rFonts w:ascii="Times New Roman" w:hAnsi="Times New Roman"/>
      <w:sz w:val="24"/>
    </w:rPr>
  </w:style>
  <w:style w:type="character" w:customStyle="1" w:styleId="BodyTextIndentChar">
    <w:name w:val="Body Text Indent Char"/>
    <w:basedOn w:val="DefaultParagraphFont"/>
    <w:link w:val="BodyTextIndent"/>
    <w:uiPriority w:val="99"/>
    <w:semiHidden/>
    <w:rsid w:val="008E7EA8"/>
    <w:rPr>
      <w:rFonts w:ascii="Times New Roman" w:hAnsi="Times New Roman"/>
      <w:noProof/>
      <w:sz w:val="24"/>
      <w:szCs w:val="22"/>
      <w:lang w:val="es-ES"/>
    </w:rPr>
  </w:style>
  <w:style w:type="character" w:customStyle="1" w:styleId="ParagraphChar">
    <w:name w:val="Paragraph Char"/>
    <w:link w:val="Paragraph"/>
    <w:locked/>
    <w:rsid w:val="002E2364"/>
    <w:rPr>
      <w:rFonts w:ascii="Times New Roman" w:eastAsia="Times New Roman" w:hAnsi="Times New Roman"/>
      <w:sz w:val="24"/>
      <w:lang w:val="es-ES" w:eastAsia="x-none"/>
    </w:rPr>
  </w:style>
  <w:style w:type="paragraph" w:customStyle="1" w:styleId="subpar">
    <w:name w:val="subpar"/>
    <w:basedOn w:val="BodyTextIndent3"/>
    <w:rsid w:val="002E2364"/>
    <w:pPr>
      <w:numPr>
        <w:ilvl w:val="2"/>
        <w:numId w:val="1"/>
      </w:numPr>
      <w:tabs>
        <w:tab w:val="clear" w:pos="2304"/>
        <w:tab w:val="num" w:pos="1152"/>
      </w:tabs>
      <w:spacing w:before="120"/>
      <w:ind w:left="1152"/>
      <w:jc w:val="both"/>
      <w:outlineLvl w:val="2"/>
    </w:pPr>
  </w:style>
  <w:style w:type="paragraph" w:styleId="BodyTextIndent3">
    <w:name w:val="Body Text Indent 3"/>
    <w:basedOn w:val="Normal"/>
    <w:link w:val="BodyTextIndent3Char"/>
    <w:uiPriority w:val="99"/>
    <w:semiHidden/>
    <w:unhideWhenUsed/>
    <w:rsid w:val="008E7EA8"/>
    <w:pPr>
      <w:spacing w:after="120" w:line="240" w:lineRule="auto"/>
      <w:ind w:left="360"/>
    </w:pPr>
    <w:rPr>
      <w:rFonts w:ascii="Times New Roman" w:hAnsi="Times New Roman"/>
      <w:sz w:val="24"/>
      <w:szCs w:val="16"/>
      <w:lang w:val="x-none" w:eastAsia="x-none"/>
    </w:rPr>
  </w:style>
  <w:style w:type="character" w:customStyle="1" w:styleId="BodyTextIndent3Char">
    <w:name w:val="Body Text Indent 3 Char"/>
    <w:link w:val="BodyTextIndent3"/>
    <w:uiPriority w:val="99"/>
    <w:semiHidden/>
    <w:rsid w:val="008E7EA8"/>
    <w:rPr>
      <w:rFonts w:ascii="Times New Roman" w:hAnsi="Times New Roman"/>
      <w:sz w:val="24"/>
      <w:szCs w:val="16"/>
      <w:lang w:val="x-none" w:eastAsia="x-none"/>
    </w:rPr>
  </w:style>
  <w:style w:type="paragraph" w:customStyle="1" w:styleId="SubSubPar">
    <w:name w:val="SubSubPar"/>
    <w:basedOn w:val="subpar"/>
    <w:rsid w:val="002E2364"/>
    <w:pPr>
      <w:numPr>
        <w:ilvl w:val="3"/>
      </w:numPr>
      <w:tabs>
        <w:tab w:val="clear" w:pos="2736"/>
        <w:tab w:val="left" w:pos="0"/>
        <w:tab w:val="num" w:pos="1296"/>
      </w:tabs>
      <w:ind w:left="1296"/>
    </w:pPr>
  </w:style>
  <w:style w:type="paragraph" w:styleId="EndnoteText">
    <w:name w:val="endnote text"/>
    <w:basedOn w:val="Normal"/>
    <w:link w:val="EndnoteTextChar"/>
    <w:uiPriority w:val="99"/>
    <w:semiHidden/>
    <w:unhideWhenUsed/>
    <w:rsid w:val="00D60DB6"/>
    <w:pPr>
      <w:spacing w:after="0" w:line="240" w:lineRule="auto"/>
    </w:pPr>
    <w:rPr>
      <w:sz w:val="20"/>
      <w:szCs w:val="20"/>
      <w:lang w:val="x-none" w:eastAsia="x-none"/>
    </w:rPr>
  </w:style>
  <w:style w:type="character" w:customStyle="1" w:styleId="EndnoteTextChar">
    <w:name w:val="Endnote Text Char"/>
    <w:link w:val="EndnoteText"/>
    <w:uiPriority w:val="99"/>
    <w:semiHidden/>
    <w:rsid w:val="00D60DB6"/>
    <w:rPr>
      <w:sz w:val="20"/>
      <w:szCs w:val="20"/>
    </w:rPr>
  </w:style>
  <w:style w:type="character" w:styleId="EndnoteReference">
    <w:name w:val="endnote reference"/>
    <w:uiPriority w:val="99"/>
    <w:semiHidden/>
    <w:unhideWhenUsed/>
    <w:rsid w:val="00D60DB6"/>
    <w:rPr>
      <w:vertAlign w:val="superscript"/>
    </w:rPr>
  </w:style>
  <w:style w:type="paragraph" w:styleId="FootnoteText">
    <w:name w:val="footnote text"/>
    <w:aliases w:val="fn,foottextfra,footnote,F,Texto nota pie Car Car,Texto de rodapé,nota_rodapé,nota de rodapé,FOOTNOTES,single space,footnote text,Footnote Text Char Char,texto de nota al pie,Nota a pie/Bibliog,ADB,Texto nota pie Car Car Car"/>
    <w:basedOn w:val="Normal"/>
    <w:link w:val="FootnoteTextChar"/>
    <w:uiPriority w:val="99"/>
    <w:unhideWhenUsed/>
    <w:rsid w:val="00D60DB6"/>
    <w:pPr>
      <w:keepNext/>
      <w:keepLines/>
      <w:spacing w:after="120" w:line="240" w:lineRule="auto"/>
      <w:ind w:left="288" w:hanging="288"/>
      <w:jc w:val="both"/>
    </w:pPr>
    <w:rPr>
      <w:rFonts w:ascii="Times New Roman" w:hAnsi="Times New Roman"/>
      <w:spacing w:val="-3"/>
      <w:sz w:val="20"/>
      <w:szCs w:val="20"/>
      <w:lang w:val="x-none" w:eastAsia="x-none"/>
    </w:rPr>
  </w:style>
  <w:style w:type="character" w:customStyle="1" w:styleId="FootnoteTextChar">
    <w:name w:val="Footnote Text Char"/>
    <w:aliases w:val="fn Char,foottextfra Char,footnote Char,F Char,Texto nota pie Car Car Char,Texto de rodapé Char,nota_rodapé Char,nota de rodapé Char,FOOTNOTES Char,single space Char,footnote text Char,Footnote Text Char Char Char,ADB Char"/>
    <w:link w:val="FootnoteText"/>
    <w:uiPriority w:val="99"/>
    <w:rsid w:val="00D60DB6"/>
    <w:rPr>
      <w:rFonts w:ascii="Times New Roman" w:hAnsi="Times New Roman"/>
      <w:spacing w:val="-3"/>
      <w:lang w:val="x-none" w:eastAsia="x-none"/>
    </w:rPr>
  </w:style>
  <w:style w:type="character" w:styleId="FootnoteReference">
    <w:name w:val="footnote reference"/>
    <w:aliases w:val="referencia nota al pie,Texto de nota al pie,BVI fnr,Ref. de nota al pie2,Nota de pie,Ref,de nota al pie,Footnote symbol,Footnote,Pie de pagina,titulo 2,Style 24,pie pddes,FC,Fußnotenzeichen DISS,16 Point,Superscript 6 Point,ftref"/>
    <w:unhideWhenUsed/>
    <w:rsid w:val="00D60DB6"/>
    <w:rPr>
      <w:vertAlign w:val="superscript"/>
    </w:rPr>
  </w:style>
  <w:style w:type="paragraph" w:styleId="Caption">
    <w:name w:val="caption"/>
    <w:basedOn w:val="Normal"/>
    <w:next w:val="Normal"/>
    <w:qFormat/>
    <w:rsid w:val="00F44535"/>
    <w:pPr>
      <w:spacing w:after="0" w:line="240" w:lineRule="auto"/>
    </w:pPr>
    <w:rPr>
      <w:rFonts w:ascii="Times New Roman" w:eastAsia="Times New Roman" w:hAnsi="Times New Roman"/>
      <w:b/>
      <w:bCs/>
      <w:sz w:val="20"/>
      <w:szCs w:val="20"/>
      <w:lang w:eastAsia="es-ES"/>
    </w:rPr>
  </w:style>
  <w:style w:type="character" w:customStyle="1" w:styleId="TituloA">
    <w:name w:val="Titulo A"/>
    <w:rsid w:val="000853E0"/>
    <w:rPr>
      <w:rFonts w:ascii="Times New Roman" w:hAnsi="Times New Roman"/>
      <w:b/>
      <w:sz w:val="28"/>
      <w:szCs w:val="22"/>
    </w:rPr>
  </w:style>
  <w:style w:type="paragraph" w:styleId="Header">
    <w:name w:val="header"/>
    <w:basedOn w:val="Normal"/>
    <w:link w:val="HeaderChar"/>
    <w:uiPriority w:val="99"/>
    <w:unhideWhenUsed/>
    <w:rsid w:val="009E2F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2FA5"/>
  </w:style>
  <w:style w:type="paragraph" w:styleId="Footer">
    <w:name w:val="footer"/>
    <w:basedOn w:val="Normal"/>
    <w:link w:val="FooterChar"/>
    <w:uiPriority w:val="99"/>
    <w:unhideWhenUsed/>
    <w:rsid w:val="009E2F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2FA5"/>
  </w:style>
  <w:style w:type="paragraph" w:customStyle="1" w:styleId="Default">
    <w:name w:val="Default"/>
    <w:rsid w:val="00970590"/>
    <w:pPr>
      <w:autoSpaceDE w:val="0"/>
      <w:autoSpaceDN w:val="0"/>
      <w:adjustRightInd w:val="0"/>
    </w:pPr>
    <w:rPr>
      <w:rFonts w:ascii="Times New Roman" w:hAnsi="Times New Roman"/>
      <w:color w:val="000000"/>
      <w:sz w:val="24"/>
      <w:szCs w:val="24"/>
    </w:rPr>
  </w:style>
  <w:style w:type="table" w:styleId="LightList-Accent2">
    <w:name w:val="Light List Accent 2"/>
    <w:basedOn w:val="TableNormal"/>
    <w:uiPriority w:val="61"/>
    <w:rsid w:val="0075283D"/>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Shading-Accent6">
    <w:name w:val="Light Shading Accent 6"/>
    <w:basedOn w:val="TableNormal"/>
    <w:uiPriority w:val="60"/>
    <w:rsid w:val="0075283D"/>
    <w:rPr>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ghtShading-Accent5">
    <w:name w:val="Light Shading Accent 5"/>
    <w:basedOn w:val="TableNormal"/>
    <w:uiPriority w:val="60"/>
    <w:rsid w:val="0075283D"/>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ableGrid">
    <w:name w:val="Table Grid"/>
    <w:basedOn w:val="TableNormal"/>
    <w:uiPriority w:val="39"/>
    <w:rsid w:val="007528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1">
    <w:name w:val="Lista Clara1"/>
    <w:basedOn w:val="TableNormal"/>
    <w:uiPriority w:val="61"/>
    <w:rsid w:val="0075283D"/>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styleId="SubtleReference">
    <w:name w:val="Subtle Reference"/>
    <w:uiPriority w:val="31"/>
    <w:qFormat/>
    <w:rsid w:val="007D52BD"/>
    <w:rPr>
      <w:smallCaps/>
      <w:color w:val="C0504D"/>
      <w:u w:val="single"/>
    </w:rPr>
  </w:style>
  <w:style w:type="paragraph" w:styleId="BalloonText">
    <w:name w:val="Balloon Text"/>
    <w:basedOn w:val="Normal"/>
    <w:link w:val="BalloonTextChar"/>
    <w:uiPriority w:val="99"/>
    <w:semiHidden/>
    <w:unhideWhenUsed/>
    <w:rsid w:val="00D47708"/>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D47708"/>
    <w:rPr>
      <w:rFonts w:ascii="Tahoma" w:hAnsi="Tahoma" w:cs="Tahoma"/>
      <w:sz w:val="16"/>
      <w:szCs w:val="16"/>
    </w:rPr>
  </w:style>
  <w:style w:type="paragraph" w:styleId="z-TopofForm">
    <w:name w:val="HTML Top of Form"/>
    <w:basedOn w:val="Normal"/>
    <w:next w:val="Normal"/>
    <w:link w:val="z-TopofFormChar"/>
    <w:hidden/>
    <w:uiPriority w:val="99"/>
    <w:semiHidden/>
    <w:unhideWhenUsed/>
    <w:rsid w:val="00391EB5"/>
    <w:pPr>
      <w:pBdr>
        <w:bottom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TopofFormChar">
    <w:name w:val="z-Top of Form Char"/>
    <w:link w:val="z-TopofForm"/>
    <w:uiPriority w:val="99"/>
    <w:semiHidden/>
    <w:rsid w:val="00391EB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391EB5"/>
    <w:pPr>
      <w:pBdr>
        <w:top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BottomofFormChar">
    <w:name w:val="z-Bottom of Form Char"/>
    <w:link w:val="z-BottomofForm"/>
    <w:uiPriority w:val="99"/>
    <w:rsid w:val="00391EB5"/>
    <w:rPr>
      <w:rFonts w:ascii="Arial" w:eastAsia="Times New Roman" w:hAnsi="Arial" w:cs="Arial"/>
      <w:vanish/>
      <w:sz w:val="16"/>
      <w:szCs w:val="16"/>
    </w:rPr>
  </w:style>
  <w:style w:type="paragraph" w:styleId="NoSpacing">
    <w:name w:val="No Spacing"/>
    <w:link w:val="NoSpacingChar"/>
    <w:uiPriority w:val="99"/>
    <w:qFormat/>
    <w:rsid w:val="00114300"/>
    <w:rPr>
      <w:rFonts w:eastAsia="Times New Roman"/>
      <w:sz w:val="22"/>
      <w:szCs w:val="22"/>
      <w:lang w:val="pt-BR"/>
    </w:rPr>
  </w:style>
  <w:style w:type="character" w:customStyle="1" w:styleId="NoSpacingChar">
    <w:name w:val="No Spacing Char"/>
    <w:link w:val="NoSpacing"/>
    <w:uiPriority w:val="99"/>
    <w:rsid w:val="00114300"/>
    <w:rPr>
      <w:rFonts w:eastAsia="Times New Roman"/>
      <w:sz w:val="22"/>
      <w:szCs w:val="22"/>
      <w:lang w:val="pt-BR" w:eastAsia="en-US" w:bidi="ar-SA"/>
    </w:rPr>
  </w:style>
  <w:style w:type="character" w:styleId="CommentReference">
    <w:name w:val="annotation reference"/>
    <w:uiPriority w:val="99"/>
    <w:semiHidden/>
    <w:unhideWhenUsed/>
    <w:rsid w:val="00BC3192"/>
    <w:rPr>
      <w:sz w:val="16"/>
      <w:szCs w:val="16"/>
    </w:rPr>
  </w:style>
  <w:style w:type="paragraph" w:styleId="CommentText">
    <w:name w:val="annotation text"/>
    <w:basedOn w:val="Normal"/>
    <w:link w:val="CommentTextChar"/>
    <w:uiPriority w:val="99"/>
    <w:semiHidden/>
    <w:unhideWhenUsed/>
    <w:rsid w:val="00BC3192"/>
    <w:rPr>
      <w:sz w:val="20"/>
      <w:szCs w:val="20"/>
      <w:lang w:eastAsia="x-none"/>
    </w:rPr>
  </w:style>
  <w:style w:type="character" w:customStyle="1" w:styleId="CommentTextChar">
    <w:name w:val="Comment Text Char"/>
    <w:link w:val="CommentText"/>
    <w:uiPriority w:val="99"/>
    <w:semiHidden/>
    <w:rsid w:val="00BC3192"/>
    <w:rPr>
      <w:noProof/>
      <w:lang w:val="es-ES"/>
    </w:rPr>
  </w:style>
  <w:style w:type="paragraph" w:styleId="CommentSubject">
    <w:name w:val="annotation subject"/>
    <w:basedOn w:val="CommentText"/>
    <w:next w:val="CommentText"/>
    <w:link w:val="CommentSubjectChar"/>
    <w:uiPriority w:val="99"/>
    <w:semiHidden/>
    <w:unhideWhenUsed/>
    <w:rsid w:val="00BC3192"/>
    <w:rPr>
      <w:b/>
      <w:bCs/>
    </w:rPr>
  </w:style>
  <w:style w:type="character" w:customStyle="1" w:styleId="CommentSubjectChar">
    <w:name w:val="Comment Subject Char"/>
    <w:link w:val="CommentSubject"/>
    <w:uiPriority w:val="99"/>
    <w:semiHidden/>
    <w:rsid w:val="00BC3192"/>
    <w:rPr>
      <w:b/>
      <w:bCs/>
      <w:noProof/>
      <w:lang w:val="es-ES"/>
    </w:rPr>
  </w:style>
  <w:style w:type="paragraph" w:styleId="Revision">
    <w:name w:val="Revision"/>
    <w:hidden/>
    <w:uiPriority w:val="99"/>
    <w:semiHidden/>
    <w:rsid w:val="0067740C"/>
    <w:rPr>
      <w:noProof/>
      <w:sz w:val="22"/>
      <w:szCs w:val="22"/>
      <w:lang w:val="es-ES"/>
    </w:rPr>
  </w:style>
  <w:style w:type="character" w:styleId="Hyperlink">
    <w:name w:val="Hyperlink"/>
    <w:uiPriority w:val="99"/>
    <w:unhideWhenUsed/>
    <w:rsid w:val="00A76153"/>
    <w:rPr>
      <w:color w:val="0000FF"/>
      <w:u w:val="single"/>
    </w:rPr>
  </w:style>
  <w:style w:type="paragraph" w:styleId="BodyText">
    <w:name w:val="Body Text"/>
    <w:basedOn w:val="Normal"/>
    <w:link w:val="BodyTextChar"/>
    <w:uiPriority w:val="99"/>
    <w:unhideWhenUsed/>
    <w:rsid w:val="00C44548"/>
    <w:pPr>
      <w:spacing w:after="120"/>
    </w:pPr>
    <w:rPr>
      <w:lang w:eastAsia="x-none"/>
    </w:rPr>
  </w:style>
  <w:style w:type="character" w:customStyle="1" w:styleId="BodyTextChar">
    <w:name w:val="Body Text Char"/>
    <w:link w:val="BodyText"/>
    <w:uiPriority w:val="99"/>
    <w:rsid w:val="00C44548"/>
    <w:rPr>
      <w:noProof/>
      <w:sz w:val="22"/>
      <w:szCs w:val="22"/>
      <w:lang w:val="es-ES"/>
    </w:rPr>
  </w:style>
  <w:style w:type="paragraph" w:customStyle="1" w:styleId="Newpage">
    <w:name w:val="Newpage"/>
    <w:basedOn w:val="Normal"/>
    <w:uiPriority w:val="99"/>
    <w:rsid w:val="00E95741"/>
    <w:pPr>
      <w:tabs>
        <w:tab w:val="left" w:pos="3060"/>
      </w:tabs>
      <w:suppressAutoHyphens/>
      <w:spacing w:after="0" w:line="240" w:lineRule="auto"/>
      <w:jc w:val="center"/>
    </w:pPr>
    <w:rPr>
      <w:rFonts w:ascii="Arial" w:eastAsia="Times New Roman" w:hAnsi="Arial" w:cs="Arial"/>
      <w:b/>
      <w:bCs/>
      <w:smallCaps/>
      <w:sz w:val="20"/>
      <w:szCs w:val="20"/>
      <w:lang w:val="pt-BR" w:eastAsia="zh-CN"/>
    </w:rPr>
  </w:style>
  <w:style w:type="paragraph" w:styleId="NormalWeb">
    <w:name w:val="Normal (Web)"/>
    <w:basedOn w:val="Normal"/>
    <w:uiPriority w:val="99"/>
    <w:unhideWhenUsed/>
    <w:rsid w:val="00E62A05"/>
    <w:pPr>
      <w:spacing w:before="100" w:beforeAutospacing="1" w:after="100" w:afterAutospacing="1" w:line="240" w:lineRule="auto"/>
    </w:pPr>
    <w:rPr>
      <w:rFonts w:ascii="Times New Roman" w:eastAsia="SimSun" w:hAnsi="Times New Roman"/>
      <w:sz w:val="24"/>
      <w:szCs w:val="24"/>
      <w:lang w:val="pt-BR" w:eastAsia="pt-BR"/>
    </w:rPr>
  </w:style>
  <w:style w:type="paragraph" w:styleId="Title">
    <w:name w:val="Title"/>
    <w:basedOn w:val="Normal"/>
    <w:link w:val="TitleChar"/>
    <w:uiPriority w:val="99"/>
    <w:qFormat/>
    <w:rsid w:val="005D7CA7"/>
    <w:pPr>
      <w:tabs>
        <w:tab w:val="left" w:pos="1440"/>
        <w:tab w:val="left" w:pos="3060"/>
      </w:tabs>
      <w:spacing w:after="0" w:line="240" w:lineRule="auto"/>
      <w:jc w:val="center"/>
      <w:outlineLvl w:val="0"/>
    </w:pPr>
    <w:rPr>
      <w:rFonts w:ascii="Times New Roman" w:eastAsia="Times New Roman" w:hAnsi="Times New Roman"/>
      <w:sz w:val="24"/>
      <w:szCs w:val="24"/>
      <w:lang w:eastAsia="x-none"/>
    </w:rPr>
  </w:style>
  <w:style w:type="character" w:customStyle="1" w:styleId="TitleChar">
    <w:name w:val="Title Char"/>
    <w:link w:val="Title"/>
    <w:uiPriority w:val="99"/>
    <w:rsid w:val="005D7CA7"/>
    <w:rPr>
      <w:rFonts w:ascii="Times New Roman" w:eastAsia="Times New Roman" w:hAnsi="Times New Roman"/>
      <w:sz w:val="24"/>
      <w:szCs w:val="24"/>
      <w:lang w:val="es-ES"/>
    </w:rPr>
  </w:style>
  <w:style w:type="paragraph" w:customStyle="1" w:styleId="FirstHeading">
    <w:name w:val="FirstHeading"/>
    <w:basedOn w:val="Normal"/>
    <w:next w:val="Normal"/>
    <w:rsid w:val="002E2364"/>
    <w:pPr>
      <w:keepNext/>
      <w:numPr>
        <w:numId w:val="2"/>
      </w:numPr>
      <w:tabs>
        <w:tab w:val="left" w:pos="0"/>
        <w:tab w:val="left" w:pos="86"/>
      </w:tabs>
      <w:spacing w:before="120" w:after="120" w:line="240" w:lineRule="auto"/>
      <w:ind w:left="720"/>
    </w:pPr>
    <w:rPr>
      <w:rFonts w:ascii="Times New Roman" w:eastAsia="Times New Roman" w:hAnsi="Times New Roman"/>
      <w:b/>
      <w:bCs/>
      <w:sz w:val="24"/>
      <w:szCs w:val="24"/>
    </w:rPr>
  </w:style>
  <w:style w:type="paragraph" w:customStyle="1" w:styleId="SecHeading">
    <w:name w:val="SecHeading"/>
    <w:basedOn w:val="Normal"/>
    <w:next w:val="Paragraph"/>
    <w:rsid w:val="002E2364"/>
    <w:pPr>
      <w:keepNext/>
      <w:numPr>
        <w:ilvl w:val="1"/>
        <w:numId w:val="2"/>
      </w:numPr>
      <w:tabs>
        <w:tab w:val="clear" w:pos="5400"/>
        <w:tab w:val="num" w:pos="1296"/>
      </w:tabs>
      <w:spacing w:before="120" w:after="120" w:line="240" w:lineRule="auto"/>
      <w:ind w:left="1296"/>
    </w:pPr>
    <w:rPr>
      <w:rFonts w:ascii="Times New Roman" w:eastAsia="Times New Roman" w:hAnsi="Times New Roman"/>
      <w:b/>
      <w:bCs/>
      <w:sz w:val="24"/>
      <w:szCs w:val="24"/>
    </w:rPr>
  </w:style>
  <w:style w:type="paragraph" w:customStyle="1" w:styleId="SubHeading1">
    <w:name w:val="SubHeading1"/>
    <w:basedOn w:val="SecHeading"/>
    <w:rsid w:val="002E2364"/>
    <w:pPr>
      <w:numPr>
        <w:ilvl w:val="2"/>
      </w:numPr>
      <w:tabs>
        <w:tab w:val="clear" w:pos="5976"/>
        <w:tab w:val="num" w:pos="1872"/>
      </w:tabs>
      <w:ind w:left="1872"/>
    </w:pPr>
  </w:style>
  <w:style w:type="paragraph" w:customStyle="1" w:styleId="Subheading2">
    <w:name w:val="Subheading2"/>
    <w:basedOn w:val="SecHeading"/>
    <w:rsid w:val="002E2364"/>
    <w:pPr>
      <w:numPr>
        <w:ilvl w:val="3"/>
      </w:numPr>
      <w:tabs>
        <w:tab w:val="clear" w:pos="6480"/>
        <w:tab w:val="num" w:pos="2376"/>
      </w:tabs>
      <w:ind w:left="2376"/>
    </w:pPr>
  </w:style>
  <w:style w:type="character" w:customStyle="1" w:styleId="WW8Num1z1">
    <w:name w:val="WW8Num1z1"/>
    <w:rsid w:val="00BF1249"/>
    <w:rPr>
      <w:b w:val="0"/>
      <w:i w:val="0"/>
    </w:rPr>
  </w:style>
  <w:style w:type="paragraph" w:customStyle="1" w:styleId="Tabela">
    <w:name w:val="Tabela"/>
    <w:basedOn w:val="Normal"/>
    <w:rsid w:val="00F4241F"/>
    <w:pPr>
      <w:widowControl w:val="0"/>
      <w:spacing w:after="0" w:line="240" w:lineRule="auto"/>
      <w:jc w:val="center"/>
    </w:pPr>
    <w:rPr>
      <w:rFonts w:ascii="Times New Roman" w:eastAsia="Times New Roman" w:hAnsi="Times New Roman"/>
      <w:b/>
      <w:bCs/>
      <w:sz w:val="16"/>
      <w:szCs w:val="16"/>
      <w:lang w:val="pt-BR" w:eastAsia="pt-BR"/>
    </w:rPr>
  </w:style>
  <w:style w:type="paragraph" w:customStyle="1" w:styleId="Regtable">
    <w:name w:val="Regtable"/>
    <w:basedOn w:val="Normal"/>
    <w:link w:val="RegtableChar"/>
    <w:rsid w:val="002E2364"/>
    <w:pPr>
      <w:keepLines/>
      <w:framePr w:wrap="around" w:vAnchor="text" w:hAnchor="text" w:y="1"/>
      <w:spacing w:before="20" w:after="20" w:line="240" w:lineRule="auto"/>
    </w:pPr>
    <w:rPr>
      <w:rFonts w:ascii="Times New Roman" w:hAnsi="Times New Roman"/>
      <w:szCs w:val="24"/>
      <w:lang w:val="es-ES_tradnl"/>
    </w:rPr>
  </w:style>
  <w:style w:type="character" w:customStyle="1" w:styleId="RegtableChar">
    <w:name w:val="Regtable Char"/>
    <w:basedOn w:val="ListParagraphChar"/>
    <w:link w:val="Regtable"/>
    <w:rsid w:val="002E2364"/>
    <w:rPr>
      <w:rFonts w:ascii="Times New Roman" w:hAnsi="Times New Roman"/>
      <w:noProof/>
      <w:sz w:val="22"/>
      <w:szCs w:val="24"/>
      <w:lang w:val="es-ES_tradnl"/>
    </w:rPr>
  </w:style>
  <w:style w:type="paragraph" w:customStyle="1" w:styleId="TableTitle">
    <w:name w:val="TableTitle"/>
    <w:basedOn w:val="Normal"/>
    <w:link w:val="TableTitleChar"/>
    <w:rsid w:val="002E2364"/>
    <w:pPr>
      <w:keepNext/>
      <w:framePr w:wrap="around" w:vAnchor="text" w:hAnchor="text" w:y="1"/>
      <w:spacing w:before="20" w:after="20" w:line="240" w:lineRule="auto"/>
      <w:jc w:val="center"/>
    </w:pPr>
    <w:rPr>
      <w:rFonts w:ascii="Times New Roman Bold" w:hAnsi="Times New Roman Bold"/>
      <w:b/>
      <w:spacing w:val="-3"/>
      <w:szCs w:val="24"/>
      <w:lang w:val="es-ES_tradnl"/>
    </w:rPr>
  </w:style>
  <w:style w:type="character" w:customStyle="1" w:styleId="TableTitleChar">
    <w:name w:val="TableTitle Char"/>
    <w:basedOn w:val="ListParagraphChar"/>
    <w:link w:val="TableTitle"/>
    <w:rsid w:val="002E2364"/>
    <w:rPr>
      <w:rFonts w:ascii="Times New Roman Bold" w:hAnsi="Times New Roman Bold"/>
      <w:b/>
      <w:noProof/>
      <w:spacing w:val="-3"/>
      <w:sz w:val="22"/>
      <w:szCs w:val="24"/>
      <w:lang w:val="es-ES_tradnl"/>
    </w:rPr>
  </w:style>
  <w:style w:type="paragraph" w:styleId="TOC1">
    <w:name w:val="toc 1"/>
    <w:basedOn w:val="Normal"/>
    <w:next w:val="Normal"/>
    <w:autoRedefine/>
    <w:uiPriority w:val="99"/>
    <w:semiHidden/>
    <w:rsid w:val="00040972"/>
    <w:pPr>
      <w:spacing w:after="100"/>
    </w:pPr>
    <w:rPr>
      <w:rFonts w:eastAsia="Times New Roman" w:cs="Calibri"/>
    </w:rPr>
  </w:style>
  <w:style w:type="paragraph" w:styleId="TOC2">
    <w:name w:val="toc 2"/>
    <w:basedOn w:val="Normal"/>
    <w:next w:val="Normal"/>
    <w:autoRedefine/>
    <w:uiPriority w:val="99"/>
    <w:semiHidden/>
    <w:rsid w:val="00040972"/>
    <w:pPr>
      <w:spacing w:after="100"/>
      <w:ind w:left="220"/>
    </w:pPr>
    <w:rPr>
      <w:rFonts w:eastAsia="Times New Roman" w:cs="Calibri"/>
    </w:rPr>
  </w:style>
  <w:style w:type="paragraph" w:styleId="TOC3">
    <w:name w:val="toc 3"/>
    <w:basedOn w:val="Normal"/>
    <w:next w:val="Normal"/>
    <w:autoRedefine/>
    <w:uiPriority w:val="99"/>
    <w:semiHidden/>
    <w:rsid w:val="00040972"/>
    <w:pPr>
      <w:spacing w:after="100"/>
      <w:ind w:left="440"/>
    </w:pPr>
    <w:rPr>
      <w:rFonts w:eastAsia="Times New Roman" w:cs="Calibri"/>
    </w:rPr>
  </w:style>
  <w:style w:type="paragraph" w:styleId="TOCHeading">
    <w:name w:val="TOC Heading"/>
    <w:basedOn w:val="Heading1"/>
    <w:next w:val="Normal"/>
    <w:uiPriority w:val="99"/>
    <w:qFormat/>
    <w:rsid w:val="00040972"/>
    <w:pPr>
      <w:keepLines/>
      <w:tabs>
        <w:tab w:val="clear" w:pos="360"/>
      </w:tabs>
      <w:spacing w:before="480" w:after="0" w:line="276" w:lineRule="auto"/>
      <w:jc w:val="left"/>
      <w:outlineLvl w:val="9"/>
    </w:pPr>
    <w:rPr>
      <w:rFonts w:ascii="Cambria" w:hAnsi="Cambria" w:cs="Cambria"/>
      <w:bCs/>
      <w:caps w:val="0"/>
      <w:noProof/>
      <w:color w:val="365F91"/>
      <w:sz w:val="28"/>
      <w:szCs w:val="28"/>
      <w:lang w:val="es-ES" w:eastAsia="en-US"/>
    </w:rPr>
  </w:style>
  <w:style w:type="paragraph" w:customStyle="1" w:styleId="ColorfulList-Accent11">
    <w:name w:val="Colorful List - Accent 11"/>
    <w:basedOn w:val="Normal"/>
    <w:uiPriority w:val="99"/>
    <w:rsid w:val="00040972"/>
    <w:pPr>
      <w:spacing w:line="240" w:lineRule="auto"/>
      <w:ind w:left="720"/>
    </w:pPr>
    <w:rPr>
      <w:rFonts w:eastAsia="Times New Roman" w:cs="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417009"/>
    <w:pPr>
      <w:spacing w:after="200" w:line="276" w:lineRule="auto"/>
    </w:pPr>
    <w:rPr>
      <w:sz w:val="22"/>
      <w:szCs w:val="22"/>
      <w:lang w:val="es-ES"/>
    </w:rPr>
  </w:style>
  <w:style w:type="paragraph" w:styleId="Heading1">
    <w:name w:val="heading 1"/>
    <w:aliases w:val="Heading 1-Agriteam"/>
    <w:basedOn w:val="Normal"/>
    <w:next w:val="Normal"/>
    <w:link w:val="Heading1Char"/>
    <w:qFormat/>
    <w:rsid w:val="00443622"/>
    <w:pPr>
      <w:keepNext/>
      <w:tabs>
        <w:tab w:val="num" w:pos="360"/>
      </w:tabs>
      <w:spacing w:before="120" w:after="120" w:line="240" w:lineRule="auto"/>
      <w:jc w:val="both"/>
      <w:outlineLvl w:val="0"/>
    </w:pPr>
    <w:rPr>
      <w:rFonts w:ascii="Arial" w:eastAsia="Times New Roman" w:hAnsi="Arial"/>
      <w:b/>
      <w:caps/>
      <w:szCs w:val="20"/>
      <w:lang w:val="pt-BR" w:eastAsia="x-none"/>
    </w:rPr>
  </w:style>
  <w:style w:type="paragraph" w:styleId="Heading2">
    <w:name w:val="heading 2"/>
    <w:aliases w:val="Heading 2-Agriteam"/>
    <w:basedOn w:val="Normal"/>
    <w:next w:val="Normal"/>
    <w:link w:val="Heading2Char"/>
    <w:qFormat/>
    <w:rsid w:val="00443622"/>
    <w:pPr>
      <w:keepNext/>
      <w:tabs>
        <w:tab w:val="num" w:pos="360"/>
      </w:tabs>
      <w:spacing w:before="120" w:after="120" w:line="240" w:lineRule="auto"/>
      <w:jc w:val="both"/>
      <w:outlineLvl w:val="1"/>
    </w:pPr>
    <w:rPr>
      <w:rFonts w:ascii="Arial" w:eastAsia="Times New Roman" w:hAnsi="Arial"/>
      <w:bCs/>
      <w:iCs/>
      <w:lang w:val="x-none" w:eastAsia="x-none"/>
    </w:rPr>
  </w:style>
  <w:style w:type="paragraph" w:styleId="Heading3">
    <w:name w:val="heading 3"/>
    <w:aliases w:val="Heading 3-Agriteam"/>
    <w:basedOn w:val="Normal"/>
    <w:next w:val="Normal"/>
    <w:link w:val="Heading3Char"/>
    <w:qFormat/>
    <w:rsid w:val="00040972"/>
    <w:pPr>
      <w:keepNext/>
      <w:tabs>
        <w:tab w:val="num" w:pos="720"/>
      </w:tabs>
      <w:spacing w:before="120"/>
      <w:ind w:left="720" w:hanging="720"/>
      <w:outlineLvl w:val="2"/>
    </w:pPr>
    <w:rPr>
      <w:rFonts w:eastAsia="Times New Roman" w:cs="Calibri"/>
      <w:b/>
      <w:bCs/>
      <w:color w:val="000000"/>
    </w:rPr>
  </w:style>
  <w:style w:type="paragraph" w:styleId="Heading4">
    <w:name w:val="heading 4"/>
    <w:basedOn w:val="Normal"/>
    <w:next w:val="Normal"/>
    <w:link w:val="Heading4Char"/>
    <w:qFormat/>
    <w:rsid w:val="00040972"/>
    <w:pPr>
      <w:keepNext/>
      <w:tabs>
        <w:tab w:val="num" w:pos="1080"/>
      </w:tabs>
      <w:spacing w:before="120"/>
      <w:ind w:left="864" w:hanging="864"/>
      <w:outlineLvl w:val="3"/>
    </w:pPr>
    <w:rPr>
      <w:rFonts w:eastAsia="Times New Roman" w:cs="Calibri"/>
      <w:b/>
      <w:bCs/>
      <w:i/>
      <w:iCs/>
    </w:rPr>
  </w:style>
  <w:style w:type="paragraph" w:styleId="Heading5">
    <w:name w:val="heading 5"/>
    <w:basedOn w:val="Normal"/>
    <w:next w:val="Normal"/>
    <w:link w:val="Heading5Char"/>
    <w:uiPriority w:val="99"/>
    <w:qFormat/>
    <w:rsid w:val="002E2364"/>
    <w:pPr>
      <w:keepNext/>
      <w:numPr>
        <w:ilvl w:val="4"/>
        <w:numId w:val="2"/>
      </w:numPr>
      <w:spacing w:before="120" w:after="120" w:line="240" w:lineRule="auto"/>
      <w:jc w:val="both"/>
      <w:outlineLvl w:val="4"/>
    </w:pPr>
    <w:rPr>
      <w:rFonts w:ascii="Arial" w:eastAsia="Times New Roman" w:hAnsi="Arial"/>
      <w:bCs/>
      <w:iCs/>
      <w:szCs w:val="26"/>
      <w:lang w:val="x-none" w:eastAsia="x-none"/>
    </w:rPr>
  </w:style>
  <w:style w:type="paragraph" w:styleId="Heading6">
    <w:name w:val="heading 6"/>
    <w:basedOn w:val="Normal"/>
    <w:next w:val="Normal"/>
    <w:link w:val="Heading6Char"/>
    <w:uiPriority w:val="99"/>
    <w:qFormat/>
    <w:rsid w:val="002E2364"/>
    <w:pPr>
      <w:keepNext/>
      <w:numPr>
        <w:ilvl w:val="5"/>
        <w:numId w:val="2"/>
      </w:numPr>
      <w:spacing w:before="120" w:after="120" w:line="240" w:lineRule="auto"/>
      <w:jc w:val="both"/>
      <w:outlineLvl w:val="5"/>
    </w:pPr>
    <w:rPr>
      <w:rFonts w:ascii="Arial" w:eastAsia="Times New Roman" w:hAnsi="Arial"/>
      <w:szCs w:val="20"/>
      <w:lang w:val="pt-BR" w:eastAsia="x-none"/>
    </w:rPr>
  </w:style>
  <w:style w:type="paragraph" w:styleId="Heading7">
    <w:name w:val="heading 7"/>
    <w:basedOn w:val="Normal"/>
    <w:next w:val="Normal"/>
    <w:link w:val="Heading7Char"/>
    <w:uiPriority w:val="99"/>
    <w:qFormat/>
    <w:rsid w:val="002E2364"/>
    <w:pPr>
      <w:numPr>
        <w:ilvl w:val="6"/>
        <w:numId w:val="2"/>
      </w:numPr>
      <w:spacing w:before="120" w:after="120" w:line="240" w:lineRule="auto"/>
      <w:jc w:val="both"/>
      <w:outlineLvl w:val="6"/>
    </w:pPr>
    <w:rPr>
      <w:rFonts w:ascii="Arial" w:eastAsia="Times New Roman" w:hAnsi="Arial"/>
      <w:szCs w:val="24"/>
      <w:lang w:val="x-none" w:eastAsia="x-none"/>
    </w:rPr>
  </w:style>
  <w:style w:type="paragraph" w:styleId="Heading8">
    <w:name w:val="heading 8"/>
    <w:basedOn w:val="Normal"/>
    <w:next w:val="Normal"/>
    <w:link w:val="Heading8Char"/>
    <w:uiPriority w:val="99"/>
    <w:qFormat/>
    <w:rsid w:val="002E2364"/>
    <w:pPr>
      <w:numPr>
        <w:ilvl w:val="7"/>
        <w:numId w:val="2"/>
      </w:numPr>
      <w:spacing w:before="120" w:after="120" w:line="240" w:lineRule="auto"/>
      <w:jc w:val="both"/>
      <w:outlineLvl w:val="7"/>
    </w:pPr>
    <w:rPr>
      <w:rFonts w:ascii="Arial" w:eastAsia="Times New Roman" w:hAnsi="Arial"/>
      <w:iCs/>
      <w:szCs w:val="24"/>
      <w:lang w:val="x-none" w:eastAsia="x-none"/>
    </w:rPr>
  </w:style>
  <w:style w:type="paragraph" w:styleId="Heading9">
    <w:name w:val="heading 9"/>
    <w:basedOn w:val="Normal"/>
    <w:next w:val="Normal"/>
    <w:link w:val="Heading9Char"/>
    <w:uiPriority w:val="99"/>
    <w:qFormat/>
    <w:rsid w:val="002E2364"/>
    <w:pPr>
      <w:numPr>
        <w:ilvl w:val="8"/>
        <w:numId w:val="2"/>
      </w:numPr>
      <w:spacing w:before="240" w:after="60" w:line="240" w:lineRule="auto"/>
      <w:outlineLvl w:val="8"/>
    </w:pPr>
    <w:rPr>
      <w:rFonts w:ascii="Arial" w:eastAsia="Times New Roman" w:hAnsi="Arial"/>
      <w:sz w:val="20"/>
      <w:szCs w:val="20"/>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Agriteam Char"/>
    <w:link w:val="Heading1"/>
    <w:uiPriority w:val="99"/>
    <w:rsid w:val="00443622"/>
    <w:rPr>
      <w:rFonts w:ascii="Arial" w:eastAsia="Times New Roman" w:hAnsi="Arial"/>
      <w:b/>
      <w:caps/>
      <w:sz w:val="22"/>
      <w:lang w:val="pt-BR"/>
    </w:rPr>
  </w:style>
  <w:style w:type="character" w:customStyle="1" w:styleId="Heading2Char">
    <w:name w:val="Heading 2 Char"/>
    <w:aliases w:val="Heading 2-Agriteam Char"/>
    <w:link w:val="Heading2"/>
    <w:uiPriority w:val="99"/>
    <w:rsid w:val="00443622"/>
    <w:rPr>
      <w:rFonts w:ascii="Arial" w:eastAsia="Times New Roman" w:hAnsi="Arial" w:cs="Arial"/>
      <w:bCs/>
      <w:iCs/>
      <w:sz w:val="22"/>
      <w:szCs w:val="22"/>
    </w:rPr>
  </w:style>
  <w:style w:type="character" w:customStyle="1" w:styleId="Heading3Char">
    <w:name w:val="Heading 3 Char"/>
    <w:aliases w:val="Heading 3-Agriteam Char"/>
    <w:basedOn w:val="DefaultParagraphFont"/>
    <w:link w:val="Heading3"/>
    <w:uiPriority w:val="99"/>
    <w:rsid w:val="00040972"/>
    <w:rPr>
      <w:rFonts w:eastAsia="Times New Roman" w:cs="Calibri"/>
      <w:b/>
      <w:bCs/>
      <w:noProof/>
      <w:color w:val="000000"/>
      <w:sz w:val="22"/>
      <w:szCs w:val="22"/>
      <w:lang w:val="es-ES"/>
    </w:rPr>
  </w:style>
  <w:style w:type="character" w:customStyle="1" w:styleId="Heading4Char">
    <w:name w:val="Heading 4 Char"/>
    <w:basedOn w:val="DefaultParagraphFont"/>
    <w:link w:val="Heading4"/>
    <w:uiPriority w:val="99"/>
    <w:rsid w:val="00040972"/>
    <w:rPr>
      <w:rFonts w:eastAsia="Times New Roman" w:cs="Calibri"/>
      <w:b/>
      <w:bCs/>
      <w:i/>
      <w:iCs/>
      <w:noProof/>
      <w:sz w:val="22"/>
      <w:szCs w:val="22"/>
      <w:lang w:val="es-ES"/>
    </w:rPr>
  </w:style>
  <w:style w:type="character" w:customStyle="1" w:styleId="Heading5Char">
    <w:name w:val="Heading 5 Char"/>
    <w:link w:val="Heading5"/>
    <w:uiPriority w:val="99"/>
    <w:rsid w:val="002E2364"/>
    <w:rPr>
      <w:rFonts w:ascii="Arial" w:eastAsia="Times New Roman" w:hAnsi="Arial"/>
      <w:bCs/>
      <w:iCs/>
      <w:sz w:val="22"/>
      <w:szCs w:val="26"/>
      <w:lang w:val="x-none" w:eastAsia="x-none"/>
    </w:rPr>
  </w:style>
  <w:style w:type="character" w:customStyle="1" w:styleId="Heading6Char">
    <w:name w:val="Heading 6 Char"/>
    <w:link w:val="Heading6"/>
    <w:uiPriority w:val="99"/>
    <w:rsid w:val="002E2364"/>
    <w:rPr>
      <w:rFonts w:ascii="Arial" w:eastAsia="Times New Roman" w:hAnsi="Arial"/>
      <w:sz w:val="22"/>
      <w:lang w:val="pt-BR" w:eastAsia="x-none"/>
    </w:rPr>
  </w:style>
  <w:style w:type="character" w:customStyle="1" w:styleId="Heading7Char">
    <w:name w:val="Heading 7 Char"/>
    <w:link w:val="Heading7"/>
    <w:uiPriority w:val="99"/>
    <w:rsid w:val="002E2364"/>
    <w:rPr>
      <w:rFonts w:ascii="Arial" w:eastAsia="Times New Roman" w:hAnsi="Arial"/>
      <w:sz w:val="22"/>
      <w:szCs w:val="24"/>
      <w:lang w:val="x-none" w:eastAsia="x-none"/>
    </w:rPr>
  </w:style>
  <w:style w:type="character" w:customStyle="1" w:styleId="Heading8Char">
    <w:name w:val="Heading 8 Char"/>
    <w:link w:val="Heading8"/>
    <w:uiPriority w:val="99"/>
    <w:rsid w:val="002E2364"/>
    <w:rPr>
      <w:rFonts w:ascii="Arial" w:eastAsia="Times New Roman" w:hAnsi="Arial"/>
      <w:iCs/>
      <w:sz w:val="22"/>
      <w:szCs w:val="24"/>
      <w:lang w:val="x-none" w:eastAsia="x-none"/>
    </w:rPr>
  </w:style>
  <w:style w:type="character" w:customStyle="1" w:styleId="Heading9Char">
    <w:name w:val="Heading 9 Char"/>
    <w:link w:val="Heading9"/>
    <w:uiPriority w:val="99"/>
    <w:rsid w:val="002E2364"/>
    <w:rPr>
      <w:rFonts w:ascii="Arial" w:eastAsia="Times New Roman" w:hAnsi="Arial"/>
      <w:lang w:val="es-ES" w:eastAsia="es-ES"/>
    </w:rPr>
  </w:style>
  <w:style w:type="paragraph" w:styleId="ListParagraph">
    <w:name w:val="List Paragraph"/>
    <w:basedOn w:val="Normal"/>
    <w:link w:val="ListParagraphChar"/>
    <w:uiPriority w:val="99"/>
    <w:qFormat/>
    <w:rsid w:val="00862434"/>
    <w:pPr>
      <w:ind w:left="720"/>
      <w:contextualSpacing/>
    </w:pPr>
  </w:style>
  <w:style w:type="character" w:customStyle="1" w:styleId="ListParagraphChar">
    <w:name w:val="List Paragraph Char"/>
    <w:basedOn w:val="DefaultParagraphFont"/>
    <w:link w:val="ListParagraph"/>
    <w:uiPriority w:val="99"/>
    <w:rsid w:val="00157BB7"/>
    <w:rPr>
      <w:noProof/>
      <w:sz w:val="22"/>
      <w:szCs w:val="22"/>
      <w:lang w:val="es-ES"/>
    </w:rPr>
  </w:style>
  <w:style w:type="paragraph" w:customStyle="1" w:styleId="Chapter">
    <w:name w:val="Chapter"/>
    <w:basedOn w:val="Normal"/>
    <w:next w:val="Normal"/>
    <w:link w:val="ChapterChar"/>
    <w:rsid w:val="002E2364"/>
    <w:pPr>
      <w:keepNext/>
      <w:numPr>
        <w:numId w:val="1"/>
      </w:numPr>
      <w:tabs>
        <w:tab w:val="left" w:pos="1440"/>
      </w:tabs>
      <w:spacing w:before="240" w:after="240" w:line="240" w:lineRule="auto"/>
      <w:jc w:val="center"/>
    </w:pPr>
    <w:rPr>
      <w:rFonts w:ascii="Times New Roman" w:eastAsia="Times New Roman" w:hAnsi="Times New Roman"/>
      <w:b/>
      <w:smallCaps/>
      <w:sz w:val="24"/>
      <w:szCs w:val="20"/>
      <w:lang w:eastAsia="x-none"/>
    </w:rPr>
  </w:style>
  <w:style w:type="character" w:customStyle="1" w:styleId="ChapterChar">
    <w:name w:val="Chapter Char"/>
    <w:link w:val="Chapter"/>
    <w:locked/>
    <w:rsid w:val="002E2364"/>
    <w:rPr>
      <w:rFonts w:ascii="Times New Roman" w:eastAsia="Times New Roman" w:hAnsi="Times New Roman"/>
      <w:b/>
      <w:smallCaps/>
      <w:sz w:val="24"/>
      <w:lang w:val="es-ES" w:eastAsia="x-none"/>
    </w:rPr>
  </w:style>
  <w:style w:type="paragraph" w:customStyle="1" w:styleId="Paragraph">
    <w:name w:val="Paragraph"/>
    <w:aliases w:val="paragraph,p,PARAGRAPH,PG,pa,at"/>
    <w:basedOn w:val="BodyTextIndent"/>
    <w:link w:val="ParagraphChar"/>
    <w:rsid w:val="002E2364"/>
    <w:pPr>
      <w:numPr>
        <w:ilvl w:val="1"/>
        <w:numId w:val="1"/>
      </w:numPr>
      <w:tabs>
        <w:tab w:val="clear" w:pos="2448"/>
        <w:tab w:val="num" w:pos="720"/>
      </w:tabs>
      <w:spacing w:before="120"/>
      <w:ind w:left="720" w:hanging="720"/>
      <w:jc w:val="both"/>
      <w:outlineLvl w:val="1"/>
    </w:pPr>
    <w:rPr>
      <w:rFonts w:eastAsia="Times New Roman"/>
      <w:szCs w:val="20"/>
      <w:lang w:eastAsia="x-none"/>
    </w:rPr>
  </w:style>
  <w:style w:type="paragraph" w:styleId="BodyTextIndent">
    <w:name w:val="Body Text Indent"/>
    <w:basedOn w:val="Normal"/>
    <w:link w:val="BodyTextIndentChar"/>
    <w:uiPriority w:val="99"/>
    <w:semiHidden/>
    <w:unhideWhenUsed/>
    <w:rsid w:val="008E7EA8"/>
    <w:pPr>
      <w:spacing w:after="120" w:line="240" w:lineRule="auto"/>
      <w:ind w:left="360"/>
    </w:pPr>
    <w:rPr>
      <w:rFonts w:ascii="Times New Roman" w:hAnsi="Times New Roman"/>
      <w:sz w:val="24"/>
    </w:rPr>
  </w:style>
  <w:style w:type="character" w:customStyle="1" w:styleId="BodyTextIndentChar">
    <w:name w:val="Body Text Indent Char"/>
    <w:basedOn w:val="DefaultParagraphFont"/>
    <w:link w:val="BodyTextIndent"/>
    <w:uiPriority w:val="99"/>
    <w:semiHidden/>
    <w:rsid w:val="008E7EA8"/>
    <w:rPr>
      <w:rFonts w:ascii="Times New Roman" w:hAnsi="Times New Roman"/>
      <w:noProof/>
      <w:sz w:val="24"/>
      <w:szCs w:val="22"/>
      <w:lang w:val="es-ES"/>
    </w:rPr>
  </w:style>
  <w:style w:type="character" w:customStyle="1" w:styleId="ParagraphChar">
    <w:name w:val="Paragraph Char"/>
    <w:link w:val="Paragraph"/>
    <w:locked/>
    <w:rsid w:val="002E2364"/>
    <w:rPr>
      <w:rFonts w:ascii="Times New Roman" w:eastAsia="Times New Roman" w:hAnsi="Times New Roman"/>
      <w:sz w:val="24"/>
      <w:lang w:val="es-ES" w:eastAsia="x-none"/>
    </w:rPr>
  </w:style>
  <w:style w:type="paragraph" w:customStyle="1" w:styleId="subpar">
    <w:name w:val="subpar"/>
    <w:basedOn w:val="BodyTextIndent3"/>
    <w:rsid w:val="002E2364"/>
    <w:pPr>
      <w:numPr>
        <w:ilvl w:val="2"/>
        <w:numId w:val="1"/>
      </w:numPr>
      <w:tabs>
        <w:tab w:val="clear" w:pos="2304"/>
        <w:tab w:val="num" w:pos="1152"/>
      </w:tabs>
      <w:spacing w:before="120"/>
      <w:ind w:left="1152"/>
      <w:jc w:val="both"/>
      <w:outlineLvl w:val="2"/>
    </w:pPr>
  </w:style>
  <w:style w:type="paragraph" w:styleId="BodyTextIndent3">
    <w:name w:val="Body Text Indent 3"/>
    <w:basedOn w:val="Normal"/>
    <w:link w:val="BodyTextIndent3Char"/>
    <w:uiPriority w:val="99"/>
    <w:semiHidden/>
    <w:unhideWhenUsed/>
    <w:rsid w:val="008E7EA8"/>
    <w:pPr>
      <w:spacing w:after="120" w:line="240" w:lineRule="auto"/>
      <w:ind w:left="360"/>
    </w:pPr>
    <w:rPr>
      <w:rFonts w:ascii="Times New Roman" w:hAnsi="Times New Roman"/>
      <w:sz w:val="24"/>
      <w:szCs w:val="16"/>
      <w:lang w:val="x-none" w:eastAsia="x-none"/>
    </w:rPr>
  </w:style>
  <w:style w:type="character" w:customStyle="1" w:styleId="BodyTextIndent3Char">
    <w:name w:val="Body Text Indent 3 Char"/>
    <w:link w:val="BodyTextIndent3"/>
    <w:uiPriority w:val="99"/>
    <w:semiHidden/>
    <w:rsid w:val="008E7EA8"/>
    <w:rPr>
      <w:rFonts w:ascii="Times New Roman" w:hAnsi="Times New Roman"/>
      <w:sz w:val="24"/>
      <w:szCs w:val="16"/>
      <w:lang w:val="x-none" w:eastAsia="x-none"/>
    </w:rPr>
  </w:style>
  <w:style w:type="paragraph" w:customStyle="1" w:styleId="SubSubPar">
    <w:name w:val="SubSubPar"/>
    <w:basedOn w:val="subpar"/>
    <w:rsid w:val="002E2364"/>
    <w:pPr>
      <w:numPr>
        <w:ilvl w:val="3"/>
      </w:numPr>
      <w:tabs>
        <w:tab w:val="clear" w:pos="2736"/>
        <w:tab w:val="left" w:pos="0"/>
        <w:tab w:val="num" w:pos="1296"/>
      </w:tabs>
      <w:ind w:left="1296"/>
    </w:pPr>
  </w:style>
  <w:style w:type="paragraph" w:styleId="EndnoteText">
    <w:name w:val="endnote text"/>
    <w:basedOn w:val="Normal"/>
    <w:link w:val="EndnoteTextChar"/>
    <w:uiPriority w:val="99"/>
    <w:semiHidden/>
    <w:unhideWhenUsed/>
    <w:rsid w:val="00D60DB6"/>
    <w:pPr>
      <w:spacing w:after="0" w:line="240" w:lineRule="auto"/>
    </w:pPr>
    <w:rPr>
      <w:sz w:val="20"/>
      <w:szCs w:val="20"/>
      <w:lang w:val="x-none" w:eastAsia="x-none"/>
    </w:rPr>
  </w:style>
  <w:style w:type="character" w:customStyle="1" w:styleId="EndnoteTextChar">
    <w:name w:val="Endnote Text Char"/>
    <w:link w:val="EndnoteText"/>
    <w:uiPriority w:val="99"/>
    <w:semiHidden/>
    <w:rsid w:val="00D60DB6"/>
    <w:rPr>
      <w:sz w:val="20"/>
      <w:szCs w:val="20"/>
    </w:rPr>
  </w:style>
  <w:style w:type="character" w:styleId="EndnoteReference">
    <w:name w:val="endnote reference"/>
    <w:uiPriority w:val="99"/>
    <w:semiHidden/>
    <w:unhideWhenUsed/>
    <w:rsid w:val="00D60DB6"/>
    <w:rPr>
      <w:vertAlign w:val="superscript"/>
    </w:rPr>
  </w:style>
  <w:style w:type="paragraph" w:styleId="FootnoteText">
    <w:name w:val="footnote text"/>
    <w:aliases w:val="fn,foottextfra,footnote,F,Texto nota pie Car Car,Texto de rodapé,nota_rodapé,nota de rodapé,FOOTNOTES,single space,footnote text,Footnote Text Char Char,texto de nota al pie,Nota a pie/Bibliog,ADB,Texto nota pie Car Car Car"/>
    <w:basedOn w:val="Normal"/>
    <w:link w:val="FootnoteTextChar"/>
    <w:uiPriority w:val="99"/>
    <w:unhideWhenUsed/>
    <w:rsid w:val="00D60DB6"/>
    <w:pPr>
      <w:keepNext/>
      <w:keepLines/>
      <w:spacing w:after="120" w:line="240" w:lineRule="auto"/>
      <w:ind w:left="288" w:hanging="288"/>
      <w:jc w:val="both"/>
    </w:pPr>
    <w:rPr>
      <w:rFonts w:ascii="Times New Roman" w:hAnsi="Times New Roman"/>
      <w:spacing w:val="-3"/>
      <w:sz w:val="20"/>
      <w:szCs w:val="20"/>
      <w:lang w:val="x-none" w:eastAsia="x-none"/>
    </w:rPr>
  </w:style>
  <w:style w:type="character" w:customStyle="1" w:styleId="FootnoteTextChar">
    <w:name w:val="Footnote Text Char"/>
    <w:aliases w:val="fn Char,foottextfra Char,footnote Char,F Char,Texto nota pie Car Car Char,Texto de rodapé Char,nota_rodapé Char,nota de rodapé Char,FOOTNOTES Char,single space Char,footnote text Char,Footnote Text Char Char Char,ADB Char"/>
    <w:link w:val="FootnoteText"/>
    <w:uiPriority w:val="99"/>
    <w:rsid w:val="00D60DB6"/>
    <w:rPr>
      <w:rFonts w:ascii="Times New Roman" w:hAnsi="Times New Roman"/>
      <w:spacing w:val="-3"/>
      <w:lang w:val="x-none" w:eastAsia="x-none"/>
    </w:rPr>
  </w:style>
  <w:style w:type="character" w:styleId="FootnoteReference">
    <w:name w:val="footnote reference"/>
    <w:aliases w:val="referencia nota al pie,Texto de nota al pie,BVI fnr,Ref. de nota al pie2,Nota de pie,Ref,de nota al pie,Footnote symbol,Footnote,Pie de pagina,titulo 2,Style 24,pie pddes,FC,Fußnotenzeichen DISS,16 Point,Superscript 6 Point,ftref"/>
    <w:unhideWhenUsed/>
    <w:rsid w:val="00D60DB6"/>
    <w:rPr>
      <w:vertAlign w:val="superscript"/>
    </w:rPr>
  </w:style>
  <w:style w:type="paragraph" w:styleId="Caption">
    <w:name w:val="caption"/>
    <w:basedOn w:val="Normal"/>
    <w:next w:val="Normal"/>
    <w:qFormat/>
    <w:rsid w:val="00F44535"/>
    <w:pPr>
      <w:spacing w:after="0" w:line="240" w:lineRule="auto"/>
    </w:pPr>
    <w:rPr>
      <w:rFonts w:ascii="Times New Roman" w:eastAsia="Times New Roman" w:hAnsi="Times New Roman"/>
      <w:b/>
      <w:bCs/>
      <w:sz w:val="20"/>
      <w:szCs w:val="20"/>
      <w:lang w:eastAsia="es-ES"/>
    </w:rPr>
  </w:style>
  <w:style w:type="character" w:customStyle="1" w:styleId="TituloA">
    <w:name w:val="Titulo A"/>
    <w:rsid w:val="000853E0"/>
    <w:rPr>
      <w:rFonts w:ascii="Times New Roman" w:hAnsi="Times New Roman"/>
      <w:b/>
      <w:sz w:val="28"/>
      <w:szCs w:val="22"/>
    </w:rPr>
  </w:style>
  <w:style w:type="paragraph" w:styleId="Header">
    <w:name w:val="header"/>
    <w:basedOn w:val="Normal"/>
    <w:link w:val="HeaderChar"/>
    <w:uiPriority w:val="99"/>
    <w:unhideWhenUsed/>
    <w:rsid w:val="009E2F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2FA5"/>
  </w:style>
  <w:style w:type="paragraph" w:styleId="Footer">
    <w:name w:val="footer"/>
    <w:basedOn w:val="Normal"/>
    <w:link w:val="FooterChar"/>
    <w:uiPriority w:val="99"/>
    <w:unhideWhenUsed/>
    <w:rsid w:val="009E2F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2FA5"/>
  </w:style>
  <w:style w:type="paragraph" w:customStyle="1" w:styleId="Default">
    <w:name w:val="Default"/>
    <w:rsid w:val="00970590"/>
    <w:pPr>
      <w:autoSpaceDE w:val="0"/>
      <w:autoSpaceDN w:val="0"/>
      <w:adjustRightInd w:val="0"/>
    </w:pPr>
    <w:rPr>
      <w:rFonts w:ascii="Times New Roman" w:hAnsi="Times New Roman"/>
      <w:color w:val="000000"/>
      <w:sz w:val="24"/>
      <w:szCs w:val="24"/>
    </w:rPr>
  </w:style>
  <w:style w:type="table" w:styleId="LightList-Accent2">
    <w:name w:val="Light List Accent 2"/>
    <w:basedOn w:val="TableNormal"/>
    <w:uiPriority w:val="61"/>
    <w:rsid w:val="0075283D"/>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Shading-Accent6">
    <w:name w:val="Light Shading Accent 6"/>
    <w:basedOn w:val="TableNormal"/>
    <w:uiPriority w:val="60"/>
    <w:rsid w:val="0075283D"/>
    <w:rPr>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ghtShading-Accent5">
    <w:name w:val="Light Shading Accent 5"/>
    <w:basedOn w:val="TableNormal"/>
    <w:uiPriority w:val="60"/>
    <w:rsid w:val="0075283D"/>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ableGrid">
    <w:name w:val="Table Grid"/>
    <w:basedOn w:val="TableNormal"/>
    <w:uiPriority w:val="39"/>
    <w:rsid w:val="007528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1">
    <w:name w:val="Lista Clara1"/>
    <w:basedOn w:val="TableNormal"/>
    <w:uiPriority w:val="61"/>
    <w:rsid w:val="0075283D"/>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styleId="SubtleReference">
    <w:name w:val="Subtle Reference"/>
    <w:uiPriority w:val="31"/>
    <w:qFormat/>
    <w:rsid w:val="007D52BD"/>
    <w:rPr>
      <w:smallCaps/>
      <w:color w:val="C0504D"/>
      <w:u w:val="single"/>
    </w:rPr>
  </w:style>
  <w:style w:type="paragraph" w:styleId="BalloonText">
    <w:name w:val="Balloon Text"/>
    <w:basedOn w:val="Normal"/>
    <w:link w:val="BalloonTextChar"/>
    <w:uiPriority w:val="99"/>
    <w:semiHidden/>
    <w:unhideWhenUsed/>
    <w:rsid w:val="00D47708"/>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D47708"/>
    <w:rPr>
      <w:rFonts w:ascii="Tahoma" w:hAnsi="Tahoma" w:cs="Tahoma"/>
      <w:sz w:val="16"/>
      <w:szCs w:val="16"/>
    </w:rPr>
  </w:style>
  <w:style w:type="paragraph" w:styleId="z-TopofForm">
    <w:name w:val="HTML Top of Form"/>
    <w:basedOn w:val="Normal"/>
    <w:next w:val="Normal"/>
    <w:link w:val="z-TopofFormChar"/>
    <w:hidden/>
    <w:uiPriority w:val="99"/>
    <w:semiHidden/>
    <w:unhideWhenUsed/>
    <w:rsid w:val="00391EB5"/>
    <w:pPr>
      <w:pBdr>
        <w:bottom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TopofFormChar">
    <w:name w:val="z-Top of Form Char"/>
    <w:link w:val="z-TopofForm"/>
    <w:uiPriority w:val="99"/>
    <w:semiHidden/>
    <w:rsid w:val="00391EB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391EB5"/>
    <w:pPr>
      <w:pBdr>
        <w:top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BottomofFormChar">
    <w:name w:val="z-Bottom of Form Char"/>
    <w:link w:val="z-BottomofForm"/>
    <w:uiPriority w:val="99"/>
    <w:rsid w:val="00391EB5"/>
    <w:rPr>
      <w:rFonts w:ascii="Arial" w:eastAsia="Times New Roman" w:hAnsi="Arial" w:cs="Arial"/>
      <w:vanish/>
      <w:sz w:val="16"/>
      <w:szCs w:val="16"/>
    </w:rPr>
  </w:style>
  <w:style w:type="paragraph" w:styleId="NoSpacing">
    <w:name w:val="No Spacing"/>
    <w:link w:val="NoSpacingChar"/>
    <w:uiPriority w:val="99"/>
    <w:qFormat/>
    <w:rsid w:val="00114300"/>
    <w:rPr>
      <w:rFonts w:eastAsia="Times New Roman"/>
      <w:sz w:val="22"/>
      <w:szCs w:val="22"/>
      <w:lang w:val="pt-BR"/>
    </w:rPr>
  </w:style>
  <w:style w:type="character" w:customStyle="1" w:styleId="NoSpacingChar">
    <w:name w:val="No Spacing Char"/>
    <w:link w:val="NoSpacing"/>
    <w:uiPriority w:val="99"/>
    <w:rsid w:val="00114300"/>
    <w:rPr>
      <w:rFonts w:eastAsia="Times New Roman"/>
      <w:sz w:val="22"/>
      <w:szCs w:val="22"/>
      <w:lang w:val="pt-BR" w:eastAsia="en-US" w:bidi="ar-SA"/>
    </w:rPr>
  </w:style>
  <w:style w:type="character" w:styleId="CommentReference">
    <w:name w:val="annotation reference"/>
    <w:uiPriority w:val="99"/>
    <w:semiHidden/>
    <w:unhideWhenUsed/>
    <w:rsid w:val="00BC3192"/>
    <w:rPr>
      <w:sz w:val="16"/>
      <w:szCs w:val="16"/>
    </w:rPr>
  </w:style>
  <w:style w:type="paragraph" w:styleId="CommentText">
    <w:name w:val="annotation text"/>
    <w:basedOn w:val="Normal"/>
    <w:link w:val="CommentTextChar"/>
    <w:uiPriority w:val="99"/>
    <w:semiHidden/>
    <w:unhideWhenUsed/>
    <w:rsid w:val="00BC3192"/>
    <w:rPr>
      <w:sz w:val="20"/>
      <w:szCs w:val="20"/>
      <w:lang w:eastAsia="x-none"/>
    </w:rPr>
  </w:style>
  <w:style w:type="character" w:customStyle="1" w:styleId="CommentTextChar">
    <w:name w:val="Comment Text Char"/>
    <w:link w:val="CommentText"/>
    <w:uiPriority w:val="99"/>
    <w:semiHidden/>
    <w:rsid w:val="00BC3192"/>
    <w:rPr>
      <w:noProof/>
      <w:lang w:val="es-ES"/>
    </w:rPr>
  </w:style>
  <w:style w:type="paragraph" w:styleId="CommentSubject">
    <w:name w:val="annotation subject"/>
    <w:basedOn w:val="CommentText"/>
    <w:next w:val="CommentText"/>
    <w:link w:val="CommentSubjectChar"/>
    <w:uiPriority w:val="99"/>
    <w:semiHidden/>
    <w:unhideWhenUsed/>
    <w:rsid w:val="00BC3192"/>
    <w:rPr>
      <w:b/>
      <w:bCs/>
    </w:rPr>
  </w:style>
  <w:style w:type="character" w:customStyle="1" w:styleId="CommentSubjectChar">
    <w:name w:val="Comment Subject Char"/>
    <w:link w:val="CommentSubject"/>
    <w:uiPriority w:val="99"/>
    <w:semiHidden/>
    <w:rsid w:val="00BC3192"/>
    <w:rPr>
      <w:b/>
      <w:bCs/>
      <w:noProof/>
      <w:lang w:val="es-ES"/>
    </w:rPr>
  </w:style>
  <w:style w:type="paragraph" w:styleId="Revision">
    <w:name w:val="Revision"/>
    <w:hidden/>
    <w:uiPriority w:val="99"/>
    <w:semiHidden/>
    <w:rsid w:val="0067740C"/>
    <w:rPr>
      <w:noProof/>
      <w:sz w:val="22"/>
      <w:szCs w:val="22"/>
      <w:lang w:val="es-ES"/>
    </w:rPr>
  </w:style>
  <w:style w:type="character" w:styleId="Hyperlink">
    <w:name w:val="Hyperlink"/>
    <w:uiPriority w:val="99"/>
    <w:unhideWhenUsed/>
    <w:rsid w:val="00A76153"/>
    <w:rPr>
      <w:color w:val="0000FF"/>
      <w:u w:val="single"/>
    </w:rPr>
  </w:style>
  <w:style w:type="paragraph" w:styleId="BodyText">
    <w:name w:val="Body Text"/>
    <w:basedOn w:val="Normal"/>
    <w:link w:val="BodyTextChar"/>
    <w:uiPriority w:val="99"/>
    <w:unhideWhenUsed/>
    <w:rsid w:val="00C44548"/>
    <w:pPr>
      <w:spacing w:after="120"/>
    </w:pPr>
    <w:rPr>
      <w:lang w:eastAsia="x-none"/>
    </w:rPr>
  </w:style>
  <w:style w:type="character" w:customStyle="1" w:styleId="BodyTextChar">
    <w:name w:val="Body Text Char"/>
    <w:link w:val="BodyText"/>
    <w:uiPriority w:val="99"/>
    <w:rsid w:val="00C44548"/>
    <w:rPr>
      <w:noProof/>
      <w:sz w:val="22"/>
      <w:szCs w:val="22"/>
      <w:lang w:val="es-ES"/>
    </w:rPr>
  </w:style>
  <w:style w:type="paragraph" w:customStyle="1" w:styleId="Newpage">
    <w:name w:val="Newpage"/>
    <w:basedOn w:val="Normal"/>
    <w:uiPriority w:val="99"/>
    <w:rsid w:val="00E95741"/>
    <w:pPr>
      <w:tabs>
        <w:tab w:val="left" w:pos="3060"/>
      </w:tabs>
      <w:suppressAutoHyphens/>
      <w:spacing w:after="0" w:line="240" w:lineRule="auto"/>
      <w:jc w:val="center"/>
    </w:pPr>
    <w:rPr>
      <w:rFonts w:ascii="Arial" w:eastAsia="Times New Roman" w:hAnsi="Arial" w:cs="Arial"/>
      <w:b/>
      <w:bCs/>
      <w:smallCaps/>
      <w:sz w:val="20"/>
      <w:szCs w:val="20"/>
      <w:lang w:val="pt-BR" w:eastAsia="zh-CN"/>
    </w:rPr>
  </w:style>
  <w:style w:type="paragraph" w:styleId="NormalWeb">
    <w:name w:val="Normal (Web)"/>
    <w:basedOn w:val="Normal"/>
    <w:uiPriority w:val="99"/>
    <w:unhideWhenUsed/>
    <w:rsid w:val="00E62A05"/>
    <w:pPr>
      <w:spacing w:before="100" w:beforeAutospacing="1" w:after="100" w:afterAutospacing="1" w:line="240" w:lineRule="auto"/>
    </w:pPr>
    <w:rPr>
      <w:rFonts w:ascii="Times New Roman" w:eastAsia="SimSun" w:hAnsi="Times New Roman"/>
      <w:sz w:val="24"/>
      <w:szCs w:val="24"/>
      <w:lang w:val="pt-BR" w:eastAsia="pt-BR"/>
    </w:rPr>
  </w:style>
  <w:style w:type="paragraph" w:styleId="Title">
    <w:name w:val="Title"/>
    <w:basedOn w:val="Normal"/>
    <w:link w:val="TitleChar"/>
    <w:uiPriority w:val="99"/>
    <w:qFormat/>
    <w:rsid w:val="005D7CA7"/>
    <w:pPr>
      <w:tabs>
        <w:tab w:val="left" w:pos="1440"/>
        <w:tab w:val="left" w:pos="3060"/>
      </w:tabs>
      <w:spacing w:after="0" w:line="240" w:lineRule="auto"/>
      <w:jc w:val="center"/>
      <w:outlineLvl w:val="0"/>
    </w:pPr>
    <w:rPr>
      <w:rFonts w:ascii="Times New Roman" w:eastAsia="Times New Roman" w:hAnsi="Times New Roman"/>
      <w:sz w:val="24"/>
      <w:szCs w:val="24"/>
      <w:lang w:eastAsia="x-none"/>
    </w:rPr>
  </w:style>
  <w:style w:type="character" w:customStyle="1" w:styleId="TitleChar">
    <w:name w:val="Title Char"/>
    <w:link w:val="Title"/>
    <w:uiPriority w:val="99"/>
    <w:rsid w:val="005D7CA7"/>
    <w:rPr>
      <w:rFonts w:ascii="Times New Roman" w:eastAsia="Times New Roman" w:hAnsi="Times New Roman"/>
      <w:sz w:val="24"/>
      <w:szCs w:val="24"/>
      <w:lang w:val="es-ES"/>
    </w:rPr>
  </w:style>
  <w:style w:type="paragraph" w:customStyle="1" w:styleId="FirstHeading">
    <w:name w:val="FirstHeading"/>
    <w:basedOn w:val="Normal"/>
    <w:next w:val="Normal"/>
    <w:rsid w:val="002E2364"/>
    <w:pPr>
      <w:keepNext/>
      <w:numPr>
        <w:numId w:val="2"/>
      </w:numPr>
      <w:tabs>
        <w:tab w:val="left" w:pos="0"/>
        <w:tab w:val="left" w:pos="86"/>
      </w:tabs>
      <w:spacing w:before="120" w:after="120" w:line="240" w:lineRule="auto"/>
      <w:ind w:left="720"/>
    </w:pPr>
    <w:rPr>
      <w:rFonts w:ascii="Times New Roman" w:eastAsia="Times New Roman" w:hAnsi="Times New Roman"/>
      <w:b/>
      <w:bCs/>
      <w:sz w:val="24"/>
      <w:szCs w:val="24"/>
    </w:rPr>
  </w:style>
  <w:style w:type="paragraph" w:customStyle="1" w:styleId="SecHeading">
    <w:name w:val="SecHeading"/>
    <w:basedOn w:val="Normal"/>
    <w:next w:val="Paragraph"/>
    <w:rsid w:val="002E2364"/>
    <w:pPr>
      <w:keepNext/>
      <w:numPr>
        <w:ilvl w:val="1"/>
        <w:numId w:val="2"/>
      </w:numPr>
      <w:tabs>
        <w:tab w:val="clear" w:pos="5400"/>
        <w:tab w:val="num" w:pos="1296"/>
      </w:tabs>
      <w:spacing w:before="120" w:after="120" w:line="240" w:lineRule="auto"/>
      <w:ind w:left="1296"/>
    </w:pPr>
    <w:rPr>
      <w:rFonts w:ascii="Times New Roman" w:eastAsia="Times New Roman" w:hAnsi="Times New Roman"/>
      <w:b/>
      <w:bCs/>
      <w:sz w:val="24"/>
      <w:szCs w:val="24"/>
    </w:rPr>
  </w:style>
  <w:style w:type="paragraph" w:customStyle="1" w:styleId="SubHeading1">
    <w:name w:val="SubHeading1"/>
    <w:basedOn w:val="SecHeading"/>
    <w:rsid w:val="002E2364"/>
    <w:pPr>
      <w:numPr>
        <w:ilvl w:val="2"/>
      </w:numPr>
      <w:tabs>
        <w:tab w:val="clear" w:pos="5976"/>
        <w:tab w:val="num" w:pos="1872"/>
      </w:tabs>
      <w:ind w:left="1872"/>
    </w:pPr>
  </w:style>
  <w:style w:type="paragraph" w:customStyle="1" w:styleId="Subheading2">
    <w:name w:val="Subheading2"/>
    <w:basedOn w:val="SecHeading"/>
    <w:rsid w:val="002E2364"/>
    <w:pPr>
      <w:numPr>
        <w:ilvl w:val="3"/>
      </w:numPr>
      <w:tabs>
        <w:tab w:val="clear" w:pos="6480"/>
        <w:tab w:val="num" w:pos="2376"/>
      </w:tabs>
      <w:ind w:left="2376"/>
    </w:pPr>
  </w:style>
  <w:style w:type="character" w:customStyle="1" w:styleId="WW8Num1z1">
    <w:name w:val="WW8Num1z1"/>
    <w:rsid w:val="00BF1249"/>
    <w:rPr>
      <w:b w:val="0"/>
      <w:i w:val="0"/>
    </w:rPr>
  </w:style>
  <w:style w:type="paragraph" w:customStyle="1" w:styleId="Tabela">
    <w:name w:val="Tabela"/>
    <w:basedOn w:val="Normal"/>
    <w:rsid w:val="00F4241F"/>
    <w:pPr>
      <w:widowControl w:val="0"/>
      <w:spacing w:after="0" w:line="240" w:lineRule="auto"/>
      <w:jc w:val="center"/>
    </w:pPr>
    <w:rPr>
      <w:rFonts w:ascii="Times New Roman" w:eastAsia="Times New Roman" w:hAnsi="Times New Roman"/>
      <w:b/>
      <w:bCs/>
      <w:sz w:val="16"/>
      <w:szCs w:val="16"/>
      <w:lang w:val="pt-BR" w:eastAsia="pt-BR"/>
    </w:rPr>
  </w:style>
  <w:style w:type="paragraph" w:customStyle="1" w:styleId="Regtable">
    <w:name w:val="Regtable"/>
    <w:basedOn w:val="Normal"/>
    <w:link w:val="RegtableChar"/>
    <w:rsid w:val="002E2364"/>
    <w:pPr>
      <w:keepLines/>
      <w:framePr w:wrap="around" w:vAnchor="text" w:hAnchor="text" w:y="1"/>
      <w:spacing w:before="20" w:after="20" w:line="240" w:lineRule="auto"/>
    </w:pPr>
    <w:rPr>
      <w:rFonts w:ascii="Times New Roman" w:hAnsi="Times New Roman"/>
      <w:szCs w:val="24"/>
      <w:lang w:val="es-ES_tradnl"/>
    </w:rPr>
  </w:style>
  <w:style w:type="character" w:customStyle="1" w:styleId="RegtableChar">
    <w:name w:val="Regtable Char"/>
    <w:basedOn w:val="ListParagraphChar"/>
    <w:link w:val="Regtable"/>
    <w:rsid w:val="002E2364"/>
    <w:rPr>
      <w:rFonts w:ascii="Times New Roman" w:hAnsi="Times New Roman"/>
      <w:noProof/>
      <w:sz w:val="22"/>
      <w:szCs w:val="24"/>
      <w:lang w:val="es-ES_tradnl"/>
    </w:rPr>
  </w:style>
  <w:style w:type="paragraph" w:customStyle="1" w:styleId="TableTitle">
    <w:name w:val="TableTitle"/>
    <w:basedOn w:val="Normal"/>
    <w:link w:val="TableTitleChar"/>
    <w:rsid w:val="002E2364"/>
    <w:pPr>
      <w:keepNext/>
      <w:framePr w:wrap="around" w:vAnchor="text" w:hAnchor="text" w:y="1"/>
      <w:spacing w:before="20" w:after="20" w:line="240" w:lineRule="auto"/>
      <w:jc w:val="center"/>
    </w:pPr>
    <w:rPr>
      <w:rFonts w:ascii="Times New Roman Bold" w:hAnsi="Times New Roman Bold"/>
      <w:b/>
      <w:spacing w:val="-3"/>
      <w:szCs w:val="24"/>
      <w:lang w:val="es-ES_tradnl"/>
    </w:rPr>
  </w:style>
  <w:style w:type="character" w:customStyle="1" w:styleId="TableTitleChar">
    <w:name w:val="TableTitle Char"/>
    <w:basedOn w:val="ListParagraphChar"/>
    <w:link w:val="TableTitle"/>
    <w:rsid w:val="002E2364"/>
    <w:rPr>
      <w:rFonts w:ascii="Times New Roman Bold" w:hAnsi="Times New Roman Bold"/>
      <w:b/>
      <w:noProof/>
      <w:spacing w:val="-3"/>
      <w:sz w:val="22"/>
      <w:szCs w:val="24"/>
      <w:lang w:val="es-ES_tradnl"/>
    </w:rPr>
  </w:style>
  <w:style w:type="paragraph" w:styleId="TOC1">
    <w:name w:val="toc 1"/>
    <w:basedOn w:val="Normal"/>
    <w:next w:val="Normal"/>
    <w:autoRedefine/>
    <w:uiPriority w:val="99"/>
    <w:semiHidden/>
    <w:rsid w:val="00040972"/>
    <w:pPr>
      <w:spacing w:after="100"/>
    </w:pPr>
    <w:rPr>
      <w:rFonts w:eastAsia="Times New Roman" w:cs="Calibri"/>
    </w:rPr>
  </w:style>
  <w:style w:type="paragraph" w:styleId="TOC2">
    <w:name w:val="toc 2"/>
    <w:basedOn w:val="Normal"/>
    <w:next w:val="Normal"/>
    <w:autoRedefine/>
    <w:uiPriority w:val="99"/>
    <w:semiHidden/>
    <w:rsid w:val="00040972"/>
    <w:pPr>
      <w:spacing w:after="100"/>
      <w:ind w:left="220"/>
    </w:pPr>
    <w:rPr>
      <w:rFonts w:eastAsia="Times New Roman" w:cs="Calibri"/>
    </w:rPr>
  </w:style>
  <w:style w:type="paragraph" w:styleId="TOC3">
    <w:name w:val="toc 3"/>
    <w:basedOn w:val="Normal"/>
    <w:next w:val="Normal"/>
    <w:autoRedefine/>
    <w:uiPriority w:val="99"/>
    <w:semiHidden/>
    <w:rsid w:val="00040972"/>
    <w:pPr>
      <w:spacing w:after="100"/>
      <w:ind w:left="440"/>
    </w:pPr>
    <w:rPr>
      <w:rFonts w:eastAsia="Times New Roman" w:cs="Calibri"/>
    </w:rPr>
  </w:style>
  <w:style w:type="paragraph" w:styleId="TOCHeading">
    <w:name w:val="TOC Heading"/>
    <w:basedOn w:val="Heading1"/>
    <w:next w:val="Normal"/>
    <w:uiPriority w:val="99"/>
    <w:qFormat/>
    <w:rsid w:val="00040972"/>
    <w:pPr>
      <w:keepLines/>
      <w:tabs>
        <w:tab w:val="clear" w:pos="360"/>
      </w:tabs>
      <w:spacing w:before="480" w:after="0" w:line="276" w:lineRule="auto"/>
      <w:jc w:val="left"/>
      <w:outlineLvl w:val="9"/>
    </w:pPr>
    <w:rPr>
      <w:rFonts w:ascii="Cambria" w:hAnsi="Cambria" w:cs="Cambria"/>
      <w:bCs/>
      <w:caps w:val="0"/>
      <w:noProof/>
      <w:color w:val="365F91"/>
      <w:sz w:val="28"/>
      <w:szCs w:val="28"/>
      <w:lang w:val="es-ES" w:eastAsia="en-US"/>
    </w:rPr>
  </w:style>
  <w:style w:type="paragraph" w:customStyle="1" w:styleId="ColorfulList-Accent11">
    <w:name w:val="Colorful List - Accent 11"/>
    <w:basedOn w:val="Normal"/>
    <w:uiPriority w:val="99"/>
    <w:rsid w:val="00040972"/>
    <w:pPr>
      <w:spacing w:line="240" w:lineRule="auto"/>
      <w:ind w:left="720"/>
    </w:pPr>
    <w:rPr>
      <w:rFonts w:eastAsia="Times New Roman"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1633">
      <w:bodyDiv w:val="1"/>
      <w:marLeft w:val="0"/>
      <w:marRight w:val="0"/>
      <w:marTop w:val="0"/>
      <w:marBottom w:val="0"/>
      <w:divBdr>
        <w:top w:val="none" w:sz="0" w:space="0" w:color="auto"/>
        <w:left w:val="none" w:sz="0" w:space="0" w:color="auto"/>
        <w:bottom w:val="none" w:sz="0" w:space="0" w:color="auto"/>
        <w:right w:val="none" w:sz="0" w:space="0" w:color="auto"/>
      </w:divBdr>
    </w:div>
    <w:div w:id="40983965">
      <w:bodyDiv w:val="1"/>
      <w:marLeft w:val="0"/>
      <w:marRight w:val="0"/>
      <w:marTop w:val="0"/>
      <w:marBottom w:val="0"/>
      <w:divBdr>
        <w:top w:val="none" w:sz="0" w:space="0" w:color="auto"/>
        <w:left w:val="none" w:sz="0" w:space="0" w:color="auto"/>
        <w:bottom w:val="none" w:sz="0" w:space="0" w:color="auto"/>
        <w:right w:val="none" w:sz="0" w:space="0" w:color="auto"/>
      </w:divBdr>
    </w:div>
    <w:div w:id="49421953">
      <w:bodyDiv w:val="1"/>
      <w:marLeft w:val="0"/>
      <w:marRight w:val="0"/>
      <w:marTop w:val="0"/>
      <w:marBottom w:val="0"/>
      <w:divBdr>
        <w:top w:val="none" w:sz="0" w:space="0" w:color="auto"/>
        <w:left w:val="none" w:sz="0" w:space="0" w:color="auto"/>
        <w:bottom w:val="none" w:sz="0" w:space="0" w:color="auto"/>
        <w:right w:val="none" w:sz="0" w:space="0" w:color="auto"/>
      </w:divBdr>
    </w:div>
    <w:div w:id="99572726">
      <w:bodyDiv w:val="1"/>
      <w:marLeft w:val="0"/>
      <w:marRight w:val="0"/>
      <w:marTop w:val="0"/>
      <w:marBottom w:val="0"/>
      <w:divBdr>
        <w:top w:val="none" w:sz="0" w:space="0" w:color="auto"/>
        <w:left w:val="none" w:sz="0" w:space="0" w:color="auto"/>
        <w:bottom w:val="none" w:sz="0" w:space="0" w:color="auto"/>
        <w:right w:val="none" w:sz="0" w:space="0" w:color="auto"/>
      </w:divBdr>
    </w:div>
    <w:div w:id="134183628">
      <w:bodyDiv w:val="1"/>
      <w:marLeft w:val="0"/>
      <w:marRight w:val="0"/>
      <w:marTop w:val="0"/>
      <w:marBottom w:val="0"/>
      <w:divBdr>
        <w:top w:val="none" w:sz="0" w:space="0" w:color="auto"/>
        <w:left w:val="none" w:sz="0" w:space="0" w:color="auto"/>
        <w:bottom w:val="none" w:sz="0" w:space="0" w:color="auto"/>
        <w:right w:val="none" w:sz="0" w:space="0" w:color="auto"/>
      </w:divBdr>
    </w:div>
    <w:div w:id="268120433">
      <w:bodyDiv w:val="1"/>
      <w:marLeft w:val="0"/>
      <w:marRight w:val="0"/>
      <w:marTop w:val="0"/>
      <w:marBottom w:val="0"/>
      <w:divBdr>
        <w:top w:val="none" w:sz="0" w:space="0" w:color="auto"/>
        <w:left w:val="none" w:sz="0" w:space="0" w:color="auto"/>
        <w:bottom w:val="none" w:sz="0" w:space="0" w:color="auto"/>
        <w:right w:val="none" w:sz="0" w:space="0" w:color="auto"/>
      </w:divBdr>
    </w:div>
    <w:div w:id="374890364">
      <w:bodyDiv w:val="1"/>
      <w:marLeft w:val="0"/>
      <w:marRight w:val="0"/>
      <w:marTop w:val="0"/>
      <w:marBottom w:val="0"/>
      <w:divBdr>
        <w:top w:val="none" w:sz="0" w:space="0" w:color="auto"/>
        <w:left w:val="none" w:sz="0" w:space="0" w:color="auto"/>
        <w:bottom w:val="none" w:sz="0" w:space="0" w:color="auto"/>
        <w:right w:val="none" w:sz="0" w:space="0" w:color="auto"/>
      </w:divBdr>
    </w:div>
    <w:div w:id="407463423">
      <w:bodyDiv w:val="1"/>
      <w:marLeft w:val="0"/>
      <w:marRight w:val="0"/>
      <w:marTop w:val="0"/>
      <w:marBottom w:val="0"/>
      <w:divBdr>
        <w:top w:val="none" w:sz="0" w:space="0" w:color="auto"/>
        <w:left w:val="none" w:sz="0" w:space="0" w:color="auto"/>
        <w:bottom w:val="none" w:sz="0" w:space="0" w:color="auto"/>
        <w:right w:val="none" w:sz="0" w:space="0" w:color="auto"/>
      </w:divBdr>
    </w:div>
    <w:div w:id="419524497">
      <w:bodyDiv w:val="1"/>
      <w:marLeft w:val="0"/>
      <w:marRight w:val="0"/>
      <w:marTop w:val="0"/>
      <w:marBottom w:val="0"/>
      <w:divBdr>
        <w:top w:val="none" w:sz="0" w:space="0" w:color="auto"/>
        <w:left w:val="none" w:sz="0" w:space="0" w:color="auto"/>
        <w:bottom w:val="none" w:sz="0" w:space="0" w:color="auto"/>
        <w:right w:val="none" w:sz="0" w:space="0" w:color="auto"/>
      </w:divBdr>
    </w:div>
    <w:div w:id="437213311">
      <w:bodyDiv w:val="1"/>
      <w:marLeft w:val="0"/>
      <w:marRight w:val="0"/>
      <w:marTop w:val="0"/>
      <w:marBottom w:val="0"/>
      <w:divBdr>
        <w:top w:val="none" w:sz="0" w:space="0" w:color="auto"/>
        <w:left w:val="none" w:sz="0" w:space="0" w:color="auto"/>
        <w:bottom w:val="none" w:sz="0" w:space="0" w:color="auto"/>
        <w:right w:val="none" w:sz="0" w:space="0" w:color="auto"/>
      </w:divBdr>
    </w:div>
    <w:div w:id="473184256">
      <w:bodyDiv w:val="1"/>
      <w:marLeft w:val="0"/>
      <w:marRight w:val="0"/>
      <w:marTop w:val="0"/>
      <w:marBottom w:val="0"/>
      <w:divBdr>
        <w:top w:val="none" w:sz="0" w:space="0" w:color="auto"/>
        <w:left w:val="none" w:sz="0" w:space="0" w:color="auto"/>
        <w:bottom w:val="none" w:sz="0" w:space="0" w:color="auto"/>
        <w:right w:val="none" w:sz="0" w:space="0" w:color="auto"/>
      </w:divBdr>
    </w:div>
    <w:div w:id="552665389">
      <w:bodyDiv w:val="1"/>
      <w:marLeft w:val="0"/>
      <w:marRight w:val="0"/>
      <w:marTop w:val="0"/>
      <w:marBottom w:val="0"/>
      <w:divBdr>
        <w:top w:val="none" w:sz="0" w:space="0" w:color="auto"/>
        <w:left w:val="none" w:sz="0" w:space="0" w:color="auto"/>
        <w:bottom w:val="none" w:sz="0" w:space="0" w:color="auto"/>
        <w:right w:val="none" w:sz="0" w:space="0" w:color="auto"/>
      </w:divBdr>
    </w:div>
    <w:div w:id="640504906">
      <w:bodyDiv w:val="1"/>
      <w:marLeft w:val="0"/>
      <w:marRight w:val="0"/>
      <w:marTop w:val="0"/>
      <w:marBottom w:val="0"/>
      <w:divBdr>
        <w:top w:val="none" w:sz="0" w:space="0" w:color="auto"/>
        <w:left w:val="none" w:sz="0" w:space="0" w:color="auto"/>
        <w:bottom w:val="none" w:sz="0" w:space="0" w:color="auto"/>
        <w:right w:val="none" w:sz="0" w:space="0" w:color="auto"/>
      </w:divBdr>
    </w:div>
    <w:div w:id="683628827">
      <w:bodyDiv w:val="1"/>
      <w:marLeft w:val="0"/>
      <w:marRight w:val="0"/>
      <w:marTop w:val="0"/>
      <w:marBottom w:val="0"/>
      <w:divBdr>
        <w:top w:val="none" w:sz="0" w:space="0" w:color="auto"/>
        <w:left w:val="none" w:sz="0" w:space="0" w:color="auto"/>
        <w:bottom w:val="none" w:sz="0" w:space="0" w:color="auto"/>
        <w:right w:val="none" w:sz="0" w:space="0" w:color="auto"/>
      </w:divBdr>
    </w:div>
    <w:div w:id="828250855">
      <w:bodyDiv w:val="1"/>
      <w:marLeft w:val="0"/>
      <w:marRight w:val="0"/>
      <w:marTop w:val="0"/>
      <w:marBottom w:val="0"/>
      <w:divBdr>
        <w:top w:val="none" w:sz="0" w:space="0" w:color="auto"/>
        <w:left w:val="none" w:sz="0" w:space="0" w:color="auto"/>
        <w:bottom w:val="none" w:sz="0" w:space="0" w:color="auto"/>
        <w:right w:val="none" w:sz="0" w:space="0" w:color="auto"/>
      </w:divBdr>
    </w:div>
    <w:div w:id="837965151">
      <w:bodyDiv w:val="1"/>
      <w:marLeft w:val="0"/>
      <w:marRight w:val="0"/>
      <w:marTop w:val="0"/>
      <w:marBottom w:val="0"/>
      <w:divBdr>
        <w:top w:val="none" w:sz="0" w:space="0" w:color="auto"/>
        <w:left w:val="none" w:sz="0" w:space="0" w:color="auto"/>
        <w:bottom w:val="none" w:sz="0" w:space="0" w:color="auto"/>
        <w:right w:val="none" w:sz="0" w:space="0" w:color="auto"/>
      </w:divBdr>
    </w:div>
    <w:div w:id="898978287">
      <w:bodyDiv w:val="1"/>
      <w:marLeft w:val="0"/>
      <w:marRight w:val="0"/>
      <w:marTop w:val="0"/>
      <w:marBottom w:val="0"/>
      <w:divBdr>
        <w:top w:val="none" w:sz="0" w:space="0" w:color="auto"/>
        <w:left w:val="none" w:sz="0" w:space="0" w:color="auto"/>
        <w:bottom w:val="none" w:sz="0" w:space="0" w:color="auto"/>
        <w:right w:val="none" w:sz="0" w:space="0" w:color="auto"/>
      </w:divBdr>
    </w:div>
    <w:div w:id="1041125827">
      <w:bodyDiv w:val="1"/>
      <w:marLeft w:val="0"/>
      <w:marRight w:val="0"/>
      <w:marTop w:val="0"/>
      <w:marBottom w:val="0"/>
      <w:divBdr>
        <w:top w:val="none" w:sz="0" w:space="0" w:color="auto"/>
        <w:left w:val="none" w:sz="0" w:space="0" w:color="auto"/>
        <w:bottom w:val="none" w:sz="0" w:space="0" w:color="auto"/>
        <w:right w:val="none" w:sz="0" w:space="0" w:color="auto"/>
      </w:divBdr>
    </w:div>
    <w:div w:id="1077289168">
      <w:bodyDiv w:val="1"/>
      <w:marLeft w:val="0"/>
      <w:marRight w:val="0"/>
      <w:marTop w:val="0"/>
      <w:marBottom w:val="0"/>
      <w:divBdr>
        <w:top w:val="none" w:sz="0" w:space="0" w:color="auto"/>
        <w:left w:val="none" w:sz="0" w:space="0" w:color="auto"/>
        <w:bottom w:val="none" w:sz="0" w:space="0" w:color="auto"/>
        <w:right w:val="none" w:sz="0" w:space="0" w:color="auto"/>
      </w:divBdr>
    </w:div>
    <w:div w:id="1273127780">
      <w:bodyDiv w:val="1"/>
      <w:marLeft w:val="0"/>
      <w:marRight w:val="0"/>
      <w:marTop w:val="0"/>
      <w:marBottom w:val="0"/>
      <w:divBdr>
        <w:top w:val="none" w:sz="0" w:space="0" w:color="auto"/>
        <w:left w:val="none" w:sz="0" w:space="0" w:color="auto"/>
        <w:bottom w:val="none" w:sz="0" w:space="0" w:color="auto"/>
        <w:right w:val="none" w:sz="0" w:space="0" w:color="auto"/>
      </w:divBdr>
    </w:div>
    <w:div w:id="1277248235">
      <w:bodyDiv w:val="1"/>
      <w:marLeft w:val="0"/>
      <w:marRight w:val="0"/>
      <w:marTop w:val="0"/>
      <w:marBottom w:val="0"/>
      <w:divBdr>
        <w:top w:val="none" w:sz="0" w:space="0" w:color="auto"/>
        <w:left w:val="none" w:sz="0" w:space="0" w:color="auto"/>
        <w:bottom w:val="none" w:sz="0" w:space="0" w:color="auto"/>
        <w:right w:val="none" w:sz="0" w:space="0" w:color="auto"/>
      </w:divBdr>
    </w:div>
    <w:div w:id="1331757324">
      <w:bodyDiv w:val="1"/>
      <w:marLeft w:val="0"/>
      <w:marRight w:val="0"/>
      <w:marTop w:val="0"/>
      <w:marBottom w:val="0"/>
      <w:divBdr>
        <w:top w:val="none" w:sz="0" w:space="0" w:color="auto"/>
        <w:left w:val="none" w:sz="0" w:space="0" w:color="auto"/>
        <w:bottom w:val="none" w:sz="0" w:space="0" w:color="auto"/>
        <w:right w:val="none" w:sz="0" w:space="0" w:color="auto"/>
      </w:divBdr>
    </w:div>
    <w:div w:id="1366640774">
      <w:bodyDiv w:val="1"/>
      <w:marLeft w:val="0"/>
      <w:marRight w:val="0"/>
      <w:marTop w:val="0"/>
      <w:marBottom w:val="0"/>
      <w:divBdr>
        <w:top w:val="none" w:sz="0" w:space="0" w:color="auto"/>
        <w:left w:val="none" w:sz="0" w:space="0" w:color="auto"/>
        <w:bottom w:val="none" w:sz="0" w:space="0" w:color="auto"/>
        <w:right w:val="none" w:sz="0" w:space="0" w:color="auto"/>
      </w:divBdr>
    </w:div>
    <w:div w:id="1381586851">
      <w:bodyDiv w:val="1"/>
      <w:marLeft w:val="0"/>
      <w:marRight w:val="0"/>
      <w:marTop w:val="0"/>
      <w:marBottom w:val="0"/>
      <w:divBdr>
        <w:top w:val="none" w:sz="0" w:space="0" w:color="auto"/>
        <w:left w:val="none" w:sz="0" w:space="0" w:color="auto"/>
        <w:bottom w:val="none" w:sz="0" w:space="0" w:color="auto"/>
        <w:right w:val="none" w:sz="0" w:space="0" w:color="auto"/>
      </w:divBdr>
    </w:div>
    <w:div w:id="1423917477">
      <w:bodyDiv w:val="1"/>
      <w:marLeft w:val="0"/>
      <w:marRight w:val="0"/>
      <w:marTop w:val="0"/>
      <w:marBottom w:val="0"/>
      <w:divBdr>
        <w:top w:val="none" w:sz="0" w:space="0" w:color="auto"/>
        <w:left w:val="none" w:sz="0" w:space="0" w:color="auto"/>
        <w:bottom w:val="none" w:sz="0" w:space="0" w:color="auto"/>
        <w:right w:val="none" w:sz="0" w:space="0" w:color="auto"/>
      </w:divBdr>
    </w:div>
    <w:div w:id="1496678146">
      <w:bodyDiv w:val="1"/>
      <w:marLeft w:val="0"/>
      <w:marRight w:val="0"/>
      <w:marTop w:val="0"/>
      <w:marBottom w:val="0"/>
      <w:divBdr>
        <w:top w:val="none" w:sz="0" w:space="0" w:color="auto"/>
        <w:left w:val="none" w:sz="0" w:space="0" w:color="auto"/>
        <w:bottom w:val="none" w:sz="0" w:space="0" w:color="auto"/>
        <w:right w:val="none" w:sz="0" w:space="0" w:color="auto"/>
      </w:divBdr>
    </w:div>
    <w:div w:id="1533877753">
      <w:bodyDiv w:val="1"/>
      <w:marLeft w:val="0"/>
      <w:marRight w:val="0"/>
      <w:marTop w:val="0"/>
      <w:marBottom w:val="0"/>
      <w:divBdr>
        <w:top w:val="none" w:sz="0" w:space="0" w:color="auto"/>
        <w:left w:val="none" w:sz="0" w:space="0" w:color="auto"/>
        <w:bottom w:val="none" w:sz="0" w:space="0" w:color="auto"/>
        <w:right w:val="none" w:sz="0" w:space="0" w:color="auto"/>
      </w:divBdr>
    </w:div>
    <w:div w:id="1536961482">
      <w:bodyDiv w:val="1"/>
      <w:marLeft w:val="0"/>
      <w:marRight w:val="0"/>
      <w:marTop w:val="0"/>
      <w:marBottom w:val="0"/>
      <w:divBdr>
        <w:top w:val="none" w:sz="0" w:space="0" w:color="auto"/>
        <w:left w:val="none" w:sz="0" w:space="0" w:color="auto"/>
        <w:bottom w:val="none" w:sz="0" w:space="0" w:color="auto"/>
        <w:right w:val="none" w:sz="0" w:space="0" w:color="auto"/>
      </w:divBdr>
    </w:div>
    <w:div w:id="1579630117">
      <w:bodyDiv w:val="1"/>
      <w:marLeft w:val="0"/>
      <w:marRight w:val="0"/>
      <w:marTop w:val="0"/>
      <w:marBottom w:val="0"/>
      <w:divBdr>
        <w:top w:val="none" w:sz="0" w:space="0" w:color="auto"/>
        <w:left w:val="none" w:sz="0" w:space="0" w:color="auto"/>
        <w:bottom w:val="none" w:sz="0" w:space="0" w:color="auto"/>
        <w:right w:val="none" w:sz="0" w:space="0" w:color="auto"/>
      </w:divBdr>
    </w:div>
    <w:div w:id="1597665362">
      <w:bodyDiv w:val="1"/>
      <w:marLeft w:val="0"/>
      <w:marRight w:val="0"/>
      <w:marTop w:val="0"/>
      <w:marBottom w:val="0"/>
      <w:divBdr>
        <w:top w:val="none" w:sz="0" w:space="0" w:color="auto"/>
        <w:left w:val="none" w:sz="0" w:space="0" w:color="auto"/>
        <w:bottom w:val="none" w:sz="0" w:space="0" w:color="auto"/>
        <w:right w:val="none" w:sz="0" w:space="0" w:color="auto"/>
      </w:divBdr>
    </w:div>
    <w:div w:id="1645816776">
      <w:bodyDiv w:val="1"/>
      <w:marLeft w:val="0"/>
      <w:marRight w:val="0"/>
      <w:marTop w:val="0"/>
      <w:marBottom w:val="0"/>
      <w:divBdr>
        <w:top w:val="none" w:sz="0" w:space="0" w:color="auto"/>
        <w:left w:val="none" w:sz="0" w:space="0" w:color="auto"/>
        <w:bottom w:val="none" w:sz="0" w:space="0" w:color="auto"/>
        <w:right w:val="none" w:sz="0" w:space="0" w:color="auto"/>
      </w:divBdr>
    </w:div>
    <w:div w:id="1693913438">
      <w:bodyDiv w:val="1"/>
      <w:marLeft w:val="0"/>
      <w:marRight w:val="0"/>
      <w:marTop w:val="0"/>
      <w:marBottom w:val="0"/>
      <w:divBdr>
        <w:top w:val="none" w:sz="0" w:space="0" w:color="auto"/>
        <w:left w:val="none" w:sz="0" w:space="0" w:color="auto"/>
        <w:bottom w:val="none" w:sz="0" w:space="0" w:color="auto"/>
        <w:right w:val="none" w:sz="0" w:space="0" w:color="auto"/>
      </w:divBdr>
    </w:div>
    <w:div w:id="1704482522">
      <w:bodyDiv w:val="1"/>
      <w:marLeft w:val="0"/>
      <w:marRight w:val="0"/>
      <w:marTop w:val="0"/>
      <w:marBottom w:val="0"/>
      <w:divBdr>
        <w:top w:val="none" w:sz="0" w:space="0" w:color="auto"/>
        <w:left w:val="none" w:sz="0" w:space="0" w:color="auto"/>
        <w:bottom w:val="none" w:sz="0" w:space="0" w:color="auto"/>
        <w:right w:val="none" w:sz="0" w:space="0" w:color="auto"/>
      </w:divBdr>
    </w:div>
    <w:div w:id="1709379224">
      <w:bodyDiv w:val="1"/>
      <w:marLeft w:val="0"/>
      <w:marRight w:val="0"/>
      <w:marTop w:val="0"/>
      <w:marBottom w:val="0"/>
      <w:divBdr>
        <w:top w:val="none" w:sz="0" w:space="0" w:color="auto"/>
        <w:left w:val="none" w:sz="0" w:space="0" w:color="auto"/>
        <w:bottom w:val="none" w:sz="0" w:space="0" w:color="auto"/>
        <w:right w:val="none" w:sz="0" w:space="0" w:color="auto"/>
      </w:divBdr>
    </w:div>
    <w:div w:id="1817800636">
      <w:bodyDiv w:val="1"/>
      <w:marLeft w:val="0"/>
      <w:marRight w:val="0"/>
      <w:marTop w:val="0"/>
      <w:marBottom w:val="0"/>
      <w:divBdr>
        <w:top w:val="none" w:sz="0" w:space="0" w:color="auto"/>
        <w:left w:val="none" w:sz="0" w:space="0" w:color="auto"/>
        <w:bottom w:val="none" w:sz="0" w:space="0" w:color="auto"/>
        <w:right w:val="none" w:sz="0" w:space="0" w:color="auto"/>
      </w:divBdr>
    </w:div>
    <w:div w:id="1821262939">
      <w:bodyDiv w:val="1"/>
      <w:marLeft w:val="0"/>
      <w:marRight w:val="0"/>
      <w:marTop w:val="0"/>
      <w:marBottom w:val="0"/>
      <w:divBdr>
        <w:top w:val="none" w:sz="0" w:space="0" w:color="auto"/>
        <w:left w:val="none" w:sz="0" w:space="0" w:color="auto"/>
        <w:bottom w:val="none" w:sz="0" w:space="0" w:color="auto"/>
        <w:right w:val="none" w:sz="0" w:space="0" w:color="auto"/>
      </w:divBdr>
    </w:div>
    <w:div w:id="1859927224">
      <w:bodyDiv w:val="1"/>
      <w:marLeft w:val="0"/>
      <w:marRight w:val="0"/>
      <w:marTop w:val="0"/>
      <w:marBottom w:val="0"/>
      <w:divBdr>
        <w:top w:val="none" w:sz="0" w:space="0" w:color="auto"/>
        <w:left w:val="none" w:sz="0" w:space="0" w:color="auto"/>
        <w:bottom w:val="none" w:sz="0" w:space="0" w:color="auto"/>
        <w:right w:val="none" w:sz="0" w:space="0" w:color="auto"/>
      </w:divBdr>
    </w:div>
    <w:div w:id="1901134103">
      <w:bodyDiv w:val="1"/>
      <w:marLeft w:val="0"/>
      <w:marRight w:val="0"/>
      <w:marTop w:val="0"/>
      <w:marBottom w:val="0"/>
      <w:divBdr>
        <w:top w:val="none" w:sz="0" w:space="0" w:color="auto"/>
        <w:left w:val="none" w:sz="0" w:space="0" w:color="auto"/>
        <w:bottom w:val="none" w:sz="0" w:space="0" w:color="auto"/>
        <w:right w:val="none" w:sz="0" w:space="0" w:color="auto"/>
      </w:divBdr>
    </w:div>
    <w:div w:id="1902905254">
      <w:bodyDiv w:val="1"/>
      <w:marLeft w:val="0"/>
      <w:marRight w:val="0"/>
      <w:marTop w:val="0"/>
      <w:marBottom w:val="0"/>
      <w:divBdr>
        <w:top w:val="none" w:sz="0" w:space="0" w:color="auto"/>
        <w:left w:val="none" w:sz="0" w:space="0" w:color="auto"/>
        <w:bottom w:val="none" w:sz="0" w:space="0" w:color="auto"/>
        <w:right w:val="none" w:sz="0" w:space="0" w:color="auto"/>
      </w:divBdr>
    </w:div>
    <w:div w:id="1934120694">
      <w:bodyDiv w:val="1"/>
      <w:marLeft w:val="0"/>
      <w:marRight w:val="0"/>
      <w:marTop w:val="0"/>
      <w:marBottom w:val="0"/>
      <w:divBdr>
        <w:top w:val="none" w:sz="0" w:space="0" w:color="auto"/>
        <w:left w:val="none" w:sz="0" w:space="0" w:color="auto"/>
        <w:bottom w:val="none" w:sz="0" w:space="0" w:color="auto"/>
        <w:right w:val="none" w:sz="0" w:space="0" w:color="auto"/>
      </w:divBdr>
    </w:div>
    <w:div w:id="1954819483">
      <w:bodyDiv w:val="1"/>
      <w:marLeft w:val="0"/>
      <w:marRight w:val="0"/>
      <w:marTop w:val="0"/>
      <w:marBottom w:val="0"/>
      <w:divBdr>
        <w:top w:val="none" w:sz="0" w:space="0" w:color="auto"/>
        <w:left w:val="none" w:sz="0" w:space="0" w:color="auto"/>
        <w:bottom w:val="none" w:sz="0" w:space="0" w:color="auto"/>
        <w:right w:val="none" w:sz="0" w:space="0" w:color="auto"/>
      </w:divBdr>
    </w:div>
    <w:div w:id="1982996451">
      <w:bodyDiv w:val="1"/>
      <w:marLeft w:val="0"/>
      <w:marRight w:val="0"/>
      <w:marTop w:val="0"/>
      <w:marBottom w:val="0"/>
      <w:divBdr>
        <w:top w:val="none" w:sz="0" w:space="0" w:color="auto"/>
        <w:left w:val="none" w:sz="0" w:space="0" w:color="auto"/>
        <w:bottom w:val="none" w:sz="0" w:space="0" w:color="auto"/>
        <w:right w:val="none" w:sz="0" w:space="0" w:color="auto"/>
      </w:divBdr>
    </w:div>
    <w:div w:id="2033526351">
      <w:bodyDiv w:val="1"/>
      <w:marLeft w:val="0"/>
      <w:marRight w:val="0"/>
      <w:marTop w:val="0"/>
      <w:marBottom w:val="0"/>
      <w:divBdr>
        <w:top w:val="none" w:sz="0" w:space="0" w:color="auto"/>
        <w:left w:val="none" w:sz="0" w:space="0" w:color="auto"/>
        <w:bottom w:val="none" w:sz="0" w:space="0" w:color="auto"/>
        <w:right w:val="none" w:sz="0" w:space="0" w:color="auto"/>
      </w:divBdr>
    </w:div>
    <w:div w:id="210449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image" Target="media/image14.emf"/><Relationship Id="rId3" Type="http://schemas.openxmlformats.org/officeDocument/2006/relationships/customXml" Target="../customXml/item3.xml"/><Relationship Id="rId21" Type="http://schemas.openxmlformats.org/officeDocument/2006/relationships/image" Target="media/image9.emf"/><Relationship Id="rId34" Type="http://schemas.openxmlformats.org/officeDocument/2006/relationships/customXml" Target="../customXml/item7.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5.png"/><Relationship Id="rId25" Type="http://schemas.openxmlformats.org/officeDocument/2006/relationships/image" Target="media/image13.emf"/><Relationship Id="rId33"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emf"/><Relationship Id="rId29"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24" Type="http://schemas.openxmlformats.org/officeDocument/2006/relationships/image" Target="media/image12.emf"/><Relationship Id="rId32" Type="http://schemas.openxmlformats.org/officeDocument/2006/relationships/customXml" Target="../customXml/item5.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11.emf"/><Relationship Id="rId28" Type="http://schemas.openxmlformats.org/officeDocument/2006/relationships/image" Target="media/image16.emf"/><Relationship Id="rId36" Type="http://schemas.openxmlformats.org/officeDocument/2006/relationships/customXml" Target="../customXml/item9.xml"/><Relationship Id="rId10" Type="http://schemas.openxmlformats.org/officeDocument/2006/relationships/endnotes" Target="endnotes.xml"/><Relationship Id="rId19" Type="http://schemas.openxmlformats.org/officeDocument/2006/relationships/image" Target="media/image7.emf"/><Relationship Id="rId31"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theme" Target="theme/theme1.xml"/><Relationship Id="rId35" Type="http://schemas.openxmlformats.org/officeDocument/2006/relationships/customXml" Target="../customXml/item8.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F88B81E3DA7174887E036BBE9375535" ma:contentTypeVersion="25" ma:contentTypeDescription="A content type to manage public (operations) IDB documents" ma:contentTypeScope="" ma:versionID="9ae0f3143e92d95dee43c2e9d3e58bbd">
  <xsd:schema xmlns:xsd="http://www.w3.org/2001/XMLSchema" xmlns:xs="http://www.w3.org/2001/XMLSchema" xmlns:p="http://schemas.microsoft.com/office/2006/metadata/properties" xmlns:ns2="cdc7663a-08f0-4737-9e8c-148ce897a09c" targetNamespace="http://schemas.microsoft.com/office/2006/metadata/properties" ma:root="true" ma:fieldsID="3a3b7225638c91ccf88b6b83c9c7d26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38694269</IDBDocs_x0020_Number>
    <TaxCatchAll xmlns="cdc7663a-08f0-4737-9e8c-148ce897a09c">
      <Value>27</Value>
      <Value>11</Value>
      <Value>1</Value>
    </TaxCatchAll>
    <Phase xmlns="cdc7663a-08f0-4737-9e8c-148ce897a09c" xsi:nil="true"/>
    <SISCOR_x0020_Number xmlns="cdc7663a-08f0-4737-9e8c-148ce897a09c" xsi:nil="true"/>
    <Division_x0020_or_x0020_Unit xmlns="cdc7663a-08f0-4737-9e8c-148ce897a09c">IFD/FMM</Division_x0020_or_x0020_Unit>
    <Approval_x0020_Number xmlns="cdc7663a-08f0-4737-9e8c-148ce897a09c" xsi:nil="true"/>
    <Document_x0020_Author xmlns="cdc7663a-08f0-4737-9e8c-148ce897a09c">Villela, Luiz A.</Document_x0020_Author>
    <Fiscal_x0020_Year_x0020_IDB xmlns="cdc7663a-08f0-4737-9e8c-148ce897a09c">2014</Fiscal_x0020_Year_x0020_IDB>
    <Other_x0020_Author xmlns="cdc7663a-08f0-4737-9e8c-148ce897a09c" xsi:nil="true"/>
    <Project_x0020_Number xmlns="cdc7663a-08f0-4737-9e8c-148ce897a09c">CO-L1142</Project_x0020_Number>
    <Package_x0020_Code xmlns="cdc7663a-08f0-4737-9e8c-148ce897a09c" xsi:nil="true"/>
    <Key_x0020_Document xmlns="cdc7663a-08f0-4737-9e8c-148ce897a09c">false</Key_x0020_Document>
    <Migration_x0020_Info xmlns="cdc7663a-08f0-4737-9e8c-148ce897a09c">&lt;div class="ExternalClass729B484483D64843B98A392D9A591AE4"&gt;MS WORDLPLoan Proposal0N&lt;/div&gt;</Migration_x0020_Info>
    <Operation_x0020_Type xmlns="cdc7663a-08f0-4737-9e8c-148ce897a09c" xsi:nil="true"/>
    <Record_x0020_Number xmlns="cdc7663a-08f0-4737-9e8c-148ce897a09c" xsi:nil="true"/>
    <Document_x0020_Language_x0020_IDB xmlns="cdc7663a-08f0-4737-9e8c-148ce897a09c">Spanish</Document_x0020_Language_x0020_IDB>
    <Identifier xmlns="cdc7663a-08f0-4737-9e8c-148ce897a09c"> TECFILE</Identifier>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Loan Proposal</Disclosure_x0020_Activity>
    <Region xmlns="cdc7663a-08f0-4737-9e8c-148ce897a09c" xsi:nil="true"/>
    <_dlc_DocId xmlns="cdc7663a-08f0-4737-9e8c-148ce897a09c">EZSHARE-1678957924-90</_dlc_DocId>
    <Publication_x0020_Type xmlns="cdc7663a-08f0-4737-9e8c-148ce897a09c" xsi:nil="true"/>
    <Issue_x0020_Date xmlns="cdc7663a-08f0-4737-9e8c-148ce897a09c" xsi:nil="true"/>
    <Webtopic xmlns="cdc7663a-08f0-4737-9e8c-148ce897a09c">Fiscal Issues and Public Finance</Webtopic>
    <Publishing_x0020_House xmlns="cdc7663a-08f0-4737-9e8c-148ce897a09c" xsi:nil="true"/>
    <Disclosed xmlns="cdc7663a-08f0-4737-9e8c-148ce897a09c">false</Disclosed>
    <KP_x0020_Topics xmlns="cdc7663a-08f0-4737-9e8c-148ce897a09c" xsi:nil="true"/>
    <_dlc_DocIdUrl xmlns="cdc7663a-08f0-4737-9e8c-148ce897a09c">
      <Url>https://idbg.sharepoint.com/teams/EZ-CO-LON/CO-L1142/_layouts/15/DocIdRedir.aspx?ID=EZSHARE-1678957924-90</Url>
      <Description>EZSHARE-1678957924-90</Description>
    </_dlc_DocIdUrl>
  </documentManagement>
</p:properties>
</file>

<file path=customXml/item6.xml><?xml version="1.0" encoding="utf-8"?>
<CoverPageProperties xmlns="http://schemas.microsoft.com/office/2006/coverPageProps">
  <PublishDate>2011-05-31T00:00:00</PublishDate>
  <Abstract>El presente estudio fue preparado por Luiz Villela (IFD/FMM) y Javier Beverinottil (Consultor IFD/FMM).</Abstract>
  <CompanyAddress/>
  <CompanyPhone/>
  <CompanyFax/>
  <CompanyEmail/>
</CoverPage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9.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BDBB4454-CBE6-46E4-8F06-C9871569C910}"/>
</file>

<file path=customXml/itemProps2.xml><?xml version="1.0" encoding="utf-8"?>
<ds:datastoreItem xmlns:ds="http://schemas.openxmlformats.org/officeDocument/2006/customXml" ds:itemID="{D83B46B7-1B60-4CBE-A0FD-AFED4C2A04A9}"/>
</file>

<file path=customXml/itemProps3.xml><?xml version="1.0" encoding="utf-8"?>
<ds:datastoreItem xmlns:ds="http://schemas.openxmlformats.org/officeDocument/2006/customXml" ds:itemID="{BB14D175-F95F-46E0-9595-AADE68385F3E}"/>
</file>

<file path=customXml/itemProps4.xml><?xml version="1.0" encoding="utf-8"?>
<ds:datastoreItem xmlns:ds="http://schemas.openxmlformats.org/officeDocument/2006/customXml" ds:itemID="{8F308A3F-1A1B-42A7-909A-567A45CD2EBF}"/>
</file>

<file path=customXml/itemProps5.xml><?xml version="1.0" encoding="utf-8"?>
<ds:datastoreItem xmlns:ds="http://schemas.openxmlformats.org/officeDocument/2006/customXml" ds:itemID="{E70A5463-F3C5-4CC0-B562-86B46406423E}"/>
</file>

<file path=customXml/itemProps6.xml><?xml version="1.0" encoding="utf-8"?>
<ds:datastoreItem xmlns:ds="http://schemas.openxmlformats.org/officeDocument/2006/customXml" ds:itemID="{55AF091B-3C7A-41E3-B477-F2FDAA23CFDA}"/>
</file>

<file path=customXml/itemProps7.xml><?xml version="1.0" encoding="utf-8"?>
<ds:datastoreItem xmlns:ds="http://schemas.openxmlformats.org/officeDocument/2006/customXml" ds:itemID="{EA438CB3-3973-43B0-9FD0-6DDB985FE9E7}"/>
</file>

<file path=customXml/itemProps8.xml><?xml version="1.0" encoding="utf-8"?>
<ds:datastoreItem xmlns:ds="http://schemas.openxmlformats.org/officeDocument/2006/customXml" ds:itemID="{A2689C3D-766A-4B33-AA50-026F64072F89}"/>
</file>

<file path=customXml/itemProps9.xml><?xml version="1.0" encoding="utf-8"?>
<ds:datastoreItem xmlns:ds="http://schemas.openxmlformats.org/officeDocument/2006/customXml" ds:itemID="{427CE178-6641-46D5-B6D9-88FF9CA24A0E}"/>
</file>

<file path=docProps/app.xml><?xml version="1.0" encoding="utf-8"?>
<Properties xmlns="http://schemas.openxmlformats.org/officeDocument/2006/extended-properties" xmlns:vt="http://schemas.openxmlformats.org/officeDocument/2006/docPropsVTypes">
  <Template>Normal.dotm</Template>
  <TotalTime>30</TotalTime>
  <Pages>25</Pages>
  <Words>5919</Words>
  <Characters>33744</Characters>
  <Application>Microsoft Office Word</Application>
  <DocSecurity>0</DocSecurity>
  <Lines>281</Lines>
  <Paragraphs>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Colombia</vt:lpstr>
      <vt:lpstr>Colombia</vt:lpstr>
    </vt:vector>
  </TitlesOfParts>
  <Company>Grizli777</Company>
  <LinksUpToDate>false</LinksUpToDate>
  <CharactersWithSpaces>39584</CharactersWithSpaces>
  <SharedDoc>false</SharedDoc>
  <HLinks>
    <vt:vector size="6" baseType="variant">
      <vt:variant>
        <vt:i4>2359422</vt:i4>
      </vt:variant>
      <vt:variant>
        <vt:i4>0</vt:i4>
      </vt:variant>
      <vt:variant>
        <vt:i4>0</vt:i4>
      </vt:variant>
      <vt:variant>
        <vt:i4>5</vt:i4>
      </vt:variant>
      <vt:variant>
        <vt:lpwstr>http://www.oecd.org/tax/administration/45035933.pdf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Análisis Costo- Beneficio </dc:title>
  <dc:subject>PROGRAMA DE CONSOLIDACIÓN DE LA RESPONSABILIDAD FISCAL TERRITORIAL II (CO-L1117))</dc:subject>
  <dc:creator>Anexo de Análisis Económico</dc:creator>
  <cp:lastModifiedBy>Test</cp:lastModifiedBy>
  <cp:revision>4</cp:revision>
  <cp:lastPrinted>2013-08-30T18:25:00Z</cp:lastPrinted>
  <dcterms:created xsi:type="dcterms:W3CDTF">2014-03-25T15:50:00Z</dcterms:created>
  <dcterms:modified xsi:type="dcterms:W3CDTF">2014-03-25T19:56:00Z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0x0101001A458A224826124E8B45B1D613300CFC000F88B81E3DA7174887E036BBE9375535</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9;#Loan Proposal|6ee86b6f-6e46-485b-8bfb-87a1f44622ac</vt:lpwstr>
  </property>
  <property fmtid="{D5CDD505-2E9C-101B-9397-08002B2CF9AE}" pid="8" name="Country">
    <vt:lpwstr>27;#Colombia|c7d386d6-75f3-4fc0-bde8-e021ccd68f5c</vt:lpwstr>
  </property>
  <property fmtid="{D5CDD505-2E9C-101B-9397-08002B2CF9AE}" pid="9" name="Fund IDB">
    <vt:lpwstr/>
  </property>
  <property fmtid="{D5CDD505-2E9C-101B-9397-08002B2CF9AE}" pid="10" name="Series_x0020_Operations_x0020_IDB">
    <vt:lpwstr>9;#Loan Proposal|6ee86b6f-6e46-485b-8bfb-87a1f44622ac</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5" name="Sub-Sector">
    <vt:lpwstr/>
  </property>
  <property fmtid="{D5CDD505-2E9C-101B-9397-08002B2CF9AE}" pid="16" name="Order">
    <vt:r8>9000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19" name="_dlc_DocIdItemGuid">
    <vt:lpwstr>ae22b580-07a8-4ee4-ba0b-c57b701ae168</vt:lpwstr>
  </property>
</Properties>
</file>