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82CC4" w14:textId="77777777" w:rsidR="00BD7937" w:rsidRPr="003F305C" w:rsidRDefault="00C32666" w:rsidP="00C32666">
      <w:pPr>
        <w:spacing w:after="240"/>
        <w:jc w:val="center"/>
        <w:rPr>
          <w:rFonts w:ascii="Arial" w:hAnsi="Arial" w:cs="Arial"/>
          <w:b/>
          <w:smallCaps/>
          <w:sz w:val="24"/>
          <w:szCs w:val="20"/>
          <w:lang w:val="es-ES_tradnl"/>
        </w:rPr>
      </w:pPr>
      <w:r w:rsidRPr="003F305C">
        <w:rPr>
          <w:rFonts w:ascii="Arial" w:hAnsi="Arial" w:cs="Arial"/>
          <w:b/>
          <w:smallCaps/>
          <w:sz w:val="24"/>
          <w:szCs w:val="20"/>
          <w:lang w:val="es-ES_tradnl"/>
        </w:rPr>
        <w:t>Matriz de Resultados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0098"/>
      </w:tblGrid>
      <w:tr w:rsidR="00273B08" w:rsidRPr="003F305C" w14:paraId="0E43682C" w14:textId="77777777" w:rsidTr="00C32666">
        <w:tc>
          <w:tcPr>
            <w:tcW w:w="2448" w:type="dxa"/>
          </w:tcPr>
          <w:p w14:paraId="41FA393D" w14:textId="77777777" w:rsidR="00273B08" w:rsidRPr="003F305C" w:rsidRDefault="00C32666" w:rsidP="00C32666">
            <w:pPr>
              <w:jc w:val="left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Objetivo del programa:</w:t>
            </w:r>
          </w:p>
        </w:tc>
        <w:tc>
          <w:tcPr>
            <w:tcW w:w="10728" w:type="dxa"/>
          </w:tcPr>
          <w:p w14:paraId="7A0AD022" w14:textId="5FC76963" w:rsidR="00433B6D" w:rsidRPr="00433B6D" w:rsidRDefault="00433B6D" w:rsidP="00433B6D">
            <w:pPr>
              <w:spacing w:after="120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 w:rsidRPr="00433B6D">
              <w:rPr>
                <w:rFonts w:ascii="Arial" w:hAnsi="Arial" w:cs="Arial"/>
                <w:sz w:val="18"/>
                <w:szCs w:val="18"/>
                <w:lang w:val="es-ES_tradnl"/>
              </w:rPr>
              <w:t>l objetivo del programa de reformas de políticas es mejorar la contribución del sistema financiero al crecimiento de Colombia a través de: (i) el aumento del financiamiento para el desarrollo productivo; (ii) la mejora de la regulación y supervisión del sistema financiero para apoyar el desarrollo del mercado de capitales y la transparencia financiera; y (iii) la mejora de la inclusión financiera para la población no bancarizada y l</w:t>
            </w:r>
            <w:bookmarkStart w:id="0" w:name="_GoBack"/>
            <w:bookmarkEnd w:id="0"/>
            <w:r w:rsidRPr="00433B6D">
              <w:rPr>
                <w:rFonts w:ascii="Arial" w:hAnsi="Arial" w:cs="Arial"/>
                <w:sz w:val="18"/>
                <w:szCs w:val="18"/>
                <w:lang w:val="es-ES_tradnl"/>
              </w:rPr>
              <w:t>as MIPYME.</w:t>
            </w:r>
          </w:p>
          <w:p w14:paraId="460D7B63" w14:textId="0BDFA0EA" w:rsidR="00273B08" w:rsidRPr="003F305C" w:rsidRDefault="00433B6D" w:rsidP="00433B6D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33B6D">
              <w:rPr>
                <w:rFonts w:ascii="Arial" w:hAnsi="Arial" w:cs="Arial"/>
                <w:sz w:val="18"/>
                <w:szCs w:val="18"/>
                <w:lang w:val="es-ES_tradnl"/>
              </w:rPr>
              <w:t>La presente operación es la primera de dos consecutivas, vinculadas técnicamente entre sí, pero financiadas de forma independiente bajo la modalidad de Préstamo Programático de Apoyo a Reformas de Política.</w:t>
            </w:r>
          </w:p>
        </w:tc>
      </w:tr>
    </w:tbl>
    <w:p w14:paraId="4B002657" w14:textId="77777777" w:rsidR="00273B08" w:rsidRPr="003F305C" w:rsidRDefault="00273B08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1668"/>
        <w:gridCol w:w="1750"/>
        <w:gridCol w:w="1589"/>
        <w:gridCol w:w="4716"/>
      </w:tblGrid>
      <w:tr w:rsidR="00894C3A" w:rsidRPr="003F305C" w14:paraId="4CDF115B" w14:textId="77777777" w:rsidTr="00FE303B">
        <w:trPr>
          <w:tblHeader/>
        </w:trPr>
        <w:tc>
          <w:tcPr>
            <w:tcW w:w="2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CBC6F3" w14:textId="77777777" w:rsidR="0075783E" w:rsidRPr="003F305C" w:rsidRDefault="0075783E" w:rsidP="00273B08">
            <w:pPr>
              <w:pStyle w:val="ListParagraph"/>
              <w:ind w:left="1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bCs/>
                <w:sz w:val="18"/>
                <w:szCs w:val="18"/>
              </w:rPr>
              <w:t>Indicadores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C2EF9" w14:textId="77777777" w:rsidR="0075783E" w:rsidRPr="003F305C" w:rsidRDefault="0075783E" w:rsidP="00273B0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Unidad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2C001" w14:textId="27C34687" w:rsidR="0075783E" w:rsidRPr="003F305C" w:rsidRDefault="0075783E" w:rsidP="00273B0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Línea de Base 2014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52D18" w14:textId="149B501E" w:rsidR="0075783E" w:rsidRPr="003F305C" w:rsidRDefault="0075783E" w:rsidP="00130B1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Objetivo 2020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FE5C9" w14:textId="77777777" w:rsidR="0075783E" w:rsidRPr="003F305C" w:rsidRDefault="0075783E" w:rsidP="00273B0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Descripción</w:t>
            </w:r>
          </w:p>
        </w:tc>
      </w:tr>
      <w:tr w:rsidR="00C32666" w:rsidRPr="003F305C" w14:paraId="1E26945D" w14:textId="77777777" w:rsidTr="00053AEE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24A9B8E3" w14:textId="0861B106" w:rsidR="00C32666" w:rsidRPr="003F305C" w:rsidRDefault="006170FE" w:rsidP="006170FE">
            <w:pPr>
              <w:spacing w:before="40" w:after="40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Productos.</w:t>
            </w:r>
          </w:p>
        </w:tc>
      </w:tr>
      <w:tr w:rsidR="006170FE" w:rsidRPr="003F305C" w14:paraId="6B82C273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4CC638ED" w14:textId="74715025" w:rsidR="006170FE" w:rsidRPr="003F305C" w:rsidRDefault="006170FE" w:rsidP="00301DFC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II: Mejora del Financiamiento para el Desarrollo Productivo</w:t>
            </w:r>
          </w:p>
        </w:tc>
      </w:tr>
      <w:tr w:rsidR="0064130C" w:rsidRPr="003F305C" w14:paraId="136C87EA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33E92CE8" w14:textId="2D108FBB" w:rsidR="0064130C" w:rsidRPr="003F305C" w:rsidRDefault="0064130C" w:rsidP="0064130C">
            <w:pPr>
              <w:pStyle w:val="ListParagraph"/>
              <w:numPr>
                <w:ilvl w:val="0"/>
                <w:numId w:val="3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t>Fortalecimiento a los sistemas de garantía para el financiamiento productivo.</w:t>
            </w:r>
          </w:p>
        </w:tc>
      </w:tr>
      <w:tr w:rsidR="00894C3A" w:rsidRPr="003F305C" w14:paraId="486C7CBE" w14:textId="77777777" w:rsidTr="00FE303B">
        <w:tc>
          <w:tcPr>
            <w:tcW w:w="2733" w:type="dxa"/>
            <w:vAlign w:val="center"/>
          </w:tcPr>
          <w:p w14:paraId="1EECA999" w14:textId="7B583B34" w:rsidR="0075783E" w:rsidRPr="003F305C" w:rsidRDefault="00D137DA" w:rsidP="00D137DA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Ley por la cual se promueve el acceso al crédito y se dictan normas sobre garantías mobiliarias (Ley de Garantías Mobiliarias) ha sido aprobada por parte del Congreso de la República y ha entrado en vigencia.</w:t>
            </w:r>
          </w:p>
        </w:tc>
        <w:tc>
          <w:tcPr>
            <w:tcW w:w="1668" w:type="dxa"/>
            <w:vAlign w:val="center"/>
          </w:tcPr>
          <w:p w14:paraId="78330515" w14:textId="44BCB33A" w:rsidR="0075783E" w:rsidRPr="003F305C" w:rsidRDefault="008B1C9F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  <w:r w:rsidR="002F1BC9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*</w:t>
            </w:r>
          </w:p>
        </w:tc>
        <w:tc>
          <w:tcPr>
            <w:tcW w:w="1750" w:type="dxa"/>
            <w:vAlign w:val="center"/>
          </w:tcPr>
          <w:p w14:paraId="5856E0CD" w14:textId="51B28AA5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C18C88A" w14:textId="65372C7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3DD250A4" w14:textId="23A31F1E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0CFD30E" w14:textId="77777777" w:rsidTr="00FE303B">
        <w:tc>
          <w:tcPr>
            <w:tcW w:w="2733" w:type="dxa"/>
            <w:vAlign w:val="center"/>
          </w:tcPr>
          <w:p w14:paraId="04FA64B6" w14:textId="249013DE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que reglamenta el funcionamiento del Registro de Garantías Mobiliarias ha sido emitido por el Ministerio de Comercio, Industria y Turismo.</w:t>
            </w:r>
          </w:p>
        </w:tc>
        <w:tc>
          <w:tcPr>
            <w:tcW w:w="1668" w:type="dxa"/>
            <w:vAlign w:val="center"/>
          </w:tcPr>
          <w:p w14:paraId="14F64BDF" w14:textId="7A7AE18E" w:rsidR="0075783E" w:rsidRPr="003F305C" w:rsidRDefault="008B1C9F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47C974DD" w14:textId="682234A3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79B0C996" w14:textId="79C8D66C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0E32756F" w14:textId="4417F41C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AA9C9EA" w14:textId="77777777" w:rsidTr="00FE303B">
        <w:tc>
          <w:tcPr>
            <w:tcW w:w="2733" w:type="dxa"/>
            <w:vAlign w:val="center"/>
          </w:tcPr>
          <w:p w14:paraId="7FE08E9B" w14:textId="648637E9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Los formularios de registro y derechos de registro del Registro de Garantías Mobiliarias han sido aprobados por parte del Ministerio de Comercio, Industria y Turismo.</w:t>
            </w:r>
          </w:p>
        </w:tc>
        <w:tc>
          <w:tcPr>
            <w:tcW w:w="1668" w:type="dxa"/>
            <w:vAlign w:val="center"/>
          </w:tcPr>
          <w:p w14:paraId="64CBDE4C" w14:textId="4C1FE964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  <w:r w:rsidR="002F1BC9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**</w:t>
            </w:r>
          </w:p>
        </w:tc>
        <w:tc>
          <w:tcPr>
            <w:tcW w:w="1750" w:type="dxa"/>
            <w:vAlign w:val="center"/>
          </w:tcPr>
          <w:p w14:paraId="7C1BEB8A" w14:textId="56406BCD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2ED9BF29" w14:textId="1805D241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2874688" w14:textId="65FCA9DD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F58DDCA" w14:textId="77777777" w:rsidTr="00FE303B">
        <w:tc>
          <w:tcPr>
            <w:tcW w:w="2733" w:type="dxa"/>
            <w:vAlign w:val="center"/>
          </w:tcPr>
          <w:p w14:paraId="6EB3EF3F" w14:textId="6384D905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proyecto de Ley del Plan Nacional de Desarrollo 2014-2018 que crea el Registro Único de Factura Electrónica ha sido presentado ante el Congreso de la República para su consideración y aprobación.</w:t>
            </w:r>
          </w:p>
        </w:tc>
        <w:tc>
          <w:tcPr>
            <w:tcW w:w="1668" w:type="dxa"/>
            <w:vAlign w:val="center"/>
          </w:tcPr>
          <w:p w14:paraId="07EE2A8B" w14:textId="42CA3DFD" w:rsidR="0075783E" w:rsidRPr="003F305C" w:rsidRDefault="008B1C9F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Comunicación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emitid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  <w:r w:rsidR="002F1BC9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***</w:t>
            </w:r>
          </w:p>
        </w:tc>
        <w:tc>
          <w:tcPr>
            <w:tcW w:w="1750" w:type="dxa"/>
            <w:vAlign w:val="center"/>
          </w:tcPr>
          <w:p w14:paraId="56E2C420" w14:textId="1FC3FA12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61D8584" w14:textId="142314E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597E5D4" w14:textId="290D7F5E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029B9FEE" w14:textId="77777777" w:rsidTr="00FE303B">
        <w:tc>
          <w:tcPr>
            <w:tcW w:w="2733" w:type="dxa"/>
            <w:vAlign w:val="center"/>
          </w:tcPr>
          <w:p w14:paraId="6F417E40" w14:textId="1F48625E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 xml:space="preserve">El proyecto de Decreto que reglamenta las condiciones para la masificación de la Factura Electrónica ha sido </w:t>
            </w:r>
            <w:r w:rsidR="000867FF" w:rsidRPr="003F305C">
              <w:rPr>
                <w:rFonts w:ascii="Arial" w:hAnsi="Arial" w:cs="Arial"/>
                <w:sz w:val="18"/>
                <w:szCs w:val="18"/>
              </w:rPr>
              <w:lastRenderedPageBreak/>
              <w:t xml:space="preserve">elaborado y </w:t>
            </w:r>
            <w:r w:rsidRPr="003F305C">
              <w:rPr>
                <w:rFonts w:ascii="Arial" w:hAnsi="Arial" w:cs="Arial"/>
                <w:sz w:val="18"/>
                <w:szCs w:val="18"/>
              </w:rPr>
              <w:t>publicado para consulta pública por el Ministerio de Hacienda y Crédito Público.</w:t>
            </w:r>
          </w:p>
        </w:tc>
        <w:tc>
          <w:tcPr>
            <w:tcW w:w="1668" w:type="dxa"/>
            <w:vAlign w:val="center"/>
          </w:tcPr>
          <w:p w14:paraId="3E953E5C" w14:textId="49174B25" w:rsidR="0075783E" w:rsidRPr="003F305C" w:rsidRDefault="008B1C9F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Comunicación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emitid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</w:p>
        </w:tc>
        <w:tc>
          <w:tcPr>
            <w:tcW w:w="1750" w:type="dxa"/>
            <w:vAlign w:val="center"/>
          </w:tcPr>
          <w:p w14:paraId="7E86127B" w14:textId="7B8D9D70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36EAA10A" w14:textId="4470F243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230BBA5" w14:textId="05DC0B33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64130C" w:rsidRPr="003F305C" w14:paraId="041A34A4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5F1D5A33" w14:textId="1DAAA8A1" w:rsidR="0064130C" w:rsidRPr="003F305C" w:rsidRDefault="0064130C" w:rsidP="0077647A">
            <w:pPr>
              <w:pStyle w:val="ListParagraph"/>
              <w:numPr>
                <w:ilvl w:val="0"/>
                <w:numId w:val="3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Fortalecimiento a las instituciones públicas para el financiamiento </w:t>
            </w:r>
            <w:r w:rsidR="0077647A" w:rsidRPr="003F305C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3F305C">
              <w:rPr>
                <w:rFonts w:ascii="Arial" w:hAnsi="Arial" w:cs="Arial"/>
                <w:b/>
                <w:sz w:val="18"/>
                <w:szCs w:val="18"/>
              </w:rPr>
              <w:t>el desarrollo productivo.</w:t>
            </w:r>
          </w:p>
        </w:tc>
      </w:tr>
      <w:tr w:rsidR="00894C3A" w:rsidRPr="003F305C" w14:paraId="704CE2B4" w14:textId="77777777" w:rsidTr="00FE303B">
        <w:tc>
          <w:tcPr>
            <w:tcW w:w="2733" w:type="dxa"/>
            <w:vAlign w:val="center"/>
          </w:tcPr>
          <w:p w14:paraId="60B589C9" w14:textId="22661096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Los Estatutos de la Financiera de Desarrollo Nacional han sido reformados de acuerdo a la aprobación de la Asamblea General de Accionistas en sesión extraordinaria.</w:t>
            </w:r>
          </w:p>
        </w:tc>
        <w:tc>
          <w:tcPr>
            <w:tcW w:w="1668" w:type="dxa"/>
            <w:vAlign w:val="center"/>
          </w:tcPr>
          <w:p w14:paraId="2F73C833" w14:textId="11C4AF11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</w:p>
        </w:tc>
        <w:tc>
          <w:tcPr>
            <w:tcW w:w="1750" w:type="dxa"/>
            <w:vAlign w:val="center"/>
          </w:tcPr>
          <w:p w14:paraId="24DEE80C" w14:textId="244761F4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1678DBD8" w14:textId="5DF5BCAF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3596ABE3" w14:textId="38CC39E4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13E8E080" w14:textId="77777777" w:rsidTr="00FE303B">
        <w:tc>
          <w:tcPr>
            <w:tcW w:w="2733" w:type="dxa"/>
            <w:vAlign w:val="center"/>
          </w:tcPr>
          <w:p w14:paraId="27533206" w14:textId="346A35BF" w:rsidR="0075783E" w:rsidRPr="003F305C" w:rsidRDefault="002F4C20" w:rsidP="007276E8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Declaración de la Nación, donde la Nación se ha comprometido, como accionista mayoritario de la Financiera de Desarrollo Nacional, a garantizar la aplicación de mejores prácticas de gobierno corporativo en la Financiera de Desarrollo Nacional ha sido emitida por el Ministerio de Hacienda y Crédito Público.</w:t>
            </w:r>
          </w:p>
        </w:tc>
        <w:tc>
          <w:tcPr>
            <w:tcW w:w="1668" w:type="dxa"/>
            <w:vAlign w:val="center"/>
          </w:tcPr>
          <w:p w14:paraId="3DB2CB60" w14:textId="6E2E30E1" w:rsidR="0075783E" w:rsidRPr="003F305C" w:rsidRDefault="0075783E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Comunicación </w:t>
            </w:r>
            <w:r w:rsidR="00322DC5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emitida</w:t>
            </w:r>
          </w:p>
        </w:tc>
        <w:tc>
          <w:tcPr>
            <w:tcW w:w="1750" w:type="dxa"/>
            <w:vAlign w:val="center"/>
          </w:tcPr>
          <w:p w14:paraId="4F842FD6" w14:textId="668E77BD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1D2C14C3" w14:textId="16E276AB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3F254585" w14:textId="0DD5AD75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16AB151" w14:textId="77777777" w:rsidTr="00FE303B">
        <w:tc>
          <w:tcPr>
            <w:tcW w:w="2733" w:type="dxa"/>
            <w:vAlign w:val="center"/>
          </w:tcPr>
          <w:p w14:paraId="365D857B" w14:textId="5E2D54F3" w:rsidR="0075783E" w:rsidRPr="003F305C" w:rsidRDefault="00D137DA" w:rsidP="00301DF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que modifica la cuantía máxima de cupos individuales de crédito para la Financiera de Desarrollo Nacional ha sido emitido por el Ministerio de Hacienda y Crédito Público.</w:t>
            </w:r>
          </w:p>
        </w:tc>
        <w:tc>
          <w:tcPr>
            <w:tcW w:w="1668" w:type="dxa"/>
            <w:vAlign w:val="center"/>
          </w:tcPr>
          <w:p w14:paraId="3CD6975A" w14:textId="53131C3C" w:rsidR="0075783E" w:rsidRPr="003F305C" w:rsidRDefault="00322DC5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12C921DB" w14:textId="362A8A32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92488A1" w14:textId="5B42301D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199A5990" w14:textId="596C1BDF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646823A1" w14:textId="77777777" w:rsidTr="00FE303B">
        <w:tc>
          <w:tcPr>
            <w:tcW w:w="2733" w:type="dxa"/>
            <w:vAlign w:val="center"/>
          </w:tcPr>
          <w:p w14:paraId="05215FA0" w14:textId="24C5F571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Ley de financiamiento para la reactivación del sector agropecuario ha sido aprobada por el Congreso de la República.</w:t>
            </w:r>
          </w:p>
        </w:tc>
        <w:tc>
          <w:tcPr>
            <w:tcW w:w="1668" w:type="dxa"/>
            <w:vAlign w:val="center"/>
          </w:tcPr>
          <w:p w14:paraId="6C5E1F84" w14:textId="6B0FC5D9" w:rsidR="0075783E" w:rsidRPr="003F305C" w:rsidRDefault="00322DC5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25561446" w14:textId="2A969EF9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725484F0" w14:textId="737B4505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2F7CDE47" w14:textId="237626F6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08EECDE2" w14:textId="77777777" w:rsidTr="00FE303B">
        <w:tc>
          <w:tcPr>
            <w:tcW w:w="2733" w:type="dxa"/>
            <w:vAlign w:val="center"/>
          </w:tcPr>
          <w:p w14:paraId="61A5ED71" w14:textId="395D31B8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Las Circulares de reglamento operativo del Fondo Agropecuario de Garantías (FAG) han sido emitidas por el Fondo para el Financiamiento del Sector Agropecuario.</w:t>
            </w:r>
          </w:p>
        </w:tc>
        <w:tc>
          <w:tcPr>
            <w:tcW w:w="1668" w:type="dxa"/>
            <w:vAlign w:val="center"/>
          </w:tcPr>
          <w:p w14:paraId="3592FA51" w14:textId="1E26D933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069509DE" w14:textId="04E09AAC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1EA8461E" w14:textId="39FE901C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3896B6C7" w14:textId="43FB8F28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6170FE" w:rsidRPr="003F305C" w14:paraId="4307AFA0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7A630019" w14:textId="011F777C" w:rsidR="006170FE" w:rsidRPr="003F305C" w:rsidRDefault="006170FE" w:rsidP="006170FE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III: Mejora de la Regulación y Supervisión del Sistema Financiero</w:t>
            </w:r>
          </w:p>
        </w:tc>
      </w:tr>
      <w:tr w:rsidR="0064130C" w:rsidRPr="003F305C" w14:paraId="42392398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28864606" w14:textId="32AF4C7C" w:rsidR="0064130C" w:rsidRPr="003F305C" w:rsidRDefault="0064130C" w:rsidP="0064130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t>Fortalecimiento de la regulación y supervisión del Sistema Financiero.</w:t>
            </w:r>
          </w:p>
        </w:tc>
      </w:tr>
      <w:tr w:rsidR="00894C3A" w:rsidRPr="003F305C" w14:paraId="013BBD35" w14:textId="77777777" w:rsidTr="00FE303B">
        <w:tc>
          <w:tcPr>
            <w:tcW w:w="2733" w:type="dxa"/>
            <w:vAlign w:val="center"/>
          </w:tcPr>
          <w:p w14:paraId="4B72A6D6" w14:textId="7A2410C5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El Decreto que reforma el marco regulatorio del esquema de Segundo Mercado, y que contiene la simplificación de requisitos de documentación para emisores en el Segundo Mercado ha sido emitido por el Ministerio de Hacienda y Crédito Público.</w:t>
            </w:r>
          </w:p>
        </w:tc>
        <w:tc>
          <w:tcPr>
            <w:tcW w:w="1668" w:type="dxa"/>
            <w:vAlign w:val="center"/>
          </w:tcPr>
          <w:p w14:paraId="08773085" w14:textId="39A3609D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57DAE51B" w14:textId="1F433AD5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039425F0" w14:textId="0ED60333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5802C98" w14:textId="24AFD291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063D8870" w14:textId="77777777" w:rsidTr="00FE303B">
        <w:tc>
          <w:tcPr>
            <w:tcW w:w="2733" w:type="dxa"/>
            <w:vAlign w:val="center"/>
          </w:tcPr>
          <w:p w14:paraId="6275933F" w14:textId="678A84E1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proyecto de Decreto que modifica el Régimen de Inversiones Internacionales ha sido publicado por el Ministerio de Hacienda y Crédito Público para consulta pública.</w:t>
            </w:r>
          </w:p>
        </w:tc>
        <w:tc>
          <w:tcPr>
            <w:tcW w:w="1668" w:type="dxa"/>
            <w:vAlign w:val="center"/>
          </w:tcPr>
          <w:p w14:paraId="539ECA4D" w14:textId="5908AE5F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Comunicación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emitid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</w:p>
        </w:tc>
        <w:tc>
          <w:tcPr>
            <w:tcW w:w="1750" w:type="dxa"/>
            <w:vAlign w:val="center"/>
          </w:tcPr>
          <w:p w14:paraId="06F1B613" w14:textId="41EE06D6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01E2B672" w14:textId="1CFAC29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17DE816" w14:textId="082DC0C6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7EF89096" w14:textId="77777777" w:rsidTr="00FE303B">
        <w:tc>
          <w:tcPr>
            <w:tcW w:w="2733" w:type="dxa"/>
            <w:vAlign w:val="center"/>
          </w:tcPr>
          <w:p w14:paraId="01A7DF12" w14:textId="2BA6E1B9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que incluye los instrumentos híbridos como instrumentos para la capitalización de establecimientos de crédito ha sido emitido por el Ministerio de Hacienda y Crédito Público.</w:t>
            </w:r>
          </w:p>
        </w:tc>
        <w:tc>
          <w:tcPr>
            <w:tcW w:w="1668" w:type="dxa"/>
            <w:vAlign w:val="center"/>
          </w:tcPr>
          <w:p w14:paraId="202579BA" w14:textId="1B568C0D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660C3752" w14:textId="62E7BA51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7DB33268" w14:textId="2C2CA7AB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5EA1C467" w14:textId="5E4912F7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3E0D27BF" w14:textId="77777777" w:rsidTr="00FE303B">
        <w:tc>
          <w:tcPr>
            <w:tcW w:w="2733" w:type="dxa"/>
            <w:vAlign w:val="center"/>
          </w:tcPr>
          <w:p w14:paraId="20CFBD49" w14:textId="4D6B6554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Circular que presenta el Nuevo Código de Mejores Prácticas Corporativas de Colombia (Código País) y establece la obligatoriedad de diligenciar y remitir un reporte sobre su implementación por parte de los emisores de valores ha sido emitida por parte de la Superintendencia Financiera.</w:t>
            </w:r>
          </w:p>
        </w:tc>
        <w:tc>
          <w:tcPr>
            <w:tcW w:w="1668" w:type="dxa"/>
            <w:vAlign w:val="center"/>
          </w:tcPr>
          <w:p w14:paraId="5C9D577C" w14:textId="6E90F6B8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0992D2C7" w14:textId="3494EDB9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60ACC08E" w14:textId="0EDE0A84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5E64047D" w14:textId="34697FEC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313AF1BB" w14:textId="77777777" w:rsidTr="00FE303B">
        <w:tc>
          <w:tcPr>
            <w:tcW w:w="2733" w:type="dxa"/>
            <w:vAlign w:val="center"/>
          </w:tcPr>
          <w:p w14:paraId="19BA994A" w14:textId="7DF0C820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de mecanismos de estabilización de precios ha sido emitido por el Ministerio de Hacienda y de Crédito Público.</w:t>
            </w:r>
          </w:p>
        </w:tc>
        <w:tc>
          <w:tcPr>
            <w:tcW w:w="1668" w:type="dxa"/>
            <w:vAlign w:val="center"/>
          </w:tcPr>
          <w:p w14:paraId="269769A0" w14:textId="63BDDB06" w:rsidR="0075783E" w:rsidRPr="003F305C" w:rsidRDefault="00322DC5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publicada </w:t>
            </w:r>
          </w:p>
        </w:tc>
        <w:tc>
          <w:tcPr>
            <w:tcW w:w="1750" w:type="dxa"/>
            <w:vAlign w:val="center"/>
          </w:tcPr>
          <w:p w14:paraId="26FCED64" w14:textId="599F0D2A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02BEE6B" w14:textId="45FD36C1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40665796" w14:textId="4E5D53AE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68BF8D61" w14:textId="77777777" w:rsidTr="00FE303B">
        <w:tc>
          <w:tcPr>
            <w:tcW w:w="2733" w:type="dxa"/>
            <w:vAlign w:val="center"/>
          </w:tcPr>
          <w:p w14:paraId="6BD642A3" w14:textId="22B89DAF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 xml:space="preserve">El Decreto que modifica las disposiciones relacionadas con los límites individuales de crédito, los regímenes de inversión de recursos de los fondos de cesantías, los fondos de pensiones </w:t>
            </w: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obligatorias, y el portafolio que respalda las reservas técnicas de las compañías de seguros de vida, y modifica parcialmente la definición de fondos de capital privado dentro del régimen de inversiones de fondos de capital privado que inviertan en infraestructura bajo el esquema de Alianzas Públicas-Privadas ha sido emitido por el Ministerio de Hacienda y Crédito Público.</w:t>
            </w:r>
          </w:p>
        </w:tc>
        <w:tc>
          <w:tcPr>
            <w:tcW w:w="1668" w:type="dxa"/>
            <w:vAlign w:val="center"/>
          </w:tcPr>
          <w:p w14:paraId="15C763C0" w14:textId="5E0F0DA7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4D75A0B7" w14:textId="1D741C76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34A3770C" w14:textId="33E49EE2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E1AE491" w14:textId="6D6016F8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62D1B88" w14:textId="77777777" w:rsidTr="00FE303B">
        <w:tc>
          <w:tcPr>
            <w:tcW w:w="2733" w:type="dxa"/>
            <w:vAlign w:val="center"/>
          </w:tcPr>
          <w:p w14:paraId="179FA213" w14:textId="7940601A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El Proyecto de Decreto que modifica las disposiciones sobre la administración de portafolio de terceros ha sido publicado por el Ministerio de Hacienda y Crédito Público para consulta pública.</w:t>
            </w:r>
          </w:p>
        </w:tc>
        <w:tc>
          <w:tcPr>
            <w:tcW w:w="1668" w:type="dxa"/>
            <w:vAlign w:val="center"/>
          </w:tcPr>
          <w:p w14:paraId="62197297" w14:textId="431684AC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Comunicación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emitid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</w:p>
        </w:tc>
        <w:tc>
          <w:tcPr>
            <w:tcW w:w="1750" w:type="dxa"/>
            <w:vAlign w:val="center"/>
          </w:tcPr>
          <w:p w14:paraId="3E1830E5" w14:textId="18B6A44E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1189CD4" w14:textId="2E961CD2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8455079" w14:textId="1A5E235A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301DFC" w:rsidRPr="003F305C" w14:paraId="0B892CBF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001A49AD" w14:textId="4114E102" w:rsidR="00301DFC" w:rsidRPr="003F305C" w:rsidRDefault="00301DFC" w:rsidP="0064130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t>Fortalecimiento de la transparencia financiera.</w:t>
            </w:r>
          </w:p>
        </w:tc>
      </w:tr>
      <w:tr w:rsidR="00894C3A" w:rsidRPr="003F305C" w14:paraId="3567AAA9" w14:textId="77777777" w:rsidTr="00FE303B">
        <w:tc>
          <w:tcPr>
            <w:tcW w:w="2733" w:type="dxa"/>
            <w:vAlign w:val="center"/>
          </w:tcPr>
          <w:p w14:paraId="037C2D5B" w14:textId="6627BEDD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Circular Básica Jurídica de actualización a las instrucciones aplicables a las entidades vigiladas, ha sido emitida por la Superintendencia Financiera.</w:t>
            </w:r>
          </w:p>
        </w:tc>
        <w:tc>
          <w:tcPr>
            <w:tcW w:w="1668" w:type="dxa"/>
            <w:vAlign w:val="center"/>
          </w:tcPr>
          <w:p w14:paraId="4DE4B168" w14:textId="7A59AFF7" w:rsidR="0075783E" w:rsidRPr="003F305C" w:rsidRDefault="00322DC5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78FB408F" w14:textId="2C50430B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9E89D97" w14:textId="1FEBFFBC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4BF29C6C" w14:textId="287F05E5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68EFDFF" w14:textId="77777777" w:rsidTr="00FE303B">
        <w:tc>
          <w:tcPr>
            <w:tcW w:w="2733" w:type="dxa"/>
            <w:vAlign w:val="center"/>
          </w:tcPr>
          <w:p w14:paraId="650ADD8C" w14:textId="4078CEA2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sobre la solvencia de las empresas de factoring o descuento de facturas ha sido emitido por el Ministerio de Hacienda y Crédito Público y el Ministerio de Comercio, Industria y Turismo.</w:t>
            </w:r>
          </w:p>
        </w:tc>
        <w:tc>
          <w:tcPr>
            <w:tcW w:w="1668" w:type="dxa"/>
            <w:vAlign w:val="center"/>
          </w:tcPr>
          <w:p w14:paraId="6CE240FD" w14:textId="3E6897A5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11D6BED9" w14:textId="6E619EF5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766443C6" w14:textId="7B79AD58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F8904ED" w14:textId="2C11DFA2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6D4B56C8" w14:textId="77777777" w:rsidTr="00FE303B">
        <w:tc>
          <w:tcPr>
            <w:tcW w:w="2733" w:type="dxa"/>
            <w:vAlign w:val="center"/>
          </w:tcPr>
          <w:p w14:paraId="76B2E9E3" w14:textId="1E2E7374" w:rsidR="0075783E" w:rsidRPr="003F305C" w:rsidRDefault="00D137DA" w:rsidP="00D137DA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Ley por la cual se establece la obligación de brindar información transparente a los consumidores de los servicios financieros ha sido aprobada por el Congreso de la República.</w:t>
            </w:r>
          </w:p>
        </w:tc>
        <w:tc>
          <w:tcPr>
            <w:tcW w:w="1668" w:type="dxa"/>
            <w:vAlign w:val="center"/>
          </w:tcPr>
          <w:p w14:paraId="48C3A9E4" w14:textId="6D7BD1F8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1BDECA69" w14:textId="01157F9B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D07E434" w14:textId="42C54654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42CA7DDD" w14:textId="44BD2198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0605148" w14:textId="77777777" w:rsidTr="00FE303B">
        <w:tc>
          <w:tcPr>
            <w:tcW w:w="2733" w:type="dxa"/>
            <w:vAlign w:val="center"/>
          </w:tcPr>
          <w:p w14:paraId="7E4D2C24" w14:textId="236C6373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 xml:space="preserve">El proyecto de Decreto para precios transparentes del </w:t>
            </w: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sistema general de pensiones ha sido publicado  por el Ministerio de Hacienda y Crédito Público para comentarios.</w:t>
            </w:r>
          </w:p>
        </w:tc>
        <w:tc>
          <w:tcPr>
            <w:tcW w:w="1668" w:type="dxa"/>
            <w:vAlign w:val="center"/>
          </w:tcPr>
          <w:p w14:paraId="71A35A16" w14:textId="3D706C04" w:rsidR="0075783E" w:rsidRPr="003F305C" w:rsidRDefault="00322DC5" w:rsidP="00322DC5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Comunicación   emitida</w:t>
            </w:r>
          </w:p>
        </w:tc>
        <w:tc>
          <w:tcPr>
            <w:tcW w:w="1750" w:type="dxa"/>
            <w:vAlign w:val="center"/>
          </w:tcPr>
          <w:p w14:paraId="157BF399" w14:textId="4552363A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F3CF4A5" w14:textId="10282A74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70824364" w14:textId="26BE9298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82DCF7F" w14:textId="77777777" w:rsidTr="00FE303B">
        <w:tc>
          <w:tcPr>
            <w:tcW w:w="2733" w:type="dxa"/>
            <w:vAlign w:val="center"/>
          </w:tcPr>
          <w:p w14:paraId="1A1B1E09" w14:textId="529D68FD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El proyecto de Decreto para precios transparentes para los clientes de los establecimientos de crédito ha sido publicado por el Ministerio de Hacienda y Crédito Público para comentarios.</w:t>
            </w:r>
          </w:p>
        </w:tc>
        <w:tc>
          <w:tcPr>
            <w:tcW w:w="1668" w:type="dxa"/>
            <w:vAlign w:val="center"/>
          </w:tcPr>
          <w:p w14:paraId="1D5C01CF" w14:textId="1CEC99F1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Comunicación emitida</w:t>
            </w:r>
          </w:p>
        </w:tc>
        <w:tc>
          <w:tcPr>
            <w:tcW w:w="1750" w:type="dxa"/>
            <w:vAlign w:val="center"/>
          </w:tcPr>
          <w:p w14:paraId="338ECBF2" w14:textId="5E958823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0832CD9F" w14:textId="45926587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200703E9" w14:textId="780AAAE8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716B2D82" w14:textId="77777777" w:rsidTr="00FE303B">
        <w:tc>
          <w:tcPr>
            <w:tcW w:w="2733" w:type="dxa"/>
            <w:vAlign w:val="center"/>
          </w:tcPr>
          <w:p w14:paraId="207E0A6A" w14:textId="1EEF1D49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Las Circulares de convergencia a Normas Internacionales de Información Financiera han sido emitidas por la Superintendencia Financiera.</w:t>
            </w:r>
          </w:p>
        </w:tc>
        <w:tc>
          <w:tcPr>
            <w:tcW w:w="1668" w:type="dxa"/>
            <w:vAlign w:val="center"/>
          </w:tcPr>
          <w:p w14:paraId="1E623EBB" w14:textId="15A4F81E" w:rsidR="0075783E" w:rsidRPr="003F305C" w:rsidRDefault="00322DC5" w:rsidP="00151B7F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Resoluci</w:t>
            </w:r>
            <w:r w:rsidR="00151B7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o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="00151B7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es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publicada</w:t>
            </w:r>
            <w:r w:rsidR="00151B7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</w:p>
        </w:tc>
        <w:tc>
          <w:tcPr>
            <w:tcW w:w="1750" w:type="dxa"/>
            <w:vAlign w:val="center"/>
          </w:tcPr>
          <w:p w14:paraId="1C1ECDC2" w14:textId="528F262F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64C85428" w14:textId="65503F7E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9</w:t>
            </w:r>
          </w:p>
        </w:tc>
        <w:tc>
          <w:tcPr>
            <w:tcW w:w="4716" w:type="dxa"/>
            <w:vAlign w:val="center"/>
          </w:tcPr>
          <w:p w14:paraId="745163B6" w14:textId="4C4B7061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301DFC" w:rsidRPr="003F305C" w14:paraId="7D7037DC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2F37742A" w14:textId="26A19829" w:rsidR="00301DFC" w:rsidRPr="003F305C" w:rsidRDefault="00301DFC" w:rsidP="006170FE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IV: Mejoras de la Inclusión Financiera</w:t>
            </w:r>
          </w:p>
        </w:tc>
      </w:tr>
      <w:tr w:rsidR="00301DFC" w:rsidRPr="003F305C" w14:paraId="10828159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4E2C31E2" w14:textId="390AB4BD" w:rsidR="00301DFC" w:rsidRPr="003F305C" w:rsidRDefault="00301DFC" w:rsidP="0064130C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t>Mejora de la oferta de productos y canales para la inclusión financiera.</w:t>
            </w:r>
          </w:p>
        </w:tc>
      </w:tr>
      <w:tr w:rsidR="00894C3A" w:rsidRPr="003F305C" w14:paraId="09086CE4" w14:textId="77777777" w:rsidTr="00FE303B">
        <w:tc>
          <w:tcPr>
            <w:tcW w:w="2733" w:type="dxa"/>
            <w:vAlign w:val="center"/>
          </w:tcPr>
          <w:p w14:paraId="37BDBFC0" w14:textId="362A015C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Ley que promueve el acceso a los servicios financieros transaccionales (Ley de Inclusión Financiera) ha sido aprobada por el Congreso de la República.</w:t>
            </w:r>
          </w:p>
        </w:tc>
        <w:tc>
          <w:tcPr>
            <w:tcW w:w="1668" w:type="dxa"/>
            <w:vAlign w:val="center"/>
          </w:tcPr>
          <w:p w14:paraId="0571F568" w14:textId="2DE6D3C4" w:rsidR="0075783E" w:rsidRPr="003F305C" w:rsidRDefault="00322DC5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678B2E02" w14:textId="390888E6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6170F1B2" w14:textId="0C4516B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44F513E1" w14:textId="05231AE0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1A162F68" w14:textId="77777777" w:rsidTr="00FE303B">
        <w:tc>
          <w:tcPr>
            <w:tcW w:w="2733" w:type="dxa"/>
            <w:vAlign w:val="center"/>
          </w:tcPr>
          <w:p w14:paraId="23462B9D" w14:textId="435BCFFD" w:rsidR="0075783E" w:rsidRPr="003F305C" w:rsidRDefault="00D137DA" w:rsidP="0003114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proyecto de Decreto de reglamentación de la Ley de Inclusión Financiera publicado para consulta pública, que incluye la normativa para el trámite simplificado de cuentas de ahorro y depósitos de dinero electrónico ha sido publicado por el Ministerio de Hacienda y Crédito Público para comentarios.</w:t>
            </w:r>
          </w:p>
        </w:tc>
        <w:tc>
          <w:tcPr>
            <w:tcW w:w="1668" w:type="dxa"/>
            <w:vAlign w:val="center"/>
          </w:tcPr>
          <w:p w14:paraId="5603F622" w14:textId="1D3A2A8D" w:rsidR="0075783E" w:rsidRPr="003F305C" w:rsidRDefault="00894C3A" w:rsidP="00894C3A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Comunicación  emitida</w:t>
            </w:r>
          </w:p>
        </w:tc>
        <w:tc>
          <w:tcPr>
            <w:tcW w:w="1750" w:type="dxa"/>
            <w:vAlign w:val="center"/>
          </w:tcPr>
          <w:p w14:paraId="443FC13E" w14:textId="343EFA9D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CE55225" w14:textId="64CC8E06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48D417C" w14:textId="2ECAAA7D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35841BEA" w14:textId="77777777" w:rsidTr="00FE303B">
        <w:tc>
          <w:tcPr>
            <w:tcW w:w="2733" w:type="dxa"/>
            <w:vAlign w:val="center"/>
          </w:tcPr>
          <w:p w14:paraId="602557D6" w14:textId="7B4892F8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para la creación de Crédito de Consumo de Bajo Monto ha sido emitido por el Ministerio de Hacienda y Crédito Público.</w:t>
            </w:r>
          </w:p>
        </w:tc>
        <w:tc>
          <w:tcPr>
            <w:tcW w:w="1668" w:type="dxa"/>
            <w:vAlign w:val="center"/>
          </w:tcPr>
          <w:p w14:paraId="13A78948" w14:textId="39737636" w:rsidR="0075783E" w:rsidRPr="003F305C" w:rsidRDefault="00894C3A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2ADF223B" w14:textId="0A257D6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4D30EDC0" w14:textId="608E95A2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91DC10E" w14:textId="2FFB5035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305BA5E" w14:textId="77777777" w:rsidTr="00FE303B">
        <w:tc>
          <w:tcPr>
            <w:tcW w:w="2733" w:type="dxa"/>
            <w:vAlign w:val="center"/>
          </w:tcPr>
          <w:p w14:paraId="282FB414" w14:textId="621B7E3A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 xml:space="preserve">La Resolución que certifica el interés bancario corriente para </w:t>
            </w: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la modalidad de Crédito de Consumo de Bajo Monto ha sido emitida por la Superintendencia Financiera.</w:t>
            </w:r>
          </w:p>
        </w:tc>
        <w:tc>
          <w:tcPr>
            <w:tcW w:w="1668" w:type="dxa"/>
            <w:vAlign w:val="center"/>
          </w:tcPr>
          <w:p w14:paraId="491C3576" w14:textId="1D8AD0CF" w:rsidR="0075783E" w:rsidRPr="003F305C" w:rsidRDefault="0075783E" w:rsidP="00894C3A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Resolución publicada</w:t>
            </w:r>
          </w:p>
        </w:tc>
        <w:tc>
          <w:tcPr>
            <w:tcW w:w="1750" w:type="dxa"/>
            <w:vAlign w:val="center"/>
          </w:tcPr>
          <w:p w14:paraId="79FD6020" w14:textId="51151B53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085D9F78" w14:textId="1AAD97EF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0ABB6B08" w14:textId="5740D014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9DD795A" w14:textId="77777777" w:rsidTr="00FE303B">
        <w:tc>
          <w:tcPr>
            <w:tcW w:w="2733" w:type="dxa"/>
            <w:vAlign w:val="center"/>
          </w:tcPr>
          <w:p w14:paraId="1DCB8549" w14:textId="233D19CB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El Decreto que habilita la distribución de seguros través de la red de corresponsales bancarios ha sido emitido por el Ministerio de Hacienda.</w:t>
            </w:r>
          </w:p>
        </w:tc>
        <w:tc>
          <w:tcPr>
            <w:tcW w:w="1668" w:type="dxa"/>
            <w:vAlign w:val="center"/>
          </w:tcPr>
          <w:p w14:paraId="23C512E5" w14:textId="553942C5" w:rsidR="0075783E" w:rsidRPr="003F305C" w:rsidRDefault="00894C3A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7139EC9C" w14:textId="7FA3B48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637159B" w14:textId="1B10610A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1A44BB98" w14:textId="6C7B6C66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F62B342" w14:textId="77777777" w:rsidTr="00FE303B">
        <w:tc>
          <w:tcPr>
            <w:tcW w:w="2733" w:type="dxa"/>
            <w:vAlign w:val="center"/>
          </w:tcPr>
          <w:p w14:paraId="2085684F" w14:textId="374CCC08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Resolución que regula las tarifas de acceso para Servicios Financieros Móviles ha sido emitida por la Comisión de Regulación de Comunicaciones.</w:t>
            </w:r>
          </w:p>
        </w:tc>
        <w:tc>
          <w:tcPr>
            <w:tcW w:w="1668" w:type="dxa"/>
            <w:vAlign w:val="center"/>
          </w:tcPr>
          <w:p w14:paraId="38FF66C8" w14:textId="10C3549D" w:rsidR="0075783E" w:rsidRPr="003F305C" w:rsidRDefault="0075783E" w:rsidP="00894C3A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Resolución publicada</w:t>
            </w:r>
          </w:p>
        </w:tc>
        <w:tc>
          <w:tcPr>
            <w:tcW w:w="1750" w:type="dxa"/>
            <w:vAlign w:val="center"/>
          </w:tcPr>
          <w:p w14:paraId="7432091D" w14:textId="2B445D67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3E948FF3" w14:textId="78AC40A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64634533" w14:textId="55FA7CCA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301DFC" w:rsidRPr="003F305C" w14:paraId="5BC5EB96" w14:textId="77777777" w:rsidTr="00301DFC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7AE5C510" w14:textId="4F06814D" w:rsidR="00301DFC" w:rsidRPr="003F305C" w:rsidRDefault="00301DFC" w:rsidP="0064130C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</w:rPr>
              <w:t>Mejora de la institucionalidad para aumentar la inclusión financiera.</w:t>
            </w:r>
          </w:p>
        </w:tc>
      </w:tr>
      <w:tr w:rsidR="00894C3A" w:rsidRPr="003F305C" w14:paraId="482DD58B" w14:textId="77777777" w:rsidTr="00FE303B">
        <w:tc>
          <w:tcPr>
            <w:tcW w:w="2733" w:type="dxa"/>
            <w:vAlign w:val="center"/>
          </w:tcPr>
          <w:p w14:paraId="52EBC9CF" w14:textId="60754F8D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Proyecto de Decreto de creación y el establecimiento de una Comisión Intersectorial para la Inclusión Financiera se ha publicado por el Ministerio de Hacienda y Crédito Público para consulta pública.</w:t>
            </w:r>
          </w:p>
        </w:tc>
        <w:tc>
          <w:tcPr>
            <w:tcW w:w="1668" w:type="dxa"/>
            <w:vAlign w:val="center"/>
          </w:tcPr>
          <w:p w14:paraId="3AA9EEC1" w14:textId="63350E87" w:rsidR="0075783E" w:rsidRPr="003F305C" w:rsidRDefault="00894C3A" w:rsidP="00894C3A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Comunicación 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emitid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</w:t>
            </w:r>
          </w:p>
        </w:tc>
        <w:tc>
          <w:tcPr>
            <w:tcW w:w="1750" w:type="dxa"/>
            <w:vAlign w:val="center"/>
          </w:tcPr>
          <w:p w14:paraId="217BC350" w14:textId="26246F92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2400903B" w14:textId="47EAC2ED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44A9FBCE" w14:textId="55122A0C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5F3E5C5D" w14:textId="77777777" w:rsidTr="00FE303B">
        <w:tc>
          <w:tcPr>
            <w:tcW w:w="2733" w:type="dxa"/>
            <w:vAlign w:val="center"/>
          </w:tcPr>
          <w:p w14:paraId="41688CED" w14:textId="52D87FEC" w:rsidR="0075783E" w:rsidRPr="003F305C" w:rsidRDefault="00D137DA" w:rsidP="004E4CC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El Decreto de creación y establecimiento de una Comisión Intersectorial para la Educación Económica y Financiera ha sido emitido por el Ministerio de Hacienda y Crédito Público, el Ministerio de Educación Nacional y el Departamento Administrativo de la Función Pública.</w:t>
            </w:r>
          </w:p>
        </w:tc>
        <w:tc>
          <w:tcPr>
            <w:tcW w:w="1668" w:type="dxa"/>
            <w:vAlign w:val="center"/>
          </w:tcPr>
          <w:p w14:paraId="62F34879" w14:textId="61934CFD" w:rsidR="0075783E" w:rsidRPr="003F305C" w:rsidRDefault="00894C3A" w:rsidP="00894C3A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14104EA7" w14:textId="6A480C2B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0A614A4" w14:textId="6B0B4DD9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0E72A55B" w14:textId="34E3FEFA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894C3A" w:rsidRPr="003F305C" w14:paraId="428C7926" w14:textId="77777777" w:rsidTr="00FE303B">
        <w:tc>
          <w:tcPr>
            <w:tcW w:w="2733" w:type="dxa"/>
            <w:vAlign w:val="center"/>
          </w:tcPr>
          <w:p w14:paraId="766A407C" w14:textId="28B25D57" w:rsidR="0075783E" w:rsidRPr="003F305C" w:rsidRDefault="00D137DA" w:rsidP="00A710E4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La Carta Circular sobre el requerimiento de información para evaluar la inclusión financiera a través de la industria aseguradora ha sido emitida por la Superintendencia Financiera.</w:t>
            </w:r>
          </w:p>
        </w:tc>
        <w:tc>
          <w:tcPr>
            <w:tcW w:w="1668" w:type="dxa"/>
            <w:vAlign w:val="center"/>
          </w:tcPr>
          <w:p w14:paraId="6538DA0B" w14:textId="15633985" w:rsidR="0075783E" w:rsidRPr="003F305C" w:rsidRDefault="00894C3A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publicada</w:t>
            </w:r>
          </w:p>
        </w:tc>
        <w:tc>
          <w:tcPr>
            <w:tcW w:w="1750" w:type="dxa"/>
            <w:vAlign w:val="center"/>
          </w:tcPr>
          <w:p w14:paraId="137A284A" w14:textId="51738868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506866E3" w14:textId="63672810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716" w:type="dxa"/>
            <w:vAlign w:val="center"/>
          </w:tcPr>
          <w:p w14:paraId="504001A8" w14:textId="29B996E3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Ver Matriz de Medios de Verificación.</w:t>
            </w:r>
          </w:p>
        </w:tc>
      </w:tr>
      <w:tr w:rsidR="002F1BC9" w:rsidRPr="003F305C" w14:paraId="33F4FFD3" w14:textId="77777777" w:rsidTr="002D3BB4">
        <w:tc>
          <w:tcPr>
            <w:tcW w:w="12456" w:type="dxa"/>
            <w:gridSpan w:val="5"/>
            <w:vAlign w:val="center"/>
          </w:tcPr>
          <w:p w14:paraId="6930F82F" w14:textId="5F6C7F1F" w:rsidR="002F1BC9" w:rsidRPr="003F305C" w:rsidRDefault="002F1BC9" w:rsidP="002F1BC9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* Se entiende como “norma publicada” a la regulación vinculante y de obligado cumplimiento para el s</w:t>
            </w:r>
            <w:r w:rsidR="002C1233" w:rsidRPr="003F305C">
              <w:rPr>
                <w:rFonts w:ascii="Arial" w:hAnsi="Arial" w:cs="Arial"/>
                <w:sz w:val="18"/>
                <w:szCs w:val="18"/>
                <w:lang w:val="es-ES"/>
              </w:rPr>
              <w:t xml:space="preserve">ector, publicada en el Diario Oficial </w:t>
            </w: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de la República de Colombia.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16AE0635" w14:textId="079F63E2" w:rsidR="002F1BC9" w:rsidRPr="003F305C" w:rsidRDefault="002F1BC9" w:rsidP="002F1BC9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 xml:space="preserve">** Se entiende como “resolución publicada” a la 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orden escrita dictada por el jefe de un servicio público que tiene carácter general, obligatorio y permanente, y se refiere al ámbito de competencia del servicio.</w:t>
            </w:r>
          </w:p>
          <w:p w14:paraId="1203B9A1" w14:textId="338F7942" w:rsidR="002F1BC9" w:rsidRPr="003F305C" w:rsidRDefault="002F1BC9" w:rsidP="002F1BC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*** Se entiende como “comunicación emitida” a la comunicación emitida por la autoridad competente, y que deja constancia acerca del avance concreto en la determinada materia.</w:t>
            </w:r>
          </w:p>
        </w:tc>
      </w:tr>
      <w:tr w:rsidR="00367600" w:rsidRPr="003F305C" w14:paraId="6C6B9AEA" w14:textId="77777777" w:rsidTr="00053AEE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77BB6DAE" w14:textId="77777777" w:rsidR="00367600" w:rsidRPr="003F305C" w:rsidRDefault="00367600" w:rsidP="00CC1689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lastRenderedPageBreak/>
              <w:t>Resultados</w:t>
            </w:r>
          </w:p>
        </w:tc>
      </w:tr>
      <w:tr w:rsidR="002041FF" w:rsidRPr="003F305C" w14:paraId="180756CE" w14:textId="77777777" w:rsidTr="00F75BD2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7696F379" w14:textId="77777777" w:rsidR="002041FF" w:rsidRPr="003F305C" w:rsidRDefault="002041FF" w:rsidP="00F75BD2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II: Mejora del Financiamiento para el Desarrollo Productivo</w:t>
            </w:r>
          </w:p>
        </w:tc>
      </w:tr>
      <w:tr w:rsidR="00894C3A" w:rsidRPr="003F305C" w14:paraId="1BA6945F" w14:textId="77777777" w:rsidTr="00FE303B">
        <w:tc>
          <w:tcPr>
            <w:tcW w:w="2733" w:type="dxa"/>
            <w:vAlign w:val="center"/>
          </w:tcPr>
          <w:p w14:paraId="1B635738" w14:textId="08076D39" w:rsidR="0075783E" w:rsidRPr="003F305C" w:rsidRDefault="0075783E" w:rsidP="002041F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Crédito al sector privado como % del PIB.</w:t>
            </w:r>
          </w:p>
        </w:tc>
        <w:tc>
          <w:tcPr>
            <w:tcW w:w="1668" w:type="dxa"/>
            <w:vAlign w:val="center"/>
          </w:tcPr>
          <w:p w14:paraId="4D15B870" w14:textId="246925FC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750" w:type="dxa"/>
            <w:vAlign w:val="center"/>
          </w:tcPr>
          <w:p w14:paraId="55518A43" w14:textId="4ACFA998" w:rsidR="0075783E" w:rsidRPr="003F305C" w:rsidRDefault="0075783E" w:rsidP="002041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45,5%</w:t>
            </w:r>
          </w:p>
        </w:tc>
        <w:tc>
          <w:tcPr>
            <w:tcW w:w="1589" w:type="dxa"/>
            <w:vAlign w:val="center"/>
          </w:tcPr>
          <w:p w14:paraId="677E4FDD" w14:textId="2D1707C2" w:rsidR="0075783E" w:rsidRPr="003F305C" w:rsidRDefault="004655E2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50</w:t>
            </w:r>
            <w:r w:rsidR="0075783E" w:rsidRPr="003F305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716" w:type="dxa"/>
            <w:vAlign w:val="center"/>
          </w:tcPr>
          <w:p w14:paraId="18213DED" w14:textId="1EC9A67C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La línea de base utilizada es el promedio del crédito al sector privado como % del PIB en los últimos 5 años</w:t>
            </w:r>
            <w:r w:rsidR="000C20E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para los cuales existen datos disponibles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(2009 a 2013) en Colombia.</w:t>
            </w:r>
          </w:p>
          <w:p w14:paraId="4E515988" w14:textId="77777777" w:rsidR="0075783E" w:rsidRPr="003F305C" w:rsidRDefault="0075783E" w:rsidP="00301DF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3A73C4A7" w14:textId="67915931" w:rsidR="0075783E" w:rsidRPr="003F305C" w:rsidRDefault="0075783E" w:rsidP="00B145C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Como producto de las reformas implementadas, se prevé que el incremento del crédito al sector privado como % del PIB sea de 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50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 al 2020.</w:t>
            </w:r>
          </w:p>
          <w:p w14:paraId="2CCD52A7" w14:textId="77777777" w:rsidR="0075783E" w:rsidRPr="003F305C" w:rsidRDefault="0075783E" w:rsidP="00B145C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5A020C81" w14:textId="5BE8AB7B" w:rsidR="0075783E" w:rsidRPr="003F305C" w:rsidRDefault="0075783E" w:rsidP="00B145CC">
            <w:pPr>
              <w:rPr>
                <w:rFonts w:ascii="Arial" w:hAnsi="Arial" w:cs="Arial"/>
                <w:i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Banco Mundial.</w:t>
            </w:r>
          </w:p>
        </w:tc>
      </w:tr>
      <w:tr w:rsidR="003D5CE1" w:rsidRPr="003F305C" w14:paraId="43BF1E95" w14:textId="77777777" w:rsidTr="00656D17">
        <w:tc>
          <w:tcPr>
            <w:tcW w:w="2733" w:type="dxa"/>
            <w:vAlign w:val="center"/>
          </w:tcPr>
          <w:p w14:paraId="3A333D50" w14:textId="77777777" w:rsidR="007F29B7" w:rsidRPr="003F305C" w:rsidRDefault="007F29B7" w:rsidP="002D7000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Porcentaje de empresas con crédito o línea de crédito</w:t>
            </w:r>
          </w:p>
        </w:tc>
        <w:tc>
          <w:tcPr>
            <w:tcW w:w="1668" w:type="dxa"/>
            <w:vAlign w:val="center"/>
          </w:tcPr>
          <w:p w14:paraId="5AC3F602" w14:textId="77777777" w:rsidR="007F29B7" w:rsidRPr="003F305C" w:rsidRDefault="007F29B7" w:rsidP="00A567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Porcentaje</w:t>
            </w:r>
          </w:p>
        </w:tc>
        <w:tc>
          <w:tcPr>
            <w:tcW w:w="1750" w:type="dxa"/>
            <w:vAlign w:val="center"/>
          </w:tcPr>
          <w:p w14:paraId="2AC1A3AA" w14:textId="77777777" w:rsidR="007F29B7" w:rsidRPr="003F305C" w:rsidRDefault="007F29B7" w:rsidP="00A567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42,5%</w:t>
            </w:r>
          </w:p>
        </w:tc>
        <w:tc>
          <w:tcPr>
            <w:tcW w:w="1589" w:type="dxa"/>
            <w:vAlign w:val="center"/>
          </w:tcPr>
          <w:p w14:paraId="61B06AAD" w14:textId="77777777" w:rsidR="007F29B7" w:rsidRPr="003F305C" w:rsidRDefault="007F29B7" w:rsidP="00A567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51%</w:t>
            </w:r>
          </w:p>
        </w:tc>
        <w:tc>
          <w:tcPr>
            <w:tcW w:w="4716" w:type="dxa"/>
          </w:tcPr>
          <w:p w14:paraId="5932A16A" w14:textId="77777777" w:rsidR="007F29B7" w:rsidRPr="003F305C" w:rsidRDefault="007F29B7" w:rsidP="007F29B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Porcentaje de empresas con crédito o línea de crédito.</w:t>
            </w:r>
          </w:p>
          <w:p w14:paraId="43A21F63" w14:textId="77777777" w:rsidR="007F29B7" w:rsidRPr="003F305C" w:rsidRDefault="007F29B7" w:rsidP="007F29B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47F95859" w14:textId="06674A82" w:rsidR="007F29B7" w:rsidRPr="003F305C" w:rsidRDefault="007F29B7" w:rsidP="007F29B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Superintendencia Financiera de Colombia</w:t>
            </w:r>
          </w:p>
        </w:tc>
      </w:tr>
      <w:tr w:rsidR="00894C3A" w:rsidRPr="003F305C" w14:paraId="3F416F6E" w14:textId="77777777" w:rsidTr="00FE303B">
        <w:tc>
          <w:tcPr>
            <w:tcW w:w="2733" w:type="dxa"/>
            <w:vAlign w:val="center"/>
          </w:tcPr>
          <w:p w14:paraId="42B99603" w14:textId="742AFB35" w:rsidR="0075783E" w:rsidRPr="003F305C" w:rsidRDefault="0075783E" w:rsidP="001D715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Número de cierres financieros de contratos de concesión de cuarta generación.</w:t>
            </w:r>
          </w:p>
        </w:tc>
        <w:tc>
          <w:tcPr>
            <w:tcW w:w="1668" w:type="dxa"/>
            <w:vAlign w:val="center"/>
          </w:tcPr>
          <w:p w14:paraId="64BCC4B5" w14:textId="2FF424A7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1750" w:type="dxa"/>
            <w:vAlign w:val="center"/>
          </w:tcPr>
          <w:p w14:paraId="38D348DE" w14:textId="442EF302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589" w:type="dxa"/>
            <w:vAlign w:val="center"/>
          </w:tcPr>
          <w:p w14:paraId="1EF73450" w14:textId="7CFD85D9" w:rsidR="0075783E" w:rsidRPr="003F305C" w:rsidRDefault="0075783E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4716" w:type="dxa"/>
            <w:vAlign w:val="center"/>
          </w:tcPr>
          <w:p w14:paraId="14FDCA7F" w14:textId="77777777" w:rsidR="0075783E" w:rsidRPr="003F305C" w:rsidRDefault="0075783E" w:rsidP="001D715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La línea de base utilizada es el número de cierres financieros de contratos de concesión de cuarta de generación al 2014.</w:t>
            </w:r>
          </w:p>
          <w:p w14:paraId="674E25DA" w14:textId="77777777" w:rsidR="0075783E" w:rsidRPr="003F305C" w:rsidRDefault="0075783E" w:rsidP="001D715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5AA79CC" w14:textId="77777777" w:rsidR="0075783E" w:rsidRPr="003F305C" w:rsidRDefault="0075783E" w:rsidP="001D715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Como producto de las reformas implementadas, se prevé que el incremento de cierres financieros de cuarta generación sea de 5 al 2020.</w:t>
            </w:r>
          </w:p>
          <w:p w14:paraId="480F4886" w14:textId="77777777" w:rsidR="0075783E" w:rsidRPr="003F305C" w:rsidRDefault="0075783E" w:rsidP="001D715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0C9EB2E3" w14:textId="5B52D63E" w:rsidR="0075783E" w:rsidRPr="003F305C" w:rsidRDefault="0075783E" w:rsidP="001D715F">
            <w:pPr>
              <w:rPr>
                <w:rFonts w:ascii="Arial" w:hAnsi="Arial" w:cs="Arial"/>
                <w:i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Financiera de Desarrollo Nacional.</w:t>
            </w:r>
          </w:p>
        </w:tc>
      </w:tr>
      <w:tr w:rsidR="00894C3A" w:rsidRPr="003F305C" w14:paraId="4017758A" w14:textId="77777777" w:rsidTr="00FE303B">
        <w:tc>
          <w:tcPr>
            <w:tcW w:w="2733" w:type="dxa"/>
            <w:vAlign w:val="center"/>
          </w:tcPr>
          <w:p w14:paraId="4C5C94F2" w14:textId="662F814C" w:rsidR="0075783E" w:rsidRPr="003F305C" w:rsidRDefault="0075783E" w:rsidP="003B4EC6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Crédito al sector agrícola sobre PIB del sector agrícola.</w:t>
            </w:r>
          </w:p>
        </w:tc>
        <w:tc>
          <w:tcPr>
            <w:tcW w:w="1668" w:type="dxa"/>
            <w:vAlign w:val="center"/>
          </w:tcPr>
          <w:p w14:paraId="16CAD46B" w14:textId="47801DF8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750" w:type="dxa"/>
            <w:vAlign w:val="center"/>
          </w:tcPr>
          <w:p w14:paraId="7E43D1CD" w14:textId="190A9960" w:rsidR="0075783E" w:rsidRPr="003F305C" w:rsidRDefault="0075783E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31%</w:t>
            </w:r>
          </w:p>
        </w:tc>
        <w:tc>
          <w:tcPr>
            <w:tcW w:w="1589" w:type="dxa"/>
            <w:vAlign w:val="center"/>
          </w:tcPr>
          <w:p w14:paraId="737CBC3D" w14:textId="4E17A416" w:rsidR="0075783E" w:rsidRPr="003F305C" w:rsidRDefault="004655E2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35</w:t>
            </w:r>
            <w:r w:rsidR="0075783E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4716" w:type="dxa"/>
            <w:vAlign w:val="center"/>
          </w:tcPr>
          <w:p w14:paraId="77E70C85" w14:textId="3904AB5A" w:rsidR="0075783E" w:rsidRPr="003F305C" w:rsidRDefault="0075783E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La línea de base utilizada es el promedio del crédito al sector agrícola como % del PIB del sector agrícola en los últimos 5 años</w:t>
            </w:r>
            <w:r w:rsidR="000C20E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para los cuales existen datos disponibles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(2009 a 2013) en Colombia.</w:t>
            </w:r>
          </w:p>
          <w:p w14:paraId="75D847E5" w14:textId="77777777" w:rsidR="0075783E" w:rsidRPr="003F305C" w:rsidRDefault="0075783E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054B0685" w14:textId="7BFEC06C" w:rsidR="0075783E" w:rsidRPr="003F305C" w:rsidRDefault="0075783E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Como producto de las reformas implementadas, se prevé que el incremento del crédito al sector agrícola como % del PIB del sector agrícola sea de 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35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 al 2020.</w:t>
            </w:r>
          </w:p>
          <w:p w14:paraId="2A45C634" w14:textId="77777777" w:rsidR="0075783E" w:rsidRPr="003F305C" w:rsidRDefault="0075783E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34E5B76" w14:textId="22806D17" w:rsidR="0075783E" w:rsidRPr="003F305C" w:rsidRDefault="0075783E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Superintendencia Financiera de Colombia y Finagro.</w:t>
            </w:r>
          </w:p>
        </w:tc>
      </w:tr>
      <w:tr w:rsidR="00FE303B" w:rsidRPr="003F305C" w14:paraId="4B8D43F5" w14:textId="77777777" w:rsidTr="00FE303B">
        <w:tc>
          <w:tcPr>
            <w:tcW w:w="2733" w:type="dxa"/>
            <w:vAlign w:val="center"/>
          </w:tcPr>
          <w:p w14:paraId="22E82A9C" w14:textId="37A36160" w:rsidR="00FE303B" w:rsidRPr="003F305C" w:rsidRDefault="00FE303B" w:rsidP="003B4EC6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Promedio valor de las garantías requeridas para obtener un préstamo en proporción al monto requerido</w:t>
            </w:r>
          </w:p>
        </w:tc>
        <w:tc>
          <w:tcPr>
            <w:tcW w:w="1668" w:type="dxa"/>
            <w:vAlign w:val="center"/>
          </w:tcPr>
          <w:p w14:paraId="3FB76775" w14:textId="11DB7A8B" w:rsidR="00FE303B" w:rsidRPr="003F305C" w:rsidRDefault="00FE303B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Porcentaje</w:t>
            </w:r>
          </w:p>
        </w:tc>
        <w:tc>
          <w:tcPr>
            <w:tcW w:w="1750" w:type="dxa"/>
            <w:vAlign w:val="center"/>
          </w:tcPr>
          <w:p w14:paraId="7A08C399" w14:textId="2BF8D1BB" w:rsidR="00FE303B" w:rsidRPr="003F305C" w:rsidRDefault="00FE303B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169,6</w:t>
            </w:r>
          </w:p>
        </w:tc>
        <w:tc>
          <w:tcPr>
            <w:tcW w:w="1589" w:type="dxa"/>
            <w:vAlign w:val="center"/>
          </w:tcPr>
          <w:p w14:paraId="3D44CB74" w14:textId="0392C55C" w:rsidR="00FE303B" w:rsidRPr="003F305C" w:rsidRDefault="00FE303B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152.6</w:t>
            </w:r>
          </w:p>
        </w:tc>
        <w:tc>
          <w:tcPr>
            <w:tcW w:w="4716" w:type="dxa"/>
            <w:vAlign w:val="center"/>
          </w:tcPr>
          <w:p w14:paraId="133DF92F" w14:textId="30AA0668" w:rsidR="00FE303B" w:rsidRPr="003F305C" w:rsidRDefault="00FE303B" w:rsidP="003B4E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Promedio valor de las garantías requeridas para obtener un préstamo en proporción al monto requerido. Fuente, GFDD World Bank.</w:t>
            </w:r>
          </w:p>
        </w:tc>
      </w:tr>
      <w:tr w:rsidR="002041FF" w:rsidRPr="003F305C" w14:paraId="73628AC4" w14:textId="77777777" w:rsidTr="00F75BD2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093C8FBA" w14:textId="77777777" w:rsidR="002041FF" w:rsidRPr="003F305C" w:rsidRDefault="002041FF" w:rsidP="00F75BD2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III: Mejora de la Regulación y Supervisión del Sistema Financiero</w:t>
            </w:r>
          </w:p>
        </w:tc>
      </w:tr>
      <w:tr w:rsidR="00894C3A" w:rsidRPr="003F305C" w14:paraId="38DA06D6" w14:textId="77777777" w:rsidTr="00FE303B">
        <w:tc>
          <w:tcPr>
            <w:tcW w:w="2733" w:type="dxa"/>
            <w:vAlign w:val="center"/>
          </w:tcPr>
          <w:p w14:paraId="5F050766" w14:textId="0C1FD6AF" w:rsidR="0075783E" w:rsidRPr="003F305C" w:rsidRDefault="004655E2" w:rsidP="00365F1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 xml:space="preserve">Nuevas emisiones inscritas en la </w:t>
            </w:r>
            <w:r w:rsidR="00365F1C" w:rsidRPr="003F305C">
              <w:rPr>
                <w:rFonts w:ascii="Arial" w:hAnsi="Arial" w:cs="Arial"/>
                <w:sz w:val="18"/>
                <w:szCs w:val="18"/>
              </w:rPr>
              <w:t>b</w:t>
            </w:r>
            <w:r w:rsidRPr="003F305C">
              <w:rPr>
                <w:rFonts w:ascii="Arial" w:hAnsi="Arial" w:cs="Arial"/>
                <w:sz w:val="18"/>
                <w:szCs w:val="18"/>
              </w:rPr>
              <w:t xml:space="preserve">olsa de </w:t>
            </w:r>
            <w:r w:rsidR="00365F1C" w:rsidRPr="003F305C">
              <w:rPr>
                <w:rFonts w:ascii="Arial" w:hAnsi="Arial" w:cs="Arial"/>
                <w:sz w:val="18"/>
                <w:szCs w:val="18"/>
              </w:rPr>
              <w:t>v</w:t>
            </w:r>
            <w:r w:rsidRPr="003F305C">
              <w:rPr>
                <w:rFonts w:ascii="Arial" w:hAnsi="Arial" w:cs="Arial"/>
                <w:sz w:val="18"/>
                <w:szCs w:val="18"/>
              </w:rPr>
              <w:t>alores</w:t>
            </w:r>
          </w:p>
        </w:tc>
        <w:tc>
          <w:tcPr>
            <w:tcW w:w="1668" w:type="dxa"/>
            <w:vAlign w:val="center"/>
          </w:tcPr>
          <w:p w14:paraId="5EF9ACD8" w14:textId="3C7BA103" w:rsidR="0075783E" w:rsidRPr="003F305C" w:rsidRDefault="004655E2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1750" w:type="dxa"/>
            <w:vAlign w:val="center"/>
          </w:tcPr>
          <w:p w14:paraId="2B68BDAD" w14:textId="6DDCB4B9" w:rsidR="0075783E" w:rsidRPr="003F305C" w:rsidRDefault="004655E2" w:rsidP="00722931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NA</w:t>
            </w:r>
          </w:p>
        </w:tc>
        <w:tc>
          <w:tcPr>
            <w:tcW w:w="1589" w:type="dxa"/>
            <w:vAlign w:val="center"/>
          </w:tcPr>
          <w:p w14:paraId="35B9A745" w14:textId="7FFEBFC1" w:rsidR="0075783E" w:rsidRPr="003F305C" w:rsidRDefault="004655E2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4716" w:type="dxa"/>
            <w:vAlign w:val="center"/>
          </w:tcPr>
          <w:p w14:paraId="2E52C847" w14:textId="51CD6C04" w:rsidR="00722931" w:rsidRPr="003F305C" w:rsidRDefault="00722931" w:rsidP="00365F1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Como producto de las reformas implementadas, se prevé que 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 cantidad de nuevas emisiones inscrita en 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la </w:t>
            </w:r>
            <w:r w:rsidR="00365F1C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b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olsa de </w:t>
            </w:r>
            <w:r w:rsidR="00365F1C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v</w:t>
            </w:r>
            <w:r w:rsidR="004655E2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alores sean de 5</w:t>
            </w:r>
            <w:r w:rsidR="00D61F4F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  <w:tr w:rsidR="00602A8F" w:rsidRPr="003F305C" w14:paraId="0D97C3DF" w14:textId="77777777" w:rsidTr="00FE303B">
        <w:tc>
          <w:tcPr>
            <w:tcW w:w="2733" w:type="dxa"/>
            <w:vAlign w:val="center"/>
          </w:tcPr>
          <w:p w14:paraId="041C3444" w14:textId="3F543D59" w:rsidR="00FE303B" w:rsidRPr="003F305C" w:rsidRDefault="00FE303B" w:rsidP="00365F1C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lastRenderedPageBreak/>
              <w:t>Cambio en el diferencial (“spread”) promedio entre tasas activas y pasivas</w:t>
            </w:r>
          </w:p>
        </w:tc>
        <w:tc>
          <w:tcPr>
            <w:tcW w:w="1668" w:type="dxa"/>
            <w:vAlign w:val="center"/>
          </w:tcPr>
          <w:p w14:paraId="490DBEF6" w14:textId="1DC25042" w:rsidR="00FE303B" w:rsidRPr="003F305C" w:rsidRDefault="00FE303B" w:rsidP="00301DF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Puntos básicos</w:t>
            </w:r>
          </w:p>
        </w:tc>
        <w:tc>
          <w:tcPr>
            <w:tcW w:w="1750" w:type="dxa"/>
            <w:vAlign w:val="center"/>
          </w:tcPr>
          <w:p w14:paraId="2F63CE4B" w14:textId="428DAE0C" w:rsidR="00FE303B" w:rsidRPr="003F305C" w:rsidRDefault="00FE303B" w:rsidP="00722931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621</w:t>
            </w:r>
          </w:p>
        </w:tc>
        <w:tc>
          <w:tcPr>
            <w:tcW w:w="1589" w:type="dxa"/>
            <w:vAlign w:val="center"/>
          </w:tcPr>
          <w:p w14:paraId="22EDCE71" w14:textId="505AD36E" w:rsidR="00FE303B" w:rsidRPr="003F305C" w:rsidRDefault="00FE303B" w:rsidP="00301DFC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605</w:t>
            </w:r>
          </w:p>
        </w:tc>
        <w:tc>
          <w:tcPr>
            <w:tcW w:w="4716" w:type="dxa"/>
            <w:vAlign w:val="center"/>
          </w:tcPr>
          <w:p w14:paraId="4423B8DF" w14:textId="6812AFE6" w:rsidR="00FE303B" w:rsidRPr="003F305C" w:rsidRDefault="00FE303B" w:rsidP="00FE303B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Diferenc</w:t>
            </w:r>
            <w:r w:rsidR="007F29B7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i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al promedio entre tasas activas y pasivas, según información agregada reportada por el Banco de la República.</w:t>
            </w:r>
          </w:p>
          <w:p w14:paraId="18158B90" w14:textId="021CB02C" w:rsidR="00FE303B" w:rsidRPr="003F305C" w:rsidRDefault="00433B6D" w:rsidP="00FE303B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9" w:history="1">
              <w:r w:rsidR="00FE303B" w:rsidRPr="003F305C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es-ES_tradnl"/>
                </w:rPr>
                <w:t>http://www.banrep.gov.co/es/economia/tasas_colo4.htm</w:t>
              </w:r>
            </w:hyperlink>
            <w:r w:rsidR="00FE303B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2041FF" w:rsidRPr="003F305C" w14:paraId="6F0DFCA1" w14:textId="77777777" w:rsidTr="00F75BD2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6B81D67A" w14:textId="77777777" w:rsidR="002041FF" w:rsidRPr="003F305C" w:rsidRDefault="002041FF" w:rsidP="00F75BD2">
            <w:pPr>
              <w:spacing w:before="40" w:after="40"/>
              <w:jc w:val="left"/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_tradnl"/>
              </w:rPr>
              <w:t>Componente IV: Mejoras de la Inclusión Financiera</w:t>
            </w:r>
          </w:p>
        </w:tc>
      </w:tr>
      <w:tr w:rsidR="00894C3A" w:rsidRPr="003F305C" w14:paraId="5EE3C82D" w14:textId="77777777" w:rsidTr="00656D17">
        <w:tc>
          <w:tcPr>
            <w:tcW w:w="2733" w:type="dxa"/>
            <w:vAlign w:val="center"/>
          </w:tcPr>
          <w:p w14:paraId="301E0104" w14:textId="6E283FE8" w:rsidR="0075783E" w:rsidRPr="003F305C" w:rsidRDefault="0075783E" w:rsidP="005A0506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Adultos con al menos un producto financiero.</w:t>
            </w:r>
          </w:p>
        </w:tc>
        <w:tc>
          <w:tcPr>
            <w:tcW w:w="1668" w:type="dxa"/>
            <w:vAlign w:val="center"/>
          </w:tcPr>
          <w:p w14:paraId="187E7FC5" w14:textId="19288B63" w:rsidR="0075783E" w:rsidRPr="003F305C" w:rsidRDefault="0075783E" w:rsidP="00AE08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750" w:type="dxa"/>
            <w:vAlign w:val="center"/>
          </w:tcPr>
          <w:p w14:paraId="47F86688" w14:textId="1D3BE4FD" w:rsidR="0075783E" w:rsidRPr="003F305C" w:rsidRDefault="0075783E" w:rsidP="00527B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69%</w:t>
            </w:r>
          </w:p>
        </w:tc>
        <w:tc>
          <w:tcPr>
            <w:tcW w:w="1589" w:type="dxa"/>
            <w:vAlign w:val="center"/>
          </w:tcPr>
          <w:p w14:paraId="62EFEAE3" w14:textId="0A7C5D70" w:rsidR="0075783E" w:rsidRPr="003F305C" w:rsidRDefault="0075783E" w:rsidP="00527B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75%</w:t>
            </w:r>
          </w:p>
        </w:tc>
        <w:tc>
          <w:tcPr>
            <w:tcW w:w="4716" w:type="dxa"/>
          </w:tcPr>
          <w:p w14:paraId="54EB33A0" w14:textId="77777777" w:rsidR="0075783E" w:rsidRPr="003F305C" w:rsidRDefault="0075783E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La línea de base utilizada es el porcentaje de adultos con al menos un producto financiero sobre el total de adultos.</w:t>
            </w:r>
          </w:p>
          <w:p w14:paraId="4F0B1252" w14:textId="77777777" w:rsidR="0075783E" w:rsidRPr="003F305C" w:rsidRDefault="0075783E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5821669F" w14:textId="77777777" w:rsidR="0075783E" w:rsidRPr="003F305C" w:rsidRDefault="0075783E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Como producto de las reformas implementadas, se prevé que el incremento de los adultos con al menos un producto financiero sobre el total de adultos sea de 75% al 2020.</w:t>
            </w:r>
          </w:p>
          <w:p w14:paraId="146ABC0E" w14:textId="77777777" w:rsidR="0075783E" w:rsidRPr="003F305C" w:rsidRDefault="0075783E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58195521" w14:textId="5DBD13D7" w:rsidR="0075783E" w:rsidRPr="003F305C" w:rsidRDefault="0075783E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CIFIN y DANE.</w:t>
            </w:r>
          </w:p>
        </w:tc>
      </w:tr>
      <w:tr w:rsidR="00602A8F" w:rsidRPr="003F305C" w14:paraId="65D62251" w14:textId="77777777" w:rsidTr="00656D17">
        <w:tc>
          <w:tcPr>
            <w:tcW w:w="2733" w:type="dxa"/>
            <w:vAlign w:val="center"/>
          </w:tcPr>
          <w:p w14:paraId="0C2E6DBF" w14:textId="5E22E2FA" w:rsidR="00FE303B" w:rsidRPr="003F305C" w:rsidRDefault="00FE303B" w:rsidP="002D7000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F305C">
              <w:rPr>
                <w:rFonts w:ascii="Arial" w:hAnsi="Arial" w:cs="Arial"/>
                <w:sz w:val="18"/>
                <w:szCs w:val="18"/>
              </w:rPr>
              <w:t>Cambio en montos saldos mínimos en cuentas de ahorro en principales bancos.</w:t>
            </w:r>
          </w:p>
        </w:tc>
        <w:tc>
          <w:tcPr>
            <w:tcW w:w="1668" w:type="dxa"/>
            <w:vAlign w:val="center"/>
          </w:tcPr>
          <w:p w14:paraId="6C34E365" w14:textId="7B6A7D50" w:rsidR="00FE303B" w:rsidRPr="003F305C" w:rsidRDefault="00FE303B" w:rsidP="00AE08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CO$ constantes 2015</w:t>
            </w:r>
          </w:p>
        </w:tc>
        <w:tc>
          <w:tcPr>
            <w:tcW w:w="1750" w:type="dxa"/>
            <w:vAlign w:val="center"/>
          </w:tcPr>
          <w:p w14:paraId="44047D92" w14:textId="3F5666DD" w:rsidR="00FE303B" w:rsidRPr="003F305C" w:rsidRDefault="00FE303B" w:rsidP="00527B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316.667</w:t>
            </w:r>
          </w:p>
        </w:tc>
        <w:tc>
          <w:tcPr>
            <w:tcW w:w="1589" w:type="dxa"/>
            <w:vAlign w:val="center"/>
          </w:tcPr>
          <w:p w14:paraId="7B5228D2" w14:textId="70B50F6A" w:rsidR="00FE303B" w:rsidRPr="003F305C" w:rsidRDefault="00FE303B" w:rsidP="00527B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253,333</w:t>
            </w:r>
          </w:p>
        </w:tc>
        <w:tc>
          <w:tcPr>
            <w:tcW w:w="4716" w:type="dxa"/>
          </w:tcPr>
          <w:p w14:paraId="4F6BE6EC" w14:textId="77777777" w:rsidR="00FE303B" w:rsidRPr="003F305C" w:rsidRDefault="00FE303B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Costos de operación y mantenimiento reportados en las páginas web de Bancolombia, BBVA, y Banco de Bogotá. Monto mínimo necesario para percibir intereses. Promedio simple de los valores establecidos por cada entidad.</w:t>
            </w:r>
          </w:p>
          <w:p w14:paraId="7986C6D8" w14:textId="77777777" w:rsidR="00A64A5B" w:rsidRPr="003F305C" w:rsidRDefault="00A64A5B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9F4F7E1" w14:textId="746722C9" w:rsidR="00A64A5B" w:rsidRPr="003F305C" w:rsidRDefault="00A64A5B" w:rsidP="001D71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i/>
                <w:sz w:val="18"/>
                <w:szCs w:val="18"/>
                <w:lang w:val="es-ES_tradnl"/>
              </w:rPr>
              <w:t>Fuente: Páginas web de Bancolombia, BBVA Colombia y Banco de Bogotá.</w:t>
            </w:r>
          </w:p>
        </w:tc>
      </w:tr>
      <w:tr w:rsidR="00367600" w:rsidRPr="003F305C" w14:paraId="4748713F" w14:textId="77777777" w:rsidTr="00053AEE">
        <w:tc>
          <w:tcPr>
            <w:tcW w:w="12456" w:type="dxa"/>
            <w:gridSpan w:val="5"/>
            <w:shd w:val="clear" w:color="auto" w:fill="A6A6A6" w:themeFill="background1" w:themeFillShade="A6"/>
            <w:vAlign w:val="center"/>
          </w:tcPr>
          <w:p w14:paraId="0C9EE874" w14:textId="1422DAC9" w:rsidR="00367600" w:rsidRPr="003F305C" w:rsidRDefault="00367600" w:rsidP="00EB1DA4">
            <w:pPr>
              <w:spacing w:before="40" w:after="40"/>
              <w:rPr>
                <w:rFonts w:ascii="Arial" w:hAnsi="Arial" w:cs="Arial"/>
                <w:b/>
                <w:smallCaps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b/>
                <w:smallCaps/>
                <w:sz w:val="18"/>
                <w:szCs w:val="18"/>
                <w:lang w:val="es-ES"/>
              </w:rPr>
              <w:t>Impactos</w:t>
            </w:r>
          </w:p>
        </w:tc>
      </w:tr>
      <w:tr w:rsidR="00894C3A" w:rsidRPr="003F305C" w14:paraId="0300F790" w14:textId="77777777" w:rsidTr="00FE303B">
        <w:tc>
          <w:tcPr>
            <w:tcW w:w="2733" w:type="dxa"/>
            <w:vAlign w:val="center"/>
          </w:tcPr>
          <w:p w14:paraId="412D6630" w14:textId="43DBB6DC" w:rsidR="0075783E" w:rsidRPr="003F305C" w:rsidRDefault="0075783E" w:rsidP="004B06ED">
            <w:pPr>
              <w:jc w:val="lef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Crecimiento del PIB (promedio de varios años)</w:t>
            </w:r>
          </w:p>
        </w:tc>
        <w:tc>
          <w:tcPr>
            <w:tcW w:w="1668" w:type="dxa"/>
            <w:vAlign w:val="center"/>
          </w:tcPr>
          <w:p w14:paraId="05B61349" w14:textId="77777777" w:rsidR="0075783E" w:rsidRPr="003F305C" w:rsidRDefault="0075783E" w:rsidP="004B06E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1750" w:type="dxa"/>
            <w:vAlign w:val="center"/>
          </w:tcPr>
          <w:p w14:paraId="350E94D0" w14:textId="50B5B37D" w:rsidR="0075783E" w:rsidRPr="003F305C" w:rsidRDefault="0075783E" w:rsidP="00B1208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4,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="00AB2E0A" w:rsidRPr="003F305C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1589" w:type="dxa"/>
            <w:vAlign w:val="center"/>
          </w:tcPr>
          <w:p w14:paraId="11471F76" w14:textId="65B39AAC" w:rsidR="0075783E" w:rsidRPr="003F305C" w:rsidRDefault="00151B7F" w:rsidP="00B1208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"/>
              </w:rPr>
              <w:t>4,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="00AB2E0A" w:rsidRPr="003F305C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4716" w:type="dxa"/>
            <w:vAlign w:val="center"/>
          </w:tcPr>
          <w:p w14:paraId="6D3914CA" w14:textId="122ECB6C" w:rsidR="0075783E" w:rsidRPr="003F305C" w:rsidRDefault="0075783E" w:rsidP="009A7B4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 línea de base utilizada corresponde al promedio del período 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2014 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 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2024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34021B74" w14:textId="77777777" w:rsidR="0075783E" w:rsidRPr="003F305C" w:rsidRDefault="0075783E" w:rsidP="009A7B4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2AF13813" w14:textId="2B59A6E4" w:rsidR="0075783E" w:rsidRPr="003F305C" w:rsidRDefault="0075783E" w:rsidP="00FE303B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Debido al efecto de las reformas estructurales introducidas por el programa, se prevé que el crecimiento</w:t>
            </w:r>
            <w:r w:rsidR="00FE303B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anual promedio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para el período 2014-2024 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sea 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0,</w:t>
            </w:r>
            <w:r w:rsidR="00FE303B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24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% 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>mayor que el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crecimiento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estimado 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sin el programa (sobre la base de datos de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 </w:t>
            </w:r>
            <w:r w:rsidR="002F1BC9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FMI</w:t>
            </w:r>
            <w:r w:rsidR="00B1208A" w:rsidRPr="003F305C">
              <w:rPr>
                <w:rFonts w:ascii="Arial" w:hAnsi="Arial" w:cs="Arial"/>
                <w:sz w:val="18"/>
                <w:szCs w:val="18"/>
                <w:lang w:val="es-ES_tradnl"/>
              </w:rPr>
              <w:t>)</w:t>
            </w:r>
            <w:r w:rsidRPr="003F305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</w:tc>
      </w:tr>
    </w:tbl>
    <w:p w14:paraId="0CA92368" w14:textId="77777777" w:rsidR="00273B08" w:rsidRPr="003F305C" w:rsidRDefault="00273B08">
      <w:pPr>
        <w:rPr>
          <w:rFonts w:ascii="Arial" w:hAnsi="Arial" w:cs="Arial"/>
          <w:sz w:val="20"/>
          <w:szCs w:val="20"/>
          <w:lang w:val="es-ES_tradnl"/>
        </w:rPr>
      </w:pPr>
    </w:p>
    <w:sectPr w:rsidR="00273B08" w:rsidRPr="003F305C" w:rsidSect="003F305C">
      <w:headerReference w:type="even" r:id="rId10"/>
      <w:headerReference w:type="default" r:id="rId11"/>
      <w:pgSz w:w="15840" w:h="12240" w:orient="landscape"/>
      <w:pgMar w:top="144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DF1F8" w14:textId="77777777" w:rsidR="00F75BD2" w:rsidRDefault="00F75BD2" w:rsidP="00273B08">
      <w:r>
        <w:separator/>
      </w:r>
    </w:p>
  </w:endnote>
  <w:endnote w:type="continuationSeparator" w:id="0">
    <w:p w14:paraId="66125B37" w14:textId="77777777" w:rsidR="00F75BD2" w:rsidRDefault="00F75BD2" w:rsidP="00273B08">
      <w:r>
        <w:continuationSeparator/>
      </w:r>
    </w:p>
  </w:endnote>
  <w:endnote w:type="continuationNotice" w:id="1">
    <w:p w14:paraId="019B4E33" w14:textId="77777777" w:rsidR="00F75BD2" w:rsidRDefault="00F75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8F296" w14:textId="77777777" w:rsidR="00F75BD2" w:rsidRDefault="00F75BD2" w:rsidP="00273B08">
      <w:r>
        <w:separator/>
      </w:r>
    </w:p>
  </w:footnote>
  <w:footnote w:type="continuationSeparator" w:id="0">
    <w:p w14:paraId="1D690612" w14:textId="77777777" w:rsidR="00F75BD2" w:rsidRDefault="00F75BD2" w:rsidP="00273B08">
      <w:r>
        <w:continuationSeparator/>
      </w:r>
    </w:p>
  </w:footnote>
  <w:footnote w:type="continuationNotice" w:id="1">
    <w:p w14:paraId="790A1BDF" w14:textId="77777777" w:rsidR="00F75BD2" w:rsidRDefault="00F75B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otham Book" w:hAnsi="Gotham Book"/>
        <w:sz w:val="18"/>
        <w:szCs w:val="18"/>
      </w:rPr>
      <w:id w:val="-718825943"/>
      <w:docPartObj>
        <w:docPartGallery w:val="Page Numbers (Top of Page)"/>
        <w:docPartUnique/>
      </w:docPartObj>
    </w:sdtPr>
    <w:sdtEndPr/>
    <w:sdtContent>
      <w:p w14:paraId="7A833A4A" w14:textId="77777777" w:rsidR="003D5CE1" w:rsidRPr="00711DC8" w:rsidRDefault="003D5CE1" w:rsidP="001D4EF3">
        <w:pPr>
          <w:pStyle w:val="Header"/>
          <w:rPr>
            <w:rFonts w:ascii="Gotham Book" w:hAnsi="Gotham Book" w:cs="Times New Roman"/>
            <w:sz w:val="18"/>
            <w:szCs w:val="18"/>
            <w:lang w:val="pt-BR"/>
          </w:rPr>
        </w:pPr>
        <w:r w:rsidRPr="00711DC8">
          <w:rPr>
            <w:rFonts w:ascii="Gotham Book" w:hAnsi="Gotham Book" w:cs="Times New Roman"/>
            <w:sz w:val="18"/>
            <w:szCs w:val="18"/>
            <w:lang w:val="pt-BR"/>
          </w:rPr>
          <w:t>CO-L1144</w:t>
        </w:r>
      </w:p>
      <w:p w14:paraId="17601635" w14:textId="77777777" w:rsidR="003D5CE1" w:rsidRPr="00711DC8" w:rsidRDefault="003D5CE1" w:rsidP="001D4EF3">
        <w:pPr>
          <w:pStyle w:val="Header"/>
          <w:rPr>
            <w:rFonts w:ascii="Gotham Book" w:hAnsi="Gotham Book"/>
            <w:sz w:val="18"/>
            <w:szCs w:val="18"/>
            <w:lang w:val="pt-BR"/>
          </w:rPr>
        </w:pPr>
        <w:r w:rsidRPr="00711DC8">
          <w:rPr>
            <w:rFonts w:ascii="Gotham Book" w:hAnsi="Gotham Book" w:cs="Times New Roman"/>
            <w:sz w:val="18"/>
            <w:szCs w:val="18"/>
            <w:lang w:val="pt-BR"/>
          </w:rPr>
          <w:t xml:space="preserve">Página </w: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begin"/>
        </w:r>
        <w:r w:rsidRPr="00711DC8">
          <w:rPr>
            <w:rFonts w:ascii="Gotham Book" w:hAnsi="Gotham Book" w:cs="Times New Roman"/>
            <w:b/>
            <w:bCs/>
            <w:sz w:val="18"/>
            <w:szCs w:val="18"/>
            <w:lang w:val="pt-BR"/>
          </w:rPr>
          <w:instrText xml:space="preserve"> PAGE </w:instrTex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separate"/>
        </w:r>
        <w:r w:rsidR="003F305C">
          <w:rPr>
            <w:rFonts w:ascii="Gotham Book" w:hAnsi="Gotham Book" w:cs="Times New Roman"/>
            <w:b/>
            <w:bCs/>
            <w:noProof/>
            <w:sz w:val="18"/>
            <w:szCs w:val="18"/>
            <w:lang w:val="pt-BR"/>
          </w:rPr>
          <w:t>8</w: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end"/>
        </w:r>
        <w:r w:rsidRPr="00711DC8">
          <w:rPr>
            <w:rFonts w:ascii="Gotham Book" w:hAnsi="Gotham Book" w:cs="Times New Roman"/>
            <w:sz w:val="18"/>
            <w:szCs w:val="18"/>
            <w:lang w:val="pt-BR"/>
          </w:rPr>
          <w:t xml:space="preserve"> de </w: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begin"/>
        </w:r>
        <w:r w:rsidRPr="00711DC8">
          <w:rPr>
            <w:rFonts w:ascii="Gotham Book" w:hAnsi="Gotham Book" w:cs="Times New Roman"/>
            <w:b/>
            <w:bCs/>
            <w:sz w:val="18"/>
            <w:szCs w:val="18"/>
            <w:lang w:val="pt-BR"/>
          </w:rPr>
          <w:instrText xml:space="preserve"> NUMPAGES  </w:instrTex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separate"/>
        </w:r>
        <w:r w:rsidR="003F305C">
          <w:rPr>
            <w:rFonts w:ascii="Gotham Book" w:hAnsi="Gotham Book" w:cs="Times New Roman"/>
            <w:b/>
            <w:bCs/>
            <w:noProof/>
            <w:sz w:val="18"/>
            <w:szCs w:val="18"/>
            <w:lang w:val="pt-BR"/>
          </w:rPr>
          <w:t>8</w:t>
        </w:r>
        <w:r w:rsidRPr="00711DC8">
          <w:rPr>
            <w:rFonts w:ascii="Gotham Book" w:hAnsi="Gotham Book" w:cs="Times New Roman"/>
            <w:b/>
            <w:bCs/>
            <w:sz w:val="18"/>
            <w:szCs w:val="18"/>
          </w:rPr>
          <w:fldChar w:fldCharType="end"/>
        </w:r>
      </w:p>
    </w:sdtContent>
  </w:sdt>
  <w:p w14:paraId="3EF56C27" w14:textId="77777777" w:rsidR="003D5CE1" w:rsidRDefault="003D5C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77648756"/>
      <w:docPartObj>
        <w:docPartGallery w:val="Page Numbers (Top of Page)"/>
        <w:docPartUnique/>
      </w:docPartObj>
    </w:sdtPr>
    <w:sdtEndPr/>
    <w:sdtContent>
      <w:p w14:paraId="2B54CFAD" w14:textId="50CC9970" w:rsidR="00F75BD2" w:rsidRPr="003F305C" w:rsidRDefault="00F546DD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3F305C">
          <w:rPr>
            <w:rFonts w:ascii="Arial" w:hAnsi="Arial" w:cs="Arial"/>
            <w:sz w:val="18"/>
            <w:szCs w:val="18"/>
            <w:lang w:val="pt-BR"/>
          </w:rPr>
          <w:t>CO-L1144</w:t>
        </w:r>
      </w:p>
      <w:p w14:paraId="6FAFE11C" w14:textId="79FA6745" w:rsidR="00F75BD2" w:rsidRPr="003F305C" w:rsidRDefault="00F75BD2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3F305C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3F305C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33B6D">
          <w:rPr>
            <w:rFonts w:ascii="Arial" w:hAnsi="Arial" w:cs="Arial"/>
            <w:bCs/>
            <w:noProof/>
            <w:sz w:val="18"/>
            <w:szCs w:val="18"/>
            <w:lang w:val="pt-BR"/>
          </w:rPr>
          <w:t>1</w: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end"/>
        </w:r>
        <w:r w:rsidRPr="003F305C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3F305C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33B6D">
          <w:rPr>
            <w:rFonts w:ascii="Arial" w:hAnsi="Arial" w:cs="Arial"/>
            <w:bCs/>
            <w:noProof/>
            <w:sz w:val="18"/>
            <w:szCs w:val="18"/>
            <w:lang w:val="pt-BR"/>
          </w:rPr>
          <w:t>8</w:t>
        </w:r>
        <w:r w:rsidRPr="003F305C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495BD107" w14:textId="77777777" w:rsidR="00F75BD2" w:rsidRPr="003F305C" w:rsidRDefault="00F75BD2">
    <w:pPr>
      <w:pStyle w:val="Header"/>
      <w:rPr>
        <w:rFonts w:ascii="Arial" w:hAnsi="Arial" w:cs="Arial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58D"/>
    <w:multiLevelType w:val="hybridMultilevel"/>
    <w:tmpl w:val="30A81F70"/>
    <w:lvl w:ilvl="0" w:tplc="DFA8D476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082E"/>
    <w:multiLevelType w:val="hybridMultilevel"/>
    <w:tmpl w:val="93BC1794"/>
    <w:lvl w:ilvl="0" w:tplc="DCD8D9AE">
      <w:start w:val="100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E1345A2"/>
    <w:multiLevelType w:val="hybridMultilevel"/>
    <w:tmpl w:val="19C62FAC"/>
    <w:lvl w:ilvl="0" w:tplc="F7369808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81500"/>
    <w:multiLevelType w:val="hybridMultilevel"/>
    <w:tmpl w:val="B3DA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16161"/>
    <w:multiLevelType w:val="hybridMultilevel"/>
    <w:tmpl w:val="164A98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93B51"/>
    <w:multiLevelType w:val="hybridMultilevel"/>
    <w:tmpl w:val="0FE8AF9C"/>
    <w:lvl w:ilvl="0" w:tplc="2D6CE036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08"/>
    <w:rsid w:val="000203FC"/>
    <w:rsid w:val="00026619"/>
    <w:rsid w:val="00030475"/>
    <w:rsid w:val="0003114C"/>
    <w:rsid w:val="00031203"/>
    <w:rsid w:val="00037F05"/>
    <w:rsid w:val="00053AEE"/>
    <w:rsid w:val="000616C6"/>
    <w:rsid w:val="00073E1C"/>
    <w:rsid w:val="0008220C"/>
    <w:rsid w:val="000867FF"/>
    <w:rsid w:val="00090311"/>
    <w:rsid w:val="000C20EF"/>
    <w:rsid w:val="000C45FF"/>
    <w:rsid w:val="001021BA"/>
    <w:rsid w:val="00104D21"/>
    <w:rsid w:val="00121BF8"/>
    <w:rsid w:val="001275F6"/>
    <w:rsid w:val="00130B10"/>
    <w:rsid w:val="001441FF"/>
    <w:rsid w:val="00146596"/>
    <w:rsid w:val="00151B7F"/>
    <w:rsid w:val="00156B14"/>
    <w:rsid w:val="00157925"/>
    <w:rsid w:val="00160108"/>
    <w:rsid w:val="001647F9"/>
    <w:rsid w:val="00172D39"/>
    <w:rsid w:val="001857A2"/>
    <w:rsid w:val="001A36C9"/>
    <w:rsid w:val="001D4EF3"/>
    <w:rsid w:val="001D715F"/>
    <w:rsid w:val="001F0669"/>
    <w:rsid w:val="001F414F"/>
    <w:rsid w:val="002041FF"/>
    <w:rsid w:val="00204EFC"/>
    <w:rsid w:val="002059C3"/>
    <w:rsid w:val="00215D2A"/>
    <w:rsid w:val="002322C7"/>
    <w:rsid w:val="00237F6F"/>
    <w:rsid w:val="00262609"/>
    <w:rsid w:val="0027175F"/>
    <w:rsid w:val="00273B08"/>
    <w:rsid w:val="00280BBE"/>
    <w:rsid w:val="002B41CC"/>
    <w:rsid w:val="002C1233"/>
    <w:rsid w:val="002C1B43"/>
    <w:rsid w:val="002C5CE6"/>
    <w:rsid w:val="002D7000"/>
    <w:rsid w:val="002F1BC9"/>
    <w:rsid w:val="002F4C20"/>
    <w:rsid w:val="00301DFC"/>
    <w:rsid w:val="00303C3E"/>
    <w:rsid w:val="00305C95"/>
    <w:rsid w:val="00315F60"/>
    <w:rsid w:val="00322DC5"/>
    <w:rsid w:val="003327C9"/>
    <w:rsid w:val="00340924"/>
    <w:rsid w:val="003416AE"/>
    <w:rsid w:val="00342EB1"/>
    <w:rsid w:val="00365F1C"/>
    <w:rsid w:val="00367600"/>
    <w:rsid w:val="003812A0"/>
    <w:rsid w:val="00383C7F"/>
    <w:rsid w:val="00386D06"/>
    <w:rsid w:val="00395884"/>
    <w:rsid w:val="003A44C9"/>
    <w:rsid w:val="003A5D1C"/>
    <w:rsid w:val="003B4EC6"/>
    <w:rsid w:val="003C4FD7"/>
    <w:rsid w:val="003D20C0"/>
    <w:rsid w:val="003D5CE1"/>
    <w:rsid w:val="003E4A67"/>
    <w:rsid w:val="003F305C"/>
    <w:rsid w:val="0040592B"/>
    <w:rsid w:val="00415F65"/>
    <w:rsid w:val="0041747F"/>
    <w:rsid w:val="00433B6D"/>
    <w:rsid w:val="00440BC9"/>
    <w:rsid w:val="00451EDD"/>
    <w:rsid w:val="004655E2"/>
    <w:rsid w:val="00471BC9"/>
    <w:rsid w:val="004816C0"/>
    <w:rsid w:val="00482D74"/>
    <w:rsid w:val="00495CD7"/>
    <w:rsid w:val="004B06ED"/>
    <w:rsid w:val="004B5EE8"/>
    <w:rsid w:val="004C6BCE"/>
    <w:rsid w:val="004D39FD"/>
    <w:rsid w:val="004D6CCA"/>
    <w:rsid w:val="004E4CCD"/>
    <w:rsid w:val="004F7298"/>
    <w:rsid w:val="0050027A"/>
    <w:rsid w:val="00516DDF"/>
    <w:rsid w:val="00527B4E"/>
    <w:rsid w:val="005570B8"/>
    <w:rsid w:val="00562ABC"/>
    <w:rsid w:val="00570D8C"/>
    <w:rsid w:val="005806FC"/>
    <w:rsid w:val="00590669"/>
    <w:rsid w:val="005A0506"/>
    <w:rsid w:val="005A43F2"/>
    <w:rsid w:val="005C5750"/>
    <w:rsid w:val="005D00DF"/>
    <w:rsid w:val="005D2392"/>
    <w:rsid w:val="005E6EB0"/>
    <w:rsid w:val="005F0F22"/>
    <w:rsid w:val="00602A8F"/>
    <w:rsid w:val="006170FE"/>
    <w:rsid w:val="00631A74"/>
    <w:rsid w:val="006362B6"/>
    <w:rsid w:val="006365C7"/>
    <w:rsid w:val="0064130C"/>
    <w:rsid w:val="00656D17"/>
    <w:rsid w:val="006969BE"/>
    <w:rsid w:val="006C163D"/>
    <w:rsid w:val="006C1738"/>
    <w:rsid w:val="006E23C4"/>
    <w:rsid w:val="006F6C61"/>
    <w:rsid w:val="00703B4B"/>
    <w:rsid w:val="00704135"/>
    <w:rsid w:val="007203BB"/>
    <w:rsid w:val="00721DE0"/>
    <w:rsid w:val="00722931"/>
    <w:rsid w:val="007276E8"/>
    <w:rsid w:val="0075573A"/>
    <w:rsid w:val="0075783E"/>
    <w:rsid w:val="00764222"/>
    <w:rsid w:val="007721E6"/>
    <w:rsid w:val="007732E3"/>
    <w:rsid w:val="00774966"/>
    <w:rsid w:val="0077647A"/>
    <w:rsid w:val="00790618"/>
    <w:rsid w:val="00793342"/>
    <w:rsid w:val="007B68C6"/>
    <w:rsid w:val="007C57B3"/>
    <w:rsid w:val="007F29B7"/>
    <w:rsid w:val="00807307"/>
    <w:rsid w:val="00815687"/>
    <w:rsid w:val="008208D7"/>
    <w:rsid w:val="00821716"/>
    <w:rsid w:val="008427DF"/>
    <w:rsid w:val="008568D2"/>
    <w:rsid w:val="008719CD"/>
    <w:rsid w:val="00886779"/>
    <w:rsid w:val="00890878"/>
    <w:rsid w:val="00892CA0"/>
    <w:rsid w:val="0089349A"/>
    <w:rsid w:val="00894C3A"/>
    <w:rsid w:val="008B1C9F"/>
    <w:rsid w:val="008C6612"/>
    <w:rsid w:val="008D21B4"/>
    <w:rsid w:val="008D73ED"/>
    <w:rsid w:val="008E4095"/>
    <w:rsid w:val="008E5BCD"/>
    <w:rsid w:val="008E5D97"/>
    <w:rsid w:val="008F55F4"/>
    <w:rsid w:val="008F7548"/>
    <w:rsid w:val="00913DE2"/>
    <w:rsid w:val="00925C19"/>
    <w:rsid w:val="00925C2A"/>
    <w:rsid w:val="00932861"/>
    <w:rsid w:val="00934F83"/>
    <w:rsid w:val="00935752"/>
    <w:rsid w:val="00936130"/>
    <w:rsid w:val="009365B5"/>
    <w:rsid w:val="009378E1"/>
    <w:rsid w:val="0094145D"/>
    <w:rsid w:val="009461DB"/>
    <w:rsid w:val="00947C4A"/>
    <w:rsid w:val="00993FAB"/>
    <w:rsid w:val="009A1160"/>
    <w:rsid w:val="009A269A"/>
    <w:rsid w:val="009A5261"/>
    <w:rsid w:val="009A7274"/>
    <w:rsid w:val="009A7B4C"/>
    <w:rsid w:val="009B1969"/>
    <w:rsid w:val="009D2F67"/>
    <w:rsid w:val="009E3FF3"/>
    <w:rsid w:val="009E4442"/>
    <w:rsid w:val="00A17FAF"/>
    <w:rsid w:val="00A17FDF"/>
    <w:rsid w:val="00A25BDC"/>
    <w:rsid w:val="00A36FCB"/>
    <w:rsid w:val="00A37291"/>
    <w:rsid w:val="00A64A5B"/>
    <w:rsid w:val="00A710E4"/>
    <w:rsid w:val="00A72A3F"/>
    <w:rsid w:val="00A74106"/>
    <w:rsid w:val="00AB2E0A"/>
    <w:rsid w:val="00AD11A7"/>
    <w:rsid w:val="00AE0844"/>
    <w:rsid w:val="00AE50B5"/>
    <w:rsid w:val="00AF2E86"/>
    <w:rsid w:val="00B06F5E"/>
    <w:rsid w:val="00B1208A"/>
    <w:rsid w:val="00B145CC"/>
    <w:rsid w:val="00B17350"/>
    <w:rsid w:val="00B27C71"/>
    <w:rsid w:val="00B52695"/>
    <w:rsid w:val="00B55401"/>
    <w:rsid w:val="00B556D6"/>
    <w:rsid w:val="00B67959"/>
    <w:rsid w:val="00B81722"/>
    <w:rsid w:val="00BA1002"/>
    <w:rsid w:val="00BB01FC"/>
    <w:rsid w:val="00BD7937"/>
    <w:rsid w:val="00BE78A9"/>
    <w:rsid w:val="00C32666"/>
    <w:rsid w:val="00C445A2"/>
    <w:rsid w:val="00C53C11"/>
    <w:rsid w:val="00C54CE3"/>
    <w:rsid w:val="00C77603"/>
    <w:rsid w:val="00C80866"/>
    <w:rsid w:val="00CB4DFE"/>
    <w:rsid w:val="00CC1689"/>
    <w:rsid w:val="00CD299A"/>
    <w:rsid w:val="00CD510F"/>
    <w:rsid w:val="00CD6A36"/>
    <w:rsid w:val="00CD746F"/>
    <w:rsid w:val="00D024CC"/>
    <w:rsid w:val="00D137DA"/>
    <w:rsid w:val="00D17F43"/>
    <w:rsid w:val="00D322CF"/>
    <w:rsid w:val="00D61F4F"/>
    <w:rsid w:val="00D777FF"/>
    <w:rsid w:val="00D84A55"/>
    <w:rsid w:val="00D84DAA"/>
    <w:rsid w:val="00DA3610"/>
    <w:rsid w:val="00DA6C64"/>
    <w:rsid w:val="00DB226D"/>
    <w:rsid w:val="00DB7F32"/>
    <w:rsid w:val="00DC5009"/>
    <w:rsid w:val="00E20CA5"/>
    <w:rsid w:val="00E310AD"/>
    <w:rsid w:val="00E44A60"/>
    <w:rsid w:val="00E71FAA"/>
    <w:rsid w:val="00E82684"/>
    <w:rsid w:val="00EA670A"/>
    <w:rsid w:val="00EA7E56"/>
    <w:rsid w:val="00EB1DA4"/>
    <w:rsid w:val="00ED3F11"/>
    <w:rsid w:val="00ED71C7"/>
    <w:rsid w:val="00EE1D9A"/>
    <w:rsid w:val="00EF3886"/>
    <w:rsid w:val="00F2261B"/>
    <w:rsid w:val="00F26163"/>
    <w:rsid w:val="00F266D6"/>
    <w:rsid w:val="00F32DEE"/>
    <w:rsid w:val="00F33022"/>
    <w:rsid w:val="00F53AC4"/>
    <w:rsid w:val="00F546DD"/>
    <w:rsid w:val="00F55C16"/>
    <w:rsid w:val="00F712DD"/>
    <w:rsid w:val="00F75194"/>
    <w:rsid w:val="00F75BD2"/>
    <w:rsid w:val="00F8135D"/>
    <w:rsid w:val="00F84A42"/>
    <w:rsid w:val="00F8550F"/>
    <w:rsid w:val="00FA25B4"/>
    <w:rsid w:val="00FB5A69"/>
    <w:rsid w:val="00FB61BF"/>
    <w:rsid w:val="00FC0E4E"/>
    <w:rsid w:val="00FC3445"/>
    <w:rsid w:val="00FE303B"/>
    <w:rsid w:val="00FF03F9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textfra,footnote,F,fn,Texto nota pie IIRSA,ft,Texto,nota,pie,Ref.,al,F1,texto de nota al pie,NOTA AL PIE TESIS PUCP,footnote text,Geneva 9,Font: Geneva 9,Boston 10,f,Fußnotentextr,Texto nota pie Car Car,single space,Fußn,FOOTNOTES"/>
    <w:basedOn w:val="Normal"/>
    <w:link w:val="FootnoteTextChar"/>
    <w:rsid w:val="00273B08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textfra Char,footnote Char,F Char,fn Char,Texto nota pie IIRSA Char,ft Char,Texto Char,nota Char,pie Char,Ref. Char,al Char,F1 Char,texto de nota al pie Char,NOTA AL PIE TESIS PUCP Char,footnote text Char,Geneva 9 Char,f Char"/>
    <w:basedOn w:val="DefaultParagraphFont"/>
    <w:link w:val="FootnoteText"/>
    <w:uiPriority w:val="99"/>
    <w:rsid w:val="00273B0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"/>
    <w:rsid w:val="00273B08"/>
    <w:rPr>
      <w:vertAlign w:val="superscript"/>
    </w:rPr>
  </w:style>
  <w:style w:type="character" w:styleId="Hyperlink">
    <w:name w:val="Hyperlink"/>
    <w:rsid w:val="00273B08"/>
    <w:rPr>
      <w:strike w:val="0"/>
      <w:dstrike w:val="0"/>
      <w:color w:val="464E9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273B08"/>
    <w:pPr>
      <w:ind w:left="720"/>
      <w:jc w:val="left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CC1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689"/>
  </w:style>
  <w:style w:type="paragraph" w:styleId="Footer">
    <w:name w:val="footer"/>
    <w:basedOn w:val="Normal"/>
    <w:link w:val="FooterChar"/>
    <w:uiPriority w:val="99"/>
    <w:unhideWhenUsed/>
    <w:rsid w:val="00CC1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689"/>
  </w:style>
  <w:style w:type="paragraph" w:styleId="BalloonText">
    <w:name w:val="Balloon Text"/>
    <w:basedOn w:val="Normal"/>
    <w:link w:val="BalloonTextChar"/>
    <w:uiPriority w:val="99"/>
    <w:semiHidden/>
    <w:unhideWhenUsed/>
    <w:rsid w:val="008F5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5F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924"/>
    <w:pPr>
      <w:jc w:val="left"/>
    </w:pPr>
  </w:style>
  <w:style w:type="character" w:customStyle="1" w:styleId="apple-converted-space">
    <w:name w:val="apple-converted-space"/>
    <w:basedOn w:val="DefaultParagraphFont"/>
    <w:rsid w:val="008568D2"/>
  </w:style>
  <w:style w:type="character" w:styleId="CommentReference">
    <w:name w:val="annotation reference"/>
    <w:basedOn w:val="DefaultParagraphFont"/>
    <w:uiPriority w:val="99"/>
    <w:semiHidden/>
    <w:unhideWhenUsed/>
    <w:rsid w:val="00E82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6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6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6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textfra,footnote,F,fn,Texto nota pie IIRSA,ft,Texto,nota,pie,Ref.,al,F1,texto de nota al pie,NOTA AL PIE TESIS PUCP,footnote text,Geneva 9,Font: Geneva 9,Boston 10,f,Fußnotentextr,Texto nota pie Car Car,single space,Fußn,FOOTNOTES"/>
    <w:basedOn w:val="Normal"/>
    <w:link w:val="FootnoteTextChar"/>
    <w:rsid w:val="00273B08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textfra Char,footnote Char,F Char,fn Char,Texto nota pie IIRSA Char,ft Char,Texto Char,nota Char,pie Char,Ref. Char,al Char,F1 Char,texto de nota al pie Char,NOTA AL PIE TESIS PUCP Char,footnote text Char,Geneva 9 Char,f Char"/>
    <w:basedOn w:val="DefaultParagraphFont"/>
    <w:link w:val="FootnoteText"/>
    <w:uiPriority w:val="99"/>
    <w:rsid w:val="00273B0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"/>
    <w:rsid w:val="00273B08"/>
    <w:rPr>
      <w:vertAlign w:val="superscript"/>
    </w:rPr>
  </w:style>
  <w:style w:type="character" w:styleId="Hyperlink">
    <w:name w:val="Hyperlink"/>
    <w:rsid w:val="00273B08"/>
    <w:rPr>
      <w:strike w:val="0"/>
      <w:dstrike w:val="0"/>
      <w:color w:val="464E9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273B08"/>
    <w:pPr>
      <w:ind w:left="720"/>
      <w:jc w:val="left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CC1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689"/>
  </w:style>
  <w:style w:type="paragraph" w:styleId="Footer">
    <w:name w:val="footer"/>
    <w:basedOn w:val="Normal"/>
    <w:link w:val="FooterChar"/>
    <w:uiPriority w:val="99"/>
    <w:unhideWhenUsed/>
    <w:rsid w:val="00CC1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689"/>
  </w:style>
  <w:style w:type="paragraph" w:styleId="BalloonText">
    <w:name w:val="Balloon Text"/>
    <w:basedOn w:val="Normal"/>
    <w:link w:val="BalloonTextChar"/>
    <w:uiPriority w:val="99"/>
    <w:semiHidden/>
    <w:unhideWhenUsed/>
    <w:rsid w:val="008F5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5F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924"/>
    <w:pPr>
      <w:jc w:val="left"/>
    </w:pPr>
  </w:style>
  <w:style w:type="character" w:customStyle="1" w:styleId="apple-converted-space">
    <w:name w:val="apple-converted-space"/>
    <w:basedOn w:val="DefaultParagraphFont"/>
    <w:rsid w:val="008568D2"/>
  </w:style>
  <w:style w:type="character" w:styleId="CommentReference">
    <w:name w:val="annotation reference"/>
    <w:basedOn w:val="DefaultParagraphFont"/>
    <w:uiPriority w:val="99"/>
    <w:semiHidden/>
    <w:unhideWhenUsed/>
    <w:rsid w:val="00E82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6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6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6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yperlink" Target="http://www.banrep.gov.co/es/economia/tasas_colo4.htm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1B759DA4BE1EE44AF3F77D0DD444E62" ma:contentTypeVersion="19" ma:contentTypeDescription="The base project type from which other project content types inherit their information." ma:contentTypeScope="" ma:versionID="1b5eee8b509aa3a00c50ce028137b5c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Other_x0020_Author xmlns="cdc7663a-08f0-4737-9e8c-148ce897a09c" xsi:nil="true"/>
    <IDBDocs_x0020_Number xmlns="cdc7663a-08f0-4737-9e8c-148ce897a09c">39530719</IDBDocs_x0020_Number>
    <Document_x0020_Author xmlns="cdc7663a-08f0-4737-9e8c-148ce897a09c">Fonseca, Daniel Fernando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CO-L1144</Project_x0020_Number>
    <Package_x0020_Code xmlns="cdc7663a-08f0-4737-9e8c-148ce897a09c" xsi:nil="true"/>
    <Migration_x0020_Info xmlns="cdc7663a-08f0-4737-9e8c-148ce897a09c">MS WORDLPLoan ProposalDEBoard of Executive Directors0N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EZSHARE-1685651288-35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https://idbg.sharepoint.com/teams/EZ-CO-LON/CO-L1144/_layouts/15/DocIdRedir.aspx?ID=EZSHARE-1685651288-35</Url>
      <Description>EZSHARE-1685651288-35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A11CB6A-BDB9-4F8F-8204-6E7568C49426}"/>
</file>

<file path=customXml/itemProps2.xml><?xml version="1.0" encoding="utf-8"?>
<ds:datastoreItem xmlns:ds="http://schemas.openxmlformats.org/officeDocument/2006/customXml" ds:itemID="{20862DF7-1BE3-44EA-AF34-7869C7396C26}"/>
</file>

<file path=customXml/itemProps3.xml><?xml version="1.0" encoding="utf-8"?>
<ds:datastoreItem xmlns:ds="http://schemas.openxmlformats.org/officeDocument/2006/customXml" ds:itemID="{686709DD-3299-4E1A-9C4C-92387175194F}"/>
</file>

<file path=customXml/itemProps4.xml><?xml version="1.0" encoding="utf-8"?>
<ds:datastoreItem xmlns:ds="http://schemas.openxmlformats.org/officeDocument/2006/customXml" ds:itemID="{8DEDDD9F-BE42-443C-8AFC-C282FD8431FB}"/>
</file>

<file path=customXml/itemProps5.xml><?xml version="1.0" encoding="utf-8"?>
<ds:datastoreItem xmlns:ds="http://schemas.openxmlformats.org/officeDocument/2006/customXml" ds:itemID="{B9126C7C-C9F1-4B6D-86BF-50C0F840AD2F}"/>
</file>

<file path=customXml/itemProps6.xml><?xml version="1.0" encoding="utf-8"?>
<ds:datastoreItem xmlns:ds="http://schemas.openxmlformats.org/officeDocument/2006/customXml" ds:itemID="{9A60A465-83E0-4794-9FB7-AD8E208C1DEC}"/>
</file>

<file path=customXml/itemProps7.xml><?xml version="1.0" encoding="utf-8"?>
<ds:datastoreItem xmlns:ds="http://schemas.openxmlformats.org/officeDocument/2006/customXml" ds:itemID="{D307946A-E6D6-4C3F-8698-3A3AB5C663F5}"/>
</file>

<file path=customXml/itemProps8.xml><?xml version="1.0" encoding="utf-8"?>
<ds:datastoreItem xmlns:ds="http://schemas.openxmlformats.org/officeDocument/2006/customXml" ds:itemID="{E5FF8641-D7F5-426D-90D0-DB658A62C6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</dc:title>
  <dc:creator>Test</dc:creator>
  <cp:lastModifiedBy>Test</cp:lastModifiedBy>
  <cp:revision>8</cp:revision>
  <cp:lastPrinted>2014-10-09T16:05:00Z</cp:lastPrinted>
  <dcterms:created xsi:type="dcterms:W3CDTF">2015-05-14T18:46:00Z</dcterms:created>
  <dcterms:modified xsi:type="dcterms:W3CDTF">2015-07-13T13:34:00Z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0x010100ACF722E9F6B0B149B0CD8BE2560A66720051B759DA4BE1EE44AF3F77D0DD444E62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Banking and Financial Services;Financial Sector Development;Finance;Financial and Capital Markets;Financial and Capital Markets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6ea82e0e-87ee-46b1-97b7-78010c86dd9b</vt:lpwstr>
  </property>
</Properties>
</file>