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1270C" w14:textId="77777777" w:rsidR="00DE0849" w:rsidRDefault="00DE0849" w:rsidP="00DE0849">
      <w:pPr>
        <w:ind w:left="540" w:hanging="540"/>
        <w:jc w:val="center"/>
        <w:rPr>
          <w:rFonts w:ascii="Times New Roman" w:hAnsi="Times New Roman" w:cs="Times New Roman"/>
          <w:sz w:val="24"/>
          <w:szCs w:val="24"/>
          <w:lang w:val="es-ES"/>
        </w:rPr>
      </w:pPr>
    </w:p>
    <w:p w14:paraId="652B6AFC" w14:textId="689E4A31" w:rsidR="00DE0849" w:rsidRDefault="00DE0849" w:rsidP="00DE0849">
      <w:pPr>
        <w:ind w:left="540" w:hanging="540"/>
        <w:jc w:val="center"/>
        <w:rPr>
          <w:rFonts w:ascii="Times New Roman" w:hAnsi="Times New Roman" w:cs="Times New Roman"/>
          <w:sz w:val="24"/>
          <w:szCs w:val="24"/>
          <w:lang w:val="es-ES"/>
        </w:rPr>
      </w:pPr>
      <w:r>
        <w:rPr>
          <w:rFonts w:ascii="Times New Roman" w:hAnsi="Times New Roman" w:cs="Times New Roman"/>
          <w:sz w:val="24"/>
          <w:szCs w:val="24"/>
          <w:lang w:val="es-ES"/>
        </w:rPr>
        <w:t>DOCUMENTO DEL BANCO INTERAMERICANO DE DESARROLLO</w:t>
      </w:r>
    </w:p>
    <w:p w14:paraId="4DB434E4" w14:textId="77777777" w:rsidR="00DE0849" w:rsidRDefault="00DE0849" w:rsidP="00DE0849">
      <w:pPr>
        <w:ind w:left="540" w:hanging="540"/>
        <w:jc w:val="center"/>
        <w:rPr>
          <w:rFonts w:ascii="Times New Roman" w:hAnsi="Times New Roman" w:cs="Times New Roman"/>
          <w:b/>
          <w:sz w:val="24"/>
          <w:szCs w:val="24"/>
          <w:lang w:val="es-ES"/>
        </w:rPr>
      </w:pPr>
    </w:p>
    <w:p w14:paraId="155DE586" w14:textId="77777777" w:rsidR="00DE0849" w:rsidRDefault="00DE0849" w:rsidP="00DE0849">
      <w:pPr>
        <w:ind w:left="540" w:hanging="540"/>
        <w:jc w:val="center"/>
        <w:rPr>
          <w:rFonts w:ascii="Times New Roman" w:hAnsi="Times New Roman" w:cs="Times New Roman"/>
          <w:b/>
          <w:sz w:val="24"/>
          <w:szCs w:val="24"/>
          <w:lang w:val="es-ES"/>
        </w:rPr>
      </w:pPr>
    </w:p>
    <w:p w14:paraId="4E3AFF39" w14:textId="77777777" w:rsidR="00DE0849" w:rsidRDefault="00DE0849" w:rsidP="00DE0849">
      <w:pPr>
        <w:jc w:val="center"/>
        <w:rPr>
          <w:rStyle w:val="BookTitle"/>
          <w:sz w:val="28"/>
          <w:lang w:val="es-ES_tradnl"/>
        </w:rPr>
      </w:pPr>
      <w:r>
        <w:rPr>
          <w:rStyle w:val="BookTitle"/>
          <w:rFonts w:ascii="Times New Roman" w:hAnsi="Times New Roman" w:cs="Times New Roman"/>
          <w:sz w:val="28"/>
          <w:lang w:val="es-ES_tradnl"/>
        </w:rPr>
        <w:t>URUGUAY</w:t>
      </w:r>
    </w:p>
    <w:p w14:paraId="485E1ABA" w14:textId="77777777" w:rsidR="00DE0849" w:rsidRDefault="00DE0849" w:rsidP="00DE0849">
      <w:pPr>
        <w:jc w:val="center"/>
        <w:rPr>
          <w:rStyle w:val="BookTitle"/>
          <w:rFonts w:ascii="Times New Roman" w:hAnsi="Times New Roman" w:cs="Times New Roman"/>
          <w:sz w:val="28"/>
          <w:lang w:val="es-ES_tradnl"/>
        </w:rPr>
      </w:pPr>
    </w:p>
    <w:p w14:paraId="5D34366C" w14:textId="77777777" w:rsidR="00DE0849" w:rsidRPr="00DE0849" w:rsidRDefault="00DE0849" w:rsidP="00DE0849">
      <w:pPr>
        <w:jc w:val="center"/>
        <w:rPr>
          <w:szCs w:val="28"/>
          <w:lang w:val="es-ES_tradnl"/>
        </w:rPr>
      </w:pPr>
      <w:r>
        <w:rPr>
          <w:rFonts w:ascii="Times New Roman" w:hAnsi="Times New Roman"/>
          <w:b/>
          <w:smallCaps/>
          <w:sz w:val="28"/>
          <w:szCs w:val="28"/>
          <w:lang w:val="es-ES_tradnl"/>
        </w:rPr>
        <w:t>Línea de Crédito Condicional para el Financiamiento del Desarrollo Productivo</w:t>
      </w:r>
    </w:p>
    <w:p w14:paraId="3718B9CE" w14:textId="77777777" w:rsidR="00DE0849" w:rsidRDefault="00DE0849" w:rsidP="00DE0849">
      <w:pPr>
        <w:spacing w:after="120"/>
        <w:jc w:val="center"/>
        <w:rPr>
          <w:rFonts w:ascii="Times New Roman" w:hAnsi="Times New Roman"/>
          <w:b/>
          <w:smallCaps/>
          <w:sz w:val="28"/>
          <w:szCs w:val="28"/>
          <w:lang w:val="es-ES_tradnl"/>
        </w:rPr>
      </w:pPr>
      <w:r>
        <w:rPr>
          <w:rFonts w:ascii="Times New Roman" w:hAnsi="Times New Roman"/>
          <w:b/>
          <w:smallCaps/>
          <w:sz w:val="28"/>
          <w:szCs w:val="28"/>
          <w:lang w:val="es-ES_tradnl"/>
        </w:rPr>
        <w:t>(UR-X1011)</w:t>
      </w:r>
    </w:p>
    <w:p w14:paraId="4A9CF53E" w14:textId="77777777" w:rsidR="00DE0849" w:rsidRPr="00DE0849" w:rsidRDefault="00DE0849" w:rsidP="00DE0849">
      <w:pPr>
        <w:jc w:val="center"/>
        <w:rPr>
          <w:rStyle w:val="BookTitle"/>
          <w:rFonts w:cs="Times New Roman"/>
          <w:lang w:val="es-ES_tradnl"/>
        </w:rPr>
      </w:pPr>
    </w:p>
    <w:p w14:paraId="02792A76" w14:textId="77777777" w:rsidR="00DE0849" w:rsidRDefault="00DE0849" w:rsidP="00DE0849">
      <w:pPr>
        <w:jc w:val="center"/>
        <w:rPr>
          <w:rStyle w:val="BookTitle"/>
          <w:rFonts w:ascii="Times New Roman" w:hAnsi="Times New Roman" w:cs="Times New Roman"/>
          <w:sz w:val="28"/>
          <w:lang w:val="es-ES_tradnl"/>
        </w:rPr>
      </w:pPr>
      <w:r>
        <w:rPr>
          <w:rStyle w:val="BookTitle"/>
          <w:rFonts w:ascii="Times New Roman" w:hAnsi="Times New Roman" w:cs="Times New Roman"/>
          <w:sz w:val="28"/>
          <w:lang w:val="es-ES_tradnl"/>
        </w:rPr>
        <w:t>y</w:t>
      </w:r>
    </w:p>
    <w:p w14:paraId="7D5EA9A9" w14:textId="77777777" w:rsidR="00DE0849" w:rsidRDefault="00DE0849" w:rsidP="00DE0849">
      <w:pPr>
        <w:jc w:val="center"/>
        <w:rPr>
          <w:rStyle w:val="BookTitle"/>
          <w:rFonts w:ascii="Times New Roman" w:hAnsi="Times New Roman" w:cs="Times New Roman"/>
          <w:sz w:val="28"/>
          <w:lang w:val="es-ES_tradnl"/>
        </w:rPr>
      </w:pPr>
    </w:p>
    <w:p w14:paraId="339FAC76" w14:textId="26E4DADA" w:rsidR="00DE0849" w:rsidRPr="00DE0849" w:rsidRDefault="00133A46" w:rsidP="00DE0849">
      <w:pPr>
        <w:jc w:val="center"/>
        <w:rPr>
          <w:lang w:val="es-ES_tradnl"/>
        </w:rPr>
      </w:pPr>
      <w:r>
        <w:rPr>
          <w:rFonts w:ascii="Times New Roman" w:hAnsi="Times New Roman" w:cs="Times New Roman"/>
          <w:b/>
          <w:bCs/>
          <w:smallCaps/>
          <w:spacing w:val="5"/>
          <w:sz w:val="28"/>
          <w:lang w:val="es-ES_tradnl"/>
        </w:rPr>
        <w:t xml:space="preserve"> </w:t>
      </w:r>
      <w:r w:rsidR="00DE0849">
        <w:rPr>
          <w:rFonts w:ascii="Times New Roman" w:hAnsi="Times New Roman" w:cs="Times New Roman"/>
          <w:b/>
          <w:bCs/>
          <w:smallCaps/>
          <w:spacing w:val="5"/>
          <w:sz w:val="28"/>
          <w:lang w:val="es-ES_tradnl"/>
        </w:rPr>
        <w:t>Programa Financiero para el Desarrollo Productivo</w:t>
      </w:r>
      <w:r>
        <w:rPr>
          <w:rFonts w:ascii="Times New Roman" w:hAnsi="Times New Roman" w:cs="Times New Roman"/>
          <w:b/>
          <w:bCs/>
          <w:smallCaps/>
          <w:spacing w:val="5"/>
          <w:sz w:val="28"/>
          <w:lang w:val="es-ES_tradnl"/>
        </w:rPr>
        <w:t xml:space="preserve"> II</w:t>
      </w:r>
    </w:p>
    <w:p w14:paraId="0FA80336" w14:textId="343C89BF" w:rsidR="00DE0849" w:rsidRPr="00DE0849" w:rsidRDefault="00DE0849" w:rsidP="00DE0849">
      <w:pPr>
        <w:jc w:val="center"/>
        <w:rPr>
          <w:rStyle w:val="BookTitle"/>
          <w:lang w:val="es-ES_tradnl"/>
        </w:rPr>
      </w:pPr>
      <w:r>
        <w:rPr>
          <w:rStyle w:val="BookTitle"/>
          <w:rFonts w:ascii="Times New Roman" w:hAnsi="Times New Roman" w:cs="Times New Roman"/>
          <w:sz w:val="28"/>
          <w:lang w:val="es-ES_tradnl"/>
        </w:rPr>
        <w:t xml:space="preserve"> </w:t>
      </w:r>
      <w:r w:rsidRPr="00133A46">
        <w:rPr>
          <w:rStyle w:val="BookTitle"/>
          <w:rFonts w:ascii="Times New Roman" w:hAnsi="Times New Roman" w:cs="Times New Roman"/>
          <w:sz w:val="28"/>
          <w:lang w:val="es-ES_tradnl"/>
        </w:rPr>
        <w:t>(UR-L</w:t>
      </w:r>
      <w:r w:rsidR="00133A46" w:rsidRPr="00133A46">
        <w:rPr>
          <w:rStyle w:val="BookTitle"/>
          <w:rFonts w:ascii="Times New Roman" w:hAnsi="Times New Roman" w:cs="Times New Roman"/>
          <w:sz w:val="28"/>
          <w:lang w:val="es-ES_tradnl"/>
        </w:rPr>
        <w:t>1115</w:t>
      </w:r>
      <w:r w:rsidRPr="00133A46">
        <w:rPr>
          <w:rStyle w:val="BookTitle"/>
          <w:rFonts w:ascii="Times New Roman" w:hAnsi="Times New Roman" w:cs="Times New Roman"/>
          <w:sz w:val="28"/>
          <w:lang w:val="es-ES_tradnl"/>
        </w:rPr>
        <w:t>)</w:t>
      </w:r>
    </w:p>
    <w:p w14:paraId="3B8FE803" w14:textId="77777777" w:rsidR="00DE0849" w:rsidRDefault="00DE0849" w:rsidP="00DE0849">
      <w:pPr>
        <w:ind w:left="540" w:hanging="540"/>
        <w:jc w:val="center"/>
        <w:rPr>
          <w:sz w:val="24"/>
          <w:szCs w:val="24"/>
          <w:lang w:val="es-ES"/>
        </w:rPr>
      </w:pPr>
    </w:p>
    <w:p w14:paraId="1AC49A2D" w14:textId="77777777" w:rsidR="00DE0849" w:rsidRDefault="00DE0849" w:rsidP="00DE0849">
      <w:pPr>
        <w:ind w:left="540" w:hanging="540"/>
        <w:jc w:val="center"/>
        <w:rPr>
          <w:rFonts w:ascii="Times New Roman" w:hAnsi="Times New Roman" w:cs="Times New Roman"/>
          <w:b/>
          <w:sz w:val="24"/>
          <w:szCs w:val="24"/>
          <w:lang w:val="es-ES"/>
        </w:rPr>
      </w:pPr>
    </w:p>
    <w:p w14:paraId="66F42616" w14:textId="68A71A83" w:rsidR="00DE0849" w:rsidRDefault="00DE0849" w:rsidP="00DE0849">
      <w:pPr>
        <w:ind w:left="540" w:hanging="540"/>
        <w:jc w:val="center"/>
        <w:rPr>
          <w:rFonts w:ascii="Times New Roman" w:hAnsi="Times New Roman" w:cs="Times New Roman"/>
          <w:b/>
          <w:sz w:val="24"/>
          <w:szCs w:val="24"/>
          <w:lang w:val="es-ES"/>
        </w:rPr>
      </w:pPr>
      <w:r>
        <w:rPr>
          <w:rFonts w:ascii="Times New Roman" w:hAnsi="Times New Roman" w:cs="Times New Roman"/>
          <w:b/>
          <w:sz w:val="24"/>
          <w:szCs w:val="24"/>
          <w:lang w:val="es-ES"/>
        </w:rPr>
        <w:t>ANEXO</w:t>
      </w:r>
      <w:r w:rsidR="00133A46">
        <w:rPr>
          <w:rFonts w:ascii="Times New Roman" w:hAnsi="Times New Roman" w:cs="Times New Roman"/>
          <w:b/>
          <w:sz w:val="24"/>
          <w:szCs w:val="24"/>
          <w:lang w:val="es-ES"/>
        </w:rPr>
        <w:t xml:space="preserve"> OPCIONAL</w:t>
      </w:r>
      <w:r>
        <w:rPr>
          <w:rFonts w:ascii="Times New Roman" w:hAnsi="Times New Roman" w:cs="Times New Roman"/>
          <w:b/>
          <w:sz w:val="24"/>
          <w:szCs w:val="24"/>
          <w:lang w:val="es-ES"/>
        </w:rPr>
        <w:t xml:space="preserve">: </w:t>
      </w:r>
      <w:r w:rsidR="00133A46">
        <w:rPr>
          <w:rFonts w:ascii="Times New Roman" w:hAnsi="Times New Roman" w:cs="Times New Roman"/>
          <w:b/>
          <w:sz w:val="24"/>
          <w:szCs w:val="24"/>
          <w:lang w:val="es-ES"/>
        </w:rPr>
        <w:t>ESTUDIO</w:t>
      </w:r>
      <w:r>
        <w:rPr>
          <w:rFonts w:ascii="Times New Roman" w:hAnsi="Times New Roman" w:cs="Times New Roman"/>
          <w:b/>
          <w:sz w:val="24"/>
          <w:szCs w:val="24"/>
          <w:lang w:val="es-ES"/>
        </w:rPr>
        <w:t xml:space="preserve"> </w:t>
      </w:r>
      <w:r w:rsidR="00AF5398">
        <w:rPr>
          <w:rFonts w:ascii="Times New Roman" w:hAnsi="Times New Roman" w:cs="Times New Roman"/>
          <w:b/>
          <w:sz w:val="24"/>
          <w:szCs w:val="24"/>
          <w:lang w:val="es-ES"/>
        </w:rPr>
        <w:t xml:space="preserve">SOBRE LA </w:t>
      </w:r>
      <w:r>
        <w:rPr>
          <w:rFonts w:ascii="Times New Roman" w:hAnsi="Times New Roman" w:cs="Times New Roman"/>
          <w:b/>
          <w:sz w:val="24"/>
          <w:szCs w:val="24"/>
          <w:lang w:val="es-ES"/>
        </w:rPr>
        <w:t xml:space="preserve">FINANCIACIÓN DE INFRAESTRUCTURA PRIVADA Y </w:t>
      </w:r>
      <w:r w:rsidR="00133A46">
        <w:rPr>
          <w:rFonts w:ascii="Times New Roman" w:hAnsi="Times New Roman" w:cs="Times New Roman"/>
          <w:b/>
          <w:sz w:val="24"/>
          <w:szCs w:val="24"/>
          <w:lang w:val="es-ES"/>
        </w:rPr>
        <w:t>PÚBLICO-PRIVADA</w:t>
      </w:r>
      <w:r>
        <w:rPr>
          <w:rFonts w:ascii="Times New Roman" w:hAnsi="Times New Roman" w:cs="Times New Roman"/>
          <w:b/>
          <w:sz w:val="24"/>
          <w:szCs w:val="24"/>
          <w:lang w:val="es-ES"/>
        </w:rPr>
        <w:t xml:space="preserve"> EN URUGUAY</w:t>
      </w:r>
    </w:p>
    <w:p w14:paraId="3F660271" w14:textId="77777777" w:rsidR="00DE0849" w:rsidRDefault="00DE0849" w:rsidP="00DE0849">
      <w:pPr>
        <w:ind w:left="540" w:hanging="540"/>
        <w:jc w:val="center"/>
        <w:rPr>
          <w:rFonts w:ascii="Times New Roman" w:hAnsi="Times New Roman" w:cs="Times New Roman"/>
          <w:b/>
          <w:sz w:val="24"/>
          <w:szCs w:val="24"/>
          <w:lang w:val="es-ES"/>
        </w:rPr>
      </w:pPr>
    </w:p>
    <w:p w14:paraId="47788AD5" w14:textId="77777777" w:rsidR="00DE0849" w:rsidRDefault="00DE0849" w:rsidP="00DE0849">
      <w:pPr>
        <w:ind w:left="540" w:hanging="540"/>
        <w:jc w:val="center"/>
        <w:rPr>
          <w:rFonts w:ascii="Times New Roman" w:hAnsi="Times New Roman" w:cs="Times New Roman"/>
          <w:b/>
          <w:sz w:val="24"/>
          <w:szCs w:val="24"/>
          <w:lang w:val="es-ES"/>
        </w:rPr>
      </w:pPr>
    </w:p>
    <w:p w14:paraId="7672E8CA" w14:textId="2A93CAC2" w:rsidR="00DE0849" w:rsidRDefault="00DE0849" w:rsidP="00DE0849">
      <w:pPr>
        <w:ind w:left="540" w:hanging="540"/>
        <w:jc w:val="center"/>
        <w:rPr>
          <w:rFonts w:ascii="Times New Roman" w:hAnsi="Times New Roman" w:cs="Times New Roman"/>
          <w:b/>
          <w:sz w:val="24"/>
          <w:szCs w:val="24"/>
          <w:lang w:val="es-ES"/>
        </w:rPr>
      </w:pPr>
    </w:p>
    <w:p w14:paraId="02D62E53" w14:textId="507E6D76" w:rsidR="00DE0849" w:rsidRDefault="00487CCD" w:rsidP="00DE0849">
      <w:pPr>
        <w:ind w:left="540" w:hanging="540"/>
        <w:jc w:val="center"/>
        <w:rPr>
          <w:rFonts w:ascii="Times New Roman" w:hAnsi="Times New Roman" w:cs="Times New Roman"/>
          <w:b/>
          <w:sz w:val="24"/>
          <w:szCs w:val="24"/>
          <w:lang w:val="es-ES"/>
        </w:rPr>
      </w:pPr>
      <w:r w:rsidRPr="00133A46">
        <w:rPr>
          <w:rFonts w:ascii="Times New Roman" w:hAnsi="Times New Roman" w:cs="Times New Roman"/>
          <w:b/>
          <w:sz w:val="24"/>
          <w:szCs w:val="24"/>
          <w:lang w:val="es-ES"/>
        </w:rPr>
        <w:t xml:space="preserve">Versión </w:t>
      </w:r>
      <w:r w:rsidR="00133A46" w:rsidRPr="00133A46">
        <w:rPr>
          <w:rFonts w:ascii="Times New Roman" w:hAnsi="Times New Roman" w:cs="Times New Roman"/>
          <w:b/>
          <w:sz w:val="24"/>
          <w:szCs w:val="24"/>
          <w:lang w:val="es-ES"/>
        </w:rPr>
        <w:t>final</w:t>
      </w:r>
      <w:r w:rsidRPr="00133A46">
        <w:rPr>
          <w:rFonts w:ascii="Times New Roman" w:hAnsi="Times New Roman" w:cs="Times New Roman"/>
          <w:b/>
          <w:sz w:val="24"/>
          <w:szCs w:val="24"/>
          <w:lang w:val="es-ES"/>
        </w:rPr>
        <w:t xml:space="preserve">: </w:t>
      </w:r>
      <w:r w:rsidR="00133A46" w:rsidRPr="00133A46">
        <w:rPr>
          <w:rFonts w:ascii="Times New Roman" w:hAnsi="Times New Roman" w:cs="Times New Roman"/>
          <w:b/>
          <w:sz w:val="24"/>
          <w:szCs w:val="24"/>
          <w:lang w:val="es-ES"/>
        </w:rPr>
        <w:t>septiembre</w:t>
      </w:r>
      <w:r w:rsidRPr="00133A46">
        <w:rPr>
          <w:rFonts w:ascii="Times New Roman" w:hAnsi="Times New Roman" w:cs="Times New Roman"/>
          <w:b/>
          <w:sz w:val="24"/>
          <w:szCs w:val="24"/>
          <w:lang w:val="es-ES"/>
        </w:rPr>
        <w:t xml:space="preserve"> 2018</w:t>
      </w:r>
    </w:p>
    <w:p w14:paraId="1BA1FB0E" w14:textId="031E6288" w:rsidR="003D678A" w:rsidRDefault="003D678A">
      <w:pPr>
        <w:rPr>
          <w:lang w:val="es-ES_tradnl"/>
        </w:rPr>
      </w:pPr>
    </w:p>
    <w:p w14:paraId="3FB6B0FB" w14:textId="5EB06227" w:rsidR="00133A46" w:rsidRDefault="00133A46">
      <w:pPr>
        <w:rPr>
          <w:lang w:val="es-ES_tradnl"/>
        </w:rPr>
      </w:pPr>
    </w:p>
    <w:p w14:paraId="2FB26243" w14:textId="77777777" w:rsidR="00133A46" w:rsidRDefault="00133A46">
      <w:pPr>
        <w:rPr>
          <w:lang w:val="es-ES_tradnl"/>
        </w:rPr>
      </w:pPr>
    </w:p>
    <w:sdt>
      <w:sdtPr>
        <w:rPr>
          <w:rFonts w:asciiTheme="minorHAnsi" w:eastAsiaTheme="minorHAnsi" w:hAnsiTheme="minorHAnsi" w:cstheme="minorBidi"/>
          <w:color w:val="auto"/>
          <w:sz w:val="22"/>
          <w:szCs w:val="22"/>
        </w:rPr>
        <w:id w:val="823625196"/>
        <w:docPartObj>
          <w:docPartGallery w:val="Table of Contents"/>
          <w:docPartUnique/>
        </w:docPartObj>
      </w:sdtPr>
      <w:sdtEndPr>
        <w:rPr>
          <w:b/>
          <w:bCs/>
          <w:noProof/>
        </w:rPr>
      </w:sdtEndPr>
      <w:sdtContent>
        <w:p w14:paraId="700A3988" w14:textId="1579BF45" w:rsidR="003D678A" w:rsidRDefault="003D678A">
          <w:pPr>
            <w:pStyle w:val="TOCHeading"/>
          </w:pPr>
        </w:p>
        <w:p w14:paraId="7AAB7AA7" w14:textId="77777777" w:rsidR="00DE0849" w:rsidRPr="00DE0849" w:rsidRDefault="00DE0849" w:rsidP="00DE0849"/>
        <w:p w14:paraId="3AC43B2B" w14:textId="0285D20E" w:rsidR="003D678A" w:rsidRPr="00FB2F71" w:rsidRDefault="00371EFA">
          <w:pPr>
            <w:pStyle w:val="TOCHeading"/>
            <w:rPr>
              <w:sz w:val="48"/>
              <w:szCs w:val="48"/>
              <w:lang w:val="es-ES"/>
            </w:rPr>
          </w:pPr>
          <w:r w:rsidRPr="00FB2F71">
            <w:rPr>
              <w:sz w:val="48"/>
              <w:szCs w:val="48"/>
              <w:lang w:val="es-ES"/>
            </w:rPr>
            <w:t>Contenido</w:t>
          </w:r>
          <w:r w:rsidR="00B86D33" w:rsidRPr="00FB2F71">
            <w:rPr>
              <w:sz w:val="48"/>
              <w:szCs w:val="48"/>
              <w:lang w:val="es-ES"/>
            </w:rPr>
            <w:t xml:space="preserve"> </w:t>
          </w:r>
        </w:p>
        <w:p w14:paraId="198554CE" w14:textId="2749DB72" w:rsidR="003D678A" w:rsidRPr="008514F3" w:rsidRDefault="003D678A" w:rsidP="003D678A">
          <w:pPr>
            <w:rPr>
              <w:sz w:val="26"/>
              <w:szCs w:val="26"/>
            </w:rPr>
          </w:pPr>
        </w:p>
        <w:p w14:paraId="5BE63829" w14:textId="2A055BAE" w:rsidR="00DE0849" w:rsidRPr="00133A46" w:rsidRDefault="00DE0849" w:rsidP="003D678A">
          <w:pPr>
            <w:rPr>
              <w:b/>
              <w:sz w:val="26"/>
              <w:szCs w:val="26"/>
            </w:rPr>
          </w:pPr>
        </w:p>
        <w:p w14:paraId="46FC9769" w14:textId="2F0FCE26" w:rsidR="00B80015" w:rsidRPr="00B80015" w:rsidRDefault="003D678A">
          <w:pPr>
            <w:pStyle w:val="TOC1"/>
            <w:tabs>
              <w:tab w:val="right" w:leader="dot" w:pos="9350"/>
            </w:tabs>
            <w:rPr>
              <w:rFonts w:eastAsiaTheme="minorEastAsia"/>
              <w:noProof/>
              <w:sz w:val="26"/>
              <w:szCs w:val="26"/>
            </w:rPr>
          </w:pPr>
          <w:r w:rsidRPr="00133A46">
            <w:rPr>
              <w:bCs/>
              <w:noProof/>
              <w:sz w:val="26"/>
              <w:szCs w:val="26"/>
            </w:rPr>
            <w:fldChar w:fldCharType="begin"/>
          </w:r>
          <w:r w:rsidRPr="00133A46">
            <w:rPr>
              <w:bCs/>
              <w:noProof/>
              <w:sz w:val="26"/>
              <w:szCs w:val="26"/>
            </w:rPr>
            <w:instrText xml:space="preserve"> TOC \o "1-3" \h \z \u </w:instrText>
          </w:r>
          <w:r w:rsidRPr="00133A46">
            <w:rPr>
              <w:bCs/>
              <w:noProof/>
              <w:sz w:val="26"/>
              <w:szCs w:val="26"/>
            </w:rPr>
            <w:fldChar w:fldCharType="separate"/>
          </w:r>
          <w:hyperlink w:anchor="_Toc525574916" w:history="1">
            <w:r w:rsidR="00B80015" w:rsidRPr="00B80015">
              <w:rPr>
                <w:rStyle w:val="Hyperlink"/>
                <w:noProof/>
                <w:sz w:val="26"/>
                <w:szCs w:val="26"/>
                <w:lang w:val="es-ES_tradnl"/>
              </w:rPr>
              <w:t>Introducción: financiación infraestructura privada en Uruguay</w:t>
            </w:r>
            <w:r w:rsidR="00B80015" w:rsidRPr="00B80015">
              <w:rPr>
                <w:noProof/>
                <w:webHidden/>
                <w:sz w:val="26"/>
                <w:szCs w:val="26"/>
              </w:rPr>
              <w:tab/>
            </w:r>
            <w:r w:rsidR="00B80015" w:rsidRPr="00B80015">
              <w:rPr>
                <w:noProof/>
                <w:webHidden/>
                <w:sz w:val="26"/>
                <w:szCs w:val="26"/>
              </w:rPr>
              <w:fldChar w:fldCharType="begin"/>
            </w:r>
            <w:r w:rsidR="00B80015" w:rsidRPr="00B80015">
              <w:rPr>
                <w:noProof/>
                <w:webHidden/>
                <w:sz w:val="26"/>
                <w:szCs w:val="26"/>
              </w:rPr>
              <w:instrText xml:space="preserve"> PAGEREF _Toc525574916 \h </w:instrText>
            </w:r>
            <w:r w:rsidR="00B80015" w:rsidRPr="00B80015">
              <w:rPr>
                <w:noProof/>
                <w:webHidden/>
                <w:sz w:val="26"/>
                <w:szCs w:val="26"/>
              </w:rPr>
            </w:r>
            <w:r w:rsidR="00B80015" w:rsidRPr="00B80015">
              <w:rPr>
                <w:noProof/>
                <w:webHidden/>
                <w:sz w:val="26"/>
                <w:szCs w:val="26"/>
              </w:rPr>
              <w:fldChar w:fldCharType="separate"/>
            </w:r>
            <w:r w:rsidR="00B80015" w:rsidRPr="00B80015">
              <w:rPr>
                <w:noProof/>
                <w:webHidden/>
                <w:sz w:val="26"/>
                <w:szCs w:val="26"/>
              </w:rPr>
              <w:t>3</w:t>
            </w:r>
            <w:r w:rsidR="00B80015" w:rsidRPr="00B80015">
              <w:rPr>
                <w:noProof/>
                <w:webHidden/>
                <w:sz w:val="26"/>
                <w:szCs w:val="26"/>
              </w:rPr>
              <w:fldChar w:fldCharType="end"/>
            </w:r>
          </w:hyperlink>
        </w:p>
        <w:p w14:paraId="6349710F" w14:textId="2812C26E" w:rsidR="00B80015" w:rsidRPr="00B80015" w:rsidRDefault="00B80015">
          <w:pPr>
            <w:pStyle w:val="TOC1"/>
            <w:tabs>
              <w:tab w:val="right" w:leader="dot" w:pos="9350"/>
            </w:tabs>
            <w:rPr>
              <w:rFonts w:eastAsiaTheme="minorEastAsia"/>
              <w:noProof/>
              <w:sz w:val="26"/>
              <w:szCs w:val="26"/>
            </w:rPr>
          </w:pPr>
          <w:hyperlink w:anchor="_Toc525574917" w:history="1">
            <w:r w:rsidRPr="00B80015">
              <w:rPr>
                <w:rStyle w:val="Hyperlink"/>
                <w:noProof/>
                <w:sz w:val="26"/>
                <w:szCs w:val="26"/>
                <w:lang w:val="es-ES_tradnl"/>
              </w:rPr>
              <w:t>Marco legal para la financiación privada y público-privada de Infraestructura en Uruguay</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_Toc525574917 \h </w:instrText>
            </w:r>
            <w:r w:rsidRPr="00B80015">
              <w:rPr>
                <w:noProof/>
                <w:webHidden/>
                <w:sz w:val="26"/>
                <w:szCs w:val="26"/>
              </w:rPr>
            </w:r>
            <w:r w:rsidRPr="00B80015">
              <w:rPr>
                <w:noProof/>
                <w:webHidden/>
                <w:sz w:val="26"/>
                <w:szCs w:val="26"/>
              </w:rPr>
              <w:fldChar w:fldCharType="separate"/>
            </w:r>
            <w:r w:rsidRPr="00B80015">
              <w:rPr>
                <w:noProof/>
                <w:webHidden/>
                <w:sz w:val="26"/>
                <w:szCs w:val="26"/>
              </w:rPr>
              <w:t>6</w:t>
            </w:r>
            <w:r w:rsidRPr="00B80015">
              <w:rPr>
                <w:noProof/>
                <w:webHidden/>
                <w:sz w:val="26"/>
                <w:szCs w:val="26"/>
              </w:rPr>
              <w:fldChar w:fldCharType="end"/>
            </w:r>
          </w:hyperlink>
        </w:p>
        <w:p w14:paraId="13832518" w14:textId="72BB32E5" w:rsidR="00B80015" w:rsidRPr="00B80015" w:rsidRDefault="00B80015">
          <w:pPr>
            <w:pStyle w:val="TOC2"/>
            <w:tabs>
              <w:tab w:val="right" w:leader="dot" w:pos="9350"/>
            </w:tabs>
            <w:rPr>
              <w:rFonts w:eastAsiaTheme="minorEastAsia"/>
              <w:noProof/>
              <w:sz w:val="26"/>
              <w:szCs w:val="26"/>
            </w:rPr>
          </w:pPr>
          <w:hyperlink w:anchor="_Toc525574918" w:history="1">
            <w:r w:rsidRPr="00B80015">
              <w:rPr>
                <w:rStyle w:val="Hyperlink"/>
                <w:noProof/>
                <w:sz w:val="26"/>
                <w:szCs w:val="26"/>
                <w:lang w:val="es-ES_tradnl"/>
              </w:rPr>
              <w:t>Instituciones públicas participantes</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_Toc525574918 \h </w:instrText>
            </w:r>
            <w:r w:rsidRPr="00B80015">
              <w:rPr>
                <w:noProof/>
                <w:webHidden/>
                <w:sz w:val="26"/>
                <w:szCs w:val="26"/>
              </w:rPr>
            </w:r>
            <w:r w:rsidRPr="00B80015">
              <w:rPr>
                <w:noProof/>
                <w:webHidden/>
                <w:sz w:val="26"/>
                <w:szCs w:val="26"/>
              </w:rPr>
              <w:fldChar w:fldCharType="separate"/>
            </w:r>
            <w:r w:rsidRPr="00B80015">
              <w:rPr>
                <w:noProof/>
                <w:webHidden/>
                <w:sz w:val="26"/>
                <w:szCs w:val="26"/>
              </w:rPr>
              <w:t>8</w:t>
            </w:r>
            <w:r w:rsidRPr="00B80015">
              <w:rPr>
                <w:noProof/>
                <w:webHidden/>
                <w:sz w:val="26"/>
                <w:szCs w:val="26"/>
              </w:rPr>
              <w:fldChar w:fldCharType="end"/>
            </w:r>
          </w:hyperlink>
        </w:p>
        <w:p w14:paraId="2932B8A0" w14:textId="61CC49F2" w:rsidR="00B80015" w:rsidRPr="00B80015" w:rsidRDefault="00B80015">
          <w:pPr>
            <w:pStyle w:val="TOC1"/>
            <w:tabs>
              <w:tab w:val="right" w:leader="dot" w:pos="9350"/>
            </w:tabs>
            <w:rPr>
              <w:rFonts w:eastAsiaTheme="minorEastAsia"/>
              <w:noProof/>
              <w:sz w:val="26"/>
              <w:szCs w:val="26"/>
            </w:rPr>
          </w:pPr>
          <w:hyperlink w:anchor="_Toc525574919" w:history="1">
            <w:r w:rsidRPr="00B80015">
              <w:rPr>
                <w:rStyle w:val="Hyperlink"/>
                <w:noProof/>
                <w:sz w:val="26"/>
                <w:szCs w:val="26"/>
                <w:lang w:val="es-ES_tradnl"/>
              </w:rPr>
              <w:t>Experiencia en la financiación privada y público-privada de infraestructura</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_Toc525574919 \h </w:instrText>
            </w:r>
            <w:r w:rsidRPr="00B80015">
              <w:rPr>
                <w:noProof/>
                <w:webHidden/>
                <w:sz w:val="26"/>
                <w:szCs w:val="26"/>
              </w:rPr>
            </w:r>
            <w:r w:rsidRPr="00B80015">
              <w:rPr>
                <w:noProof/>
                <w:webHidden/>
                <w:sz w:val="26"/>
                <w:szCs w:val="26"/>
              </w:rPr>
              <w:fldChar w:fldCharType="separate"/>
            </w:r>
            <w:r w:rsidRPr="00B80015">
              <w:rPr>
                <w:noProof/>
                <w:webHidden/>
                <w:sz w:val="26"/>
                <w:szCs w:val="26"/>
              </w:rPr>
              <w:t>10</w:t>
            </w:r>
            <w:r w:rsidRPr="00B80015">
              <w:rPr>
                <w:noProof/>
                <w:webHidden/>
                <w:sz w:val="26"/>
                <w:szCs w:val="26"/>
              </w:rPr>
              <w:fldChar w:fldCharType="end"/>
            </w:r>
          </w:hyperlink>
        </w:p>
        <w:p w14:paraId="19E1A0BA" w14:textId="76B6DB09" w:rsidR="00B80015" w:rsidRPr="00B80015" w:rsidRDefault="00B80015">
          <w:pPr>
            <w:pStyle w:val="TOC2"/>
            <w:tabs>
              <w:tab w:val="right" w:leader="dot" w:pos="9350"/>
            </w:tabs>
            <w:rPr>
              <w:rFonts w:eastAsiaTheme="minorEastAsia"/>
              <w:noProof/>
              <w:sz w:val="26"/>
              <w:szCs w:val="26"/>
            </w:rPr>
          </w:pPr>
          <w:hyperlink w:anchor="_Toc525574920" w:history="1">
            <w:r w:rsidRPr="00B80015">
              <w:rPr>
                <w:rStyle w:val="Hyperlink"/>
                <w:noProof/>
                <w:sz w:val="26"/>
                <w:szCs w:val="26"/>
                <w:lang w:val="es-ES_tradnl"/>
              </w:rPr>
              <w:t>Antecedentes</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_Toc525574920 \h </w:instrText>
            </w:r>
            <w:r w:rsidRPr="00B80015">
              <w:rPr>
                <w:noProof/>
                <w:webHidden/>
                <w:sz w:val="26"/>
                <w:szCs w:val="26"/>
              </w:rPr>
            </w:r>
            <w:r w:rsidRPr="00B80015">
              <w:rPr>
                <w:noProof/>
                <w:webHidden/>
                <w:sz w:val="26"/>
                <w:szCs w:val="26"/>
              </w:rPr>
              <w:fldChar w:fldCharType="separate"/>
            </w:r>
            <w:r w:rsidRPr="00B80015">
              <w:rPr>
                <w:noProof/>
                <w:webHidden/>
                <w:sz w:val="26"/>
                <w:szCs w:val="26"/>
              </w:rPr>
              <w:t>10</w:t>
            </w:r>
            <w:r w:rsidRPr="00B80015">
              <w:rPr>
                <w:noProof/>
                <w:webHidden/>
                <w:sz w:val="26"/>
                <w:szCs w:val="26"/>
              </w:rPr>
              <w:fldChar w:fldCharType="end"/>
            </w:r>
          </w:hyperlink>
        </w:p>
        <w:p w14:paraId="7FDFC7CC" w14:textId="64615831" w:rsidR="00B80015" w:rsidRPr="00B80015" w:rsidRDefault="00B80015">
          <w:pPr>
            <w:pStyle w:val="TOC2"/>
            <w:tabs>
              <w:tab w:val="right" w:leader="dot" w:pos="9350"/>
            </w:tabs>
            <w:rPr>
              <w:rFonts w:eastAsiaTheme="minorEastAsia"/>
              <w:noProof/>
              <w:sz w:val="26"/>
              <w:szCs w:val="26"/>
            </w:rPr>
          </w:pPr>
          <w:hyperlink w:anchor="_Toc525574921" w:history="1">
            <w:r w:rsidRPr="00B80015">
              <w:rPr>
                <w:rStyle w:val="Hyperlink"/>
                <w:noProof/>
                <w:sz w:val="26"/>
                <w:szCs w:val="26"/>
                <w:lang w:val="es-ES_tradnl"/>
              </w:rPr>
              <w:t>Financiación de PPPs</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_Toc525574921 \h </w:instrText>
            </w:r>
            <w:r w:rsidRPr="00B80015">
              <w:rPr>
                <w:noProof/>
                <w:webHidden/>
                <w:sz w:val="26"/>
                <w:szCs w:val="26"/>
              </w:rPr>
            </w:r>
            <w:r w:rsidRPr="00B80015">
              <w:rPr>
                <w:noProof/>
                <w:webHidden/>
                <w:sz w:val="26"/>
                <w:szCs w:val="26"/>
              </w:rPr>
              <w:fldChar w:fldCharType="separate"/>
            </w:r>
            <w:r w:rsidRPr="00B80015">
              <w:rPr>
                <w:noProof/>
                <w:webHidden/>
                <w:sz w:val="26"/>
                <w:szCs w:val="26"/>
              </w:rPr>
              <w:t>11</w:t>
            </w:r>
            <w:r w:rsidRPr="00B80015">
              <w:rPr>
                <w:noProof/>
                <w:webHidden/>
                <w:sz w:val="26"/>
                <w:szCs w:val="26"/>
              </w:rPr>
              <w:fldChar w:fldCharType="end"/>
            </w:r>
          </w:hyperlink>
        </w:p>
        <w:p w14:paraId="4700E135" w14:textId="74C839A1" w:rsidR="00B80015" w:rsidRPr="00B80015" w:rsidRDefault="00B80015">
          <w:pPr>
            <w:pStyle w:val="TOC1"/>
            <w:tabs>
              <w:tab w:val="right" w:leader="dot" w:pos="9350"/>
            </w:tabs>
            <w:rPr>
              <w:rFonts w:eastAsiaTheme="minorEastAsia"/>
              <w:noProof/>
              <w:sz w:val="26"/>
              <w:szCs w:val="26"/>
            </w:rPr>
          </w:pPr>
          <w:hyperlink w:anchor="_Toc525574922" w:history="1">
            <w:r w:rsidRPr="00B80015">
              <w:rPr>
                <w:rStyle w:val="Hyperlink"/>
                <w:noProof/>
                <w:sz w:val="26"/>
                <w:szCs w:val="26"/>
                <w:lang w:val="es-ES_tradnl"/>
              </w:rPr>
              <w:t>Principales financiadores en proyectos de Infraestructura privada y PPPs</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_Toc525574922 \h </w:instrText>
            </w:r>
            <w:r w:rsidRPr="00B80015">
              <w:rPr>
                <w:noProof/>
                <w:webHidden/>
                <w:sz w:val="26"/>
                <w:szCs w:val="26"/>
              </w:rPr>
            </w:r>
            <w:r w:rsidRPr="00B80015">
              <w:rPr>
                <w:noProof/>
                <w:webHidden/>
                <w:sz w:val="26"/>
                <w:szCs w:val="26"/>
              </w:rPr>
              <w:fldChar w:fldCharType="separate"/>
            </w:r>
            <w:r w:rsidRPr="00B80015">
              <w:rPr>
                <w:noProof/>
                <w:webHidden/>
                <w:sz w:val="26"/>
                <w:szCs w:val="26"/>
              </w:rPr>
              <w:t>13</w:t>
            </w:r>
            <w:r w:rsidRPr="00B80015">
              <w:rPr>
                <w:noProof/>
                <w:webHidden/>
                <w:sz w:val="26"/>
                <w:szCs w:val="26"/>
              </w:rPr>
              <w:fldChar w:fldCharType="end"/>
            </w:r>
          </w:hyperlink>
        </w:p>
        <w:p w14:paraId="07CC9117" w14:textId="43CE5E4A" w:rsidR="00B80015" w:rsidRPr="00B80015" w:rsidRDefault="00B80015">
          <w:pPr>
            <w:pStyle w:val="TOC2"/>
            <w:tabs>
              <w:tab w:val="right" w:leader="dot" w:pos="9350"/>
            </w:tabs>
            <w:rPr>
              <w:rFonts w:eastAsiaTheme="minorEastAsia"/>
              <w:noProof/>
              <w:sz w:val="26"/>
              <w:szCs w:val="26"/>
            </w:rPr>
          </w:pPr>
          <w:hyperlink w:anchor="_Toc525574923" w:history="1">
            <w:r w:rsidRPr="00B80015">
              <w:rPr>
                <w:rStyle w:val="Hyperlink"/>
                <w:noProof/>
                <w:sz w:val="26"/>
                <w:szCs w:val="26"/>
                <w:lang w:val="es-ES_tradnl"/>
              </w:rPr>
              <w:t>Instrumentos en la financiación de infraestructura privada y PPPs: costos y plazos</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_Toc525574923 \h </w:instrText>
            </w:r>
            <w:r w:rsidRPr="00B80015">
              <w:rPr>
                <w:noProof/>
                <w:webHidden/>
                <w:sz w:val="26"/>
                <w:szCs w:val="26"/>
              </w:rPr>
            </w:r>
            <w:r w:rsidRPr="00B80015">
              <w:rPr>
                <w:noProof/>
                <w:webHidden/>
                <w:sz w:val="26"/>
                <w:szCs w:val="26"/>
              </w:rPr>
              <w:fldChar w:fldCharType="separate"/>
            </w:r>
            <w:r w:rsidRPr="00B80015">
              <w:rPr>
                <w:noProof/>
                <w:webHidden/>
                <w:sz w:val="26"/>
                <w:szCs w:val="26"/>
              </w:rPr>
              <w:t>16</w:t>
            </w:r>
            <w:r w:rsidRPr="00B80015">
              <w:rPr>
                <w:noProof/>
                <w:webHidden/>
                <w:sz w:val="26"/>
                <w:szCs w:val="26"/>
              </w:rPr>
              <w:fldChar w:fldCharType="end"/>
            </w:r>
          </w:hyperlink>
        </w:p>
        <w:p w14:paraId="4DE6C2DF" w14:textId="461E477C" w:rsidR="00B80015" w:rsidRPr="00B80015" w:rsidRDefault="00B80015">
          <w:pPr>
            <w:pStyle w:val="TOC1"/>
            <w:tabs>
              <w:tab w:val="right" w:leader="dot" w:pos="9350"/>
            </w:tabs>
            <w:rPr>
              <w:rFonts w:eastAsiaTheme="minorEastAsia"/>
              <w:noProof/>
              <w:sz w:val="26"/>
              <w:szCs w:val="26"/>
            </w:rPr>
          </w:pPr>
          <w:hyperlink w:anchor="_Toc525574924" w:history="1">
            <w:r w:rsidRPr="00B80015">
              <w:rPr>
                <w:rStyle w:val="Hyperlink"/>
                <w:noProof/>
                <w:sz w:val="26"/>
                <w:szCs w:val="26"/>
                <w:lang w:val="es-ES_tradnl"/>
              </w:rPr>
              <w:t>Desafíos en la financiación privada y de PPPs</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_Toc525574924 \h </w:instrText>
            </w:r>
            <w:r w:rsidRPr="00B80015">
              <w:rPr>
                <w:noProof/>
                <w:webHidden/>
                <w:sz w:val="26"/>
                <w:szCs w:val="26"/>
              </w:rPr>
            </w:r>
            <w:r w:rsidRPr="00B80015">
              <w:rPr>
                <w:noProof/>
                <w:webHidden/>
                <w:sz w:val="26"/>
                <w:szCs w:val="26"/>
              </w:rPr>
              <w:fldChar w:fldCharType="separate"/>
            </w:r>
            <w:r w:rsidRPr="00B80015">
              <w:rPr>
                <w:noProof/>
                <w:webHidden/>
                <w:sz w:val="26"/>
                <w:szCs w:val="26"/>
              </w:rPr>
              <w:t>18</w:t>
            </w:r>
            <w:r w:rsidRPr="00B80015">
              <w:rPr>
                <w:noProof/>
                <w:webHidden/>
                <w:sz w:val="26"/>
                <w:szCs w:val="26"/>
              </w:rPr>
              <w:fldChar w:fldCharType="end"/>
            </w:r>
          </w:hyperlink>
        </w:p>
        <w:p w14:paraId="28CEC299" w14:textId="5F854ABA" w:rsidR="00B80015" w:rsidRPr="00B80015" w:rsidRDefault="00B80015">
          <w:pPr>
            <w:pStyle w:val="TOC1"/>
            <w:tabs>
              <w:tab w:val="right" w:leader="dot" w:pos="9350"/>
            </w:tabs>
            <w:rPr>
              <w:rFonts w:eastAsiaTheme="minorEastAsia"/>
              <w:noProof/>
              <w:sz w:val="26"/>
              <w:szCs w:val="26"/>
            </w:rPr>
          </w:pPr>
          <w:hyperlink w:anchor="_Toc525574925" w:history="1">
            <w:r w:rsidRPr="00B80015">
              <w:rPr>
                <w:rStyle w:val="Hyperlink"/>
                <w:noProof/>
                <w:sz w:val="26"/>
                <w:szCs w:val="26"/>
                <w:lang w:val="es-ES_tradnl"/>
              </w:rPr>
              <w:t>Rol del BROU en la financiación privada y público-privada de infraestructura</w:t>
            </w:r>
            <w:r w:rsidRPr="00B80015">
              <w:rPr>
                <w:noProof/>
                <w:webHidden/>
                <w:sz w:val="26"/>
                <w:szCs w:val="26"/>
              </w:rPr>
              <w:tab/>
            </w:r>
            <w:r w:rsidRPr="00B80015">
              <w:rPr>
                <w:noProof/>
                <w:webHidden/>
                <w:sz w:val="26"/>
                <w:szCs w:val="26"/>
              </w:rPr>
              <w:fldChar w:fldCharType="begin"/>
            </w:r>
            <w:r w:rsidRPr="00B80015">
              <w:rPr>
                <w:noProof/>
                <w:webHidden/>
                <w:sz w:val="26"/>
                <w:szCs w:val="26"/>
              </w:rPr>
              <w:instrText xml:space="preserve"> PAGEREF _Toc525574925 \h </w:instrText>
            </w:r>
            <w:r w:rsidRPr="00B80015">
              <w:rPr>
                <w:noProof/>
                <w:webHidden/>
                <w:sz w:val="26"/>
                <w:szCs w:val="26"/>
              </w:rPr>
            </w:r>
            <w:r w:rsidRPr="00B80015">
              <w:rPr>
                <w:noProof/>
                <w:webHidden/>
                <w:sz w:val="26"/>
                <w:szCs w:val="26"/>
              </w:rPr>
              <w:fldChar w:fldCharType="separate"/>
            </w:r>
            <w:r w:rsidRPr="00B80015">
              <w:rPr>
                <w:noProof/>
                <w:webHidden/>
                <w:sz w:val="26"/>
                <w:szCs w:val="26"/>
              </w:rPr>
              <w:t>21</w:t>
            </w:r>
            <w:r w:rsidRPr="00B80015">
              <w:rPr>
                <w:noProof/>
                <w:webHidden/>
                <w:sz w:val="26"/>
                <w:szCs w:val="26"/>
              </w:rPr>
              <w:fldChar w:fldCharType="end"/>
            </w:r>
          </w:hyperlink>
        </w:p>
        <w:p w14:paraId="151EC1CE" w14:textId="126EFD6A" w:rsidR="003D678A" w:rsidRDefault="003D678A">
          <w:r w:rsidRPr="00133A46">
            <w:rPr>
              <w:bCs/>
              <w:noProof/>
              <w:sz w:val="26"/>
              <w:szCs w:val="26"/>
            </w:rPr>
            <w:fldChar w:fldCharType="end"/>
          </w:r>
        </w:p>
      </w:sdtContent>
    </w:sdt>
    <w:p w14:paraId="2BE827AB" w14:textId="04468A11" w:rsidR="00AC583F" w:rsidRPr="003D678A" w:rsidRDefault="00AC583F"/>
    <w:p w14:paraId="212B5178" w14:textId="15E13147" w:rsidR="00AC583F" w:rsidRPr="003D678A" w:rsidRDefault="00AC583F"/>
    <w:p w14:paraId="7B2C2B9C" w14:textId="6891F010" w:rsidR="00AC583F" w:rsidRPr="003D678A" w:rsidRDefault="00AC583F"/>
    <w:p w14:paraId="41B38156" w14:textId="1E758CD2" w:rsidR="00AC583F" w:rsidRPr="003D678A" w:rsidRDefault="00AC583F"/>
    <w:p w14:paraId="1EA82032" w14:textId="32E7D1B7" w:rsidR="00AC583F" w:rsidRPr="003D678A" w:rsidRDefault="00AC583F"/>
    <w:p w14:paraId="02653220" w14:textId="7F40A487" w:rsidR="00AC583F" w:rsidRPr="003D678A" w:rsidRDefault="00AC583F"/>
    <w:p w14:paraId="6DF4C402" w14:textId="62105FF5" w:rsidR="00AC583F" w:rsidRPr="003D678A" w:rsidRDefault="00AC583F"/>
    <w:p w14:paraId="293E351D" w14:textId="52885DB8" w:rsidR="00AC583F" w:rsidRPr="003D678A" w:rsidRDefault="00AC583F"/>
    <w:p w14:paraId="548040EC" w14:textId="574778D9" w:rsidR="00AC583F" w:rsidRPr="003D678A" w:rsidRDefault="00AC583F"/>
    <w:p w14:paraId="6BF3F1E0" w14:textId="0892FE70" w:rsidR="00AC583F" w:rsidRPr="003D678A" w:rsidRDefault="00AC583F"/>
    <w:p w14:paraId="704EC70B" w14:textId="697073FD" w:rsidR="00BF3132" w:rsidRDefault="00371EFA" w:rsidP="003D678A">
      <w:pPr>
        <w:pStyle w:val="Heading1"/>
        <w:rPr>
          <w:lang w:val="es-ES_tradnl"/>
        </w:rPr>
      </w:pPr>
      <w:bookmarkStart w:id="0" w:name="_Toc525574916"/>
      <w:r>
        <w:rPr>
          <w:lang w:val="es-ES_tradnl"/>
        </w:rPr>
        <w:t>Introducción</w:t>
      </w:r>
      <w:r w:rsidR="003D678A">
        <w:rPr>
          <w:lang w:val="es-ES_tradnl"/>
        </w:rPr>
        <w:t>:</w:t>
      </w:r>
      <w:r w:rsidR="00BF3132" w:rsidRPr="00553CE2">
        <w:rPr>
          <w:lang w:val="es-ES_tradnl"/>
        </w:rPr>
        <w:t xml:space="preserve"> financiación infra</w:t>
      </w:r>
      <w:r w:rsidR="003D678A">
        <w:rPr>
          <w:lang w:val="es-ES_tradnl"/>
        </w:rPr>
        <w:t>estructura privada en Uruguay</w:t>
      </w:r>
      <w:bookmarkEnd w:id="0"/>
      <w:r w:rsidR="003D678A">
        <w:rPr>
          <w:lang w:val="es-ES_tradnl"/>
        </w:rPr>
        <w:t xml:space="preserve"> </w:t>
      </w:r>
    </w:p>
    <w:p w14:paraId="00400AC1" w14:textId="77777777" w:rsidR="003D678A" w:rsidRPr="003D678A" w:rsidRDefault="003D678A" w:rsidP="003D678A">
      <w:pPr>
        <w:rPr>
          <w:lang w:val="es-ES_tradnl"/>
        </w:rPr>
      </w:pPr>
    </w:p>
    <w:p w14:paraId="2588D6B4" w14:textId="77777777" w:rsidR="00997851" w:rsidRDefault="005E248D" w:rsidP="00226F2B">
      <w:pPr>
        <w:jc w:val="both"/>
        <w:rPr>
          <w:lang w:val="es-ES_tradnl"/>
        </w:rPr>
      </w:pPr>
      <w:r>
        <w:rPr>
          <w:lang w:val="es-ES_tradnl"/>
        </w:rPr>
        <w:t>La inversi</w:t>
      </w:r>
      <w:r w:rsidR="00FA039D">
        <w:rPr>
          <w:lang w:val="es-ES_tradnl"/>
        </w:rPr>
        <w:t>ón</w:t>
      </w:r>
      <w:r w:rsidR="006F13A8">
        <w:rPr>
          <w:lang w:val="es-ES_tradnl"/>
        </w:rPr>
        <w:t xml:space="preserve"> </w:t>
      </w:r>
      <w:r>
        <w:rPr>
          <w:lang w:val="es-ES_tradnl"/>
        </w:rPr>
        <w:t xml:space="preserve">en </w:t>
      </w:r>
      <w:r w:rsidR="00226F2B">
        <w:rPr>
          <w:lang w:val="es-ES_tradnl"/>
        </w:rPr>
        <w:t>formación bruta de capital</w:t>
      </w:r>
      <w:r>
        <w:rPr>
          <w:lang w:val="es-ES_tradnl"/>
        </w:rPr>
        <w:t xml:space="preserve"> </w:t>
      </w:r>
      <w:r w:rsidR="00226F2B">
        <w:rPr>
          <w:lang w:val="es-ES_tradnl"/>
        </w:rPr>
        <w:t xml:space="preserve">(FBKB) </w:t>
      </w:r>
      <w:r>
        <w:rPr>
          <w:lang w:val="es-ES_tradnl"/>
        </w:rPr>
        <w:t>en Uruguay represe</w:t>
      </w:r>
      <w:r w:rsidR="00226F2B">
        <w:rPr>
          <w:lang w:val="es-ES_tradnl"/>
        </w:rPr>
        <w:t>nt</w:t>
      </w:r>
      <w:r w:rsidR="00FA039D">
        <w:rPr>
          <w:lang w:val="es-ES_tradnl"/>
        </w:rPr>
        <w:t>ó</w:t>
      </w:r>
      <w:r w:rsidR="00226F2B">
        <w:rPr>
          <w:lang w:val="es-ES_tradnl"/>
        </w:rPr>
        <w:t xml:space="preserve"> el 20,5% en el periodo 2008-2015</w:t>
      </w:r>
      <w:r w:rsidR="004C7D8F">
        <w:rPr>
          <w:rStyle w:val="FootnoteReference"/>
          <w:lang w:val="es-ES_tradnl"/>
        </w:rPr>
        <w:footnoteReference w:id="1"/>
      </w:r>
      <w:r w:rsidR="00226F2B">
        <w:rPr>
          <w:lang w:val="es-ES_tradnl"/>
        </w:rPr>
        <w:t xml:space="preserve">. De ese valor, el 11% fueron destinadas a inversiones en infraestructura básica (agua y saneamiento, energía y transporte), </w:t>
      </w:r>
      <w:r w:rsidR="004C7D8F">
        <w:rPr>
          <w:lang w:val="es-ES_tradnl"/>
        </w:rPr>
        <w:t xml:space="preserve">lo que representa </w:t>
      </w:r>
      <w:r w:rsidR="00226F2B">
        <w:rPr>
          <w:lang w:val="es-ES_tradnl"/>
        </w:rPr>
        <w:t xml:space="preserve">aproximadamente un 2,2% del PIB. </w:t>
      </w:r>
      <w:r w:rsidR="00997851">
        <w:rPr>
          <w:lang w:val="es-ES_tradnl"/>
        </w:rPr>
        <w:t>L</w:t>
      </w:r>
      <w:r w:rsidR="00997851" w:rsidRPr="00997851">
        <w:rPr>
          <w:lang w:val="es-ES_tradnl"/>
        </w:rPr>
        <w:t>a inversión alcanzó niveles récords en 2010-2014 llegando a 22,0% del PIB, en 2017 descendió a 16,5% del PIB. Las principales caídas en la inversión se han dado en la inversión pública (30% en el último año 2017, en Formación Bruta de Capital Fijo (FBKF) del sector público, según Banco Central de Uruguay)</w:t>
      </w:r>
      <w:r w:rsidR="00997851">
        <w:rPr>
          <w:lang w:val="es-ES_tradnl"/>
        </w:rPr>
        <w:t xml:space="preserve">. </w:t>
      </w:r>
    </w:p>
    <w:p w14:paraId="0B399C9F" w14:textId="47A524FD" w:rsidR="00226F2B" w:rsidRDefault="004C7D8F" w:rsidP="00226F2B">
      <w:pPr>
        <w:jc w:val="both"/>
        <w:rPr>
          <w:lang w:val="es-ES_tradnl"/>
        </w:rPr>
      </w:pPr>
      <w:r>
        <w:rPr>
          <w:lang w:val="es-ES_tradnl"/>
        </w:rPr>
        <w:t>En 2015, e</w:t>
      </w:r>
      <w:r w:rsidR="00226F2B">
        <w:rPr>
          <w:lang w:val="es-ES_tradnl"/>
        </w:rPr>
        <w:t xml:space="preserve">l gobierno desarrolló un Plan Quinquenal de Infraestructura para </w:t>
      </w:r>
      <w:r w:rsidR="00AC583F">
        <w:rPr>
          <w:lang w:val="es-ES_tradnl"/>
        </w:rPr>
        <w:t xml:space="preserve">el periodo </w:t>
      </w:r>
      <w:r w:rsidR="00226F2B">
        <w:rPr>
          <w:lang w:val="es-ES_tradnl"/>
        </w:rPr>
        <w:t>2015-2019</w:t>
      </w:r>
      <w:r w:rsidR="007C200F">
        <w:rPr>
          <w:rStyle w:val="FootnoteReference"/>
          <w:lang w:val="es-ES_tradnl"/>
        </w:rPr>
        <w:footnoteReference w:id="2"/>
      </w:r>
      <w:r w:rsidR="00226F2B">
        <w:rPr>
          <w:lang w:val="es-ES_tradnl"/>
        </w:rPr>
        <w:t xml:space="preserve"> que considera una inversión total de</w:t>
      </w:r>
      <w:r w:rsidRPr="004C7D8F">
        <w:rPr>
          <w:lang w:val="es-ES_tradnl"/>
        </w:rPr>
        <w:t xml:space="preserve"> </w:t>
      </w:r>
      <w:r>
        <w:rPr>
          <w:lang w:val="es-ES_tradnl"/>
        </w:rPr>
        <w:t xml:space="preserve">US$ 12,370 millones (aproximadamente el 5% del PIB). Del total, </w:t>
      </w:r>
      <w:r w:rsidR="00226F2B">
        <w:rPr>
          <w:lang w:val="es-ES_tradnl"/>
        </w:rPr>
        <w:t xml:space="preserve">US$ 4,230 millones serían </w:t>
      </w:r>
      <w:r>
        <w:rPr>
          <w:lang w:val="es-ES_tradnl"/>
        </w:rPr>
        <w:t>destinados a</w:t>
      </w:r>
      <w:r w:rsidR="00226F2B">
        <w:rPr>
          <w:lang w:val="es-ES_tradnl"/>
        </w:rPr>
        <w:t xml:space="preserve"> energía, US$ 2,360 </w:t>
      </w:r>
      <w:r>
        <w:rPr>
          <w:lang w:val="es-ES_tradnl"/>
        </w:rPr>
        <w:t>a</w:t>
      </w:r>
      <w:r w:rsidR="00226F2B">
        <w:rPr>
          <w:lang w:val="es-ES_tradnl"/>
        </w:rPr>
        <w:t xml:space="preserve"> carreteras, US$ 550 millones </w:t>
      </w:r>
      <w:r>
        <w:rPr>
          <w:lang w:val="es-ES_tradnl"/>
        </w:rPr>
        <w:t>a</w:t>
      </w:r>
      <w:r w:rsidR="00226F2B">
        <w:rPr>
          <w:lang w:val="es-ES_tradnl"/>
        </w:rPr>
        <w:t xml:space="preserve"> puertos, US$ 360 </w:t>
      </w:r>
      <w:r>
        <w:rPr>
          <w:lang w:val="es-ES_tradnl"/>
        </w:rPr>
        <w:t>a</w:t>
      </w:r>
      <w:r w:rsidR="00226F2B">
        <w:rPr>
          <w:lang w:val="es-ES_tradnl"/>
        </w:rPr>
        <w:t xml:space="preserve"> transporte ferroviario y US$ 550 millones en agua y saneamiento. El plan c</w:t>
      </w:r>
      <w:r>
        <w:rPr>
          <w:lang w:val="es-ES_tradnl"/>
        </w:rPr>
        <w:t>uenta</w:t>
      </w:r>
      <w:r w:rsidR="00226F2B">
        <w:rPr>
          <w:lang w:val="es-ES_tradnl"/>
        </w:rPr>
        <w:t xml:space="preserve"> con que el sector privado </w:t>
      </w:r>
      <w:r w:rsidR="00226F2B" w:rsidRPr="00133A46">
        <w:rPr>
          <w:lang w:val="es-ES_tradnl"/>
        </w:rPr>
        <w:t>financ</w:t>
      </w:r>
      <w:r w:rsidRPr="00133A46">
        <w:rPr>
          <w:lang w:val="es-ES_tradnl"/>
        </w:rPr>
        <w:t>ie</w:t>
      </w:r>
      <w:r w:rsidR="00226F2B" w:rsidRPr="00133A46">
        <w:rPr>
          <w:lang w:val="es-ES_tradnl"/>
        </w:rPr>
        <w:t xml:space="preserve"> el 50% de l</w:t>
      </w:r>
      <w:r w:rsidRPr="00133A46">
        <w:rPr>
          <w:lang w:val="es-ES_tradnl"/>
        </w:rPr>
        <w:t>as inversiones en el periodo</w:t>
      </w:r>
      <w:r w:rsidR="00226F2B" w:rsidRPr="00133A46">
        <w:rPr>
          <w:lang w:val="es-ES_tradnl"/>
        </w:rPr>
        <w:t>.</w:t>
      </w:r>
      <w:r w:rsidR="00226F2B">
        <w:rPr>
          <w:lang w:val="es-ES_tradnl"/>
        </w:rPr>
        <w:t xml:space="preserve"> </w:t>
      </w:r>
    </w:p>
    <w:p w14:paraId="0447516B" w14:textId="44B84E5B" w:rsidR="00226F2B" w:rsidRDefault="004C7D8F" w:rsidP="00226F2B">
      <w:pPr>
        <w:jc w:val="both"/>
        <w:rPr>
          <w:lang w:val="es-ES_tradnl"/>
        </w:rPr>
      </w:pPr>
      <w:r>
        <w:rPr>
          <w:lang w:val="es-ES_tradnl"/>
        </w:rPr>
        <w:t>En el periodo anterior, e</w:t>
      </w:r>
      <w:r w:rsidR="009901C3">
        <w:rPr>
          <w:lang w:val="es-ES_tradnl"/>
        </w:rPr>
        <w:t xml:space="preserve">ntre </w:t>
      </w:r>
      <w:r w:rsidR="009901C3" w:rsidRPr="00B43E9A">
        <w:rPr>
          <w:lang w:val="es-ES_tradnl"/>
        </w:rPr>
        <w:t>201</w:t>
      </w:r>
      <w:r w:rsidR="00136FB8" w:rsidRPr="00B43E9A">
        <w:rPr>
          <w:lang w:val="es-ES_tradnl"/>
        </w:rPr>
        <w:t>1</w:t>
      </w:r>
      <w:r w:rsidR="009901C3" w:rsidRPr="00B43E9A">
        <w:rPr>
          <w:lang w:val="es-ES_tradnl"/>
        </w:rPr>
        <w:t xml:space="preserve"> y 2015, el 50% de las inversiones en infraestructura fueron</w:t>
      </w:r>
      <w:r w:rsidR="009901C3">
        <w:rPr>
          <w:lang w:val="es-ES_tradnl"/>
        </w:rPr>
        <w:t xml:space="preserve"> financiadas por el sector privado. </w:t>
      </w:r>
      <w:r w:rsidR="00E25E11">
        <w:rPr>
          <w:lang w:val="es-ES_tradnl"/>
        </w:rPr>
        <w:t>En concreto, l</w:t>
      </w:r>
      <w:r>
        <w:rPr>
          <w:lang w:val="es-ES_tradnl"/>
        </w:rPr>
        <w:t>a financiación del sector privado comenzó a crecer a partir de 2013 gracias al sector de energía, donde representó el 55% del total</w:t>
      </w:r>
      <w:r w:rsidR="00B006B8">
        <w:rPr>
          <w:lang w:val="es-ES_tradnl"/>
        </w:rPr>
        <w:t>. La participación más pequeña del sector privado fue en el</w:t>
      </w:r>
      <w:r w:rsidR="009901C3">
        <w:rPr>
          <w:lang w:val="es-ES_tradnl"/>
        </w:rPr>
        <w:t xml:space="preserve"> </w:t>
      </w:r>
      <w:r w:rsidR="00136FB8">
        <w:rPr>
          <w:lang w:val="es-ES_tradnl"/>
        </w:rPr>
        <w:t>área</w:t>
      </w:r>
      <w:r w:rsidR="009901C3">
        <w:rPr>
          <w:lang w:val="es-ES_tradnl"/>
        </w:rPr>
        <w:t xml:space="preserve"> de transporte</w:t>
      </w:r>
      <w:r w:rsidR="00B006B8">
        <w:rPr>
          <w:lang w:val="es-ES_tradnl"/>
        </w:rPr>
        <w:t>;</w:t>
      </w:r>
      <w:r w:rsidR="00136FB8">
        <w:rPr>
          <w:lang w:val="es-ES_tradnl"/>
        </w:rPr>
        <w:t xml:space="preserve"> </w:t>
      </w:r>
      <w:r w:rsidR="0033607B">
        <w:rPr>
          <w:lang w:val="es-ES_tradnl"/>
        </w:rPr>
        <w:t xml:space="preserve">donde apenas llegó al 11% en el </w:t>
      </w:r>
      <w:r w:rsidR="00136FB8">
        <w:rPr>
          <w:lang w:val="es-ES_tradnl"/>
        </w:rPr>
        <w:t>periodo</w:t>
      </w:r>
      <w:r w:rsidR="0033607B">
        <w:rPr>
          <w:lang w:val="es-ES_tradnl"/>
        </w:rPr>
        <w:t xml:space="preserve">. </w:t>
      </w:r>
      <w:r w:rsidR="00136FB8">
        <w:rPr>
          <w:lang w:val="es-ES_tradnl"/>
        </w:rPr>
        <w:t>Es</w:t>
      </w:r>
      <w:r w:rsidR="00B006B8">
        <w:rPr>
          <w:lang w:val="es-ES_tradnl"/>
        </w:rPr>
        <w:t xml:space="preserve"> precisamente este s</w:t>
      </w:r>
      <w:r w:rsidR="00136FB8">
        <w:rPr>
          <w:lang w:val="es-ES_tradnl"/>
        </w:rPr>
        <w:t>ector</w:t>
      </w:r>
      <w:r w:rsidR="00B006B8">
        <w:rPr>
          <w:lang w:val="es-ES_tradnl"/>
        </w:rPr>
        <w:t xml:space="preserve"> el </w:t>
      </w:r>
      <w:r w:rsidR="00136FB8">
        <w:rPr>
          <w:lang w:val="es-ES_tradnl"/>
        </w:rPr>
        <w:t xml:space="preserve">que se pretende potenciar en </w:t>
      </w:r>
      <w:r>
        <w:rPr>
          <w:lang w:val="es-ES_tradnl"/>
        </w:rPr>
        <w:t xml:space="preserve">el </w:t>
      </w:r>
      <w:r w:rsidR="00136FB8">
        <w:rPr>
          <w:lang w:val="es-ES_tradnl"/>
        </w:rPr>
        <w:t xml:space="preserve">quinquenio </w:t>
      </w:r>
      <w:r>
        <w:rPr>
          <w:lang w:val="es-ES_tradnl"/>
        </w:rPr>
        <w:t>actual,</w:t>
      </w:r>
      <w:r w:rsidR="00B006B8">
        <w:rPr>
          <w:lang w:val="es-ES_tradnl"/>
        </w:rPr>
        <w:t xml:space="preserve"> cuando se espera llegar </w:t>
      </w:r>
      <w:r w:rsidR="00136FB8">
        <w:rPr>
          <w:lang w:val="es-ES_tradnl"/>
        </w:rPr>
        <w:t xml:space="preserve">al 34% de la inversión privada a través de esquemas de </w:t>
      </w:r>
      <w:proofErr w:type="spellStart"/>
      <w:r w:rsidR="00136FB8">
        <w:rPr>
          <w:lang w:val="es-ES_tradnl"/>
        </w:rPr>
        <w:t>PPPs</w:t>
      </w:r>
      <w:proofErr w:type="spellEnd"/>
      <w:r w:rsidR="00136FB8">
        <w:rPr>
          <w:lang w:val="es-ES_tradnl"/>
        </w:rPr>
        <w:t xml:space="preserve">. </w:t>
      </w:r>
    </w:p>
    <w:p w14:paraId="37DA5FC0" w14:textId="004A3759" w:rsidR="00106D7D" w:rsidRPr="00106D7D" w:rsidRDefault="00106D7D" w:rsidP="00226F2B">
      <w:pPr>
        <w:jc w:val="both"/>
        <w:rPr>
          <w:b/>
          <w:smallCaps/>
          <w:lang w:val="es-ES_tradnl"/>
        </w:rPr>
      </w:pPr>
      <w:r w:rsidRPr="00106D7D">
        <w:rPr>
          <w:b/>
          <w:smallCaps/>
          <w:lang w:val="es-ES_tradnl"/>
        </w:rPr>
        <w:t xml:space="preserve">Inversión por sectores </w:t>
      </w:r>
    </w:p>
    <w:p w14:paraId="5B011E60" w14:textId="6884CB5C" w:rsidR="00B006B8" w:rsidRDefault="00B006B8" w:rsidP="00B006B8">
      <w:pPr>
        <w:jc w:val="both"/>
        <w:rPr>
          <w:lang w:val="es-ES_tradnl"/>
        </w:rPr>
      </w:pPr>
      <w:r w:rsidRPr="00106D7D">
        <w:rPr>
          <w:lang w:val="es-ES_tradnl"/>
        </w:rPr>
        <w:t>Por sectores</w:t>
      </w:r>
      <w:r w:rsidR="00FB49E8" w:rsidRPr="00106D7D">
        <w:rPr>
          <w:lang w:val="es-ES_tradnl"/>
        </w:rPr>
        <w:t>, en</w:t>
      </w:r>
      <w:r w:rsidR="00FB49E8">
        <w:rPr>
          <w:lang w:val="es-ES_tradnl"/>
        </w:rPr>
        <w:t xml:space="preserve"> el periodo 2011-2015, el sector público invirtió US$ 2,185 millones en energía (generación, transmisión, distribución y comercialización). Las inversiones privadas</w:t>
      </w:r>
      <w:r w:rsidR="0033607B">
        <w:rPr>
          <w:lang w:val="es-ES_tradnl"/>
        </w:rPr>
        <w:t xml:space="preserve"> fueron</w:t>
      </w:r>
      <w:r w:rsidR="00FB49E8">
        <w:rPr>
          <w:lang w:val="es-ES_tradnl"/>
        </w:rPr>
        <w:t xml:space="preserve"> cuantiosas </w:t>
      </w:r>
      <w:r w:rsidR="0033607B">
        <w:rPr>
          <w:lang w:val="es-ES_tradnl"/>
        </w:rPr>
        <w:t xml:space="preserve">-55% del total- especialmente </w:t>
      </w:r>
      <w:r w:rsidR="00FB49E8">
        <w:rPr>
          <w:lang w:val="es-ES_tradnl"/>
        </w:rPr>
        <w:t>en la etapa de generación</w:t>
      </w:r>
      <w:r w:rsidR="0033607B">
        <w:rPr>
          <w:lang w:val="es-ES_tradnl"/>
        </w:rPr>
        <w:t xml:space="preserve"> y en renovables en particular.</w:t>
      </w:r>
      <w:r w:rsidR="00FB49E8">
        <w:rPr>
          <w:lang w:val="es-ES_tradnl"/>
        </w:rPr>
        <w:t xml:space="preserve"> Las principales inversiones privadas en el sector de transporte fueron para aeropuertos y puertos sumando el 11% del total. </w:t>
      </w:r>
      <w:r>
        <w:rPr>
          <w:lang w:val="es-ES_tradnl"/>
        </w:rPr>
        <w:t xml:space="preserve">Debido a la legislación actual, las inversiones en agua y saneamiento dependen de la empresa pública </w:t>
      </w:r>
      <w:r w:rsidR="0033607B">
        <w:rPr>
          <w:lang w:val="es-ES_tradnl"/>
        </w:rPr>
        <w:t>Obras Sanitarias del Estado (OSE)</w:t>
      </w:r>
      <w:r>
        <w:rPr>
          <w:lang w:val="es-ES_tradnl"/>
        </w:rPr>
        <w:t xml:space="preserve"> y el sector privado no puede entrar a financiar proyectos. </w:t>
      </w:r>
    </w:p>
    <w:p w14:paraId="4D192967" w14:textId="106D999A" w:rsidR="00F81B79" w:rsidRDefault="00F81B79" w:rsidP="00F81B79">
      <w:pPr>
        <w:jc w:val="both"/>
        <w:rPr>
          <w:lang w:val="es-ES_tradnl"/>
        </w:rPr>
      </w:pPr>
      <w:r>
        <w:rPr>
          <w:lang w:val="es-ES_tradnl"/>
        </w:rPr>
        <w:t>En cuanto al periodo</w:t>
      </w:r>
      <w:r w:rsidR="0033607B">
        <w:rPr>
          <w:lang w:val="es-ES_tradnl"/>
        </w:rPr>
        <w:t xml:space="preserve"> actual,</w:t>
      </w:r>
      <w:r>
        <w:rPr>
          <w:lang w:val="es-ES_tradnl"/>
        </w:rPr>
        <w:t xml:space="preserve"> de 2015 a 2019, de los US$ 12,370 millones esperados en todo el sector de infraestructura</w:t>
      </w:r>
      <w:r w:rsidR="007C200F">
        <w:rPr>
          <w:rStyle w:val="FootnoteReference"/>
          <w:lang w:val="es-ES_tradnl"/>
        </w:rPr>
        <w:footnoteReference w:id="3"/>
      </w:r>
      <w:r>
        <w:rPr>
          <w:lang w:val="es-ES_tradnl"/>
        </w:rPr>
        <w:t xml:space="preserve">, se espera que la mayor parte se destine al sector de energía; la empresa pública UTE espera invertir US$ 1,370 </w:t>
      </w:r>
      <w:r w:rsidR="00106D7D">
        <w:rPr>
          <w:lang w:val="es-ES_tradnl"/>
        </w:rPr>
        <w:t>millones</w:t>
      </w:r>
      <w:r>
        <w:rPr>
          <w:lang w:val="es-ES_tradnl"/>
        </w:rPr>
        <w:t xml:space="preserve"> en el periodo. Adicionalmente, habría US$ 460 millones más para proyectos de transmisión y distribución. En generación de energías renovables se esperan US$ 1,740 millones divididos en eólica </w:t>
      </w:r>
      <w:r w:rsidR="0033607B">
        <w:rPr>
          <w:lang w:val="es-ES_tradnl"/>
        </w:rPr>
        <w:t>(</w:t>
      </w:r>
      <w:r>
        <w:rPr>
          <w:lang w:val="es-ES_tradnl"/>
        </w:rPr>
        <w:t>US$ 1,300 millone</w:t>
      </w:r>
      <w:r w:rsidR="0033607B">
        <w:rPr>
          <w:lang w:val="es-ES_tradnl"/>
        </w:rPr>
        <w:t>s)</w:t>
      </w:r>
      <w:r>
        <w:rPr>
          <w:lang w:val="es-ES_tradnl"/>
        </w:rPr>
        <w:t xml:space="preserve">, fotovoltaica </w:t>
      </w:r>
      <w:r w:rsidR="0033607B">
        <w:rPr>
          <w:lang w:val="es-ES_tradnl"/>
        </w:rPr>
        <w:t>(</w:t>
      </w:r>
      <w:r>
        <w:rPr>
          <w:lang w:val="es-ES_tradnl"/>
        </w:rPr>
        <w:t>US$ 340 millones</w:t>
      </w:r>
      <w:r w:rsidR="0033607B">
        <w:rPr>
          <w:lang w:val="es-ES_tradnl"/>
        </w:rPr>
        <w:t xml:space="preserve">) y </w:t>
      </w:r>
      <w:r>
        <w:rPr>
          <w:lang w:val="es-ES_tradnl"/>
        </w:rPr>
        <w:t xml:space="preserve">biomasa </w:t>
      </w:r>
      <w:r w:rsidR="0033607B">
        <w:rPr>
          <w:lang w:val="es-ES_tradnl"/>
        </w:rPr>
        <w:t>(</w:t>
      </w:r>
      <w:r>
        <w:rPr>
          <w:lang w:val="es-ES_tradnl"/>
        </w:rPr>
        <w:t>US$ 100 millones</w:t>
      </w:r>
      <w:r w:rsidR="0033607B">
        <w:rPr>
          <w:lang w:val="es-ES_tradnl"/>
        </w:rPr>
        <w:t>)</w:t>
      </w:r>
      <w:r>
        <w:rPr>
          <w:lang w:val="es-ES_tradnl"/>
        </w:rPr>
        <w:t xml:space="preserve">. </w:t>
      </w:r>
    </w:p>
    <w:p w14:paraId="76E61FDA" w14:textId="77777777" w:rsidR="00371EFA" w:rsidRDefault="00371EFA" w:rsidP="00F81B79">
      <w:pPr>
        <w:jc w:val="both"/>
        <w:rPr>
          <w:lang w:val="es-ES_tradnl"/>
        </w:rPr>
      </w:pPr>
    </w:p>
    <w:tbl>
      <w:tblPr>
        <w:tblStyle w:val="TableGrid"/>
        <w:tblW w:w="0" w:type="auto"/>
        <w:tblLook w:val="04A0" w:firstRow="1" w:lastRow="0" w:firstColumn="1" w:lastColumn="0" w:noHBand="0" w:noVBand="1"/>
      </w:tblPr>
      <w:tblGrid>
        <w:gridCol w:w="4788"/>
        <w:gridCol w:w="4788"/>
      </w:tblGrid>
      <w:tr w:rsidR="00F81B79" w:rsidRPr="00133A46" w14:paraId="2AF9EE98" w14:textId="77777777" w:rsidTr="00F81B79">
        <w:tc>
          <w:tcPr>
            <w:tcW w:w="4788" w:type="dxa"/>
            <w:shd w:val="clear" w:color="auto" w:fill="548DD4" w:themeFill="text2" w:themeFillTint="99"/>
          </w:tcPr>
          <w:p w14:paraId="248CCE2C" w14:textId="525C5B13" w:rsidR="00F81B79" w:rsidRPr="00F81B79" w:rsidRDefault="00F81B79" w:rsidP="00F81B79">
            <w:pPr>
              <w:jc w:val="center"/>
              <w:rPr>
                <w:b/>
                <w:smallCaps/>
                <w:lang w:val="es-ES_tradnl"/>
              </w:rPr>
            </w:pPr>
            <w:r w:rsidRPr="00F81B79">
              <w:rPr>
                <w:b/>
                <w:smallCaps/>
                <w:lang w:val="es-ES_tradnl"/>
              </w:rPr>
              <w:t>Sector, periodo 2015 – 2019</w:t>
            </w:r>
          </w:p>
        </w:tc>
        <w:tc>
          <w:tcPr>
            <w:tcW w:w="4788" w:type="dxa"/>
            <w:shd w:val="clear" w:color="auto" w:fill="548DD4" w:themeFill="text2" w:themeFillTint="99"/>
          </w:tcPr>
          <w:p w14:paraId="48CE3CA9" w14:textId="3C1EB95A" w:rsidR="00F81B79" w:rsidRPr="00F81B79" w:rsidRDefault="00F81B79" w:rsidP="00F81B79">
            <w:pPr>
              <w:jc w:val="center"/>
              <w:rPr>
                <w:b/>
                <w:smallCaps/>
                <w:lang w:val="es-ES_tradnl"/>
              </w:rPr>
            </w:pPr>
            <w:r w:rsidRPr="00F81B79">
              <w:rPr>
                <w:b/>
                <w:smallCaps/>
                <w:lang w:val="es-ES_tradnl"/>
              </w:rPr>
              <w:t>Inversión en millones de US$</w:t>
            </w:r>
          </w:p>
        </w:tc>
      </w:tr>
      <w:tr w:rsidR="00F81B79" w14:paraId="5FE57CFA" w14:textId="77777777" w:rsidTr="00F81B79">
        <w:tc>
          <w:tcPr>
            <w:tcW w:w="4788" w:type="dxa"/>
            <w:shd w:val="clear" w:color="auto" w:fill="C6D9F1" w:themeFill="text2" w:themeFillTint="33"/>
          </w:tcPr>
          <w:p w14:paraId="514316D5" w14:textId="7A38B2AE" w:rsidR="00F81B79" w:rsidRDefault="00F81B79" w:rsidP="00F81B79">
            <w:pPr>
              <w:jc w:val="both"/>
              <w:rPr>
                <w:lang w:val="es-ES_tradnl"/>
              </w:rPr>
            </w:pPr>
            <w:r>
              <w:rPr>
                <w:lang w:val="es-ES_tradnl"/>
              </w:rPr>
              <w:t xml:space="preserve">Energía </w:t>
            </w:r>
          </w:p>
        </w:tc>
        <w:tc>
          <w:tcPr>
            <w:tcW w:w="4788" w:type="dxa"/>
            <w:shd w:val="clear" w:color="auto" w:fill="C6D9F1" w:themeFill="text2" w:themeFillTint="33"/>
          </w:tcPr>
          <w:p w14:paraId="15CFCC83" w14:textId="31ECD691" w:rsidR="00F81B79" w:rsidRDefault="00F81B79" w:rsidP="0033607B">
            <w:pPr>
              <w:jc w:val="center"/>
              <w:rPr>
                <w:lang w:val="es-ES_tradnl"/>
              </w:rPr>
            </w:pPr>
            <w:r>
              <w:rPr>
                <w:lang w:val="es-ES_tradnl"/>
              </w:rPr>
              <w:t>4,230</w:t>
            </w:r>
          </w:p>
        </w:tc>
      </w:tr>
      <w:tr w:rsidR="00F81B79" w14:paraId="7F66892C" w14:textId="77777777" w:rsidTr="00F81B79">
        <w:tc>
          <w:tcPr>
            <w:tcW w:w="4788" w:type="dxa"/>
            <w:shd w:val="clear" w:color="auto" w:fill="C6D9F1" w:themeFill="text2" w:themeFillTint="33"/>
          </w:tcPr>
          <w:p w14:paraId="01F8764A" w14:textId="763EFE16" w:rsidR="00F81B79" w:rsidRDefault="00F81B79" w:rsidP="00F81B79">
            <w:pPr>
              <w:jc w:val="both"/>
              <w:rPr>
                <w:lang w:val="es-ES_tradnl"/>
              </w:rPr>
            </w:pPr>
            <w:r>
              <w:rPr>
                <w:lang w:val="es-ES_tradnl"/>
              </w:rPr>
              <w:t xml:space="preserve">Transporte terrestre </w:t>
            </w:r>
          </w:p>
        </w:tc>
        <w:tc>
          <w:tcPr>
            <w:tcW w:w="4788" w:type="dxa"/>
            <w:shd w:val="clear" w:color="auto" w:fill="C6D9F1" w:themeFill="text2" w:themeFillTint="33"/>
          </w:tcPr>
          <w:p w14:paraId="33DEA4D7" w14:textId="65F03BCF" w:rsidR="00F81B79" w:rsidRDefault="00F81B79" w:rsidP="0033607B">
            <w:pPr>
              <w:jc w:val="center"/>
              <w:rPr>
                <w:lang w:val="es-ES_tradnl"/>
              </w:rPr>
            </w:pPr>
            <w:r>
              <w:rPr>
                <w:lang w:val="es-ES_tradnl"/>
              </w:rPr>
              <w:t>2,360</w:t>
            </w:r>
          </w:p>
        </w:tc>
      </w:tr>
      <w:tr w:rsidR="00F81B79" w14:paraId="6F4517C4" w14:textId="77777777" w:rsidTr="00F81B79">
        <w:tc>
          <w:tcPr>
            <w:tcW w:w="4788" w:type="dxa"/>
            <w:shd w:val="clear" w:color="auto" w:fill="C6D9F1" w:themeFill="text2" w:themeFillTint="33"/>
          </w:tcPr>
          <w:p w14:paraId="1BA94F41" w14:textId="41F0D58C" w:rsidR="00F81B79" w:rsidRDefault="00F81B79" w:rsidP="00F81B79">
            <w:pPr>
              <w:jc w:val="both"/>
              <w:rPr>
                <w:lang w:val="es-ES_tradnl"/>
              </w:rPr>
            </w:pPr>
            <w:r>
              <w:rPr>
                <w:lang w:val="es-ES_tradnl"/>
              </w:rPr>
              <w:t xml:space="preserve">Infraestructura social </w:t>
            </w:r>
          </w:p>
        </w:tc>
        <w:tc>
          <w:tcPr>
            <w:tcW w:w="4788" w:type="dxa"/>
            <w:shd w:val="clear" w:color="auto" w:fill="C6D9F1" w:themeFill="text2" w:themeFillTint="33"/>
          </w:tcPr>
          <w:p w14:paraId="4952243D" w14:textId="1BAB7249" w:rsidR="00F81B79" w:rsidRDefault="00F81B79" w:rsidP="0033607B">
            <w:pPr>
              <w:jc w:val="center"/>
              <w:rPr>
                <w:lang w:val="es-ES_tradnl"/>
              </w:rPr>
            </w:pPr>
            <w:r>
              <w:rPr>
                <w:lang w:val="es-ES_tradnl"/>
              </w:rPr>
              <w:t>1,870</w:t>
            </w:r>
          </w:p>
        </w:tc>
      </w:tr>
      <w:tr w:rsidR="00F81B79" w14:paraId="4C8D9515" w14:textId="77777777" w:rsidTr="00F81B79">
        <w:tc>
          <w:tcPr>
            <w:tcW w:w="4788" w:type="dxa"/>
            <w:shd w:val="clear" w:color="auto" w:fill="C6D9F1" w:themeFill="text2" w:themeFillTint="33"/>
          </w:tcPr>
          <w:p w14:paraId="48ADB1B7" w14:textId="10BC4B78" w:rsidR="00F81B79" w:rsidRDefault="00F81B79" w:rsidP="00F81B79">
            <w:pPr>
              <w:jc w:val="both"/>
              <w:rPr>
                <w:lang w:val="es-ES_tradnl"/>
              </w:rPr>
            </w:pPr>
            <w:r>
              <w:rPr>
                <w:lang w:val="es-ES_tradnl"/>
              </w:rPr>
              <w:t xml:space="preserve">Vivienda </w:t>
            </w:r>
          </w:p>
        </w:tc>
        <w:tc>
          <w:tcPr>
            <w:tcW w:w="4788" w:type="dxa"/>
            <w:shd w:val="clear" w:color="auto" w:fill="C6D9F1" w:themeFill="text2" w:themeFillTint="33"/>
          </w:tcPr>
          <w:p w14:paraId="4A878888" w14:textId="37D2F8A4" w:rsidR="00F81B79" w:rsidRDefault="00F81B79" w:rsidP="0033607B">
            <w:pPr>
              <w:jc w:val="center"/>
              <w:rPr>
                <w:lang w:val="es-ES_tradnl"/>
              </w:rPr>
            </w:pPr>
            <w:r>
              <w:rPr>
                <w:lang w:val="es-ES_tradnl"/>
              </w:rPr>
              <w:t>1,320</w:t>
            </w:r>
          </w:p>
        </w:tc>
      </w:tr>
      <w:tr w:rsidR="00F81B79" w14:paraId="0E106D83" w14:textId="77777777" w:rsidTr="00F81B79">
        <w:tc>
          <w:tcPr>
            <w:tcW w:w="4788" w:type="dxa"/>
            <w:shd w:val="clear" w:color="auto" w:fill="C6D9F1" w:themeFill="text2" w:themeFillTint="33"/>
          </w:tcPr>
          <w:p w14:paraId="6E9D3200" w14:textId="71826B5E" w:rsidR="00F81B79" w:rsidRDefault="00F81B79" w:rsidP="00F81B79">
            <w:pPr>
              <w:jc w:val="both"/>
              <w:rPr>
                <w:lang w:val="es-ES_tradnl"/>
              </w:rPr>
            </w:pPr>
            <w:r>
              <w:rPr>
                <w:lang w:val="es-ES_tradnl"/>
              </w:rPr>
              <w:t xml:space="preserve">Comunicaciones </w:t>
            </w:r>
          </w:p>
        </w:tc>
        <w:tc>
          <w:tcPr>
            <w:tcW w:w="4788" w:type="dxa"/>
            <w:shd w:val="clear" w:color="auto" w:fill="C6D9F1" w:themeFill="text2" w:themeFillTint="33"/>
          </w:tcPr>
          <w:p w14:paraId="1F940F01" w14:textId="160A1769" w:rsidR="00F81B79" w:rsidRDefault="00F81B79" w:rsidP="0033607B">
            <w:pPr>
              <w:jc w:val="center"/>
              <w:rPr>
                <w:lang w:val="es-ES_tradnl"/>
              </w:rPr>
            </w:pPr>
            <w:r>
              <w:rPr>
                <w:lang w:val="es-ES_tradnl"/>
              </w:rPr>
              <w:t>750</w:t>
            </w:r>
          </w:p>
        </w:tc>
      </w:tr>
      <w:tr w:rsidR="00F81B79" w14:paraId="5FB44C34" w14:textId="77777777" w:rsidTr="00F81B79">
        <w:tc>
          <w:tcPr>
            <w:tcW w:w="4788" w:type="dxa"/>
            <w:shd w:val="clear" w:color="auto" w:fill="C6D9F1" w:themeFill="text2" w:themeFillTint="33"/>
          </w:tcPr>
          <w:p w14:paraId="2745ED65" w14:textId="6CAF9677" w:rsidR="00F81B79" w:rsidRDefault="00F81B79" w:rsidP="00F81B79">
            <w:pPr>
              <w:jc w:val="both"/>
              <w:rPr>
                <w:lang w:val="es-ES_tradnl"/>
              </w:rPr>
            </w:pPr>
            <w:r>
              <w:rPr>
                <w:lang w:val="es-ES_tradnl"/>
              </w:rPr>
              <w:t xml:space="preserve">Agua y saneamiento </w:t>
            </w:r>
          </w:p>
        </w:tc>
        <w:tc>
          <w:tcPr>
            <w:tcW w:w="4788" w:type="dxa"/>
            <w:shd w:val="clear" w:color="auto" w:fill="C6D9F1" w:themeFill="text2" w:themeFillTint="33"/>
          </w:tcPr>
          <w:p w14:paraId="40B0F503" w14:textId="4C336ACF" w:rsidR="00F81B79" w:rsidRDefault="00F81B79" w:rsidP="0033607B">
            <w:pPr>
              <w:jc w:val="center"/>
              <w:rPr>
                <w:lang w:val="es-ES_tradnl"/>
              </w:rPr>
            </w:pPr>
            <w:r>
              <w:rPr>
                <w:lang w:val="es-ES_tradnl"/>
              </w:rPr>
              <w:t>550</w:t>
            </w:r>
          </w:p>
        </w:tc>
      </w:tr>
      <w:tr w:rsidR="00F81B79" w14:paraId="28E37C96" w14:textId="77777777" w:rsidTr="00F81B79">
        <w:tc>
          <w:tcPr>
            <w:tcW w:w="4788" w:type="dxa"/>
            <w:shd w:val="clear" w:color="auto" w:fill="C6D9F1" w:themeFill="text2" w:themeFillTint="33"/>
          </w:tcPr>
          <w:p w14:paraId="22DC581C" w14:textId="2790F5C4" w:rsidR="00F81B79" w:rsidRDefault="00F81B79" w:rsidP="00F81B79">
            <w:pPr>
              <w:jc w:val="both"/>
              <w:rPr>
                <w:lang w:val="es-ES_tradnl"/>
              </w:rPr>
            </w:pPr>
            <w:r>
              <w:rPr>
                <w:lang w:val="es-ES_tradnl"/>
              </w:rPr>
              <w:t xml:space="preserve">Puertos </w:t>
            </w:r>
          </w:p>
        </w:tc>
        <w:tc>
          <w:tcPr>
            <w:tcW w:w="4788" w:type="dxa"/>
            <w:shd w:val="clear" w:color="auto" w:fill="C6D9F1" w:themeFill="text2" w:themeFillTint="33"/>
          </w:tcPr>
          <w:p w14:paraId="7A2CEF41" w14:textId="6B9575A4" w:rsidR="00F81B79" w:rsidRDefault="00F81B79" w:rsidP="0033607B">
            <w:pPr>
              <w:jc w:val="center"/>
              <w:rPr>
                <w:lang w:val="es-ES_tradnl"/>
              </w:rPr>
            </w:pPr>
            <w:r>
              <w:rPr>
                <w:lang w:val="es-ES_tradnl"/>
              </w:rPr>
              <w:t>550</w:t>
            </w:r>
          </w:p>
        </w:tc>
      </w:tr>
      <w:tr w:rsidR="00F81B79" w14:paraId="39DF667C" w14:textId="77777777" w:rsidTr="00F81B79">
        <w:tc>
          <w:tcPr>
            <w:tcW w:w="4788" w:type="dxa"/>
            <w:shd w:val="clear" w:color="auto" w:fill="C6D9F1" w:themeFill="text2" w:themeFillTint="33"/>
          </w:tcPr>
          <w:p w14:paraId="3E78C7E7" w14:textId="7A6655BA" w:rsidR="00F81B79" w:rsidRDefault="00F81B79" w:rsidP="00F81B79">
            <w:pPr>
              <w:jc w:val="both"/>
              <w:rPr>
                <w:lang w:val="es-ES_tradnl"/>
              </w:rPr>
            </w:pPr>
            <w:r>
              <w:rPr>
                <w:lang w:val="es-ES_tradnl"/>
              </w:rPr>
              <w:t xml:space="preserve">Ferrovías </w:t>
            </w:r>
          </w:p>
        </w:tc>
        <w:tc>
          <w:tcPr>
            <w:tcW w:w="4788" w:type="dxa"/>
            <w:shd w:val="clear" w:color="auto" w:fill="C6D9F1" w:themeFill="text2" w:themeFillTint="33"/>
          </w:tcPr>
          <w:p w14:paraId="3A99D078" w14:textId="0844E4F5" w:rsidR="00F81B79" w:rsidRDefault="00F81B79" w:rsidP="0033607B">
            <w:pPr>
              <w:jc w:val="center"/>
              <w:rPr>
                <w:lang w:val="es-ES_tradnl"/>
              </w:rPr>
            </w:pPr>
            <w:r>
              <w:rPr>
                <w:lang w:val="es-ES_tradnl"/>
              </w:rPr>
              <w:t>360</w:t>
            </w:r>
          </w:p>
        </w:tc>
      </w:tr>
      <w:tr w:rsidR="00F81B79" w14:paraId="7DA4C378" w14:textId="77777777" w:rsidTr="00F81B79">
        <w:tc>
          <w:tcPr>
            <w:tcW w:w="4788" w:type="dxa"/>
            <w:shd w:val="clear" w:color="auto" w:fill="C6D9F1" w:themeFill="text2" w:themeFillTint="33"/>
          </w:tcPr>
          <w:p w14:paraId="003B0B1F" w14:textId="4B061AC7" w:rsidR="00F81B79" w:rsidRDefault="00F81B79" w:rsidP="00F81B79">
            <w:pPr>
              <w:jc w:val="both"/>
              <w:rPr>
                <w:lang w:val="es-ES_tradnl"/>
              </w:rPr>
            </w:pPr>
            <w:r>
              <w:rPr>
                <w:lang w:val="es-ES_tradnl"/>
              </w:rPr>
              <w:t xml:space="preserve">Otros </w:t>
            </w:r>
          </w:p>
        </w:tc>
        <w:tc>
          <w:tcPr>
            <w:tcW w:w="4788" w:type="dxa"/>
            <w:shd w:val="clear" w:color="auto" w:fill="C6D9F1" w:themeFill="text2" w:themeFillTint="33"/>
          </w:tcPr>
          <w:p w14:paraId="74265556" w14:textId="74FDDEC4" w:rsidR="00F81B79" w:rsidRDefault="00F81B79" w:rsidP="0033607B">
            <w:pPr>
              <w:jc w:val="center"/>
              <w:rPr>
                <w:lang w:val="es-ES_tradnl"/>
              </w:rPr>
            </w:pPr>
            <w:r>
              <w:rPr>
                <w:lang w:val="es-ES_tradnl"/>
              </w:rPr>
              <w:t>380</w:t>
            </w:r>
          </w:p>
        </w:tc>
      </w:tr>
      <w:tr w:rsidR="00F81B79" w14:paraId="2412D8A8" w14:textId="77777777" w:rsidTr="00F81B79">
        <w:tc>
          <w:tcPr>
            <w:tcW w:w="4788" w:type="dxa"/>
            <w:shd w:val="clear" w:color="auto" w:fill="C6D9F1" w:themeFill="text2" w:themeFillTint="33"/>
          </w:tcPr>
          <w:p w14:paraId="12C92C0A" w14:textId="7B1A3636" w:rsidR="00F81B79" w:rsidRPr="00F81B79" w:rsidRDefault="00F81B79" w:rsidP="00F81B79">
            <w:pPr>
              <w:jc w:val="both"/>
              <w:rPr>
                <w:b/>
                <w:lang w:val="es-ES_tradnl"/>
              </w:rPr>
            </w:pPr>
            <w:r w:rsidRPr="00F81B79">
              <w:rPr>
                <w:b/>
                <w:lang w:val="es-ES_tradnl"/>
              </w:rPr>
              <w:t xml:space="preserve">Total </w:t>
            </w:r>
          </w:p>
        </w:tc>
        <w:tc>
          <w:tcPr>
            <w:tcW w:w="4788" w:type="dxa"/>
            <w:shd w:val="clear" w:color="auto" w:fill="C6D9F1" w:themeFill="text2" w:themeFillTint="33"/>
          </w:tcPr>
          <w:p w14:paraId="4AAB2E0F" w14:textId="5FCF0ABD" w:rsidR="00F81B79" w:rsidRPr="00F81B79" w:rsidRDefault="00F81B79" w:rsidP="0033607B">
            <w:pPr>
              <w:jc w:val="center"/>
              <w:rPr>
                <w:b/>
                <w:lang w:val="es-ES_tradnl"/>
              </w:rPr>
            </w:pPr>
            <w:r w:rsidRPr="00F81B79">
              <w:rPr>
                <w:b/>
                <w:lang w:val="es-ES_tradnl"/>
              </w:rPr>
              <w:t>12,370</w:t>
            </w:r>
          </w:p>
        </w:tc>
      </w:tr>
    </w:tbl>
    <w:p w14:paraId="3CDC56C2" w14:textId="68A2EADE" w:rsidR="00F81B79" w:rsidRDefault="00F81B79" w:rsidP="00F81B79">
      <w:pPr>
        <w:jc w:val="both"/>
        <w:rPr>
          <w:lang w:val="es-ES_tradnl"/>
        </w:rPr>
      </w:pPr>
    </w:p>
    <w:p w14:paraId="1F33BBCE" w14:textId="672B6EA3" w:rsidR="0037145D" w:rsidRPr="0037145D" w:rsidRDefault="0037145D" w:rsidP="00F81B79">
      <w:pPr>
        <w:jc w:val="both"/>
        <w:rPr>
          <w:lang w:val="es-ES_tradnl"/>
        </w:rPr>
      </w:pPr>
      <w:r w:rsidRPr="00997851">
        <w:rPr>
          <w:lang w:val="es-ES_tradnl"/>
        </w:rPr>
        <w:t xml:space="preserve">La ejecución de inversiones previstas en el plan quinquenal de infraestructura </w:t>
      </w:r>
      <w:r w:rsidR="007E5BB8">
        <w:rPr>
          <w:lang w:val="es-ES_tradnl"/>
        </w:rPr>
        <w:t>sumaron</w:t>
      </w:r>
      <w:r w:rsidRPr="00997851">
        <w:rPr>
          <w:lang w:val="es-ES_tradnl"/>
        </w:rPr>
        <w:t xml:space="preserve"> US$ 2.134 millones en 2017.</w:t>
      </w:r>
      <w:r w:rsidRPr="0037145D">
        <w:rPr>
          <w:lang w:val="es-ES_tradnl"/>
        </w:rPr>
        <w:t xml:space="preserve"> De esa manera, las inversiones en infraestructura totalizaron US$ 6.934 millones</w:t>
      </w:r>
      <w:r w:rsidR="007E5BB8" w:rsidRPr="007E5BB8">
        <w:rPr>
          <w:lang w:val="es-ES_tradnl"/>
        </w:rPr>
        <w:t xml:space="preserve"> </w:t>
      </w:r>
      <w:r w:rsidR="007E5BB8" w:rsidRPr="0037145D">
        <w:rPr>
          <w:lang w:val="es-ES_tradnl"/>
        </w:rPr>
        <w:t>entre 2015 y 2017</w:t>
      </w:r>
      <w:r w:rsidRPr="0037145D">
        <w:rPr>
          <w:lang w:val="es-ES_tradnl"/>
        </w:rPr>
        <w:t>, lo que da un avance</w:t>
      </w:r>
      <w:r w:rsidR="007E5BB8">
        <w:rPr>
          <w:lang w:val="es-ES_tradnl"/>
        </w:rPr>
        <w:t xml:space="preserve"> actual del</w:t>
      </w:r>
      <w:r w:rsidRPr="0037145D">
        <w:rPr>
          <w:lang w:val="es-ES_tradnl"/>
        </w:rPr>
        <w:t xml:space="preserve"> 56% respecto a los US$ 12.370 millones que están programados hasta 2019.</w:t>
      </w:r>
      <w:r w:rsidRPr="0037145D">
        <w:rPr>
          <w:rFonts w:ascii="Arial" w:hAnsi="Arial" w:cs="Arial"/>
          <w:color w:val="000000"/>
          <w:sz w:val="29"/>
          <w:szCs w:val="29"/>
          <w:shd w:val="clear" w:color="auto" w:fill="FFFFFF"/>
          <w:lang w:val="es-ES_tradnl"/>
        </w:rPr>
        <w:t xml:space="preserve"> </w:t>
      </w:r>
      <w:r>
        <w:rPr>
          <w:lang w:val="es-ES_tradnl"/>
        </w:rPr>
        <w:t>E</w:t>
      </w:r>
      <w:r w:rsidRPr="0037145D">
        <w:rPr>
          <w:lang w:val="es-ES_tradnl"/>
        </w:rPr>
        <w:t>n el sector energético las inversiones fueron por US$ 634 millones, y se acumuló una ejecución de US$ 2.834 millones en el trienio 2015-2017.</w:t>
      </w:r>
      <w:r w:rsidRPr="0037145D">
        <w:rPr>
          <w:rFonts w:ascii="Arial" w:hAnsi="Arial" w:cs="Arial"/>
          <w:color w:val="000000"/>
          <w:sz w:val="29"/>
          <w:szCs w:val="29"/>
          <w:shd w:val="clear" w:color="auto" w:fill="FFFFFF"/>
          <w:lang w:val="es-ES_tradnl"/>
        </w:rPr>
        <w:t> </w:t>
      </w:r>
    </w:p>
    <w:p w14:paraId="12E852AD" w14:textId="79094105" w:rsidR="00997851" w:rsidRPr="00997851" w:rsidRDefault="0033607B" w:rsidP="00997851">
      <w:pPr>
        <w:jc w:val="both"/>
        <w:rPr>
          <w:lang w:val="es-ES_tradnl"/>
        </w:rPr>
      </w:pPr>
      <w:r>
        <w:rPr>
          <w:lang w:val="es-ES_tradnl"/>
        </w:rPr>
        <w:t>Existen</w:t>
      </w:r>
      <w:r w:rsidR="00427FB7">
        <w:rPr>
          <w:lang w:val="es-ES_tradnl"/>
        </w:rPr>
        <w:t xml:space="preserve"> necesidades de mejoras en la infraestructura existente, </w:t>
      </w:r>
      <w:r w:rsidR="0051239F">
        <w:rPr>
          <w:lang w:val="es-ES_tradnl"/>
        </w:rPr>
        <w:t>e</w:t>
      </w:r>
      <w:r w:rsidR="0051239F" w:rsidRPr="0051239F">
        <w:rPr>
          <w:lang w:val="es-ES_tradnl"/>
        </w:rPr>
        <w:t>n concreto, una de las áreas donde el déficit de capital continúa siendo visible es en la calidad de la infraestructura de transportes, fundamental para mejorar los servicios de logística, dado que todas las cadenas de logística del país tienen un eslabón de transporte vial. Se estima que el 90% de la carga (toneladas por kilómetro) se transporta por vía terrestre.</w:t>
      </w:r>
      <w:r w:rsidR="0051239F" w:rsidRPr="0051239F">
        <w:rPr>
          <w:rFonts w:ascii="Arial" w:hAnsi="Arial" w:cs="Arial"/>
          <w:lang w:val="es-ES_tradnl"/>
        </w:rPr>
        <w:t xml:space="preserve"> </w:t>
      </w:r>
      <w:r w:rsidR="0051239F" w:rsidRPr="00997851">
        <w:rPr>
          <w:lang w:val="es-ES_tradnl"/>
        </w:rPr>
        <w:t xml:space="preserve"> </w:t>
      </w:r>
      <w:r w:rsidR="0051239F">
        <w:rPr>
          <w:lang w:val="es-ES_tradnl"/>
        </w:rPr>
        <w:t xml:space="preserve">En el </w:t>
      </w:r>
      <w:r w:rsidR="00427FB7">
        <w:rPr>
          <w:lang w:val="es-ES_tradnl"/>
        </w:rPr>
        <w:t>sector carreteras</w:t>
      </w:r>
      <w:r w:rsidR="0051239F">
        <w:rPr>
          <w:lang w:val="es-ES_tradnl"/>
        </w:rPr>
        <w:t xml:space="preserve"> </w:t>
      </w:r>
      <w:r>
        <w:rPr>
          <w:lang w:val="es-ES_tradnl"/>
        </w:rPr>
        <w:t xml:space="preserve">hay </w:t>
      </w:r>
      <w:r w:rsidR="00427FB7">
        <w:rPr>
          <w:lang w:val="es-ES_tradnl"/>
        </w:rPr>
        <w:t>importantes gaps de inversión</w:t>
      </w:r>
      <w:r w:rsidR="00D04230" w:rsidRPr="007E5BB8">
        <w:rPr>
          <w:rStyle w:val="FootnoteReference"/>
          <w:lang w:val="es-ES_tradnl"/>
        </w:rPr>
        <w:footnoteReference w:id="4"/>
      </w:r>
      <w:r w:rsidR="00997B7D">
        <w:rPr>
          <w:lang w:val="es-ES_tradnl"/>
        </w:rPr>
        <w:t xml:space="preserve"> y</w:t>
      </w:r>
      <w:r w:rsidR="0051239F">
        <w:rPr>
          <w:lang w:val="es-ES_tradnl"/>
        </w:rPr>
        <w:t xml:space="preserve"> es</w:t>
      </w:r>
      <w:r w:rsidR="00997B7D">
        <w:rPr>
          <w:lang w:val="es-ES_tradnl"/>
        </w:rPr>
        <w:t xml:space="preserve"> donde las inversiones se han desarrollado con mayor lentitud</w:t>
      </w:r>
      <w:r w:rsidR="00997851">
        <w:rPr>
          <w:lang w:val="es-ES_tradnl"/>
        </w:rPr>
        <w:t xml:space="preserve"> </w:t>
      </w:r>
      <w:r w:rsidR="0051239F">
        <w:rPr>
          <w:lang w:val="es-ES_tradnl"/>
        </w:rPr>
        <w:t xml:space="preserve">(con </w:t>
      </w:r>
      <w:r w:rsidR="00997851" w:rsidRPr="00997851">
        <w:rPr>
          <w:lang w:val="es-ES_tradnl"/>
        </w:rPr>
        <w:t>deficiencias en la calidad de los corredores viales</w:t>
      </w:r>
      <w:r w:rsidR="0051239F">
        <w:rPr>
          <w:lang w:val="es-ES_tradnl"/>
        </w:rPr>
        <w:t>)</w:t>
      </w:r>
      <w:r w:rsidR="00997851" w:rsidRPr="00997851">
        <w:rPr>
          <w:lang w:val="es-ES_tradnl"/>
        </w:rPr>
        <w:t>.</w:t>
      </w:r>
      <w:r w:rsidR="0051239F">
        <w:rPr>
          <w:lang w:val="es-ES_tradnl"/>
        </w:rPr>
        <w:t xml:space="preserve"> </w:t>
      </w:r>
      <w:r w:rsidR="00997851" w:rsidRPr="00997851">
        <w:rPr>
          <w:lang w:val="es-ES_tradnl"/>
        </w:rPr>
        <w:t xml:space="preserve">Si bien la distancia en kilómetros a nodos de exportación (puertos y aeropuertos) es menor que en el conjunto de la región (Uruguay 78 Km, frente a 176 km en términos medios en la región y 263 km en el conjunto de países desarrollados), esto no se traduce en menores tiempos de transporte (cuatro días para Uruguay, frente a tres días en la región y dos días para países desarrollados, en 2016). Como resultado de estas deficiencias, se ve afectada la logística y los costos de transporte del sector productivo uruguayo. En particular, a consecuencia del creciente volumen de mercancías transportadas, existe la necesidad de brindar una adecuada conectividad entre las terminales de salida de la producción para exportación y las unidades de producción en sectores como el agroforestal. </w:t>
      </w:r>
    </w:p>
    <w:p w14:paraId="42220044" w14:textId="0FA0036F" w:rsidR="00F81B79" w:rsidRDefault="00427FB7" w:rsidP="00F81B79">
      <w:pPr>
        <w:jc w:val="both"/>
        <w:rPr>
          <w:lang w:val="es-ES_tradnl"/>
        </w:rPr>
      </w:pPr>
      <w:r>
        <w:rPr>
          <w:lang w:val="es-ES_tradnl"/>
        </w:rPr>
        <w:t>L</w:t>
      </w:r>
      <w:r w:rsidR="00F81B79">
        <w:rPr>
          <w:lang w:val="es-ES_tradnl"/>
        </w:rPr>
        <w:t xml:space="preserve">a inversión </w:t>
      </w:r>
      <w:r>
        <w:rPr>
          <w:lang w:val="es-ES_tradnl"/>
        </w:rPr>
        <w:t xml:space="preserve">total </w:t>
      </w:r>
      <w:r w:rsidR="00F81B79">
        <w:rPr>
          <w:lang w:val="es-ES_tradnl"/>
        </w:rPr>
        <w:t xml:space="preserve">esperada </w:t>
      </w:r>
      <w:r w:rsidR="0033607B">
        <w:rPr>
          <w:lang w:val="es-ES_tradnl"/>
        </w:rPr>
        <w:t>en e</w:t>
      </w:r>
      <w:r w:rsidR="00997851">
        <w:rPr>
          <w:lang w:val="es-ES_tradnl"/>
        </w:rPr>
        <w:t xml:space="preserve">l </w:t>
      </w:r>
      <w:r w:rsidR="0033607B">
        <w:rPr>
          <w:lang w:val="es-ES_tradnl"/>
        </w:rPr>
        <w:t>sector</w:t>
      </w:r>
      <w:r w:rsidR="00997851">
        <w:rPr>
          <w:lang w:val="es-ES_tradnl"/>
        </w:rPr>
        <w:t xml:space="preserve"> vial</w:t>
      </w:r>
      <w:r w:rsidR="0033607B">
        <w:rPr>
          <w:lang w:val="es-ES_tradnl"/>
        </w:rPr>
        <w:t xml:space="preserve"> </w:t>
      </w:r>
      <w:r w:rsidR="00F81B79">
        <w:rPr>
          <w:lang w:val="es-ES_tradnl"/>
        </w:rPr>
        <w:t>es de US$ 2,360 millones, de los cuales US$ 740 son correspondientes a 8 proyectos que</w:t>
      </w:r>
      <w:r w:rsidR="0033607B">
        <w:rPr>
          <w:lang w:val="es-ES_tradnl"/>
        </w:rPr>
        <w:t xml:space="preserve"> serán financiados bajo </w:t>
      </w:r>
      <w:r w:rsidR="00F81B79">
        <w:rPr>
          <w:lang w:val="es-ES_tradnl"/>
        </w:rPr>
        <w:t xml:space="preserve">la modalidad de PPP y dos más por valor de US$ 30 millones en la forma de concesión. </w:t>
      </w:r>
      <w:r>
        <w:rPr>
          <w:lang w:val="es-ES_tradnl"/>
        </w:rPr>
        <w:t>La inversión necesaria en red vial más urgente (para los próximos tres años) es estimada en casi en casi US$ 1,200 millones</w:t>
      </w:r>
      <w:r>
        <w:rPr>
          <w:rStyle w:val="FootnoteReference"/>
          <w:lang w:val="es-ES_tradnl"/>
        </w:rPr>
        <w:footnoteReference w:id="5"/>
      </w:r>
      <w:r>
        <w:rPr>
          <w:lang w:val="es-ES_tradnl"/>
        </w:rPr>
        <w:t>, según lo establecido en el cuadro a continuación:</w:t>
      </w:r>
    </w:p>
    <w:tbl>
      <w:tblPr>
        <w:tblStyle w:val="TableGrid"/>
        <w:tblW w:w="0" w:type="auto"/>
        <w:tblLook w:val="04A0" w:firstRow="1" w:lastRow="0" w:firstColumn="1" w:lastColumn="0" w:noHBand="0" w:noVBand="1"/>
      </w:tblPr>
      <w:tblGrid>
        <w:gridCol w:w="4788"/>
        <w:gridCol w:w="4788"/>
      </w:tblGrid>
      <w:tr w:rsidR="00764D71" w:rsidRPr="00133A46" w14:paraId="11B56582" w14:textId="77777777" w:rsidTr="00BD34FC">
        <w:tc>
          <w:tcPr>
            <w:tcW w:w="4788" w:type="dxa"/>
            <w:shd w:val="clear" w:color="auto" w:fill="548DD4" w:themeFill="text2" w:themeFillTint="99"/>
          </w:tcPr>
          <w:p w14:paraId="3FA8E614" w14:textId="46730ECE" w:rsidR="00764D71" w:rsidRPr="00764D71" w:rsidRDefault="00764D71" w:rsidP="00BD34FC">
            <w:pPr>
              <w:jc w:val="center"/>
              <w:rPr>
                <w:b/>
                <w:smallCaps/>
                <w:lang w:val="es-ES_tradnl"/>
              </w:rPr>
            </w:pPr>
            <w:r w:rsidRPr="00764D71">
              <w:rPr>
                <w:b/>
                <w:smallCaps/>
                <w:lang w:val="es-ES_tradnl"/>
              </w:rPr>
              <w:lastRenderedPageBreak/>
              <w:t>Red</w:t>
            </w:r>
            <w:r w:rsidR="00BD34FC">
              <w:rPr>
                <w:b/>
                <w:smallCaps/>
                <w:lang w:val="es-ES_tradnl"/>
              </w:rPr>
              <w:t xml:space="preserve"> </w:t>
            </w:r>
            <w:r w:rsidR="00F81B79">
              <w:rPr>
                <w:b/>
                <w:smallCaps/>
                <w:lang w:val="es-ES_tradnl"/>
              </w:rPr>
              <w:t xml:space="preserve">vial </w:t>
            </w:r>
          </w:p>
        </w:tc>
        <w:tc>
          <w:tcPr>
            <w:tcW w:w="4788" w:type="dxa"/>
            <w:shd w:val="clear" w:color="auto" w:fill="548DD4" w:themeFill="text2" w:themeFillTint="99"/>
          </w:tcPr>
          <w:p w14:paraId="4D8F68D4" w14:textId="628E3D08" w:rsidR="00764D71" w:rsidRPr="00764D71" w:rsidRDefault="00764D71" w:rsidP="00BD34FC">
            <w:pPr>
              <w:jc w:val="center"/>
              <w:rPr>
                <w:b/>
                <w:smallCaps/>
                <w:lang w:val="es-ES_tradnl"/>
              </w:rPr>
            </w:pPr>
            <w:r w:rsidRPr="00764D71">
              <w:rPr>
                <w:b/>
                <w:smallCaps/>
                <w:lang w:val="es-ES_tradnl"/>
              </w:rPr>
              <w:t xml:space="preserve">Inversión en </w:t>
            </w:r>
            <w:r w:rsidR="00F81B79">
              <w:rPr>
                <w:b/>
                <w:smallCaps/>
                <w:lang w:val="es-ES_tradnl"/>
              </w:rPr>
              <w:t xml:space="preserve">millones de </w:t>
            </w:r>
            <w:r w:rsidRPr="00764D71">
              <w:rPr>
                <w:b/>
                <w:smallCaps/>
                <w:lang w:val="es-ES_tradnl"/>
              </w:rPr>
              <w:t>US$</w:t>
            </w:r>
          </w:p>
        </w:tc>
      </w:tr>
      <w:tr w:rsidR="00764D71" w14:paraId="3636B24E" w14:textId="77777777" w:rsidTr="00BD34FC">
        <w:tc>
          <w:tcPr>
            <w:tcW w:w="4788" w:type="dxa"/>
            <w:shd w:val="clear" w:color="auto" w:fill="C6D9F1" w:themeFill="text2" w:themeFillTint="33"/>
          </w:tcPr>
          <w:p w14:paraId="7703F38E" w14:textId="77777777" w:rsidR="00764D71" w:rsidRDefault="00764D71" w:rsidP="00BD7D52">
            <w:pPr>
              <w:jc w:val="both"/>
              <w:rPr>
                <w:lang w:val="es-ES_tradnl"/>
              </w:rPr>
            </w:pPr>
            <w:r>
              <w:rPr>
                <w:lang w:val="es-ES_tradnl"/>
              </w:rPr>
              <w:t>Ruta 3 Norte</w:t>
            </w:r>
          </w:p>
        </w:tc>
        <w:tc>
          <w:tcPr>
            <w:tcW w:w="4788" w:type="dxa"/>
            <w:shd w:val="clear" w:color="auto" w:fill="C6D9F1" w:themeFill="text2" w:themeFillTint="33"/>
          </w:tcPr>
          <w:p w14:paraId="6DA38BCA" w14:textId="2FE54B11" w:rsidR="00764D71" w:rsidRDefault="00764D71" w:rsidP="0033607B">
            <w:pPr>
              <w:jc w:val="center"/>
              <w:rPr>
                <w:lang w:val="es-ES_tradnl"/>
              </w:rPr>
            </w:pPr>
            <w:r>
              <w:rPr>
                <w:lang w:val="es-ES_tradnl"/>
              </w:rPr>
              <w:t>100</w:t>
            </w:r>
          </w:p>
        </w:tc>
      </w:tr>
      <w:tr w:rsidR="00764D71" w14:paraId="08003B19" w14:textId="77777777" w:rsidTr="00BD34FC">
        <w:tc>
          <w:tcPr>
            <w:tcW w:w="4788" w:type="dxa"/>
            <w:shd w:val="clear" w:color="auto" w:fill="C6D9F1" w:themeFill="text2" w:themeFillTint="33"/>
          </w:tcPr>
          <w:p w14:paraId="6B631FCB" w14:textId="77777777" w:rsidR="00764D71" w:rsidRDefault="00764D71" w:rsidP="00BD7D52">
            <w:pPr>
              <w:jc w:val="both"/>
              <w:rPr>
                <w:lang w:val="es-ES_tradnl"/>
              </w:rPr>
            </w:pPr>
            <w:r>
              <w:rPr>
                <w:lang w:val="es-ES_tradnl"/>
              </w:rPr>
              <w:t>Ruta 31 y 34</w:t>
            </w:r>
          </w:p>
        </w:tc>
        <w:tc>
          <w:tcPr>
            <w:tcW w:w="4788" w:type="dxa"/>
            <w:shd w:val="clear" w:color="auto" w:fill="C6D9F1" w:themeFill="text2" w:themeFillTint="33"/>
          </w:tcPr>
          <w:p w14:paraId="54C79732" w14:textId="28743B5A" w:rsidR="00764D71" w:rsidRDefault="00764D71" w:rsidP="0033607B">
            <w:pPr>
              <w:jc w:val="center"/>
              <w:rPr>
                <w:lang w:val="es-ES_tradnl"/>
              </w:rPr>
            </w:pPr>
            <w:r>
              <w:rPr>
                <w:lang w:val="es-ES_tradnl"/>
              </w:rPr>
              <w:t>120</w:t>
            </w:r>
          </w:p>
        </w:tc>
      </w:tr>
      <w:tr w:rsidR="00764D71" w14:paraId="200BD885" w14:textId="77777777" w:rsidTr="00BD34FC">
        <w:tc>
          <w:tcPr>
            <w:tcW w:w="4788" w:type="dxa"/>
            <w:shd w:val="clear" w:color="auto" w:fill="C6D9F1" w:themeFill="text2" w:themeFillTint="33"/>
          </w:tcPr>
          <w:p w14:paraId="0BE7F112" w14:textId="77777777" w:rsidR="00764D71" w:rsidRDefault="00764D71" w:rsidP="00BD7D52">
            <w:pPr>
              <w:jc w:val="both"/>
              <w:rPr>
                <w:lang w:val="es-ES_tradnl"/>
              </w:rPr>
            </w:pPr>
            <w:r>
              <w:rPr>
                <w:lang w:val="es-ES_tradnl"/>
              </w:rPr>
              <w:t>Ruta 26</w:t>
            </w:r>
          </w:p>
        </w:tc>
        <w:tc>
          <w:tcPr>
            <w:tcW w:w="4788" w:type="dxa"/>
            <w:shd w:val="clear" w:color="auto" w:fill="C6D9F1" w:themeFill="text2" w:themeFillTint="33"/>
          </w:tcPr>
          <w:p w14:paraId="5C1801D9" w14:textId="500C0A0F" w:rsidR="00764D71" w:rsidRDefault="00764D71" w:rsidP="0033607B">
            <w:pPr>
              <w:jc w:val="center"/>
              <w:rPr>
                <w:lang w:val="es-ES_tradnl"/>
              </w:rPr>
            </w:pPr>
            <w:r>
              <w:rPr>
                <w:lang w:val="es-ES_tradnl"/>
              </w:rPr>
              <w:t>300</w:t>
            </w:r>
          </w:p>
        </w:tc>
      </w:tr>
      <w:tr w:rsidR="00764D71" w14:paraId="558EE406" w14:textId="77777777" w:rsidTr="00BD34FC">
        <w:tc>
          <w:tcPr>
            <w:tcW w:w="4788" w:type="dxa"/>
            <w:shd w:val="clear" w:color="auto" w:fill="C6D9F1" w:themeFill="text2" w:themeFillTint="33"/>
          </w:tcPr>
          <w:p w14:paraId="017E355F" w14:textId="77777777" w:rsidR="00764D71" w:rsidRDefault="00764D71" w:rsidP="00BD7D52">
            <w:pPr>
              <w:jc w:val="both"/>
              <w:rPr>
                <w:lang w:val="es-ES_tradnl"/>
              </w:rPr>
            </w:pPr>
            <w:r>
              <w:rPr>
                <w:lang w:val="es-ES_tradnl"/>
              </w:rPr>
              <w:t xml:space="preserve">Rutas 6, 7 y 8 </w:t>
            </w:r>
          </w:p>
        </w:tc>
        <w:tc>
          <w:tcPr>
            <w:tcW w:w="4788" w:type="dxa"/>
            <w:shd w:val="clear" w:color="auto" w:fill="C6D9F1" w:themeFill="text2" w:themeFillTint="33"/>
          </w:tcPr>
          <w:p w14:paraId="61D222D3" w14:textId="1FF6BEF5" w:rsidR="00764D71" w:rsidRDefault="00764D71" w:rsidP="0033607B">
            <w:pPr>
              <w:jc w:val="center"/>
              <w:rPr>
                <w:lang w:val="es-ES_tradnl"/>
              </w:rPr>
            </w:pPr>
            <w:r>
              <w:rPr>
                <w:lang w:val="es-ES_tradnl"/>
              </w:rPr>
              <w:t>270</w:t>
            </w:r>
          </w:p>
        </w:tc>
      </w:tr>
      <w:tr w:rsidR="00764D71" w14:paraId="681A60C7" w14:textId="77777777" w:rsidTr="00BD34FC">
        <w:tc>
          <w:tcPr>
            <w:tcW w:w="4788" w:type="dxa"/>
            <w:shd w:val="clear" w:color="auto" w:fill="C6D9F1" w:themeFill="text2" w:themeFillTint="33"/>
          </w:tcPr>
          <w:p w14:paraId="65CEAAA5" w14:textId="77777777" w:rsidR="00764D71" w:rsidRDefault="00764D71" w:rsidP="00BD7D52">
            <w:pPr>
              <w:jc w:val="both"/>
              <w:rPr>
                <w:lang w:val="es-ES_tradnl"/>
              </w:rPr>
            </w:pPr>
            <w:r>
              <w:rPr>
                <w:lang w:val="es-ES_tradnl"/>
              </w:rPr>
              <w:t>Rutas 13 y 15</w:t>
            </w:r>
          </w:p>
        </w:tc>
        <w:tc>
          <w:tcPr>
            <w:tcW w:w="4788" w:type="dxa"/>
            <w:shd w:val="clear" w:color="auto" w:fill="C6D9F1" w:themeFill="text2" w:themeFillTint="33"/>
          </w:tcPr>
          <w:p w14:paraId="44756E6F" w14:textId="47849482" w:rsidR="00764D71" w:rsidRDefault="00764D71" w:rsidP="0033607B">
            <w:pPr>
              <w:jc w:val="center"/>
              <w:rPr>
                <w:lang w:val="es-ES_tradnl"/>
              </w:rPr>
            </w:pPr>
            <w:r>
              <w:rPr>
                <w:lang w:val="es-ES_tradnl"/>
              </w:rPr>
              <w:t>110</w:t>
            </w:r>
          </w:p>
        </w:tc>
      </w:tr>
      <w:tr w:rsidR="00764D71" w14:paraId="1B579762" w14:textId="77777777" w:rsidTr="00BD34FC">
        <w:tc>
          <w:tcPr>
            <w:tcW w:w="4788" w:type="dxa"/>
            <w:shd w:val="clear" w:color="auto" w:fill="C6D9F1" w:themeFill="text2" w:themeFillTint="33"/>
          </w:tcPr>
          <w:p w14:paraId="56FFA4EF" w14:textId="77777777" w:rsidR="00764D71" w:rsidRDefault="00764D71" w:rsidP="00BD7D52">
            <w:pPr>
              <w:jc w:val="both"/>
              <w:rPr>
                <w:lang w:val="es-ES_tradnl"/>
              </w:rPr>
            </w:pPr>
            <w:r>
              <w:rPr>
                <w:lang w:val="es-ES_tradnl"/>
              </w:rPr>
              <w:t xml:space="preserve">Ruta 14 </w:t>
            </w:r>
          </w:p>
        </w:tc>
        <w:tc>
          <w:tcPr>
            <w:tcW w:w="4788" w:type="dxa"/>
            <w:shd w:val="clear" w:color="auto" w:fill="C6D9F1" w:themeFill="text2" w:themeFillTint="33"/>
          </w:tcPr>
          <w:p w14:paraId="28673B38" w14:textId="578868F3" w:rsidR="00764D71" w:rsidRDefault="00764D71" w:rsidP="0033607B">
            <w:pPr>
              <w:jc w:val="center"/>
              <w:rPr>
                <w:lang w:val="es-ES_tradnl"/>
              </w:rPr>
            </w:pPr>
            <w:r>
              <w:rPr>
                <w:lang w:val="es-ES_tradnl"/>
              </w:rPr>
              <w:t>100</w:t>
            </w:r>
          </w:p>
        </w:tc>
      </w:tr>
      <w:tr w:rsidR="00764D71" w14:paraId="102E2A84" w14:textId="77777777" w:rsidTr="00BD34FC">
        <w:tc>
          <w:tcPr>
            <w:tcW w:w="4788" w:type="dxa"/>
            <w:shd w:val="clear" w:color="auto" w:fill="C6D9F1" w:themeFill="text2" w:themeFillTint="33"/>
          </w:tcPr>
          <w:p w14:paraId="0A573B62" w14:textId="77777777" w:rsidR="00764D71" w:rsidRDefault="00764D71" w:rsidP="00BD7D52">
            <w:pPr>
              <w:jc w:val="both"/>
              <w:rPr>
                <w:lang w:val="es-ES_tradnl"/>
              </w:rPr>
            </w:pPr>
            <w:r>
              <w:rPr>
                <w:lang w:val="es-ES_tradnl"/>
              </w:rPr>
              <w:t>Ruta 21 y 24</w:t>
            </w:r>
          </w:p>
        </w:tc>
        <w:tc>
          <w:tcPr>
            <w:tcW w:w="4788" w:type="dxa"/>
            <w:shd w:val="clear" w:color="auto" w:fill="C6D9F1" w:themeFill="text2" w:themeFillTint="33"/>
          </w:tcPr>
          <w:p w14:paraId="4F8DDB98" w14:textId="750F274C" w:rsidR="00764D71" w:rsidRDefault="00764D71" w:rsidP="0033607B">
            <w:pPr>
              <w:jc w:val="center"/>
              <w:rPr>
                <w:lang w:val="es-ES_tradnl"/>
              </w:rPr>
            </w:pPr>
            <w:r>
              <w:rPr>
                <w:lang w:val="es-ES_tradnl"/>
              </w:rPr>
              <w:t>125</w:t>
            </w:r>
          </w:p>
        </w:tc>
      </w:tr>
      <w:tr w:rsidR="00764D71" w14:paraId="18EDB4E4" w14:textId="77777777" w:rsidTr="00BD34FC">
        <w:tc>
          <w:tcPr>
            <w:tcW w:w="4788" w:type="dxa"/>
            <w:shd w:val="clear" w:color="auto" w:fill="C6D9F1" w:themeFill="text2" w:themeFillTint="33"/>
          </w:tcPr>
          <w:p w14:paraId="5621CAB1" w14:textId="77777777" w:rsidR="00764D71" w:rsidRPr="00F81B79" w:rsidRDefault="00764D71" w:rsidP="00BD7D52">
            <w:pPr>
              <w:jc w:val="both"/>
              <w:rPr>
                <w:b/>
                <w:lang w:val="es-ES_tradnl"/>
              </w:rPr>
            </w:pPr>
            <w:r w:rsidRPr="00F81B79">
              <w:rPr>
                <w:b/>
                <w:lang w:val="es-ES_tradnl"/>
              </w:rPr>
              <w:t xml:space="preserve">Total </w:t>
            </w:r>
          </w:p>
        </w:tc>
        <w:tc>
          <w:tcPr>
            <w:tcW w:w="4788" w:type="dxa"/>
            <w:shd w:val="clear" w:color="auto" w:fill="C6D9F1" w:themeFill="text2" w:themeFillTint="33"/>
          </w:tcPr>
          <w:p w14:paraId="6969BFBD" w14:textId="2D370D3C" w:rsidR="00764D71" w:rsidRPr="00F81B79" w:rsidRDefault="00764D71" w:rsidP="0033607B">
            <w:pPr>
              <w:jc w:val="center"/>
              <w:rPr>
                <w:b/>
                <w:lang w:val="es-ES_tradnl"/>
              </w:rPr>
            </w:pPr>
            <w:r w:rsidRPr="00F81B79">
              <w:rPr>
                <w:b/>
                <w:lang w:val="es-ES_tradnl"/>
              </w:rPr>
              <w:t>1,125</w:t>
            </w:r>
          </w:p>
        </w:tc>
      </w:tr>
    </w:tbl>
    <w:p w14:paraId="5DC33176" w14:textId="77777777" w:rsidR="00764D71" w:rsidRDefault="00764D71" w:rsidP="00B006B8">
      <w:pPr>
        <w:jc w:val="both"/>
        <w:rPr>
          <w:lang w:val="es-ES_tradnl"/>
        </w:rPr>
      </w:pPr>
    </w:p>
    <w:p w14:paraId="533DBAFF" w14:textId="44B8172B" w:rsidR="00B3430E" w:rsidRDefault="00B3430E" w:rsidP="00B3430E">
      <w:pPr>
        <w:jc w:val="both"/>
        <w:rPr>
          <w:lang w:val="es-ES_tradnl"/>
        </w:rPr>
      </w:pPr>
      <w:r>
        <w:rPr>
          <w:lang w:val="es-ES_tradnl"/>
        </w:rPr>
        <w:t>En el sector de puertos, se esperan inversiones por valor de US$ 550 millones, de los que entre un 35%-40% vendrían del sector privado. Mientras que en el sector ferroviario la inversión esperada es de unos U$</w:t>
      </w:r>
      <w:r w:rsidR="00CF4D3F">
        <w:rPr>
          <w:lang w:val="es-ES_tradnl"/>
        </w:rPr>
        <w:t xml:space="preserve"> 1,</w:t>
      </w:r>
      <w:r>
        <w:rPr>
          <w:lang w:val="es-ES_tradnl"/>
        </w:rPr>
        <w:t xml:space="preserve">360 millones, donde habría un proyecto de </w:t>
      </w:r>
      <w:proofErr w:type="spellStart"/>
      <w:r>
        <w:rPr>
          <w:lang w:val="es-ES_tradnl"/>
        </w:rPr>
        <w:t>PPPs</w:t>
      </w:r>
      <w:proofErr w:type="spellEnd"/>
      <w:r>
        <w:rPr>
          <w:lang w:val="es-ES_tradnl"/>
        </w:rPr>
        <w:t xml:space="preserve"> por valor de</w:t>
      </w:r>
      <w:r w:rsidR="00CF4D3F">
        <w:rPr>
          <w:lang w:val="es-ES_tradnl"/>
        </w:rPr>
        <w:t xml:space="preserve"> casi</w:t>
      </w:r>
      <w:r>
        <w:rPr>
          <w:lang w:val="es-ES_tradnl"/>
        </w:rPr>
        <w:t xml:space="preserve"> US$ 90</w:t>
      </w:r>
      <w:r w:rsidR="00CF4D3F">
        <w:rPr>
          <w:lang w:val="es-ES_tradnl"/>
        </w:rPr>
        <w:t>0</w:t>
      </w:r>
      <w:r>
        <w:rPr>
          <w:lang w:val="es-ES_tradnl"/>
        </w:rPr>
        <w:t xml:space="preserve"> millones. </w:t>
      </w:r>
    </w:p>
    <w:p w14:paraId="0F46DA20" w14:textId="3FA9633F" w:rsidR="00583194" w:rsidRDefault="00583194" w:rsidP="00226F2B">
      <w:pPr>
        <w:jc w:val="both"/>
        <w:rPr>
          <w:lang w:val="es-ES_tradnl"/>
        </w:rPr>
      </w:pPr>
    </w:p>
    <w:p w14:paraId="60513C54" w14:textId="2784578E" w:rsidR="00B80015" w:rsidRDefault="00B80015" w:rsidP="00226F2B">
      <w:pPr>
        <w:jc w:val="both"/>
        <w:rPr>
          <w:lang w:val="es-ES_tradnl"/>
        </w:rPr>
      </w:pPr>
    </w:p>
    <w:p w14:paraId="1B1FB1CA" w14:textId="3E8394F0" w:rsidR="00B80015" w:rsidRDefault="00B80015" w:rsidP="00226F2B">
      <w:pPr>
        <w:jc w:val="both"/>
        <w:rPr>
          <w:lang w:val="es-ES_tradnl"/>
        </w:rPr>
      </w:pPr>
    </w:p>
    <w:p w14:paraId="58F5884A" w14:textId="677E5A44" w:rsidR="00B80015" w:rsidRDefault="00B80015" w:rsidP="00226F2B">
      <w:pPr>
        <w:jc w:val="both"/>
        <w:rPr>
          <w:lang w:val="es-ES_tradnl"/>
        </w:rPr>
      </w:pPr>
    </w:p>
    <w:p w14:paraId="7559C5AE" w14:textId="3929BB0E" w:rsidR="00B80015" w:rsidRDefault="00B80015" w:rsidP="00226F2B">
      <w:pPr>
        <w:jc w:val="both"/>
        <w:rPr>
          <w:lang w:val="es-ES_tradnl"/>
        </w:rPr>
      </w:pPr>
    </w:p>
    <w:p w14:paraId="10F9CC33" w14:textId="7973F26C" w:rsidR="00B80015" w:rsidRDefault="00B80015" w:rsidP="00226F2B">
      <w:pPr>
        <w:jc w:val="both"/>
        <w:rPr>
          <w:lang w:val="es-ES_tradnl"/>
        </w:rPr>
      </w:pPr>
    </w:p>
    <w:p w14:paraId="70282353" w14:textId="33C7DF51" w:rsidR="00B80015" w:rsidRDefault="00B80015" w:rsidP="00226F2B">
      <w:pPr>
        <w:jc w:val="both"/>
        <w:rPr>
          <w:lang w:val="es-ES_tradnl"/>
        </w:rPr>
      </w:pPr>
    </w:p>
    <w:p w14:paraId="15CEE9F0" w14:textId="0CA40082" w:rsidR="00B80015" w:rsidRDefault="00B80015" w:rsidP="00226F2B">
      <w:pPr>
        <w:jc w:val="both"/>
        <w:rPr>
          <w:lang w:val="es-ES_tradnl"/>
        </w:rPr>
      </w:pPr>
    </w:p>
    <w:p w14:paraId="0AB42E68" w14:textId="3159844E" w:rsidR="00B80015" w:rsidRDefault="00B80015" w:rsidP="00226F2B">
      <w:pPr>
        <w:jc w:val="both"/>
        <w:rPr>
          <w:lang w:val="es-ES_tradnl"/>
        </w:rPr>
      </w:pPr>
    </w:p>
    <w:p w14:paraId="52357E2D" w14:textId="56E2DA7A" w:rsidR="00B80015" w:rsidRDefault="00B80015" w:rsidP="00226F2B">
      <w:pPr>
        <w:jc w:val="both"/>
        <w:rPr>
          <w:lang w:val="es-ES_tradnl"/>
        </w:rPr>
      </w:pPr>
    </w:p>
    <w:p w14:paraId="57E46C6F" w14:textId="65C36A2C" w:rsidR="00B80015" w:rsidRDefault="00B80015" w:rsidP="00226F2B">
      <w:pPr>
        <w:jc w:val="both"/>
        <w:rPr>
          <w:lang w:val="es-ES_tradnl"/>
        </w:rPr>
      </w:pPr>
    </w:p>
    <w:p w14:paraId="14CCF699" w14:textId="319B6E3A" w:rsidR="00B80015" w:rsidRDefault="00B80015" w:rsidP="00226F2B">
      <w:pPr>
        <w:jc w:val="both"/>
        <w:rPr>
          <w:lang w:val="es-ES_tradnl"/>
        </w:rPr>
      </w:pPr>
    </w:p>
    <w:p w14:paraId="32E063B0" w14:textId="5F0E9912" w:rsidR="00B80015" w:rsidRDefault="00B80015" w:rsidP="00226F2B">
      <w:pPr>
        <w:jc w:val="both"/>
        <w:rPr>
          <w:lang w:val="es-ES_tradnl"/>
        </w:rPr>
      </w:pPr>
    </w:p>
    <w:p w14:paraId="4E133203" w14:textId="39C13782" w:rsidR="00B80015" w:rsidRDefault="00B80015" w:rsidP="00226F2B">
      <w:pPr>
        <w:jc w:val="both"/>
        <w:rPr>
          <w:lang w:val="es-ES_tradnl"/>
        </w:rPr>
      </w:pPr>
    </w:p>
    <w:p w14:paraId="447B59CE" w14:textId="79E6CE4A" w:rsidR="00B80015" w:rsidRDefault="00B80015" w:rsidP="00226F2B">
      <w:pPr>
        <w:jc w:val="both"/>
        <w:rPr>
          <w:lang w:val="es-ES_tradnl"/>
        </w:rPr>
      </w:pPr>
    </w:p>
    <w:p w14:paraId="2684E18C" w14:textId="77777777" w:rsidR="00B80015" w:rsidRDefault="00B80015" w:rsidP="00226F2B">
      <w:pPr>
        <w:jc w:val="both"/>
        <w:rPr>
          <w:lang w:val="es-ES_tradnl"/>
        </w:rPr>
      </w:pPr>
    </w:p>
    <w:p w14:paraId="37D783BB" w14:textId="77777777" w:rsidR="00B80015" w:rsidRDefault="00B80015" w:rsidP="003D678A">
      <w:pPr>
        <w:pStyle w:val="Heading1"/>
        <w:rPr>
          <w:lang w:val="es-ES_tradnl"/>
        </w:rPr>
      </w:pPr>
      <w:bookmarkStart w:id="1" w:name="_Toc525574917"/>
    </w:p>
    <w:p w14:paraId="1936F732" w14:textId="2557E421" w:rsidR="00BF3132" w:rsidRDefault="00FD5E87" w:rsidP="003D678A">
      <w:pPr>
        <w:pStyle w:val="Heading1"/>
        <w:rPr>
          <w:lang w:val="es-ES_tradnl"/>
        </w:rPr>
      </w:pPr>
      <w:r w:rsidRPr="003D678A">
        <w:rPr>
          <w:lang w:val="es-ES_tradnl"/>
        </w:rPr>
        <w:t xml:space="preserve">Marco legal para la </w:t>
      </w:r>
      <w:r w:rsidR="00106D7D" w:rsidRPr="003D678A">
        <w:rPr>
          <w:lang w:val="es-ES_tradnl"/>
        </w:rPr>
        <w:t>financiación privada</w:t>
      </w:r>
      <w:r w:rsidRPr="003D678A">
        <w:rPr>
          <w:lang w:val="es-ES_tradnl"/>
        </w:rPr>
        <w:t xml:space="preserve"> </w:t>
      </w:r>
      <w:r w:rsidR="00133A46">
        <w:rPr>
          <w:lang w:val="es-ES_tradnl"/>
        </w:rPr>
        <w:t xml:space="preserve">y público-privada </w:t>
      </w:r>
      <w:r w:rsidRPr="003D678A">
        <w:rPr>
          <w:lang w:val="es-ES_tradnl"/>
        </w:rPr>
        <w:t>de Infraestructura</w:t>
      </w:r>
      <w:r w:rsidR="00BF3132" w:rsidRPr="003D678A">
        <w:rPr>
          <w:lang w:val="es-ES_tradnl"/>
        </w:rPr>
        <w:t xml:space="preserve"> en Uruguay</w:t>
      </w:r>
      <w:bookmarkEnd w:id="1"/>
      <w:r w:rsidR="00BF3132" w:rsidRPr="003D678A">
        <w:rPr>
          <w:lang w:val="es-ES_tradnl"/>
        </w:rPr>
        <w:t xml:space="preserve"> </w:t>
      </w:r>
      <w:r w:rsidR="00136FB8" w:rsidRPr="003D678A">
        <w:rPr>
          <w:lang w:val="es-ES_tradnl"/>
        </w:rPr>
        <w:t xml:space="preserve"> </w:t>
      </w:r>
    </w:p>
    <w:p w14:paraId="120EBBD7" w14:textId="77777777" w:rsidR="003D678A" w:rsidRDefault="003D678A" w:rsidP="00ED498A">
      <w:pPr>
        <w:jc w:val="both"/>
        <w:rPr>
          <w:lang w:val="es-ES_tradnl"/>
        </w:rPr>
      </w:pPr>
    </w:p>
    <w:p w14:paraId="0013F9BD" w14:textId="48CD9660" w:rsidR="00CF4D3F" w:rsidRDefault="0075345B" w:rsidP="00ED498A">
      <w:pPr>
        <w:jc w:val="both"/>
        <w:rPr>
          <w:lang w:val="es-ES_tradnl"/>
        </w:rPr>
      </w:pPr>
      <w:r w:rsidRPr="00CF4D3F">
        <w:rPr>
          <w:lang w:val="es-ES_tradnl"/>
        </w:rPr>
        <w:t>El marco</w:t>
      </w:r>
      <w:r w:rsidR="00CF4D3F" w:rsidRPr="00CF4D3F">
        <w:rPr>
          <w:lang w:val="es-ES_tradnl"/>
        </w:rPr>
        <w:t xml:space="preserve"> legal e institucional</w:t>
      </w:r>
      <w:r w:rsidRPr="00CF4D3F">
        <w:rPr>
          <w:lang w:val="es-ES_tradnl"/>
        </w:rPr>
        <w:t xml:space="preserve"> de la financiación privada de infraestructura está compuesto por tres leyes</w:t>
      </w:r>
      <w:r w:rsidR="00CF4D3F" w:rsidRPr="00CF4D3F">
        <w:rPr>
          <w:lang w:val="es-ES_tradnl"/>
        </w:rPr>
        <w:t xml:space="preserve"> principales que junto con los decretos correspondientes reglamentan el sector</w:t>
      </w:r>
      <w:r w:rsidRPr="00CF4D3F">
        <w:rPr>
          <w:lang w:val="es-ES_tradnl"/>
        </w:rPr>
        <w:t xml:space="preserve">: la ley de </w:t>
      </w:r>
      <w:proofErr w:type="spellStart"/>
      <w:r w:rsidRPr="00CF4D3F">
        <w:rPr>
          <w:lang w:val="es-ES_tradnl"/>
        </w:rPr>
        <w:t>PPPs</w:t>
      </w:r>
      <w:proofErr w:type="spellEnd"/>
      <w:r w:rsidRPr="00CF4D3F">
        <w:rPr>
          <w:lang w:val="es-ES_tradnl"/>
        </w:rPr>
        <w:t xml:space="preserve"> de 2011, la ley de concesiones de obra pública de 1984 y la ley de fidecomisos de 2003</w:t>
      </w:r>
      <w:r w:rsidR="00ED498A" w:rsidRPr="00CF4D3F">
        <w:rPr>
          <w:lang w:val="es-ES_tradnl"/>
        </w:rPr>
        <w:t>.</w:t>
      </w:r>
      <w:r w:rsidR="00ED498A">
        <w:rPr>
          <w:lang w:val="es-ES_tradnl"/>
        </w:rPr>
        <w:t xml:space="preserve"> </w:t>
      </w:r>
    </w:p>
    <w:p w14:paraId="1B69EE50" w14:textId="162454BD" w:rsidR="00CF4D3F" w:rsidRDefault="00ED498A" w:rsidP="00ED498A">
      <w:pPr>
        <w:jc w:val="both"/>
        <w:rPr>
          <w:lang w:val="es-ES_tradnl"/>
        </w:rPr>
      </w:pPr>
      <w:r>
        <w:rPr>
          <w:lang w:val="es-ES_tradnl"/>
        </w:rPr>
        <w:t xml:space="preserve">La </w:t>
      </w:r>
      <w:r w:rsidRPr="00CF4D3F">
        <w:rPr>
          <w:b/>
          <w:lang w:val="es-ES_tradnl"/>
        </w:rPr>
        <w:t>ley de concesiones</w:t>
      </w:r>
      <w:r>
        <w:rPr>
          <w:lang w:val="es-ES_tradnl"/>
        </w:rPr>
        <w:t xml:space="preserve"> (</w:t>
      </w:r>
      <w:proofErr w:type="spellStart"/>
      <w:r>
        <w:rPr>
          <w:lang w:val="es-ES_tradnl"/>
        </w:rPr>
        <w:t>nº</w:t>
      </w:r>
      <w:proofErr w:type="spellEnd"/>
      <w:r>
        <w:rPr>
          <w:lang w:val="es-ES_tradnl"/>
        </w:rPr>
        <w:t xml:space="preserve"> 15,637) </w:t>
      </w:r>
      <w:r w:rsidR="00CF4D3F">
        <w:rPr>
          <w:lang w:val="es-ES_tradnl"/>
        </w:rPr>
        <w:t xml:space="preserve">de 1984 establece que “el Poder Ejecutivo podrá otorgar concesiones para la construcción, conservación y explotación de obras públicas… habilitando al concesionario a percibir tarifas de los usuarios de la obra”.  Esta ley es para obras que no requieren inversión inicial del sector público y pueden ser realizadas a través de licitaciones tradicionales o de subastas de la sociedad concesionaria. </w:t>
      </w:r>
    </w:p>
    <w:p w14:paraId="50880B59" w14:textId="30685DD4" w:rsidR="00CF4D3F" w:rsidRDefault="00C04A5F" w:rsidP="00ED498A">
      <w:pPr>
        <w:jc w:val="both"/>
        <w:rPr>
          <w:lang w:val="es-ES_tradnl"/>
        </w:rPr>
      </w:pPr>
      <w:r>
        <w:rPr>
          <w:lang w:val="es-ES_tradnl"/>
        </w:rPr>
        <w:t xml:space="preserve">La </w:t>
      </w:r>
      <w:r w:rsidRPr="00CF4D3F">
        <w:rPr>
          <w:b/>
          <w:lang w:val="es-ES_tradnl"/>
        </w:rPr>
        <w:t>ley de fidecomisos</w:t>
      </w:r>
      <w:r w:rsidR="00CF4D3F">
        <w:rPr>
          <w:lang w:val="es-ES_tradnl"/>
        </w:rPr>
        <w:t xml:space="preserve"> (</w:t>
      </w:r>
      <w:proofErr w:type="spellStart"/>
      <w:r w:rsidR="00CF4D3F">
        <w:rPr>
          <w:lang w:val="es-ES_tradnl"/>
        </w:rPr>
        <w:t>nº</w:t>
      </w:r>
      <w:proofErr w:type="spellEnd"/>
      <w:r w:rsidR="00CF4D3F">
        <w:rPr>
          <w:lang w:val="es-ES_tradnl"/>
        </w:rPr>
        <w:t xml:space="preserve"> 17,703) de 2003</w:t>
      </w:r>
      <w:r w:rsidR="00A748D9">
        <w:rPr>
          <w:lang w:val="es-ES_tradnl"/>
        </w:rPr>
        <w:t xml:space="preserve"> </w:t>
      </w:r>
      <w:r w:rsidR="00CF4D3F">
        <w:rPr>
          <w:lang w:val="es-ES_tradnl"/>
        </w:rPr>
        <w:t xml:space="preserve">requiere de inversión inicial del sector público cuando su objetivo es financiar infraestructura (artículo 3º) y </w:t>
      </w:r>
      <w:r w:rsidR="00A748D9">
        <w:rPr>
          <w:lang w:val="es-ES_tradnl"/>
        </w:rPr>
        <w:t xml:space="preserve">define esta figura como un “negocio jurídico por medio del cual se constituye la propiedad fiduciaria de un conjunto de derechos de propiedad u otros derechos reales que son transmitidos por el fideicomitente al fiduciario para que los administre o ejerza en conformidad con las instrucciones contenidas en el fidecomiso”. </w:t>
      </w:r>
      <w:r w:rsidR="008A1FA1">
        <w:rPr>
          <w:lang w:val="es-ES_tradnl"/>
        </w:rPr>
        <w:t>Los bienes y derechos fideicomitidos constituyen un patrimonio de afectación separado e independiente.</w:t>
      </w:r>
      <w:r w:rsidR="00A748D9">
        <w:rPr>
          <w:lang w:val="es-ES_tradnl"/>
        </w:rPr>
        <w:t xml:space="preserve"> </w:t>
      </w:r>
    </w:p>
    <w:p w14:paraId="00FFB124" w14:textId="53572089" w:rsidR="008A1FA1" w:rsidRDefault="00A748D9" w:rsidP="00ED498A">
      <w:pPr>
        <w:jc w:val="both"/>
        <w:rPr>
          <w:lang w:val="es-ES_tradnl"/>
        </w:rPr>
      </w:pPr>
      <w:r>
        <w:rPr>
          <w:lang w:val="es-ES_tradnl"/>
        </w:rPr>
        <w:t>En el artículo 3º, establece</w:t>
      </w:r>
      <w:r w:rsidR="00C04A5F">
        <w:rPr>
          <w:lang w:val="es-ES_tradnl"/>
        </w:rPr>
        <w:t xml:space="preserve"> que en ocasiones está </w:t>
      </w:r>
      <w:r w:rsidR="00E31EDD">
        <w:rPr>
          <w:lang w:val="es-ES_tradnl"/>
        </w:rPr>
        <w:t xml:space="preserve">figura puede </w:t>
      </w:r>
      <w:r>
        <w:rPr>
          <w:lang w:val="es-ES_tradnl"/>
        </w:rPr>
        <w:t>ser usada para la “realización de obras públicas municipales” y que las Intendencias Municipales podrán constituirlo mediante la cesión de derechos de créditos de tributos departamentales. El mismo artículo establece que la caja de Jubilaciones y Pensiones Bancarias y las Administradoras de Fondos de Ahorro Previsional, entre otras, podrán invertir en fidecomisos de inversión que se realicen en Uruguay.</w:t>
      </w:r>
      <w:r w:rsidR="008A1FA1">
        <w:rPr>
          <w:lang w:val="es-ES_tradnl"/>
        </w:rPr>
        <w:t xml:space="preserve"> </w:t>
      </w:r>
    </w:p>
    <w:p w14:paraId="6E8B28EA" w14:textId="0E278EAE" w:rsidR="00C04A5F" w:rsidRDefault="008A1FA1" w:rsidP="00ED498A">
      <w:pPr>
        <w:jc w:val="both"/>
        <w:rPr>
          <w:lang w:val="es-ES_tradnl"/>
        </w:rPr>
      </w:pPr>
      <w:r>
        <w:rPr>
          <w:lang w:val="es-ES_tradnl"/>
        </w:rPr>
        <w:t xml:space="preserve">A partir del artículo 25 y siguientes, la ley define el concepto y usos del </w:t>
      </w:r>
      <w:r w:rsidRPr="00CF4D3F">
        <w:rPr>
          <w:b/>
          <w:lang w:val="es-ES_tradnl"/>
        </w:rPr>
        <w:t>fidecomiso financiero</w:t>
      </w:r>
      <w:r>
        <w:rPr>
          <w:lang w:val="es-ES_tradnl"/>
        </w:rPr>
        <w:t>, desarrollado</w:t>
      </w:r>
      <w:r w:rsidR="00CF4D3F">
        <w:rPr>
          <w:lang w:val="es-ES_tradnl"/>
        </w:rPr>
        <w:t xml:space="preserve"> posteriormente</w:t>
      </w:r>
      <w:r>
        <w:rPr>
          <w:lang w:val="es-ES_tradnl"/>
        </w:rPr>
        <w:t xml:space="preserve"> por los decretos-ley nº14701/77 y 15.322/82. </w:t>
      </w:r>
      <w:r w:rsidR="000E608D">
        <w:rPr>
          <w:lang w:val="es-ES_tradnl"/>
        </w:rPr>
        <w:t xml:space="preserve">En el fidecomiso financiero “los </w:t>
      </w:r>
      <w:r w:rsidR="00521C1B">
        <w:rPr>
          <w:lang w:val="es-ES_tradnl"/>
        </w:rPr>
        <w:t>beneficiarios</w:t>
      </w:r>
      <w:r w:rsidR="000E608D">
        <w:rPr>
          <w:lang w:val="es-ES_tradnl"/>
        </w:rPr>
        <w:t xml:space="preserve"> son titulares de certificados de participación en el dominio fiduciario de títulos </w:t>
      </w:r>
      <w:r w:rsidR="00521C1B">
        <w:rPr>
          <w:lang w:val="es-ES_tradnl"/>
        </w:rPr>
        <w:t>representativos</w:t>
      </w:r>
      <w:r w:rsidR="000E608D">
        <w:rPr>
          <w:lang w:val="es-ES_tradnl"/>
        </w:rPr>
        <w:t xml:space="preserve"> de deuda garantizados por los bienes que integran el fideicomiso, o de títulos mixtos que otorguen derechos de crédito y derechos de participación sobre el remanente”. Solamente puede ser fiduciarios “las entidades de intermediación financiera o las sociedades admi</w:t>
      </w:r>
      <w:r w:rsidR="00521C1B">
        <w:rPr>
          <w:lang w:val="es-ES_tradnl"/>
        </w:rPr>
        <w:t>ni</w:t>
      </w:r>
      <w:r w:rsidR="000E608D">
        <w:rPr>
          <w:lang w:val="es-ES_tradnl"/>
        </w:rPr>
        <w:t>stradoras de fondos de inversión”</w:t>
      </w:r>
      <w:r w:rsidR="00521C1B">
        <w:rPr>
          <w:lang w:val="es-ES_tradnl"/>
        </w:rPr>
        <w:t xml:space="preserve">. Además, “las instituciones de intermediación financiera regidas por el Decreto-Ley </w:t>
      </w:r>
      <w:proofErr w:type="spellStart"/>
      <w:r w:rsidR="00521C1B">
        <w:rPr>
          <w:lang w:val="es-ES_tradnl"/>
        </w:rPr>
        <w:t>nº</w:t>
      </w:r>
      <w:proofErr w:type="spellEnd"/>
      <w:r w:rsidR="00521C1B">
        <w:rPr>
          <w:lang w:val="es-ES_tradnl"/>
        </w:rPr>
        <w:t xml:space="preserve"> 15322/82, el BROU y el Banco Hipotecario del Uruguay, podrán constituir o integrar como accionistas, sociedades fiduciarias de acuerdo con el régimen de esta ley”. </w:t>
      </w:r>
    </w:p>
    <w:p w14:paraId="05CA3286" w14:textId="5218DDDE" w:rsidR="00CC3EC7" w:rsidRDefault="0075345B" w:rsidP="0075345B">
      <w:pPr>
        <w:jc w:val="both"/>
        <w:rPr>
          <w:lang w:val="es-ES_tradnl"/>
        </w:rPr>
      </w:pPr>
      <w:r>
        <w:rPr>
          <w:lang w:val="es-ES_tradnl"/>
        </w:rPr>
        <w:lastRenderedPageBreak/>
        <w:t>La</w:t>
      </w:r>
      <w:r w:rsidR="00CF4D3F">
        <w:rPr>
          <w:lang w:val="es-ES_tradnl"/>
        </w:rPr>
        <w:t xml:space="preserve"> </w:t>
      </w:r>
      <w:r w:rsidR="00CF4D3F" w:rsidRPr="00CF4D3F">
        <w:rPr>
          <w:b/>
          <w:lang w:val="es-ES_tradnl"/>
        </w:rPr>
        <w:t>le</w:t>
      </w:r>
      <w:r w:rsidRPr="00CF4D3F">
        <w:rPr>
          <w:b/>
          <w:lang w:val="es-ES_tradnl"/>
        </w:rPr>
        <w:t xml:space="preserve">y de </w:t>
      </w:r>
      <w:proofErr w:type="spellStart"/>
      <w:r w:rsidRPr="00CF4D3F">
        <w:rPr>
          <w:b/>
          <w:lang w:val="es-ES_tradnl"/>
        </w:rPr>
        <w:t>PPPs</w:t>
      </w:r>
      <w:proofErr w:type="spellEnd"/>
      <w:r w:rsidR="00CF4D3F">
        <w:rPr>
          <w:lang w:val="es-ES_tradnl"/>
        </w:rPr>
        <w:t xml:space="preserve"> </w:t>
      </w:r>
      <w:r>
        <w:rPr>
          <w:lang w:val="es-ES_tradnl"/>
        </w:rPr>
        <w:t>(</w:t>
      </w:r>
      <w:proofErr w:type="spellStart"/>
      <w:r>
        <w:rPr>
          <w:lang w:val="es-ES_tradnl"/>
        </w:rPr>
        <w:t>nº</w:t>
      </w:r>
      <w:proofErr w:type="spellEnd"/>
      <w:r>
        <w:rPr>
          <w:lang w:val="es-ES_tradnl"/>
        </w:rPr>
        <w:t xml:space="preserve"> 18.786) fue aprobada en julio de 2011</w:t>
      </w:r>
      <w:r>
        <w:rPr>
          <w:rStyle w:val="FootnoteReference"/>
          <w:lang w:val="es-ES_tradnl"/>
        </w:rPr>
        <w:footnoteReference w:id="6"/>
      </w:r>
      <w:r w:rsidR="00ED498A">
        <w:rPr>
          <w:lang w:val="es-ES_tradnl"/>
        </w:rPr>
        <w:t>.</w:t>
      </w:r>
      <w:r w:rsidR="00F25DC9">
        <w:rPr>
          <w:lang w:val="es-ES_tradnl"/>
        </w:rPr>
        <w:t xml:space="preserve"> </w:t>
      </w:r>
      <w:r w:rsidR="00CC3EC7">
        <w:rPr>
          <w:lang w:val="es-ES_tradnl"/>
        </w:rPr>
        <w:t xml:space="preserve">La ley define los contratos de PPP como aquellos en que algún organismo de la “Administración Pública encarga a una persona de derecho privado, por un periodo determinado, el diseño, la construcción y la operación de infraestructura o alguna de dichas prestaciones, además de la financiación”. Y define que “sólo podrán celebrarse contratos de </w:t>
      </w:r>
      <w:proofErr w:type="spellStart"/>
      <w:r w:rsidR="00CC3EC7">
        <w:rPr>
          <w:lang w:val="es-ES_tradnl"/>
        </w:rPr>
        <w:t>PPPs</w:t>
      </w:r>
      <w:proofErr w:type="spellEnd"/>
      <w:r w:rsidR="00CC3EC7">
        <w:rPr>
          <w:lang w:val="es-ES_tradnl"/>
        </w:rPr>
        <w:t xml:space="preserve"> cuando previamente se </w:t>
      </w:r>
      <w:r w:rsidR="00E313D3">
        <w:rPr>
          <w:lang w:val="es-ES_tradnl"/>
        </w:rPr>
        <w:t>resuelva</w:t>
      </w:r>
      <w:r w:rsidR="00CC3EC7">
        <w:rPr>
          <w:lang w:val="es-ES_tradnl"/>
        </w:rPr>
        <w:t xml:space="preserve">, en la forma prevista en la ley, que otras modalidades alternativas de contratación no permiten la mejor forma de satisfacción de las finalidades públicas”. </w:t>
      </w:r>
    </w:p>
    <w:p w14:paraId="4294EAB3" w14:textId="14675200" w:rsidR="00CC3EC7" w:rsidRDefault="00CC3EC7" w:rsidP="0075345B">
      <w:pPr>
        <w:jc w:val="both"/>
        <w:rPr>
          <w:lang w:val="es-ES_tradnl"/>
        </w:rPr>
      </w:pPr>
      <w:r>
        <w:rPr>
          <w:lang w:val="es-ES_tradnl"/>
        </w:rPr>
        <w:t xml:space="preserve">Los contratos de </w:t>
      </w:r>
      <w:proofErr w:type="spellStart"/>
      <w:r>
        <w:rPr>
          <w:lang w:val="es-ES_tradnl"/>
        </w:rPr>
        <w:t>PPPs</w:t>
      </w:r>
      <w:proofErr w:type="spellEnd"/>
      <w:r>
        <w:rPr>
          <w:lang w:val="es-ES_tradnl"/>
        </w:rPr>
        <w:t xml:space="preserve"> sólo pueden desarrollarse para obras de infraestructura en los siguientes sectores de </w:t>
      </w:r>
      <w:r w:rsidR="00E313D3">
        <w:rPr>
          <w:lang w:val="es-ES_tradnl"/>
        </w:rPr>
        <w:t>actividad</w:t>
      </w:r>
      <w:r>
        <w:rPr>
          <w:lang w:val="es-ES_tradnl"/>
        </w:rPr>
        <w:t xml:space="preserve">: a) obras viales, ferrovías, portuarias y aeroportuarias; b) obras de infraestructura energética; c) obras de disposición y tratamiento de residuos; d) obras de infraestructura social, incluyendo cárceles, centros de salud, centros de educación, viviendas de interés social, complejos deportivos y obras de mejoramiento, equipamiento y desarrollo urbano. </w:t>
      </w:r>
    </w:p>
    <w:p w14:paraId="36042310" w14:textId="274BCBE7" w:rsidR="00FD5E87" w:rsidRDefault="00CC3EC7" w:rsidP="0075345B">
      <w:pPr>
        <w:jc w:val="both"/>
        <w:rPr>
          <w:lang w:val="es-ES_tradnl"/>
        </w:rPr>
      </w:pPr>
      <w:r>
        <w:rPr>
          <w:lang w:val="es-ES_tradnl"/>
        </w:rPr>
        <w:t>En la ley de PPP</w:t>
      </w:r>
      <w:r w:rsidR="00ED498A">
        <w:rPr>
          <w:lang w:val="es-ES_tradnl"/>
        </w:rPr>
        <w:t xml:space="preserve"> se establece</w:t>
      </w:r>
      <w:r w:rsidR="00FD5E87">
        <w:rPr>
          <w:lang w:val="es-ES_tradnl"/>
        </w:rPr>
        <w:t xml:space="preserve">n una serie de elementos que componen el marco de actuación: i) un ciclo de proyecto con etapas definidas y transparente en cuanto a tiempos, requisitos, etc.; ii) un cuadro de garantías para acreedores financieros; iii) opciones de contabilización; iv) mecanismos de “dialogo competitivo; </w:t>
      </w:r>
      <w:r w:rsidR="00B6592C">
        <w:rPr>
          <w:lang w:val="es-ES_tradnl"/>
        </w:rPr>
        <w:t>e</w:t>
      </w:r>
      <w:r w:rsidR="00FD5E87">
        <w:rPr>
          <w:lang w:val="es-ES_tradnl"/>
        </w:rPr>
        <w:t xml:space="preserve"> </w:t>
      </w:r>
      <w:r w:rsidR="001821F7">
        <w:rPr>
          <w:lang w:val="es-ES_tradnl"/>
        </w:rPr>
        <w:t>v)</w:t>
      </w:r>
      <w:r w:rsidR="007075ED">
        <w:rPr>
          <w:lang w:val="es-ES_tradnl"/>
        </w:rPr>
        <w:t xml:space="preserve"> instrumentos</w:t>
      </w:r>
      <w:r w:rsidR="00FD5E87">
        <w:rPr>
          <w:lang w:val="es-ES_tradnl"/>
        </w:rPr>
        <w:t xml:space="preserve"> para la solución de controversias.  </w:t>
      </w:r>
    </w:p>
    <w:p w14:paraId="50A81820" w14:textId="5731CA87" w:rsidR="00FD5E87" w:rsidRDefault="00FD5E87" w:rsidP="00FD5E87">
      <w:pPr>
        <w:jc w:val="both"/>
        <w:rPr>
          <w:lang w:val="es-ES_tradnl"/>
        </w:rPr>
      </w:pPr>
      <w:r>
        <w:rPr>
          <w:lang w:val="es-ES_tradnl"/>
        </w:rPr>
        <w:t>Al respecto de las garantías</w:t>
      </w:r>
      <w:r w:rsidR="00342371">
        <w:rPr>
          <w:lang w:val="es-ES_tradnl"/>
        </w:rPr>
        <w:t xml:space="preserve"> (artículo 25 y siguientes, capitulo IV)</w:t>
      </w:r>
      <w:r>
        <w:rPr>
          <w:lang w:val="es-ES_tradnl"/>
        </w:rPr>
        <w:t xml:space="preserve">, la ley de </w:t>
      </w:r>
      <w:proofErr w:type="spellStart"/>
      <w:r>
        <w:rPr>
          <w:lang w:val="es-ES_tradnl"/>
        </w:rPr>
        <w:t>PPPs</w:t>
      </w:r>
      <w:proofErr w:type="spellEnd"/>
      <w:r>
        <w:rPr>
          <w:lang w:val="es-ES_tradnl"/>
        </w:rPr>
        <w:t xml:space="preserve"> establece que la empresa contratada tendrá que retener garantías de mantenimiento de obra y de cumplimiento de contrato hasta el término </w:t>
      </w:r>
      <w:proofErr w:type="gramStart"/>
      <w:r>
        <w:rPr>
          <w:lang w:val="es-ES_tradnl"/>
        </w:rPr>
        <w:t>del</w:t>
      </w:r>
      <w:r w:rsidR="0051239F">
        <w:rPr>
          <w:lang w:val="es-ES_tradnl"/>
        </w:rPr>
        <w:t xml:space="preserve"> </w:t>
      </w:r>
      <w:r>
        <w:rPr>
          <w:lang w:val="es-ES_tradnl"/>
        </w:rPr>
        <w:t>mismo</w:t>
      </w:r>
      <w:proofErr w:type="gramEnd"/>
      <w:r>
        <w:rPr>
          <w:lang w:val="es-ES_tradnl"/>
        </w:rPr>
        <w:t xml:space="preserve">, pudiendo responder a sanciones. Esas sanciones por incumplimiento pueden ser: medidas cautelares, indemnizaciones o intervenciones y retenciones de activos en los casos más graves. </w:t>
      </w:r>
    </w:p>
    <w:p w14:paraId="5BB2591E" w14:textId="30F7EC53" w:rsidR="00FD5E87" w:rsidRDefault="00FD5E87" w:rsidP="00FD5E87">
      <w:pPr>
        <w:jc w:val="both"/>
        <w:rPr>
          <w:lang w:val="es-ES_tradnl"/>
        </w:rPr>
      </w:pPr>
      <w:r>
        <w:rPr>
          <w:lang w:val="es-ES_tradnl"/>
        </w:rPr>
        <w:t xml:space="preserve">La ley establece dos causas de renegociación: hecho de soberano (principio de soberanía o hecho del príncipe) y razones de fuerza mayor. </w:t>
      </w:r>
      <w:r w:rsidR="00FC4F28">
        <w:rPr>
          <w:lang w:val="es-ES_tradnl"/>
        </w:rPr>
        <w:t>Además, las modificaciones de contratos tendrán que ser fundadas y probadas y e</w:t>
      </w:r>
      <w:r>
        <w:rPr>
          <w:lang w:val="es-ES_tradnl"/>
        </w:rPr>
        <w:t xml:space="preserve">l contratista podrá ceder el contrato a un tercero, con autorización del gobierno. Los contratos se extinguirán por cumplimiento, vencimiento del plazo, resolución unilateral, fuerza mayor y mutuo acuerdo. Para la solución de los conflictos, las partes podrían recurrir al arbitraje designado entre las partes (siendo </w:t>
      </w:r>
      <w:r w:rsidR="00FC4F28">
        <w:rPr>
          <w:lang w:val="es-ES_tradnl"/>
        </w:rPr>
        <w:t xml:space="preserve">inapelable </w:t>
      </w:r>
      <w:r>
        <w:rPr>
          <w:lang w:val="es-ES_tradnl"/>
        </w:rPr>
        <w:t xml:space="preserve">el laudo resultante). </w:t>
      </w:r>
    </w:p>
    <w:p w14:paraId="4FDA4475" w14:textId="18CEF1B3" w:rsidR="0075345B" w:rsidRDefault="00FD5E87" w:rsidP="0075345B">
      <w:pPr>
        <w:jc w:val="both"/>
        <w:rPr>
          <w:lang w:val="es-ES_tradnl"/>
        </w:rPr>
      </w:pPr>
      <w:r>
        <w:rPr>
          <w:lang w:val="es-ES_tradnl"/>
        </w:rPr>
        <w:t xml:space="preserve">La ley </w:t>
      </w:r>
      <w:r w:rsidR="00CC3EC7">
        <w:rPr>
          <w:lang w:val="es-ES_tradnl"/>
        </w:rPr>
        <w:t xml:space="preserve">determina que las contraprestaciones </w:t>
      </w:r>
      <w:r w:rsidR="007A5C2D">
        <w:rPr>
          <w:lang w:val="es-ES_tradnl"/>
        </w:rPr>
        <w:t xml:space="preserve">recibidas por </w:t>
      </w:r>
      <w:r w:rsidR="00FC4F28">
        <w:rPr>
          <w:lang w:val="es-ES_tradnl"/>
        </w:rPr>
        <w:t>la empresa contratada</w:t>
      </w:r>
      <w:r w:rsidR="007A5C2D">
        <w:rPr>
          <w:lang w:val="es-ES_tradnl"/>
        </w:rPr>
        <w:t xml:space="preserve"> pueden tener diferentes modalidades de ingresos</w:t>
      </w:r>
      <w:r w:rsidR="00FC4F28">
        <w:rPr>
          <w:lang w:val="es-ES_tradnl"/>
        </w:rPr>
        <w:t>:</w:t>
      </w:r>
      <w:r w:rsidR="007A5C2D">
        <w:rPr>
          <w:lang w:val="es-ES_tradnl"/>
        </w:rPr>
        <w:t xml:space="preserve"> de manera </w:t>
      </w:r>
      <w:r w:rsidR="00FC4F28">
        <w:rPr>
          <w:lang w:val="es-ES_tradnl"/>
        </w:rPr>
        <w:t>exclusiva</w:t>
      </w:r>
      <w:r w:rsidR="007A5C2D">
        <w:rPr>
          <w:lang w:val="es-ES_tradnl"/>
        </w:rPr>
        <w:t xml:space="preserve"> o combinada, provenientes del </w:t>
      </w:r>
      <w:r w:rsidR="00FC4F28">
        <w:rPr>
          <w:lang w:val="es-ES_tradnl"/>
        </w:rPr>
        <w:t>contratista</w:t>
      </w:r>
      <w:r w:rsidR="007A5C2D">
        <w:rPr>
          <w:lang w:val="es-ES_tradnl"/>
        </w:rPr>
        <w:t>, de los usuarios u otros casos que se estipulen, pero indica que en ningún caso se podrá asegurar contractualmente niveles mínimos de rentabilidad del proyecto. T</w:t>
      </w:r>
      <w:r>
        <w:rPr>
          <w:lang w:val="es-ES_tradnl"/>
        </w:rPr>
        <w:t xml:space="preserve">ambién define </w:t>
      </w:r>
      <w:r w:rsidR="0075345B">
        <w:rPr>
          <w:lang w:val="es-ES_tradnl"/>
        </w:rPr>
        <w:t xml:space="preserve">un límite del 7% del PIB para el total de pasivos firmes y contingentes que se origen por el mecanismo de </w:t>
      </w:r>
      <w:proofErr w:type="spellStart"/>
      <w:r w:rsidR="0075345B">
        <w:rPr>
          <w:lang w:val="es-ES_tradnl"/>
        </w:rPr>
        <w:t>PPPs</w:t>
      </w:r>
      <w:proofErr w:type="spellEnd"/>
      <w:r w:rsidR="0075345B">
        <w:rPr>
          <w:lang w:val="es-ES_tradnl"/>
        </w:rPr>
        <w:t xml:space="preserve"> y de 0,5% del PIB para el total de compromisos anuales con los contratistas privados. </w:t>
      </w:r>
    </w:p>
    <w:p w14:paraId="34819F67" w14:textId="79D48D56" w:rsidR="00F96665" w:rsidRDefault="00F96665" w:rsidP="00F96665">
      <w:pPr>
        <w:jc w:val="both"/>
        <w:rPr>
          <w:lang w:val="es-ES_tradnl"/>
        </w:rPr>
      </w:pPr>
      <w:r>
        <w:rPr>
          <w:lang w:val="es-ES_tradnl"/>
        </w:rPr>
        <w:lastRenderedPageBreak/>
        <w:t xml:space="preserve">El procedimiento de contratación para iniciativas públicas a través de </w:t>
      </w:r>
      <w:proofErr w:type="spellStart"/>
      <w:r>
        <w:rPr>
          <w:lang w:val="es-ES_tradnl"/>
        </w:rPr>
        <w:t>PPPs</w:t>
      </w:r>
      <w:proofErr w:type="spellEnd"/>
      <w:r>
        <w:rPr>
          <w:lang w:val="es-ES_tradnl"/>
        </w:rPr>
        <w:t xml:space="preserve"> tiene los siguientes pasos: i) </w:t>
      </w:r>
      <w:r w:rsidR="00FC4F28">
        <w:rPr>
          <w:lang w:val="es-ES_tradnl"/>
        </w:rPr>
        <w:t xml:space="preserve">presentación de la </w:t>
      </w:r>
      <w:r>
        <w:rPr>
          <w:lang w:val="es-ES_tradnl"/>
        </w:rPr>
        <w:t>iniciativa (que puede ser de oficio o privada); ii) evaluación previa</w:t>
      </w:r>
      <w:r w:rsidR="00C51C09">
        <w:rPr>
          <w:rStyle w:val="FootnoteReference"/>
          <w:lang w:val="es-ES_tradnl"/>
        </w:rPr>
        <w:footnoteReference w:id="7"/>
      </w:r>
      <w:r>
        <w:rPr>
          <w:lang w:val="es-ES_tradnl"/>
        </w:rPr>
        <w:t xml:space="preserve"> del proyecto donde se analiza el Valor por Dinero (VFM); iii) aprobación de estudios (MEF/OPP); iv) llamado</w:t>
      </w:r>
      <w:r w:rsidR="00342371">
        <w:rPr>
          <w:lang w:val="es-ES_tradnl"/>
        </w:rPr>
        <w:t xml:space="preserve"> público a interesados (estableciendo el procedimiento competitivo a emplear); v) d</w:t>
      </w:r>
      <w:r>
        <w:rPr>
          <w:lang w:val="es-ES_tradnl"/>
        </w:rPr>
        <w:t>ialogo competitivo</w:t>
      </w:r>
      <w:r w:rsidR="00342371">
        <w:rPr>
          <w:lang w:val="es-ES_tradnl"/>
        </w:rPr>
        <w:t xml:space="preserve">, donde la </w:t>
      </w:r>
      <w:proofErr w:type="spellStart"/>
      <w:r w:rsidR="00FC4F28">
        <w:rPr>
          <w:lang w:val="es-ES_tradnl"/>
        </w:rPr>
        <w:t>Admistración</w:t>
      </w:r>
      <w:proofErr w:type="spellEnd"/>
      <w:r w:rsidR="00342371">
        <w:rPr>
          <w:lang w:val="es-ES_tradnl"/>
        </w:rPr>
        <w:t xml:space="preserve"> podrá discutir la propuesta con los postulantes que cumplan los requisitos de solvencia </w:t>
      </w:r>
      <w:proofErr w:type="spellStart"/>
      <w:r w:rsidR="00342371">
        <w:rPr>
          <w:lang w:val="es-ES_tradnl"/>
        </w:rPr>
        <w:t>téncia</w:t>
      </w:r>
      <w:proofErr w:type="spellEnd"/>
      <w:r w:rsidR="00342371">
        <w:rPr>
          <w:lang w:val="es-ES_tradnl"/>
        </w:rPr>
        <w:t xml:space="preserve"> y económica</w:t>
      </w:r>
      <w:r>
        <w:rPr>
          <w:lang w:val="es-ES_tradnl"/>
        </w:rPr>
        <w:t>; v</w:t>
      </w:r>
      <w:r w:rsidR="00342371">
        <w:rPr>
          <w:lang w:val="es-ES_tradnl"/>
        </w:rPr>
        <w:t>i</w:t>
      </w:r>
      <w:r>
        <w:rPr>
          <w:lang w:val="es-ES_tradnl"/>
        </w:rPr>
        <w:t xml:space="preserve">) presentación y examen de ofertas; y vi) adjudicación. </w:t>
      </w:r>
    </w:p>
    <w:p w14:paraId="6BCD01EB" w14:textId="36D201CE" w:rsidR="00F96665" w:rsidRDefault="00F96665" w:rsidP="00F96665">
      <w:pPr>
        <w:jc w:val="both"/>
        <w:rPr>
          <w:lang w:val="es-ES_tradnl"/>
        </w:rPr>
      </w:pPr>
      <w:r>
        <w:rPr>
          <w:lang w:val="es-ES_tradnl"/>
        </w:rPr>
        <w:t>Además</w:t>
      </w:r>
      <w:r w:rsidR="00FC4F28">
        <w:rPr>
          <w:lang w:val="es-ES_tradnl"/>
        </w:rPr>
        <w:t>,</w:t>
      </w:r>
      <w:r>
        <w:rPr>
          <w:lang w:val="es-ES_tradnl"/>
        </w:rPr>
        <w:t xml:space="preserve"> la </w:t>
      </w:r>
      <w:r w:rsidR="00FC4F28">
        <w:rPr>
          <w:lang w:val="es-ES_tradnl"/>
        </w:rPr>
        <w:t xml:space="preserve">ley define la figura de iniciativas privadas, a través de la cual la </w:t>
      </w:r>
      <w:r>
        <w:rPr>
          <w:lang w:val="es-ES_tradnl"/>
        </w:rPr>
        <w:t xml:space="preserve">administración pública puede recibir </w:t>
      </w:r>
      <w:r w:rsidR="00FC4F28">
        <w:rPr>
          <w:lang w:val="es-ES_tradnl"/>
        </w:rPr>
        <w:t xml:space="preserve">de las empresas privadas propuestas </w:t>
      </w:r>
      <w:r>
        <w:rPr>
          <w:lang w:val="es-ES_tradnl"/>
        </w:rPr>
        <w:t xml:space="preserve">para el desarrollo de proyectos de </w:t>
      </w:r>
      <w:proofErr w:type="spellStart"/>
      <w:r>
        <w:rPr>
          <w:lang w:val="es-ES_tradnl"/>
        </w:rPr>
        <w:t>PPPs</w:t>
      </w:r>
      <w:proofErr w:type="spellEnd"/>
      <w:r>
        <w:rPr>
          <w:lang w:val="es-ES_tradnl"/>
        </w:rPr>
        <w:t xml:space="preserve"> comprendidos dentro de sus respectivos ámbitos de competencia. </w:t>
      </w:r>
      <w:r w:rsidR="00FC4F28">
        <w:rPr>
          <w:lang w:val="es-ES_tradnl"/>
        </w:rPr>
        <w:t>Toda la información relativa a la iniciativa privada deberá ser confidencial y e</w:t>
      </w:r>
      <w:r>
        <w:rPr>
          <w:lang w:val="es-ES_tradnl"/>
        </w:rPr>
        <w:t>l proponente de</w:t>
      </w:r>
      <w:r w:rsidR="00FC4F28">
        <w:rPr>
          <w:lang w:val="es-ES_tradnl"/>
        </w:rPr>
        <w:t>l proyecto recibirá</w:t>
      </w:r>
      <w:r>
        <w:rPr>
          <w:lang w:val="es-ES_tradnl"/>
        </w:rPr>
        <w:t xml:space="preserve"> un beneficio del 10% en su oferta y de no ganar la licitación se le reembolsará el costo de los estudios. </w:t>
      </w:r>
    </w:p>
    <w:p w14:paraId="095F2590" w14:textId="6EC6DCF4" w:rsidR="00F96665" w:rsidRDefault="00F96665" w:rsidP="0075345B">
      <w:pPr>
        <w:jc w:val="both"/>
        <w:rPr>
          <w:b/>
          <w:smallCaps/>
          <w:lang w:val="es-ES_tradnl"/>
        </w:rPr>
      </w:pPr>
    </w:p>
    <w:p w14:paraId="3FF70D4B" w14:textId="188ECEC6" w:rsidR="00F96665" w:rsidRDefault="00F96665" w:rsidP="003D678A">
      <w:pPr>
        <w:pStyle w:val="Heading2"/>
        <w:rPr>
          <w:lang w:val="es-ES_tradnl"/>
        </w:rPr>
      </w:pPr>
      <w:bookmarkStart w:id="2" w:name="_Toc525574918"/>
      <w:r w:rsidRPr="003D678A">
        <w:rPr>
          <w:lang w:val="es-ES_tradnl"/>
        </w:rPr>
        <w:t>Instituciones públicas participantes</w:t>
      </w:r>
      <w:bookmarkEnd w:id="2"/>
      <w:r w:rsidRPr="003D678A">
        <w:rPr>
          <w:lang w:val="es-ES_tradnl"/>
        </w:rPr>
        <w:t xml:space="preserve"> </w:t>
      </w:r>
    </w:p>
    <w:p w14:paraId="399F30D6" w14:textId="77777777" w:rsidR="003D678A" w:rsidRPr="003D678A" w:rsidRDefault="003D678A" w:rsidP="003D678A">
      <w:pPr>
        <w:rPr>
          <w:lang w:val="es-ES_tradnl"/>
        </w:rPr>
      </w:pPr>
    </w:p>
    <w:p w14:paraId="77939EEE" w14:textId="4F491600" w:rsidR="00F96665" w:rsidRDefault="00F96665" w:rsidP="00FD5E87">
      <w:pPr>
        <w:jc w:val="both"/>
        <w:rPr>
          <w:lang w:val="es-ES_tradnl"/>
        </w:rPr>
      </w:pPr>
      <w:r>
        <w:rPr>
          <w:lang w:val="es-ES_tradnl"/>
        </w:rPr>
        <w:t xml:space="preserve">La ley establece </w:t>
      </w:r>
      <w:r w:rsidR="00FD5E87">
        <w:rPr>
          <w:lang w:val="es-ES_tradnl"/>
        </w:rPr>
        <w:t xml:space="preserve">un marco institucional </w:t>
      </w:r>
      <w:r w:rsidR="0072606A">
        <w:rPr>
          <w:lang w:val="es-ES_tradnl"/>
        </w:rPr>
        <w:t xml:space="preserve">(capítulo II, artículo 7º y siguientes) </w:t>
      </w:r>
      <w:r w:rsidR="00FD5E87">
        <w:rPr>
          <w:lang w:val="es-ES_tradnl"/>
        </w:rPr>
        <w:t>para la coordinación entre el MEF</w:t>
      </w:r>
      <w:r>
        <w:rPr>
          <w:lang w:val="es-ES_tradnl"/>
        </w:rPr>
        <w:t xml:space="preserve">, la Unidad </w:t>
      </w:r>
      <w:r w:rsidR="00FD5E87">
        <w:rPr>
          <w:lang w:val="es-ES_tradnl"/>
        </w:rPr>
        <w:t xml:space="preserve">de </w:t>
      </w:r>
      <w:proofErr w:type="spellStart"/>
      <w:r w:rsidR="00FD5E87">
        <w:rPr>
          <w:lang w:val="es-ES_tradnl"/>
        </w:rPr>
        <w:t>PPPs</w:t>
      </w:r>
      <w:proofErr w:type="spellEnd"/>
      <w:r w:rsidR="00FD5E87">
        <w:rPr>
          <w:lang w:val="es-ES_tradnl"/>
        </w:rPr>
        <w:t>, la OPP y la CND</w:t>
      </w:r>
      <w:r w:rsidR="00FC4F28">
        <w:rPr>
          <w:lang w:val="es-ES_tradnl"/>
        </w:rPr>
        <w:t xml:space="preserve">. Estas entidades </w:t>
      </w:r>
      <w:r>
        <w:rPr>
          <w:lang w:val="es-ES_tradnl"/>
        </w:rPr>
        <w:t>son</w:t>
      </w:r>
      <w:r w:rsidR="00FC4F28">
        <w:rPr>
          <w:lang w:val="es-ES_tradnl"/>
        </w:rPr>
        <w:t xml:space="preserve"> las </w:t>
      </w:r>
      <w:r>
        <w:rPr>
          <w:lang w:val="es-ES_tradnl"/>
        </w:rPr>
        <w:t xml:space="preserve">instituciones principales que participan en los procesos de preparación y desarrollo de </w:t>
      </w:r>
      <w:proofErr w:type="spellStart"/>
      <w:r>
        <w:rPr>
          <w:lang w:val="es-ES_tradnl"/>
        </w:rPr>
        <w:t>PPPs</w:t>
      </w:r>
      <w:proofErr w:type="spellEnd"/>
      <w:r>
        <w:rPr>
          <w:lang w:val="es-ES_tradnl"/>
        </w:rPr>
        <w:t xml:space="preserve"> en Uruguay</w:t>
      </w:r>
      <w:r w:rsidR="00FC4F28">
        <w:rPr>
          <w:lang w:val="es-ES_tradnl"/>
        </w:rPr>
        <w:t xml:space="preserve"> y </w:t>
      </w:r>
      <w:r>
        <w:rPr>
          <w:lang w:val="es-ES_tradnl"/>
        </w:rPr>
        <w:t>están</w:t>
      </w:r>
      <w:r w:rsidR="00FC4F28">
        <w:rPr>
          <w:lang w:val="es-ES_tradnl"/>
        </w:rPr>
        <w:t xml:space="preserve"> a su vez</w:t>
      </w:r>
      <w:r>
        <w:rPr>
          <w:lang w:val="es-ES_tradnl"/>
        </w:rPr>
        <w:t xml:space="preserve"> coordinadas dentro del marco general del Sistema Nacional de Inversión Pública de Uruguay (SNIP). </w:t>
      </w:r>
    </w:p>
    <w:p w14:paraId="177171B3" w14:textId="705E8762" w:rsidR="00B3430E" w:rsidRDefault="00FC4F28" w:rsidP="00B3430E">
      <w:pPr>
        <w:jc w:val="both"/>
        <w:rPr>
          <w:lang w:val="es-ES_tradnl"/>
        </w:rPr>
      </w:pPr>
      <w:r>
        <w:rPr>
          <w:lang w:val="es-ES_tradnl"/>
        </w:rPr>
        <w:t>El Sistema Nacional de Inversión Pública (SNIP) es un Sistema de gestión de proyectos que se implementó en la Administración Pública de Uruguay a partir de 2015. P</w:t>
      </w:r>
      <w:r w:rsidR="00B3430E">
        <w:rPr>
          <w:lang w:val="es-ES_tradnl"/>
        </w:rPr>
        <w:t xml:space="preserve">retende convertirse en una base de datos de todos los proyectos de inversión que sean prioritarios para el país y que integran el Presupuesto Nacional 2015-2019 </w:t>
      </w:r>
      <w:r>
        <w:rPr>
          <w:lang w:val="es-ES_tradnl"/>
        </w:rPr>
        <w:t>(dentro del contexto de una Agenda Nacional de Infraestructura 2015-2030)</w:t>
      </w:r>
      <w:r w:rsidR="00B3430E">
        <w:rPr>
          <w:lang w:val="es-ES_tradnl"/>
        </w:rPr>
        <w:t xml:space="preserve">. </w:t>
      </w:r>
    </w:p>
    <w:p w14:paraId="1E9C6EF5" w14:textId="3384D3AC" w:rsidR="00FA05DC" w:rsidRDefault="00F96665" w:rsidP="00FD5E87">
      <w:pPr>
        <w:jc w:val="both"/>
        <w:rPr>
          <w:lang w:val="es-ES_tradnl"/>
        </w:rPr>
      </w:pPr>
      <w:r>
        <w:rPr>
          <w:lang w:val="es-ES_tradnl"/>
        </w:rPr>
        <w:t xml:space="preserve">El SNIP es un </w:t>
      </w:r>
      <w:r w:rsidR="00994962">
        <w:rPr>
          <w:lang w:val="es-ES_tradnl"/>
        </w:rPr>
        <w:t>banco de proyectos donde se registran y gestionan todos los proyectos</w:t>
      </w:r>
      <w:r w:rsidR="00FA05DC">
        <w:rPr>
          <w:lang w:val="es-ES_tradnl"/>
        </w:rPr>
        <w:t xml:space="preserve"> de inversión pública en el país</w:t>
      </w:r>
      <w:r w:rsidR="00F30154">
        <w:rPr>
          <w:lang w:val="es-ES_tradnl"/>
        </w:rPr>
        <w:t xml:space="preserve"> (incluidos los desarrollados por las Empresas Públicas)</w:t>
      </w:r>
      <w:r w:rsidR="00FA05DC">
        <w:rPr>
          <w:lang w:val="es-ES_tradnl"/>
        </w:rPr>
        <w:t>.</w:t>
      </w:r>
      <w:r w:rsidR="009A0950">
        <w:rPr>
          <w:lang w:val="es-ES_tradnl"/>
        </w:rPr>
        <w:t xml:space="preserve"> </w:t>
      </w:r>
      <w:r w:rsidR="00137DF6">
        <w:rPr>
          <w:lang w:val="es-ES_tradnl"/>
        </w:rPr>
        <w:t>El sistema es gestionado por la OPP</w:t>
      </w:r>
      <w:r w:rsidR="00F30154">
        <w:rPr>
          <w:lang w:val="es-ES_tradnl"/>
        </w:rPr>
        <w:t xml:space="preserve"> y en él, </w:t>
      </w:r>
      <w:r w:rsidR="00137DF6">
        <w:rPr>
          <w:lang w:val="es-ES_tradnl"/>
        </w:rPr>
        <w:t>cada organismo ingresa sus proyectos en fase de preinversión</w:t>
      </w:r>
      <w:r w:rsidR="00E848A5">
        <w:rPr>
          <w:lang w:val="es-ES_tradnl"/>
        </w:rPr>
        <w:t xml:space="preserve"> para </w:t>
      </w:r>
      <w:r w:rsidR="00F30154">
        <w:rPr>
          <w:lang w:val="es-ES_tradnl"/>
        </w:rPr>
        <w:t>la verificación,</w:t>
      </w:r>
      <w:r w:rsidR="00E848A5">
        <w:rPr>
          <w:lang w:val="es-ES_tradnl"/>
        </w:rPr>
        <w:t xml:space="preserve"> análisis y </w:t>
      </w:r>
      <w:r w:rsidR="009E3F2E">
        <w:rPr>
          <w:lang w:val="es-ES_tradnl"/>
        </w:rPr>
        <w:t>consolidación de la OPP. Dentro del SNIP, la OPP emite la Conformidad Técnica y el Dictamen Técnico Favorable</w:t>
      </w:r>
      <w:r w:rsidR="00F30154">
        <w:rPr>
          <w:lang w:val="es-ES_tradnl"/>
        </w:rPr>
        <w:t xml:space="preserve"> de</w:t>
      </w:r>
      <w:r w:rsidR="009E3F2E">
        <w:rPr>
          <w:lang w:val="es-ES_tradnl"/>
        </w:rPr>
        <w:t xml:space="preserve"> cada proyecto cuando se evalúa</w:t>
      </w:r>
      <w:r w:rsidR="00F30154">
        <w:rPr>
          <w:lang w:val="es-ES_tradnl"/>
        </w:rPr>
        <w:t>n</w:t>
      </w:r>
      <w:r w:rsidR="009E3F2E">
        <w:rPr>
          <w:lang w:val="es-ES_tradnl"/>
        </w:rPr>
        <w:t xml:space="preserve"> positivamente. Este certificado es un requisito </w:t>
      </w:r>
      <w:r w:rsidR="00F30154">
        <w:rPr>
          <w:lang w:val="es-ES_tradnl"/>
        </w:rPr>
        <w:t xml:space="preserve">indispensable </w:t>
      </w:r>
      <w:r w:rsidR="009E3F2E">
        <w:rPr>
          <w:lang w:val="es-ES_tradnl"/>
        </w:rPr>
        <w:t>para</w:t>
      </w:r>
      <w:r w:rsidR="00F30154">
        <w:rPr>
          <w:lang w:val="es-ES_tradnl"/>
        </w:rPr>
        <w:t xml:space="preserve"> poder</w:t>
      </w:r>
      <w:r w:rsidR="009E3F2E">
        <w:rPr>
          <w:lang w:val="es-ES_tradnl"/>
        </w:rPr>
        <w:t xml:space="preserve"> pasar a la fase de ejecución (</w:t>
      </w:r>
      <w:r w:rsidR="00F30154">
        <w:rPr>
          <w:lang w:val="es-ES_tradnl"/>
        </w:rPr>
        <w:t>también para los proyectos de</w:t>
      </w:r>
      <w:r w:rsidR="009E3F2E">
        <w:rPr>
          <w:lang w:val="es-ES_tradnl"/>
        </w:rPr>
        <w:t xml:space="preserve"> PPP). </w:t>
      </w:r>
    </w:p>
    <w:p w14:paraId="7FF9CEA4" w14:textId="39B1AE47" w:rsidR="00FD5E87" w:rsidRDefault="00FD5E87" w:rsidP="00FD5E87">
      <w:pPr>
        <w:jc w:val="both"/>
        <w:rPr>
          <w:lang w:val="es-ES_tradnl"/>
        </w:rPr>
      </w:pPr>
      <w:r>
        <w:rPr>
          <w:lang w:val="es-ES_tradnl"/>
        </w:rPr>
        <w:t xml:space="preserve">La Unidad de </w:t>
      </w:r>
      <w:proofErr w:type="spellStart"/>
      <w:r>
        <w:rPr>
          <w:lang w:val="es-ES_tradnl"/>
        </w:rPr>
        <w:t>PPPs</w:t>
      </w:r>
      <w:proofErr w:type="spellEnd"/>
      <w:r>
        <w:rPr>
          <w:lang w:val="es-ES_tradnl"/>
        </w:rPr>
        <w:t xml:space="preserve"> </w:t>
      </w:r>
      <w:r w:rsidR="00F96665">
        <w:rPr>
          <w:lang w:val="es-ES_tradnl"/>
        </w:rPr>
        <w:t>forma parte del organigrama</w:t>
      </w:r>
      <w:r>
        <w:rPr>
          <w:lang w:val="es-ES_tradnl"/>
        </w:rPr>
        <w:t xml:space="preserve"> del Ministerio de Economía y Finanzas</w:t>
      </w:r>
      <w:r w:rsidR="00F30154">
        <w:rPr>
          <w:lang w:val="es-ES_tradnl"/>
        </w:rPr>
        <w:t xml:space="preserve"> (MEF)</w:t>
      </w:r>
      <w:r>
        <w:rPr>
          <w:lang w:val="es-ES_tradnl"/>
        </w:rPr>
        <w:t xml:space="preserve"> y es responsable por los aspectos presupuestarios, la evaluación de riesgos, la </w:t>
      </w:r>
      <w:proofErr w:type="spellStart"/>
      <w:r>
        <w:rPr>
          <w:lang w:val="es-ES_tradnl"/>
        </w:rPr>
        <w:t>bancabilidad</w:t>
      </w:r>
      <w:proofErr w:type="spellEnd"/>
      <w:r>
        <w:rPr>
          <w:lang w:val="es-ES_tradnl"/>
        </w:rPr>
        <w:t xml:space="preserve"> de los proyectos, la aprobación de los estudios preliminares y términos contractuales y el control y seguimiento de l</w:t>
      </w:r>
      <w:r w:rsidR="00F30154">
        <w:rPr>
          <w:lang w:val="es-ES_tradnl"/>
        </w:rPr>
        <w:t xml:space="preserve">a </w:t>
      </w:r>
      <w:r w:rsidR="00F30154">
        <w:rPr>
          <w:lang w:val="es-ES_tradnl"/>
        </w:rPr>
        <w:lastRenderedPageBreak/>
        <w:t>ejecución de los</w:t>
      </w:r>
      <w:r>
        <w:rPr>
          <w:lang w:val="es-ES_tradnl"/>
        </w:rPr>
        <w:t xml:space="preserve"> proyectos. </w:t>
      </w:r>
      <w:r w:rsidR="00F74061">
        <w:rPr>
          <w:lang w:val="es-ES_tradnl"/>
        </w:rPr>
        <w:t xml:space="preserve">La Unidad de </w:t>
      </w:r>
      <w:proofErr w:type="spellStart"/>
      <w:r w:rsidR="00F74061">
        <w:rPr>
          <w:lang w:val="es-ES_tradnl"/>
        </w:rPr>
        <w:t>PPPs</w:t>
      </w:r>
      <w:proofErr w:type="spellEnd"/>
      <w:r w:rsidR="00F74061">
        <w:rPr>
          <w:lang w:val="es-ES_tradnl"/>
        </w:rPr>
        <w:t xml:space="preserve"> también se encarga del Registro de Proyectos de PPP, donde se desarrolla el seguimiento de los contratos suscritos y sus modificaciones. </w:t>
      </w:r>
    </w:p>
    <w:p w14:paraId="0AF164A4" w14:textId="77777777" w:rsidR="00B3430E" w:rsidRDefault="00F96665" w:rsidP="00B3430E">
      <w:pPr>
        <w:jc w:val="both"/>
        <w:rPr>
          <w:lang w:val="es-ES_tradnl"/>
        </w:rPr>
      </w:pPr>
      <w:r>
        <w:rPr>
          <w:lang w:val="es-ES_tradnl"/>
        </w:rPr>
        <w:t>La Oficina de Planeamiento y Presupuesto (OPP)</w:t>
      </w:r>
      <w:r w:rsidR="00BA0870">
        <w:rPr>
          <w:lang w:val="es-ES_tradnl"/>
        </w:rPr>
        <w:t xml:space="preserve"> actúa de manera coordinada con el Ministerio de Economía y la Unidad de </w:t>
      </w:r>
      <w:proofErr w:type="spellStart"/>
      <w:r w:rsidR="00BA0870">
        <w:rPr>
          <w:lang w:val="es-ES_tradnl"/>
        </w:rPr>
        <w:t>PPPs</w:t>
      </w:r>
      <w:proofErr w:type="spellEnd"/>
      <w:r w:rsidR="00BA0870">
        <w:rPr>
          <w:lang w:val="es-ES_tradnl"/>
        </w:rPr>
        <w:t xml:space="preserve"> y</w:t>
      </w:r>
      <w:r>
        <w:rPr>
          <w:lang w:val="es-ES_tradnl"/>
        </w:rPr>
        <w:t xml:space="preserve"> es responsable por la aprobación de los estudios preliminares y los términos contractuales, con énfasis en la evaluación </w:t>
      </w:r>
      <w:proofErr w:type="gramStart"/>
      <w:r>
        <w:rPr>
          <w:lang w:val="es-ES_tradnl"/>
        </w:rPr>
        <w:t>socio-económica</w:t>
      </w:r>
      <w:proofErr w:type="gramEnd"/>
      <w:r>
        <w:rPr>
          <w:lang w:val="es-ES_tradnl"/>
        </w:rPr>
        <w:t>.</w:t>
      </w:r>
      <w:r w:rsidR="00B3430E" w:rsidRPr="00B3430E">
        <w:rPr>
          <w:lang w:val="es-ES_tradnl"/>
        </w:rPr>
        <w:t xml:space="preserve"> </w:t>
      </w:r>
    </w:p>
    <w:p w14:paraId="7F0B9EB5" w14:textId="77777777" w:rsidR="00F30154" w:rsidRDefault="00B3430E" w:rsidP="00FD5E87">
      <w:pPr>
        <w:jc w:val="both"/>
        <w:rPr>
          <w:lang w:val="es-ES_tradnl"/>
        </w:rPr>
      </w:pPr>
      <w:r>
        <w:rPr>
          <w:lang w:val="es-ES_tradnl"/>
        </w:rPr>
        <w:t xml:space="preserve">La Administración Pública contratante se encarga de la estructuración de proyectos de PPP y el control y seguimiento de los contratos. </w:t>
      </w:r>
      <w:r w:rsidR="00FD5E87">
        <w:rPr>
          <w:lang w:val="es-ES_tradnl"/>
        </w:rPr>
        <w:t xml:space="preserve">La Corporación Nacional para el Desarrollo (CND) se encarga del asesoramiento en la estructuración de proyectos, el control y seguimiento y el fortalecimiento institucional de las Administraciones Públicas contratantes. </w:t>
      </w:r>
    </w:p>
    <w:p w14:paraId="2699A6DF" w14:textId="71FF0948" w:rsidR="00FD5E87" w:rsidRDefault="00F30154" w:rsidP="00FD5E87">
      <w:pPr>
        <w:jc w:val="both"/>
        <w:rPr>
          <w:lang w:val="es-ES_tradnl"/>
        </w:rPr>
      </w:pPr>
      <w:r>
        <w:rPr>
          <w:lang w:val="es-ES_tradnl"/>
        </w:rPr>
        <w:t>En la ley de PPP el gobierno asignó cuatro responsabilidades principales a la CND; l</w:t>
      </w:r>
      <w:r w:rsidR="00FD5E87">
        <w:rPr>
          <w:lang w:val="es-ES_tradnl"/>
        </w:rPr>
        <w:t>a CND asesora en el desarrollo de los proyectos y en concreto, realiza el análisis de elegibilidad, factibilidad y el valor por dinero de los proyectos. También puede implementar proyectos como concesionario o fiduciario</w:t>
      </w:r>
      <w:r>
        <w:rPr>
          <w:lang w:val="es-ES_tradnl"/>
        </w:rPr>
        <w:t xml:space="preserve"> (por </w:t>
      </w:r>
      <w:proofErr w:type="gramStart"/>
      <w:r>
        <w:rPr>
          <w:lang w:val="es-ES_tradnl"/>
        </w:rPr>
        <w:t>ejemplo</w:t>
      </w:r>
      <w:proofErr w:type="gramEnd"/>
      <w:r>
        <w:rPr>
          <w:lang w:val="es-ES_tradnl"/>
        </w:rPr>
        <w:t xml:space="preserve"> a través de la CVU, ver siguiente apartado)</w:t>
      </w:r>
      <w:r w:rsidR="00FD5E87">
        <w:rPr>
          <w:lang w:val="es-ES_tradnl"/>
        </w:rPr>
        <w:t>. La CND también se encarga del fortalecimiento institucional de las instituciones del estado en temas de PPP: elabora</w:t>
      </w:r>
      <w:r>
        <w:rPr>
          <w:lang w:val="es-ES_tradnl"/>
        </w:rPr>
        <w:t>ndo</w:t>
      </w:r>
      <w:r w:rsidR="00FD5E87">
        <w:rPr>
          <w:lang w:val="es-ES_tradnl"/>
        </w:rPr>
        <w:t xml:space="preserve"> lineamientos técnicos</w:t>
      </w:r>
      <w:r w:rsidR="00BD7D52">
        <w:rPr>
          <w:rStyle w:val="FootnoteReference"/>
          <w:lang w:val="es-ES_tradnl"/>
        </w:rPr>
        <w:footnoteReference w:id="8"/>
      </w:r>
      <w:r w:rsidR="00FD5E87">
        <w:rPr>
          <w:lang w:val="es-ES_tradnl"/>
        </w:rPr>
        <w:t xml:space="preserve">, guías de buenas prácticas y capacitaciones. </w:t>
      </w:r>
    </w:p>
    <w:p w14:paraId="0FB35B6B" w14:textId="6730BAD9" w:rsidR="00FC4F28" w:rsidRDefault="00FC4F28" w:rsidP="00FC4F28">
      <w:pPr>
        <w:jc w:val="both"/>
        <w:rPr>
          <w:lang w:val="es-ES_tradnl"/>
        </w:rPr>
      </w:pPr>
      <w:r>
        <w:rPr>
          <w:lang w:val="es-ES_tradnl"/>
        </w:rPr>
        <w:t>En el caso de las iniciativas privadas, anteriormente comentadas, la CND evalúa la propuesta de proyecto y viabilidad (y puede aceptar con/sin modificaciones o rechaz</w:t>
      </w:r>
      <w:r w:rsidR="00F30154">
        <w:rPr>
          <w:lang w:val="es-ES_tradnl"/>
        </w:rPr>
        <w:t>ar la propuesta</w:t>
      </w:r>
      <w:r>
        <w:rPr>
          <w:lang w:val="es-ES_tradnl"/>
        </w:rPr>
        <w:t>)</w:t>
      </w:r>
      <w:r w:rsidR="00F30154">
        <w:rPr>
          <w:lang w:val="es-ES_tradnl"/>
        </w:rPr>
        <w:t>. Una vez aprobada,</w:t>
      </w:r>
      <w:r>
        <w:rPr>
          <w:lang w:val="es-ES_tradnl"/>
        </w:rPr>
        <w:t xml:space="preserve"> presenta la iniciativa ante la Administración Pública competente. El llamado público tiene que ser realizado por Administración Pública contratante. </w:t>
      </w:r>
    </w:p>
    <w:p w14:paraId="2CC4A9D0" w14:textId="045FE93F" w:rsidR="00FC4F28" w:rsidRDefault="00FC4F28" w:rsidP="00FD5E87">
      <w:pPr>
        <w:jc w:val="both"/>
        <w:rPr>
          <w:lang w:val="es-ES_tradnl"/>
        </w:rPr>
      </w:pPr>
    </w:p>
    <w:p w14:paraId="6E83BA86" w14:textId="4E97A010" w:rsidR="00997B7D" w:rsidRDefault="00997B7D" w:rsidP="00FD5E87">
      <w:pPr>
        <w:jc w:val="both"/>
        <w:rPr>
          <w:lang w:val="es-ES_tradnl"/>
        </w:rPr>
      </w:pPr>
    </w:p>
    <w:p w14:paraId="29E4698B" w14:textId="537F37B2" w:rsidR="00997B7D" w:rsidRDefault="00997B7D" w:rsidP="00FD5E87">
      <w:pPr>
        <w:jc w:val="both"/>
        <w:rPr>
          <w:lang w:val="es-ES_tradnl"/>
        </w:rPr>
      </w:pPr>
    </w:p>
    <w:p w14:paraId="52887909" w14:textId="6CA82434" w:rsidR="00B80015" w:rsidRDefault="00B80015" w:rsidP="00FD5E87">
      <w:pPr>
        <w:jc w:val="both"/>
        <w:rPr>
          <w:lang w:val="es-ES_tradnl"/>
        </w:rPr>
      </w:pPr>
    </w:p>
    <w:p w14:paraId="0981DF52" w14:textId="633B1B75" w:rsidR="00B80015" w:rsidRDefault="00B80015" w:rsidP="00FD5E87">
      <w:pPr>
        <w:jc w:val="both"/>
        <w:rPr>
          <w:lang w:val="es-ES_tradnl"/>
        </w:rPr>
      </w:pPr>
    </w:p>
    <w:p w14:paraId="6D993FCD" w14:textId="70CB4952" w:rsidR="00B80015" w:rsidRDefault="00B80015" w:rsidP="00FD5E87">
      <w:pPr>
        <w:jc w:val="both"/>
        <w:rPr>
          <w:lang w:val="es-ES_tradnl"/>
        </w:rPr>
      </w:pPr>
    </w:p>
    <w:p w14:paraId="41C8C7A6" w14:textId="2F396C95" w:rsidR="00B80015" w:rsidRDefault="00B80015" w:rsidP="00FD5E87">
      <w:pPr>
        <w:jc w:val="both"/>
        <w:rPr>
          <w:lang w:val="es-ES_tradnl"/>
        </w:rPr>
      </w:pPr>
    </w:p>
    <w:p w14:paraId="49075C2E" w14:textId="26AA6823" w:rsidR="00B80015" w:rsidRDefault="00B80015" w:rsidP="00FD5E87">
      <w:pPr>
        <w:jc w:val="both"/>
        <w:rPr>
          <w:lang w:val="es-ES_tradnl"/>
        </w:rPr>
      </w:pPr>
    </w:p>
    <w:p w14:paraId="7269CE45" w14:textId="6200DCA3" w:rsidR="00B80015" w:rsidRDefault="00B80015" w:rsidP="00FD5E87">
      <w:pPr>
        <w:jc w:val="both"/>
        <w:rPr>
          <w:lang w:val="es-ES_tradnl"/>
        </w:rPr>
      </w:pPr>
    </w:p>
    <w:p w14:paraId="561D525F" w14:textId="73C71FA1" w:rsidR="00B80015" w:rsidRDefault="00B80015" w:rsidP="00FD5E87">
      <w:pPr>
        <w:jc w:val="both"/>
        <w:rPr>
          <w:lang w:val="es-ES_tradnl"/>
        </w:rPr>
      </w:pPr>
    </w:p>
    <w:p w14:paraId="39154785" w14:textId="368E13B6" w:rsidR="00B80015" w:rsidRDefault="00B80015" w:rsidP="00FD5E87">
      <w:pPr>
        <w:jc w:val="both"/>
        <w:rPr>
          <w:lang w:val="es-ES_tradnl"/>
        </w:rPr>
      </w:pPr>
    </w:p>
    <w:p w14:paraId="55AA1732" w14:textId="6000EF42" w:rsidR="00FD5E87" w:rsidRPr="00FD5E87" w:rsidRDefault="00FD5E87" w:rsidP="003D678A">
      <w:pPr>
        <w:pStyle w:val="Heading1"/>
        <w:rPr>
          <w:lang w:val="es-ES_tradnl"/>
        </w:rPr>
      </w:pPr>
      <w:bookmarkStart w:id="3" w:name="_Toc525574919"/>
      <w:r w:rsidRPr="00FD5E87">
        <w:rPr>
          <w:lang w:val="es-ES_tradnl"/>
        </w:rPr>
        <w:t xml:space="preserve">Experiencia en la financiación privada </w:t>
      </w:r>
      <w:r w:rsidR="00133A46">
        <w:rPr>
          <w:lang w:val="es-ES_tradnl"/>
        </w:rPr>
        <w:t xml:space="preserve">y público-privada </w:t>
      </w:r>
      <w:r w:rsidRPr="00FD5E87">
        <w:rPr>
          <w:lang w:val="es-ES_tradnl"/>
        </w:rPr>
        <w:t>de infraestructura</w:t>
      </w:r>
      <w:bookmarkEnd w:id="3"/>
      <w:r w:rsidRPr="00FD5E87">
        <w:rPr>
          <w:lang w:val="es-ES_tradnl"/>
        </w:rPr>
        <w:t xml:space="preserve"> </w:t>
      </w:r>
    </w:p>
    <w:p w14:paraId="6E7F83E5" w14:textId="77777777" w:rsidR="00AC583F" w:rsidRDefault="00AC583F" w:rsidP="00BD7D52">
      <w:pPr>
        <w:jc w:val="both"/>
        <w:rPr>
          <w:b/>
          <w:smallCaps/>
          <w:lang w:val="es-ES_tradnl"/>
        </w:rPr>
      </w:pPr>
    </w:p>
    <w:p w14:paraId="29AB2B39" w14:textId="394D88A2" w:rsidR="004D411F" w:rsidRPr="004D411F" w:rsidRDefault="004D411F" w:rsidP="003D678A">
      <w:pPr>
        <w:pStyle w:val="Heading2"/>
        <w:rPr>
          <w:lang w:val="es-ES_tradnl"/>
        </w:rPr>
      </w:pPr>
      <w:bookmarkStart w:id="4" w:name="_Toc525574920"/>
      <w:r w:rsidRPr="004D411F">
        <w:rPr>
          <w:lang w:val="es-ES_tradnl"/>
        </w:rPr>
        <w:t>Antecedentes</w:t>
      </w:r>
      <w:bookmarkEnd w:id="4"/>
    </w:p>
    <w:p w14:paraId="4F57ADD4" w14:textId="7241A62A" w:rsidR="00B3430E" w:rsidRDefault="008D1834" w:rsidP="00B3430E">
      <w:pPr>
        <w:jc w:val="both"/>
        <w:rPr>
          <w:lang w:val="es-ES_tradnl"/>
        </w:rPr>
      </w:pPr>
      <w:r>
        <w:rPr>
          <w:lang w:val="es-ES_tradnl"/>
        </w:rPr>
        <w:t xml:space="preserve">La ley de concesiones de 1984 es el antecedente </w:t>
      </w:r>
      <w:r w:rsidR="00B43F38">
        <w:rPr>
          <w:lang w:val="es-ES_tradnl"/>
        </w:rPr>
        <w:t>más antigu</w:t>
      </w:r>
      <w:r>
        <w:rPr>
          <w:lang w:val="es-ES_tradnl"/>
        </w:rPr>
        <w:t>o</w:t>
      </w:r>
      <w:r w:rsidR="00B43F38">
        <w:rPr>
          <w:lang w:val="es-ES_tradnl"/>
        </w:rPr>
        <w:t xml:space="preserve"> en cuanto a la financiación privada de infraestructura </w:t>
      </w:r>
      <w:r>
        <w:rPr>
          <w:lang w:val="es-ES_tradnl"/>
        </w:rPr>
        <w:t xml:space="preserve">en Uruguay y está figura fue </w:t>
      </w:r>
      <w:r w:rsidR="00B43F38">
        <w:rPr>
          <w:lang w:val="es-ES_tradnl"/>
        </w:rPr>
        <w:t xml:space="preserve">bastante usada </w:t>
      </w:r>
      <w:r>
        <w:rPr>
          <w:lang w:val="es-ES_tradnl"/>
        </w:rPr>
        <w:t xml:space="preserve">también </w:t>
      </w:r>
      <w:r w:rsidR="00B43F38">
        <w:rPr>
          <w:lang w:val="es-ES_tradnl"/>
        </w:rPr>
        <w:t xml:space="preserve">en la financiación de carreteras en los años 90. </w:t>
      </w:r>
      <w:r w:rsidR="00B3430E">
        <w:rPr>
          <w:lang w:val="es-ES_tradnl"/>
        </w:rPr>
        <w:t>En 1995, el gobierno de Uruguay desarrolló un programa de concesiones</w:t>
      </w:r>
      <w:r w:rsidR="00995F51">
        <w:rPr>
          <w:rStyle w:val="FootnoteReference"/>
          <w:lang w:val="es-ES_tradnl"/>
        </w:rPr>
        <w:footnoteReference w:id="9"/>
      </w:r>
      <w:r w:rsidR="00B3430E">
        <w:rPr>
          <w:lang w:val="es-ES_tradnl"/>
        </w:rPr>
        <w:t xml:space="preserve"> para carreteras a partir de un modelo BOT (</w:t>
      </w:r>
      <w:proofErr w:type="spellStart"/>
      <w:r w:rsidR="00B3430E" w:rsidRPr="00F9467D">
        <w:rPr>
          <w:i/>
          <w:lang w:val="es-ES_tradnl"/>
        </w:rPr>
        <w:t>Build</w:t>
      </w:r>
      <w:proofErr w:type="spellEnd"/>
      <w:r w:rsidR="00B3430E" w:rsidRPr="00F9467D">
        <w:rPr>
          <w:i/>
          <w:lang w:val="es-ES_tradnl"/>
        </w:rPr>
        <w:t xml:space="preserve">, </w:t>
      </w:r>
      <w:proofErr w:type="spellStart"/>
      <w:r w:rsidR="00B3430E" w:rsidRPr="00F9467D">
        <w:rPr>
          <w:i/>
          <w:lang w:val="es-ES_tradnl"/>
        </w:rPr>
        <w:t>Operate</w:t>
      </w:r>
      <w:proofErr w:type="spellEnd"/>
      <w:r w:rsidR="00B3430E" w:rsidRPr="00F9467D">
        <w:rPr>
          <w:i/>
          <w:lang w:val="es-ES_tradnl"/>
        </w:rPr>
        <w:t xml:space="preserve"> and Transfer</w:t>
      </w:r>
      <w:r w:rsidR="00B3430E">
        <w:rPr>
          <w:lang w:val="es-ES_tradnl"/>
        </w:rPr>
        <w:t>)</w:t>
      </w:r>
      <w:r w:rsidR="004D411F">
        <w:rPr>
          <w:lang w:val="es-ES_tradnl"/>
        </w:rPr>
        <w:t xml:space="preserve"> que todavía está parcialmente en vigor; s</w:t>
      </w:r>
      <w:r w:rsidR="00B3430E">
        <w:rPr>
          <w:lang w:val="es-ES_tradnl"/>
        </w:rPr>
        <w:t>e colocaron 4 concesiones</w:t>
      </w:r>
      <w:r w:rsidR="00837097">
        <w:rPr>
          <w:lang w:val="es-ES_tradnl"/>
        </w:rPr>
        <w:t xml:space="preserve"> que cubrían 314 kilómetros de carreteras (algo menos del 10% de la malla)</w:t>
      </w:r>
      <w:r w:rsidR="00B3430E">
        <w:rPr>
          <w:lang w:val="es-ES_tradnl"/>
        </w:rPr>
        <w:t xml:space="preserve"> </w:t>
      </w:r>
      <w:r w:rsidR="00837097">
        <w:rPr>
          <w:lang w:val="es-ES_tradnl"/>
        </w:rPr>
        <w:t xml:space="preserve">y </w:t>
      </w:r>
      <w:r w:rsidR="00B3430E">
        <w:rPr>
          <w:lang w:val="es-ES_tradnl"/>
        </w:rPr>
        <w:t>de las cuales todavía existen dos</w:t>
      </w:r>
      <w:r w:rsidR="004D411F">
        <w:rPr>
          <w:lang w:val="es-ES_tradnl"/>
        </w:rPr>
        <w:t>:</w:t>
      </w:r>
      <w:r w:rsidR="00B3430E">
        <w:rPr>
          <w:lang w:val="es-ES_tradnl"/>
        </w:rPr>
        <w:t xml:space="preserve"> la Ruta 2 y la Ruta 8. </w:t>
      </w:r>
      <w:r w:rsidR="004D411F">
        <w:rPr>
          <w:lang w:val="es-ES_tradnl"/>
        </w:rPr>
        <w:t>E</w:t>
      </w:r>
      <w:r w:rsidR="00F30154">
        <w:rPr>
          <w:lang w:val="es-ES_tradnl"/>
        </w:rPr>
        <w:t>ste</w:t>
      </w:r>
      <w:r w:rsidR="004D411F">
        <w:rPr>
          <w:lang w:val="es-ES_tradnl"/>
        </w:rPr>
        <w:t xml:space="preserve"> programa de concesiones </w:t>
      </w:r>
      <w:r w:rsidR="00F30154">
        <w:rPr>
          <w:lang w:val="es-ES_tradnl"/>
        </w:rPr>
        <w:t xml:space="preserve">fue finalizado </w:t>
      </w:r>
      <w:r w:rsidR="004D411F">
        <w:rPr>
          <w:lang w:val="es-ES_tradnl"/>
        </w:rPr>
        <w:t xml:space="preserve">a final de siglo pasado y se retoma </w:t>
      </w:r>
      <w:r w:rsidR="00B3430E">
        <w:rPr>
          <w:lang w:val="es-ES_tradnl"/>
        </w:rPr>
        <w:t xml:space="preserve">en 2002 </w:t>
      </w:r>
      <w:r w:rsidR="004D411F">
        <w:rPr>
          <w:lang w:val="es-ES_tradnl"/>
        </w:rPr>
        <w:t>cuando</w:t>
      </w:r>
      <w:r w:rsidR="00B3430E">
        <w:rPr>
          <w:lang w:val="es-ES_tradnl"/>
        </w:rPr>
        <w:t xml:space="preserve"> se concesionan 1,300 </w:t>
      </w:r>
      <w:r w:rsidR="00236E87">
        <w:rPr>
          <w:lang w:val="es-ES_tradnl"/>
        </w:rPr>
        <w:t>kilómetros</w:t>
      </w:r>
      <w:r w:rsidR="00B3430E">
        <w:rPr>
          <w:lang w:val="es-ES_tradnl"/>
        </w:rPr>
        <w:t xml:space="preserve"> de la red principal</w:t>
      </w:r>
      <w:r w:rsidR="00372DD6">
        <w:rPr>
          <w:lang w:val="es-ES_tradnl"/>
        </w:rPr>
        <w:t xml:space="preserve"> (aproximadamente el 50% de la red </w:t>
      </w:r>
      <w:r w:rsidR="0054512C">
        <w:rPr>
          <w:lang w:val="es-ES_tradnl"/>
        </w:rPr>
        <w:t>primaria de rutas nacionales)</w:t>
      </w:r>
      <w:r w:rsidR="00B3430E">
        <w:rPr>
          <w:lang w:val="es-ES_tradnl"/>
        </w:rPr>
        <w:t xml:space="preserve"> a la Corporación Vial de Uruguay (CVU).  </w:t>
      </w:r>
    </w:p>
    <w:p w14:paraId="5D200985" w14:textId="2C3839F3" w:rsidR="00236E87" w:rsidRDefault="004D411F" w:rsidP="00B3430E">
      <w:pPr>
        <w:jc w:val="both"/>
        <w:rPr>
          <w:lang w:val="es-ES_tradnl"/>
        </w:rPr>
      </w:pPr>
      <w:r>
        <w:rPr>
          <w:lang w:val="es-ES_tradnl"/>
        </w:rPr>
        <w:t xml:space="preserve">La CVU </w:t>
      </w:r>
      <w:r w:rsidR="00236E87">
        <w:rPr>
          <w:lang w:val="es-ES_tradnl"/>
        </w:rPr>
        <w:t>es una empresa privada perteneciente a la CND que tiene por objeto el desarrollo de la infraestructura nacional de transporte, mediante la construcción de obras y mantenimiento de</w:t>
      </w:r>
      <w:r w:rsidR="00BF0AC6">
        <w:rPr>
          <w:lang w:val="es-ES_tradnl"/>
        </w:rPr>
        <w:t xml:space="preserve"> </w:t>
      </w:r>
      <w:proofErr w:type="gramStart"/>
      <w:r w:rsidR="00236E87">
        <w:rPr>
          <w:lang w:val="es-ES_tradnl"/>
        </w:rPr>
        <w:t>las mismas</w:t>
      </w:r>
      <w:proofErr w:type="gramEnd"/>
      <w:r w:rsidR="00236E87">
        <w:rPr>
          <w:lang w:val="es-ES_tradnl"/>
        </w:rPr>
        <w:t>, así como la explotación de peajes por carretera.  En octubre de 2015, se firma un nuevo contrato de concesión con la CVU donde las obligaciones pasan a ser la gestión administrativa de la concesión, la contratación de las obras de rehabilitación y la explotación de los peajes durante un periodo de 20 años. Actualmente CVU es concesionario de 2,600 kilómetros de Rutas Nacionales, incluyendo la totalidad de la red primari</w:t>
      </w:r>
      <w:r w:rsidR="00BF0AC6">
        <w:rPr>
          <w:lang w:val="es-ES_tradnl"/>
        </w:rPr>
        <w:t>a</w:t>
      </w:r>
      <w:r w:rsidR="00236E87">
        <w:rPr>
          <w:lang w:val="es-ES_tradnl"/>
        </w:rPr>
        <w:t xml:space="preserve"> y corredores internacionales del país. La CND también es </w:t>
      </w:r>
      <w:r w:rsidR="00236E87" w:rsidRPr="00236E87">
        <w:rPr>
          <w:lang w:val="es-ES_tradnl"/>
        </w:rPr>
        <w:t xml:space="preserve">dueña de la Corporación Ferroviaria de Uruguay (CFU). </w:t>
      </w:r>
    </w:p>
    <w:p w14:paraId="55957649" w14:textId="469FA33D" w:rsidR="00207108" w:rsidRDefault="00BF0AC6" w:rsidP="00BD7D52">
      <w:pPr>
        <w:jc w:val="both"/>
        <w:rPr>
          <w:lang w:val="es-ES_tradnl"/>
        </w:rPr>
      </w:pPr>
      <w:r>
        <w:rPr>
          <w:lang w:val="es-ES_tradnl"/>
        </w:rPr>
        <w:t>E</w:t>
      </w:r>
      <w:r w:rsidR="00BD7D52">
        <w:rPr>
          <w:lang w:val="es-ES_tradnl"/>
        </w:rPr>
        <w:t>n</w:t>
      </w:r>
      <w:r w:rsidR="004D411F">
        <w:rPr>
          <w:lang w:val="es-ES_tradnl"/>
        </w:rPr>
        <w:t>tre 2011 y 2015,</w:t>
      </w:r>
      <w:r w:rsidR="00BD7D52">
        <w:rPr>
          <w:lang w:val="es-ES_tradnl"/>
        </w:rPr>
        <w:t xml:space="preserve"> </w:t>
      </w:r>
      <w:r w:rsidR="00236E87">
        <w:rPr>
          <w:lang w:val="es-ES_tradnl"/>
        </w:rPr>
        <w:t xml:space="preserve">el </w:t>
      </w:r>
      <w:r w:rsidR="00BD7D52" w:rsidRPr="00BD7D52">
        <w:rPr>
          <w:lang w:val="es-ES_tradnl"/>
        </w:rPr>
        <w:t>50% de las inversiones en infraestructura fueron financiadas por el sector privado</w:t>
      </w:r>
      <w:r w:rsidR="00207108">
        <w:rPr>
          <w:lang w:val="es-ES_tradnl"/>
        </w:rPr>
        <w:t xml:space="preserve">. </w:t>
      </w:r>
      <w:r>
        <w:rPr>
          <w:lang w:val="es-ES_tradnl"/>
        </w:rPr>
        <w:t xml:space="preserve">Sin embargo, </w:t>
      </w:r>
      <w:r w:rsidR="008D1834">
        <w:rPr>
          <w:lang w:val="es-ES_tradnl"/>
        </w:rPr>
        <w:t xml:space="preserve">el menor porcentaje de </w:t>
      </w:r>
      <w:r w:rsidR="00207108">
        <w:rPr>
          <w:lang w:val="es-ES_tradnl"/>
        </w:rPr>
        <w:t xml:space="preserve">financiación privada fue </w:t>
      </w:r>
      <w:r>
        <w:rPr>
          <w:lang w:val="es-ES_tradnl"/>
        </w:rPr>
        <w:t xml:space="preserve">precisamente </w:t>
      </w:r>
      <w:r w:rsidR="00207108">
        <w:rPr>
          <w:lang w:val="es-ES_tradnl"/>
        </w:rPr>
        <w:t>en el sector de transporte donde apenas lleg</w:t>
      </w:r>
      <w:r>
        <w:rPr>
          <w:lang w:val="es-ES_tradnl"/>
        </w:rPr>
        <w:t>ó</w:t>
      </w:r>
      <w:r w:rsidR="00207108">
        <w:rPr>
          <w:lang w:val="es-ES_tradnl"/>
        </w:rPr>
        <w:t xml:space="preserve"> al 10%. </w:t>
      </w:r>
      <w:r w:rsidR="00837097">
        <w:rPr>
          <w:lang w:val="es-ES_tradnl"/>
        </w:rPr>
        <w:t xml:space="preserve">El problema de los programas de concesiones de carreteras </w:t>
      </w:r>
      <w:r w:rsidR="00FA7398">
        <w:rPr>
          <w:lang w:val="es-ES_tradnl"/>
        </w:rPr>
        <w:t>es que el tráfico en la mayoría de las rutas uruguayas es muy bajo de manera que las concesiones (incluso las que incluían sólo la manutención) no eran viables sin subsidios públicos</w:t>
      </w:r>
      <w:r w:rsidR="00FA7398">
        <w:rPr>
          <w:rStyle w:val="FootnoteReference"/>
          <w:lang w:val="es-ES_tradnl"/>
        </w:rPr>
        <w:footnoteReference w:id="10"/>
      </w:r>
      <w:r w:rsidR="00FA7398">
        <w:rPr>
          <w:lang w:val="es-ES_tradnl"/>
        </w:rPr>
        <w:t xml:space="preserve">. </w:t>
      </w:r>
      <w:r w:rsidR="00207108">
        <w:rPr>
          <w:lang w:val="es-ES_tradnl"/>
        </w:rPr>
        <w:t xml:space="preserve">Es </w:t>
      </w:r>
      <w:r>
        <w:rPr>
          <w:lang w:val="es-ES_tradnl"/>
        </w:rPr>
        <w:t xml:space="preserve">justamente </w:t>
      </w:r>
      <w:r w:rsidR="00207108" w:rsidRPr="00BD7D52">
        <w:rPr>
          <w:lang w:val="es-ES_tradnl"/>
        </w:rPr>
        <w:t>este sector el que se pretende potenciar en el quinquenio actual, cuando se espera llegar al 34% de la inversión privada a través de</w:t>
      </w:r>
      <w:r>
        <w:rPr>
          <w:lang w:val="es-ES_tradnl"/>
        </w:rPr>
        <w:t>l desarrollo</w:t>
      </w:r>
      <w:r w:rsidR="00207108" w:rsidRPr="00BD7D52">
        <w:rPr>
          <w:lang w:val="es-ES_tradnl"/>
        </w:rPr>
        <w:t xml:space="preserve"> de</w:t>
      </w:r>
      <w:r w:rsidR="008D1834">
        <w:rPr>
          <w:lang w:val="es-ES_tradnl"/>
        </w:rPr>
        <w:t xml:space="preserve"> la figura de </w:t>
      </w:r>
      <w:proofErr w:type="spellStart"/>
      <w:r w:rsidR="00207108" w:rsidRPr="00BD7D52">
        <w:rPr>
          <w:lang w:val="es-ES_tradnl"/>
        </w:rPr>
        <w:t>PPPs</w:t>
      </w:r>
      <w:proofErr w:type="spellEnd"/>
      <w:r w:rsidR="00207108" w:rsidRPr="00BD7D52">
        <w:rPr>
          <w:lang w:val="es-ES_tradnl"/>
        </w:rPr>
        <w:t>.</w:t>
      </w:r>
    </w:p>
    <w:p w14:paraId="3964BF9B" w14:textId="0B387126" w:rsidR="00BD7D52" w:rsidRDefault="00207108" w:rsidP="00BD7D52">
      <w:pPr>
        <w:jc w:val="both"/>
        <w:rPr>
          <w:lang w:val="es-ES_tradnl"/>
        </w:rPr>
      </w:pPr>
      <w:r>
        <w:rPr>
          <w:lang w:val="es-ES_tradnl"/>
        </w:rPr>
        <w:t xml:space="preserve">Un sector que </w:t>
      </w:r>
      <w:r w:rsidR="00BF0AC6">
        <w:rPr>
          <w:lang w:val="es-ES_tradnl"/>
        </w:rPr>
        <w:t>tuvo un</w:t>
      </w:r>
      <w:r>
        <w:rPr>
          <w:lang w:val="es-ES_tradnl"/>
        </w:rPr>
        <w:t xml:space="preserve"> rápido crecimiento de la inversión privada</w:t>
      </w:r>
      <w:r w:rsidR="00BF0AC6">
        <w:rPr>
          <w:lang w:val="es-ES_tradnl"/>
        </w:rPr>
        <w:t>, sobre todo</w:t>
      </w:r>
      <w:r>
        <w:rPr>
          <w:lang w:val="es-ES_tradnl"/>
        </w:rPr>
        <w:t xml:space="preserve"> a partir de 2013</w:t>
      </w:r>
      <w:r w:rsidR="00BF0AC6">
        <w:rPr>
          <w:lang w:val="es-ES_tradnl"/>
        </w:rPr>
        <w:t>,</w:t>
      </w:r>
      <w:r>
        <w:rPr>
          <w:lang w:val="es-ES_tradnl"/>
        </w:rPr>
        <w:t xml:space="preserve"> ha sido el de la energía, </w:t>
      </w:r>
      <w:r w:rsidR="00BF0AC6">
        <w:rPr>
          <w:lang w:val="es-ES_tradnl"/>
        </w:rPr>
        <w:t>particularmente</w:t>
      </w:r>
      <w:r>
        <w:rPr>
          <w:lang w:val="es-ES_tradnl"/>
        </w:rPr>
        <w:t xml:space="preserve"> en el campo de renovables. La financiación privada llego al 55% del total en el periodo de 2011 a 2015. La Administración Nacional de Usinas y Transmisiones Eléctricas (UTE) comenzó </w:t>
      </w:r>
      <w:r w:rsidR="00BF0AC6">
        <w:rPr>
          <w:lang w:val="es-ES_tradnl"/>
        </w:rPr>
        <w:t xml:space="preserve">entonces </w:t>
      </w:r>
      <w:r>
        <w:rPr>
          <w:lang w:val="es-ES_tradnl"/>
        </w:rPr>
        <w:t xml:space="preserve">un proceso de licitaciones </w:t>
      </w:r>
      <w:r w:rsidR="00BD7D52" w:rsidRPr="00207108">
        <w:rPr>
          <w:lang w:val="es-ES_tradnl"/>
        </w:rPr>
        <w:t>para impulsar proyectos eólicos y solares, habiendo adjudicado contratos de compra-venta de energía (</w:t>
      </w:r>
      <w:proofErr w:type="spellStart"/>
      <w:r w:rsidR="00BD7D52" w:rsidRPr="00207108">
        <w:rPr>
          <w:i/>
          <w:lang w:val="es-ES_tradnl"/>
        </w:rPr>
        <w:t>Power</w:t>
      </w:r>
      <w:proofErr w:type="spellEnd"/>
      <w:r w:rsidR="00BD7D52" w:rsidRPr="00207108">
        <w:rPr>
          <w:i/>
          <w:lang w:val="es-ES_tradnl"/>
        </w:rPr>
        <w:t xml:space="preserve"> </w:t>
      </w:r>
      <w:proofErr w:type="spellStart"/>
      <w:r w:rsidR="00BD7D52" w:rsidRPr="00207108">
        <w:rPr>
          <w:i/>
          <w:lang w:val="es-ES_tradnl"/>
        </w:rPr>
        <w:t>Purchase</w:t>
      </w:r>
      <w:proofErr w:type="spellEnd"/>
      <w:r w:rsidR="00BD7D52" w:rsidRPr="00207108">
        <w:rPr>
          <w:i/>
          <w:lang w:val="es-ES_tradnl"/>
        </w:rPr>
        <w:t xml:space="preserve"> </w:t>
      </w:r>
      <w:proofErr w:type="spellStart"/>
      <w:r w:rsidR="00BD7D52" w:rsidRPr="00207108">
        <w:rPr>
          <w:i/>
          <w:lang w:val="es-ES_tradnl"/>
        </w:rPr>
        <w:t>Agreement</w:t>
      </w:r>
      <w:proofErr w:type="spellEnd"/>
      <w:r w:rsidR="00BD7D52" w:rsidRPr="00207108">
        <w:rPr>
          <w:lang w:val="es-ES_tradnl"/>
        </w:rPr>
        <w:t xml:space="preserve"> o PPA) con</w:t>
      </w:r>
      <w:r>
        <w:rPr>
          <w:lang w:val="es-ES_tradnl"/>
        </w:rPr>
        <w:t xml:space="preserve"> </w:t>
      </w:r>
      <w:r w:rsidR="00BD7D52" w:rsidRPr="00207108">
        <w:rPr>
          <w:lang w:val="es-ES_tradnl"/>
        </w:rPr>
        <w:t>precios muy competitivos y sin subsidio (de 62 a 64 US$/</w:t>
      </w:r>
      <w:proofErr w:type="spellStart"/>
      <w:r w:rsidR="00BD7D52" w:rsidRPr="00207108">
        <w:rPr>
          <w:lang w:val="es-ES_tradnl"/>
        </w:rPr>
        <w:t>Megawatt</w:t>
      </w:r>
      <w:proofErr w:type="spellEnd"/>
      <w:r w:rsidR="00BD7D52" w:rsidRPr="00207108">
        <w:rPr>
          <w:lang w:val="es-ES_tradnl"/>
        </w:rPr>
        <w:t>-hora (</w:t>
      </w:r>
      <w:proofErr w:type="spellStart"/>
      <w:r w:rsidR="00BD7D52" w:rsidRPr="00207108">
        <w:rPr>
          <w:lang w:val="es-ES_tradnl"/>
        </w:rPr>
        <w:t>MWh</w:t>
      </w:r>
      <w:proofErr w:type="spellEnd"/>
      <w:r w:rsidR="00BD7D52" w:rsidRPr="00207108">
        <w:rPr>
          <w:lang w:val="es-ES_tradnl"/>
        </w:rPr>
        <w:t>)</w:t>
      </w:r>
      <w:r w:rsidR="00BF0AC6">
        <w:rPr>
          <w:lang w:val="es-ES_tradnl"/>
        </w:rPr>
        <w:t xml:space="preserve"> para </w:t>
      </w:r>
      <w:r w:rsidR="00BD7D52" w:rsidRPr="00207108">
        <w:rPr>
          <w:lang w:val="es-ES_tradnl"/>
        </w:rPr>
        <w:t xml:space="preserve">las eólicas, para solares de 92 </w:t>
      </w:r>
      <w:r w:rsidR="00BD7D52" w:rsidRPr="00207108">
        <w:rPr>
          <w:lang w:val="es-ES_tradnl"/>
        </w:rPr>
        <w:lastRenderedPageBreak/>
        <w:t>US$-</w:t>
      </w:r>
      <w:proofErr w:type="spellStart"/>
      <w:r w:rsidR="00BD7D52" w:rsidRPr="00207108">
        <w:rPr>
          <w:lang w:val="es-ES_tradnl"/>
        </w:rPr>
        <w:t>MWh</w:t>
      </w:r>
      <w:proofErr w:type="spellEnd"/>
      <w:r w:rsidR="00BD7D52" w:rsidRPr="00207108">
        <w:rPr>
          <w:lang w:val="es-ES_tradnl"/>
        </w:rPr>
        <w:t>, a empresas y consorcios del sector</w:t>
      </w:r>
      <w:r>
        <w:rPr>
          <w:lang w:val="es-ES_tradnl"/>
        </w:rPr>
        <w:t xml:space="preserve"> </w:t>
      </w:r>
      <w:r w:rsidR="00BD7D52" w:rsidRPr="00207108">
        <w:rPr>
          <w:lang w:val="es-ES_tradnl"/>
        </w:rPr>
        <w:t>privado que contribuirán a la reducción del costo de generación, y a la reducción</w:t>
      </w:r>
      <w:r>
        <w:rPr>
          <w:lang w:val="es-ES_tradnl"/>
        </w:rPr>
        <w:t xml:space="preserve"> </w:t>
      </w:r>
      <w:r w:rsidR="00BD7D52" w:rsidRPr="00207108">
        <w:rPr>
          <w:lang w:val="es-ES_tradnl"/>
        </w:rPr>
        <w:t>de emisiones</w:t>
      </w:r>
      <w:r>
        <w:rPr>
          <w:lang w:val="es-ES_tradnl"/>
        </w:rPr>
        <w:t xml:space="preserve">. </w:t>
      </w:r>
    </w:p>
    <w:p w14:paraId="32C8608E" w14:textId="77777777" w:rsidR="00BD7D52" w:rsidRDefault="00BD7D52" w:rsidP="0075345B">
      <w:pPr>
        <w:jc w:val="both"/>
        <w:rPr>
          <w:lang w:val="es-ES_tradnl"/>
        </w:rPr>
      </w:pPr>
    </w:p>
    <w:p w14:paraId="770B74F3" w14:textId="60F83B07" w:rsidR="00BD7D52" w:rsidRDefault="00BF0AC6" w:rsidP="003D678A">
      <w:pPr>
        <w:pStyle w:val="Heading2"/>
        <w:rPr>
          <w:lang w:val="es-ES_tradnl"/>
        </w:rPr>
      </w:pPr>
      <w:bookmarkStart w:id="5" w:name="_Toc525574921"/>
      <w:r>
        <w:rPr>
          <w:lang w:val="es-ES_tradnl"/>
        </w:rPr>
        <w:t>Financiación</w:t>
      </w:r>
      <w:r w:rsidR="00207108">
        <w:rPr>
          <w:lang w:val="es-ES_tradnl"/>
        </w:rPr>
        <w:t xml:space="preserve"> de </w:t>
      </w:r>
      <w:proofErr w:type="spellStart"/>
      <w:r w:rsidR="00B3430E" w:rsidRPr="00207108">
        <w:rPr>
          <w:lang w:val="es-ES_tradnl"/>
        </w:rPr>
        <w:t>PPPs</w:t>
      </w:r>
      <w:bookmarkEnd w:id="5"/>
      <w:proofErr w:type="spellEnd"/>
    </w:p>
    <w:p w14:paraId="2DFD5D1A" w14:textId="77777777" w:rsidR="00B33715" w:rsidRPr="00B33715" w:rsidRDefault="00B33715" w:rsidP="00B33715">
      <w:pPr>
        <w:rPr>
          <w:lang w:val="es-ES_tradnl"/>
        </w:rPr>
      </w:pPr>
    </w:p>
    <w:p w14:paraId="7D2D7E27" w14:textId="45867251" w:rsidR="00FD0AD2" w:rsidRDefault="00207108" w:rsidP="00B3430E">
      <w:pPr>
        <w:jc w:val="both"/>
        <w:rPr>
          <w:lang w:val="es-ES_tradnl"/>
        </w:rPr>
      </w:pPr>
      <w:r>
        <w:rPr>
          <w:lang w:val="es-ES_tradnl"/>
        </w:rPr>
        <w:t>En el periodo de 2012 a 2018, d</w:t>
      </w:r>
      <w:r w:rsidR="00B3430E">
        <w:rPr>
          <w:lang w:val="es-ES_tradnl"/>
        </w:rPr>
        <w:t xml:space="preserve">esde la aprobación de la Ley de </w:t>
      </w:r>
      <w:proofErr w:type="spellStart"/>
      <w:r w:rsidR="00B3430E">
        <w:rPr>
          <w:lang w:val="es-ES_tradnl"/>
        </w:rPr>
        <w:t>PPPs</w:t>
      </w:r>
      <w:proofErr w:type="spellEnd"/>
      <w:r w:rsidR="00B3430E">
        <w:rPr>
          <w:lang w:val="es-ES_tradnl"/>
        </w:rPr>
        <w:t>,</w:t>
      </w:r>
      <w:r w:rsidR="00FD0AD2">
        <w:rPr>
          <w:lang w:val="es-ES_tradnl"/>
        </w:rPr>
        <w:t xml:space="preserve"> </w:t>
      </w:r>
      <w:r w:rsidR="00B3430E">
        <w:rPr>
          <w:lang w:val="es-ES_tradnl"/>
        </w:rPr>
        <w:t>h</w:t>
      </w:r>
      <w:r>
        <w:rPr>
          <w:lang w:val="es-ES_tradnl"/>
        </w:rPr>
        <w:t>a habido</w:t>
      </w:r>
      <w:r w:rsidR="00B3430E">
        <w:rPr>
          <w:lang w:val="es-ES_tradnl"/>
        </w:rPr>
        <w:t xml:space="preserve"> seis proyectos adjudicados y siete en proceso de adjudicación por un monto estimado total de US$ 1,</w:t>
      </w:r>
      <w:r w:rsidR="00FD0AD2">
        <w:rPr>
          <w:lang w:val="es-ES_tradnl"/>
        </w:rPr>
        <w:t>0</w:t>
      </w:r>
      <w:r w:rsidR="00B3430E">
        <w:rPr>
          <w:lang w:val="es-ES_tradnl"/>
        </w:rPr>
        <w:t xml:space="preserve">00 millones. En esos procesos, siempre hubo tres o más oferentes (nacionales e </w:t>
      </w:r>
      <w:r w:rsidR="0090363F">
        <w:rPr>
          <w:lang w:val="es-ES_tradnl"/>
        </w:rPr>
        <w:t>internacionales</w:t>
      </w:r>
      <w:r w:rsidR="00B3430E">
        <w:rPr>
          <w:lang w:val="es-ES_tradnl"/>
        </w:rPr>
        <w:t xml:space="preserve">) y no se </w:t>
      </w:r>
      <w:r>
        <w:rPr>
          <w:lang w:val="es-ES_tradnl"/>
        </w:rPr>
        <w:t>produjeron</w:t>
      </w:r>
      <w:r w:rsidR="00B3430E">
        <w:rPr>
          <w:lang w:val="es-ES_tradnl"/>
        </w:rPr>
        <w:t xml:space="preserve"> impugnaciones.</w:t>
      </w:r>
      <w:r w:rsidR="00FD0AD2">
        <w:rPr>
          <w:lang w:val="es-ES_tradnl"/>
        </w:rPr>
        <w:t xml:space="preserve"> El MEF maneja una cartera total de 17 proyectos: 6 proyectos de corredores viales, 4 de infraestructura educativa, 2 vinculados al transporte ferroviario, 1 de vivienda y 1 de salud.</w:t>
      </w:r>
    </w:p>
    <w:tbl>
      <w:tblPr>
        <w:tblStyle w:val="TableGrid"/>
        <w:tblW w:w="0" w:type="auto"/>
        <w:tblLook w:val="04A0" w:firstRow="1" w:lastRow="0" w:firstColumn="1" w:lastColumn="0" w:noHBand="0" w:noVBand="1"/>
      </w:tblPr>
      <w:tblGrid>
        <w:gridCol w:w="3192"/>
        <w:gridCol w:w="1866"/>
        <w:gridCol w:w="4518"/>
      </w:tblGrid>
      <w:tr w:rsidR="00E81CB7" w14:paraId="0DB60056" w14:textId="77777777" w:rsidTr="00E81CB7">
        <w:tc>
          <w:tcPr>
            <w:tcW w:w="3192" w:type="dxa"/>
            <w:shd w:val="clear" w:color="auto" w:fill="548DD4" w:themeFill="text2" w:themeFillTint="99"/>
          </w:tcPr>
          <w:p w14:paraId="59734F4D" w14:textId="7E2DBDA5" w:rsidR="00E81CB7" w:rsidRPr="00E81CB7" w:rsidRDefault="00E81CB7" w:rsidP="00E81CB7">
            <w:pPr>
              <w:jc w:val="center"/>
              <w:rPr>
                <w:b/>
                <w:smallCaps/>
                <w:lang w:val="es-ES_tradnl"/>
              </w:rPr>
            </w:pPr>
            <w:r w:rsidRPr="00E81CB7">
              <w:rPr>
                <w:b/>
                <w:smallCaps/>
                <w:lang w:val="es-ES_tradnl"/>
              </w:rPr>
              <w:t>Proyecto</w:t>
            </w:r>
          </w:p>
        </w:tc>
        <w:tc>
          <w:tcPr>
            <w:tcW w:w="1866" w:type="dxa"/>
            <w:shd w:val="clear" w:color="auto" w:fill="548DD4" w:themeFill="text2" w:themeFillTint="99"/>
          </w:tcPr>
          <w:p w14:paraId="37B621AD" w14:textId="55B28CCC" w:rsidR="00E81CB7" w:rsidRPr="00E81CB7" w:rsidRDefault="00E81CB7" w:rsidP="00E81CB7">
            <w:pPr>
              <w:jc w:val="center"/>
              <w:rPr>
                <w:b/>
                <w:smallCaps/>
                <w:lang w:val="es-ES_tradnl"/>
              </w:rPr>
            </w:pPr>
            <w:r w:rsidRPr="00E81CB7">
              <w:rPr>
                <w:b/>
                <w:smallCaps/>
                <w:lang w:val="es-ES_tradnl"/>
              </w:rPr>
              <w:t>Inversión Estimada US$ MM</w:t>
            </w:r>
          </w:p>
        </w:tc>
        <w:tc>
          <w:tcPr>
            <w:tcW w:w="4518" w:type="dxa"/>
            <w:shd w:val="clear" w:color="auto" w:fill="548DD4" w:themeFill="text2" w:themeFillTint="99"/>
          </w:tcPr>
          <w:p w14:paraId="6136C87B" w14:textId="3BD14EC4" w:rsidR="00E81CB7" w:rsidRPr="00E81CB7" w:rsidRDefault="00E81CB7" w:rsidP="00E81CB7">
            <w:pPr>
              <w:jc w:val="center"/>
              <w:rPr>
                <w:b/>
                <w:smallCaps/>
                <w:lang w:val="es-ES_tradnl"/>
              </w:rPr>
            </w:pPr>
            <w:r w:rsidRPr="00E81CB7">
              <w:rPr>
                <w:b/>
                <w:smallCaps/>
                <w:lang w:val="es-ES_tradnl"/>
              </w:rPr>
              <w:t>Estado</w:t>
            </w:r>
          </w:p>
        </w:tc>
      </w:tr>
      <w:tr w:rsidR="00E81CB7" w14:paraId="5FF518F4" w14:textId="77777777" w:rsidTr="00370668">
        <w:tc>
          <w:tcPr>
            <w:tcW w:w="3192" w:type="dxa"/>
            <w:shd w:val="clear" w:color="auto" w:fill="C6D9F1" w:themeFill="text2" w:themeFillTint="33"/>
          </w:tcPr>
          <w:p w14:paraId="1A379B11" w14:textId="64D1A3CA" w:rsidR="00E81CB7" w:rsidRDefault="0090363F" w:rsidP="00B3430E">
            <w:pPr>
              <w:jc w:val="both"/>
              <w:rPr>
                <w:lang w:val="es-ES_tradnl"/>
              </w:rPr>
            </w:pPr>
            <w:r>
              <w:rPr>
                <w:lang w:val="es-ES_tradnl"/>
              </w:rPr>
              <w:t>Penitenciaría</w:t>
            </w:r>
            <w:r w:rsidR="00E81CB7">
              <w:rPr>
                <w:lang w:val="es-ES_tradnl"/>
              </w:rPr>
              <w:t xml:space="preserve"> </w:t>
            </w:r>
          </w:p>
        </w:tc>
        <w:tc>
          <w:tcPr>
            <w:tcW w:w="1866" w:type="dxa"/>
            <w:shd w:val="clear" w:color="auto" w:fill="C6D9F1" w:themeFill="text2" w:themeFillTint="33"/>
          </w:tcPr>
          <w:p w14:paraId="62449B03" w14:textId="46B92A86" w:rsidR="00E81CB7" w:rsidRDefault="00E81CB7" w:rsidP="00E81CB7">
            <w:pPr>
              <w:jc w:val="center"/>
              <w:rPr>
                <w:lang w:val="es-ES_tradnl"/>
              </w:rPr>
            </w:pPr>
            <w:r>
              <w:rPr>
                <w:lang w:val="es-ES_tradnl"/>
              </w:rPr>
              <w:t>100</w:t>
            </w:r>
          </w:p>
        </w:tc>
        <w:tc>
          <w:tcPr>
            <w:tcW w:w="4518" w:type="dxa"/>
            <w:shd w:val="clear" w:color="auto" w:fill="C6D9F1" w:themeFill="text2" w:themeFillTint="33"/>
          </w:tcPr>
          <w:p w14:paraId="7CFBB8FF" w14:textId="5D6224F4" w:rsidR="00E81CB7" w:rsidRDefault="00E81CB7" w:rsidP="00B3430E">
            <w:pPr>
              <w:jc w:val="both"/>
              <w:rPr>
                <w:lang w:val="es-ES_tradnl"/>
              </w:rPr>
            </w:pPr>
            <w:r>
              <w:rPr>
                <w:lang w:val="es-ES_tradnl"/>
              </w:rPr>
              <w:t xml:space="preserve">En operación, contrato firmado </w:t>
            </w:r>
          </w:p>
        </w:tc>
      </w:tr>
      <w:tr w:rsidR="00E81CB7" w14:paraId="04282073" w14:textId="77777777" w:rsidTr="00370668">
        <w:tc>
          <w:tcPr>
            <w:tcW w:w="3192" w:type="dxa"/>
            <w:shd w:val="clear" w:color="auto" w:fill="C6D9F1" w:themeFill="text2" w:themeFillTint="33"/>
          </w:tcPr>
          <w:p w14:paraId="58CB2E78" w14:textId="27CD4879" w:rsidR="00E81CB7" w:rsidRDefault="00E81CB7" w:rsidP="00B3430E">
            <w:pPr>
              <w:jc w:val="both"/>
              <w:rPr>
                <w:lang w:val="es-ES_tradnl"/>
              </w:rPr>
            </w:pPr>
            <w:r>
              <w:rPr>
                <w:lang w:val="es-ES_tradnl"/>
              </w:rPr>
              <w:t>Rutas 21 y 24</w:t>
            </w:r>
          </w:p>
        </w:tc>
        <w:tc>
          <w:tcPr>
            <w:tcW w:w="1866" w:type="dxa"/>
            <w:shd w:val="clear" w:color="auto" w:fill="C6D9F1" w:themeFill="text2" w:themeFillTint="33"/>
          </w:tcPr>
          <w:p w14:paraId="05C285AB" w14:textId="36173DC1" w:rsidR="00E81CB7" w:rsidRDefault="00E81CB7" w:rsidP="00E81CB7">
            <w:pPr>
              <w:jc w:val="center"/>
              <w:rPr>
                <w:lang w:val="es-ES_tradnl"/>
              </w:rPr>
            </w:pPr>
            <w:r>
              <w:rPr>
                <w:lang w:val="es-ES_tradnl"/>
              </w:rPr>
              <w:t>75</w:t>
            </w:r>
          </w:p>
        </w:tc>
        <w:tc>
          <w:tcPr>
            <w:tcW w:w="4518" w:type="dxa"/>
            <w:shd w:val="clear" w:color="auto" w:fill="C6D9F1" w:themeFill="text2" w:themeFillTint="33"/>
          </w:tcPr>
          <w:p w14:paraId="128E9CF5" w14:textId="2CE9E9C6" w:rsidR="00E81CB7" w:rsidRDefault="00E81CB7" w:rsidP="00B3430E">
            <w:pPr>
              <w:jc w:val="both"/>
              <w:rPr>
                <w:lang w:val="es-ES_tradnl"/>
              </w:rPr>
            </w:pPr>
            <w:r>
              <w:rPr>
                <w:lang w:val="es-ES_tradnl"/>
              </w:rPr>
              <w:t xml:space="preserve">En construcción, contrato firmado </w:t>
            </w:r>
          </w:p>
        </w:tc>
      </w:tr>
      <w:tr w:rsidR="00E81CB7" w14:paraId="2C8A0A32" w14:textId="77777777" w:rsidTr="00370668">
        <w:tc>
          <w:tcPr>
            <w:tcW w:w="3192" w:type="dxa"/>
            <w:shd w:val="clear" w:color="auto" w:fill="C6D9F1" w:themeFill="text2" w:themeFillTint="33"/>
          </w:tcPr>
          <w:p w14:paraId="12718D28" w14:textId="6ECD14CF" w:rsidR="00E81CB7" w:rsidRDefault="00E81CB7" w:rsidP="00B3430E">
            <w:pPr>
              <w:jc w:val="both"/>
              <w:rPr>
                <w:lang w:val="es-ES_tradnl"/>
              </w:rPr>
            </w:pPr>
            <w:r>
              <w:rPr>
                <w:lang w:val="es-ES_tradnl"/>
              </w:rPr>
              <w:t>Rutas 12, 54, 55, 57</w:t>
            </w:r>
          </w:p>
        </w:tc>
        <w:tc>
          <w:tcPr>
            <w:tcW w:w="1866" w:type="dxa"/>
            <w:shd w:val="clear" w:color="auto" w:fill="C6D9F1" w:themeFill="text2" w:themeFillTint="33"/>
          </w:tcPr>
          <w:p w14:paraId="294105E8" w14:textId="34A8E3A4" w:rsidR="00E81CB7" w:rsidRDefault="00E81CB7" w:rsidP="00E81CB7">
            <w:pPr>
              <w:jc w:val="center"/>
              <w:rPr>
                <w:lang w:val="es-ES_tradnl"/>
              </w:rPr>
            </w:pPr>
            <w:r>
              <w:rPr>
                <w:lang w:val="es-ES_tradnl"/>
              </w:rPr>
              <w:t>62</w:t>
            </w:r>
          </w:p>
        </w:tc>
        <w:tc>
          <w:tcPr>
            <w:tcW w:w="4518" w:type="dxa"/>
            <w:shd w:val="clear" w:color="auto" w:fill="C6D9F1" w:themeFill="text2" w:themeFillTint="33"/>
          </w:tcPr>
          <w:p w14:paraId="3E8C6EF9" w14:textId="3BA8083A" w:rsidR="00E81CB7" w:rsidRDefault="00E81CB7" w:rsidP="00B3430E">
            <w:pPr>
              <w:jc w:val="both"/>
              <w:rPr>
                <w:lang w:val="es-ES_tradnl"/>
              </w:rPr>
            </w:pPr>
            <w:r>
              <w:rPr>
                <w:lang w:val="es-ES_tradnl"/>
              </w:rPr>
              <w:t xml:space="preserve">Adjudicado provisionalmente </w:t>
            </w:r>
          </w:p>
        </w:tc>
      </w:tr>
      <w:tr w:rsidR="00E81CB7" w14:paraId="3C3F12E4" w14:textId="77777777" w:rsidTr="00370668">
        <w:tc>
          <w:tcPr>
            <w:tcW w:w="3192" w:type="dxa"/>
            <w:shd w:val="clear" w:color="auto" w:fill="C6D9F1" w:themeFill="text2" w:themeFillTint="33"/>
          </w:tcPr>
          <w:p w14:paraId="46B5DB6F" w14:textId="0E47B1DE" w:rsidR="00E81CB7" w:rsidRDefault="00E81CB7" w:rsidP="00B3430E">
            <w:pPr>
              <w:jc w:val="both"/>
              <w:rPr>
                <w:lang w:val="es-ES_tradnl"/>
              </w:rPr>
            </w:pPr>
            <w:r>
              <w:rPr>
                <w:lang w:val="es-ES_tradnl"/>
              </w:rPr>
              <w:t>Ruta 9, 15</w:t>
            </w:r>
          </w:p>
        </w:tc>
        <w:tc>
          <w:tcPr>
            <w:tcW w:w="1866" w:type="dxa"/>
            <w:shd w:val="clear" w:color="auto" w:fill="C6D9F1" w:themeFill="text2" w:themeFillTint="33"/>
          </w:tcPr>
          <w:p w14:paraId="49AFFECD" w14:textId="069CC190" w:rsidR="00E81CB7" w:rsidRDefault="00E81CB7" w:rsidP="00E81CB7">
            <w:pPr>
              <w:jc w:val="center"/>
              <w:rPr>
                <w:lang w:val="es-ES_tradnl"/>
              </w:rPr>
            </w:pPr>
            <w:r>
              <w:rPr>
                <w:lang w:val="es-ES_tradnl"/>
              </w:rPr>
              <w:t>55</w:t>
            </w:r>
          </w:p>
        </w:tc>
        <w:tc>
          <w:tcPr>
            <w:tcW w:w="4518" w:type="dxa"/>
            <w:shd w:val="clear" w:color="auto" w:fill="C6D9F1" w:themeFill="text2" w:themeFillTint="33"/>
          </w:tcPr>
          <w:p w14:paraId="7FCED144" w14:textId="516B73B4" w:rsidR="00E81CB7" w:rsidRDefault="00E81CB7" w:rsidP="00B3430E">
            <w:pPr>
              <w:jc w:val="both"/>
              <w:rPr>
                <w:lang w:val="es-ES_tradnl"/>
              </w:rPr>
            </w:pPr>
            <w:r>
              <w:rPr>
                <w:lang w:val="es-ES_tradnl"/>
              </w:rPr>
              <w:t xml:space="preserve">Adjudicado provisionalmente </w:t>
            </w:r>
          </w:p>
        </w:tc>
      </w:tr>
      <w:tr w:rsidR="00E81CB7" w14:paraId="578865DC" w14:textId="77777777" w:rsidTr="00370668">
        <w:tc>
          <w:tcPr>
            <w:tcW w:w="3192" w:type="dxa"/>
            <w:shd w:val="clear" w:color="auto" w:fill="C6D9F1" w:themeFill="text2" w:themeFillTint="33"/>
          </w:tcPr>
          <w:p w14:paraId="5AC491F6" w14:textId="5A51CE1B" w:rsidR="00E81CB7" w:rsidRDefault="00E81CB7" w:rsidP="00B3430E">
            <w:pPr>
              <w:jc w:val="both"/>
              <w:rPr>
                <w:lang w:val="es-ES_tradnl"/>
              </w:rPr>
            </w:pPr>
            <w:r>
              <w:rPr>
                <w:lang w:val="es-ES_tradnl"/>
              </w:rPr>
              <w:t xml:space="preserve">Ruta 14 Oeste </w:t>
            </w:r>
          </w:p>
        </w:tc>
        <w:tc>
          <w:tcPr>
            <w:tcW w:w="1866" w:type="dxa"/>
            <w:shd w:val="clear" w:color="auto" w:fill="C6D9F1" w:themeFill="text2" w:themeFillTint="33"/>
          </w:tcPr>
          <w:p w14:paraId="4220821A" w14:textId="785D43AE" w:rsidR="00E81CB7" w:rsidRDefault="00E81CB7" w:rsidP="00E81CB7">
            <w:pPr>
              <w:jc w:val="center"/>
              <w:rPr>
                <w:lang w:val="es-ES_tradnl"/>
              </w:rPr>
            </w:pPr>
            <w:r>
              <w:rPr>
                <w:lang w:val="es-ES_tradnl"/>
              </w:rPr>
              <w:t>93</w:t>
            </w:r>
          </w:p>
        </w:tc>
        <w:tc>
          <w:tcPr>
            <w:tcW w:w="4518" w:type="dxa"/>
            <w:shd w:val="clear" w:color="auto" w:fill="C6D9F1" w:themeFill="text2" w:themeFillTint="33"/>
          </w:tcPr>
          <w:p w14:paraId="742C0352" w14:textId="34235D1B" w:rsidR="00E81CB7" w:rsidRDefault="00E81CB7" w:rsidP="00B3430E">
            <w:pPr>
              <w:jc w:val="both"/>
              <w:rPr>
                <w:lang w:val="es-ES_tradnl"/>
              </w:rPr>
            </w:pPr>
            <w:r>
              <w:rPr>
                <w:lang w:val="es-ES_tradnl"/>
              </w:rPr>
              <w:t xml:space="preserve">Adjudicado provisionalmente </w:t>
            </w:r>
          </w:p>
        </w:tc>
      </w:tr>
      <w:tr w:rsidR="00E81CB7" w14:paraId="13485F0E" w14:textId="77777777" w:rsidTr="00370668">
        <w:tc>
          <w:tcPr>
            <w:tcW w:w="3192" w:type="dxa"/>
            <w:shd w:val="clear" w:color="auto" w:fill="C6D9F1" w:themeFill="text2" w:themeFillTint="33"/>
          </w:tcPr>
          <w:p w14:paraId="26B8998A" w14:textId="58205616" w:rsidR="00E81CB7" w:rsidRDefault="00E81CB7" w:rsidP="00B3430E">
            <w:pPr>
              <w:jc w:val="both"/>
              <w:rPr>
                <w:lang w:val="es-ES_tradnl"/>
              </w:rPr>
            </w:pPr>
            <w:r>
              <w:rPr>
                <w:lang w:val="es-ES_tradnl"/>
              </w:rPr>
              <w:t>Ruta 14 y 15</w:t>
            </w:r>
          </w:p>
        </w:tc>
        <w:tc>
          <w:tcPr>
            <w:tcW w:w="1866" w:type="dxa"/>
            <w:shd w:val="clear" w:color="auto" w:fill="C6D9F1" w:themeFill="text2" w:themeFillTint="33"/>
          </w:tcPr>
          <w:p w14:paraId="12E71D33" w14:textId="45239163" w:rsidR="00E81CB7" w:rsidRDefault="00E81CB7" w:rsidP="00E81CB7">
            <w:pPr>
              <w:jc w:val="center"/>
              <w:rPr>
                <w:lang w:val="es-ES_tradnl"/>
              </w:rPr>
            </w:pPr>
            <w:r>
              <w:rPr>
                <w:lang w:val="es-ES_tradnl"/>
              </w:rPr>
              <w:t>127</w:t>
            </w:r>
          </w:p>
        </w:tc>
        <w:tc>
          <w:tcPr>
            <w:tcW w:w="4518" w:type="dxa"/>
            <w:shd w:val="clear" w:color="auto" w:fill="C6D9F1" w:themeFill="text2" w:themeFillTint="33"/>
          </w:tcPr>
          <w:p w14:paraId="4757EDBE" w14:textId="489ABBE2" w:rsidR="00E81CB7" w:rsidRDefault="00E81CB7" w:rsidP="00B3430E">
            <w:pPr>
              <w:jc w:val="both"/>
              <w:rPr>
                <w:lang w:val="es-ES_tradnl"/>
              </w:rPr>
            </w:pPr>
            <w:r>
              <w:rPr>
                <w:lang w:val="es-ES_tradnl"/>
              </w:rPr>
              <w:t xml:space="preserve">En evaluación de ofertas </w:t>
            </w:r>
          </w:p>
        </w:tc>
      </w:tr>
      <w:tr w:rsidR="00E81CB7" w14:paraId="368A6D07" w14:textId="77777777" w:rsidTr="00370668">
        <w:tc>
          <w:tcPr>
            <w:tcW w:w="3192" w:type="dxa"/>
            <w:shd w:val="clear" w:color="auto" w:fill="C6D9F1" w:themeFill="text2" w:themeFillTint="33"/>
          </w:tcPr>
          <w:p w14:paraId="5A734512" w14:textId="6D4318CE" w:rsidR="00E81CB7" w:rsidRDefault="00E81CB7" w:rsidP="00B3430E">
            <w:pPr>
              <w:jc w:val="both"/>
              <w:rPr>
                <w:lang w:val="es-ES_tradnl"/>
              </w:rPr>
            </w:pPr>
            <w:r>
              <w:rPr>
                <w:lang w:val="es-ES_tradnl"/>
              </w:rPr>
              <w:t xml:space="preserve">Ruta 6 </w:t>
            </w:r>
          </w:p>
        </w:tc>
        <w:tc>
          <w:tcPr>
            <w:tcW w:w="1866" w:type="dxa"/>
            <w:shd w:val="clear" w:color="auto" w:fill="C6D9F1" w:themeFill="text2" w:themeFillTint="33"/>
          </w:tcPr>
          <w:p w14:paraId="132DAB18" w14:textId="4914692E" w:rsidR="00E81CB7" w:rsidRDefault="00E81CB7" w:rsidP="00E81CB7">
            <w:pPr>
              <w:jc w:val="center"/>
              <w:rPr>
                <w:lang w:val="es-ES_tradnl"/>
              </w:rPr>
            </w:pPr>
            <w:r>
              <w:rPr>
                <w:lang w:val="es-ES_tradnl"/>
              </w:rPr>
              <w:t>76</w:t>
            </w:r>
          </w:p>
        </w:tc>
        <w:tc>
          <w:tcPr>
            <w:tcW w:w="4518" w:type="dxa"/>
            <w:shd w:val="clear" w:color="auto" w:fill="C6D9F1" w:themeFill="text2" w:themeFillTint="33"/>
          </w:tcPr>
          <w:p w14:paraId="5A096C3E" w14:textId="6C0834B4" w:rsidR="00E81CB7" w:rsidRDefault="00E81CB7" w:rsidP="00B3430E">
            <w:pPr>
              <w:jc w:val="both"/>
              <w:rPr>
                <w:lang w:val="es-ES_tradnl"/>
              </w:rPr>
            </w:pPr>
            <w:r>
              <w:rPr>
                <w:lang w:val="es-ES_tradnl"/>
              </w:rPr>
              <w:t xml:space="preserve">En evaluación de ofertas </w:t>
            </w:r>
          </w:p>
        </w:tc>
      </w:tr>
      <w:tr w:rsidR="00E81CB7" w14:paraId="7E3EC9A6" w14:textId="77777777" w:rsidTr="00370668">
        <w:tc>
          <w:tcPr>
            <w:tcW w:w="3192" w:type="dxa"/>
            <w:shd w:val="clear" w:color="auto" w:fill="C6D9F1" w:themeFill="text2" w:themeFillTint="33"/>
          </w:tcPr>
          <w:p w14:paraId="6DFBEAAD" w14:textId="3E86012E" w:rsidR="00E81CB7" w:rsidRDefault="00E81CB7" w:rsidP="00D451CD">
            <w:pPr>
              <w:jc w:val="both"/>
              <w:rPr>
                <w:lang w:val="es-ES_tradnl"/>
              </w:rPr>
            </w:pPr>
            <w:r>
              <w:rPr>
                <w:lang w:val="es-ES_tradnl"/>
              </w:rPr>
              <w:t>IP-Ruta 3</w:t>
            </w:r>
          </w:p>
        </w:tc>
        <w:tc>
          <w:tcPr>
            <w:tcW w:w="1866" w:type="dxa"/>
            <w:shd w:val="clear" w:color="auto" w:fill="C6D9F1" w:themeFill="text2" w:themeFillTint="33"/>
          </w:tcPr>
          <w:p w14:paraId="7466ED40" w14:textId="2C045338" w:rsidR="00E81CB7" w:rsidRDefault="00E81CB7" w:rsidP="00E81CB7">
            <w:pPr>
              <w:jc w:val="center"/>
              <w:rPr>
                <w:lang w:val="es-ES_tradnl"/>
              </w:rPr>
            </w:pPr>
            <w:r>
              <w:rPr>
                <w:lang w:val="es-ES_tradnl"/>
              </w:rPr>
              <w:t>72</w:t>
            </w:r>
          </w:p>
        </w:tc>
        <w:tc>
          <w:tcPr>
            <w:tcW w:w="4518" w:type="dxa"/>
            <w:shd w:val="clear" w:color="auto" w:fill="C6D9F1" w:themeFill="text2" w:themeFillTint="33"/>
          </w:tcPr>
          <w:p w14:paraId="2BA89A93" w14:textId="545C8D89" w:rsidR="00E81CB7" w:rsidRDefault="0090363F" w:rsidP="00D451CD">
            <w:pPr>
              <w:jc w:val="both"/>
              <w:rPr>
                <w:lang w:val="es-ES_tradnl"/>
              </w:rPr>
            </w:pPr>
            <w:r>
              <w:rPr>
                <w:lang w:val="es-ES_tradnl"/>
              </w:rPr>
              <w:t>En evaluación de ofertas</w:t>
            </w:r>
          </w:p>
        </w:tc>
      </w:tr>
      <w:tr w:rsidR="00E81CB7" w14:paraId="5B7DDADD" w14:textId="77777777" w:rsidTr="00370668">
        <w:tc>
          <w:tcPr>
            <w:tcW w:w="3192" w:type="dxa"/>
            <w:shd w:val="clear" w:color="auto" w:fill="C6D9F1" w:themeFill="text2" w:themeFillTint="33"/>
          </w:tcPr>
          <w:p w14:paraId="49CAD3C0" w14:textId="6AFBD4DD" w:rsidR="00E81CB7" w:rsidRDefault="00E81CB7" w:rsidP="00D451CD">
            <w:pPr>
              <w:jc w:val="both"/>
              <w:rPr>
                <w:lang w:val="es-ES_tradnl"/>
              </w:rPr>
            </w:pPr>
            <w:r>
              <w:rPr>
                <w:lang w:val="es-ES_tradnl"/>
              </w:rPr>
              <w:t>44 jardines y 15 centros CAIF</w:t>
            </w:r>
          </w:p>
        </w:tc>
        <w:tc>
          <w:tcPr>
            <w:tcW w:w="1866" w:type="dxa"/>
            <w:shd w:val="clear" w:color="auto" w:fill="C6D9F1" w:themeFill="text2" w:themeFillTint="33"/>
          </w:tcPr>
          <w:p w14:paraId="052A3CB4" w14:textId="4E31CBD7" w:rsidR="00E81CB7" w:rsidRDefault="00E81CB7" w:rsidP="00E81CB7">
            <w:pPr>
              <w:jc w:val="center"/>
              <w:rPr>
                <w:lang w:val="es-ES_tradnl"/>
              </w:rPr>
            </w:pPr>
            <w:r>
              <w:rPr>
                <w:lang w:val="es-ES_tradnl"/>
              </w:rPr>
              <w:t>48</w:t>
            </w:r>
          </w:p>
        </w:tc>
        <w:tc>
          <w:tcPr>
            <w:tcW w:w="4518" w:type="dxa"/>
            <w:shd w:val="clear" w:color="auto" w:fill="C6D9F1" w:themeFill="text2" w:themeFillTint="33"/>
          </w:tcPr>
          <w:p w14:paraId="40677199" w14:textId="5DE82471" w:rsidR="00E81CB7" w:rsidRDefault="0090363F" w:rsidP="00D451CD">
            <w:pPr>
              <w:jc w:val="both"/>
              <w:rPr>
                <w:lang w:val="es-ES_tradnl"/>
              </w:rPr>
            </w:pPr>
            <w:r>
              <w:rPr>
                <w:lang w:val="es-ES_tradnl"/>
              </w:rPr>
              <w:t xml:space="preserve">Adjudicado provisionalmente </w:t>
            </w:r>
          </w:p>
        </w:tc>
      </w:tr>
      <w:tr w:rsidR="00E81CB7" w14:paraId="100E889B" w14:textId="77777777" w:rsidTr="00370668">
        <w:tc>
          <w:tcPr>
            <w:tcW w:w="3192" w:type="dxa"/>
            <w:shd w:val="clear" w:color="auto" w:fill="C6D9F1" w:themeFill="text2" w:themeFillTint="33"/>
          </w:tcPr>
          <w:p w14:paraId="064239CA" w14:textId="1B490AF8" w:rsidR="00E81CB7" w:rsidRDefault="00E81CB7" w:rsidP="00D451CD">
            <w:pPr>
              <w:jc w:val="both"/>
              <w:rPr>
                <w:lang w:val="es-ES_tradnl"/>
              </w:rPr>
            </w:pPr>
            <w:r>
              <w:rPr>
                <w:lang w:val="es-ES_tradnl"/>
              </w:rPr>
              <w:t>23 escuelas, 9 polos tecnológicos</w:t>
            </w:r>
          </w:p>
        </w:tc>
        <w:tc>
          <w:tcPr>
            <w:tcW w:w="1866" w:type="dxa"/>
            <w:shd w:val="clear" w:color="auto" w:fill="C6D9F1" w:themeFill="text2" w:themeFillTint="33"/>
          </w:tcPr>
          <w:p w14:paraId="35AFA445" w14:textId="346BF67A" w:rsidR="00E81CB7" w:rsidRDefault="00E81CB7" w:rsidP="00E81CB7">
            <w:pPr>
              <w:jc w:val="center"/>
              <w:rPr>
                <w:lang w:val="es-ES_tradnl"/>
              </w:rPr>
            </w:pPr>
            <w:r>
              <w:rPr>
                <w:lang w:val="es-ES_tradnl"/>
              </w:rPr>
              <w:t>79</w:t>
            </w:r>
          </w:p>
        </w:tc>
        <w:tc>
          <w:tcPr>
            <w:tcW w:w="4518" w:type="dxa"/>
            <w:shd w:val="clear" w:color="auto" w:fill="C6D9F1" w:themeFill="text2" w:themeFillTint="33"/>
          </w:tcPr>
          <w:p w14:paraId="2E3DB326" w14:textId="045924CC" w:rsidR="00E81CB7" w:rsidRDefault="0090363F" w:rsidP="00D451CD">
            <w:pPr>
              <w:jc w:val="both"/>
              <w:rPr>
                <w:lang w:val="es-ES_tradnl"/>
              </w:rPr>
            </w:pPr>
            <w:r>
              <w:rPr>
                <w:lang w:val="es-ES_tradnl"/>
              </w:rPr>
              <w:t xml:space="preserve">Adjudicado provisionalmente </w:t>
            </w:r>
          </w:p>
        </w:tc>
      </w:tr>
      <w:tr w:rsidR="00E81CB7" w14:paraId="4029AEF6" w14:textId="77777777" w:rsidTr="00370668">
        <w:tc>
          <w:tcPr>
            <w:tcW w:w="3192" w:type="dxa"/>
            <w:shd w:val="clear" w:color="auto" w:fill="C6D9F1" w:themeFill="text2" w:themeFillTint="33"/>
          </w:tcPr>
          <w:p w14:paraId="189B66F2" w14:textId="1C249FAA" w:rsidR="00E81CB7" w:rsidRDefault="00E81CB7" w:rsidP="00D451CD">
            <w:pPr>
              <w:jc w:val="both"/>
              <w:rPr>
                <w:lang w:val="es-ES_tradnl"/>
              </w:rPr>
            </w:pPr>
            <w:r>
              <w:rPr>
                <w:lang w:val="es-ES_tradnl"/>
              </w:rPr>
              <w:t xml:space="preserve">27 centros CAIF y 15 escuelas </w:t>
            </w:r>
          </w:p>
        </w:tc>
        <w:tc>
          <w:tcPr>
            <w:tcW w:w="1866" w:type="dxa"/>
            <w:shd w:val="clear" w:color="auto" w:fill="C6D9F1" w:themeFill="text2" w:themeFillTint="33"/>
          </w:tcPr>
          <w:p w14:paraId="1CC91414" w14:textId="7CBC2BF5" w:rsidR="00E81CB7" w:rsidRDefault="00E81CB7" w:rsidP="00E81CB7">
            <w:pPr>
              <w:jc w:val="center"/>
              <w:rPr>
                <w:lang w:val="es-ES_tradnl"/>
              </w:rPr>
            </w:pPr>
            <w:r>
              <w:rPr>
                <w:lang w:val="es-ES_tradnl"/>
              </w:rPr>
              <w:t>41</w:t>
            </w:r>
          </w:p>
        </w:tc>
        <w:tc>
          <w:tcPr>
            <w:tcW w:w="4518" w:type="dxa"/>
            <w:shd w:val="clear" w:color="auto" w:fill="C6D9F1" w:themeFill="text2" w:themeFillTint="33"/>
          </w:tcPr>
          <w:p w14:paraId="691405A6" w14:textId="4FDDC900" w:rsidR="0090363F" w:rsidRDefault="0090363F" w:rsidP="00D451CD">
            <w:pPr>
              <w:jc w:val="both"/>
              <w:rPr>
                <w:lang w:val="es-ES_tradnl"/>
              </w:rPr>
            </w:pPr>
            <w:r>
              <w:rPr>
                <w:lang w:val="es-ES_tradnl"/>
              </w:rPr>
              <w:t>En evaluación de ofertas</w:t>
            </w:r>
          </w:p>
        </w:tc>
      </w:tr>
      <w:tr w:rsidR="00E81CB7" w14:paraId="08ACED4A" w14:textId="77777777" w:rsidTr="00370668">
        <w:tc>
          <w:tcPr>
            <w:tcW w:w="3192" w:type="dxa"/>
            <w:shd w:val="clear" w:color="auto" w:fill="C6D9F1" w:themeFill="text2" w:themeFillTint="33"/>
          </w:tcPr>
          <w:p w14:paraId="1A29DE4C" w14:textId="50A1EF22" w:rsidR="00E81CB7" w:rsidRDefault="00E81CB7" w:rsidP="00D451CD">
            <w:pPr>
              <w:jc w:val="both"/>
              <w:rPr>
                <w:lang w:val="es-ES_tradnl"/>
              </w:rPr>
            </w:pPr>
            <w:r>
              <w:rPr>
                <w:lang w:val="es-ES_tradnl"/>
              </w:rPr>
              <w:t xml:space="preserve">46 liceos y 16 </w:t>
            </w:r>
            <w:proofErr w:type="spellStart"/>
            <w:r>
              <w:rPr>
                <w:lang w:val="es-ES_tradnl"/>
              </w:rPr>
              <w:t>UTUs</w:t>
            </w:r>
            <w:proofErr w:type="spellEnd"/>
          </w:p>
        </w:tc>
        <w:tc>
          <w:tcPr>
            <w:tcW w:w="1866" w:type="dxa"/>
            <w:shd w:val="clear" w:color="auto" w:fill="C6D9F1" w:themeFill="text2" w:themeFillTint="33"/>
          </w:tcPr>
          <w:p w14:paraId="5341D5A9" w14:textId="21404B4D" w:rsidR="00E81CB7" w:rsidRDefault="00E81CB7" w:rsidP="00E81CB7">
            <w:pPr>
              <w:jc w:val="center"/>
              <w:rPr>
                <w:lang w:val="es-ES_tradnl"/>
              </w:rPr>
            </w:pPr>
            <w:r>
              <w:rPr>
                <w:lang w:val="es-ES_tradnl"/>
              </w:rPr>
              <w:t>129</w:t>
            </w:r>
          </w:p>
        </w:tc>
        <w:tc>
          <w:tcPr>
            <w:tcW w:w="4518" w:type="dxa"/>
            <w:shd w:val="clear" w:color="auto" w:fill="C6D9F1" w:themeFill="text2" w:themeFillTint="33"/>
          </w:tcPr>
          <w:p w14:paraId="1FAE9C3F" w14:textId="762C23C0" w:rsidR="00E81CB7" w:rsidRDefault="0090363F" w:rsidP="00D451CD">
            <w:pPr>
              <w:jc w:val="both"/>
              <w:rPr>
                <w:lang w:val="es-ES_tradnl"/>
              </w:rPr>
            </w:pPr>
            <w:r>
              <w:rPr>
                <w:lang w:val="es-ES_tradnl"/>
              </w:rPr>
              <w:t xml:space="preserve">En proceso licitatorio </w:t>
            </w:r>
          </w:p>
        </w:tc>
      </w:tr>
      <w:tr w:rsidR="00E81CB7" w14:paraId="2DE771EE" w14:textId="77777777" w:rsidTr="00370668">
        <w:tc>
          <w:tcPr>
            <w:tcW w:w="3192" w:type="dxa"/>
            <w:shd w:val="clear" w:color="auto" w:fill="C6D9F1" w:themeFill="text2" w:themeFillTint="33"/>
          </w:tcPr>
          <w:p w14:paraId="6D17DF89" w14:textId="3E8A9C5B" w:rsidR="00E81CB7" w:rsidRDefault="00E81CB7" w:rsidP="00D451CD">
            <w:pPr>
              <w:jc w:val="both"/>
              <w:rPr>
                <w:lang w:val="es-ES_tradnl"/>
              </w:rPr>
            </w:pPr>
            <w:r>
              <w:rPr>
                <w:lang w:val="es-ES_tradnl"/>
              </w:rPr>
              <w:t xml:space="preserve">Ferrocarril central </w:t>
            </w:r>
          </w:p>
        </w:tc>
        <w:tc>
          <w:tcPr>
            <w:tcW w:w="1866" w:type="dxa"/>
            <w:shd w:val="clear" w:color="auto" w:fill="C6D9F1" w:themeFill="text2" w:themeFillTint="33"/>
          </w:tcPr>
          <w:p w14:paraId="47E778B0" w14:textId="7BA492D4" w:rsidR="00E81CB7" w:rsidRDefault="00E81CB7" w:rsidP="00E81CB7">
            <w:pPr>
              <w:jc w:val="center"/>
              <w:rPr>
                <w:lang w:val="es-ES_tradnl"/>
              </w:rPr>
            </w:pPr>
            <w:r>
              <w:rPr>
                <w:lang w:val="es-ES_tradnl"/>
              </w:rPr>
              <w:t>825</w:t>
            </w:r>
          </w:p>
        </w:tc>
        <w:tc>
          <w:tcPr>
            <w:tcW w:w="4518" w:type="dxa"/>
            <w:shd w:val="clear" w:color="auto" w:fill="C6D9F1" w:themeFill="text2" w:themeFillTint="33"/>
          </w:tcPr>
          <w:p w14:paraId="160DE3C3" w14:textId="4EE5C47F" w:rsidR="00E81CB7" w:rsidRDefault="0090363F" w:rsidP="00D451CD">
            <w:pPr>
              <w:jc w:val="both"/>
              <w:rPr>
                <w:lang w:val="es-ES_tradnl"/>
              </w:rPr>
            </w:pPr>
            <w:r>
              <w:rPr>
                <w:lang w:val="es-ES_tradnl"/>
              </w:rPr>
              <w:t>En evaluación de ofertas</w:t>
            </w:r>
          </w:p>
        </w:tc>
      </w:tr>
      <w:tr w:rsidR="00E81CB7" w14:paraId="6A5607C7" w14:textId="77777777" w:rsidTr="00370668">
        <w:tc>
          <w:tcPr>
            <w:tcW w:w="3192" w:type="dxa"/>
            <w:shd w:val="clear" w:color="auto" w:fill="C6D9F1" w:themeFill="text2" w:themeFillTint="33"/>
          </w:tcPr>
          <w:p w14:paraId="230A72E2" w14:textId="7FCCF93A" w:rsidR="00E81CB7" w:rsidRDefault="00E81CB7" w:rsidP="00D451CD">
            <w:pPr>
              <w:jc w:val="both"/>
              <w:rPr>
                <w:lang w:val="es-ES_tradnl"/>
              </w:rPr>
            </w:pPr>
            <w:r>
              <w:rPr>
                <w:lang w:val="es-ES_tradnl"/>
              </w:rPr>
              <w:t xml:space="preserve">Proyecto vivienda </w:t>
            </w:r>
          </w:p>
        </w:tc>
        <w:tc>
          <w:tcPr>
            <w:tcW w:w="1866" w:type="dxa"/>
            <w:shd w:val="clear" w:color="auto" w:fill="C6D9F1" w:themeFill="text2" w:themeFillTint="33"/>
          </w:tcPr>
          <w:p w14:paraId="62E5FD26" w14:textId="22637FFC" w:rsidR="00E81CB7" w:rsidRDefault="00E81CB7" w:rsidP="00E81CB7">
            <w:pPr>
              <w:jc w:val="center"/>
              <w:rPr>
                <w:lang w:val="es-ES_tradnl"/>
              </w:rPr>
            </w:pPr>
            <w:r>
              <w:rPr>
                <w:lang w:val="es-ES_tradnl"/>
              </w:rPr>
              <w:t>35</w:t>
            </w:r>
          </w:p>
        </w:tc>
        <w:tc>
          <w:tcPr>
            <w:tcW w:w="4518" w:type="dxa"/>
            <w:shd w:val="clear" w:color="auto" w:fill="C6D9F1" w:themeFill="text2" w:themeFillTint="33"/>
          </w:tcPr>
          <w:p w14:paraId="2C2D8BB9" w14:textId="4A2C2345" w:rsidR="00E81CB7" w:rsidRDefault="0090363F" w:rsidP="00D451CD">
            <w:pPr>
              <w:jc w:val="both"/>
              <w:rPr>
                <w:lang w:val="es-ES_tradnl"/>
              </w:rPr>
            </w:pPr>
            <w:r>
              <w:rPr>
                <w:lang w:val="es-ES_tradnl"/>
              </w:rPr>
              <w:t xml:space="preserve">Revisión de estudios previos </w:t>
            </w:r>
          </w:p>
        </w:tc>
      </w:tr>
      <w:tr w:rsidR="00E81CB7" w14:paraId="2B82139A" w14:textId="77777777" w:rsidTr="00370668">
        <w:tc>
          <w:tcPr>
            <w:tcW w:w="3192" w:type="dxa"/>
            <w:shd w:val="clear" w:color="auto" w:fill="C6D9F1" w:themeFill="text2" w:themeFillTint="33"/>
          </w:tcPr>
          <w:p w14:paraId="2462D71E" w14:textId="3063CE87" w:rsidR="00E81CB7" w:rsidRDefault="00E81CB7" w:rsidP="00D451CD">
            <w:pPr>
              <w:jc w:val="both"/>
              <w:rPr>
                <w:lang w:val="es-ES_tradnl"/>
              </w:rPr>
            </w:pPr>
            <w:r>
              <w:rPr>
                <w:lang w:val="es-ES_tradnl"/>
              </w:rPr>
              <w:t xml:space="preserve">Hospital Pasteur </w:t>
            </w:r>
          </w:p>
        </w:tc>
        <w:tc>
          <w:tcPr>
            <w:tcW w:w="1866" w:type="dxa"/>
            <w:shd w:val="clear" w:color="auto" w:fill="C6D9F1" w:themeFill="text2" w:themeFillTint="33"/>
          </w:tcPr>
          <w:p w14:paraId="7EE35C35" w14:textId="3048C8EA" w:rsidR="00E81CB7" w:rsidRPr="00E81CB7" w:rsidRDefault="00E81CB7" w:rsidP="00E81CB7">
            <w:pPr>
              <w:pStyle w:val="ListParagraph"/>
              <w:numPr>
                <w:ilvl w:val="0"/>
                <w:numId w:val="5"/>
              </w:numPr>
              <w:jc w:val="center"/>
              <w:rPr>
                <w:lang w:val="es-ES_tradnl"/>
              </w:rPr>
            </w:pPr>
          </w:p>
        </w:tc>
        <w:tc>
          <w:tcPr>
            <w:tcW w:w="4518" w:type="dxa"/>
            <w:shd w:val="clear" w:color="auto" w:fill="C6D9F1" w:themeFill="text2" w:themeFillTint="33"/>
          </w:tcPr>
          <w:p w14:paraId="735553F0" w14:textId="53B4D53D" w:rsidR="00E81CB7" w:rsidRDefault="0090363F" w:rsidP="00D451CD">
            <w:pPr>
              <w:jc w:val="both"/>
              <w:rPr>
                <w:lang w:val="es-ES_tradnl"/>
              </w:rPr>
            </w:pPr>
            <w:r>
              <w:rPr>
                <w:lang w:val="es-ES_tradnl"/>
              </w:rPr>
              <w:t xml:space="preserve">Registro de iniciativa pública </w:t>
            </w:r>
          </w:p>
        </w:tc>
      </w:tr>
      <w:tr w:rsidR="00E81CB7" w14:paraId="271C8568" w14:textId="77777777" w:rsidTr="00370668">
        <w:tc>
          <w:tcPr>
            <w:tcW w:w="3192" w:type="dxa"/>
            <w:shd w:val="clear" w:color="auto" w:fill="C6D9F1" w:themeFill="text2" w:themeFillTint="33"/>
          </w:tcPr>
          <w:p w14:paraId="3836C6B3" w14:textId="6DBC910A" w:rsidR="00E81CB7" w:rsidRPr="00370668" w:rsidRDefault="00E81CB7" w:rsidP="00D451CD">
            <w:pPr>
              <w:jc w:val="both"/>
              <w:rPr>
                <w:b/>
                <w:smallCaps/>
                <w:lang w:val="es-ES_tradnl"/>
              </w:rPr>
            </w:pPr>
            <w:r w:rsidRPr="00370668">
              <w:rPr>
                <w:b/>
                <w:smallCaps/>
                <w:lang w:val="es-ES_tradnl"/>
              </w:rPr>
              <w:t xml:space="preserve">Total </w:t>
            </w:r>
          </w:p>
        </w:tc>
        <w:tc>
          <w:tcPr>
            <w:tcW w:w="1866" w:type="dxa"/>
            <w:shd w:val="clear" w:color="auto" w:fill="C6D9F1" w:themeFill="text2" w:themeFillTint="33"/>
          </w:tcPr>
          <w:p w14:paraId="28718D02" w14:textId="6765D8F6" w:rsidR="00E81CB7" w:rsidRPr="00370668" w:rsidRDefault="00E81CB7" w:rsidP="00E81CB7">
            <w:pPr>
              <w:jc w:val="center"/>
              <w:rPr>
                <w:b/>
                <w:smallCaps/>
                <w:lang w:val="es-ES_tradnl"/>
              </w:rPr>
            </w:pPr>
            <w:r w:rsidRPr="00370668">
              <w:rPr>
                <w:b/>
                <w:smallCaps/>
                <w:lang w:val="es-ES_tradnl"/>
              </w:rPr>
              <w:t>1,817</w:t>
            </w:r>
          </w:p>
        </w:tc>
        <w:tc>
          <w:tcPr>
            <w:tcW w:w="4518" w:type="dxa"/>
            <w:shd w:val="clear" w:color="auto" w:fill="C6D9F1" w:themeFill="text2" w:themeFillTint="33"/>
          </w:tcPr>
          <w:p w14:paraId="273B403F" w14:textId="77777777" w:rsidR="00E81CB7" w:rsidRPr="00370668" w:rsidRDefault="00E81CB7" w:rsidP="00D451CD">
            <w:pPr>
              <w:jc w:val="both"/>
              <w:rPr>
                <w:b/>
                <w:smallCaps/>
                <w:lang w:val="es-ES_tradnl"/>
              </w:rPr>
            </w:pPr>
          </w:p>
        </w:tc>
      </w:tr>
    </w:tbl>
    <w:p w14:paraId="1388C2A1" w14:textId="009F6891" w:rsidR="00207108" w:rsidRDefault="00207108" w:rsidP="00B3430E">
      <w:pPr>
        <w:jc w:val="both"/>
        <w:rPr>
          <w:lang w:val="es-ES_tradnl"/>
        </w:rPr>
      </w:pPr>
    </w:p>
    <w:p w14:paraId="5DE86C1F" w14:textId="7B9577FB" w:rsidR="0090363F" w:rsidRDefault="0090363F" w:rsidP="00B3430E">
      <w:pPr>
        <w:jc w:val="both"/>
        <w:rPr>
          <w:lang w:val="es-ES_tradnl"/>
        </w:rPr>
      </w:pPr>
      <w:r>
        <w:rPr>
          <w:lang w:val="es-ES_tradnl"/>
        </w:rPr>
        <w:t>La cartera de proyectos</w:t>
      </w:r>
      <w:r w:rsidR="00055E39">
        <w:rPr>
          <w:lang w:val="es-ES_tradnl"/>
        </w:rPr>
        <w:t xml:space="preserve"> de </w:t>
      </w:r>
      <w:proofErr w:type="spellStart"/>
      <w:r w:rsidR="00055E39">
        <w:rPr>
          <w:lang w:val="es-ES_tradnl"/>
        </w:rPr>
        <w:t>PPPs</w:t>
      </w:r>
      <w:proofErr w:type="spellEnd"/>
      <w:r w:rsidR="00055E39">
        <w:rPr>
          <w:lang w:val="es-ES_tradnl"/>
        </w:rPr>
        <w:t xml:space="preserve"> manejada por el MEF</w:t>
      </w:r>
      <w:r w:rsidR="000E35F8">
        <w:rPr>
          <w:lang w:val="es-ES_tradnl"/>
        </w:rPr>
        <w:t xml:space="preserve"> tiene </w:t>
      </w:r>
      <w:r>
        <w:rPr>
          <w:lang w:val="es-ES_tradnl"/>
        </w:rPr>
        <w:t xml:space="preserve">un valor total de US$ 1,817 millones distribuidos de la siguiente forma: US$ 560 para proyectos de carreteras, US$ 297 millones en proyectos educativos, 100 millones para en el proyecto del presidio, 825 millones en la PPP del ferrocarril y 35 millones en el proyecto de vivienda social.  Se espera que las PPP de carreteras y ferroviarios representen entre un cuarto y un tercio del total de inversiones públicas en el sector de transporte para el periodo 2015-2019. </w:t>
      </w:r>
    </w:p>
    <w:p w14:paraId="2BDC03A2" w14:textId="77FA7BC2" w:rsidR="0090363F" w:rsidRDefault="000E35F8" w:rsidP="00B3430E">
      <w:pPr>
        <w:jc w:val="both"/>
        <w:rPr>
          <w:lang w:val="es-ES_tradnl"/>
        </w:rPr>
      </w:pPr>
      <w:r>
        <w:rPr>
          <w:lang w:val="es-ES_tradnl"/>
        </w:rPr>
        <w:t>L</w:t>
      </w:r>
      <w:r w:rsidR="0090363F">
        <w:rPr>
          <w:lang w:val="es-ES_tradnl"/>
        </w:rPr>
        <w:t>os</w:t>
      </w:r>
      <w:r w:rsidR="00B3430E">
        <w:rPr>
          <w:lang w:val="es-ES_tradnl"/>
        </w:rPr>
        <w:t xml:space="preserve"> proyectos de </w:t>
      </w:r>
      <w:proofErr w:type="spellStart"/>
      <w:r w:rsidR="00B3430E">
        <w:rPr>
          <w:lang w:val="es-ES_tradnl"/>
        </w:rPr>
        <w:t>PPPs</w:t>
      </w:r>
      <w:proofErr w:type="spellEnd"/>
      <w:r w:rsidR="00B3430E">
        <w:rPr>
          <w:lang w:val="es-ES_tradnl"/>
        </w:rPr>
        <w:t xml:space="preserve"> en Uruguay </w:t>
      </w:r>
      <w:r w:rsidR="0090363F">
        <w:rPr>
          <w:lang w:val="es-ES_tradnl"/>
        </w:rPr>
        <w:t>han</w:t>
      </w:r>
      <w:r w:rsidR="00B3430E">
        <w:rPr>
          <w:lang w:val="es-ES_tradnl"/>
        </w:rPr>
        <w:t xml:space="preserve"> avanzado de</w:t>
      </w:r>
      <w:r w:rsidR="0090363F">
        <w:rPr>
          <w:lang w:val="es-ES_tradnl"/>
        </w:rPr>
        <w:t xml:space="preserve"> manera</w:t>
      </w:r>
      <w:r w:rsidR="00B3430E">
        <w:rPr>
          <w:lang w:val="es-ES_tradnl"/>
        </w:rPr>
        <w:t xml:space="preserve"> lenta</w:t>
      </w:r>
      <w:r w:rsidR="0090363F">
        <w:rPr>
          <w:lang w:val="es-ES_tradnl"/>
        </w:rPr>
        <w:t xml:space="preserve"> y</w:t>
      </w:r>
      <w:r w:rsidR="00B3430E">
        <w:rPr>
          <w:lang w:val="es-ES_tradnl"/>
        </w:rPr>
        <w:t xml:space="preserve"> hasta el momento sólo</w:t>
      </w:r>
      <w:r w:rsidR="0090363F">
        <w:rPr>
          <w:lang w:val="es-ES_tradnl"/>
        </w:rPr>
        <w:t xml:space="preserve"> hay dos contratos firmados</w:t>
      </w:r>
      <w:r w:rsidR="000C057C">
        <w:rPr>
          <w:lang w:val="es-ES_tradnl"/>
        </w:rPr>
        <w:t>:</w:t>
      </w:r>
      <w:r w:rsidR="0090363F">
        <w:rPr>
          <w:lang w:val="es-ES_tradnl"/>
        </w:rPr>
        <w:t xml:space="preserve"> la cárcel de Punta de Rieles (ya en operación) y las rutas 21-24 </w:t>
      </w:r>
      <w:r w:rsidR="00324FB8">
        <w:rPr>
          <w:lang w:val="es-ES_tradnl"/>
        </w:rPr>
        <w:t>(</w:t>
      </w:r>
      <w:r w:rsidR="0005233A">
        <w:rPr>
          <w:lang w:val="es-ES_tradnl"/>
        </w:rPr>
        <w:t>que incluye e</w:t>
      </w:r>
      <w:r w:rsidR="0090363F">
        <w:rPr>
          <w:lang w:val="es-ES_tradnl"/>
        </w:rPr>
        <w:t xml:space="preserve">l </w:t>
      </w:r>
      <w:proofErr w:type="gramStart"/>
      <w:r w:rsidR="0090363F">
        <w:rPr>
          <w:lang w:val="es-ES_tradnl"/>
        </w:rPr>
        <w:t>bypass</w:t>
      </w:r>
      <w:proofErr w:type="gramEnd"/>
      <w:r w:rsidR="0090363F">
        <w:rPr>
          <w:lang w:val="es-ES_tradnl"/>
        </w:rPr>
        <w:t xml:space="preserve"> a la Ciudad de Nueva Palmira</w:t>
      </w:r>
      <w:r w:rsidR="0005233A">
        <w:rPr>
          <w:lang w:val="es-ES_tradnl"/>
        </w:rPr>
        <w:t>)</w:t>
      </w:r>
      <w:r w:rsidR="0090363F">
        <w:rPr>
          <w:lang w:val="es-ES_tradnl"/>
        </w:rPr>
        <w:t>, firmado con Sacyr-</w:t>
      </w:r>
      <w:proofErr w:type="spellStart"/>
      <w:r w:rsidR="0090363F">
        <w:rPr>
          <w:lang w:val="es-ES_tradnl"/>
        </w:rPr>
        <w:t>Grinor</w:t>
      </w:r>
      <w:proofErr w:type="spellEnd"/>
      <w:r w:rsidR="0005233A">
        <w:rPr>
          <w:lang w:val="es-ES_tradnl"/>
        </w:rPr>
        <w:t xml:space="preserve"> y</w:t>
      </w:r>
      <w:r w:rsidR="0090363F">
        <w:rPr>
          <w:lang w:val="es-ES_tradnl"/>
        </w:rPr>
        <w:t xml:space="preserve"> está actualmente en construcción. </w:t>
      </w:r>
    </w:p>
    <w:p w14:paraId="5F174DE9" w14:textId="484EF5BC" w:rsidR="002F3193" w:rsidRDefault="002F3193" w:rsidP="002F3193">
      <w:pPr>
        <w:jc w:val="both"/>
        <w:rPr>
          <w:lang w:val="es-ES_tradnl"/>
        </w:rPr>
      </w:pPr>
      <w:r>
        <w:rPr>
          <w:lang w:val="es-ES_tradnl"/>
        </w:rPr>
        <w:lastRenderedPageBreak/>
        <w:t xml:space="preserve">La situación del resto de proyectos es el siguiente: hay tres proyectos de carreteras que ya están adjudicados provisionalmente y están negociando en el cierre financiero: (1) rutas 12, 54, 55, 57 </w:t>
      </w:r>
      <w:r w:rsidR="00370668">
        <w:rPr>
          <w:lang w:val="es-ES_tradnl"/>
        </w:rPr>
        <w:t>y Bypass a la Ciudad de Carmelo en el tramo Ruta 21-Ruta 97, adjudicado a un consorcio formado por CIEMSA-</w:t>
      </w:r>
      <w:proofErr w:type="spellStart"/>
      <w:r w:rsidR="00940941">
        <w:rPr>
          <w:lang w:val="es-ES_tradnl"/>
        </w:rPr>
        <w:t>Traxpalco</w:t>
      </w:r>
      <w:proofErr w:type="spellEnd"/>
      <w:r w:rsidR="00940941">
        <w:rPr>
          <w:lang w:val="es-ES_tradnl"/>
        </w:rPr>
        <w:t xml:space="preserve"> y H&amp;G</w:t>
      </w:r>
      <w:r w:rsidR="00370668">
        <w:rPr>
          <w:lang w:val="es-ES_tradnl"/>
        </w:rPr>
        <w:t>; (2) Ruta 9 -entre Rocha y Chuy-, Ruta 15 -entre Rocha y empalme con ruta 13- y la conexión R9-R15</w:t>
      </w:r>
      <w:r w:rsidR="00940941">
        <w:rPr>
          <w:lang w:val="es-ES_tradnl"/>
        </w:rPr>
        <w:t xml:space="preserve"> adjudicado al mismo consorcio</w:t>
      </w:r>
      <w:r w:rsidR="00370668">
        <w:rPr>
          <w:lang w:val="es-ES_tradnl"/>
        </w:rPr>
        <w:t xml:space="preserve">; (3) </w:t>
      </w:r>
      <w:r w:rsidR="00940941">
        <w:rPr>
          <w:lang w:val="es-ES_tradnl"/>
        </w:rPr>
        <w:t xml:space="preserve">Ruta 14 oeste (desde Mercedes hasta ruta 6), bypass a Sarandí del </w:t>
      </w:r>
      <w:proofErr w:type="spellStart"/>
      <w:r w:rsidR="00940941">
        <w:rPr>
          <w:lang w:val="es-ES_tradnl"/>
        </w:rPr>
        <w:t>Yí</w:t>
      </w:r>
      <w:proofErr w:type="spellEnd"/>
      <w:r w:rsidR="00940941">
        <w:rPr>
          <w:lang w:val="es-ES_tradnl"/>
        </w:rPr>
        <w:t xml:space="preserve"> y conexión ruta 14-ruta 3, adjudicado provisionalmente al consorcio Espina-</w:t>
      </w:r>
      <w:proofErr w:type="spellStart"/>
      <w:r w:rsidR="00940941">
        <w:rPr>
          <w:lang w:val="es-ES_tradnl"/>
        </w:rPr>
        <w:t>Copasa</w:t>
      </w:r>
      <w:proofErr w:type="spellEnd"/>
      <w:r w:rsidR="00940941">
        <w:rPr>
          <w:lang w:val="es-ES_tradnl"/>
        </w:rPr>
        <w:t xml:space="preserve">. Además, hay otros dos proyectos de educación, el primer y segundo proyecto, que están en la misma situación, esperando el cierre financiero y adjudicados provisionalmente a los consorcios </w:t>
      </w:r>
      <w:proofErr w:type="spellStart"/>
      <w:r w:rsidR="00940941">
        <w:rPr>
          <w:lang w:val="es-ES_tradnl"/>
        </w:rPr>
        <w:t>Basirey-Nelit-Conami</w:t>
      </w:r>
      <w:proofErr w:type="spellEnd"/>
      <w:r w:rsidR="00940941">
        <w:rPr>
          <w:lang w:val="es-ES_tradnl"/>
        </w:rPr>
        <w:t xml:space="preserve"> y </w:t>
      </w:r>
      <w:proofErr w:type="spellStart"/>
      <w:r w:rsidR="00940941">
        <w:rPr>
          <w:lang w:val="es-ES_tradnl"/>
        </w:rPr>
        <w:t>Berkes-Saceem-Stiler</w:t>
      </w:r>
      <w:proofErr w:type="spellEnd"/>
      <w:r w:rsidR="00940941">
        <w:rPr>
          <w:lang w:val="es-ES_tradnl"/>
        </w:rPr>
        <w:t xml:space="preserve"> respectivamente. </w:t>
      </w:r>
    </w:p>
    <w:p w14:paraId="3DECF3DA" w14:textId="675EFFA4" w:rsidR="00B3430E" w:rsidRPr="00583194" w:rsidRDefault="00940941" w:rsidP="00B3430E">
      <w:pPr>
        <w:jc w:val="both"/>
        <w:rPr>
          <w:lang w:val="es-ES_tradnl"/>
        </w:rPr>
      </w:pPr>
      <w:r>
        <w:rPr>
          <w:lang w:val="es-ES_tradnl"/>
        </w:rPr>
        <w:t xml:space="preserve">Del resto, la ruta 14 y 15, la ruta 6, el IP Ruta 3, el tercer proyecto de educación y el proyecto del ferrocarril central están en evaluación de ofertas, mientras que el cuarto proyecto de educación está en proceso licitatorio y la PPP de vivienda social están en la revisión de estudios previos. </w:t>
      </w:r>
      <w:r w:rsidR="009A425B">
        <w:rPr>
          <w:lang w:val="es-ES_tradnl"/>
        </w:rPr>
        <w:t>Además, hubo d</w:t>
      </w:r>
      <w:r w:rsidR="00B3430E">
        <w:rPr>
          <w:lang w:val="es-ES_tradnl"/>
        </w:rPr>
        <w:t xml:space="preserve">os proyectos que </w:t>
      </w:r>
      <w:r w:rsidR="000C057C">
        <w:rPr>
          <w:lang w:val="es-ES_tradnl"/>
        </w:rPr>
        <w:t>fueron</w:t>
      </w:r>
      <w:r w:rsidR="00B3430E">
        <w:rPr>
          <w:lang w:val="es-ES_tradnl"/>
        </w:rPr>
        <w:t xml:space="preserve"> suspendidos </w:t>
      </w:r>
      <w:r w:rsidR="000C057C">
        <w:rPr>
          <w:lang w:val="es-ES_tradnl"/>
        </w:rPr>
        <w:t xml:space="preserve">definitivamente: </w:t>
      </w:r>
      <w:r w:rsidR="00B3430E">
        <w:rPr>
          <w:lang w:val="es-ES_tradnl"/>
        </w:rPr>
        <w:t xml:space="preserve">el Corredor Vial circuito 4 y el Hospital de </w:t>
      </w:r>
      <w:r w:rsidR="00207108">
        <w:rPr>
          <w:lang w:val="es-ES_tradnl"/>
        </w:rPr>
        <w:t>Clínicas</w:t>
      </w:r>
      <w:r w:rsidR="00B3430E">
        <w:rPr>
          <w:lang w:val="es-ES_tradnl"/>
        </w:rPr>
        <w:t xml:space="preserve">. </w:t>
      </w:r>
    </w:p>
    <w:p w14:paraId="3140DE11" w14:textId="6BE974F3" w:rsidR="00BD7D52" w:rsidRDefault="009A425B" w:rsidP="00BD7D52">
      <w:pPr>
        <w:jc w:val="both"/>
        <w:rPr>
          <w:lang w:val="es-ES_tradnl"/>
        </w:rPr>
      </w:pPr>
      <w:r>
        <w:rPr>
          <w:lang w:val="es-ES_tradnl"/>
        </w:rPr>
        <w:t>En el largo plazo, e</w:t>
      </w:r>
      <w:r w:rsidR="00BD7D52">
        <w:rPr>
          <w:lang w:val="es-ES_tradnl"/>
        </w:rPr>
        <w:t xml:space="preserve">xiste </w:t>
      </w:r>
      <w:r>
        <w:rPr>
          <w:lang w:val="es-ES_tradnl"/>
        </w:rPr>
        <w:t>otro</w:t>
      </w:r>
      <w:r w:rsidR="00BD7D52">
        <w:rPr>
          <w:lang w:val="es-ES_tradnl"/>
        </w:rPr>
        <w:t xml:space="preserve"> proyecto ferroviario (Chamberlain – </w:t>
      </w:r>
      <w:proofErr w:type="spellStart"/>
      <w:r w:rsidR="00BD7D52">
        <w:rPr>
          <w:lang w:val="es-ES_tradnl"/>
        </w:rPr>
        <w:t>Algorta</w:t>
      </w:r>
      <w:proofErr w:type="spellEnd"/>
      <w:r w:rsidR="00BD7D52">
        <w:rPr>
          <w:lang w:val="es-ES_tradnl"/>
        </w:rPr>
        <w:t xml:space="preserve"> – Fray Bentos) que </w:t>
      </w:r>
      <w:r>
        <w:rPr>
          <w:lang w:val="es-ES_tradnl"/>
        </w:rPr>
        <w:t>el MTOP también</w:t>
      </w:r>
      <w:r w:rsidR="00BD7D52">
        <w:rPr>
          <w:lang w:val="es-ES_tradnl"/>
        </w:rPr>
        <w:t xml:space="preserve"> espera que </w:t>
      </w:r>
      <w:r>
        <w:rPr>
          <w:lang w:val="es-ES_tradnl"/>
        </w:rPr>
        <w:t>pueda ser</w:t>
      </w:r>
      <w:r w:rsidR="00BD7D52">
        <w:rPr>
          <w:lang w:val="es-ES_tradnl"/>
        </w:rPr>
        <w:t xml:space="preserve"> financiado a través de una PPP. </w:t>
      </w:r>
      <w:r>
        <w:rPr>
          <w:lang w:val="es-ES_tradnl"/>
        </w:rPr>
        <w:t xml:space="preserve">También existen </w:t>
      </w:r>
      <w:r w:rsidR="00BD7D52">
        <w:rPr>
          <w:lang w:val="es-ES_tradnl"/>
        </w:rPr>
        <w:t xml:space="preserve">planes </w:t>
      </w:r>
      <w:r>
        <w:rPr>
          <w:lang w:val="es-ES_tradnl"/>
        </w:rPr>
        <w:t xml:space="preserve">(aunque aún no ha sido decidido si será a través de PPP o concesión) </w:t>
      </w:r>
      <w:r w:rsidR="00BD7D52">
        <w:rPr>
          <w:lang w:val="es-ES_tradnl"/>
        </w:rPr>
        <w:t xml:space="preserve">para la expansión del Puerto de Montevideo y otros puertos comerciales (Puntas de Sayago, el puerto seco de Rivera y en el largo plazo, el puerto de aguas profundas de Rocha), la construcción de un centro logístico mediante la figura de fidecomiso y la concesión de los pasos de frontera por tierra. </w:t>
      </w:r>
    </w:p>
    <w:p w14:paraId="76388B8E" w14:textId="211E762A" w:rsidR="00B33715" w:rsidRDefault="00B33715" w:rsidP="00BD7D52">
      <w:pPr>
        <w:jc w:val="both"/>
        <w:rPr>
          <w:lang w:val="es-ES_tradnl"/>
        </w:rPr>
      </w:pPr>
      <w:r>
        <w:rPr>
          <w:lang w:val="es-ES_tradnl"/>
        </w:rPr>
        <w:t xml:space="preserve">Según las evaluaciones de países realizadas por </w:t>
      </w:r>
      <w:proofErr w:type="spellStart"/>
      <w:r>
        <w:rPr>
          <w:lang w:val="es-ES_tradnl"/>
        </w:rPr>
        <w:t>Infrascopio</w:t>
      </w:r>
      <w:proofErr w:type="spellEnd"/>
      <w:r>
        <w:rPr>
          <w:lang w:val="es-ES_tradnl"/>
        </w:rPr>
        <w:t xml:space="preserve">, el ambiente institucional de las </w:t>
      </w:r>
      <w:proofErr w:type="spellStart"/>
      <w:r>
        <w:rPr>
          <w:lang w:val="es-ES_tradnl"/>
        </w:rPr>
        <w:t>PPPs</w:t>
      </w:r>
      <w:proofErr w:type="spellEnd"/>
      <w:r>
        <w:rPr>
          <w:lang w:val="es-ES_tradnl"/>
        </w:rPr>
        <w:t xml:space="preserve"> ha ido mejorando desde la aprobación de la ley y hasta el momento actual. Desde 2010 las puntuaciones otorgadas aumentaron desde una nota de 42,8 a 52,9, siendo el país que registró más avances en el periodo</w:t>
      </w:r>
      <w:r>
        <w:rPr>
          <w:rStyle w:val="FootnoteReference"/>
          <w:lang w:val="es-ES_tradnl"/>
        </w:rPr>
        <w:footnoteReference w:id="11"/>
      </w:r>
      <w:r>
        <w:rPr>
          <w:lang w:val="es-ES_tradnl"/>
        </w:rPr>
        <w:t xml:space="preserve">. El único apartado que tuvo resultados negativos fue el relacionado con el desarrollo de instrumentos financieros, destacando la dificultad que tienen los bancos locales para financiar los proyectos de largo plazo en moneda local. Según el análisis, este desafío repercutía negativamente en la capacidad del país en aprobar y ejecutar </w:t>
      </w:r>
      <w:r w:rsidR="008D1834">
        <w:rPr>
          <w:lang w:val="es-ES_tradnl"/>
        </w:rPr>
        <w:t>nuevas operaciones</w:t>
      </w:r>
      <w:r>
        <w:rPr>
          <w:lang w:val="es-ES_tradnl"/>
        </w:rPr>
        <w:t xml:space="preserve"> bajo este mecanismo. </w:t>
      </w:r>
    </w:p>
    <w:p w14:paraId="7BBF8B19" w14:textId="4FB8CDA8" w:rsidR="00106D7D" w:rsidRDefault="00106D7D" w:rsidP="00226F2B">
      <w:pPr>
        <w:jc w:val="both"/>
        <w:rPr>
          <w:lang w:val="es-ES_tradnl"/>
        </w:rPr>
      </w:pPr>
    </w:p>
    <w:p w14:paraId="7FB681F7" w14:textId="17A4DC11" w:rsidR="003D678A" w:rsidRDefault="003D678A" w:rsidP="00226F2B">
      <w:pPr>
        <w:jc w:val="both"/>
        <w:rPr>
          <w:lang w:val="es-ES_tradnl"/>
        </w:rPr>
      </w:pPr>
    </w:p>
    <w:p w14:paraId="172097FB" w14:textId="0728A804" w:rsidR="000C057C" w:rsidRDefault="000C057C" w:rsidP="00226F2B">
      <w:pPr>
        <w:jc w:val="both"/>
        <w:rPr>
          <w:lang w:val="es-ES_tradnl"/>
        </w:rPr>
      </w:pPr>
    </w:p>
    <w:p w14:paraId="3DC25AA0" w14:textId="0024A3AA" w:rsidR="00997B7D" w:rsidRDefault="00997B7D" w:rsidP="00226F2B">
      <w:pPr>
        <w:jc w:val="both"/>
        <w:rPr>
          <w:lang w:val="es-ES_tradnl"/>
        </w:rPr>
      </w:pPr>
    </w:p>
    <w:p w14:paraId="18A7570D" w14:textId="42E51C4E" w:rsidR="00997B7D" w:rsidRDefault="00997B7D" w:rsidP="00226F2B">
      <w:pPr>
        <w:jc w:val="both"/>
        <w:rPr>
          <w:lang w:val="es-ES_tradnl"/>
        </w:rPr>
      </w:pPr>
    </w:p>
    <w:p w14:paraId="6A7BBF3D" w14:textId="6313DB03" w:rsidR="00997B7D" w:rsidRDefault="00997B7D" w:rsidP="00226F2B">
      <w:pPr>
        <w:jc w:val="both"/>
        <w:rPr>
          <w:lang w:val="es-ES_tradnl"/>
        </w:rPr>
      </w:pPr>
    </w:p>
    <w:p w14:paraId="0BC5F017" w14:textId="0936BDCC" w:rsidR="00997B7D" w:rsidRDefault="00997B7D" w:rsidP="00226F2B">
      <w:pPr>
        <w:jc w:val="both"/>
        <w:rPr>
          <w:lang w:val="es-ES_tradnl"/>
        </w:rPr>
      </w:pPr>
    </w:p>
    <w:p w14:paraId="141BEC44" w14:textId="54825E3E" w:rsidR="00997B7D" w:rsidRDefault="00997B7D" w:rsidP="00226F2B">
      <w:pPr>
        <w:jc w:val="both"/>
        <w:rPr>
          <w:lang w:val="es-ES_tradnl"/>
        </w:rPr>
      </w:pPr>
    </w:p>
    <w:p w14:paraId="13792DF3" w14:textId="19789400" w:rsidR="00D10EB8" w:rsidRDefault="00D73C6E" w:rsidP="003D678A">
      <w:pPr>
        <w:pStyle w:val="Heading1"/>
        <w:rPr>
          <w:lang w:val="es-ES_tradnl"/>
        </w:rPr>
      </w:pPr>
      <w:bookmarkStart w:id="6" w:name="_Toc525574922"/>
      <w:r>
        <w:rPr>
          <w:lang w:val="es-ES_tradnl"/>
        </w:rPr>
        <w:t xml:space="preserve">Principales financiadores en proyectos </w:t>
      </w:r>
      <w:r w:rsidR="00B3430E">
        <w:rPr>
          <w:lang w:val="es-ES_tradnl"/>
        </w:rPr>
        <w:t>de</w:t>
      </w:r>
      <w:r w:rsidR="00B3430E" w:rsidRPr="00B3430E">
        <w:rPr>
          <w:lang w:val="es-ES_tradnl"/>
        </w:rPr>
        <w:t xml:space="preserve"> </w:t>
      </w:r>
      <w:r>
        <w:rPr>
          <w:lang w:val="es-ES_tradnl"/>
        </w:rPr>
        <w:t>I</w:t>
      </w:r>
      <w:r w:rsidR="00B3430E" w:rsidRPr="00B3430E">
        <w:rPr>
          <w:lang w:val="es-ES_tradnl"/>
        </w:rPr>
        <w:t>nfra</w:t>
      </w:r>
      <w:r>
        <w:rPr>
          <w:lang w:val="es-ES_tradnl"/>
        </w:rPr>
        <w:t>estructura</w:t>
      </w:r>
      <w:r w:rsidR="00B3430E" w:rsidRPr="00B3430E">
        <w:rPr>
          <w:lang w:val="es-ES_tradnl"/>
        </w:rPr>
        <w:t xml:space="preserve"> </w:t>
      </w:r>
      <w:r w:rsidR="008514F3">
        <w:rPr>
          <w:lang w:val="es-ES_tradnl"/>
        </w:rPr>
        <w:t>p</w:t>
      </w:r>
      <w:r w:rsidR="000E35F8">
        <w:rPr>
          <w:lang w:val="es-ES_tradnl"/>
        </w:rPr>
        <w:t xml:space="preserve">rivada </w:t>
      </w:r>
      <w:r w:rsidR="00B3430E" w:rsidRPr="00B3430E">
        <w:rPr>
          <w:lang w:val="es-ES_tradnl"/>
        </w:rPr>
        <w:t xml:space="preserve">y </w:t>
      </w:r>
      <w:proofErr w:type="spellStart"/>
      <w:r w:rsidR="00B3430E" w:rsidRPr="00B3430E">
        <w:rPr>
          <w:lang w:val="es-ES_tradnl"/>
        </w:rPr>
        <w:t>PPPs</w:t>
      </w:r>
      <w:bookmarkEnd w:id="6"/>
      <w:proofErr w:type="spellEnd"/>
      <w:r w:rsidR="00B3430E" w:rsidRPr="00B3430E">
        <w:rPr>
          <w:lang w:val="es-ES_tradnl"/>
        </w:rPr>
        <w:t xml:space="preserve"> </w:t>
      </w:r>
      <w:r w:rsidR="00B3430E">
        <w:rPr>
          <w:lang w:val="es-ES_tradnl"/>
        </w:rPr>
        <w:t xml:space="preserve"> </w:t>
      </w:r>
    </w:p>
    <w:p w14:paraId="16981B71" w14:textId="77777777" w:rsidR="003D678A" w:rsidRPr="003D678A" w:rsidRDefault="003D678A" w:rsidP="003D678A">
      <w:pPr>
        <w:rPr>
          <w:lang w:val="es-ES_tradnl"/>
        </w:rPr>
      </w:pPr>
    </w:p>
    <w:p w14:paraId="367873FD" w14:textId="1081BA62" w:rsidR="0005233A" w:rsidRDefault="00D10EB8" w:rsidP="001E27D2">
      <w:pPr>
        <w:jc w:val="both"/>
        <w:rPr>
          <w:lang w:val="es-ES"/>
        </w:rPr>
      </w:pPr>
      <w:r w:rsidRPr="002E00D9">
        <w:rPr>
          <w:lang w:val="es-ES"/>
        </w:rPr>
        <w:t>Los principales inversores</w:t>
      </w:r>
      <w:r w:rsidR="0005233A">
        <w:rPr>
          <w:lang w:val="es-ES"/>
        </w:rPr>
        <w:t xml:space="preserve"> privados en proyectos de infraestructura </w:t>
      </w:r>
      <w:r w:rsidRPr="002E00D9">
        <w:rPr>
          <w:lang w:val="es-ES"/>
        </w:rPr>
        <w:t>en Uruguay son</w:t>
      </w:r>
      <w:r w:rsidR="009A425B">
        <w:rPr>
          <w:lang w:val="es-ES"/>
        </w:rPr>
        <w:t xml:space="preserve"> </w:t>
      </w:r>
      <w:r w:rsidR="0005233A">
        <w:rPr>
          <w:lang w:val="es-ES"/>
        </w:rPr>
        <w:t>los bancos comerciales, las Administradoras de Fondos de Ahorro Previsional (</w:t>
      </w:r>
      <w:proofErr w:type="spellStart"/>
      <w:r w:rsidR="0005233A">
        <w:rPr>
          <w:lang w:val="es-ES"/>
        </w:rPr>
        <w:t>AFAPs</w:t>
      </w:r>
      <w:proofErr w:type="spellEnd"/>
      <w:r w:rsidR="0005233A">
        <w:rPr>
          <w:lang w:val="es-ES"/>
        </w:rPr>
        <w:t>)</w:t>
      </w:r>
      <w:r w:rsidR="000C057C">
        <w:rPr>
          <w:lang w:val="es-ES"/>
        </w:rPr>
        <w:t>,</w:t>
      </w:r>
      <w:r w:rsidR="00280D6D">
        <w:rPr>
          <w:lang w:val="es-ES"/>
        </w:rPr>
        <w:t xml:space="preserve"> </w:t>
      </w:r>
      <w:r w:rsidR="000C057C">
        <w:rPr>
          <w:lang w:val="es-ES"/>
        </w:rPr>
        <w:t xml:space="preserve">inversores extranjeros </w:t>
      </w:r>
      <w:r w:rsidR="00280D6D">
        <w:rPr>
          <w:lang w:val="es-ES"/>
        </w:rPr>
        <w:t>y en algunos casos más minoritarios</w:t>
      </w:r>
      <w:r w:rsidR="00655C5A">
        <w:rPr>
          <w:lang w:val="es-ES"/>
        </w:rPr>
        <w:t>,</w:t>
      </w:r>
      <w:r w:rsidR="007F5EB6">
        <w:rPr>
          <w:lang w:val="es-ES"/>
        </w:rPr>
        <w:t xml:space="preserve"> aseguradoras e</w:t>
      </w:r>
      <w:r w:rsidR="00280D6D">
        <w:rPr>
          <w:lang w:val="es-ES"/>
        </w:rPr>
        <w:t xml:space="preserve"> inversores minoristas</w:t>
      </w:r>
      <w:r w:rsidR="000C057C">
        <w:rPr>
          <w:lang w:val="es-ES"/>
        </w:rPr>
        <w:t xml:space="preserve"> a través de participaciones de proyectos vendidos en la bolsa de valores</w:t>
      </w:r>
      <w:r w:rsidR="00280D6D">
        <w:rPr>
          <w:lang w:val="es-ES"/>
        </w:rPr>
        <w:t xml:space="preserve">. </w:t>
      </w:r>
    </w:p>
    <w:p w14:paraId="61538014" w14:textId="1D0131BF" w:rsidR="00280D6D" w:rsidRDefault="001E27D2" w:rsidP="001E27D2">
      <w:pPr>
        <w:jc w:val="both"/>
        <w:rPr>
          <w:lang w:val="es-ES"/>
        </w:rPr>
      </w:pPr>
      <w:r w:rsidRPr="002E00D9">
        <w:rPr>
          <w:lang w:val="es-ES"/>
        </w:rPr>
        <w:t xml:space="preserve">El sistema financiero en Uruguay es fundamentalmente bancario. </w:t>
      </w:r>
      <w:r w:rsidR="00280D6D" w:rsidRPr="009E1A4B">
        <w:rPr>
          <w:lang w:val="es-ES"/>
        </w:rPr>
        <w:t>El 98% de los activos del sistema</w:t>
      </w:r>
      <w:r w:rsidR="00280D6D" w:rsidRPr="002E00D9">
        <w:rPr>
          <w:lang w:val="es-ES"/>
        </w:rPr>
        <w:t xml:space="preserve"> financiero pertenecen a 12 entidades bancarias, de las cuales dos son públicas. El crédito al sector </w:t>
      </w:r>
      <w:bookmarkStart w:id="7" w:name="_GoBack"/>
      <w:bookmarkEnd w:id="7"/>
      <w:r w:rsidR="00280D6D" w:rsidRPr="00B80015">
        <w:rPr>
          <w:lang w:val="es-ES"/>
        </w:rPr>
        <w:t>privado no financiero apenas representa el 24% del PIB</w:t>
      </w:r>
      <w:r w:rsidR="00896DA2">
        <w:rPr>
          <w:lang w:val="es-ES"/>
        </w:rPr>
        <w:t xml:space="preserve"> (uno de los más bajos entre los países de la región</w:t>
      </w:r>
      <w:r w:rsidR="005143BB">
        <w:rPr>
          <w:rFonts w:ascii="Arial" w:hAnsi="Arial" w:cs="Arial"/>
          <w:lang w:val="es-ES_tradnl"/>
        </w:rPr>
        <w:t xml:space="preserve">, </w:t>
      </w:r>
      <w:r w:rsidR="005143BB" w:rsidRPr="005143BB">
        <w:rPr>
          <w:lang w:val="es-ES"/>
        </w:rPr>
        <w:t>Brasil 62%, Chile 112%, Colombia 47%, México 35%, Perú 36%, media mundial 132%</w:t>
      </w:r>
      <w:r w:rsidR="005143BB" w:rsidRPr="005143BB">
        <w:rPr>
          <w:rStyle w:val="FootnoteReference"/>
          <w:lang w:val="es-ES"/>
        </w:rPr>
        <w:footnoteReference w:id="12"/>
      </w:r>
      <w:r w:rsidR="00896DA2">
        <w:rPr>
          <w:lang w:val="es-ES"/>
        </w:rPr>
        <w:t>)</w:t>
      </w:r>
      <w:r w:rsidR="00280D6D" w:rsidRPr="002E00D9">
        <w:rPr>
          <w:lang w:val="es-ES"/>
        </w:rPr>
        <w:t>. Un factor específico del sector financiero uruguayo e</w:t>
      </w:r>
      <w:r w:rsidR="00ED6C26">
        <w:rPr>
          <w:lang w:val="es-ES"/>
        </w:rPr>
        <w:t>s</w:t>
      </w:r>
      <w:r w:rsidR="00280D6D" w:rsidRPr="002E00D9">
        <w:rPr>
          <w:lang w:val="es-ES"/>
        </w:rPr>
        <w:t xml:space="preserve"> la alta composición de depósitos a la vista en dólares y la dolarización de los activos</w:t>
      </w:r>
      <w:r w:rsidR="00D451CD">
        <w:rPr>
          <w:lang w:val="es-ES"/>
        </w:rPr>
        <w:t xml:space="preserve"> del sistema bancario; e</w:t>
      </w:r>
      <w:r w:rsidR="00280D6D" w:rsidRPr="002E00D9">
        <w:rPr>
          <w:lang w:val="es-ES"/>
        </w:rPr>
        <w:t xml:space="preserve">l 55% de los </w:t>
      </w:r>
      <w:r w:rsidR="00ED6C26" w:rsidRPr="002E00D9">
        <w:rPr>
          <w:lang w:val="es-ES"/>
        </w:rPr>
        <w:t>préstamos</w:t>
      </w:r>
      <w:r w:rsidR="00280D6D" w:rsidRPr="002E00D9">
        <w:rPr>
          <w:lang w:val="es-ES"/>
        </w:rPr>
        <w:t xml:space="preserve"> que se realizan en Uruguay son en dólares. Esto hace que la concesión de créditos de largo plazo se vea limitado por</w:t>
      </w:r>
      <w:r w:rsidR="00D451CD">
        <w:rPr>
          <w:lang w:val="es-ES"/>
        </w:rPr>
        <w:t xml:space="preserve"> los d</w:t>
      </w:r>
      <w:r w:rsidR="00280D6D" w:rsidRPr="002E00D9">
        <w:rPr>
          <w:lang w:val="es-ES"/>
        </w:rPr>
        <w:t>escalces e</w:t>
      </w:r>
      <w:r w:rsidR="00D451CD">
        <w:rPr>
          <w:lang w:val="es-ES"/>
        </w:rPr>
        <w:t>n</w:t>
      </w:r>
      <w:r w:rsidR="00280D6D" w:rsidRPr="002E00D9">
        <w:rPr>
          <w:lang w:val="es-ES"/>
        </w:rPr>
        <w:t xml:space="preserve"> el pasivo</w:t>
      </w:r>
      <w:r w:rsidR="00D451CD">
        <w:rPr>
          <w:lang w:val="es-ES"/>
        </w:rPr>
        <w:t xml:space="preserve"> que pueden causar</w:t>
      </w:r>
      <w:r w:rsidR="00280D6D" w:rsidRPr="002E00D9">
        <w:rPr>
          <w:lang w:val="es-ES"/>
        </w:rPr>
        <w:t>. Además, est</w:t>
      </w:r>
      <w:r w:rsidR="00D451CD">
        <w:rPr>
          <w:lang w:val="es-ES"/>
        </w:rPr>
        <w:t xml:space="preserve">a situación se complica también </w:t>
      </w:r>
      <w:r w:rsidR="00280D6D" w:rsidRPr="002E00D9">
        <w:rPr>
          <w:lang w:val="es-ES"/>
        </w:rPr>
        <w:t xml:space="preserve">por la normativa de Basilea III que endurece los </w:t>
      </w:r>
      <w:r w:rsidR="00ED6C26" w:rsidRPr="002E00D9">
        <w:rPr>
          <w:lang w:val="es-ES"/>
        </w:rPr>
        <w:t>criterios</w:t>
      </w:r>
      <w:r w:rsidR="00280D6D" w:rsidRPr="002E00D9">
        <w:rPr>
          <w:lang w:val="es-ES"/>
        </w:rPr>
        <w:t xml:space="preserve"> de capital y de liquidez, particularmente para períodos </w:t>
      </w:r>
      <w:r w:rsidR="00280D6D">
        <w:rPr>
          <w:lang w:val="es-ES"/>
        </w:rPr>
        <w:t>de largo p</w:t>
      </w:r>
      <w:r w:rsidR="00247970">
        <w:rPr>
          <w:lang w:val="es-ES"/>
        </w:rPr>
        <w:t>l</w:t>
      </w:r>
      <w:r w:rsidR="00280D6D">
        <w:rPr>
          <w:lang w:val="es-ES"/>
        </w:rPr>
        <w:t>azo.</w:t>
      </w:r>
    </w:p>
    <w:p w14:paraId="1A7E2F9D" w14:textId="58C33EA3" w:rsidR="00BB7A21" w:rsidRPr="002E00D9" w:rsidRDefault="00247970" w:rsidP="00BB7A21">
      <w:pPr>
        <w:jc w:val="both"/>
        <w:rPr>
          <w:lang w:val="es-ES"/>
        </w:rPr>
      </w:pPr>
      <w:r w:rsidRPr="002E00D9">
        <w:rPr>
          <w:lang w:val="es-ES"/>
        </w:rPr>
        <w:t>En general, los bancos uruguayos contemplan dentro de su política de crédito, la financiación a largo plazo de infraestructura y cuentan con liquidez suficiente</w:t>
      </w:r>
      <w:r w:rsidR="00C903FE">
        <w:rPr>
          <w:rStyle w:val="FootnoteReference"/>
          <w:lang w:val="es-ES"/>
        </w:rPr>
        <w:footnoteReference w:id="13"/>
      </w:r>
      <w:r w:rsidRPr="002E00D9">
        <w:rPr>
          <w:lang w:val="es-ES"/>
        </w:rPr>
        <w:t xml:space="preserve">. Existen precedentes de financiación bancaria en proyectos de energía con plazos </w:t>
      </w:r>
      <w:r w:rsidR="00D451CD">
        <w:rPr>
          <w:lang w:val="es-ES"/>
        </w:rPr>
        <w:t xml:space="preserve">relativamente </w:t>
      </w:r>
      <w:r w:rsidRPr="002E00D9">
        <w:rPr>
          <w:lang w:val="es-ES"/>
        </w:rPr>
        <w:t xml:space="preserve">largos. </w:t>
      </w:r>
      <w:r w:rsidR="00D451CD">
        <w:rPr>
          <w:lang w:val="es-ES_tradnl"/>
        </w:rPr>
        <w:t>De acuerdo con un reciente estudio del BID</w:t>
      </w:r>
      <w:r w:rsidR="00D451CD">
        <w:rPr>
          <w:rStyle w:val="FootnoteReference"/>
          <w:lang w:val="es-ES_tradnl"/>
        </w:rPr>
        <w:footnoteReference w:id="14"/>
      </w:r>
      <w:r w:rsidR="00D451CD">
        <w:rPr>
          <w:lang w:val="es-ES_tradnl"/>
        </w:rPr>
        <w:t>,  e</w:t>
      </w:r>
      <w:r w:rsidR="00FD5BBA" w:rsidRPr="002E00D9">
        <w:rPr>
          <w:lang w:val="es-ES"/>
        </w:rPr>
        <w:t xml:space="preserve">n ocasiones específicas, los bancos comerciales locales </w:t>
      </w:r>
      <w:r w:rsidR="00D451CD">
        <w:rPr>
          <w:lang w:val="es-ES"/>
        </w:rPr>
        <w:t xml:space="preserve">han </w:t>
      </w:r>
      <w:r w:rsidR="00FD5BBA" w:rsidRPr="002E00D9">
        <w:rPr>
          <w:lang w:val="es-ES"/>
        </w:rPr>
        <w:t>participa</w:t>
      </w:r>
      <w:r w:rsidR="00D451CD">
        <w:rPr>
          <w:lang w:val="es-ES"/>
        </w:rPr>
        <w:t>do</w:t>
      </w:r>
      <w:r w:rsidR="00FD5BBA" w:rsidRPr="002E00D9">
        <w:rPr>
          <w:lang w:val="es-ES"/>
        </w:rPr>
        <w:t xml:space="preserve"> en préstamos sindicados con una duración de 7-8 años</w:t>
      </w:r>
      <w:r w:rsidR="005143BB">
        <w:rPr>
          <w:lang w:val="es-ES"/>
        </w:rPr>
        <w:t xml:space="preserve">, aunque no suelen participar en financiaciones a más de diez años y </w:t>
      </w:r>
      <w:r w:rsidR="00D451CD">
        <w:rPr>
          <w:lang w:val="es-ES"/>
        </w:rPr>
        <w:t>es</w:t>
      </w:r>
      <w:r w:rsidR="00FD5BBA" w:rsidRPr="002E00D9">
        <w:rPr>
          <w:lang w:val="es-ES"/>
        </w:rPr>
        <w:t xml:space="preserve"> más habitual que</w:t>
      </w:r>
      <w:r w:rsidR="00FD5BBA">
        <w:rPr>
          <w:lang w:val="es-ES"/>
        </w:rPr>
        <w:t xml:space="preserve"> los bancos privados</w:t>
      </w:r>
      <w:r w:rsidR="00FD5BBA" w:rsidRPr="002E00D9">
        <w:rPr>
          <w:lang w:val="es-ES"/>
        </w:rPr>
        <w:t xml:space="preserve"> participen en financiaciones de corto </w:t>
      </w:r>
      <w:r w:rsidR="00D451CD">
        <w:rPr>
          <w:lang w:val="es-ES"/>
        </w:rPr>
        <w:t xml:space="preserve">y mediano </w:t>
      </w:r>
      <w:r w:rsidR="00FD5BBA" w:rsidRPr="002E00D9">
        <w:rPr>
          <w:lang w:val="es-ES"/>
        </w:rPr>
        <w:t>plazo para cubrir sobrecostos o capital corriente (</w:t>
      </w:r>
      <w:r w:rsidR="00D451CD">
        <w:rPr>
          <w:lang w:val="es-ES"/>
        </w:rPr>
        <w:t>como por ejemplo en operaciones de créditos puente -</w:t>
      </w:r>
      <w:r w:rsidR="00FD5BBA" w:rsidRPr="00FD5BBA">
        <w:rPr>
          <w:i/>
          <w:lang w:val="es-ES"/>
        </w:rPr>
        <w:t xml:space="preserve">bridge </w:t>
      </w:r>
      <w:proofErr w:type="spellStart"/>
      <w:r w:rsidR="00FD5BBA" w:rsidRPr="00FD5BBA">
        <w:rPr>
          <w:i/>
          <w:lang w:val="es-ES"/>
        </w:rPr>
        <w:t>loans</w:t>
      </w:r>
      <w:proofErr w:type="spellEnd"/>
      <w:r w:rsidR="00D451CD">
        <w:rPr>
          <w:i/>
          <w:lang w:val="es-ES"/>
        </w:rPr>
        <w:t>-</w:t>
      </w:r>
      <w:r w:rsidR="00FD5BBA" w:rsidRPr="002E00D9">
        <w:rPr>
          <w:lang w:val="es-ES"/>
        </w:rPr>
        <w:t>).</w:t>
      </w:r>
      <w:r w:rsidR="00BB7A21" w:rsidRPr="00BB7A21">
        <w:rPr>
          <w:lang w:val="es-ES"/>
        </w:rPr>
        <w:t xml:space="preserve"> </w:t>
      </w:r>
      <w:r w:rsidR="00BB7A21" w:rsidRPr="002E00D9">
        <w:rPr>
          <w:lang w:val="es-ES"/>
        </w:rPr>
        <w:t xml:space="preserve">Los bancos internacionales ofrecen plazos mayores, pero los proyectos en que han participado en Uruguay normalmente han sido superiores a US$100 millones. </w:t>
      </w:r>
    </w:p>
    <w:p w14:paraId="423E8010" w14:textId="5C6C7951" w:rsidR="007F5EB6" w:rsidRDefault="007F5EB6" w:rsidP="007F5EB6">
      <w:pPr>
        <w:jc w:val="both"/>
        <w:rPr>
          <w:lang w:val="es-ES"/>
        </w:rPr>
      </w:pPr>
      <w:r>
        <w:rPr>
          <w:lang w:val="es-ES"/>
        </w:rPr>
        <w:t>En Uruguay existen dos bolsas que operan en paralelo: la Bolsa de valores de Montevideo (BVM) que sirve para la negociación y custodia de valores públicos y privados y la Bolsa Electrónica de Valores del Uruguay (BEVSA), cuyo capital accionarial pertenece a 18 instituciones que operan en Uruguay (entre ellas, también el BROU). Sin embargo, e</w:t>
      </w:r>
      <w:r w:rsidRPr="002E00D9">
        <w:rPr>
          <w:lang w:val="es-ES"/>
        </w:rPr>
        <w:t>l mercado de capitales (renta fija y variable) es muy poco profundo y líquido</w:t>
      </w:r>
      <w:r>
        <w:rPr>
          <w:lang w:val="es-ES"/>
        </w:rPr>
        <w:t>, representa menos del 2% del PIB (próximo al 3% si se incluye la deuda pública en circulación), muy por debajo de los valores presentados por otros pares regionales.</w:t>
      </w:r>
    </w:p>
    <w:p w14:paraId="251FAE2B" w14:textId="06C1FF23" w:rsidR="00E11D03" w:rsidRDefault="004920D2" w:rsidP="001E27D2">
      <w:pPr>
        <w:jc w:val="both"/>
        <w:rPr>
          <w:lang w:val="es-ES"/>
        </w:rPr>
      </w:pPr>
      <w:r>
        <w:rPr>
          <w:lang w:val="es-ES"/>
        </w:rPr>
        <w:lastRenderedPageBreak/>
        <w:t>Do</w:t>
      </w:r>
      <w:r w:rsidR="001E27D2" w:rsidRPr="002E00D9">
        <w:rPr>
          <w:lang w:val="es-ES"/>
        </w:rPr>
        <w:t>s terceras partes de la operativa de dichos mercados se concentra en la emisión y negociación de títulos</w:t>
      </w:r>
      <w:r w:rsidR="000D2FEF" w:rsidRPr="002E00D9">
        <w:rPr>
          <w:lang w:val="es-ES"/>
        </w:rPr>
        <w:t xml:space="preserve"> </w:t>
      </w:r>
      <w:r w:rsidR="001E27D2" w:rsidRPr="002E00D9">
        <w:rPr>
          <w:lang w:val="es-ES"/>
        </w:rPr>
        <w:t>del sector público y del BCU</w:t>
      </w:r>
      <w:r w:rsidR="007F5EB6">
        <w:rPr>
          <w:lang w:val="es-ES"/>
        </w:rPr>
        <w:t>. D</w:t>
      </w:r>
      <w:r w:rsidR="001E27D2" w:rsidRPr="002E00D9">
        <w:rPr>
          <w:lang w:val="es-ES"/>
        </w:rPr>
        <w:t>el</w:t>
      </w:r>
      <w:r w:rsidR="007F5EB6">
        <w:rPr>
          <w:lang w:val="es-ES"/>
        </w:rPr>
        <w:t xml:space="preserve"> otro</w:t>
      </w:r>
      <w:r w:rsidR="001E27D2" w:rsidRPr="002E00D9">
        <w:rPr>
          <w:lang w:val="es-ES"/>
        </w:rPr>
        <w:t xml:space="preserve"> tercio, el 99% del volumen lo compone</w:t>
      </w:r>
      <w:r w:rsidR="000D2FEF" w:rsidRPr="002E00D9">
        <w:rPr>
          <w:lang w:val="es-ES"/>
        </w:rPr>
        <w:t xml:space="preserve"> </w:t>
      </w:r>
      <w:r w:rsidR="001E27D2" w:rsidRPr="002E00D9">
        <w:rPr>
          <w:lang w:val="es-ES"/>
        </w:rPr>
        <w:t xml:space="preserve">la emisión de certificados de depósito </w:t>
      </w:r>
      <w:r w:rsidR="007F5EB6">
        <w:rPr>
          <w:lang w:val="es-ES"/>
        </w:rPr>
        <w:t>de</w:t>
      </w:r>
      <w:r w:rsidR="001E27D2" w:rsidRPr="002E00D9">
        <w:rPr>
          <w:lang w:val="es-ES"/>
        </w:rPr>
        <w:t xml:space="preserve"> entidades financieras. </w:t>
      </w:r>
      <w:r w:rsidR="007F5EB6">
        <w:rPr>
          <w:lang w:val="es-ES"/>
        </w:rPr>
        <w:t>E</w:t>
      </w:r>
      <w:r w:rsidR="001E27D2" w:rsidRPr="002E00D9">
        <w:rPr>
          <w:lang w:val="es-ES"/>
        </w:rPr>
        <w:t>l 93% del mercado primario</w:t>
      </w:r>
      <w:r w:rsidR="00965251">
        <w:rPr>
          <w:lang w:val="es-ES"/>
        </w:rPr>
        <w:t xml:space="preserve"> </w:t>
      </w:r>
      <w:r w:rsidR="001E27D2" w:rsidRPr="002E00D9">
        <w:rPr>
          <w:lang w:val="es-ES"/>
        </w:rPr>
        <w:t>es acaparado por</w:t>
      </w:r>
      <w:r w:rsidR="000D2FEF" w:rsidRPr="002E00D9">
        <w:rPr>
          <w:lang w:val="es-ES"/>
        </w:rPr>
        <w:t xml:space="preserve"> </w:t>
      </w:r>
      <w:r w:rsidR="001E27D2" w:rsidRPr="002E00D9">
        <w:rPr>
          <w:lang w:val="es-ES"/>
        </w:rPr>
        <w:t>certificados de depósitos bancarios, en tanto que el 86% de lo negociado en los</w:t>
      </w:r>
      <w:r w:rsidR="000D2FEF" w:rsidRPr="002E00D9">
        <w:rPr>
          <w:lang w:val="es-ES"/>
        </w:rPr>
        <w:t xml:space="preserve"> </w:t>
      </w:r>
      <w:r w:rsidR="001E27D2" w:rsidRPr="002E00D9">
        <w:rPr>
          <w:lang w:val="es-ES"/>
        </w:rPr>
        <w:t>mercados secundarios son títulos del tesoro o títulos del BCU</w:t>
      </w:r>
      <w:r w:rsidR="00965251">
        <w:rPr>
          <w:rStyle w:val="FootnoteReference"/>
          <w:lang w:val="es-ES"/>
        </w:rPr>
        <w:footnoteReference w:id="15"/>
      </w:r>
      <w:r w:rsidR="001E27D2" w:rsidRPr="002E00D9">
        <w:rPr>
          <w:lang w:val="es-ES"/>
        </w:rPr>
        <w:t xml:space="preserve">. </w:t>
      </w:r>
    </w:p>
    <w:p w14:paraId="10C02B36" w14:textId="46A3A502" w:rsidR="008A4408" w:rsidRDefault="008A4408" w:rsidP="008A4408">
      <w:pPr>
        <w:jc w:val="both"/>
        <w:rPr>
          <w:lang w:val="es-ES"/>
        </w:rPr>
      </w:pPr>
      <w:r>
        <w:rPr>
          <w:lang w:val="es-ES"/>
        </w:rPr>
        <w:t>Respecto a los inversores institucionales,</w:t>
      </w:r>
      <w:r w:rsidR="005407DF">
        <w:rPr>
          <w:lang w:val="es-ES"/>
        </w:rPr>
        <w:t xml:space="preserve"> la mayor participación</w:t>
      </w:r>
      <w:r w:rsidR="00F84480">
        <w:rPr>
          <w:lang w:val="es-ES"/>
        </w:rPr>
        <w:t xml:space="preserve"> la tienen</w:t>
      </w:r>
      <w:r w:rsidR="00634D59">
        <w:rPr>
          <w:lang w:val="es-ES"/>
        </w:rPr>
        <w:t xml:space="preserve"> </w:t>
      </w:r>
      <w:r>
        <w:rPr>
          <w:lang w:val="es-ES"/>
        </w:rPr>
        <w:t>l</w:t>
      </w:r>
      <w:r w:rsidR="001E27D2" w:rsidRPr="002E00D9">
        <w:rPr>
          <w:lang w:val="es-ES"/>
        </w:rPr>
        <w:t>os</w:t>
      </w:r>
      <w:r w:rsidR="000D2FEF" w:rsidRPr="002E00D9">
        <w:rPr>
          <w:lang w:val="es-ES"/>
        </w:rPr>
        <w:t xml:space="preserve"> </w:t>
      </w:r>
      <w:r w:rsidR="001E27D2" w:rsidRPr="002E00D9">
        <w:rPr>
          <w:lang w:val="es-ES"/>
        </w:rPr>
        <w:t xml:space="preserve">fondos de pensiones </w:t>
      </w:r>
      <w:r w:rsidR="00F84480">
        <w:rPr>
          <w:lang w:val="es-ES"/>
        </w:rPr>
        <w:t xml:space="preserve">que </w:t>
      </w:r>
      <w:r w:rsidR="001E27D2" w:rsidRPr="002E00D9">
        <w:rPr>
          <w:lang w:val="es-ES"/>
        </w:rPr>
        <w:t xml:space="preserve">acumulan </w:t>
      </w:r>
      <w:r w:rsidR="00F84480">
        <w:rPr>
          <w:lang w:val="es-ES"/>
        </w:rPr>
        <w:t xml:space="preserve">activos por valor de US$ 15,800 millones </w:t>
      </w:r>
      <w:r w:rsidR="001E27D2" w:rsidRPr="002E00D9">
        <w:rPr>
          <w:lang w:val="es-ES"/>
        </w:rPr>
        <w:t xml:space="preserve">recursos </w:t>
      </w:r>
      <w:r w:rsidR="00F84480">
        <w:rPr>
          <w:lang w:val="es-ES"/>
        </w:rPr>
        <w:t xml:space="preserve">(equivalentes </w:t>
      </w:r>
      <w:r w:rsidR="001E27D2" w:rsidRPr="002E00D9">
        <w:rPr>
          <w:lang w:val="es-ES"/>
        </w:rPr>
        <w:t>al 2</w:t>
      </w:r>
      <w:r>
        <w:rPr>
          <w:lang w:val="es-ES"/>
        </w:rPr>
        <w:t>6</w:t>
      </w:r>
      <w:r w:rsidR="001E27D2" w:rsidRPr="002E00D9">
        <w:rPr>
          <w:lang w:val="es-ES"/>
        </w:rPr>
        <w:t>% del PIB</w:t>
      </w:r>
      <w:r w:rsidR="00F84480">
        <w:rPr>
          <w:lang w:val="es-ES"/>
        </w:rPr>
        <w:t>)</w:t>
      </w:r>
      <w:r w:rsidR="001E27D2" w:rsidRPr="002E00D9">
        <w:rPr>
          <w:lang w:val="es-ES"/>
        </w:rPr>
        <w:t xml:space="preserve">, </w:t>
      </w:r>
      <w:r w:rsidR="00F84480">
        <w:rPr>
          <w:lang w:val="es-ES"/>
        </w:rPr>
        <w:t>aunque</w:t>
      </w:r>
      <w:r w:rsidR="001E27D2" w:rsidRPr="002E00D9">
        <w:rPr>
          <w:lang w:val="es-ES"/>
        </w:rPr>
        <w:t xml:space="preserve"> </w:t>
      </w:r>
      <w:r>
        <w:rPr>
          <w:lang w:val="es-ES"/>
        </w:rPr>
        <w:t xml:space="preserve">esos recursos </w:t>
      </w:r>
      <w:r w:rsidR="001E27D2" w:rsidRPr="002E00D9">
        <w:rPr>
          <w:lang w:val="es-ES"/>
        </w:rPr>
        <w:t>se</w:t>
      </w:r>
      <w:r w:rsidR="000D2FEF" w:rsidRPr="002E00D9">
        <w:rPr>
          <w:lang w:val="es-ES"/>
        </w:rPr>
        <w:t xml:space="preserve"> </w:t>
      </w:r>
      <w:r w:rsidR="001E27D2" w:rsidRPr="002E00D9">
        <w:rPr>
          <w:lang w:val="es-ES"/>
        </w:rPr>
        <w:t xml:space="preserve">dirigen </w:t>
      </w:r>
      <w:r>
        <w:rPr>
          <w:lang w:val="es-ES"/>
        </w:rPr>
        <w:t xml:space="preserve">fundamentalmente a financiar al sector </w:t>
      </w:r>
      <w:r w:rsidR="001E27D2" w:rsidRPr="002E00D9">
        <w:rPr>
          <w:lang w:val="es-ES"/>
        </w:rPr>
        <w:t>público.</w:t>
      </w:r>
      <w:r w:rsidRPr="008A4408">
        <w:rPr>
          <w:lang w:val="es-ES"/>
        </w:rPr>
        <w:t xml:space="preserve"> </w:t>
      </w:r>
      <w:r>
        <w:rPr>
          <w:lang w:val="es-ES"/>
        </w:rPr>
        <w:t>L</w:t>
      </w:r>
      <w:r w:rsidR="00965251">
        <w:rPr>
          <w:lang w:val="es-ES"/>
        </w:rPr>
        <w:t>os inversores institucionales más</w:t>
      </w:r>
      <w:r>
        <w:rPr>
          <w:lang w:val="es-ES"/>
        </w:rPr>
        <w:t xml:space="preserve"> importantes son las Administradoras de Fondos de Ahorro Previsional (</w:t>
      </w:r>
      <w:proofErr w:type="spellStart"/>
      <w:r>
        <w:rPr>
          <w:lang w:val="es-ES"/>
        </w:rPr>
        <w:t>AFAPs</w:t>
      </w:r>
      <w:proofErr w:type="spellEnd"/>
      <w:r>
        <w:rPr>
          <w:lang w:val="es-ES"/>
        </w:rPr>
        <w:t>)</w:t>
      </w:r>
      <w:r w:rsidR="00965251">
        <w:rPr>
          <w:lang w:val="es-ES"/>
        </w:rPr>
        <w:t>, que</w:t>
      </w:r>
      <w:r>
        <w:rPr>
          <w:lang w:val="es-ES"/>
        </w:rPr>
        <w:t xml:space="preserve"> son </w:t>
      </w:r>
      <w:r w:rsidR="00965251">
        <w:rPr>
          <w:lang w:val="es-ES"/>
        </w:rPr>
        <w:t>entidades</w:t>
      </w:r>
      <w:r>
        <w:rPr>
          <w:lang w:val="es-ES"/>
        </w:rPr>
        <w:t xml:space="preserve"> que administran los planes de jubilación de los trabajadores (capitalización individual, cada afiliado tiene una cuenta de ahorro personal que le </w:t>
      </w:r>
      <w:r w:rsidR="00965251">
        <w:rPr>
          <w:lang w:val="es-ES"/>
        </w:rPr>
        <w:t>pertenece</w:t>
      </w:r>
      <w:r>
        <w:rPr>
          <w:lang w:val="es-ES"/>
        </w:rPr>
        <w:t xml:space="preserve">). Actualmente hay cuatro </w:t>
      </w:r>
      <w:proofErr w:type="spellStart"/>
      <w:r>
        <w:rPr>
          <w:lang w:val="es-ES"/>
        </w:rPr>
        <w:t>AFAPs</w:t>
      </w:r>
      <w:proofErr w:type="spellEnd"/>
      <w:r>
        <w:rPr>
          <w:lang w:val="es-ES"/>
        </w:rPr>
        <w:t xml:space="preserve"> operando en el país: República AFAP, AFAP Sura, Unión Capital AFAP e Integración AFAP. Sus inversiones están reguladas por ley y controladas por el Banco Central de Uruguay. </w:t>
      </w:r>
    </w:p>
    <w:p w14:paraId="399FC677" w14:textId="25E04AB2" w:rsidR="00634D59" w:rsidRDefault="00634D59" w:rsidP="00634D59">
      <w:pPr>
        <w:jc w:val="both"/>
        <w:rPr>
          <w:lang w:val="es-ES"/>
        </w:rPr>
      </w:pPr>
      <w:r w:rsidRPr="002E00D9">
        <w:rPr>
          <w:lang w:val="es-ES"/>
        </w:rPr>
        <w:t>Los inversores institucionales locales tienen interés por diversificar sus carteras, aumentar la duración y demandan papeles en moneda local indexada a ser posible, por montos elevados</w:t>
      </w:r>
      <w:r>
        <w:rPr>
          <w:lang w:val="es-ES"/>
        </w:rPr>
        <w:t xml:space="preserve">. </w:t>
      </w:r>
      <w:r w:rsidR="005143BB">
        <w:rPr>
          <w:lang w:val="es-ES"/>
        </w:rPr>
        <w:t>Está pendiente un cambio re</w:t>
      </w:r>
      <w:r w:rsidRPr="002E00D9">
        <w:rPr>
          <w:lang w:val="es-ES"/>
        </w:rPr>
        <w:t>gulatorio</w:t>
      </w:r>
      <w:r w:rsidR="00965251">
        <w:rPr>
          <w:lang w:val="es-ES"/>
        </w:rPr>
        <w:t xml:space="preserve"> </w:t>
      </w:r>
      <w:r w:rsidR="005143BB">
        <w:rPr>
          <w:lang w:val="es-ES"/>
        </w:rPr>
        <w:t>que permitiría a</w:t>
      </w:r>
      <w:r w:rsidRPr="002E00D9">
        <w:rPr>
          <w:lang w:val="es-ES"/>
        </w:rPr>
        <w:t xml:space="preserve"> las </w:t>
      </w:r>
      <w:proofErr w:type="spellStart"/>
      <w:r w:rsidRPr="002E00D9">
        <w:rPr>
          <w:lang w:val="es-ES"/>
        </w:rPr>
        <w:t>AFAPs</w:t>
      </w:r>
      <w:proofErr w:type="spellEnd"/>
      <w:r w:rsidRPr="002E00D9">
        <w:rPr>
          <w:lang w:val="es-ES"/>
        </w:rPr>
        <w:t xml:space="preserve"> financiar proyectos de infraestructura una vez que la </w:t>
      </w:r>
      <w:r w:rsidRPr="00655C5A">
        <w:rPr>
          <w:highlight w:val="yellow"/>
          <w:lang w:val="es-ES"/>
        </w:rPr>
        <w:t>o</w:t>
      </w:r>
      <w:r w:rsidRPr="00B11D04">
        <w:rPr>
          <w:lang w:val="es-ES"/>
        </w:rPr>
        <w:t>bra esté terminada</w:t>
      </w:r>
      <w:r w:rsidR="005143BB" w:rsidRPr="00B11D04">
        <w:rPr>
          <w:rStyle w:val="FootnoteReference"/>
          <w:lang w:val="es-ES"/>
        </w:rPr>
        <w:footnoteReference w:id="16"/>
      </w:r>
      <w:r w:rsidR="00B11D04" w:rsidRPr="00B11D04">
        <w:rPr>
          <w:lang w:val="es-ES"/>
        </w:rPr>
        <w:t xml:space="preserve">. </w:t>
      </w:r>
      <w:r w:rsidRPr="00B11D04">
        <w:rPr>
          <w:lang w:val="es-ES"/>
        </w:rPr>
        <w:t>El</w:t>
      </w:r>
      <w:r w:rsidR="00965251">
        <w:rPr>
          <w:lang w:val="es-ES"/>
        </w:rPr>
        <w:t xml:space="preserve"> nuevo</w:t>
      </w:r>
      <w:r w:rsidRPr="002E00D9">
        <w:rPr>
          <w:lang w:val="es-ES"/>
        </w:rPr>
        <w:t xml:space="preserve"> marco legal de las </w:t>
      </w:r>
      <w:proofErr w:type="spellStart"/>
      <w:r w:rsidRPr="002E00D9">
        <w:rPr>
          <w:lang w:val="es-ES"/>
        </w:rPr>
        <w:t>AFAPs</w:t>
      </w:r>
      <w:proofErr w:type="spellEnd"/>
      <w:r w:rsidRPr="002E00D9">
        <w:rPr>
          <w:lang w:val="es-ES"/>
        </w:rPr>
        <w:t xml:space="preserve"> les permite </w:t>
      </w:r>
      <w:r w:rsidR="00965251" w:rsidRPr="002E00D9">
        <w:rPr>
          <w:lang w:val="es-ES"/>
        </w:rPr>
        <w:t>invertir</w:t>
      </w:r>
      <w:r w:rsidRPr="002E00D9">
        <w:rPr>
          <w:lang w:val="es-ES"/>
        </w:rPr>
        <w:t xml:space="preserve"> hasta el 50% de su cartera en proyectos de infraestructura, lo que posibilitaría aumentar la oferta de financiación en US$4,500 millones. </w:t>
      </w:r>
    </w:p>
    <w:p w14:paraId="4B5E905E" w14:textId="5606EAF4" w:rsidR="00F84480" w:rsidRDefault="00965251" w:rsidP="008A4408">
      <w:pPr>
        <w:jc w:val="both"/>
        <w:rPr>
          <w:lang w:val="es-ES"/>
        </w:rPr>
      </w:pPr>
      <w:r>
        <w:rPr>
          <w:lang w:val="es-ES"/>
        </w:rPr>
        <w:t>Aunque tradicionalmente</w:t>
      </w:r>
      <w:r w:rsidR="00F84480">
        <w:rPr>
          <w:lang w:val="es-ES"/>
        </w:rPr>
        <w:t xml:space="preserve"> las </w:t>
      </w:r>
      <w:proofErr w:type="spellStart"/>
      <w:r w:rsidR="00F84480">
        <w:rPr>
          <w:lang w:val="es-ES"/>
        </w:rPr>
        <w:t>AFAPs</w:t>
      </w:r>
      <w:proofErr w:type="spellEnd"/>
      <w:r w:rsidR="00F84480">
        <w:rPr>
          <w:lang w:val="es-ES"/>
        </w:rPr>
        <w:t xml:space="preserve"> h</w:t>
      </w:r>
      <w:r w:rsidR="0041477E">
        <w:rPr>
          <w:lang w:val="es-ES"/>
        </w:rPr>
        <w:t>an financiado mayoritariamente</w:t>
      </w:r>
      <w:r w:rsidR="00F84480">
        <w:rPr>
          <w:lang w:val="es-ES"/>
        </w:rPr>
        <w:t xml:space="preserve"> al sector público, </w:t>
      </w:r>
      <w:r>
        <w:rPr>
          <w:lang w:val="es-ES"/>
        </w:rPr>
        <w:t xml:space="preserve">los cambios </w:t>
      </w:r>
      <w:r w:rsidR="00B11D04">
        <w:rPr>
          <w:lang w:val="es-ES"/>
        </w:rPr>
        <w:t xml:space="preserve">de </w:t>
      </w:r>
      <w:r>
        <w:rPr>
          <w:lang w:val="es-ES"/>
        </w:rPr>
        <w:t>reglamentación han</w:t>
      </w:r>
      <w:r w:rsidR="00F84480">
        <w:rPr>
          <w:lang w:val="es-ES"/>
        </w:rPr>
        <w:t xml:space="preserve"> favoreci</w:t>
      </w:r>
      <w:r w:rsidR="00634D59">
        <w:rPr>
          <w:lang w:val="es-ES"/>
        </w:rPr>
        <w:t xml:space="preserve">do </w:t>
      </w:r>
      <w:r w:rsidR="0038723B">
        <w:rPr>
          <w:lang w:val="es-ES"/>
        </w:rPr>
        <w:t xml:space="preserve">un cambio hacia </w:t>
      </w:r>
      <w:r w:rsidR="00634D59">
        <w:rPr>
          <w:lang w:val="es-ES"/>
        </w:rPr>
        <w:t>la inversión en el sector privado. Actualmente, el 71% de sus inversiones están en títulos deuda del estado</w:t>
      </w:r>
      <w:r w:rsidR="00634D59">
        <w:rPr>
          <w:rStyle w:val="FootnoteReference"/>
          <w:lang w:val="es-ES"/>
        </w:rPr>
        <w:footnoteReference w:id="17"/>
      </w:r>
      <w:r>
        <w:rPr>
          <w:lang w:val="es-ES"/>
        </w:rPr>
        <w:t>, mientras que</w:t>
      </w:r>
      <w:r w:rsidR="00634D59">
        <w:rPr>
          <w:lang w:val="es-ES"/>
        </w:rPr>
        <w:t xml:space="preserve"> el 28% está dedicado a financiar proyectos </w:t>
      </w:r>
      <w:r w:rsidR="0038723B">
        <w:rPr>
          <w:lang w:val="es-ES"/>
        </w:rPr>
        <w:t>privados</w:t>
      </w:r>
      <w:r w:rsidR="00634D59">
        <w:rPr>
          <w:lang w:val="es-ES"/>
        </w:rPr>
        <w:t>. Del total</w:t>
      </w:r>
      <w:r>
        <w:rPr>
          <w:lang w:val="es-ES"/>
        </w:rPr>
        <w:t xml:space="preserve"> financiado al sector privado</w:t>
      </w:r>
      <w:r w:rsidR="00634D59">
        <w:rPr>
          <w:lang w:val="es-ES"/>
        </w:rPr>
        <w:t xml:space="preserve">, aproximadamente U$ 1,500 millones están invertidos en infraestructura y energía (respectivamente el 34% y el 18% de sus inversiones en cartera de inversión productiva). En 2016, </w:t>
      </w:r>
      <w:r w:rsidR="00634D59" w:rsidRPr="00BD1ED6">
        <w:rPr>
          <w:lang w:val="es-ES"/>
        </w:rPr>
        <w:t>las AFAP invirtieron en fideicomisos unos US$ 900 millones,</w:t>
      </w:r>
      <w:r w:rsidR="00634D59">
        <w:rPr>
          <w:lang w:val="es-ES"/>
        </w:rPr>
        <w:t xml:space="preserve"> </w:t>
      </w:r>
      <w:r w:rsidR="00634D59" w:rsidRPr="00BD1ED6">
        <w:rPr>
          <w:lang w:val="es-ES"/>
        </w:rPr>
        <w:br/>
      </w:r>
      <w:r>
        <w:rPr>
          <w:lang w:val="es-ES"/>
        </w:rPr>
        <w:t xml:space="preserve">lo que incluye las compras de participaciones en el </w:t>
      </w:r>
      <w:r w:rsidR="00634D59" w:rsidRPr="00BD1ED6">
        <w:rPr>
          <w:lang w:val="es-ES"/>
        </w:rPr>
        <w:t xml:space="preserve">fondo </w:t>
      </w:r>
      <w:r>
        <w:rPr>
          <w:lang w:val="es-ES"/>
        </w:rPr>
        <w:t>de</w:t>
      </w:r>
      <w:r w:rsidR="0038723B">
        <w:rPr>
          <w:lang w:val="es-ES"/>
        </w:rPr>
        <w:t xml:space="preserve"> infraestructura</w:t>
      </w:r>
      <w:r w:rsidRPr="00BD1ED6">
        <w:rPr>
          <w:lang w:val="es-ES"/>
        </w:rPr>
        <w:t xml:space="preserve"> </w:t>
      </w:r>
      <w:r w:rsidR="00634D59" w:rsidRPr="00BD1ED6">
        <w:rPr>
          <w:lang w:val="es-ES"/>
        </w:rPr>
        <w:t>lanz</w:t>
      </w:r>
      <w:r>
        <w:rPr>
          <w:lang w:val="es-ES"/>
        </w:rPr>
        <w:t>ando</w:t>
      </w:r>
      <w:r w:rsidR="00634D59" w:rsidRPr="00BD1ED6">
        <w:rPr>
          <w:lang w:val="es-ES"/>
        </w:rPr>
        <w:t xml:space="preserve"> </w:t>
      </w:r>
      <w:r w:rsidR="0038723B">
        <w:rPr>
          <w:lang w:val="es-ES"/>
        </w:rPr>
        <w:t xml:space="preserve">por </w:t>
      </w:r>
      <w:r w:rsidR="00634D59" w:rsidRPr="00BD1ED6">
        <w:rPr>
          <w:lang w:val="es-ES"/>
        </w:rPr>
        <w:t>la CAF</w:t>
      </w:r>
      <w:r w:rsidR="00634D59">
        <w:rPr>
          <w:lang w:val="es-ES"/>
        </w:rPr>
        <w:t>.</w:t>
      </w:r>
    </w:p>
    <w:p w14:paraId="2D0E0C19" w14:textId="46C3C2A6" w:rsidR="00A17C81" w:rsidRDefault="00634D59" w:rsidP="00D10EB8">
      <w:pPr>
        <w:jc w:val="both"/>
        <w:rPr>
          <w:lang w:val="es-ES"/>
        </w:rPr>
      </w:pPr>
      <w:r>
        <w:rPr>
          <w:lang w:val="es-ES"/>
        </w:rPr>
        <w:t>El gobierno ha desarrollado una serie de iniciativas para fomentar</w:t>
      </w:r>
      <w:r w:rsidR="00A17C81">
        <w:rPr>
          <w:lang w:val="es-ES"/>
        </w:rPr>
        <w:t xml:space="preserve"> la participación y la inversión</w:t>
      </w:r>
      <w:r w:rsidR="0038723B">
        <w:rPr>
          <w:lang w:val="es-ES"/>
        </w:rPr>
        <w:t xml:space="preserve"> de inversores minoristas</w:t>
      </w:r>
      <w:r w:rsidR="00A17C81">
        <w:rPr>
          <w:lang w:val="es-ES"/>
        </w:rPr>
        <w:t xml:space="preserve"> a través de</w:t>
      </w:r>
      <w:r w:rsidR="0038723B">
        <w:rPr>
          <w:lang w:val="es-ES"/>
        </w:rPr>
        <w:t>l</w:t>
      </w:r>
      <w:r w:rsidR="00A17C81">
        <w:rPr>
          <w:lang w:val="es-ES"/>
        </w:rPr>
        <w:t xml:space="preserve"> mercado de capitales y las bolsas locales. Ha fomentado la emisión </w:t>
      </w:r>
      <w:r w:rsidR="0038723B">
        <w:rPr>
          <w:lang w:val="es-ES"/>
        </w:rPr>
        <w:t xml:space="preserve">de títulos </w:t>
      </w:r>
      <w:r w:rsidR="00A17C81">
        <w:rPr>
          <w:lang w:val="es-ES"/>
        </w:rPr>
        <w:t>públic</w:t>
      </w:r>
      <w:r w:rsidR="0038723B">
        <w:rPr>
          <w:lang w:val="es-ES"/>
        </w:rPr>
        <w:t>os</w:t>
      </w:r>
      <w:r w:rsidR="00A17C81">
        <w:rPr>
          <w:lang w:val="es-ES"/>
        </w:rPr>
        <w:t xml:space="preserve"> de empresas, incluido </w:t>
      </w:r>
      <w:proofErr w:type="spellStart"/>
      <w:r w:rsidR="00A17C81">
        <w:rPr>
          <w:lang w:val="es-ES"/>
        </w:rPr>
        <w:t>PyMEs</w:t>
      </w:r>
      <w:proofErr w:type="spellEnd"/>
      <w:r w:rsidR="00A17C81">
        <w:rPr>
          <w:lang w:val="es-ES"/>
        </w:rPr>
        <w:t xml:space="preserve"> y en el sector de infraestructura, se ha exigido que los fidecomisos y otras participaciones negociadas tuviesen un porcentaje mínimo de participaciones para inversores </w:t>
      </w:r>
      <w:r w:rsidR="0038723B">
        <w:rPr>
          <w:lang w:val="es-ES"/>
        </w:rPr>
        <w:t>minoristas</w:t>
      </w:r>
      <w:r w:rsidR="00A17C81">
        <w:rPr>
          <w:lang w:val="es-ES"/>
        </w:rPr>
        <w:t xml:space="preserve"> que fuesen intercambiadas en la bolsa de valores. </w:t>
      </w:r>
      <w:r w:rsidR="0038723B">
        <w:rPr>
          <w:lang w:val="es-ES"/>
        </w:rPr>
        <w:t>De esta manera, e</w:t>
      </w:r>
      <w:r w:rsidR="00826CA4">
        <w:rPr>
          <w:lang w:val="es-ES"/>
        </w:rPr>
        <w:t>l gobierno espera que un</w:t>
      </w:r>
      <w:r w:rsidR="00CA60F5">
        <w:rPr>
          <w:lang w:val="es-ES"/>
        </w:rPr>
        <w:t xml:space="preserve">a </w:t>
      </w:r>
      <w:r w:rsidR="00826CA4">
        <w:rPr>
          <w:lang w:val="es-ES"/>
        </w:rPr>
        <w:t>parte de los 1,800 millones que serán financiados a través de PPP provengan directamente del mercado de capitales.</w:t>
      </w:r>
      <w:r w:rsidR="00B11D04">
        <w:rPr>
          <w:lang w:val="es-ES"/>
        </w:rPr>
        <w:t xml:space="preserve"> </w:t>
      </w:r>
      <w:r w:rsidR="00B11D04" w:rsidRPr="00B11D04">
        <w:rPr>
          <w:lang w:val="es-ES"/>
        </w:rPr>
        <w:t>Hay altas expectativas de que est</w:t>
      </w:r>
      <w:r w:rsidR="00B11D04">
        <w:rPr>
          <w:lang w:val="es-ES"/>
        </w:rPr>
        <w:t>os recursos</w:t>
      </w:r>
      <w:r w:rsidR="00B11D04" w:rsidRPr="00B11D04">
        <w:rPr>
          <w:lang w:val="es-ES"/>
        </w:rPr>
        <w:t xml:space="preserve"> pueda</w:t>
      </w:r>
      <w:r w:rsidR="00B11D04">
        <w:rPr>
          <w:lang w:val="es-ES"/>
        </w:rPr>
        <w:t>n</w:t>
      </w:r>
      <w:r w:rsidR="00B11D04" w:rsidRPr="00B11D04">
        <w:rPr>
          <w:lang w:val="es-ES"/>
        </w:rPr>
        <w:t xml:space="preserve"> financiar </w:t>
      </w:r>
      <w:r w:rsidR="00B11D04" w:rsidRPr="00B11D04">
        <w:rPr>
          <w:lang w:val="es-ES"/>
        </w:rPr>
        <w:lastRenderedPageBreak/>
        <w:t>una parte importante de los proyectos de infraestructura que el país necesita, si bien serán necesarios recursos adicionales para financiar la totalidad de proyectos que el gobierno tiene en cartera.</w:t>
      </w:r>
    </w:p>
    <w:p w14:paraId="5DF53183" w14:textId="59D2F13E" w:rsidR="00A17C81" w:rsidRDefault="00A17C81" w:rsidP="00D10EB8">
      <w:pPr>
        <w:jc w:val="both"/>
        <w:rPr>
          <w:lang w:val="es-ES"/>
        </w:rPr>
      </w:pPr>
      <w:r>
        <w:rPr>
          <w:lang w:val="es-ES"/>
        </w:rPr>
        <w:t>Al respecto de la participación de inversores externos, est</w:t>
      </w:r>
      <w:r w:rsidR="00B11D04">
        <w:rPr>
          <w:lang w:val="es-ES"/>
        </w:rPr>
        <w:t>a</w:t>
      </w:r>
      <w:r>
        <w:rPr>
          <w:lang w:val="es-ES"/>
        </w:rPr>
        <w:t xml:space="preserve"> es bastante relevante en la financiación de infraestructura privada. </w:t>
      </w:r>
      <w:r w:rsidRPr="002E00D9">
        <w:rPr>
          <w:lang w:val="es-ES"/>
        </w:rPr>
        <w:t>Uruguay es el segundo país de América del Sur que más Inversión Extranjera Directa (IED) como porcentaje de PIB recibe (4,8%), sólo por detrás de</w:t>
      </w:r>
      <w:r>
        <w:rPr>
          <w:lang w:val="es-ES"/>
        </w:rPr>
        <w:t xml:space="preserve"> Chile</w:t>
      </w:r>
      <w:r w:rsidRPr="002E00D9">
        <w:rPr>
          <w:lang w:val="es-ES"/>
        </w:rPr>
        <w:t xml:space="preserve">.  </w:t>
      </w:r>
      <w:r w:rsidR="000C057C">
        <w:rPr>
          <w:lang w:val="es-ES"/>
        </w:rPr>
        <w:t xml:space="preserve">Los inversores extranjeros han </w:t>
      </w:r>
      <w:r w:rsidR="00385FE8">
        <w:rPr>
          <w:lang w:val="es-ES"/>
        </w:rPr>
        <w:t>entrado</w:t>
      </w:r>
      <w:r w:rsidR="000C057C">
        <w:rPr>
          <w:lang w:val="es-ES"/>
        </w:rPr>
        <w:t xml:space="preserve"> en muchas ocasiones como sponsors de los proyectos (especialmente en el sector de energía) aportando el </w:t>
      </w:r>
      <w:r w:rsidR="007F5EB6">
        <w:rPr>
          <w:lang w:val="es-ES"/>
        </w:rPr>
        <w:t>capital</w:t>
      </w:r>
      <w:r w:rsidR="000C057C">
        <w:rPr>
          <w:lang w:val="es-ES"/>
        </w:rPr>
        <w:t xml:space="preserve"> </w:t>
      </w:r>
      <w:r w:rsidR="007F5EB6">
        <w:rPr>
          <w:lang w:val="es-ES"/>
        </w:rPr>
        <w:t xml:space="preserve">de las </w:t>
      </w:r>
      <w:proofErr w:type="spellStart"/>
      <w:r w:rsidR="007F5EB6">
        <w:rPr>
          <w:lang w:val="es-ES"/>
        </w:rPr>
        <w:t>SPVs</w:t>
      </w:r>
      <w:proofErr w:type="spellEnd"/>
      <w:r w:rsidR="007F5EB6">
        <w:rPr>
          <w:lang w:val="es-ES"/>
        </w:rPr>
        <w:t xml:space="preserve"> desarrolladas. </w:t>
      </w:r>
    </w:p>
    <w:p w14:paraId="1ACC708E" w14:textId="53A3D880" w:rsidR="00D10EB8" w:rsidRDefault="00385FE8" w:rsidP="00D10EB8">
      <w:pPr>
        <w:jc w:val="both"/>
        <w:rPr>
          <w:lang w:val="es-ES"/>
        </w:rPr>
      </w:pPr>
      <w:r>
        <w:rPr>
          <w:lang w:val="es-ES"/>
        </w:rPr>
        <w:t>Por último, l</w:t>
      </w:r>
      <w:r w:rsidR="00A17C81" w:rsidRPr="00A17C81">
        <w:rPr>
          <w:lang w:val="es-ES"/>
        </w:rPr>
        <w:t xml:space="preserve">as multilaterales han tenido un papel </w:t>
      </w:r>
      <w:r w:rsidR="00B11D04">
        <w:rPr>
          <w:lang w:val="es-ES"/>
        </w:rPr>
        <w:t xml:space="preserve">fundamental </w:t>
      </w:r>
      <w:r w:rsidR="00A17C81">
        <w:rPr>
          <w:lang w:val="es-ES"/>
        </w:rPr>
        <w:t xml:space="preserve">en la financiación de infraestructura privada en el país. El BID desarrolló una </w:t>
      </w:r>
      <w:r w:rsidR="00826CA4">
        <w:rPr>
          <w:lang w:val="es-ES"/>
        </w:rPr>
        <w:t>Línea de Crédito Condicional para Proyectos de Inversión (</w:t>
      </w:r>
      <w:r w:rsidR="00A17C81">
        <w:rPr>
          <w:lang w:val="es-ES"/>
        </w:rPr>
        <w:t>CCLIP</w:t>
      </w:r>
      <w:r w:rsidR="00826CA4">
        <w:rPr>
          <w:lang w:val="es-ES"/>
        </w:rPr>
        <w:t>)</w:t>
      </w:r>
      <w:r w:rsidR="00A17C81">
        <w:rPr>
          <w:lang w:val="es-ES"/>
        </w:rPr>
        <w:t xml:space="preserve"> </w:t>
      </w:r>
      <w:r w:rsidR="00826CA4">
        <w:rPr>
          <w:lang w:val="es-ES"/>
        </w:rPr>
        <w:t>con el BROU con el objetivo de promover la inversión en infraestructuras y la inversión productiva de empresas, mediante la provisión de financiación de largo plazo. En una primera</w:t>
      </w:r>
      <w:r w:rsidR="00BF72A3">
        <w:rPr>
          <w:lang w:val="es-ES"/>
        </w:rPr>
        <w:t xml:space="preserve"> fase</w:t>
      </w:r>
      <w:r w:rsidR="00826CA4">
        <w:rPr>
          <w:lang w:val="es-ES"/>
        </w:rPr>
        <w:t xml:space="preserve">, la operación financió la construcción </w:t>
      </w:r>
      <w:r w:rsidR="00BF72A3">
        <w:rPr>
          <w:lang w:val="es-ES"/>
        </w:rPr>
        <w:t xml:space="preserve">de plantas de generación eléctrica a partir de energías renovables a fin de contribuir a la diversificación energética del país y reducir las emisiones de CO2. En la segunda fase, que comenzará a ser ejecutada a partir de 2019, los recursos de la línea servirán para financiar proyectos de PPP priorizados por el gobierno. </w:t>
      </w:r>
    </w:p>
    <w:p w14:paraId="1A0EED49" w14:textId="64463BB6" w:rsidR="00BF72A3" w:rsidRDefault="00A17C81" w:rsidP="00A17C81">
      <w:pPr>
        <w:jc w:val="both"/>
        <w:rPr>
          <w:lang w:val="es-ES_tradnl"/>
        </w:rPr>
      </w:pPr>
      <w:r>
        <w:rPr>
          <w:lang w:val="es-ES_tradnl"/>
        </w:rPr>
        <w:t xml:space="preserve">Además, BID </w:t>
      </w:r>
      <w:proofErr w:type="spellStart"/>
      <w:r>
        <w:rPr>
          <w:lang w:val="es-ES_tradnl"/>
        </w:rPr>
        <w:t>Invest</w:t>
      </w:r>
      <w:proofErr w:type="spellEnd"/>
      <w:r>
        <w:rPr>
          <w:lang w:val="es-ES_tradnl"/>
        </w:rPr>
        <w:t xml:space="preserve"> ha financiado varias operaciones de infraestructura con el sector privado</w:t>
      </w:r>
      <w:r w:rsidR="00BF72A3">
        <w:rPr>
          <w:lang w:val="es-ES_tradnl"/>
        </w:rPr>
        <w:t xml:space="preserve"> y ha desarrollado algunas experiencias innovadoras </w:t>
      </w:r>
      <w:r>
        <w:rPr>
          <w:lang w:val="es-ES_tradnl"/>
        </w:rPr>
        <w:t xml:space="preserve">en la financiación de Infraestructura en Uruguay. En 2016 emitió un bono B para la planta eólica de Campo Palomas donde financió US$ 67 millones a través de un préstamo A y movilizó otros US$ 68 millones de DNB Bank, entidad que posteriormente vendió su participación como bonos. </w:t>
      </w:r>
      <w:r w:rsidR="00385FE8">
        <w:rPr>
          <w:lang w:val="es-ES_tradnl"/>
        </w:rPr>
        <w:t>Posteriormente, e</w:t>
      </w:r>
      <w:r>
        <w:rPr>
          <w:lang w:val="es-ES_tradnl"/>
        </w:rPr>
        <w:t xml:space="preserve">n 2017, en el proyecto de energía renovable de la planta de la Jacinta, IDB </w:t>
      </w:r>
      <w:proofErr w:type="spellStart"/>
      <w:r>
        <w:rPr>
          <w:lang w:val="es-ES_tradnl"/>
        </w:rPr>
        <w:t>Invest</w:t>
      </w:r>
      <w:proofErr w:type="spellEnd"/>
      <w:r>
        <w:rPr>
          <w:lang w:val="es-ES_tradnl"/>
        </w:rPr>
        <w:t xml:space="preserve"> estructuró un bono B de US$ 65 millones, que fue vendido a </w:t>
      </w:r>
      <w:r w:rsidR="00385FE8">
        <w:rPr>
          <w:lang w:val="es-ES_tradnl"/>
        </w:rPr>
        <w:t xml:space="preserve">la </w:t>
      </w:r>
      <w:r>
        <w:rPr>
          <w:lang w:val="es-ES_tradnl"/>
        </w:rPr>
        <w:t xml:space="preserve">SPV y posteriormente ofrecido a inversores institucionales a través de una colocación privada. </w:t>
      </w:r>
      <w:r w:rsidR="00385FE8">
        <w:rPr>
          <w:lang w:val="es-ES_tradnl"/>
        </w:rPr>
        <w:t xml:space="preserve">Del valor total de esa operación, </w:t>
      </w:r>
      <w:r>
        <w:rPr>
          <w:lang w:val="es-ES_tradnl"/>
        </w:rPr>
        <w:t xml:space="preserve">BID </w:t>
      </w:r>
      <w:proofErr w:type="spellStart"/>
      <w:r>
        <w:rPr>
          <w:lang w:val="es-ES_tradnl"/>
        </w:rPr>
        <w:t>Invest</w:t>
      </w:r>
      <w:proofErr w:type="spellEnd"/>
      <w:r>
        <w:rPr>
          <w:lang w:val="es-ES_tradnl"/>
        </w:rPr>
        <w:t xml:space="preserve"> </w:t>
      </w:r>
      <w:r w:rsidR="00385FE8">
        <w:rPr>
          <w:lang w:val="es-ES_tradnl"/>
        </w:rPr>
        <w:t xml:space="preserve">solamente </w:t>
      </w:r>
      <w:r>
        <w:rPr>
          <w:lang w:val="es-ES_tradnl"/>
        </w:rPr>
        <w:t xml:space="preserve">financió US$ 3,6 millones a través de un préstamo A. La ventaja </w:t>
      </w:r>
      <w:r w:rsidR="00385FE8">
        <w:rPr>
          <w:lang w:val="es-ES_tradnl"/>
        </w:rPr>
        <w:t xml:space="preserve">que presentan </w:t>
      </w:r>
      <w:r>
        <w:rPr>
          <w:lang w:val="es-ES_tradnl"/>
        </w:rPr>
        <w:t xml:space="preserve">los bonos B son que los plazos ofrecidos son más extensos (hasta 25 años) que los ofrecidos por los bancos comerciales. </w:t>
      </w:r>
    </w:p>
    <w:p w14:paraId="12F64964" w14:textId="3503920B" w:rsidR="00A17C81" w:rsidRDefault="00385FE8" w:rsidP="00A17C81">
      <w:pPr>
        <w:jc w:val="both"/>
        <w:rPr>
          <w:lang w:val="es-ES_tradnl"/>
        </w:rPr>
      </w:pPr>
      <w:r>
        <w:rPr>
          <w:lang w:val="es-ES_tradnl"/>
        </w:rPr>
        <w:t xml:space="preserve">BID </w:t>
      </w:r>
      <w:proofErr w:type="spellStart"/>
      <w:r>
        <w:rPr>
          <w:lang w:val="es-ES_tradnl"/>
        </w:rPr>
        <w:t>Invest</w:t>
      </w:r>
      <w:proofErr w:type="spellEnd"/>
      <w:r>
        <w:rPr>
          <w:lang w:val="es-ES_tradnl"/>
        </w:rPr>
        <w:t xml:space="preserve"> t</w:t>
      </w:r>
      <w:r w:rsidR="00BF72A3">
        <w:rPr>
          <w:lang w:val="es-ES_tradnl"/>
        </w:rPr>
        <w:t>ambién ha</w:t>
      </w:r>
      <w:r>
        <w:rPr>
          <w:lang w:val="es-ES_tradnl"/>
        </w:rPr>
        <w:t xml:space="preserve"> realizado</w:t>
      </w:r>
      <w:r w:rsidR="00BF72A3">
        <w:rPr>
          <w:lang w:val="es-ES_tradnl"/>
        </w:rPr>
        <w:t xml:space="preserve"> otras operaciones de financiación para la construcción de las plantas de energía renovable de El Litoral y el </w:t>
      </w:r>
      <w:proofErr w:type="spellStart"/>
      <w:r w:rsidR="00BF72A3">
        <w:rPr>
          <w:lang w:val="es-ES_tradnl"/>
        </w:rPr>
        <w:t>Laranjal</w:t>
      </w:r>
      <w:proofErr w:type="spellEnd"/>
      <w:r w:rsidR="00BF72A3">
        <w:rPr>
          <w:lang w:val="es-ES_tradnl"/>
        </w:rPr>
        <w:t xml:space="preserve">, donde estructuró un préstamo </w:t>
      </w:r>
      <w:r w:rsidR="005E1ACA">
        <w:rPr>
          <w:lang w:val="es-ES_tradnl"/>
        </w:rPr>
        <w:t xml:space="preserve">senior </w:t>
      </w:r>
      <w:r w:rsidR="005E1ACA" w:rsidRPr="005E1ACA">
        <w:rPr>
          <w:lang w:val="es-ES_tradnl"/>
        </w:rPr>
        <w:t xml:space="preserve">de US$103 millones, con US$5,4 millones fondeados con capital de BID </w:t>
      </w:r>
      <w:proofErr w:type="spellStart"/>
      <w:r w:rsidR="005E1ACA" w:rsidRPr="005E1ACA">
        <w:rPr>
          <w:lang w:val="es-ES_tradnl"/>
        </w:rPr>
        <w:t>Invest</w:t>
      </w:r>
      <w:proofErr w:type="spellEnd"/>
      <w:r w:rsidR="005E1ACA" w:rsidRPr="005E1ACA">
        <w:rPr>
          <w:lang w:val="es-ES_tradnl"/>
        </w:rPr>
        <w:t xml:space="preserve"> y el resto mediante una emisión de bonos en el mercado privado (</w:t>
      </w:r>
      <w:r>
        <w:rPr>
          <w:lang w:val="es-ES_tradnl"/>
        </w:rPr>
        <w:t xml:space="preserve">de nuevo, a través de </w:t>
      </w:r>
      <w:r w:rsidR="005E1ACA" w:rsidRPr="005E1ACA">
        <w:rPr>
          <w:lang w:val="es-ES_tradnl"/>
        </w:rPr>
        <w:t>bono</w:t>
      </w:r>
      <w:r>
        <w:rPr>
          <w:lang w:val="es-ES_tradnl"/>
        </w:rPr>
        <w:t>s</w:t>
      </w:r>
      <w:r w:rsidR="005E1ACA" w:rsidRPr="005E1ACA">
        <w:rPr>
          <w:lang w:val="es-ES_tradnl"/>
        </w:rPr>
        <w:t xml:space="preserve"> B). El plazo de esta financiación </w:t>
      </w:r>
      <w:r>
        <w:rPr>
          <w:lang w:val="es-ES_tradnl"/>
        </w:rPr>
        <w:t xml:space="preserve">fue de </w:t>
      </w:r>
      <w:r w:rsidR="005E1ACA" w:rsidRPr="005E1ACA">
        <w:rPr>
          <w:lang w:val="es-ES_tradnl"/>
        </w:rPr>
        <w:t>24</w:t>
      </w:r>
      <w:r>
        <w:rPr>
          <w:lang w:val="es-ES_tradnl"/>
        </w:rPr>
        <w:t>’</w:t>
      </w:r>
      <w:r w:rsidR="005E1ACA" w:rsidRPr="005E1ACA">
        <w:rPr>
          <w:lang w:val="es-ES_tradnl"/>
        </w:rPr>
        <w:t xml:space="preserve">5 años. La refinanciación se complementa con un paquete de deuda subordinada, formado por un préstamo subordinado de BID </w:t>
      </w:r>
      <w:proofErr w:type="spellStart"/>
      <w:r w:rsidR="005E1ACA" w:rsidRPr="005E1ACA">
        <w:rPr>
          <w:lang w:val="es-ES_tradnl"/>
        </w:rPr>
        <w:t>Invest</w:t>
      </w:r>
      <w:proofErr w:type="spellEnd"/>
      <w:r w:rsidR="005E1ACA" w:rsidRPr="005E1ACA">
        <w:rPr>
          <w:lang w:val="es-ES_tradnl"/>
        </w:rPr>
        <w:t xml:space="preserve"> de US$11.5 millones, de los que US$0.6 millones son fondeados por BID </w:t>
      </w:r>
      <w:proofErr w:type="spellStart"/>
      <w:r w:rsidR="005E1ACA" w:rsidRPr="005E1ACA">
        <w:rPr>
          <w:lang w:val="es-ES_tradnl"/>
        </w:rPr>
        <w:t>Invest</w:t>
      </w:r>
      <w:proofErr w:type="spellEnd"/>
      <w:r w:rsidR="005E1ACA" w:rsidRPr="005E1ACA">
        <w:rPr>
          <w:lang w:val="es-ES_tradnl"/>
        </w:rPr>
        <w:t xml:space="preserve"> y el resto a través de un bono B subordinado, ambos con un plazo de 15 años</w:t>
      </w:r>
      <w:r w:rsidR="005E1ACA">
        <w:rPr>
          <w:lang w:val="es-ES_tradnl"/>
        </w:rPr>
        <w:t xml:space="preserve">. </w:t>
      </w:r>
    </w:p>
    <w:p w14:paraId="2ACC2DEA" w14:textId="11CBFA3D" w:rsidR="005E1ACA" w:rsidRDefault="005E1ACA" w:rsidP="00A17C81">
      <w:pPr>
        <w:jc w:val="both"/>
        <w:rPr>
          <w:lang w:val="es-ES_tradnl"/>
        </w:rPr>
      </w:pPr>
      <w:r>
        <w:rPr>
          <w:lang w:val="es-ES_tradnl"/>
        </w:rPr>
        <w:t xml:space="preserve">La línea de transmisión eléctrica Melo-Tacuarembó ha sido el primer proyecto de colaboración público-privada desarrollado en el sector de transmisión eléctrica en Uruguay. La UTE lanzó a mediados de 2016 una licitación para la </w:t>
      </w:r>
      <w:r w:rsidR="00385FE8">
        <w:rPr>
          <w:lang w:val="es-ES_tradnl"/>
        </w:rPr>
        <w:t>construcción</w:t>
      </w:r>
      <w:r>
        <w:rPr>
          <w:lang w:val="es-ES_tradnl"/>
        </w:rPr>
        <w:t xml:space="preserve"> de una línea de transmisión de 150 Kv y 213 kilómetros que fue adjudicado a una empresa italiana, Terna. El coste estimado del proyecto es de US$96 millones que fue también financiado con un préstamo sindicado A/B de hasta 17 años. </w:t>
      </w:r>
    </w:p>
    <w:p w14:paraId="7CA64422" w14:textId="4A60AF6B" w:rsidR="00D2455B" w:rsidRDefault="00A17C81" w:rsidP="005E1ACA">
      <w:pPr>
        <w:jc w:val="both"/>
        <w:rPr>
          <w:lang w:val="es-ES"/>
        </w:rPr>
      </w:pPr>
      <w:r w:rsidRPr="00A17C81">
        <w:rPr>
          <w:lang w:val="es-ES"/>
        </w:rPr>
        <w:lastRenderedPageBreak/>
        <w:t>Por otro lado</w:t>
      </w:r>
      <w:r>
        <w:rPr>
          <w:lang w:val="es-ES"/>
        </w:rPr>
        <w:t>,</w:t>
      </w:r>
      <w:r w:rsidRPr="00A17C81">
        <w:rPr>
          <w:lang w:val="es-ES"/>
        </w:rPr>
        <w:t xml:space="preserve"> l</w:t>
      </w:r>
      <w:r w:rsidR="00D10EB8" w:rsidRPr="00A17C81">
        <w:rPr>
          <w:lang w:val="es-ES"/>
        </w:rPr>
        <w:t>a</w:t>
      </w:r>
      <w:r w:rsidRPr="00A17C81">
        <w:rPr>
          <w:lang w:val="es-ES"/>
        </w:rPr>
        <w:t xml:space="preserve"> Corporación</w:t>
      </w:r>
      <w:r>
        <w:rPr>
          <w:lang w:val="es-ES"/>
        </w:rPr>
        <w:t xml:space="preserve"> Andina de Fomento (</w:t>
      </w:r>
      <w:r w:rsidR="00D10EB8" w:rsidRPr="002E00D9">
        <w:rPr>
          <w:lang w:val="es-ES"/>
        </w:rPr>
        <w:t>CAF</w:t>
      </w:r>
      <w:r>
        <w:rPr>
          <w:lang w:val="es-ES"/>
        </w:rPr>
        <w:t>)</w:t>
      </w:r>
      <w:r w:rsidR="00D10EB8" w:rsidRPr="002E00D9">
        <w:rPr>
          <w:lang w:val="es-ES"/>
        </w:rPr>
        <w:t xml:space="preserve"> creó a finales de 2016 un fondo de deuda</w:t>
      </w:r>
      <w:r w:rsidR="00385FE8">
        <w:rPr>
          <w:lang w:val="es-ES"/>
        </w:rPr>
        <w:t xml:space="preserve"> en moneda local</w:t>
      </w:r>
      <w:r w:rsidR="005E1ACA">
        <w:rPr>
          <w:lang w:val="es-ES"/>
        </w:rPr>
        <w:t xml:space="preserve"> por valor </w:t>
      </w:r>
      <w:r w:rsidR="005E1ACA">
        <w:rPr>
          <w:lang w:val="es-ES_tradnl"/>
        </w:rPr>
        <w:t xml:space="preserve">de </w:t>
      </w:r>
      <w:r w:rsidR="00385FE8">
        <w:rPr>
          <w:lang w:val="es-ES_tradnl"/>
        </w:rPr>
        <w:t>2,800 millones de unidades indexadas (</w:t>
      </w:r>
      <w:r w:rsidR="005E1ACA">
        <w:rPr>
          <w:lang w:val="es-ES_tradnl"/>
        </w:rPr>
        <w:t>US$ 350 millones) con el objetivo de financiar proyectos de infraestructura durante los próximos 5 años.</w:t>
      </w:r>
      <w:r w:rsidR="005E1ACA" w:rsidRPr="005E1ACA">
        <w:rPr>
          <w:lang w:val="es-ES_tradnl"/>
        </w:rPr>
        <w:t xml:space="preserve"> </w:t>
      </w:r>
      <w:r w:rsidR="005E1ACA">
        <w:rPr>
          <w:lang w:val="es-ES_tradnl"/>
        </w:rPr>
        <w:t>El fondo tendrá una vigencia de 30 años y la</w:t>
      </w:r>
      <w:r w:rsidR="005E1ACA" w:rsidRPr="005E1ACA">
        <w:rPr>
          <w:lang w:val="es-ES_tradnl"/>
        </w:rPr>
        <w:t xml:space="preserve"> </w:t>
      </w:r>
      <w:r w:rsidR="005E1ACA">
        <w:rPr>
          <w:lang w:val="es-ES_tradnl"/>
        </w:rPr>
        <w:t>CAF aport</w:t>
      </w:r>
      <w:r w:rsidR="00385FE8">
        <w:rPr>
          <w:lang w:val="es-ES_tradnl"/>
        </w:rPr>
        <w:t xml:space="preserve">ó </w:t>
      </w:r>
      <w:r w:rsidR="005E1ACA">
        <w:rPr>
          <w:lang w:val="es-ES_tradnl"/>
        </w:rPr>
        <w:t xml:space="preserve">el 10% </w:t>
      </w:r>
      <w:r w:rsidR="00385FE8">
        <w:rPr>
          <w:lang w:val="es-ES_tradnl"/>
        </w:rPr>
        <w:t>como capital</w:t>
      </w:r>
      <w:r w:rsidR="005E1ACA">
        <w:rPr>
          <w:lang w:val="es-ES_tradnl"/>
        </w:rPr>
        <w:t xml:space="preserve">.  </w:t>
      </w:r>
      <w:r w:rsidR="005E1ACA">
        <w:rPr>
          <w:lang w:val="es-ES"/>
        </w:rPr>
        <w:t xml:space="preserve">El fondo, que fue publicado </w:t>
      </w:r>
      <w:r w:rsidR="005E1ACA" w:rsidRPr="002E00D9">
        <w:rPr>
          <w:lang w:val="es-ES"/>
        </w:rPr>
        <w:t>en la Bolsa Electrónica de valores (BEVSA) y la Bolsa de Valores de Montevideo</w:t>
      </w:r>
      <w:r w:rsidR="005E1ACA">
        <w:rPr>
          <w:lang w:val="es-ES"/>
        </w:rPr>
        <w:t>,</w:t>
      </w:r>
      <w:r w:rsidR="005E1ACA" w:rsidRPr="002E00D9">
        <w:rPr>
          <w:lang w:val="es-ES"/>
        </w:rPr>
        <w:t xml:space="preserve"> es coparticipado por cuatro </w:t>
      </w:r>
      <w:proofErr w:type="spellStart"/>
      <w:r w:rsidR="005E1ACA" w:rsidRPr="002E00D9">
        <w:rPr>
          <w:lang w:val="es-ES"/>
        </w:rPr>
        <w:t>AFAPs</w:t>
      </w:r>
      <w:proofErr w:type="spellEnd"/>
      <w:r w:rsidR="005E1ACA" w:rsidRPr="002E00D9">
        <w:rPr>
          <w:lang w:val="es-ES"/>
        </w:rPr>
        <w:t xml:space="preserve"> </w:t>
      </w:r>
      <w:r w:rsidR="005E1ACA">
        <w:rPr>
          <w:lang w:val="es-ES"/>
        </w:rPr>
        <w:t>u</w:t>
      </w:r>
      <w:r w:rsidR="005E1ACA" w:rsidRPr="002E00D9">
        <w:rPr>
          <w:lang w:val="es-ES"/>
        </w:rPr>
        <w:t>ruguayas y el Banco de Seguros del Estado</w:t>
      </w:r>
      <w:r w:rsidR="005E1ACA">
        <w:rPr>
          <w:lang w:val="es-ES"/>
        </w:rPr>
        <w:t xml:space="preserve"> -BSE-</w:t>
      </w:r>
      <w:r w:rsidR="00D2455B">
        <w:rPr>
          <w:lang w:val="es-ES"/>
        </w:rPr>
        <w:t xml:space="preserve">. </w:t>
      </w:r>
    </w:p>
    <w:p w14:paraId="129C262E" w14:textId="0A5963A2" w:rsidR="00D10EB8" w:rsidRPr="002E00D9" w:rsidRDefault="00D2455B" w:rsidP="00D10EB8">
      <w:pPr>
        <w:jc w:val="both"/>
        <w:rPr>
          <w:lang w:val="es-ES"/>
        </w:rPr>
      </w:pPr>
      <w:r>
        <w:rPr>
          <w:lang w:val="es-ES"/>
        </w:rPr>
        <w:t xml:space="preserve">La gestión será desarrollada por el gestor de fondos de inversiones </w:t>
      </w:r>
      <w:r w:rsidR="005E1ACA" w:rsidRPr="002E00D9">
        <w:rPr>
          <w:lang w:val="es-ES"/>
        </w:rPr>
        <w:t>CAFAM Uruguay</w:t>
      </w:r>
      <w:r>
        <w:rPr>
          <w:lang w:val="es-ES"/>
        </w:rPr>
        <w:t>, que realizará la</w:t>
      </w:r>
      <w:r w:rsidR="005E1ACA" w:rsidRPr="002E00D9">
        <w:rPr>
          <w:lang w:val="es-ES"/>
        </w:rPr>
        <w:t xml:space="preserve"> </w:t>
      </w:r>
      <w:r>
        <w:rPr>
          <w:lang w:val="es-ES_tradnl"/>
        </w:rPr>
        <w:t>estructuración y el seguimiento de los proyectos durante su ejecución.</w:t>
      </w:r>
      <w:r w:rsidR="005143A3">
        <w:rPr>
          <w:lang w:val="es-ES_tradnl"/>
        </w:rPr>
        <w:t xml:space="preserve"> El fondo otorgará créditos directos (senior) a las </w:t>
      </w:r>
      <w:proofErr w:type="spellStart"/>
      <w:r w:rsidR="005143A3">
        <w:rPr>
          <w:lang w:val="es-ES_tradnl"/>
        </w:rPr>
        <w:t>SPEs</w:t>
      </w:r>
      <w:proofErr w:type="spellEnd"/>
      <w:r w:rsidR="005143A3">
        <w:rPr>
          <w:lang w:val="es-ES_tradnl"/>
        </w:rPr>
        <w:t xml:space="preserve"> ejecutoras de los proyectos de </w:t>
      </w:r>
      <w:proofErr w:type="spellStart"/>
      <w:r w:rsidR="005143A3">
        <w:rPr>
          <w:lang w:val="es-ES_tradnl"/>
        </w:rPr>
        <w:t>PPPs</w:t>
      </w:r>
      <w:proofErr w:type="spellEnd"/>
      <w:r w:rsidR="005143A3">
        <w:rPr>
          <w:lang w:val="es-ES_tradnl"/>
        </w:rPr>
        <w:t>.</w:t>
      </w:r>
      <w:r>
        <w:rPr>
          <w:lang w:val="es-ES_tradnl"/>
        </w:rPr>
        <w:t xml:space="preserve">  Además, e</w:t>
      </w:r>
      <w:r w:rsidR="00D10EB8" w:rsidRPr="002E00D9">
        <w:rPr>
          <w:lang w:val="es-ES"/>
        </w:rPr>
        <w:t xml:space="preserve">l proyecto está apoyado por un préstamo de US$87 </w:t>
      </w:r>
      <w:r w:rsidR="00385FE8" w:rsidRPr="002E00D9">
        <w:rPr>
          <w:lang w:val="es-ES"/>
        </w:rPr>
        <w:t>millones</w:t>
      </w:r>
      <w:r w:rsidR="00D10EB8" w:rsidRPr="002E00D9">
        <w:rPr>
          <w:lang w:val="es-ES"/>
        </w:rPr>
        <w:t xml:space="preserve"> que servirá para financiar la construcción de las rutas 21 y 24.</w:t>
      </w:r>
    </w:p>
    <w:p w14:paraId="59AE52A1" w14:textId="07638B55" w:rsidR="00B3430E" w:rsidRDefault="00D2455B" w:rsidP="00B3430E">
      <w:pPr>
        <w:jc w:val="both"/>
        <w:rPr>
          <w:lang w:val="es-ES_tradnl"/>
        </w:rPr>
      </w:pPr>
      <w:r>
        <w:rPr>
          <w:lang w:val="es-ES_tradnl"/>
        </w:rPr>
        <w:t xml:space="preserve">Por último, los </w:t>
      </w:r>
      <w:r w:rsidR="00B3430E">
        <w:rPr>
          <w:lang w:val="es-ES_tradnl"/>
        </w:rPr>
        <w:t xml:space="preserve">fondos de Convergencia de Mercosur (FOCEM) financiaron más de US$ 280 millones para la </w:t>
      </w:r>
      <w:r w:rsidR="00D73C6E">
        <w:rPr>
          <w:lang w:val="es-ES_tradnl"/>
        </w:rPr>
        <w:t>financiación</w:t>
      </w:r>
      <w:r w:rsidR="00B3430E">
        <w:rPr>
          <w:lang w:val="es-ES_tradnl"/>
        </w:rPr>
        <w:t xml:space="preserve"> de infraestructura, entre repavimentaciones y obras de saneamiento. </w:t>
      </w:r>
      <w:r>
        <w:rPr>
          <w:lang w:val="es-ES_tradnl"/>
        </w:rPr>
        <w:t>El Banco Mundial no está financiado en la actualidad proyectos de infraestructura privada en Uruguay</w:t>
      </w:r>
      <w:r w:rsidR="000E3E7F">
        <w:rPr>
          <w:lang w:val="es-ES_tradnl"/>
        </w:rPr>
        <w:t xml:space="preserve">, aunque entre sus iniciativas prioritarias tienen colaborar con el gobierno en el desarrollo de redes de transporte y logística más eficientes mediante la financiación de </w:t>
      </w:r>
      <w:proofErr w:type="spellStart"/>
      <w:r w:rsidR="000E3E7F">
        <w:rPr>
          <w:lang w:val="es-ES_tradnl"/>
        </w:rPr>
        <w:t>PPPs</w:t>
      </w:r>
      <w:proofErr w:type="spellEnd"/>
      <w:r w:rsidR="000E3E7F">
        <w:rPr>
          <w:rStyle w:val="FootnoteReference"/>
          <w:lang w:val="es-ES_tradnl"/>
        </w:rPr>
        <w:footnoteReference w:id="18"/>
      </w:r>
      <w:r>
        <w:rPr>
          <w:lang w:val="es-ES_tradnl"/>
        </w:rPr>
        <w:t xml:space="preserve">. </w:t>
      </w:r>
    </w:p>
    <w:p w14:paraId="37A83AC6" w14:textId="594BA98F" w:rsidR="009236C9" w:rsidRDefault="009236C9" w:rsidP="00B3430E">
      <w:pPr>
        <w:jc w:val="both"/>
        <w:rPr>
          <w:lang w:val="es-ES_tradnl"/>
        </w:rPr>
      </w:pPr>
    </w:p>
    <w:p w14:paraId="7D3580DE" w14:textId="5E4DBF4B" w:rsidR="00D73C6E" w:rsidRDefault="003D678A" w:rsidP="003D678A">
      <w:pPr>
        <w:pStyle w:val="Heading2"/>
        <w:jc w:val="both"/>
        <w:rPr>
          <w:lang w:val="es-ES_tradnl"/>
        </w:rPr>
      </w:pPr>
      <w:bookmarkStart w:id="8" w:name="_Toc525574923"/>
      <w:r>
        <w:rPr>
          <w:lang w:val="es-ES_tradnl"/>
        </w:rPr>
        <w:t>In</w:t>
      </w:r>
      <w:r w:rsidR="00D73C6E" w:rsidRPr="00D73C6E">
        <w:rPr>
          <w:lang w:val="es-ES_tradnl"/>
        </w:rPr>
        <w:t>strumentos</w:t>
      </w:r>
      <w:r w:rsidR="009236C9">
        <w:rPr>
          <w:lang w:val="es-ES_tradnl"/>
        </w:rPr>
        <w:t xml:space="preserve"> </w:t>
      </w:r>
      <w:r w:rsidR="00276B65">
        <w:rPr>
          <w:lang w:val="es-ES_tradnl"/>
        </w:rPr>
        <w:t xml:space="preserve">en la financiación de infraestructura privada y </w:t>
      </w:r>
      <w:proofErr w:type="spellStart"/>
      <w:r w:rsidR="00276B65">
        <w:rPr>
          <w:lang w:val="es-ES_tradnl"/>
        </w:rPr>
        <w:t>PPPs</w:t>
      </w:r>
      <w:proofErr w:type="spellEnd"/>
      <w:r w:rsidR="00D2455B">
        <w:rPr>
          <w:lang w:val="es-ES_tradnl"/>
        </w:rPr>
        <w:t>:</w:t>
      </w:r>
      <w:r w:rsidR="00D73C6E" w:rsidRPr="00D73C6E">
        <w:rPr>
          <w:lang w:val="es-ES_tradnl"/>
        </w:rPr>
        <w:t xml:space="preserve"> costos y plazos</w:t>
      </w:r>
      <w:bookmarkEnd w:id="8"/>
      <w:r w:rsidR="00D73C6E" w:rsidRPr="00D73C6E">
        <w:rPr>
          <w:lang w:val="es-ES_tradnl"/>
        </w:rPr>
        <w:t xml:space="preserve"> </w:t>
      </w:r>
    </w:p>
    <w:p w14:paraId="12EC6817" w14:textId="77777777" w:rsidR="003D678A" w:rsidRDefault="003D678A" w:rsidP="00226F2B">
      <w:pPr>
        <w:jc w:val="both"/>
        <w:rPr>
          <w:lang w:val="es-ES"/>
        </w:rPr>
      </w:pPr>
    </w:p>
    <w:p w14:paraId="66C3C475" w14:textId="3AC67E1B" w:rsidR="00195E81" w:rsidRDefault="00195E81" w:rsidP="00226F2B">
      <w:pPr>
        <w:jc w:val="both"/>
        <w:rPr>
          <w:lang w:val="es-ES"/>
        </w:rPr>
      </w:pPr>
      <w:r>
        <w:rPr>
          <w:lang w:val="es-ES"/>
        </w:rPr>
        <w:t xml:space="preserve">La estructura de financiación más común en los proyectos de infraestructura privada ha sido </w:t>
      </w:r>
      <w:r w:rsidR="00385FE8">
        <w:rPr>
          <w:lang w:val="es-ES"/>
        </w:rPr>
        <w:t>aproximadamente</w:t>
      </w:r>
      <w:r>
        <w:rPr>
          <w:lang w:val="es-ES"/>
        </w:rPr>
        <w:t xml:space="preserve"> 80% de deuda y 20% de </w:t>
      </w:r>
      <w:proofErr w:type="spellStart"/>
      <w:r>
        <w:rPr>
          <w:lang w:val="es-ES"/>
        </w:rPr>
        <w:t>equity</w:t>
      </w:r>
      <w:proofErr w:type="spellEnd"/>
      <w:r w:rsidR="00385FE8">
        <w:rPr>
          <w:lang w:val="es-ES"/>
        </w:rPr>
        <w:t xml:space="preserve"> (capital)</w:t>
      </w:r>
      <w:r>
        <w:rPr>
          <w:lang w:val="es-ES"/>
        </w:rPr>
        <w:t xml:space="preserve"> </w:t>
      </w:r>
      <w:r w:rsidR="00385FE8">
        <w:rPr>
          <w:lang w:val="es-ES"/>
        </w:rPr>
        <w:t>colocado por l</w:t>
      </w:r>
      <w:r>
        <w:rPr>
          <w:lang w:val="es-ES"/>
        </w:rPr>
        <w:t xml:space="preserve">as empresas inversoras. </w:t>
      </w:r>
      <w:r w:rsidR="00750BBC">
        <w:rPr>
          <w:lang w:val="es-ES"/>
        </w:rPr>
        <w:t xml:space="preserve">Si bien, </w:t>
      </w:r>
      <w:proofErr w:type="gramStart"/>
      <w:r w:rsidR="00385FE8">
        <w:rPr>
          <w:lang w:val="es-ES"/>
        </w:rPr>
        <w:t>este ratio</w:t>
      </w:r>
      <w:proofErr w:type="gramEnd"/>
      <w:r w:rsidR="00750BBC">
        <w:rPr>
          <w:lang w:val="es-ES"/>
        </w:rPr>
        <w:t xml:space="preserve"> se ha dado en general en el sector de energía donde se considera que los riesgos son inferiores</w:t>
      </w:r>
      <w:r w:rsidR="00385FE8">
        <w:rPr>
          <w:lang w:val="es-ES"/>
        </w:rPr>
        <w:t xml:space="preserve"> a los de otros sectores y por lo tanto la contribución de capital tendría que ser </w:t>
      </w:r>
      <w:r w:rsidR="00B11D04">
        <w:rPr>
          <w:lang w:val="es-ES"/>
        </w:rPr>
        <w:t>inferior</w:t>
      </w:r>
      <w:r w:rsidR="00750BBC">
        <w:rPr>
          <w:lang w:val="es-ES"/>
        </w:rPr>
        <w:t xml:space="preserve">. </w:t>
      </w:r>
      <w:r w:rsidR="00385FE8">
        <w:rPr>
          <w:lang w:val="es-ES"/>
        </w:rPr>
        <w:t>Es por eso, que p</w:t>
      </w:r>
      <w:r w:rsidR="00750BBC">
        <w:rPr>
          <w:lang w:val="es-ES"/>
        </w:rPr>
        <w:t>odría ocurrir que l</w:t>
      </w:r>
      <w:r w:rsidR="00946279">
        <w:rPr>
          <w:lang w:val="es-ES"/>
        </w:rPr>
        <w:t>a distribución deuda-</w:t>
      </w:r>
      <w:r w:rsidR="00385FE8">
        <w:rPr>
          <w:lang w:val="es-ES"/>
        </w:rPr>
        <w:t>capital</w:t>
      </w:r>
      <w:r w:rsidR="00946279">
        <w:rPr>
          <w:lang w:val="es-ES"/>
        </w:rPr>
        <w:t xml:space="preserve"> pueda subir más en </w:t>
      </w:r>
      <w:r w:rsidR="00750BBC">
        <w:rPr>
          <w:lang w:val="es-ES"/>
        </w:rPr>
        <w:t>los proyectos de carreteras que van a ser</w:t>
      </w:r>
      <w:r w:rsidR="00946279">
        <w:rPr>
          <w:lang w:val="es-ES"/>
        </w:rPr>
        <w:t xml:space="preserve"> financiados con </w:t>
      </w:r>
      <w:proofErr w:type="spellStart"/>
      <w:r w:rsidR="00946279">
        <w:rPr>
          <w:lang w:val="es-ES"/>
        </w:rPr>
        <w:t>PPPs</w:t>
      </w:r>
      <w:proofErr w:type="spellEnd"/>
      <w:r w:rsidR="00946279">
        <w:rPr>
          <w:lang w:val="es-ES"/>
        </w:rPr>
        <w:t>, aunque, en principio se estima que las obras de construcción que serán realizadas serán de un riesgo bajo</w:t>
      </w:r>
      <w:r w:rsidR="00B11D04">
        <w:rPr>
          <w:lang w:val="es-ES"/>
        </w:rPr>
        <w:t xml:space="preserve"> (en ninguno de los casos son proyectos </w:t>
      </w:r>
      <w:proofErr w:type="spellStart"/>
      <w:r w:rsidR="00B11D04" w:rsidRPr="00B11D04">
        <w:rPr>
          <w:i/>
          <w:lang w:val="es-ES"/>
        </w:rPr>
        <w:t>greenfield</w:t>
      </w:r>
      <w:proofErr w:type="spellEnd"/>
      <w:r w:rsidR="00B11D04">
        <w:rPr>
          <w:lang w:val="es-ES"/>
        </w:rPr>
        <w:t>)</w:t>
      </w:r>
      <w:r w:rsidR="00946279">
        <w:rPr>
          <w:lang w:val="es-ES"/>
        </w:rPr>
        <w:t xml:space="preserve"> y no debería alterar significativamente esta proporción. </w:t>
      </w:r>
      <w:r w:rsidR="00750BBC">
        <w:rPr>
          <w:lang w:val="es-ES"/>
        </w:rPr>
        <w:t xml:space="preserve"> </w:t>
      </w:r>
      <w:r>
        <w:rPr>
          <w:lang w:val="es-ES"/>
        </w:rPr>
        <w:t xml:space="preserve"> </w:t>
      </w:r>
    </w:p>
    <w:p w14:paraId="5E20F7F7" w14:textId="482E06B2" w:rsidR="00D0472B" w:rsidRDefault="00D0472B" w:rsidP="00D0472B">
      <w:pPr>
        <w:jc w:val="both"/>
        <w:rPr>
          <w:lang w:val="es-ES_tradnl"/>
        </w:rPr>
      </w:pPr>
      <w:r>
        <w:rPr>
          <w:lang w:val="es-ES_tradnl"/>
        </w:rPr>
        <w:t>Según estimaciones realizadas por el BID</w:t>
      </w:r>
      <w:r w:rsidR="00FE3157">
        <w:rPr>
          <w:rStyle w:val="FootnoteReference"/>
          <w:lang w:val="es-ES_tradnl"/>
        </w:rPr>
        <w:footnoteReference w:id="19"/>
      </w:r>
      <w:r>
        <w:rPr>
          <w:lang w:val="es-ES_tradnl"/>
        </w:rPr>
        <w:t>, el 47,6% de la infraestructura financiada en el periodo 2011-2015 fue realizado por el sector privado</w:t>
      </w:r>
      <w:r w:rsidR="00B11D04">
        <w:rPr>
          <w:lang w:val="es-ES_tradnl"/>
        </w:rPr>
        <w:t xml:space="preserve"> y d</w:t>
      </w:r>
      <w:r>
        <w:rPr>
          <w:lang w:val="es-ES_tradnl"/>
        </w:rPr>
        <w:t xml:space="preserve">e ese porcentaje, el 19,6% correspondería a financiación realizada a través del mercado de capitales y el 58,9% sería deuda no cotizada. El restante 21,5% correspondería a aportaciones de </w:t>
      </w:r>
      <w:proofErr w:type="spellStart"/>
      <w:r w:rsidRPr="00FE3157">
        <w:rPr>
          <w:i/>
          <w:lang w:val="es-ES_tradnl"/>
        </w:rPr>
        <w:t>equity</w:t>
      </w:r>
      <w:proofErr w:type="spellEnd"/>
      <w:r>
        <w:rPr>
          <w:lang w:val="es-ES_tradnl"/>
        </w:rPr>
        <w:t xml:space="preserve"> realizadas por las empresas ejecutoras.   </w:t>
      </w:r>
    </w:p>
    <w:p w14:paraId="237A02D0" w14:textId="68EA88D0" w:rsidR="00B87895" w:rsidRDefault="00D2455B" w:rsidP="00226F2B">
      <w:pPr>
        <w:jc w:val="both"/>
        <w:rPr>
          <w:lang w:val="es-ES"/>
        </w:rPr>
      </w:pPr>
      <w:r w:rsidRPr="00B87895">
        <w:rPr>
          <w:lang w:val="es-ES"/>
        </w:rPr>
        <w:t>Los bancos</w:t>
      </w:r>
      <w:r w:rsidR="00B87895">
        <w:rPr>
          <w:lang w:val="es-ES"/>
        </w:rPr>
        <w:t xml:space="preserve"> locales</w:t>
      </w:r>
      <w:r w:rsidRPr="00B87895">
        <w:rPr>
          <w:lang w:val="es-ES"/>
        </w:rPr>
        <w:t xml:space="preserve"> no tienen mucha experiencia </w:t>
      </w:r>
      <w:r w:rsidR="00B87895" w:rsidRPr="00B87895">
        <w:rPr>
          <w:lang w:val="es-ES"/>
        </w:rPr>
        <w:t xml:space="preserve">en la financiación de </w:t>
      </w:r>
      <w:r w:rsidR="00B87895">
        <w:rPr>
          <w:lang w:val="es-ES"/>
        </w:rPr>
        <w:t xml:space="preserve">Project finance. Ha sido habitual que en los proyectos privados de energía los inversores extranjeros </w:t>
      </w:r>
      <w:r w:rsidR="00FE3157">
        <w:rPr>
          <w:lang w:val="es-ES"/>
        </w:rPr>
        <w:t xml:space="preserve">(sponsors) </w:t>
      </w:r>
      <w:r w:rsidR="00B87895">
        <w:rPr>
          <w:lang w:val="es-ES"/>
        </w:rPr>
        <w:t>viniesen acompañados</w:t>
      </w:r>
      <w:r w:rsidR="007324D5">
        <w:rPr>
          <w:lang w:val="es-ES"/>
        </w:rPr>
        <w:t xml:space="preserve"> por</w:t>
      </w:r>
      <w:r w:rsidR="00B87895">
        <w:rPr>
          <w:lang w:val="es-ES"/>
        </w:rPr>
        <w:t xml:space="preserve"> bancos extranjeros</w:t>
      </w:r>
      <w:r w:rsidR="007324D5">
        <w:rPr>
          <w:lang w:val="es-ES"/>
        </w:rPr>
        <w:t xml:space="preserve"> con financiación </w:t>
      </w:r>
      <w:r w:rsidR="00B87895">
        <w:rPr>
          <w:lang w:val="es-ES"/>
        </w:rPr>
        <w:t xml:space="preserve">en dólares. </w:t>
      </w:r>
      <w:r w:rsidR="00E11D03" w:rsidRPr="002E00D9">
        <w:rPr>
          <w:lang w:val="es-ES"/>
        </w:rPr>
        <w:t xml:space="preserve">En ocasiones específicas, los bancos comerciales locales </w:t>
      </w:r>
      <w:r w:rsidR="00B87895">
        <w:rPr>
          <w:lang w:val="es-ES"/>
        </w:rPr>
        <w:t xml:space="preserve">han </w:t>
      </w:r>
      <w:r w:rsidR="00E11D03" w:rsidRPr="002E00D9">
        <w:rPr>
          <w:lang w:val="es-ES"/>
        </w:rPr>
        <w:t>participa</w:t>
      </w:r>
      <w:r w:rsidR="00B87895">
        <w:rPr>
          <w:lang w:val="es-ES"/>
        </w:rPr>
        <w:t>do</w:t>
      </w:r>
      <w:r w:rsidR="00E11D03" w:rsidRPr="002E00D9">
        <w:rPr>
          <w:lang w:val="es-ES"/>
        </w:rPr>
        <w:t xml:space="preserve"> en préstamos sindicados con una duración </w:t>
      </w:r>
      <w:r w:rsidR="00B87895">
        <w:rPr>
          <w:lang w:val="es-ES"/>
        </w:rPr>
        <w:t xml:space="preserve">promedio </w:t>
      </w:r>
      <w:r w:rsidR="00E11D03" w:rsidRPr="002E00D9">
        <w:rPr>
          <w:lang w:val="es-ES"/>
        </w:rPr>
        <w:t>de 7-8 años</w:t>
      </w:r>
      <w:r w:rsidR="00B87895">
        <w:rPr>
          <w:lang w:val="es-ES"/>
        </w:rPr>
        <w:t xml:space="preserve"> y costes </w:t>
      </w:r>
      <w:r w:rsidR="00B87895">
        <w:rPr>
          <w:lang w:val="es-ES"/>
        </w:rPr>
        <w:lastRenderedPageBreak/>
        <w:t xml:space="preserve">aproximados de libor más </w:t>
      </w:r>
      <w:r w:rsidR="00946279">
        <w:rPr>
          <w:lang w:val="es-ES"/>
        </w:rPr>
        <w:t xml:space="preserve">200-250 puntos en los tramos A y más de 230-300 puntos en los tramos B (dependiendo de la complejidad, </w:t>
      </w:r>
      <w:r w:rsidR="00D0472B">
        <w:rPr>
          <w:lang w:val="es-ES"/>
        </w:rPr>
        <w:t>estatus</w:t>
      </w:r>
      <w:r w:rsidR="00946279">
        <w:rPr>
          <w:lang w:val="es-ES"/>
        </w:rPr>
        <w:t xml:space="preserve"> del </w:t>
      </w:r>
      <w:proofErr w:type="gramStart"/>
      <w:r w:rsidR="00946279">
        <w:rPr>
          <w:lang w:val="es-ES"/>
        </w:rPr>
        <w:t>sponsor</w:t>
      </w:r>
      <w:proofErr w:type="gramEnd"/>
      <w:r w:rsidR="00946279">
        <w:rPr>
          <w:lang w:val="es-ES"/>
        </w:rPr>
        <w:t xml:space="preserve"> </w:t>
      </w:r>
      <w:r w:rsidR="00FE3157">
        <w:rPr>
          <w:lang w:val="es-ES"/>
        </w:rPr>
        <w:t>(</w:t>
      </w:r>
      <w:r w:rsidR="00946279">
        <w:rPr>
          <w:lang w:val="es-ES"/>
        </w:rPr>
        <w:t>grado de inversión</w:t>
      </w:r>
      <w:r w:rsidR="00FE3157">
        <w:rPr>
          <w:lang w:val="es-ES"/>
        </w:rPr>
        <w:t>)</w:t>
      </w:r>
      <w:r w:rsidR="00946279">
        <w:rPr>
          <w:lang w:val="es-ES"/>
        </w:rPr>
        <w:t xml:space="preserve"> y garantías de los proyectos)</w:t>
      </w:r>
      <w:r w:rsidR="00B11D04">
        <w:rPr>
          <w:rStyle w:val="FootnoteReference"/>
          <w:lang w:val="es-ES"/>
        </w:rPr>
        <w:footnoteReference w:id="20"/>
      </w:r>
      <w:r w:rsidR="00946279">
        <w:rPr>
          <w:lang w:val="es-ES"/>
        </w:rPr>
        <w:t xml:space="preserve">. </w:t>
      </w:r>
      <w:r w:rsidR="00B87895">
        <w:rPr>
          <w:lang w:val="es-ES"/>
        </w:rPr>
        <w:t xml:space="preserve">BID </w:t>
      </w:r>
      <w:proofErr w:type="spellStart"/>
      <w:r w:rsidR="00B87895">
        <w:rPr>
          <w:lang w:val="es-ES"/>
        </w:rPr>
        <w:t>Invest</w:t>
      </w:r>
      <w:proofErr w:type="spellEnd"/>
      <w:r w:rsidR="00B87895">
        <w:rPr>
          <w:lang w:val="es-ES"/>
        </w:rPr>
        <w:t xml:space="preserve"> ha contribuido bastante </w:t>
      </w:r>
      <w:r w:rsidR="00FE3157">
        <w:rPr>
          <w:lang w:val="es-ES"/>
        </w:rPr>
        <w:t>en la financiación de infraestructura en Uruguay y en</w:t>
      </w:r>
      <w:r w:rsidR="00B87895">
        <w:rPr>
          <w:lang w:val="es-ES"/>
        </w:rPr>
        <w:t xml:space="preserve"> la innovación</w:t>
      </w:r>
      <w:r w:rsidR="00FE3157">
        <w:rPr>
          <w:lang w:val="es-ES"/>
        </w:rPr>
        <w:t xml:space="preserve"> a través de esquemas d</w:t>
      </w:r>
      <w:r w:rsidR="00B87895">
        <w:rPr>
          <w:lang w:val="es-ES"/>
        </w:rPr>
        <w:t>e sindicación</w:t>
      </w:r>
      <w:r w:rsidR="00946279">
        <w:rPr>
          <w:lang w:val="es-ES"/>
        </w:rPr>
        <w:t xml:space="preserve">, </w:t>
      </w:r>
      <w:r w:rsidR="00FE3157">
        <w:rPr>
          <w:lang w:val="es-ES"/>
        </w:rPr>
        <w:t xml:space="preserve">contribuyendo </w:t>
      </w:r>
      <w:r w:rsidR="00946279">
        <w:rPr>
          <w:lang w:val="es-ES"/>
        </w:rPr>
        <w:t xml:space="preserve">sobre todo </w:t>
      </w:r>
      <w:r w:rsidR="00FE3157">
        <w:rPr>
          <w:lang w:val="es-ES"/>
        </w:rPr>
        <w:t xml:space="preserve">en el </w:t>
      </w:r>
      <w:r w:rsidR="00946279">
        <w:rPr>
          <w:lang w:val="es-ES"/>
        </w:rPr>
        <w:t>aument</w:t>
      </w:r>
      <w:r w:rsidR="00FE3157">
        <w:rPr>
          <w:lang w:val="es-ES"/>
        </w:rPr>
        <w:t>o de</w:t>
      </w:r>
      <w:r w:rsidR="00946279">
        <w:rPr>
          <w:lang w:val="es-ES"/>
        </w:rPr>
        <w:t xml:space="preserve"> plazos. </w:t>
      </w:r>
    </w:p>
    <w:p w14:paraId="0F686C12" w14:textId="77777777" w:rsidR="00D0472B" w:rsidRDefault="00D0472B" w:rsidP="00D0472B">
      <w:pPr>
        <w:jc w:val="both"/>
        <w:rPr>
          <w:lang w:val="es-ES_tradnl"/>
        </w:rPr>
      </w:pPr>
      <w:r w:rsidRPr="00E11D03">
        <w:rPr>
          <w:lang w:val="es-ES_tradnl"/>
        </w:rPr>
        <w:t>Entre los principales títulos del mercado de capitales, es</w:t>
      </w:r>
      <w:r>
        <w:rPr>
          <w:lang w:val="es-ES_tradnl"/>
        </w:rPr>
        <w:t xml:space="preserve"> habitual que en Uruguay se usen las obligaciones negociables, títulos de deuda similares a los bonos que son emitidos por las empresas privadas. Es un instrumento que ha sido usado con frecuencia por la UTE (energía), CVU y la concesionaria del Aeropuerto de Carrasco (transporte), así como las empresas del sector petroquímico. Se espera que una parte de la financiación de los nuevos proyectos de PPP sean financiados a través emisiones de obligaciones negociables. </w:t>
      </w:r>
    </w:p>
    <w:p w14:paraId="457BCC2B" w14:textId="6A8208D3" w:rsidR="00245582" w:rsidRDefault="00E11D03" w:rsidP="00226F2B">
      <w:pPr>
        <w:jc w:val="both"/>
        <w:rPr>
          <w:lang w:val="es-ES_tradnl"/>
        </w:rPr>
      </w:pPr>
      <w:r>
        <w:rPr>
          <w:lang w:val="es-ES_tradnl"/>
        </w:rPr>
        <w:t>También e</w:t>
      </w:r>
      <w:r w:rsidR="00AD7F50">
        <w:rPr>
          <w:lang w:val="es-ES_tradnl"/>
        </w:rPr>
        <w:t xml:space="preserve">s frecuente que existan títulos de deuda emitidos por fidecomisos </w:t>
      </w:r>
      <w:r>
        <w:rPr>
          <w:lang w:val="es-ES_tradnl"/>
        </w:rPr>
        <w:t>(fondos fiduciarios) de acuerdo con la ley de 2003</w:t>
      </w:r>
      <w:r w:rsidR="004443A9">
        <w:rPr>
          <w:lang w:val="es-ES_tradnl"/>
        </w:rPr>
        <w:t xml:space="preserve"> (ver apartado 2)</w:t>
      </w:r>
      <w:r w:rsidR="00AD7F50">
        <w:rPr>
          <w:lang w:val="es-ES_tradnl"/>
        </w:rPr>
        <w:t>. La figura de</w:t>
      </w:r>
      <w:r w:rsidR="00FE3157">
        <w:rPr>
          <w:lang w:val="es-ES_tradnl"/>
        </w:rPr>
        <w:t xml:space="preserve"> fidecomiso</w:t>
      </w:r>
      <w:r w:rsidR="00AD7F50">
        <w:rPr>
          <w:lang w:val="es-ES_tradnl"/>
        </w:rPr>
        <w:t xml:space="preserve"> ha sido usada en el pasado </w:t>
      </w:r>
      <w:r w:rsidR="00EA22AD">
        <w:rPr>
          <w:lang w:val="es-ES_tradnl"/>
        </w:rPr>
        <w:t xml:space="preserve">por la UTE, especialmente para proyectos eólicos (proyectos de Pampa, Arias y </w:t>
      </w:r>
      <w:proofErr w:type="spellStart"/>
      <w:r w:rsidR="00EA22AD">
        <w:rPr>
          <w:lang w:val="es-ES_tradnl"/>
        </w:rPr>
        <w:t>Valentines</w:t>
      </w:r>
      <w:proofErr w:type="spellEnd"/>
      <w:r w:rsidR="00EA22AD">
        <w:rPr>
          <w:lang w:val="es-ES_tradnl"/>
        </w:rPr>
        <w:t>)</w:t>
      </w:r>
      <w:r w:rsidR="004443A9">
        <w:rPr>
          <w:lang w:val="es-ES_tradnl"/>
        </w:rPr>
        <w:t xml:space="preserve"> e incluso por Intendencias Departamentales regionales</w:t>
      </w:r>
      <w:r w:rsidR="00EA22AD">
        <w:rPr>
          <w:lang w:val="es-ES_tradnl"/>
        </w:rPr>
        <w:t xml:space="preserve">.  </w:t>
      </w:r>
      <w:r w:rsidR="004443A9">
        <w:rPr>
          <w:lang w:val="es-ES_tradnl"/>
        </w:rPr>
        <w:t>En Uruguay no son muy habituales los fondos de inversión para la compra de acciones (</w:t>
      </w:r>
      <w:proofErr w:type="spellStart"/>
      <w:r w:rsidR="004443A9">
        <w:rPr>
          <w:lang w:val="es-ES_tradnl"/>
        </w:rPr>
        <w:t>equity</w:t>
      </w:r>
      <w:proofErr w:type="spellEnd"/>
      <w:r w:rsidR="004443A9">
        <w:rPr>
          <w:lang w:val="es-ES_tradnl"/>
        </w:rPr>
        <w:t xml:space="preserve">), pero a partir de 2011 con la creación de un fidecomiso financiero forestal de la empresa BDU se empezó a desarrollar la figura de certificados de participación en fidecomisos (similar </w:t>
      </w:r>
      <w:r w:rsidR="007C46AB">
        <w:rPr>
          <w:lang w:val="es-ES_tradnl"/>
        </w:rPr>
        <w:t xml:space="preserve">a las </w:t>
      </w:r>
      <w:r w:rsidR="004443A9">
        <w:rPr>
          <w:lang w:val="es-ES_tradnl"/>
        </w:rPr>
        <w:t>acci</w:t>
      </w:r>
      <w:r w:rsidR="007C46AB">
        <w:rPr>
          <w:lang w:val="es-ES_tradnl"/>
        </w:rPr>
        <w:t>o</w:t>
      </w:r>
      <w:r w:rsidR="004443A9">
        <w:rPr>
          <w:lang w:val="es-ES_tradnl"/>
        </w:rPr>
        <w:t>n</w:t>
      </w:r>
      <w:r w:rsidR="007C46AB">
        <w:rPr>
          <w:lang w:val="es-ES_tradnl"/>
        </w:rPr>
        <w:t>es</w:t>
      </w:r>
      <w:r w:rsidR="004443A9">
        <w:rPr>
          <w:lang w:val="es-ES_tradnl"/>
        </w:rPr>
        <w:t xml:space="preserve">) para comprar capital de empresas y no deuda corporativa. </w:t>
      </w:r>
      <w:r w:rsidR="00EA22AD">
        <w:rPr>
          <w:lang w:val="es-ES_tradnl"/>
        </w:rPr>
        <w:t xml:space="preserve">A través del fondo, se emitido certificados de participación que han sido adquiridos por las AFAP e inversores minoristas. </w:t>
      </w:r>
    </w:p>
    <w:p w14:paraId="15EDEAF7" w14:textId="57C178C4" w:rsidR="00FE3157" w:rsidRPr="00BD1ED6" w:rsidRDefault="00FE3157" w:rsidP="00FE3157">
      <w:pPr>
        <w:jc w:val="both"/>
        <w:rPr>
          <w:lang w:val="es-ES_tradnl"/>
        </w:rPr>
      </w:pPr>
      <w:r>
        <w:rPr>
          <w:lang w:val="es-ES_tradnl"/>
        </w:rPr>
        <w:t>Los fidecomisos en Uruguay pueden colocar títulos de deuda (obligaciones negociables), certificación de participaciones o emisiones mixtas. Actualmente hay 14 fiduciarios financieros registrados en el BCU, que pueden estructurar y gestionar fideicomisos. Entre ellos, los grandes bancos BANDES, BBVA, Banco Hipotecario, BROU, la Agencia Nacional de Vivienda, CONAFIN AFISA (de la CND)</w:t>
      </w:r>
      <w:r w:rsidR="007C46AB">
        <w:rPr>
          <w:rStyle w:val="FootnoteReference"/>
          <w:lang w:val="es-ES_tradnl"/>
        </w:rPr>
        <w:footnoteReference w:id="21"/>
      </w:r>
      <w:r>
        <w:rPr>
          <w:lang w:val="es-ES_tradnl"/>
        </w:rPr>
        <w:t xml:space="preserve">. </w:t>
      </w:r>
    </w:p>
    <w:p w14:paraId="206D744A" w14:textId="48761153" w:rsidR="004443A9" w:rsidRDefault="004443A9" w:rsidP="004443A9">
      <w:pPr>
        <w:jc w:val="both"/>
        <w:rPr>
          <w:lang w:val="es-ES_tradnl"/>
        </w:rPr>
      </w:pPr>
      <w:r>
        <w:rPr>
          <w:lang w:val="es-ES_tradnl"/>
        </w:rPr>
        <w:t xml:space="preserve">En el proyecto Eólico de la Pampa, la UTE emitió certificados de participación por un valor de entre US$ 97 y 100 millones (con una inversión mínima minorista de US$ 1,000). La rentabilidad esperada de este título era del 11% anual y tenía dividendos anuales por un plazo de 20 años. Participaron cerca de 4,000 inversores minoristas uruguayos. La oferta inicial para minoristas era de US$ 15 millones y los ahorristas demandaron certificados por valor de 100 millones. </w:t>
      </w:r>
    </w:p>
    <w:p w14:paraId="691A27BC" w14:textId="487BD4B3" w:rsidR="00D0472B" w:rsidRDefault="00D0472B" w:rsidP="00D0472B">
      <w:pPr>
        <w:jc w:val="both"/>
        <w:rPr>
          <w:lang w:val="es-ES_tradnl"/>
        </w:rPr>
      </w:pPr>
      <w:r>
        <w:rPr>
          <w:lang w:val="es-ES_tradnl"/>
        </w:rPr>
        <w:t xml:space="preserve">Como se mencionaba en el apartado anterior, la importancia relativa de las bolsas en el acceso a financiación es hasta el momento bastante pequeña y </w:t>
      </w:r>
      <w:r w:rsidR="00FE3157">
        <w:rPr>
          <w:lang w:val="es-ES_tradnl"/>
        </w:rPr>
        <w:t xml:space="preserve">salvo excepciones, </w:t>
      </w:r>
      <w:r>
        <w:rPr>
          <w:lang w:val="es-ES_tradnl"/>
        </w:rPr>
        <w:t xml:space="preserve">no es habitual que se transe </w:t>
      </w:r>
      <w:r w:rsidR="00FE3157">
        <w:rPr>
          <w:lang w:val="es-ES_tradnl"/>
        </w:rPr>
        <w:t>títulos de acciones (</w:t>
      </w:r>
      <w:proofErr w:type="spellStart"/>
      <w:r w:rsidR="00FE3157" w:rsidRPr="00FE3157">
        <w:rPr>
          <w:i/>
          <w:lang w:val="es-ES_tradnl"/>
        </w:rPr>
        <w:t>equity</w:t>
      </w:r>
      <w:proofErr w:type="spellEnd"/>
      <w:r w:rsidR="00FE3157">
        <w:rPr>
          <w:i/>
          <w:lang w:val="es-ES_tradnl"/>
        </w:rPr>
        <w:t>)</w:t>
      </w:r>
      <w:r w:rsidRPr="00FE3157">
        <w:rPr>
          <w:i/>
          <w:lang w:val="es-ES_tradnl"/>
        </w:rPr>
        <w:t xml:space="preserve"> </w:t>
      </w:r>
      <w:r>
        <w:rPr>
          <w:lang w:val="es-ES_tradnl"/>
        </w:rPr>
        <w:t xml:space="preserve">para proyectos de infraestructura. El </w:t>
      </w:r>
      <w:proofErr w:type="spellStart"/>
      <w:r>
        <w:rPr>
          <w:lang w:val="es-ES_tradnl"/>
        </w:rPr>
        <w:t>equity</w:t>
      </w:r>
      <w:proofErr w:type="spellEnd"/>
      <w:r>
        <w:rPr>
          <w:lang w:val="es-ES_tradnl"/>
        </w:rPr>
        <w:t xml:space="preserve"> necesario para un proyecto suele ser aportado al inicio del mismo por las empresas constructoras y concesionarias y no suele haber inversores adicionales que no participen directamente en la ejecución del proyecto. </w:t>
      </w:r>
    </w:p>
    <w:p w14:paraId="5012C5AC" w14:textId="79E6C536" w:rsidR="00D0472B" w:rsidRDefault="00D0472B" w:rsidP="00226F2B">
      <w:pPr>
        <w:jc w:val="both"/>
        <w:rPr>
          <w:lang w:val="es-ES_tradnl"/>
        </w:rPr>
      </w:pPr>
    </w:p>
    <w:p w14:paraId="6CE084B5" w14:textId="5481A7E5" w:rsidR="00245582" w:rsidRPr="00FE7163" w:rsidRDefault="003D678A" w:rsidP="003D678A">
      <w:pPr>
        <w:pStyle w:val="Heading1"/>
        <w:rPr>
          <w:lang w:val="es-ES_tradnl"/>
        </w:rPr>
      </w:pPr>
      <w:bookmarkStart w:id="9" w:name="_Toc525574924"/>
      <w:r>
        <w:rPr>
          <w:lang w:val="es-ES_tradnl"/>
        </w:rPr>
        <w:t>D</w:t>
      </w:r>
      <w:r w:rsidR="00136FB8" w:rsidRPr="00FE7163">
        <w:rPr>
          <w:lang w:val="es-ES_tradnl"/>
        </w:rPr>
        <w:t xml:space="preserve">esafíos </w:t>
      </w:r>
      <w:r w:rsidR="00276B65">
        <w:rPr>
          <w:lang w:val="es-ES_tradnl"/>
        </w:rPr>
        <w:t xml:space="preserve">en la financiación </w:t>
      </w:r>
      <w:r w:rsidR="00133A46">
        <w:rPr>
          <w:lang w:val="es-ES_tradnl"/>
        </w:rPr>
        <w:t>privada y de</w:t>
      </w:r>
      <w:r w:rsidR="00276B65">
        <w:rPr>
          <w:lang w:val="es-ES_tradnl"/>
        </w:rPr>
        <w:t xml:space="preserve"> </w:t>
      </w:r>
      <w:proofErr w:type="spellStart"/>
      <w:r w:rsidR="00276B65">
        <w:rPr>
          <w:lang w:val="es-ES_tradnl"/>
        </w:rPr>
        <w:t>PPPs</w:t>
      </w:r>
      <w:bookmarkEnd w:id="9"/>
      <w:proofErr w:type="spellEnd"/>
    </w:p>
    <w:p w14:paraId="50FA8C29" w14:textId="77777777" w:rsidR="00FE7163" w:rsidRPr="00FE7163" w:rsidRDefault="00FE7163" w:rsidP="00FE7163">
      <w:pPr>
        <w:pStyle w:val="ListParagraph"/>
        <w:ind w:left="1080"/>
        <w:jc w:val="both"/>
        <w:rPr>
          <w:lang w:val="es-ES_tradnl"/>
        </w:rPr>
      </w:pPr>
    </w:p>
    <w:p w14:paraId="7C1A496C" w14:textId="43A3A7A8" w:rsidR="009A04A7" w:rsidRDefault="009A04A7" w:rsidP="00226F2B">
      <w:pPr>
        <w:jc w:val="both"/>
        <w:rPr>
          <w:lang w:val="es-ES_tradnl"/>
        </w:rPr>
      </w:pPr>
      <w:r>
        <w:rPr>
          <w:lang w:val="es-ES_tradnl"/>
        </w:rPr>
        <w:t xml:space="preserve">Uruguay </w:t>
      </w:r>
      <w:r w:rsidR="00474564">
        <w:rPr>
          <w:lang w:val="es-ES_tradnl"/>
        </w:rPr>
        <w:t>ha conseguido desarrollar un marco</w:t>
      </w:r>
      <w:r w:rsidR="00333A29">
        <w:rPr>
          <w:lang w:val="es-ES_tradnl"/>
        </w:rPr>
        <w:t xml:space="preserve"> relativamente</w:t>
      </w:r>
      <w:r w:rsidR="00474564">
        <w:rPr>
          <w:lang w:val="es-ES_tradnl"/>
        </w:rPr>
        <w:t xml:space="preserve"> </w:t>
      </w:r>
      <w:r w:rsidR="00EA116E">
        <w:rPr>
          <w:lang w:val="es-ES_tradnl"/>
        </w:rPr>
        <w:t>estable,</w:t>
      </w:r>
      <w:r w:rsidR="00333A29">
        <w:rPr>
          <w:lang w:val="es-ES_tradnl"/>
        </w:rPr>
        <w:t xml:space="preserve"> aunque limitado</w:t>
      </w:r>
      <w:r w:rsidR="00FE3157">
        <w:rPr>
          <w:lang w:val="es-ES_tradnl"/>
        </w:rPr>
        <w:t>, en cuanto a volumen de recursos</w:t>
      </w:r>
      <w:r w:rsidR="00850C32">
        <w:rPr>
          <w:lang w:val="es-ES_tradnl"/>
        </w:rPr>
        <w:t xml:space="preserve"> existentes</w:t>
      </w:r>
      <w:r w:rsidR="00474564">
        <w:rPr>
          <w:lang w:val="es-ES_tradnl"/>
        </w:rPr>
        <w:t xml:space="preserve"> para la financiación de proyectos de PPP e infraestructura privada</w:t>
      </w:r>
      <w:r w:rsidR="00EA116E">
        <w:rPr>
          <w:lang w:val="es-ES_tradnl"/>
        </w:rPr>
        <w:t xml:space="preserve">. </w:t>
      </w:r>
      <w:r w:rsidR="00850C32">
        <w:rPr>
          <w:lang w:val="es-ES_tradnl"/>
        </w:rPr>
        <w:t>El país t</w:t>
      </w:r>
      <w:r w:rsidR="00474564">
        <w:rPr>
          <w:lang w:val="es-ES_tradnl"/>
        </w:rPr>
        <w:t xml:space="preserve">odavía se enfrenta a algunos desafíos que </w:t>
      </w:r>
      <w:r w:rsidR="00EA116E">
        <w:rPr>
          <w:lang w:val="es-ES_tradnl"/>
        </w:rPr>
        <w:t xml:space="preserve">les permita </w:t>
      </w:r>
      <w:r w:rsidR="00333A29">
        <w:rPr>
          <w:lang w:val="es-ES_tradnl"/>
        </w:rPr>
        <w:t>perfe</w:t>
      </w:r>
      <w:r w:rsidR="00EA116E">
        <w:rPr>
          <w:lang w:val="es-ES_tradnl"/>
        </w:rPr>
        <w:t>ccionar</w:t>
      </w:r>
      <w:r w:rsidR="00474564">
        <w:rPr>
          <w:lang w:val="es-ES_tradnl"/>
        </w:rPr>
        <w:t xml:space="preserve"> el marco institucional y</w:t>
      </w:r>
      <w:r w:rsidR="00EA116E">
        <w:rPr>
          <w:lang w:val="es-ES_tradnl"/>
        </w:rPr>
        <w:t xml:space="preserve"> acceder</w:t>
      </w:r>
      <w:r w:rsidR="00333A29">
        <w:rPr>
          <w:lang w:val="es-ES_tradnl"/>
        </w:rPr>
        <w:t xml:space="preserve"> a mayores recursos </w:t>
      </w:r>
      <w:r w:rsidR="00474564">
        <w:rPr>
          <w:lang w:val="es-ES_tradnl"/>
        </w:rPr>
        <w:t>de financiación</w:t>
      </w:r>
      <w:r w:rsidR="00333A29">
        <w:rPr>
          <w:lang w:val="es-ES_tradnl"/>
        </w:rPr>
        <w:t>, teniendo en cuenta las necesidades de inversión en infraestructura que tiene el país</w:t>
      </w:r>
      <w:r w:rsidR="00474564">
        <w:rPr>
          <w:lang w:val="es-ES_tradnl"/>
        </w:rPr>
        <w:t xml:space="preserve">. </w:t>
      </w:r>
    </w:p>
    <w:p w14:paraId="1FA20A04" w14:textId="7863AC9F" w:rsidR="007A74F2" w:rsidRDefault="00333A29" w:rsidP="00226F2B">
      <w:pPr>
        <w:jc w:val="both"/>
        <w:rPr>
          <w:lang w:val="es-ES_tradnl"/>
        </w:rPr>
      </w:pPr>
      <w:r>
        <w:rPr>
          <w:lang w:val="es-ES_tradnl"/>
        </w:rPr>
        <w:t xml:space="preserve">Una de las prioridades del gobierno ha sido la de estar en contacto permanente con el sector financiero para fomentar y mejorar </w:t>
      </w:r>
      <w:r w:rsidR="00BF0570">
        <w:rPr>
          <w:lang w:val="es-ES_tradnl"/>
        </w:rPr>
        <w:t>el acceso financiero</w:t>
      </w:r>
      <w:r>
        <w:rPr>
          <w:lang w:val="es-ES_tradnl"/>
        </w:rPr>
        <w:t xml:space="preserve">. Entre los </w:t>
      </w:r>
      <w:r w:rsidR="00474564">
        <w:rPr>
          <w:lang w:val="es-ES_tradnl"/>
        </w:rPr>
        <w:t xml:space="preserve">principales desafíos </w:t>
      </w:r>
      <w:r w:rsidR="00BF0570">
        <w:rPr>
          <w:lang w:val="es-ES_tradnl"/>
        </w:rPr>
        <w:t xml:space="preserve">encontrados en el ámbito financiero destaca </w:t>
      </w:r>
      <w:r w:rsidR="00474564">
        <w:rPr>
          <w:lang w:val="es-ES_tradnl"/>
        </w:rPr>
        <w:t xml:space="preserve">la baja participación de la banca local en la financiación de proyectos y </w:t>
      </w:r>
      <w:r w:rsidR="007A74F2">
        <w:rPr>
          <w:lang w:val="es-ES_tradnl"/>
        </w:rPr>
        <w:t>el bajo porcentaje de proyectos financiados en moneda local. Es habitual que los proyectos sean financiados en dólares</w:t>
      </w:r>
      <w:r w:rsidR="00B6289A">
        <w:rPr>
          <w:lang w:val="es-ES_tradnl"/>
        </w:rPr>
        <w:t xml:space="preserve"> americanos y</w:t>
      </w:r>
      <w:r w:rsidR="007A74F2">
        <w:rPr>
          <w:lang w:val="es-ES_tradnl"/>
        </w:rPr>
        <w:t xml:space="preserve"> por bancos extranjeros.</w:t>
      </w:r>
      <w:r w:rsidR="00CD408A">
        <w:rPr>
          <w:lang w:val="es-ES_tradnl"/>
        </w:rPr>
        <w:t xml:space="preserve"> La financiación en UI es todavía minoritaria. </w:t>
      </w:r>
    </w:p>
    <w:p w14:paraId="1411D5C5" w14:textId="4F52B542" w:rsidR="00BF0570" w:rsidRDefault="00156B64" w:rsidP="00156B64">
      <w:pPr>
        <w:jc w:val="both"/>
        <w:rPr>
          <w:lang w:val="es-ES_tradnl"/>
        </w:rPr>
      </w:pPr>
      <w:r>
        <w:rPr>
          <w:lang w:val="es-ES_tradnl"/>
        </w:rPr>
        <w:t xml:space="preserve">El </w:t>
      </w:r>
      <w:r w:rsidR="00333A29">
        <w:rPr>
          <w:lang w:val="es-ES_tradnl"/>
        </w:rPr>
        <w:t xml:space="preserve">Ministerio de Economía y Finanzas (MEF) </w:t>
      </w:r>
      <w:r>
        <w:rPr>
          <w:lang w:val="es-ES_tradnl"/>
        </w:rPr>
        <w:t xml:space="preserve">ha </w:t>
      </w:r>
      <w:r w:rsidR="00BF0570">
        <w:rPr>
          <w:lang w:val="es-ES_tradnl"/>
        </w:rPr>
        <w:t>desarrollado y tiene intención de desarrollar varias iniciativas y proyectos que favorezcan la financiación de infraestructura, particularmente en moneda local. La ventaja de contar con financiación en moneda local (UI) es que evita que los bancos locales se expongan a riesgos por descalce de activos-pasivos y disminu</w:t>
      </w:r>
      <w:r w:rsidR="00C4421D">
        <w:rPr>
          <w:lang w:val="es-ES_tradnl"/>
        </w:rPr>
        <w:t>ya</w:t>
      </w:r>
      <w:r w:rsidR="00BF0570">
        <w:rPr>
          <w:lang w:val="es-ES_tradnl"/>
        </w:rPr>
        <w:t xml:space="preserve"> la volatilidad por riesgo de contagio internacional en el mercado de divisas. Una de las iniciativas del MEF en este sentido has sido </w:t>
      </w:r>
      <w:r>
        <w:rPr>
          <w:lang w:val="es-ES_tradnl"/>
        </w:rPr>
        <w:t>consolidar las curvas de rendimiento de bonos en UI</w:t>
      </w:r>
      <w:r w:rsidR="00B9243E">
        <w:rPr>
          <w:lang w:val="es-ES_tradnl"/>
        </w:rPr>
        <w:t xml:space="preserve"> mediante la emisión de </w:t>
      </w:r>
      <w:r w:rsidR="00716675">
        <w:rPr>
          <w:lang w:val="es-ES_tradnl"/>
        </w:rPr>
        <w:t>títulos de deuda pública</w:t>
      </w:r>
      <w:r>
        <w:rPr>
          <w:lang w:val="es-ES_tradnl"/>
        </w:rPr>
        <w:t xml:space="preserve"> en nodos relevantes</w:t>
      </w:r>
      <w:r w:rsidR="008134F7">
        <w:rPr>
          <w:lang w:val="es-ES_tradnl"/>
        </w:rPr>
        <w:t xml:space="preserve"> y alargar l</w:t>
      </w:r>
      <w:r w:rsidR="001D7DBA">
        <w:rPr>
          <w:lang w:val="es-ES_tradnl"/>
        </w:rPr>
        <w:t xml:space="preserve">a duración </w:t>
      </w:r>
      <w:r w:rsidR="008134F7" w:rsidRPr="001D7DBA">
        <w:rPr>
          <w:lang w:val="es-ES_tradnl"/>
        </w:rPr>
        <w:t xml:space="preserve">de </w:t>
      </w:r>
      <w:r w:rsidR="001D7DBA" w:rsidRPr="001D7DBA">
        <w:rPr>
          <w:lang w:val="es-ES_tradnl"/>
        </w:rPr>
        <w:t xml:space="preserve">los títulos de </w:t>
      </w:r>
      <w:r w:rsidR="008134F7" w:rsidRPr="001D7DBA">
        <w:rPr>
          <w:lang w:val="es-ES_tradnl"/>
        </w:rPr>
        <w:t>deuda pública (hoy en 13 años en promedio)</w:t>
      </w:r>
      <w:r>
        <w:rPr>
          <w:lang w:val="es-ES_tradnl"/>
        </w:rPr>
        <w:t xml:space="preserve">. Las tasas de UI en bonos soberanos </w:t>
      </w:r>
      <w:r w:rsidR="00BF0570">
        <w:rPr>
          <w:lang w:val="es-ES_tradnl"/>
        </w:rPr>
        <w:t>sirven</w:t>
      </w:r>
      <w:r w:rsidR="00C4421D">
        <w:rPr>
          <w:lang w:val="es-ES_tradnl"/>
        </w:rPr>
        <w:t xml:space="preserve"> como</w:t>
      </w:r>
      <w:r w:rsidR="00BF0570">
        <w:rPr>
          <w:lang w:val="es-ES_tradnl"/>
        </w:rPr>
        <w:t xml:space="preserve"> referencia directa para los costos de financiación en proyectos</w:t>
      </w:r>
      <w:r w:rsidR="00C4421D">
        <w:rPr>
          <w:lang w:val="es-ES_tradnl"/>
        </w:rPr>
        <w:t xml:space="preserve"> de largo plazo</w:t>
      </w:r>
      <w:r w:rsidR="00BF0570">
        <w:rPr>
          <w:lang w:val="es-ES_tradnl"/>
        </w:rPr>
        <w:t xml:space="preserve"> y </w:t>
      </w:r>
      <w:r w:rsidR="00C4421D">
        <w:rPr>
          <w:lang w:val="es-ES_tradnl"/>
        </w:rPr>
        <w:t xml:space="preserve">orientan </w:t>
      </w:r>
      <w:r w:rsidR="00BF0570">
        <w:rPr>
          <w:lang w:val="es-ES_tradnl"/>
        </w:rPr>
        <w:t xml:space="preserve">las decisiones de inversión privada. </w:t>
      </w:r>
    </w:p>
    <w:p w14:paraId="3D9948B6" w14:textId="4BEFEAA7" w:rsidR="007A74F2" w:rsidRDefault="00BF0570" w:rsidP="007A74F2">
      <w:pPr>
        <w:jc w:val="both"/>
        <w:rPr>
          <w:lang w:val="es-ES_tradnl"/>
        </w:rPr>
      </w:pPr>
      <w:r>
        <w:rPr>
          <w:lang w:val="es-ES_tradnl"/>
        </w:rPr>
        <w:t>Aunque la</w:t>
      </w:r>
      <w:r w:rsidR="007A74F2">
        <w:rPr>
          <w:lang w:val="es-ES_tradnl"/>
        </w:rPr>
        <w:t xml:space="preserve"> escasa participación de los bancos locales se explica</w:t>
      </w:r>
      <w:r w:rsidR="00C4421D">
        <w:rPr>
          <w:lang w:val="es-ES_tradnl"/>
        </w:rPr>
        <w:t xml:space="preserve"> también</w:t>
      </w:r>
      <w:r w:rsidR="007A74F2">
        <w:rPr>
          <w:lang w:val="es-ES_tradnl"/>
        </w:rPr>
        <w:t xml:space="preserve"> por varios factores</w:t>
      </w:r>
      <w:r>
        <w:rPr>
          <w:lang w:val="es-ES_tradnl"/>
        </w:rPr>
        <w:t xml:space="preserve"> adicionales</w:t>
      </w:r>
      <w:r w:rsidR="00C4421D">
        <w:rPr>
          <w:lang w:val="es-ES_tradnl"/>
        </w:rPr>
        <w:t xml:space="preserve"> y complementarios</w:t>
      </w:r>
      <w:r w:rsidR="0078161E">
        <w:rPr>
          <w:lang w:val="es-ES_tradnl"/>
        </w:rPr>
        <w:t xml:space="preserve">. El principal es que las nuevas normas de Basilea III penalizan </w:t>
      </w:r>
      <w:r w:rsidR="003900E5">
        <w:rPr>
          <w:lang w:val="es-ES_tradnl"/>
        </w:rPr>
        <w:t xml:space="preserve">en exceso </w:t>
      </w:r>
      <w:r w:rsidR="0078161E">
        <w:rPr>
          <w:lang w:val="es-ES_tradnl"/>
        </w:rPr>
        <w:t>la financiación a largo plazo, exigiendo más garantías y reservas de capital</w:t>
      </w:r>
      <w:r w:rsidR="00C4421D">
        <w:rPr>
          <w:lang w:val="es-ES_tradnl"/>
        </w:rPr>
        <w:t xml:space="preserve"> y fondeo</w:t>
      </w:r>
      <w:r w:rsidR="00C4421D">
        <w:rPr>
          <w:rStyle w:val="FootnoteReference"/>
          <w:lang w:val="es-ES_tradnl"/>
        </w:rPr>
        <w:footnoteReference w:id="22"/>
      </w:r>
      <w:r w:rsidR="0078161E">
        <w:rPr>
          <w:lang w:val="es-ES_tradnl"/>
        </w:rPr>
        <w:t>. Además, el BCU establece límites de riesgo por valor de proyecto</w:t>
      </w:r>
      <w:r>
        <w:rPr>
          <w:lang w:val="es-ES_tradnl"/>
        </w:rPr>
        <w:t>/sector</w:t>
      </w:r>
      <w:r w:rsidR="0078161E">
        <w:rPr>
          <w:lang w:val="es-ES_tradnl"/>
        </w:rPr>
        <w:t xml:space="preserve"> y por grupo empresarial</w:t>
      </w:r>
      <w:r w:rsidR="003900E5">
        <w:rPr>
          <w:lang w:val="es-ES_tradnl"/>
        </w:rPr>
        <w:t>, lo que en la práctica limita a cualquier banco local a financiar más de US$ 30 millones por proyecto</w:t>
      </w:r>
      <w:r w:rsidR="0078161E">
        <w:rPr>
          <w:lang w:val="es-ES_tradnl"/>
        </w:rPr>
        <w:t xml:space="preserve">. Por otro lado, si se trata de financiación en dólares, los bancos </w:t>
      </w:r>
      <w:r w:rsidR="00C4421D">
        <w:rPr>
          <w:lang w:val="es-ES_tradnl"/>
        </w:rPr>
        <w:t xml:space="preserve">locales </w:t>
      </w:r>
      <w:r w:rsidR="0078161E">
        <w:rPr>
          <w:lang w:val="es-ES_tradnl"/>
        </w:rPr>
        <w:t>se enfrentan a descalces entre activo y pasivo debido al riesgo cambiario</w:t>
      </w:r>
      <w:r w:rsidR="003900E5">
        <w:rPr>
          <w:lang w:val="es-ES_tradnl"/>
        </w:rPr>
        <w:t xml:space="preserve"> y el plazo de la financiación</w:t>
      </w:r>
      <w:r w:rsidR="0078161E">
        <w:rPr>
          <w:lang w:val="es-ES_tradnl"/>
        </w:rPr>
        <w:t xml:space="preserve">. </w:t>
      </w:r>
      <w:r w:rsidR="00CD408A">
        <w:rPr>
          <w:lang w:val="es-ES_tradnl"/>
        </w:rPr>
        <w:t>No existen en Uruguay derivativos (swaps, opciones) que puedan cubrir el riesgo cambial para plazos tan largos como los que exige la financiación de infraestructura</w:t>
      </w:r>
      <w:r>
        <w:rPr>
          <w:lang w:val="es-ES_tradnl"/>
        </w:rPr>
        <w:t>. Ta</w:t>
      </w:r>
      <w:r w:rsidR="0078161E">
        <w:rPr>
          <w:lang w:val="es-ES_tradnl"/>
        </w:rPr>
        <w:t xml:space="preserve">mpoco </w:t>
      </w:r>
      <w:r>
        <w:rPr>
          <w:lang w:val="es-ES_tradnl"/>
        </w:rPr>
        <w:t xml:space="preserve">es </w:t>
      </w:r>
      <w:r w:rsidR="0078161E">
        <w:rPr>
          <w:lang w:val="es-ES_tradnl"/>
        </w:rPr>
        <w:t>una cuestión menor que</w:t>
      </w:r>
      <w:r w:rsidR="007A74F2">
        <w:rPr>
          <w:lang w:val="es-ES_tradnl"/>
        </w:rPr>
        <w:t xml:space="preserve"> los bancos comerciales locales no t</w:t>
      </w:r>
      <w:r w:rsidR="00C4421D">
        <w:rPr>
          <w:lang w:val="es-ES_tradnl"/>
        </w:rPr>
        <w:t>engan</w:t>
      </w:r>
      <w:r w:rsidR="007A74F2">
        <w:rPr>
          <w:lang w:val="es-ES_tradnl"/>
        </w:rPr>
        <w:t xml:space="preserve"> </w:t>
      </w:r>
      <w:r w:rsidR="003D678A">
        <w:rPr>
          <w:lang w:val="es-ES_tradnl"/>
        </w:rPr>
        <w:t>departamentos internos</w:t>
      </w:r>
      <w:r w:rsidR="007A74F2">
        <w:rPr>
          <w:lang w:val="es-ES_tradnl"/>
        </w:rPr>
        <w:t xml:space="preserve"> para evaluar </w:t>
      </w:r>
      <w:r w:rsidR="0078161E">
        <w:rPr>
          <w:lang w:val="es-ES_tradnl"/>
        </w:rPr>
        <w:t xml:space="preserve">estructuraciones de </w:t>
      </w:r>
      <w:r w:rsidR="007A74F2">
        <w:rPr>
          <w:lang w:val="es-ES_tradnl"/>
        </w:rPr>
        <w:t>Project finance</w:t>
      </w:r>
      <w:r w:rsidR="0078161E">
        <w:rPr>
          <w:lang w:val="es-ES_tradnl"/>
        </w:rPr>
        <w:t xml:space="preserve">.  </w:t>
      </w:r>
      <w:r w:rsidR="007A74F2">
        <w:rPr>
          <w:lang w:val="es-ES_tradnl"/>
        </w:rPr>
        <w:t xml:space="preserve"> </w:t>
      </w:r>
    </w:p>
    <w:p w14:paraId="063CBF53" w14:textId="6E53B5CE" w:rsidR="007A74F2" w:rsidRDefault="007A74F2" w:rsidP="00226F2B">
      <w:pPr>
        <w:jc w:val="both"/>
        <w:rPr>
          <w:lang w:val="es-ES_tradnl"/>
        </w:rPr>
      </w:pPr>
      <w:r>
        <w:rPr>
          <w:lang w:val="es-ES_tradnl"/>
        </w:rPr>
        <w:t>Otra razón que explica la baja financiación en moneda local está relacionada con la falta de experiencia de las constructoras locales en proyectos de mayor envergadura como los desarrollados a través de PPP o concesi</w:t>
      </w:r>
      <w:r w:rsidR="00BF0570">
        <w:rPr>
          <w:lang w:val="es-ES_tradnl"/>
        </w:rPr>
        <w:t>ones</w:t>
      </w:r>
      <w:r>
        <w:rPr>
          <w:lang w:val="es-ES_tradnl"/>
        </w:rPr>
        <w:t>. Por ejemplo, en el caso de energía la mayoría de los grupos que participaron en las concesiones de la UTE fueron corporaciones internacionales que pre</w:t>
      </w:r>
      <w:r w:rsidR="00BF0570">
        <w:rPr>
          <w:lang w:val="es-ES_tradnl"/>
        </w:rPr>
        <w:t>sentaron</w:t>
      </w:r>
      <w:r>
        <w:rPr>
          <w:lang w:val="es-ES_tradnl"/>
        </w:rPr>
        <w:t xml:space="preserve"> </w:t>
      </w:r>
      <w:r w:rsidR="00C4421D">
        <w:rPr>
          <w:lang w:val="es-ES_tradnl"/>
        </w:rPr>
        <w:t>sus</w:t>
      </w:r>
      <w:r>
        <w:rPr>
          <w:lang w:val="es-ES_tradnl"/>
        </w:rPr>
        <w:t xml:space="preserve"> ofertas financieras con</w:t>
      </w:r>
      <w:r w:rsidR="00BF0570">
        <w:rPr>
          <w:lang w:val="es-ES_tradnl"/>
        </w:rPr>
        <w:t xml:space="preserve"> </w:t>
      </w:r>
      <w:r w:rsidR="00BF0570">
        <w:rPr>
          <w:lang w:val="es-ES_tradnl"/>
        </w:rPr>
        <w:lastRenderedPageBreak/>
        <w:t>el respaldo de</w:t>
      </w:r>
      <w:r>
        <w:rPr>
          <w:lang w:val="es-ES_tradnl"/>
        </w:rPr>
        <w:t xml:space="preserve"> bancos internacionales con experiencia en la financiación de ese tipo de proyectos. Las constructoras locales aún tienen </w:t>
      </w:r>
      <w:r w:rsidR="00EA3950">
        <w:rPr>
          <w:lang w:val="es-ES_tradnl"/>
        </w:rPr>
        <w:t xml:space="preserve">también </w:t>
      </w:r>
      <w:r>
        <w:rPr>
          <w:lang w:val="es-ES_tradnl"/>
        </w:rPr>
        <w:t xml:space="preserve">poca experiencia en </w:t>
      </w:r>
      <w:r w:rsidR="0078161E">
        <w:rPr>
          <w:lang w:val="es-ES_tradnl"/>
        </w:rPr>
        <w:t>la</w:t>
      </w:r>
      <w:r>
        <w:rPr>
          <w:lang w:val="es-ES_tradnl"/>
        </w:rPr>
        <w:t xml:space="preserve"> </w:t>
      </w:r>
      <w:r w:rsidR="0078161E">
        <w:rPr>
          <w:lang w:val="es-ES_tradnl"/>
        </w:rPr>
        <w:t>financiación de proyectos en esquemas de Project finance</w:t>
      </w:r>
      <w:r w:rsidR="00FF3085">
        <w:rPr>
          <w:rStyle w:val="FootnoteReference"/>
          <w:lang w:val="es-ES_tradnl"/>
        </w:rPr>
        <w:footnoteReference w:id="23"/>
      </w:r>
      <w:r w:rsidR="0078161E">
        <w:rPr>
          <w:lang w:val="es-ES_tradnl"/>
        </w:rPr>
        <w:t xml:space="preserve">. </w:t>
      </w:r>
    </w:p>
    <w:p w14:paraId="53044D76" w14:textId="59538588" w:rsidR="00D71AFE" w:rsidRDefault="00BF0570" w:rsidP="00D71AFE">
      <w:pPr>
        <w:jc w:val="both"/>
        <w:rPr>
          <w:lang w:val="es-ES_tradnl"/>
        </w:rPr>
      </w:pPr>
      <w:r>
        <w:rPr>
          <w:lang w:val="es-ES_tradnl"/>
        </w:rPr>
        <w:t xml:space="preserve">Respecto al marco institucional, la reglamentación </w:t>
      </w:r>
      <w:r w:rsidR="004B1FF2">
        <w:rPr>
          <w:lang w:val="es-ES_tradnl"/>
        </w:rPr>
        <w:t xml:space="preserve">de </w:t>
      </w:r>
      <w:proofErr w:type="spellStart"/>
      <w:r w:rsidR="004B1FF2">
        <w:rPr>
          <w:lang w:val="es-ES_tradnl"/>
        </w:rPr>
        <w:t>PPPs</w:t>
      </w:r>
      <w:proofErr w:type="spellEnd"/>
      <w:r w:rsidR="004B1FF2">
        <w:rPr>
          <w:lang w:val="es-ES_tradnl"/>
        </w:rPr>
        <w:t xml:space="preserve"> es todavía relativamente novedos</w:t>
      </w:r>
      <w:r>
        <w:rPr>
          <w:lang w:val="es-ES_tradnl"/>
        </w:rPr>
        <w:t>a</w:t>
      </w:r>
      <w:r w:rsidR="00276B65">
        <w:rPr>
          <w:lang w:val="es-ES_tradnl"/>
        </w:rPr>
        <w:t xml:space="preserve"> para todos los actores que participan en est</w:t>
      </w:r>
      <w:r>
        <w:rPr>
          <w:lang w:val="es-ES_tradnl"/>
        </w:rPr>
        <w:t>e tipo de</w:t>
      </w:r>
      <w:r w:rsidR="00276B65">
        <w:rPr>
          <w:lang w:val="es-ES_tradnl"/>
        </w:rPr>
        <w:t xml:space="preserve"> proyectos</w:t>
      </w:r>
      <w:r w:rsidR="004B1FF2">
        <w:rPr>
          <w:lang w:val="es-ES_tradnl"/>
        </w:rPr>
        <w:t xml:space="preserve">. </w:t>
      </w:r>
      <w:r w:rsidR="00276B65">
        <w:rPr>
          <w:lang w:val="es-ES_tradnl"/>
        </w:rPr>
        <w:t xml:space="preserve">Aunque la ley es de 2011, hasta 2017 sólo había un proyecto contratado y en ejecución (actualmente hay dos, </w:t>
      </w:r>
      <w:r>
        <w:rPr>
          <w:lang w:val="es-ES_tradnl"/>
        </w:rPr>
        <w:t>aunque</w:t>
      </w:r>
      <w:r w:rsidR="00276B65">
        <w:rPr>
          <w:lang w:val="es-ES_tradnl"/>
        </w:rPr>
        <w:t xml:space="preserve"> varios con adjudicación </w:t>
      </w:r>
      <w:r w:rsidR="00D71AFE">
        <w:rPr>
          <w:lang w:val="es-ES_tradnl"/>
        </w:rPr>
        <w:t xml:space="preserve">provisionalmente, esperando el cierre financiero). La curva de aprendizaje ha sido relativamente lenta; se espera que en 2018 </w:t>
      </w:r>
      <w:r w:rsidR="003900E5">
        <w:rPr>
          <w:lang w:val="es-ES_tradnl"/>
        </w:rPr>
        <w:t xml:space="preserve">el gobierno </w:t>
      </w:r>
      <w:r w:rsidR="00D71AFE">
        <w:rPr>
          <w:lang w:val="es-ES_tradnl"/>
        </w:rPr>
        <w:t xml:space="preserve">sólo </w:t>
      </w:r>
      <w:r w:rsidR="003900E5">
        <w:rPr>
          <w:lang w:val="es-ES_tradnl"/>
        </w:rPr>
        <w:t>alcance e</w:t>
      </w:r>
      <w:r w:rsidR="00D71AFE">
        <w:rPr>
          <w:lang w:val="es-ES_tradnl"/>
        </w:rPr>
        <w:t>l 20% d</w:t>
      </w:r>
      <w:r w:rsidR="003900E5">
        <w:rPr>
          <w:lang w:val="es-ES_tradnl"/>
        </w:rPr>
        <w:t xml:space="preserve">e las </w:t>
      </w:r>
      <w:r w:rsidR="00D71AFE">
        <w:rPr>
          <w:lang w:val="es-ES_tradnl"/>
        </w:rPr>
        <w:t xml:space="preserve">infraestructuras financiadas mediante PPP del total anunciado al principio del periodo. </w:t>
      </w:r>
    </w:p>
    <w:p w14:paraId="43D09444" w14:textId="592DE3A2" w:rsidR="007738AB" w:rsidRDefault="007738AB" w:rsidP="00D71AFE">
      <w:pPr>
        <w:jc w:val="both"/>
        <w:rPr>
          <w:lang w:val="es-ES_tradnl"/>
        </w:rPr>
      </w:pPr>
      <w:r>
        <w:rPr>
          <w:lang w:val="es-ES_tradnl"/>
        </w:rPr>
        <w:t>Por otro lado, los límites de financiación (responsabilidad fiscal) establecidos en la ley de PPP (VPN de los proyectos inferior al 7% del PIB y pagos anuales inferiores al 0,5%</w:t>
      </w:r>
      <w:r w:rsidR="00EA3950">
        <w:rPr>
          <w:lang w:val="es-ES_tradnl"/>
        </w:rPr>
        <w:t xml:space="preserve"> del PIB</w:t>
      </w:r>
      <w:r>
        <w:rPr>
          <w:lang w:val="es-ES_tradnl"/>
        </w:rPr>
        <w:t xml:space="preserve">) podrían suponer un límite para financiar nuevos proyectos de PPP a partir de 2020 si todos los proyectos que están actualmente en </w:t>
      </w:r>
      <w:r w:rsidR="00EA3950">
        <w:rPr>
          <w:lang w:val="es-ES_tradnl"/>
        </w:rPr>
        <w:t>negociación</w:t>
      </w:r>
      <w:r>
        <w:rPr>
          <w:lang w:val="es-ES_tradnl"/>
        </w:rPr>
        <w:t xml:space="preserve"> son finalmente firmados. </w:t>
      </w:r>
    </w:p>
    <w:p w14:paraId="31B6A861" w14:textId="67ACD6DF" w:rsidR="00CD408A" w:rsidRDefault="00CD408A" w:rsidP="00D71AFE">
      <w:pPr>
        <w:jc w:val="both"/>
        <w:rPr>
          <w:lang w:val="es-ES_tradnl"/>
        </w:rPr>
      </w:pPr>
      <w:r>
        <w:rPr>
          <w:lang w:val="es-ES_tradnl"/>
        </w:rPr>
        <w:t xml:space="preserve">El desarrollo de un marco estable para la financiación de </w:t>
      </w:r>
      <w:proofErr w:type="spellStart"/>
      <w:r>
        <w:rPr>
          <w:lang w:val="es-ES_tradnl"/>
        </w:rPr>
        <w:t>PPPs</w:t>
      </w:r>
      <w:proofErr w:type="spellEnd"/>
      <w:r>
        <w:rPr>
          <w:lang w:val="es-ES_tradnl"/>
        </w:rPr>
        <w:t xml:space="preserve"> también</w:t>
      </w:r>
      <w:r w:rsidR="007738AB">
        <w:rPr>
          <w:lang w:val="es-ES_tradnl"/>
        </w:rPr>
        <w:t xml:space="preserve"> está determinado por la manera en que se manejan los</w:t>
      </w:r>
      <w:r>
        <w:rPr>
          <w:lang w:val="es-ES_tradnl"/>
        </w:rPr>
        <w:t xml:space="preserve"> riesgos</w:t>
      </w:r>
      <w:r w:rsidR="007738AB">
        <w:rPr>
          <w:lang w:val="es-ES_tradnl"/>
        </w:rPr>
        <w:t xml:space="preserve"> de los contratos de PPP</w:t>
      </w:r>
      <w:r>
        <w:rPr>
          <w:lang w:val="es-ES_tradnl"/>
        </w:rPr>
        <w:t xml:space="preserve">. Las firmas de seguro locales todavía </w:t>
      </w:r>
      <w:r w:rsidR="005244B0">
        <w:rPr>
          <w:lang w:val="es-ES_tradnl"/>
        </w:rPr>
        <w:t>tienen poca experiencia en la gestión de riesgos (</w:t>
      </w:r>
      <w:r w:rsidR="00EA3950">
        <w:rPr>
          <w:lang w:val="es-ES_tradnl"/>
        </w:rPr>
        <w:t xml:space="preserve">privados, </w:t>
      </w:r>
      <w:r w:rsidR="005244B0">
        <w:rPr>
          <w:lang w:val="es-ES_tradnl"/>
        </w:rPr>
        <w:t xml:space="preserve">no soberanos) y en algunas </w:t>
      </w:r>
      <w:r w:rsidR="00ED30DC">
        <w:rPr>
          <w:lang w:val="es-ES_tradnl"/>
        </w:rPr>
        <w:t>circunstancias</w:t>
      </w:r>
      <w:r w:rsidR="005244B0">
        <w:rPr>
          <w:lang w:val="es-ES_tradnl"/>
        </w:rPr>
        <w:t xml:space="preserve"> el gobierno no ha conseguido dar una solución adecuada a determinados riesgos de </w:t>
      </w:r>
      <w:r w:rsidR="00ED30DC">
        <w:rPr>
          <w:lang w:val="es-ES_tradnl"/>
        </w:rPr>
        <w:t>construcción</w:t>
      </w:r>
      <w:r w:rsidR="005244B0">
        <w:rPr>
          <w:lang w:val="es-ES_tradnl"/>
        </w:rPr>
        <w:t xml:space="preserve"> y de pago que</w:t>
      </w:r>
      <w:r w:rsidR="00BF0570">
        <w:rPr>
          <w:lang w:val="es-ES_tradnl"/>
        </w:rPr>
        <w:t xml:space="preserve"> el </w:t>
      </w:r>
      <w:r w:rsidR="00284334">
        <w:rPr>
          <w:lang w:val="es-ES_tradnl"/>
        </w:rPr>
        <w:t xml:space="preserve">sector </w:t>
      </w:r>
      <w:r w:rsidR="00BF0570">
        <w:rPr>
          <w:lang w:val="es-ES_tradnl"/>
        </w:rPr>
        <w:t xml:space="preserve">privado considera que son </w:t>
      </w:r>
      <w:r w:rsidR="005244B0">
        <w:rPr>
          <w:lang w:val="es-ES_tradnl"/>
        </w:rPr>
        <w:t>riesgos soberanos</w:t>
      </w:r>
      <w:r w:rsidR="00284334">
        <w:rPr>
          <w:lang w:val="es-ES_tradnl"/>
        </w:rPr>
        <w:t xml:space="preserve"> (p</w:t>
      </w:r>
      <w:r w:rsidR="00FF3085">
        <w:rPr>
          <w:lang w:val="es-ES_tradnl"/>
        </w:rPr>
        <w:t xml:space="preserve">or </w:t>
      </w:r>
      <w:r w:rsidR="00405630">
        <w:rPr>
          <w:lang w:val="es-ES_tradnl"/>
        </w:rPr>
        <w:t>ejemplo,</w:t>
      </w:r>
      <w:r w:rsidR="00FF3085">
        <w:rPr>
          <w:lang w:val="es-ES_tradnl"/>
        </w:rPr>
        <w:t xml:space="preserve"> las garantías públicas para pagos recurrentes por prestaciones realizadas durante la construcción o la ejecución del contrato</w:t>
      </w:r>
      <w:r w:rsidR="00C7044C">
        <w:rPr>
          <w:rStyle w:val="FootnoteReference"/>
          <w:lang w:val="es-ES_tradnl"/>
        </w:rPr>
        <w:footnoteReference w:id="24"/>
      </w:r>
      <w:r w:rsidR="00BF0570">
        <w:rPr>
          <w:lang w:val="es-ES_tradnl"/>
        </w:rPr>
        <w:t>)</w:t>
      </w:r>
      <w:r w:rsidR="005244B0">
        <w:rPr>
          <w:lang w:val="es-ES_tradnl"/>
        </w:rPr>
        <w:t xml:space="preserve">.  </w:t>
      </w:r>
    </w:p>
    <w:p w14:paraId="5ACA01C4" w14:textId="6B8B8F20" w:rsidR="00284334" w:rsidRDefault="00405630" w:rsidP="00405630">
      <w:pPr>
        <w:jc w:val="both"/>
        <w:rPr>
          <w:lang w:val="es-ES_tradnl"/>
        </w:rPr>
      </w:pPr>
      <w:r>
        <w:rPr>
          <w:lang w:val="es-ES"/>
        </w:rPr>
        <w:t>Se encuentra también en la agenda del gobierno el estudio de</w:t>
      </w:r>
      <w:r w:rsidR="00284334">
        <w:rPr>
          <w:lang w:val="es-ES"/>
        </w:rPr>
        <w:t xml:space="preserve">l desarrollo y uso de </w:t>
      </w:r>
      <w:r>
        <w:rPr>
          <w:lang w:val="es-ES"/>
        </w:rPr>
        <w:t xml:space="preserve">derivativos </w:t>
      </w:r>
      <w:r w:rsidR="00284334">
        <w:rPr>
          <w:lang w:val="es-ES"/>
        </w:rPr>
        <w:t xml:space="preserve">(swaps y opciones) </w:t>
      </w:r>
      <w:r>
        <w:rPr>
          <w:lang w:val="es-ES"/>
        </w:rPr>
        <w:t xml:space="preserve">que </w:t>
      </w:r>
      <w:r>
        <w:rPr>
          <w:lang w:val="es-ES_tradnl"/>
        </w:rPr>
        <w:t>permita</w:t>
      </w:r>
      <w:r w:rsidR="00284334">
        <w:rPr>
          <w:lang w:val="es-ES_tradnl"/>
        </w:rPr>
        <w:t>n</w:t>
      </w:r>
      <w:r>
        <w:rPr>
          <w:lang w:val="es-ES_tradnl"/>
        </w:rPr>
        <w:t xml:space="preserve"> hacer coberturas de riesgo cambiario y de cobertura para tasas de retorno asociados a proyectos de infraestructura. </w:t>
      </w:r>
      <w:r w:rsidR="00284334">
        <w:rPr>
          <w:lang w:val="es-ES_tradnl"/>
        </w:rPr>
        <w:t xml:space="preserve">El MEF </w:t>
      </w:r>
      <w:r>
        <w:rPr>
          <w:lang w:val="es-ES_tradnl"/>
        </w:rPr>
        <w:t>está viendo esta cuestión con la doble intención de tener instrumento</w:t>
      </w:r>
      <w:r w:rsidR="00284334">
        <w:rPr>
          <w:lang w:val="es-ES_tradnl"/>
        </w:rPr>
        <w:t>s</w:t>
      </w:r>
      <w:r>
        <w:rPr>
          <w:lang w:val="es-ES_tradnl"/>
        </w:rPr>
        <w:t xml:space="preserve"> alternativo</w:t>
      </w:r>
      <w:r w:rsidR="00284334">
        <w:rPr>
          <w:lang w:val="es-ES_tradnl"/>
        </w:rPr>
        <w:t>s</w:t>
      </w:r>
      <w:r>
        <w:rPr>
          <w:lang w:val="es-ES_tradnl"/>
        </w:rPr>
        <w:t xml:space="preserve"> y más flexible de manejo de riesgos de deuda soberana y generar externalidades para el desarrollo de un mercado más profundo de derivados financieros en Uruguay, que permita al sector privado manejar su exposición cambiaria y de tasas en un contexto financiero más volátil.</w:t>
      </w:r>
    </w:p>
    <w:p w14:paraId="1650E738" w14:textId="76835695" w:rsidR="00405630" w:rsidRDefault="00405630" w:rsidP="00405630">
      <w:pPr>
        <w:jc w:val="both"/>
        <w:rPr>
          <w:lang w:val="es-ES"/>
        </w:rPr>
      </w:pPr>
      <w:r>
        <w:rPr>
          <w:lang w:val="es-ES"/>
        </w:rPr>
        <w:t xml:space="preserve">En lo que respecta a los </w:t>
      </w:r>
      <w:r w:rsidRPr="002E00D9">
        <w:rPr>
          <w:lang w:val="es-ES"/>
        </w:rPr>
        <w:t>inversores institucionales locales</w:t>
      </w:r>
      <w:r>
        <w:rPr>
          <w:lang w:val="es-ES"/>
        </w:rPr>
        <w:t xml:space="preserve">, estos </w:t>
      </w:r>
      <w:r w:rsidRPr="002E00D9">
        <w:rPr>
          <w:lang w:val="es-ES"/>
        </w:rPr>
        <w:t xml:space="preserve">tienen interés por diversificar sus carteras, aumentar la duración </w:t>
      </w:r>
      <w:r w:rsidR="00284334">
        <w:rPr>
          <w:lang w:val="es-ES"/>
        </w:rPr>
        <w:t xml:space="preserve">de las mismas </w:t>
      </w:r>
      <w:r w:rsidRPr="002E00D9">
        <w:rPr>
          <w:lang w:val="es-ES"/>
        </w:rPr>
        <w:t>y demandan papeles en moneda local indexada a ser posible, por montos elevados</w:t>
      </w:r>
      <w:r>
        <w:rPr>
          <w:lang w:val="es-ES"/>
        </w:rPr>
        <w:t xml:space="preserve">. </w:t>
      </w:r>
      <w:r w:rsidRPr="002E00D9">
        <w:rPr>
          <w:lang w:val="es-ES"/>
        </w:rPr>
        <w:t>Después de un cambio regulatorio,</w:t>
      </w:r>
      <w:r w:rsidRPr="00405630">
        <w:rPr>
          <w:lang w:val="es-ES"/>
        </w:rPr>
        <w:t xml:space="preserve"> </w:t>
      </w:r>
      <w:r>
        <w:rPr>
          <w:lang w:val="es-ES"/>
        </w:rPr>
        <w:t>e</w:t>
      </w:r>
      <w:r w:rsidRPr="002E00D9">
        <w:rPr>
          <w:lang w:val="es-ES"/>
        </w:rPr>
        <w:t xml:space="preserve">l marco legal de las </w:t>
      </w:r>
      <w:proofErr w:type="spellStart"/>
      <w:r w:rsidRPr="002E00D9">
        <w:rPr>
          <w:lang w:val="es-ES"/>
        </w:rPr>
        <w:t>AFAPs</w:t>
      </w:r>
      <w:proofErr w:type="spellEnd"/>
      <w:r w:rsidRPr="002E00D9">
        <w:rPr>
          <w:lang w:val="es-ES"/>
        </w:rPr>
        <w:t xml:space="preserve"> les permit</w:t>
      </w:r>
      <w:r>
        <w:rPr>
          <w:lang w:val="es-ES"/>
        </w:rPr>
        <w:t xml:space="preserve">iría invertir </w:t>
      </w:r>
      <w:r w:rsidRPr="002E00D9">
        <w:rPr>
          <w:lang w:val="es-ES"/>
        </w:rPr>
        <w:t>hasta el 50% de su cartera en proyectos de infraestructura</w:t>
      </w:r>
      <w:r>
        <w:rPr>
          <w:lang w:val="es-ES"/>
        </w:rPr>
        <w:t xml:space="preserve"> siempre que sea en </w:t>
      </w:r>
      <w:r>
        <w:rPr>
          <w:lang w:val="es-ES"/>
        </w:rPr>
        <w:lastRenderedPageBreak/>
        <w:t>moneda local (UI)</w:t>
      </w:r>
      <w:r w:rsidRPr="002E00D9">
        <w:rPr>
          <w:lang w:val="es-ES"/>
        </w:rPr>
        <w:t xml:space="preserve">, lo que posibilitaría aumentar la oferta de financiación en </w:t>
      </w:r>
      <w:r>
        <w:rPr>
          <w:lang w:val="es-ES"/>
        </w:rPr>
        <w:t xml:space="preserve">hasta </w:t>
      </w:r>
      <w:r w:rsidRPr="002E00D9">
        <w:rPr>
          <w:lang w:val="es-ES"/>
        </w:rPr>
        <w:t xml:space="preserve">US$4,500 millones. </w:t>
      </w:r>
      <w:r>
        <w:rPr>
          <w:lang w:val="es-ES"/>
        </w:rPr>
        <w:t xml:space="preserve">En 2016, </w:t>
      </w:r>
      <w:r w:rsidRPr="00BD1ED6">
        <w:rPr>
          <w:lang w:val="es-ES"/>
        </w:rPr>
        <w:t>las AFAP invirtieron en fideicomisos unos US$ 900 millones</w:t>
      </w:r>
      <w:r>
        <w:rPr>
          <w:lang w:val="es-ES"/>
        </w:rPr>
        <w:t>.</w:t>
      </w:r>
    </w:p>
    <w:p w14:paraId="27E46C84" w14:textId="398BF01C" w:rsidR="00405630" w:rsidRDefault="00405630" w:rsidP="00405630">
      <w:pPr>
        <w:jc w:val="both"/>
        <w:rPr>
          <w:lang w:val="es-ES_tradnl"/>
        </w:rPr>
      </w:pPr>
      <w:r>
        <w:rPr>
          <w:lang w:val="es-ES"/>
        </w:rPr>
        <w:t>Sin embargo,</w:t>
      </w:r>
      <w:r w:rsidR="00284334">
        <w:rPr>
          <w:lang w:val="es-ES"/>
        </w:rPr>
        <w:t xml:space="preserve"> </w:t>
      </w:r>
      <w:r>
        <w:rPr>
          <w:lang w:val="es-ES"/>
        </w:rPr>
        <w:t>u</w:t>
      </w:r>
      <w:r>
        <w:rPr>
          <w:lang w:val="es-ES_tradnl"/>
        </w:rPr>
        <w:t xml:space="preserve">no de los desafíos encontrados por los inversores institucionales, especialmente por las </w:t>
      </w:r>
      <w:proofErr w:type="spellStart"/>
      <w:r>
        <w:rPr>
          <w:lang w:val="es-ES_tradnl"/>
        </w:rPr>
        <w:t>AFAPs</w:t>
      </w:r>
      <w:proofErr w:type="spellEnd"/>
      <w:r>
        <w:rPr>
          <w:lang w:val="es-ES_tradnl"/>
        </w:rPr>
        <w:t xml:space="preserve"> es que los fondos de ahorro (y el Fondo de Ahorro Previsional) crecen más rápido de lo que lo hace la oferta de productos financieros en el país. Por ejemplo, en 2016 </w:t>
      </w:r>
      <w:r w:rsidR="00284334">
        <w:rPr>
          <w:lang w:val="es-ES_tradnl"/>
        </w:rPr>
        <w:t xml:space="preserve">y 2017, </w:t>
      </w:r>
      <w:r>
        <w:rPr>
          <w:lang w:val="es-ES_tradnl"/>
        </w:rPr>
        <w:t xml:space="preserve">las AFAP recaudaron US$ 1.027 millones y US$ 1,180 </w:t>
      </w:r>
      <w:r w:rsidR="00284334">
        <w:rPr>
          <w:lang w:val="es-ES_tradnl"/>
        </w:rPr>
        <w:t>respectivamente</w:t>
      </w:r>
      <w:r>
        <w:rPr>
          <w:lang w:val="es-ES_tradnl"/>
        </w:rPr>
        <w:t xml:space="preserve">, mientras que, en contrapartida, el promedio anual de oferta de productos privados de inversión en los últimos 14 años apenas fue de US$ 210 millones.  </w:t>
      </w:r>
    </w:p>
    <w:p w14:paraId="28F0197C" w14:textId="348502D1" w:rsidR="00405630" w:rsidRDefault="00405630" w:rsidP="00405630">
      <w:pPr>
        <w:jc w:val="both"/>
        <w:rPr>
          <w:lang w:val="es-ES_tradnl"/>
        </w:rPr>
      </w:pPr>
      <w:r>
        <w:rPr>
          <w:lang w:val="es-ES"/>
        </w:rPr>
        <w:t xml:space="preserve">El MEF también ha mostrado su interés </w:t>
      </w:r>
      <w:r>
        <w:rPr>
          <w:lang w:val="es-ES_tradnl"/>
        </w:rPr>
        <w:t xml:space="preserve">por atraer fondos de inversión globales que puedan invertir en </w:t>
      </w:r>
      <w:proofErr w:type="spellStart"/>
      <w:r>
        <w:rPr>
          <w:lang w:val="es-ES_tradnl"/>
        </w:rPr>
        <w:t>equity</w:t>
      </w:r>
      <w:proofErr w:type="spellEnd"/>
      <w:r>
        <w:rPr>
          <w:lang w:val="es-ES_tradnl"/>
        </w:rPr>
        <w:t xml:space="preserve"> de</w:t>
      </w:r>
      <w:r w:rsidR="00284334">
        <w:rPr>
          <w:lang w:val="es-ES_tradnl"/>
        </w:rPr>
        <w:t xml:space="preserve"> los</w:t>
      </w:r>
      <w:r>
        <w:rPr>
          <w:lang w:val="es-ES_tradnl"/>
        </w:rPr>
        <w:t xml:space="preserve"> proyectos </w:t>
      </w:r>
      <w:r w:rsidR="00284334">
        <w:rPr>
          <w:lang w:val="es-ES_tradnl"/>
        </w:rPr>
        <w:t xml:space="preserve">de </w:t>
      </w:r>
      <w:proofErr w:type="spellStart"/>
      <w:r w:rsidR="00284334">
        <w:rPr>
          <w:lang w:val="es-ES_tradnl"/>
        </w:rPr>
        <w:t>PPPPs</w:t>
      </w:r>
      <w:proofErr w:type="spellEnd"/>
      <w:r w:rsidR="00284334">
        <w:rPr>
          <w:lang w:val="es-ES_tradnl"/>
        </w:rPr>
        <w:t xml:space="preserve"> </w:t>
      </w:r>
      <w:r>
        <w:rPr>
          <w:lang w:val="es-ES_tradnl"/>
        </w:rPr>
        <w:t xml:space="preserve">e incentivar la creación de </w:t>
      </w:r>
      <w:r w:rsidR="00284334">
        <w:rPr>
          <w:lang w:val="es-ES_tradnl"/>
        </w:rPr>
        <w:t>f</w:t>
      </w:r>
      <w:r>
        <w:rPr>
          <w:lang w:val="es-ES_tradnl"/>
        </w:rPr>
        <w:t xml:space="preserve">ondos de </w:t>
      </w:r>
      <w:r w:rsidR="00284334">
        <w:rPr>
          <w:lang w:val="es-ES_tradnl"/>
        </w:rPr>
        <w:t>i</w:t>
      </w:r>
      <w:r>
        <w:rPr>
          <w:lang w:val="es-ES_tradnl"/>
        </w:rPr>
        <w:t>nversión y otros instrumentos utilizando para ello la ayuda de organismos internacionales.</w:t>
      </w:r>
    </w:p>
    <w:p w14:paraId="0D9394B8" w14:textId="3972EF89" w:rsidR="00CD408A" w:rsidRDefault="00CD408A" w:rsidP="00CD408A">
      <w:pPr>
        <w:jc w:val="both"/>
        <w:rPr>
          <w:lang w:val="es-ES"/>
        </w:rPr>
      </w:pPr>
      <w:r>
        <w:rPr>
          <w:lang w:val="es-ES_tradnl"/>
        </w:rPr>
        <w:t xml:space="preserve">Por otro lado, como se mencionaba en el anterior apartado, el mercado de capitales uruguayo es bastante pequeño, apenas representa el 2% del PIB y la participación de inversores institucionales es baja. </w:t>
      </w:r>
      <w:r w:rsidR="00405630">
        <w:rPr>
          <w:lang w:val="es-ES_tradnl"/>
        </w:rPr>
        <w:t>El gobierno está considerando una serie de cambios normativos para desarrollar los mercados de valores locales y fomentar la liquidez (por ejemplo, la disponibilidad de bonos de referencia -</w:t>
      </w:r>
      <w:proofErr w:type="spellStart"/>
      <w:r w:rsidR="00405630">
        <w:rPr>
          <w:lang w:val="es-ES_tradnl"/>
        </w:rPr>
        <w:t>benchmarks</w:t>
      </w:r>
      <w:proofErr w:type="spellEnd"/>
      <w:r w:rsidR="00405630">
        <w:rPr>
          <w:lang w:val="es-ES_tradnl"/>
        </w:rPr>
        <w:t xml:space="preserve">- en UI para determinados periodos estructurales que fue anteriormente comentada). También ha estado discutiendo medidas para incentivar </w:t>
      </w:r>
      <w:r w:rsidR="00284334">
        <w:rPr>
          <w:lang w:val="es-ES_tradnl"/>
        </w:rPr>
        <w:t xml:space="preserve">y </w:t>
      </w:r>
      <w:r w:rsidR="00405630">
        <w:rPr>
          <w:lang w:val="es-ES_tradnl"/>
        </w:rPr>
        <w:t xml:space="preserve">fomentar la participación de pequeños inversores minoristas en proyectos de infraestructura </w:t>
      </w:r>
      <w:r w:rsidR="00284334">
        <w:rPr>
          <w:lang w:val="es-ES_tradnl"/>
        </w:rPr>
        <w:t>(cumpliendo con</w:t>
      </w:r>
      <w:r w:rsidR="00616978">
        <w:rPr>
          <w:lang w:val="es-ES_tradnl"/>
        </w:rPr>
        <w:t xml:space="preserve"> requisitos d</w:t>
      </w:r>
      <w:r w:rsidR="00405630">
        <w:rPr>
          <w:lang w:val="es-ES_tradnl"/>
        </w:rPr>
        <w:t>e garantías adecuadas para inversores no cualificados</w:t>
      </w:r>
      <w:r w:rsidR="00284334">
        <w:rPr>
          <w:lang w:val="es-ES_tradnl"/>
        </w:rPr>
        <w:t>)</w:t>
      </w:r>
      <w:r w:rsidR="00405630">
        <w:rPr>
          <w:lang w:val="es-ES_tradnl"/>
        </w:rPr>
        <w:t>.</w:t>
      </w:r>
    </w:p>
    <w:p w14:paraId="23384F48" w14:textId="11043679" w:rsidR="000210A4" w:rsidRDefault="000210A4" w:rsidP="00226F2B">
      <w:pPr>
        <w:jc w:val="both"/>
        <w:rPr>
          <w:lang w:val="es-ES_tradnl"/>
        </w:rPr>
      </w:pPr>
    </w:p>
    <w:p w14:paraId="69AA8BDB" w14:textId="4EC450D6" w:rsidR="00767256" w:rsidRDefault="00767256" w:rsidP="00226F2B">
      <w:pPr>
        <w:jc w:val="both"/>
        <w:rPr>
          <w:lang w:val="es-ES_tradnl"/>
        </w:rPr>
      </w:pPr>
    </w:p>
    <w:p w14:paraId="5C5DFA62" w14:textId="33998A44" w:rsidR="00767256" w:rsidRDefault="00767256" w:rsidP="00226F2B">
      <w:pPr>
        <w:jc w:val="both"/>
        <w:rPr>
          <w:lang w:val="es-ES_tradnl"/>
        </w:rPr>
      </w:pPr>
    </w:p>
    <w:p w14:paraId="245A3071" w14:textId="64CDFCDB" w:rsidR="00767256" w:rsidRDefault="00767256" w:rsidP="00226F2B">
      <w:pPr>
        <w:jc w:val="both"/>
        <w:rPr>
          <w:lang w:val="es-ES_tradnl"/>
        </w:rPr>
      </w:pPr>
    </w:p>
    <w:p w14:paraId="4D6A585E" w14:textId="70C3D9CF" w:rsidR="00767256" w:rsidRDefault="00767256" w:rsidP="00226F2B">
      <w:pPr>
        <w:jc w:val="both"/>
        <w:rPr>
          <w:lang w:val="es-ES_tradnl"/>
        </w:rPr>
      </w:pPr>
    </w:p>
    <w:p w14:paraId="2487BD55" w14:textId="74F6D2D4" w:rsidR="00767256" w:rsidRDefault="00767256" w:rsidP="00226F2B">
      <w:pPr>
        <w:jc w:val="both"/>
        <w:rPr>
          <w:lang w:val="es-ES_tradnl"/>
        </w:rPr>
      </w:pPr>
    </w:p>
    <w:p w14:paraId="3C02F2D2" w14:textId="2F4D8AD9" w:rsidR="00767256" w:rsidRDefault="00767256" w:rsidP="00226F2B">
      <w:pPr>
        <w:jc w:val="both"/>
        <w:rPr>
          <w:lang w:val="es-ES_tradnl"/>
        </w:rPr>
      </w:pPr>
    </w:p>
    <w:p w14:paraId="4CD46A91" w14:textId="2BADB325" w:rsidR="00767256" w:rsidRDefault="00767256" w:rsidP="00226F2B">
      <w:pPr>
        <w:jc w:val="both"/>
        <w:rPr>
          <w:lang w:val="es-ES_tradnl"/>
        </w:rPr>
      </w:pPr>
    </w:p>
    <w:p w14:paraId="41BE6144" w14:textId="1E038B34" w:rsidR="00767256" w:rsidRDefault="00767256" w:rsidP="00226F2B">
      <w:pPr>
        <w:jc w:val="both"/>
        <w:rPr>
          <w:lang w:val="es-ES_tradnl"/>
        </w:rPr>
      </w:pPr>
    </w:p>
    <w:p w14:paraId="0900023E" w14:textId="13F8FB9E" w:rsidR="00767256" w:rsidRDefault="00767256" w:rsidP="00226F2B">
      <w:pPr>
        <w:jc w:val="both"/>
        <w:rPr>
          <w:lang w:val="es-ES_tradnl"/>
        </w:rPr>
      </w:pPr>
    </w:p>
    <w:p w14:paraId="51D9A96D" w14:textId="621AE01E" w:rsidR="00767256" w:rsidRDefault="00767256" w:rsidP="00226F2B">
      <w:pPr>
        <w:jc w:val="both"/>
        <w:rPr>
          <w:lang w:val="es-ES_tradnl"/>
        </w:rPr>
      </w:pPr>
    </w:p>
    <w:p w14:paraId="3C14C567" w14:textId="00107190" w:rsidR="00767256" w:rsidRDefault="00767256" w:rsidP="00226F2B">
      <w:pPr>
        <w:jc w:val="both"/>
        <w:rPr>
          <w:lang w:val="es-ES_tradnl"/>
        </w:rPr>
      </w:pPr>
    </w:p>
    <w:p w14:paraId="11E1595D" w14:textId="5F8AB058" w:rsidR="00767256" w:rsidRDefault="00767256" w:rsidP="00226F2B">
      <w:pPr>
        <w:jc w:val="both"/>
        <w:rPr>
          <w:lang w:val="es-ES_tradnl"/>
        </w:rPr>
      </w:pPr>
    </w:p>
    <w:p w14:paraId="669C01AC" w14:textId="264CB9EF" w:rsidR="00767256" w:rsidRDefault="00767256" w:rsidP="00226F2B">
      <w:pPr>
        <w:jc w:val="both"/>
        <w:rPr>
          <w:lang w:val="es-ES_tradnl"/>
        </w:rPr>
      </w:pPr>
    </w:p>
    <w:p w14:paraId="33205053" w14:textId="732A481D" w:rsidR="004443A9" w:rsidRDefault="004443A9" w:rsidP="003D678A">
      <w:pPr>
        <w:pStyle w:val="Heading1"/>
        <w:rPr>
          <w:lang w:val="es-ES_tradnl"/>
        </w:rPr>
      </w:pPr>
      <w:bookmarkStart w:id="10" w:name="_Toc525574925"/>
      <w:r w:rsidRPr="009236C9">
        <w:rPr>
          <w:lang w:val="es-ES_tradnl"/>
        </w:rPr>
        <w:t xml:space="preserve">Rol del BROU en la financiación </w:t>
      </w:r>
      <w:r w:rsidR="00133A46">
        <w:rPr>
          <w:lang w:val="es-ES_tradnl"/>
        </w:rPr>
        <w:t xml:space="preserve">privada y público-privada </w:t>
      </w:r>
      <w:r w:rsidRPr="009236C9">
        <w:rPr>
          <w:lang w:val="es-ES_tradnl"/>
        </w:rPr>
        <w:t>de infra</w:t>
      </w:r>
      <w:r>
        <w:rPr>
          <w:lang w:val="es-ES_tradnl"/>
        </w:rPr>
        <w:t>estructura</w:t>
      </w:r>
      <w:bookmarkEnd w:id="10"/>
    </w:p>
    <w:p w14:paraId="739C2231" w14:textId="77777777" w:rsidR="003D678A" w:rsidRPr="003D678A" w:rsidRDefault="003D678A" w:rsidP="003D678A">
      <w:pPr>
        <w:rPr>
          <w:lang w:val="es-ES_tradnl"/>
        </w:rPr>
      </w:pPr>
    </w:p>
    <w:p w14:paraId="79B63DF7" w14:textId="0CB727E2" w:rsidR="004443A9" w:rsidRPr="0021692E" w:rsidRDefault="004443A9" w:rsidP="004443A9">
      <w:pPr>
        <w:jc w:val="both"/>
        <w:rPr>
          <w:lang w:val="es-ES_tradnl"/>
        </w:rPr>
      </w:pPr>
      <w:r w:rsidRPr="0021692E">
        <w:rPr>
          <w:lang w:val="es-ES_tradnl"/>
        </w:rPr>
        <w:t>El BROU es el banco público más grande de Uruguay, con un 4</w:t>
      </w:r>
      <w:r w:rsidR="005143A3">
        <w:rPr>
          <w:lang w:val="es-ES_tradnl"/>
        </w:rPr>
        <w:t>5</w:t>
      </w:r>
      <w:r w:rsidRPr="0021692E">
        <w:rPr>
          <w:lang w:val="es-ES_tradnl"/>
        </w:rPr>
        <w:t>% de los activos totales del sector financiero uruguayo (US$ 1</w:t>
      </w:r>
      <w:r w:rsidR="005143A3">
        <w:rPr>
          <w:lang w:val="es-ES_tradnl"/>
        </w:rPr>
        <w:t>7</w:t>
      </w:r>
      <w:r w:rsidRPr="0021692E">
        <w:rPr>
          <w:lang w:val="es-ES_tradnl"/>
        </w:rPr>
        <w:t>,</w:t>
      </w:r>
      <w:r w:rsidR="005143A3">
        <w:rPr>
          <w:lang w:val="es-ES_tradnl"/>
        </w:rPr>
        <w:t>4</w:t>
      </w:r>
      <w:r w:rsidRPr="0021692E">
        <w:rPr>
          <w:lang w:val="es-ES_tradnl"/>
        </w:rPr>
        <w:t>0</w:t>
      </w:r>
      <w:r w:rsidR="005143A3">
        <w:rPr>
          <w:lang w:val="es-ES_tradnl"/>
        </w:rPr>
        <w:t>2</w:t>
      </w:r>
      <w:r w:rsidRPr="0021692E">
        <w:rPr>
          <w:lang w:val="es-ES_tradnl"/>
        </w:rPr>
        <w:t xml:space="preserve"> millones), realiza el 4</w:t>
      </w:r>
      <w:r w:rsidR="005143A3">
        <w:rPr>
          <w:lang w:val="es-ES_tradnl"/>
        </w:rPr>
        <w:t>5</w:t>
      </w:r>
      <w:r w:rsidRPr="0021692E">
        <w:rPr>
          <w:lang w:val="es-ES_tradnl"/>
        </w:rPr>
        <w:t xml:space="preserve">% de los préstamos totales al sector no financiero (US$ </w:t>
      </w:r>
      <w:r w:rsidR="005143A3">
        <w:rPr>
          <w:lang w:val="es-ES_tradnl"/>
        </w:rPr>
        <w:t>4,765</w:t>
      </w:r>
      <w:r w:rsidRPr="0021692E">
        <w:rPr>
          <w:lang w:val="es-ES_tradnl"/>
        </w:rPr>
        <w:t xml:space="preserve"> millones) y tiene el </w:t>
      </w:r>
      <w:r w:rsidR="001A7C3D">
        <w:rPr>
          <w:lang w:val="es-ES_tradnl"/>
        </w:rPr>
        <w:t>52</w:t>
      </w:r>
      <w:r w:rsidRPr="0021692E">
        <w:rPr>
          <w:lang w:val="es-ES_tradnl"/>
        </w:rPr>
        <w:t>% de los depósitos del sector bancario (US$ 1</w:t>
      </w:r>
      <w:r w:rsidR="005143A3">
        <w:rPr>
          <w:lang w:val="es-ES_tradnl"/>
        </w:rPr>
        <w:t>5</w:t>
      </w:r>
      <w:r w:rsidRPr="0021692E">
        <w:rPr>
          <w:lang w:val="es-ES_tradnl"/>
        </w:rPr>
        <w:t xml:space="preserve"> mil millones</w:t>
      </w:r>
      <w:r w:rsidR="005143A3">
        <w:rPr>
          <w:lang w:val="es-ES_tradnl"/>
        </w:rPr>
        <w:t>, en 2018</w:t>
      </w:r>
      <w:r w:rsidRPr="0021692E">
        <w:rPr>
          <w:lang w:val="es-ES_tradnl"/>
        </w:rPr>
        <w:t>)</w:t>
      </w:r>
      <w:r w:rsidR="00A57F0D">
        <w:rPr>
          <w:lang w:val="es-ES_tradnl"/>
        </w:rPr>
        <w:t>.</w:t>
      </w:r>
      <w:r w:rsidRPr="0021692E">
        <w:rPr>
          <w:lang w:val="es-ES_tradnl"/>
        </w:rPr>
        <w:t xml:space="preserve"> </w:t>
      </w:r>
    </w:p>
    <w:p w14:paraId="04FFFF84" w14:textId="77777777" w:rsidR="0052189E" w:rsidRDefault="004443A9" w:rsidP="005143A3">
      <w:pPr>
        <w:jc w:val="both"/>
        <w:rPr>
          <w:lang w:val="es-ES_tradnl"/>
        </w:rPr>
      </w:pPr>
      <w:r w:rsidRPr="0021692E">
        <w:rPr>
          <w:lang w:val="es-ES_tradnl"/>
        </w:rPr>
        <w:t xml:space="preserve">El BROU es una pieza central en el sector financiero uruguayo y está enfocado en fortalecer el acceso al crédito de los ciudadanos uruguayos (y </w:t>
      </w:r>
      <w:r w:rsidR="00741D8F" w:rsidRPr="0021692E">
        <w:rPr>
          <w:lang w:val="es-ES_tradnl"/>
        </w:rPr>
        <w:t>particularmente</w:t>
      </w:r>
      <w:r w:rsidRPr="0021692E">
        <w:rPr>
          <w:lang w:val="es-ES_tradnl"/>
        </w:rPr>
        <w:t xml:space="preserve"> de PYMES) y fomentar la financiación de inversión productiva de largo plazo. </w:t>
      </w:r>
      <w:r w:rsidR="005143A3" w:rsidRPr="005143A3">
        <w:rPr>
          <w:lang w:val="es-ES_tradnl"/>
        </w:rPr>
        <w:t>El BROU busca desarrollar a su vez capacidades que le permitan ingresar de forma más eficiente en el mercado de financiamiento de proyectos de infraestructura privada o público-privada.</w:t>
      </w:r>
    </w:p>
    <w:p w14:paraId="671C5C71" w14:textId="7AEDBBD4" w:rsidR="005143A3" w:rsidRPr="0052189E" w:rsidRDefault="005143A3" w:rsidP="005143A3">
      <w:pPr>
        <w:jc w:val="both"/>
        <w:rPr>
          <w:lang w:val="es-ES_tradnl"/>
        </w:rPr>
      </w:pPr>
      <w:r w:rsidRPr="005143A3">
        <w:rPr>
          <w:lang w:val="es-ES_tradnl"/>
        </w:rPr>
        <w:t xml:space="preserve">El BROU tiene experiencia en la ejecución de infraestructura junto al BID; la primera operación bajo la CLIPP sirvió para financiar a empresas eléctricas a través de </w:t>
      </w:r>
      <w:r w:rsidR="001A7C3D">
        <w:rPr>
          <w:lang w:val="es-ES_tradnl"/>
        </w:rPr>
        <w:t>contratos de concesión por venta de energía (PPA)</w:t>
      </w:r>
      <w:r w:rsidRPr="005143A3">
        <w:rPr>
          <w:lang w:val="es-ES_tradnl"/>
        </w:rPr>
        <w:t>. El BROU ha financiado proyectos de infraestructura, sobre todo en el sector eólico, hasta con un plazo máximo de 18 años y deuda subordinada de hasta diez años.</w:t>
      </w:r>
      <w:r>
        <w:rPr>
          <w:lang w:val="es-ES_tradnl"/>
        </w:rPr>
        <w:t xml:space="preserve"> </w:t>
      </w:r>
      <w:r w:rsidR="0052189E" w:rsidRPr="0052189E">
        <w:rPr>
          <w:szCs w:val="24"/>
          <w:lang w:val="es-ES_tradnl"/>
        </w:rPr>
        <w:t>Además, en 2018</w:t>
      </w:r>
      <w:r w:rsidR="0052189E">
        <w:rPr>
          <w:szCs w:val="24"/>
          <w:lang w:val="es-ES_tradnl"/>
        </w:rPr>
        <w:t>,</w:t>
      </w:r>
      <w:r w:rsidR="0052189E" w:rsidRPr="0052189E">
        <w:rPr>
          <w:szCs w:val="24"/>
          <w:lang w:val="es-ES_tradnl"/>
        </w:rPr>
        <w:t xml:space="preserve"> </w:t>
      </w:r>
      <w:r w:rsidR="0052189E">
        <w:rPr>
          <w:szCs w:val="24"/>
          <w:lang w:val="es-ES_tradnl"/>
        </w:rPr>
        <w:t>aprobó</w:t>
      </w:r>
      <w:r w:rsidR="0052189E" w:rsidRPr="0052189E">
        <w:rPr>
          <w:szCs w:val="24"/>
          <w:lang w:val="es-ES_tradnl"/>
        </w:rPr>
        <w:t xml:space="preserve"> una </w:t>
      </w:r>
      <w:r w:rsidR="0052189E">
        <w:rPr>
          <w:szCs w:val="24"/>
          <w:lang w:val="es-ES_tradnl"/>
        </w:rPr>
        <w:t>cooperación técnica</w:t>
      </w:r>
      <w:r w:rsidR="0052189E" w:rsidRPr="0052189E">
        <w:rPr>
          <w:szCs w:val="24"/>
          <w:lang w:val="es-ES_tradnl"/>
        </w:rPr>
        <w:t xml:space="preserve"> (UR-T1181) para apoyar al BROU en la estructuración de un área que se dedique a la financiación de proyectos de </w:t>
      </w:r>
      <w:proofErr w:type="spellStart"/>
      <w:r w:rsidR="0052189E" w:rsidRPr="0052189E">
        <w:rPr>
          <w:szCs w:val="24"/>
          <w:lang w:val="es-ES_tradnl"/>
        </w:rPr>
        <w:t>PPPs</w:t>
      </w:r>
      <w:proofErr w:type="spellEnd"/>
      <w:r w:rsidR="0052189E">
        <w:rPr>
          <w:szCs w:val="24"/>
          <w:lang w:val="es-ES_tradnl"/>
        </w:rPr>
        <w:t xml:space="preserve"> y concesiones</w:t>
      </w:r>
      <w:r w:rsidR="0052189E" w:rsidRPr="0052189E">
        <w:rPr>
          <w:szCs w:val="24"/>
          <w:lang w:val="es-ES_tradnl"/>
        </w:rPr>
        <w:t>.</w:t>
      </w:r>
    </w:p>
    <w:p w14:paraId="0FC73E8A" w14:textId="65841644" w:rsidR="001A7C3D" w:rsidRPr="001A7C3D" w:rsidRDefault="001A7C3D" w:rsidP="004443A9">
      <w:pPr>
        <w:jc w:val="both"/>
        <w:rPr>
          <w:lang w:val="es-ES_tradnl"/>
        </w:rPr>
      </w:pPr>
      <w:r>
        <w:rPr>
          <w:lang w:val="es-ES"/>
        </w:rPr>
        <w:t>En la financiación de infraestructura privada y público privada, el BROU tiene un papel fundamental (y una ventaja competitiva con respecto a los otros bancos comerciales locales) a la hora de proveer crédito con un plazo superior a diez años</w:t>
      </w:r>
      <w:r w:rsidR="003A2E62">
        <w:rPr>
          <w:lang w:val="es-ES"/>
        </w:rPr>
        <w:t xml:space="preserve"> (llegando hasta 18</w:t>
      </w:r>
      <w:r w:rsidR="008C7D94">
        <w:rPr>
          <w:lang w:val="es-ES"/>
        </w:rPr>
        <w:t>-20</w:t>
      </w:r>
      <w:r w:rsidR="003A2E62">
        <w:rPr>
          <w:lang w:val="es-ES"/>
        </w:rPr>
        <w:t xml:space="preserve"> años)</w:t>
      </w:r>
      <w:r>
        <w:rPr>
          <w:lang w:val="es-ES"/>
        </w:rPr>
        <w:t xml:space="preserve">. </w:t>
      </w:r>
      <w:r>
        <w:rPr>
          <w:szCs w:val="24"/>
          <w:lang w:val="es-ES_tradnl"/>
        </w:rPr>
        <w:t>E</w:t>
      </w:r>
      <w:r w:rsidRPr="00935DCB">
        <w:rPr>
          <w:szCs w:val="24"/>
          <w:lang w:val="es-ES_tradnl"/>
        </w:rPr>
        <w:t xml:space="preserve">l gobierno de Uruguay tiene una amplia cartera de proyectos de infraestructura y </w:t>
      </w:r>
      <w:proofErr w:type="spellStart"/>
      <w:r w:rsidRPr="00935DCB">
        <w:rPr>
          <w:szCs w:val="24"/>
          <w:lang w:val="es-ES_tradnl"/>
        </w:rPr>
        <w:t>PPPs</w:t>
      </w:r>
      <w:proofErr w:type="spellEnd"/>
      <w:r w:rsidRPr="00935DCB">
        <w:rPr>
          <w:szCs w:val="24"/>
          <w:lang w:val="es-ES_tradnl"/>
        </w:rPr>
        <w:t xml:space="preserve"> que se encuentran en la evaluación de ofertas o en la fase final de negociación, una vez ya adjudicados provisionalmente. En concreto, </w:t>
      </w:r>
      <w:r w:rsidRPr="00935DCB">
        <w:rPr>
          <w:lang w:val="es-ES_tradnl"/>
        </w:rPr>
        <w:t xml:space="preserve">hay tres proyectos de carreteras que ya están adjudicados provisionalmente y están negociando en el cierre financiero. Existen otros tres proyectos de vías y el proyecto del ferrocarril central que están en evaluación de ofertas. Además, el gobierno está en la fase final de estudio de otros proyectos que serán financiados a través de concesiones como la expansión del Puerto de Montevideo y el desarrollo de nuevos terminales y centros logísticos (para más detalle ver análisis del sector). </w:t>
      </w:r>
      <w:r>
        <w:rPr>
          <w:lang w:val="es-ES_tradnl"/>
        </w:rPr>
        <w:t xml:space="preserve">Es por eso </w:t>
      </w:r>
      <w:r w:rsidR="008C7D94">
        <w:rPr>
          <w:lang w:val="es-ES_tradnl"/>
        </w:rPr>
        <w:t>por lo que</w:t>
      </w:r>
      <w:r>
        <w:rPr>
          <w:lang w:val="es-ES_tradnl"/>
        </w:rPr>
        <w:t xml:space="preserve"> </w:t>
      </w:r>
      <w:r w:rsidRPr="00935DCB">
        <w:rPr>
          <w:lang w:val="es-ES_tradnl"/>
        </w:rPr>
        <w:t>se espera que</w:t>
      </w:r>
      <w:r>
        <w:rPr>
          <w:lang w:val="es-ES_tradnl"/>
        </w:rPr>
        <w:t>, c</w:t>
      </w:r>
      <w:r w:rsidRPr="00935DCB">
        <w:rPr>
          <w:lang w:val="es-ES_tradnl"/>
        </w:rPr>
        <w:t>on los recursos del Programa, e</w:t>
      </w:r>
      <w:r w:rsidRPr="001A7C3D">
        <w:rPr>
          <w:szCs w:val="24"/>
          <w:lang w:val="es-ES_tradnl"/>
        </w:rPr>
        <w:t>l BROU tenga un rol fundamental en la financiación de largo plazo, particularmente a más de 10 años de este tipo de proyectos.</w:t>
      </w:r>
    </w:p>
    <w:p w14:paraId="31CB9EC7" w14:textId="4BB29D47" w:rsidR="0052189E" w:rsidRDefault="001A7C3D" w:rsidP="004443A9">
      <w:pPr>
        <w:jc w:val="both"/>
        <w:rPr>
          <w:lang w:val="es-ES_tradnl"/>
        </w:rPr>
      </w:pPr>
      <w:r>
        <w:rPr>
          <w:lang w:val="es-ES"/>
        </w:rPr>
        <w:t xml:space="preserve">Además, el BROU </w:t>
      </w:r>
      <w:r w:rsidR="0052189E">
        <w:rPr>
          <w:lang w:val="es-ES"/>
        </w:rPr>
        <w:t xml:space="preserve">puede tener un papel relevante en el desarrollo de otros instrumentos financieros y no financieros </w:t>
      </w:r>
      <w:r w:rsidR="003A2E62">
        <w:rPr>
          <w:lang w:val="es-ES"/>
        </w:rPr>
        <w:t xml:space="preserve">(como garantías) </w:t>
      </w:r>
      <w:r w:rsidR="0052189E">
        <w:rPr>
          <w:lang w:val="es-ES"/>
        </w:rPr>
        <w:t xml:space="preserve">que vengan a complementar las alternativas de financiación de este tipo de proyectos. </w:t>
      </w:r>
      <w:r w:rsidR="0052189E" w:rsidRPr="003900E5">
        <w:rPr>
          <w:lang w:val="es-ES_tradnl"/>
        </w:rPr>
        <w:t xml:space="preserve">En la PPP de prisiones, el BROU </w:t>
      </w:r>
      <w:r w:rsidR="003A2E62">
        <w:rPr>
          <w:lang w:val="es-ES_tradnl"/>
        </w:rPr>
        <w:t xml:space="preserve">ya </w:t>
      </w:r>
      <w:r w:rsidR="0052189E" w:rsidRPr="003900E5">
        <w:rPr>
          <w:lang w:val="es-ES_tradnl"/>
        </w:rPr>
        <w:t xml:space="preserve">acabó suministrando garantías para riesgos de construcción </w:t>
      </w:r>
      <w:r w:rsidR="0052189E">
        <w:rPr>
          <w:lang w:val="es-ES_tradnl"/>
        </w:rPr>
        <w:t xml:space="preserve">dependientes </w:t>
      </w:r>
      <w:r w:rsidR="0052189E" w:rsidRPr="003900E5">
        <w:rPr>
          <w:lang w:val="es-ES_tradnl"/>
        </w:rPr>
        <w:t xml:space="preserve">del soberano, </w:t>
      </w:r>
      <w:r w:rsidR="0052189E">
        <w:rPr>
          <w:lang w:val="es-ES_tradnl"/>
        </w:rPr>
        <w:t>que es un tipo de riesgo difícil de asumir por los financiadores privados si no está bien definido y acotado.</w:t>
      </w:r>
      <w:r w:rsidR="003A2E62">
        <w:rPr>
          <w:lang w:val="es-ES_tradnl"/>
        </w:rPr>
        <w:t xml:space="preserve"> No existen esquemas de garantía o seguro estándares (ni para riesgos soberanos, ni privados) más allá de los explicitados en la ley de </w:t>
      </w:r>
      <w:proofErr w:type="spellStart"/>
      <w:r w:rsidR="003A2E62">
        <w:rPr>
          <w:lang w:val="es-ES_tradnl"/>
        </w:rPr>
        <w:t>PPPs</w:t>
      </w:r>
      <w:proofErr w:type="spellEnd"/>
      <w:r w:rsidR="003A2E62">
        <w:rPr>
          <w:lang w:val="es-ES_tradnl"/>
        </w:rPr>
        <w:t xml:space="preserve">.  </w:t>
      </w:r>
    </w:p>
    <w:p w14:paraId="6BB7960B" w14:textId="77B5B7F2" w:rsidR="003A2E62" w:rsidRDefault="0052189E" w:rsidP="004443A9">
      <w:pPr>
        <w:jc w:val="both"/>
        <w:rPr>
          <w:lang w:val="es-ES_tradnl"/>
        </w:rPr>
      </w:pPr>
      <w:r>
        <w:rPr>
          <w:lang w:val="es-ES_tradnl"/>
        </w:rPr>
        <w:lastRenderedPageBreak/>
        <w:t xml:space="preserve">Por lo evaluado </w:t>
      </w:r>
      <w:r w:rsidR="003A2E62">
        <w:rPr>
          <w:lang w:val="es-ES_tradnl"/>
        </w:rPr>
        <w:t>en</w:t>
      </w:r>
      <w:r>
        <w:rPr>
          <w:lang w:val="es-ES_tradnl"/>
        </w:rPr>
        <w:t xml:space="preserve"> las reuniones</w:t>
      </w:r>
      <w:r w:rsidR="003A2E62">
        <w:rPr>
          <w:lang w:val="es-ES_tradnl"/>
        </w:rPr>
        <w:t xml:space="preserve"> con actores relevantes del sector desarrolladas durante en las</w:t>
      </w:r>
      <w:r>
        <w:rPr>
          <w:lang w:val="es-ES_tradnl"/>
        </w:rPr>
        <w:t xml:space="preserve"> misiones de preparación de la operación UR-L1115, existe espacio para desarrollar </w:t>
      </w:r>
      <w:r w:rsidR="003A2E62">
        <w:rPr>
          <w:lang w:val="es-ES_tradnl"/>
        </w:rPr>
        <w:t>nuevos instrumentos de financiación estructurada que permita una mayor apalancamiento y financiación conjunta de las entidades financieras que actúan en el país, por ejemplo, a través de esquemas de sindicación de crédito</w:t>
      </w:r>
      <w:r w:rsidR="00B80015">
        <w:rPr>
          <w:lang w:val="es-ES_tradnl"/>
        </w:rPr>
        <w:t xml:space="preserve"> o en la colocación y compra directa de bonos de proyectos</w:t>
      </w:r>
      <w:r w:rsidR="003A2E62">
        <w:rPr>
          <w:lang w:val="es-ES_tradnl"/>
        </w:rPr>
        <w:t xml:space="preserve"> donde el BROU podría tener un papel importante de liderazgo debido al conocimiento del sector y el país.  También se identificó demanda e interés por el desarrollo de algunos productos casi inexistentes </w:t>
      </w:r>
      <w:r w:rsidR="008C7D94">
        <w:rPr>
          <w:lang w:val="es-ES_tradnl"/>
        </w:rPr>
        <w:t>para este tipo de proyectos</w:t>
      </w:r>
      <w:r w:rsidR="003A2E62">
        <w:rPr>
          <w:lang w:val="es-ES_tradnl"/>
        </w:rPr>
        <w:t>, como es el de la financiación de deuda subordinada</w:t>
      </w:r>
      <w:r w:rsidR="008C7D94">
        <w:rPr>
          <w:lang w:val="es-ES_tradnl"/>
        </w:rPr>
        <w:t xml:space="preserve"> para </w:t>
      </w:r>
      <w:proofErr w:type="spellStart"/>
      <w:r w:rsidR="008C7D94">
        <w:rPr>
          <w:lang w:val="es-ES_tradnl"/>
        </w:rPr>
        <w:t>SPEs</w:t>
      </w:r>
      <w:proofErr w:type="spellEnd"/>
      <w:r w:rsidR="003A2E62">
        <w:rPr>
          <w:lang w:val="es-ES_tradnl"/>
        </w:rPr>
        <w:t xml:space="preserve">. </w:t>
      </w:r>
    </w:p>
    <w:p w14:paraId="19111F8C" w14:textId="77777777" w:rsidR="0052189E" w:rsidRDefault="0052189E" w:rsidP="004443A9">
      <w:pPr>
        <w:jc w:val="both"/>
        <w:rPr>
          <w:lang w:val="es-ES_tradnl"/>
        </w:rPr>
      </w:pPr>
    </w:p>
    <w:p w14:paraId="41AAEF17" w14:textId="77777777" w:rsidR="001A7C3D" w:rsidRDefault="001A7C3D" w:rsidP="004443A9">
      <w:pPr>
        <w:jc w:val="both"/>
        <w:rPr>
          <w:lang w:val="es-ES"/>
        </w:rPr>
      </w:pPr>
    </w:p>
    <w:p w14:paraId="5B504E09" w14:textId="77777777" w:rsidR="001A7C3D" w:rsidRPr="005143A3" w:rsidRDefault="001A7C3D" w:rsidP="004443A9">
      <w:pPr>
        <w:jc w:val="both"/>
        <w:rPr>
          <w:lang w:val="es-ES"/>
        </w:rPr>
      </w:pPr>
    </w:p>
    <w:p w14:paraId="487B094B" w14:textId="77777777" w:rsidR="004443A9" w:rsidRPr="00BF3132" w:rsidRDefault="004443A9" w:rsidP="00226F2B">
      <w:pPr>
        <w:jc w:val="both"/>
        <w:rPr>
          <w:lang w:val="es-ES_tradnl"/>
        </w:rPr>
      </w:pPr>
    </w:p>
    <w:sectPr w:rsidR="004443A9" w:rsidRPr="00BF31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9DB26" w14:textId="77777777" w:rsidR="00C16DD3" w:rsidRDefault="00C16DD3" w:rsidP="005A2FB1">
      <w:pPr>
        <w:spacing w:after="0" w:line="240" w:lineRule="auto"/>
      </w:pPr>
      <w:r>
        <w:separator/>
      </w:r>
    </w:p>
  </w:endnote>
  <w:endnote w:type="continuationSeparator" w:id="0">
    <w:p w14:paraId="43A70D22" w14:textId="77777777" w:rsidR="00C16DD3" w:rsidRDefault="00C16DD3" w:rsidP="005A2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A30D2" w14:textId="77777777" w:rsidR="00C16DD3" w:rsidRDefault="00C16DD3" w:rsidP="005A2FB1">
      <w:pPr>
        <w:spacing w:after="0" w:line="240" w:lineRule="auto"/>
      </w:pPr>
      <w:r>
        <w:separator/>
      </w:r>
    </w:p>
  </w:footnote>
  <w:footnote w:type="continuationSeparator" w:id="0">
    <w:p w14:paraId="3D22DE40" w14:textId="77777777" w:rsidR="00C16DD3" w:rsidRDefault="00C16DD3" w:rsidP="005A2FB1">
      <w:pPr>
        <w:spacing w:after="0" w:line="240" w:lineRule="auto"/>
      </w:pPr>
      <w:r>
        <w:continuationSeparator/>
      </w:r>
    </w:p>
  </w:footnote>
  <w:footnote w:id="1">
    <w:p w14:paraId="0D91D2C0" w14:textId="759BCB90" w:rsidR="001A7C3D" w:rsidRPr="004C7D8F" w:rsidRDefault="001A7C3D">
      <w:pPr>
        <w:pStyle w:val="FootnoteText"/>
      </w:pPr>
      <w:r>
        <w:rPr>
          <w:rStyle w:val="FootnoteReference"/>
        </w:rPr>
        <w:footnoteRef/>
      </w:r>
      <w:r w:rsidRPr="004C7D8F">
        <w:t xml:space="preserve"> Román C. y </w:t>
      </w:r>
      <w:proofErr w:type="spellStart"/>
      <w:r w:rsidRPr="004C7D8F">
        <w:t>Willebald</w:t>
      </w:r>
      <w:proofErr w:type="spellEnd"/>
      <w:r w:rsidRPr="004C7D8F">
        <w:t xml:space="preserve"> H</w:t>
      </w:r>
      <w:r>
        <w:t xml:space="preserve">. (2015); BCU </w:t>
      </w:r>
    </w:p>
  </w:footnote>
  <w:footnote w:id="2">
    <w:p w14:paraId="7ABAEEE9" w14:textId="4F521AAF" w:rsidR="001A7C3D" w:rsidRPr="00AC583F" w:rsidRDefault="001A7C3D" w:rsidP="007C200F">
      <w:pPr>
        <w:pStyle w:val="FootnoteText"/>
        <w:rPr>
          <w:lang w:val="es-ES_tradnl"/>
        </w:rPr>
      </w:pPr>
      <w:r>
        <w:rPr>
          <w:rStyle w:val="FootnoteReference"/>
        </w:rPr>
        <w:footnoteRef/>
      </w:r>
      <w:r w:rsidRPr="00AC583F">
        <w:rPr>
          <w:lang w:val="es-ES_tradnl"/>
        </w:rPr>
        <w:t xml:space="preserve"> </w:t>
      </w:r>
      <w:r>
        <w:rPr>
          <w:lang w:val="es-ES_tradnl"/>
        </w:rPr>
        <w:t>Agenda Nacional de Infraestructura 2015-2030. OPP, 2015.</w:t>
      </w:r>
    </w:p>
  </w:footnote>
  <w:footnote w:id="3">
    <w:p w14:paraId="57AA54ED" w14:textId="117B11A8" w:rsidR="001A7C3D" w:rsidRPr="007C200F" w:rsidRDefault="001A7C3D">
      <w:pPr>
        <w:pStyle w:val="FootnoteText"/>
        <w:rPr>
          <w:lang w:val="es-ES_tradnl"/>
        </w:rPr>
      </w:pPr>
      <w:r>
        <w:rPr>
          <w:rStyle w:val="FootnoteReference"/>
        </w:rPr>
        <w:footnoteRef/>
      </w:r>
      <w:r w:rsidRPr="007C200F">
        <w:rPr>
          <w:lang w:val="es-ES_tradnl"/>
        </w:rPr>
        <w:t xml:space="preserve"> </w:t>
      </w:r>
      <w:r w:rsidRPr="007E5BB8">
        <w:rPr>
          <w:lang w:val="es-ES_tradnl"/>
        </w:rPr>
        <w:t>Avances del plan general de infraestructura. Capítulo VIII y IX. OPP, 2017.</w:t>
      </w:r>
      <w:r>
        <w:rPr>
          <w:lang w:val="es-ES_tradnl"/>
        </w:rPr>
        <w:t xml:space="preserve"> </w:t>
      </w:r>
    </w:p>
  </w:footnote>
  <w:footnote w:id="4">
    <w:p w14:paraId="4E360E84" w14:textId="391CCF06" w:rsidR="001A7C3D" w:rsidRPr="00D04230" w:rsidRDefault="001A7C3D">
      <w:pPr>
        <w:pStyle w:val="FootnoteText"/>
        <w:rPr>
          <w:lang w:val="es-ES_tradnl"/>
        </w:rPr>
      </w:pPr>
      <w:r w:rsidRPr="00997851">
        <w:rPr>
          <w:rStyle w:val="FootnoteReference"/>
        </w:rPr>
        <w:footnoteRef/>
      </w:r>
      <w:r w:rsidRPr="00997851">
        <w:rPr>
          <w:lang w:val="es-ES_tradnl"/>
        </w:rPr>
        <w:t xml:space="preserve"> Oportunidades de inversión en el sector logístico. Instituto Nacional de Logística (INALOG). Diciembre 2017.</w:t>
      </w:r>
      <w:r>
        <w:rPr>
          <w:lang w:val="es-ES_tradnl"/>
        </w:rPr>
        <w:t xml:space="preserve"> </w:t>
      </w:r>
    </w:p>
  </w:footnote>
  <w:footnote w:id="5">
    <w:p w14:paraId="24C92890" w14:textId="77777777" w:rsidR="001A7C3D" w:rsidRPr="00D84FA4" w:rsidRDefault="001A7C3D" w:rsidP="00427FB7">
      <w:pPr>
        <w:pStyle w:val="FootnoteText"/>
        <w:rPr>
          <w:lang w:val="es-ES_tradnl"/>
        </w:rPr>
      </w:pPr>
      <w:r>
        <w:rPr>
          <w:rStyle w:val="FootnoteReference"/>
        </w:rPr>
        <w:footnoteRef/>
      </w:r>
      <w:r w:rsidRPr="00D84FA4">
        <w:rPr>
          <w:lang w:val="es-ES_tradnl"/>
        </w:rPr>
        <w:t xml:space="preserve"> </w:t>
      </w:r>
      <w:r>
        <w:rPr>
          <w:lang w:val="es-ES_tradnl"/>
        </w:rPr>
        <w:t xml:space="preserve">Según estimaciones de contratos de pago por disponibilidad a 20 años. CND y MTOP. </w:t>
      </w:r>
    </w:p>
  </w:footnote>
  <w:footnote w:id="6">
    <w:p w14:paraId="45689F7E" w14:textId="5D0768C3" w:rsidR="001A7C3D" w:rsidRPr="009615C1" w:rsidRDefault="001A7C3D" w:rsidP="00E313D3">
      <w:pPr>
        <w:pStyle w:val="FootnoteText"/>
        <w:jc w:val="both"/>
        <w:rPr>
          <w:lang w:val="es-ES_tradnl"/>
        </w:rPr>
      </w:pPr>
      <w:r>
        <w:rPr>
          <w:rStyle w:val="FootnoteReference"/>
        </w:rPr>
        <w:footnoteRef/>
      </w:r>
      <w:r w:rsidRPr="009615C1">
        <w:rPr>
          <w:lang w:val="es-ES_tradnl"/>
        </w:rPr>
        <w:t xml:space="preserve"> </w:t>
      </w:r>
      <w:r>
        <w:rPr>
          <w:lang w:val="es-ES_tradnl"/>
        </w:rPr>
        <w:t xml:space="preserve">Posteriormente, complementada por los Decretos Reglamentarios 17/012, 280/012 (ajuste a la figura del diálogo competitivo y a estudios previos), 045/013 (exoneraciones fiscales específicas), 181/015 (criterios y plazos de amortización de activos intangibles), 251/015 (Registro de proyectos, revisión de plazos para estudios y evaluación y detalle del cierre financiero) y 313/017 (requisitos de cierre financiero para adjudicación definitiva).   </w:t>
      </w:r>
    </w:p>
  </w:footnote>
  <w:footnote w:id="7">
    <w:p w14:paraId="6BE2330E" w14:textId="333F18B8" w:rsidR="001A7C3D" w:rsidRPr="00C51C09" w:rsidRDefault="001A7C3D" w:rsidP="00BA0870">
      <w:pPr>
        <w:pStyle w:val="FootnoteText"/>
        <w:jc w:val="both"/>
        <w:rPr>
          <w:lang w:val="es-ES_tradnl"/>
        </w:rPr>
      </w:pPr>
      <w:r>
        <w:rPr>
          <w:rStyle w:val="FootnoteReference"/>
        </w:rPr>
        <w:footnoteRef/>
      </w:r>
      <w:r w:rsidRPr="00C51C09">
        <w:rPr>
          <w:lang w:val="es-ES_tradnl"/>
        </w:rPr>
        <w:t xml:space="preserve"> </w:t>
      </w:r>
      <w:r>
        <w:rPr>
          <w:lang w:val="es-ES_tradnl"/>
        </w:rPr>
        <w:t xml:space="preserve">La evaluación previa debe separarse en estudios de prefactibilidad, estudios de factibilidad y estudios de impacto y debe contener un análisis comparativo con formas alternativas de contratación que justifiquen en términos técnicos, jurídicos, económicos y financieros, la justificación de esta forma de contratación. De manera, que al final se justifique que el modelo de contratación propuesto a través de PPP es el que permite al estado obtener el mayor Valor por Dinero. </w:t>
      </w:r>
    </w:p>
  </w:footnote>
  <w:footnote w:id="8">
    <w:p w14:paraId="1DF69272" w14:textId="6EAA2D24" w:rsidR="001A7C3D" w:rsidRPr="00BD7D52" w:rsidRDefault="001A7C3D" w:rsidP="00BD7D52">
      <w:pPr>
        <w:pStyle w:val="FootnoteText"/>
        <w:jc w:val="both"/>
        <w:rPr>
          <w:lang w:val="es-ES_tradnl"/>
        </w:rPr>
      </w:pPr>
      <w:r>
        <w:rPr>
          <w:rStyle w:val="FootnoteReference"/>
        </w:rPr>
        <w:footnoteRef/>
      </w:r>
      <w:r w:rsidRPr="00BD7D52">
        <w:rPr>
          <w:lang w:val="es-ES_tradnl"/>
        </w:rPr>
        <w:t xml:space="preserve"> </w:t>
      </w:r>
      <w:r>
        <w:rPr>
          <w:lang w:val="es-ES_tradnl"/>
        </w:rPr>
        <w:t xml:space="preserve">Son tres los principales manuales elaborados para los organismos de la Administración Pública: el índice de elegibilidad, los informes de control y seguimiento y la guía metodológica de la determinación de valor por dinero. </w:t>
      </w:r>
    </w:p>
  </w:footnote>
  <w:footnote w:id="9">
    <w:p w14:paraId="7609BC76" w14:textId="49F921EE" w:rsidR="001A7C3D" w:rsidRPr="00995F51" w:rsidRDefault="001A7C3D">
      <w:pPr>
        <w:pStyle w:val="FootnoteText"/>
        <w:rPr>
          <w:lang w:val="es-ES_tradnl"/>
        </w:rPr>
      </w:pPr>
      <w:r>
        <w:rPr>
          <w:rStyle w:val="FootnoteReference"/>
        </w:rPr>
        <w:footnoteRef/>
      </w:r>
      <w:r w:rsidRPr="00995F51">
        <w:rPr>
          <w:lang w:val="es-ES_tradnl"/>
        </w:rPr>
        <w:t xml:space="preserve"> </w:t>
      </w:r>
      <w:r>
        <w:rPr>
          <w:lang w:val="es-ES_tradnl"/>
        </w:rPr>
        <w:t xml:space="preserve">Cambios en las concesiones viales en Uruguay. Andres Pereyra, 2010. </w:t>
      </w:r>
    </w:p>
  </w:footnote>
  <w:footnote w:id="10">
    <w:p w14:paraId="3C6D0EE0" w14:textId="3BA0151D" w:rsidR="001A7C3D" w:rsidRPr="00FA7398" w:rsidRDefault="001A7C3D">
      <w:pPr>
        <w:pStyle w:val="FootnoteText"/>
        <w:rPr>
          <w:lang w:val="es-ES_tradnl"/>
        </w:rPr>
      </w:pPr>
      <w:r>
        <w:rPr>
          <w:rStyle w:val="FootnoteReference"/>
        </w:rPr>
        <w:footnoteRef/>
      </w:r>
      <w:r w:rsidRPr="00FA7398">
        <w:rPr>
          <w:lang w:val="es-ES_tradnl"/>
        </w:rPr>
        <w:t xml:space="preserve"> </w:t>
      </w:r>
      <w:r>
        <w:rPr>
          <w:lang w:val="es-ES_tradnl"/>
        </w:rPr>
        <w:t>Cambios en las concesiones viales en Uruguay. Andres Pereyra, 2010.</w:t>
      </w:r>
    </w:p>
  </w:footnote>
  <w:footnote w:id="11">
    <w:p w14:paraId="6CF811E0" w14:textId="10D9224B" w:rsidR="001A7C3D" w:rsidRPr="00B33715" w:rsidRDefault="001A7C3D">
      <w:pPr>
        <w:pStyle w:val="FootnoteText"/>
        <w:rPr>
          <w:lang w:val="es-ES_tradnl"/>
        </w:rPr>
      </w:pPr>
      <w:r>
        <w:rPr>
          <w:rStyle w:val="FootnoteReference"/>
        </w:rPr>
        <w:footnoteRef/>
      </w:r>
      <w:r w:rsidRPr="00B33715">
        <w:rPr>
          <w:lang w:val="es-ES_tradnl"/>
        </w:rPr>
        <w:t xml:space="preserve"> </w:t>
      </w:r>
      <w:r>
        <w:rPr>
          <w:lang w:val="es-ES_tradnl"/>
        </w:rPr>
        <w:t xml:space="preserve">Evaluación de Asociaciones Público-Privadas en Infraestructura. Oficina de Evaluación – BID, 2017 </w:t>
      </w:r>
    </w:p>
  </w:footnote>
  <w:footnote w:id="12">
    <w:p w14:paraId="722C58D4" w14:textId="399A16CA" w:rsidR="001A7C3D" w:rsidRPr="00EA5C55" w:rsidRDefault="001A7C3D" w:rsidP="005143BB">
      <w:pPr>
        <w:pStyle w:val="FootnoteText"/>
        <w:ind w:left="274" w:hanging="274"/>
        <w:rPr>
          <w:rFonts w:ascii="Arial" w:hAnsi="Arial" w:cs="Arial"/>
          <w:sz w:val="18"/>
          <w:szCs w:val="18"/>
          <w:lang w:val="es-ES"/>
        </w:rPr>
      </w:pPr>
      <w:r w:rsidRPr="00EA5C55">
        <w:rPr>
          <w:rStyle w:val="FootnoteReference"/>
          <w:rFonts w:ascii="Arial" w:hAnsi="Arial" w:cs="Arial"/>
          <w:sz w:val="18"/>
          <w:szCs w:val="18"/>
        </w:rPr>
        <w:footnoteRef/>
      </w:r>
      <w:r w:rsidRPr="005143BB">
        <w:rPr>
          <w:rFonts w:ascii="Arial" w:hAnsi="Arial" w:cs="Arial"/>
          <w:sz w:val="18"/>
          <w:szCs w:val="18"/>
          <w:lang w:val="es-ES_tradnl"/>
        </w:rPr>
        <w:t xml:space="preserve"> </w:t>
      </w:r>
      <w:r w:rsidRPr="005143BB">
        <w:rPr>
          <w:lang w:val="es-ES_tradnl"/>
        </w:rPr>
        <w:t>Banco Mundial (BM), indicadores de Desarrollo Mundial</w:t>
      </w:r>
    </w:p>
  </w:footnote>
  <w:footnote w:id="13">
    <w:p w14:paraId="01A1B512" w14:textId="5D1CED53" w:rsidR="001A7C3D" w:rsidRPr="00C903FE" w:rsidRDefault="001A7C3D">
      <w:pPr>
        <w:pStyle w:val="FootnoteText"/>
        <w:rPr>
          <w:lang w:val="es-ES_tradnl"/>
        </w:rPr>
      </w:pPr>
      <w:r>
        <w:rPr>
          <w:rStyle w:val="FootnoteReference"/>
        </w:rPr>
        <w:footnoteRef/>
      </w:r>
      <w:r>
        <w:rPr>
          <w:lang w:val="es-ES_tradnl"/>
        </w:rPr>
        <w:t xml:space="preserve"> Documento de discusión sobre la financiación de proyectos de </w:t>
      </w:r>
      <w:proofErr w:type="spellStart"/>
      <w:r>
        <w:rPr>
          <w:lang w:val="es-ES_tradnl"/>
        </w:rPr>
        <w:t>PPPs</w:t>
      </w:r>
      <w:proofErr w:type="spellEnd"/>
      <w:r>
        <w:rPr>
          <w:lang w:val="es-ES_tradnl"/>
        </w:rPr>
        <w:t xml:space="preserve">. MEF, diciembre de 2014. </w:t>
      </w:r>
    </w:p>
  </w:footnote>
  <w:footnote w:id="14">
    <w:p w14:paraId="3730499D" w14:textId="67A74692" w:rsidR="001A7C3D" w:rsidRPr="005A2FB1" w:rsidRDefault="001A7C3D" w:rsidP="00D451CD">
      <w:pPr>
        <w:pStyle w:val="FootnoteText"/>
        <w:rPr>
          <w:lang w:val="es-ES_tradnl"/>
        </w:rPr>
      </w:pPr>
      <w:r>
        <w:rPr>
          <w:rStyle w:val="FootnoteReference"/>
        </w:rPr>
        <w:footnoteRef/>
      </w:r>
      <w:r w:rsidRPr="005A2FB1">
        <w:rPr>
          <w:lang w:val="es-ES_tradnl"/>
        </w:rPr>
        <w:t xml:space="preserve"> </w:t>
      </w:r>
      <w:r>
        <w:rPr>
          <w:lang w:val="es-ES_tradnl"/>
        </w:rPr>
        <w:t>Financiamiento privado de la infraestructura en América Latina y el Caribe: Chile, Perú y Uruguay. BID, mayo 2017.</w:t>
      </w:r>
    </w:p>
  </w:footnote>
  <w:footnote w:id="15">
    <w:p w14:paraId="5B6591F8" w14:textId="20D4618C" w:rsidR="001A7C3D" w:rsidRPr="00965251" w:rsidRDefault="001A7C3D" w:rsidP="00B11D04">
      <w:pPr>
        <w:pStyle w:val="FootnoteText"/>
        <w:jc w:val="both"/>
        <w:rPr>
          <w:lang w:val="es-ES_tradnl"/>
        </w:rPr>
      </w:pPr>
      <w:r>
        <w:rPr>
          <w:rStyle w:val="FootnoteReference"/>
        </w:rPr>
        <w:footnoteRef/>
      </w:r>
      <w:r w:rsidRPr="00965251">
        <w:rPr>
          <w:lang w:val="es-ES_tradnl"/>
        </w:rPr>
        <w:t xml:space="preserve"> </w:t>
      </w:r>
      <w:r>
        <w:rPr>
          <w:lang w:val="es-ES_tradnl"/>
        </w:rPr>
        <w:t xml:space="preserve">Banco Central del Uruguay. Superintendencia de Servicios Financieros. </w:t>
      </w:r>
    </w:p>
  </w:footnote>
  <w:footnote w:id="16">
    <w:p w14:paraId="50C044A8" w14:textId="51B01381" w:rsidR="001A7C3D" w:rsidRPr="005143BB" w:rsidRDefault="001A7C3D" w:rsidP="00B11D04">
      <w:pPr>
        <w:pStyle w:val="FootnoteText"/>
        <w:jc w:val="both"/>
        <w:rPr>
          <w:lang w:val="es-ES_tradnl"/>
        </w:rPr>
      </w:pPr>
      <w:r>
        <w:rPr>
          <w:rStyle w:val="FootnoteReference"/>
        </w:rPr>
        <w:footnoteRef/>
      </w:r>
      <w:r w:rsidRPr="005143BB">
        <w:rPr>
          <w:lang w:val="es-ES_tradnl"/>
        </w:rPr>
        <w:t xml:space="preserve"> </w:t>
      </w:r>
      <w:r w:rsidRPr="00B11D04">
        <w:rPr>
          <w:lang w:val="es-ES"/>
        </w:rPr>
        <w:t xml:space="preserve">La </w:t>
      </w:r>
      <w:r w:rsidRPr="00B11D04">
        <w:rPr>
          <w:lang w:val="es-ES_tradnl"/>
        </w:rPr>
        <w:t xml:space="preserve">modificación del permitiría a las </w:t>
      </w:r>
      <w:proofErr w:type="spellStart"/>
      <w:r w:rsidRPr="00B11D04">
        <w:rPr>
          <w:lang w:val="es-ES_tradnl"/>
        </w:rPr>
        <w:t>AFAPs</w:t>
      </w:r>
      <w:proofErr w:type="spellEnd"/>
      <w:r w:rsidRPr="00B11D04">
        <w:rPr>
          <w:lang w:val="es-ES_tradnl"/>
        </w:rPr>
        <w:t xml:space="preserve"> asumir compromisos a futuro, como son la emisión de cartas de intención y la integración en forma diferida de los fondos en tramos, según se avance en la construcción de la obra. Esto reduciría el riesgo de refinanciación a los promotores que facilitaría acordar una estructura financiera para el proyecto antes de asignar la obra.</w:t>
      </w:r>
      <w:r>
        <w:rPr>
          <w:highlight w:val="yellow"/>
          <w:lang w:val="es-ES"/>
        </w:rPr>
        <w:t xml:space="preserve"> </w:t>
      </w:r>
    </w:p>
  </w:footnote>
  <w:footnote w:id="17">
    <w:p w14:paraId="441E7C66" w14:textId="411B2739" w:rsidR="001A7C3D" w:rsidRPr="008C51EE" w:rsidRDefault="001A7C3D" w:rsidP="00B11D04">
      <w:pPr>
        <w:pStyle w:val="FootnoteText"/>
        <w:jc w:val="both"/>
        <w:rPr>
          <w:lang w:val="es-ES_tradnl"/>
        </w:rPr>
      </w:pPr>
      <w:r>
        <w:rPr>
          <w:rStyle w:val="FootnoteReference"/>
        </w:rPr>
        <w:footnoteRef/>
      </w:r>
      <w:r w:rsidRPr="008C51EE">
        <w:rPr>
          <w:lang w:val="es-ES_tradnl"/>
        </w:rPr>
        <w:t xml:space="preserve"> </w:t>
      </w:r>
      <w:r>
        <w:rPr>
          <w:lang w:val="es-ES_tradnl"/>
        </w:rPr>
        <w:t xml:space="preserve">El límite máximo es el 75%. Fue reducido recientemente desde el anterior límite que estaba establecido en el 90%. </w:t>
      </w:r>
    </w:p>
  </w:footnote>
  <w:footnote w:id="18">
    <w:p w14:paraId="22C1BF35" w14:textId="5617D9D8" w:rsidR="001A7C3D" w:rsidRPr="000E3E7F" w:rsidRDefault="001A7C3D">
      <w:pPr>
        <w:pStyle w:val="FootnoteText"/>
      </w:pPr>
      <w:r>
        <w:rPr>
          <w:rStyle w:val="FootnoteReference"/>
        </w:rPr>
        <w:footnoteRef/>
      </w:r>
      <w:r w:rsidRPr="000E3E7F">
        <w:t xml:space="preserve"> Banco Mundial, Country </w:t>
      </w:r>
      <w:proofErr w:type="spellStart"/>
      <w:r w:rsidRPr="000E3E7F">
        <w:t>Parnership</w:t>
      </w:r>
      <w:proofErr w:type="spellEnd"/>
      <w:r w:rsidRPr="000E3E7F">
        <w:t xml:space="preserve"> Framework</w:t>
      </w:r>
      <w:r>
        <w:t xml:space="preserve"> with Uruguay 2016-2020. </w:t>
      </w:r>
    </w:p>
  </w:footnote>
  <w:footnote w:id="19">
    <w:p w14:paraId="233B9395" w14:textId="68A54902" w:rsidR="001A7C3D" w:rsidRPr="00FE3157" w:rsidRDefault="001A7C3D">
      <w:pPr>
        <w:pStyle w:val="FootnoteText"/>
        <w:rPr>
          <w:lang w:val="es-ES_tradnl"/>
        </w:rPr>
      </w:pPr>
      <w:r>
        <w:rPr>
          <w:rStyle w:val="FootnoteReference"/>
        </w:rPr>
        <w:footnoteRef/>
      </w:r>
      <w:r w:rsidRPr="00FE3157">
        <w:rPr>
          <w:lang w:val="es-ES_tradnl"/>
        </w:rPr>
        <w:t xml:space="preserve"> </w:t>
      </w:r>
      <w:r>
        <w:rPr>
          <w:lang w:val="es-ES_tradnl"/>
        </w:rPr>
        <w:t>Financiamiento privado de la infraestructura en América Latina y el Caribe: Chile, Perú y Uruguay. BID, mayo 2017.</w:t>
      </w:r>
    </w:p>
  </w:footnote>
  <w:footnote w:id="20">
    <w:p w14:paraId="7D069B94" w14:textId="1F49AFD0" w:rsidR="001A7C3D" w:rsidRPr="00B11D04" w:rsidRDefault="001A7C3D">
      <w:pPr>
        <w:pStyle w:val="FootnoteText"/>
        <w:rPr>
          <w:lang w:val="es-ES_tradnl"/>
        </w:rPr>
      </w:pPr>
      <w:r>
        <w:rPr>
          <w:rStyle w:val="FootnoteReference"/>
        </w:rPr>
        <w:footnoteRef/>
      </w:r>
      <w:r w:rsidRPr="00B11D04">
        <w:rPr>
          <w:lang w:val="es-ES_tradnl"/>
        </w:rPr>
        <w:t xml:space="preserve"> </w:t>
      </w:r>
      <w:r>
        <w:rPr>
          <w:lang w:val="es-ES_tradnl"/>
        </w:rPr>
        <w:t>E</w:t>
      </w:r>
      <w:r w:rsidRPr="00B11D04">
        <w:rPr>
          <w:lang w:val="es-ES_tradnl"/>
        </w:rPr>
        <w:t>l país alcanza el grado de inversión por las principales agencias calificadoras</w:t>
      </w:r>
      <w:r>
        <w:rPr>
          <w:lang w:val="es-ES_tradnl"/>
        </w:rPr>
        <w:t xml:space="preserve"> en 2012 y</w:t>
      </w:r>
      <w:r w:rsidRPr="00B11D04">
        <w:rPr>
          <w:lang w:val="es-ES_tradnl"/>
        </w:rPr>
        <w:t xml:space="preserve"> el spread de la deuda pública se encuentra en niveles históricamente favorables</w:t>
      </w:r>
      <w:r>
        <w:rPr>
          <w:lang w:val="es-ES_tradnl"/>
        </w:rPr>
        <w:t xml:space="preserve">: </w:t>
      </w:r>
      <w:r w:rsidRPr="00B11D04">
        <w:rPr>
          <w:lang w:val="es-ES_tradnl"/>
        </w:rPr>
        <w:t>200 puntos básicos en junio de 2018</w:t>
      </w:r>
    </w:p>
  </w:footnote>
  <w:footnote w:id="21">
    <w:p w14:paraId="76675C8B" w14:textId="77777777" w:rsidR="001A7C3D" w:rsidRDefault="001A7C3D" w:rsidP="007C46AB">
      <w:pPr>
        <w:jc w:val="both"/>
        <w:rPr>
          <w:b/>
          <w:lang w:val="es-ES_tradnl"/>
        </w:rPr>
      </w:pPr>
      <w:r>
        <w:rPr>
          <w:rStyle w:val="FootnoteReference"/>
        </w:rPr>
        <w:footnoteRef/>
      </w:r>
      <w:r w:rsidRPr="007C46AB">
        <w:rPr>
          <w:lang w:val="es-ES_tradnl"/>
        </w:rPr>
        <w:t xml:space="preserve"> </w:t>
      </w:r>
      <w:r w:rsidRPr="007C46AB">
        <w:rPr>
          <w:sz w:val="20"/>
          <w:szCs w:val="20"/>
          <w:lang w:val="es-ES_tradnl"/>
        </w:rPr>
        <w:t xml:space="preserve">En el siguiente </w:t>
      </w:r>
      <w:proofErr w:type="gramStart"/>
      <w:r w:rsidRPr="007C46AB">
        <w:rPr>
          <w:sz w:val="20"/>
          <w:szCs w:val="20"/>
          <w:lang w:val="es-ES_tradnl"/>
        </w:rPr>
        <w:t>link</w:t>
      </w:r>
      <w:proofErr w:type="gramEnd"/>
      <w:r w:rsidRPr="007C46AB">
        <w:rPr>
          <w:sz w:val="20"/>
          <w:szCs w:val="20"/>
          <w:lang w:val="es-ES_tradnl"/>
        </w:rPr>
        <w:t xml:space="preserve"> se pueden encontrar todos los fidecomisos financieros que son vendidos en la Bolsa de Valores de Montevideo:</w:t>
      </w:r>
      <w:r>
        <w:rPr>
          <w:lang w:val="es-ES_tradnl"/>
        </w:rPr>
        <w:t xml:space="preserve"> </w:t>
      </w:r>
      <w:hyperlink r:id="rId1" w:history="1">
        <w:r w:rsidRPr="007C46AB">
          <w:rPr>
            <w:rStyle w:val="Hyperlink"/>
            <w:sz w:val="20"/>
            <w:szCs w:val="20"/>
            <w:lang w:val="es-ES_tradnl"/>
          </w:rPr>
          <w:t>https://www.bvm.com.uy/operadores/fideicomisos-financieros</w:t>
        </w:r>
      </w:hyperlink>
    </w:p>
    <w:p w14:paraId="3442E9B2" w14:textId="7C1CC2BA" w:rsidR="001A7C3D" w:rsidRPr="007C46AB" w:rsidRDefault="001A7C3D">
      <w:pPr>
        <w:pStyle w:val="FootnoteText"/>
        <w:rPr>
          <w:lang w:val="es-ES_tradnl"/>
        </w:rPr>
      </w:pPr>
    </w:p>
  </w:footnote>
  <w:footnote w:id="22">
    <w:p w14:paraId="2AD627C0" w14:textId="0D32EC82" w:rsidR="001A7C3D" w:rsidRPr="00C4421D" w:rsidRDefault="001A7C3D">
      <w:pPr>
        <w:pStyle w:val="FootnoteText"/>
        <w:rPr>
          <w:lang w:val="es-ES_tradnl"/>
        </w:rPr>
      </w:pPr>
      <w:r>
        <w:rPr>
          <w:rStyle w:val="FootnoteReference"/>
        </w:rPr>
        <w:footnoteRef/>
      </w:r>
      <w:r w:rsidRPr="00C4421D">
        <w:rPr>
          <w:lang w:val="es-ES_tradnl"/>
        </w:rPr>
        <w:t xml:space="preserve"> Ratio de Cobertura de Liquidez (LCR) y el</w:t>
      </w:r>
      <w:r>
        <w:rPr>
          <w:lang w:val="es-ES_tradnl"/>
        </w:rPr>
        <w:t xml:space="preserve"> Ratio de estabilidad del fondeo neto (NSFR). </w:t>
      </w:r>
    </w:p>
  </w:footnote>
  <w:footnote w:id="23">
    <w:p w14:paraId="33203985" w14:textId="5CD33EC3" w:rsidR="001A7C3D" w:rsidRPr="00FF3085" w:rsidRDefault="001A7C3D" w:rsidP="00FF3085">
      <w:pPr>
        <w:pStyle w:val="FootnoteText"/>
        <w:jc w:val="both"/>
        <w:rPr>
          <w:lang w:val="es-ES_tradnl"/>
        </w:rPr>
      </w:pPr>
      <w:r>
        <w:rPr>
          <w:rStyle w:val="FootnoteReference"/>
        </w:rPr>
        <w:footnoteRef/>
      </w:r>
      <w:r w:rsidRPr="00FF3085">
        <w:rPr>
          <w:lang w:val="es-ES_tradnl"/>
        </w:rPr>
        <w:t xml:space="preserve"> </w:t>
      </w:r>
      <w:r>
        <w:rPr>
          <w:lang w:val="es-ES_tradnl"/>
        </w:rPr>
        <w:t>La mayoría de los actores locales tienen poca experiencia en la estructuración técnica y financiera de este tipo de proyectos. Se mencionaba que los bancos locales no tienen equipos de Project finance, pero es un riesgo o deficiencia que también ha sido reconocido por los inversores institucionales (</w:t>
      </w:r>
      <w:proofErr w:type="spellStart"/>
      <w:r>
        <w:rPr>
          <w:lang w:val="es-ES_tradnl"/>
        </w:rPr>
        <w:t>AFAPs</w:t>
      </w:r>
      <w:proofErr w:type="spellEnd"/>
      <w:r>
        <w:rPr>
          <w:lang w:val="es-ES_tradnl"/>
        </w:rPr>
        <w:t xml:space="preserve">) cuando se les ha invitado a participar en proyectos de este tipo.  La CND ha desarrollado varios cursos para capacitar en Project finance a diversos actores relacionados con las </w:t>
      </w:r>
      <w:proofErr w:type="spellStart"/>
      <w:r>
        <w:rPr>
          <w:lang w:val="es-ES_tradnl"/>
        </w:rPr>
        <w:t>PPPs</w:t>
      </w:r>
      <w:proofErr w:type="spellEnd"/>
      <w:r>
        <w:rPr>
          <w:lang w:val="es-ES_tradnl"/>
        </w:rPr>
        <w:t xml:space="preserve">. </w:t>
      </w:r>
    </w:p>
  </w:footnote>
  <w:footnote w:id="24">
    <w:p w14:paraId="6CBC09D1" w14:textId="793066B6" w:rsidR="001A7C3D" w:rsidRPr="00C7044C" w:rsidRDefault="001A7C3D" w:rsidP="003900E5">
      <w:pPr>
        <w:pStyle w:val="FootnoteText"/>
        <w:jc w:val="both"/>
        <w:rPr>
          <w:lang w:val="es-ES_tradnl"/>
        </w:rPr>
      </w:pPr>
      <w:r>
        <w:rPr>
          <w:rStyle w:val="FootnoteReference"/>
        </w:rPr>
        <w:footnoteRef/>
      </w:r>
      <w:r w:rsidRPr="00C7044C">
        <w:rPr>
          <w:lang w:val="es-ES_tradnl"/>
        </w:rPr>
        <w:t xml:space="preserve"> </w:t>
      </w:r>
      <w:r w:rsidRPr="003900E5">
        <w:rPr>
          <w:lang w:val="es-ES_tradnl"/>
        </w:rPr>
        <w:t>En la PPP de prisiones, el BROU acabó suministrando garantías para riesgos de construcción del soberano, pero su estructuración y negociación fue bastante lenta.</w:t>
      </w:r>
      <w:r>
        <w:rPr>
          <w:lang w:val="es-ES_tradnl"/>
        </w:rPr>
        <w:t xml:space="preserve"> Este tipo de riesgos son difíciles de asumir por los inversores institucionales y en particular las AFAP.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5344"/>
    <w:multiLevelType w:val="hybridMultilevel"/>
    <w:tmpl w:val="402E9A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56724"/>
    <w:multiLevelType w:val="hybridMultilevel"/>
    <w:tmpl w:val="5518139E"/>
    <w:lvl w:ilvl="0" w:tplc="D75EB6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9B4991"/>
    <w:multiLevelType w:val="multilevel"/>
    <w:tmpl w:val="D986AA36"/>
    <w:lvl w:ilvl="0">
      <w:start w:val="1"/>
      <w:numFmt w:val="upperRoman"/>
      <w:lvlRestart w:val="0"/>
      <w:pStyle w:val="Chapter"/>
      <w:lvlText w:val="%1."/>
      <w:lvlJc w:val="center"/>
      <w:pPr>
        <w:tabs>
          <w:tab w:val="num" w:pos="360"/>
        </w:tabs>
        <w:ind w:left="-288" w:firstLine="288"/>
      </w:pPr>
      <w:rPr>
        <w:b/>
        <w:i w:val="0"/>
      </w:rPr>
    </w:lvl>
    <w:lvl w:ilvl="1">
      <w:start w:val="1"/>
      <w:numFmt w:val="decimal"/>
      <w:pStyle w:val="Paragraph"/>
      <w:isLgl/>
      <w:lvlText w:val="%1.%2"/>
      <w:lvlJc w:val="left"/>
      <w:pPr>
        <w:tabs>
          <w:tab w:val="num" w:pos="1926"/>
        </w:tabs>
        <w:ind w:left="1926" w:hanging="1296"/>
      </w:pPr>
      <w:rPr>
        <w:rFonts w:ascii="Arial" w:hAnsi="Arial" w:cs="Arial" w:hint="default"/>
        <w:color w:val="auto"/>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57064386"/>
    <w:multiLevelType w:val="hybridMultilevel"/>
    <w:tmpl w:val="5518139E"/>
    <w:lvl w:ilvl="0" w:tplc="D75EB6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F351C1"/>
    <w:multiLevelType w:val="hybridMultilevel"/>
    <w:tmpl w:val="5518139E"/>
    <w:lvl w:ilvl="0" w:tplc="D75EB6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4F7143"/>
    <w:multiLevelType w:val="hybridMultilevel"/>
    <w:tmpl w:val="7BBA2EC6"/>
    <w:lvl w:ilvl="0" w:tplc="B93247B0">
      <w:start w:val="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773D2"/>
    <w:rsid w:val="0001677B"/>
    <w:rsid w:val="000210A4"/>
    <w:rsid w:val="0005233A"/>
    <w:rsid w:val="00055E39"/>
    <w:rsid w:val="0006167D"/>
    <w:rsid w:val="000802E6"/>
    <w:rsid w:val="000900D5"/>
    <w:rsid w:val="00096BA9"/>
    <w:rsid w:val="000A15ED"/>
    <w:rsid w:val="000B26E3"/>
    <w:rsid w:val="000B4382"/>
    <w:rsid w:val="000B6025"/>
    <w:rsid w:val="000C057C"/>
    <w:rsid w:val="000D2FEF"/>
    <w:rsid w:val="000E35F8"/>
    <w:rsid w:val="000E3E7F"/>
    <w:rsid w:val="000E608D"/>
    <w:rsid w:val="001058AA"/>
    <w:rsid w:val="00106D7D"/>
    <w:rsid w:val="00114141"/>
    <w:rsid w:val="00133A46"/>
    <w:rsid w:val="00136FB8"/>
    <w:rsid w:val="00137DF6"/>
    <w:rsid w:val="00141B99"/>
    <w:rsid w:val="00156B64"/>
    <w:rsid w:val="00167D40"/>
    <w:rsid w:val="001821F7"/>
    <w:rsid w:val="001825C3"/>
    <w:rsid w:val="00187DFD"/>
    <w:rsid w:val="00195E81"/>
    <w:rsid w:val="001A5EF4"/>
    <w:rsid w:val="001A7C3D"/>
    <w:rsid w:val="001B6DE8"/>
    <w:rsid w:val="001D7692"/>
    <w:rsid w:val="001D7DBA"/>
    <w:rsid w:val="001E27D2"/>
    <w:rsid w:val="00207108"/>
    <w:rsid w:val="0021692E"/>
    <w:rsid w:val="00226F2B"/>
    <w:rsid w:val="002323E1"/>
    <w:rsid w:val="00232D4B"/>
    <w:rsid w:val="00236E87"/>
    <w:rsid w:val="00245582"/>
    <w:rsid w:val="002459E7"/>
    <w:rsid w:val="00247970"/>
    <w:rsid w:val="002625D3"/>
    <w:rsid w:val="00264B81"/>
    <w:rsid w:val="00272120"/>
    <w:rsid w:val="00276B65"/>
    <w:rsid w:val="00280D6D"/>
    <w:rsid w:val="00284334"/>
    <w:rsid w:val="002B007D"/>
    <w:rsid w:val="002D30F2"/>
    <w:rsid w:val="002E00D9"/>
    <w:rsid w:val="002E4FD8"/>
    <w:rsid w:val="002F3193"/>
    <w:rsid w:val="00324FB8"/>
    <w:rsid w:val="00333A29"/>
    <w:rsid w:val="0033607B"/>
    <w:rsid w:val="003409B2"/>
    <w:rsid w:val="00342371"/>
    <w:rsid w:val="00370668"/>
    <w:rsid w:val="0037145D"/>
    <w:rsid w:val="00371EFA"/>
    <w:rsid w:val="00372DD6"/>
    <w:rsid w:val="00382BEF"/>
    <w:rsid w:val="00385FE8"/>
    <w:rsid w:val="0038723B"/>
    <w:rsid w:val="003900E5"/>
    <w:rsid w:val="003A2E62"/>
    <w:rsid w:val="003B0688"/>
    <w:rsid w:val="003B507D"/>
    <w:rsid w:val="003C55D6"/>
    <w:rsid w:val="003D2D9D"/>
    <w:rsid w:val="003D678A"/>
    <w:rsid w:val="003E032E"/>
    <w:rsid w:val="003E07AC"/>
    <w:rsid w:val="003E0A63"/>
    <w:rsid w:val="003F5408"/>
    <w:rsid w:val="00405630"/>
    <w:rsid w:val="00411AD6"/>
    <w:rsid w:val="0041477E"/>
    <w:rsid w:val="004160E5"/>
    <w:rsid w:val="004209AA"/>
    <w:rsid w:val="00427D46"/>
    <w:rsid w:val="00427FB7"/>
    <w:rsid w:val="00431478"/>
    <w:rsid w:val="004443A9"/>
    <w:rsid w:val="00470998"/>
    <w:rsid w:val="00474564"/>
    <w:rsid w:val="00487CCD"/>
    <w:rsid w:val="004920D2"/>
    <w:rsid w:val="004B1FF2"/>
    <w:rsid w:val="004C1A9A"/>
    <w:rsid w:val="004C7D8F"/>
    <w:rsid w:val="004D411F"/>
    <w:rsid w:val="0051239F"/>
    <w:rsid w:val="005143A3"/>
    <w:rsid w:val="005143BB"/>
    <w:rsid w:val="00514C39"/>
    <w:rsid w:val="0052189E"/>
    <w:rsid w:val="00521C1B"/>
    <w:rsid w:val="005244B0"/>
    <w:rsid w:val="005407DF"/>
    <w:rsid w:val="0054512C"/>
    <w:rsid w:val="00553CE2"/>
    <w:rsid w:val="00567E3B"/>
    <w:rsid w:val="00583194"/>
    <w:rsid w:val="005A2FB1"/>
    <w:rsid w:val="005B2945"/>
    <w:rsid w:val="005B2AD4"/>
    <w:rsid w:val="005B3AF1"/>
    <w:rsid w:val="005E1ACA"/>
    <w:rsid w:val="005E248D"/>
    <w:rsid w:val="00616978"/>
    <w:rsid w:val="00634D59"/>
    <w:rsid w:val="00653895"/>
    <w:rsid w:val="00655C5A"/>
    <w:rsid w:val="00674DC1"/>
    <w:rsid w:val="00675B10"/>
    <w:rsid w:val="00675B17"/>
    <w:rsid w:val="00683D0D"/>
    <w:rsid w:val="006B415B"/>
    <w:rsid w:val="006C31B0"/>
    <w:rsid w:val="006D2B39"/>
    <w:rsid w:val="006D5700"/>
    <w:rsid w:val="006F05EA"/>
    <w:rsid w:val="006F13A8"/>
    <w:rsid w:val="007075ED"/>
    <w:rsid w:val="00716675"/>
    <w:rsid w:val="007246CB"/>
    <w:rsid w:val="0072606A"/>
    <w:rsid w:val="007324D5"/>
    <w:rsid w:val="00741D8F"/>
    <w:rsid w:val="007422DB"/>
    <w:rsid w:val="007501AE"/>
    <w:rsid w:val="00750BBC"/>
    <w:rsid w:val="00751FA0"/>
    <w:rsid w:val="0075345B"/>
    <w:rsid w:val="007549D9"/>
    <w:rsid w:val="00764D71"/>
    <w:rsid w:val="00767256"/>
    <w:rsid w:val="00772508"/>
    <w:rsid w:val="007733D2"/>
    <w:rsid w:val="007738AB"/>
    <w:rsid w:val="00780F7A"/>
    <w:rsid w:val="0078161E"/>
    <w:rsid w:val="007A2BBE"/>
    <w:rsid w:val="007A5C2D"/>
    <w:rsid w:val="007A74F2"/>
    <w:rsid w:val="007B24F5"/>
    <w:rsid w:val="007B4407"/>
    <w:rsid w:val="007C200F"/>
    <w:rsid w:val="007C3486"/>
    <w:rsid w:val="007C46AB"/>
    <w:rsid w:val="007D0014"/>
    <w:rsid w:val="007E5BB8"/>
    <w:rsid w:val="007F2EBE"/>
    <w:rsid w:val="007F5EB6"/>
    <w:rsid w:val="007F6E4E"/>
    <w:rsid w:val="008134F7"/>
    <w:rsid w:val="00816FE6"/>
    <w:rsid w:val="00826CA4"/>
    <w:rsid w:val="008276B4"/>
    <w:rsid w:val="00837097"/>
    <w:rsid w:val="008454D3"/>
    <w:rsid w:val="00850C32"/>
    <w:rsid w:val="008514F3"/>
    <w:rsid w:val="008751E0"/>
    <w:rsid w:val="00896DA2"/>
    <w:rsid w:val="008A1FA1"/>
    <w:rsid w:val="008A4408"/>
    <w:rsid w:val="008C51EE"/>
    <w:rsid w:val="008C7D94"/>
    <w:rsid w:val="008D1834"/>
    <w:rsid w:val="0090363F"/>
    <w:rsid w:val="009236C9"/>
    <w:rsid w:val="00936E04"/>
    <w:rsid w:val="009376B6"/>
    <w:rsid w:val="00937A2E"/>
    <w:rsid w:val="00940941"/>
    <w:rsid w:val="00942A45"/>
    <w:rsid w:val="00946279"/>
    <w:rsid w:val="009615C1"/>
    <w:rsid w:val="00965251"/>
    <w:rsid w:val="009809CC"/>
    <w:rsid w:val="009901C3"/>
    <w:rsid w:val="00994962"/>
    <w:rsid w:val="00995F51"/>
    <w:rsid w:val="00997851"/>
    <w:rsid w:val="00997B7D"/>
    <w:rsid w:val="009A04A7"/>
    <w:rsid w:val="009A0950"/>
    <w:rsid w:val="009A425B"/>
    <w:rsid w:val="009E0E64"/>
    <w:rsid w:val="009E1A4B"/>
    <w:rsid w:val="009E3F2E"/>
    <w:rsid w:val="009E50A1"/>
    <w:rsid w:val="009F6C29"/>
    <w:rsid w:val="00A14C2A"/>
    <w:rsid w:val="00A17C81"/>
    <w:rsid w:val="00A22C18"/>
    <w:rsid w:val="00A35E3B"/>
    <w:rsid w:val="00A55682"/>
    <w:rsid w:val="00A56C1C"/>
    <w:rsid w:val="00A57F0D"/>
    <w:rsid w:val="00A628B4"/>
    <w:rsid w:val="00A729C2"/>
    <w:rsid w:val="00A748D9"/>
    <w:rsid w:val="00AB3E0A"/>
    <w:rsid w:val="00AC0EEB"/>
    <w:rsid w:val="00AC2A92"/>
    <w:rsid w:val="00AC50A1"/>
    <w:rsid w:val="00AC583F"/>
    <w:rsid w:val="00AD7F50"/>
    <w:rsid w:val="00AF5398"/>
    <w:rsid w:val="00B006B8"/>
    <w:rsid w:val="00B02CF1"/>
    <w:rsid w:val="00B11D04"/>
    <w:rsid w:val="00B33715"/>
    <w:rsid w:val="00B3430E"/>
    <w:rsid w:val="00B377A9"/>
    <w:rsid w:val="00B377BD"/>
    <w:rsid w:val="00B43E9A"/>
    <w:rsid w:val="00B43F38"/>
    <w:rsid w:val="00B6289A"/>
    <w:rsid w:val="00B6592C"/>
    <w:rsid w:val="00B74EF5"/>
    <w:rsid w:val="00B80015"/>
    <w:rsid w:val="00B86D33"/>
    <w:rsid w:val="00B87895"/>
    <w:rsid w:val="00B9243E"/>
    <w:rsid w:val="00BA0870"/>
    <w:rsid w:val="00BB7A21"/>
    <w:rsid w:val="00BC1110"/>
    <w:rsid w:val="00BC5506"/>
    <w:rsid w:val="00BD1ED6"/>
    <w:rsid w:val="00BD34FC"/>
    <w:rsid w:val="00BD4D19"/>
    <w:rsid w:val="00BD7D52"/>
    <w:rsid w:val="00BF0570"/>
    <w:rsid w:val="00BF0AC6"/>
    <w:rsid w:val="00BF3132"/>
    <w:rsid w:val="00BF72A3"/>
    <w:rsid w:val="00C04A5F"/>
    <w:rsid w:val="00C106F7"/>
    <w:rsid w:val="00C16216"/>
    <w:rsid w:val="00C16DD3"/>
    <w:rsid w:val="00C25A80"/>
    <w:rsid w:val="00C310E9"/>
    <w:rsid w:val="00C4421D"/>
    <w:rsid w:val="00C516D4"/>
    <w:rsid w:val="00C51C09"/>
    <w:rsid w:val="00C55D26"/>
    <w:rsid w:val="00C7044C"/>
    <w:rsid w:val="00C80477"/>
    <w:rsid w:val="00C8069F"/>
    <w:rsid w:val="00C903FE"/>
    <w:rsid w:val="00C94CD2"/>
    <w:rsid w:val="00CA60F5"/>
    <w:rsid w:val="00CC3EC7"/>
    <w:rsid w:val="00CD08CD"/>
    <w:rsid w:val="00CD408A"/>
    <w:rsid w:val="00CD6573"/>
    <w:rsid w:val="00CE4D7F"/>
    <w:rsid w:val="00CF4D3F"/>
    <w:rsid w:val="00D04230"/>
    <w:rsid w:val="00D0472B"/>
    <w:rsid w:val="00D10EB8"/>
    <w:rsid w:val="00D22392"/>
    <w:rsid w:val="00D2455B"/>
    <w:rsid w:val="00D451CD"/>
    <w:rsid w:val="00D4742A"/>
    <w:rsid w:val="00D56ABC"/>
    <w:rsid w:val="00D65ED1"/>
    <w:rsid w:val="00D71AFE"/>
    <w:rsid w:val="00D73C6E"/>
    <w:rsid w:val="00D76706"/>
    <w:rsid w:val="00D773D2"/>
    <w:rsid w:val="00D84FA4"/>
    <w:rsid w:val="00DB34E0"/>
    <w:rsid w:val="00DD505C"/>
    <w:rsid w:val="00DE0849"/>
    <w:rsid w:val="00DE3F52"/>
    <w:rsid w:val="00DE6615"/>
    <w:rsid w:val="00DE76CC"/>
    <w:rsid w:val="00DF5A0B"/>
    <w:rsid w:val="00E0042C"/>
    <w:rsid w:val="00E11D03"/>
    <w:rsid w:val="00E25E11"/>
    <w:rsid w:val="00E26A02"/>
    <w:rsid w:val="00E313D3"/>
    <w:rsid w:val="00E31EDD"/>
    <w:rsid w:val="00E325C8"/>
    <w:rsid w:val="00E32FB8"/>
    <w:rsid w:val="00E34ADF"/>
    <w:rsid w:val="00E7775F"/>
    <w:rsid w:val="00E81CB7"/>
    <w:rsid w:val="00E827FB"/>
    <w:rsid w:val="00E848A5"/>
    <w:rsid w:val="00EA116E"/>
    <w:rsid w:val="00EA22AD"/>
    <w:rsid w:val="00EA3950"/>
    <w:rsid w:val="00EC664E"/>
    <w:rsid w:val="00ED30DC"/>
    <w:rsid w:val="00ED498A"/>
    <w:rsid w:val="00ED6C26"/>
    <w:rsid w:val="00EE1CC2"/>
    <w:rsid w:val="00EE4A56"/>
    <w:rsid w:val="00F029D2"/>
    <w:rsid w:val="00F21ED6"/>
    <w:rsid w:val="00F25DC9"/>
    <w:rsid w:val="00F30154"/>
    <w:rsid w:val="00F45355"/>
    <w:rsid w:val="00F74061"/>
    <w:rsid w:val="00F74F0C"/>
    <w:rsid w:val="00F77FF4"/>
    <w:rsid w:val="00F81B79"/>
    <w:rsid w:val="00F820BC"/>
    <w:rsid w:val="00F84480"/>
    <w:rsid w:val="00F9467D"/>
    <w:rsid w:val="00F94B08"/>
    <w:rsid w:val="00F96665"/>
    <w:rsid w:val="00FA039D"/>
    <w:rsid w:val="00FA05DC"/>
    <w:rsid w:val="00FA1C04"/>
    <w:rsid w:val="00FA4885"/>
    <w:rsid w:val="00FA7398"/>
    <w:rsid w:val="00FA7D2D"/>
    <w:rsid w:val="00FB2F71"/>
    <w:rsid w:val="00FB49E8"/>
    <w:rsid w:val="00FC4F28"/>
    <w:rsid w:val="00FD0AD2"/>
    <w:rsid w:val="00FD5BBA"/>
    <w:rsid w:val="00FD5D46"/>
    <w:rsid w:val="00FD5E87"/>
    <w:rsid w:val="00FE3157"/>
    <w:rsid w:val="00FE7163"/>
    <w:rsid w:val="00FE727B"/>
    <w:rsid w:val="00FF104C"/>
    <w:rsid w:val="00FF3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CA4CC"/>
  <w15:chartTrackingRefBased/>
  <w15:docId w15:val="{D3485C81-665B-4C95-A0BA-20A532D0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678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D678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7AC"/>
    <w:pPr>
      <w:ind w:left="720"/>
      <w:contextualSpacing/>
    </w:pPr>
  </w:style>
  <w:style w:type="paragraph" w:styleId="FootnoteText">
    <w:name w:val="footnote text"/>
    <w:aliases w:val="fn,Geneva 9,Font: Geneva 9,Boston 10,f,single space,footnote text,FOOTNOTES,Footnote Text Char Char Char Char Char Char,Footnote Text Char Char Char Char1,Footnote Text Char Char Char Char Char1,Footnote Text Char Char Char Char Char,Char"/>
    <w:basedOn w:val="Normal"/>
    <w:link w:val="FootnoteTextChar"/>
    <w:uiPriority w:val="99"/>
    <w:unhideWhenUsed/>
    <w:rsid w:val="005A2FB1"/>
    <w:pPr>
      <w:spacing w:after="0" w:line="240" w:lineRule="auto"/>
    </w:pPr>
    <w:rPr>
      <w:sz w:val="20"/>
      <w:szCs w:val="20"/>
    </w:rPr>
  </w:style>
  <w:style w:type="character" w:customStyle="1" w:styleId="FootnoteTextChar">
    <w:name w:val="Footnote Text Char"/>
    <w:aliases w:val="fn Char,Geneva 9 Char,Font: Geneva 9 Char,Boston 10 Char,f Char,single space Char,footnote text Char,FOOTNOTES Char,Footnote Text Char Char Char Char Char Char Char,Footnote Text Char Char Char Char1 Char,Char Char"/>
    <w:basedOn w:val="DefaultParagraphFont"/>
    <w:link w:val="FootnoteText"/>
    <w:uiPriority w:val="99"/>
    <w:rsid w:val="005A2FB1"/>
    <w:rPr>
      <w:sz w:val="20"/>
      <w:szCs w:val="20"/>
    </w:rPr>
  </w:style>
  <w:style w:type="character" w:styleId="FootnoteReference">
    <w:name w:val="footnote reference"/>
    <w:aliases w:val="16 Point,Superscript 6 Point,ftref,Footnote Reference Number,Footnote,BVI fnr,Ref,de nota al pie, BVI fnr,Normal + Font:9 Point,Superscript 3 Point Times,FC,SUPERS,EN Footnote Reference,number,referencia nota al pie,titulo 2"/>
    <w:basedOn w:val="DefaultParagraphFont"/>
    <w:uiPriority w:val="99"/>
    <w:unhideWhenUsed/>
    <w:rsid w:val="005A2FB1"/>
    <w:rPr>
      <w:vertAlign w:val="superscript"/>
    </w:rPr>
  </w:style>
  <w:style w:type="table" w:styleId="TableGrid">
    <w:name w:val="Table Grid"/>
    <w:basedOn w:val="TableNormal"/>
    <w:uiPriority w:val="59"/>
    <w:rsid w:val="00D84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7D8F"/>
    <w:rPr>
      <w:sz w:val="16"/>
      <w:szCs w:val="16"/>
    </w:rPr>
  </w:style>
  <w:style w:type="paragraph" w:styleId="CommentText">
    <w:name w:val="annotation text"/>
    <w:basedOn w:val="Normal"/>
    <w:link w:val="CommentTextChar"/>
    <w:uiPriority w:val="99"/>
    <w:semiHidden/>
    <w:unhideWhenUsed/>
    <w:rsid w:val="004C7D8F"/>
    <w:pPr>
      <w:spacing w:line="240" w:lineRule="auto"/>
    </w:pPr>
    <w:rPr>
      <w:sz w:val="20"/>
      <w:szCs w:val="20"/>
    </w:rPr>
  </w:style>
  <w:style w:type="character" w:customStyle="1" w:styleId="CommentTextChar">
    <w:name w:val="Comment Text Char"/>
    <w:basedOn w:val="DefaultParagraphFont"/>
    <w:link w:val="CommentText"/>
    <w:uiPriority w:val="99"/>
    <w:semiHidden/>
    <w:rsid w:val="004C7D8F"/>
    <w:rPr>
      <w:sz w:val="20"/>
      <w:szCs w:val="20"/>
    </w:rPr>
  </w:style>
  <w:style w:type="paragraph" w:styleId="CommentSubject">
    <w:name w:val="annotation subject"/>
    <w:basedOn w:val="CommentText"/>
    <w:next w:val="CommentText"/>
    <w:link w:val="CommentSubjectChar"/>
    <w:uiPriority w:val="99"/>
    <w:semiHidden/>
    <w:unhideWhenUsed/>
    <w:rsid w:val="004C7D8F"/>
    <w:rPr>
      <w:b/>
      <w:bCs/>
    </w:rPr>
  </w:style>
  <w:style w:type="character" w:customStyle="1" w:styleId="CommentSubjectChar">
    <w:name w:val="Comment Subject Char"/>
    <w:basedOn w:val="CommentTextChar"/>
    <w:link w:val="CommentSubject"/>
    <w:uiPriority w:val="99"/>
    <w:semiHidden/>
    <w:rsid w:val="004C7D8F"/>
    <w:rPr>
      <w:b/>
      <w:bCs/>
      <w:sz w:val="20"/>
      <w:szCs w:val="20"/>
    </w:rPr>
  </w:style>
  <w:style w:type="paragraph" w:styleId="BalloonText">
    <w:name w:val="Balloon Text"/>
    <w:basedOn w:val="Normal"/>
    <w:link w:val="BalloonTextChar"/>
    <w:uiPriority w:val="99"/>
    <w:semiHidden/>
    <w:unhideWhenUsed/>
    <w:rsid w:val="004C7D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D8F"/>
    <w:rPr>
      <w:rFonts w:ascii="Segoe UI" w:hAnsi="Segoe UI" w:cs="Segoe UI"/>
      <w:sz w:val="18"/>
      <w:szCs w:val="18"/>
    </w:rPr>
  </w:style>
  <w:style w:type="paragraph" w:styleId="NormalWeb">
    <w:name w:val="Normal (Web)"/>
    <w:basedOn w:val="Normal"/>
    <w:uiPriority w:val="99"/>
    <w:semiHidden/>
    <w:unhideWhenUsed/>
    <w:rsid w:val="00896D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D678A"/>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3D678A"/>
    <w:pPr>
      <w:spacing w:line="259" w:lineRule="auto"/>
      <w:outlineLvl w:val="9"/>
    </w:pPr>
  </w:style>
  <w:style w:type="paragraph" w:styleId="TOC1">
    <w:name w:val="toc 1"/>
    <w:basedOn w:val="Normal"/>
    <w:next w:val="Normal"/>
    <w:autoRedefine/>
    <w:uiPriority w:val="39"/>
    <w:unhideWhenUsed/>
    <w:rsid w:val="003D678A"/>
    <w:pPr>
      <w:spacing w:after="100"/>
    </w:pPr>
  </w:style>
  <w:style w:type="character" w:styleId="Hyperlink">
    <w:name w:val="Hyperlink"/>
    <w:basedOn w:val="DefaultParagraphFont"/>
    <w:uiPriority w:val="99"/>
    <w:unhideWhenUsed/>
    <w:rsid w:val="003D678A"/>
    <w:rPr>
      <w:color w:val="0000FF" w:themeColor="hyperlink"/>
      <w:u w:val="single"/>
    </w:rPr>
  </w:style>
  <w:style w:type="character" w:customStyle="1" w:styleId="Heading2Char">
    <w:name w:val="Heading 2 Char"/>
    <w:basedOn w:val="DefaultParagraphFont"/>
    <w:link w:val="Heading2"/>
    <w:uiPriority w:val="9"/>
    <w:rsid w:val="003D678A"/>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3D678A"/>
    <w:pPr>
      <w:spacing w:after="100"/>
      <w:ind w:left="220"/>
    </w:pPr>
  </w:style>
  <w:style w:type="paragraph" w:styleId="BodyText">
    <w:name w:val="Body Text"/>
    <w:basedOn w:val="Normal"/>
    <w:link w:val="BodyTextChar"/>
    <w:uiPriority w:val="99"/>
    <w:semiHidden/>
    <w:unhideWhenUsed/>
    <w:rsid w:val="00DE084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DE0849"/>
    <w:rPr>
      <w:rFonts w:ascii="Calibri" w:eastAsia="Calibri" w:hAnsi="Calibri" w:cs="Times New Roman"/>
    </w:rPr>
  </w:style>
  <w:style w:type="character" w:styleId="BookTitle">
    <w:name w:val="Book Title"/>
    <w:basedOn w:val="DefaultParagraphFont"/>
    <w:uiPriority w:val="33"/>
    <w:qFormat/>
    <w:rsid w:val="00DE0849"/>
    <w:rPr>
      <w:b/>
      <w:bCs/>
      <w:smallCaps/>
      <w:spacing w:val="5"/>
    </w:rPr>
  </w:style>
  <w:style w:type="paragraph" w:customStyle="1" w:styleId="Chapter">
    <w:name w:val="Chapter"/>
    <w:basedOn w:val="Normal"/>
    <w:next w:val="Normal"/>
    <w:qFormat/>
    <w:rsid w:val="005143A3"/>
    <w:pPr>
      <w:keepNext/>
      <w:numPr>
        <w:numId w:val="6"/>
      </w:numPr>
      <w:tabs>
        <w:tab w:val="clear" w:pos="36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5143A3"/>
    <w:pPr>
      <w:numPr>
        <w:ilvl w:val="1"/>
        <w:numId w:val="6"/>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5143A3"/>
    <w:pPr>
      <w:numPr>
        <w:ilvl w:val="2"/>
        <w:numId w:val="6"/>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5143A3"/>
    <w:pPr>
      <w:numPr>
        <w:ilvl w:val="3"/>
      </w:numPr>
      <w:tabs>
        <w:tab w:val="clear" w:pos="2736"/>
        <w:tab w:val="left" w:pos="0"/>
        <w:tab w:val="num" w:pos="360"/>
        <w:tab w:val="num" w:pos="1296"/>
      </w:tabs>
      <w:ind w:left="1296"/>
    </w:pPr>
  </w:style>
  <w:style w:type="character" w:customStyle="1" w:styleId="ParagraphChar">
    <w:name w:val="Paragraph Char"/>
    <w:basedOn w:val="DefaultParagraphFont"/>
    <w:link w:val="Paragraph"/>
    <w:rsid w:val="005143A3"/>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5143A3"/>
    <w:pPr>
      <w:spacing w:after="120"/>
      <w:ind w:left="360"/>
    </w:pPr>
  </w:style>
  <w:style w:type="character" w:customStyle="1" w:styleId="BodyTextIndentChar">
    <w:name w:val="Body Text Indent Char"/>
    <w:basedOn w:val="DefaultParagraphFont"/>
    <w:link w:val="BodyTextIndent"/>
    <w:uiPriority w:val="99"/>
    <w:semiHidden/>
    <w:rsid w:val="005143A3"/>
  </w:style>
  <w:style w:type="paragraph" w:styleId="BodyTextIndent3">
    <w:name w:val="Body Text Indent 3"/>
    <w:basedOn w:val="Normal"/>
    <w:link w:val="BodyTextIndent3Char"/>
    <w:uiPriority w:val="99"/>
    <w:semiHidden/>
    <w:unhideWhenUsed/>
    <w:rsid w:val="005143A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143A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639299">
      <w:bodyDiv w:val="1"/>
      <w:marLeft w:val="0"/>
      <w:marRight w:val="0"/>
      <w:marTop w:val="0"/>
      <w:marBottom w:val="0"/>
      <w:divBdr>
        <w:top w:val="none" w:sz="0" w:space="0" w:color="auto"/>
        <w:left w:val="none" w:sz="0" w:space="0" w:color="auto"/>
        <w:bottom w:val="none" w:sz="0" w:space="0" w:color="auto"/>
        <w:right w:val="none" w:sz="0" w:space="0" w:color="auto"/>
      </w:divBdr>
    </w:div>
    <w:div w:id="658734684">
      <w:bodyDiv w:val="1"/>
      <w:marLeft w:val="0"/>
      <w:marRight w:val="0"/>
      <w:marTop w:val="0"/>
      <w:marBottom w:val="0"/>
      <w:divBdr>
        <w:top w:val="none" w:sz="0" w:space="0" w:color="auto"/>
        <w:left w:val="none" w:sz="0" w:space="0" w:color="auto"/>
        <w:bottom w:val="none" w:sz="0" w:space="0" w:color="auto"/>
        <w:right w:val="none" w:sz="0" w:space="0" w:color="auto"/>
      </w:divBdr>
    </w:div>
    <w:div w:id="208221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bvm.com.uy/operadores/fideicomisos-financier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17D32-B093-4585-9C9C-9C445AC3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7850</Words>
  <Characters>44747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Sierra Gonzalez, Eduardo</dc:creator>
  <cp:keywords/>
  <dc:description/>
  <cp:lastModifiedBy>Sierra Gonzalez, Eduardo</cp:lastModifiedBy>
  <cp:revision>2</cp:revision>
  <dcterms:created xsi:type="dcterms:W3CDTF">2018-09-24T21:54:00Z</dcterms:created>
  <dcterms:modified xsi:type="dcterms:W3CDTF">2018-09-24T21:54:00Z</dcterms:modified>
</cp:coreProperties>
</file>