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8B27C" w14:textId="2CB6D932" w:rsidR="006C5DE4" w:rsidRPr="00167A35" w:rsidRDefault="00487011" w:rsidP="006C5DE4">
      <w:pPr>
        <w:tabs>
          <w:tab w:val="right" w:pos="6365"/>
        </w:tabs>
        <w:spacing w:after="120"/>
        <w:jc w:val="center"/>
        <w:rPr>
          <w:rFonts w:ascii="Arial" w:hAnsi="Arial"/>
          <w:sz w:val="36"/>
          <w:lang w:val="es-ES_tradnl"/>
        </w:rPr>
      </w:pPr>
      <w:r>
        <w:rPr>
          <w:rFonts w:ascii="Arial" w:hAnsi="Arial" w:cs="Arial"/>
          <w:sz w:val="36"/>
          <w:szCs w:val="36"/>
          <w:lang w:val="es-ES_tradnl"/>
        </w:rPr>
        <w:t>BORRADOR DE</w:t>
      </w:r>
    </w:p>
    <w:p w14:paraId="34F40BB3" w14:textId="77777777" w:rsidR="00A021AD" w:rsidRPr="005A6ED4" w:rsidRDefault="006C5DE4" w:rsidP="006C5DE4">
      <w:pPr>
        <w:tabs>
          <w:tab w:val="right" w:pos="6365"/>
        </w:tabs>
        <w:spacing w:after="120"/>
        <w:jc w:val="center"/>
        <w:rPr>
          <w:rFonts w:ascii="Arial" w:hAnsi="Arial" w:cs="Arial"/>
          <w:sz w:val="36"/>
          <w:szCs w:val="36"/>
          <w:lang w:val="es-ES_tradnl"/>
        </w:rPr>
      </w:pPr>
      <w:r w:rsidRPr="005A6ED4">
        <w:rPr>
          <w:rFonts w:ascii="Arial" w:hAnsi="Arial" w:cs="Arial"/>
          <w:sz w:val="36"/>
          <w:szCs w:val="36"/>
          <w:lang w:val="es-ES_tradnl"/>
        </w:rPr>
        <w:t xml:space="preserve">REGLAMENTO </w:t>
      </w:r>
    </w:p>
    <w:p w14:paraId="1171A4E7" w14:textId="77777777" w:rsidR="00D157C7" w:rsidRPr="005A6ED4" w:rsidRDefault="006C5DE4" w:rsidP="00D157C7">
      <w:pPr>
        <w:tabs>
          <w:tab w:val="right" w:pos="6365"/>
        </w:tabs>
        <w:spacing w:after="120"/>
        <w:jc w:val="center"/>
        <w:rPr>
          <w:rFonts w:ascii="Arial" w:hAnsi="Arial" w:cs="Arial"/>
          <w:sz w:val="36"/>
          <w:szCs w:val="36"/>
          <w:lang w:val="es-ES_tradnl"/>
        </w:rPr>
      </w:pPr>
      <w:r w:rsidRPr="005A6ED4">
        <w:rPr>
          <w:rFonts w:ascii="Arial" w:hAnsi="Arial" w:cs="Arial"/>
          <w:sz w:val="36"/>
          <w:szCs w:val="36"/>
          <w:lang w:val="es-ES_tradnl"/>
        </w:rPr>
        <w:t xml:space="preserve">OPERATIVO </w:t>
      </w:r>
    </w:p>
    <w:p w14:paraId="4FCFE159" w14:textId="77777777" w:rsidR="00AD298A" w:rsidRPr="005A6ED4" w:rsidRDefault="00AD298A" w:rsidP="00D157C7">
      <w:pPr>
        <w:tabs>
          <w:tab w:val="right" w:pos="6365"/>
        </w:tabs>
        <w:spacing w:after="120"/>
        <w:jc w:val="center"/>
        <w:rPr>
          <w:rFonts w:ascii="Arial" w:hAnsi="Arial" w:cs="Arial"/>
          <w:sz w:val="36"/>
          <w:szCs w:val="36"/>
          <w:lang w:val="es-ES_tradnl"/>
        </w:rPr>
      </w:pPr>
    </w:p>
    <w:p w14:paraId="3B63113E" w14:textId="77777777" w:rsidR="007E19B6" w:rsidRPr="005A6ED4" w:rsidRDefault="007E19B6" w:rsidP="007E19B6">
      <w:pPr>
        <w:tabs>
          <w:tab w:val="left" w:pos="1440"/>
          <w:tab w:val="left" w:pos="3060"/>
        </w:tabs>
        <w:jc w:val="center"/>
        <w:rPr>
          <w:rFonts w:ascii="Arial" w:hAnsi="Arial" w:cs="Arial"/>
          <w:b/>
          <w:smallCaps/>
          <w:sz w:val="28"/>
          <w:szCs w:val="28"/>
          <w:lang w:val="es-ES_tradnl"/>
        </w:rPr>
      </w:pPr>
      <w:r w:rsidRPr="005A6ED4">
        <w:rPr>
          <w:rFonts w:ascii="Arial" w:hAnsi="Arial" w:cs="Arial"/>
          <w:b/>
          <w:smallCaps/>
          <w:sz w:val="28"/>
          <w:szCs w:val="28"/>
          <w:lang w:val="es-ES_tradnl"/>
        </w:rPr>
        <w:t>Programa financiero para el Desarrollo Productivo II</w:t>
      </w:r>
    </w:p>
    <w:p w14:paraId="62995807" w14:textId="77777777" w:rsidR="007E19B6" w:rsidRPr="005A6ED4" w:rsidRDefault="007E19B6" w:rsidP="007E19B6">
      <w:pPr>
        <w:tabs>
          <w:tab w:val="left" w:pos="1440"/>
          <w:tab w:val="left" w:pos="3060"/>
        </w:tabs>
        <w:jc w:val="center"/>
        <w:rPr>
          <w:rFonts w:ascii="Arial" w:hAnsi="Arial" w:cs="Arial"/>
          <w:b/>
          <w:smallCaps/>
          <w:sz w:val="22"/>
          <w:szCs w:val="22"/>
          <w:lang w:val="es-ES_tradnl"/>
        </w:rPr>
      </w:pPr>
    </w:p>
    <w:p w14:paraId="2FD302F3" w14:textId="77777777" w:rsidR="007E19B6" w:rsidRPr="005A6ED4" w:rsidRDefault="007E19B6" w:rsidP="007E19B6">
      <w:pPr>
        <w:tabs>
          <w:tab w:val="left" w:pos="1440"/>
          <w:tab w:val="left" w:pos="3060"/>
        </w:tabs>
        <w:jc w:val="center"/>
        <w:rPr>
          <w:rFonts w:ascii="Arial" w:hAnsi="Arial" w:cs="Arial"/>
          <w:b/>
          <w:smallCaps/>
          <w:sz w:val="22"/>
          <w:szCs w:val="22"/>
          <w:lang w:val="es-ES_tradnl"/>
        </w:rPr>
      </w:pPr>
      <w:r w:rsidRPr="005A6ED4">
        <w:rPr>
          <w:rFonts w:ascii="Arial" w:hAnsi="Arial" w:cs="Arial"/>
          <w:b/>
          <w:smallCaps/>
          <w:sz w:val="22"/>
          <w:szCs w:val="22"/>
          <w:lang w:val="es-ES_tradnl"/>
        </w:rPr>
        <w:t>(UR-L1115)</w:t>
      </w:r>
    </w:p>
    <w:p w14:paraId="4D24E829" w14:textId="77777777" w:rsidR="007E19B6" w:rsidRPr="005A6ED4" w:rsidRDefault="007E19B6" w:rsidP="007E19B6">
      <w:pPr>
        <w:tabs>
          <w:tab w:val="left" w:pos="1440"/>
          <w:tab w:val="left" w:pos="3060"/>
        </w:tabs>
        <w:jc w:val="center"/>
        <w:rPr>
          <w:rFonts w:ascii="Arial" w:hAnsi="Arial" w:cs="Arial"/>
          <w:smallCaps/>
          <w:sz w:val="22"/>
          <w:szCs w:val="22"/>
          <w:lang w:val="es-ES_tradnl"/>
        </w:rPr>
      </w:pPr>
    </w:p>
    <w:p w14:paraId="1BEB5C77" w14:textId="77777777" w:rsidR="007E19B6" w:rsidRPr="005A6ED4" w:rsidRDefault="007E19B6" w:rsidP="007E19B6">
      <w:pPr>
        <w:tabs>
          <w:tab w:val="left" w:pos="1440"/>
          <w:tab w:val="left" w:pos="3060"/>
        </w:tabs>
        <w:jc w:val="center"/>
        <w:rPr>
          <w:rFonts w:ascii="Arial" w:hAnsi="Arial" w:cs="Arial"/>
          <w:smallCaps/>
          <w:sz w:val="22"/>
          <w:szCs w:val="22"/>
          <w:lang w:val="es-ES_tradnl"/>
        </w:rPr>
      </w:pPr>
    </w:p>
    <w:p w14:paraId="2F470677" w14:textId="77777777" w:rsidR="007E19B6" w:rsidRPr="005A6ED4" w:rsidRDefault="007E19B6" w:rsidP="007E19B6">
      <w:pPr>
        <w:tabs>
          <w:tab w:val="left" w:pos="1440"/>
          <w:tab w:val="left" w:pos="3060"/>
        </w:tabs>
        <w:jc w:val="center"/>
        <w:rPr>
          <w:rFonts w:ascii="Arial" w:hAnsi="Arial" w:cs="Arial"/>
          <w:smallCaps/>
          <w:sz w:val="22"/>
          <w:szCs w:val="22"/>
          <w:lang w:val="es-ES_tradnl"/>
        </w:rPr>
      </w:pPr>
    </w:p>
    <w:p w14:paraId="52CFD6C6" w14:textId="740EE526" w:rsidR="007E19B6" w:rsidRPr="005A6ED4" w:rsidRDefault="00F93A02" w:rsidP="00167A35">
      <w:pPr>
        <w:tabs>
          <w:tab w:val="left" w:pos="1440"/>
          <w:tab w:val="left" w:pos="7193"/>
        </w:tabs>
        <w:rPr>
          <w:rFonts w:ascii="Arial" w:hAnsi="Arial" w:cs="Arial"/>
          <w:smallCaps/>
          <w:sz w:val="22"/>
          <w:szCs w:val="22"/>
          <w:lang w:val="es-ES_tradnl"/>
        </w:rPr>
      </w:pPr>
      <w:r>
        <w:rPr>
          <w:rFonts w:ascii="Arial" w:hAnsi="Arial" w:cs="Arial"/>
          <w:smallCaps/>
          <w:sz w:val="22"/>
          <w:szCs w:val="22"/>
          <w:lang w:val="es-ES_tradnl"/>
        </w:rPr>
        <w:tab/>
      </w:r>
      <w:r>
        <w:rPr>
          <w:rFonts w:ascii="Arial" w:hAnsi="Arial" w:cs="Arial"/>
          <w:smallCaps/>
          <w:sz w:val="22"/>
          <w:szCs w:val="22"/>
          <w:lang w:val="es-ES_tradnl"/>
        </w:rPr>
        <w:tab/>
      </w:r>
    </w:p>
    <w:p w14:paraId="0A6F5814" w14:textId="77777777" w:rsidR="007E19B6" w:rsidRPr="005A6ED4" w:rsidRDefault="007E19B6" w:rsidP="007E19B6">
      <w:pPr>
        <w:tabs>
          <w:tab w:val="left" w:pos="1440"/>
          <w:tab w:val="left" w:pos="3060"/>
        </w:tabs>
        <w:jc w:val="center"/>
        <w:rPr>
          <w:rFonts w:ascii="Arial" w:hAnsi="Arial" w:cs="Arial"/>
          <w:b/>
          <w:smallCaps/>
          <w:sz w:val="28"/>
          <w:szCs w:val="28"/>
          <w:lang w:val="es-ES_tradnl"/>
        </w:rPr>
      </w:pPr>
      <w:r w:rsidRPr="005A6ED4">
        <w:rPr>
          <w:rFonts w:ascii="Arial" w:hAnsi="Arial" w:cs="Arial"/>
          <w:b/>
          <w:smallCaps/>
          <w:sz w:val="28"/>
          <w:szCs w:val="28"/>
          <w:lang w:val="es-ES_tradnl"/>
        </w:rPr>
        <w:t xml:space="preserve">Segunda Operación Individual bajo la Línea de Crédito Condicional para Proyectos de Inversión (CCLIP) para el Financiamiento del Desarrollo Productivo </w:t>
      </w:r>
    </w:p>
    <w:p w14:paraId="6C92AB30" w14:textId="77777777" w:rsidR="007E19B6" w:rsidRPr="005A6ED4" w:rsidRDefault="007E19B6" w:rsidP="007E19B6">
      <w:pPr>
        <w:tabs>
          <w:tab w:val="left" w:pos="1440"/>
          <w:tab w:val="left" w:pos="3060"/>
        </w:tabs>
        <w:jc w:val="center"/>
        <w:rPr>
          <w:rFonts w:ascii="Arial" w:hAnsi="Arial" w:cs="Arial"/>
          <w:b/>
          <w:smallCaps/>
          <w:sz w:val="22"/>
          <w:szCs w:val="22"/>
          <w:lang w:val="es-ES_tradnl"/>
        </w:rPr>
      </w:pPr>
    </w:p>
    <w:p w14:paraId="51BE4BEB" w14:textId="77777777" w:rsidR="007E19B6" w:rsidRPr="005A6ED4" w:rsidRDefault="007E19B6" w:rsidP="007E19B6">
      <w:pPr>
        <w:tabs>
          <w:tab w:val="left" w:pos="1440"/>
          <w:tab w:val="left" w:pos="3060"/>
        </w:tabs>
        <w:jc w:val="center"/>
        <w:rPr>
          <w:rFonts w:ascii="Arial" w:hAnsi="Arial" w:cs="Arial"/>
          <w:b/>
          <w:smallCaps/>
          <w:sz w:val="22"/>
          <w:szCs w:val="22"/>
          <w:lang w:val="es-ES_tradnl"/>
        </w:rPr>
      </w:pPr>
      <w:r w:rsidRPr="005A6ED4">
        <w:rPr>
          <w:rFonts w:ascii="Arial" w:hAnsi="Arial" w:cs="Arial"/>
          <w:b/>
          <w:smallCaps/>
          <w:sz w:val="22"/>
          <w:szCs w:val="22"/>
          <w:lang w:val="es-ES_tradnl"/>
        </w:rPr>
        <w:t>(UR-X1011)</w:t>
      </w:r>
    </w:p>
    <w:p w14:paraId="0C735D67" w14:textId="77777777" w:rsidR="007E19B6" w:rsidRPr="005A6ED4" w:rsidRDefault="007E19B6" w:rsidP="007E19B6">
      <w:pPr>
        <w:pStyle w:val="Newpage"/>
        <w:rPr>
          <w:rFonts w:ascii="Arial" w:hAnsi="Arial" w:cs="Arial"/>
          <w:caps/>
          <w:smallCaps w:val="0"/>
          <w:sz w:val="22"/>
          <w:szCs w:val="22"/>
        </w:rPr>
      </w:pPr>
    </w:p>
    <w:p w14:paraId="17ED06B7" w14:textId="77777777" w:rsidR="00AD298A" w:rsidRPr="005A6ED4" w:rsidRDefault="00AD298A" w:rsidP="00A021AD">
      <w:pPr>
        <w:tabs>
          <w:tab w:val="right" w:pos="5138"/>
        </w:tabs>
        <w:spacing w:after="120"/>
        <w:jc w:val="right"/>
        <w:rPr>
          <w:rFonts w:ascii="Arial" w:hAnsi="Arial" w:cs="Arial"/>
          <w:sz w:val="36"/>
          <w:szCs w:val="36"/>
          <w:lang w:val="es-ES_tradnl"/>
        </w:rPr>
      </w:pPr>
    </w:p>
    <w:p w14:paraId="7B275AFE" w14:textId="77777777" w:rsidR="00AD298A" w:rsidRPr="005A6ED4" w:rsidRDefault="00AD298A" w:rsidP="00A021AD">
      <w:pPr>
        <w:tabs>
          <w:tab w:val="right" w:pos="5138"/>
        </w:tabs>
        <w:spacing w:after="120"/>
        <w:jc w:val="right"/>
        <w:rPr>
          <w:b/>
          <w:smallCaps/>
          <w:sz w:val="36"/>
          <w:szCs w:val="36"/>
          <w:lang w:val="es-ES_tradnl"/>
        </w:rPr>
      </w:pPr>
    </w:p>
    <w:p w14:paraId="2FDAAB2D" w14:textId="77777777" w:rsidR="00AD298A" w:rsidRPr="005A6ED4" w:rsidRDefault="00AD298A" w:rsidP="00A021AD">
      <w:pPr>
        <w:tabs>
          <w:tab w:val="right" w:pos="5138"/>
        </w:tabs>
        <w:spacing w:after="120"/>
        <w:jc w:val="right"/>
        <w:rPr>
          <w:b/>
          <w:smallCaps/>
          <w:sz w:val="36"/>
          <w:szCs w:val="36"/>
          <w:lang w:val="es-ES_tradnl"/>
        </w:rPr>
      </w:pPr>
    </w:p>
    <w:p w14:paraId="72E59C36" w14:textId="77777777" w:rsidR="00AD298A" w:rsidRPr="005A6ED4" w:rsidRDefault="00AD298A" w:rsidP="00A021AD">
      <w:pPr>
        <w:tabs>
          <w:tab w:val="right" w:pos="5138"/>
        </w:tabs>
        <w:spacing w:after="120"/>
        <w:jc w:val="right"/>
        <w:rPr>
          <w:b/>
          <w:smallCaps/>
          <w:sz w:val="36"/>
          <w:szCs w:val="36"/>
          <w:lang w:val="es-ES_tradnl"/>
        </w:rPr>
      </w:pPr>
    </w:p>
    <w:p w14:paraId="2E3AE913" w14:textId="43678609" w:rsidR="00AD298A" w:rsidRPr="005A6ED4" w:rsidRDefault="00AD298A" w:rsidP="00A021AD">
      <w:pPr>
        <w:tabs>
          <w:tab w:val="right" w:pos="5138"/>
        </w:tabs>
        <w:spacing w:after="120"/>
        <w:jc w:val="right"/>
        <w:rPr>
          <w:b/>
          <w:smallCaps/>
          <w:sz w:val="36"/>
          <w:szCs w:val="36"/>
          <w:lang w:val="es-ES_tradnl"/>
        </w:rPr>
      </w:pPr>
    </w:p>
    <w:p w14:paraId="250C465C" w14:textId="37EE2619" w:rsidR="00A021AD" w:rsidRPr="005A6ED4" w:rsidRDefault="007E19B6" w:rsidP="00A021AD">
      <w:pPr>
        <w:tabs>
          <w:tab w:val="right" w:pos="5138"/>
        </w:tabs>
        <w:spacing w:after="120"/>
        <w:jc w:val="right"/>
        <w:rPr>
          <w:rFonts w:ascii="Arial" w:hAnsi="Arial" w:cs="Arial"/>
          <w:sz w:val="36"/>
          <w:szCs w:val="36"/>
          <w:lang w:val="es-ES_tradnl"/>
        </w:rPr>
      </w:pPr>
      <w:r w:rsidRPr="005A6ED4">
        <w:rPr>
          <w:rFonts w:ascii="Arial" w:hAnsi="Arial" w:cs="Arial"/>
          <w:sz w:val="36"/>
          <w:szCs w:val="36"/>
          <w:lang w:val="es-ES_tradnl"/>
        </w:rPr>
        <w:t>Octubre</w:t>
      </w:r>
      <w:r w:rsidR="0065013C" w:rsidRPr="005A6ED4">
        <w:rPr>
          <w:rFonts w:ascii="Arial" w:hAnsi="Arial" w:cs="Arial"/>
          <w:sz w:val="36"/>
          <w:szCs w:val="36"/>
          <w:lang w:val="es-ES_tradnl"/>
        </w:rPr>
        <w:t xml:space="preserve"> </w:t>
      </w:r>
      <w:r w:rsidR="00A021AD" w:rsidRPr="005A6ED4">
        <w:rPr>
          <w:rFonts w:ascii="Arial" w:hAnsi="Arial" w:cs="Arial"/>
          <w:sz w:val="36"/>
          <w:szCs w:val="36"/>
          <w:lang w:val="es-ES_tradnl"/>
        </w:rPr>
        <w:t>20</w:t>
      </w:r>
      <w:r w:rsidR="00A3321B" w:rsidRPr="005A6ED4">
        <w:rPr>
          <w:rFonts w:ascii="Arial" w:hAnsi="Arial" w:cs="Arial"/>
          <w:sz w:val="36"/>
          <w:szCs w:val="36"/>
          <w:lang w:val="es-ES_tradnl"/>
        </w:rPr>
        <w:t>1</w:t>
      </w:r>
      <w:r w:rsidRPr="005A6ED4">
        <w:rPr>
          <w:rFonts w:ascii="Arial" w:hAnsi="Arial" w:cs="Arial"/>
          <w:sz w:val="36"/>
          <w:szCs w:val="36"/>
          <w:lang w:val="es-ES_tradnl"/>
        </w:rPr>
        <w:t>8</w:t>
      </w:r>
    </w:p>
    <w:p w14:paraId="62F403B2" w14:textId="758DEF31" w:rsidR="00230812" w:rsidRPr="005A6ED4" w:rsidRDefault="00230812" w:rsidP="00A021AD">
      <w:pPr>
        <w:pStyle w:val="Newpage"/>
        <w:jc w:val="right"/>
        <w:rPr>
          <w:sz w:val="36"/>
          <w:szCs w:val="36"/>
        </w:rPr>
      </w:pPr>
    </w:p>
    <w:p w14:paraId="463EC06B" w14:textId="77777777" w:rsidR="00230812" w:rsidRPr="005A6ED4" w:rsidRDefault="00230812">
      <w:pPr>
        <w:tabs>
          <w:tab w:val="right" w:pos="5138"/>
        </w:tabs>
        <w:spacing w:after="120"/>
        <w:jc w:val="center"/>
        <w:rPr>
          <w:b/>
          <w:sz w:val="24"/>
          <w:szCs w:val="24"/>
          <w:lang w:val="es-ES_tradnl"/>
        </w:rPr>
      </w:pPr>
    </w:p>
    <w:tbl>
      <w:tblPr>
        <w:tblpPr w:leftFromText="141" w:rightFromText="141" w:vertAnchor="page" w:horzAnchor="margin" w:tblpXSpec="center" w:tblpY="2697"/>
        <w:tblW w:w="934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1E0" w:firstRow="1" w:lastRow="1" w:firstColumn="1" w:lastColumn="1" w:noHBand="0" w:noVBand="0"/>
      </w:tblPr>
      <w:tblGrid>
        <w:gridCol w:w="4314"/>
        <w:gridCol w:w="5027"/>
      </w:tblGrid>
      <w:tr w:rsidR="00656D8B" w:rsidRPr="005A6ED4" w14:paraId="7EB015AE" w14:textId="77777777" w:rsidTr="00EC7288">
        <w:tc>
          <w:tcPr>
            <w:tcW w:w="9341" w:type="dxa"/>
            <w:gridSpan w:val="2"/>
            <w:shd w:val="clear" w:color="auto" w:fill="B3B3B3"/>
            <w:vAlign w:val="center"/>
          </w:tcPr>
          <w:p w14:paraId="7068B344" w14:textId="77777777" w:rsidR="00656D8B" w:rsidRPr="005A6ED4" w:rsidRDefault="00656D8B" w:rsidP="00EC7288">
            <w:pPr>
              <w:jc w:val="center"/>
              <w:rPr>
                <w:rFonts w:ascii="Arial" w:hAnsi="Arial" w:cs="Arial"/>
                <w:b/>
                <w:color w:val="000000"/>
                <w:sz w:val="28"/>
                <w:szCs w:val="28"/>
                <w:lang w:val="es-ES_tradnl"/>
              </w:rPr>
            </w:pPr>
            <w:r w:rsidRPr="005A6ED4">
              <w:rPr>
                <w:rFonts w:ascii="Arial" w:hAnsi="Arial" w:cs="Arial"/>
                <w:b/>
                <w:color w:val="000000"/>
                <w:sz w:val="28"/>
                <w:szCs w:val="28"/>
                <w:lang w:val="es-ES_tradnl"/>
              </w:rPr>
              <w:lastRenderedPageBreak/>
              <w:t>Firmas de Validación del Reglamento Operativo del Programa de Apoyo al Desarrollo Empresarial de Uruguay</w:t>
            </w:r>
          </w:p>
          <w:p w14:paraId="7BB23534" w14:textId="77777777" w:rsidR="00656D8B" w:rsidRPr="005A6ED4" w:rsidRDefault="00656D8B" w:rsidP="00EC7288">
            <w:pPr>
              <w:jc w:val="center"/>
              <w:rPr>
                <w:rFonts w:ascii="Arial" w:hAnsi="Arial" w:cs="Arial"/>
                <w:b/>
                <w:color w:val="000000"/>
                <w:sz w:val="24"/>
                <w:szCs w:val="24"/>
                <w:lang w:val="es-ES_tradnl"/>
              </w:rPr>
            </w:pPr>
          </w:p>
        </w:tc>
      </w:tr>
      <w:tr w:rsidR="00656D8B" w:rsidRPr="005A6ED4" w14:paraId="05499BCA" w14:textId="77777777" w:rsidTr="00EC7288">
        <w:trPr>
          <w:trHeight w:val="413"/>
        </w:trPr>
        <w:tc>
          <w:tcPr>
            <w:tcW w:w="4314" w:type="dxa"/>
            <w:shd w:val="clear" w:color="auto" w:fill="B3B3B3"/>
            <w:vAlign w:val="center"/>
          </w:tcPr>
          <w:p w14:paraId="443CB5E9" w14:textId="77777777" w:rsidR="00656D8B" w:rsidRPr="005A6ED4" w:rsidRDefault="00656D8B" w:rsidP="00EC7288">
            <w:pPr>
              <w:jc w:val="center"/>
              <w:rPr>
                <w:rFonts w:ascii="Arial" w:hAnsi="Arial" w:cs="Arial"/>
                <w:b/>
                <w:color w:val="000000"/>
                <w:sz w:val="24"/>
                <w:szCs w:val="24"/>
                <w:lang w:val="es-ES_tradnl"/>
              </w:rPr>
            </w:pPr>
            <w:r w:rsidRPr="005A6ED4">
              <w:rPr>
                <w:rFonts w:ascii="Arial" w:hAnsi="Arial" w:cs="Arial"/>
                <w:b/>
                <w:color w:val="000000"/>
                <w:sz w:val="24"/>
                <w:szCs w:val="24"/>
                <w:lang w:val="es-ES_tradnl"/>
              </w:rPr>
              <w:t>Nombre y Puesto</w:t>
            </w:r>
          </w:p>
        </w:tc>
        <w:tc>
          <w:tcPr>
            <w:tcW w:w="5027" w:type="dxa"/>
            <w:shd w:val="clear" w:color="auto" w:fill="B3B3B3"/>
            <w:vAlign w:val="center"/>
          </w:tcPr>
          <w:p w14:paraId="681B95AA" w14:textId="77777777" w:rsidR="00656D8B" w:rsidRPr="005A6ED4" w:rsidRDefault="00656D8B" w:rsidP="00EC7288">
            <w:pPr>
              <w:jc w:val="center"/>
              <w:rPr>
                <w:rFonts w:ascii="Arial" w:hAnsi="Arial" w:cs="Arial"/>
                <w:b/>
                <w:color w:val="000000"/>
                <w:sz w:val="24"/>
                <w:szCs w:val="24"/>
                <w:lang w:val="es-ES_tradnl"/>
              </w:rPr>
            </w:pPr>
            <w:r w:rsidRPr="005A6ED4">
              <w:rPr>
                <w:rFonts w:ascii="Arial" w:hAnsi="Arial" w:cs="Arial"/>
                <w:b/>
                <w:color w:val="000000"/>
                <w:sz w:val="24"/>
                <w:szCs w:val="24"/>
                <w:lang w:val="es-ES_tradnl"/>
              </w:rPr>
              <w:t>Firma</w:t>
            </w:r>
          </w:p>
        </w:tc>
      </w:tr>
      <w:tr w:rsidR="00656D8B" w:rsidRPr="005A6ED4" w14:paraId="1C7BC8FF" w14:textId="77777777" w:rsidTr="00656D8B">
        <w:tc>
          <w:tcPr>
            <w:tcW w:w="4314" w:type="dxa"/>
          </w:tcPr>
          <w:p w14:paraId="7C9762D1" w14:textId="77777777" w:rsidR="00656D8B" w:rsidRPr="005A6ED4" w:rsidRDefault="00656D8B" w:rsidP="00656D8B">
            <w:pPr>
              <w:pStyle w:val="TextoTablaRol"/>
              <w:rPr>
                <w:rFonts w:ascii="Arial" w:hAnsi="Arial"/>
                <w:bCs/>
                <w:color w:val="000000"/>
                <w:szCs w:val="24"/>
                <w:lang w:val="es-ES_tradnl"/>
              </w:rPr>
            </w:pPr>
          </w:p>
          <w:p w14:paraId="7BE185A0" w14:textId="72654D27" w:rsidR="00511D05" w:rsidRPr="005A6ED4" w:rsidRDefault="00511D05" w:rsidP="00656D8B">
            <w:pPr>
              <w:pStyle w:val="TextoTablaRol"/>
              <w:rPr>
                <w:rFonts w:ascii="Arial" w:hAnsi="Arial"/>
                <w:bCs/>
                <w:color w:val="000000"/>
                <w:szCs w:val="24"/>
                <w:lang w:val="es-ES_tradnl"/>
              </w:rPr>
            </w:pPr>
            <w:r w:rsidRPr="005A6ED4">
              <w:rPr>
                <w:rFonts w:ascii="Arial" w:hAnsi="Arial"/>
                <w:bCs/>
                <w:color w:val="000000"/>
                <w:szCs w:val="24"/>
                <w:lang w:val="es-ES_tradnl"/>
              </w:rPr>
              <w:t>Mónica Galli</w:t>
            </w:r>
          </w:p>
          <w:p w14:paraId="416E0CAB" w14:textId="43B88F2F" w:rsidR="00656D8B" w:rsidRPr="005A6ED4" w:rsidRDefault="00656D8B" w:rsidP="00656D8B">
            <w:pPr>
              <w:pStyle w:val="TextoTablaRol"/>
              <w:rPr>
                <w:rFonts w:ascii="Arial" w:hAnsi="Arial"/>
                <w:bCs/>
                <w:color w:val="000000"/>
                <w:szCs w:val="24"/>
                <w:lang w:val="es-ES_tradnl"/>
              </w:rPr>
            </w:pPr>
            <w:r w:rsidRPr="005A6ED4">
              <w:rPr>
                <w:rFonts w:ascii="Arial" w:hAnsi="Arial"/>
                <w:bCs/>
                <w:color w:val="000000"/>
                <w:szCs w:val="24"/>
                <w:lang w:val="es-ES_tradnl"/>
              </w:rPr>
              <w:t>Gerente Ejecutivo</w:t>
            </w:r>
          </w:p>
          <w:p w14:paraId="35E8D297" w14:textId="3ABDEB42" w:rsidR="00656D8B" w:rsidRPr="005A6ED4" w:rsidRDefault="00130651" w:rsidP="00656D8B">
            <w:pPr>
              <w:pStyle w:val="TextoTablaRol"/>
              <w:rPr>
                <w:rFonts w:ascii="Arial" w:hAnsi="Arial"/>
                <w:bCs/>
                <w:color w:val="000000"/>
                <w:szCs w:val="24"/>
                <w:lang w:val="es-ES_tradnl"/>
              </w:rPr>
            </w:pPr>
            <w:r w:rsidRPr="005A6ED4">
              <w:rPr>
                <w:rFonts w:ascii="Arial" w:hAnsi="Arial"/>
                <w:bCs/>
                <w:color w:val="000000"/>
                <w:szCs w:val="24"/>
                <w:lang w:val="es-ES_tradnl"/>
              </w:rPr>
              <w:t xml:space="preserve">Área </w:t>
            </w:r>
            <w:r w:rsidR="00656D8B" w:rsidRPr="005A6ED4">
              <w:rPr>
                <w:rFonts w:ascii="Arial" w:hAnsi="Arial"/>
                <w:bCs/>
                <w:color w:val="000000"/>
                <w:szCs w:val="24"/>
                <w:lang w:val="es-ES_tradnl"/>
              </w:rPr>
              <w:t>Finanzas</w:t>
            </w:r>
          </w:p>
          <w:p w14:paraId="3FE3B5DC" w14:textId="77777777" w:rsidR="00656D8B" w:rsidRPr="005A6ED4" w:rsidRDefault="00656D8B" w:rsidP="00656D8B">
            <w:pPr>
              <w:ind w:left="435"/>
              <w:jc w:val="center"/>
              <w:rPr>
                <w:rFonts w:ascii="Arial" w:hAnsi="Arial" w:cs="Arial"/>
                <w:b/>
                <w:bCs/>
                <w:color w:val="000000"/>
                <w:sz w:val="24"/>
                <w:szCs w:val="24"/>
                <w:lang w:val="es-ES_tradnl"/>
              </w:rPr>
            </w:pPr>
          </w:p>
        </w:tc>
        <w:tc>
          <w:tcPr>
            <w:tcW w:w="5027" w:type="dxa"/>
          </w:tcPr>
          <w:p w14:paraId="2B900665" w14:textId="77777777" w:rsidR="00656D8B" w:rsidRPr="005A6ED4" w:rsidRDefault="00656D8B" w:rsidP="00656D8B">
            <w:pPr>
              <w:ind w:left="435"/>
              <w:jc w:val="center"/>
              <w:rPr>
                <w:rFonts w:ascii="Arial" w:hAnsi="Arial" w:cs="Arial"/>
                <w:bCs/>
                <w:color w:val="000000"/>
                <w:sz w:val="24"/>
                <w:szCs w:val="24"/>
                <w:lang w:val="es-ES_tradnl"/>
              </w:rPr>
            </w:pPr>
          </w:p>
          <w:p w14:paraId="4F521EFE" w14:textId="77777777" w:rsidR="00656D8B" w:rsidRPr="005A6ED4" w:rsidRDefault="00656D8B" w:rsidP="00656D8B">
            <w:pPr>
              <w:ind w:left="435"/>
              <w:jc w:val="center"/>
              <w:rPr>
                <w:rFonts w:ascii="Arial" w:hAnsi="Arial" w:cs="Arial"/>
                <w:bCs/>
                <w:color w:val="000000"/>
                <w:sz w:val="24"/>
                <w:szCs w:val="24"/>
                <w:lang w:val="es-ES_tradnl"/>
              </w:rPr>
            </w:pPr>
          </w:p>
        </w:tc>
      </w:tr>
      <w:tr w:rsidR="00656D8B" w:rsidRPr="005A6ED4" w14:paraId="52212626" w14:textId="77777777" w:rsidTr="00656D8B">
        <w:tc>
          <w:tcPr>
            <w:tcW w:w="4314" w:type="dxa"/>
          </w:tcPr>
          <w:p w14:paraId="53DAA67E" w14:textId="77777777" w:rsidR="00656D8B" w:rsidRPr="005A6ED4" w:rsidRDefault="00656D8B" w:rsidP="00656D8B">
            <w:pPr>
              <w:ind w:left="435"/>
              <w:jc w:val="center"/>
              <w:rPr>
                <w:rFonts w:ascii="Arial" w:hAnsi="Arial" w:cs="Arial"/>
                <w:bCs/>
                <w:color w:val="000000"/>
                <w:sz w:val="24"/>
                <w:szCs w:val="24"/>
                <w:lang w:val="es-ES_tradnl"/>
              </w:rPr>
            </w:pPr>
          </w:p>
          <w:p w14:paraId="06321109" w14:textId="77777777" w:rsidR="00656D8B" w:rsidRPr="005A6ED4" w:rsidRDefault="00656D8B" w:rsidP="006E7A80">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Carlos Maiorano Simoes</w:t>
            </w:r>
          </w:p>
          <w:p w14:paraId="49C430E7" w14:textId="4679C6DE" w:rsidR="00656D8B" w:rsidRPr="005A6ED4" w:rsidRDefault="00656D8B" w:rsidP="006E7A80">
            <w:pPr>
              <w:tabs>
                <w:tab w:val="left" w:pos="1200"/>
                <w:tab w:val="center" w:pos="2266"/>
              </w:tabs>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Gerente Ejecutivo</w:t>
            </w:r>
          </w:p>
          <w:p w14:paraId="0694F553" w14:textId="48CEFA34" w:rsidR="00656D8B" w:rsidRPr="005A6ED4" w:rsidRDefault="00511D05" w:rsidP="006E7A80">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 xml:space="preserve">Área </w:t>
            </w:r>
            <w:r w:rsidR="00656D8B" w:rsidRPr="005A6ED4">
              <w:rPr>
                <w:rFonts w:ascii="Arial" w:hAnsi="Arial" w:cs="Arial"/>
                <w:bCs/>
                <w:color w:val="000000"/>
                <w:sz w:val="24"/>
                <w:szCs w:val="24"/>
                <w:lang w:val="es-ES_tradnl"/>
              </w:rPr>
              <w:t>Agropecuaria</w:t>
            </w:r>
          </w:p>
          <w:p w14:paraId="1B9417BE" w14:textId="77777777" w:rsidR="00656D8B" w:rsidRPr="005A6ED4" w:rsidRDefault="00656D8B" w:rsidP="006E7A80">
            <w:pPr>
              <w:jc w:val="center"/>
              <w:rPr>
                <w:rFonts w:ascii="Arial" w:hAnsi="Arial" w:cs="Arial"/>
                <w:bCs/>
                <w:color w:val="000000"/>
                <w:sz w:val="24"/>
                <w:szCs w:val="24"/>
                <w:lang w:val="es-ES_tradnl"/>
              </w:rPr>
            </w:pPr>
          </w:p>
          <w:p w14:paraId="1B5F9C68" w14:textId="77777777" w:rsidR="00656D8B" w:rsidRPr="005A6ED4" w:rsidRDefault="00656D8B" w:rsidP="00656D8B">
            <w:pPr>
              <w:ind w:left="435"/>
              <w:jc w:val="center"/>
              <w:rPr>
                <w:rFonts w:ascii="Arial" w:hAnsi="Arial" w:cs="Arial"/>
                <w:b/>
                <w:bCs/>
                <w:color w:val="000000"/>
                <w:sz w:val="24"/>
                <w:szCs w:val="24"/>
                <w:lang w:val="es-ES_tradnl"/>
              </w:rPr>
            </w:pPr>
          </w:p>
        </w:tc>
        <w:tc>
          <w:tcPr>
            <w:tcW w:w="5027" w:type="dxa"/>
          </w:tcPr>
          <w:p w14:paraId="3E000717" w14:textId="77777777" w:rsidR="00656D8B" w:rsidRPr="005A6ED4" w:rsidRDefault="00656D8B" w:rsidP="00656D8B">
            <w:pPr>
              <w:ind w:left="435"/>
              <w:jc w:val="center"/>
              <w:rPr>
                <w:rFonts w:ascii="Arial" w:hAnsi="Arial" w:cs="Arial"/>
                <w:bCs/>
                <w:color w:val="000000"/>
                <w:sz w:val="24"/>
                <w:szCs w:val="24"/>
                <w:lang w:val="es-ES_tradnl"/>
              </w:rPr>
            </w:pPr>
          </w:p>
          <w:p w14:paraId="221CD7DF" w14:textId="77777777" w:rsidR="00656D8B" w:rsidRPr="005A6ED4" w:rsidRDefault="00656D8B" w:rsidP="00656D8B">
            <w:pPr>
              <w:ind w:left="435"/>
              <w:jc w:val="center"/>
              <w:rPr>
                <w:rFonts w:ascii="Arial" w:hAnsi="Arial" w:cs="Arial"/>
                <w:bCs/>
                <w:color w:val="000000"/>
                <w:sz w:val="24"/>
                <w:szCs w:val="24"/>
                <w:lang w:val="es-ES_tradnl"/>
              </w:rPr>
            </w:pPr>
          </w:p>
          <w:p w14:paraId="479249AC" w14:textId="77777777" w:rsidR="00656D8B" w:rsidRPr="005A6ED4" w:rsidRDefault="00656D8B" w:rsidP="00656D8B">
            <w:pPr>
              <w:ind w:left="435"/>
              <w:jc w:val="center"/>
              <w:rPr>
                <w:rFonts w:ascii="Arial" w:hAnsi="Arial" w:cs="Arial"/>
                <w:bCs/>
                <w:color w:val="000000"/>
                <w:sz w:val="24"/>
                <w:szCs w:val="24"/>
                <w:lang w:val="es-ES_tradnl"/>
              </w:rPr>
            </w:pPr>
          </w:p>
        </w:tc>
      </w:tr>
      <w:tr w:rsidR="00656D8B" w:rsidRPr="005A6ED4" w14:paraId="25DAFCC5" w14:textId="77777777" w:rsidTr="00656D8B">
        <w:tc>
          <w:tcPr>
            <w:tcW w:w="4314" w:type="dxa"/>
          </w:tcPr>
          <w:p w14:paraId="5CC15166" w14:textId="77777777" w:rsidR="00656D8B" w:rsidRPr="005A6ED4" w:rsidRDefault="00656D8B" w:rsidP="00656D8B">
            <w:pPr>
              <w:ind w:left="435"/>
              <w:jc w:val="center"/>
              <w:rPr>
                <w:rFonts w:ascii="Arial" w:hAnsi="Arial" w:cs="Arial"/>
                <w:bCs/>
                <w:color w:val="000000"/>
                <w:sz w:val="24"/>
                <w:szCs w:val="24"/>
                <w:lang w:val="es-ES_tradnl"/>
              </w:rPr>
            </w:pPr>
          </w:p>
          <w:p w14:paraId="7F5CAED6" w14:textId="77777777" w:rsidR="00656D8B" w:rsidRPr="005A6ED4" w:rsidRDefault="00656D8B" w:rsidP="00656D8B">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Raúl G. García García</w:t>
            </w:r>
          </w:p>
          <w:p w14:paraId="21AC4074" w14:textId="77777777" w:rsidR="00656D8B" w:rsidRPr="005A6ED4" w:rsidRDefault="00656D8B" w:rsidP="00656D8B">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Gerente Ejecutivo</w:t>
            </w:r>
          </w:p>
          <w:p w14:paraId="68316D97" w14:textId="10968635" w:rsidR="00656D8B" w:rsidRPr="005A6ED4" w:rsidRDefault="006E7A80" w:rsidP="00656D8B">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Área</w:t>
            </w:r>
            <w:r w:rsidR="00511D05" w:rsidRPr="005A6ED4">
              <w:rPr>
                <w:rFonts w:ascii="Arial" w:hAnsi="Arial" w:cs="Arial"/>
                <w:bCs/>
                <w:color w:val="000000"/>
                <w:sz w:val="24"/>
                <w:szCs w:val="24"/>
                <w:lang w:val="es-ES_tradnl"/>
              </w:rPr>
              <w:t xml:space="preserve"> </w:t>
            </w:r>
            <w:r w:rsidR="00656D8B" w:rsidRPr="005A6ED4">
              <w:rPr>
                <w:rFonts w:ascii="Arial" w:hAnsi="Arial" w:cs="Arial"/>
                <w:bCs/>
                <w:color w:val="000000"/>
                <w:sz w:val="24"/>
                <w:szCs w:val="24"/>
                <w:lang w:val="es-ES_tradnl"/>
              </w:rPr>
              <w:t>Empresas</w:t>
            </w:r>
          </w:p>
          <w:p w14:paraId="4B4636B0" w14:textId="77777777" w:rsidR="00656D8B" w:rsidRPr="005A6ED4" w:rsidRDefault="00656D8B" w:rsidP="00656D8B">
            <w:pPr>
              <w:ind w:left="435"/>
              <w:jc w:val="center"/>
              <w:rPr>
                <w:rFonts w:ascii="Arial" w:hAnsi="Arial" w:cs="Arial"/>
                <w:bCs/>
                <w:color w:val="000000"/>
                <w:sz w:val="24"/>
                <w:szCs w:val="24"/>
                <w:lang w:val="es-ES_tradnl"/>
              </w:rPr>
            </w:pPr>
          </w:p>
          <w:p w14:paraId="5FACC8F0" w14:textId="77777777" w:rsidR="00656D8B" w:rsidRPr="005A6ED4" w:rsidRDefault="00656D8B" w:rsidP="00656D8B">
            <w:pPr>
              <w:ind w:left="435"/>
              <w:jc w:val="center"/>
              <w:rPr>
                <w:rFonts w:ascii="Arial" w:hAnsi="Arial" w:cs="Arial"/>
                <w:bCs/>
                <w:color w:val="000000"/>
                <w:sz w:val="24"/>
                <w:szCs w:val="24"/>
                <w:lang w:val="es-ES_tradnl"/>
              </w:rPr>
            </w:pPr>
          </w:p>
        </w:tc>
        <w:tc>
          <w:tcPr>
            <w:tcW w:w="5027" w:type="dxa"/>
          </w:tcPr>
          <w:p w14:paraId="02A59893" w14:textId="77777777" w:rsidR="00656D8B" w:rsidRPr="005A6ED4" w:rsidRDefault="00656D8B" w:rsidP="00656D8B">
            <w:pPr>
              <w:ind w:left="435"/>
              <w:jc w:val="center"/>
              <w:rPr>
                <w:rFonts w:ascii="Arial" w:hAnsi="Arial" w:cs="Arial"/>
                <w:bCs/>
                <w:color w:val="000000"/>
                <w:sz w:val="24"/>
                <w:szCs w:val="24"/>
                <w:lang w:val="es-ES_tradnl"/>
              </w:rPr>
            </w:pPr>
          </w:p>
        </w:tc>
      </w:tr>
      <w:tr w:rsidR="00656D8B" w:rsidRPr="005A6ED4" w14:paraId="5CC952AF" w14:textId="77777777" w:rsidTr="00656D8B">
        <w:tc>
          <w:tcPr>
            <w:tcW w:w="4314" w:type="dxa"/>
          </w:tcPr>
          <w:p w14:paraId="5D1FE257" w14:textId="77777777" w:rsidR="00656D8B" w:rsidRPr="005A6ED4" w:rsidRDefault="00656D8B" w:rsidP="00656D8B">
            <w:pPr>
              <w:ind w:left="435"/>
              <w:jc w:val="center"/>
              <w:rPr>
                <w:rFonts w:ascii="Arial" w:hAnsi="Arial" w:cs="Arial"/>
                <w:bCs/>
                <w:color w:val="000000"/>
                <w:sz w:val="24"/>
                <w:szCs w:val="24"/>
                <w:lang w:val="es-ES_tradnl"/>
              </w:rPr>
            </w:pPr>
          </w:p>
          <w:p w14:paraId="464339CF" w14:textId="5D1D1D37" w:rsidR="00511D05" w:rsidRPr="005A6ED4" w:rsidRDefault="00511D05" w:rsidP="00656D8B">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María Laura Fernández Tomás</w:t>
            </w:r>
          </w:p>
          <w:p w14:paraId="1372950F" w14:textId="77777777" w:rsidR="00656D8B" w:rsidRPr="005A6ED4" w:rsidRDefault="00656D8B" w:rsidP="00656D8B">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Gerente de Análisis de Mercado</w:t>
            </w:r>
          </w:p>
          <w:p w14:paraId="2DCD2888" w14:textId="5D21631C" w:rsidR="00656D8B" w:rsidRPr="005A6ED4" w:rsidRDefault="006E7A80" w:rsidP="00656D8B">
            <w:pPr>
              <w:ind w:left="435"/>
              <w:jc w:val="center"/>
              <w:rPr>
                <w:rFonts w:ascii="Arial" w:hAnsi="Arial" w:cs="Arial"/>
                <w:bCs/>
                <w:color w:val="000000"/>
                <w:sz w:val="24"/>
                <w:szCs w:val="24"/>
                <w:lang w:val="es-ES_tradnl"/>
              </w:rPr>
            </w:pPr>
            <w:r w:rsidRPr="005A6ED4">
              <w:rPr>
                <w:rFonts w:ascii="Arial" w:hAnsi="Arial" w:cs="Arial"/>
                <w:bCs/>
                <w:color w:val="000000"/>
                <w:sz w:val="24"/>
                <w:szCs w:val="24"/>
                <w:lang w:val="es-ES_tradnl"/>
              </w:rPr>
              <w:t>Área</w:t>
            </w:r>
            <w:r w:rsidR="00511D05" w:rsidRPr="005A6ED4">
              <w:rPr>
                <w:rFonts w:ascii="Arial" w:hAnsi="Arial" w:cs="Arial"/>
                <w:bCs/>
                <w:color w:val="000000"/>
                <w:sz w:val="24"/>
                <w:szCs w:val="24"/>
                <w:lang w:val="es-ES_tradnl"/>
              </w:rPr>
              <w:t xml:space="preserve"> </w:t>
            </w:r>
            <w:r w:rsidR="00656D8B" w:rsidRPr="005A6ED4">
              <w:rPr>
                <w:rFonts w:ascii="Arial" w:hAnsi="Arial" w:cs="Arial"/>
                <w:bCs/>
                <w:color w:val="000000"/>
                <w:sz w:val="24"/>
                <w:szCs w:val="24"/>
                <w:lang w:val="es-ES_tradnl"/>
              </w:rPr>
              <w:t>Finanzas</w:t>
            </w:r>
          </w:p>
          <w:p w14:paraId="3298B935" w14:textId="77777777" w:rsidR="00656D8B" w:rsidRPr="005A6ED4" w:rsidRDefault="00656D8B" w:rsidP="00656D8B">
            <w:pPr>
              <w:ind w:left="435"/>
              <w:jc w:val="center"/>
              <w:rPr>
                <w:rFonts w:ascii="Arial" w:hAnsi="Arial" w:cs="Arial"/>
                <w:b/>
                <w:bCs/>
                <w:color w:val="000000"/>
                <w:sz w:val="24"/>
                <w:szCs w:val="24"/>
                <w:lang w:val="es-ES_tradnl"/>
              </w:rPr>
            </w:pPr>
          </w:p>
        </w:tc>
        <w:tc>
          <w:tcPr>
            <w:tcW w:w="5027" w:type="dxa"/>
          </w:tcPr>
          <w:p w14:paraId="2805EAE4" w14:textId="77777777" w:rsidR="00656D8B" w:rsidRPr="005A6ED4" w:rsidRDefault="00656D8B" w:rsidP="00656D8B">
            <w:pPr>
              <w:ind w:left="435"/>
              <w:jc w:val="center"/>
              <w:rPr>
                <w:rFonts w:ascii="Arial" w:hAnsi="Arial" w:cs="Arial"/>
                <w:bCs/>
                <w:color w:val="000000"/>
                <w:sz w:val="24"/>
                <w:szCs w:val="24"/>
                <w:lang w:val="es-ES_tradnl"/>
              </w:rPr>
            </w:pPr>
          </w:p>
          <w:p w14:paraId="0610EEFE" w14:textId="77777777" w:rsidR="00656D8B" w:rsidRPr="005A6ED4" w:rsidRDefault="00656D8B" w:rsidP="00656D8B">
            <w:pPr>
              <w:ind w:left="435"/>
              <w:jc w:val="center"/>
              <w:rPr>
                <w:rFonts w:ascii="Arial" w:hAnsi="Arial" w:cs="Arial"/>
                <w:bCs/>
                <w:color w:val="000000"/>
                <w:sz w:val="24"/>
                <w:szCs w:val="24"/>
                <w:lang w:val="es-ES_tradnl"/>
              </w:rPr>
            </w:pPr>
          </w:p>
          <w:p w14:paraId="52AD48A9" w14:textId="77777777" w:rsidR="00656D8B" w:rsidRPr="005A6ED4" w:rsidRDefault="00656D8B" w:rsidP="00656D8B">
            <w:pPr>
              <w:ind w:left="435"/>
              <w:jc w:val="center"/>
              <w:rPr>
                <w:rFonts w:ascii="Arial" w:hAnsi="Arial" w:cs="Arial"/>
                <w:bCs/>
                <w:color w:val="000000"/>
                <w:sz w:val="24"/>
                <w:szCs w:val="24"/>
                <w:lang w:val="es-ES_tradnl"/>
              </w:rPr>
            </w:pPr>
          </w:p>
        </w:tc>
      </w:tr>
    </w:tbl>
    <w:p w14:paraId="3275F4DE" w14:textId="77777777" w:rsidR="0011621E" w:rsidRPr="005A6ED4" w:rsidRDefault="0011621E">
      <w:pPr>
        <w:rPr>
          <w:sz w:val="24"/>
          <w:szCs w:val="24"/>
          <w:lang w:val="es-ES_tradnl"/>
        </w:rPr>
      </w:pPr>
    </w:p>
    <w:p w14:paraId="723FB4B3" w14:textId="77777777" w:rsidR="0011621E" w:rsidRPr="005A6ED4" w:rsidRDefault="0011621E">
      <w:pPr>
        <w:rPr>
          <w:sz w:val="24"/>
          <w:szCs w:val="24"/>
          <w:lang w:val="es-ES_tradnl"/>
        </w:rPr>
      </w:pPr>
    </w:p>
    <w:p w14:paraId="11041EE2" w14:textId="77777777" w:rsidR="00051B94" w:rsidRPr="005A6ED4" w:rsidRDefault="00051B94">
      <w:pPr>
        <w:rPr>
          <w:sz w:val="24"/>
          <w:szCs w:val="24"/>
          <w:lang w:val="es-ES_tradnl"/>
        </w:rPr>
      </w:pPr>
      <w:r w:rsidRPr="005A6ED4">
        <w:rPr>
          <w:sz w:val="24"/>
          <w:szCs w:val="24"/>
          <w:lang w:val="es-ES_tradnl"/>
        </w:rPr>
        <w:br w:type="page"/>
      </w:r>
    </w:p>
    <w:p w14:paraId="66216E49" w14:textId="77777777" w:rsidR="00230812" w:rsidRPr="00B751FD" w:rsidRDefault="00230812" w:rsidP="001E66D5">
      <w:pPr>
        <w:pStyle w:val="Chapter"/>
        <w:tabs>
          <w:tab w:val="clear" w:pos="1440"/>
          <w:tab w:val="clear" w:pos="1800"/>
          <w:tab w:val="left" w:pos="270"/>
        </w:tabs>
        <w:ind w:left="0"/>
        <w:rPr>
          <w:rFonts w:ascii="Arial" w:hAnsi="Arial" w:cs="Arial"/>
          <w:sz w:val="22"/>
          <w:szCs w:val="22"/>
        </w:rPr>
      </w:pPr>
      <w:bookmarkStart w:id="0" w:name="_Toc197782546"/>
      <w:bookmarkStart w:id="1" w:name="_Toc198025785"/>
      <w:bookmarkStart w:id="2" w:name="_Toc205191252"/>
      <w:bookmarkStart w:id="3" w:name="_Toc207082497"/>
      <w:bookmarkStart w:id="4" w:name="_Toc240434718"/>
      <w:r w:rsidRPr="00B751FD">
        <w:rPr>
          <w:rFonts w:ascii="Arial" w:hAnsi="Arial" w:cs="Arial"/>
          <w:sz w:val="22"/>
          <w:szCs w:val="22"/>
        </w:rPr>
        <w:lastRenderedPageBreak/>
        <w:t>Objetivo</w:t>
      </w:r>
      <w:bookmarkEnd w:id="0"/>
      <w:bookmarkEnd w:id="1"/>
      <w:bookmarkEnd w:id="2"/>
      <w:bookmarkEnd w:id="3"/>
      <w:bookmarkEnd w:id="4"/>
    </w:p>
    <w:p w14:paraId="2B90CA7A" w14:textId="77777777" w:rsidR="00954818" w:rsidRPr="00B751FD" w:rsidRDefault="00954818" w:rsidP="00954818">
      <w:pPr>
        <w:widowControl w:val="0"/>
        <w:jc w:val="both"/>
        <w:rPr>
          <w:rFonts w:ascii="Arial" w:hAnsi="Arial" w:cs="Arial"/>
          <w:sz w:val="22"/>
          <w:szCs w:val="22"/>
          <w:lang w:val="es-ES_tradnl"/>
        </w:rPr>
      </w:pPr>
      <w:r w:rsidRPr="00B751FD">
        <w:rPr>
          <w:rFonts w:ascii="Arial" w:hAnsi="Arial" w:cs="Arial"/>
          <w:sz w:val="22"/>
          <w:szCs w:val="22"/>
          <w:lang w:val="es-ES_tradnl"/>
        </w:rPr>
        <w:t xml:space="preserve"> </w:t>
      </w:r>
    </w:p>
    <w:p w14:paraId="6CB469A2" w14:textId="0CAA1247" w:rsidR="00954818" w:rsidRPr="00B751FD" w:rsidRDefault="00954818" w:rsidP="009D35EC">
      <w:pPr>
        <w:pStyle w:val="Paragraph"/>
        <w:ind w:left="810" w:hanging="810"/>
        <w:rPr>
          <w:rFonts w:ascii="Arial" w:hAnsi="Arial" w:cs="Arial"/>
          <w:sz w:val="22"/>
          <w:szCs w:val="22"/>
        </w:rPr>
      </w:pPr>
      <w:r w:rsidRPr="00B751FD">
        <w:rPr>
          <w:rFonts w:ascii="Arial" w:hAnsi="Arial" w:cs="Arial"/>
          <w:sz w:val="22"/>
          <w:szCs w:val="22"/>
        </w:rPr>
        <w:t xml:space="preserve">Este Reglamento establece los términos y condiciones que normarán la ejecución </w:t>
      </w:r>
      <w:r w:rsidR="00A82497" w:rsidRPr="00B751FD">
        <w:rPr>
          <w:rFonts w:ascii="Arial" w:hAnsi="Arial" w:cs="Arial"/>
          <w:sz w:val="22"/>
          <w:szCs w:val="22"/>
        </w:rPr>
        <w:t>de la segunda operación individual</w:t>
      </w:r>
      <w:r w:rsidR="00AD298A" w:rsidRPr="00B751FD">
        <w:rPr>
          <w:rFonts w:ascii="Arial" w:hAnsi="Arial" w:cs="Arial"/>
          <w:sz w:val="22"/>
          <w:szCs w:val="22"/>
        </w:rPr>
        <w:t xml:space="preserve"> bajo la línea de crédito condicional para el financiamiento de proyectos de inversión para el desarrollo productivo</w:t>
      </w:r>
      <w:r w:rsidRPr="00B751FD">
        <w:rPr>
          <w:rFonts w:ascii="Arial" w:hAnsi="Arial" w:cs="Arial"/>
          <w:sz w:val="22"/>
          <w:szCs w:val="22"/>
        </w:rPr>
        <w:t>, cuyo financiamiento se efectuará de conformi</w:t>
      </w:r>
      <w:r w:rsidR="006E7A80" w:rsidRPr="00B751FD">
        <w:rPr>
          <w:rFonts w:ascii="Arial" w:hAnsi="Arial" w:cs="Arial"/>
          <w:sz w:val="22"/>
          <w:szCs w:val="22"/>
        </w:rPr>
        <w:t>dad con el Contrato de Préstamo</w:t>
      </w:r>
      <w:r w:rsidRPr="00B751FD">
        <w:rPr>
          <w:rFonts w:ascii="Arial" w:hAnsi="Arial" w:cs="Arial"/>
          <w:sz w:val="22"/>
          <w:szCs w:val="22"/>
        </w:rPr>
        <w:t>.</w:t>
      </w:r>
    </w:p>
    <w:p w14:paraId="60455859" w14:textId="77777777" w:rsidR="00230812" w:rsidRPr="00B751FD" w:rsidRDefault="00230812" w:rsidP="009D35EC">
      <w:pPr>
        <w:pStyle w:val="Paragraph"/>
        <w:ind w:left="810" w:hanging="810"/>
        <w:rPr>
          <w:rFonts w:ascii="Arial" w:hAnsi="Arial" w:cs="Arial"/>
          <w:sz w:val="22"/>
          <w:szCs w:val="22"/>
        </w:rPr>
      </w:pPr>
      <w:r w:rsidRPr="00B751FD">
        <w:rPr>
          <w:rFonts w:ascii="Arial" w:hAnsi="Arial" w:cs="Arial"/>
          <w:sz w:val="22"/>
          <w:szCs w:val="22"/>
        </w:rPr>
        <w:t xml:space="preserve">Este reglamento tendrá vigencia para todas las actividades realizadas bajo el amparo del </w:t>
      </w:r>
      <w:r w:rsidR="00533445" w:rsidRPr="00B751FD">
        <w:rPr>
          <w:rFonts w:ascii="Arial" w:hAnsi="Arial" w:cs="Arial"/>
          <w:sz w:val="22"/>
          <w:szCs w:val="22"/>
        </w:rPr>
        <w:t>préstamo</w:t>
      </w:r>
      <w:r w:rsidRPr="00B751FD">
        <w:rPr>
          <w:rFonts w:ascii="Arial" w:hAnsi="Arial" w:cs="Arial"/>
          <w:sz w:val="22"/>
          <w:szCs w:val="22"/>
        </w:rPr>
        <w:t xml:space="preserve">. Las partes podrán acordar modificaciones al mismo siempre que no contradigan el Contrato de Préstamo vigente o las leyes o políticas exigibles a cada una de las instituciones.  </w:t>
      </w:r>
    </w:p>
    <w:p w14:paraId="5F5B28C5" w14:textId="7B2618E2" w:rsidR="00435CF0" w:rsidRPr="00B751FD" w:rsidRDefault="00230812" w:rsidP="009D35EC">
      <w:pPr>
        <w:pStyle w:val="Paragraph"/>
        <w:ind w:left="810" w:hanging="810"/>
        <w:rPr>
          <w:rFonts w:ascii="Arial" w:hAnsi="Arial" w:cs="Arial"/>
          <w:sz w:val="22"/>
          <w:szCs w:val="22"/>
        </w:rPr>
      </w:pPr>
      <w:r w:rsidRPr="00B751FD">
        <w:rPr>
          <w:rFonts w:ascii="Arial" w:hAnsi="Arial" w:cs="Arial"/>
          <w:sz w:val="22"/>
          <w:szCs w:val="22"/>
        </w:rPr>
        <w:t xml:space="preserve">Esta versión es la vigente a partir de la fecha </w:t>
      </w:r>
      <w:r w:rsidR="006414CD" w:rsidRPr="00B751FD">
        <w:rPr>
          <w:rFonts w:ascii="Arial" w:hAnsi="Arial" w:cs="Arial"/>
          <w:sz w:val="22"/>
          <w:szCs w:val="22"/>
        </w:rPr>
        <w:t>1</w:t>
      </w:r>
      <w:r w:rsidR="00B238BF" w:rsidRPr="00B751FD">
        <w:rPr>
          <w:rFonts w:ascii="Arial" w:hAnsi="Arial" w:cs="Arial"/>
          <w:sz w:val="22"/>
          <w:szCs w:val="22"/>
        </w:rPr>
        <w:t xml:space="preserve"> de </w:t>
      </w:r>
      <w:r w:rsidR="00A82497" w:rsidRPr="00B751FD">
        <w:rPr>
          <w:rFonts w:ascii="Arial" w:hAnsi="Arial" w:cs="Arial"/>
          <w:sz w:val="22"/>
          <w:szCs w:val="22"/>
        </w:rPr>
        <w:t>enero</w:t>
      </w:r>
      <w:r w:rsidR="00690AFF" w:rsidRPr="00B751FD">
        <w:rPr>
          <w:rFonts w:ascii="Arial" w:hAnsi="Arial" w:cs="Arial"/>
          <w:sz w:val="22"/>
          <w:szCs w:val="22"/>
        </w:rPr>
        <w:t xml:space="preserve"> </w:t>
      </w:r>
      <w:r w:rsidR="00B238BF" w:rsidRPr="00B751FD">
        <w:rPr>
          <w:rFonts w:ascii="Arial" w:hAnsi="Arial" w:cs="Arial"/>
          <w:sz w:val="22"/>
          <w:szCs w:val="22"/>
        </w:rPr>
        <w:t>de 201</w:t>
      </w:r>
      <w:r w:rsidR="00A82497" w:rsidRPr="00B751FD">
        <w:rPr>
          <w:rFonts w:ascii="Arial" w:hAnsi="Arial" w:cs="Arial"/>
          <w:sz w:val="22"/>
          <w:szCs w:val="22"/>
        </w:rPr>
        <w:t>9</w:t>
      </w:r>
      <w:r w:rsidR="00B238BF" w:rsidRPr="00B751FD">
        <w:rPr>
          <w:rFonts w:ascii="Arial" w:hAnsi="Arial" w:cs="Arial"/>
          <w:sz w:val="22"/>
          <w:szCs w:val="22"/>
        </w:rPr>
        <w:t>.</w:t>
      </w:r>
    </w:p>
    <w:p w14:paraId="4737F09F" w14:textId="77777777" w:rsidR="00230812" w:rsidRPr="00B751FD" w:rsidRDefault="00230812" w:rsidP="00435CF0">
      <w:pPr>
        <w:pStyle w:val="Paragraph"/>
        <w:numPr>
          <w:ilvl w:val="0"/>
          <w:numId w:val="0"/>
        </w:numPr>
        <w:ind w:left="720"/>
        <w:rPr>
          <w:rFonts w:ascii="Arial" w:hAnsi="Arial" w:cs="Arial"/>
          <w:sz w:val="22"/>
          <w:szCs w:val="22"/>
        </w:rPr>
      </w:pPr>
    </w:p>
    <w:p w14:paraId="4816E28C" w14:textId="77777777" w:rsidR="00230812" w:rsidRPr="00B751FD" w:rsidRDefault="00230812" w:rsidP="001E66D5">
      <w:pPr>
        <w:pStyle w:val="Chapter"/>
        <w:tabs>
          <w:tab w:val="clear" w:pos="1440"/>
          <w:tab w:val="clear" w:pos="1800"/>
          <w:tab w:val="left" w:pos="270"/>
        </w:tabs>
        <w:ind w:left="0"/>
        <w:rPr>
          <w:rFonts w:ascii="Arial" w:hAnsi="Arial" w:cs="Arial"/>
          <w:sz w:val="22"/>
          <w:szCs w:val="22"/>
        </w:rPr>
      </w:pPr>
      <w:bookmarkStart w:id="5" w:name="_Toc205191253"/>
      <w:bookmarkStart w:id="6" w:name="_Toc207082498"/>
      <w:bookmarkStart w:id="7" w:name="_Toc240434719"/>
      <w:r w:rsidRPr="00B751FD">
        <w:rPr>
          <w:rFonts w:ascii="Arial" w:hAnsi="Arial" w:cs="Arial"/>
          <w:sz w:val="22"/>
          <w:szCs w:val="22"/>
        </w:rPr>
        <w:t>Definiciones</w:t>
      </w:r>
      <w:bookmarkEnd w:id="5"/>
      <w:bookmarkEnd w:id="6"/>
      <w:bookmarkEnd w:id="7"/>
    </w:p>
    <w:p w14:paraId="30FDE615" w14:textId="77777777" w:rsidR="00435CF0" w:rsidRPr="00B751FD" w:rsidRDefault="00435CF0" w:rsidP="00435CF0">
      <w:pPr>
        <w:rPr>
          <w:rFonts w:ascii="Arial" w:hAnsi="Arial" w:cs="Arial"/>
          <w:sz w:val="22"/>
          <w:szCs w:val="22"/>
          <w:lang w:val="es-ES_tradnl"/>
        </w:rPr>
      </w:pPr>
    </w:p>
    <w:p w14:paraId="17708993" w14:textId="77777777" w:rsidR="00230812" w:rsidRPr="00B751FD" w:rsidRDefault="00230812" w:rsidP="009D35EC">
      <w:pPr>
        <w:pStyle w:val="Paragraph"/>
        <w:ind w:left="810" w:hanging="810"/>
        <w:rPr>
          <w:rFonts w:ascii="Arial" w:hAnsi="Arial" w:cs="Arial"/>
          <w:sz w:val="22"/>
          <w:szCs w:val="22"/>
        </w:rPr>
      </w:pPr>
      <w:r w:rsidRPr="00B751FD">
        <w:rPr>
          <w:rFonts w:ascii="Arial" w:hAnsi="Arial" w:cs="Arial"/>
          <w:sz w:val="22"/>
          <w:szCs w:val="22"/>
        </w:rPr>
        <w:t>Para fines del presente Reglamento, se establecen las siguientes definiciones:</w:t>
      </w:r>
    </w:p>
    <w:tbl>
      <w:tblPr>
        <w:tblStyle w:val="TableGrid"/>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240"/>
        <w:gridCol w:w="4873"/>
      </w:tblGrid>
      <w:tr w:rsidR="00BC2E73" w:rsidRPr="00B751FD" w14:paraId="39A863FC" w14:textId="77777777" w:rsidTr="005A6ED4">
        <w:tc>
          <w:tcPr>
            <w:tcW w:w="3240" w:type="dxa"/>
          </w:tcPr>
          <w:p w14:paraId="42D40028" w14:textId="4D83178C" w:rsidR="00BC2E73" w:rsidRPr="00B751FD" w:rsidRDefault="00BC2E73" w:rsidP="005A6ED4">
            <w:pPr>
              <w:spacing w:after="40"/>
              <w:rPr>
                <w:rFonts w:ascii="Arial" w:hAnsi="Arial" w:cs="Arial"/>
                <w:b/>
                <w:lang w:val="es-ES_tradnl"/>
              </w:rPr>
            </w:pPr>
            <w:r w:rsidRPr="00B751FD">
              <w:rPr>
                <w:rFonts w:ascii="Arial" w:hAnsi="Arial" w:cs="Arial"/>
                <w:b/>
                <w:lang w:val="es-ES_tradnl"/>
              </w:rPr>
              <w:t>BID o Banco:</w:t>
            </w:r>
          </w:p>
        </w:tc>
        <w:tc>
          <w:tcPr>
            <w:tcW w:w="4873" w:type="dxa"/>
          </w:tcPr>
          <w:p w14:paraId="5A16D9A5" w14:textId="7B1C168F" w:rsidR="00BC2E73" w:rsidRPr="00B751FD" w:rsidRDefault="00BC2E73" w:rsidP="005A6ED4">
            <w:pPr>
              <w:spacing w:after="40"/>
              <w:jc w:val="both"/>
              <w:rPr>
                <w:rFonts w:ascii="Arial" w:hAnsi="Arial" w:cs="Arial"/>
                <w:b/>
                <w:lang w:val="es-ES_tradnl"/>
              </w:rPr>
            </w:pPr>
            <w:r w:rsidRPr="00B751FD">
              <w:rPr>
                <w:rFonts w:ascii="Arial" w:hAnsi="Arial" w:cs="Arial"/>
                <w:lang w:val="es-ES_tradnl"/>
              </w:rPr>
              <w:t>Banco Interamericano de Desarrollo</w:t>
            </w:r>
          </w:p>
        </w:tc>
      </w:tr>
      <w:tr w:rsidR="00BC2E73" w:rsidRPr="00B751FD" w14:paraId="72177A87" w14:textId="77777777" w:rsidTr="005A6ED4">
        <w:tc>
          <w:tcPr>
            <w:tcW w:w="3240" w:type="dxa"/>
          </w:tcPr>
          <w:p w14:paraId="0C109A9C" w14:textId="68394D9F" w:rsidR="00BC2E73" w:rsidRPr="00B751FD" w:rsidRDefault="00BC2E73" w:rsidP="005A6ED4">
            <w:pPr>
              <w:spacing w:after="40"/>
              <w:rPr>
                <w:rFonts w:ascii="Arial" w:hAnsi="Arial" w:cs="Arial"/>
                <w:b/>
                <w:lang w:val="es-ES_tradnl"/>
              </w:rPr>
            </w:pPr>
            <w:r w:rsidRPr="00B751FD">
              <w:rPr>
                <w:rFonts w:ascii="Arial" w:hAnsi="Arial" w:cs="Arial"/>
                <w:b/>
                <w:lang w:val="es-ES_tradnl"/>
              </w:rPr>
              <w:t>BROU:</w:t>
            </w:r>
          </w:p>
        </w:tc>
        <w:tc>
          <w:tcPr>
            <w:tcW w:w="4873" w:type="dxa"/>
          </w:tcPr>
          <w:p w14:paraId="740800E6" w14:textId="401A9E19" w:rsidR="00BC2E73" w:rsidRPr="00B751FD" w:rsidRDefault="00BC2E73" w:rsidP="005A6ED4">
            <w:pPr>
              <w:spacing w:after="40"/>
              <w:jc w:val="both"/>
              <w:rPr>
                <w:rFonts w:ascii="Arial" w:hAnsi="Arial" w:cs="Arial"/>
                <w:b/>
                <w:lang w:val="es-ES_tradnl"/>
              </w:rPr>
            </w:pPr>
            <w:r w:rsidRPr="00B751FD">
              <w:rPr>
                <w:rFonts w:ascii="Arial" w:hAnsi="Arial" w:cs="Arial"/>
                <w:lang w:val="es-ES_tradnl"/>
              </w:rPr>
              <w:t>Banco de la República Oriental del Uruguay</w:t>
            </w:r>
          </w:p>
        </w:tc>
      </w:tr>
      <w:tr w:rsidR="00BC2E73" w:rsidRPr="00B751FD" w14:paraId="2D2299C4" w14:textId="77777777" w:rsidTr="005A6ED4">
        <w:tc>
          <w:tcPr>
            <w:tcW w:w="3240" w:type="dxa"/>
          </w:tcPr>
          <w:p w14:paraId="09C47A5E" w14:textId="6B165AFF" w:rsidR="00BC2E73" w:rsidRPr="00B751FD" w:rsidRDefault="00BC2E73" w:rsidP="005A6ED4">
            <w:pPr>
              <w:spacing w:after="40"/>
              <w:rPr>
                <w:rFonts w:ascii="Arial" w:hAnsi="Arial" w:cs="Arial"/>
                <w:b/>
                <w:lang w:val="es-ES_tradnl"/>
              </w:rPr>
            </w:pPr>
            <w:r w:rsidRPr="00B751FD">
              <w:rPr>
                <w:rFonts w:ascii="Arial" w:hAnsi="Arial" w:cs="Arial"/>
                <w:b/>
                <w:lang w:val="es-ES_tradnl"/>
              </w:rPr>
              <w:t>Prestatario u Organismo Ejecutor:</w:t>
            </w:r>
          </w:p>
        </w:tc>
        <w:tc>
          <w:tcPr>
            <w:tcW w:w="4873" w:type="dxa"/>
          </w:tcPr>
          <w:p w14:paraId="51971C39" w14:textId="6EAD2FBD" w:rsidR="00BC2E73" w:rsidRPr="00B751FD" w:rsidRDefault="00BC2E73" w:rsidP="005A6ED4">
            <w:pPr>
              <w:spacing w:after="40"/>
              <w:jc w:val="both"/>
              <w:rPr>
                <w:rFonts w:ascii="Arial" w:hAnsi="Arial" w:cs="Arial"/>
                <w:b/>
                <w:lang w:val="es-ES_tradnl"/>
              </w:rPr>
            </w:pPr>
            <w:r w:rsidRPr="00B751FD">
              <w:rPr>
                <w:rFonts w:ascii="Arial" w:hAnsi="Arial" w:cs="Arial"/>
                <w:lang w:val="es-ES_tradnl"/>
              </w:rPr>
              <w:t>BROU</w:t>
            </w:r>
          </w:p>
        </w:tc>
      </w:tr>
      <w:tr w:rsidR="00BC2E73" w:rsidRPr="00B751FD" w14:paraId="01D5F747" w14:textId="77777777" w:rsidTr="005A6ED4">
        <w:tc>
          <w:tcPr>
            <w:tcW w:w="3240" w:type="dxa"/>
          </w:tcPr>
          <w:p w14:paraId="2371ACA0" w14:textId="7CFADB62" w:rsidR="00BC2E73" w:rsidRPr="00B751FD" w:rsidRDefault="00BC2E73" w:rsidP="005A6ED4">
            <w:pPr>
              <w:spacing w:after="40"/>
              <w:rPr>
                <w:rFonts w:ascii="Arial" w:hAnsi="Arial" w:cs="Arial"/>
                <w:b/>
                <w:lang w:val="es-ES_tradnl"/>
              </w:rPr>
            </w:pPr>
            <w:r w:rsidRPr="00B751FD">
              <w:rPr>
                <w:rFonts w:ascii="Arial" w:hAnsi="Arial" w:cs="Arial"/>
                <w:b/>
                <w:lang w:val="es-ES_tradnl"/>
              </w:rPr>
              <w:t>Garante:</w:t>
            </w:r>
          </w:p>
        </w:tc>
        <w:tc>
          <w:tcPr>
            <w:tcW w:w="4873" w:type="dxa"/>
          </w:tcPr>
          <w:p w14:paraId="5AF84759" w14:textId="2F82E21D" w:rsidR="00BC2E73" w:rsidRPr="00B751FD" w:rsidRDefault="00BC2E73" w:rsidP="005A6ED4">
            <w:pPr>
              <w:spacing w:after="40"/>
              <w:jc w:val="both"/>
              <w:rPr>
                <w:rFonts w:ascii="Arial" w:hAnsi="Arial" w:cs="Arial"/>
                <w:b/>
                <w:lang w:val="es-ES_tradnl"/>
              </w:rPr>
            </w:pPr>
            <w:r w:rsidRPr="00B751FD">
              <w:rPr>
                <w:rFonts w:ascii="Arial" w:hAnsi="Arial" w:cs="Arial"/>
                <w:lang w:val="es-ES_tradnl"/>
              </w:rPr>
              <w:t>El Gobierno de la República Oriental del Uruguay</w:t>
            </w:r>
          </w:p>
        </w:tc>
      </w:tr>
      <w:tr w:rsidR="00BC2E73" w:rsidRPr="00B751FD" w14:paraId="75594FE8" w14:textId="77777777" w:rsidTr="005A6ED4">
        <w:tc>
          <w:tcPr>
            <w:tcW w:w="3240" w:type="dxa"/>
          </w:tcPr>
          <w:p w14:paraId="087C1F63" w14:textId="31936A91" w:rsidR="00BC2E73" w:rsidRPr="00B751FD" w:rsidRDefault="00BC2E73" w:rsidP="005A6ED4">
            <w:pPr>
              <w:spacing w:after="40"/>
              <w:rPr>
                <w:rFonts w:ascii="Arial" w:hAnsi="Arial" w:cs="Arial"/>
                <w:b/>
                <w:lang w:val="es-ES_tradnl"/>
              </w:rPr>
            </w:pPr>
            <w:r w:rsidRPr="00B751FD">
              <w:rPr>
                <w:rFonts w:ascii="Arial" w:hAnsi="Arial" w:cs="Arial"/>
                <w:b/>
                <w:lang w:val="es-ES_tradnl"/>
              </w:rPr>
              <w:t>Sistema Normativo de Crédito:</w:t>
            </w:r>
          </w:p>
        </w:tc>
        <w:tc>
          <w:tcPr>
            <w:tcW w:w="4873" w:type="dxa"/>
          </w:tcPr>
          <w:p w14:paraId="1CCCBC1C" w14:textId="15321581" w:rsidR="00BC2E73" w:rsidRPr="00B751FD" w:rsidRDefault="00BC2E73" w:rsidP="005A6ED4">
            <w:pPr>
              <w:spacing w:after="40"/>
              <w:jc w:val="both"/>
              <w:rPr>
                <w:rFonts w:ascii="Arial" w:hAnsi="Arial" w:cs="Arial"/>
                <w:b/>
                <w:lang w:val="es-ES_tradnl"/>
              </w:rPr>
            </w:pPr>
            <w:r w:rsidRPr="00B751FD">
              <w:rPr>
                <w:rFonts w:ascii="Arial" w:hAnsi="Arial" w:cs="Arial"/>
                <w:lang w:val="es-ES_tradnl"/>
              </w:rPr>
              <w:t>Conformado por el manual de crédito del BROU, que contiene las disposiciones generales en materia de concesión y administración de crédito, así como toda normativa interna del BROU y normativa del BCU referente a esta temática, que contemplan las disposiciones particulares a las que se deben sujetar las áreas y servidores públicos que participan en el proceso crediticio de la institución, aprobado por el Directorio de BROU.</w:t>
            </w:r>
          </w:p>
        </w:tc>
      </w:tr>
      <w:tr w:rsidR="00BC2E73" w:rsidRPr="00B751FD" w14:paraId="755908D9" w14:textId="77777777" w:rsidTr="005A6ED4">
        <w:tc>
          <w:tcPr>
            <w:tcW w:w="3240" w:type="dxa"/>
          </w:tcPr>
          <w:p w14:paraId="7E5B6EC0" w14:textId="27321AFD" w:rsidR="00BC2E73" w:rsidRPr="00B751FD" w:rsidRDefault="00BC2E73" w:rsidP="005A6ED4">
            <w:pPr>
              <w:spacing w:after="40"/>
              <w:rPr>
                <w:rFonts w:ascii="Arial" w:hAnsi="Arial" w:cs="Arial"/>
                <w:b/>
                <w:lang w:val="es-ES_tradnl"/>
              </w:rPr>
            </w:pPr>
            <w:r w:rsidRPr="00B751FD">
              <w:rPr>
                <w:rFonts w:ascii="Arial" w:hAnsi="Arial" w:cs="Arial"/>
                <w:b/>
                <w:lang w:val="es-ES_tradnl"/>
              </w:rPr>
              <w:t>Préstamo BID</w:t>
            </w:r>
            <w:r w:rsidRPr="00B751FD">
              <w:rPr>
                <w:rFonts w:ascii="Arial" w:hAnsi="Arial" w:cs="Arial"/>
                <w:lang w:val="es-ES_tradnl"/>
              </w:rPr>
              <w:t>:</w:t>
            </w:r>
          </w:p>
        </w:tc>
        <w:tc>
          <w:tcPr>
            <w:tcW w:w="4873" w:type="dxa"/>
          </w:tcPr>
          <w:p w14:paraId="14B4C0E7" w14:textId="63606213" w:rsidR="00BC2E73" w:rsidRPr="00B751FD" w:rsidRDefault="00BC2E73" w:rsidP="005A6ED4">
            <w:pPr>
              <w:spacing w:after="40"/>
              <w:jc w:val="both"/>
              <w:rPr>
                <w:rFonts w:ascii="Arial" w:hAnsi="Arial" w:cs="Arial"/>
                <w:b/>
                <w:lang w:val="es-ES_tradnl"/>
              </w:rPr>
            </w:pPr>
            <w:r w:rsidRPr="00B751FD">
              <w:rPr>
                <w:rFonts w:ascii="Arial" w:hAnsi="Arial" w:cs="Arial"/>
                <w:lang w:val="es-ES_tradnl"/>
              </w:rPr>
              <w:t>Préstamo UR-L1115</w:t>
            </w:r>
          </w:p>
        </w:tc>
      </w:tr>
      <w:tr w:rsidR="00BC2E73" w:rsidRPr="00B751FD" w14:paraId="7576CAE7" w14:textId="77777777" w:rsidTr="005A6ED4">
        <w:tc>
          <w:tcPr>
            <w:tcW w:w="3240" w:type="dxa"/>
          </w:tcPr>
          <w:p w14:paraId="4064DE08" w14:textId="785D2283" w:rsidR="00BC2E73" w:rsidRPr="00B751FD" w:rsidRDefault="00BC2E73" w:rsidP="005A6ED4">
            <w:pPr>
              <w:spacing w:after="40"/>
              <w:rPr>
                <w:rFonts w:ascii="Arial" w:hAnsi="Arial" w:cs="Arial"/>
                <w:b/>
                <w:lang w:val="es-ES_tradnl"/>
              </w:rPr>
            </w:pPr>
            <w:r w:rsidRPr="00B751FD">
              <w:rPr>
                <w:rFonts w:ascii="Arial" w:hAnsi="Arial" w:cs="Arial"/>
                <w:b/>
                <w:lang w:val="es-ES_tradnl"/>
              </w:rPr>
              <w:t>Programa o Programa Financiero para el Desarrollo Productivo:</w:t>
            </w:r>
          </w:p>
          <w:p w14:paraId="3F846933" w14:textId="35D121DA" w:rsidR="00BC2E73" w:rsidRPr="00B751FD" w:rsidRDefault="00BC2E73" w:rsidP="005A6ED4">
            <w:pPr>
              <w:spacing w:after="40"/>
              <w:rPr>
                <w:rFonts w:ascii="Arial" w:hAnsi="Arial" w:cs="Arial"/>
                <w:b/>
                <w:lang w:val="es-ES_tradnl"/>
              </w:rPr>
            </w:pPr>
          </w:p>
        </w:tc>
        <w:tc>
          <w:tcPr>
            <w:tcW w:w="4873" w:type="dxa"/>
          </w:tcPr>
          <w:p w14:paraId="55C4AEE8" w14:textId="5DA86014" w:rsidR="00BC2E73" w:rsidRPr="00B751FD" w:rsidRDefault="00BC2E73" w:rsidP="005A6ED4">
            <w:pPr>
              <w:spacing w:after="40"/>
              <w:jc w:val="both"/>
              <w:rPr>
                <w:rFonts w:ascii="Arial" w:hAnsi="Arial" w:cs="Arial"/>
                <w:lang w:val="es-ES_tradnl"/>
              </w:rPr>
            </w:pPr>
            <w:r w:rsidRPr="00B751FD">
              <w:rPr>
                <w:rFonts w:ascii="Arial" w:hAnsi="Arial" w:cs="Arial"/>
                <w:lang w:val="es-ES_tradnl"/>
              </w:rPr>
              <w:t>Programa establecido en BROU, para promover la inversión en infraestructuras y la inversión productiva de empresas, mediante la provisión de financiamiento de mediano y largo plazo a través del BROU. Los objetivos específicos son: (i) facilitar inversiones de crédito productivo para empresas agroforestales; y (ii) posibilitar inversiones de infraestructura productiva privada o público-privada. Dicho programa es financiado con recursos provenientes del contrato de este préstamo.</w:t>
            </w:r>
          </w:p>
        </w:tc>
      </w:tr>
      <w:tr w:rsidR="00BC2E73" w:rsidRPr="00B751FD" w14:paraId="74FC2F79" w14:textId="77777777" w:rsidTr="005A6ED4">
        <w:tc>
          <w:tcPr>
            <w:tcW w:w="3240" w:type="dxa"/>
          </w:tcPr>
          <w:p w14:paraId="4EA892F4" w14:textId="1D7C82E0" w:rsidR="00BC2E73" w:rsidRPr="00B751FD" w:rsidRDefault="00BC2E73" w:rsidP="005A6ED4">
            <w:pPr>
              <w:spacing w:after="40"/>
              <w:jc w:val="both"/>
              <w:rPr>
                <w:rFonts w:ascii="Arial" w:hAnsi="Arial" w:cs="Arial"/>
                <w:b/>
                <w:lang w:val="es-ES_tradnl"/>
              </w:rPr>
            </w:pPr>
            <w:r w:rsidRPr="00B751FD">
              <w:rPr>
                <w:rFonts w:ascii="Arial" w:hAnsi="Arial" w:cs="Arial"/>
                <w:b/>
                <w:lang w:val="es-ES_tradnl"/>
              </w:rPr>
              <w:lastRenderedPageBreak/>
              <w:t>Empresas agroforestales:</w:t>
            </w:r>
          </w:p>
        </w:tc>
        <w:tc>
          <w:tcPr>
            <w:tcW w:w="4873" w:type="dxa"/>
          </w:tcPr>
          <w:p w14:paraId="341A6E09" w14:textId="6EE99F5C" w:rsidR="00BC2E73" w:rsidRPr="00B751FD" w:rsidRDefault="00BC2E73" w:rsidP="005A6ED4">
            <w:pPr>
              <w:spacing w:after="40"/>
              <w:jc w:val="both"/>
              <w:rPr>
                <w:rFonts w:ascii="Arial" w:hAnsi="Arial" w:cs="Arial"/>
                <w:lang w:val="es-ES_tradnl"/>
              </w:rPr>
            </w:pPr>
            <w:r w:rsidRPr="00B751FD">
              <w:rPr>
                <w:rFonts w:ascii="Arial" w:hAnsi="Arial" w:cs="Arial"/>
                <w:lang w:val="es-ES_tradnl"/>
              </w:rPr>
              <w:t>Serán emprendimientos que acometan inversiones en proyectos forestales y cumplen con los criterios de elegibilidad establecidos en el presente Reglamento Operativo del programa.</w:t>
            </w:r>
          </w:p>
        </w:tc>
      </w:tr>
      <w:tr w:rsidR="00BC2E73" w:rsidRPr="00B751FD" w14:paraId="66257F58" w14:textId="77777777" w:rsidTr="005A6ED4">
        <w:tc>
          <w:tcPr>
            <w:tcW w:w="3240" w:type="dxa"/>
          </w:tcPr>
          <w:p w14:paraId="4DE99A2D" w14:textId="633DF923" w:rsidR="00BC2E73" w:rsidRPr="00B751FD" w:rsidRDefault="00BC2E73" w:rsidP="005A6ED4">
            <w:pPr>
              <w:spacing w:after="40"/>
              <w:ind w:left="2880" w:hanging="2880"/>
              <w:jc w:val="both"/>
              <w:rPr>
                <w:rFonts w:ascii="Arial" w:hAnsi="Arial" w:cs="Arial"/>
                <w:b/>
                <w:lang w:val="es-ES_tradnl"/>
              </w:rPr>
            </w:pPr>
            <w:r w:rsidRPr="00B751FD">
              <w:rPr>
                <w:rFonts w:ascii="Arial" w:hAnsi="Arial" w:cs="Arial"/>
                <w:b/>
                <w:lang w:val="es-ES_tradnl"/>
              </w:rPr>
              <w:t>Recursos del Programa:</w:t>
            </w:r>
          </w:p>
        </w:tc>
        <w:tc>
          <w:tcPr>
            <w:tcW w:w="4873" w:type="dxa"/>
          </w:tcPr>
          <w:p w14:paraId="15CCA012" w14:textId="266012F9" w:rsidR="00BC2E73" w:rsidRPr="00B751FD" w:rsidRDefault="00BC2E73" w:rsidP="005A6ED4">
            <w:pPr>
              <w:spacing w:after="40"/>
              <w:jc w:val="both"/>
              <w:rPr>
                <w:rFonts w:ascii="Arial" w:hAnsi="Arial" w:cs="Arial"/>
                <w:lang w:val="es-ES_tradnl"/>
              </w:rPr>
            </w:pPr>
            <w:r w:rsidRPr="00B751FD">
              <w:rPr>
                <w:rFonts w:ascii="Arial" w:hAnsi="Arial" w:cs="Arial"/>
                <w:lang w:val="es-ES_tradnl"/>
              </w:rPr>
              <w:t>El conjunto de los recursos aportados por el BID y por BROU u otros para la ejecución del programa.</w:t>
            </w:r>
          </w:p>
        </w:tc>
      </w:tr>
      <w:tr w:rsidR="00BC2E73" w:rsidRPr="00B751FD" w14:paraId="07197662" w14:textId="77777777" w:rsidTr="005A6ED4">
        <w:tc>
          <w:tcPr>
            <w:tcW w:w="3240" w:type="dxa"/>
          </w:tcPr>
          <w:p w14:paraId="2BEEB36C" w14:textId="277D32FF" w:rsidR="00BC2E73" w:rsidRPr="00167A35" w:rsidRDefault="00BC2E73" w:rsidP="005A6ED4">
            <w:pPr>
              <w:spacing w:after="40"/>
              <w:ind w:right="-34"/>
              <w:rPr>
                <w:rFonts w:ascii="Arial Bold" w:hAnsi="Arial Bold" w:cs="Arial"/>
                <w:b/>
                <w:spacing w:val="-6"/>
                <w:lang w:val="es-ES_tradnl"/>
              </w:rPr>
            </w:pPr>
            <w:r w:rsidRPr="00167A35">
              <w:rPr>
                <w:rFonts w:ascii="Arial Bold" w:hAnsi="Arial Bold" w:cs="Arial"/>
                <w:b/>
                <w:spacing w:val="-6"/>
                <w:lang w:val="es-ES_tradnl"/>
              </w:rPr>
              <w:t>Reglamento Operativo (ROP):</w:t>
            </w:r>
          </w:p>
        </w:tc>
        <w:tc>
          <w:tcPr>
            <w:tcW w:w="4873" w:type="dxa"/>
          </w:tcPr>
          <w:p w14:paraId="7F65FFF6" w14:textId="142B06A1" w:rsidR="00BC2E73" w:rsidRPr="00B751FD" w:rsidRDefault="00BC2E73" w:rsidP="005A6ED4">
            <w:pPr>
              <w:spacing w:after="40"/>
              <w:jc w:val="both"/>
              <w:rPr>
                <w:rFonts w:ascii="Arial" w:hAnsi="Arial" w:cs="Arial"/>
                <w:lang w:val="es-ES_tradnl"/>
              </w:rPr>
            </w:pPr>
            <w:r w:rsidRPr="00B751FD">
              <w:rPr>
                <w:rFonts w:ascii="Arial" w:hAnsi="Arial" w:cs="Arial"/>
                <w:lang w:val="es-ES_tradnl"/>
              </w:rPr>
              <w:t>El presente instrumento normativo.</w:t>
            </w:r>
          </w:p>
        </w:tc>
      </w:tr>
      <w:tr w:rsidR="00BC2E73" w:rsidRPr="00B751FD" w14:paraId="633F1CFD" w14:textId="77777777" w:rsidTr="005A6ED4">
        <w:tc>
          <w:tcPr>
            <w:tcW w:w="3240" w:type="dxa"/>
          </w:tcPr>
          <w:p w14:paraId="6AD67CA9" w14:textId="2656F470" w:rsidR="00BC2E73" w:rsidRPr="00B751FD" w:rsidRDefault="00BC2E73" w:rsidP="005A6ED4">
            <w:pPr>
              <w:spacing w:after="40"/>
              <w:rPr>
                <w:rFonts w:ascii="Arial" w:hAnsi="Arial" w:cs="Arial"/>
                <w:b/>
                <w:lang w:val="es-ES_tradnl"/>
              </w:rPr>
            </w:pPr>
            <w:r w:rsidRPr="00B751FD">
              <w:rPr>
                <w:rFonts w:ascii="Arial" w:hAnsi="Arial" w:cs="Arial"/>
                <w:b/>
                <w:lang w:val="es-ES_tradnl"/>
              </w:rPr>
              <w:t>IGAS:</w:t>
            </w:r>
          </w:p>
        </w:tc>
        <w:tc>
          <w:tcPr>
            <w:tcW w:w="4873" w:type="dxa"/>
          </w:tcPr>
          <w:p w14:paraId="41793DA8" w14:textId="3A64CA44" w:rsidR="00BC2E73" w:rsidRPr="00B751FD" w:rsidRDefault="005A6ED4" w:rsidP="005A6ED4">
            <w:pPr>
              <w:spacing w:after="40"/>
              <w:jc w:val="both"/>
              <w:rPr>
                <w:rFonts w:ascii="Arial" w:hAnsi="Arial" w:cs="Arial"/>
                <w:lang w:val="es-ES_tradnl"/>
              </w:rPr>
            </w:pPr>
            <w:r w:rsidRPr="00B751FD">
              <w:rPr>
                <w:rFonts w:ascii="Arial" w:hAnsi="Arial" w:cs="Arial"/>
                <w:b/>
                <w:lang w:val="es-ES_tradnl"/>
              </w:rPr>
              <w:t>Informe de Gestión Ambiental y Social,</w:t>
            </w:r>
            <w:r w:rsidRPr="00B751FD">
              <w:rPr>
                <w:rFonts w:ascii="Arial" w:hAnsi="Arial" w:cs="Arial"/>
                <w:lang w:val="es-ES_tradnl"/>
              </w:rPr>
              <w:t xml:space="preserve"> es el manual de gestión ambiental y social del programa, cuyo objetivo es asegurar que los subproyectos financiados cumplan con las exigencias ambientales del Gobierno de Uruguay y las políticas ambientales y sociales del Banco.</w:t>
            </w:r>
          </w:p>
        </w:tc>
      </w:tr>
      <w:tr w:rsidR="005A6ED4" w:rsidRPr="00B751FD" w14:paraId="1FD4229E" w14:textId="77777777" w:rsidTr="005A6ED4">
        <w:tc>
          <w:tcPr>
            <w:tcW w:w="3240" w:type="dxa"/>
          </w:tcPr>
          <w:p w14:paraId="416C5501" w14:textId="7543EF1E" w:rsidR="005A6ED4" w:rsidRPr="00B751FD" w:rsidRDefault="005A6ED4" w:rsidP="005A6ED4">
            <w:pPr>
              <w:spacing w:after="40"/>
              <w:rPr>
                <w:rFonts w:ascii="Arial" w:hAnsi="Arial" w:cs="Arial"/>
                <w:b/>
                <w:lang w:val="es-ES_tradnl"/>
              </w:rPr>
            </w:pPr>
            <w:r w:rsidRPr="00B751FD">
              <w:rPr>
                <w:rFonts w:ascii="Arial" w:hAnsi="Arial" w:cs="Arial"/>
                <w:b/>
                <w:lang w:val="es-ES_tradnl"/>
              </w:rPr>
              <w:t>Operaciones Elegibles:</w:t>
            </w:r>
          </w:p>
        </w:tc>
        <w:tc>
          <w:tcPr>
            <w:tcW w:w="4873" w:type="dxa"/>
          </w:tcPr>
          <w:p w14:paraId="7405DBF4" w14:textId="574C3624" w:rsidR="005A6ED4" w:rsidRPr="00B751FD" w:rsidRDefault="005A6ED4" w:rsidP="005A6ED4">
            <w:pPr>
              <w:spacing w:after="40"/>
              <w:jc w:val="both"/>
              <w:rPr>
                <w:rFonts w:ascii="Arial" w:hAnsi="Arial" w:cs="Arial"/>
                <w:b/>
                <w:lang w:val="es-ES_tradnl"/>
              </w:rPr>
            </w:pPr>
            <w:r w:rsidRPr="00B751FD">
              <w:rPr>
                <w:rFonts w:ascii="Arial" w:hAnsi="Arial" w:cs="Arial"/>
                <w:lang w:val="es-ES_tradnl"/>
              </w:rPr>
              <w:t>Los Subpréstamos otorgados por BROU a los Subprestatarios Elegibles, a) para financiar la construcción y/u operación de proyectos de inversión infraestructuras productivas agroforestales.</w:t>
            </w:r>
          </w:p>
        </w:tc>
      </w:tr>
      <w:tr w:rsidR="005A6ED4" w:rsidRPr="00B751FD" w14:paraId="6F5B949A" w14:textId="77777777" w:rsidTr="005A6ED4">
        <w:tc>
          <w:tcPr>
            <w:tcW w:w="3240" w:type="dxa"/>
          </w:tcPr>
          <w:p w14:paraId="6F007AB4" w14:textId="21C5DCD8" w:rsidR="005A6ED4" w:rsidRPr="00B751FD" w:rsidRDefault="005A6ED4" w:rsidP="005A6ED4">
            <w:pPr>
              <w:spacing w:after="40"/>
              <w:rPr>
                <w:rFonts w:ascii="Arial" w:hAnsi="Arial" w:cs="Arial"/>
                <w:b/>
                <w:lang w:val="es-ES_tradnl"/>
              </w:rPr>
            </w:pPr>
            <w:r w:rsidRPr="00B751FD">
              <w:rPr>
                <w:rFonts w:ascii="Arial" w:hAnsi="Arial" w:cs="Arial"/>
                <w:b/>
                <w:lang w:val="es-ES_tradnl"/>
              </w:rPr>
              <w:t>Subpréstamos:</w:t>
            </w:r>
          </w:p>
        </w:tc>
        <w:tc>
          <w:tcPr>
            <w:tcW w:w="4873" w:type="dxa"/>
          </w:tcPr>
          <w:p w14:paraId="00704D8C" w14:textId="2A06D3FD" w:rsidR="005A6ED4" w:rsidRPr="00B751FD" w:rsidRDefault="005A6ED4" w:rsidP="005A6ED4">
            <w:pPr>
              <w:spacing w:after="40"/>
              <w:jc w:val="both"/>
              <w:rPr>
                <w:rFonts w:ascii="Arial" w:hAnsi="Arial" w:cs="Arial"/>
                <w:b/>
                <w:lang w:val="es-ES_tradnl"/>
              </w:rPr>
            </w:pPr>
            <w:r w:rsidRPr="00B751FD">
              <w:rPr>
                <w:rFonts w:ascii="Arial" w:hAnsi="Arial" w:cs="Arial"/>
                <w:lang w:val="es-ES_tradnl"/>
              </w:rPr>
              <w:t>Cualquier financiamiento otorgado por BROU a los Subprestatarios Elegibles, en la forma de créditos a largo, mediano o corto plazo o líneas de crédito u operaciones de arrendamientos financieros, para el financiamiento de la construcción y/u operación de proyectos de inversión agroforestal u otras infraestructuras productivas agroforestales.</w:t>
            </w:r>
          </w:p>
        </w:tc>
      </w:tr>
      <w:tr w:rsidR="005A6ED4" w:rsidRPr="00B751FD" w14:paraId="1483C724" w14:textId="77777777" w:rsidTr="005A6ED4">
        <w:tc>
          <w:tcPr>
            <w:tcW w:w="3240" w:type="dxa"/>
          </w:tcPr>
          <w:p w14:paraId="768116F3" w14:textId="3EB6152C" w:rsidR="005A6ED4" w:rsidRPr="00B751FD" w:rsidRDefault="005A6ED4" w:rsidP="005A6ED4">
            <w:pPr>
              <w:tabs>
                <w:tab w:val="left" w:pos="3119"/>
                <w:tab w:val="left" w:pos="3600"/>
              </w:tabs>
              <w:spacing w:after="40"/>
              <w:jc w:val="both"/>
              <w:rPr>
                <w:rFonts w:ascii="Arial" w:hAnsi="Arial" w:cs="Arial"/>
                <w:b/>
                <w:lang w:val="es-ES_tradnl"/>
              </w:rPr>
            </w:pPr>
            <w:r w:rsidRPr="00B751FD">
              <w:rPr>
                <w:rFonts w:ascii="Arial" w:hAnsi="Arial" w:cs="Arial"/>
                <w:b/>
                <w:lang w:val="es-ES_tradnl"/>
              </w:rPr>
              <w:t>Subprestatarios Elegibles:</w:t>
            </w:r>
          </w:p>
        </w:tc>
        <w:tc>
          <w:tcPr>
            <w:tcW w:w="4873" w:type="dxa"/>
          </w:tcPr>
          <w:p w14:paraId="515A693A" w14:textId="4C1251AF" w:rsidR="005A6ED4" w:rsidRPr="00B751FD" w:rsidRDefault="005A6ED4" w:rsidP="005A6ED4">
            <w:pPr>
              <w:spacing w:after="40"/>
              <w:jc w:val="both"/>
              <w:rPr>
                <w:rFonts w:ascii="Arial" w:hAnsi="Arial" w:cs="Arial"/>
                <w:b/>
                <w:lang w:val="es-ES_tradnl"/>
              </w:rPr>
            </w:pPr>
            <w:r w:rsidRPr="00B751FD">
              <w:rPr>
                <w:rFonts w:ascii="Arial" w:hAnsi="Arial" w:cs="Arial"/>
                <w:lang w:val="es-ES_tradnl"/>
              </w:rPr>
              <w:t>Empresas agroforestales en sector primario en tierras forestadas que cumplan con la Ley Forestal Nº 15.939 que establece la prohibición de la tala de bosques nativos y de las industrias asociadas a la cadena agroforestal en fases de producción, comercialización y servicios.</w:t>
            </w:r>
          </w:p>
        </w:tc>
      </w:tr>
      <w:tr w:rsidR="005A6ED4" w:rsidRPr="00B751FD" w14:paraId="0E9ACF47" w14:textId="77777777" w:rsidTr="005A6ED4">
        <w:tc>
          <w:tcPr>
            <w:tcW w:w="3240" w:type="dxa"/>
          </w:tcPr>
          <w:p w14:paraId="69B7EBE2" w14:textId="5F22C3FB" w:rsidR="005A6ED4" w:rsidRPr="00B751FD" w:rsidRDefault="005A6ED4" w:rsidP="005A6ED4">
            <w:pPr>
              <w:tabs>
                <w:tab w:val="left" w:pos="2835"/>
                <w:tab w:val="left" w:pos="3119"/>
                <w:tab w:val="left" w:pos="3600"/>
              </w:tabs>
              <w:spacing w:after="40"/>
              <w:ind w:left="2835" w:hanging="2835"/>
              <w:jc w:val="both"/>
              <w:rPr>
                <w:rFonts w:ascii="Arial" w:hAnsi="Arial" w:cs="Arial"/>
                <w:b/>
                <w:lang w:val="es-ES_tradnl"/>
              </w:rPr>
            </w:pPr>
            <w:r w:rsidRPr="00B751FD">
              <w:rPr>
                <w:rFonts w:ascii="Arial" w:hAnsi="Arial" w:cs="Arial"/>
                <w:b/>
                <w:lang w:val="es-ES_tradnl"/>
              </w:rPr>
              <w:t>Público:</w:t>
            </w:r>
          </w:p>
        </w:tc>
        <w:tc>
          <w:tcPr>
            <w:tcW w:w="4873" w:type="dxa"/>
          </w:tcPr>
          <w:p w14:paraId="4FE13AD5" w14:textId="6A57167E" w:rsidR="005A6ED4" w:rsidRPr="00B751FD" w:rsidRDefault="005A6ED4" w:rsidP="005A6ED4">
            <w:pPr>
              <w:spacing w:after="40"/>
              <w:jc w:val="both"/>
              <w:rPr>
                <w:rFonts w:ascii="Arial" w:hAnsi="Arial" w:cs="Arial"/>
                <w:b/>
                <w:lang w:val="es-ES_tradnl"/>
              </w:rPr>
            </w:pPr>
            <w:r w:rsidRPr="00B751FD">
              <w:rPr>
                <w:rFonts w:ascii="Arial" w:hAnsi="Arial" w:cs="Arial"/>
                <w:lang w:val="es-ES_tradnl"/>
              </w:rPr>
              <w:t>Subprestatarios Elegibles de naturaleza pública cuya participación sea en más de cincuenta por ciento (50%) de naturaleza pública.</w:t>
            </w:r>
          </w:p>
        </w:tc>
      </w:tr>
      <w:tr w:rsidR="005A6ED4" w:rsidRPr="00B751FD" w14:paraId="365C4320" w14:textId="77777777" w:rsidTr="005A6ED4">
        <w:tc>
          <w:tcPr>
            <w:tcW w:w="3240" w:type="dxa"/>
          </w:tcPr>
          <w:p w14:paraId="180B51E9" w14:textId="5611CF33" w:rsidR="005A6ED4" w:rsidRPr="00B751FD" w:rsidRDefault="005A6ED4" w:rsidP="005A6ED4">
            <w:pPr>
              <w:tabs>
                <w:tab w:val="left" w:pos="2835"/>
                <w:tab w:val="left" w:pos="3119"/>
                <w:tab w:val="left" w:pos="3600"/>
              </w:tabs>
              <w:spacing w:after="40"/>
              <w:ind w:left="2835" w:hanging="2835"/>
              <w:jc w:val="both"/>
              <w:rPr>
                <w:rFonts w:ascii="Arial" w:hAnsi="Arial" w:cs="Arial"/>
                <w:b/>
                <w:lang w:val="es-ES_tradnl"/>
              </w:rPr>
            </w:pPr>
            <w:r w:rsidRPr="00B751FD">
              <w:rPr>
                <w:rFonts w:ascii="Arial" w:hAnsi="Arial" w:cs="Arial"/>
                <w:b/>
                <w:lang w:val="es-ES_tradnl"/>
              </w:rPr>
              <w:t>Anticipo de Fondos:</w:t>
            </w:r>
          </w:p>
        </w:tc>
        <w:tc>
          <w:tcPr>
            <w:tcW w:w="4873" w:type="dxa"/>
          </w:tcPr>
          <w:p w14:paraId="0552037B" w14:textId="25229A39" w:rsidR="005A6ED4" w:rsidRPr="00B751FD" w:rsidRDefault="005A6ED4" w:rsidP="005A6ED4">
            <w:pPr>
              <w:spacing w:after="40"/>
              <w:jc w:val="both"/>
              <w:rPr>
                <w:rFonts w:ascii="Arial" w:hAnsi="Arial" w:cs="Arial"/>
                <w:b/>
                <w:lang w:val="es-ES_tradnl"/>
              </w:rPr>
            </w:pPr>
            <w:r w:rsidRPr="00B751FD">
              <w:rPr>
                <w:rFonts w:ascii="Arial" w:hAnsi="Arial" w:cs="Arial"/>
                <w:lang w:val="es-ES_tradnl"/>
              </w:rPr>
              <w:t>El monto de recursos adelantados por el Banco a BROU con cargo a los recursos del Financiamiento para atender gastos elegibles del proyecto.</w:t>
            </w:r>
          </w:p>
        </w:tc>
      </w:tr>
      <w:tr w:rsidR="005A6ED4" w:rsidRPr="00B751FD" w14:paraId="1863520F" w14:textId="77777777" w:rsidTr="005A6ED4">
        <w:tc>
          <w:tcPr>
            <w:tcW w:w="3240" w:type="dxa"/>
          </w:tcPr>
          <w:p w14:paraId="00ED71B0" w14:textId="66D44E1C" w:rsidR="005A6ED4" w:rsidRPr="00B751FD" w:rsidRDefault="005A6ED4" w:rsidP="005A6ED4">
            <w:pPr>
              <w:spacing w:after="40"/>
              <w:jc w:val="both"/>
              <w:rPr>
                <w:rFonts w:ascii="Arial" w:hAnsi="Arial" w:cs="Arial"/>
                <w:b/>
                <w:lang w:val="es-ES_tradnl"/>
              </w:rPr>
            </w:pPr>
            <w:r w:rsidRPr="00B751FD">
              <w:rPr>
                <w:rFonts w:ascii="Arial" w:hAnsi="Arial" w:cs="Arial"/>
                <w:b/>
                <w:lang w:val="es-ES_tradnl"/>
              </w:rPr>
              <w:t>Plan de Ejecución del Programa:</w:t>
            </w:r>
          </w:p>
        </w:tc>
        <w:tc>
          <w:tcPr>
            <w:tcW w:w="4873" w:type="dxa"/>
          </w:tcPr>
          <w:p w14:paraId="302F0F1B" w14:textId="672FF890" w:rsidR="005A6ED4" w:rsidRPr="00B751FD" w:rsidRDefault="005A6ED4" w:rsidP="005A6ED4">
            <w:pPr>
              <w:spacing w:after="40"/>
              <w:jc w:val="both"/>
              <w:rPr>
                <w:rFonts w:ascii="Arial" w:hAnsi="Arial" w:cs="Arial"/>
                <w:lang w:val="es-ES_tradnl"/>
              </w:rPr>
            </w:pPr>
            <w:r w:rsidRPr="00B751FD">
              <w:rPr>
                <w:rFonts w:ascii="Arial" w:hAnsi="Arial" w:cs="Arial"/>
                <w:lang w:val="es-ES_tradnl"/>
              </w:rPr>
              <w:t>Es la relación anual de Operaciones Elegibles y su respectiva Programación de desembolsos, susceptibles de recibir financiamiento de los recursos del programa.</w:t>
            </w:r>
          </w:p>
        </w:tc>
      </w:tr>
      <w:tr w:rsidR="005A6ED4" w:rsidRPr="00B751FD" w14:paraId="3B774587" w14:textId="77777777" w:rsidTr="005A6ED4">
        <w:tc>
          <w:tcPr>
            <w:tcW w:w="3240" w:type="dxa"/>
          </w:tcPr>
          <w:p w14:paraId="66C41338" w14:textId="4A6FD6EE" w:rsidR="005A6ED4" w:rsidRPr="00B751FD" w:rsidRDefault="005A6ED4" w:rsidP="005A6ED4">
            <w:pPr>
              <w:tabs>
                <w:tab w:val="left" w:pos="2835"/>
                <w:tab w:val="left" w:pos="3119"/>
                <w:tab w:val="left" w:pos="3600"/>
              </w:tabs>
              <w:spacing w:after="40"/>
              <w:ind w:left="2835" w:hanging="2835"/>
              <w:jc w:val="both"/>
              <w:rPr>
                <w:rFonts w:ascii="Arial" w:hAnsi="Arial" w:cs="Arial"/>
                <w:b/>
                <w:lang w:val="es-ES_tradnl"/>
              </w:rPr>
            </w:pPr>
            <w:r w:rsidRPr="00B751FD">
              <w:rPr>
                <w:rFonts w:ascii="Arial" w:hAnsi="Arial" w:cs="Arial"/>
                <w:b/>
                <w:lang w:val="es-ES_tradnl"/>
              </w:rPr>
              <w:t>Proyecto Agroforestal:</w:t>
            </w:r>
          </w:p>
        </w:tc>
        <w:tc>
          <w:tcPr>
            <w:tcW w:w="4873" w:type="dxa"/>
          </w:tcPr>
          <w:p w14:paraId="0B223C7D" w14:textId="7E19FA60" w:rsidR="005A6ED4" w:rsidRPr="00B751FD" w:rsidRDefault="005A6ED4" w:rsidP="005A6ED4">
            <w:pPr>
              <w:spacing w:after="40"/>
              <w:jc w:val="both"/>
              <w:rPr>
                <w:rFonts w:ascii="Arial" w:hAnsi="Arial" w:cs="Arial"/>
                <w:lang w:val="es-ES_tradnl"/>
              </w:rPr>
            </w:pPr>
            <w:r w:rsidRPr="00B751FD">
              <w:rPr>
                <w:rFonts w:ascii="Arial" w:hAnsi="Arial" w:cs="Arial"/>
                <w:lang w:val="es-ES_tradnl"/>
              </w:rPr>
              <w:t xml:space="preserve">Son aquéllos que requieren inversión de mediano y largo plazo para la mejora de la productividad de las empresas agroforestales, </w:t>
            </w:r>
            <w:r w:rsidRPr="00B751FD">
              <w:rPr>
                <w:rFonts w:ascii="Arial" w:hAnsi="Arial" w:cs="Arial"/>
                <w:lang w:val="es-ES_tradnl"/>
              </w:rPr>
              <w:lastRenderedPageBreak/>
              <w:t>tales como compra de tierras, bienes de equipo y maquinaria, vehículos de carga, entre otros.</w:t>
            </w:r>
          </w:p>
        </w:tc>
      </w:tr>
      <w:tr w:rsidR="005A6ED4" w:rsidRPr="00B751FD" w14:paraId="5931919B" w14:textId="77777777" w:rsidTr="005A6ED4">
        <w:tc>
          <w:tcPr>
            <w:tcW w:w="3240" w:type="dxa"/>
          </w:tcPr>
          <w:p w14:paraId="56D087D0" w14:textId="6E8F6DD0" w:rsidR="005A6ED4" w:rsidRPr="00B751FD" w:rsidRDefault="005A6ED4" w:rsidP="005A6ED4">
            <w:pPr>
              <w:tabs>
                <w:tab w:val="left" w:pos="2835"/>
                <w:tab w:val="left" w:pos="3119"/>
                <w:tab w:val="left" w:pos="3600"/>
              </w:tabs>
              <w:spacing w:after="40"/>
              <w:ind w:left="2835" w:hanging="2835"/>
              <w:jc w:val="both"/>
              <w:rPr>
                <w:rFonts w:ascii="Arial" w:hAnsi="Arial" w:cs="Arial"/>
                <w:b/>
                <w:lang w:val="es-ES_tradnl"/>
              </w:rPr>
            </w:pPr>
            <w:r w:rsidRPr="00B751FD">
              <w:rPr>
                <w:rFonts w:ascii="Arial" w:hAnsi="Arial" w:cs="Arial"/>
                <w:b/>
                <w:lang w:val="es-ES_tradnl"/>
              </w:rPr>
              <w:lastRenderedPageBreak/>
              <w:t>Áreas Corporativas:</w:t>
            </w:r>
          </w:p>
        </w:tc>
        <w:tc>
          <w:tcPr>
            <w:tcW w:w="4873" w:type="dxa"/>
          </w:tcPr>
          <w:p w14:paraId="18F7101B" w14:textId="076ADEFC" w:rsidR="005A6ED4" w:rsidRPr="00B751FD" w:rsidRDefault="005A6ED4" w:rsidP="005A6ED4">
            <w:pPr>
              <w:spacing w:after="40"/>
              <w:jc w:val="both"/>
              <w:rPr>
                <w:rFonts w:ascii="Arial" w:hAnsi="Arial" w:cs="Arial"/>
                <w:lang w:val="es-ES_tradnl"/>
              </w:rPr>
            </w:pPr>
            <w:r w:rsidRPr="00B751FD">
              <w:rPr>
                <w:rFonts w:ascii="Arial" w:hAnsi="Arial" w:cs="Arial"/>
                <w:lang w:val="es-ES_tradnl"/>
              </w:rPr>
              <w:t>Área Empresas y Área Agropecuaria o quien las suceda en sus competencias.</w:t>
            </w:r>
          </w:p>
        </w:tc>
      </w:tr>
      <w:tr w:rsidR="005A6ED4" w:rsidRPr="00B751FD" w14:paraId="78358A8A" w14:textId="77777777" w:rsidTr="005A6ED4">
        <w:tc>
          <w:tcPr>
            <w:tcW w:w="3240" w:type="dxa"/>
          </w:tcPr>
          <w:p w14:paraId="66016881" w14:textId="3CB13053" w:rsidR="005A6ED4" w:rsidRPr="00B751FD" w:rsidRDefault="005A6ED4" w:rsidP="005A6ED4">
            <w:pPr>
              <w:pStyle w:val="ListParagraph"/>
              <w:tabs>
                <w:tab w:val="left" w:pos="0"/>
              </w:tabs>
              <w:spacing w:after="40"/>
              <w:ind w:left="0"/>
              <w:rPr>
                <w:rFonts w:ascii="Arial" w:hAnsi="Arial" w:cs="Arial"/>
                <w:b/>
                <w:sz w:val="22"/>
                <w:szCs w:val="22"/>
                <w:lang w:val="es-ES_tradnl"/>
              </w:rPr>
            </w:pPr>
            <w:r w:rsidRPr="00B751FD">
              <w:rPr>
                <w:rFonts w:ascii="Arial" w:eastAsia="Times New Roman" w:hAnsi="Arial" w:cs="Arial"/>
                <w:b/>
                <w:sz w:val="22"/>
                <w:szCs w:val="22"/>
                <w:lang w:val="es-ES_tradnl"/>
              </w:rPr>
              <w:t>Unidad Ejecutora del Proyecto (UEP):</w:t>
            </w:r>
          </w:p>
        </w:tc>
        <w:tc>
          <w:tcPr>
            <w:tcW w:w="4873" w:type="dxa"/>
          </w:tcPr>
          <w:p w14:paraId="71933F21" w14:textId="77777777" w:rsidR="005A6ED4" w:rsidRDefault="005A6ED4" w:rsidP="005A6ED4">
            <w:pPr>
              <w:pStyle w:val="ListParagraph"/>
              <w:tabs>
                <w:tab w:val="left" w:pos="0"/>
              </w:tabs>
              <w:spacing w:after="40"/>
              <w:ind w:left="0"/>
              <w:rPr>
                <w:rFonts w:ascii="Arial" w:hAnsi="Arial" w:cs="Arial"/>
                <w:sz w:val="22"/>
                <w:szCs w:val="22"/>
                <w:lang w:val="es-ES_tradnl"/>
              </w:rPr>
            </w:pPr>
            <w:r w:rsidRPr="00B751FD">
              <w:rPr>
                <w:rFonts w:ascii="Arial" w:eastAsia="Times New Roman" w:hAnsi="Arial" w:cs="Arial"/>
                <w:sz w:val="22"/>
                <w:szCs w:val="22"/>
                <w:lang w:val="es-ES_tradnl"/>
              </w:rPr>
              <w:t>Unidad perteneciente al Área Finanzas - Dpto. Análisis de Mercado, responsable de la</w:t>
            </w:r>
            <w:r w:rsidRPr="00B751FD">
              <w:rPr>
                <w:rFonts w:ascii="Arial" w:hAnsi="Arial" w:cs="Arial"/>
                <w:sz w:val="22"/>
                <w:szCs w:val="22"/>
                <w:lang w:val="es-ES_tradnl"/>
              </w:rPr>
              <w:t xml:space="preserve"> coordinación y administración financiera del programa.</w:t>
            </w:r>
          </w:p>
          <w:p w14:paraId="5F130862" w14:textId="6B428272" w:rsidR="00487011" w:rsidRPr="00B751FD" w:rsidRDefault="00487011" w:rsidP="005A6ED4">
            <w:pPr>
              <w:pStyle w:val="ListParagraph"/>
              <w:tabs>
                <w:tab w:val="left" w:pos="0"/>
              </w:tabs>
              <w:spacing w:after="40"/>
              <w:ind w:left="0"/>
              <w:rPr>
                <w:rFonts w:ascii="Arial" w:hAnsi="Arial" w:cs="Arial"/>
                <w:sz w:val="22"/>
                <w:szCs w:val="22"/>
                <w:lang w:val="es-ES_tradnl"/>
              </w:rPr>
            </w:pPr>
          </w:p>
        </w:tc>
      </w:tr>
      <w:tr w:rsidR="00487011" w:rsidRPr="00B751FD" w14:paraId="3EAA1A2D" w14:textId="77777777" w:rsidTr="005A6ED4">
        <w:tc>
          <w:tcPr>
            <w:tcW w:w="3240" w:type="dxa"/>
          </w:tcPr>
          <w:p w14:paraId="442F96D7" w14:textId="56722691" w:rsidR="00487011" w:rsidRPr="00B751FD" w:rsidRDefault="00487011" w:rsidP="005A6ED4">
            <w:pPr>
              <w:pStyle w:val="ListParagraph"/>
              <w:tabs>
                <w:tab w:val="left" w:pos="0"/>
              </w:tabs>
              <w:spacing w:after="40"/>
              <w:ind w:left="0"/>
              <w:rPr>
                <w:rFonts w:ascii="Arial" w:eastAsia="Times New Roman" w:hAnsi="Arial" w:cs="Arial"/>
                <w:b/>
                <w:sz w:val="22"/>
                <w:szCs w:val="22"/>
                <w:lang w:val="es-ES_tradnl"/>
              </w:rPr>
            </w:pPr>
            <w:r>
              <w:rPr>
                <w:rFonts w:ascii="Arial" w:eastAsia="Times New Roman" w:hAnsi="Arial" w:cs="Arial"/>
                <w:b/>
                <w:sz w:val="22"/>
                <w:szCs w:val="22"/>
                <w:lang w:val="es-ES_tradnl"/>
              </w:rPr>
              <w:t>MGAS</w:t>
            </w:r>
          </w:p>
        </w:tc>
        <w:tc>
          <w:tcPr>
            <w:tcW w:w="4873" w:type="dxa"/>
          </w:tcPr>
          <w:p w14:paraId="063D9387" w14:textId="65E7ACDB" w:rsidR="00487011" w:rsidRPr="007B5C86" w:rsidRDefault="00487011" w:rsidP="007B5C86">
            <w:pPr>
              <w:rPr>
                <w:rFonts w:ascii="Arial" w:hAnsi="Arial" w:cs="Arial"/>
                <w:lang w:val="es-ES_tradnl"/>
              </w:rPr>
            </w:pPr>
            <w:r w:rsidRPr="007B5C86">
              <w:rPr>
                <w:rFonts w:ascii="Arial" w:hAnsi="Arial" w:cs="Arial"/>
                <w:lang w:val="es-ES_tradnl"/>
              </w:rPr>
              <w:t>Marco de Gesti</w:t>
            </w:r>
            <w:r w:rsidR="00BF6CEB">
              <w:rPr>
                <w:rFonts w:ascii="Arial" w:hAnsi="Arial" w:cs="Arial"/>
                <w:lang w:val="es-ES_tradnl"/>
              </w:rPr>
              <w:t>ó</w:t>
            </w:r>
            <w:r w:rsidRPr="007B5C86">
              <w:rPr>
                <w:rFonts w:ascii="Arial" w:hAnsi="Arial" w:cs="Arial"/>
                <w:lang w:val="es-ES_tradnl"/>
              </w:rPr>
              <w:t>n A</w:t>
            </w:r>
            <w:r w:rsidR="00BF6CEB">
              <w:rPr>
                <w:rFonts w:ascii="Arial" w:hAnsi="Arial" w:cs="Arial"/>
                <w:lang w:val="es-ES_tradnl"/>
              </w:rPr>
              <w:t>mbiental y Social</w:t>
            </w:r>
          </w:p>
          <w:p w14:paraId="70BA85C0" w14:textId="77777777" w:rsidR="00487011" w:rsidRPr="007B5C86" w:rsidRDefault="00487011" w:rsidP="005A6ED4">
            <w:pPr>
              <w:pStyle w:val="ListParagraph"/>
              <w:tabs>
                <w:tab w:val="left" w:pos="0"/>
              </w:tabs>
              <w:spacing w:after="40"/>
              <w:ind w:left="0"/>
              <w:rPr>
                <w:rFonts w:ascii="Arial" w:eastAsia="Times New Roman" w:hAnsi="Arial" w:cs="Arial"/>
                <w:sz w:val="22"/>
                <w:szCs w:val="22"/>
                <w:lang w:val="es-ES"/>
              </w:rPr>
            </w:pPr>
          </w:p>
        </w:tc>
      </w:tr>
    </w:tbl>
    <w:p w14:paraId="246FF5A6" w14:textId="77777777" w:rsidR="00230812" w:rsidRPr="00B751FD" w:rsidRDefault="00230812" w:rsidP="001E66D5">
      <w:pPr>
        <w:pStyle w:val="Chapter"/>
        <w:tabs>
          <w:tab w:val="clear" w:pos="1440"/>
          <w:tab w:val="clear" w:pos="1800"/>
          <w:tab w:val="left" w:pos="270"/>
        </w:tabs>
        <w:ind w:left="0"/>
        <w:rPr>
          <w:rFonts w:ascii="Arial" w:hAnsi="Arial" w:cs="Arial"/>
          <w:sz w:val="22"/>
          <w:szCs w:val="22"/>
        </w:rPr>
      </w:pPr>
      <w:bookmarkStart w:id="8" w:name="_Toc197782548"/>
      <w:bookmarkStart w:id="9" w:name="_Toc198025787"/>
      <w:bookmarkStart w:id="10" w:name="_Toc205191254"/>
      <w:bookmarkStart w:id="11" w:name="_Toc207082499"/>
      <w:bookmarkStart w:id="12" w:name="_Toc240434720"/>
      <w:r w:rsidRPr="00B751FD">
        <w:rPr>
          <w:rFonts w:ascii="Arial" w:hAnsi="Arial" w:cs="Arial"/>
          <w:sz w:val="22"/>
          <w:szCs w:val="22"/>
        </w:rPr>
        <w:t xml:space="preserve">Objetivo </w:t>
      </w:r>
      <w:r w:rsidR="0011621E" w:rsidRPr="00B751FD">
        <w:rPr>
          <w:rFonts w:ascii="Arial" w:hAnsi="Arial" w:cs="Arial"/>
          <w:sz w:val="22"/>
          <w:szCs w:val="22"/>
        </w:rPr>
        <w:t xml:space="preserve">y costos </w:t>
      </w:r>
      <w:r w:rsidRPr="00B751FD">
        <w:rPr>
          <w:rFonts w:ascii="Arial" w:hAnsi="Arial" w:cs="Arial"/>
          <w:sz w:val="22"/>
          <w:szCs w:val="22"/>
        </w:rPr>
        <w:t xml:space="preserve">del </w:t>
      </w:r>
      <w:bookmarkEnd w:id="8"/>
      <w:bookmarkEnd w:id="9"/>
      <w:bookmarkEnd w:id="10"/>
      <w:bookmarkEnd w:id="11"/>
      <w:bookmarkEnd w:id="12"/>
      <w:r w:rsidR="00A56887" w:rsidRPr="00B751FD">
        <w:rPr>
          <w:rFonts w:ascii="Arial" w:hAnsi="Arial" w:cs="Arial"/>
          <w:sz w:val="22"/>
          <w:szCs w:val="22"/>
        </w:rPr>
        <w:t>Programa</w:t>
      </w:r>
    </w:p>
    <w:p w14:paraId="762F9740" w14:textId="77777777" w:rsidR="00A92192" w:rsidRPr="00B751FD" w:rsidRDefault="00A92192" w:rsidP="00A92192">
      <w:pPr>
        <w:pStyle w:val="Paragraph"/>
        <w:numPr>
          <w:ilvl w:val="0"/>
          <w:numId w:val="0"/>
        </w:numPr>
        <w:ind w:left="810"/>
        <w:rPr>
          <w:rFonts w:ascii="Arial" w:hAnsi="Arial" w:cs="Arial"/>
          <w:sz w:val="22"/>
          <w:szCs w:val="22"/>
        </w:rPr>
      </w:pPr>
      <w:bookmarkStart w:id="13" w:name="_Toc240434721"/>
    </w:p>
    <w:bookmarkEnd w:id="13"/>
    <w:p w14:paraId="384D0437" w14:textId="3541A7E8" w:rsidR="00BE7C24" w:rsidRPr="00B751FD" w:rsidRDefault="00BE7C24" w:rsidP="00A82519">
      <w:pPr>
        <w:pStyle w:val="Paragraph"/>
        <w:numPr>
          <w:ilvl w:val="1"/>
          <w:numId w:val="19"/>
        </w:numPr>
        <w:suppressAutoHyphens/>
        <w:autoSpaceDN w:val="0"/>
        <w:ind w:left="720" w:hanging="720"/>
        <w:textAlignment w:val="baseline"/>
        <w:outlineLvl w:val="9"/>
        <w:rPr>
          <w:rFonts w:ascii="Arial" w:hAnsi="Arial" w:cs="Arial"/>
          <w:sz w:val="22"/>
          <w:szCs w:val="22"/>
        </w:rPr>
      </w:pPr>
      <w:r w:rsidRPr="00B751FD">
        <w:rPr>
          <w:rFonts w:ascii="Arial" w:hAnsi="Arial" w:cs="Arial"/>
          <w:sz w:val="22"/>
          <w:szCs w:val="22"/>
        </w:rPr>
        <w:t xml:space="preserve">El objetivo general de esta operación es promover la inversión en infraestructuras y la inversión productiva de empresas, mediante la provisión de financiamiento de mediano y largo plazo a través del BROU. El financiamiento está dirigido a financiar inversión en capital productivo de sectores estratégicos, como el sector agroforestal, e inversión en infraestructuras productivas a través de esquemas de financiación privada: concesiones o </w:t>
      </w:r>
      <w:r w:rsidR="004F5C4C">
        <w:rPr>
          <w:rFonts w:ascii="Arial" w:hAnsi="Arial" w:cs="Arial"/>
          <w:sz w:val="22"/>
          <w:szCs w:val="22"/>
        </w:rPr>
        <w:t>P</w:t>
      </w:r>
      <w:r w:rsidRPr="00B751FD">
        <w:rPr>
          <w:rFonts w:ascii="Arial" w:hAnsi="Arial" w:cs="Arial"/>
          <w:sz w:val="22"/>
          <w:szCs w:val="22"/>
        </w:rPr>
        <w:t>PP.</w:t>
      </w:r>
    </w:p>
    <w:p w14:paraId="2F781D54" w14:textId="77777777" w:rsidR="00BE7C24" w:rsidRPr="00B751FD" w:rsidRDefault="00BE7C24" w:rsidP="00BE7C24">
      <w:pPr>
        <w:pStyle w:val="Paragraph"/>
        <w:ind w:left="810" w:hanging="810"/>
        <w:rPr>
          <w:rFonts w:ascii="Arial" w:hAnsi="Arial" w:cs="Arial"/>
          <w:sz w:val="22"/>
          <w:szCs w:val="22"/>
        </w:rPr>
      </w:pPr>
      <w:r w:rsidRPr="00B751FD">
        <w:rPr>
          <w:rFonts w:ascii="Arial" w:hAnsi="Arial" w:cs="Arial"/>
          <w:sz w:val="22"/>
          <w:szCs w:val="22"/>
        </w:rPr>
        <w:t xml:space="preserve">Los objetivos específicos son: (i) facilitar inversiones de crédito productivo para empresas agroforestales; y (ii) posibilitar inversiones de infraestructura productiva privada o público-privada. </w:t>
      </w:r>
    </w:p>
    <w:p w14:paraId="6253AC5F" w14:textId="62FF602F" w:rsidR="0052763E" w:rsidRPr="00B751FD" w:rsidRDefault="004108B3" w:rsidP="00BE7C24">
      <w:pPr>
        <w:pStyle w:val="Paragraph"/>
        <w:ind w:left="810" w:hanging="810"/>
        <w:rPr>
          <w:rFonts w:ascii="Arial" w:hAnsi="Arial" w:cs="Arial"/>
          <w:sz w:val="22"/>
          <w:szCs w:val="22"/>
        </w:rPr>
      </w:pPr>
      <w:r w:rsidRPr="00B751FD">
        <w:rPr>
          <w:rFonts w:ascii="Arial" w:hAnsi="Arial" w:cs="Arial"/>
          <w:sz w:val="22"/>
          <w:szCs w:val="22"/>
        </w:rPr>
        <w:t xml:space="preserve">Podrán ser receptores de financiamiento del </w:t>
      </w:r>
      <w:r w:rsidR="0046692F" w:rsidRPr="00B751FD">
        <w:rPr>
          <w:rFonts w:ascii="Arial" w:hAnsi="Arial" w:cs="Arial"/>
          <w:sz w:val="22"/>
          <w:szCs w:val="22"/>
        </w:rPr>
        <w:t>programa</w:t>
      </w:r>
      <w:r w:rsidR="00897AC2" w:rsidRPr="00B751FD">
        <w:rPr>
          <w:rFonts w:ascii="Arial" w:hAnsi="Arial" w:cs="Arial"/>
          <w:sz w:val="22"/>
          <w:szCs w:val="22"/>
        </w:rPr>
        <w:t xml:space="preserve"> </w:t>
      </w:r>
      <w:r w:rsidR="00D765EE" w:rsidRPr="00B751FD">
        <w:rPr>
          <w:rFonts w:ascii="Arial" w:hAnsi="Arial" w:cs="Arial"/>
          <w:sz w:val="22"/>
          <w:szCs w:val="22"/>
        </w:rPr>
        <w:t xml:space="preserve">los </w:t>
      </w:r>
      <w:r w:rsidR="0075055A" w:rsidRPr="00B751FD">
        <w:rPr>
          <w:rFonts w:ascii="Arial" w:hAnsi="Arial" w:cs="Arial"/>
          <w:sz w:val="22"/>
          <w:szCs w:val="22"/>
        </w:rPr>
        <w:t>Subprestatarios</w:t>
      </w:r>
      <w:r w:rsidR="00D765EE" w:rsidRPr="00B751FD">
        <w:rPr>
          <w:rFonts w:ascii="Arial" w:hAnsi="Arial" w:cs="Arial"/>
          <w:sz w:val="22"/>
          <w:szCs w:val="22"/>
        </w:rPr>
        <w:t xml:space="preserve"> Elegibles</w:t>
      </w:r>
      <w:r w:rsidR="00E94300" w:rsidRPr="00B751FD">
        <w:rPr>
          <w:rFonts w:ascii="Arial" w:hAnsi="Arial" w:cs="Arial"/>
          <w:sz w:val="22"/>
          <w:szCs w:val="22"/>
        </w:rPr>
        <w:t>:</w:t>
      </w:r>
      <w:r w:rsidR="00E41EF7" w:rsidRPr="00B751FD">
        <w:rPr>
          <w:rFonts w:ascii="Arial" w:hAnsi="Arial" w:cs="Arial"/>
          <w:sz w:val="22"/>
          <w:szCs w:val="22"/>
        </w:rPr>
        <w:t xml:space="preserve"> las Empresas </w:t>
      </w:r>
      <w:r w:rsidR="00BE7C24" w:rsidRPr="00B751FD">
        <w:rPr>
          <w:rFonts w:ascii="Arial" w:hAnsi="Arial" w:cs="Arial"/>
          <w:sz w:val="22"/>
          <w:szCs w:val="22"/>
        </w:rPr>
        <w:t>agroforestales</w:t>
      </w:r>
      <w:r w:rsidR="00D765EE" w:rsidRPr="00B751FD">
        <w:rPr>
          <w:rFonts w:ascii="Arial" w:hAnsi="Arial" w:cs="Arial"/>
          <w:sz w:val="22"/>
          <w:szCs w:val="22"/>
        </w:rPr>
        <w:t xml:space="preserve"> acreditad</w:t>
      </w:r>
      <w:r w:rsidR="00E41EF7" w:rsidRPr="00B751FD">
        <w:rPr>
          <w:rFonts w:ascii="Arial" w:hAnsi="Arial" w:cs="Arial"/>
          <w:sz w:val="22"/>
          <w:szCs w:val="22"/>
        </w:rPr>
        <w:t>a</w:t>
      </w:r>
      <w:r w:rsidR="00D765EE" w:rsidRPr="00B751FD">
        <w:rPr>
          <w:rFonts w:ascii="Arial" w:hAnsi="Arial" w:cs="Arial"/>
          <w:sz w:val="22"/>
          <w:szCs w:val="22"/>
        </w:rPr>
        <w:t xml:space="preserve">s de </w:t>
      </w:r>
      <w:r w:rsidR="00AD298A" w:rsidRPr="00B751FD">
        <w:rPr>
          <w:rFonts w:ascii="Arial" w:hAnsi="Arial" w:cs="Arial"/>
          <w:sz w:val="22"/>
          <w:szCs w:val="22"/>
        </w:rPr>
        <w:t>BROU</w:t>
      </w:r>
      <w:r w:rsidR="00D765EE" w:rsidRPr="00B751FD">
        <w:rPr>
          <w:rFonts w:ascii="Arial" w:hAnsi="Arial" w:cs="Arial"/>
          <w:sz w:val="22"/>
          <w:szCs w:val="22"/>
        </w:rPr>
        <w:t xml:space="preserve"> que soliciten financiami</w:t>
      </w:r>
      <w:r w:rsidR="00E41EF7" w:rsidRPr="00B751FD">
        <w:rPr>
          <w:rFonts w:ascii="Arial" w:hAnsi="Arial" w:cs="Arial"/>
          <w:sz w:val="22"/>
          <w:szCs w:val="22"/>
        </w:rPr>
        <w:t>ento para una Operación Elegibl</w:t>
      </w:r>
      <w:r w:rsidR="00E94300" w:rsidRPr="00B751FD">
        <w:rPr>
          <w:rFonts w:ascii="Arial" w:hAnsi="Arial" w:cs="Arial"/>
          <w:sz w:val="22"/>
          <w:szCs w:val="22"/>
        </w:rPr>
        <w:t xml:space="preserve">e y </w:t>
      </w:r>
      <w:r w:rsidR="009B496C" w:rsidRPr="00B751FD">
        <w:rPr>
          <w:rFonts w:ascii="Arial" w:hAnsi="Arial" w:cs="Arial"/>
          <w:sz w:val="22"/>
          <w:szCs w:val="22"/>
        </w:rPr>
        <w:t>cumpla</w:t>
      </w:r>
      <w:r w:rsidR="00E41EF7" w:rsidRPr="00B751FD">
        <w:rPr>
          <w:rFonts w:ascii="Arial" w:hAnsi="Arial" w:cs="Arial"/>
          <w:sz w:val="22"/>
          <w:szCs w:val="22"/>
        </w:rPr>
        <w:t>n</w:t>
      </w:r>
      <w:r w:rsidRPr="00B751FD">
        <w:rPr>
          <w:rFonts w:ascii="Arial" w:hAnsi="Arial" w:cs="Arial"/>
          <w:sz w:val="22"/>
          <w:szCs w:val="22"/>
        </w:rPr>
        <w:t xml:space="preserve"> con los criterios de elegibilidad establ</w:t>
      </w:r>
      <w:r w:rsidR="00361B90" w:rsidRPr="00B751FD">
        <w:rPr>
          <w:rFonts w:ascii="Arial" w:hAnsi="Arial" w:cs="Arial"/>
          <w:sz w:val="22"/>
          <w:szCs w:val="22"/>
        </w:rPr>
        <w:t xml:space="preserve">ecidos en </w:t>
      </w:r>
      <w:r w:rsidR="00071AE6" w:rsidRPr="00B751FD">
        <w:rPr>
          <w:rFonts w:ascii="Arial" w:hAnsi="Arial" w:cs="Arial"/>
          <w:sz w:val="22"/>
          <w:szCs w:val="22"/>
        </w:rPr>
        <w:t>e</w:t>
      </w:r>
      <w:r w:rsidR="00361B90" w:rsidRPr="00B751FD">
        <w:rPr>
          <w:rFonts w:ascii="Arial" w:hAnsi="Arial" w:cs="Arial"/>
          <w:sz w:val="22"/>
          <w:szCs w:val="22"/>
        </w:rPr>
        <w:t>l</w:t>
      </w:r>
      <w:r w:rsidR="00071AE6" w:rsidRPr="00B751FD">
        <w:rPr>
          <w:rFonts w:ascii="Arial" w:hAnsi="Arial" w:cs="Arial"/>
          <w:sz w:val="22"/>
          <w:szCs w:val="22"/>
        </w:rPr>
        <w:t xml:space="preserve"> Sistema Normativo de Crédito de </w:t>
      </w:r>
      <w:r w:rsidR="00AD298A" w:rsidRPr="00B751FD">
        <w:rPr>
          <w:rFonts w:ascii="Arial" w:hAnsi="Arial" w:cs="Arial"/>
          <w:sz w:val="22"/>
          <w:szCs w:val="22"/>
        </w:rPr>
        <w:t>BROU</w:t>
      </w:r>
      <w:r w:rsidR="00EF5927" w:rsidRPr="00B751FD">
        <w:rPr>
          <w:rFonts w:ascii="Arial" w:hAnsi="Arial" w:cs="Arial"/>
          <w:sz w:val="22"/>
          <w:szCs w:val="22"/>
        </w:rPr>
        <w:t xml:space="preserve"> definido en el capítulo II de este ROP</w:t>
      </w:r>
      <w:r w:rsidR="009224A6" w:rsidRPr="00B751FD">
        <w:rPr>
          <w:rFonts w:ascii="Arial" w:hAnsi="Arial" w:cs="Arial"/>
          <w:sz w:val="22"/>
          <w:szCs w:val="22"/>
        </w:rPr>
        <w:t xml:space="preserve">. </w:t>
      </w:r>
      <w:r w:rsidR="003B125C" w:rsidRPr="00B751FD">
        <w:rPr>
          <w:rFonts w:ascii="Arial" w:hAnsi="Arial" w:cs="Arial"/>
          <w:sz w:val="22"/>
          <w:szCs w:val="22"/>
        </w:rPr>
        <w:t xml:space="preserve">Las Áreas Corporativas del </w:t>
      </w:r>
      <w:r w:rsidR="00AD298A" w:rsidRPr="00B751FD">
        <w:rPr>
          <w:rFonts w:ascii="Arial" w:hAnsi="Arial" w:cs="Arial"/>
          <w:sz w:val="22"/>
          <w:szCs w:val="22"/>
        </w:rPr>
        <w:t>BROU</w:t>
      </w:r>
      <w:r w:rsidR="000D1321" w:rsidRPr="00B751FD">
        <w:rPr>
          <w:rFonts w:ascii="Arial" w:hAnsi="Arial" w:cs="Arial"/>
          <w:sz w:val="22"/>
          <w:szCs w:val="22"/>
        </w:rPr>
        <w:t xml:space="preserve"> verificará</w:t>
      </w:r>
      <w:r w:rsidR="003B125C" w:rsidRPr="00B751FD">
        <w:rPr>
          <w:rFonts w:ascii="Arial" w:hAnsi="Arial" w:cs="Arial"/>
          <w:sz w:val="22"/>
          <w:szCs w:val="22"/>
        </w:rPr>
        <w:t>n</w:t>
      </w:r>
      <w:r w:rsidR="000D1321" w:rsidRPr="00B751FD">
        <w:rPr>
          <w:rFonts w:ascii="Arial" w:hAnsi="Arial" w:cs="Arial"/>
          <w:sz w:val="22"/>
          <w:szCs w:val="22"/>
        </w:rPr>
        <w:t xml:space="preserve"> </w:t>
      </w:r>
      <w:r w:rsidR="0052763E" w:rsidRPr="00B751FD">
        <w:rPr>
          <w:rFonts w:ascii="Arial" w:hAnsi="Arial" w:cs="Arial"/>
          <w:sz w:val="22"/>
          <w:szCs w:val="22"/>
        </w:rPr>
        <w:t xml:space="preserve">la elegibilidad del </w:t>
      </w:r>
      <w:r w:rsidR="00CF0EB1" w:rsidRPr="00B751FD">
        <w:rPr>
          <w:rFonts w:ascii="Arial" w:hAnsi="Arial" w:cs="Arial"/>
          <w:sz w:val="22"/>
          <w:szCs w:val="22"/>
        </w:rPr>
        <w:t>Sub Prestatario Elegible</w:t>
      </w:r>
      <w:r w:rsidR="0052763E" w:rsidRPr="00B751FD">
        <w:rPr>
          <w:rFonts w:ascii="Arial" w:hAnsi="Arial" w:cs="Arial"/>
          <w:sz w:val="22"/>
          <w:szCs w:val="22"/>
        </w:rPr>
        <w:t xml:space="preserve"> para recibir financiamiento del </w:t>
      </w:r>
      <w:r w:rsidR="0046692F" w:rsidRPr="00B751FD">
        <w:rPr>
          <w:rFonts w:ascii="Arial" w:hAnsi="Arial" w:cs="Arial"/>
          <w:sz w:val="22"/>
          <w:szCs w:val="22"/>
        </w:rPr>
        <w:t>programa</w:t>
      </w:r>
      <w:r w:rsidR="0052763E" w:rsidRPr="00B751FD">
        <w:rPr>
          <w:rFonts w:ascii="Arial" w:hAnsi="Arial" w:cs="Arial"/>
          <w:sz w:val="22"/>
          <w:szCs w:val="22"/>
        </w:rPr>
        <w:t xml:space="preserve">, así como </w:t>
      </w:r>
      <w:r w:rsidR="00C457E8" w:rsidRPr="00B751FD">
        <w:rPr>
          <w:rFonts w:ascii="Arial" w:hAnsi="Arial" w:cs="Arial"/>
          <w:sz w:val="22"/>
          <w:szCs w:val="22"/>
        </w:rPr>
        <w:t xml:space="preserve">el </w:t>
      </w:r>
      <w:r w:rsidR="0052763E" w:rsidRPr="00B751FD">
        <w:rPr>
          <w:rFonts w:ascii="Arial" w:hAnsi="Arial" w:cs="Arial"/>
          <w:sz w:val="22"/>
          <w:szCs w:val="22"/>
        </w:rPr>
        <w:t>uso y destino del crédito final</w:t>
      </w:r>
      <w:r w:rsidR="00C457E8" w:rsidRPr="00B751FD">
        <w:rPr>
          <w:rFonts w:ascii="Arial" w:hAnsi="Arial" w:cs="Arial"/>
          <w:sz w:val="22"/>
          <w:szCs w:val="22"/>
        </w:rPr>
        <w:t xml:space="preserve">. </w:t>
      </w:r>
      <w:r w:rsidR="00AD298A" w:rsidRPr="00B751FD">
        <w:rPr>
          <w:rFonts w:ascii="Arial" w:hAnsi="Arial" w:cs="Arial"/>
          <w:sz w:val="22"/>
          <w:szCs w:val="22"/>
        </w:rPr>
        <w:t>BROU</w:t>
      </w:r>
      <w:r w:rsidR="00C457E8" w:rsidRPr="00B751FD">
        <w:rPr>
          <w:rFonts w:ascii="Arial" w:hAnsi="Arial" w:cs="Arial"/>
          <w:sz w:val="22"/>
          <w:szCs w:val="22"/>
        </w:rPr>
        <w:t xml:space="preserve"> </w:t>
      </w:r>
      <w:r w:rsidR="0052763E" w:rsidRPr="00B751FD">
        <w:rPr>
          <w:rFonts w:ascii="Arial" w:hAnsi="Arial" w:cs="Arial"/>
          <w:sz w:val="22"/>
          <w:szCs w:val="22"/>
        </w:rPr>
        <w:t>vigilar</w:t>
      </w:r>
      <w:r w:rsidR="00C457E8" w:rsidRPr="00B751FD">
        <w:rPr>
          <w:rFonts w:ascii="Arial" w:hAnsi="Arial" w:cs="Arial"/>
          <w:sz w:val="22"/>
          <w:szCs w:val="22"/>
        </w:rPr>
        <w:t>á</w:t>
      </w:r>
      <w:r w:rsidR="0052763E" w:rsidRPr="00B751FD">
        <w:rPr>
          <w:rFonts w:ascii="Arial" w:hAnsi="Arial" w:cs="Arial"/>
          <w:sz w:val="22"/>
          <w:szCs w:val="22"/>
        </w:rPr>
        <w:t xml:space="preserve"> </w:t>
      </w:r>
      <w:r w:rsidR="00D7201A" w:rsidRPr="00B751FD">
        <w:rPr>
          <w:rFonts w:ascii="Arial" w:hAnsi="Arial" w:cs="Arial"/>
          <w:sz w:val="22"/>
          <w:szCs w:val="22"/>
        </w:rPr>
        <w:t>que se dé</w:t>
      </w:r>
      <w:r w:rsidR="0052763E" w:rsidRPr="00B751FD">
        <w:rPr>
          <w:rFonts w:ascii="Arial" w:hAnsi="Arial" w:cs="Arial"/>
          <w:sz w:val="22"/>
          <w:szCs w:val="22"/>
        </w:rPr>
        <w:t xml:space="preserve"> cumplimiento </w:t>
      </w:r>
      <w:r w:rsidR="00317B62" w:rsidRPr="00B751FD">
        <w:rPr>
          <w:rFonts w:ascii="Arial" w:hAnsi="Arial" w:cs="Arial"/>
          <w:sz w:val="22"/>
          <w:szCs w:val="22"/>
        </w:rPr>
        <w:t>a</w:t>
      </w:r>
      <w:r w:rsidR="009B496C" w:rsidRPr="00B751FD">
        <w:rPr>
          <w:rFonts w:ascii="Arial" w:hAnsi="Arial" w:cs="Arial"/>
          <w:sz w:val="22"/>
          <w:szCs w:val="22"/>
        </w:rPr>
        <w:t xml:space="preserve"> </w:t>
      </w:r>
      <w:r w:rsidR="0052763E" w:rsidRPr="00B751FD">
        <w:rPr>
          <w:rFonts w:ascii="Arial" w:hAnsi="Arial" w:cs="Arial"/>
          <w:sz w:val="22"/>
          <w:szCs w:val="22"/>
        </w:rPr>
        <w:t xml:space="preserve">los requisitos establecidos en el Contrato de Préstamo, en el </w:t>
      </w:r>
      <w:r w:rsidR="009B496C" w:rsidRPr="00B751FD">
        <w:rPr>
          <w:rFonts w:ascii="Arial" w:hAnsi="Arial" w:cs="Arial"/>
          <w:sz w:val="22"/>
          <w:szCs w:val="22"/>
        </w:rPr>
        <w:t xml:space="preserve">presente </w:t>
      </w:r>
      <w:r w:rsidR="0052763E" w:rsidRPr="00B751FD">
        <w:rPr>
          <w:rFonts w:ascii="Arial" w:hAnsi="Arial" w:cs="Arial"/>
          <w:sz w:val="22"/>
          <w:szCs w:val="22"/>
        </w:rPr>
        <w:t>Reglamento Operativo y en las disposiciones legales correspondientes.</w:t>
      </w:r>
    </w:p>
    <w:p w14:paraId="3F089A12" w14:textId="525D3865" w:rsidR="0041730E" w:rsidRPr="00B751FD" w:rsidRDefault="0041730E" w:rsidP="009D35EC">
      <w:pPr>
        <w:pStyle w:val="Paragraph"/>
        <w:ind w:left="810" w:hanging="810"/>
        <w:rPr>
          <w:rFonts w:ascii="Arial" w:hAnsi="Arial" w:cs="Arial"/>
          <w:sz w:val="22"/>
          <w:szCs w:val="22"/>
        </w:rPr>
      </w:pPr>
      <w:r w:rsidRPr="00B751FD">
        <w:rPr>
          <w:rFonts w:ascii="Arial" w:hAnsi="Arial" w:cs="Arial"/>
          <w:sz w:val="22"/>
          <w:szCs w:val="22"/>
        </w:rPr>
        <w:t xml:space="preserve">El costo del </w:t>
      </w:r>
      <w:r w:rsidR="0046692F" w:rsidRPr="00B751FD">
        <w:rPr>
          <w:rFonts w:ascii="Arial" w:hAnsi="Arial" w:cs="Arial"/>
          <w:sz w:val="22"/>
          <w:szCs w:val="22"/>
        </w:rPr>
        <w:t>programa</w:t>
      </w:r>
      <w:r w:rsidRPr="00B751FD">
        <w:rPr>
          <w:rFonts w:ascii="Arial" w:hAnsi="Arial" w:cs="Arial"/>
          <w:sz w:val="22"/>
          <w:szCs w:val="22"/>
        </w:rPr>
        <w:t xml:space="preserve"> se estima en </w:t>
      </w:r>
      <w:r w:rsidR="00BE7C24" w:rsidRPr="00B751FD">
        <w:rPr>
          <w:rFonts w:ascii="Arial" w:hAnsi="Arial" w:cs="Arial"/>
          <w:sz w:val="22"/>
          <w:szCs w:val="22"/>
        </w:rPr>
        <w:t xml:space="preserve">50 </w:t>
      </w:r>
      <w:r w:rsidRPr="00B751FD">
        <w:rPr>
          <w:rFonts w:ascii="Arial" w:hAnsi="Arial" w:cs="Arial"/>
          <w:sz w:val="22"/>
          <w:szCs w:val="22"/>
        </w:rPr>
        <w:t>millones de dólares, conforme a l</w:t>
      </w:r>
      <w:r w:rsidR="00676C8B" w:rsidRPr="00B751FD">
        <w:rPr>
          <w:rFonts w:ascii="Arial" w:hAnsi="Arial" w:cs="Arial"/>
          <w:sz w:val="22"/>
          <w:szCs w:val="22"/>
        </w:rPr>
        <w:t xml:space="preserve">os </w:t>
      </w:r>
      <w:r w:rsidRPr="00B751FD">
        <w:rPr>
          <w:rFonts w:ascii="Arial" w:hAnsi="Arial" w:cs="Arial"/>
          <w:sz w:val="22"/>
          <w:szCs w:val="22"/>
        </w:rPr>
        <w:t>siguiente</w:t>
      </w:r>
      <w:r w:rsidR="00676C8B" w:rsidRPr="00B751FD">
        <w:rPr>
          <w:rFonts w:ascii="Arial" w:hAnsi="Arial" w:cs="Arial"/>
          <w:sz w:val="22"/>
          <w:szCs w:val="22"/>
        </w:rPr>
        <w:t>s componentes y fuentes de financiamiento</w:t>
      </w:r>
      <w:r w:rsidRPr="00B751FD">
        <w:rPr>
          <w:rFonts w:ascii="Arial" w:hAnsi="Arial" w:cs="Arial"/>
          <w:sz w:val="22"/>
          <w:szCs w:val="22"/>
        </w:rPr>
        <w:t>:</w:t>
      </w:r>
    </w:p>
    <w:p w14:paraId="480B6B0C" w14:textId="77777777" w:rsidR="005E07B7" w:rsidRPr="00B751FD" w:rsidRDefault="005E07B7" w:rsidP="005E07B7">
      <w:pPr>
        <w:pStyle w:val="Paragraph"/>
        <w:numPr>
          <w:ilvl w:val="0"/>
          <w:numId w:val="0"/>
        </w:numPr>
        <w:ind w:left="720"/>
        <w:rPr>
          <w:rFonts w:ascii="Arial" w:hAnsi="Arial" w:cs="Arial"/>
          <w:sz w:val="22"/>
          <w:szCs w:val="22"/>
        </w:rPr>
      </w:pPr>
    </w:p>
    <w:tbl>
      <w:tblPr>
        <w:tblW w:w="8095" w:type="dxa"/>
        <w:jc w:val="right"/>
        <w:tblCellMar>
          <w:left w:w="10" w:type="dxa"/>
          <w:right w:w="10" w:type="dxa"/>
        </w:tblCellMar>
        <w:tblLook w:val="0000" w:firstRow="0" w:lastRow="0" w:firstColumn="0" w:lastColumn="0" w:noHBand="0" w:noVBand="0"/>
      </w:tblPr>
      <w:tblGrid>
        <w:gridCol w:w="3775"/>
        <w:gridCol w:w="1440"/>
        <w:gridCol w:w="1440"/>
        <w:gridCol w:w="1440"/>
      </w:tblGrid>
      <w:tr w:rsidR="00BE7C24" w:rsidRPr="00B751FD" w14:paraId="5578C664" w14:textId="77777777" w:rsidTr="005A6ED4">
        <w:trPr>
          <w:jc w:val="right"/>
        </w:trPr>
        <w:tc>
          <w:tcPr>
            <w:tcW w:w="377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FFC3F41" w14:textId="77777777" w:rsidR="00BE7C24" w:rsidRPr="00B751FD" w:rsidRDefault="00BE7C24" w:rsidP="004F5C4C">
            <w:pPr>
              <w:pStyle w:val="SubSubPar"/>
              <w:numPr>
                <w:ilvl w:val="0"/>
                <w:numId w:val="0"/>
              </w:numPr>
              <w:jc w:val="center"/>
              <w:rPr>
                <w:rFonts w:ascii="Arial" w:hAnsi="Arial" w:cs="Arial"/>
                <w:b/>
                <w:sz w:val="22"/>
                <w:szCs w:val="22"/>
              </w:rPr>
            </w:pPr>
            <w:r w:rsidRPr="00B751FD">
              <w:rPr>
                <w:rFonts w:ascii="Arial" w:hAnsi="Arial" w:cs="Arial"/>
                <w:b/>
                <w:sz w:val="22"/>
                <w:szCs w:val="22"/>
              </w:rPr>
              <w:t>Categorías de Inversión</w:t>
            </w:r>
          </w:p>
        </w:tc>
        <w:tc>
          <w:tcPr>
            <w:tcW w:w="1440"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B1388B0" w14:textId="77777777" w:rsidR="00BE7C24" w:rsidRPr="00B751FD" w:rsidRDefault="00BE7C24" w:rsidP="004F5C4C">
            <w:pPr>
              <w:pStyle w:val="SubSubPar"/>
              <w:numPr>
                <w:ilvl w:val="0"/>
                <w:numId w:val="0"/>
              </w:numPr>
              <w:jc w:val="center"/>
              <w:rPr>
                <w:rFonts w:ascii="Arial" w:hAnsi="Arial" w:cs="Arial"/>
                <w:b/>
                <w:sz w:val="22"/>
                <w:szCs w:val="22"/>
              </w:rPr>
            </w:pPr>
            <w:r w:rsidRPr="00B751FD">
              <w:rPr>
                <w:rFonts w:ascii="Arial" w:hAnsi="Arial" w:cs="Arial"/>
                <w:b/>
                <w:sz w:val="22"/>
                <w:szCs w:val="22"/>
              </w:rPr>
              <w:t>BID</w:t>
            </w:r>
          </w:p>
        </w:tc>
        <w:tc>
          <w:tcPr>
            <w:tcW w:w="1440"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76FAD3E" w14:textId="77777777" w:rsidR="00BE7C24" w:rsidRPr="00B751FD" w:rsidRDefault="00BE7C24" w:rsidP="004F5C4C">
            <w:pPr>
              <w:pStyle w:val="SubSubPar"/>
              <w:numPr>
                <w:ilvl w:val="0"/>
                <w:numId w:val="0"/>
              </w:numPr>
              <w:jc w:val="center"/>
              <w:rPr>
                <w:rFonts w:ascii="Arial" w:hAnsi="Arial" w:cs="Arial"/>
                <w:b/>
                <w:sz w:val="22"/>
                <w:szCs w:val="22"/>
              </w:rPr>
            </w:pPr>
            <w:r w:rsidRPr="00B751FD">
              <w:rPr>
                <w:rFonts w:ascii="Arial" w:hAnsi="Arial" w:cs="Arial"/>
                <w:b/>
                <w:sz w:val="22"/>
                <w:szCs w:val="22"/>
              </w:rPr>
              <w:t>TOTAL</w:t>
            </w:r>
          </w:p>
        </w:tc>
        <w:tc>
          <w:tcPr>
            <w:tcW w:w="1440"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255ED2E" w14:textId="77777777" w:rsidR="00BE7C24" w:rsidRPr="00B751FD" w:rsidRDefault="00BE7C24" w:rsidP="004F5C4C">
            <w:pPr>
              <w:pStyle w:val="SubSubPar"/>
              <w:numPr>
                <w:ilvl w:val="0"/>
                <w:numId w:val="0"/>
              </w:numPr>
              <w:jc w:val="center"/>
              <w:rPr>
                <w:rFonts w:ascii="Arial" w:hAnsi="Arial" w:cs="Arial"/>
                <w:b/>
                <w:sz w:val="22"/>
                <w:szCs w:val="22"/>
              </w:rPr>
            </w:pPr>
            <w:r w:rsidRPr="00B751FD">
              <w:rPr>
                <w:rFonts w:ascii="Arial" w:hAnsi="Arial" w:cs="Arial"/>
                <w:b/>
                <w:sz w:val="22"/>
                <w:szCs w:val="22"/>
              </w:rPr>
              <w:t>%</w:t>
            </w:r>
          </w:p>
        </w:tc>
      </w:tr>
      <w:tr w:rsidR="00BE7C24" w:rsidRPr="00B751FD" w14:paraId="47E334F7" w14:textId="77777777" w:rsidTr="005A6ED4">
        <w:trPr>
          <w:jc w:val="right"/>
        </w:trPr>
        <w:tc>
          <w:tcPr>
            <w:tcW w:w="3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FCB83" w14:textId="77777777" w:rsidR="00BE7C24" w:rsidRPr="00B751FD" w:rsidRDefault="00BE7C24" w:rsidP="004F5C4C">
            <w:pPr>
              <w:pStyle w:val="SubSubPar"/>
              <w:numPr>
                <w:ilvl w:val="0"/>
                <w:numId w:val="0"/>
              </w:numPr>
              <w:jc w:val="left"/>
              <w:rPr>
                <w:rFonts w:ascii="Arial" w:hAnsi="Arial" w:cs="Arial"/>
                <w:sz w:val="22"/>
                <w:szCs w:val="22"/>
              </w:rPr>
            </w:pPr>
            <w:r w:rsidRPr="00B751FD">
              <w:rPr>
                <w:rFonts w:ascii="Arial" w:hAnsi="Arial" w:cs="Arial"/>
                <w:b/>
                <w:sz w:val="22"/>
                <w:szCs w:val="22"/>
              </w:rPr>
              <w:t xml:space="preserve">Componente 1. </w:t>
            </w:r>
            <w:r w:rsidRPr="00B751FD">
              <w:rPr>
                <w:rFonts w:ascii="Arial" w:hAnsi="Arial" w:cs="Arial"/>
                <w:sz w:val="22"/>
                <w:szCs w:val="22"/>
              </w:rPr>
              <w:t>Financiamiento para préstamos de inversión productiva agroforestales a través del BROU</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F2A9F"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15,00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2DAEC"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15,00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55C51"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30</w:t>
            </w:r>
          </w:p>
        </w:tc>
      </w:tr>
      <w:tr w:rsidR="00BE7C24" w:rsidRPr="00B751FD" w14:paraId="43DE5627" w14:textId="77777777" w:rsidTr="005A6ED4">
        <w:trPr>
          <w:jc w:val="right"/>
        </w:trPr>
        <w:tc>
          <w:tcPr>
            <w:tcW w:w="3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3C1A4" w14:textId="77777777" w:rsidR="00BE7C24" w:rsidRPr="00B751FD" w:rsidRDefault="00BE7C24" w:rsidP="004F5C4C">
            <w:pPr>
              <w:pStyle w:val="SubSubPar"/>
              <w:numPr>
                <w:ilvl w:val="0"/>
                <w:numId w:val="0"/>
              </w:numPr>
              <w:jc w:val="left"/>
              <w:rPr>
                <w:rFonts w:ascii="Arial" w:hAnsi="Arial" w:cs="Arial"/>
                <w:sz w:val="22"/>
                <w:szCs w:val="22"/>
              </w:rPr>
            </w:pPr>
            <w:r w:rsidRPr="00B751FD">
              <w:rPr>
                <w:rFonts w:ascii="Arial" w:hAnsi="Arial" w:cs="Arial"/>
                <w:b/>
                <w:sz w:val="22"/>
                <w:szCs w:val="22"/>
              </w:rPr>
              <w:t>Componente 2.</w:t>
            </w:r>
            <w:r w:rsidRPr="00B751FD">
              <w:rPr>
                <w:rFonts w:ascii="Arial" w:hAnsi="Arial" w:cs="Arial"/>
                <w:b/>
                <w:spacing w:val="-4"/>
                <w:sz w:val="22"/>
                <w:szCs w:val="22"/>
              </w:rPr>
              <w:t xml:space="preserve"> </w:t>
            </w:r>
            <w:r w:rsidRPr="00B751FD">
              <w:rPr>
                <w:rFonts w:ascii="Arial" w:hAnsi="Arial" w:cs="Arial"/>
                <w:sz w:val="22"/>
                <w:szCs w:val="22"/>
              </w:rPr>
              <w:t>Financiamiento para obras de infraestructura productiva privada o público-privada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8AF95"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35,00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4BC79"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35,00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F4386"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70</w:t>
            </w:r>
          </w:p>
        </w:tc>
      </w:tr>
      <w:tr w:rsidR="00BE7C24" w:rsidRPr="00B751FD" w14:paraId="3B44025D" w14:textId="77777777" w:rsidTr="005A6ED4">
        <w:trPr>
          <w:jc w:val="right"/>
        </w:trPr>
        <w:tc>
          <w:tcPr>
            <w:tcW w:w="3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BF447"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lastRenderedPageBreak/>
              <w:t>Total</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72707"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50,00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10C37"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50,00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E5733"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100</w:t>
            </w:r>
          </w:p>
        </w:tc>
      </w:tr>
      <w:tr w:rsidR="00BE7C24" w:rsidRPr="00B751FD" w14:paraId="074A3CC1" w14:textId="77777777" w:rsidTr="005A6ED4">
        <w:trPr>
          <w:trHeight w:val="467"/>
          <w:jc w:val="right"/>
        </w:trPr>
        <w:tc>
          <w:tcPr>
            <w:tcW w:w="3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1B8486"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7E13F" w14:textId="77777777" w:rsidR="00BE7C24" w:rsidRPr="00B751FD" w:rsidRDefault="00BE7C24" w:rsidP="004F5C4C">
            <w:pPr>
              <w:pStyle w:val="SubSubPar"/>
              <w:numPr>
                <w:ilvl w:val="0"/>
                <w:numId w:val="0"/>
              </w:numPr>
              <w:jc w:val="center"/>
              <w:rPr>
                <w:rFonts w:ascii="Arial" w:hAnsi="Arial" w:cs="Arial"/>
                <w:sz w:val="22"/>
                <w:szCs w:val="22"/>
              </w:rPr>
            </w:pPr>
            <w:r w:rsidRPr="00B751FD">
              <w:rPr>
                <w:rFonts w:ascii="Arial" w:hAnsi="Arial" w:cs="Arial"/>
                <w:sz w:val="22"/>
                <w:szCs w:val="22"/>
              </w:rPr>
              <w:t>100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8FC31" w14:textId="77777777" w:rsidR="00BE7C24" w:rsidRPr="00B751FD" w:rsidRDefault="00BE7C24" w:rsidP="004F5C4C">
            <w:pPr>
              <w:pStyle w:val="SubSubPar"/>
              <w:numPr>
                <w:ilvl w:val="0"/>
                <w:numId w:val="0"/>
              </w:numPr>
              <w:ind w:left="1584"/>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FF9029" w14:textId="77777777" w:rsidR="00BE7C24" w:rsidRPr="00B751FD" w:rsidRDefault="00BE7C24" w:rsidP="004F5C4C">
            <w:pPr>
              <w:pStyle w:val="SubSubPar"/>
              <w:numPr>
                <w:ilvl w:val="0"/>
                <w:numId w:val="0"/>
              </w:numPr>
              <w:ind w:left="1584"/>
              <w:jc w:val="center"/>
              <w:rPr>
                <w:rFonts w:ascii="Arial" w:hAnsi="Arial" w:cs="Arial"/>
                <w:sz w:val="22"/>
                <w:szCs w:val="22"/>
              </w:rPr>
            </w:pPr>
          </w:p>
        </w:tc>
      </w:tr>
    </w:tbl>
    <w:tbl>
      <w:tblPr>
        <w:tblStyle w:val="TableGrid"/>
        <w:tblpPr w:leftFromText="141" w:rightFromText="141" w:vertAnchor="text" w:horzAnchor="margin" w:tblpXSpec="center" w:tblpY="334"/>
        <w:tblW w:w="0" w:type="auto"/>
        <w:tblLook w:val="04A0" w:firstRow="1" w:lastRow="0" w:firstColumn="1" w:lastColumn="0" w:noHBand="0" w:noVBand="1"/>
      </w:tblPr>
      <w:tblGrid>
        <w:gridCol w:w="6345"/>
      </w:tblGrid>
      <w:tr w:rsidR="00C416A1" w:rsidRPr="00B751FD" w14:paraId="3D912DD3" w14:textId="77777777" w:rsidTr="005A6ED4">
        <w:trPr>
          <w:trHeight w:val="259"/>
        </w:trPr>
        <w:tc>
          <w:tcPr>
            <w:tcW w:w="6345" w:type="dxa"/>
          </w:tcPr>
          <w:p w14:paraId="5BFABF7E" w14:textId="0FBFA178" w:rsidR="00C416A1" w:rsidRPr="00B751FD" w:rsidRDefault="00C416A1" w:rsidP="005A6ED4">
            <w:pPr>
              <w:ind w:left="155"/>
              <w:rPr>
                <w:rFonts w:ascii="Arial" w:hAnsi="Arial" w:cs="Arial"/>
                <w:lang w:val="es-ES_tradnl"/>
              </w:rPr>
            </w:pPr>
            <w:r w:rsidRPr="00B751FD">
              <w:rPr>
                <w:rFonts w:ascii="Arial" w:hAnsi="Arial" w:cs="Arial"/>
                <w:lang w:val="es-ES_tradnl"/>
              </w:rPr>
              <w:t>Los recursos de cada componente son un estimado, por lo que debe ser entendido con flexibilidad y se podrán hacer cambios de montos entre los componentes</w:t>
            </w:r>
            <w:r w:rsidR="00DE7BD9" w:rsidRPr="00B751FD">
              <w:rPr>
                <w:rFonts w:ascii="Arial" w:hAnsi="Arial" w:cs="Arial"/>
                <w:lang w:val="es-ES_tradnl"/>
              </w:rPr>
              <w:t>.</w:t>
            </w:r>
          </w:p>
        </w:tc>
      </w:tr>
    </w:tbl>
    <w:p w14:paraId="0597C475" w14:textId="77777777" w:rsidR="00C416A1" w:rsidRPr="00B751FD" w:rsidRDefault="00C416A1" w:rsidP="00442137">
      <w:pPr>
        <w:pStyle w:val="Chapter"/>
        <w:numPr>
          <w:ilvl w:val="0"/>
          <w:numId w:val="0"/>
        </w:numPr>
        <w:ind w:left="709"/>
        <w:jc w:val="both"/>
        <w:rPr>
          <w:rFonts w:ascii="Arial" w:hAnsi="Arial" w:cs="Arial"/>
          <w:b w:val="0"/>
          <w:smallCaps w:val="0"/>
          <w:sz w:val="22"/>
          <w:szCs w:val="22"/>
        </w:rPr>
      </w:pPr>
    </w:p>
    <w:p w14:paraId="2A5876F3" w14:textId="77777777" w:rsidR="00C416A1" w:rsidRPr="00B751FD" w:rsidRDefault="00C416A1" w:rsidP="00051B94">
      <w:pPr>
        <w:rPr>
          <w:rFonts w:ascii="Arial" w:hAnsi="Arial" w:cs="Arial"/>
          <w:sz w:val="22"/>
          <w:szCs w:val="22"/>
          <w:lang w:val="es-ES_tradnl"/>
        </w:rPr>
      </w:pPr>
    </w:p>
    <w:p w14:paraId="1ED815D5" w14:textId="77777777" w:rsidR="00230812" w:rsidRPr="00B751FD" w:rsidRDefault="00230812" w:rsidP="001E66D5">
      <w:pPr>
        <w:pStyle w:val="Chapter"/>
        <w:tabs>
          <w:tab w:val="clear" w:pos="1440"/>
          <w:tab w:val="clear" w:pos="1800"/>
          <w:tab w:val="left" w:pos="270"/>
        </w:tabs>
        <w:ind w:left="0"/>
        <w:rPr>
          <w:rFonts w:ascii="Arial" w:hAnsi="Arial" w:cs="Arial"/>
          <w:sz w:val="22"/>
          <w:szCs w:val="22"/>
        </w:rPr>
      </w:pPr>
      <w:bookmarkStart w:id="14" w:name="_Toc198027183"/>
      <w:bookmarkStart w:id="15" w:name="_Toc197782551"/>
      <w:bookmarkStart w:id="16" w:name="_Toc198025790"/>
      <w:bookmarkStart w:id="17" w:name="_Toc205191257"/>
      <w:bookmarkStart w:id="18" w:name="_Toc207082502"/>
      <w:bookmarkStart w:id="19" w:name="_Toc240434722"/>
      <w:bookmarkEnd w:id="14"/>
      <w:r w:rsidRPr="00B751FD">
        <w:rPr>
          <w:rFonts w:ascii="Arial" w:hAnsi="Arial" w:cs="Arial"/>
          <w:sz w:val="22"/>
          <w:szCs w:val="22"/>
        </w:rPr>
        <w:t>Uso de Recursos</w:t>
      </w:r>
      <w:bookmarkEnd w:id="15"/>
      <w:bookmarkEnd w:id="16"/>
      <w:bookmarkEnd w:id="17"/>
      <w:bookmarkEnd w:id="18"/>
      <w:bookmarkEnd w:id="19"/>
    </w:p>
    <w:p w14:paraId="62CA3FC7" w14:textId="77777777" w:rsidR="00A92192" w:rsidRPr="00B751FD" w:rsidRDefault="00A92192" w:rsidP="00BB5FF9">
      <w:pPr>
        <w:pStyle w:val="Paragraph"/>
        <w:numPr>
          <w:ilvl w:val="0"/>
          <w:numId w:val="0"/>
        </w:numPr>
        <w:ind w:left="720" w:hanging="720"/>
        <w:rPr>
          <w:rFonts w:ascii="Arial" w:hAnsi="Arial" w:cs="Arial"/>
          <w:sz w:val="22"/>
          <w:szCs w:val="22"/>
        </w:rPr>
      </w:pPr>
    </w:p>
    <w:p w14:paraId="03FDA65D" w14:textId="76344DDF" w:rsidR="00DF7683" w:rsidRPr="00B751FD" w:rsidRDefault="00230812" w:rsidP="000914DB">
      <w:pPr>
        <w:pStyle w:val="Paragraph"/>
        <w:ind w:left="851" w:hanging="851"/>
        <w:rPr>
          <w:rFonts w:ascii="Arial" w:hAnsi="Arial" w:cs="Arial"/>
          <w:sz w:val="22"/>
          <w:szCs w:val="22"/>
        </w:rPr>
      </w:pPr>
      <w:r w:rsidRPr="00B751FD">
        <w:rPr>
          <w:rFonts w:ascii="Arial" w:hAnsi="Arial" w:cs="Arial"/>
          <w:sz w:val="22"/>
          <w:szCs w:val="22"/>
        </w:rPr>
        <w:t xml:space="preserve">Los </w:t>
      </w:r>
      <w:r w:rsidR="00BC2E73" w:rsidRPr="00B751FD">
        <w:rPr>
          <w:rFonts w:ascii="Arial" w:hAnsi="Arial" w:cs="Arial"/>
          <w:sz w:val="22"/>
          <w:szCs w:val="22"/>
        </w:rPr>
        <w:t>r</w:t>
      </w:r>
      <w:r w:rsidRPr="00B751FD">
        <w:rPr>
          <w:rFonts w:ascii="Arial" w:hAnsi="Arial" w:cs="Arial"/>
          <w:sz w:val="22"/>
          <w:szCs w:val="22"/>
        </w:rPr>
        <w:t xml:space="preserve">ecursos </w:t>
      </w:r>
      <w:r w:rsidR="00BB5FF9" w:rsidRPr="00B751FD">
        <w:rPr>
          <w:rFonts w:ascii="Arial" w:hAnsi="Arial" w:cs="Arial"/>
          <w:sz w:val="22"/>
          <w:szCs w:val="22"/>
        </w:rPr>
        <w:t xml:space="preserve">del </w:t>
      </w:r>
      <w:r w:rsidR="00BC2E73" w:rsidRPr="00B751FD">
        <w:rPr>
          <w:rFonts w:ascii="Arial" w:hAnsi="Arial" w:cs="Arial"/>
          <w:sz w:val="22"/>
          <w:szCs w:val="22"/>
        </w:rPr>
        <w:t>p</w:t>
      </w:r>
      <w:r w:rsidR="00A56887" w:rsidRPr="00B751FD">
        <w:rPr>
          <w:rFonts w:ascii="Arial" w:hAnsi="Arial" w:cs="Arial"/>
          <w:sz w:val="22"/>
          <w:szCs w:val="22"/>
        </w:rPr>
        <w:t>rograma</w:t>
      </w:r>
      <w:r w:rsidR="00BB5FF9" w:rsidRPr="00B751FD">
        <w:rPr>
          <w:rFonts w:ascii="Arial" w:hAnsi="Arial" w:cs="Arial"/>
          <w:sz w:val="22"/>
          <w:szCs w:val="22"/>
        </w:rPr>
        <w:t xml:space="preserve"> se utilizarán </w:t>
      </w:r>
      <w:r w:rsidR="00D05411" w:rsidRPr="00B751FD">
        <w:rPr>
          <w:rFonts w:ascii="Arial" w:hAnsi="Arial" w:cs="Arial"/>
          <w:sz w:val="22"/>
          <w:szCs w:val="22"/>
        </w:rPr>
        <w:t xml:space="preserve">para fondear </w:t>
      </w:r>
      <w:r w:rsidRPr="00B751FD">
        <w:rPr>
          <w:rFonts w:ascii="Arial" w:hAnsi="Arial" w:cs="Arial"/>
          <w:sz w:val="22"/>
          <w:szCs w:val="22"/>
        </w:rPr>
        <w:t>el otorgamiento de</w:t>
      </w:r>
      <w:r w:rsidR="00CA0814" w:rsidRPr="00B751FD">
        <w:rPr>
          <w:rFonts w:ascii="Arial" w:hAnsi="Arial" w:cs="Arial"/>
          <w:sz w:val="22"/>
          <w:szCs w:val="22"/>
        </w:rPr>
        <w:t xml:space="preserve"> Subpréstamos bajo los siguientes Componentes:</w:t>
      </w:r>
    </w:p>
    <w:p w14:paraId="1BC2D52F" w14:textId="77777777" w:rsidR="006D4003" w:rsidRPr="006D4003" w:rsidRDefault="00852219" w:rsidP="006D4003">
      <w:pPr>
        <w:pStyle w:val="Paragraph"/>
        <w:ind w:left="851" w:hanging="851"/>
        <w:rPr>
          <w:rFonts w:ascii="Arial" w:hAnsi="Arial" w:cs="Arial"/>
          <w:sz w:val="22"/>
          <w:szCs w:val="22"/>
          <w:lang w:val="es-MX"/>
        </w:rPr>
      </w:pPr>
      <w:r w:rsidRPr="00B751FD">
        <w:rPr>
          <w:rFonts w:ascii="Arial" w:hAnsi="Arial" w:cs="Arial"/>
          <w:b/>
          <w:sz w:val="22"/>
          <w:szCs w:val="22"/>
        </w:rPr>
        <w:t>Componente I</w:t>
      </w:r>
      <w:r w:rsidR="00CA0814" w:rsidRPr="00B751FD">
        <w:rPr>
          <w:rFonts w:ascii="Arial" w:hAnsi="Arial" w:cs="Arial"/>
          <w:b/>
          <w:sz w:val="22"/>
          <w:szCs w:val="22"/>
        </w:rPr>
        <w:t xml:space="preserve">. </w:t>
      </w:r>
      <w:r w:rsidR="00BE7C24" w:rsidRPr="00B751FD">
        <w:rPr>
          <w:rFonts w:ascii="Arial" w:hAnsi="Arial" w:cs="Arial"/>
          <w:b/>
          <w:sz w:val="22"/>
          <w:szCs w:val="22"/>
        </w:rPr>
        <w:t>Financiamiento para préstamos de inversión productiva agroforestales a través del BROU (aproximadamente US$15 millones).</w:t>
      </w:r>
      <w:r w:rsidR="00BE7C24" w:rsidRPr="00B751FD">
        <w:rPr>
          <w:rFonts w:ascii="Arial" w:hAnsi="Arial" w:cs="Arial"/>
          <w:sz w:val="22"/>
          <w:szCs w:val="22"/>
        </w:rPr>
        <w:t xml:space="preserve"> </w:t>
      </w:r>
      <w:r w:rsidR="006D4003" w:rsidRPr="006D4003">
        <w:rPr>
          <w:rFonts w:ascii="Arial" w:hAnsi="Arial" w:cs="Arial"/>
          <w:sz w:val="22"/>
          <w:szCs w:val="22"/>
          <w:lang w:val="es-MX"/>
        </w:rPr>
        <w:t>Este componente estará dirigido a fondear al BROU para financiar préstamos de inversión productiva de medio y largo plazo para empresas agroforestales. Se financiarán por tanto actividades productivas que requieran inversión de mediano y largo plazo. Entre las actividades elegibles para financiamiento podrán incluir inversiones para la mejora de la productividad de las empresas agroforestales, tales como compra de tierras, bienes de equipo y maquinaria, vehículos de carga, entre otros</w:t>
      </w:r>
      <w:r w:rsidR="006D4003" w:rsidRPr="006D4003">
        <w:rPr>
          <w:rFonts w:ascii="Arial" w:hAnsi="Arial" w:cs="Arial"/>
          <w:sz w:val="22"/>
          <w:szCs w:val="22"/>
          <w:vertAlign w:val="superscript"/>
          <w:lang w:val="es-MX"/>
        </w:rPr>
        <w:footnoteReference w:id="2"/>
      </w:r>
      <w:r w:rsidR="006D4003" w:rsidRPr="006D4003">
        <w:rPr>
          <w:rFonts w:ascii="Arial" w:hAnsi="Arial" w:cs="Arial"/>
          <w:sz w:val="22"/>
          <w:szCs w:val="22"/>
          <w:lang w:val="es-MX"/>
        </w:rPr>
        <w:t>.</w:t>
      </w:r>
    </w:p>
    <w:p w14:paraId="544540A8" w14:textId="7A3097C8" w:rsidR="003B125C" w:rsidRPr="00B751FD" w:rsidRDefault="004C21C6" w:rsidP="000914DB">
      <w:pPr>
        <w:pStyle w:val="Paragraph"/>
        <w:ind w:left="851" w:hanging="851"/>
        <w:rPr>
          <w:rFonts w:ascii="Arial" w:hAnsi="Arial" w:cs="Arial"/>
          <w:sz w:val="22"/>
          <w:szCs w:val="22"/>
        </w:rPr>
      </w:pPr>
      <w:r w:rsidRPr="00B751FD">
        <w:rPr>
          <w:rFonts w:ascii="Arial" w:hAnsi="Arial" w:cs="Arial"/>
          <w:sz w:val="22"/>
          <w:szCs w:val="22"/>
        </w:rPr>
        <w:t xml:space="preserve">Los recursos del Financiamiento que apoyan este Componente </w:t>
      </w:r>
      <w:r w:rsidR="00992A29" w:rsidRPr="00B751FD">
        <w:rPr>
          <w:rFonts w:ascii="Arial" w:hAnsi="Arial" w:cs="Arial"/>
          <w:sz w:val="22"/>
          <w:szCs w:val="22"/>
        </w:rPr>
        <w:t>podrán</w:t>
      </w:r>
      <w:r w:rsidRPr="00B751FD">
        <w:rPr>
          <w:rFonts w:ascii="Arial" w:hAnsi="Arial" w:cs="Arial"/>
          <w:sz w:val="22"/>
          <w:szCs w:val="22"/>
        </w:rPr>
        <w:t xml:space="preserve"> ser acompañados de una cantidad de recursos propios de </w:t>
      </w:r>
      <w:r w:rsidR="00AD298A" w:rsidRPr="00B751FD">
        <w:rPr>
          <w:rFonts w:ascii="Arial" w:hAnsi="Arial" w:cs="Arial"/>
          <w:sz w:val="22"/>
          <w:szCs w:val="22"/>
        </w:rPr>
        <w:t>BROU</w:t>
      </w:r>
      <w:r w:rsidRPr="00B751FD">
        <w:rPr>
          <w:rFonts w:ascii="Arial" w:hAnsi="Arial" w:cs="Arial"/>
          <w:sz w:val="22"/>
          <w:szCs w:val="22"/>
        </w:rPr>
        <w:t xml:space="preserve"> o recursos obtenidos</w:t>
      </w:r>
      <w:r w:rsidR="00852219" w:rsidRPr="00B751FD">
        <w:rPr>
          <w:rFonts w:ascii="Arial" w:hAnsi="Arial" w:cs="Arial"/>
          <w:sz w:val="22"/>
          <w:szCs w:val="22"/>
        </w:rPr>
        <w:t xml:space="preserve"> por </w:t>
      </w:r>
      <w:r w:rsidR="00AD298A" w:rsidRPr="00B751FD">
        <w:rPr>
          <w:rFonts w:ascii="Arial" w:hAnsi="Arial" w:cs="Arial"/>
          <w:sz w:val="22"/>
          <w:szCs w:val="22"/>
        </w:rPr>
        <w:t>BROU</w:t>
      </w:r>
      <w:r w:rsidR="00852219" w:rsidRPr="00B751FD">
        <w:rPr>
          <w:rFonts w:ascii="Arial" w:hAnsi="Arial" w:cs="Arial"/>
          <w:sz w:val="22"/>
          <w:szCs w:val="22"/>
        </w:rPr>
        <w:t xml:space="preserve"> a través de sus fuentes tradicionales de fondeo.</w:t>
      </w:r>
    </w:p>
    <w:p w14:paraId="7B656EA3" w14:textId="76F6C272" w:rsidR="004F5C4C" w:rsidRDefault="00852219" w:rsidP="000914DB">
      <w:pPr>
        <w:pStyle w:val="Paragraph"/>
        <w:tabs>
          <w:tab w:val="num" w:pos="2268"/>
        </w:tabs>
        <w:ind w:left="851" w:hanging="709"/>
        <w:rPr>
          <w:rFonts w:ascii="Arial" w:hAnsi="Arial" w:cs="Arial"/>
          <w:sz w:val="22"/>
          <w:szCs w:val="22"/>
        </w:rPr>
      </w:pPr>
      <w:r w:rsidRPr="00B751FD">
        <w:rPr>
          <w:rFonts w:ascii="Arial" w:hAnsi="Arial" w:cs="Arial"/>
          <w:b/>
          <w:sz w:val="22"/>
          <w:szCs w:val="22"/>
        </w:rPr>
        <w:t xml:space="preserve">Componente II. </w:t>
      </w:r>
      <w:r w:rsidR="00BE7C24" w:rsidRPr="00B751FD">
        <w:rPr>
          <w:rFonts w:ascii="Arial" w:hAnsi="Arial" w:cs="Arial"/>
          <w:b/>
          <w:sz w:val="22"/>
          <w:szCs w:val="22"/>
        </w:rPr>
        <w:t>Financiamiento para obras de infraestructura productiva privada y/o pública (aproximadamente US$35 millones).</w:t>
      </w:r>
      <w:r w:rsidR="00BE7C24" w:rsidRPr="00B751FD">
        <w:rPr>
          <w:rFonts w:ascii="Arial" w:hAnsi="Arial" w:cs="Arial"/>
          <w:sz w:val="22"/>
          <w:szCs w:val="22"/>
        </w:rPr>
        <w:t xml:space="preserve"> </w:t>
      </w:r>
      <w:r w:rsidR="00B87CCD" w:rsidRPr="00B87CCD">
        <w:rPr>
          <w:rFonts w:ascii="Arial" w:hAnsi="Arial" w:cs="Arial"/>
          <w:sz w:val="22"/>
          <w:szCs w:val="22"/>
          <w:lang w:val="es-MX"/>
        </w:rPr>
        <w:t xml:space="preserve">Este componente estará dirigido a financiar </w:t>
      </w:r>
      <w:bookmarkStart w:id="20" w:name="_Hlk528145159"/>
      <w:r w:rsidR="00B87CCD" w:rsidRPr="00B87CCD">
        <w:rPr>
          <w:rFonts w:ascii="Arial" w:hAnsi="Arial" w:cs="Arial"/>
          <w:sz w:val="22"/>
          <w:szCs w:val="22"/>
          <w:lang w:val="es-MX"/>
        </w:rPr>
        <w:t>operaciones infraestructura productiva que serán financiados a través de esquemas de las PPP, concesiones u otras estructuras financieras</w:t>
      </w:r>
      <w:bookmarkEnd w:id="20"/>
      <w:r w:rsidR="00BE7C24" w:rsidRPr="00B751FD">
        <w:rPr>
          <w:rFonts w:ascii="Arial" w:hAnsi="Arial" w:cs="Arial"/>
          <w:sz w:val="22"/>
          <w:szCs w:val="22"/>
        </w:rPr>
        <w:t xml:space="preserve">. Las inversiones de este componente financiarán obras de infraestructura en el sector de transporte y logística, </w:t>
      </w:r>
      <w:r w:rsidR="004F5C4C">
        <w:rPr>
          <w:rFonts w:ascii="Arial" w:hAnsi="Arial" w:cs="Arial"/>
          <w:sz w:val="22"/>
          <w:szCs w:val="22"/>
        </w:rPr>
        <w:t>incluyendo</w:t>
      </w:r>
      <w:r w:rsidR="00BE7C24" w:rsidRPr="00B751FD">
        <w:rPr>
          <w:rFonts w:ascii="Arial" w:hAnsi="Arial" w:cs="Arial"/>
          <w:sz w:val="22"/>
          <w:szCs w:val="22"/>
        </w:rPr>
        <w:t xml:space="preserve"> proyectos viales, ferroviarios o de puertos</w:t>
      </w:r>
      <w:r w:rsidR="004F5C4C">
        <w:rPr>
          <w:rStyle w:val="FootnoteReference"/>
          <w:rFonts w:ascii="Arial" w:hAnsi="Arial" w:cs="Arial"/>
          <w:sz w:val="22"/>
          <w:szCs w:val="22"/>
        </w:rPr>
        <w:footnoteReference w:id="3"/>
      </w:r>
      <w:r w:rsidR="00BE7C24" w:rsidRPr="00B751FD">
        <w:rPr>
          <w:rFonts w:ascii="Arial" w:hAnsi="Arial" w:cs="Arial"/>
          <w:sz w:val="22"/>
          <w:szCs w:val="22"/>
        </w:rPr>
        <w:t xml:space="preserve">. </w:t>
      </w:r>
      <w:r w:rsidR="00DF7683" w:rsidRPr="00B751FD">
        <w:rPr>
          <w:rFonts w:ascii="Arial" w:hAnsi="Arial" w:cs="Arial"/>
          <w:sz w:val="22"/>
          <w:szCs w:val="22"/>
        </w:rPr>
        <w:t xml:space="preserve"> </w:t>
      </w:r>
    </w:p>
    <w:p w14:paraId="543B14E7" w14:textId="518F2403" w:rsidR="00F47617" w:rsidRPr="00B751FD" w:rsidRDefault="00DF7683" w:rsidP="000914DB">
      <w:pPr>
        <w:pStyle w:val="Paragraph"/>
        <w:tabs>
          <w:tab w:val="num" w:pos="2268"/>
        </w:tabs>
        <w:ind w:left="851" w:hanging="709"/>
        <w:rPr>
          <w:rFonts w:ascii="Arial" w:hAnsi="Arial" w:cs="Arial"/>
          <w:sz w:val="22"/>
          <w:szCs w:val="22"/>
        </w:rPr>
      </w:pPr>
      <w:r w:rsidRPr="00B751FD">
        <w:rPr>
          <w:rFonts w:ascii="Arial" w:hAnsi="Arial" w:cs="Arial"/>
          <w:sz w:val="22"/>
          <w:szCs w:val="22"/>
        </w:rPr>
        <w:t>Los recursos del Financiamiento que apoyan este Componente también podrán ser acompañados de una cantidad de recursos propios de BROU o recursos obtenidos por BROU a través de sus fuentes tradicionales de fondeo.</w:t>
      </w:r>
    </w:p>
    <w:p w14:paraId="1162B620" w14:textId="4F9C4DE3" w:rsidR="00A51667" w:rsidRPr="00B751FD" w:rsidRDefault="00A51667" w:rsidP="000914DB">
      <w:pPr>
        <w:pStyle w:val="Paragraph"/>
        <w:tabs>
          <w:tab w:val="num" w:pos="2148"/>
        </w:tabs>
        <w:ind w:left="851" w:hanging="709"/>
        <w:rPr>
          <w:rFonts w:ascii="Arial" w:hAnsi="Arial" w:cs="Arial"/>
          <w:sz w:val="22"/>
          <w:szCs w:val="22"/>
        </w:rPr>
      </w:pPr>
      <w:r w:rsidRPr="00B751FD">
        <w:rPr>
          <w:rFonts w:ascii="Arial" w:hAnsi="Arial" w:cs="Arial"/>
          <w:sz w:val="22"/>
          <w:szCs w:val="22"/>
        </w:rPr>
        <w:t xml:space="preserve">El </w:t>
      </w:r>
      <w:r w:rsidR="00EC4608" w:rsidRPr="00B751FD">
        <w:rPr>
          <w:rFonts w:ascii="Arial" w:hAnsi="Arial" w:cs="Arial"/>
          <w:sz w:val="22"/>
          <w:szCs w:val="22"/>
        </w:rPr>
        <w:t>destino de</w:t>
      </w:r>
      <w:r w:rsidR="0062561B" w:rsidRPr="00B751FD">
        <w:rPr>
          <w:rFonts w:ascii="Arial" w:hAnsi="Arial" w:cs="Arial"/>
          <w:sz w:val="22"/>
          <w:szCs w:val="22"/>
        </w:rPr>
        <w:t xml:space="preserve"> </w:t>
      </w:r>
      <w:r w:rsidR="00EC4608" w:rsidRPr="00B751FD">
        <w:rPr>
          <w:rFonts w:ascii="Arial" w:hAnsi="Arial" w:cs="Arial"/>
          <w:sz w:val="22"/>
          <w:szCs w:val="22"/>
        </w:rPr>
        <w:t xml:space="preserve">los </w:t>
      </w:r>
      <w:r w:rsidR="0075055A" w:rsidRPr="00B751FD">
        <w:rPr>
          <w:rFonts w:ascii="Arial" w:hAnsi="Arial" w:cs="Arial"/>
          <w:sz w:val="22"/>
          <w:szCs w:val="22"/>
        </w:rPr>
        <w:t>Subpréstamos</w:t>
      </w:r>
      <w:r w:rsidR="0053709C" w:rsidRPr="00B751FD">
        <w:rPr>
          <w:rFonts w:ascii="Arial" w:hAnsi="Arial" w:cs="Arial"/>
          <w:sz w:val="22"/>
          <w:szCs w:val="22"/>
        </w:rPr>
        <w:t xml:space="preserve"> </w:t>
      </w:r>
      <w:r w:rsidRPr="00B751FD">
        <w:rPr>
          <w:rFonts w:ascii="Arial" w:hAnsi="Arial" w:cs="Arial"/>
          <w:sz w:val="22"/>
          <w:szCs w:val="22"/>
        </w:rPr>
        <w:t xml:space="preserve">elegibles de financiamiento en el </w:t>
      </w:r>
      <w:r w:rsidR="0046692F" w:rsidRPr="00B751FD">
        <w:rPr>
          <w:rFonts w:ascii="Arial" w:hAnsi="Arial" w:cs="Arial"/>
          <w:sz w:val="22"/>
          <w:szCs w:val="22"/>
        </w:rPr>
        <w:t>programa</w:t>
      </w:r>
      <w:r w:rsidRPr="00B751FD">
        <w:rPr>
          <w:rFonts w:ascii="Arial" w:hAnsi="Arial" w:cs="Arial"/>
          <w:sz w:val="22"/>
          <w:szCs w:val="22"/>
        </w:rPr>
        <w:t xml:space="preserve"> son:</w:t>
      </w:r>
    </w:p>
    <w:p w14:paraId="12F1A3D9" w14:textId="77777777" w:rsidR="00C52FE5" w:rsidRPr="00B751FD" w:rsidRDefault="00C52FE5" w:rsidP="00D244D1">
      <w:pPr>
        <w:ind w:left="1440" w:hanging="720"/>
        <w:jc w:val="both"/>
        <w:rPr>
          <w:rFonts w:ascii="Arial" w:hAnsi="Arial" w:cs="Arial"/>
          <w:sz w:val="22"/>
          <w:szCs w:val="22"/>
          <w:lang w:val="es-ES_tradnl"/>
        </w:rPr>
      </w:pPr>
    </w:p>
    <w:p w14:paraId="3454FA34" w14:textId="77777777" w:rsidR="00BE7C24" w:rsidRPr="00B751FD" w:rsidRDefault="00BE7C24" w:rsidP="00A82519">
      <w:pPr>
        <w:pStyle w:val="ListParagraph"/>
        <w:numPr>
          <w:ilvl w:val="0"/>
          <w:numId w:val="8"/>
        </w:numPr>
        <w:ind w:left="1260"/>
        <w:jc w:val="both"/>
        <w:rPr>
          <w:rFonts w:ascii="Arial" w:eastAsia="Times New Roman" w:hAnsi="Arial" w:cs="Arial"/>
          <w:sz w:val="22"/>
          <w:szCs w:val="22"/>
          <w:lang w:val="es-ES_tradnl"/>
        </w:rPr>
      </w:pPr>
      <w:r w:rsidRPr="00B751FD">
        <w:rPr>
          <w:rFonts w:ascii="Arial" w:eastAsia="Times New Roman" w:hAnsi="Arial" w:cs="Arial"/>
          <w:sz w:val="22"/>
          <w:szCs w:val="22"/>
          <w:lang w:val="es-ES_tradnl"/>
        </w:rPr>
        <w:lastRenderedPageBreak/>
        <w:t xml:space="preserve">Tierras, </w:t>
      </w:r>
    </w:p>
    <w:p w14:paraId="5BEBAE5D" w14:textId="77777777" w:rsidR="00BE7C24" w:rsidRPr="00B751FD" w:rsidRDefault="00BE7C24" w:rsidP="00A82519">
      <w:pPr>
        <w:pStyle w:val="ListParagraph"/>
        <w:numPr>
          <w:ilvl w:val="0"/>
          <w:numId w:val="8"/>
        </w:numPr>
        <w:ind w:left="1260"/>
        <w:jc w:val="both"/>
        <w:rPr>
          <w:rFonts w:ascii="Arial" w:eastAsia="Times New Roman" w:hAnsi="Arial" w:cs="Arial"/>
          <w:sz w:val="22"/>
          <w:szCs w:val="22"/>
          <w:lang w:val="es-ES_tradnl"/>
        </w:rPr>
      </w:pPr>
      <w:r w:rsidRPr="00B751FD">
        <w:rPr>
          <w:rFonts w:ascii="Arial" w:eastAsia="Times New Roman" w:hAnsi="Arial" w:cs="Arial"/>
          <w:sz w:val="22"/>
          <w:szCs w:val="22"/>
          <w:lang w:val="es-ES_tradnl"/>
        </w:rPr>
        <w:t xml:space="preserve">bienes de equipo y maquinaria, </w:t>
      </w:r>
    </w:p>
    <w:p w14:paraId="6B0F309B" w14:textId="77777777" w:rsidR="00BE7C24" w:rsidRPr="00B751FD" w:rsidRDefault="00BE7C24" w:rsidP="00A82519">
      <w:pPr>
        <w:pStyle w:val="ListParagraph"/>
        <w:numPr>
          <w:ilvl w:val="0"/>
          <w:numId w:val="8"/>
        </w:numPr>
        <w:ind w:left="1260"/>
        <w:jc w:val="both"/>
        <w:rPr>
          <w:rFonts w:ascii="Arial" w:eastAsia="Times New Roman" w:hAnsi="Arial" w:cs="Arial"/>
          <w:sz w:val="22"/>
          <w:szCs w:val="22"/>
          <w:lang w:val="es-ES_tradnl"/>
        </w:rPr>
      </w:pPr>
      <w:r w:rsidRPr="00B751FD">
        <w:rPr>
          <w:rFonts w:ascii="Arial" w:eastAsia="Times New Roman" w:hAnsi="Arial" w:cs="Arial"/>
          <w:sz w:val="22"/>
          <w:szCs w:val="22"/>
          <w:lang w:val="es-ES_tradnl"/>
        </w:rPr>
        <w:t xml:space="preserve">vehículos de carga </w:t>
      </w:r>
    </w:p>
    <w:p w14:paraId="6A56D6F6" w14:textId="4F22F11A" w:rsidR="00BE7C24" w:rsidRPr="00B751FD" w:rsidRDefault="00C82BCC" w:rsidP="00A82519">
      <w:pPr>
        <w:pStyle w:val="ListParagraph"/>
        <w:numPr>
          <w:ilvl w:val="0"/>
          <w:numId w:val="8"/>
        </w:numPr>
        <w:ind w:left="1260"/>
        <w:jc w:val="both"/>
        <w:rPr>
          <w:rFonts w:ascii="Arial" w:eastAsia="Times New Roman" w:hAnsi="Arial" w:cs="Arial"/>
          <w:sz w:val="22"/>
          <w:szCs w:val="22"/>
          <w:lang w:val="es-ES_tradnl"/>
        </w:rPr>
      </w:pPr>
      <w:r w:rsidRPr="00B751FD">
        <w:rPr>
          <w:rFonts w:ascii="Arial" w:eastAsia="Times New Roman" w:hAnsi="Arial" w:cs="Arial"/>
          <w:sz w:val="22"/>
          <w:szCs w:val="22"/>
          <w:lang w:val="es-ES_tradnl"/>
        </w:rPr>
        <w:t>planes de mejoramiento, orientados a mejorar los indicadores de competitividad y/o productividad; proyectos de innovación y desarrollo tecnológico; planes de expansión comercial; programas para el control y mejoramiento de impactos ambientales y sociales; financiamiento a orientado a mejorar comercialización de productos; la inversión en activos fijos vinculados a procesos de producción, comercialización y prestación de servicios de empresas beneficiarias tales como software, vehículos, certificaciones de calidad, licencias, patentes, registros sanitarios, y demás inversiones orientadas al incremento de la productividad.</w:t>
      </w:r>
    </w:p>
    <w:p w14:paraId="3D98E16E" w14:textId="77777777" w:rsidR="00F47617" w:rsidRPr="00B751FD" w:rsidRDefault="00F47617" w:rsidP="00F47617">
      <w:pPr>
        <w:pStyle w:val="ListParagraph"/>
        <w:ind w:left="1440"/>
        <w:jc w:val="both"/>
        <w:rPr>
          <w:rFonts w:ascii="Arial" w:hAnsi="Arial" w:cs="Arial"/>
          <w:sz w:val="22"/>
          <w:szCs w:val="22"/>
          <w:lang w:val="es-ES_tradnl"/>
        </w:rPr>
      </w:pPr>
      <w:bookmarkStart w:id="21" w:name="_Toc197782552"/>
      <w:bookmarkStart w:id="22" w:name="_Toc198025791"/>
      <w:bookmarkStart w:id="23" w:name="_Toc205191258"/>
      <w:bookmarkStart w:id="24" w:name="_Toc207082503"/>
      <w:bookmarkStart w:id="25" w:name="_Toc240434723"/>
    </w:p>
    <w:p w14:paraId="11BFE19F" w14:textId="77777777" w:rsidR="00230812" w:rsidRPr="00B751FD" w:rsidRDefault="00230812" w:rsidP="001E66D5">
      <w:pPr>
        <w:pStyle w:val="Chapter"/>
        <w:tabs>
          <w:tab w:val="clear" w:pos="1440"/>
          <w:tab w:val="clear" w:pos="1800"/>
          <w:tab w:val="left" w:pos="270"/>
        </w:tabs>
        <w:ind w:left="0"/>
        <w:rPr>
          <w:rFonts w:ascii="Arial" w:hAnsi="Arial" w:cs="Arial"/>
          <w:sz w:val="22"/>
          <w:szCs w:val="22"/>
        </w:rPr>
      </w:pPr>
      <w:r w:rsidRPr="00B751FD">
        <w:rPr>
          <w:rFonts w:ascii="Arial" w:hAnsi="Arial" w:cs="Arial"/>
          <w:sz w:val="22"/>
          <w:szCs w:val="22"/>
        </w:rPr>
        <w:t xml:space="preserve">Restricciones en el Uso de Recursos del </w:t>
      </w:r>
      <w:bookmarkEnd w:id="21"/>
      <w:bookmarkEnd w:id="22"/>
      <w:bookmarkEnd w:id="23"/>
      <w:bookmarkEnd w:id="24"/>
      <w:bookmarkEnd w:id="25"/>
      <w:r w:rsidR="00A56887" w:rsidRPr="00B751FD">
        <w:rPr>
          <w:rFonts w:ascii="Arial" w:hAnsi="Arial" w:cs="Arial"/>
          <w:sz w:val="22"/>
          <w:szCs w:val="22"/>
        </w:rPr>
        <w:t>Programa</w:t>
      </w:r>
    </w:p>
    <w:p w14:paraId="093F4BBC" w14:textId="77777777" w:rsidR="00A92192" w:rsidRPr="00B751FD" w:rsidRDefault="00A92192" w:rsidP="006E3680">
      <w:pPr>
        <w:pStyle w:val="Paragraph"/>
        <w:numPr>
          <w:ilvl w:val="0"/>
          <w:numId w:val="0"/>
        </w:numPr>
        <w:ind w:left="851"/>
        <w:rPr>
          <w:rFonts w:ascii="Arial" w:hAnsi="Arial" w:cs="Arial"/>
          <w:sz w:val="22"/>
          <w:szCs w:val="22"/>
          <w:lang w:eastAsia="en-US"/>
        </w:rPr>
      </w:pPr>
    </w:p>
    <w:p w14:paraId="5C491CE6" w14:textId="3C4CA5B7" w:rsidR="00230812" w:rsidRPr="00B751FD" w:rsidRDefault="00E33CB3" w:rsidP="00BC2E73">
      <w:pPr>
        <w:pStyle w:val="Paragraph"/>
        <w:numPr>
          <w:ilvl w:val="0"/>
          <w:numId w:val="0"/>
        </w:numPr>
        <w:ind w:left="630" w:hanging="630"/>
        <w:rPr>
          <w:rFonts w:ascii="Arial" w:hAnsi="Arial" w:cs="Arial"/>
          <w:sz w:val="22"/>
          <w:szCs w:val="22"/>
          <w:lang w:eastAsia="en-US"/>
        </w:rPr>
      </w:pPr>
      <w:r w:rsidRPr="00B751FD">
        <w:rPr>
          <w:rFonts w:ascii="Arial" w:hAnsi="Arial" w:cs="Arial"/>
          <w:sz w:val="22"/>
          <w:szCs w:val="22"/>
          <w:lang w:eastAsia="en-US"/>
        </w:rPr>
        <w:t>5.1</w:t>
      </w:r>
      <w:r w:rsidR="00BC2E73" w:rsidRPr="00B751FD">
        <w:rPr>
          <w:rFonts w:ascii="Arial" w:hAnsi="Arial" w:cs="Arial"/>
          <w:sz w:val="22"/>
          <w:szCs w:val="22"/>
          <w:lang w:eastAsia="en-US"/>
        </w:rPr>
        <w:tab/>
      </w:r>
      <w:r w:rsidR="00230812" w:rsidRPr="00B751FD">
        <w:rPr>
          <w:rFonts w:ascii="Arial" w:hAnsi="Arial" w:cs="Arial"/>
          <w:sz w:val="22"/>
          <w:szCs w:val="22"/>
          <w:lang w:eastAsia="en-US"/>
        </w:rPr>
        <w:t xml:space="preserve">No podrán financiarse con los </w:t>
      </w:r>
      <w:r w:rsidR="0046692F" w:rsidRPr="00B751FD">
        <w:rPr>
          <w:rFonts w:ascii="Arial" w:hAnsi="Arial" w:cs="Arial"/>
          <w:sz w:val="22"/>
          <w:szCs w:val="22"/>
          <w:lang w:eastAsia="en-US"/>
        </w:rPr>
        <w:t>r</w:t>
      </w:r>
      <w:r w:rsidR="00230812" w:rsidRPr="00B751FD">
        <w:rPr>
          <w:rFonts w:ascii="Arial" w:hAnsi="Arial" w:cs="Arial"/>
          <w:sz w:val="22"/>
          <w:szCs w:val="22"/>
          <w:lang w:eastAsia="en-US"/>
        </w:rPr>
        <w:t xml:space="preserve">ecursos del </w:t>
      </w:r>
      <w:r w:rsidR="0046692F" w:rsidRPr="00B751FD">
        <w:rPr>
          <w:rFonts w:ascii="Arial" w:hAnsi="Arial" w:cs="Arial"/>
          <w:sz w:val="22"/>
          <w:szCs w:val="22"/>
          <w:lang w:eastAsia="en-US"/>
        </w:rPr>
        <w:t>p</w:t>
      </w:r>
      <w:r w:rsidR="00A56887" w:rsidRPr="00B751FD">
        <w:rPr>
          <w:rFonts w:ascii="Arial" w:hAnsi="Arial" w:cs="Arial"/>
          <w:sz w:val="22"/>
          <w:szCs w:val="22"/>
          <w:lang w:eastAsia="en-US"/>
        </w:rPr>
        <w:t>rograma</w:t>
      </w:r>
      <w:r w:rsidR="00230812" w:rsidRPr="00B751FD">
        <w:rPr>
          <w:rFonts w:ascii="Arial" w:hAnsi="Arial" w:cs="Arial"/>
          <w:sz w:val="22"/>
          <w:szCs w:val="22"/>
          <w:lang w:eastAsia="en-US"/>
        </w:rPr>
        <w:t>:</w:t>
      </w:r>
    </w:p>
    <w:p w14:paraId="55CF8D11" w14:textId="3E3C1F52" w:rsidR="005E102B" w:rsidRPr="00B751FD" w:rsidRDefault="00FA6110" w:rsidP="00A82519">
      <w:pPr>
        <w:pStyle w:val="subpar"/>
        <w:numPr>
          <w:ilvl w:val="2"/>
          <w:numId w:val="10"/>
        </w:numPr>
        <w:tabs>
          <w:tab w:val="clear" w:pos="1512"/>
        </w:tabs>
        <w:spacing w:before="0"/>
        <w:ind w:left="990" w:hanging="426"/>
        <w:rPr>
          <w:rFonts w:ascii="Arial" w:hAnsi="Arial" w:cs="Arial"/>
          <w:sz w:val="22"/>
          <w:szCs w:val="22"/>
          <w:lang w:eastAsia="en-US"/>
        </w:rPr>
      </w:pPr>
      <w:r w:rsidRPr="00B751FD">
        <w:rPr>
          <w:rFonts w:ascii="Arial" w:hAnsi="Arial" w:cs="Arial"/>
          <w:sz w:val="22"/>
          <w:szCs w:val="22"/>
          <w:lang w:eastAsia="en-US"/>
        </w:rPr>
        <w:t xml:space="preserve">Actividades </w:t>
      </w:r>
      <w:r w:rsidR="005A6ED4" w:rsidRPr="00B751FD">
        <w:rPr>
          <w:rFonts w:ascii="Arial" w:hAnsi="Arial" w:cs="Arial"/>
          <w:sz w:val="22"/>
          <w:szCs w:val="22"/>
          <w:lang w:eastAsia="en-US"/>
        </w:rPr>
        <w:t>incluidas</w:t>
      </w:r>
      <w:r w:rsidRPr="00B751FD">
        <w:rPr>
          <w:rFonts w:ascii="Arial" w:hAnsi="Arial" w:cs="Arial"/>
          <w:sz w:val="22"/>
          <w:szCs w:val="22"/>
          <w:lang w:eastAsia="en-US"/>
        </w:rPr>
        <w:t xml:space="preserve"> en la lista de exclusión </w:t>
      </w:r>
    </w:p>
    <w:p w14:paraId="1663B067" w14:textId="77777777" w:rsidR="005E102B" w:rsidRPr="00B751FD" w:rsidRDefault="00EC4608" w:rsidP="00A82519">
      <w:pPr>
        <w:pStyle w:val="subpar"/>
        <w:numPr>
          <w:ilvl w:val="2"/>
          <w:numId w:val="10"/>
        </w:numPr>
        <w:tabs>
          <w:tab w:val="clear" w:pos="1512"/>
        </w:tabs>
        <w:spacing w:before="0"/>
        <w:ind w:left="990" w:hanging="426"/>
        <w:rPr>
          <w:rFonts w:ascii="Arial" w:hAnsi="Arial" w:cs="Arial"/>
          <w:sz w:val="22"/>
          <w:szCs w:val="22"/>
          <w:lang w:eastAsia="en-US"/>
        </w:rPr>
      </w:pPr>
      <w:r w:rsidRPr="00B751FD">
        <w:rPr>
          <w:rFonts w:ascii="Arial" w:hAnsi="Arial" w:cs="Arial"/>
          <w:sz w:val="22"/>
          <w:szCs w:val="22"/>
          <w:lang w:eastAsia="en-US"/>
        </w:rPr>
        <w:t>Reestructuración de pasivos</w:t>
      </w:r>
      <w:r w:rsidR="00230812" w:rsidRPr="00B751FD">
        <w:rPr>
          <w:rFonts w:ascii="Arial" w:hAnsi="Arial" w:cs="Arial"/>
          <w:sz w:val="22"/>
          <w:szCs w:val="22"/>
          <w:lang w:eastAsia="en-US"/>
        </w:rPr>
        <w:t>;</w:t>
      </w:r>
    </w:p>
    <w:p w14:paraId="09731020" w14:textId="77777777" w:rsidR="005E102B" w:rsidRPr="00B751FD" w:rsidRDefault="00897AC2" w:rsidP="00A82519">
      <w:pPr>
        <w:pStyle w:val="subpar"/>
        <w:numPr>
          <w:ilvl w:val="2"/>
          <w:numId w:val="10"/>
        </w:numPr>
        <w:tabs>
          <w:tab w:val="clear" w:pos="1512"/>
        </w:tabs>
        <w:spacing w:before="0"/>
        <w:ind w:left="990" w:hanging="426"/>
        <w:rPr>
          <w:rFonts w:ascii="Arial" w:hAnsi="Arial" w:cs="Arial"/>
          <w:sz w:val="22"/>
          <w:szCs w:val="22"/>
          <w:lang w:eastAsia="en-US"/>
        </w:rPr>
      </w:pPr>
      <w:r w:rsidRPr="00B751FD">
        <w:rPr>
          <w:rFonts w:ascii="Arial" w:hAnsi="Arial" w:cs="Arial"/>
          <w:sz w:val="22"/>
          <w:szCs w:val="22"/>
          <w:lang w:eastAsia="en-US"/>
        </w:rPr>
        <w:t>Compra de acciones</w:t>
      </w:r>
    </w:p>
    <w:p w14:paraId="3A6B8675" w14:textId="77777777" w:rsidR="006E3680" w:rsidRPr="00B751FD" w:rsidRDefault="006E3680" w:rsidP="006E3680">
      <w:pPr>
        <w:pStyle w:val="subpar"/>
        <w:numPr>
          <w:ilvl w:val="0"/>
          <w:numId w:val="0"/>
        </w:numPr>
        <w:spacing w:before="0"/>
        <w:ind w:left="1560"/>
        <w:rPr>
          <w:rFonts w:ascii="Arial" w:hAnsi="Arial" w:cs="Arial"/>
          <w:sz w:val="22"/>
          <w:szCs w:val="22"/>
          <w:lang w:eastAsia="en-US"/>
        </w:rPr>
      </w:pPr>
    </w:p>
    <w:p w14:paraId="40E6EA92" w14:textId="7A19CBA7" w:rsidR="00B323BF" w:rsidRPr="00B751FD" w:rsidRDefault="00B323BF" w:rsidP="00960145">
      <w:pPr>
        <w:pStyle w:val="subpar"/>
        <w:numPr>
          <w:ilvl w:val="0"/>
          <w:numId w:val="0"/>
        </w:numPr>
        <w:ind w:left="567" w:hanging="567"/>
        <w:rPr>
          <w:rFonts w:ascii="Arial" w:hAnsi="Arial" w:cs="Arial"/>
          <w:sz w:val="22"/>
          <w:szCs w:val="22"/>
          <w:lang w:eastAsia="en-US"/>
        </w:rPr>
      </w:pPr>
      <w:r w:rsidRPr="00B751FD">
        <w:rPr>
          <w:rFonts w:ascii="Arial" w:hAnsi="Arial" w:cs="Arial"/>
          <w:sz w:val="22"/>
          <w:szCs w:val="22"/>
          <w:lang w:eastAsia="en-US"/>
        </w:rPr>
        <w:t xml:space="preserve">5.2 </w:t>
      </w:r>
      <w:r w:rsidRPr="00B751FD">
        <w:rPr>
          <w:rFonts w:ascii="Arial" w:hAnsi="Arial" w:cs="Arial"/>
          <w:sz w:val="22"/>
          <w:szCs w:val="22"/>
          <w:lang w:eastAsia="en-US"/>
        </w:rPr>
        <w:tab/>
        <w:t xml:space="preserve">Los fondos provenientes de las recuperaciones del </w:t>
      </w:r>
      <w:r w:rsidR="0046692F" w:rsidRPr="00B751FD">
        <w:rPr>
          <w:rFonts w:ascii="Arial" w:hAnsi="Arial" w:cs="Arial"/>
          <w:sz w:val="22"/>
          <w:szCs w:val="22"/>
          <w:lang w:eastAsia="en-US"/>
        </w:rPr>
        <w:t>programa</w:t>
      </w:r>
      <w:r w:rsidRPr="00B751FD">
        <w:rPr>
          <w:rFonts w:ascii="Arial" w:hAnsi="Arial" w:cs="Arial"/>
          <w:sz w:val="22"/>
          <w:szCs w:val="22"/>
          <w:lang w:eastAsia="en-US"/>
        </w:rPr>
        <w:t xml:space="preserve">, bien sean pagos, prepagos, cancelaciones o terminaciones de Subpréstamos, que se acumulen en exceso de las cantidades necesarias para el servicio del Préstamo durante </w:t>
      </w:r>
      <w:r w:rsidR="00DF7683" w:rsidRPr="00B751FD">
        <w:rPr>
          <w:rFonts w:ascii="Arial" w:hAnsi="Arial" w:cs="Arial"/>
          <w:sz w:val="22"/>
          <w:szCs w:val="22"/>
          <w:lang w:eastAsia="en-US"/>
        </w:rPr>
        <w:t>cinco</w:t>
      </w:r>
      <w:r w:rsidRPr="00B751FD">
        <w:rPr>
          <w:rFonts w:ascii="Arial" w:hAnsi="Arial" w:cs="Arial"/>
          <w:sz w:val="22"/>
          <w:szCs w:val="22"/>
          <w:lang w:eastAsia="en-US"/>
        </w:rPr>
        <w:t xml:space="preserve"> (</w:t>
      </w:r>
      <w:r w:rsidR="00DF7683" w:rsidRPr="00B751FD">
        <w:rPr>
          <w:rFonts w:ascii="Arial" w:hAnsi="Arial" w:cs="Arial"/>
          <w:sz w:val="22"/>
          <w:szCs w:val="22"/>
          <w:lang w:eastAsia="en-US"/>
        </w:rPr>
        <w:t>5</w:t>
      </w:r>
      <w:r w:rsidRPr="00B751FD">
        <w:rPr>
          <w:rFonts w:ascii="Arial" w:hAnsi="Arial" w:cs="Arial"/>
          <w:sz w:val="22"/>
          <w:szCs w:val="22"/>
          <w:lang w:eastAsia="en-US"/>
        </w:rPr>
        <w:t xml:space="preserve">) años contados desde la fecha del último desembolso del Financiamiento, </w:t>
      </w:r>
      <w:r w:rsidR="00AD298A" w:rsidRPr="00B751FD">
        <w:rPr>
          <w:rFonts w:ascii="Arial" w:hAnsi="Arial" w:cs="Arial"/>
          <w:sz w:val="22"/>
          <w:szCs w:val="22"/>
          <w:lang w:eastAsia="en-US"/>
        </w:rPr>
        <w:t>BROU</w:t>
      </w:r>
      <w:r w:rsidRPr="00B751FD">
        <w:rPr>
          <w:rFonts w:ascii="Arial" w:hAnsi="Arial" w:cs="Arial"/>
          <w:sz w:val="22"/>
          <w:szCs w:val="22"/>
          <w:lang w:eastAsia="en-US"/>
        </w:rPr>
        <w:t xml:space="preserve"> deberá utilizarlos para el financiamiento de nuevas </w:t>
      </w:r>
      <w:r w:rsidR="0092028E" w:rsidRPr="00B751FD">
        <w:rPr>
          <w:rFonts w:ascii="Arial" w:hAnsi="Arial" w:cs="Arial"/>
          <w:sz w:val="22"/>
          <w:szCs w:val="22"/>
          <w:lang w:eastAsia="en-US"/>
        </w:rPr>
        <w:t xml:space="preserve">operaciones consistentes con el objetivo general del </w:t>
      </w:r>
      <w:r w:rsidR="0046692F" w:rsidRPr="00B751FD">
        <w:rPr>
          <w:rFonts w:ascii="Arial" w:hAnsi="Arial" w:cs="Arial"/>
          <w:sz w:val="22"/>
          <w:szCs w:val="22"/>
          <w:lang w:eastAsia="en-US"/>
        </w:rPr>
        <w:t>programa</w:t>
      </w:r>
      <w:r w:rsidRPr="00B751FD">
        <w:rPr>
          <w:rFonts w:ascii="Arial" w:hAnsi="Arial" w:cs="Arial"/>
          <w:sz w:val="22"/>
          <w:szCs w:val="22"/>
          <w:lang w:eastAsia="en-US"/>
        </w:rPr>
        <w:t>, salvo que se acuerde con el BID reducir el Plazo de vigencia de esta obligación.</w:t>
      </w:r>
    </w:p>
    <w:p w14:paraId="75C1BE00" w14:textId="4837166B" w:rsidR="009B6611" w:rsidRPr="00B751FD" w:rsidRDefault="00B323BF" w:rsidP="00AF1243">
      <w:pPr>
        <w:pStyle w:val="subpar"/>
        <w:numPr>
          <w:ilvl w:val="0"/>
          <w:numId w:val="0"/>
        </w:numPr>
        <w:ind w:left="567" w:hanging="567"/>
        <w:rPr>
          <w:rFonts w:ascii="Arial" w:hAnsi="Arial" w:cs="Arial"/>
          <w:sz w:val="22"/>
          <w:szCs w:val="22"/>
          <w:lang w:eastAsia="en-US"/>
        </w:rPr>
      </w:pPr>
      <w:r w:rsidRPr="00B751FD">
        <w:rPr>
          <w:rFonts w:ascii="Arial" w:hAnsi="Arial" w:cs="Arial"/>
          <w:sz w:val="22"/>
          <w:szCs w:val="22"/>
          <w:lang w:eastAsia="en-US"/>
        </w:rPr>
        <w:t>5.3.</w:t>
      </w:r>
      <w:r w:rsidRPr="00B751FD">
        <w:rPr>
          <w:rFonts w:ascii="Arial" w:hAnsi="Arial" w:cs="Arial"/>
          <w:sz w:val="22"/>
          <w:szCs w:val="22"/>
          <w:lang w:eastAsia="en-US"/>
        </w:rPr>
        <w:tab/>
      </w:r>
      <w:r w:rsidR="00AD298A" w:rsidRPr="00B751FD">
        <w:rPr>
          <w:rFonts w:ascii="Arial" w:hAnsi="Arial" w:cs="Arial"/>
          <w:sz w:val="22"/>
          <w:szCs w:val="22"/>
          <w:lang w:eastAsia="en-US"/>
        </w:rPr>
        <w:t>BROU</w:t>
      </w:r>
      <w:r w:rsidRPr="00B751FD">
        <w:rPr>
          <w:rFonts w:ascii="Arial" w:hAnsi="Arial" w:cs="Arial"/>
          <w:sz w:val="22"/>
          <w:szCs w:val="22"/>
          <w:lang w:eastAsia="en-US"/>
        </w:rPr>
        <w:t xml:space="preserve"> </w:t>
      </w:r>
      <w:r w:rsidR="0092028E" w:rsidRPr="00B751FD">
        <w:rPr>
          <w:rFonts w:ascii="Arial" w:hAnsi="Arial" w:cs="Arial"/>
          <w:sz w:val="22"/>
          <w:szCs w:val="22"/>
          <w:lang w:eastAsia="en-US"/>
        </w:rPr>
        <w:t xml:space="preserve">usará su mejor diligencia </w:t>
      </w:r>
      <w:r w:rsidRPr="00B751FD">
        <w:rPr>
          <w:rFonts w:ascii="Arial" w:hAnsi="Arial" w:cs="Arial"/>
          <w:sz w:val="22"/>
          <w:szCs w:val="22"/>
          <w:lang w:eastAsia="en-US"/>
        </w:rPr>
        <w:t>en el otorgamiento de Subpréstamos a los Subprestatarios Elegibles,</w:t>
      </w:r>
      <w:r w:rsidR="0092028E" w:rsidRPr="00B751FD">
        <w:rPr>
          <w:rFonts w:ascii="Arial" w:hAnsi="Arial" w:cs="Arial"/>
          <w:sz w:val="22"/>
          <w:szCs w:val="22"/>
          <w:lang w:eastAsia="en-US"/>
        </w:rPr>
        <w:t xml:space="preserve"> y </w:t>
      </w:r>
      <w:r w:rsidRPr="00B751FD">
        <w:rPr>
          <w:rFonts w:ascii="Arial" w:hAnsi="Arial" w:cs="Arial"/>
          <w:sz w:val="22"/>
          <w:szCs w:val="22"/>
          <w:lang w:eastAsia="en-US"/>
        </w:rPr>
        <w:t xml:space="preserve">a efectos de promover la sostenibilidad </w:t>
      </w:r>
      <w:r w:rsidR="002B6FCD" w:rsidRPr="00B751FD">
        <w:rPr>
          <w:rFonts w:ascii="Arial" w:hAnsi="Arial" w:cs="Arial"/>
          <w:sz w:val="22"/>
          <w:szCs w:val="22"/>
          <w:lang w:eastAsia="en-US"/>
        </w:rPr>
        <w:t>econó</w:t>
      </w:r>
      <w:r w:rsidR="0092028E" w:rsidRPr="00B751FD">
        <w:rPr>
          <w:rFonts w:ascii="Arial" w:hAnsi="Arial" w:cs="Arial"/>
          <w:sz w:val="22"/>
          <w:szCs w:val="22"/>
          <w:lang w:eastAsia="en-US"/>
        </w:rPr>
        <w:t xml:space="preserve">mica y </w:t>
      </w:r>
      <w:r w:rsidRPr="00B751FD">
        <w:rPr>
          <w:rFonts w:ascii="Arial" w:hAnsi="Arial" w:cs="Arial"/>
          <w:sz w:val="22"/>
          <w:szCs w:val="22"/>
          <w:lang w:eastAsia="en-US"/>
        </w:rPr>
        <w:t xml:space="preserve">financiera de los respectivos proyectos, </w:t>
      </w:r>
      <w:r w:rsidR="0092028E" w:rsidRPr="00B751FD">
        <w:rPr>
          <w:rFonts w:ascii="Arial" w:hAnsi="Arial" w:cs="Arial"/>
          <w:sz w:val="22"/>
          <w:szCs w:val="22"/>
          <w:lang w:eastAsia="en-US"/>
        </w:rPr>
        <w:t>podrá</w:t>
      </w:r>
      <w:r w:rsidRPr="00B751FD">
        <w:rPr>
          <w:rFonts w:ascii="Arial" w:hAnsi="Arial" w:cs="Arial"/>
          <w:sz w:val="22"/>
          <w:szCs w:val="22"/>
          <w:lang w:eastAsia="en-US"/>
        </w:rPr>
        <w:t xml:space="preserve"> acordar con los </w:t>
      </w:r>
      <w:r w:rsidR="0075055A" w:rsidRPr="00B751FD">
        <w:rPr>
          <w:rFonts w:ascii="Arial" w:hAnsi="Arial" w:cs="Arial"/>
          <w:sz w:val="22"/>
          <w:szCs w:val="22"/>
          <w:lang w:eastAsia="en-US"/>
        </w:rPr>
        <w:t>Subprestatarios</w:t>
      </w:r>
      <w:r w:rsidRPr="00B751FD">
        <w:rPr>
          <w:rFonts w:ascii="Arial" w:hAnsi="Arial" w:cs="Arial"/>
          <w:sz w:val="22"/>
          <w:szCs w:val="22"/>
          <w:lang w:eastAsia="en-US"/>
        </w:rPr>
        <w:t xml:space="preserve"> elegibles las medidas apropiadas, aceptables para el Banco, </w:t>
      </w:r>
      <w:r w:rsidR="0092028E" w:rsidRPr="00B751FD">
        <w:rPr>
          <w:rFonts w:ascii="Arial" w:hAnsi="Arial" w:cs="Arial"/>
          <w:sz w:val="22"/>
          <w:szCs w:val="22"/>
          <w:lang w:eastAsia="en-US"/>
        </w:rPr>
        <w:t>qu</w:t>
      </w:r>
      <w:r w:rsidR="002B6FCD" w:rsidRPr="00B751FD">
        <w:rPr>
          <w:rFonts w:ascii="Arial" w:hAnsi="Arial" w:cs="Arial"/>
          <w:sz w:val="22"/>
          <w:szCs w:val="22"/>
          <w:lang w:eastAsia="en-US"/>
        </w:rPr>
        <w:t>e garanticen la viabilidad econó</w:t>
      </w:r>
      <w:r w:rsidR="0092028E" w:rsidRPr="00B751FD">
        <w:rPr>
          <w:rFonts w:ascii="Arial" w:hAnsi="Arial" w:cs="Arial"/>
          <w:sz w:val="22"/>
          <w:szCs w:val="22"/>
          <w:lang w:eastAsia="en-US"/>
        </w:rPr>
        <w:t xml:space="preserve">mico financiera de los mismos, dirigidas a generar </w:t>
      </w:r>
      <w:r w:rsidRPr="00B751FD">
        <w:rPr>
          <w:rFonts w:ascii="Arial" w:hAnsi="Arial" w:cs="Arial"/>
          <w:sz w:val="22"/>
          <w:szCs w:val="22"/>
          <w:lang w:eastAsia="en-US"/>
        </w:rPr>
        <w:t>ingresos suficientes para cubrir los gastos relacionados con la administración, la operación, el mantenimiento y, en la medida de lo posible, los costos financieros y la depreciación.</w:t>
      </w:r>
    </w:p>
    <w:p w14:paraId="24A2F379" w14:textId="75ED7128" w:rsidR="00230812" w:rsidRPr="00B751FD" w:rsidDel="00F65BBB" w:rsidRDefault="00192923" w:rsidP="00DB3209">
      <w:pPr>
        <w:pStyle w:val="Paragraph"/>
        <w:numPr>
          <w:ilvl w:val="0"/>
          <w:numId w:val="0"/>
        </w:numPr>
        <w:ind w:left="567" w:hanging="567"/>
        <w:rPr>
          <w:rFonts w:ascii="Arial" w:hAnsi="Arial" w:cs="Arial"/>
          <w:sz w:val="22"/>
          <w:szCs w:val="22"/>
          <w:lang w:eastAsia="en-US"/>
        </w:rPr>
      </w:pPr>
      <w:r w:rsidRPr="00B751FD">
        <w:rPr>
          <w:rFonts w:ascii="Arial" w:hAnsi="Arial" w:cs="Arial"/>
          <w:sz w:val="22"/>
          <w:szCs w:val="22"/>
          <w:lang w:eastAsia="en-US"/>
        </w:rPr>
        <w:t>5.4</w:t>
      </w:r>
      <w:r w:rsidR="00BC2E73" w:rsidRPr="00B751FD">
        <w:rPr>
          <w:rFonts w:ascii="Arial" w:hAnsi="Arial" w:cs="Arial"/>
          <w:sz w:val="22"/>
          <w:szCs w:val="22"/>
          <w:lang w:eastAsia="en-US"/>
        </w:rPr>
        <w:tab/>
      </w:r>
      <w:r w:rsidR="00FA6110" w:rsidRPr="00B751FD" w:rsidDel="00F65BBB">
        <w:rPr>
          <w:rFonts w:ascii="Arial" w:hAnsi="Arial" w:cs="Arial"/>
          <w:sz w:val="22"/>
          <w:szCs w:val="22"/>
          <w:lang w:eastAsia="en-US"/>
        </w:rPr>
        <w:t xml:space="preserve">Las </w:t>
      </w:r>
      <w:r w:rsidR="0019552F" w:rsidRPr="00B751FD" w:rsidDel="00F65BBB">
        <w:rPr>
          <w:rFonts w:ascii="Arial" w:hAnsi="Arial" w:cs="Arial"/>
          <w:sz w:val="22"/>
          <w:szCs w:val="22"/>
          <w:lang w:eastAsia="en-US"/>
        </w:rPr>
        <w:t>o</w:t>
      </w:r>
      <w:r w:rsidR="00FA6110" w:rsidRPr="00B751FD" w:rsidDel="00F65BBB">
        <w:rPr>
          <w:rFonts w:ascii="Arial" w:hAnsi="Arial" w:cs="Arial"/>
          <w:sz w:val="22"/>
          <w:szCs w:val="22"/>
          <w:lang w:eastAsia="en-US"/>
        </w:rPr>
        <w:t xml:space="preserve">peraciones </w:t>
      </w:r>
      <w:r w:rsidR="0019552F" w:rsidRPr="00B751FD" w:rsidDel="00F65BBB">
        <w:rPr>
          <w:rFonts w:ascii="Arial" w:hAnsi="Arial" w:cs="Arial"/>
          <w:sz w:val="22"/>
          <w:szCs w:val="22"/>
          <w:lang w:eastAsia="en-US"/>
        </w:rPr>
        <w:t>e</w:t>
      </w:r>
      <w:r w:rsidR="00F40483" w:rsidRPr="00B751FD" w:rsidDel="00F65BBB">
        <w:rPr>
          <w:rFonts w:ascii="Arial" w:hAnsi="Arial" w:cs="Arial"/>
          <w:sz w:val="22"/>
          <w:szCs w:val="22"/>
          <w:lang w:eastAsia="en-US"/>
        </w:rPr>
        <w:t>l</w:t>
      </w:r>
      <w:r w:rsidR="00FA6110" w:rsidRPr="00B751FD" w:rsidDel="00F65BBB">
        <w:rPr>
          <w:rFonts w:ascii="Arial" w:hAnsi="Arial" w:cs="Arial"/>
          <w:sz w:val="22"/>
          <w:szCs w:val="22"/>
          <w:lang w:eastAsia="en-US"/>
        </w:rPr>
        <w:t xml:space="preserve">egibles </w:t>
      </w:r>
      <w:r w:rsidR="00230812" w:rsidRPr="00B751FD" w:rsidDel="00F65BBB">
        <w:rPr>
          <w:rFonts w:ascii="Arial" w:hAnsi="Arial" w:cs="Arial"/>
          <w:sz w:val="22"/>
          <w:szCs w:val="22"/>
          <w:lang w:eastAsia="en-US"/>
        </w:rPr>
        <w:t>financiad</w:t>
      </w:r>
      <w:r w:rsidR="00FA6110" w:rsidRPr="00B751FD" w:rsidDel="00F65BBB">
        <w:rPr>
          <w:rFonts w:ascii="Arial" w:hAnsi="Arial" w:cs="Arial"/>
          <w:sz w:val="22"/>
          <w:szCs w:val="22"/>
          <w:lang w:eastAsia="en-US"/>
        </w:rPr>
        <w:t>a</w:t>
      </w:r>
      <w:r w:rsidR="00230812" w:rsidRPr="00B751FD" w:rsidDel="00F65BBB">
        <w:rPr>
          <w:rFonts w:ascii="Arial" w:hAnsi="Arial" w:cs="Arial"/>
          <w:sz w:val="22"/>
          <w:szCs w:val="22"/>
          <w:lang w:eastAsia="en-US"/>
        </w:rPr>
        <w:t xml:space="preserve">s con </w:t>
      </w:r>
      <w:r w:rsidR="0046692F" w:rsidRPr="00B751FD">
        <w:rPr>
          <w:rFonts w:ascii="Arial" w:hAnsi="Arial" w:cs="Arial"/>
          <w:sz w:val="22"/>
          <w:szCs w:val="22"/>
          <w:lang w:eastAsia="en-US"/>
        </w:rPr>
        <w:t>r</w:t>
      </w:r>
      <w:r w:rsidR="00817CE3" w:rsidRPr="00B751FD" w:rsidDel="00F65BBB">
        <w:rPr>
          <w:rFonts w:ascii="Arial" w:hAnsi="Arial" w:cs="Arial"/>
          <w:sz w:val="22"/>
          <w:szCs w:val="22"/>
          <w:lang w:eastAsia="en-US"/>
        </w:rPr>
        <w:t xml:space="preserve">ecursos del </w:t>
      </w:r>
      <w:r w:rsidR="0046692F" w:rsidRPr="00B751FD">
        <w:rPr>
          <w:rFonts w:ascii="Arial" w:hAnsi="Arial" w:cs="Arial"/>
          <w:sz w:val="22"/>
          <w:szCs w:val="22"/>
          <w:lang w:eastAsia="en-US"/>
        </w:rPr>
        <w:t>p</w:t>
      </w:r>
      <w:r w:rsidR="00A56887" w:rsidRPr="00B751FD">
        <w:rPr>
          <w:rFonts w:ascii="Arial" w:hAnsi="Arial" w:cs="Arial"/>
          <w:sz w:val="22"/>
          <w:szCs w:val="22"/>
          <w:lang w:eastAsia="en-US"/>
        </w:rPr>
        <w:t>rograma</w:t>
      </w:r>
      <w:r w:rsidR="00817CE3" w:rsidRPr="00B751FD" w:rsidDel="00F65BBB">
        <w:rPr>
          <w:rFonts w:ascii="Arial" w:hAnsi="Arial" w:cs="Arial"/>
          <w:sz w:val="22"/>
          <w:szCs w:val="22"/>
          <w:lang w:eastAsia="en-US"/>
        </w:rPr>
        <w:t xml:space="preserve"> se podrán </w:t>
      </w:r>
      <w:r w:rsidR="00230812" w:rsidRPr="00B751FD" w:rsidDel="00F65BBB">
        <w:rPr>
          <w:rFonts w:ascii="Arial" w:hAnsi="Arial" w:cs="Arial"/>
          <w:sz w:val="22"/>
          <w:szCs w:val="22"/>
          <w:lang w:eastAsia="en-US"/>
        </w:rPr>
        <w:t xml:space="preserve">denominar en </w:t>
      </w:r>
      <w:r w:rsidR="0092028E" w:rsidRPr="00B751FD">
        <w:rPr>
          <w:rFonts w:ascii="Arial" w:hAnsi="Arial" w:cs="Arial"/>
          <w:sz w:val="22"/>
          <w:szCs w:val="22"/>
          <w:lang w:eastAsia="en-US"/>
        </w:rPr>
        <w:t xml:space="preserve">moneda </w:t>
      </w:r>
      <w:r w:rsidR="005A6ED4" w:rsidRPr="00B751FD">
        <w:rPr>
          <w:rFonts w:ascii="Arial" w:hAnsi="Arial" w:cs="Arial"/>
          <w:sz w:val="22"/>
          <w:szCs w:val="22"/>
          <w:lang w:eastAsia="en-US"/>
        </w:rPr>
        <w:t>local y</w:t>
      </w:r>
      <w:r w:rsidR="007B7FDC" w:rsidRPr="00B751FD" w:rsidDel="00F65BBB">
        <w:rPr>
          <w:rFonts w:ascii="Arial" w:hAnsi="Arial" w:cs="Arial"/>
          <w:sz w:val="22"/>
          <w:szCs w:val="22"/>
          <w:lang w:eastAsia="en-US"/>
        </w:rPr>
        <w:t xml:space="preserve"> </w:t>
      </w:r>
      <w:r w:rsidR="00230812" w:rsidRPr="00B751FD" w:rsidDel="00F65BBB">
        <w:rPr>
          <w:rFonts w:ascii="Arial" w:hAnsi="Arial" w:cs="Arial"/>
          <w:sz w:val="22"/>
          <w:szCs w:val="22"/>
          <w:lang w:eastAsia="en-US"/>
        </w:rPr>
        <w:t xml:space="preserve">en </w:t>
      </w:r>
      <w:r w:rsidR="00A948E5" w:rsidRPr="00B751FD" w:rsidDel="00F65BBB">
        <w:rPr>
          <w:rFonts w:ascii="Arial" w:hAnsi="Arial" w:cs="Arial"/>
          <w:sz w:val="22"/>
          <w:szCs w:val="22"/>
          <w:lang w:eastAsia="en-US"/>
        </w:rPr>
        <w:t xml:space="preserve">Dólares de los Estados Unidos de América (US$), </w:t>
      </w:r>
      <w:r w:rsidR="0092028E" w:rsidRPr="00B751FD">
        <w:rPr>
          <w:rFonts w:ascii="Arial" w:hAnsi="Arial" w:cs="Arial"/>
          <w:sz w:val="22"/>
          <w:szCs w:val="22"/>
          <w:lang w:eastAsia="en-US"/>
        </w:rPr>
        <w:t>conforme a la normativa bancaria local y d</w:t>
      </w:r>
      <w:r w:rsidR="00230812" w:rsidRPr="00B751FD" w:rsidDel="00F65BBB">
        <w:rPr>
          <w:rFonts w:ascii="Arial" w:hAnsi="Arial" w:cs="Arial"/>
          <w:sz w:val="22"/>
          <w:szCs w:val="22"/>
          <w:lang w:eastAsia="en-US"/>
        </w:rPr>
        <w:t xml:space="preserve">el Banco </w:t>
      </w:r>
      <w:r w:rsidRPr="00B751FD">
        <w:rPr>
          <w:rFonts w:ascii="Arial" w:hAnsi="Arial" w:cs="Arial"/>
          <w:sz w:val="22"/>
          <w:szCs w:val="22"/>
          <w:lang w:eastAsia="en-US"/>
        </w:rPr>
        <w:t xml:space="preserve">Central </w:t>
      </w:r>
      <w:r w:rsidR="00230812" w:rsidRPr="00B751FD" w:rsidDel="00F65BBB">
        <w:rPr>
          <w:rFonts w:ascii="Arial" w:hAnsi="Arial" w:cs="Arial"/>
          <w:sz w:val="22"/>
          <w:szCs w:val="22"/>
          <w:lang w:eastAsia="en-US"/>
        </w:rPr>
        <w:t>de</w:t>
      </w:r>
      <w:r w:rsidRPr="00B751FD">
        <w:rPr>
          <w:rFonts w:ascii="Arial" w:hAnsi="Arial" w:cs="Arial"/>
          <w:sz w:val="22"/>
          <w:szCs w:val="22"/>
          <w:lang w:eastAsia="en-US"/>
        </w:rPr>
        <w:t>l</w:t>
      </w:r>
      <w:r w:rsidR="00230812" w:rsidRPr="00B751FD" w:rsidDel="00F65BBB">
        <w:rPr>
          <w:rFonts w:ascii="Arial" w:hAnsi="Arial" w:cs="Arial"/>
          <w:sz w:val="22"/>
          <w:szCs w:val="22"/>
          <w:lang w:eastAsia="en-US"/>
        </w:rPr>
        <w:t xml:space="preserve"> </w:t>
      </w:r>
      <w:r w:rsidR="00642D9C" w:rsidRPr="00B751FD">
        <w:rPr>
          <w:rFonts w:ascii="Arial" w:hAnsi="Arial" w:cs="Arial"/>
          <w:sz w:val="22"/>
          <w:szCs w:val="22"/>
          <w:lang w:eastAsia="en-US"/>
        </w:rPr>
        <w:t>Uruguay</w:t>
      </w:r>
      <w:r w:rsidR="00230812" w:rsidRPr="00B751FD" w:rsidDel="00F65BBB">
        <w:rPr>
          <w:rFonts w:ascii="Arial" w:hAnsi="Arial" w:cs="Arial"/>
          <w:sz w:val="22"/>
          <w:szCs w:val="22"/>
          <w:lang w:eastAsia="en-US"/>
        </w:rPr>
        <w:t xml:space="preserve">. En todo momento, las operaciones crediticias fondeadas por el Banco deberán ser acordes y cumplir con las regulaciones aplicables a </w:t>
      </w:r>
      <w:r w:rsidR="00AD298A" w:rsidRPr="00B751FD">
        <w:rPr>
          <w:rFonts w:ascii="Arial" w:hAnsi="Arial" w:cs="Arial"/>
          <w:sz w:val="22"/>
          <w:szCs w:val="22"/>
          <w:lang w:eastAsia="en-US"/>
        </w:rPr>
        <w:t>BROU</w:t>
      </w:r>
      <w:r w:rsidR="00230812" w:rsidRPr="00B751FD" w:rsidDel="00F65BBB">
        <w:rPr>
          <w:rFonts w:ascii="Arial" w:hAnsi="Arial" w:cs="Arial"/>
          <w:sz w:val="22"/>
          <w:szCs w:val="22"/>
          <w:lang w:eastAsia="en-US"/>
        </w:rPr>
        <w:t xml:space="preserve">. </w:t>
      </w:r>
    </w:p>
    <w:p w14:paraId="1A632AF9" w14:textId="46803FB8" w:rsidR="00960145" w:rsidRPr="00B751FD" w:rsidRDefault="00192923" w:rsidP="0065013C">
      <w:pPr>
        <w:pStyle w:val="Paragraph"/>
        <w:numPr>
          <w:ilvl w:val="0"/>
          <w:numId w:val="0"/>
        </w:numPr>
        <w:tabs>
          <w:tab w:val="num" w:pos="630"/>
        </w:tabs>
        <w:ind w:left="630" w:hanging="630"/>
        <w:rPr>
          <w:rFonts w:ascii="Arial" w:hAnsi="Arial" w:cs="Arial"/>
          <w:sz w:val="22"/>
          <w:szCs w:val="22"/>
          <w:lang w:eastAsia="en-US"/>
        </w:rPr>
      </w:pPr>
      <w:r w:rsidRPr="00B751FD">
        <w:rPr>
          <w:rFonts w:ascii="Arial" w:hAnsi="Arial" w:cs="Arial"/>
          <w:sz w:val="22"/>
          <w:szCs w:val="22"/>
          <w:lang w:eastAsia="en-US"/>
        </w:rPr>
        <w:t>5.5</w:t>
      </w:r>
      <w:r w:rsidR="00BC2E73" w:rsidRPr="00B751FD">
        <w:rPr>
          <w:rFonts w:ascii="Arial" w:hAnsi="Arial" w:cs="Arial"/>
          <w:sz w:val="22"/>
          <w:szCs w:val="22"/>
          <w:lang w:eastAsia="en-US"/>
        </w:rPr>
        <w:tab/>
      </w:r>
      <w:r w:rsidR="009C4FB2" w:rsidRPr="00B751FD">
        <w:rPr>
          <w:rFonts w:ascii="Arial" w:hAnsi="Arial" w:cs="Arial"/>
          <w:sz w:val="22"/>
          <w:szCs w:val="22"/>
          <w:lang w:eastAsia="en-US"/>
        </w:rPr>
        <w:t>Todas las operaciones</w:t>
      </w:r>
      <w:r w:rsidR="00DF6247" w:rsidRPr="00B751FD">
        <w:rPr>
          <w:rFonts w:ascii="Arial" w:hAnsi="Arial" w:cs="Arial"/>
          <w:sz w:val="22"/>
          <w:szCs w:val="22"/>
          <w:lang w:eastAsia="en-US"/>
        </w:rPr>
        <w:t xml:space="preserve"> otorgadas financiadas por medio del </w:t>
      </w:r>
      <w:r w:rsidR="00A56887" w:rsidRPr="00B751FD">
        <w:rPr>
          <w:rFonts w:ascii="Arial" w:hAnsi="Arial" w:cs="Arial"/>
          <w:sz w:val="22"/>
          <w:szCs w:val="22"/>
          <w:lang w:eastAsia="en-US"/>
        </w:rPr>
        <w:t>PROGRAMA</w:t>
      </w:r>
      <w:r w:rsidR="00DF6247" w:rsidRPr="00B751FD">
        <w:rPr>
          <w:rFonts w:ascii="Arial" w:hAnsi="Arial" w:cs="Arial"/>
          <w:sz w:val="22"/>
          <w:szCs w:val="22"/>
          <w:lang w:eastAsia="en-US"/>
        </w:rPr>
        <w:t xml:space="preserve"> deberán ser aprobadas por </w:t>
      </w:r>
      <w:r w:rsidR="00AD298A" w:rsidRPr="00B751FD">
        <w:rPr>
          <w:rFonts w:ascii="Arial" w:hAnsi="Arial" w:cs="Arial"/>
          <w:sz w:val="22"/>
          <w:szCs w:val="22"/>
          <w:lang w:eastAsia="en-US"/>
        </w:rPr>
        <w:t>BROU</w:t>
      </w:r>
      <w:r w:rsidR="00DF6247" w:rsidRPr="00B751FD">
        <w:rPr>
          <w:rFonts w:ascii="Arial" w:hAnsi="Arial" w:cs="Arial"/>
          <w:sz w:val="22"/>
          <w:szCs w:val="22"/>
          <w:lang w:eastAsia="en-US"/>
        </w:rPr>
        <w:t xml:space="preserve"> conforme </w:t>
      </w:r>
      <w:r w:rsidR="00410E61" w:rsidRPr="00B751FD">
        <w:rPr>
          <w:rFonts w:ascii="Arial" w:hAnsi="Arial" w:cs="Arial"/>
          <w:sz w:val="22"/>
          <w:szCs w:val="22"/>
          <w:lang w:eastAsia="en-US"/>
        </w:rPr>
        <w:t xml:space="preserve">a su Sistema Normativo de Crédito, al </w:t>
      </w:r>
      <w:r w:rsidR="0045447D" w:rsidRPr="00B751FD">
        <w:rPr>
          <w:rFonts w:ascii="Arial" w:hAnsi="Arial" w:cs="Arial"/>
          <w:sz w:val="22"/>
          <w:szCs w:val="22"/>
          <w:lang w:eastAsia="en-US"/>
        </w:rPr>
        <w:t>Informe</w:t>
      </w:r>
      <w:r w:rsidR="001E6CFC" w:rsidRPr="00B751FD">
        <w:rPr>
          <w:rFonts w:ascii="Arial" w:hAnsi="Arial" w:cs="Arial"/>
          <w:sz w:val="22"/>
          <w:szCs w:val="22"/>
          <w:lang w:eastAsia="en-US"/>
        </w:rPr>
        <w:t xml:space="preserve"> de Gestión Ambiental y Social, al </w:t>
      </w:r>
      <w:r w:rsidR="00410E61" w:rsidRPr="00B751FD">
        <w:rPr>
          <w:rFonts w:ascii="Arial" w:hAnsi="Arial" w:cs="Arial"/>
          <w:sz w:val="22"/>
          <w:szCs w:val="22"/>
          <w:lang w:eastAsia="en-US"/>
        </w:rPr>
        <w:t xml:space="preserve">ROP y al </w:t>
      </w:r>
      <w:r w:rsidR="00DF6247" w:rsidRPr="00B751FD">
        <w:rPr>
          <w:rFonts w:ascii="Arial" w:hAnsi="Arial" w:cs="Arial"/>
          <w:sz w:val="22"/>
          <w:szCs w:val="22"/>
          <w:lang w:eastAsia="en-US"/>
        </w:rPr>
        <w:t>Contrato de Préstamo</w:t>
      </w:r>
      <w:r w:rsidR="00410E61" w:rsidRPr="00B751FD">
        <w:rPr>
          <w:rFonts w:ascii="Arial" w:hAnsi="Arial" w:cs="Arial"/>
          <w:sz w:val="22"/>
          <w:szCs w:val="22"/>
          <w:lang w:eastAsia="en-US"/>
        </w:rPr>
        <w:t>.</w:t>
      </w:r>
      <w:r w:rsidR="00DF6247" w:rsidRPr="00B751FD">
        <w:rPr>
          <w:rFonts w:ascii="Arial" w:hAnsi="Arial" w:cs="Arial"/>
          <w:sz w:val="22"/>
          <w:szCs w:val="22"/>
          <w:lang w:eastAsia="en-US"/>
        </w:rPr>
        <w:t xml:space="preserve"> </w:t>
      </w:r>
    </w:p>
    <w:p w14:paraId="697446E8" w14:textId="77777777" w:rsidR="00A11802" w:rsidRPr="00B751FD" w:rsidRDefault="00A11802" w:rsidP="0045447D">
      <w:pPr>
        <w:pStyle w:val="Paragraph"/>
        <w:numPr>
          <w:ilvl w:val="0"/>
          <w:numId w:val="0"/>
        </w:numPr>
        <w:tabs>
          <w:tab w:val="left" w:pos="0"/>
        </w:tabs>
        <w:ind w:left="630" w:hanging="630"/>
        <w:rPr>
          <w:rFonts w:ascii="Arial" w:hAnsi="Arial" w:cs="Arial"/>
          <w:sz w:val="22"/>
          <w:szCs w:val="22"/>
          <w:lang w:eastAsia="en-US"/>
        </w:rPr>
      </w:pPr>
    </w:p>
    <w:p w14:paraId="3EF263E8" w14:textId="77777777" w:rsidR="00832555" w:rsidRPr="00B751FD" w:rsidRDefault="00832555" w:rsidP="001E66D5">
      <w:pPr>
        <w:pStyle w:val="Chapter"/>
        <w:tabs>
          <w:tab w:val="clear" w:pos="1440"/>
          <w:tab w:val="clear" w:pos="1800"/>
          <w:tab w:val="left" w:pos="270"/>
        </w:tabs>
        <w:ind w:left="0"/>
        <w:rPr>
          <w:rFonts w:ascii="Arial" w:hAnsi="Arial" w:cs="Arial"/>
          <w:sz w:val="22"/>
          <w:szCs w:val="22"/>
        </w:rPr>
      </w:pPr>
      <w:bookmarkStart w:id="26" w:name="_Toc207082508"/>
      <w:bookmarkStart w:id="27" w:name="_Toc207082541"/>
      <w:bookmarkStart w:id="28" w:name="_Toc198110509"/>
      <w:bookmarkStart w:id="29" w:name="_Toc198111152"/>
      <w:bookmarkStart w:id="30" w:name="_Toc198111225"/>
      <w:bookmarkStart w:id="31" w:name="_Toc198111259"/>
      <w:bookmarkStart w:id="32" w:name="_Toc198111297"/>
      <w:bookmarkStart w:id="33" w:name="_Toc198111339"/>
      <w:bookmarkStart w:id="34" w:name="_Toc198111393"/>
      <w:bookmarkStart w:id="35" w:name="_Toc205191268"/>
      <w:bookmarkStart w:id="36" w:name="_Toc207082514"/>
      <w:bookmarkStart w:id="37" w:name="_Toc207082547"/>
      <w:bookmarkStart w:id="38" w:name="_Toc240434729"/>
      <w:bookmarkEnd w:id="26"/>
      <w:bookmarkEnd w:id="27"/>
      <w:bookmarkEnd w:id="28"/>
      <w:bookmarkEnd w:id="29"/>
      <w:bookmarkEnd w:id="30"/>
      <w:bookmarkEnd w:id="31"/>
      <w:bookmarkEnd w:id="32"/>
      <w:bookmarkEnd w:id="33"/>
      <w:bookmarkEnd w:id="34"/>
      <w:r w:rsidRPr="00B751FD">
        <w:rPr>
          <w:rFonts w:ascii="Arial" w:hAnsi="Arial" w:cs="Arial"/>
          <w:sz w:val="22"/>
          <w:szCs w:val="22"/>
        </w:rPr>
        <w:lastRenderedPageBreak/>
        <w:t>Mecanismo de asignación de recursos para operaciones elegibles</w:t>
      </w:r>
    </w:p>
    <w:p w14:paraId="73EF7FB0" w14:textId="0463EF1A" w:rsidR="00832555" w:rsidRPr="00B751FD" w:rsidRDefault="00832555" w:rsidP="004732A3">
      <w:pPr>
        <w:pStyle w:val="Paragraph"/>
        <w:tabs>
          <w:tab w:val="num" w:pos="2289"/>
        </w:tabs>
        <w:ind w:left="567" w:hanging="567"/>
        <w:rPr>
          <w:rFonts w:ascii="Arial" w:hAnsi="Arial" w:cs="Arial"/>
          <w:sz w:val="22"/>
          <w:szCs w:val="22"/>
        </w:rPr>
      </w:pPr>
      <w:r w:rsidRPr="00B751FD">
        <w:rPr>
          <w:rFonts w:ascii="Arial" w:hAnsi="Arial" w:cs="Arial"/>
          <w:sz w:val="22"/>
          <w:szCs w:val="22"/>
        </w:rPr>
        <w:t xml:space="preserve">Los </w:t>
      </w:r>
      <w:r w:rsidR="0075055A" w:rsidRPr="00B751FD">
        <w:rPr>
          <w:rFonts w:ascii="Arial" w:hAnsi="Arial" w:cs="Arial"/>
          <w:sz w:val="22"/>
          <w:szCs w:val="22"/>
        </w:rPr>
        <w:t>Subprestatarios</w:t>
      </w:r>
      <w:r w:rsidRPr="00B751FD">
        <w:rPr>
          <w:rFonts w:ascii="Arial" w:hAnsi="Arial" w:cs="Arial"/>
          <w:sz w:val="22"/>
          <w:szCs w:val="22"/>
        </w:rPr>
        <w:t xml:space="preserve"> Elegibles deberán solicitar financiamiento en los formatos que determine </w:t>
      </w:r>
      <w:r w:rsidR="00AD298A" w:rsidRPr="00B751FD">
        <w:rPr>
          <w:rFonts w:ascii="Arial" w:hAnsi="Arial" w:cs="Arial"/>
          <w:sz w:val="22"/>
          <w:szCs w:val="22"/>
        </w:rPr>
        <w:t>BROU</w:t>
      </w:r>
      <w:r w:rsidRPr="00B751FD">
        <w:rPr>
          <w:rFonts w:ascii="Arial" w:hAnsi="Arial" w:cs="Arial"/>
          <w:sz w:val="22"/>
          <w:szCs w:val="22"/>
        </w:rPr>
        <w:t xml:space="preserve">. Las solicitudes que se presenten a </w:t>
      </w:r>
      <w:r w:rsidR="00AD298A" w:rsidRPr="00B751FD">
        <w:rPr>
          <w:rFonts w:ascii="Arial" w:hAnsi="Arial" w:cs="Arial"/>
          <w:sz w:val="22"/>
          <w:szCs w:val="22"/>
        </w:rPr>
        <w:t>BROU</w:t>
      </w:r>
      <w:r w:rsidRPr="00B751FD">
        <w:rPr>
          <w:rFonts w:ascii="Arial" w:hAnsi="Arial" w:cs="Arial"/>
          <w:sz w:val="22"/>
          <w:szCs w:val="22"/>
        </w:rPr>
        <w:t xml:space="preserve"> serán revisadas y en su caso, rechazadas o aprobadas conforme fueron presentadas (primero en tiempo</w:t>
      </w:r>
      <w:r w:rsidR="009D3296" w:rsidRPr="00B751FD">
        <w:rPr>
          <w:rFonts w:ascii="Arial" w:hAnsi="Arial" w:cs="Arial"/>
          <w:sz w:val="22"/>
          <w:szCs w:val="22"/>
        </w:rPr>
        <w:t xml:space="preserve"> </w:t>
      </w:r>
      <w:r w:rsidRPr="00B751FD">
        <w:rPr>
          <w:rFonts w:ascii="Arial" w:hAnsi="Arial" w:cs="Arial"/>
          <w:sz w:val="22"/>
          <w:szCs w:val="22"/>
        </w:rPr>
        <w:t xml:space="preserve">primero en derecho). </w:t>
      </w:r>
      <w:r w:rsidR="00D02D11" w:rsidRPr="00B751FD">
        <w:rPr>
          <w:rFonts w:ascii="Arial" w:hAnsi="Arial" w:cs="Arial"/>
          <w:sz w:val="22"/>
          <w:szCs w:val="22"/>
        </w:rPr>
        <w:t xml:space="preserve"> </w:t>
      </w:r>
    </w:p>
    <w:p w14:paraId="46027CEC" w14:textId="08D85EF6" w:rsidR="00832555" w:rsidRPr="00B751FD" w:rsidRDefault="00AD298A" w:rsidP="004732A3">
      <w:pPr>
        <w:pStyle w:val="Paragraph"/>
        <w:tabs>
          <w:tab w:val="num" w:pos="2289"/>
        </w:tabs>
        <w:ind w:left="567" w:hanging="567"/>
        <w:rPr>
          <w:rFonts w:ascii="Arial" w:hAnsi="Arial" w:cs="Arial"/>
          <w:sz w:val="22"/>
          <w:szCs w:val="22"/>
        </w:rPr>
      </w:pPr>
      <w:r w:rsidRPr="00B751FD">
        <w:rPr>
          <w:rFonts w:ascii="Arial" w:hAnsi="Arial" w:cs="Arial"/>
          <w:sz w:val="22"/>
          <w:szCs w:val="22"/>
        </w:rPr>
        <w:t>BROU</w:t>
      </w:r>
      <w:r w:rsidR="00832555" w:rsidRPr="00B751FD">
        <w:rPr>
          <w:rFonts w:ascii="Arial" w:hAnsi="Arial" w:cs="Arial"/>
          <w:sz w:val="22"/>
          <w:szCs w:val="22"/>
        </w:rPr>
        <w:t xml:space="preserve"> asigna un presupuesto para su </w:t>
      </w:r>
      <w:r w:rsidR="009D3296" w:rsidRPr="00B751FD">
        <w:rPr>
          <w:rFonts w:ascii="Arial" w:hAnsi="Arial" w:cs="Arial"/>
          <w:sz w:val="22"/>
          <w:szCs w:val="22"/>
        </w:rPr>
        <w:t xml:space="preserve">gestión </w:t>
      </w:r>
      <w:r w:rsidR="00832555" w:rsidRPr="00B751FD">
        <w:rPr>
          <w:rFonts w:ascii="Arial" w:hAnsi="Arial" w:cs="Arial"/>
          <w:sz w:val="22"/>
          <w:szCs w:val="22"/>
        </w:rPr>
        <w:t xml:space="preserve">crediticia y la ejerce conforme a la demanda de recursos de los </w:t>
      </w:r>
      <w:r w:rsidR="0075055A" w:rsidRPr="00B751FD">
        <w:rPr>
          <w:rFonts w:ascii="Arial" w:hAnsi="Arial" w:cs="Arial"/>
          <w:sz w:val="22"/>
          <w:szCs w:val="22"/>
        </w:rPr>
        <w:t>Subprestatarios</w:t>
      </w:r>
      <w:r w:rsidR="00832555" w:rsidRPr="00B751FD">
        <w:rPr>
          <w:rFonts w:ascii="Arial" w:hAnsi="Arial" w:cs="Arial"/>
          <w:sz w:val="22"/>
          <w:szCs w:val="22"/>
        </w:rPr>
        <w:t xml:space="preserve"> Elegibles.</w:t>
      </w:r>
    </w:p>
    <w:p w14:paraId="687F387B" w14:textId="77777777" w:rsidR="003D5098" w:rsidRPr="00B751FD" w:rsidRDefault="003D5098" w:rsidP="001E66D5">
      <w:pPr>
        <w:pStyle w:val="Chapter"/>
        <w:tabs>
          <w:tab w:val="clear" w:pos="1440"/>
          <w:tab w:val="clear" w:pos="1800"/>
          <w:tab w:val="left" w:pos="270"/>
        </w:tabs>
        <w:ind w:left="0"/>
        <w:rPr>
          <w:rFonts w:ascii="Arial" w:hAnsi="Arial" w:cs="Arial"/>
          <w:sz w:val="22"/>
          <w:szCs w:val="22"/>
        </w:rPr>
      </w:pPr>
      <w:r w:rsidRPr="00B751FD">
        <w:rPr>
          <w:rFonts w:ascii="Arial" w:hAnsi="Arial" w:cs="Arial"/>
          <w:sz w:val="22"/>
          <w:szCs w:val="22"/>
        </w:rPr>
        <w:t>Características de los Financiamientos</w:t>
      </w:r>
    </w:p>
    <w:p w14:paraId="5F9BEA79" w14:textId="2AECF616" w:rsidR="003917D7" w:rsidRPr="00B751FD" w:rsidRDefault="00345D2F" w:rsidP="00B05F08">
      <w:pPr>
        <w:pStyle w:val="Paragraph"/>
        <w:tabs>
          <w:tab w:val="num" w:pos="2289"/>
        </w:tabs>
        <w:ind w:left="567" w:hanging="567"/>
        <w:rPr>
          <w:rFonts w:ascii="Arial" w:hAnsi="Arial" w:cs="Arial"/>
          <w:sz w:val="22"/>
          <w:szCs w:val="22"/>
        </w:rPr>
      </w:pPr>
      <w:r w:rsidRPr="00B751FD">
        <w:rPr>
          <w:rFonts w:ascii="Arial" w:hAnsi="Arial" w:cs="Arial"/>
          <w:b/>
          <w:sz w:val="22"/>
          <w:szCs w:val="22"/>
        </w:rPr>
        <w:t xml:space="preserve">Sub préstamos para </w:t>
      </w:r>
      <w:r w:rsidR="00E127D5" w:rsidRPr="00B751FD">
        <w:rPr>
          <w:rFonts w:ascii="Arial" w:hAnsi="Arial" w:cs="Arial"/>
          <w:b/>
          <w:sz w:val="22"/>
          <w:szCs w:val="22"/>
        </w:rPr>
        <w:t xml:space="preserve">Financiamiento </w:t>
      </w:r>
      <w:r w:rsidR="00AF1243" w:rsidRPr="00B751FD">
        <w:rPr>
          <w:rFonts w:ascii="Arial" w:hAnsi="Arial" w:cs="Arial"/>
          <w:b/>
          <w:sz w:val="22"/>
          <w:szCs w:val="22"/>
        </w:rPr>
        <w:t xml:space="preserve">para </w:t>
      </w:r>
      <w:r w:rsidR="00C82BCC" w:rsidRPr="00B751FD">
        <w:rPr>
          <w:rFonts w:ascii="Arial" w:hAnsi="Arial" w:cs="Arial"/>
          <w:b/>
          <w:sz w:val="22"/>
          <w:szCs w:val="22"/>
        </w:rPr>
        <w:t>empresas agroforestales</w:t>
      </w:r>
      <w:r w:rsidR="003D5098" w:rsidRPr="00B751FD">
        <w:rPr>
          <w:rFonts w:ascii="Arial" w:hAnsi="Arial" w:cs="Arial"/>
          <w:sz w:val="22"/>
          <w:szCs w:val="22"/>
        </w:rPr>
        <w:t xml:space="preserve">: </w:t>
      </w:r>
      <w:r w:rsidR="00690C29" w:rsidRPr="00B751FD">
        <w:rPr>
          <w:rFonts w:ascii="Arial" w:hAnsi="Arial" w:cs="Arial"/>
          <w:sz w:val="22"/>
          <w:szCs w:val="22"/>
        </w:rPr>
        <w:t xml:space="preserve">Las Áreas Corporativas del </w:t>
      </w:r>
      <w:r w:rsidR="00AD298A" w:rsidRPr="00B751FD">
        <w:rPr>
          <w:rFonts w:ascii="Arial" w:hAnsi="Arial" w:cs="Arial"/>
          <w:sz w:val="22"/>
          <w:szCs w:val="22"/>
        </w:rPr>
        <w:t>BROU</w:t>
      </w:r>
      <w:r w:rsidR="00690C29" w:rsidRPr="00B751FD">
        <w:rPr>
          <w:rFonts w:ascii="Arial" w:hAnsi="Arial" w:cs="Arial"/>
          <w:sz w:val="22"/>
          <w:szCs w:val="22"/>
        </w:rPr>
        <w:t>,</w:t>
      </w:r>
      <w:r w:rsidR="003D5098" w:rsidRPr="00B751FD">
        <w:rPr>
          <w:rFonts w:ascii="Arial" w:hAnsi="Arial" w:cs="Arial"/>
          <w:sz w:val="22"/>
          <w:szCs w:val="22"/>
        </w:rPr>
        <w:t xml:space="preserve"> a la hora de seleccionar los proyectos </w:t>
      </w:r>
      <w:r w:rsidR="00C82BCC" w:rsidRPr="00B751FD">
        <w:rPr>
          <w:rFonts w:ascii="Arial" w:hAnsi="Arial" w:cs="Arial"/>
          <w:sz w:val="22"/>
          <w:szCs w:val="22"/>
        </w:rPr>
        <w:t>agroforestales tratará de</w:t>
      </w:r>
      <w:r w:rsidR="00AF1243" w:rsidRPr="00B751FD">
        <w:rPr>
          <w:rFonts w:ascii="Arial" w:hAnsi="Arial" w:cs="Arial"/>
          <w:sz w:val="22"/>
          <w:szCs w:val="22"/>
        </w:rPr>
        <w:t xml:space="preserve"> maximiz</w:t>
      </w:r>
      <w:r w:rsidR="00C82BCC" w:rsidRPr="00B751FD">
        <w:rPr>
          <w:rFonts w:ascii="Arial" w:hAnsi="Arial" w:cs="Arial"/>
          <w:sz w:val="22"/>
          <w:szCs w:val="22"/>
        </w:rPr>
        <w:t>ar</w:t>
      </w:r>
      <w:r w:rsidR="00AF1243" w:rsidRPr="00B751FD">
        <w:rPr>
          <w:rFonts w:ascii="Arial" w:hAnsi="Arial" w:cs="Arial"/>
          <w:sz w:val="22"/>
          <w:szCs w:val="22"/>
        </w:rPr>
        <w:t xml:space="preserve"> el apalancamiento de los recursos de largo plazo</w:t>
      </w:r>
      <w:r w:rsidR="006026F2" w:rsidRPr="00B751FD">
        <w:rPr>
          <w:rFonts w:ascii="Arial" w:hAnsi="Arial" w:cs="Arial"/>
          <w:sz w:val="22"/>
          <w:szCs w:val="22"/>
        </w:rPr>
        <w:t xml:space="preserve"> manteniendo niveles prudentes de concentración de riesgo conforme a sus buenas prácticas bancarias</w:t>
      </w:r>
      <w:r w:rsidR="00AF1243" w:rsidRPr="00B751FD">
        <w:rPr>
          <w:rFonts w:ascii="Arial" w:hAnsi="Arial" w:cs="Arial"/>
          <w:sz w:val="22"/>
          <w:szCs w:val="22"/>
        </w:rPr>
        <w:t>, y proveyendo términos y condiciones financieras que viabilicen las inversiones</w:t>
      </w:r>
      <w:r w:rsidR="00D40804" w:rsidRPr="00B751FD">
        <w:rPr>
          <w:rFonts w:ascii="Arial" w:hAnsi="Arial" w:cs="Arial"/>
          <w:sz w:val="22"/>
          <w:szCs w:val="22"/>
        </w:rPr>
        <w:t>.</w:t>
      </w:r>
      <w:r w:rsidR="003D5098" w:rsidRPr="00B751FD">
        <w:rPr>
          <w:rFonts w:ascii="Arial" w:hAnsi="Arial" w:cs="Arial"/>
          <w:sz w:val="22"/>
          <w:szCs w:val="22"/>
        </w:rPr>
        <w:t xml:space="preserve"> </w:t>
      </w:r>
      <w:r w:rsidR="00C82BCC" w:rsidRPr="00B751FD">
        <w:rPr>
          <w:rFonts w:ascii="Arial" w:hAnsi="Arial" w:cs="Arial"/>
          <w:sz w:val="22"/>
          <w:szCs w:val="22"/>
        </w:rPr>
        <w:t>No existe un</w:t>
      </w:r>
      <w:r w:rsidR="006026F2" w:rsidRPr="00B751FD">
        <w:rPr>
          <w:rFonts w:ascii="Arial" w:hAnsi="Arial" w:cs="Arial"/>
          <w:sz w:val="22"/>
          <w:szCs w:val="22"/>
        </w:rPr>
        <w:t xml:space="preserve"> m</w:t>
      </w:r>
      <w:r w:rsidR="003D5098" w:rsidRPr="00B751FD">
        <w:rPr>
          <w:rFonts w:ascii="Arial" w:hAnsi="Arial" w:cs="Arial"/>
          <w:sz w:val="22"/>
          <w:szCs w:val="22"/>
        </w:rPr>
        <w:t xml:space="preserve">onto </w:t>
      </w:r>
      <w:r w:rsidR="006026F2" w:rsidRPr="00B751FD">
        <w:rPr>
          <w:rFonts w:ascii="Arial" w:hAnsi="Arial" w:cs="Arial"/>
          <w:sz w:val="22"/>
          <w:szCs w:val="22"/>
        </w:rPr>
        <w:t xml:space="preserve">promedio </w:t>
      </w:r>
      <w:r w:rsidR="003D5098" w:rsidRPr="00B751FD">
        <w:rPr>
          <w:rFonts w:ascii="Arial" w:hAnsi="Arial" w:cs="Arial"/>
          <w:sz w:val="22"/>
          <w:szCs w:val="22"/>
        </w:rPr>
        <w:t>por proyecto</w:t>
      </w:r>
      <w:r w:rsidR="00C82BCC" w:rsidRPr="00B751FD">
        <w:rPr>
          <w:rFonts w:ascii="Arial" w:hAnsi="Arial" w:cs="Arial"/>
          <w:sz w:val="22"/>
          <w:szCs w:val="22"/>
        </w:rPr>
        <w:t xml:space="preserve">, ya que </w:t>
      </w:r>
      <w:r w:rsidR="003917D7" w:rsidRPr="00B751FD">
        <w:rPr>
          <w:rFonts w:ascii="Arial" w:hAnsi="Arial" w:cs="Arial"/>
          <w:sz w:val="22"/>
          <w:szCs w:val="22"/>
        </w:rPr>
        <w:t>vendrá determinado</w:t>
      </w:r>
      <w:r w:rsidR="006026F2" w:rsidRPr="00B751FD">
        <w:rPr>
          <w:rFonts w:ascii="Arial" w:hAnsi="Arial" w:cs="Arial"/>
          <w:sz w:val="22"/>
          <w:szCs w:val="22"/>
        </w:rPr>
        <w:t xml:space="preserve"> por</w:t>
      </w:r>
      <w:r w:rsidR="003917D7" w:rsidRPr="00B751FD">
        <w:rPr>
          <w:rFonts w:ascii="Arial" w:hAnsi="Arial" w:cs="Arial"/>
          <w:sz w:val="22"/>
          <w:szCs w:val="22"/>
        </w:rPr>
        <w:t xml:space="preserve"> el número de proyectos </w:t>
      </w:r>
      <w:r w:rsidR="006026F2" w:rsidRPr="00B751FD">
        <w:rPr>
          <w:rFonts w:ascii="Arial" w:hAnsi="Arial" w:cs="Arial"/>
          <w:sz w:val="22"/>
          <w:szCs w:val="22"/>
        </w:rPr>
        <w:t xml:space="preserve">que el </w:t>
      </w:r>
      <w:r w:rsidR="0046692F" w:rsidRPr="00B751FD">
        <w:rPr>
          <w:rFonts w:ascii="Arial" w:hAnsi="Arial" w:cs="Arial"/>
          <w:sz w:val="22"/>
          <w:szCs w:val="22"/>
        </w:rPr>
        <w:t>programa</w:t>
      </w:r>
      <w:r w:rsidR="006026F2" w:rsidRPr="00B751FD">
        <w:rPr>
          <w:rFonts w:ascii="Arial" w:hAnsi="Arial" w:cs="Arial"/>
          <w:sz w:val="22"/>
          <w:szCs w:val="22"/>
        </w:rPr>
        <w:t xml:space="preserve"> persigue financiar </w:t>
      </w:r>
      <w:r w:rsidR="003917D7" w:rsidRPr="00B751FD">
        <w:rPr>
          <w:rFonts w:ascii="Arial" w:hAnsi="Arial" w:cs="Arial"/>
          <w:sz w:val="22"/>
          <w:szCs w:val="22"/>
        </w:rPr>
        <w:t>(</w:t>
      </w:r>
      <w:r w:rsidR="00C82BCC" w:rsidRPr="00B751FD">
        <w:rPr>
          <w:rFonts w:ascii="Arial" w:hAnsi="Arial" w:cs="Arial"/>
          <w:sz w:val="22"/>
          <w:szCs w:val="22"/>
        </w:rPr>
        <w:t xml:space="preserve">1 o 2 </w:t>
      </w:r>
      <w:r w:rsidR="00B751FD" w:rsidRPr="00B751FD">
        <w:rPr>
          <w:rFonts w:ascii="Arial" w:hAnsi="Arial" w:cs="Arial"/>
          <w:sz w:val="22"/>
          <w:szCs w:val="22"/>
        </w:rPr>
        <w:t>proyectos</w:t>
      </w:r>
      <w:r w:rsidR="003917D7" w:rsidRPr="00B751FD">
        <w:rPr>
          <w:rFonts w:ascii="Arial" w:hAnsi="Arial" w:cs="Arial"/>
          <w:sz w:val="22"/>
          <w:szCs w:val="22"/>
        </w:rPr>
        <w:t>)</w:t>
      </w:r>
      <w:r w:rsidR="003D5098" w:rsidRPr="00B751FD">
        <w:rPr>
          <w:rFonts w:ascii="Arial" w:hAnsi="Arial" w:cs="Arial"/>
          <w:sz w:val="22"/>
          <w:szCs w:val="22"/>
        </w:rPr>
        <w:t xml:space="preserve"> </w:t>
      </w:r>
      <w:r w:rsidR="00C82BCC" w:rsidRPr="00B751FD">
        <w:rPr>
          <w:rFonts w:ascii="Arial" w:hAnsi="Arial" w:cs="Arial"/>
          <w:sz w:val="22"/>
          <w:szCs w:val="22"/>
        </w:rPr>
        <w:t>de la cadena agroforestal</w:t>
      </w:r>
      <w:r w:rsidR="003D5098" w:rsidRPr="00B751FD">
        <w:rPr>
          <w:rFonts w:ascii="Arial" w:hAnsi="Arial" w:cs="Arial"/>
          <w:sz w:val="22"/>
          <w:szCs w:val="22"/>
        </w:rPr>
        <w:t xml:space="preserve">. </w:t>
      </w:r>
      <w:r w:rsidR="006026F2" w:rsidRPr="00B751FD">
        <w:rPr>
          <w:rFonts w:ascii="Arial" w:hAnsi="Arial" w:cs="Arial"/>
          <w:sz w:val="22"/>
          <w:szCs w:val="22"/>
        </w:rPr>
        <w:t>Por su parte, el p</w:t>
      </w:r>
      <w:r w:rsidR="003D5098" w:rsidRPr="00B751FD">
        <w:rPr>
          <w:rFonts w:ascii="Arial" w:hAnsi="Arial" w:cs="Arial"/>
          <w:sz w:val="22"/>
          <w:szCs w:val="22"/>
        </w:rPr>
        <w:t xml:space="preserve">orcentaje de financiamiento sobre el nivel </w:t>
      </w:r>
      <w:r w:rsidR="00AF1243" w:rsidRPr="00B751FD">
        <w:rPr>
          <w:rFonts w:ascii="Arial" w:hAnsi="Arial" w:cs="Arial"/>
          <w:sz w:val="22"/>
          <w:szCs w:val="22"/>
        </w:rPr>
        <w:t xml:space="preserve">de </w:t>
      </w:r>
      <w:r w:rsidR="003D5098" w:rsidRPr="00B751FD">
        <w:rPr>
          <w:rFonts w:ascii="Arial" w:hAnsi="Arial" w:cs="Arial"/>
          <w:sz w:val="22"/>
          <w:szCs w:val="22"/>
        </w:rPr>
        <w:t>inversión</w:t>
      </w:r>
      <w:r w:rsidR="00AF1243" w:rsidRPr="00B751FD">
        <w:rPr>
          <w:rFonts w:ascii="Arial" w:hAnsi="Arial" w:cs="Arial"/>
          <w:sz w:val="22"/>
          <w:szCs w:val="22"/>
        </w:rPr>
        <w:t xml:space="preserve"> </w:t>
      </w:r>
      <w:r w:rsidR="003D5098" w:rsidRPr="00B751FD">
        <w:rPr>
          <w:rFonts w:ascii="Arial" w:hAnsi="Arial" w:cs="Arial"/>
          <w:sz w:val="22"/>
          <w:szCs w:val="22"/>
        </w:rPr>
        <w:t>en cada</w:t>
      </w:r>
      <w:r w:rsidR="006026F2" w:rsidRPr="00B751FD">
        <w:rPr>
          <w:rFonts w:ascii="Arial" w:hAnsi="Arial" w:cs="Arial"/>
          <w:sz w:val="22"/>
          <w:szCs w:val="22"/>
        </w:rPr>
        <w:t xml:space="preserve"> proyecto será el que se determine en cada caso, con un límite del 80% de la inversión total por proyecto. </w:t>
      </w:r>
      <w:r w:rsidR="00BA44A4" w:rsidRPr="00B751FD">
        <w:rPr>
          <w:rFonts w:ascii="Arial" w:hAnsi="Arial" w:cs="Arial"/>
          <w:sz w:val="22"/>
          <w:szCs w:val="22"/>
        </w:rPr>
        <w:t xml:space="preserve">Los proyectos contaran con todos los permisos necesarios de las autoridades competentes de calidad crediticia probada a criterio de </w:t>
      </w:r>
      <w:r w:rsidR="00690C29" w:rsidRPr="00B751FD">
        <w:rPr>
          <w:rFonts w:ascii="Arial" w:hAnsi="Arial" w:cs="Arial"/>
          <w:sz w:val="22"/>
          <w:szCs w:val="22"/>
        </w:rPr>
        <w:t xml:space="preserve">las Áreas Corporativas del </w:t>
      </w:r>
      <w:r w:rsidR="00BA44A4" w:rsidRPr="00B751FD">
        <w:rPr>
          <w:rFonts w:ascii="Arial" w:hAnsi="Arial" w:cs="Arial"/>
          <w:sz w:val="22"/>
          <w:szCs w:val="22"/>
        </w:rPr>
        <w:t xml:space="preserve">BROU. </w:t>
      </w:r>
      <w:r w:rsidR="00B751FD" w:rsidRPr="00B751FD">
        <w:rPr>
          <w:rFonts w:ascii="Arial" w:hAnsi="Arial" w:cs="Arial"/>
          <w:sz w:val="22"/>
          <w:szCs w:val="22"/>
        </w:rPr>
        <w:t>Además,</w:t>
      </w:r>
      <w:r w:rsidR="00C82BCC" w:rsidRPr="00B751FD">
        <w:rPr>
          <w:rFonts w:ascii="Arial" w:hAnsi="Arial" w:cs="Arial"/>
          <w:sz w:val="22"/>
          <w:szCs w:val="22"/>
        </w:rPr>
        <w:t xml:space="preserve"> deberán cumplir con la Ley Forestal Nº 15.939 que establece la prohibición de la tala de bosques nativos</w:t>
      </w:r>
      <w:r w:rsidR="00C82BCC" w:rsidRPr="00B751FD">
        <w:rPr>
          <w:rFonts w:ascii="Arial" w:hAnsi="Arial" w:cs="Arial"/>
          <w:sz w:val="22"/>
          <w:szCs w:val="22"/>
          <w:vertAlign w:val="superscript"/>
        </w:rPr>
        <w:footnoteReference w:id="4"/>
      </w:r>
      <w:r w:rsidR="00C82BCC" w:rsidRPr="00B751FD">
        <w:rPr>
          <w:rFonts w:ascii="Arial" w:hAnsi="Arial" w:cs="Arial"/>
          <w:sz w:val="22"/>
          <w:szCs w:val="22"/>
        </w:rPr>
        <w:t xml:space="preserve"> </w:t>
      </w:r>
      <w:r w:rsidR="00BA44A4" w:rsidRPr="00B751FD">
        <w:rPr>
          <w:rFonts w:ascii="Arial" w:hAnsi="Arial" w:cs="Arial"/>
          <w:sz w:val="22"/>
          <w:szCs w:val="22"/>
        </w:rPr>
        <w:t>En tanto exista algún saldo deudor con el BROU, el subprestatario deberá asumir el compromiso de abstenerse de distribuir dividendos en efectivo o de realizar cualquier pago o transferencia de recursos directa o indirectamente a sus accionistas, y el BROU negociará su posición respecto de los demás acreedores del Subprestatario Elegible.</w:t>
      </w:r>
    </w:p>
    <w:p w14:paraId="235721F4" w14:textId="2278F9FA" w:rsidR="00345D2F" w:rsidRPr="00B751FD" w:rsidRDefault="00345D2F" w:rsidP="004F5C4C">
      <w:pPr>
        <w:pStyle w:val="Paragraph"/>
        <w:tabs>
          <w:tab w:val="num" w:pos="2289"/>
        </w:tabs>
        <w:ind w:left="567" w:hanging="567"/>
        <w:rPr>
          <w:rFonts w:ascii="Arial" w:hAnsi="Arial" w:cs="Arial"/>
          <w:b/>
          <w:sz w:val="22"/>
          <w:szCs w:val="22"/>
        </w:rPr>
      </w:pPr>
      <w:r w:rsidRPr="00B751FD">
        <w:rPr>
          <w:rFonts w:ascii="Arial" w:hAnsi="Arial" w:cs="Arial"/>
          <w:b/>
          <w:sz w:val="22"/>
          <w:szCs w:val="22"/>
        </w:rPr>
        <w:t xml:space="preserve">Sub préstamos para Financiamiento para obras de infraestructura productiva privada y/o pública </w:t>
      </w:r>
    </w:p>
    <w:p w14:paraId="000A5230" w14:textId="3B8173F2" w:rsidR="0045703D" w:rsidRPr="00B751FD" w:rsidRDefault="00345D2F" w:rsidP="0045703D">
      <w:pPr>
        <w:pStyle w:val="Paragraph"/>
        <w:numPr>
          <w:ilvl w:val="0"/>
          <w:numId w:val="0"/>
        </w:numPr>
        <w:tabs>
          <w:tab w:val="num" w:pos="1296"/>
          <w:tab w:val="num" w:pos="2289"/>
        </w:tabs>
        <w:ind w:left="567"/>
        <w:rPr>
          <w:rFonts w:ascii="Arial" w:hAnsi="Arial" w:cs="Arial"/>
          <w:sz w:val="22"/>
          <w:szCs w:val="22"/>
        </w:rPr>
      </w:pPr>
      <w:r w:rsidRPr="00B751FD">
        <w:rPr>
          <w:rFonts w:ascii="Arial" w:hAnsi="Arial" w:cs="Arial"/>
          <w:sz w:val="22"/>
          <w:szCs w:val="22"/>
        </w:rPr>
        <w:t xml:space="preserve">EL BROU </w:t>
      </w:r>
      <w:r w:rsidR="00B751FD" w:rsidRPr="00B751FD">
        <w:rPr>
          <w:rFonts w:ascii="Arial" w:hAnsi="Arial" w:cs="Arial"/>
          <w:sz w:val="22"/>
          <w:szCs w:val="22"/>
        </w:rPr>
        <w:t>seleccionará</w:t>
      </w:r>
      <w:r w:rsidRPr="00B751FD">
        <w:rPr>
          <w:rFonts w:ascii="Arial" w:hAnsi="Arial" w:cs="Arial"/>
          <w:sz w:val="22"/>
          <w:szCs w:val="22"/>
        </w:rPr>
        <w:t xml:space="preserve"> las operaciones infraestructura productiva que serán financiados a través de esquemas de las </w:t>
      </w:r>
      <w:r w:rsidR="004F5C4C">
        <w:rPr>
          <w:rFonts w:ascii="Arial" w:hAnsi="Arial" w:cs="Arial"/>
          <w:sz w:val="22"/>
          <w:szCs w:val="22"/>
        </w:rPr>
        <w:t>PPP</w:t>
      </w:r>
      <w:r w:rsidRPr="00B751FD">
        <w:rPr>
          <w:rFonts w:ascii="Arial" w:hAnsi="Arial" w:cs="Arial"/>
          <w:sz w:val="22"/>
          <w:szCs w:val="22"/>
        </w:rPr>
        <w:t>, concesiones o similar. Las inversiones de este componente financiarán obras de infraestructura en el sector de transporte y logística, pudiendo ser proyectos viales, ferroviarios o de puertos. Dado el tamaño de las inversiones en relación al aporte del BROU no se establece un tope de monto de financiación, pero será necesario que las inversiones se realicen en proyectos cofinanciados junto a otras entidades financieras. Se podrá estructurar diversos instrumentos financieros o esquemas de financiamiento que promuevan el apalancamiento de recursos de las obras asociadas tales como seguros, garantías, y/o esquemas de financiación estructurada, entre otros</w:t>
      </w:r>
      <w:r w:rsidRPr="00B751FD">
        <w:rPr>
          <w:rFonts w:ascii="Arial" w:hAnsi="Arial" w:cs="Arial"/>
          <w:sz w:val="22"/>
          <w:szCs w:val="22"/>
          <w:vertAlign w:val="superscript"/>
        </w:rPr>
        <w:footnoteReference w:id="5"/>
      </w:r>
      <w:r w:rsidR="00B751FD" w:rsidRPr="00B751FD">
        <w:rPr>
          <w:rFonts w:ascii="Arial" w:hAnsi="Arial" w:cs="Arial"/>
          <w:sz w:val="22"/>
          <w:szCs w:val="22"/>
        </w:rPr>
        <w:t>.</w:t>
      </w:r>
      <w:r w:rsidRPr="00B751FD">
        <w:rPr>
          <w:rFonts w:ascii="Arial" w:hAnsi="Arial" w:cs="Arial"/>
          <w:sz w:val="22"/>
          <w:szCs w:val="22"/>
        </w:rPr>
        <w:t xml:space="preserve"> Para ello, el Banco se encuentra procesando la aprobación de una Cooperación Técnica (CT) (UR-T1181) que apoyará al BROU en la estructuración de un área que se dedique a la financiación de proyectos de las </w:t>
      </w:r>
      <w:r w:rsidR="004F5C4C">
        <w:rPr>
          <w:rFonts w:ascii="Arial" w:hAnsi="Arial" w:cs="Arial"/>
          <w:sz w:val="22"/>
          <w:szCs w:val="22"/>
        </w:rPr>
        <w:t>PPP</w:t>
      </w:r>
      <w:r w:rsidRPr="00B751FD">
        <w:rPr>
          <w:rFonts w:ascii="Arial" w:hAnsi="Arial" w:cs="Arial"/>
          <w:sz w:val="22"/>
          <w:szCs w:val="22"/>
        </w:rPr>
        <w:t xml:space="preserve"> y que servirá para apoyar el desarrollo de los mecanismos e instrumentos financieros que se utilicen en la ejecución del segundo componente. </w:t>
      </w:r>
    </w:p>
    <w:p w14:paraId="3C1B8081" w14:textId="4A1502DB" w:rsidR="00345D2F" w:rsidRPr="00B751FD" w:rsidRDefault="00345D2F" w:rsidP="0045703D">
      <w:pPr>
        <w:pStyle w:val="Paragraph"/>
        <w:tabs>
          <w:tab w:val="num" w:pos="2289"/>
        </w:tabs>
        <w:ind w:left="567" w:hanging="567"/>
        <w:rPr>
          <w:rFonts w:ascii="Arial" w:hAnsi="Arial" w:cs="Arial"/>
          <w:sz w:val="22"/>
          <w:szCs w:val="22"/>
        </w:rPr>
      </w:pPr>
      <w:r w:rsidRPr="00B751FD">
        <w:rPr>
          <w:rFonts w:ascii="Arial" w:hAnsi="Arial" w:cs="Arial"/>
          <w:sz w:val="22"/>
          <w:szCs w:val="22"/>
        </w:rPr>
        <w:lastRenderedPageBreak/>
        <w:t xml:space="preserve">En conjunto con la Unidad de PPP del BID se </w:t>
      </w:r>
      <w:r w:rsidR="00B751FD" w:rsidRPr="00B751FD">
        <w:rPr>
          <w:rFonts w:ascii="Arial" w:hAnsi="Arial" w:cs="Arial"/>
          <w:sz w:val="22"/>
          <w:szCs w:val="22"/>
        </w:rPr>
        <w:t>está</w:t>
      </w:r>
      <w:r w:rsidRPr="00B751FD">
        <w:rPr>
          <w:rFonts w:ascii="Arial" w:hAnsi="Arial" w:cs="Arial"/>
          <w:sz w:val="22"/>
          <w:szCs w:val="22"/>
        </w:rPr>
        <w:t xml:space="preserve"> realizando un plan de capacitación de la Unidad de PPP del BROU con el fin de fortalecer la capacidad de análisis financiero de los proyectos. </w:t>
      </w:r>
    </w:p>
    <w:p w14:paraId="25C11510" w14:textId="3FA46C4E" w:rsidR="0045703D" w:rsidRPr="00B751FD" w:rsidRDefault="001E66D5" w:rsidP="0045703D">
      <w:pPr>
        <w:pStyle w:val="Paragraph"/>
        <w:tabs>
          <w:tab w:val="num" w:pos="2289"/>
        </w:tabs>
        <w:ind w:left="567" w:hanging="567"/>
        <w:rPr>
          <w:rFonts w:ascii="Arial" w:hAnsi="Arial" w:cs="Arial"/>
          <w:sz w:val="22"/>
          <w:szCs w:val="22"/>
        </w:rPr>
      </w:pPr>
      <w:r w:rsidRPr="00B751FD">
        <w:rPr>
          <w:rFonts w:ascii="Arial" w:hAnsi="Arial" w:cs="Arial"/>
          <w:sz w:val="22"/>
          <w:szCs w:val="22"/>
        </w:rPr>
        <w:t>El monto, porcentaje de cobertura, plazos, tasas y comisiones de la facilidad financiera será determinado por el BROU para ambas líneas de inversión conforme a sus políticas y al sistema normativo de crédito, adaptando dichos factores a cada caso basándose en el riesgo del proyecto y el costo de financiamiento.</w:t>
      </w:r>
    </w:p>
    <w:p w14:paraId="5BA2C324" w14:textId="77777777" w:rsidR="001E3558" w:rsidRPr="00B751FD" w:rsidRDefault="001E3558" w:rsidP="006E3680">
      <w:pPr>
        <w:ind w:left="567"/>
        <w:rPr>
          <w:rFonts w:ascii="Arial" w:hAnsi="Arial" w:cs="Arial"/>
          <w:sz w:val="22"/>
          <w:szCs w:val="22"/>
          <w:lang w:val="es-ES_tradnl"/>
        </w:rPr>
      </w:pPr>
    </w:p>
    <w:p w14:paraId="0E253371" w14:textId="77777777" w:rsidR="00E807F3" w:rsidRPr="00B751FD" w:rsidRDefault="00E807F3" w:rsidP="001E66D5">
      <w:pPr>
        <w:pStyle w:val="Chapter"/>
        <w:tabs>
          <w:tab w:val="clear" w:pos="1440"/>
          <w:tab w:val="clear" w:pos="1800"/>
          <w:tab w:val="left" w:pos="270"/>
        </w:tabs>
        <w:ind w:left="0"/>
        <w:rPr>
          <w:rFonts w:ascii="Arial" w:hAnsi="Arial" w:cs="Arial"/>
          <w:sz w:val="22"/>
          <w:szCs w:val="22"/>
        </w:rPr>
      </w:pPr>
      <w:r w:rsidRPr="00B751FD">
        <w:rPr>
          <w:rFonts w:ascii="Arial" w:hAnsi="Arial" w:cs="Arial"/>
          <w:sz w:val="22"/>
          <w:szCs w:val="22"/>
        </w:rPr>
        <w:t>Otras condiciones de las Operaciones Elegibles</w:t>
      </w:r>
    </w:p>
    <w:p w14:paraId="44333717" w14:textId="5FA98421" w:rsidR="005A2959" w:rsidRPr="00B751FD" w:rsidRDefault="00804141" w:rsidP="00E807F3">
      <w:pPr>
        <w:pStyle w:val="Paragraph"/>
        <w:tabs>
          <w:tab w:val="num" w:pos="851"/>
        </w:tabs>
        <w:ind w:left="851" w:hanging="851"/>
        <w:rPr>
          <w:rFonts w:ascii="Arial" w:hAnsi="Arial" w:cs="Arial"/>
          <w:sz w:val="22"/>
          <w:szCs w:val="22"/>
        </w:rPr>
      </w:pPr>
      <w:r w:rsidRPr="00B751FD">
        <w:rPr>
          <w:rFonts w:ascii="Arial" w:hAnsi="Arial" w:cs="Arial"/>
          <w:sz w:val="22"/>
          <w:szCs w:val="22"/>
        </w:rPr>
        <w:t xml:space="preserve">Las Áreas Corporativas del </w:t>
      </w:r>
      <w:r w:rsidR="00AD298A" w:rsidRPr="00B751FD">
        <w:rPr>
          <w:rFonts w:ascii="Arial" w:hAnsi="Arial" w:cs="Arial"/>
          <w:sz w:val="22"/>
          <w:szCs w:val="22"/>
        </w:rPr>
        <w:t>BROU</w:t>
      </w:r>
      <w:r w:rsidR="005A2959" w:rsidRPr="00B751FD">
        <w:rPr>
          <w:rFonts w:ascii="Arial" w:hAnsi="Arial" w:cs="Arial"/>
          <w:sz w:val="22"/>
          <w:szCs w:val="22"/>
        </w:rPr>
        <w:t xml:space="preserve"> considerará en todos los contratos de </w:t>
      </w:r>
      <w:r w:rsidR="0075055A" w:rsidRPr="00B751FD">
        <w:rPr>
          <w:rFonts w:ascii="Arial" w:hAnsi="Arial" w:cs="Arial"/>
          <w:sz w:val="22"/>
          <w:szCs w:val="22"/>
        </w:rPr>
        <w:t>Subpréstamos</w:t>
      </w:r>
      <w:r w:rsidR="005A2959" w:rsidRPr="00B751FD">
        <w:rPr>
          <w:rFonts w:ascii="Arial" w:hAnsi="Arial" w:cs="Arial"/>
          <w:sz w:val="22"/>
          <w:szCs w:val="22"/>
        </w:rPr>
        <w:t xml:space="preserve"> que otorgue las siguientes condiciones:</w:t>
      </w:r>
    </w:p>
    <w:p w14:paraId="7BD53A4E" w14:textId="053ED38A" w:rsidR="005E102B" w:rsidRPr="00B751FD" w:rsidRDefault="005A2959" w:rsidP="00A82519">
      <w:pPr>
        <w:pStyle w:val="Paragraph"/>
        <w:numPr>
          <w:ilvl w:val="0"/>
          <w:numId w:val="12"/>
        </w:numPr>
        <w:ind w:left="1170"/>
        <w:rPr>
          <w:rFonts w:ascii="Arial" w:hAnsi="Arial" w:cs="Arial"/>
          <w:sz w:val="22"/>
          <w:szCs w:val="22"/>
        </w:rPr>
      </w:pPr>
      <w:r w:rsidRPr="00B751FD">
        <w:rPr>
          <w:rFonts w:ascii="Arial" w:hAnsi="Arial" w:cs="Arial"/>
          <w:sz w:val="22"/>
          <w:szCs w:val="22"/>
        </w:rPr>
        <w:t>E</w:t>
      </w:r>
      <w:r w:rsidR="00E807F3" w:rsidRPr="00B751FD">
        <w:rPr>
          <w:rFonts w:ascii="Arial" w:hAnsi="Arial" w:cs="Arial"/>
          <w:sz w:val="22"/>
          <w:szCs w:val="22"/>
        </w:rPr>
        <w:t xml:space="preserve">l Subprestatario Elegible </w:t>
      </w:r>
      <w:r w:rsidRPr="00B751FD">
        <w:rPr>
          <w:rFonts w:ascii="Arial" w:hAnsi="Arial" w:cs="Arial"/>
          <w:sz w:val="22"/>
          <w:szCs w:val="22"/>
        </w:rPr>
        <w:t>se compromete a</w:t>
      </w:r>
      <w:r w:rsidR="00E807F3" w:rsidRPr="00B751FD">
        <w:rPr>
          <w:rFonts w:ascii="Arial" w:hAnsi="Arial" w:cs="Arial"/>
          <w:sz w:val="22"/>
          <w:szCs w:val="22"/>
        </w:rPr>
        <w:t xml:space="preserve"> utilizar los recursos exclusivamente para los conceptos referidos en el apartado </w:t>
      </w:r>
      <w:r w:rsidR="003D5098" w:rsidRPr="00B751FD">
        <w:rPr>
          <w:rFonts w:ascii="Arial" w:hAnsi="Arial" w:cs="Arial"/>
          <w:sz w:val="22"/>
          <w:szCs w:val="22"/>
        </w:rPr>
        <w:t>4.</w:t>
      </w:r>
      <w:r w:rsidR="00E910E1" w:rsidRPr="00B751FD">
        <w:rPr>
          <w:rFonts w:ascii="Arial" w:hAnsi="Arial" w:cs="Arial"/>
          <w:sz w:val="22"/>
          <w:szCs w:val="22"/>
        </w:rPr>
        <w:t>2</w:t>
      </w:r>
      <w:r w:rsidR="003D5098" w:rsidRPr="00B751FD">
        <w:rPr>
          <w:rFonts w:ascii="Arial" w:hAnsi="Arial" w:cs="Arial"/>
          <w:sz w:val="22"/>
          <w:szCs w:val="22"/>
        </w:rPr>
        <w:t xml:space="preserve"> y </w:t>
      </w:r>
      <w:r w:rsidR="00E807F3" w:rsidRPr="00B751FD">
        <w:rPr>
          <w:rFonts w:ascii="Arial" w:hAnsi="Arial" w:cs="Arial"/>
          <w:sz w:val="22"/>
          <w:szCs w:val="22"/>
        </w:rPr>
        <w:t>4.3 de este Reglamento.</w:t>
      </w:r>
    </w:p>
    <w:p w14:paraId="3E2AB115" w14:textId="5645F7AC" w:rsidR="005E102B" w:rsidRPr="00B751FD" w:rsidRDefault="005A2959" w:rsidP="00A82519">
      <w:pPr>
        <w:pStyle w:val="Paragraph"/>
        <w:numPr>
          <w:ilvl w:val="0"/>
          <w:numId w:val="12"/>
        </w:numPr>
        <w:ind w:left="1170"/>
        <w:rPr>
          <w:rFonts w:ascii="Arial" w:hAnsi="Arial" w:cs="Arial"/>
          <w:sz w:val="22"/>
          <w:szCs w:val="22"/>
        </w:rPr>
      </w:pPr>
      <w:r w:rsidRPr="00B751FD">
        <w:rPr>
          <w:rFonts w:ascii="Arial" w:hAnsi="Arial" w:cs="Arial"/>
          <w:sz w:val="22"/>
          <w:szCs w:val="22"/>
        </w:rPr>
        <w:t xml:space="preserve">El Subprestatario Elegible deberá proporcionar toda la información que </w:t>
      </w:r>
      <w:r w:rsidR="00AD298A" w:rsidRPr="00B751FD">
        <w:rPr>
          <w:rFonts w:ascii="Arial" w:hAnsi="Arial" w:cs="Arial"/>
          <w:sz w:val="22"/>
          <w:szCs w:val="22"/>
        </w:rPr>
        <w:t>BROU</w:t>
      </w:r>
      <w:r w:rsidRPr="00B751FD">
        <w:rPr>
          <w:rFonts w:ascii="Arial" w:hAnsi="Arial" w:cs="Arial"/>
          <w:sz w:val="22"/>
          <w:szCs w:val="22"/>
        </w:rPr>
        <w:t xml:space="preserve"> razonablemente le solicite en relación con el proyecto y su situación financiera. Asimismo, </w:t>
      </w:r>
      <w:r w:rsidR="00AD298A" w:rsidRPr="00B751FD">
        <w:rPr>
          <w:rFonts w:ascii="Arial" w:hAnsi="Arial" w:cs="Arial"/>
          <w:sz w:val="22"/>
          <w:szCs w:val="22"/>
        </w:rPr>
        <w:t>BROU</w:t>
      </w:r>
      <w:r w:rsidRPr="00B751FD">
        <w:rPr>
          <w:rFonts w:ascii="Arial" w:hAnsi="Arial" w:cs="Arial"/>
          <w:sz w:val="22"/>
          <w:szCs w:val="22"/>
        </w:rPr>
        <w:t xml:space="preserve"> y el BID tendrán el derecho a examinar la documentación, bienes, lugares, trabajos y obras del respectivo proyecto.</w:t>
      </w:r>
      <w:r w:rsidR="00D05F35" w:rsidRPr="00B751FD">
        <w:rPr>
          <w:rFonts w:ascii="Arial" w:hAnsi="Arial" w:cs="Arial"/>
          <w:sz w:val="22"/>
          <w:szCs w:val="22"/>
        </w:rPr>
        <w:t xml:space="preserve"> Para el Componente I del </w:t>
      </w:r>
      <w:r w:rsidR="00A56887" w:rsidRPr="00B751FD">
        <w:rPr>
          <w:rFonts w:ascii="Arial" w:hAnsi="Arial" w:cs="Arial"/>
          <w:sz w:val="22"/>
          <w:szCs w:val="22"/>
        </w:rPr>
        <w:t>PROGRAMA</w:t>
      </w:r>
      <w:r w:rsidR="00D05F35" w:rsidRPr="00B751FD">
        <w:rPr>
          <w:rFonts w:ascii="Arial" w:hAnsi="Arial" w:cs="Arial"/>
          <w:sz w:val="22"/>
          <w:szCs w:val="22"/>
        </w:rPr>
        <w:t xml:space="preserve">, </w:t>
      </w:r>
      <w:r w:rsidR="00AD298A" w:rsidRPr="00B751FD">
        <w:rPr>
          <w:rFonts w:ascii="Arial" w:hAnsi="Arial" w:cs="Arial"/>
          <w:sz w:val="22"/>
          <w:szCs w:val="22"/>
        </w:rPr>
        <w:t>BROU</w:t>
      </w:r>
      <w:r w:rsidR="00D05F35" w:rsidRPr="00B751FD">
        <w:rPr>
          <w:rFonts w:ascii="Arial" w:hAnsi="Arial" w:cs="Arial"/>
          <w:sz w:val="22"/>
          <w:szCs w:val="22"/>
        </w:rPr>
        <w:t xml:space="preserve"> seguirá sus políticas y normatividad en materia de solicitud de información, supervisión y seguimiento de acuerdo con su Sistema Normativo de Crédito.</w:t>
      </w:r>
    </w:p>
    <w:p w14:paraId="06D83817" w14:textId="553B7792" w:rsidR="005E102B" w:rsidRPr="00B751FD" w:rsidRDefault="005A2959" w:rsidP="00A82519">
      <w:pPr>
        <w:pStyle w:val="Paragraph"/>
        <w:numPr>
          <w:ilvl w:val="0"/>
          <w:numId w:val="12"/>
        </w:numPr>
        <w:ind w:left="1170"/>
        <w:rPr>
          <w:rFonts w:ascii="Arial" w:hAnsi="Arial" w:cs="Arial"/>
          <w:sz w:val="22"/>
          <w:szCs w:val="22"/>
        </w:rPr>
      </w:pPr>
      <w:r w:rsidRPr="00B751FD">
        <w:rPr>
          <w:rFonts w:ascii="Arial" w:hAnsi="Arial" w:cs="Arial"/>
          <w:sz w:val="22"/>
          <w:szCs w:val="22"/>
        </w:rPr>
        <w:t>El Subprestatario Elegible se compromete en mantener la contabilidad y registros que fácilmente identifiquen el manejo de los recursos que le sean otorgados bajo el contrato de financiamiento.</w:t>
      </w:r>
    </w:p>
    <w:p w14:paraId="2FEC8C72" w14:textId="65670011" w:rsidR="005E102B" w:rsidRPr="00B751FD" w:rsidRDefault="005A2959" w:rsidP="00A82519">
      <w:pPr>
        <w:pStyle w:val="Paragraph"/>
        <w:numPr>
          <w:ilvl w:val="0"/>
          <w:numId w:val="12"/>
        </w:numPr>
        <w:ind w:left="1170"/>
        <w:rPr>
          <w:rFonts w:ascii="Arial" w:hAnsi="Arial" w:cs="Arial"/>
          <w:sz w:val="22"/>
          <w:szCs w:val="22"/>
        </w:rPr>
      </w:pPr>
      <w:r w:rsidRPr="00B751FD">
        <w:rPr>
          <w:rFonts w:ascii="Arial" w:hAnsi="Arial" w:cs="Arial"/>
          <w:sz w:val="22"/>
          <w:szCs w:val="22"/>
        </w:rPr>
        <w:t>El Subprestatario deberá adoptar criterios de eficiencia, economía y transparencia en los contratos de construcción, adquisición de bienes y de prestación de servicios para el Sub proyecto.</w:t>
      </w:r>
    </w:p>
    <w:p w14:paraId="20D4ACD6" w14:textId="3B7A78D3" w:rsidR="005E102B" w:rsidRPr="00B751FD" w:rsidRDefault="005A2959" w:rsidP="00A82519">
      <w:pPr>
        <w:pStyle w:val="Paragraph"/>
        <w:numPr>
          <w:ilvl w:val="0"/>
          <w:numId w:val="12"/>
        </w:numPr>
        <w:ind w:left="1170"/>
        <w:rPr>
          <w:rFonts w:ascii="Arial" w:hAnsi="Arial" w:cs="Arial"/>
          <w:sz w:val="22"/>
          <w:szCs w:val="22"/>
        </w:rPr>
      </w:pPr>
      <w:r w:rsidRPr="00B751FD">
        <w:rPr>
          <w:rFonts w:ascii="Arial" w:hAnsi="Arial" w:cs="Arial"/>
          <w:sz w:val="22"/>
          <w:szCs w:val="22"/>
        </w:rPr>
        <w:t>El Subprestatario cumplirá l</w:t>
      </w:r>
      <w:r w:rsidR="005A6ED4" w:rsidRPr="00B751FD">
        <w:rPr>
          <w:rFonts w:ascii="Arial" w:hAnsi="Arial" w:cs="Arial"/>
          <w:sz w:val="22"/>
          <w:szCs w:val="22"/>
        </w:rPr>
        <w:t>o</w:t>
      </w:r>
      <w:r w:rsidRPr="00B751FD">
        <w:rPr>
          <w:rFonts w:ascii="Arial" w:hAnsi="Arial" w:cs="Arial"/>
          <w:sz w:val="22"/>
          <w:szCs w:val="22"/>
        </w:rPr>
        <w:t xml:space="preserve">s demás requisitos exigidos por el </w:t>
      </w:r>
      <w:r w:rsidR="0045447D" w:rsidRPr="00B751FD">
        <w:rPr>
          <w:rFonts w:ascii="Arial" w:hAnsi="Arial" w:cs="Arial"/>
          <w:sz w:val="22"/>
          <w:szCs w:val="22"/>
        </w:rPr>
        <w:t xml:space="preserve">Informe </w:t>
      </w:r>
      <w:r w:rsidRPr="00B751FD">
        <w:rPr>
          <w:rFonts w:ascii="Arial" w:hAnsi="Arial" w:cs="Arial"/>
          <w:sz w:val="22"/>
          <w:szCs w:val="22"/>
        </w:rPr>
        <w:t xml:space="preserve">de Gestión Ambiental y Social y el Sistema Normativo de Crédito de </w:t>
      </w:r>
      <w:r w:rsidR="00AD298A" w:rsidRPr="00B751FD">
        <w:rPr>
          <w:rFonts w:ascii="Arial" w:hAnsi="Arial" w:cs="Arial"/>
          <w:sz w:val="22"/>
          <w:szCs w:val="22"/>
        </w:rPr>
        <w:t>BROU</w:t>
      </w:r>
      <w:r w:rsidRPr="00B751FD">
        <w:rPr>
          <w:rFonts w:ascii="Arial" w:hAnsi="Arial" w:cs="Arial"/>
          <w:sz w:val="22"/>
          <w:szCs w:val="22"/>
        </w:rPr>
        <w:t>.</w:t>
      </w:r>
    </w:p>
    <w:p w14:paraId="19F742CB" w14:textId="36456C92" w:rsidR="005E102B" w:rsidRPr="00B751FD" w:rsidRDefault="005A2959" w:rsidP="00A82519">
      <w:pPr>
        <w:pStyle w:val="Paragraph"/>
        <w:numPr>
          <w:ilvl w:val="0"/>
          <w:numId w:val="12"/>
        </w:numPr>
        <w:ind w:left="1170"/>
        <w:rPr>
          <w:rFonts w:ascii="Arial" w:hAnsi="Arial" w:cs="Arial"/>
          <w:sz w:val="22"/>
          <w:szCs w:val="22"/>
        </w:rPr>
      </w:pPr>
      <w:r w:rsidRPr="00B751FD">
        <w:rPr>
          <w:rFonts w:ascii="Arial" w:hAnsi="Arial" w:cs="Arial"/>
          <w:sz w:val="22"/>
          <w:szCs w:val="22"/>
        </w:rPr>
        <w:t xml:space="preserve">El Subprestatario Elegible adoptará las medidas apropiadas para que los obras y equipos financiados sean mantenidos adecuadamente de manera que permitan su normal operación. Si de las inspecciones que realice </w:t>
      </w:r>
      <w:r w:rsidR="00AD298A" w:rsidRPr="00B751FD">
        <w:rPr>
          <w:rFonts w:ascii="Arial" w:hAnsi="Arial" w:cs="Arial"/>
          <w:sz w:val="22"/>
          <w:szCs w:val="22"/>
        </w:rPr>
        <w:t>BROU</w:t>
      </w:r>
      <w:r w:rsidRPr="00B751FD">
        <w:rPr>
          <w:rFonts w:ascii="Arial" w:hAnsi="Arial" w:cs="Arial"/>
          <w:sz w:val="22"/>
          <w:szCs w:val="22"/>
        </w:rPr>
        <w:t xml:space="preserve"> o el BID, o de los informes que reciba, se determina que el mantenimiento se efectúa por debajo de los niveles convenidos, el Subprestatario Elegible deberá adoptar las medidas necesarias para que se corrijan totalmente las deficiencias. Para lo cual se acordará con </w:t>
      </w:r>
      <w:r w:rsidR="00AD298A" w:rsidRPr="00B751FD">
        <w:rPr>
          <w:rFonts w:ascii="Arial" w:hAnsi="Arial" w:cs="Arial"/>
          <w:sz w:val="22"/>
          <w:szCs w:val="22"/>
        </w:rPr>
        <w:t>BROU</w:t>
      </w:r>
      <w:r w:rsidRPr="00B751FD">
        <w:rPr>
          <w:rFonts w:ascii="Arial" w:hAnsi="Arial" w:cs="Arial"/>
          <w:sz w:val="22"/>
          <w:szCs w:val="22"/>
        </w:rPr>
        <w:t xml:space="preserve"> las medidas conducentes para obtener dichos resultados, a darle seguimiento y en caso necesario, adoptar las medidas correctivas.</w:t>
      </w:r>
      <w:r w:rsidR="00D05F35" w:rsidRPr="00B751FD">
        <w:rPr>
          <w:rFonts w:ascii="Arial" w:hAnsi="Arial" w:cs="Arial"/>
          <w:sz w:val="22"/>
          <w:szCs w:val="22"/>
        </w:rPr>
        <w:t xml:space="preserve"> Para el Componente II del </w:t>
      </w:r>
      <w:r w:rsidR="00A56887" w:rsidRPr="00B751FD">
        <w:rPr>
          <w:rFonts w:ascii="Arial" w:hAnsi="Arial" w:cs="Arial"/>
          <w:sz w:val="22"/>
          <w:szCs w:val="22"/>
        </w:rPr>
        <w:t>PROGRAMA</w:t>
      </w:r>
      <w:r w:rsidR="00D05F35" w:rsidRPr="00B751FD">
        <w:rPr>
          <w:rFonts w:ascii="Arial" w:hAnsi="Arial" w:cs="Arial"/>
          <w:sz w:val="22"/>
          <w:szCs w:val="22"/>
        </w:rPr>
        <w:t xml:space="preserve">, </w:t>
      </w:r>
      <w:r w:rsidR="00AD298A" w:rsidRPr="00B751FD">
        <w:rPr>
          <w:rFonts w:ascii="Arial" w:hAnsi="Arial" w:cs="Arial"/>
          <w:sz w:val="22"/>
          <w:szCs w:val="22"/>
        </w:rPr>
        <w:t>BROU</w:t>
      </w:r>
      <w:r w:rsidR="00D05F35" w:rsidRPr="00B751FD">
        <w:rPr>
          <w:rFonts w:ascii="Arial" w:hAnsi="Arial" w:cs="Arial"/>
          <w:sz w:val="22"/>
          <w:szCs w:val="22"/>
        </w:rPr>
        <w:t xml:space="preserve"> seguirá sus políticas y normatividad en materia solicitud de información, supervisión y seguimiento de acuerdo con su Sistema Normativo de Crédito.</w:t>
      </w:r>
    </w:p>
    <w:p w14:paraId="55AEA223" w14:textId="77777777" w:rsidR="001E3558" w:rsidRPr="00B751FD" w:rsidRDefault="001E3558" w:rsidP="00B05F08">
      <w:pPr>
        <w:pStyle w:val="Paragraph"/>
        <w:numPr>
          <w:ilvl w:val="0"/>
          <w:numId w:val="0"/>
        </w:numPr>
        <w:ind w:left="1296" w:hanging="1296"/>
        <w:rPr>
          <w:rFonts w:ascii="Arial" w:hAnsi="Arial" w:cs="Arial"/>
          <w:strike/>
          <w:sz w:val="22"/>
          <w:szCs w:val="22"/>
        </w:rPr>
      </w:pPr>
    </w:p>
    <w:p w14:paraId="7B1EF9D2" w14:textId="58E5F482" w:rsidR="00104FBE" w:rsidRPr="00B751FD" w:rsidRDefault="00AD4A82" w:rsidP="001E66D5">
      <w:pPr>
        <w:pStyle w:val="Chapter"/>
        <w:tabs>
          <w:tab w:val="clear" w:pos="1440"/>
          <w:tab w:val="clear" w:pos="1800"/>
          <w:tab w:val="left" w:pos="270"/>
        </w:tabs>
        <w:ind w:left="0"/>
        <w:rPr>
          <w:rFonts w:ascii="Arial" w:hAnsi="Arial" w:cs="Arial"/>
          <w:sz w:val="22"/>
          <w:szCs w:val="22"/>
        </w:rPr>
      </w:pPr>
      <w:r w:rsidRPr="00B751FD">
        <w:rPr>
          <w:rFonts w:ascii="Arial" w:hAnsi="Arial" w:cs="Arial"/>
          <w:sz w:val="22"/>
          <w:szCs w:val="22"/>
        </w:rPr>
        <w:lastRenderedPageBreak/>
        <w:t xml:space="preserve">Aspectos Ambientales y </w:t>
      </w:r>
      <w:r w:rsidR="00610A37" w:rsidRPr="00B751FD">
        <w:rPr>
          <w:rFonts w:ascii="Arial" w:hAnsi="Arial" w:cs="Arial"/>
          <w:sz w:val="22"/>
          <w:szCs w:val="22"/>
        </w:rPr>
        <w:t>S</w:t>
      </w:r>
      <w:r w:rsidRPr="00B751FD">
        <w:rPr>
          <w:rFonts w:ascii="Arial" w:hAnsi="Arial" w:cs="Arial"/>
          <w:sz w:val="22"/>
          <w:szCs w:val="22"/>
        </w:rPr>
        <w:t>ociales</w:t>
      </w:r>
    </w:p>
    <w:p w14:paraId="1E30AEBD" w14:textId="76761930" w:rsidR="00104FBE" w:rsidRPr="00B751FD" w:rsidRDefault="00104FBE" w:rsidP="006E3680">
      <w:pPr>
        <w:pStyle w:val="Paragraph"/>
        <w:numPr>
          <w:ilvl w:val="0"/>
          <w:numId w:val="0"/>
        </w:numPr>
        <w:tabs>
          <w:tab w:val="num" w:pos="3706"/>
        </w:tabs>
        <w:ind w:left="851" w:hanging="851"/>
        <w:rPr>
          <w:rFonts w:ascii="Arial" w:hAnsi="Arial" w:cs="Arial"/>
          <w:sz w:val="22"/>
          <w:szCs w:val="22"/>
        </w:rPr>
      </w:pPr>
      <w:r w:rsidRPr="00B751FD">
        <w:rPr>
          <w:rFonts w:ascii="Arial" w:hAnsi="Arial" w:cs="Arial"/>
          <w:sz w:val="22"/>
          <w:szCs w:val="22"/>
        </w:rPr>
        <w:t>9.1</w:t>
      </w:r>
      <w:r w:rsidR="001E66D5" w:rsidRPr="00B751FD">
        <w:rPr>
          <w:rFonts w:ascii="Arial" w:hAnsi="Arial" w:cs="Arial"/>
          <w:sz w:val="22"/>
          <w:szCs w:val="22"/>
        </w:rPr>
        <w:tab/>
      </w:r>
      <w:r w:rsidRPr="00B751FD">
        <w:rPr>
          <w:rFonts w:ascii="Arial" w:hAnsi="Arial" w:cs="Arial"/>
          <w:sz w:val="22"/>
          <w:szCs w:val="22"/>
        </w:rPr>
        <w:t xml:space="preserve">El BROU tendrá especial cuidado en observar que las operaciones financiadas con recursos del </w:t>
      </w:r>
      <w:r w:rsidR="0046692F" w:rsidRPr="00B751FD">
        <w:rPr>
          <w:rFonts w:ascii="Arial" w:hAnsi="Arial" w:cs="Arial"/>
          <w:sz w:val="22"/>
          <w:szCs w:val="22"/>
        </w:rPr>
        <w:t>programa</w:t>
      </w:r>
      <w:r w:rsidRPr="00B751FD">
        <w:rPr>
          <w:rFonts w:ascii="Arial" w:hAnsi="Arial" w:cs="Arial"/>
          <w:sz w:val="22"/>
          <w:szCs w:val="22"/>
        </w:rPr>
        <w:t xml:space="preserve"> no impliquen un deterioro del medio ambiente, cualesquiera que sean sus formas de manifestación e impacto. Las actividades se clasificarán en las que no tienen impacto ambiental y las que sí lo tienen. Las actividades clasificadas con impacto ambiental requerirán un monitoreo especial que se hará según lo dispuesto en el </w:t>
      </w:r>
      <w:r w:rsidR="00051795" w:rsidRPr="00B751FD">
        <w:rPr>
          <w:rFonts w:ascii="Arial" w:hAnsi="Arial" w:cs="Arial"/>
          <w:sz w:val="22"/>
          <w:szCs w:val="22"/>
        </w:rPr>
        <w:t>I</w:t>
      </w:r>
      <w:r w:rsidRPr="00B751FD">
        <w:rPr>
          <w:rFonts w:ascii="Arial" w:hAnsi="Arial" w:cs="Arial"/>
          <w:sz w:val="22"/>
          <w:szCs w:val="22"/>
        </w:rPr>
        <w:t>GAS</w:t>
      </w:r>
      <w:r w:rsidR="00487011">
        <w:rPr>
          <w:rFonts w:ascii="Arial" w:hAnsi="Arial" w:cs="Arial"/>
          <w:sz w:val="22"/>
          <w:szCs w:val="22"/>
        </w:rPr>
        <w:t xml:space="preserve"> y el MGAS</w:t>
      </w:r>
      <w:r w:rsidRPr="00B751FD">
        <w:rPr>
          <w:rFonts w:ascii="Arial" w:hAnsi="Arial" w:cs="Arial"/>
          <w:sz w:val="22"/>
          <w:szCs w:val="22"/>
        </w:rPr>
        <w:t>.</w:t>
      </w:r>
    </w:p>
    <w:p w14:paraId="2E5EB256" w14:textId="50F29320" w:rsidR="00104FBE" w:rsidRPr="00B751FD" w:rsidRDefault="00104FBE" w:rsidP="006E3680">
      <w:pPr>
        <w:pStyle w:val="Chapter"/>
        <w:numPr>
          <w:ilvl w:val="0"/>
          <w:numId w:val="0"/>
        </w:numPr>
        <w:tabs>
          <w:tab w:val="clear" w:pos="1440"/>
          <w:tab w:val="left" w:pos="993"/>
        </w:tabs>
        <w:ind w:left="851" w:hanging="851"/>
        <w:jc w:val="left"/>
        <w:rPr>
          <w:rFonts w:ascii="Arial" w:hAnsi="Arial" w:cs="Arial"/>
          <w:b w:val="0"/>
          <w:smallCaps w:val="0"/>
          <w:sz w:val="22"/>
          <w:szCs w:val="22"/>
        </w:rPr>
      </w:pPr>
      <w:r w:rsidRPr="00B751FD">
        <w:rPr>
          <w:rFonts w:ascii="Arial" w:hAnsi="Arial" w:cs="Arial"/>
          <w:b w:val="0"/>
          <w:smallCaps w:val="0"/>
          <w:sz w:val="22"/>
          <w:szCs w:val="22"/>
        </w:rPr>
        <w:t>9.2</w:t>
      </w:r>
      <w:r w:rsidR="001E66D5" w:rsidRPr="00B751FD">
        <w:rPr>
          <w:rFonts w:ascii="Arial" w:hAnsi="Arial" w:cs="Arial"/>
          <w:b w:val="0"/>
          <w:smallCaps w:val="0"/>
          <w:sz w:val="22"/>
          <w:szCs w:val="22"/>
        </w:rPr>
        <w:tab/>
      </w:r>
      <w:r w:rsidRPr="00B751FD">
        <w:rPr>
          <w:rFonts w:ascii="Arial" w:hAnsi="Arial" w:cs="Arial"/>
          <w:b w:val="0"/>
          <w:smallCaps w:val="0"/>
          <w:sz w:val="22"/>
          <w:szCs w:val="22"/>
        </w:rPr>
        <w:t xml:space="preserve">Las actividades calificadas de alto impacto ambiental negativo, no serán elegibles para financiamiento, salvo que </w:t>
      </w:r>
      <w:r w:rsidR="006E3680" w:rsidRPr="00B751FD">
        <w:rPr>
          <w:rFonts w:ascii="Arial" w:hAnsi="Arial" w:cs="Arial"/>
          <w:b w:val="0"/>
          <w:smallCaps w:val="0"/>
          <w:sz w:val="22"/>
          <w:szCs w:val="22"/>
        </w:rPr>
        <w:t xml:space="preserve">   </w:t>
      </w:r>
      <w:r w:rsidRPr="00B751FD">
        <w:rPr>
          <w:rFonts w:ascii="Arial" w:hAnsi="Arial" w:cs="Arial"/>
          <w:b w:val="0"/>
          <w:smallCaps w:val="0"/>
          <w:sz w:val="22"/>
          <w:szCs w:val="22"/>
        </w:rPr>
        <w:t>se tenga un plan de mitigación y/o corrección que permita su monitoreo y seguimiento</w:t>
      </w:r>
    </w:p>
    <w:p w14:paraId="56FD7F1F" w14:textId="044EE6AE" w:rsidR="00230812" w:rsidRPr="00B751FD" w:rsidRDefault="007952FF" w:rsidP="001E66D5">
      <w:pPr>
        <w:pStyle w:val="Chapter"/>
        <w:tabs>
          <w:tab w:val="clear" w:pos="1440"/>
          <w:tab w:val="clear" w:pos="1800"/>
          <w:tab w:val="left" w:pos="270"/>
        </w:tabs>
        <w:ind w:left="0"/>
        <w:rPr>
          <w:rFonts w:ascii="Arial" w:hAnsi="Arial" w:cs="Arial"/>
          <w:sz w:val="22"/>
          <w:szCs w:val="22"/>
        </w:rPr>
      </w:pPr>
      <w:r w:rsidRPr="00B751FD">
        <w:rPr>
          <w:rFonts w:ascii="Arial" w:hAnsi="Arial" w:cs="Arial"/>
          <w:sz w:val="22"/>
          <w:szCs w:val="22"/>
        </w:rPr>
        <w:t xml:space="preserve">Procedimientos </w:t>
      </w:r>
      <w:r w:rsidR="00230812" w:rsidRPr="00B751FD">
        <w:rPr>
          <w:rFonts w:ascii="Arial" w:hAnsi="Arial" w:cs="Arial"/>
          <w:sz w:val="22"/>
          <w:szCs w:val="22"/>
        </w:rPr>
        <w:t>de</w:t>
      </w:r>
      <w:r w:rsidR="00022625" w:rsidRPr="00B751FD">
        <w:rPr>
          <w:rFonts w:ascii="Arial" w:hAnsi="Arial" w:cs="Arial"/>
          <w:sz w:val="22"/>
          <w:szCs w:val="22"/>
        </w:rPr>
        <w:t xml:space="preserve"> Contratación</w:t>
      </w:r>
      <w:r w:rsidR="00230812" w:rsidRPr="00B751FD">
        <w:rPr>
          <w:rFonts w:ascii="Arial" w:hAnsi="Arial" w:cs="Arial"/>
          <w:sz w:val="22"/>
          <w:szCs w:val="22"/>
        </w:rPr>
        <w:t xml:space="preserve"> </w:t>
      </w:r>
      <w:r w:rsidR="00022625" w:rsidRPr="00B751FD">
        <w:rPr>
          <w:rFonts w:ascii="Arial" w:hAnsi="Arial" w:cs="Arial"/>
          <w:sz w:val="22"/>
          <w:szCs w:val="22"/>
        </w:rPr>
        <w:t>y</w:t>
      </w:r>
      <w:r w:rsidR="005310E9" w:rsidRPr="00B751FD">
        <w:rPr>
          <w:rFonts w:ascii="Arial" w:hAnsi="Arial" w:cs="Arial"/>
          <w:sz w:val="22"/>
          <w:szCs w:val="22"/>
        </w:rPr>
        <w:t xml:space="preserve"> </w:t>
      </w:r>
      <w:r w:rsidR="00230812" w:rsidRPr="00B751FD">
        <w:rPr>
          <w:rFonts w:ascii="Arial" w:hAnsi="Arial" w:cs="Arial"/>
          <w:sz w:val="22"/>
          <w:szCs w:val="22"/>
        </w:rPr>
        <w:t>Adquisiciones</w:t>
      </w:r>
      <w:bookmarkEnd w:id="35"/>
      <w:bookmarkEnd w:id="36"/>
      <w:bookmarkEnd w:id="37"/>
      <w:bookmarkEnd w:id="38"/>
    </w:p>
    <w:p w14:paraId="3D371AF2" w14:textId="2062FC93" w:rsidR="00364983" w:rsidRPr="00B751FD" w:rsidRDefault="00364983" w:rsidP="00364983">
      <w:pPr>
        <w:pStyle w:val="Paragraph"/>
        <w:tabs>
          <w:tab w:val="num" w:pos="2289"/>
        </w:tabs>
        <w:ind w:left="810" w:hanging="810"/>
        <w:rPr>
          <w:rFonts w:ascii="Arial" w:hAnsi="Arial" w:cs="Arial"/>
          <w:sz w:val="22"/>
          <w:szCs w:val="22"/>
        </w:rPr>
      </w:pPr>
      <w:r w:rsidRPr="00B751FD">
        <w:rPr>
          <w:rFonts w:ascii="Arial" w:hAnsi="Arial" w:cs="Arial"/>
          <w:sz w:val="22"/>
          <w:szCs w:val="22"/>
        </w:rPr>
        <w:t>Todo Subprestatario Elegible deberá adoptar criterios de eficiencia, economía y transparencia en los contratos de construcción, adquisición de bienes y de prestación de servicios para el Sub</w:t>
      </w:r>
      <w:r w:rsidR="006E3680" w:rsidRPr="00B751FD">
        <w:rPr>
          <w:rFonts w:ascii="Arial" w:hAnsi="Arial" w:cs="Arial"/>
          <w:sz w:val="22"/>
          <w:szCs w:val="22"/>
        </w:rPr>
        <w:t xml:space="preserve"> </w:t>
      </w:r>
      <w:r w:rsidRPr="00B751FD">
        <w:rPr>
          <w:rFonts w:ascii="Arial" w:hAnsi="Arial" w:cs="Arial"/>
          <w:sz w:val="22"/>
          <w:szCs w:val="22"/>
        </w:rPr>
        <w:t>proyecto.</w:t>
      </w:r>
    </w:p>
    <w:p w14:paraId="0611959A" w14:textId="4B16A568" w:rsidR="00364983" w:rsidRPr="00B751FD" w:rsidRDefault="00364983" w:rsidP="00AA3A12">
      <w:pPr>
        <w:pStyle w:val="Paragraph"/>
        <w:tabs>
          <w:tab w:val="num" w:pos="851"/>
          <w:tab w:val="num" w:pos="2289"/>
        </w:tabs>
        <w:ind w:left="851" w:hanging="851"/>
        <w:rPr>
          <w:rFonts w:ascii="Arial" w:hAnsi="Arial" w:cs="Arial"/>
          <w:sz w:val="22"/>
          <w:szCs w:val="22"/>
        </w:rPr>
      </w:pPr>
      <w:r w:rsidRPr="00B751FD">
        <w:rPr>
          <w:rFonts w:ascii="Arial" w:hAnsi="Arial" w:cs="Arial"/>
          <w:sz w:val="22"/>
          <w:szCs w:val="22"/>
        </w:rPr>
        <w:t xml:space="preserve">La adquisición de obras y bienes </w:t>
      </w:r>
      <w:r w:rsidR="00117C36" w:rsidRPr="00B751FD">
        <w:rPr>
          <w:rFonts w:ascii="Arial" w:hAnsi="Arial" w:cs="Arial"/>
          <w:sz w:val="22"/>
          <w:szCs w:val="22"/>
        </w:rPr>
        <w:t>por los Sub</w:t>
      </w:r>
      <w:r w:rsidR="00B87CCD">
        <w:rPr>
          <w:rFonts w:ascii="Arial" w:hAnsi="Arial" w:cs="Arial"/>
          <w:sz w:val="22"/>
          <w:szCs w:val="22"/>
        </w:rPr>
        <w:t>p</w:t>
      </w:r>
      <w:r w:rsidR="00117C36" w:rsidRPr="00B751FD">
        <w:rPr>
          <w:rFonts w:ascii="Arial" w:hAnsi="Arial" w:cs="Arial"/>
          <w:sz w:val="22"/>
          <w:szCs w:val="22"/>
        </w:rPr>
        <w:t xml:space="preserve">restatarios Elegibles de naturaleza privada </w:t>
      </w:r>
      <w:r w:rsidRPr="00B751FD">
        <w:rPr>
          <w:rFonts w:ascii="Arial" w:hAnsi="Arial" w:cs="Arial"/>
          <w:sz w:val="22"/>
          <w:szCs w:val="22"/>
        </w:rPr>
        <w:t>se llevará a cabo</w:t>
      </w:r>
      <w:r w:rsidR="00303799" w:rsidRPr="00B751FD">
        <w:rPr>
          <w:rFonts w:ascii="Arial" w:hAnsi="Arial" w:cs="Arial"/>
          <w:sz w:val="22"/>
          <w:szCs w:val="22"/>
        </w:rPr>
        <w:t xml:space="preserve"> utilizando procedimientos de adquisición que se ajusten en sus modalidades</w:t>
      </w:r>
      <w:r w:rsidRPr="00B751FD">
        <w:rPr>
          <w:rFonts w:ascii="Arial" w:hAnsi="Arial" w:cs="Arial"/>
          <w:sz w:val="22"/>
          <w:szCs w:val="22"/>
        </w:rPr>
        <w:t xml:space="preserve"> </w:t>
      </w:r>
      <w:r w:rsidR="00303799" w:rsidRPr="00B751FD">
        <w:rPr>
          <w:rFonts w:ascii="Arial" w:hAnsi="Arial" w:cs="Arial"/>
          <w:sz w:val="22"/>
          <w:szCs w:val="22"/>
        </w:rPr>
        <w:t xml:space="preserve">a las prácticas del mercado para el sector privado o comercial y que sean aceptables para el Banco, </w:t>
      </w:r>
      <w:r w:rsidRPr="00B751FD">
        <w:rPr>
          <w:rFonts w:ascii="Arial" w:hAnsi="Arial" w:cs="Arial"/>
          <w:sz w:val="22"/>
          <w:szCs w:val="22"/>
        </w:rPr>
        <w:t xml:space="preserve">de conformidad con las disposiciones establecidas en el </w:t>
      </w:r>
      <w:r w:rsidR="00D02D11" w:rsidRPr="00B751FD">
        <w:rPr>
          <w:rFonts w:ascii="Arial" w:hAnsi="Arial" w:cs="Arial"/>
          <w:sz w:val="22"/>
          <w:szCs w:val="22"/>
        </w:rPr>
        <w:t>Apéndice</w:t>
      </w:r>
      <w:r w:rsidR="00117C36" w:rsidRPr="00B751FD">
        <w:rPr>
          <w:rFonts w:ascii="Arial" w:hAnsi="Arial" w:cs="Arial"/>
          <w:sz w:val="22"/>
          <w:szCs w:val="22"/>
        </w:rPr>
        <w:t xml:space="preserve"> IV del </w:t>
      </w:r>
      <w:r w:rsidRPr="00B751FD">
        <w:rPr>
          <w:rFonts w:ascii="Arial" w:hAnsi="Arial" w:cs="Arial"/>
          <w:sz w:val="22"/>
          <w:szCs w:val="22"/>
        </w:rPr>
        <w:t>Documento GN-2349-9 (“Políticas para la adquisición de bienes y obras financiados por el Banco Interamericano de Desarrollo”), de fecha marzo de 2011</w:t>
      </w:r>
      <w:r w:rsidR="00117C36" w:rsidRPr="00B751FD">
        <w:rPr>
          <w:rFonts w:ascii="Arial" w:hAnsi="Arial" w:cs="Arial"/>
          <w:sz w:val="22"/>
          <w:szCs w:val="22"/>
        </w:rPr>
        <w:t xml:space="preserve">. El Banco se asegurará de que tales procedimientos resulten en precios competitivos y de mercado para los bienes y servicios, y que éstos se adecúen a las necesidades del </w:t>
      </w:r>
      <w:r w:rsidR="00D02D11" w:rsidRPr="00B751FD">
        <w:rPr>
          <w:rFonts w:ascii="Arial" w:hAnsi="Arial" w:cs="Arial"/>
          <w:sz w:val="22"/>
          <w:szCs w:val="22"/>
        </w:rPr>
        <w:t>proyecto (Apéndice</w:t>
      </w:r>
      <w:r w:rsidR="00117C36" w:rsidRPr="00B751FD">
        <w:rPr>
          <w:rFonts w:ascii="Arial" w:hAnsi="Arial" w:cs="Arial"/>
          <w:sz w:val="22"/>
          <w:szCs w:val="22"/>
        </w:rPr>
        <w:t xml:space="preserve"> IV de la </w:t>
      </w:r>
      <w:r w:rsidR="00D02D11" w:rsidRPr="00B751FD">
        <w:rPr>
          <w:rFonts w:ascii="Arial" w:hAnsi="Arial" w:cs="Arial"/>
          <w:sz w:val="22"/>
          <w:szCs w:val="22"/>
        </w:rPr>
        <w:t>Política</w:t>
      </w:r>
      <w:r w:rsidR="00117C36" w:rsidRPr="00B751FD">
        <w:rPr>
          <w:rFonts w:ascii="Arial" w:hAnsi="Arial" w:cs="Arial"/>
          <w:sz w:val="22"/>
          <w:szCs w:val="22"/>
        </w:rPr>
        <w:t xml:space="preserve"> de Adquisiciones</w:t>
      </w:r>
      <w:r w:rsidRPr="00B751FD">
        <w:rPr>
          <w:rFonts w:ascii="Arial" w:hAnsi="Arial" w:cs="Arial"/>
          <w:sz w:val="22"/>
          <w:szCs w:val="22"/>
        </w:rPr>
        <w:t>).</w:t>
      </w:r>
    </w:p>
    <w:p w14:paraId="6BA4E6B2" w14:textId="3ED4536F" w:rsidR="00364983" w:rsidRPr="00B751FD" w:rsidRDefault="00364983" w:rsidP="00AA3A12">
      <w:pPr>
        <w:pStyle w:val="Paragraph"/>
        <w:tabs>
          <w:tab w:val="num" w:pos="2289"/>
        </w:tabs>
        <w:ind w:left="851" w:hanging="851"/>
        <w:rPr>
          <w:rFonts w:ascii="Arial" w:hAnsi="Arial" w:cs="Arial"/>
          <w:sz w:val="22"/>
          <w:szCs w:val="22"/>
        </w:rPr>
      </w:pPr>
      <w:r w:rsidRPr="00B751FD">
        <w:rPr>
          <w:rFonts w:ascii="Arial" w:hAnsi="Arial" w:cs="Arial"/>
          <w:sz w:val="22"/>
          <w:szCs w:val="22"/>
          <w:lang w:eastAsia="en-US"/>
        </w:rPr>
        <w:t xml:space="preserve">Cuando se trate de financiamiento a </w:t>
      </w:r>
      <w:r w:rsidR="0075055A" w:rsidRPr="00B751FD">
        <w:rPr>
          <w:rFonts w:ascii="Arial" w:hAnsi="Arial" w:cs="Arial"/>
          <w:sz w:val="22"/>
          <w:szCs w:val="22"/>
          <w:lang w:eastAsia="en-US"/>
        </w:rPr>
        <w:t>Subprestatarios</w:t>
      </w:r>
      <w:r w:rsidRPr="00B751FD">
        <w:rPr>
          <w:rFonts w:ascii="Arial" w:hAnsi="Arial" w:cs="Arial"/>
          <w:sz w:val="22"/>
          <w:szCs w:val="22"/>
          <w:lang w:eastAsia="en-US"/>
        </w:rPr>
        <w:t xml:space="preserve"> del Sector Público, la selección y contratación de bienes, obras y servicios deberá efectuarse siguiendo l</w:t>
      </w:r>
      <w:r w:rsidR="00117C36" w:rsidRPr="00B751FD">
        <w:rPr>
          <w:rFonts w:ascii="Arial" w:hAnsi="Arial" w:cs="Arial"/>
          <w:sz w:val="22"/>
          <w:szCs w:val="22"/>
          <w:lang w:eastAsia="en-US"/>
        </w:rPr>
        <w:t>as previsiones de la normativa de contratación pública de la República</w:t>
      </w:r>
      <w:r w:rsidR="00117C36" w:rsidRPr="00B751FD">
        <w:rPr>
          <w:rFonts w:ascii="Arial" w:hAnsi="Arial" w:cs="Arial"/>
          <w:sz w:val="22"/>
          <w:szCs w:val="22"/>
        </w:rPr>
        <w:t xml:space="preserve"> y la Política del Banco, </w:t>
      </w:r>
      <w:r w:rsidR="00117C36" w:rsidRPr="00B751FD">
        <w:rPr>
          <w:rFonts w:ascii="Arial" w:hAnsi="Arial" w:cs="Arial"/>
          <w:sz w:val="22"/>
          <w:szCs w:val="22"/>
          <w:lang w:eastAsia="en-US"/>
        </w:rPr>
        <w:t>Documento GN-2349-9 (“Políticas para la adquisición de bienes y obras financiados por el Banco Interamericano de Desarrollo”), reflejada</w:t>
      </w:r>
      <w:r w:rsidRPr="00B751FD">
        <w:rPr>
          <w:rFonts w:ascii="Arial" w:hAnsi="Arial" w:cs="Arial"/>
          <w:sz w:val="22"/>
          <w:szCs w:val="22"/>
          <w:lang w:eastAsia="en-US"/>
        </w:rPr>
        <w:t xml:space="preserve">s en los lineamientos y disposiciones para la aplicación de los </w:t>
      </w:r>
      <w:r w:rsidR="00117C36" w:rsidRPr="00B751FD">
        <w:rPr>
          <w:rFonts w:ascii="Arial" w:hAnsi="Arial" w:cs="Arial"/>
          <w:sz w:val="22"/>
          <w:szCs w:val="22"/>
          <w:lang w:eastAsia="en-US"/>
        </w:rPr>
        <w:t>d</w:t>
      </w:r>
      <w:r w:rsidRPr="00B751FD">
        <w:rPr>
          <w:rFonts w:ascii="Arial" w:hAnsi="Arial" w:cs="Arial"/>
          <w:sz w:val="22"/>
          <w:szCs w:val="22"/>
          <w:lang w:eastAsia="en-US"/>
        </w:rPr>
        <w:t xml:space="preserve">ocumentos </w:t>
      </w:r>
      <w:r w:rsidR="00117C36" w:rsidRPr="00B751FD">
        <w:rPr>
          <w:rFonts w:ascii="Arial" w:hAnsi="Arial" w:cs="Arial"/>
          <w:sz w:val="22"/>
          <w:szCs w:val="22"/>
          <w:lang w:eastAsia="en-US"/>
        </w:rPr>
        <w:t>e</w:t>
      </w:r>
      <w:r w:rsidRPr="00B751FD">
        <w:rPr>
          <w:rFonts w:ascii="Arial" w:hAnsi="Arial" w:cs="Arial"/>
          <w:sz w:val="22"/>
          <w:szCs w:val="22"/>
          <w:lang w:eastAsia="en-US"/>
        </w:rPr>
        <w:t xml:space="preserve">stándar de </w:t>
      </w:r>
      <w:r w:rsidR="00117C36" w:rsidRPr="00B751FD">
        <w:rPr>
          <w:rFonts w:ascii="Arial" w:hAnsi="Arial" w:cs="Arial"/>
          <w:sz w:val="22"/>
          <w:szCs w:val="22"/>
          <w:lang w:eastAsia="en-US"/>
        </w:rPr>
        <w:t>l</w:t>
      </w:r>
      <w:r w:rsidRPr="00B751FD">
        <w:rPr>
          <w:rFonts w:ascii="Arial" w:hAnsi="Arial" w:cs="Arial"/>
          <w:sz w:val="22"/>
          <w:szCs w:val="22"/>
          <w:lang w:eastAsia="en-US"/>
        </w:rPr>
        <w:t xml:space="preserve">icitación </w:t>
      </w:r>
      <w:r w:rsidR="00117C36" w:rsidRPr="00B751FD">
        <w:rPr>
          <w:rFonts w:ascii="Arial" w:hAnsi="Arial" w:cs="Arial"/>
          <w:sz w:val="22"/>
          <w:szCs w:val="22"/>
          <w:lang w:eastAsia="en-US"/>
        </w:rPr>
        <w:t>p</w:t>
      </w:r>
      <w:r w:rsidRPr="00B751FD">
        <w:rPr>
          <w:rFonts w:ascii="Arial" w:hAnsi="Arial" w:cs="Arial"/>
          <w:sz w:val="22"/>
          <w:szCs w:val="22"/>
          <w:lang w:eastAsia="en-US"/>
        </w:rPr>
        <w:t>ública para la Contratación de Obras, Bienes y Servicios que se encuentran disponibles en la página</w:t>
      </w:r>
      <w:r w:rsidR="00117C36" w:rsidRPr="00B751FD">
        <w:rPr>
          <w:rFonts w:ascii="Arial" w:hAnsi="Arial" w:cs="Arial"/>
          <w:sz w:val="22"/>
          <w:szCs w:val="22"/>
          <w:lang w:eastAsia="en-US"/>
        </w:rPr>
        <w:t xml:space="preserve"> </w:t>
      </w:r>
      <w:r w:rsidR="00A56887" w:rsidRPr="00B751FD">
        <w:rPr>
          <w:rFonts w:ascii="Arial" w:hAnsi="Arial" w:cs="Arial"/>
          <w:sz w:val="22"/>
          <w:szCs w:val="22"/>
          <w:lang w:eastAsia="en-US"/>
        </w:rPr>
        <w:t>www.iadb.org</w:t>
      </w:r>
      <w:r w:rsidRPr="00B751FD">
        <w:rPr>
          <w:rFonts w:ascii="Arial" w:hAnsi="Arial" w:cs="Arial"/>
          <w:sz w:val="22"/>
          <w:szCs w:val="22"/>
          <w:lang w:eastAsia="en-US"/>
        </w:rPr>
        <w:t>, así como por las siguientes disposiciones:</w:t>
      </w:r>
    </w:p>
    <w:p w14:paraId="30332BE2" w14:textId="77777777" w:rsidR="00364983" w:rsidRPr="00B751FD" w:rsidRDefault="00364983" w:rsidP="00364983">
      <w:pPr>
        <w:pStyle w:val="Paragraph"/>
        <w:numPr>
          <w:ilvl w:val="0"/>
          <w:numId w:val="0"/>
        </w:numPr>
        <w:ind w:left="1276"/>
        <w:rPr>
          <w:rFonts w:ascii="Arial" w:hAnsi="Arial" w:cs="Arial"/>
          <w:sz w:val="22"/>
          <w:szCs w:val="22"/>
        </w:rPr>
      </w:pPr>
    </w:p>
    <w:p w14:paraId="36274243" w14:textId="779125A2" w:rsidR="00364983" w:rsidRPr="00B751FD" w:rsidRDefault="00364983" w:rsidP="001E66D5">
      <w:pPr>
        <w:pStyle w:val="Paragraph"/>
        <w:tabs>
          <w:tab w:val="clear" w:pos="1296"/>
          <w:tab w:val="num" w:pos="2106"/>
          <w:tab w:val="num" w:pos="2289"/>
        </w:tabs>
        <w:ind w:left="851" w:hanging="851"/>
        <w:rPr>
          <w:rFonts w:ascii="Arial" w:hAnsi="Arial" w:cs="Arial"/>
          <w:sz w:val="22"/>
          <w:szCs w:val="22"/>
        </w:rPr>
      </w:pPr>
      <w:r w:rsidRPr="00B751FD">
        <w:rPr>
          <w:rFonts w:ascii="Arial" w:hAnsi="Arial" w:cs="Arial"/>
          <w:sz w:val="22"/>
          <w:szCs w:val="22"/>
          <w:u w:val="single"/>
        </w:rPr>
        <w:t>Licitación pública internacional</w:t>
      </w:r>
      <w:r w:rsidRPr="00B751FD">
        <w:rPr>
          <w:rFonts w:ascii="Arial" w:hAnsi="Arial" w:cs="Arial"/>
          <w:sz w:val="22"/>
          <w:szCs w:val="22"/>
        </w:rPr>
        <w:t xml:space="preserve">: </w:t>
      </w:r>
      <w:r w:rsidR="00F74D8B" w:rsidRPr="00B751FD">
        <w:rPr>
          <w:rFonts w:ascii="Arial" w:hAnsi="Arial" w:cs="Arial"/>
          <w:sz w:val="22"/>
          <w:szCs w:val="22"/>
        </w:rPr>
        <w:t xml:space="preserve">Los contratos generados y sujetos a Licitación Pública Internacional (LPI) se </w:t>
      </w:r>
      <w:r w:rsidR="00F74D8B" w:rsidRPr="00B751FD">
        <w:rPr>
          <w:rFonts w:ascii="Arial" w:hAnsi="Arial" w:cs="Arial"/>
          <w:sz w:val="22"/>
          <w:szCs w:val="22"/>
          <w:lang w:eastAsia="en-US"/>
        </w:rPr>
        <w:t>ejecutarán</w:t>
      </w:r>
      <w:r w:rsidR="00F74D8B" w:rsidRPr="00B751FD">
        <w:rPr>
          <w:rFonts w:ascii="Arial" w:hAnsi="Arial" w:cs="Arial"/>
          <w:sz w:val="22"/>
          <w:szCs w:val="22"/>
        </w:rPr>
        <w:t xml:space="preserve"> utilizando los Documentos Estándar de Licitación (DEL) emitidos por el Banco.</w:t>
      </w:r>
    </w:p>
    <w:p w14:paraId="1B25D0EB" w14:textId="77777777" w:rsidR="00364983" w:rsidRPr="00B751FD" w:rsidRDefault="00364983" w:rsidP="00364983">
      <w:pPr>
        <w:pStyle w:val="Paragraph"/>
        <w:numPr>
          <w:ilvl w:val="0"/>
          <w:numId w:val="0"/>
        </w:numPr>
        <w:ind w:left="1276"/>
        <w:rPr>
          <w:rFonts w:ascii="Arial" w:hAnsi="Arial" w:cs="Arial"/>
          <w:sz w:val="22"/>
          <w:szCs w:val="22"/>
        </w:rPr>
      </w:pPr>
    </w:p>
    <w:p w14:paraId="14CC9347" w14:textId="77777777" w:rsidR="00364983" w:rsidRPr="00B751FD" w:rsidRDefault="00364983" w:rsidP="001E66D5">
      <w:pPr>
        <w:pStyle w:val="Paragraph"/>
        <w:tabs>
          <w:tab w:val="clear" w:pos="1296"/>
          <w:tab w:val="num" w:pos="2106"/>
          <w:tab w:val="num" w:pos="2289"/>
        </w:tabs>
        <w:ind w:left="851" w:hanging="851"/>
        <w:rPr>
          <w:rFonts w:ascii="Arial" w:hAnsi="Arial" w:cs="Arial"/>
          <w:sz w:val="22"/>
          <w:szCs w:val="22"/>
        </w:rPr>
      </w:pPr>
      <w:r w:rsidRPr="00B751FD">
        <w:rPr>
          <w:rFonts w:ascii="Arial" w:hAnsi="Arial" w:cs="Arial"/>
          <w:sz w:val="22"/>
          <w:szCs w:val="22"/>
          <w:u w:val="single"/>
        </w:rPr>
        <w:t>Otros procedimientos de adquisiciones</w:t>
      </w:r>
      <w:r w:rsidRPr="00B751FD">
        <w:rPr>
          <w:rFonts w:ascii="Arial" w:hAnsi="Arial" w:cs="Arial"/>
          <w:sz w:val="22"/>
          <w:szCs w:val="22"/>
        </w:rPr>
        <w:t xml:space="preserve">: Los siguientes métodos de adquisición podrán ser utilizados para la adquisición de obras y de bienes que el Banco </w:t>
      </w:r>
      <w:r w:rsidRPr="00B751FD">
        <w:rPr>
          <w:rFonts w:ascii="Arial" w:hAnsi="Arial" w:cs="Arial"/>
          <w:sz w:val="22"/>
          <w:szCs w:val="22"/>
          <w:lang w:eastAsia="en-US"/>
        </w:rPr>
        <w:t>acuerde</w:t>
      </w:r>
      <w:r w:rsidRPr="00B751FD">
        <w:rPr>
          <w:rFonts w:ascii="Arial" w:hAnsi="Arial" w:cs="Arial"/>
          <w:sz w:val="22"/>
          <w:szCs w:val="22"/>
        </w:rPr>
        <w:t xml:space="preserve"> reúnen los requisitos establecidos en las disposiciones de las Sección III de las Políticas de Adquisiciones:</w:t>
      </w:r>
    </w:p>
    <w:p w14:paraId="073ABE59" w14:textId="77777777" w:rsidR="00364983" w:rsidRPr="00B751FD" w:rsidRDefault="00364983" w:rsidP="00364983">
      <w:pPr>
        <w:pStyle w:val="Paragraph"/>
        <w:numPr>
          <w:ilvl w:val="0"/>
          <w:numId w:val="0"/>
        </w:numPr>
        <w:ind w:left="1276"/>
        <w:rPr>
          <w:rFonts w:ascii="Arial" w:hAnsi="Arial" w:cs="Arial"/>
          <w:sz w:val="22"/>
          <w:szCs w:val="22"/>
        </w:rPr>
      </w:pPr>
    </w:p>
    <w:p w14:paraId="73A50E9B" w14:textId="4E653318" w:rsidR="00364983" w:rsidRPr="00B751FD" w:rsidRDefault="00364983" w:rsidP="001E66D5">
      <w:pPr>
        <w:pStyle w:val="Paragraph"/>
        <w:numPr>
          <w:ilvl w:val="0"/>
          <w:numId w:val="0"/>
        </w:numPr>
        <w:tabs>
          <w:tab w:val="left" w:pos="1260"/>
          <w:tab w:val="num" w:pos="2289"/>
        </w:tabs>
        <w:ind w:left="1276" w:hanging="376"/>
        <w:rPr>
          <w:rFonts w:ascii="Arial" w:hAnsi="Arial" w:cs="Arial"/>
          <w:sz w:val="22"/>
          <w:szCs w:val="22"/>
        </w:rPr>
      </w:pPr>
      <w:r w:rsidRPr="00B751FD">
        <w:rPr>
          <w:rFonts w:ascii="Arial" w:hAnsi="Arial" w:cs="Arial"/>
          <w:sz w:val="22"/>
          <w:szCs w:val="22"/>
        </w:rPr>
        <w:lastRenderedPageBreak/>
        <w:t xml:space="preserve">(i) </w:t>
      </w:r>
      <w:r w:rsidR="001E66D5" w:rsidRPr="00B751FD">
        <w:rPr>
          <w:rFonts w:ascii="Arial" w:hAnsi="Arial" w:cs="Arial"/>
          <w:sz w:val="22"/>
          <w:szCs w:val="22"/>
        </w:rPr>
        <w:tab/>
      </w:r>
      <w:r w:rsidRPr="00B751FD">
        <w:rPr>
          <w:rFonts w:ascii="Arial" w:hAnsi="Arial" w:cs="Arial"/>
          <w:sz w:val="22"/>
          <w:szCs w:val="22"/>
        </w:rPr>
        <w:t xml:space="preserve">Licitación Pública Nacional: (A) Obras cuyo costo estimado sea menor al equivalente de US$15,000,000,00 (Quince millones de dólares) por contrato, y (B) bienes cuyo costo estimado sea menor al equivalente de US$3,000,000.00 (Tres millones de dólares) por contrato siempre y cuando se lleven a cabo de conformidad con el documento o documentos de licitación previamente acordados </w:t>
      </w:r>
      <w:r w:rsidR="00524BBA" w:rsidRPr="00B751FD">
        <w:rPr>
          <w:rFonts w:ascii="Arial" w:hAnsi="Arial" w:cs="Arial"/>
          <w:sz w:val="22"/>
          <w:szCs w:val="22"/>
        </w:rPr>
        <w:t>el Banco</w:t>
      </w:r>
      <w:r w:rsidR="00F546F7" w:rsidRPr="00B751FD">
        <w:rPr>
          <w:rFonts w:ascii="Arial" w:hAnsi="Arial" w:cs="Arial"/>
          <w:sz w:val="22"/>
          <w:szCs w:val="22"/>
        </w:rPr>
        <w:t xml:space="preserve"> </w:t>
      </w:r>
      <w:r w:rsidR="00934531" w:rsidRPr="00B751FD">
        <w:rPr>
          <w:rFonts w:ascii="Arial" w:hAnsi="Arial" w:cs="Arial"/>
          <w:sz w:val="22"/>
          <w:szCs w:val="22"/>
        </w:rPr>
        <w:t>y el T</w:t>
      </w:r>
      <w:r w:rsidR="00F546F7" w:rsidRPr="00B751FD">
        <w:rPr>
          <w:rFonts w:ascii="Arial" w:hAnsi="Arial" w:cs="Arial"/>
          <w:sz w:val="22"/>
          <w:szCs w:val="22"/>
        </w:rPr>
        <w:t xml:space="preserve">ribunal de </w:t>
      </w:r>
      <w:r w:rsidR="00934531" w:rsidRPr="00B751FD">
        <w:rPr>
          <w:rFonts w:ascii="Arial" w:hAnsi="Arial" w:cs="Arial"/>
          <w:sz w:val="22"/>
          <w:szCs w:val="22"/>
        </w:rPr>
        <w:t>C</w:t>
      </w:r>
      <w:r w:rsidR="00F546F7" w:rsidRPr="00B751FD">
        <w:rPr>
          <w:rFonts w:ascii="Arial" w:hAnsi="Arial" w:cs="Arial"/>
          <w:sz w:val="22"/>
          <w:szCs w:val="22"/>
        </w:rPr>
        <w:t xml:space="preserve">uentas de la </w:t>
      </w:r>
      <w:r w:rsidR="00934531" w:rsidRPr="00B751FD">
        <w:rPr>
          <w:rFonts w:ascii="Arial" w:hAnsi="Arial" w:cs="Arial"/>
          <w:sz w:val="22"/>
          <w:szCs w:val="22"/>
        </w:rPr>
        <w:t>R</w:t>
      </w:r>
      <w:r w:rsidR="00F546F7" w:rsidRPr="00B751FD">
        <w:rPr>
          <w:rFonts w:ascii="Arial" w:hAnsi="Arial" w:cs="Arial"/>
          <w:sz w:val="22"/>
          <w:szCs w:val="22"/>
        </w:rPr>
        <w:t>epública</w:t>
      </w:r>
      <w:r w:rsidR="00934531" w:rsidRPr="00B751FD">
        <w:rPr>
          <w:rFonts w:ascii="Arial" w:hAnsi="Arial" w:cs="Arial"/>
          <w:sz w:val="22"/>
          <w:szCs w:val="22"/>
        </w:rPr>
        <w:t xml:space="preserve"> o quien corresponda.</w:t>
      </w:r>
    </w:p>
    <w:p w14:paraId="1E2E4BF1" w14:textId="77777777" w:rsidR="00364983" w:rsidRPr="00B751FD" w:rsidRDefault="00364983" w:rsidP="00B751FD">
      <w:pPr>
        <w:pStyle w:val="Paragraph"/>
        <w:numPr>
          <w:ilvl w:val="0"/>
          <w:numId w:val="0"/>
        </w:numPr>
        <w:spacing w:before="0" w:after="0"/>
        <w:rPr>
          <w:rFonts w:ascii="Arial" w:hAnsi="Arial" w:cs="Arial"/>
          <w:sz w:val="22"/>
          <w:szCs w:val="22"/>
        </w:rPr>
      </w:pPr>
    </w:p>
    <w:p w14:paraId="71242B4C" w14:textId="31F89690" w:rsidR="00A2147B" w:rsidRPr="00B751FD" w:rsidRDefault="00364983" w:rsidP="001E66D5">
      <w:pPr>
        <w:pStyle w:val="Paragraph"/>
        <w:numPr>
          <w:ilvl w:val="0"/>
          <w:numId w:val="0"/>
        </w:numPr>
        <w:tabs>
          <w:tab w:val="left" w:pos="1260"/>
          <w:tab w:val="num" w:pos="2289"/>
        </w:tabs>
        <w:ind w:left="1276" w:hanging="376"/>
        <w:rPr>
          <w:rFonts w:ascii="Arial" w:hAnsi="Arial" w:cs="Arial"/>
          <w:sz w:val="22"/>
          <w:szCs w:val="22"/>
        </w:rPr>
      </w:pPr>
      <w:r w:rsidRPr="00B751FD">
        <w:rPr>
          <w:rFonts w:ascii="Arial" w:hAnsi="Arial" w:cs="Arial"/>
          <w:sz w:val="22"/>
          <w:szCs w:val="22"/>
        </w:rPr>
        <w:t xml:space="preserve">(ii) </w:t>
      </w:r>
      <w:r w:rsidR="001E66D5" w:rsidRPr="00B751FD">
        <w:rPr>
          <w:rFonts w:ascii="Arial" w:hAnsi="Arial" w:cs="Arial"/>
          <w:sz w:val="22"/>
          <w:szCs w:val="22"/>
        </w:rPr>
        <w:tab/>
      </w:r>
      <w:r w:rsidRPr="00B751FD">
        <w:rPr>
          <w:rFonts w:ascii="Arial" w:hAnsi="Arial" w:cs="Arial"/>
          <w:sz w:val="22"/>
          <w:szCs w:val="22"/>
        </w:rPr>
        <w:t xml:space="preserve">Comparación de Precios: para (A) Obras cuyo costo estimado sea menor al equivalente de US$500,000.00 (Quinientos mil dólares) por </w:t>
      </w:r>
      <w:r w:rsidR="00B751FD" w:rsidRPr="00B751FD">
        <w:rPr>
          <w:rFonts w:ascii="Arial" w:hAnsi="Arial" w:cs="Arial"/>
          <w:sz w:val="22"/>
          <w:szCs w:val="22"/>
        </w:rPr>
        <w:t>contrato y</w:t>
      </w:r>
      <w:r w:rsidRPr="00B751FD">
        <w:rPr>
          <w:rFonts w:ascii="Arial" w:hAnsi="Arial" w:cs="Arial"/>
          <w:sz w:val="22"/>
          <w:szCs w:val="22"/>
        </w:rPr>
        <w:t xml:space="preserve"> (B) bienes cuyo costo estimado sea menor al equivalente de US$100,000.00 (Cien mil dólares) por</w:t>
      </w:r>
      <w:r w:rsidR="00AF7152" w:rsidRPr="00B751FD">
        <w:rPr>
          <w:rFonts w:ascii="Arial" w:hAnsi="Arial" w:cs="Arial"/>
          <w:sz w:val="22"/>
          <w:szCs w:val="22"/>
        </w:rPr>
        <w:t xml:space="preserve"> </w:t>
      </w:r>
      <w:r w:rsidRPr="00B751FD">
        <w:rPr>
          <w:rFonts w:ascii="Arial" w:hAnsi="Arial" w:cs="Arial"/>
          <w:sz w:val="22"/>
          <w:szCs w:val="22"/>
        </w:rPr>
        <w:t>contrato, siempre y cuando se cumpla con lo dispuesto en el párrafo 3.5 de las Políticas de Adquisiciones del BID</w:t>
      </w:r>
      <w:r w:rsidR="00A2147B" w:rsidRPr="00B751FD">
        <w:rPr>
          <w:rFonts w:ascii="Arial" w:hAnsi="Arial" w:cs="Arial"/>
          <w:sz w:val="22"/>
          <w:szCs w:val="22"/>
        </w:rPr>
        <w:t>.</w:t>
      </w:r>
      <w:r w:rsidR="0070014E" w:rsidRPr="00B751FD">
        <w:rPr>
          <w:rStyle w:val="FootnoteReference"/>
          <w:rFonts w:ascii="Arial" w:hAnsi="Arial" w:cs="Arial"/>
          <w:sz w:val="22"/>
          <w:szCs w:val="22"/>
        </w:rPr>
        <w:footnoteReference w:id="6"/>
      </w:r>
    </w:p>
    <w:p w14:paraId="139DFF25" w14:textId="77777777" w:rsidR="00A2147B" w:rsidRPr="00B751FD" w:rsidRDefault="00A2147B" w:rsidP="006E3680">
      <w:pPr>
        <w:pStyle w:val="ListParagraph"/>
        <w:ind w:left="1276"/>
        <w:rPr>
          <w:rFonts w:ascii="Arial" w:hAnsi="Arial" w:cs="Arial"/>
          <w:sz w:val="22"/>
          <w:szCs w:val="22"/>
          <w:lang w:val="es-ES_tradnl"/>
        </w:rPr>
      </w:pPr>
    </w:p>
    <w:p w14:paraId="2F51DDB9" w14:textId="40E0B69F" w:rsidR="00364983" w:rsidRPr="00B751FD" w:rsidRDefault="00364983" w:rsidP="001E66D5">
      <w:pPr>
        <w:pStyle w:val="Paragraph"/>
        <w:numPr>
          <w:ilvl w:val="0"/>
          <w:numId w:val="0"/>
        </w:numPr>
        <w:tabs>
          <w:tab w:val="left" w:pos="1260"/>
          <w:tab w:val="num" w:pos="2289"/>
        </w:tabs>
        <w:ind w:left="1276" w:hanging="376"/>
        <w:rPr>
          <w:rFonts w:ascii="Arial" w:hAnsi="Arial" w:cs="Arial"/>
          <w:sz w:val="22"/>
          <w:szCs w:val="22"/>
        </w:rPr>
      </w:pPr>
      <w:r w:rsidRPr="00B751FD">
        <w:rPr>
          <w:rFonts w:ascii="Arial" w:hAnsi="Arial" w:cs="Arial"/>
          <w:sz w:val="22"/>
          <w:szCs w:val="22"/>
        </w:rPr>
        <w:t>(iii)</w:t>
      </w:r>
      <w:r w:rsidR="001E66D5" w:rsidRPr="00B751FD">
        <w:rPr>
          <w:rFonts w:ascii="Arial" w:hAnsi="Arial" w:cs="Arial"/>
          <w:sz w:val="22"/>
          <w:szCs w:val="22"/>
        </w:rPr>
        <w:tab/>
      </w:r>
      <w:r w:rsidRPr="00B751FD">
        <w:rPr>
          <w:rFonts w:ascii="Arial" w:hAnsi="Arial" w:cs="Arial"/>
          <w:sz w:val="22"/>
          <w:szCs w:val="22"/>
        </w:rPr>
        <w:t>Otros métodos de adquisición: de conformidad con lo previsto en la Sección III de las Políticas de Adquisiciones y previa no objeción del BID, se podrán utilizar otros métodos de adquisiciones en las circunstancias especiales establecidas en la Sección III.</w:t>
      </w:r>
    </w:p>
    <w:p w14:paraId="72B3CD48" w14:textId="77777777" w:rsidR="00CF0EB1" w:rsidRPr="00B751FD" w:rsidRDefault="00CF0EB1" w:rsidP="00AA3A12">
      <w:pPr>
        <w:pStyle w:val="ListParagraph"/>
        <w:tabs>
          <w:tab w:val="num" w:pos="1843"/>
        </w:tabs>
        <w:ind w:left="1843" w:hanging="1843"/>
        <w:rPr>
          <w:rFonts w:ascii="Arial" w:hAnsi="Arial" w:cs="Arial"/>
          <w:sz w:val="22"/>
          <w:szCs w:val="22"/>
          <w:lang w:val="es-ES_tradnl"/>
        </w:rPr>
      </w:pPr>
    </w:p>
    <w:p w14:paraId="7BC70FD5" w14:textId="5BF84E05" w:rsidR="00364983" w:rsidRPr="00B751FD" w:rsidRDefault="00364983" w:rsidP="00364983">
      <w:pPr>
        <w:pStyle w:val="Paragraph"/>
        <w:tabs>
          <w:tab w:val="num" w:pos="2289"/>
        </w:tabs>
        <w:ind w:left="851" w:hanging="851"/>
        <w:rPr>
          <w:rFonts w:ascii="Arial" w:hAnsi="Arial" w:cs="Arial"/>
          <w:sz w:val="22"/>
          <w:szCs w:val="22"/>
        </w:rPr>
      </w:pPr>
      <w:r w:rsidRPr="00B751FD">
        <w:rPr>
          <w:rFonts w:ascii="Arial" w:hAnsi="Arial" w:cs="Arial"/>
          <w:b/>
          <w:sz w:val="22"/>
          <w:szCs w:val="22"/>
        </w:rPr>
        <w:t>Otras obligaciones en materia de adquisiciones:</w:t>
      </w:r>
      <w:r w:rsidRPr="00B751FD">
        <w:rPr>
          <w:rFonts w:ascii="Arial" w:hAnsi="Arial" w:cs="Arial"/>
          <w:sz w:val="22"/>
          <w:szCs w:val="22"/>
        </w:rPr>
        <w:t xml:space="preserve"> </w:t>
      </w:r>
      <w:r w:rsidR="00524BBA" w:rsidRPr="00B751FD">
        <w:rPr>
          <w:rFonts w:ascii="Arial" w:hAnsi="Arial" w:cs="Arial"/>
          <w:sz w:val="22"/>
          <w:szCs w:val="22"/>
        </w:rPr>
        <w:t xml:space="preserve">las Áreas Corporativas del </w:t>
      </w:r>
      <w:r w:rsidR="00AD298A" w:rsidRPr="00B751FD">
        <w:rPr>
          <w:rFonts w:ascii="Arial" w:hAnsi="Arial" w:cs="Arial"/>
          <w:sz w:val="22"/>
          <w:szCs w:val="22"/>
        </w:rPr>
        <w:t>BROU</w:t>
      </w:r>
      <w:r w:rsidRPr="00B751FD">
        <w:rPr>
          <w:rFonts w:ascii="Arial" w:hAnsi="Arial" w:cs="Arial"/>
          <w:sz w:val="22"/>
          <w:szCs w:val="22"/>
        </w:rPr>
        <w:t xml:space="preserve"> se compromete a exigir, de ser el caso, y cuando corresponda a los </w:t>
      </w:r>
      <w:r w:rsidR="0075055A" w:rsidRPr="00B751FD">
        <w:rPr>
          <w:rFonts w:ascii="Arial" w:hAnsi="Arial" w:cs="Arial"/>
          <w:sz w:val="22"/>
          <w:szCs w:val="22"/>
        </w:rPr>
        <w:t>Subprestatarios</w:t>
      </w:r>
      <w:r w:rsidRPr="00B751FD">
        <w:rPr>
          <w:rFonts w:ascii="Arial" w:hAnsi="Arial" w:cs="Arial"/>
          <w:sz w:val="22"/>
          <w:szCs w:val="22"/>
        </w:rPr>
        <w:t xml:space="preserve"> Elegibles del Sector Público, que la adquisición de los bienes y la ejecución de las obras, se lleven a cabo de conformidad  con los planos generales, las especificaciones técnicas, sociales y ambientales, los presupuestos y los demás documentos requeridos para la adquisición o la construcción y, en su caso, las bases específicas y demás documentos necesarios para el llamado de una licitación; y en el caso de obras, a obtener con relación a los inmuebles donde se constituirán las obras del Pro</w:t>
      </w:r>
      <w:r w:rsidR="004B2B2F" w:rsidRPr="00B751FD">
        <w:rPr>
          <w:rFonts w:ascii="Arial" w:hAnsi="Arial" w:cs="Arial"/>
          <w:sz w:val="22"/>
          <w:szCs w:val="22"/>
        </w:rPr>
        <w:t>yecto</w:t>
      </w:r>
      <w:r w:rsidRPr="00B751FD">
        <w:rPr>
          <w:rFonts w:ascii="Arial" w:hAnsi="Arial" w:cs="Arial"/>
          <w:sz w:val="22"/>
          <w:szCs w:val="22"/>
        </w:rPr>
        <w:t xml:space="preserve">, antes de la suscripción del contrato de obras, la posesión legal, las servidumbres u otros derechos necesarios para iniciar las obras. Cuando se trate de </w:t>
      </w:r>
      <w:r w:rsidR="00117C36" w:rsidRPr="00B751FD">
        <w:rPr>
          <w:rFonts w:ascii="Arial" w:hAnsi="Arial" w:cs="Arial"/>
          <w:sz w:val="22"/>
          <w:szCs w:val="22"/>
        </w:rPr>
        <w:t>EGIS</w:t>
      </w:r>
      <w:r w:rsidRPr="00B751FD">
        <w:rPr>
          <w:rFonts w:ascii="Arial" w:hAnsi="Arial" w:cs="Arial"/>
          <w:sz w:val="22"/>
          <w:szCs w:val="22"/>
        </w:rPr>
        <w:t xml:space="preserve">, </w:t>
      </w:r>
      <w:r w:rsidR="00AD298A" w:rsidRPr="00B751FD">
        <w:rPr>
          <w:rFonts w:ascii="Arial" w:hAnsi="Arial" w:cs="Arial"/>
          <w:sz w:val="22"/>
          <w:szCs w:val="22"/>
        </w:rPr>
        <w:t>BROU</w:t>
      </w:r>
      <w:r w:rsidRPr="00B751FD">
        <w:rPr>
          <w:rFonts w:ascii="Arial" w:hAnsi="Arial" w:cs="Arial"/>
          <w:sz w:val="22"/>
          <w:szCs w:val="22"/>
        </w:rPr>
        <w:t xml:space="preserve"> solicitará la documentación necesaria de acuerdo a sus políticas operativas y prácticas habituales.</w:t>
      </w:r>
    </w:p>
    <w:p w14:paraId="1EB75691" w14:textId="77777777" w:rsidR="00AF7152" w:rsidRPr="00B751FD" w:rsidRDefault="00AF7152" w:rsidP="00364983">
      <w:pPr>
        <w:pStyle w:val="Paragraph"/>
        <w:numPr>
          <w:ilvl w:val="0"/>
          <w:numId w:val="0"/>
        </w:numPr>
        <w:ind w:left="851"/>
        <w:rPr>
          <w:rFonts w:ascii="Arial" w:hAnsi="Arial" w:cs="Arial"/>
          <w:sz w:val="22"/>
          <w:szCs w:val="22"/>
          <w:highlight w:val="yellow"/>
        </w:rPr>
      </w:pPr>
    </w:p>
    <w:p w14:paraId="7A80B9A3" w14:textId="77777777" w:rsidR="00364983" w:rsidRPr="00B751FD" w:rsidRDefault="00364983" w:rsidP="00364983">
      <w:pPr>
        <w:pStyle w:val="Paragraph"/>
        <w:tabs>
          <w:tab w:val="left" w:pos="1560"/>
          <w:tab w:val="num" w:pos="2289"/>
        </w:tabs>
        <w:ind w:left="851" w:hanging="851"/>
        <w:rPr>
          <w:rFonts w:ascii="Arial" w:hAnsi="Arial" w:cs="Arial"/>
          <w:b/>
          <w:sz w:val="22"/>
          <w:szCs w:val="22"/>
        </w:rPr>
      </w:pPr>
      <w:r w:rsidRPr="00B751FD">
        <w:rPr>
          <w:rFonts w:ascii="Arial" w:hAnsi="Arial" w:cs="Arial"/>
          <w:b/>
          <w:sz w:val="22"/>
          <w:szCs w:val="22"/>
        </w:rPr>
        <w:t>Revisión por el Banco de las decisiones en materia de adquisiciones:</w:t>
      </w:r>
    </w:p>
    <w:p w14:paraId="375E8E90" w14:textId="77777777" w:rsidR="001E3558" w:rsidRPr="00B751FD" w:rsidRDefault="001E3558" w:rsidP="001E3558">
      <w:pPr>
        <w:pStyle w:val="Paragraph"/>
        <w:numPr>
          <w:ilvl w:val="0"/>
          <w:numId w:val="0"/>
        </w:numPr>
        <w:tabs>
          <w:tab w:val="left" w:pos="1560"/>
          <w:tab w:val="num" w:pos="2289"/>
        </w:tabs>
        <w:ind w:left="851"/>
        <w:rPr>
          <w:rFonts w:ascii="Arial" w:hAnsi="Arial" w:cs="Arial"/>
          <w:b/>
          <w:sz w:val="22"/>
          <w:szCs w:val="22"/>
        </w:rPr>
      </w:pPr>
    </w:p>
    <w:p w14:paraId="418FF6F7" w14:textId="2F5D3A6D" w:rsidR="005E102B" w:rsidRPr="00B751FD" w:rsidRDefault="00364983" w:rsidP="00A82519">
      <w:pPr>
        <w:pStyle w:val="Paragraph"/>
        <w:numPr>
          <w:ilvl w:val="0"/>
          <w:numId w:val="11"/>
        </w:numPr>
        <w:tabs>
          <w:tab w:val="left" w:pos="1170"/>
        </w:tabs>
        <w:ind w:left="1170" w:hanging="270"/>
        <w:rPr>
          <w:rFonts w:ascii="Arial" w:hAnsi="Arial" w:cs="Arial"/>
          <w:sz w:val="22"/>
          <w:szCs w:val="22"/>
        </w:rPr>
      </w:pPr>
      <w:r w:rsidRPr="00B751FD">
        <w:rPr>
          <w:rFonts w:ascii="Arial" w:hAnsi="Arial" w:cs="Arial"/>
          <w:b/>
          <w:sz w:val="22"/>
          <w:szCs w:val="22"/>
        </w:rPr>
        <w:t>Planificación de las Adquisiciones.</w:t>
      </w:r>
      <w:r w:rsidRPr="00B751FD">
        <w:rPr>
          <w:rFonts w:ascii="Arial" w:hAnsi="Arial" w:cs="Arial"/>
          <w:sz w:val="22"/>
          <w:szCs w:val="22"/>
        </w:rPr>
        <w:t xml:space="preserve"> El Sub prestatario deberá presentar para la revisión del Banco el Plan de Adquisiciones relacionado con las Operaciones Elegibles de los </w:t>
      </w:r>
      <w:r w:rsidR="0075055A" w:rsidRPr="00B751FD">
        <w:rPr>
          <w:rFonts w:ascii="Arial" w:hAnsi="Arial" w:cs="Arial"/>
          <w:sz w:val="22"/>
          <w:szCs w:val="22"/>
        </w:rPr>
        <w:t>Subprestatarios</w:t>
      </w:r>
      <w:r w:rsidRPr="00B751FD">
        <w:rPr>
          <w:rFonts w:ascii="Arial" w:hAnsi="Arial" w:cs="Arial"/>
          <w:sz w:val="22"/>
          <w:szCs w:val="22"/>
        </w:rPr>
        <w:t xml:space="preserve"> Elegibles del Sector Público. El Plan de Adquisiciones deberá ser actualizado, durante la ejecución del </w:t>
      </w:r>
      <w:r w:rsidR="00A56887" w:rsidRPr="00B751FD">
        <w:rPr>
          <w:rFonts w:ascii="Arial" w:hAnsi="Arial" w:cs="Arial"/>
          <w:sz w:val="22"/>
          <w:szCs w:val="22"/>
        </w:rPr>
        <w:t>PROGRAMA</w:t>
      </w:r>
      <w:r w:rsidRPr="00B751FD">
        <w:rPr>
          <w:rFonts w:ascii="Arial" w:hAnsi="Arial" w:cs="Arial"/>
          <w:sz w:val="22"/>
          <w:szCs w:val="22"/>
        </w:rPr>
        <w:t xml:space="preserve">. </w:t>
      </w:r>
      <w:r w:rsidR="00524BBA" w:rsidRPr="00B751FD">
        <w:rPr>
          <w:rFonts w:ascii="Arial" w:hAnsi="Arial" w:cs="Arial"/>
          <w:sz w:val="22"/>
          <w:szCs w:val="22"/>
        </w:rPr>
        <w:t xml:space="preserve">El </w:t>
      </w:r>
      <w:r w:rsidR="00524BBA" w:rsidRPr="00B751FD">
        <w:rPr>
          <w:rFonts w:ascii="Arial" w:hAnsi="Arial" w:cs="Arial"/>
          <w:sz w:val="22"/>
          <w:szCs w:val="22"/>
        </w:rPr>
        <w:lastRenderedPageBreak/>
        <w:t xml:space="preserve">Área Corporativa del </w:t>
      </w:r>
      <w:r w:rsidR="00AD298A" w:rsidRPr="00B751FD">
        <w:rPr>
          <w:rFonts w:ascii="Arial" w:hAnsi="Arial" w:cs="Arial"/>
          <w:sz w:val="22"/>
          <w:szCs w:val="22"/>
        </w:rPr>
        <w:t>BROU</w:t>
      </w:r>
      <w:r w:rsidRPr="00B751FD">
        <w:rPr>
          <w:rFonts w:ascii="Arial" w:hAnsi="Arial" w:cs="Arial"/>
          <w:sz w:val="22"/>
          <w:szCs w:val="22"/>
        </w:rPr>
        <w:t xml:space="preserve"> deberá exigir de los </w:t>
      </w:r>
      <w:r w:rsidR="0075055A" w:rsidRPr="00B751FD">
        <w:rPr>
          <w:rFonts w:ascii="Arial" w:hAnsi="Arial" w:cs="Arial"/>
          <w:sz w:val="22"/>
          <w:szCs w:val="22"/>
        </w:rPr>
        <w:t>Subprestatarios</w:t>
      </w:r>
      <w:r w:rsidRPr="00B751FD">
        <w:rPr>
          <w:rFonts w:ascii="Arial" w:hAnsi="Arial" w:cs="Arial"/>
          <w:sz w:val="22"/>
          <w:szCs w:val="22"/>
        </w:rPr>
        <w:t xml:space="preserve"> Elegibles del Sector Público, </w:t>
      </w:r>
      <w:r w:rsidR="00524BBA" w:rsidRPr="00B751FD">
        <w:rPr>
          <w:rFonts w:ascii="Arial" w:hAnsi="Arial" w:cs="Arial"/>
          <w:sz w:val="22"/>
          <w:szCs w:val="22"/>
        </w:rPr>
        <w:t>la presentación de sus respectivos planes de adquisici</w:t>
      </w:r>
      <w:r w:rsidR="00887CBA" w:rsidRPr="00B751FD">
        <w:rPr>
          <w:rFonts w:ascii="Arial" w:hAnsi="Arial" w:cs="Arial"/>
          <w:sz w:val="22"/>
          <w:szCs w:val="22"/>
        </w:rPr>
        <w:t xml:space="preserve">ones. </w:t>
      </w:r>
    </w:p>
    <w:p w14:paraId="4B02349A" w14:textId="77777777" w:rsidR="005E102B" w:rsidRPr="00B751FD" w:rsidRDefault="00364983" w:rsidP="00A82519">
      <w:pPr>
        <w:pStyle w:val="Paragraph"/>
        <w:numPr>
          <w:ilvl w:val="0"/>
          <w:numId w:val="11"/>
        </w:numPr>
        <w:tabs>
          <w:tab w:val="left" w:pos="1170"/>
        </w:tabs>
        <w:ind w:left="1170" w:hanging="270"/>
        <w:rPr>
          <w:rFonts w:ascii="Arial" w:hAnsi="Arial" w:cs="Arial"/>
          <w:sz w:val="22"/>
          <w:szCs w:val="22"/>
        </w:rPr>
      </w:pPr>
      <w:r w:rsidRPr="00B751FD">
        <w:rPr>
          <w:rFonts w:ascii="Arial" w:hAnsi="Arial" w:cs="Arial"/>
          <w:b/>
          <w:sz w:val="22"/>
          <w:szCs w:val="22"/>
        </w:rPr>
        <w:t>Revisión ex post:</w:t>
      </w:r>
      <w:r w:rsidRPr="00B751FD">
        <w:rPr>
          <w:rFonts w:ascii="Arial" w:hAnsi="Arial" w:cs="Arial"/>
          <w:sz w:val="22"/>
          <w:szCs w:val="22"/>
        </w:rPr>
        <w:t xml:space="preserve"> Salvo que el BID determine por escrito lo contrario, todas las contrataciones podrán ser revisadas por </w:t>
      </w:r>
      <w:r w:rsidR="00AD298A" w:rsidRPr="00B751FD">
        <w:rPr>
          <w:rFonts w:ascii="Arial" w:hAnsi="Arial" w:cs="Arial"/>
          <w:sz w:val="22"/>
          <w:szCs w:val="22"/>
        </w:rPr>
        <w:t>BROU</w:t>
      </w:r>
      <w:r w:rsidRPr="00B751FD">
        <w:rPr>
          <w:rFonts w:ascii="Arial" w:hAnsi="Arial" w:cs="Arial"/>
          <w:sz w:val="22"/>
          <w:szCs w:val="22"/>
        </w:rPr>
        <w:t xml:space="preserve"> o el Banco, en forma ex post de conformidad con los procedimientos establecidos 2 y 3 del Apéndice 1 de las Políticas de Adquisiciones.</w:t>
      </w:r>
    </w:p>
    <w:p w14:paraId="1CE9A4AD" w14:textId="77777777" w:rsidR="00364983" w:rsidRPr="00B751FD" w:rsidRDefault="00364983" w:rsidP="00364983">
      <w:pPr>
        <w:pStyle w:val="Paragraph"/>
        <w:tabs>
          <w:tab w:val="left" w:pos="1560"/>
          <w:tab w:val="num" w:pos="2289"/>
        </w:tabs>
        <w:ind w:left="851" w:hanging="851"/>
        <w:rPr>
          <w:rFonts w:ascii="Arial" w:hAnsi="Arial" w:cs="Arial"/>
          <w:b/>
          <w:sz w:val="22"/>
          <w:szCs w:val="22"/>
        </w:rPr>
      </w:pPr>
      <w:r w:rsidRPr="00B751FD">
        <w:rPr>
          <w:rFonts w:ascii="Arial" w:hAnsi="Arial" w:cs="Arial"/>
          <w:b/>
          <w:sz w:val="22"/>
          <w:szCs w:val="22"/>
        </w:rPr>
        <w:t xml:space="preserve">Contratación de servicios de consultoría. </w:t>
      </w:r>
      <w:r w:rsidRPr="00B751FD">
        <w:rPr>
          <w:rFonts w:ascii="Arial" w:hAnsi="Arial" w:cs="Arial"/>
          <w:sz w:val="22"/>
          <w:szCs w:val="22"/>
        </w:rPr>
        <w:t xml:space="preserve"> La selección y contratación de consultores deberá ser llevada a cabo de conformidad con las disposiciones establecidas en el Documento GN-2350-9 (“Políticas para la selección y contratación de consultores financiados por el Banco Interamericano de Desarrollo”), de fecha abril de 2011 (en adelante denominado las “Políticas de Consultores”), y conforme a </w:t>
      </w:r>
      <w:r w:rsidR="00A97543" w:rsidRPr="00B751FD">
        <w:rPr>
          <w:rFonts w:ascii="Arial" w:hAnsi="Arial" w:cs="Arial"/>
          <w:sz w:val="22"/>
          <w:szCs w:val="22"/>
        </w:rPr>
        <w:t xml:space="preserve">la normativa correspondiente de la República, previsiones </w:t>
      </w:r>
      <w:r w:rsidRPr="00B751FD">
        <w:rPr>
          <w:rFonts w:ascii="Arial" w:hAnsi="Arial" w:cs="Arial"/>
          <w:sz w:val="22"/>
          <w:szCs w:val="22"/>
        </w:rPr>
        <w:t>reflejad</w:t>
      </w:r>
      <w:r w:rsidR="00A97543" w:rsidRPr="00B751FD">
        <w:rPr>
          <w:rFonts w:ascii="Arial" w:hAnsi="Arial" w:cs="Arial"/>
          <w:sz w:val="22"/>
          <w:szCs w:val="22"/>
        </w:rPr>
        <w:t>a</w:t>
      </w:r>
      <w:r w:rsidRPr="00B751FD">
        <w:rPr>
          <w:rFonts w:ascii="Arial" w:hAnsi="Arial" w:cs="Arial"/>
          <w:sz w:val="22"/>
          <w:szCs w:val="22"/>
        </w:rPr>
        <w:t>s en los lineamientos y disposiciones</w:t>
      </w:r>
      <w:r w:rsidR="00A56887" w:rsidRPr="00B751FD">
        <w:rPr>
          <w:rFonts w:ascii="Arial" w:hAnsi="Arial" w:cs="Arial"/>
          <w:sz w:val="22"/>
          <w:szCs w:val="22"/>
        </w:rPr>
        <w:t>.</w:t>
      </w:r>
    </w:p>
    <w:p w14:paraId="45F07194" w14:textId="2697341A" w:rsidR="00364983" w:rsidRPr="00B751FD" w:rsidRDefault="00AD298A" w:rsidP="006E3680">
      <w:pPr>
        <w:pStyle w:val="Paragraph"/>
        <w:tabs>
          <w:tab w:val="left" w:pos="1701"/>
          <w:tab w:val="num" w:pos="2289"/>
        </w:tabs>
        <w:ind w:left="851" w:hanging="851"/>
        <w:rPr>
          <w:rFonts w:ascii="Arial" w:hAnsi="Arial" w:cs="Arial"/>
          <w:b/>
          <w:sz w:val="22"/>
          <w:szCs w:val="22"/>
        </w:rPr>
      </w:pPr>
      <w:r w:rsidRPr="00B751FD">
        <w:rPr>
          <w:rFonts w:ascii="Arial" w:hAnsi="Arial" w:cs="Arial"/>
          <w:sz w:val="22"/>
          <w:szCs w:val="22"/>
        </w:rPr>
        <w:t>BROU</w:t>
      </w:r>
      <w:r w:rsidR="00364983" w:rsidRPr="00B751FD">
        <w:rPr>
          <w:rFonts w:ascii="Arial" w:hAnsi="Arial" w:cs="Arial"/>
          <w:sz w:val="22"/>
          <w:szCs w:val="22"/>
        </w:rPr>
        <w:t xml:space="preserve"> o el correspondiente Subprestatario Elegible, según corresponda, llevará a cabo la selección y contratación de consultores</w:t>
      </w:r>
      <w:r w:rsidR="00524BBA" w:rsidRPr="00B751FD">
        <w:rPr>
          <w:rFonts w:ascii="Arial" w:hAnsi="Arial" w:cs="Arial"/>
          <w:sz w:val="22"/>
          <w:szCs w:val="22"/>
        </w:rPr>
        <w:t xml:space="preserve">, en el marco de este </w:t>
      </w:r>
      <w:r w:rsidR="0046692F" w:rsidRPr="00B751FD">
        <w:rPr>
          <w:rFonts w:ascii="Arial" w:hAnsi="Arial" w:cs="Arial"/>
          <w:sz w:val="22"/>
          <w:szCs w:val="22"/>
        </w:rPr>
        <w:t>programa</w:t>
      </w:r>
      <w:r w:rsidR="00524BBA" w:rsidRPr="00B751FD">
        <w:rPr>
          <w:rFonts w:ascii="Arial" w:hAnsi="Arial" w:cs="Arial"/>
          <w:sz w:val="22"/>
          <w:szCs w:val="22"/>
        </w:rPr>
        <w:t>,</w:t>
      </w:r>
      <w:r w:rsidR="00364983" w:rsidRPr="00B751FD">
        <w:rPr>
          <w:rFonts w:ascii="Arial" w:hAnsi="Arial" w:cs="Arial"/>
          <w:sz w:val="22"/>
          <w:szCs w:val="22"/>
        </w:rPr>
        <w:t xml:space="preserve"> mediante el método establecidos en la Sección II y en los párrafos 3.16 a 3.20 de las </w:t>
      </w:r>
      <w:r w:rsidR="006827F3" w:rsidRPr="00B751FD">
        <w:rPr>
          <w:rFonts w:ascii="Arial" w:hAnsi="Arial" w:cs="Arial"/>
          <w:sz w:val="22"/>
          <w:szCs w:val="22"/>
        </w:rPr>
        <w:t>Políticas</w:t>
      </w:r>
      <w:r w:rsidR="00364983" w:rsidRPr="00B751FD">
        <w:rPr>
          <w:rFonts w:ascii="Arial" w:hAnsi="Arial" w:cs="Arial"/>
          <w:sz w:val="22"/>
          <w:szCs w:val="22"/>
        </w:rPr>
        <w:t xml:space="preserve"> de Consultores para la selección basada en la calidad y el costo; y mediante la aplicación de cualquiera de los métodos establecidos en las Secciones III y V o en el Apéndice 4 de dichas políticas, según la naturaleza del Sub prestatario Elegible, para la selección de firmas consultoras y de consultores individuales, respectivamente. Para efectos de lo estipulado en el párrafo 2.7 de las Políticas de Consultores, la lista corta de consultores cuyo costo estimado sea menor al equivalente de quinientos mil dólares (US$500,000.00) por contrato podrá estar conformada en su totalidad por consultores nacionales. Las contrataciones de servicios de consultoría se llevarán a cabo de conformidad con documentos previamente acordados con el Banco, cuando corresponda según la naturaleza del sub prestatario.</w:t>
      </w:r>
    </w:p>
    <w:p w14:paraId="06B7F00D" w14:textId="26813EB2" w:rsidR="00364983" w:rsidRPr="00B751FD" w:rsidRDefault="00364983" w:rsidP="006E3680">
      <w:pPr>
        <w:pStyle w:val="Paragraph"/>
        <w:tabs>
          <w:tab w:val="left" w:pos="1701"/>
          <w:tab w:val="num" w:pos="2289"/>
        </w:tabs>
        <w:ind w:left="851" w:hanging="851"/>
        <w:rPr>
          <w:rFonts w:ascii="Arial" w:hAnsi="Arial" w:cs="Arial"/>
          <w:b/>
          <w:sz w:val="22"/>
          <w:szCs w:val="22"/>
        </w:rPr>
      </w:pPr>
      <w:r w:rsidRPr="00B751FD">
        <w:rPr>
          <w:rFonts w:ascii="Arial" w:hAnsi="Arial" w:cs="Arial"/>
          <w:b/>
          <w:sz w:val="22"/>
          <w:szCs w:val="22"/>
        </w:rPr>
        <w:t>Revisión ex ante y ex post:</w:t>
      </w:r>
      <w:r w:rsidRPr="00B751FD">
        <w:rPr>
          <w:rFonts w:ascii="Arial" w:hAnsi="Arial" w:cs="Arial"/>
          <w:sz w:val="22"/>
          <w:szCs w:val="22"/>
        </w:rPr>
        <w:t xml:space="preserve"> Salvo que se trate de contratos de servicios de consultoría cuyo costo estimado sea superior al equivalente de doscientos mil dólares (US$200,000.00), los cuales podrán ser revisados por </w:t>
      </w:r>
      <w:r w:rsidR="00AD298A" w:rsidRPr="00B751FD">
        <w:rPr>
          <w:rFonts w:ascii="Arial" w:hAnsi="Arial" w:cs="Arial"/>
          <w:sz w:val="22"/>
          <w:szCs w:val="22"/>
        </w:rPr>
        <w:t>BROU</w:t>
      </w:r>
      <w:r w:rsidRPr="00B751FD">
        <w:rPr>
          <w:rFonts w:ascii="Arial" w:hAnsi="Arial" w:cs="Arial"/>
          <w:sz w:val="22"/>
          <w:szCs w:val="22"/>
        </w:rPr>
        <w:t xml:space="preserve"> en forma </w:t>
      </w:r>
      <w:r w:rsidRPr="00B751FD">
        <w:rPr>
          <w:rFonts w:ascii="Arial" w:hAnsi="Arial" w:cs="Arial"/>
          <w:i/>
          <w:sz w:val="22"/>
          <w:szCs w:val="22"/>
        </w:rPr>
        <w:t>ex</w:t>
      </w:r>
      <w:r w:rsidR="00987A3D">
        <w:rPr>
          <w:rFonts w:ascii="Arial" w:hAnsi="Arial" w:cs="Arial"/>
          <w:i/>
          <w:sz w:val="22"/>
          <w:szCs w:val="22"/>
        </w:rPr>
        <w:t> </w:t>
      </w:r>
      <w:r w:rsidRPr="00B751FD">
        <w:rPr>
          <w:rFonts w:ascii="Arial" w:hAnsi="Arial" w:cs="Arial"/>
          <w:i/>
          <w:sz w:val="22"/>
          <w:szCs w:val="22"/>
        </w:rPr>
        <w:t>ante</w:t>
      </w:r>
      <w:r w:rsidRPr="00B751FD">
        <w:rPr>
          <w:rFonts w:ascii="Arial" w:hAnsi="Arial" w:cs="Arial"/>
          <w:sz w:val="22"/>
          <w:szCs w:val="22"/>
        </w:rPr>
        <w:t xml:space="preserve">, todos los contratos de servicios, de consultoría podrán ser revisados por </w:t>
      </w:r>
      <w:r w:rsidR="00AD298A" w:rsidRPr="00B751FD">
        <w:rPr>
          <w:rFonts w:ascii="Arial" w:hAnsi="Arial" w:cs="Arial"/>
          <w:sz w:val="22"/>
          <w:szCs w:val="22"/>
        </w:rPr>
        <w:t>BROU</w:t>
      </w:r>
      <w:r w:rsidRPr="00B751FD">
        <w:rPr>
          <w:rFonts w:ascii="Arial" w:hAnsi="Arial" w:cs="Arial"/>
          <w:sz w:val="22"/>
          <w:szCs w:val="22"/>
        </w:rPr>
        <w:t xml:space="preserve"> en forma </w:t>
      </w:r>
      <w:r w:rsidRPr="00B751FD">
        <w:rPr>
          <w:rFonts w:ascii="Arial" w:hAnsi="Arial" w:cs="Arial"/>
          <w:i/>
          <w:sz w:val="22"/>
          <w:szCs w:val="22"/>
        </w:rPr>
        <w:t>ex post</w:t>
      </w:r>
      <w:r w:rsidRPr="00B751FD">
        <w:rPr>
          <w:rFonts w:ascii="Arial" w:hAnsi="Arial" w:cs="Arial"/>
          <w:sz w:val="22"/>
          <w:szCs w:val="22"/>
        </w:rPr>
        <w:t xml:space="preserve">, de conformidad con los procedimientos establecidos en las Políticas de Consultores. El Banco podrá revisar de manera </w:t>
      </w:r>
      <w:r w:rsidRPr="00B751FD">
        <w:rPr>
          <w:rFonts w:ascii="Arial" w:hAnsi="Arial" w:cs="Arial"/>
          <w:i/>
          <w:sz w:val="22"/>
          <w:szCs w:val="22"/>
        </w:rPr>
        <w:t>ex post</w:t>
      </w:r>
      <w:r w:rsidRPr="00B751FD">
        <w:rPr>
          <w:rFonts w:ascii="Arial" w:hAnsi="Arial" w:cs="Arial"/>
          <w:sz w:val="22"/>
          <w:szCs w:val="22"/>
        </w:rPr>
        <w:t xml:space="preserve"> las contrataciones que realice el Prestatario.</w:t>
      </w:r>
    </w:p>
    <w:p w14:paraId="5980D2C0" w14:textId="77777777" w:rsidR="00364983" w:rsidRPr="00B751FD" w:rsidRDefault="00364983" w:rsidP="00051B94">
      <w:pPr>
        <w:pStyle w:val="Paragraph"/>
        <w:numPr>
          <w:ilvl w:val="0"/>
          <w:numId w:val="0"/>
        </w:numPr>
        <w:ind w:left="810"/>
        <w:rPr>
          <w:rFonts w:ascii="Arial" w:hAnsi="Arial" w:cs="Arial"/>
          <w:sz w:val="22"/>
          <w:szCs w:val="22"/>
        </w:rPr>
      </w:pPr>
    </w:p>
    <w:p w14:paraId="3E21FA26" w14:textId="77777777" w:rsidR="00D623EB" w:rsidRPr="00B751FD" w:rsidRDefault="00D623EB" w:rsidP="00D623EB">
      <w:pPr>
        <w:pStyle w:val="Chapter"/>
        <w:rPr>
          <w:rFonts w:ascii="Arial" w:hAnsi="Arial" w:cs="Arial"/>
          <w:sz w:val="22"/>
          <w:szCs w:val="22"/>
        </w:rPr>
      </w:pPr>
      <w:bookmarkStart w:id="39" w:name="_Toc197782555"/>
      <w:bookmarkStart w:id="40" w:name="_Toc198025794"/>
      <w:bookmarkStart w:id="41" w:name="_Toc205191263"/>
      <w:bookmarkStart w:id="42" w:name="_Toc207082509"/>
      <w:bookmarkStart w:id="43" w:name="_Toc207082542"/>
      <w:bookmarkStart w:id="44" w:name="_Toc240434725"/>
      <w:r w:rsidRPr="00B751FD">
        <w:rPr>
          <w:rFonts w:ascii="Arial" w:hAnsi="Arial" w:cs="Arial"/>
          <w:sz w:val="22"/>
          <w:szCs w:val="22"/>
        </w:rPr>
        <w:t xml:space="preserve">Mecanismos de Desembolso de los Recursos del </w:t>
      </w:r>
      <w:bookmarkEnd w:id="39"/>
      <w:bookmarkEnd w:id="40"/>
      <w:bookmarkEnd w:id="41"/>
      <w:bookmarkEnd w:id="42"/>
      <w:bookmarkEnd w:id="43"/>
      <w:bookmarkEnd w:id="44"/>
      <w:r w:rsidR="00A56887" w:rsidRPr="00B751FD">
        <w:rPr>
          <w:rFonts w:ascii="Arial" w:hAnsi="Arial" w:cs="Arial"/>
          <w:sz w:val="22"/>
          <w:szCs w:val="22"/>
        </w:rPr>
        <w:t>Programa</w:t>
      </w:r>
    </w:p>
    <w:p w14:paraId="38865AF2" w14:textId="77777777" w:rsidR="004C7307" w:rsidRPr="00B751FD" w:rsidRDefault="004C7307" w:rsidP="00A2147B">
      <w:pPr>
        <w:pStyle w:val="Paragraph"/>
        <w:tabs>
          <w:tab w:val="num" w:pos="2289"/>
        </w:tabs>
        <w:ind w:left="810" w:hanging="810"/>
        <w:rPr>
          <w:rFonts w:ascii="Arial" w:hAnsi="Arial" w:cs="Arial"/>
          <w:sz w:val="22"/>
          <w:szCs w:val="22"/>
        </w:rPr>
      </w:pPr>
      <w:bookmarkStart w:id="45" w:name="_Ref231622309"/>
      <w:r w:rsidRPr="00B751FD">
        <w:rPr>
          <w:rFonts w:ascii="Arial" w:hAnsi="Arial" w:cs="Arial"/>
          <w:sz w:val="22"/>
          <w:szCs w:val="22"/>
        </w:rPr>
        <w:t>El Banco dese</w:t>
      </w:r>
      <w:r w:rsidR="003002C4" w:rsidRPr="00B751FD">
        <w:rPr>
          <w:rFonts w:ascii="Arial" w:hAnsi="Arial" w:cs="Arial"/>
          <w:sz w:val="22"/>
          <w:szCs w:val="22"/>
        </w:rPr>
        <w:t>m</w:t>
      </w:r>
      <w:r w:rsidRPr="00B751FD">
        <w:rPr>
          <w:rFonts w:ascii="Arial" w:hAnsi="Arial" w:cs="Arial"/>
          <w:sz w:val="22"/>
          <w:szCs w:val="22"/>
        </w:rPr>
        <w:t xml:space="preserve">bolsará a </w:t>
      </w:r>
      <w:r w:rsidR="00AD298A" w:rsidRPr="00B751FD">
        <w:rPr>
          <w:rFonts w:ascii="Arial" w:hAnsi="Arial" w:cs="Arial"/>
          <w:sz w:val="22"/>
          <w:szCs w:val="22"/>
        </w:rPr>
        <w:t>BROU</w:t>
      </w:r>
      <w:r w:rsidRPr="00B751FD">
        <w:rPr>
          <w:rFonts w:ascii="Arial" w:hAnsi="Arial" w:cs="Arial"/>
          <w:sz w:val="22"/>
          <w:szCs w:val="22"/>
        </w:rPr>
        <w:t xml:space="preserve"> recursos del Financiamiento de conformidad con los siguientes mecanismos según corresponda:</w:t>
      </w:r>
    </w:p>
    <w:p w14:paraId="155BD946" w14:textId="474F0B74" w:rsidR="00943C77" w:rsidRPr="00B751FD" w:rsidRDefault="00AF79BB" w:rsidP="001E66D5">
      <w:pPr>
        <w:pStyle w:val="Paragraph"/>
        <w:numPr>
          <w:ilvl w:val="0"/>
          <w:numId w:val="0"/>
        </w:numPr>
        <w:tabs>
          <w:tab w:val="left" w:pos="1170"/>
          <w:tab w:val="left" w:pos="7797"/>
        </w:tabs>
        <w:ind w:left="1170" w:hanging="270"/>
        <w:rPr>
          <w:rFonts w:ascii="Arial" w:hAnsi="Arial" w:cs="Arial"/>
          <w:sz w:val="22"/>
          <w:szCs w:val="22"/>
        </w:rPr>
      </w:pPr>
      <w:r w:rsidRPr="00B751FD">
        <w:rPr>
          <w:rFonts w:ascii="Arial" w:hAnsi="Arial" w:cs="Arial"/>
          <w:sz w:val="22"/>
          <w:szCs w:val="22"/>
        </w:rPr>
        <w:t>a)</w:t>
      </w:r>
      <w:r w:rsidRPr="00B751FD">
        <w:rPr>
          <w:rFonts w:ascii="Arial" w:hAnsi="Arial" w:cs="Arial"/>
          <w:b/>
          <w:sz w:val="22"/>
          <w:szCs w:val="22"/>
        </w:rPr>
        <w:tab/>
      </w:r>
      <w:r w:rsidR="003002C4" w:rsidRPr="00B751FD">
        <w:rPr>
          <w:rFonts w:ascii="Arial" w:hAnsi="Arial" w:cs="Arial"/>
          <w:b/>
          <w:sz w:val="22"/>
          <w:szCs w:val="22"/>
        </w:rPr>
        <w:t>Anticipo de Fondos</w:t>
      </w:r>
      <w:r w:rsidR="001E66D5" w:rsidRPr="00B751FD">
        <w:rPr>
          <w:rFonts w:ascii="Arial" w:hAnsi="Arial" w:cs="Arial"/>
          <w:b/>
          <w:sz w:val="22"/>
          <w:szCs w:val="22"/>
        </w:rPr>
        <w:t>.</w:t>
      </w:r>
      <w:r w:rsidR="00B97726" w:rsidRPr="00B751FD">
        <w:rPr>
          <w:rFonts w:ascii="Arial" w:hAnsi="Arial" w:cs="Arial"/>
          <w:sz w:val="22"/>
          <w:szCs w:val="22"/>
        </w:rPr>
        <w:t xml:space="preserve"> </w:t>
      </w:r>
      <w:r w:rsidR="001E66D5" w:rsidRPr="00B751FD">
        <w:rPr>
          <w:rFonts w:ascii="Arial" w:hAnsi="Arial" w:cs="Arial"/>
          <w:sz w:val="22"/>
          <w:szCs w:val="22"/>
        </w:rPr>
        <w:t>E</w:t>
      </w:r>
      <w:r w:rsidR="00B97726" w:rsidRPr="00B751FD">
        <w:rPr>
          <w:rFonts w:ascii="Arial" w:hAnsi="Arial" w:cs="Arial"/>
          <w:sz w:val="22"/>
          <w:szCs w:val="22"/>
        </w:rPr>
        <w:t xml:space="preserve">n función de la </w:t>
      </w:r>
      <w:r w:rsidR="00A56887" w:rsidRPr="00B751FD">
        <w:rPr>
          <w:rFonts w:ascii="Arial" w:hAnsi="Arial" w:cs="Arial"/>
          <w:sz w:val="22"/>
          <w:szCs w:val="22"/>
        </w:rPr>
        <w:t>Programa</w:t>
      </w:r>
      <w:r w:rsidR="00B97726" w:rsidRPr="00B751FD">
        <w:rPr>
          <w:rFonts w:ascii="Arial" w:hAnsi="Arial" w:cs="Arial"/>
          <w:sz w:val="22"/>
          <w:szCs w:val="22"/>
        </w:rPr>
        <w:t xml:space="preserve">ción financiera semestral del </w:t>
      </w:r>
      <w:r w:rsidR="0046692F" w:rsidRPr="00B751FD">
        <w:rPr>
          <w:rFonts w:ascii="Arial" w:hAnsi="Arial" w:cs="Arial"/>
          <w:sz w:val="22"/>
          <w:szCs w:val="22"/>
        </w:rPr>
        <w:t>programa</w:t>
      </w:r>
      <w:r w:rsidR="00B97726" w:rsidRPr="00B751FD">
        <w:rPr>
          <w:rFonts w:ascii="Arial" w:hAnsi="Arial" w:cs="Arial"/>
          <w:sz w:val="22"/>
          <w:szCs w:val="22"/>
        </w:rPr>
        <w:t xml:space="preserve"> y la proyección de requerimientos financieros de los </w:t>
      </w:r>
      <w:r w:rsidR="0075055A" w:rsidRPr="00B751FD">
        <w:rPr>
          <w:rFonts w:ascii="Arial" w:hAnsi="Arial" w:cs="Arial"/>
          <w:sz w:val="22"/>
          <w:szCs w:val="22"/>
        </w:rPr>
        <w:t>Subprestatarios</w:t>
      </w:r>
      <w:r w:rsidR="00B97726" w:rsidRPr="00B751FD">
        <w:rPr>
          <w:rFonts w:ascii="Arial" w:hAnsi="Arial" w:cs="Arial"/>
          <w:sz w:val="22"/>
          <w:szCs w:val="22"/>
        </w:rPr>
        <w:t xml:space="preserve"> Elegibles. Para el segundo y subsiguientes desembolsos dentro de este mecanismo, </w:t>
      </w:r>
      <w:r w:rsidR="00AD298A" w:rsidRPr="00B751FD">
        <w:rPr>
          <w:rFonts w:ascii="Arial" w:hAnsi="Arial" w:cs="Arial"/>
          <w:sz w:val="22"/>
          <w:szCs w:val="22"/>
        </w:rPr>
        <w:t>BROU</w:t>
      </w:r>
      <w:r w:rsidR="00B97726" w:rsidRPr="00B751FD">
        <w:rPr>
          <w:rFonts w:ascii="Arial" w:hAnsi="Arial" w:cs="Arial"/>
          <w:sz w:val="22"/>
          <w:szCs w:val="22"/>
        </w:rPr>
        <w:t xml:space="preserve"> deberá justificar</w:t>
      </w:r>
      <w:r w:rsidR="006B17B3" w:rsidRPr="00B751FD">
        <w:rPr>
          <w:rFonts w:ascii="Arial" w:hAnsi="Arial" w:cs="Arial"/>
          <w:sz w:val="22"/>
          <w:szCs w:val="22"/>
        </w:rPr>
        <w:t xml:space="preserve"> la</w:t>
      </w:r>
      <w:r w:rsidR="00B97726" w:rsidRPr="00B751FD">
        <w:rPr>
          <w:rFonts w:ascii="Arial" w:hAnsi="Arial" w:cs="Arial"/>
          <w:sz w:val="22"/>
          <w:szCs w:val="22"/>
        </w:rPr>
        <w:t xml:space="preserve"> utilización de hasta el 80% del Anticipo de Fondos anterior.</w:t>
      </w:r>
      <w:r w:rsidR="00943C77" w:rsidRPr="00B751FD">
        <w:rPr>
          <w:rFonts w:ascii="Arial" w:hAnsi="Arial" w:cs="Arial"/>
          <w:sz w:val="22"/>
          <w:szCs w:val="22"/>
        </w:rPr>
        <w:t xml:space="preserve"> El monto máximo de cada anticipo de fondos será fijado por el Banco con base en las necesidades de liquidez del </w:t>
      </w:r>
      <w:r w:rsidR="00A56887" w:rsidRPr="00B751FD">
        <w:rPr>
          <w:rFonts w:ascii="Arial" w:hAnsi="Arial" w:cs="Arial"/>
          <w:sz w:val="22"/>
          <w:szCs w:val="22"/>
        </w:rPr>
        <w:t>PROGRAMA</w:t>
      </w:r>
      <w:r w:rsidR="00943C77" w:rsidRPr="00B751FD">
        <w:rPr>
          <w:rFonts w:ascii="Arial" w:hAnsi="Arial" w:cs="Arial"/>
          <w:sz w:val="22"/>
          <w:szCs w:val="22"/>
        </w:rPr>
        <w:t xml:space="preserve"> para atender previsiones periódicas de gastos. </w:t>
      </w:r>
    </w:p>
    <w:p w14:paraId="7FAB005B" w14:textId="18B7CC49" w:rsidR="00943C77" w:rsidRPr="00B751FD" w:rsidRDefault="00943C77" w:rsidP="001E66D5">
      <w:pPr>
        <w:pStyle w:val="Paragraph"/>
        <w:numPr>
          <w:ilvl w:val="0"/>
          <w:numId w:val="0"/>
        </w:numPr>
        <w:ind w:left="1170"/>
        <w:rPr>
          <w:rFonts w:ascii="Arial" w:hAnsi="Arial" w:cs="Arial"/>
          <w:sz w:val="22"/>
          <w:szCs w:val="22"/>
        </w:rPr>
      </w:pPr>
      <w:r w:rsidRPr="00B751FD">
        <w:rPr>
          <w:rFonts w:ascii="Arial" w:hAnsi="Arial" w:cs="Arial"/>
          <w:sz w:val="22"/>
          <w:szCs w:val="22"/>
        </w:rPr>
        <w:lastRenderedPageBreak/>
        <w:t>El Banco podrá también reducir o cancelar el saldo total acumulado del o de los anticipos de fondos en el caso de que determine que los recursos desembolsados del Financiamiento no han sido utilizados o justificados debida y oportunamente al Banco.</w:t>
      </w:r>
    </w:p>
    <w:p w14:paraId="6635DC1E" w14:textId="702AB89D" w:rsidR="004E4465" w:rsidRPr="00B751FD" w:rsidRDefault="00AF79BB" w:rsidP="001E66D5">
      <w:pPr>
        <w:pStyle w:val="Paragraph"/>
        <w:numPr>
          <w:ilvl w:val="0"/>
          <w:numId w:val="0"/>
        </w:numPr>
        <w:tabs>
          <w:tab w:val="left" w:pos="1170"/>
          <w:tab w:val="left" w:pos="7797"/>
        </w:tabs>
        <w:ind w:left="1170" w:hanging="270"/>
        <w:rPr>
          <w:rFonts w:ascii="Arial" w:hAnsi="Arial" w:cs="Arial"/>
          <w:sz w:val="22"/>
          <w:szCs w:val="22"/>
          <w:lang w:eastAsia="en-US"/>
        </w:rPr>
      </w:pPr>
      <w:r w:rsidRPr="00B751FD">
        <w:rPr>
          <w:rFonts w:ascii="Arial" w:hAnsi="Arial" w:cs="Arial"/>
          <w:sz w:val="22"/>
          <w:szCs w:val="22"/>
        </w:rPr>
        <w:t>b)</w:t>
      </w:r>
      <w:r w:rsidR="00AB0988" w:rsidRPr="00B751FD">
        <w:rPr>
          <w:rFonts w:ascii="Arial" w:hAnsi="Arial" w:cs="Arial"/>
          <w:sz w:val="22"/>
          <w:szCs w:val="22"/>
        </w:rPr>
        <w:tab/>
      </w:r>
      <w:r w:rsidR="00312EAF" w:rsidRPr="00B751FD">
        <w:rPr>
          <w:rFonts w:ascii="Arial" w:hAnsi="Arial" w:cs="Arial"/>
          <w:b/>
          <w:sz w:val="22"/>
          <w:szCs w:val="22"/>
        </w:rPr>
        <w:t>R</w:t>
      </w:r>
      <w:r w:rsidR="00AA3A12" w:rsidRPr="00B751FD">
        <w:rPr>
          <w:rFonts w:ascii="Arial" w:hAnsi="Arial" w:cs="Arial"/>
          <w:b/>
          <w:sz w:val="22"/>
          <w:szCs w:val="22"/>
        </w:rPr>
        <w:t>eembolso de</w:t>
      </w:r>
      <w:r w:rsidR="00017FA8" w:rsidRPr="00B751FD">
        <w:rPr>
          <w:rFonts w:ascii="Arial" w:hAnsi="Arial" w:cs="Arial"/>
          <w:b/>
          <w:sz w:val="22"/>
          <w:szCs w:val="22"/>
        </w:rPr>
        <w:t xml:space="preserve"> gastos </w:t>
      </w:r>
      <w:r w:rsidR="00FF147B" w:rsidRPr="00B751FD">
        <w:rPr>
          <w:rFonts w:ascii="Arial" w:hAnsi="Arial" w:cs="Arial"/>
          <w:b/>
          <w:sz w:val="22"/>
          <w:szCs w:val="22"/>
        </w:rPr>
        <w:t xml:space="preserve">realizados mediante préstamos </w:t>
      </w:r>
      <w:r w:rsidR="00312EAF" w:rsidRPr="00B751FD">
        <w:rPr>
          <w:rFonts w:ascii="Arial" w:hAnsi="Arial" w:cs="Arial"/>
          <w:sz w:val="22"/>
          <w:szCs w:val="22"/>
        </w:rPr>
        <w:t xml:space="preserve">efectuados </w:t>
      </w:r>
      <w:r w:rsidR="00D271A1" w:rsidRPr="00B751FD">
        <w:rPr>
          <w:rFonts w:ascii="Arial" w:hAnsi="Arial" w:cs="Arial"/>
          <w:sz w:val="22"/>
          <w:szCs w:val="22"/>
        </w:rPr>
        <w:t xml:space="preserve">por </w:t>
      </w:r>
      <w:r w:rsidR="00AD298A" w:rsidRPr="00B751FD">
        <w:rPr>
          <w:rFonts w:ascii="Arial" w:hAnsi="Arial" w:cs="Arial"/>
          <w:sz w:val="22"/>
          <w:szCs w:val="22"/>
        </w:rPr>
        <w:t>BROU</w:t>
      </w:r>
      <w:r w:rsidR="00D271A1" w:rsidRPr="00B751FD">
        <w:rPr>
          <w:rFonts w:ascii="Arial" w:hAnsi="Arial" w:cs="Arial"/>
          <w:sz w:val="22"/>
          <w:szCs w:val="22"/>
        </w:rPr>
        <w:t xml:space="preserve"> en Operaciones Elegibles d</w:t>
      </w:r>
      <w:r w:rsidR="00312EAF" w:rsidRPr="00B751FD">
        <w:rPr>
          <w:rFonts w:ascii="Arial" w:hAnsi="Arial" w:cs="Arial"/>
          <w:sz w:val="22"/>
          <w:szCs w:val="22"/>
        </w:rPr>
        <w:t xml:space="preserve">el </w:t>
      </w:r>
      <w:r w:rsidR="00A56887" w:rsidRPr="00B751FD">
        <w:rPr>
          <w:rFonts w:ascii="Arial" w:hAnsi="Arial" w:cs="Arial"/>
          <w:sz w:val="22"/>
          <w:szCs w:val="22"/>
        </w:rPr>
        <w:t>Programa</w:t>
      </w:r>
      <w:r w:rsidR="00312EAF" w:rsidRPr="00B751FD">
        <w:rPr>
          <w:rFonts w:ascii="Arial" w:hAnsi="Arial" w:cs="Arial"/>
          <w:sz w:val="22"/>
          <w:szCs w:val="22"/>
        </w:rPr>
        <w:t xml:space="preserve">. </w:t>
      </w:r>
    </w:p>
    <w:p w14:paraId="3B4A6A21" w14:textId="27747B1E" w:rsidR="008620B5" w:rsidRPr="00B751FD" w:rsidRDefault="00D8581A" w:rsidP="0046692F">
      <w:pPr>
        <w:ind w:left="1170"/>
        <w:jc w:val="both"/>
        <w:rPr>
          <w:rFonts w:ascii="Arial" w:hAnsi="Arial" w:cs="Arial"/>
          <w:sz w:val="22"/>
          <w:szCs w:val="22"/>
          <w:lang w:val="es-ES_tradnl" w:eastAsia="en-US"/>
        </w:rPr>
      </w:pPr>
      <w:r w:rsidRPr="00B751FD">
        <w:rPr>
          <w:rFonts w:ascii="Arial" w:hAnsi="Arial" w:cs="Arial"/>
          <w:sz w:val="22"/>
          <w:szCs w:val="22"/>
          <w:lang w:val="es-ES_tradnl" w:eastAsia="en-US"/>
        </w:rPr>
        <w:t xml:space="preserve">Los recursos del Financiamiento </w:t>
      </w:r>
      <w:r w:rsidR="00017FA8" w:rsidRPr="00B751FD">
        <w:rPr>
          <w:rFonts w:ascii="Arial" w:hAnsi="Arial" w:cs="Arial"/>
          <w:sz w:val="22"/>
          <w:szCs w:val="22"/>
          <w:lang w:val="es-ES_tradnl" w:eastAsia="en-US"/>
        </w:rPr>
        <w:t xml:space="preserve">también </w:t>
      </w:r>
      <w:r w:rsidRPr="00B751FD">
        <w:rPr>
          <w:rFonts w:ascii="Arial" w:hAnsi="Arial" w:cs="Arial"/>
          <w:sz w:val="22"/>
          <w:szCs w:val="22"/>
          <w:lang w:val="es-ES_tradnl" w:eastAsia="en-US"/>
        </w:rPr>
        <w:t xml:space="preserve">podrán financiar gastos elegibles efectuados por el prestatario antes de la fecha de aprobación del préstamo, hasta por la suma de US$40 millones, siempre que se hayan cumplido con requisitos sustancialmente análogos a los establecidos en el contrato de préstamo. </w:t>
      </w:r>
    </w:p>
    <w:p w14:paraId="3AA3F7C7" w14:textId="77777777" w:rsidR="0046692F" w:rsidRPr="00B751FD" w:rsidRDefault="0046692F" w:rsidP="0046692F">
      <w:pPr>
        <w:ind w:left="1170"/>
        <w:jc w:val="both"/>
        <w:rPr>
          <w:rFonts w:ascii="Arial" w:hAnsi="Arial" w:cs="Arial"/>
          <w:sz w:val="22"/>
          <w:szCs w:val="22"/>
          <w:lang w:val="es-ES_tradnl" w:eastAsia="en-US"/>
        </w:rPr>
      </w:pPr>
    </w:p>
    <w:p w14:paraId="30D637CD" w14:textId="3D2204F4" w:rsidR="008620B5" w:rsidRPr="00B751FD" w:rsidRDefault="00017FA8" w:rsidP="0046692F">
      <w:pPr>
        <w:ind w:left="1170"/>
        <w:jc w:val="both"/>
        <w:rPr>
          <w:rFonts w:ascii="Arial" w:hAnsi="Arial" w:cs="Arial"/>
          <w:sz w:val="22"/>
          <w:szCs w:val="22"/>
          <w:lang w:val="es-ES_tradnl"/>
        </w:rPr>
      </w:pPr>
      <w:r w:rsidRPr="00B751FD">
        <w:rPr>
          <w:rFonts w:ascii="Arial" w:hAnsi="Arial" w:cs="Arial"/>
          <w:sz w:val="22"/>
          <w:szCs w:val="22"/>
          <w:lang w:val="es-ES_tradnl" w:eastAsia="en-US"/>
        </w:rPr>
        <w:t xml:space="preserve">Los controles y verificaciones por parte del BID </w:t>
      </w:r>
      <w:r w:rsidR="0044779D" w:rsidRPr="00B751FD">
        <w:rPr>
          <w:rFonts w:ascii="Arial" w:hAnsi="Arial" w:cs="Arial"/>
          <w:sz w:val="22"/>
          <w:szCs w:val="22"/>
          <w:lang w:val="es-ES_tradnl" w:eastAsia="en-US"/>
        </w:rPr>
        <w:t xml:space="preserve">o de los auditores externos </w:t>
      </w:r>
      <w:r w:rsidRPr="00B751FD">
        <w:rPr>
          <w:rFonts w:ascii="Arial" w:hAnsi="Arial" w:cs="Arial"/>
          <w:sz w:val="22"/>
          <w:szCs w:val="22"/>
          <w:lang w:val="es-ES_tradnl" w:eastAsia="en-US"/>
        </w:rPr>
        <w:t xml:space="preserve">se harán por muestreo y ex post. Para acceder a este mecanismo, BROU deberá enviar al Banco la lista y monto de las operaciones elegibles financiadas. </w:t>
      </w:r>
      <w:r w:rsidR="008620B5" w:rsidRPr="00B751FD">
        <w:rPr>
          <w:rFonts w:ascii="Arial" w:hAnsi="Arial" w:cs="Arial"/>
          <w:sz w:val="22"/>
          <w:szCs w:val="22"/>
          <w:lang w:val="es-ES_tradnl" w:eastAsia="en-US"/>
        </w:rPr>
        <w:t>El</w:t>
      </w:r>
      <w:r w:rsidR="008620B5" w:rsidRPr="00B751FD">
        <w:rPr>
          <w:rFonts w:ascii="Arial" w:hAnsi="Arial" w:cs="Arial"/>
          <w:sz w:val="22"/>
          <w:szCs w:val="22"/>
          <w:lang w:val="es-ES_tradnl"/>
        </w:rPr>
        <w:t xml:space="preserve"> detalle de las operaciones elegibles financiables, contendrá la siguiente información:</w:t>
      </w:r>
    </w:p>
    <w:p w14:paraId="252775B6" w14:textId="77777777" w:rsidR="008620B5" w:rsidRPr="00B751FD" w:rsidRDefault="004E4465"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Empresa</w:t>
      </w:r>
    </w:p>
    <w:p w14:paraId="75DB9078" w14:textId="77777777" w:rsidR="008620B5" w:rsidRPr="00B751FD" w:rsidRDefault="008620B5"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Número de crédito</w:t>
      </w:r>
    </w:p>
    <w:p w14:paraId="03424522" w14:textId="77777777" w:rsidR="008620B5" w:rsidRPr="00B751FD" w:rsidRDefault="008620B5"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Clave del beneficiario</w:t>
      </w:r>
    </w:p>
    <w:p w14:paraId="2062CE71" w14:textId="77777777" w:rsidR="008620B5" w:rsidRPr="00B751FD" w:rsidRDefault="008620B5"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Tipo de Crédito</w:t>
      </w:r>
    </w:p>
    <w:p w14:paraId="09969B86" w14:textId="46724F2B" w:rsidR="008620B5" w:rsidRPr="00B751FD" w:rsidRDefault="008620B5"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Monto otorgado de crédito especificando el tipo de moneda</w:t>
      </w:r>
    </w:p>
    <w:p w14:paraId="71D91F52" w14:textId="77777777" w:rsidR="008620B5" w:rsidRPr="00B751FD" w:rsidRDefault="008620B5"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Fecha de pago</w:t>
      </w:r>
    </w:p>
    <w:p w14:paraId="31937D1C" w14:textId="77777777" w:rsidR="004E4465" w:rsidRPr="00B751FD" w:rsidRDefault="008620B5"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Plazo de amortización</w:t>
      </w:r>
    </w:p>
    <w:p w14:paraId="02335971" w14:textId="77777777" w:rsidR="00CD7818" w:rsidRPr="00B751FD" w:rsidRDefault="00D071C4" w:rsidP="00A82519">
      <w:pPr>
        <w:pStyle w:val="SubHeading1"/>
        <w:numPr>
          <w:ilvl w:val="2"/>
          <w:numId w:val="1"/>
        </w:numPr>
        <w:spacing w:before="0" w:after="0"/>
        <w:rPr>
          <w:rFonts w:ascii="Arial" w:hAnsi="Arial" w:cs="Arial"/>
          <w:sz w:val="22"/>
          <w:szCs w:val="22"/>
        </w:rPr>
      </w:pPr>
      <w:r w:rsidRPr="00B751FD">
        <w:rPr>
          <w:rFonts w:ascii="Arial" w:hAnsi="Arial" w:cs="Arial"/>
          <w:b w:val="0"/>
          <w:sz w:val="22"/>
          <w:szCs w:val="22"/>
        </w:rPr>
        <w:t>Tipo de interés</w:t>
      </w:r>
      <w:r w:rsidR="004E4465" w:rsidRPr="00B751FD">
        <w:rPr>
          <w:rFonts w:ascii="Arial" w:hAnsi="Arial" w:cs="Arial"/>
          <w:b w:val="0"/>
          <w:sz w:val="22"/>
          <w:szCs w:val="22"/>
        </w:rPr>
        <w:t xml:space="preserve"> efectivo anual</w:t>
      </w:r>
    </w:p>
    <w:p w14:paraId="64A36B77" w14:textId="63C73FC9" w:rsidR="00A2147B" w:rsidRPr="00B751FD" w:rsidRDefault="00A2147B" w:rsidP="0046692F">
      <w:pPr>
        <w:pStyle w:val="Paragraph"/>
        <w:numPr>
          <w:ilvl w:val="0"/>
          <w:numId w:val="0"/>
        </w:numPr>
        <w:tabs>
          <w:tab w:val="left" w:pos="1985"/>
        </w:tabs>
        <w:spacing w:before="0" w:after="0"/>
        <w:rPr>
          <w:rFonts w:ascii="Arial" w:hAnsi="Arial" w:cs="Arial"/>
          <w:sz w:val="22"/>
          <w:szCs w:val="22"/>
        </w:rPr>
      </w:pPr>
    </w:p>
    <w:p w14:paraId="06878FA5" w14:textId="18349249" w:rsidR="00B0186D" w:rsidRPr="00B751FD" w:rsidRDefault="0046692F" w:rsidP="00B751FD">
      <w:pPr>
        <w:ind w:left="360"/>
        <w:rPr>
          <w:rFonts w:ascii="Arial" w:hAnsi="Arial" w:cs="Arial"/>
          <w:b/>
          <w:sz w:val="22"/>
          <w:szCs w:val="22"/>
          <w:lang w:val="es-ES_tradnl"/>
        </w:rPr>
      </w:pPr>
      <w:bookmarkStart w:id="46" w:name="_Toc197782559"/>
      <w:bookmarkStart w:id="47" w:name="_Toc198025798"/>
      <w:bookmarkStart w:id="48" w:name="_Toc205191267"/>
      <w:bookmarkStart w:id="49" w:name="_Toc207082513"/>
      <w:bookmarkStart w:id="50" w:name="_Toc207082546"/>
      <w:bookmarkEnd w:id="45"/>
      <w:r w:rsidRPr="00B751FD">
        <w:rPr>
          <w:rFonts w:ascii="Arial" w:hAnsi="Arial" w:cs="Arial"/>
          <w:sz w:val="22"/>
          <w:szCs w:val="22"/>
          <w:lang w:val="es-ES_tradnl"/>
        </w:rPr>
        <w:t>c)</w:t>
      </w:r>
      <w:r w:rsidRPr="00B751FD">
        <w:rPr>
          <w:rFonts w:ascii="Arial" w:hAnsi="Arial" w:cs="Arial"/>
          <w:sz w:val="22"/>
          <w:szCs w:val="22"/>
          <w:lang w:val="es-ES_tradnl"/>
        </w:rPr>
        <w:tab/>
      </w:r>
      <w:bookmarkStart w:id="51" w:name="_Toc240434728"/>
      <w:bookmarkStart w:id="52" w:name="_Toc230672798"/>
      <w:r w:rsidR="00D623EB" w:rsidRPr="00B751FD">
        <w:rPr>
          <w:rFonts w:ascii="Arial" w:hAnsi="Arial" w:cs="Arial"/>
          <w:b/>
          <w:sz w:val="22"/>
          <w:szCs w:val="22"/>
          <w:lang w:val="es-ES_tradnl"/>
        </w:rPr>
        <w:t>Proceso de Tramitación de Desembolsos</w:t>
      </w:r>
      <w:bookmarkEnd w:id="51"/>
      <w:r w:rsidR="001E66D5" w:rsidRPr="00B751FD">
        <w:rPr>
          <w:rFonts w:ascii="Arial" w:hAnsi="Arial" w:cs="Arial"/>
          <w:b/>
          <w:sz w:val="22"/>
          <w:szCs w:val="22"/>
          <w:lang w:val="es-ES_tradnl"/>
        </w:rPr>
        <w:t xml:space="preserve">. </w:t>
      </w:r>
    </w:p>
    <w:bookmarkEnd w:id="52"/>
    <w:p w14:paraId="199E6A9C" w14:textId="5DDC86F3" w:rsidR="005E102B" w:rsidRPr="00B751FD" w:rsidRDefault="00AD298A" w:rsidP="00B751FD">
      <w:pPr>
        <w:pStyle w:val="Paragraph"/>
        <w:numPr>
          <w:ilvl w:val="0"/>
          <w:numId w:val="0"/>
        </w:numPr>
        <w:tabs>
          <w:tab w:val="left" w:pos="720"/>
        </w:tabs>
        <w:ind w:left="720"/>
        <w:rPr>
          <w:rFonts w:ascii="Arial" w:hAnsi="Arial" w:cs="Arial"/>
          <w:sz w:val="22"/>
          <w:szCs w:val="22"/>
        </w:rPr>
      </w:pPr>
      <w:r w:rsidRPr="00B751FD">
        <w:rPr>
          <w:rFonts w:ascii="Arial" w:hAnsi="Arial" w:cs="Arial"/>
          <w:sz w:val="22"/>
          <w:szCs w:val="22"/>
          <w:lang w:eastAsia="en-US"/>
        </w:rPr>
        <w:t>BROU</w:t>
      </w:r>
      <w:r w:rsidR="00D623EB" w:rsidRPr="00B751FD">
        <w:rPr>
          <w:rFonts w:ascii="Arial" w:hAnsi="Arial" w:cs="Arial"/>
          <w:sz w:val="22"/>
          <w:szCs w:val="22"/>
        </w:rPr>
        <w:t xml:space="preserve"> seleccionará la cartera que cumpla con las características señaladas en este ROP y la enviará al Banco mediante la presentación de una solicitud de desembolso respaldada por operaciones elegibles. Una vez recibida, el BID procesará el desembolso reintegrando los recursos a la cuenta que </w:t>
      </w:r>
      <w:r w:rsidRPr="00B751FD">
        <w:rPr>
          <w:rFonts w:ascii="Arial" w:hAnsi="Arial" w:cs="Arial"/>
          <w:sz w:val="22"/>
          <w:szCs w:val="22"/>
        </w:rPr>
        <w:t>BROU</w:t>
      </w:r>
      <w:r w:rsidR="00D623EB" w:rsidRPr="00B751FD">
        <w:rPr>
          <w:rFonts w:ascii="Arial" w:hAnsi="Arial" w:cs="Arial"/>
          <w:sz w:val="22"/>
          <w:szCs w:val="22"/>
        </w:rPr>
        <w:t xml:space="preserve"> señale. </w:t>
      </w:r>
    </w:p>
    <w:bookmarkEnd w:id="46"/>
    <w:bookmarkEnd w:id="47"/>
    <w:bookmarkEnd w:id="48"/>
    <w:bookmarkEnd w:id="49"/>
    <w:bookmarkEnd w:id="50"/>
    <w:p w14:paraId="6D6CA8F4" w14:textId="1134B899" w:rsidR="00D623EB" w:rsidRPr="00B751FD" w:rsidRDefault="00D623EB" w:rsidP="00B751FD">
      <w:pPr>
        <w:pStyle w:val="Paragraph"/>
        <w:numPr>
          <w:ilvl w:val="0"/>
          <w:numId w:val="0"/>
        </w:numPr>
        <w:tabs>
          <w:tab w:val="left" w:pos="720"/>
        </w:tabs>
        <w:ind w:left="720"/>
        <w:rPr>
          <w:rFonts w:ascii="Arial" w:hAnsi="Arial" w:cs="Arial"/>
          <w:sz w:val="22"/>
          <w:szCs w:val="22"/>
        </w:rPr>
      </w:pPr>
      <w:r w:rsidRPr="00B751FD">
        <w:rPr>
          <w:rFonts w:ascii="Arial" w:hAnsi="Arial" w:cs="Arial"/>
          <w:b/>
          <w:sz w:val="22"/>
          <w:szCs w:val="22"/>
          <w:lang w:eastAsia="en-US"/>
        </w:rPr>
        <w:t>Plazo</w:t>
      </w:r>
      <w:r w:rsidRPr="00B751FD">
        <w:rPr>
          <w:rFonts w:ascii="Arial" w:hAnsi="Arial" w:cs="Arial"/>
          <w:b/>
          <w:sz w:val="22"/>
          <w:szCs w:val="22"/>
        </w:rPr>
        <w:t xml:space="preserve"> para el desembolso de los recursos</w:t>
      </w:r>
      <w:r w:rsidRPr="00B751FD">
        <w:rPr>
          <w:rFonts w:ascii="Arial" w:hAnsi="Arial" w:cs="Arial"/>
          <w:sz w:val="22"/>
          <w:szCs w:val="22"/>
        </w:rPr>
        <w:t xml:space="preserve">. El Ejecutor tendrá un plazo de </w:t>
      </w:r>
      <w:r w:rsidR="008620B5" w:rsidRPr="00B751FD">
        <w:rPr>
          <w:rFonts w:ascii="Arial" w:hAnsi="Arial" w:cs="Arial"/>
          <w:sz w:val="22"/>
          <w:szCs w:val="22"/>
        </w:rPr>
        <w:t>4</w:t>
      </w:r>
      <w:r w:rsidR="00B751FD">
        <w:rPr>
          <w:rFonts w:ascii="Arial" w:hAnsi="Arial" w:cs="Arial"/>
          <w:sz w:val="22"/>
          <w:szCs w:val="22"/>
        </w:rPr>
        <w:t> </w:t>
      </w:r>
      <w:r w:rsidR="00051B94" w:rsidRPr="00B751FD">
        <w:rPr>
          <w:rFonts w:ascii="Arial" w:hAnsi="Arial" w:cs="Arial"/>
          <w:sz w:val="22"/>
          <w:szCs w:val="22"/>
        </w:rPr>
        <w:t>(</w:t>
      </w:r>
      <w:r w:rsidR="008620B5" w:rsidRPr="00B751FD">
        <w:rPr>
          <w:rFonts w:ascii="Arial" w:hAnsi="Arial" w:cs="Arial"/>
          <w:sz w:val="22"/>
          <w:szCs w:val="22"/>
        </w:rPr>
        <w:t>cuatro</w:t>
      </w:r>
      <w:r w:rsidRPr="00B751FD">
        <w:rPr>
          <w:rFonts w:ascii="Arial" w:hAnsi="Arial" w:cs="Arial"/>
          <w:sz w:val="22"/>
          <w:szCs w:val="22"/>
        </w:rPr>
        <w:t xml:space="preserve"> años</w:t>
      </w:r>
      <w:r w:rsidR="00051B94" w:rsidRPr="00B751FD">
        <w:rPr>
          <w:rFonts w:ascii="Arial" w:hAnsi="Arial" w:cs="Arial"/>
          <w:sz w:val="22"/>
          <w:szCs w:val="22"/>
        </w:rPr>
        <w:t>)</w:t>
      </w:r>
      <w:r w:rsidRPr="00B751FD">
        <w:rPr>
          <w:rFonts w:ascii="Arial" w:hAnsi="Arial" w:cs="Arial"/>
          <w:sz w:val="22"/>
          <w:szCs w:val="22"/>
        </w:rPr>
        <w:t xml:space="preserve"> a partir de la </w:t>
      </w:r>
      <w:r w:rsidRPr="00B751FD">
        <w:rPr>
          <w:rFonts w:ascii="Arial" w:hAnsi="Arial" w:cs="Arial"/>
          <w:sz w:val="22"/>
          <w:szCs w:val="22"/>
          <w:lang w:eastAsia="en-US"/>
        </w:rPr>
        <w:t>firma</w:t>
      </w:r>
      <w:r w:rsidRPr="00B751FD">
        <w:rPr>
          <w:rFonts w:ascii="Arial" w:hAnsi="Arial" w:cs="Arial"/>
          <w:sz w:val="22"/>
          <w:szCs w:val="22"/>
        </w:rPr>
        <w:t xml:space="preserve"> del Contrato de Préstamo para ejercer la totalidad de los recursos.</w:t>
      </w:r>
    </w:p>
    <w:p w14:paraId="7C9A8103" w14:textId="77777777" w:rsidR="006E78FC" w:rsidRPr="00B751FD" w:rsidRDefault="006E78FC" w:rsidP="00D623EB">
      <w:pPr>
        <w:pStyle w:val="Paragraph"/>
        <w:numPr>
          <w:ilvl w:val="0"/>
          <w:numId w:val="0"/>
        </w:numPr>
        <w:ind w:left="720"/>
        <w:rPr>
          <w:rFonts w:ascii="Arial" w:hAnsi="Arial" w:cs="Arial"/>
          <w:color w:val="0000FF"/>
          <w:sz w:val="22"/>
          <w:szCs w:val="22"/>
        </w:rPr>
      </w:pPr>
    </w:p>
    <w:p w14:paraId="4E545157" w14:textId="6C920F66" w:rsidR="00EE5D78" w:rsidRPr="00B751FD" w:rsidRDefault="00B751FD" w:rsidP="00EE5D78">
      <w:pPr>
        <w:pStyle w:val="Chapter"/>
        <w:rPr>
          <w:rFonts w:ascii="Arial" w:hAnsi="Arial" w:cs="Arial"/>
          <w:sz w:val="22"/>
          <w:szCs w:val="22"/>
        </w:rPr>
      </w:pPr>
      <w:bookmarkStart w:id="53" w:name="_Toc198027195"/>
      <w:bookmarkStart w:id="54" w:name="_Toc198025801"/>
      <w:bookmarkStart w:id="55" w:name="_Toc198027197"/>
      <w:bookmarkStart w:id="56" w:name="_Toc197782562"/>
      <w:bookmarkStart w:id="57" w:name="_Toc198025802"/>
      <w:bookmarkStart w:id="58" w:name="_Toc205191271"/>
      <w:bookmarkStart w:id="59" w:name="_Toc207082516"/>
      <w:bookmarkStart w:id="60" w:name="_Toc207082549"/>
      <w:bookmarkStart w:id="61" w:name="_Toc240434730"/>
      <w:bookmarkEnd w:id="53"/>
      <w:bookmarkEnd w:id="54"/>
      <w:bookmarkEnd w:id="55"/>
      <w:r w:rsidRPr="00B751FD">
        <w:rPr>
          <w:rFonts w:ascii="Arial" w:hAnsi="Arial" w:cs="Arial"/>
          <w:sz w:val="22"/>
          <w:szCs w:val="22"/>
        </w:rPr>
        <w:t>Supervisión, Control</w:t>
      </w:r>
      <w:r w:rsidR="00EE5D78" w:rsidRPr="00B751FD">
        <w:rPr>
          <w:rFonts w:ascii="Arial" w:hAnsi="Arial" w:cs="Arial"/>
          <w:sz w:val="22"/>
          <w:szCs w:val="22"/>
        </w:rPr>
        <w:t xml:space="preserve"> e Informes</w:t>
      </w:r>
    </w:p>
    <w:p w14:paraId="13C15D2F" w14:textId="77777777" w:rsidR="00EE5D78" w:rsidRPr="00B751FD" w:rsidRDefault="00EE5D78" w:rsidP="00EE5D78">
      <w:pPr>
        <w:pStyle w:val="Paragraph"/>
        <w:numPr>
          <w:ilvl w:val="0"/>
          <w:numId w:val="0"/>
        </w:numPr>
        <w:ind w:left="810"/>
        <w:rPr>
          <w:rFonts w:ascii="Arial" w:hAnsi="Arial" w:cs="Arial"/>
          <w:sz w:val="22"/>
          <w:szCs w:val="22"/>
        </w:rPr>
      </w:pPr>
    </w:p>
    <w:p w14:paraId="7C20A119" w14:textId="0085D0B2" w:rsidR="00EE5D78" w:rsidRPr="00B751FD" w:rsidRDefault="00EE5D78" w:rsidP="00EE5D78">
      <w:pPr>
        <w:pStyle w:val="Paragraph"/>
        <w:ind w:left="810" w:hanging="810"/>
        <w:rPr>
          <w:rFonts w:ascii="Arial" w:hAnsi="Arial" w:cs="Arial"/>
          <w:sz w:val="22"/>
          <w:szCs w:val="22"/>
        </w:rPr>
      </w:pPr>
      <w:r w:rsidRPr="00B751FD">
        <w:rPr>
          <w:rFonts w:ascii="Arial" w:hAnsi="Arial" w:cs="Arial"/>
          <w:sz w:val="22"/>
          <w:szCs w:val="22"/>
        </w:rPr>
        <w:t xml:space="preserve">El Banco en acuerdo previo con </w:t>
      </w:r>
      <w:r w:rsidR="00AD298A" w:rsidRPr="00B751FD">
        <w:rPr>
          <w:rFonts w:ascii="Arial" w:hAnsi="Arial" w:cs="Arial"/>
          <w:sz w:val="22"/>
          <w:szCs w:val="22"/>
        </w:rPr>
        <w:t>BROU</w:t>
      </w:r>
      <w:r w:rsidRPr="00B751FD">
        <w:rPr>
          <w:rFonts w:ascii="Arial" w:hAnsi="Arial" w:cs="Arial"/>
          <w:sz w:val="22"/>
          <w:szCs w:val="22"/>
        </w:rPr>
        <w:t xml:space="preserve">, podrá inspeccionar el estado de ejecución del </w:t>
      </w:r>
      <w:r w:rsidR="00A56887" w:rsidRPr="00B751FD">
        <w:rPr>
          <w:rFonts w:ascii="Arial" w:hAnsi="Arial" w:cs="Arial"/>
          <w:sz w:val="22"/>
          <w:szCs w:val="22"/>
        </w:rPr>
        <w:t>PROGRAMA</w:t>
      </w:r>
      <w:r w:rsidRPr="00B751FD">
        <w:rPr>
          <w:rFonts w:ascii="Arial" w:hAnsi="Arial" w:cs="Arial"/>
          <w:sz w:val="22"/>
          <w:szCs w:val="22"/>
        </w:rPr>
        <w:t xml:space="preserve">. </w:t>
      </w:r>
      <w:r w:rsidR="00E67646" w:rsidRPr="00B751FD">
        <w:rPr>
          <w:rFonts w:ascii="Arial" w:hAnsi="Arial" w:cs="Arial"/>
          <w:sz w:val="22"/>
          <w:szCs w:val="22"/>
        </w:rPr>
        <w:t>La verificación del buen fin de los desembolsos se realizará en base a la modalidad de los mismos ex</w:t>
      </w:r>
      <w:r w:rsidR="00987A3D">
        <w:rPr>
          <w:rFonts w:ascii="Arial" w:hAnsi="Arial" w:cs="Arial"/>
          <w:sz w:val="22"/>
          <w:szCs w:val="22"/>
        </w:rPr>
        <w:t> </w:t>
      </w:r>
      <w:r w:rsidR="00E67646" w:rsidRPr="00B751FD">
        <w:rPr>
          <w:rFonts w:ascii="Arial" w:hAnsi="Arial" w:cs="Arial"/>
          <w:sz w:val="22"/>
          <w:szCs w:val="22"/>
        </w:rPr>
        <w:t>post y estará sujeta a la revisión in situ de las operaciones otorgadas en base a una muestra representativa.</w:t>
      </w:r>
    </w:p>
    <w:p w14:paraId="0AD131CC" w14:textId="05877777" w:rsidR="00EE5D78" w:rsidRPr="00B751FD" w:rsidRDefault="00AD298A" w:rsidP="00EE5D78">
      <w:pPr>
        <w:pStyle w:val="Paragraph"/>
        <w:tabs>
          <w:tab w:val="num" w:pos="2289"/>
        </w:tabs>
        <w:ind w:left="810" w:hanging="810"/>
        <w:rPr>
          <w:rFonts w:ascii="Arial" w:hAnsi="Arial" w:cs="Arial"/>
          <w:sz w:val="22"/>
          <w:szCs w:val="22"/>
        </w:rPr>
      </w:pPr>
      <w:r w:rsidRPr="00B751FD">
        <w:rPr>
          <w:rFonts w:ascii="Arial" w:hAnsi="Arial" w:cs="Arial"/>
          <w:sz w:val="22"/>
          <w:szCs w:val="22"/>
        </w:rPr>
        <w:t>BROU</w:t>
      </w:r>
      <w:r w:rsidR="00EE5D78" w:rsidRPr="00B751FD">
        <w:rPr>
          <w:rFonts w:ascii="Arial" w:hAnsi="Arial" w:cs="Arial"/>
          <w:sz w:val="22"/>
          <w:szCs w:val="22"/>
        </w:rPr>
        <w:t xml:space="preserve"> preparará y presentará para la implementación del </w:t>
      </w:r>
      <w:r w:rsidR="0046692F" w:rsidRPr="00B751FD">
        <w:rPr>
          <w:rFonts w:ascii="Arial" w:hAnsi="Arial" w:cs="Arial"/>
          <w:sz w:val="22"/>
          <w:szCs w:val="22"/>
        </w:rPr>
        <w:t>programa</w:t>
      </w:r>
      <w:r w:rsidR="00EE5D78" w:rsidRPr="00B751FD">
        <w:rPr>
          <w:rFonts w:ascii="Arial" w:hAnsi="Arial" w:cs="Arial"/>
          <w:sz w:val="22"/>
          <w:szCs w:val="22"/>
        </w:rPr>
        <w:t xml:space="preserve">, Planes de Ejecución del </w:t>
      </w:r>
      <w:r w:rsidR="00A56887" w:rsidRPr="00B751FD">
        <w:rPr>
          <w:rFonts w:ascii="Arial" w:hAnsi="Arial" w:cs="Arial"/>
          <w:sz w:val="22"/>
          <w:szCs w:val="22"/>
        </w:rPr>
        <w:t>Programa</w:t>
      </w:r>
      <w:r w:rsidR="00EE5D78" w:rsidRPr="00B751FD">
        <w:rPr>
          <w:rFonts w:ascii="Arial" w:hAnsi="Arial" w:cs="Arial"/>
          <w:sz w:val="22"/>
          <w:szCs w:val="22"/>
        </w:rPr>
        <w:t xml:space="preserve"> (PE</w:t>
      </w:r>
      <w:r w:rsidR="00B033FC" w:rsidRPr="00B751FD">
        <w:rPr>
          <w:rFonts w:ascii="Arial" w:hAnsi="Arial" w:cs="Arial"/>
          <w:sz w:val="22"/>
          <w:szCs w:val="22"/>
        </w:rPr>
        <w:t>P</w:t>
      </w:r>
      <w:r w:rsidR="00EE5D78" w:rsidRPr="00B751FD">
        <w:rPr>
          <w:rFonts w:ascii="Arial" w:hAnsi="Arial" w:cs="Arial"/>
          <w:sz w:val="22"/>
          <w:szCs w:val="22"/>
        </w:rPr>
        <w:t xml:space="preserve">) a más tardar el 31 de enero de cada año calendario. Los PEP deberán incluir, como mínimo, información relacionada con las actividades y proyectos a ser financiados durante el año calendario siguiente, incluyendo el </w:t>
      </w:r>
      <w:r w:rsidR="00EE5D78" w:rsidRPr="00B751FD">
        <w:rPr>
          <w:rFonts w:ascii="Arial" w:hAnsi="Arial" w:cs="Arial"/>
          <w:sz w:val="22"/>
          <w:szCs w:val="22"/>
        </w:rPr>
        <w:lastRenderedPageBreak/>
        <w:t xml:space="preserve">correspondiente cronograma y el presupuesto estimado. El PEP correspondiente al primer año de ejecución del </w:t>
      </w:r>
      <w:r w:rsidR="0046692F" w:rsidRPr="00B751FD">
        <w:rPr>
          <w:rFonts w:ascii="Arial" w:hAnsi="Arial" w:cs="Arial"/>
          <w:sz w:val="22"/>
          <w:szCs w:val="22"/>
        </w:rPr>
        <w:t>programa</w:t>
      </w:r>
      <w:r w:rsidR="00EE5D78" w:rsidRPr="00B751FD">
        <w:rPr>
          <w:rFonts w:ascii="Arial" w:hAnsi="Arial" w:cs="Arial"/>
          <w:sz w:val="22"/>
          <w:szCs w:val="22"/>
        </w:rPr>
        <w:t xml:space="preserve">, será presentado por el Prestatario, con ocasión del informe inicial del </w:t>
      </w:r>
      <w:r w:rsidR="0046692F" w:rsidRPr="00B751FD">
        <w:rPr>
          <w:rFonts w:ascii="Arial" w:hAnsi="Arial" w:cs="Arial"/>
          <w:sz w:val="22"/>
          <w:szCs w:val="22"/>
        </w:rPr>
        <w:t>programa</w:t>
      </w:r>
      <w:r w:rsidR="00EE5D78" w:rsidRPr="00B751FD">
        <w:rPr>
          <w:rFonts w:ascii="Arial" w:hAnsi="Arial" w:cs="Arial"/>
          <w:sz w:val="22"/>
          <w:szCs w:val="22"/>
        </w:rPr>
        <w:t xml:space="preserve">. </w:t>
      </w:r>
    </w:p>
    <w:p w14:paraId="16702060" w14:textId="3E12A111" w:rsidR="00EE5D78" w:rsidRPr="00B751FD" w:rsidRDefault="0007058A" w:rsidP="00B033FC">
      <w:pPr>
        <w:pStyle w:val="Paragraph"/>
        <w:numPr>
          <w:ilvl w:val="0"/>
          <w:numId w:val="0"/>
        </w:numPr>
        <w:ind w:left="851" w:hanging="851"/>
        <w:rPr>
          <w:rFonts w:ascii="Arial" w:hAnsi="Arial" w:cs="Arial"/>
          <w:sz w:val="22"/>
          <w:szCs w:val="22"/>
        </w:rPr>
      </w:pPr>
      <w:r w:rsidRPr="00B751FD">
        <w:rPr>
          <w:rFonts w:ascii="Arial" w:hAnsi="Arial" w:cs="Arial"/>
          <w:sz w:val="22"/>
          <w:szCs w:val="22"/>
        </w:rPr>
        <w:t>12.3</w:t>
      </w:r>
      <w:r w:rsidR="0046692F" w:rsidRPr="00B751FD">
        <w:rPr>
          <w:rFonts w:ascii="Arial" w:hAnsi="Arial" w:cs="Arial"/>
          <w:sz w:val="22"/>
          <w:szCs w:val="22"/>
        </w:rPr>
        <w:tab/>
      </w:r>
      <w:r w:rsidR="00AD298A" w:rsidRPr="00B751FD">
        <w:rPr>
          <w:rFonts w:ascii="Arial" w:hAnsi="Arial" w:cs="Arial"/>
          <w:sz w:val="22"/>
          <w:szCs w:val="22"/>
        </w:rPr>
        <w:t>BROU</w:t>
      </w:r>
      <w:r w:rsidR="00EE5D78" w:rsidRPr="00B751FD">
        <w:rPr>
          <w:rFonts w:ascii="Arial" w:hAnsi="Arial" w:cs="Arial"/>
          <w:sz w:val="22"/>
          <w:szCs w:val="22"/>
        </w:rPr>
        <w:t xml:space="preserve"> reportará al Banco a través de Informes Semestrales la evolución de las metas y los indicadores acordados con el Banco </w:t>
      </w:r>
      <w:r w:rsidR="00D122FC" w:rsidRPr="00B751FD">
        <w:rPr>
          <w:rFonts w:ascii="Arial" w:hAnsi="Arial" w:cs="Arial"/>
          <w:sz w:val="22"/>
          <w:szCs w:val="22"/>
        </w:rPr>
        <w:t xml:space="preserve">y en particular los contenidos en la </w:t>
      </w:r>
      <w:r w:rsidR="00EE5D78" w:rsidRPr="00B751FD">
        <w:rPr>
          <w:rFonts w:ascii="Arial" w:hAnsi="Arial" w:cs="Arial"/>
          <w:sz w:val="22"/>
          <w:szCs w:val="22"/>
        </w:rPr>
        <w:t xml:space="preserve">Matriz de Resultados del </w:t>
      </w:r>
      <w:r w:rsidR="0046692F" w:rsidRPr="00B751FD">
        <w:rPr>
          <w:rFonts w:ascii="Arial" w:hAnsi="Arial" w:cs="Arial"/>
          <w:sz w:val="22"/>
          <w:szCs w:val="22"/>
        </w:rPr>
        <w:t>programa</w:t>
      </w:r>
      <w:r w:rsidR="00AB0988" w:rsidRPr="00B751FD">
        <w:rPr>
          <w:rFonts w:ascii="Arial" w:hAnsi="Arial" w:cs="Arial"/>
          <w:sz w:val="22"/>
          <w:szCs w:val="22"/>
        </w:rPr>
        <w:t xml:space="preserve"> (Anexo </w:t>
      </w:r>
      <w:r w:rsidR="00D55FD9" w:rsidRPr="00B751FD">
        <w:rPr>
          <w:rFonts w:ascii="Arial" w:hAnsi="Arial" w:cs="Arial"/>
          <w:sz w:val="22"/>
          <w:szCs w:val="22"/>
        </w:rPr>
        <w:t>I</w:t>
      </w:r>
      <w:r w:rsidR="00AB0988" w:rsidRPr="00B751FD">
        <w:rPr>
          <w:rFonts w:ascii="Arial" w:hAnsi="Arial" w:cs="Arial"/>
          <w:sz w:val="22"/>
          <w:szCs w:val="22"/>
        </w:rPr>
        <w:t>)</w:t>
      </w:r>
      <w:r w:rsidR="00EE5D78" w:rsidRPr="00B751FD">
        <w:rPr>
          <w:rFonts w:ascii="Arial" w:hAnsi="Arial" w:cs="Arial"/>
          <w:sz w:val="22"/>
          <w:szCs w:val="22"/>
        </w:rPr>
        <w:t>.</w:t>
      </w:r>
    </w:p>
    <w:p w14:paraId="6696BE5E" w14:textId="287641EE" w:rsidR="005E102B" w:rsidRPr="00B751FD" w:rsidRDefault="00AD298A" w:rsidP="00A82519">
      <w:pPr>
        <w:pStyle w:val="Paragraph"/>
        <w:numPr>
          <w:ilvl w:val="1"/>
          <w:numId w:val="15"/>
        </w:numPr>
        <w:tabs>
          <w:tab w:val="num" w:pos="851"/>
        </w:tabs>
        <w:ind w:left="851" w:hanging="851"/>
        <w:rPr>
          <w:rFonts w:ascii="Arial" w:hAnsi="Arial" w:cs="Arial"/>
          <w:sz w:val="22"/>
          <w:szCs w:val="22"/>
        </w:rPr>
      </w:pPr>
      <w:r w:rsidRPr="00B751FD">
        <w:rPr>
          <w:rFonts w:ascii="Arial" w:hAnsi="Arial" w:cs="Arial"/>
          <w:sz w:val="22"/>
          <w:szCs w:val="22"/>
        </w:rPr>
        <w:t>BROU</w:t>
      </w:r>
      <w:r w:rsidR="00EE5D78" w:rsidRPr="00B751FD">
        <w:rPr>
          <w:rFonts w:ascii="Arial" w:hAnsi="Arial" w:cs="Arial"/>
          <w:sz w:val="22"/>
          <w:szCs w:val="22"/>
        </w:rPr>
        <w:t xml:space="preserve"> entregará los reportes de la ejecución del Préstamo en un plazo de 60 días naturales posteriores a la conclusión de cada semestre (agosto y febrero)</w:t>
      </w:r>
      <w:r w:rsidR="00532D11" w:rsidRPr="00B751FD">
        <w:rPr>
          <w:rFonts w:ascii="Arial" w:hAnsi="Arial" w:cs="Arial"/>
          <w:sz w:val="22"/>
          <w:szCs w:val="22"/>
        </w:rPr>
        <w:t xml:space="preserve"> de acuerdo a lo indicado en la sección E de este ROP.</w:t>
      </w:r>
    </w:p>
    <w:p w14:paraId="4011FE88" w14:textId="5CB9193B" w:rsidR="00EE5D78" w:rsidRPr="00B751FD" w:rsidRDefault="00AD298A" w:rsidP="00EE5D78">
      <w:pPr>
        <w:pStyle w:val="Paragraph"/>
        <w:tabs>
          <w:tab w:val="num" w:pos="2289"/>
        </w:tabs>
        <w:ind w:left="810" w:hanging="810"/>
        <w:rPr>
          <w:rFonts w:ascii="Arial" w:hAnsi="Arial" w:cs="Arial"/>
          <w:sz w:val="22"/>
          <w:szCs w:val="22"/>
        </w:rPr>
      </w:pPr>
      <w:bookmarkStart w:id="62" w:name="_Hlk528572366"/>
      <w:r w:rsidRPr="00B751FD">
        <w:rPr>
          <w:rFonts w:ascii="Arial" w:hAnsi="Arial" w:cs="Arial"/>
          <w:sz w:val="22"/>
          <w:szCs w:val="22"/>
        </w:rPr>
        <w:t>BROU</w:t>
      </w:r>
      <w:r w:rsidR="00EE5D78" w:rsidRPr="00B751FD">
        <w:rPr>
          <w:rFonts w:ascii="Arial" w:hAnsi="Arial" w:cs="Arial"/>
          <w:sz w:val="22"/>
          <w:szCs w:val="22"/>
        </w:rPr>
        <w:t xml:space="preserve"> se compromete a que se realice un</w:t>
      </w:r>
      <w:r w:rsidR="00AB0988" w:rsidRPr="00B751FD">
        <w:rPr>
          <w:rFonts w:ascii="Arial" w:hAnsi="Arial" w:cs="Arial"/>
          <w:sz w:val="22"/>
          <w:szCs w:val="22"/>
        </w:rPr>
        <w:t>a</w:t>
      </w:r>
      <w:r w:rsidR="00EE5D78" w:rsidRPr="00B751FD">
        <w:rPr>
          <w:rFonts w:ascii="Arial" w:hAnsi="Arial" w:cs="Arial"/>
          <w:sz w:val="22"/>
          <w:szCs w:val="22"/>
        </w:rPr>
        <w:t xml:space="preserve"> evaluación de medio término a los veinticuatro (24) meses de </w:t>
      </w:r>
      <w:r w:rsidR="00DE5D92" w:rsidRPr="00B751FD">
        <w:rPr>
          <w:rFonts w:ascii="Arial" w:hAnsi="Arial" w:cs="Arial"/>
          <w:sz w:val="22"/>
          <w:szCs w:val="22"/>
        </w:rPr>
        <w:t>entrada en vigor</w:t>
      </w:r>
      <w:r w:rsidR="00EE5D78" w:rsidRPr="00B751FD">
        <w:rPr>
          <w:rFonts w:ascii="Arial" w:hAnsi="Arial" w:cs="Arial"/>
          <w:sz w:val="22"/>
          <w:szCs w:val="22"/>
        </w:rPr>
        <w:t xml:space="preserve"> del Contrato de Préstamo, o cuando se haya desembolsado el cincuenta por ciento (50%) de los recursos del Financiamiento, lo que ocurra primero, que deberá considerar entre otros, los siguientes aspectos</w:t>
      </w:r>
      <w:bookmarkEnd w:id="62"/>
      <w:r w:rsidR="00EE5D78" w:rsidRPr="00B751FD">
        <w:rPr>
          <w:rFonts w:ascii="Arial" w:hAnsi="Arial" w:cs="Arial"/>
          <w:sz w:val="22"/>
          <w:szCs w:val="22"/>
        </w:rPr>
        <w:t xml:space="preserve">: </w:t>
      </w:r>
    </w:p>
    <w:p w14:paraId="0D5E6DD8" w14:textId="77777777" w:rsidR="00D61E5C" w:rsidRPr="00B751FD" w:rsidRDefault="00EE5D78" w:rsidP="00A82519">
      <w:pPr>
        <w:pStyle w:val="Paragraph"/>
        <w:numPr>
          <w:ilvl w:val="5"/>
          <w:numId w:val="13"/>
        </w:numPr>
        <w:tabs>
          <w:tab w:val="clear" w:pos="6118"/>
          <w:tab w:val="num" w:pos="1170"/>
        </w:tabs>
        <w:ind w:left="1170" w:hanging="360"/>
        <w:rPr>
          <w:rFonts w:ascii="Arial" w:hAnsi="Arial" w:cs="Arial"/>
          <w:sz w:val="22"/>
          <w:szCs w:val="22"/>
        </w:rPr>
      </w:pPr>
      <w:r w:rsidRPr="00B751FD">
        <w:rPr>
          <w:rFonts w:ascii="Arial" w:hAnsi="Arial" w:cs="Arial"/>
          <w:sz w:val="22"/>
          <w:szCs w:val="22"/>
        </w:rPr>
        <w:t xml:space="preserve"> el cumplimiento de las metas que se establecieron en el Plan de Ejecución del </w:t>
      </w:r>
      <w:r w:rsidR="00A56887" w:rsidRPr="00B751FD">
        <w:rPr>
          <w:rFonts w:ascii="Arial" w:hAnsi="Arial" w:cs="Arial"/>
          <w:sz w:val="22"/>
          <w:szCs w:val="22"/>
        </w:rPr>
        <w:t>Programa</w:t>
      </w:r>
      <w:r w:rsidRPr="00B751FD">
        <w:rPr>
          <w:rFonts w:ascii="Arial" w:hAnsi="Arial" w:cs="Arial"/>
          <w:sz w:val="22"/>
          <w:szCs w:val="22"/>
        </w:rPr>
        <w:t xml:space="preserve"> (PEP), según el cronograma de actividades definido para la realización de cada uno de sus componentes; </w:t>
      </w:r>
    </w:p>
    <w:p w14:paraId="7AA8A10D" w14:textId="77777777" w:rsidR="00D61E5C" w:rsidRPr="00B751FD" w:rsidRDefault="00EE5D78" w:rsidP="00A82519">
      <w:pPr>
        <w:pStyle w:val="Paragraph"/>
        <w:numPr>
          <w:ilvl w:val="5"/>
          <w:numId w:val="13"/>
        </w:numPr>
        <w:tabs>
          <w:tab w:val="clear" w:pos="6118"/>
          <w:tab w:val="num" w:pos="1170"/>
        </w:tabs>
        <w:ind w:left="1170" w:hanging="360"/>
        <w:rPr>
          <w:rFonts w:ascii="Arial" w:hAnsi="Arial" w:cs="Arial"/>
          <w:sz w:val="22"/>
          <w:szCs w:val="22"/>
        </w:rPr>
      </w:pPr>
      <w:r w:rsidRPr="00B751FD">
        <w:rPr>
          <w:rFonts w:ascii="Arial" w:hAnsi="Arial" w:cs="Arial"/>
          <w:sz w:val="22"/>
          <w:szCs w:val="22"/>
        </w:rPr>
        <w:t>los avances en la implementación de las actividades definidas en la Matriz de Resultados</w:t>
      </w:r>
      <w:r w:rsidR="0077298C" w:rsidRPr="00B751FD">
        <w:rPr>
          <w:rFonts w:ascii="Arial" w:hAnsi="Arial" w:cs="Arial"/>
          <w:sz w:val="22"/>
          <w:szCs w:val="22"/>
        </w:rPr>
        <w:t xml:space="preserve"> y el comportamiento del resto de los indicadores monitoreados</w:t>
      </w:r>
      <w:r w:rsidRPr="00B751FD">
        <w:rPr>
          <w:rFonts w:ascii="Arial" w:hAnsi="Arial" w:cs="Arial"/>
          <w:sz w:val="22"/>
          <w:szCs w:val="22"/>
        </w:rPr>
        <w:t>;</w:t>
      </w:r>
    </w:p>
    <w:p w14:paraId="323768A8" w14:textId="242F899D" w:rsidR="00D61E5C" w:rsidRPr="00B751FD" w:rsidRDefault="00EE5D78" w:rsidP="00A82519">
      <w:pPr>
        <w:pStyle w:val="Paragraph"/>
        <w:numPr>
          <w:ilvl w:val="5"/>
          <w:numId w:val="13"/>
        </w:numPr>
        <w:tabs>
          <w:tab w:val="clear" w:pos="6118"/>
          <w:tab w:val="num" w:pos="1170"/>
        </w:tabs>
        <w:ind w:left="1170" w:hanging="360"/>
        <w:rPr>
          <w:rFonts w:ascii="Arial" w:hAnsi="Arial" w:cs="Arial"/>
          <w:sz w:val="22"/>
          <w:szCs w:val="22"/>
        </w:rPr>
      </w:pPr>
      <w:r w:rsidRPr="00B751FD">
        <w:rPr>
          <w:rFonts w:ascii="Arial" w:hAnsi="Arial" w:cs="Arial"/>
          <w:sz w:val="22"/>
          <w:szCs w:val="22"/>
        </w:rPr>
        <w:t xml:space="preserve">evaluación de las Operaciones Elegibles financiadas, su estado de ejecución y situación de la cartera del </w:t>
      </w:r>
      <w:r w:rsidR="0046692F" w:rsidRPr="00B751FD">
        <w:rPr>
          <w:rFonts w:ascii="Arial" w:hAnsi="Arial" w:cs="Arial"/>
          <w:sz w:val="22"/>
          <w:szCs w:val="22"/>
        </w:rPr>
        <w:t>p</w:t>
      </w:r>
      <w:r w:rsidR="00A56887" w:rsidRPr="00B751FD">
        <w:rPr>
          <w:rFonts w:ascii="Arial" w:hAnsi="Arial" w:cs="Arial"/>
          <w:sz w:val="22"/>
          <w:szCs w:val="22"/>
        </w:rPr>
        <w:t>rograma</w:t>
      </w:r>
      <w:r w:rsidRPr="00B751FD">
        <w:rPr>
          <w:rFonts w:ascii="Arial" w:hAnsi="Arial" w:cs="Arial"/>
          <w:sz w:val="22"/>
          <w:szCs w:val="22"/>
        </w:rPr>
        <w:t>; y</w:t>
      </w:r>
    </w:p>
    <w:p w14:paraId="12B6D578" w14:textId="7ADC0F35" w:rsidR="00EE5D78" w:rsidRPr="00B751FD" w:rsidRDefault="00EE5D78" w:rsidP="00A82519">
      <w:pPr>
        <w:pStyle w:val="Paragraph"/>
        <w:numPr>
          <w:ilvl w:val="5"/>
          <w:numId w:val="13"/>
        </w:numPr>
        <w:tabs>
          <w:tab w:val="clear" w:pos="6118"/>
          <w:tab w:val="num" w:pos="1170"/>
        </w:tabs>
        <w:ind w:left="1170" w:hanging="360"/>
        <w:rPr>
          <w:rFonts w:ascii="Arial" w:hAnsi="Arial" w:cs="Arial"/>
          <w:sz w:val="22"/>
          <w:szCs w:val="22"/>
        </w:rPr>
      </w:pPr>
      <w:r w:rsidRPr="00B751FD">
        <w:rPr>
          <w:rFonts w:ascii="Arial" w:hAnsi="Arial" w:cs="Arial"/>
          <w:sz w:val="22"/>
          <w:szCs w:val="22"/>
        </w:rPr>
        <w:t>problemas confrontad</w:t>
      </w:r>
      <w:r w:rsidR="00D61E5C" w:rsidRPr="00B751FD">
        <w:rPr>
          <w:rFonts w:ascii="Arial" w:hAnsi="Arial" w:cs="Arial"/>
          <w:sz w:val="22"/>
          <w:szCs w:val="22"/>
        </w:rPr>
        <w:t>o</w:t>
      </w:r>
      <w:r w:rsidRPr="00B751FD">
        <w:rPr>
          <w:rFonts w:ascii="Arial" w:hAnsi="Arial" w:cs="Arial"/>
          <w:sz w:val="22"/>
          <w:szCs w:val="22"/>
        </w:rPr>
        <w:t xml:space="preserve">s y las recomendaciones que sean necesarias, con el fin de asegurar el cumplimiento de los objetivos del </w:t>
      </w:r>
      <w:r w:rsidR="0046692F" w:rsidRPr="00B751FD">
        <w:rPr>
          <w:rFonts w:ascii="Arial" w:hAnsi="Arial" w:cs="Arial"/>
          <w:sz w:val="22"/>
          <w:szCs w:val="22"/>
        </w:rPr>
        <w:t>programa</w:t>
      </w:r>
      <w:r w:rsidRPr="00B751FD">
        <w:rPr>
          <w:rFonts w:ascii="Arial" w:hAnsi="Arial" w:cs="Arial"/>
          <w:sz w:val="22"/>
          <w:szCs w:val="22"/>
        </w:rPr>
        <w:t>.</w:t>
      </w:r>
    </w:p>
    <w:p w14:paraId="0B28074E" w14:textId="4D1FC36A" w:rsidR="00EE5D78" w:rsidRPr="00B751FD" w:rsidRDefault="00EE5D78" w:rsidP="00EE5D78">
      <w:pPr>
        <w:pStyle w:val="Paragraph"/>
        <w:tabs>
          <w:tab w:val="num" w:pos="2289"/>
        </w:tabs>
        <w:ind w:left="810" w:hanging="810"/>
        <w:rPr>
          <w:rFonts w:ascii="Arial" w:hAnsi="Arial" w:cs="Arial"/>
          <w:sz w:val="22"/>
          <w:szCs w:val="22"/>
        </w:rPr>
      </w:pPr>
      <w:r w:rsidRPr="00B751FD">
        <w:rPr>
          <w:rFonts w:ascii="Arial" w:hAnsi="Arial" w:cs="Arial"/>
          <w:sz w:val="22"/>
          <w:szCs w:val="22"/>
        </w:rPr>
        <w:t xml:space="preserve">Asimismo, </w:t>
      </w:r>
      <w:r w:rsidR="00AD298A" w:rsidRPr="00B751FD">
        <w:rPr>
          <w:rFonts w:ascii="Arial" w:hAnsi="Arial" w:cs="Arial"/>
          <w:sz w:val="22"/>
          <w:szCs w:val="22"/>
        </w:rPr>
        <w:t>BROU</w:t>
      </w:r>
      <w:r w:rsidRPr="00B751FD">
        <w:rPr>
          <w:rFonts w:ascii="Arial" w:hAnsi="Arial" w:cs="Arial"/>
          <w:sz w:val="22"/>
          <w:szCs w:val="22"/>
        </w:rPr>
        <w:t xml:space="preserve"> acordará con el Banco llevar</w:t>
      </w:r>
      <w:r w:rsidR="0046692F" w:rsidRPr="00B751FD">
        <w:rPr>
          <w:rFonts w:ascii="Arial" w:hAnsi="Arial" w:cs="Arial"/>
          <w:sz w:val="22"/>
          <w:szCs w:val="22"/>
        </w:rPr>
        <w:t>á</w:t>
      </w:r>
      <w:r w:rsidRPr="00B751FD">
        <w:rPr>
          <w:rFonts w:ascii="Arial" w:hAnsi="Arial" w:cs="Arial"/>
          <w:sz w:val="22"/>
          <w:szCs w:val="22"/>
        </w:rPr>
        <w:t xml:space="preserve"> cabo una reunión de seguimiento anual, en la cual se discutirá: (i) el avance de las actividades del </w:t>
      </w:r>
      <w:r w:rsidR="0046692F" w:rsidRPr="00B751FD">
        <w:rPr>
          <w:rFonts w:ascii="Arial" w:hAnsi="Arial" w:cs="Arial"/>
          <w:sz w:val="22"/>
          <w:szCs w:val="22"/>
        </w:rPr>
        <w:t>programa;</w:t>
      </w:r>
      <w:r w:rsidRPr="00B751FD">
        <w:rPr>
          <w:rFonts w:ascii="Arial" w:hAnsi="Arial" w:cs="Arial"/>
          <w:sz w:val="22"/>
          <w:szCs w:val="22"/>
        </w:rPr>
        <w:t xml:space="preserve"> </w:t>
      </w:r>
      <w:r w:rsidR="0046692F" w:rsidRPr="00B751FD">
        <w:rPr>
          <w:rFonts w:ascii="Arial" w:hAnsi="Arial" w:cs="Arial"/>
          <w:sz w:val="22"/>
          <w:szCs w:val="22"/>
        </w:rPr>
        <w:t>(</w:t>
      </w:r>
      <w:r w:rsidRPr="00B751FD">
        <w:rPr>
          <w:rFonts w:ascii="Arial" w:hAnsi="Arial" w:cs="Arial"/>
          <w:sz w:val="22"/>
          <w:szCs w:val="22"/>
        </w:rPr>
        <w:t>ii) el nivel de cumplimiento de los indicadores establecidos en la Matriz de Resultados</w:t>
      </w:r>
      <w:r w:rsidR="0046692F" w:rsidRPr="00B751FD">
        <w:rPr>
          <w:rFonts w:ascii="Arial" w:hAnsi="Arial" w:cs="Arial"/>
          <w:sz w:val="22"/>
          <w:szCs w:val="22"/>
        </w:rPr>
        <w:t>;</w:t>
      </w:r>
      <w:r w:rsidRPr="00B751FD">
        <w:rPr>
          <w:rFonts w:ascii="Arial" w:hAnsi="Arial" w:cs="Arial"/>
          <w:sz w:val="22"/>
          <w:szCs w:val="22"/>
        </w:rPr>
        <w:t xml:space="preserve"> y (iii) el PEP para el siguiente año y el estado de ejecución del </w:t>
      </w:r>
      <w:r w:rsidR="0046692F" w:rsidRPr="00B751FD">
        <w:rPr>
          <w:rFonts w:ascii="Arial" w:hAnsi="Arial" w:cs="Arial"/>
          <w:sz w:val="22"/>
          <w:szCs w:val="22"/>
        </w:rPr>
        <w:t>p</w:t>
      </w:r>
      <w:r w:rsidR="00A56887" w:rsidRPr="00B751FD">
        <w:rPr>
          <w:rFonts w:ascii="Arial" w:hAnsi="Arial" w:cs="Arial"/>
          <w:sz w:val="22"/>
          <w:szCs w:val="22"/>
        </w:rPr>
        <w:t>rograma</w:t>
      </w:r>
      <w:r w:rsidRPr="00B751FD">
        <w:rPr>
          <w:rFonts w:ascii="Arial" w:hAnsi="Arial" w:cs="Arial"/>
          <w:sz w:val="22"/>
          <w:szCs w:val="22"/>
        </w:rPr>
        <w:t>.</w:t>
      </w:r>
    </w:p>
    <w:p w14:paraId="19AD0358" w14:textId="77777777" w:rsidR="00EE5D78" w:rsidRPr="00B751FD" w:rsidRDefault="00AD298A" w:rsidP="00EE5D78">
      <w:pPr>
        <w:pStyle w:val="Paragraph"/>
        <w:tabs>
          <w:tab w:val="num" w:pos="2289"/>
        </w:tabs>
        <w:ind w:left="810" w:hanging="810"/>
        <w:rPr>
          <w:rFonts w:ascii="Arial" w:hAnsi="Arial" w:cs="Arial"/>
          <w:sz w:val="22"/>
          <w:szCs w:val="22"/>
        </w:rPr>
      </w:pPr>
      <w:r w:rsidRPr="00B751FD">
        <w:rPr>
          <w:rFonts w:ascii="Arial" w:hAnsi="Arial" w:cs="Arial"/>
          <w:sz w:val="22"/>
          <w:szCs w:val="22"/>
        </w:rPr>
        <w:t>BROU</w:t>
      </w:r>
      <w:r w:rsidR="00EE5D78" w:rsidRPr="00B751FD">
        <w:rPr>
          <w:rFonts w:ascii="Arial" w:hAnsi="Arial" w:cs="Arial"/>
          <w:sz w:val="22"/>
          <w:szCs w:val="22"/>
        </w:rPr>
        <w:t xml:space="preserve"> deberá actualizar el PEP cuando fuese necesario, e informar al Banco de las mismas mediante la presentación de los informes semestrales de avance correspondientes.</w:t>
      </w:r>
    </w:p>
    <w:p w14:paraId="1D660FCD" w14:textId="77777777" w:rsidR="0077298C" w:rsidRPr="00B751FD" w:rsidRDefault="0077298C" w:rsidP="00EE5D78">
      <w:pPr>
        <w:pStyle w:val="Paragraph"/>
        <w:tabs>
          <w:tab w:val="num" w:pos="2289"/>
        </w:tabs>
        <w:ind w:left="810" w:hanging="810"/>
        <w:rPr>
          <w:rFonts w:ascii="Arial" w:hAnsi="Arial" w:cs="Arial"/>
          <w:sz w:val="22"/>
          <w:szCs w:val="22"/>
        </w:rPr>
      </w:pPr>
      <w:r w:rsidRPr="00B751FD">
        <w:rPr>
          <w:rFonts w:ascii="Arial" w:hAnsi="Arial" w:cs="Arial"/>
          <w:sz w:val="22"/>
          <w:szCs w:val="22"/>
        </w:rPr>
        <w:t xml:space="preserve">Finalmente, </w:t>
      </w:r>
      <w:bookmarkStart w:id="63" w:name="_Hlk528571875"/>
      <w:r w:rsidR="00AD298A" w:rsidRPr="00B751FD">
        <w:rPr>
          <w:rFonts w:ascii="Arial" w:hAnsi="Arial" w:cs="Arial"/>
          <w:sz w:val="22"/>
          <w:szCs w:val="22"/>
        </w:rPr>
        <w:t>BROU</w:t>
      </w:r>
      <w:r w:rsidRPr="00B751FD">
        <w:rPr>
          <w:rFonts w:ascii="Arial" w:hAnsi="Arial" w:cs="Arial"/>
          <w:sz w:val="22"/>
          <w:szCs w:val="22"/>
        </w:rPr>
        <w:t xml:space="preserve"> presentar</w:t>
      </w:r>
      <w:r w:rsidR="003C6229" w:rsidRPr="00B751FD">
        <w:rPr>
          <w:rFonts w:ascii="Arial" w:hAnsi="Arial" w:cs="Arial"/>
          <w:sz w:val="22"/>
          <w:szCs w:val="22"/>
        </w:rPr>
        <w:t>á</w:t>
      </w:r>
      <w:r w:rsidRPr="00B751FD">
        <w:rPr>
          <w:rFonts w:ascii="Arial" w:hAnsi="Arial" w:cs="Arial"/>
          <w:sz w:val="22"/>
          <w:szCs w:val="22"/>
        </w:rPr>
        <w:t xml:space="preserve"> al Banco un informe de evaluación final, transcurridos seis meses desde el final del periodo de desembolso, con la información relevante para evaluar el cumplimiento de los objetivos y el comportamiento de los indicadores.</w:t>
      </w:r>
    </w:p>
    <w:bookmarkEnd w:id="63"/>
    <w:p w14:paraId="6F78F43A" w14:textId="77777777" w:rsidR="00EE5D78" w:rsidRPr="00B751FD" w:rsidRDefault="00EE5D78" w:rsidP="00051B94">
      <w:pPr>
        <w:pStyle w:val="Paragraph"/>
        <w:numPr>
          <w:ilvl w:val="0"/>
          <w:numId w:val="0"/>
        </w:numPr>
        <w:rPr>
          <w:rFonts w:ascii="Arial" w:hAnsi="Arial" w:cs="Arial"/>
          <w:sz w:val="22"/>
          <w:szCs w:val="22"/>
        </w:rPr>
      </w:pPr>
    </w:p>
    <w:p w14:paraId="0E3E3D39" w14:textId="77777777" w:rsidR="005310E9" w:rsidRPr="00B751FD" w:rsidRDefault="00022625">
      <w:pPr>
        <w:pStyle w:val="Chapter"/>
        <w:rPr>
          <w:rFonts w:ascii="Arial" w:hAnsi="Arial" w:cs="Arial"/>
          <w:sz w:val="22"/>
          <w:szCs w:val="22"/>
        </w:rPr>
      </w:pPr>
      <w:r w:rsidRPr="00B751FD">
        <w:rPr>
          <w:rFonts w:ascii="Arial" w:hAnsi="Arial" w:cs="Arial"/>
          <w:sz w:val="22"/>
          <w:szCs w:val="22"/>
        </w:rPr>
        <w:t>Auditorías</w:t>
      </w:r>
    </w:p>
    <w:p w14:paraId="40AF27AC" w14:textId="2637060F" w:rsidR="002C1089" w:rsidRPr="00B751FD" w:rsidRDefault="00655249" w:rsidP="00B16815">
      <w:pPr>
        <w:pStyle w:val="Paragraph"/>
        <w:tabs>
          <w:tab w:val="num" w:pos="2448"/>
        </w:tabs>
        <w:ind w:left="810" w:hanging="810"/>
        <w:rPr>
          <w:rFonts w:ascii="Arial" w:hAnsi="Arial" w:cs="Arial"/>
          <w:sz w:val="22"/>
          <w:szCs w:val="22"/>
          <w:u w:val="single"/>
        </w:rPr>
      </w:pPr>
      <w:r w:rsidRPr="00B751FD">
        <w:rPr>
          <w:rFonts w:ascii="Arial" w:hAnsi="Arial" w:cs="Arial"/>
          <w:sz w:val="22"/>
          <w:szCs w:val="22"/>
          <w:lang w:eastAsia="en-US"/>
        </w:rPr>
        <w:t>La</w:t>
      </w:r>
      <w:r w:rsidRPr="00B751FD">
        <w:rPr>
          <w:rFonts w:ascii="Arial" w:hAnsi="Arial" w:cs="Arial"/>
          <w:iCs/>
          <w:sz w:val="22"/>
          <w:szCs w:val="22"/>
        </w:rPr>
        <w:t xml:space="preserve"> auditoría financiera del Proyecto se realizará anualmente por un</w:t>
      </w:r>
      <w:r w:rsidR="00B16815" w:rsidRPr="00B751FD">
        <w:rPr>
          <w:rFonts w:ascii="Arial" w:hAnsi="Arial" w:cs="Arial"/>
          <w:iCs/>
          <w:sz w:val="22"/>
          <w:szCs w:val="22"/>
        </w:rPr>
        <w:t>a Firma de</w:t>
      </w:r>
      <w:r w:rsidRPr="00B751FD">
        <w:rPr>
          <w:rFonts w:ascii="Arial" w:hAnsi="Arial" w:cs="Arial"/>
          <w:iCs/>
          <w:sz w:val="22"/>
          <w:szCs w:val="22"/>
        </w:rPr>
        <w:t xml:space="preserve"> auditor</w:t>
      </w:r>
      <w:r w:rsidR="00B16815" w:rsidRPr="00B751FD">
        <w:rPr>
          <w:rFonts w:ascii="Arial" w:hAnsi="Arial" w:cs="Arial"/>
          <w:iCs/>
          <w:sz w:val="22"/>
          <w:szCs w:val="22"/>
        </w:rPr>
        <w:t>ía</w:t>
      </w:r>
      <w:r w:rsidRPr="00B751FD">
        <w:rPr>
          <w:rFonts w:ascii="Arial" w:hAnsi="Arial" w:cs="Arial"/>
          <w:iCs/>
          <w:sz w:val="22"/>
          <w:szCs w:val="22"/>
        </w:rPr>
        <w:t xml:space="preserve"> extern</w:t>
      </w:r>
      <w:r w:rsidR="00B16815" w:rsidRPr="00B751FD">
        <w:rPr>
          <w:rFonts w:ascii="Arial" w:hAnsi="Arial" w:cs="Arial"/>
          <w:iCs/>
          <w:sz w:val="22"/>
          <w:szCs w:val="22"/>
        </w:rPr>
        <w:t>a</w:t>
      </w:r>
      <w:r w:rsidRPr="00B751FD">
        <w:rPr>
          <w:rFonts w:ascii="Arial" w:hAnsi="Arial" w:cs="Arial"/>
          <w:iCs/>
          <w:sz w:val="22"/>
          <w:szCs w:val="22"/>
        </w:rPr>
        <w:t xml:space="preserve"> </w:t>
      </w:r>
      <w:r w:rsidR="00B16815" w:rsidRPr="00B751FD">
        <w:rPr>
          <w:rFonts w:ascii="Arial" w:hAnsi="Arial" w:cs="Arial"/>
          <w:iCs/>
          <w:sz w:val="22"/>
          <w:szCs w:val="22"/>
        </w:rPr>
        <w:t>elegible</w:t>
      </w:r>
      <w:r w:rsidRPr="00B751FD">
        <w:rPr>
          <w:rFonts w:ascii="Arial" w:hAnsi="Arial" w:cs="Arial"/>
          <w:iCs/>
          <w:sz w:val="22"/>
          <w:szCs w:val="22"/>
        </w:rPr>
        <w:t xml:space="preserve"> para el BID y de acuerdo con los Términos de Referencia</w:t>
      </w:r>
      <w:r w:rsidR="00094D8C" w:rsidRPr="00B751FD">
        <w:rPr>
          <w:rFonts w:ascii="Arial" w:hAnsi="Arial" w:cs="Arial"/>
          <w:iCs/>
          <w:sz w:val="22"/>
          <w:szCs w:val="22"/>
        </w:rPr>
        <w:t xml:space="preserve"> </w:t>
      </w:r>
      <w:r w:rsidRPr="00B751FD">
        <w:rPr>
          <w:rFonts w:ascii="Arial" w:hAnsi="Arial" w:cs="Arial"/>
          <w:iCs/>
          <w:color w:val="333333"/>
          <w:sz w:val="22"/>
          <w:szCs w:val="22"/>
        </w:rPr>
        <w:t xml:space="preserve">para Auditorías a Proyectos Financiados por Organismos Financieros Internacionales </w:t>
      </w:r>
      <w:r w:rsidR="000C4D9E" w:rsidRPr="00B751FD">
        <w:rPr>
          <w:rFonts w:ascii="Arial" w:hAnsi="Arial" w:cs="Arial"/>
          <w:iCs/>
          <w:color w:val="333333"/>
          <w:sz w:val="22"/>
          <w:szCs w:val="22"/>
        </w:rPr>
        <w:t>vigentes</w:t>
      </w:r>
      <w:r w:rsidRPr="00B751FD">
        <w:rPr>
          <w:rFonts w:ascii="Arial" w:hAnsi="Arial" w:cs="Arial"/>
          <w:iCs/>
          <w:color w:val="333333"/>
          <w:sz w:val="22"/>
          <w:szCs w:val="22"/>
        </w:rPr>
        <w:t xml:space="preserve">, así como </w:t>
      </w:r>
      <w:r w:rsidRPr="00B751FD">
        <w:rPr>
          <w:rFonts w:ascii="Arial" w:hAnsi="Arial" w:cs="Arial"/>
          <w:iCs/>
          <w:sz w:val="22"/>
          <w:szCs w:val="22"/>
        </w:rPr>
        <w:t xml:space="preserve">la Guía </w:t>
      </w:r>
      <w:r w:rsidRPr="00B751FD">
        <w:rPr>
          <w:rFonts w:ascii="Arial" w:hAnsi="Arial" w:cs="Arial"/>
          <w:iCs/>
          <w:color w:val="333333"/>
          <w:sz w:val="22"/>
          <w:szCs w:val="22"/>
        </w:rPr>
        <w:t>para la Gestión Financiera de los Proyectos Financiados por Organismos Financieros Internacionales</w:t>
      </w:r>
      <w:r w:rsidR="002C7ED1" w:rsidRPr="00B751FD">
        <w:rPr>
          <w:rFonts w:ascii="Arial" w:hAnsi="Arial" w:cs="Arial"/>
          <w:iCs/>
          <w:color w:val="333333"/>
          <w:sz w:val="22"/>
          <w:szCs w:val="22"/>
        </w:rPr>
        <w:t>.</w:t>
      </w:r>
      <w:r w:rsidRPr="00B751FD">
        <w:rPr>
          <w:rFonts w:ascii="Arial" w:hAnsi="Arial" w:cs="Arial"/>
          <w:iCs/>
          <w:color w:val="333333"/>
          <w:sz w:val="22"/>
          <w:szCs w:val="22"/>
        </w:rPr>
        <w:t xml:space="preserve"> </w:t>
      </w:r>
      <w:r w:rsidR="002C1089" w:rsidRPr="00B751FD">
        <w:rPr>
          <w:rFonts w:ascii="Arial" w:hAnsi="Arial" w:cs="Arial"/>
          <w:sz w:val="22"/>
          <w:szCs w:val="22"/>
        </w:rPr>
        <w:t xml:space="preserve">Los Estados Financieros sobre el </w:t>
      </w:r>
      <w:r w:rsidR="0046692F" w:rsidRPr="00B751FD">
        <w:rPr>
          <w:rFonts w:ascii="Arial" w:hAnsi="Arial" w:cs="Arial"/>
          <w:sz w:val="22"/>
          <w:szCs w:val="22"/>
        </w:rPr>
        <w:t>programa</w:t>
      </w:r>
      <w:r w:rsidR="002C1089" w:rsidRPr="00B751FD">
        <w:rPr>
          <w:rFonts w:ascii="Arial" w:hAnsi="Arial" w:cs="Arial"/>
          <w:sz w:val="22"/>
          <w:szCs w:val="22"/>
        </w:rPr>
        <w:t xml:space="preserve"> deberán ser presentados al Banco 120 días después de concluido cada ejercicio fiscal (diciembre), </w:t>
      </w:r>
      <w:r w:rsidR="00EE71DD" w:rsidRPr="00B751FD">
        <w:rPr>
          <w:rFonts w:ascii="Arial" w:hAnsi="Arial" w:cs="Arial"/>
          <w:sz w:val="22"/>
          <w:szCs w:val="22"/>
        </w:rPr>
        <w:t>y los</w:t>
      </w:r>
      <w:r w:rsidR="002C1089" w:rsidRPr="00B751FD">
        <w:rPr>
          <w:rFonts w:ascii="Arial" w:hAnsi="Arial" w:cs="Arial"/>
          <w:sz w:val="22"/>
          <w:szCs w:val="22"/>
        </w:rPr>
        <w:t xml:space="preserve"> Estado</w:t>
      </w:r>
      <w:r w:rsidR="00EE71DD" w:rsidRPr="00B751FD">
        <w:rPr>
          <w:rFonts w:ascii="Arial" w:hAnsi="Arial" w:cs="Arial"/>
          <w:sz w:val="22"/>
          <w:szCs w:val="22"/>
        </w:rPr>
        <w:t>s</w:t>
      </w:r>
      <w:r w:rsidR="002C1089" w:rsidRPr="00B751FD">
        <w:rPr>
          <w:rFonts w:ascii="Arial" w:hAnsi="Arial" w:cs="Arial"/>
          <w:sz w:val="22"/>
          <w:szCs w:val="22"/>
        </w:rPr>
        <w:t xml:space="preserve"> Financiero</w:t>
      </w:r>
      <w:r w:rsidR="00EE71DD" w:rsidRPr="00B751FD">
        <w:rPr>
          <w:rFonts w:ascii="Arial" w:hAnsi="Arial" w:cs="Arial"/>
          <w:sz w:val="22"/>
          <w:szCs w:val="22"/>
        </w:rPr>
        <w:t>s</w:t>
      </w:r>
      <w:r w:rsidR="002C1089" w:rsidRPr="00B751FD">
        <w:rPr>
          <w:rFonts w:ascii="Arial" w:hAnsi="Arial" w:cs="Arial"/>
          <w:sz w:val="22"/>
          <w:szCs w:val="22"/>
        </w:rPr>
        <w:t xml:space="preserve"> A</w:t>
      </w:r>
      <w:r w:rsidR="00EE71DD" w:rsidRPr="00B751FD">
        <w:rPr>
          <w:rFonts w:ascii="Arial" w:hAnsi="Arial" w:cs="Arial"/>
          <w:sz w:val="22"/>
          <w:szCs w:val="22"/>
        </w:rPr>
        <w:t>udita</w:t>
      </w:r>
      <w:r w:rsidR="000933C7" w:rsidRPr="00B751FD">
        <w:rPr>
          <w:rFonts w:ascii="Arial" w:hAnsi="Arial" w:cs="Arial"/>
          <w:sz w:val="22"/>
          <w:szCs w:val="22"/>
        </w:rPr>
        <w:t>dos</w:t>
      </w:r>
      <w:r w:rsidR="002C1089" w:rsidRPr="00B751FD">
        <w:rPr>
          <w:rFonts w:ascii="Arial" w:hAnsi="Arial" w:cs="Arial"/>
          <w:sz w:val="22"/>
          <w:szCs w:val="22"/>
        </w:rPr>
        <w:t xml:space="preserve"> (EFA) final</w:t>
      </w:r>
      <w:r w:rsidR="00EE71DD" w:rsidRPr="00B751FD">
        <w:rPr>
          <w:rFonts w:ascii="Arial" w:hAnsi="Arial" w:cs="Arial"/>
          <w:sz w:val="22"/>
          <w:szCs w:val="22"/>
        </w:rPr>
        <w:t>es</w:t>
      </w:r>
      <w:r w:rsidR="002C1089" w:rsidRPr="00B751FD">
        <w:rPr>
          <w:rFonts w:ascii="Arial" w:hAnsi="Arial" w:cs="Arial"/>
          <w:sz w:val="22"/>
          <w:szCs w:val="22"/>
        </w:rPr>
        <w:t xml:space="preserve"> </w:t>
      </w:r>
      <w:r w:rsidR="00787579" w:rsidRPr="00B751FD">
        <w:rPr>
          <w:rFonts w:ascii="Arial" w:hAnsi="Arial" w:cs="Arial"/>
          <w:sz w:val="22"/>
          <w:szCs w:val="22"/>
        </w:rPr>
        <w:t xml:space="preserve">del </w:t>
      </w:r>
      <w:r w:rsidR="0046692F" w:rsidRPr="00B751FD">
        <w:rPr>
          <w:rFonts w:ascii="Arial" w:hAnsi="Arial" w:cs="Arial"/>
          <w:sz w:val="22"/>
          <w:szCs w:val="22"/>
        </w:rPr>
        <w:t>programa</w:t>
      </w:r>
      <w:r w:rsidR="00787579" w:rsidRPr="00B751FD">
        <w:rPr>
          <w:rFonts w:ascii="Arial" w:hAnsi="Arial" w:cs="Arial"/>
          <w:sz w:val="22"/>
          <w:szCs w:val="22"/>
        </w:rPr>
        <w:t xml:space="preserve"> </w:t>
      </w:r>
      <w:r w:rsidR="002C1089" w:rsidRPr="00B751FD">
        <w:rPr>
          <w:rFonts w:ascii="Arial" w:hAnsi="Arial" w:cs="Arial"/>
          <w:sz w:val="22"/>
          <w:szCs w:val="22"/>
        </w:rPr>
        <w:t xml:space="preserve">120 días después de la fecha del último </w:t>
      </w:r>
      <w:r w:rsidR="002C1089" w:rsidRPr="00B751FD">
        <w:rPr>
          <w:rFonts w:ascii="Arial" w:hAnsi="Arial" w:cs="Arial"/>
          <w:sz w:val="22"/>
          <w:szCs w:val="22"/>
        </w:rPr>
        <w:lastRenderedPageBreak/>
        <w:t>desembolso</w:t>
      </w:r>
      <w:r w:rsidR="00AB0988" w:rsidRPr="00B751FD">
        <w:rPr>
          <w:rFonts w:ascii="Arial" w:hAnsi="Arial" w:cs="Arial"/>
          <w:sz w:val="22"/>
          <w:szCs w:val="22"/>
        </w:rPr>
        <w:t xml:space="preserve"> del Financiamiento</w:t>
      </w:r>
      <w:r w:rsidR="002C0E18" w:rsidRPr="00B751FD">
        <w:rPr>
          <w:rFonts w:ascii="Arial" w:hAnsi="Arial" w:cs="Arial"/>
          <w:sz w:val="22"/>
          <w:szCs w:val="22"/>
        </w:rPr>
        <w:t>.</w:t>
      </w:r>
      <w:r w:rsidR="00532D11" w:rsidRPr="00B751FD">
        <w:rPr>
          <w:rFonts w:ascii="Arial" w:hAnsi="Arial" w:cs="Arial"/>
          <w:sz w:val="22"/>
          <w:szCs w:val="22"/>
        </w:rPr>
        <w:t xml:space="preserve"> Los EFA deberán incluir información sobre: (</w:t>
      </w:r>
      <w:r w:rsidR="00B751FD">
        <w:rPr>
          <w:rFonts w:ascii="Arial" w:hAnsi="Arial" w:cs="Arial"/>
          <w:sz w:val="22"/>
          <w:szCs w:val="22"/>
        </w:rPr>
        <w:t>i</w:t>
      </w:r>
      <w:r w:rsidR="00532D11" w:rsidRPr="00B751FD">
        <w:rPr>
          <w:rFonts w:ascii="Arial" w:hAnsi="Arial" w:cs="Arial"/>
          <w:sz w:val="22"/>
          <w:szCs w:val="22"/>
        </w:rPr>
        <w:t>) el monto, estado y nivel de uso de las L</w:t>
      </w:r>
      <w:r w:rsidR="00477429" w:rsidRPr="00B751FD">
        <w:rPr>
          <w:rFonts w:ascii="Arial" w:hAnsi="Arial" w:cs="Arial"/>
          <w:sz w:val="22"/>
          <w:szCs w:val="22"/>
        </w:rPr>
        <w:t xml:space="preserve">íneas de </w:t>
      </w:r>
      <w:r w:rsidR="00532D11" w:rsidRPr="00B751FD">
        <w:rPr>
          <w:rFonts w:ascii="Arial" w:hAnsi="Arial" w:cs="Arial"/>
          <w:sz w:val="22"/>
          <w:szCs w:val="22"/>
        </w:rPr>
        <w:t>C</w:t>
      </w:r>
      <w:r w:rsidR="00477429" w:rsidRPr="00B751FD">
        <w:rPr>
          <w:rFonts w:ascii="Arial" w:hAnsi="Arial" w:cs="Arial"/>
          <w:sz w:val="22"/>
          <w:szCs w:val="22"/>
        </w:rPr>
        <w:t xml:space="preserve">rédito </w:t>
      </w:r>
      <w:r w:rsidR="00532D11" w:rsidRPr="00B751FD">
        <w:rPr>
          <w:rFonts w:ascii="Arial" w:hAnsi="Arial" w:cs="Arial"/>
          <w:sz w:val="22"/>
          <w:szCs w:val="22"/>
        </w:rPr>
        <w:t>C</w:t>
      </w:r>
      <w:r w:rsidR="00477429" w:rsidRPr="00B751FD">
        <w:rPr>
          <w:rFonts w:ascii="Arial" w:hAnsi="Arial" w:cs="Arial"/>
          <w:sz w:val="22"/>
          <w:szCs w:val="22"/>
        </w:rPr>
        <w:t>ondicional</w:t>
      </w:r>
      <w:r w:rsidR="00532D11" w:rsidRPr="00B751FD">
        <w:rPr>
          <w:rFonts w:ascii="Arial" w:hAnsi="Arial" w:cs="Arial"/>
          <w:sz w:val="22"/>
          <w:szCs w:val="22"/>
        </w:rPr>
        <w:t xml:space="preserve"> que se hayan abierto; (</w:t>
      </w:r>
      <w:r w:rsidR="00B751FD">
        <w:rPr>
          <w:rFonts w:ascii="Arial" w:hAnsi="Arial" w:cs="Arial"/>
          <w:sz w:val="22"/>
          <w:szCs w:val="22"/>
        </w:rPr>
        <w:t>ii</w:t>
      </w:r>
      <w:r w:rsidR="00532D11" w:rsidRPr="00B751FD">
        <w:rPr>
          <w:rFonts w:ascii="Arial" w:hAnsi="Arial" w:cs="Arial"/>
          <w:sz w:val="22"/>
          <w:szCs w:val="22"/>
        </w:rPr>
        <w:t xml:space="preserve">) datos básicos de los beneficiarios; </w:t>
      </w:r>
      <w:r w:rsidR="00B751FD">
        <w:rPr>
          <w:rFonts w:ascii="Arial" w:hAnsi="Arial" w:cs="Arial"/>
          <w:sz w:val="22"/>
          <w:szCs w:val="22"/>
        </w:rPr>
        <w:t xml:space="preserve">y </w:t>
      </w:r>
      <w:r w:rsidR="00532D11" w:rsidRPr="00B751FD">
        <w:rPr>
          <w:rFonts w:ascii="Arial" w:hAnsi="Arial" w:cs="Arial"/>
          <w:sz w:val="22"/>
          <w:szCs w:val="22"/>
        </w:rPr>
        <w:t>(</w:t>
      </w:r>
      <w:r w:rsidR="00B751FD">
        <w:rPr>
          <w:rFonts w:ascii="Arial" w:hAnsi="Arial" w:cs="Arial"/>
          <w:sz w:val="22"/>
          <w:szCs w:val="22"/>
        </w:rPr>
        <w:t>ii</w:t>
      </w:r>
      <w:r w:rsidR="00532D11" w:rsidRPr="00B751FD">
        <w:rPr>
          <w:rFonts w:ascii="Arial" w:hAnsi="Arial" w:cs="Arial"/>
          <w:sz w:val="22"/>
          <w:szCs w:val="22"/>
        </w:rPr>
        <w:t>) si existieran, los montos provenientes de recuperaciones y su eventual reinversión.</w:t>
      </w:r>
    </w:p>
    <w:p w14:paraId="6831A9CD" w14:textId="77777777" w:rsidR="00655249" w:rsidRPr="00B751FD" w:rsidRDefault="00655249" w:rsidP="00655249">
      <w:pPr>
        <w:jc w:val="both"/>
        <w:rPr>
          <w:rFonts w:ascii="Arial" w:hAnsi="Arial" w:cs="Arial"/>
          <w:sz w:val="22"/>
          <w:szCs w:val="22"/>
          <w:lang w:val="es-ES_tradnl"/>
        </w:rPr>
      </w:pPr>
      <w:r w:rsidRPr="00B751FD" w:rsidDel="00103997">
        <w:rPr>
          <w:rFonts w:ascii="Arial" w:hAnsi="Arial" w:cs="Arial"/>
          <w:sz w:val="22"/>
          <w:szCs w:val="22"/>
          <w:lang w:val="es-ES_tradnl"/>
        </w:rPr>
        <w:t xml:space="preserve"> </w:t>
      </w:r>
    </w:p>
    <w:bookmarkEnd w:id="56"/>
    <w:bookmarkEnd w:id="57"/>
    <w:bookmarkEnd w:id="58"/>
    <w:bookmarkEnd w:id="59"/>
    <w:bookmarkEnd w:id="60"/>
    <w:bookmarkEnd w:id="61"/>
    <w:p w14:paraId="544C1894" w14:textId="77777777" w:rsidR="009A4EB1" w:rsidRPr="00B751FD" w:rsidRDefault="009A4EB1" w:rsidP="009A4EB1">
      <w:pPr>
        <w:pStyle w:val="Chapter"/>
        <w:rPr>
          <w:rFonts w:ascii="Arial" w:hAnsi="Arial" w:cs="Arial"/>
          <w:sz w:val="22"/>
          <w:szCs w:val="22"/>
        </w:rPr>
      </w:pPr>
      <w:r w:rsidRPr="00B751FD">
        <w:rPr>
          <w:rFonts w:ascii="Arial" w:hAnsi="Arial" w:cs="Arial"/>
          <w:sz w:val="22"/>
          <w:szCs w:val="22"/>
        </w:rPr>
        <w:t xml:space="preserve">Estructura Operativa-Administrativa del </w:t>
      </w:r>
      <w:r w:rsidR="00A56887" w:rsidRPr="00B751FD">
        <w:rPr>
          <w:rFonts w:ascii="Arial" w:hAnsi="Arial" w:cs="Arial"/>
          <w:sz w:val="22"/>
          <w:szCs w:val="22"/>
        </w:rPr>
        <w:t>Programa</w:t>
      </w:r>
    </w:p>
    <w:p w14:paraId="0657D051" w14:textId="32691B79" w:rsidR="009A4EB1" w:rsidRPr="00B751FD" w:rsidRDefault="009A4EB1" w:rsidP="001F3845">
      <w:pPr>
        <w:pStyle w:val="Paragraph"/>
        <w:ind w:left="810" w:hanging="810"/>
        <w:rPr>
          <w:rFonts w:ascii="Arial" w:hAnsi="Arial" w:cs="Arial"/>
          <w:sz w:val="22"/>
          <w:szCs w:val="22"/>
        </w:rPr>
      </w:pPr>
      <w:r w:rsidRPr="00B751FD">
        <w:rPr>
          <w:rFonts w:ascii="Arial" w:hAnsi="Arial" w:cs="Arial"/>
          <w:b/>
          <w:sz w:val="22"/>
          <w:szCs w:val="22"/>
        </w:rPr>
        <w:t xml:space="preserve">Coordinación del </w:t>
      </w:r>
      <w:r w:rsidR="00A56887" w:rsidRPr="00B751FD">
        <w:rPr>
          <w:rFonts w:ascii="Arial" w:hAnsi="Arial" w:cs="Arial"/>
          <w:b/>
          <w:sz w:val="22"/>
          <w:szCs w:val="22"/>
        </w:rPr>
        <w:t>Programa</w:t>
      </w:r>
      <w:r w:rsidR="00B40616" w:rsidRPr="00B751FD">
        <w:rPr>
          <w:rFonts w:ascii="Arial" w:hAnsi="Arial" w:cs="Arial"/>
          <w:b/>
          <w:sz w:val="22"/>
          <w:szCs w:val="22"/>
        </w:rPr>
        <w:t xml:space="preserve"> con </w:t>
      </w:r>
      <w:r w:rsidR="00B40616" w:rsidRPr="00B751FD">
        <w:rPr>
          <w:rFonts w:ascii="Arial" w:hAnsi="Arial" w:cs="Arial"/>
          <w:sz w:val="22"/>
          <w:szCs w:val="22"/>
        </w:rPr>
        <w:t>el Banco</w:t>
      </w:r>
      <w:r w:rsidRPr="00B751FD">
        <w:rPr>
          <w:rFonts w:ascii="Arial" w:hAnsi="Arial" w:cs="Arial"/>
          <w:sz w:val="22"/>
          <w:szCs w:val="22"/>
        </w:rPr>
        <w:t xml:space="preserve">. Los procedimientos legales y administrativos relacionados con la ejecución del </w:t>
      </w:r>
      <w:r w:rsidR="0046692F" w:rsidRPr="00B751FD">
        <w:rPr>
          <w:rFonts w:ascii="Arial" w:hAnsi="Arial" w:cs="Arial"/>
          <w:sz w:val="22"/>
          <w:szCs w:val="22"/>
        </w:rPr>
        <w:t>programa</w:t>
      </w:r>
      <w:r w:rsidRPr="00B751FD">
        <w:rPr>
          <w:rFonts w:ascii="Arial" w:hAnsi="Arial" w:cs="Arial"/>
          <w:sz w:val="22"/>
          <w:szCs w:val="22"/>
        </w:rPr>
        <w:t xml:space="preserve">, </w:t>
      </w:r>
      <w:r w:rsidR="00B0186D" w:rsidRPr="00B751FD">
        <w:rPr>
          <w:rFonts w:ascii="Arial" w:hAnsi="Arial" w:cs="Arial"/>
          <w:sz w:val="22"/>
          <w:szCs w:val="22"/>
        </w:rPr>
        <w:t xml:space="preserve">que </w:t>
      </w:r>
      <w:r w:rsidRPr="00B751FD">
        <w:rPr>
          <w:rFonts w:ascii="Arial" w:hAnsi="Arial" w:cs="Arial"/>
          <w:sz w:val="22"/>
          <w:szCs w:val="22"/>
        </w:rPr>
        <w:t>deben ser gestionados ante</w:t>
      </w:r>
      <w:r w:rsidR="002725FF" w:rsidRPr="00B751FD">
        <w:rPr>
          <w:rFonts w:ascii="Arial" w:hAnsi="Arial" w:cs="Arial"/>
          <w:sz w:val="22"/>
          <w:szCs w:val="22"/>
        </w:rPr>
        <w:t xml:space="preserve"> el Banco</w:t>
      </w:r>
      <w:r w:rsidRPr="00B751FD">
        <w:rPr>
          <w:rFonts w:ascii="Arial" w:hAnsi="Arial" w:cs="Arial"/>
          <w:sz w:val="22"/>
          <w:szCs w:val="22"/>
        </w:rPr>
        <w:t xml:space="preserve"> </w:t>
      </w:r>
      <w:r w:rsidR="00B0186D" w:rsidRPr="00B751FD">
        <w:rPr>
          <w:rFonts w:ascii="Arial" w:hAnsi="Arial" w:cs="Arial"/>
          <w:sz w:val="22"/>
          <w:szCs w:val="22"/>
        </w:rPr>
        <w:t xml:space="preserve">se realizarán </w:t>
      </w:r>
      <w:r w:rsidRPr="00B751FD">
        <w:rPr>
          <w:rFonts w:ascii="Arial" w:hAnsi="Arial" w:cs="Arial"/>
          <w:sz w:val="22"/>
          <w:szCs w:val="22"/>
        </w:rPr>
        <w:t xml:space="preserve">a través </w:t>
      </w:r>
      <w:r w:rsidR="00FC139D" w:rsidRPr="00B751FD">
        <w:rPr>
          <w:rFonts w:ascii="Arial" w:hAnsi="Arial" w:cs="Arial"/>
          <w:sz w:val="22"/>
          <w:szCs w:val="22"/>
        </w:rPr>
        <w:t>del</w:t>
      </w:r>
      <w:r w:rsidR="00D420D5" w:rsidRPr="00B751FD">
        <w:rPr>
          <w:rFonts w:ascii="Arial" w:hAnsi="Arial" w:cs="Arial"/>
          <w:sz w:val="22"/>
          <w:szCs w:val="22"/>
        </w:rPr>
        <w:t xml:space="preserve"> Área </w:t>
      </w:r>
      <w:r w:rsidR="00E67646" w:rsidRPr="00B751FD">
        <w:rPr>
          <w:rFonts w:ascii="Arial" w:hAnsi="Arial" w:cs="Arial"/>
          <w:sz w:val="22"/>
          <w:szCs w:val="22"/>
        </w:rPr>
        <w:t xml:space="preserve">Finanzas </w:t>
      </w:r>
      <w:r w:rsidR="00FC139D" w:rsidRPr="00B751FD">
        <w:rPr>
          <w:rFonts w:ascii="Arial" w:hAnsi="Arial" w:cs="Arial"/>
          <w:sz w:val="22"/>
          <w:szCs w:val="22"/>
        </w:rPr>
        <w:t xml:space="preserve">(AF) </w:t>
      </w:r>
      <w:r w:rsidR="00FF4DD8" w:rsidRPr="00B751FD">
        <w:rPr>
          <w:rFonts w:ascii="Arial" w:hAnsi="Arial" w:cs="Arial"/>
          <w:sz w:val="22"/>
          <w:szCs w:val="22"/>
        </w:rPr>
        <w:t>de</w:t>
      </w:r>
      <w:r w:rsidR="00EC7288" w:rsidRPr="00B751FD">
        <w:rPr>
          <w:rFonts w:ascii="Arial" w:hAnsi="Arial" w:cs="Arial"/>
          <w:sz w:val="22"/>
          <w:szCs w:val="22"/>
        </w:rPr>
        <w:t>l</w:t>
      </w:r>
      <w:r w:rsidR="00FF4DD8" w:rsidRPr="00B751FD">
        <w:rPr>
          <w:rFonts w:ascii="Arial" w:hAnsi="Arial" w:cs="Arial"/>
          <w:sz w:val="22"/>
          <w:szCs w:val="22"/>
        </w:rPr>
        <w:t xml:space="preserve"> </w:t>
      </w:r>
      <w:r w:rsidR="00AD298A" w:rsidRPr="00B751FD">
        <w:rPr>
          <w:rFonts w:ascii="Arial" w:hAnsi="Arial" w:cs="Arial"/>
          <w:sz w:val="22"/>
          <w:szCs w:val="22"/>
        </w:rPr>
        <w:t>BROU</w:t>
      </w:r>
      <w:r w:rsidRPr="00B751FD">
        <w:rPr>
          <w:rFonts w:ascii="Arial" w:hAnsi="Arial" w:cs="Arial"/>
          <w:sz w:val="22"/>
          <w:szCs w:val="22"/>
        </w:rPr>
        <w:t xml:space="preserve">. </w:t>
      </w:r>
      <w:r w:rsidR="00FC139D" w:rsidRPr="00B751FD">
        <w:rPr>
          <w:rFonts w:ascii="Arial" w:hAnsi="Arial" w:cs="Arial"/>
          <w:sz w:val="22"/>
          <w:szCs w:val="22"/>
        </w:rPr>
        <w:t>El A</w:t>
      </w:r>
      <w:r w:rsidR="00FF4DD8" w:rsidRPr="00B751FD">
        <w:rPr>
          <w:rFonts w:ascii="Arial" w:hAnsi="Arial" w:cs="Arial"/>
          <w:sz w:val="22"/>
          <w:szCs w:val="22"/>
        </w:rPr>
        <w:t>F</w:t>
      </w:r>
      <w:r w:rsidR="002C7ED1" w:rsidRPr="00B751FD">
        <w:rPr>
          <w:rFonts w:ascii="Arial" w:hAnsi="Arial" w:cs="Arial"/>
          <w:sz w:val="22"/>
          <w:szCs w:val="22"/>
        </w:rPr>
        <w:t>, derivando a las áreas competentes si corresponde,</w:t>
      </w:r>
      <w:r w:rsidR="003015A1" w:rsidRPr="00B751FD">
        <w:rPr>
          <w:rFonts w:ascii="Arial" w:hAnsi="Arial" w:cs="Arial"/>
          <w:sz w:val="22"/>
          <w:szCs w:val="22"/>
        </w:rPr>
        <w:t xml:space="preserve"> </w:t>
      </w:r>
      <w:r w:rsidRPr="00B751FD">
        <w:rPr>
          <w:rFonts w:ascii="Arial" w:hAnsi="Arial" w:cs="Arial"/>
          <w:sz w:val="22"/>
          <w:szCs w:val="22"/>
        </w:rPr>
        <w:t>es la ventanilla única ante el Banco para:</w:t>
      </w:r>
    </w:p>
    <w:p w14:paraId="71DF7223" w14:textId="77777777" w:rsidR="00C57009" w:rsidRPr="00B751FD" w:rsidRDefault="00C57009" w:rsidP="00455843">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28"/>
        <w:jc w:val="both"/>
        <w:rPr>
          <w:rFonts w:ascii="Arial" w:hAnsi="Arial" w:cs="Arial"/>
          <w:sz w:val="22"/>
          <w:szCs w:val="22"/>
          <w:shd w:val="clear" w:color="auto" w:fill="FFFFFF"/>
          <w:lang w:val="es-ES_tradnl"/>
        </w:rPr>
      </w:pPr>
    </w:p>
    <w:p w14:paraId="242AAA31" w14:textId="77777777" w:rsidR="005E102B" w:rsidRPr="00B751FD" w:rsidRDefault="00455843" w:rsidP="00A82519">
      <w:pPr>
        <w:numPr>
          <w:ilvl w:val="0"/>
          <w:numId w:val="17"/>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18" w:hanging="425"/>
        <w:jc w:val="both"/>
        <w:rPr>
          <w:rFonts w:ascii="Arial" w:hAnsi="Arial" w:cs="Arial"/>
          <w:sz w:val="22"/>
          <w:szCs w:val="22"/>
          <w:shd w:val="clear" w:color="auto" w:fill="FFFFFF"/>
          <w:lang w:val="es-ES_tradnl"/>
        </w:rPr>
      </w:pPr>
      <w:r w:rsidRPr="00B751FD">
        <w:rPr>
          <w:rFonts w:ascii="Arial" w:hAnsi="Arial" w:cs="Arial"/>
          <w:sz w:val="22"/>
          <w:szCs w:val="22"/>
          <w:lang w:val="es-ES_tradnl"/>
        </w:rPr>
        <w:t>El seguimiento para el cumplimiento de los compromisos contractuales establecidos en el Contrato de Préstamo</w:t>
      </w:r>
    </w:p>
    <w:p w14:paraId="13CFEED9" w14:textId="6A788A9F" w:rsidR="005E102B" w:rsidRPr="00B751FD" w:rsidRDefault="009A4EB1" w:rsidP="00A82519">
      <w:pPr>
        <w:numPr>
          <w:ilvl w:val="0"/>
          <w:numId w:val="17"/>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18" w:hanging="425"/>
        <w:jc w:val="both"/>
        <w:rPr>
          <w:rFonts w:ascii="Arial" w:hAnsi="Arial" w:cs="Arial"/>
          <w:sz w:val="22"/>
          <w:szCs w:val="22"/>
          <w:shd w:val="clear" w:color="auto" w:fill="FFFFFF"/>
          <w:lang w:val="es-ES_tradnl"/>
        </w:rPr>
      </w:pPr>
      <w:r w:rsidRPr="00B751FD">
        <w:rPr>
          <w:rFonts w:ascii="Arial" w:hAnsi="Arial" w:cs="Arial"/>
          <w:sz w:val="22"/>
          <w:szCs w:val="22"/>
          <w:lang w:val="es-ES_tradnl"/>
        </w:rPr>
        <w:t xml:space="preserve">La revisión y gestión de los procesos de adquisición y </w:t>
      </w:r>
      <w:r w:rsidR="00B751FD" w:rsidRPr="00B751FD">
        <w:rPr>
          <w:rFonts w:ascii="Arial" w:hAnsi="Arial" w:cs="Arial"/>
          <w:sz w:val="22"/>
          <w:szCs w:val="22"/>
          <w:lang w:val="es-ES_tradnl"/>
        </w:rPr>
        <w:t>contratación sujetos</w:t>
      </w:r>
      <w:r w:rsidRPr="00B751FD">
        <w:rPr>
          <w:rFonts w:ascii="Arial" w:hAnsi="Arial" w:cs="Arial"/>
          <w:sz w:val="22"/>
          <w:szCs w:val="22"/>
          <w:lang w:val="es-ES_tradnl"/>
        </w:rPr>
        <w:t xml:space="preserve"> a revisión previa y que requieren la obtención de la No Objeción del Banco, así como la revisión y registro de los procesos de adquisición y contratación sujetos a revisión posterior o </w:t>
      </w:r>
      <w:r w:rsidR="00B0186D" w:rsidRPr="00B751FD">
        <w:rPr>
          <w:rFonts w:ascii="Arial" w:hAnsi="Arial" w:cs="Arial"/>
          <w:sz w:val="22"/>
          <w:szCs w:val="22"/>
          <w:lang w:val="es-ES_tradnl"/>
        </w:rPr>
        <w:t xml:space="preserve">ex </w:t>
      </w:r>
      <w:r w:rsidRPr="00B751FD">
        <w:rPr>
          <w:rFonts w:ascii="Arial" w:hAnsi="Arial" w:cs="Arial"/>
          <w:sz w:val="22"/>
          <w:szCs w:val="22"/>
          <w:lang w:val="es-ES_tradnl"/>
        </w:rPr>
        <w:t>post,</w:t>
      </w:r>
    </w:p>
    <w:p w14:paraId="2B0AB487" w14:textId="63FA5BFD" w:rsidR="005E102B" w:rsidRPr="00B751FD" w:rsidRDefault="00104DB9" w:rsidP="00A82519">
      <w:pPr>
        <w:numPr>
          <w:ilvl w:val="0"/>
          <w:numId w:val="17"/>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18" w:hanging="425"/>
        <w:jc w:val="both"/>
        <w:rPr>
          <w:rFonts w:ascii="Arial" w:hAnsi="Arial" w:cs="Arial"/>
          <w:sz w:val="22"/>
          <w:szCs w:val="22"/>
          <w:shd w:val="clear" w:color="auto" w:fill="FFFFFF"/>
          <w:lang w:val="es-ES_tradnl"/>
        </w:rPr>
      </w:pPr>
      <w:r w:rsidRPr="00B751FD">
        <w:rPr>
          <w:rFonts w:ascii="Arial" w:hAnsi="Arial" w:cs="Arial"/>
          <w:sz w:val="22"/>
          <w:szCs w:val="22"/>
          <w:lang w:val="es-ES_tradnl"/>
        </w:rPr>
        <w:t xml:space="preserve">La negociación o renegociación con el Banco de los documentos legales del </w:t>
      </w:r>
      <w:r w:rsidR="0046692F" w:rsidRPr="00B751FD">
        <w:rPr>
          <w:rFonts w:ascii="Arial" w:hAnsi="Arial" w:cs="Arial"/>
          <w:sz w:val="22"/>
          <w:szCs w:val="22"/>
          <w:lang w:val="es-ES_tradnl"/>
        </w:rPr>
        <w:t>programa</w:t>
      </w:r>
      <w:r w:rsidRPr="00B751FD">
        <w:rPr>
          <w:rFonts w:ascii="Arial" w:hAnsi="Arial" w:cs="Arial"/>
          <w:sz w:val="22"/>
          <w:szCs w:val="22"/>
          <w:lang w:val="es-ES_tradnl"/>
        </w:rPr>
        <w:t>, y de aquéllos normativos directamente vinculados al mismo</w:t>
      </w:r>
      <w:r w:rsidR="00B0186D" w:rsidRPr="00B751FD">
        <w:rPr>
          <w:rFonts w:ascii="Arial" w:hAnsi="Arial" w:cs="Arial"/>
          <w:sz w:val="22"/>
          <w:szCs w:val="22"/>
          <w:lang w:val="es-ES_tradnl"/>
        </w:rPr>
        <w:t>, siempre y cuando las área</w:t>
      </w:r>
      <w:r w:rsidR="00806657" w:rsidRPr="00B751FD">
        <w:rPr>
          <w:rFonts w:ascii="Arial" w:hAnsi="Arial" w:cs="Arial"/>
          <w:sz w:val="22"/>
          <w:szCs w:val="22"/>
          <w:lang w:val="es-ES_tradnl"/>
        </w:rPr>
        <w:t>s</w:t>
      </w:r>
      <w:r w:rsidR="00B0186D" w:rsidRPr="00B751FD">
        <w:rPr>
          <w:rFonts w:ascii="Arial" w:hAnsi="Arial" w:cs="Arial"/>
          <w:sz w:val="22"/>
          <w:szCs w:val="22"/>
          <w:lang w:val="es-ES_tradnl"/>
        </w:rPr>
        <w:t xml:space="preserve"> técnicas lo hayan validado</w:t>
      </w:r>
      <w:r w:rsidRPr="00B751FD">
        <w:rPr>
          <w:rFonts w:ascii="Arial" w:hAnsi="Arial" w:cs="Arial"/>
          <w:sz w:val="22"/>
          <w:szCs w:val="22"/>
          <w:lang w:val="es-ES_tradnl"/>
        </w:rPr>
        <w:t xml:space="preserve">. </w:t>
      </w:r>
    </w:p>
    <w:p w14:paraId="54BC73A3" w14:textId="77777777" w:rsidR="005E102B" w:rsidRPr="00B751FD" w:rsidRDefault="009A4EB1" w:rsidP="00A82519">
      <w:pPr>
        <w:numPr>
          <w:ilvl w:val="0"/>
          <w:numId w:val="17"/>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18" w:hanging="425"/>
        <w:jc w:val="both"/>
        <w:rPr>
          <w:rFonts w:ascii="Arial" w:hAnsi="Arial" w:cs="Arial"/>
          <w:sz w:val="22"/>
          <w:szCs w:val="22"/>
          <w:shd w:val="clear" w:color="auto" w:fill="FFFFFF"/>
          <w:lang w:val="es-ES_tradnl"/>
        </w:rPr>
      </w:pPr>
      <w:r w:rsidRPr="00B751FD">
        <w:rPr>
          <w:rFonts w:ascii="Arial" w:hAnsi="Arial" w:cs="Arial"/>
          <w:sz w:val="22"/>
          <w:szCs w:val="22"/>
          <w:lang w:val="es-ES_tradnl"/>
        </w:rPr>
        <w:t>La presentación del plan de adquisiciones, los informes de avance físico y financiero del Proyecto; y,</w:t>
      </w:r>
    </w:p>
    <w:p w14:paraId="5CAD10D3" w14:textId="77777777" w:rsidR="005E102B" w:rsidRPr="00B751FD" w:rsidRDefault="009A4EB1" w:rsidP="00A82519">
      <w:pPr>
        <w:numPr>
          <w:ilvl w:val="0"/>
          <w:numId w:val="17"/>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18" w:hanging="425"/>
        <w:jc w:val="both"/>
        <w:rPr>
          <w:rFonts w:ascii="Arial" w:hAnsi="Arial" w:cs="Arial"/>
          <w:sz w:val="22"/>
          <w:szCs w:val="22"/>
          <w:shd w:val="clear" w:color="auto" w:fill="FFFFFF"/>
          <w:lang w:val="es-ES_tradnl"/>
        </w:rPr>
      </w:pPr>
      <w:r w:rsidRPr="00B751FD">
        <w:rPr>
          <w:rFonts w:ascii="Arial" w:hAnsi="Arial" w:cs="Arial"/>
          <w:sz w:val="22"/>
          <w:szCs w:val="22"/>
          <w:lang w:val="es-ES_tradnl"/>
        </w:rPr>
        <w:t>La coordinación y atención de las misiones de supervisión</w:t>
      </w:r>
    </w:p>
    <w:p w14:paraId="766B5BF8" w14:textId="77777777" w:rsidR="005E102B" w:rsidRPr="00B751FD" w:rsidRDefault="009A4EB1" w:rsidP="00A82519">
      <w:pPr>
        <w:pStyle w:val="ListParagraph"/>
        <w:numPr>
          <w:ilvl w:val="0"/>
          <w:numId w:val="17"/>
        </w:numPr>
        <w:tabs>
          <w:tab w:val="left" w:pos="851"/>
          <w:tab w:val="left" w:pos="1418"/>
          <w:tab w:val="left" w:pos="4248"/>
          <w:tab w:val="left" w:pos="4956"/>
          <w:tab w:val="left" w:pos="5664"/>
          <w:tab w:val="left" w:pos="6372"/>
          <w:tab w:val="left" w:pos="7080"/>
          <w:tab w:val="left" w:pos="7788"/>
          <w:tab w:val="left" w:pos="8496"/>
          <w:tab w:val="left" w:pos="9204"/>
          <w:tab w:val="left" w:pos="9472"/>
        </w:tabs>
        <w:ind w:left="1418" w:hanging="425"/>
        <w:jc w:val="both"/>
        <w:rPr>
          <w:rFonts w:ascii="Arial" w:hAnsi="Arial" w:cs="Arial"/>
          <w:sz w:val="22"/>
          <w:szCs w:val="22"/>
          <w:shd w:val="clear" w:color="auto" w:fill="FFFFFF"/>
          <w:lang w:val="es-ES_tradnl"/>
        </w:rPr>
      </w:pPr>
      <w:r w:rsidRPr="00B751FD">
        <w:rPr>
          <w:rFonts w:ascii="Arial" w:hAnsi="Arial" w:cs="Arial"/>
          <w:sz w:val="22"/>
          <w:szCs w:val="22"/>
          <w:lang w:val="es-ES_tradnl"/>
        </w:rPr>
        <w:t xml:space="preserve">En general para toda consulta o solicitud que se requiera realizar ante </w:t>
      </w:r>
      <w:r w:rsidR="00784276" w:rsidRPr="00B751FD">
        <w:rPr>
          <w:rFonts w:ascii="Arial" w:hAnsi="Arial" w:cs="Arial"/>
          <w:sz w:val="22"/>
          <w:szCs w:val="22"/>
          <w:lang w:val="es-ES_tradnl"/>
        </w:rPr>
        <w:t>el Banco</w:t>
      </w:r>
      <w:r w:rsidRPr="00B751FD">
        <w:rPr>
          <w:rFonts w:ascii="Arial" w:hAnsi="Arial" w:cs="Arial"/>
          <w:sz w:val="22"/>
          <w:szCs w:val="22"/>
          <w:lang w:val="es-ES_tradnl"/>
        </w:rPr>
        <w:t>.</w:t>
      </w:r>
    </w:p>
    <w:p w14:paraId="22477F78" w14:textId="77777777" w:rsidR="00142221" w:rsidRPr="00B751FD" w:rsidRDefault="0068449B" w:rsidP="00A82519">
      <w:pPr>
        <w:pStyle w:val="ListParagraph"/>
        <w:numPr>
          <w:ilvl w:val="0"/>
          <w:numId w:val="17"/>
        </w:numPr>
        <w:tabs>
          <w:tab w:val="left" w:pos="851"/>
          <w:tab w:val="left" w:pos="1418"/>
          <w:tab w:val="left" w:pos="4248"/>
          <w:tab w:val="left" w:pos="4956"/>
          <w:tab w:val="left" w:pos="5664"/>
          <w:tab w:val="left" w:pos="6372"/>
          <w:tab w:val="left" w:pos="7080"/>
          <w:tab w:val="left" w:pos="7788"/>
          <w:tab w:val="left" w:pos="8496"/>
          <w:tab w:val="left" w:pos="9204"/>
          <w:tab w:val="left" w:pos="9472"/>
        </w:tabs>
        <w:ind w:left="1418" w:hanging="425"/>
        <w:jc w:val="both"/>
        <w:rPr>
          <w:rFonts w:ascii="Arial" w:hAnsi="Arial" w:cs="Arial"/>
          <w:sz w:val="22"/>
          <w:szCs w:val="22"/>
          <w:lang w:val="es-ES_tradnl"/>
        </w:rPr>
      </w:pPr>
      <w:r w:rsidRPr="00B751FD">
        <w:rPr>
          <w:rFonts w:ascii="Arial" w:hAnsi="Arial" w:cs="Arial"/>
          <w:sz w:val="22"/>
          <w:szCs w:val="22"/>
          <w:lang w:val="es-ES_tradnl"/>
        </w:rPr>
        <w:t>El registro de las operaciones elegibles</w:t>
      </w:r>
      <w:r w:rsidR="006149E4" w:rsidRPr="00B751FD">
        <w:rPr>
          <w:rFonts w:ascii="Arial" w:hAnsi="Arial" w:cs="Arial"/>
          <w:sz w:val="22"/>
          <w:szCs w:val="22"/>
          <w:lang w:val="es-ES_tradnl"/>
        </w:rPr>
        <w:t xml:space="preserve"> será realizado por las Unidades de Negocio</w:t>
      </w:r>
      <w:r w:rsidR="006719C2" w:rsidRPr="00B751FD">
        <w:rPr>
          <w:rFonts w:ascii="Arial" w:hAnsi="Arial" w:cs="Arial"/>
          <w:sz w:val="22"/>
          <w:szCs w:val="22"/>
          <w:lang w:val="es-ES_tradnl"/>
        </w:rPr>
        <w:t xml:space="preserve"> Agro</w:t>
      </w:r>
      <w:r w:rsidR="00142221" w:rsidRPr="00B751FD">
        <w:rPr>
          <w:rFonts w:ascii="Arial" w:hAnsi="Arial" w:cs="Arial"/>
          <w:sz w:val="22"/>
          <w:szCs w:val="22"/>
          <w:lang w:val="es-ES_tradnl"/>
        </w:rPr>
        <w:t>pecuaria</w:t>
      </w:r>
      <w:r w:rsidR="006719C2" w:rsidRPr="00B751FD">
        <w:rPr>
          <w:rFonts w:ascii="Arial" w:hAnsi="Arial" w:cs="Arial"/>
          <w:sz w:val="22"/>
          <w:szCs w:val="22"/>
          <w:lang w:val="es-ES_tradnl"/>
        </w:rPr>
        <w:t xml:space="preserve"> y Empresas del Área Corporativa</w:t>
      </w:r>
      <w:r w:rsidR="006149E4" w:rsidRPr="00B751FD">
        <w:rPr>
          <w:rFonts w:ascii="Arial" w:hAnsi="Arial" w:cs="Arial"/>
          <w:sz w:val="22"/>
          <w:szCs w:val="22"/>
          <w:lang w:val="es-ES_tradnl"/>
        </w:rPr>
        <w:t>.</w:t>
      </w:r>
    </w:p>
    <w:p w14:paraId="101B0987" w14:textId="77777777" w:rsidR="003015A1" w:rsidRPr="00B751FD" w:rsidRDefault="003015A1" w:rsidP="00EC7288">
      <w:pPr>
        <w:pStyle w:val="ListParagraph"/>
        <w:tabs>
          <w:tab w:val="left" w:pos="851"/>
          <w:tab w:val="left" w:pos="993"/>
          <w:tab w:val="left" w:pos="1418"/>
          <w:tab w:val="left" w:pos="4248"/>
          <w:tab w:val="left" w:pos="4956"/>
          <w:tab w:val="left" w:pos="5664"/>
          <w:tab w:val="left" w:pos="6372"/>
          <w:tab w:val="left" w:pos="7080"/>
          <w:tab w:val="left" w:pos="7788"/>
          <w:tab w:val="left" w:pos="8496"/>
          <w:tab w:val="left" w:pos="9204"/>
          <w:tab w:val="left" w:pos="9472"/>
        </w:tabs>
        <w:ind w:left="851"/>
        <w:jc w:val="both"/>
        <w:rPr>
          <w:rFonts w:ascii="Arial" w:hAnsi="Arial" w:cs="Arial"/>
          <w:sz w:val="22"/>
          <w:szCs w:val="22"/>
          <w:lang w:val="es-ES_tradnl"/>
        </w:rPr>
      </w:pPr>
    </w:p>
    <w:p w14:paraId="78494A85" w14:textId="7E0B8D38" w:rsidR="00C57009" w:rsidRPr="00B751FD" w:rsidRDefault="008F5037" w:rsidP="00C41FC8">
      <w:pPr>
        <w:tabs>
          <w:tab w:val="left" w:pos="851"/>
          <w:tab w:val="left" w:pos="993"/>
          <w:tab w:val="left" w:pos="4956"/>
          <w:tab w:val="left" w:pos="6372"/>
          <w:tab w:val="left" w:pos="7080"/>
          <w:tab w:val="left" w:pos="7788"/>
          <w:tab w:val="left" w:pos="8496"/>
          <w:tab w:val="left" w:pos="9204"/>
          <w:tab w:val="left" w:pos="9472"/>
        </w:tabs>
        <w:ind w:left="851"/>
        <w:jc w:val="both"/>
        <w:rPr>
          <w:rFonts w:ascii="Arial" w:hAnsi="Arial" w:cs="Arial"/>
          <w:sz w:val="22"/>
          <w:szCs w:val="22"/>
          <w:lang w:val="es-ES_tradnl"/>
        </w:rPr>
      </w:pPr>
      <w:r w:rsidRPr="00B751FD">
        <w:rPr>
          <w:rFonts w:ascii="Arial" w:hAnsi="Arial" w:cs="Arial"/>
          <w:sz w:val="22"/>
          <w:szCs w:val="22"/>
          <w:lang w:val="es-ES_tradnl"/>
        </w:rPr>
        <w:t xml:space="preserve">El </w:t>
      </w:r>
      <w:r w:rsidR="003B5FB4" w:rsidRPr="00B751FD">
        <w:rPr>
          <w:rFonts w:ascii="Arial" w:hAnsi="Arial" w:cs="Arial"/>
          <w:sz w:val="22"/>
          <w:szCs w:val="22"/>
          <w:lang w:val="es-ES_tradnl"/>
        </w:rPr>
        <w:t>Área</w:t>
      </w:r>
      <w:r w:rsidR="00DE0BA1" w:rsidRPr="00B751FD">
        <w:rPr>
          <w:rFonts w:ascii="Arial" w:hAnsi="Arial" w:cs="Arial"/>
          <w:sz w:val="22"/>
          <w:szCs w:val="22"/>
          <w:lang w:val="es-ES_tradnl"/>
        </w:rPr>
        <w:t xml:space="preserve"> </w:t>
      </w:r>
      <w:r w:rsidR="00A56887" w:rsidRPr="00B751FD">
        <w:rPr>
          <w:rFonts w:ascii="Arial" w:hAnsi="Arial" w:cs="Arial"/>
          <w:sz w:val="22"/>
          <w:szCs w:val="22"/>
          <w:lang w:val="es-ES_tradnl"/>
        </w:rPr>
        <w:t xml:space="preserve">Finanzas </w:t>
      </w:r>
      <w:r w:rsidR="00FC765D" w:rsidRPr="00B751FD">
        <w:rPr>
          <w:rFonts w:ascii="Arial" w:hAnsi="Arial" w:cs="Arial"/>
          <w:sz w:val="22"/>
          <w:szCs w:val="22"/>
          <w:lang w:val="es-ES_tradnl"/>
        </w:rPr>
        <w:t xml:space="preserve">será la ventana con el Banco para: </w:t>
      </w:r>
    </w:p>
    <w:p w14:paraId="2EBCBF49" w14:textId="77777777" w:rsidR="00222176" w:rsidRPr="00B751FD" w:rsidRDefault="00222176" w:rsidP="000B7176">
      <w:pPr>
        <w:tabs>
          <w:tab w:val="left" w:pos="1418"/>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shd w:val="clear" w:color="auto" w:fill="FFFFFF"/>
          <w:lang w:val="es-ES_tradnl"/>
        </w:rPr>
      </w:pPr>
    </w:p>
    <w:p w14:paraId="1A032DD0" w14:textId="77777777" w:rsidR="005E102B" w:rsidRPr="00B751FD" w:rsidRDefault="00C57009" w:rsidP="00A82519">
      <w:pPr>
        <w:numPr>
          <w:ilvl w:val="0"/>
          <w:numId w:val="18"/>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shd w:val="clear" w:color="auto" w:fill="FFFFFF"/>
          <w:lang w:val="es-ES_tradnl"/>
        </w:rPr>
      </w:pPr>
      <w:r w:rsidRPr="00B751FD">
        <w:rPr>
          <w:rFonts w:ascii="Arial" w:hAnsi="Arial" w:cs="Arial"/>
          <w:sz w:val="22"/>
          <w:szCs w:val="22"/>
          <w:lang w:val="es-ES_tradnl"/>
        </w:rPr>
        <w:t>La revisión y el trámite de los desembolsos del Préstamo,</w:t>
      </w:r>
    </w:p>
    <w:p w14:paraId="07013352" w14:textId="77777777" w:rsidR="005E102B" w:rsidRPr="00B751FD" w:rsidRDefault="00C57009" w:rsidP="00A82519">
      <w:pPr>
        <w:numPr>
          <w:ilvl w:val="0"/>
          <w:numId w:val="18"/>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shd w:val="clear" w:color="auto" w:fill="FFFFFF"/>
          <w:lang w:val="es-ES_tradnl"/>
        </w:rPr>
      </w:pPr>
      <w:r w:rsidRPr="00B751FD">
        <w:rPr>
          <w:rFonts w:ascii="Arial" w:hAnsi="Arial" w:cs="Arial"/>
          <w:sz w:val="22"/>
          <w:szCs w:val="22"/>
          <w:lang w:val="es-ES_tradnl"/>
        </w:rPr>
        <w:t>La administración de los recursos del Préstamo,</w:t>
      </w:r>
    </w:p>
    <w:p w14:paraId="541A9174" w14:textId="77777777" w:rsidR="005E102B" w:rsidRPr="00B751FD" w:rsidRDefault="00C57009" w:rsidP="00A82519">
      <w:pPr>
        <w:numPr>
          <w:ilvl w:val="0"/>
          <w:numId w:val="18"/>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shd w:val="clear" w:color="auto" w:fill="FFFFFF"/>
          <w:lang w:val="es-ES_tradnl"/>
        </w:rPr>
      </w:pPr>
      <w:r w:rsidRPr="00B751FD">
        <w:rPr>
          <w:rFonts w:ascii="Arial" w:hAnsi="Arial" w:cs="Arial"/>
          <w:sz w:val="22"/>
          <w:szCs w:val="22"/>
          <w:lang w:val="es-ES_tradnl"/>
        </w:rPr>
        <w:t>El pago del servicio de la deuda</w:t>
      </w:r>
    </w:p>
    <w:p w14:paraId="1A4ADF9E" w14:textId="77777777" w:rsidR="00222176" w:rsidRPr="00B751FD" w:rsidRDefault="00222176" w:rsidP="000B7176">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851"/>
        <w:jc w:val="both"/>
        <w:rPr>
          <w:rFonts w:ascii="Arial" w:hAnsi="Arial" w:cs="Arial"/>
          <w:sz w:val="22"/>
          <w:szCs w:val="22"/>
          <w:lang w:val="es-ES_tradnl"/>
        </w:rPr>
      </w:pPr>
    </w:p>
    <w:p w14:paraId="45716705" w14:textId="77777777" w:rsidR="00222176" w:rsidRPr="00B751FD" w:rsidRDefault="00222176" w:rsidP="000B7176">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851"/>
        <w:jc w:val="both"/>
        <w:rPr>
          <w:rFonts w:ascii="Arial" w:hAnsi="Arial" w:cs="Arial"/>
          <w:sz w:val="22"/>
          <w:szCs w:val="22"/>
          <w:lang w:val="es-ES_tradnl"/>
        </w:rPr>
      </w:pPr>
    </w:p>
    <w:p w14:paraId="2A8A149E" w14:textId="5B9C9300" w:rsidR="00B40616" w:rsidRPr="00B751FD" w:rsidRDefault="009F6369" w:rsidP="001F3845">
      <w:pPr>
        <w:pStyle w:val="Paragraph"/>
        <w:ind w:left="810" w:hanging="810"/>
        <w:rPr>
          <w:rFonts w:ascii="Arial" w:hAnsi="Arial" w:cs="Arial"/>
          <w:sz w:val="22"/>
          <w:szCs w:val="22"/>
        </w:rPr>
      </w:pPr>
      <w:r w:rsidRPr="00B751FD">
        <w:rPr>
          <w:rFonts w:ascii="Arial" w:hAnsi="Arial" w:cs="Arial"/>
          <w:b/>
          <w:sz w:val="22"/>
          <w:szCs w:val="22"/>
        </w:rPr>
        <w:t>Coordinación</w:t>
      </w:r>
      <w:r w:rsidR="00B40616" w:rsidRPr="00B751FD">
        <w:rPr>
          <w:rFonts w:ascii="Arial" w:hAnsi="Arial" w:cs="Arial"/>
          <w:b/>
          <w:sz w:val="22"/>
          <w:szCs w:val="22"/>
        </w:rPr>
        <w:t xml:space="preserve"> </w:t>
      </w:r>
      <w:r w:rsidR="002725FF" w:rsidRPr="00B751FD">
        <w:rPr>
          <w:rFonts w:ascii="Arial" w:hAnsi="Arial" w:cs="Arial"/>
          <w:b/>
          <w:sz w:val="22"/>
          <w:szCs w:val="22"/>
        </w:rPr>
        <w:t>Interinstitucional</w:t>
      </w:r>
      <w:r w:rsidR="00B40616" w:rsidRPr="00B751FD">
        <w:rPr>
          <w:rFonts w:ascii="Arial" w:hAnsi="Arial" w:cs="Arial"/>
          <w:b/>
          <w:sz w:val="22"/>
          <w:szCs w:val="22"/>
        </w:rPr>
        <w:t xml:space="preserve"> del </w:t>
      </w:r>
      <w:r w:rsidR="0046692F" w:rsidRPr="00B751FD">
        <w:rPr>
          <w:rFonts w:ascii="Arial" w:hAnsi="Arial" w:cs="Arial"/>
          <w:sz w:val="22"/>
          <w:szCs w:val="22"/>
        </w:rPr>
        <w:t>programa</w:t>
      </w:r>
      <w:r w:rsidR="00B40616" w:rsidRPr="00B751FD">
        <w:rPr>
          <w:rFonts w:ascii="Arial" w:hAnsi="Arial" w:cs="Arial"/>
          <w:sz w:val="22"/>
          <w:szCs w:val="22"/>
        </w:rPr>
        <w:t xml:space="preserve">. </w:t>
      </w:r>
      <w:r w:rsidR="00AD298A" w:rsidRPr="00B751FD">
        <w:rPr>
          <w:rFonts w:ascii="Arial" w:hAnsi="Arial" w:cs="Arial"/>
          <w:sz w:val="22"/>
          <w:szCs w:val="22"/>
        </w:rPr>
        <w:t>BROU</w:t>
      </w:r>
      <w:r w:rsidR="005718F7" w:rsidRPr="00B751FD">
        <w:rPr>
          <w:rFonts w:ascii="Arial" w:hAnsi="Arial" w:cs="Arial"/>
          <w:sz w:val="22"/>
          <w:szCs w:val="22"/>
        </w:rPr>
        <w:t xml:space="preserve"> funge como organismo ejecutor del </w:t>
      </w:r>
      <w:r w:rsidR="00A56887" w:rsidRPr="00B751FD">
        <w:rPr>
          <w:rFonts w:ascii="Arial" w:hAnsi="Arial" w:cs="Arial"/>
          <w:sz w:val="22"/>
          <w:szCs w:val="22"/>
        </w:rPr>
        <w:t>PROGRAMA</w:t>
      </w:r>
      <w:r w:rsidR="005718F7" w:rsidRPr="00B751FD">
        <w:rPr>
          <w:rFonts w:ascii="Arial" w:hAnsi="Arial" w:cs="Arial"/>
          <w:sz w:val="22"/>
          <w:szCs w:val="22"/>
        </w:rPr>
        <w:t xml:space="preserve">, por lo que internamente el Coordinador del </w:t>
      </w:r>
      <w:r w:rsidR="00A56887" w:rsidRPr="00B751FD">
        <w:rPr>
          <w:rFonts w:ascii="Arial" w:hAnsi="Arial" w:cs="Arial"/>
          <w:sz w:val="22"/>
          <w:szCs w:val="22"/>
        </w:rPr>
        <w:t>PROGRAMA</w:t>
      </w:r>
      <w:r w:rsidR="005718F7" w:rsidRPr="00B751FD">
        <w:rPr>
          <w:rFonts w:ascii="Arial" w:hAnsi="Arial" w:cs="Arial"/>
          <w:sz w:val="22"/>
          <w:szCs w:val="22"/>
        </w:rPr>
        <w:t xml:space="preserve"> será </w:t>
      </w:r>
      <w:r w:rsidR="00A0459C" w:rsidRPr="00B751FD">
        <w:rPr>
          <w:rFonts w:ascii="Arial" w:hAnsi="Arial" w:cs="Arial"/>
          <w:sz w:val="22"/>
          <w:szCs w:val="22"/>
        </w:rPr>
        <w:t xml:space="preserve">el </w:t>
      </w:r>
      <w:r w:rsidR="003B5FB4" w:rsidRPr="00B751FD">
        <w:rPr>
          <w:rFonts w:ascii="Arial" w:hAnsi="Arial" w:cs="Arial"/>
          <w:sz w:val="22"/>
          <w:szCs w:val="22"/>
        </w:rPr>
        <w:t>Área</w:t>
      </w:r>
      <w:r w:rsidR="00E67646" w:rsidRPr="00B751FD">
        <w:rPr>
          <w:rFonts w:ascii="Arial" w:hAnsi="Arial" w:cs="Arial"/>
          <w:sz w:val="22"/>
          <w:szCs w:val="22"/>
        </w:rPr>
        <w:t xml:space="preserve"> </w:t>
      </w:r>
      <w:r w:rsidR="00A0459C" w:rsidRPr="00B751FD">
        <w:rPr>
          <w:rFonts w:ascii="Arial" w:hAnsi="Arial" w:cs="Arial"/>
          <w:sz w:val="22"/>
          <w:szCs w:val="22"/>
        </w:rPr>
        <w:t xml:space="preserve"> </w:t>
      </w:r>
      <w:r w:rsidR="00E67646" w:rsidRPr="00B751FD">
        <w:rPr>
          <w:rFonts w:ascii="Arial" w:hAnsi="Arial" w:cs="Arial"/>
          <w:sz w:val="22"/>
          <w:szCs w:val="22"/>
        </w:rPr>
        <w:t>Finanzas</w:t>
      </w:r>
      <w:r w:rsidR="005718F7" w:rsidRPr="00B751FD">
        <w:rPr>
          <w:rFonts w:ascii="Arial" w:hAnsi="Arial" w:cs="Arial"/>
          <w:sz w:val="22"/>
          <w:szCs w:val="22"/>
        </w:rPr>
        <w:t xml:space="preserve">, quien se encargará de </w:t>
      </w:r>
      <w:r w:rsidR="002725FF" w:rsidRPr="00B751FD">
        <w:rPr>
          <w:rFonts w:ascii="Arial" w:hAnsi="Arial" w:cs="Arial"/>
          <w:sz w:val="22"/>
          <w:szCs w:val="22"/>
        </w:rPr>
        <w:t xml:space="preserve">apoyar </w:t>
      </w:r>
      <w:r w:rsidR="00CA46D4" w:rsidRPr="00B751FD">
        <w:rPr>
          <w:rFonts w:ascii="Arial" w:hAnsi="Arial" w:cs="Arial"/>
          <w:sz w:val="22"/>
          <w:szCs w:val="22"/>
        </w:rPr>
        <w:t xml:space="preserve">y coordinar </w:t>
      </w:r>
      <w:r w:rsidR="00E658FB" w:rsidRPr="00B751FD">
        <w:rPr>
          <w:rFonts w:ascii="Arial" w:hAnsi="Arial" w:cs="Arial"/>
          <w:sz w:val="22"/>
          <w:szCs w:val="22"/>
        </w:rPr>
        <w:t xml:space="preserve">a las áreas técnicas que participan en la implementación y operación, </w:t>
      </w:r>
      <w:r w:rsidR="005718F7" w:rsidRPr="00B751FD">
        <w:rPr>
          <w:rFonts w:ascii="Arial" w:hAnsi="Arial" w:cs="Arial"/>
          <w:sz w:val="22"/>
          <w:szCs w:val="22"/>
        </w:rPr>
        <w:t xml:space="preserve">principalmente con </w:t>
      </w:r>
      <w:r w:rsidR="00A0459C" w:rsidRPr="00B751FD">
        <w:rPr>
          <w:rFonts w:ascii="Arial" w:hAnsi="Arial" w:cs="Arial"/>
          <w:sz w:val="22"/>
          <w:szCs w:val="22"/>
        </w:rPr>
        <w:t>e</w:t>
      </w:r>
      <w:r w:rsidR="005718F7" w:rsidRPr="00B751FD">
        <w:rPr>
          <w:rFonts w:ascii="Arial" w:hAnsi="Arial" w:cs="Arial"/>
          <w:sz w:val="22"/>
          <w:szCs w:val="22"/>
        </w:rPr>
        <w:t>l</w:t>
      </w:r>
      <w:r w:rsidR="00A0459C" w:rsidRPr="00B751FD">
        <w:rPr>
          <w:rFonts w:ascii="Arial" w:hAnsi="Arial" w:cs="Arial"/>
          <w:sz w:val="22"/>
          <w:szCs w:val="22"/>
        </w:rPr>
        <w:t xml:space="preserve"> Área Corporativa (</w:t>
      </w:r>
      <w:r w:rsidR="00E67646" w:rsidRPr="00B751FD">
        <w:rPr>
          <w:rFonts w:ascii="Arial" w:hAnsi="Arial" w:cs="Arial"/>
          <w:sz w:val="22"/>
          <w:szCs w:val="22"/>
        </w:rPr>
        <w:t>Agropecuaria y Empresas</w:t>
      </w:r>
      <w:r w:rsidR="00A0459C" w:rsidRPr="00B751FD">
        <w:rPr>
          <w:rFonts w:ascii="Arial" w:hAnsi="Arial" w:cs="Arial"/>
          <w:sz w:val="22"/>
          <w:szCs w:val="22"/>
        </w:rPr>
        <w:t>)</w:t>
      </w:r>
      <w:r w:rsidR="00C57009" w:rsidRPr="00B751FD">
        <w:rPr>
          <w:rFonts w:ascii="Arial" w:hAnsi="Arial" w:cs="Arial"/>
          <w:sz w:val="22"/>
          <w:szCs w:val="22"/>
        </w:rPr>
        <w:t>,</w:t>
      </w:r>
      <w:r w:rsidR="00A9433D" w:rsidRPr="00B751FD">
        <w:rPr>
          <w:rFonts w:ascii="Arial" w:hAnsi="Arial" w:cs="Arial"/>
          <w:sz w:val="22"/>
          <w:szCs w:val="22"/>
        </w:rPr>
        <w:t xml:space="preserve"> </w:t>
      </w:r>
      <w:r w:rsidR="00CA46D4" w:rsidRPr="00B751FD">
        <w:rPr>
          <w:rFonts w:ascii="Arial" w:hAnsi="Arial" w:cs="Arial"/>
          <w:sz w:val="22"/>
          <w:szCs w:val="22"/>
        </w:rPr>
        <w:t>así</w:t>
      </w:r>
      <w:r w:rsidR="00A9433D" w:rsidRPr="00B751FD">
        <w:rPr>
          <w:rFonts w:ascii="Arial" w:hAnsi="Arial" w:cs="Arial"/>
          <w:sz w:val="22"/>
          <w:szCs w:val="22"/>
        </w:rPr>
        <w:t xml:space="preserve"> como </w:t>
      </w:r>
      <w:r w:rsidR="00CA46D4" w:rsidRPr="00B751FD">
        <w:rPr>
          <w:rFonts w:ascii="Arial" w:hAnsi="Arial" w:cs="Arial"/>
          <w:sz w:val="22"/>
          <w:szCs w:val="22"/>
        </w:rPr>
        <w:t xml:space="preserve">con </w:t>
      </w:r>
      <w:r w:rsidR="00E67646" w:rsidRPr="00B751FD">
        <w:rPr>
          <w:rFonts w:ascii="Arial" w:hAnsi="Arial" w:cs="Arial"/>
          <w:sz w:val="22"/>
          <w:szCs w:val="22"/>
        </w:rPr>
        <w:t xml:space="preserve">cuantas intervengan en el proceso de </w:t>
      </w:r>
      <w:r w:rsidR="00CA46D4" w:rsidRPr="00B751FD">
        <w:rPr>
          <w:rFonts w:ascii="Arial" w:hAnsi="Arial" w:cs="Arial"/>
          <w:sz w:val="22"/>
          <w:szCs w:val="22"/>
        </w:rPr>
        <w:t>originación</w:t>
      </w:r>
      <w:r w:rsidR="00E67646" w:rsidRPr="00B751FD">
        <w:rPr>
          <w:rFonts w:ascii="Arial" w:hAnsi="Arial" w:cs="Arial"/>
          <w:sz w:val="22"/>
          <w:szCs w:val="22"/>
        </w:rPr>
        <w:t xml:space="preserve">, seguimiento y recuperación de los </w:t>
      </w:r>
      <w:r w:rsidR="00CA46D4" w:rsidRPr="00B751FD">
        <w:rPr>
          <w:rFonts w:ascii="Arial" w:hAnsi="Arial" w:cs="Arial"/>
          <w:sz w:val="22"/>
          <w:szCs w:val="22"/>
        </w:rPr>
        <w:t>su</w:t>
      </w:r>
      <w:r w:rsidR="002C7ED1" w:rsidRPr="00B751FD">
        <w:rPr>
          <w:rFonts w:ascii="Arial" w:hAnsi="Arial" w:cs="Arial"/>
          <w:sz w:val="22"/>
          <w:szCs w:val="22"/>
        </w:rPr>
        <w:t>b</w:t>
      </w:r>
      <w:r w:rsidR="00CA46D4" w:rsidRPr="00B751FD">
        <w:rPr>
          <w:rFonts w:ascii="Arial" w:hAnsi="Arial" w:cs="Arial"/>
          <w:sz w:val="22"/>
          <w:szCs w:val="22"/>
        </w:rPr>
        <w:t xml:space="preserve"> préstamos</w:t>
      </w:r>
      <w:r w:rsidR="00E67646" w:rsidRPr="00B751FD">
        <w:rPr>
          <w:rFonts w:ascii="Arial" w:hAnsi="Arial" w:cs="Arial"/>
          <w:sz w:val="22"/>
          <w:szCs w:val="22"/>
        </w:rPr>
        <w:t xml:space="preserve"> elegibles</w:t>
      </w:r>
      <w:r w:rsidR="004F30FD" w:rsidRPr="00B751FD">
        <w:rPr>
          <w:rFonts w:ascii="Arial" w:hAnsi="Arial" w:cs="Arial"/>
          <w:sz w:val="22"/>
          <w:szCs w:val="22"/>
        </w:rPr>
        <w:t xml:space="preserve">; </w:t>
      </w:r>
      <w:r w:rsidR="005718F7" w:rsidRPr="00B751FD">
        <w:rPr>
          <w:rFonts w:ascii="Arial" w:hAnsi="Arial" w:cs="Arial"/>
          <w:sz w:val="22"/>
          <w:szCs w:val="22"/>
        </w:rPr>
        <w:t>para la recopilación de información necesaria a ser presentada ante el Banco, y con cualquier otra área de</w:t>
      </w:r>
      <w:r w:rsidR="00A0459C" w:rsidRPr="00B751FD">
        <w:rPr>
          <w:rFonts w:ascii="Arial" w:hAnsi="Arial" w:cs="Arial"/>
          <w:sz w:val="22"/>
          <w:szCs w:val="22"/>
        </w:rPr>
        <w:t>l</w:t>
      </w:r>
      <w:r w:rsidR="005718F7" w:rsidRPr="00B751FD">
        <w:rPr>
          <w:rFonts w:ascii="Arial" w:hAnsi="Arial" w:cs="Arial"/>
          <w:sz w:val="22"/>
          <w:szCs w:val="22"/>
        </w:rPr>
        <w:t xml:space="preserve"> </w:t>
      </w:r>
      <w:r w:rsidR="00AD298A" w:rsidRPr="00B751FD">
        <w:rPr>
          <w:rFonts w:ascii="Arial" w:hAnsi="Arial" w:cs="Arial"/>
          <w:sz w:val="22"/>
          <w:szCs w:val="22"/>
        </w:rPr>
        <w:t>BROU</w:t>
      </w:r>
      <w:r w:rsidR="005718F7" w:rsidRPr="00B751FD">
        <w:rPr>
          <w:rFonts w:ascii="Arial" w:hAnsi="Arial" w:cs="Arial"/>
          <w:sz w:val="22"/>
          <w:szCs w:val="22"/>
        </w:rPr>
        <w:t xml:space="preserve"> que participe en las diversas acciones del </w:t>
      </w:r>
      <w:r w:rsidR="0046692F" w:rsidRPr="00B751FD">
        <w:rPr>
          <w:rFonts w:ascii="Arial" w:hAnsi="Arial" w:cs="Arial"/>
          <w:sz w:val="22"/>
          <w:szCs w:val="22"/>
        </w:rPr>
        <w:t>programa</w:t>
      </w:r>
      <w:r w:rsidR="005718F7" w:rsidRPr="00B751FD">
        <w:rPr>
          <w:rFonts w:ascii="Arial" w:hAnsi="Arial" w:cs="Arial"/>
          <w:sz w:val="22"/>
          <w:szCs w:val="22"/>
        </w:rPr>
        <w:t>.</w:t>
      </w:r>
      <w:r w:rsidR="00E658FB" w:rsidRPr="00B751FD">
        <w:rPr>
          <w:rFonts w:ascii="Arial" w:hAnsi="Arial" w:cs="Arial"/>
          <w:sz w:val="22"/>
          <w:szCs w:val="22"/>
        </w:rPr>
        <w:t xml:space="preserve"> Las funciones y responsabilidades de</w:t>
      </w:r>
      <w:r w:rsidR="00837108" w:rsidRPr="00B751FD">
        <w:rPr>
          <w:rFonts w:ascii="Arial" w:hAnsi="Arial" w:cs="Arial"/>
          <w:sz w:val="22"/>
          <w:szCs w:val="22"/>
        </w:rPr>
        <w:t>l</w:t>
      </w:r>
      <w:r w:rsidR="00A0459C" w:rsidRPr="00B751FD">
        <w:rPr>
          <w:rFonts w:ascii="Arial" w:hAnsi="Arial" w:cs="Arial"/>
          <w:sz w:val="22"/>
          <w:szCs w:val="22"/>
        </w:rPr>
        <w:t xml:space="preserve"> A</w:t>
      </w:r>
      <w:r w:rsidR="00C41FC8" w:rsidRPr="00B751FD">
        <w:rPr>
          <w:rFonts w:ascii="Arial" w:hAnsi="Arial" w:cs="Arial"/>
          <w:sz w:val="22"/>
          <w:szCs w:val="22"/>
        </w:rPr>
        <w:t>F</w:t>
      </w:r>
      <w:r w:rsidR="004055D9" w:rsidRPr="00B751FD">
        <w:rPr>
          <w:rFonts w:ascii="Arial" w:hAnsi="Arial" w:cs="Arial"/>
          <w:sz w:val="22"/>
          <w:szCs w:val="22"/>
        </w:rPr>
        <w:t xml:space="preserve"> a través del </w:t>
      </w:r>
      <w:r w:rsidR="00676D82" w:rsidRPr="00B751FD">
        <w:rPr>
          <w:rFonts w:ascii="Arial" w:hAnsi="Arial" w:cs="Arial"/>
          <w:sz w:val="22"/>
          <w:szCs w:val="22"/>
        </w:rPr>
        <w:t xml:space="preserve">Organismo Ejecutor </w:t>
      </w:r>
      <w:r w:rsidR="00837108" w:rsidRPr="00B751FD">
        <w:rPr>
          <w:rFonts w:ascii="Arial" w:hAnsi="Arial" w:cs="Arial"/>
          <w:sz w:val="22"/>
          <w:szCs w:val="22"/>
        </w:rPr>
        <w:t xml:space="preserve">para la administración del </w:t>
      </w:r>
      <w:r w:rsidR="0046692F" w:rsidRPr="00B751FD">
        <w:rPr>
          <w:rFonts w:ascii="Arial" w:hAnsi="Arial" w:cs="Arial"/>
          <w:sz w:val="22"/>
          <w:szCs w:val="22"/>
        </w:rPr>
        <w:t>programa</w:t>
      </w:r>
      <w:r w:rsidR="00837108" w:rsidRPr="00B751FD">
        <w:rPr>
          <w:rFonts w:ascii="Arial" w:hAnsi="Arial" w:cs="Arial"/>
          <w:sz w:val="22"/>
          <w:szCs w:val="22"/>
        </w:rPr>
        <w:t xml:space="preserve"> </w:t>
      </w:r>
      <w:r w:rsidR="00E658FB" w:rsidRPr="00B751FD">
        <w:rPr>
          <w:rFonts w:ascii="Arial" w:hAnsi="Arial" w:cs="Arial"/>
          <w:sz w:val="22"/>
          <w:szCs w:val="22"/>
        </w:rPr>
        <w:t>son:</w:t>
      </w:r>
    </w:p>
    <w:p w14:paraId="0E45B729" w14:textId="4EB09D09" w:rsidR="005E102B" w:rsidRPr="00B751FD" w:rsidRDefault="00455843" w:rsidP="00A82519">
      <w:pPr>
        <w:numPr>
          <w:ilvl w:val="0"/>
          <w:numId w:val="1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lang w:val="es-ES_tradnl"/>
        </w:rPr>
      </w:pPr>
      <w:r w:rsidRPr="00B751FD">
        <w:rPr>
          <w:rFonts w:ascii="Arial" w:hAnsi="Arial" w:cs="Arial"/>
          <w:sz w:val="22"/>
          <w:szCs w:val="22"/>
          <w:lang w:val="es-ES_tradnl"/>
        </w:rPr>
        <w:lastRenderedPageBreak/>
        <w:t xml:space="preserve">Asegurar la adecuada participación de las diversas </w:t>
      </w:r>
      <w:r w:rsidR="008F4856" w:rsidRPr="00B751FD">
        <w:rPr>
          <w:rFonts w:ascii="Arial" w:hAnsi="Arial" w:cs="Arial"/>
          <w:sz w:val="22"/>
          <w:szCs w:val="22"/>
          <w:lang w:val="es-ES_tradnl"/>
        </w:rPr>
        <w:t>áreas</w:t>
      </w:r>
      <w:r w:rsidRPr="00B751FD">
        <w:rPr>
          <w:rFonts w:ascii="Arial" w:hAnsi="Arial" w:cs="Arial"/>
          <w:sz w:val="22"/>
          <w:szCs w:val="22"/>
          <w:lang w:val="es-ES_tradnl"/>
        </w:rPr>
        <w:t xml:space="preserve"> involucradas en la ejecución del </w:t>
      </w:r>
      <w:r w:rsidR="0046692F" w:rsidRPr="00B751FD">
        <w:rPr>
          <w:rFonts w:ascii="Arial" w:hAnsi="Arial" w:cs="Arial"/>
          <w:sz w:val="22"/>
          <w:szCs w:val="22"/>
          <w:lang w:val="es-ES_tradnl"/>
        </w:rPr>
        <w:t>programa</w:t>
      </w:r>
      <w:r w:rsidRPr="00B751FD">
        <w:rPr>
          <w:rFonts w:ascii="Arial" w:hAnsi="Arial" w:cs="Arial"/>
          <w:sz w:val="22"/>
          <w:szCs w:val="22"/>
          <w:lang w:val="es-ES_tradnl"/>
        </w:rPr>
        <w:t>,</w:t>
      </w:r>
    </w:p>
    <w:p w14:paraId="2390577E" w14:textId="77777777" w:rsidR="005E102B" w:rsidRPr="00B751FD" w:rsidRDefault="00A24D28" w:rsidP="00A82519">
      <w:pPr>
        <w:numPr>
          <w:ilvl w:val="0"/>
          <w:numId w:val="1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lang w:val="es-ES_tradnl"/>
        </w:rPr>
      </w:pPr>
      <w:r w:rsidRPr="00B751FD">
        <w:rPr>
          <w:rFonts w:ascii="Arial" w:hAnsi="Arial" w:cs="Arial"/>
          <w:sz w:val="22"/>
          <w:szCs w:val="22"/>
          <w:lang w:val="es-ES_tradnl"/>
        </w:rPr>
        <w:t>C</w:t>
      </w:r>
      <w:r w:rsidR="009A4EB1" w:rsidRPr="00B751FD">
        <w:rPr>
          <w:rFonts w:ascii="Arial" w:hAnsi="Arial" w:cs="Arial"/>
          <w:sz w:val="22"/>
          <w:szCs w:val="22"/>
          <w:lang w:val="es-ES_tradnl"/>
        </w:rPr>
        <w:t>umplir puntualmen</w:t>
      </w:r>
      <w:r w:rsidR="00E658FB" w:rsidRPr="00B751FD">
        <w:rPr>
          <w:rFonts w:ascii="Arial" w:hAnsi="Arial" w:cs="Arial"/>
          <w:sz w:val="22"/>
          <w:szCs w:val="22"/>
          <w:lang w:val="es-ES_tradnl"/>
        </w:rPr>
        <w:t>te cada una de</w:t>
      </w:r>
      <w:r w:rsidRPr="00B751FD">
        <w:rPr>
          <w:rFonts w:ascii="Arial" w:hAnsi="Arial" w:cs="Arial"/>
          <w:sz w:val="22"/>
          <w:szCs w:val="22"/>
          <w:lang w:val="es-ES_tradnl"/>
        </w:rPr>
        <w:t xml:space="preserve"> las obligaciones </w:t>
      </w:r>
      <w:r w:rsidR="009A4EB1" w:rsidRPr="00B751FD">
        <w:rPr>
          <w:rFonts w:ascii="Arial" w:hAnsi="Arial" w:cs="Arial"/>
          <w:sz w:val="22"/>
          <w:szCs w:val="22"/>
          <w:lang w:val="es-ES_tradnl"/>
        </w:rPr>
        <w:t>establecidas en el Contrato de Préstamo y sus Anexos.</w:t>
      </w:r>
    </w:p>
    <w:p w14:paraId="73794E11" w14:textId="308E442C" w:rsidR="005E102B" w:rsidRPr="00B751FD" w:rsidRDefault="00455843" w:rsidP="00A82519">
      <w:pPr>
        <w:pStyle w:val="CuerpoA"/>
        <w:numPr>
          <w:ilvl w:val="0"/>
          <w:numId w:val="1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rPr>
      </w:pPr>
      <w:r w:rsidRPr="00B751FD">
        <w:rPr>
          <w:rFonts w:ascii="Arial" w:hAnsi="Arial" w:cs="Arial"/>
          <w:sz w:val="22"/>
          <w:szCs w:val="22"/>
        </w:rPr>
        <w:t>Proporcionar la información que requiera el Banco durante las misiones y</w:t>
      </w:r>
      <w:r w:rsidR="007E36C3" w:rsidRPr="00B751FD">
        <w:rPr>
          <w:rFonts w:ascii="Arial" w:hAnsi="Arial" w:cs="Arial"/>
          <w:sz w:val="22"/>
          <w:szCs w:val="22"/>
        </w:rPr>
        <w:t xml:space="preserve"> visitas de supervisión</w:t>
      </w:r>
      <w:r w:rsidR="002505AC" w:rsidRPr="00B751FD">
        <w:rPr>
          <w:rFonts w:ascii="Arial" w:hAnsi="Arial" w:cs="Arial"/>
          <w:sz w:val="22"/>
          <w:szCs w:val="22"/>
        </w:rPr>
        <w:t>,</w:t>
      </w:r>
      <w:r w:rsidR="00EA712A" w:rsidRPr="00B751FD">
        <w:rPr>
          <w:rFonts w:ascii="Arial" w:hAnsi="Arial" w:cs="Arial"/>
          <w:sz w:val="22"/>
          <w:szCs w:val="22"/>
        </w:rPr>
        <w:t xml:space="preserve"> </w:t>
      </w:r>
      <w:r w:rsidR="002C7ED1" w:rsidRPr="00B751FD">
        <w:rPr>
          <w:rFonts w:ascii="Arial" w:hAnsi="Arial" w:cs="Arial"/>
          <w:sz w:val="22"/>
          <w:szCs w:val="22"/>
        </w:rPr>
        <w:t>recabada de los servicios competentes</w:t>
      </w:r>
      <w:r w:rsidR="00EA712A" w:rsidRPr="00B751FD">
        <w:rPr>
          <w:rFonts w:ascii="Arial" w:hAnsi="Arial" w:cs="Arial"/>
          <w:sz w:val="22"/>
          <w:szCs w:val="22"/>
        </w:rPr>
        <w:t>,</w:t>
      </w:r>
      <w:r w:rsidR="002505AC" w:rsidRPr="00B751FD">
        <w:rPr>
          <w:rFonts w:ascii="Arial" w:hAnsi="Arial" w:cs="Arial"/>
          <w:sz w:val="22"/>
          <w:szCs w:val="22"/>
        </w:rPr>
        <w:t xml:space="preserve"> previa autorización de las áreas técnicas</w:t>
      </w:r>
      <w:r w:rsidR="007E36C3" w:rsidRPr="00B751FD">
        <w:rPr>
          <w:rFonts w:ascii="Arial" w:hAnsi="Arial" w:cs="Arial"/>
          <w:sz w:val="22"/>
          <w:szCs w:val="22"/>
        </w:rPr>
        <w:t>.</w:t>
      </w:r>
    </w:p>
    <w:p w14:paraId="0FB4E574" w14:textId="77777777" w:rsidR="005E102B" w:rsidRPr="00B751FD" w:rsidRDefault="00455843" w:rsidP="00A82519">
      <w:pPr>
        <w:numPr>
          <w:ilvl w:val="0"/>
          <w:numId w:val="16"/>
        </w:numPr>
        <w:tabs>
          <w:tab w:val="left" w:pos="708"/>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lang w:val="es-ES_tradnl"/>
        </w:rPr>
      </w:pPr>
      <w:r w:rsidRPr="00B751FD">
        <w:rPr>
          <w:rFonts w:ascii="Arial" w:hAnsi="Arial" w:cs="Arial"/>
          <w:sz w:val="22"/>
          <w:szCs w:val="22"/>
          <w:lang w:val="es-ES_tradnl"/>
        </w:rPr>
        <w:t>Presentar los informes de av</w:t>
      </w:r>
      <w:r w:rsidR="007E36C3" w:rsidRPr="00B751FD">
        <w:rPr>
          <w:rFonts w:ascii="Arial" w:hAnsi="Arial" w:cs="Arial"/>
          <w:sz w:val="22"/>
          <w:szCs w:val="22"/>
          <w:lang w:val="es-ES_tradnl"/>
        </w:rPr>
        <w:t>ance físico y financiero</w:t>
      </w:r>
      <w:r w:rsidRPr="00B751FD">
        <w:rPr>
          <w:rFonts w:ascii="Arial" w:hAnsi="Arial" w:cs="Arial"/>
          <w:sz w:val="22"/>
          <w:szCs w:val="22"/>
          <w:lang w:val="es-ES_tradnl"/>
        </w:rPr>
        <w:t xml:space="preserve"> </w:t>
      </w:r>
    </w:p>
    <w:p w14:paraId="29D34F9C" w14:textId="0A03444B" w:rsidR="005E102B" w:rsidRPr="00B751FD" w:rsidRDefault="00455843" w:rsidP="00A82519">
      <w:pPr>
        <w:pStyle w:val="CuerpoA"/>
        <w:numPr>
          <w:ilvl w:val="0"/>
          <w:numId w:val="1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rPr>
      </w:pPr>
      <w:r w:rsidRPr="00B751FD">
        <w:rPr>
          <w:rFonts w:ascii="Arial" w:hAnsi="Arial" w:cs="Arial"/>
          <w:sz w:val="22"/>
          <w:szCs w:val="22"/>
        </w:rPr>
        <w:t xml:space="preserve">Llevar a cabo </w:t>
      </w:r>
      <w:r w:rsidR="002505AC" w:rsidRPr="00B751FD">
        <w:rPr>
          <w:rFonts w:ascii="Arial" w:hAnsi="Arial" w:cs="Arial"/>
          <w:sz w:val="22"/>
          <w:szCs w:val="22"/>
        </w:rPr>
        <w:t xml:space="preserve">los procesos para </w:t>
      </w:r>
      <w:r w:rsidRPr="00B751FD">
        <w:rPr>
          <w:rFonts w:ascii="Arial" w:hAnsi="Arial" w:cs="Arial"/>
          <w:sz w:val="22"/>
          <w:szCs w:val="22"/>
        </w:rPr>
        <w:t>la</w:t>
      </w:r>
      <w:r w:rsidR="00806657" w:rsidRPr="00B751FD">
        <w:rPr>
          <w:rFonts w:ascii="Arial" w:hAnsi="Arial" w:cs="Arial"/>
          <w:sz w:val="22"/>
          <w:szCs w:val="22"/>
        </w:rPr>
        <w:t>s</w:t>
      </w:r>
      <w:r w:rsidRPr="00B751FD">
        <w:rPr>
          <w:rFonts w:ascii="Arial" w:hAnsi="Arial" w:cs="Arial"/>
          <w:sz w:val="22"/>
          <w:szCs w:val="22"/>
        </w:rPr>
        <w:t xml:space="preserve"> adquisiciones de bienes y/o la contratación de obras y servicios que corresp</w:t>
      </w:r>
      <w:r w:rsidR="007E36C3" w:rsidRPr="00B751FD">
        <w:rPr>
          <w:rFonts w:ascii="Arial" w:hAnsi="Arial" w:cs="Arial"/>
          <w:sz w:val="22"/>
          <w:szCs w:val="22"/>
        </w:rPr>
        <w:t>ondan.</w:t>
      </w:r>
    </w:p>
    <w:p w14:paraId="2AA1DD8E" w14:textId="77777777" w:rsidR="005E102B" w:rsidRPr="00B751FD" w:rsidRDefault="00455843" w:rsidP="00A82519">
      <w:pPr>
        <w:numPr>
          <w:ilvl w:val="0"/>
          <w:numId w:val="1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lang w:val="es-ES_tradnl"/>
        </w:rPr>
      </w:pPr>
      <w:r w:rsidRPr="00B751FD">
        <w:rPr>
          <w:rFonts w:ascii="Arial" w:hAnsi="Arial" w:cs="Arial"/>
          <w:sz w:val="22"/>
          <w:szCs w:val="22"/>
          <w:lang w:val="es-ES_tradnl"/>
        </w:rPr>
        <w:t>Entregar la documentación que le requiera, a efecto de que se tramiten las solicitudes de desem</w:t>
      </w:r>
      <w:r w:rsidR="005000C5" w:rsidRPr="00B751FD">
        <w:rPr>
          <w:rFonts w:ascii="Arial" w:hAnsi="Arial" w:cs="Arial"/>
          <w:sz w:val="22"/>
          <w:szCs w:val="22"/>
          <w:lang w:val="es-ES_tradnl"/>
        </w:rPr>
        <w:t>bolso del Préstamo.</w:t>
      </w:r>
    </w:p>
    <w:p w14:paraId="1EBD47CF" w14:textId="77777777" w:rsidR="005E102B" w:rsidRPr="00B751FD" w:rsidRDefault="009A4EB1" w:rsidP="00A82519">
      <w:pPr>
        <w:numPr>
          <w:ilvl w:val="0"/>
          <w:numId w:val="1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lang w:val="es-ES_tradnl"/>
        </w:rPr>
      </w:pPr>
      <w:r w:rsidRPr="00B751FD">
        <w:rPr>
          <w:rFonts w:ascii="Arial" w:hAnsi="Arial" w:cs="Arial"/>
          <w:sz w:val="22"/>
          <w:szCs w:val="22"/>
          <w:lang w:val="es-ES_tradnl"/>
        </w:rPr>
        <w:t>Mantener en custodia los comprobantes de los gastos que efectúe con cargo al Préstamo, durante un plazo de cinco (5) años posteriores a la fecha en que el Banco reciba el Informe de Auditoría correspondiente al ejercicio en que se realice el último desembolso</w:t>
      </w:r>
      <w:r w:rsidR="00CE473C" w:rsidRPr="00B751FD">
        <w:rPr>
          <w:rFonts w:ascii="Arial" w:hAnsi="Arial" w:cs="Arial"/>
          <w:sz w:val="22"/>
          <w:szCs w:val="22"/>
          <w:lang w:val="es-ES_tradnl"/>
        </w:rPr>
        <w:t>, sólo para el componente de Asistencia Técnica.</w:t>
      </w:r>
    </w:p>
    <w:p w14:paraId="5E78A504" w14:textId="43CD3107" w:rsidR="005E102B" w:rsidRPr="00B751FD" w:rsidRDefault="009A4EB1" w:rsidP="00A82519">
      <w:pPr>
        <w:numPr>
          <w:ilvl w:val="0"/>
          <w:numId w:val="1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2"/>
          <w:szCs w:val="22"/>
          <w:lang w:val="es-ES_tradnl"/>
        </w:rPr>
      </w:pPr>
      <w:r w:rsidRPr="00B751FD">
        <w:rPr>
          <w:rFonts w:ascii="Arial" w:hAnsi="Arial" w:cs="Arial"/>
          <w:sz w:val="22"/>
          <w:szCs w:val="22"/>
          <w:lang w:val="es-ES_tradnl"/>
        </w:rPr>
        <w:t xml:space="preserve">Mantener un sistema de administración financiera que incluya: i) información física y financiera </w:t>
      </w:r>
      <w:r w:rsidR="00B751FD" w:rsidRPr="00B751FD">
        <w:rPr>
          <w:rFonts w:ascii="Arial" w:hAnsi="Arial" w:cs="Arial"/>
          <w:sz w:val="22"/>
          <w:szCs w:val="22"/>
          <w:lang w:val="es-ES_tradnl"/>
        </w:rPr>
        <w:t>del Proyecto</w:t>
      </w:r>
      <w:r w:rsidRPr="00B751FD">
        <w:rPr>
          <w:rFonts w:ascii="Arial" w:hAnsi="Arial" w:cs="Arial"/>
          <w:sz w:val="22"/>
          <w:szCs w:val="22"/>
          <w:lang w:val="es-ES_tradnl"/>
        </w:rPr>
        <w:t xml:space="preserve">, y </w:t>
      </w:r>
      <w:r w:rsidR="0087057A">
        <w:rPr>
          <w:rFonts w:ascii="Arial" w:hAnsi="Arial" w:cs="Arial"/>
          <w:sz w:val="22"/>
          <w:szCs w:val="22"/>
          <w:lang w:val="es-ES_tradnl"/>
        </w:rPr>
        <w:t>(</w:t>
      </w:r>
      <w:r w:rsidRPr="00B751FD">
        <w:rPr>
          <w:rFonts w:ascii="Arial" w:hAnsi="Arial" w:cs="Arial"/>
          <w:sz w:val="22"/>
          <w:szCs w:val="22"/>
          <w:lang w:val="es-ES_tradnl"/>
        </w:rPr>
        <w:t xml:space="preserve">ii) un sistema de contabilidad, registros y cuentas separadas identificables del </w:t>
      </w:r>
      <w:r w:rsidR="00A56887" w:rsidRPr="00B751FD">
        <w:rPr>
          <w:rFonts w:ascii="Arial" w:hAnsi="Arial" w:cs="Arial"/>
          <w:sz w:val="22"/>
          <w:szCs w:val="22"/>
          <w:lang w:val="es-ES_tradnl"/>
        </w:rPr>
        <w:t>PROGRAMA</w:t>
      </w:r>
      <w:r w:rsidR="007E36C3" w:rsidRPr="00B751FD">
        <w:rPr>
          <w:rFonts w:ascii="Arial" w:hAnsi="Arial" w:cs="Arial"/>
          <w:sz w:val="22"/>
          <w:szCs w:val="22"/>
          <w:lang w:val="es-ES_tradnl"/>
        </w:rPr>
        <w:t>, que le permita</w:t>
      </w:r>
      <w:r w:rsidR="00A24D28" w:rsidRPr="00B751FD">
        <w:rPr>
          <w:rFonts w:ascii="Arial" w:hAnsi="Arial" w:cs="Arial"/>
          <w:sz w:val="22"/>
          <w:szCs w:val="22"/>
          <w:lang w:val="es-ES_tradnl"/>
        </w:rPr>
        <w:t xml:space="preserve"> </w:t>
      </w:r>
      <w:r w:rsidRPr="00B751FD">
        <w:rPr>
          <w:rFonts w:ascii="Arial" w:hAnsi="Arial" w:cs="Arial"/>
          <w:sz w:val="22"/>
          <w:szCs w:val="22"/>
          <w:lang w:val="es-ES_tradnl"/>
        </w:rPr>
        <w:t>preparar los estados financieros de tal forma que se cuente con información completa de los flujos de recursos del Préstamo</w:t>
      </w:r>
      <w:r w:rsidR="00532D11" w:rsidRPr="00B751FD">
        <w:rPr>
          <w:rFonts w:ascii="Arial" w:hAnsi="Arial" w:cs="Arial"/>
          <w:sz w:val="22"/>
          <w:szCs w:val="22"/>
          <w:lang w:val="es-ES_tradnl"/>
        </w:rPr>
        <w:t xml:space="preserve"> y cada </w:t>
      </w:r>
      <w:r w:rsidR="00B751FD" w:rsidRPr="00B751FD">
        <w:rPr>
          <w:rFonts w:ascii="Arial" w:hAnsi="Arial" w:cs="Arial"/>
          <w:sz w:val="22"/>
          <w:szCs w:val="22"/>
          <w:lang w:val="es-ES_tradnl"/>
        </w:rPr>
        <w:t>fuente de</w:t>
      </w:r>
      <w:r w:rsidR="00532D11" w:rsidRPr="00B751FD">
        <w:rPr>
          <w:rFonts w:ascii="Arial" w:hAnsi="Arial" w:cs="Arial"/>
          <w:sz w:val="22"/>
          <w:szCs w:val="22"/>
          <w:lang w:val="es-ES_tradnl"/>
        </w:rPr>
        <w:t xml:space="preserve"> financiamiento del </w:t>
      </w:r>
      <w:r w:rsidR="0046692F" w:rsidRPr="00B751FD">
        <w:rPr>
          <w:rFonts w:ascii="Arial" w:hAnsi="Arial" w:cs="Arial"/>
          <w:sz w:val="22"/>
          <w:szCs w:val="22"/>
          <w:lang w:val="es-ES_tradnl"/>
        </w:rPr>
        <w:t>programa</w:t>
      </w:r>
      <w:r w:rsidRPr="00B751FD">
        <w:rPr>
          <w:rFonts w:ascii="Arial" w:hAnsi="Arial" w:cs="Arial"/>
          <w:sz w:val="22"/>
          <w:szCs w:val="22"/>
          <w:lang w:val="es-ES_tradnl"/>
        </w:rPr>
        <w:t>.</w:t>
      </w:r>
    </w:p>
    <w:p w14:paraId="555F7BF8" w14:textId="7B7BE88A" w:rsidR="005E102B" w:rsidRPr="00B751FD" w:rsidRDefault="00455843" w:rsidP="00A82519">
      <w:pPr>
        <w:pStyle w:val="CuerpoA"/>
        <w:numPr>
          <w:ilvl w:val="0"/>
          <w:numId w:val="16"/>
        </w:numPr>
        <w:tabs>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rPr>
      </w:pPr>
      <w:r w:rsidRPr="00B751FD">
        <w:rPr>
          <w:rFonts w:ascii="Arial" w:hAnsi="Arial" w:cs="Arial"/>
          <w:sz w:val="22"/>
          <w:szCs w:val="22"/>
        </w:rPr>
        <w:t xml:space="preserve">Contratar a los auditores externos de conformidad con los procedimientos y criterios </w:t>
      </w:r>
      <w:r w:rsidR="00CA46D4" w:rsidRPr="00B751FD">
        <w:rPr>
          <w:rFonts w:ascii="Arial" w:hAnsi="Arial" w:cs="Arial"/>
          <w:sz w:val="22"/>
          <w:szCs w:val="22"/>
        </w:rPr>
        <w:t>de este ROP</w:t>
      </w:r>
      <w:r w:rsidRPr="00B751FD">
        <w:rPr>
          <w:rFonts w:ascii="Arial" w:hAnsi="Arial" w:cs="Arial"/>
          <w:sz w:val="22"/>
          <w:szCs w:val="22"/>
        </w:rPr>
        <w:t xml:space="preserve">, a efecto de que se realicen las auditorías anuales del </w:t>
      </w:r>
      <w:r w:rsidR="0046692F" w:rsidRPr="00B751FD">
        <w:rPr>
          <w:rFonts w:ascii="Arial" w:hAnsi="Arial" w:cs="Arial"/>
          <w:sz w:val="22"/>
          <w:szCs w:val="22"/>
        </w:rPr>
        <w:t>programa</w:t>
      </w:r>
      <w:r w:rsidRPr="00B751FD">
        <w:rPr>
          <w:rFonts w:ascii="Arial" w:hAnsi="Arial" w:cs="Arial"/>
          <w:sz w:val="22"/>
          <w:szCs w:val="22"/>
        </w:rPr>
        <w:t>.</w:t>
      </w:r>
    </w:p>
    <w:p w14:paraId="4B23BA0D" w14:textId="77777777" w:rsidR="00455843" w:rsidRPr="00B751FD" w:rsidRDefault="00455843" w:rsidP="005000C5">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28"/>
        <w:jc w:val="both"/>
        <w:rPr>
          <w:rFonts w:ascii="Arial" w:hAnsi="Arial" w:cs="Arial"/>
          <w:sz w:val="22"/>
          <w:szCs w:val="22"/>
          <w:lang w:val="es-ES_tradnl"/>
        </w:rPr>
      </w:pPr>
    </w:p>
    <w:p w14:paraId="34A56036" w14:textId="3275BA4C" w:rsidR="009A4EB1" w:rsidRPr="00B751FD" w:rsidRDefault="009F6369" w:rsidP="001F3845">
      <w:pPr>
        <w:pStyle w:val="Paragraph"/>
        <w:ind w:left="810" w:hanging="810"/>
        <w:rPr>
          <w:rFonts w:ascii="Arial" w:hAnsi="Arial" w:cs="Arial"/>
          <w:sz w:val="22"/>
          <w:szCs w:val="22"/>
        </w:rPr>
      </w:pPr>
      <w:r w:rsidRPr="00B751FD">
        <w:rPr>
          <w:rFonts w:ascii="Arial" w:hAnsi="Arial" w:cs="Arial"/>
          <w:b/>
          <w:sz w:val="22"/>
          <w:szCs w:val="22"/>
        </w:rPr>
        <w:t>Equipo</w:t>
      </w:r>
      <w:r w:rsidR="009A4EB1" w:rsidRPr="00B751FD">
        <w:rPr>
          <w:rFonts w:ascii="Arial" w:hAnsi="Arial" w:cs="Arial"/>
          <w:b/>
          <w:sz w:val="22"/>
          <w:szCs w:val="22"/>
        </w:rPr>
        <w:t xml:space="preserve"> </w:t>
      </w:r>
      <w:r w:rsidR="00B95891" w:rsidRPr="00B751FD">
        <w:rPr>
          <w:rFonts w:ascii="Arial" w:hAnsi="Arial" w:cs="Arial"/>
          <w:b/>
          <w:sz w:val="22"/>
          <w:szCs w:val="22"/>
        </w:rPr>
        <w:t>Técnico</w:t>
      </w:r>
      <w:r w:rsidR="009A4EB1" w:rsidRPr="00B751FD">
        <w:rPr>
          <w:rFonts w:ascii="Arial" w:hAnsi="Arial" w:cs="Arial"/>
          <w:b/>
          <w:sz w:val="22"/>
          <w:szCs w:val="22"/>
        </w:rPr>
        <w:t xml:space="preserve"> y de Apoyo</w:t>
      </w:r>
      <w:r w:rsidR="008F4856" w:rsidRPr="00B751FD">
        <w:rPr>
          <w:rFonts w:ascii="Arial" w:hAnsi="Arial" w:cs="Arial"/>
          <w:b/>
          <w:sz w:val="22"/>
          <w:szCs w:val="22"/>
        </w:rPr>
        <w:t xml:space="preserve">. </w:t>
      </w:r>
      <w:r w:rsidR="009A4EB1" w:rsidRPr="00B751FD">
        <w:rPr>
          <w:rFonts w:ascii="Arial" w:hAnsi="Arial" w:cs="Arial"/>
          <w:sz w:val="22"/>
          <w:szCs w:val="22"/>
        </w:rPr>
        <w:t xml:space="preserve">Para la ejecución del </w:t>
      </w:r>
      <w:r w:rsidR="0046692F" w:rsidRPr="00B751FD">
        <w:rPr>
          <w:rFonts w:ascii="Arial" w:hAnsi="Arial" w:cs="Arial"/>
          <w:sz w:val="22"/>
          <w:szCs w:val="22"/>
        </w:rPr>
        <w:t>programa</w:t>
      </w:r>
      <w:r w:rsidR="009A4EB1" w:rsidRPr="00B751FD">
        <w:rPr>
          <w:rFonts w:ascii="Arial" w:hAnsi="Arial" w:cs="Arial"/>
          <w:sz w:val="22"/>
          <w:szCs w:val="22"/>
        </w:rPr>
        <w:t xml:space="preserve">, </w:t>
      </w:r>
      <w:r w:rsidR="00AD298A" w:rsidRPr="00B751FD">
        <w:rPr>
          <w:rFonts w:ascii="Arial" w:hAnsi="Arial" w:cs="Arial"/>
          <w:sz w:val="22"/>
          <w:szCs w:val="22"/>
        </w:rPr>
        <w:t>BROU</w:t>
      </w:r>
      <w:r w:rsidR="008F4856" w:rsidRPr="00B751FD">
        <w:rPr>
          <w:rFonts w:ascii="Arial" w:hAnsi="Arial" w:cs="Arial"/>
          <w:sz w:val="22"/>
          <w:szCs w:val="22"/>
        </w:rPr>
        <w:t xml:space="preserve"> </w:t>
      </w:r>
      <w:r w:rsidR="009A4EB1" w:rsidRPr="00B751FD">
        <w:rPr>
          <w:rFonts w:ascii="Arial" w:hAnsi="Arial" w:cs="Arial"/>
          <w:sz w:val="22"/>
          <w:szCs w:val="22"/>
        </w:rPr>
        <w:t xml:space="preserve">cuenta con el apoyo </w:t>
      </w:r>
      <w:r w:rsidR="007E36C3" w:rsidRPr="00B751FD">
        <w:rPr>
          <w:rFonts w:ascii="Arial" w:hAnsi="Arial" w:cs="Arial"/>
          <w:sz w:val="22"/>
          <w:szCs w:val="22"/>
        </w:rPr>
        <w:t>del siguiente equipo de trabajo, que serán responsables de las definiciones técnicas</w:t>
      </w:r>
      <w:r w:rsidR="002505AC" w:rsidRPr="00B751FD">
        <w:rPr>
          <w:rFonts w:ascii="Arial" w:hAnsi="Arial" w:cs="Arial"/>
          <w:sz w:val="22"/>
          <w:szCs w:val="22"/>
        </w:rPr>
        <w:t xml:space="preserve"> y</w:t>
      </w:r>
      <w:r w:rsidR="007E36C3" w:rsidRPr="00B751FD">
        <w:rPr>
          <w:rFonts w:ascii="Arial" w:hAnsi="Arial" w:cs="Arial"/>
          <w:sz w:val="22"/>
          <w:szCs w:val="22"/>
        </w:rPr>
        <w:t xml:space="preserve"> ejecución de los componentes</w:t>
      </w:r>
      <w:r w:rsidR="002505AC" w:rsidRPr="00B751FD">
        <w:rPr>
          <w:rFonts w:ascii="Arial" w:hAnsi="Arial" w:cs="Arial"/>
          <w:sz w:val="22"/>
          <w:szCs w:val="22"/>
        </w:rPr>
        <w:t xml:space="preserve"> del </w:t>
      </w:r>
      <w:r w:rsidR="0046692F" w:rsidRPr="00B751FD">
        <w:rPr>
          <w:rFonts w:ascii="Arial" w:hAnsi="Arial" w:cs="Arial"/>
          <w:sz w:val="22"/>
          <w:szCs w:val="22"/>
        </w:rPr>
        <w:t>programa</w:t>
      </w:r>
      <w:r w:rsidR="009A4EB1" w:rsidRPr="00B751FD">
        <w:rPr>
          <w:rFonts w:ascii="Arial" w:hAnsi="Arial" w:cs="Arial"/>
          <w:sz w:val="22"/>
          <w:szCs w:val="22"/>
        </w:rPr>
        <w:t xml:space="preserve">. </w:t>
      </w:r>
    </w:p>
    <w:p w14:paraId="19F93589" w14:textId="63F819F5" w:rsidR="00C57009" w:rsidRPr="00B751FD" w:rsidRDefault="00477429" w:rsidP="00477429">
      <w:pPr>
        <w:pStyle w:val="SecHeading"/>
        <w:numPr>
          <w:ilvl w:val="0"/>
          <w:numId w:val="0"/>
        </w:numPr>
        <w:ind w:left="851"/>
        <w:jc w:val="both"/>
        <w:rPr>
          <w:rFonts w:ascii="Arial" w:hAnsi="Arial" w:cs="Arial"/>
          <w:b w:val="0"/>
          <w:sz w:val="22"/>
          <w:szCs w:val="22"/>
        </w:rPr>
      </w:pPr>
      <w:r w:rsidRPr="00B751FD">
        <w:rPr>
          <w:rFonts w:ascii="Arial" w:hAnsi="Arial" w:cs="Arial"/>
          <w:sz w:val="22"/>
          <w:szCs w:val="22"/>
        </w:rPr>
        <w:t xml:space="preserve">1. </w:t>
      </w:r>
      <w:r w:rsidR="00CE3BDD" w:rsidRPr="00B751FD">
        <w:rPr>
          <w:rFonts w:ascii="Arial" w:hAnsi="Arial" w:cs="Arial"/>
          <w:sz w:val="22"/>
          <w:szCs w:val="22"/>
        </w:rPr>
        <w:t>Á</w:t>
      </w:r>
      <w:r w:rsidR="00676D82" w:rsidRPr="00B751FD">
        <w:rPr>
          <w:rFonts w:ascii="Arial" w:hAnsi="Arial" w:cs="Arial"/>
          <w:sz w:val="22"/>
          <w:szCs w:val="22"/>
        </w:rPr>
        <w:t>reas Corporativas</w:t>
      </w:r>
      <w:r w:rsidR="00CE3BDD" w:rsidRPr="00B751FD">
        <w:rPr>
          <w:rFonts w:ascii="Arial" w:hAnsi="Arial" w:cs="Arial"/>
          <w:sz w:val="22"/>
          <w:szCs w:val="22"/>
        </w:rPr>
        <w:t xml:space="preserve"> – Agropecuaria y Empresas</w:t>
      </w:r>
      <w:r w:rsidR="00FC765D" w:rsidRPr="00B751FD">
        <w:rPr>
          <w:rFonts w:ascii="Arial" w:hAnsi="Arial" w:cs="Arial"/>
          <w:b w:val="0"/>
          <w:sz w:val="22"/>
          <w:szCs w:val="22"/>
        </w:rPr>
        <w:t>, que cuenta con la</w:t>
      </w:r>
      <w:r w:rsidR="00484FF9" w:rsidRPr="00B751FD">
        <w:rPr>
          <w:rFonts w:ascii="Arial" w:hAnsi="Arial" w:cs="Arial"/>
          <w:sz w:val="22"/>
          <w:szCs w:val="22"/>
        </w:rPr>
        <w:t xml:space="preserve"> </w:t>
      </w:r>
      <w:r w:rsidR="00FC765D" w:rsidRPr="00B751FD">
        <w:rPr>
          <w:rFonts w:ascii="Arial" w:hAnsi="Arial" w:cs="Arial"/>
          <w:b w:val="0"/>
          <w:sz w:val="22"/>
          <w:szCs w:val="22"/>
        </w:rPr>
        <w:t>encomienda</w:t>
      </w:r>
      <w:r w:rsidR="00484FF9" w:rsidRPr="00B751FD">
        <w:rPr>
          <w:rFonts w:ascii="Arial" w:hAnsi="Arial" w:cs="Arial"/>
          <w:b w:val="0"/>
          <w:sz w:val="22"/>
          <w:szCs w:val="22"/>
        </w:rPr>
        <w:t xml:space="preserve"> de </w:t>
      </w:r>
      <w:r w:rsidR="00CC0A53" w:rsidRPr="00B751FD">
        <w:rPr>
          <w:rFonts w:ascii="Arial" w:hAnsi="Arial" w:cs="Arial"/>
          <w:b w:val="0"/>
          <w:sz w:val="22"/>
          <w:szCs w:val="22"/>
        </w:rPr>
        <w:t>ejecu</w:t>
      </w:r>
      <w:r w:rsidR="00A7186E" w:rsidRPr="00B751FD">
        <w:rPr>
          <w:rFonts w:ascii="Arial" w:hAnsi="Arial" w:cs="Arial"/>
          <w:b w:val="0"/>
          <w:sz w:val="22"/>
          <w:szCs w:val="22"/>
        </w:rPr>
        <w:t>tar</w:t>
      </w:r>
      <w:r w:rsidR="00CC0A53" w:rsidRPr="00B751FD">
        <w:rPr>
          <w:rFonts w:ascii="Arial" w:hAnsi="Arial" w:cs="Arial"/>
          <w:b w:val="0"/>
          <w:sz w:val="22"/>
          <w:szCs w:val="22"/>
        </w:rPr>
        <w:t xml:space="preserve"> y coordina</w:t>
      </w:r>
      <w:r w:rsidR="00A7186E" w:rsidRPr="00B751FD">
        <w:rPr>
          <w:rFonts w:ascii="Arial" w:hAnsi="Arial" w:cs="Arial"/>
          <w:b w:val="0"/>
          <w:sz w:val="22"/>
          <w:szCs w:val="22"/>
        </w:rPr>
        <w:t>r</w:t>
      </w:r>
      <w:r w:rsidR="00051B94" w:rsidRPr="00B751FD">
        <w:rPr>
          <w:rFonts w:ascii="Arial" w:hAnsi="Arial" w:cs="Arial"/>
          <w:b w:val="0"/>
          <w:sz w:val="22"/>
          <w:szCs w:val="22"/>
        </w:rPr>
        <w:t xml:space="preserve"> </w:t>
      </w:r>
      <w:r w:rsidR="00484FF9" w:rsidRPr="00B751FD">
        <w:rPr>
          <w:rFonts w:ascii="Arial" w:hAnsi="Arial" w:cs="Arial"/>
          <w:b w:val="0"/>
          <w:sz w:val="22"/>
          <w:szCs w:val="22"/>
        </w:rPr>
        <w:t xml:space="preserve">el </w:t>
      </w:r>
      <w:r w:rsidR="00CC0A53" w:rsidRPr="00B751FD">
        <w:rPr>
          <w:rFonts w:ascii="Arial" w:hAnsi="Arial" w:cs="Arial"/>
          <w:b w:val="0"/>
          <w:sz w:val="22"/>
          <w:szCs w:val="22"/>
        </w:rPr>
        <w:t>componente I</w:t>
      </w:r>
      <w:r w:rsidR="00DE0BA1" w:rsidRPr="00B751FD">
        <w:rPr>
          <w:rFonts w:ascii="Arial" w:hAnsi="Arial" w:cs="Arial"/>
          <w:b w:val="0"/>
          <w:sz w:val="22"/>
          <w:szCs w:val="22"/>
        </w:rPr>
        <w:t>/II</w:t>
      </w:r>
      <w:r w:rsidR="00CC0A53" w:rsidRPr="00B751FD">
        <w:rPr>
          <w:rFonts w:ascii="Arial" w:hAnsi="Arial" w:cs="Arial"/>
          <w:b w:val="0"/>
          <w:sz w:val="22"/>
          <w:szCs w:val="22"/>
        </w:rPr>
        <w:t xml:space="preserve"> del </w:t>
      </w:r>
      <w:r w:rsidR="0046692F" w:rsidRPr="00B751FD">
        <w:rPr>
          <w:rFonts w:ascii="Arial" w:hAnsi="Arial" w:cs="Arial"/>
          <w:b w:val="0"/>
          <w:sz w:val="22"/>
          <w:szCs w:val="22"/>
        </w:rPr>
        <w:t>programa</w:t>
      </w:r>
      <w:r w:rsidR="00FC765D" w:rsidRPr="00B751FD">
        <w:rPr>
          <w:rFonts w:ascii="Arial" w:hAnsi="Arial" w:cs="Arial"/>
          <w:b w:val="0"/>
          <w:sz w:val="22"/>
          <w:szCs w:val="22"/>
        </w:rPr>
        <w:t>.</w:t>
      </w:r>
    </w:p>
    <w:p w14:paraId="088778E1" w14:textId="09DAF8FA" w:rsidR="009A4EB1" w:rsidRPr="00B751FD" w:rsidRDefault="00D76A2A" w:rsidP="00D76A2A">
      <w:pPr>
        <w:pStyle w:val="SecHeading"/>
        <w:numPr>
          <w:ilvl w:val="0"/>
          <w:numId w:val="0"/>
        </w:numPr>
        <w:ind w:left="851"/>
        <w:jc w:val="both"/>
        <w:rPr>
          <w:rFonts w:ascii="Arial" w:hAnsi="Arial" w:cs="Arial"/>
          <w:b w:val="0"/>
          <w:strike/>
          <w:sz w:val="22"/>
          <w:szCs w:val="22"/>
        </w:rPr>
      </w:pPr>
      <w:r w:rsidRPr="00B751FD">
        <w:rPr>
          <w:rFonts w:ascii="Arial" w:hAnsi="Arial" w:cs="Arial"/>
          <w:sz w:val="22"/>
          <w:szCs w:val="22"/>
        </w:rPr>
        <w:t xml:space="preserve">2. </w:t>
      </w:r>
      <w:r w:rsidR="00676D82" w:rsidRPr="00B751FD">
        <w:rPr>
          <w:rFonts w:ascii="Arial" w:hAnsi="Arial" w:cs="Arial"/>
          <w:sz w:val="22"/>
          <w:szCs w:val="22"/>
        </w:rPr>
        <w:t>Oficina de políticas y Control de Riesgos (OP&amp;CR</w:t>
      </w:r>
      <w:r w:rsidRPr="00B751FD">
        <w:rPr>
          <w:rFonts w:ascii="Arial" w:hAnsi="Arial" w:cs="Arial"/>
          <w:sz w:val="22"/>
          <w:szCs w:val="22"/>
        </w:rPr>
        <w:t>)</w:t>
      </w:r>
      <w:r w:rsidR="004D2739" w:rsidRPr="00B751FD">
        <w:rPr>
          <w:rFonts w:ascii="Arial" w:hAnsi="Arial" w:cs="Arial"/>
          <w:b w:val="0"/>
          <w:sz w:val="22"/>
          <w:szCs w:val="22"/>
        </w:rPr>
        <w:t xml:space="preserve">, </w:t>
      </w:r>
      <w:r w:rsidR="00973760" w:rsidRPr="00B751FD">
        <w:rPr>
          <w:rFonts w:ascii="Arial" w:hAnsi="Arial" w:cs="Arial"/>
          <w:b w:val="0"/>
          <w:sz w:val="22"/>
          <w:szCs w:val="22"/>
        </w:rPr>
        <w:t xml:space="preserve">es el área encargada de la </w:t>
      </w:r>
      <w:r w:rsidR="00C84747" w:rsidRPr="00B751FD">
        <w:rPr>
          <w:rFonts w:ascii="Arial" w:hAnsi="Arial" w:cs="Arial"/>
          <w:b w:val="0"/>
          <w:sz w:val="22"/>
          <w:szCs w:val="22"/>
        </w:rPr>
        <w:t xml:space="preserve">revisión </w:t>
      </w:r>
      <w:r w:rsidR="00973760" w:rsidRPr="00B751FD">
        <w:rPr>
          <w:rFonts w:ascii="Arial" w:hAnsi="Arial" w:cs="Arial"/>
          <w:b w:val="0"/>
          <w:sz w:val="22"/>
          <w:szCs w:val="22"/>
        </w:rPr>
        <w:t>de las normas</w:t>
      </w:r>
      <w:r w:rsidR="00CE3BDD" w:rsidRPr="00B751FD">
        <w:rPr>
          <w:rFonts w:ascii="Arial" w:hAnsi="Arial" w:cs="Arial"/>
          <w:b w:val="0"/>
          <w:sz w:val="22"/>
          <w:szCs w:val="22"/>
        </w:rPr>
        <w:t xml:space="preserve"> </w:t>
      </w:r>
      <w:r w:rsidRPr="00B751FD">
        <w:rPr>
          <w:rFonts w:ascii="Arial" w:hAnsi="Arial" w:cs="Arial"/>
          <w:b w:val="0"/>
          <w:sz w:val="22"/>
          <w:szCs w:val="22"/>
        </w:rPr>
        <w:t>y políticas</w:t>
      </w:r>
      <w:r w:rsidR="00973760" w:rsidRPr="00B751FD">
        <w:rPr>
          <w:rFonts w:ascii="Arial" w:hAnsi="Arial" w:cs="Arial"/>
          <w:b w:val="0"/>
          <w:sz w:val="22"/>
          <w:szCs w:val="22"/>
        </w:rPr>
        <w:t xml:space="preserve"> que regulan la operación crediticia de </w:t>
      </w:r>
      <w:r w:rsidR="00AD298A" w:rsidRPr="00B751FD">
        <w:rPr>
          <w:rFonts w:ascii="Arial" w:hAnsi="Arial" w:cs="Arial"/>
          <w:b w:val="0"/>
          <w:sz w:val="22"/>
          <w:szCs w:val="22"/>
        </w:rPr>
        <w:t>BROU</w:t>
      </w:r>
      <w:r w:rsidR="00C84747" w:rsidRPr="00B751FD">
        <w:rPr>
          <w:rFonts w:ascii="Arial" w:hAnsi="Arial" w:cs="Arial"/>
          <w:b w:val="0"/>
          <w:sz w:val="22"/>
          <w:szCs w:val="22"/>
        </w:rPr>
        <w:t xml:space="preserve"> así como de la elaboración de los respectivos manuales.</w:t>
      </w:r>
      <w:r w:rsidR="002505AC" w:rsidRPr="00B751FD">
        <w:rPr>
          <w:rFonts w:ascii="Arial" w:hAnsi="Arial" w:cs="Arial"/>
          <w:b w:val="0"/>
          <w:strike/>
          <w:sz w:val="22"/>
          <w:szCs w:val="22"/>
        </w:rPr>
        <w:t xml:space="preserve"> </w:t>
      </w:r>
    </w:p>
    <w:p w14:paraId="5034F461" w14:textId="50DD3E42" w:rsidR="007911FA" w:rsidRPr="00B751FD" w:rsidRDefault="00D76A2A" w:rsidP="00D76A2A">
      <w:pPr>
        <w:pStyle w:val="SecHeading"/>
        <w:numPr>
          <w:ilvl w:val="0"/>
          <w:numId w:val="0"/>
        </w:numPr>
        <w:ind w:left="851"/>
        <w:jc w:val="both"/>
        <w:rPr>
          <w:rFonts w:ascii="Arial" w:hAnsi="Arial" w:cs="Arial"/>
          <w:b w:val="0"/>
          <w:sz w:val="22"/>
          <w:szCs w:val="22"/>
        </w:rPr>
      </w:pPr>
      <w:r w:rsidRPr="00B751FD">
        <w:rPr>
          <w:rFonts w:ascii="Arial" w:hAnsi="Arial" w:cs="Arial"/>
          <w:sz w:val="22"/>
          <w:szCs w:val="22"/>
        </w:rPr>
        <w:t xml:space="preserve">3. </w:t>
      </w:r>
      <w:r w:rsidR="00CE3BDD" w:rsidRPr="00B751FD">
        <w:rPr>
          <w:rFonts w:ascii="Arial" w:hAnsi="Arial" w:cs="Arial"/>
          <w:sz w:val="22"/>
          <w:szCs w:val="22"/>
        </w:rPr>
        <w:t>Área Contable</w:t>
      </w:r>
      <w:r w:rsidR="000D0AE9" w:rsidRPr="00B751FD">
        <w:rPr>
          <w:rFonts w:ascii="Arial" w:hAnsi="Arial" w:cs="Arial"/>
          <w:b w:val="0"/>
          <w:sz w:val="22"/>
          <w:szCs w:val="22"/>
        </w:rPr>
        <w:t xml:space="preserve">, cuya función es </w:t>
      </w:r>
      <w:r w:rsidR="009A4EB1" w:rsidRPr="00B751FD">
        <w:rPr>
          <w:rFonts w:ascii="Arial" w:hAnsi="Arial" w:cs="Arial"/>
          <w:b w:val="0"/>
          <w:sz w:val="22"/>
          <w:szCs w:val="22"/>
        </w:rPr>
        <w:t xml:space="preserve">generar </w:t>
      </w:r>
      <w:r w:rsidR="006F2DF1" w:rsidRPr="00B751FD">
        <w:rPr>
          <w:rFonts w:ascii="Arial" w:hAnsi="Arial" w:cs="Arial"/>
          <w:b w:val="0"/>
          <w:sz w:val="22"/>
          <w:szCs w:val="22"/>
        </w:rPr>
        <w:t xml:space="preserve">la </w:t>
      </w:r>
      <w:r w:rsidR="009A4EB1" w:rsidRPr="00B751FD">
        <w:rPr>
          <w:rFonts w:ascii="Arial" w:hAnsi="Arial" w:cs="Arial"/>
          <w:b w:val="0"/>
          <w:sz w:val="22"/>
          <w:szCs w:val="22"/>
        </w:rPr>
        <w:t>contabilidad y obtener información exacta y oportuna</w:t>
      </w:r>
      <w:r w:rsidR="006F2DF1" w:rsidRPr="00B751FD">
        <w:rPr>
          <w:rFonts w:ascii="Arial" w:hAnsi="Arial" w:cs="Arial"/>
          <w:b w:val="0"/>
          <w:sz w:val="22"/>
          <w:szCs w:val="22"/>
        </w:rPr>
        <w:t xml:space="preserve"> respecto a la cartera crediticia del BROU</w:t>
      </w:r>
      <w:r w:rsidR="009A4EB1" w:rsidRPr="00B751FD">
        <w:rPr>
          <w:rFonts w:ascii="Arial" w:hAnsi="Arial" w:cs="Arial"/>
          <w:b w:val="0"/>
          <w:sz w:val="22"/>
          <w:szCs w:val="22"/>
        </w:rPr>
        <w:t>.</w:t>
      </w:r>
      <w:r w:rsidR="00CB5E86" w:rsidRPr="00B751FD">
        <w:rPr>
          <w:rFonts w:ascii="Arial" w:hAnsi="Arial" w:cs="Arial"/>
          <w:b w:val="0"/>
          <w:sz w:val="22"/>
          <w:szCs w:val="22"/>
        </w:rPr>
        <w:t xml:space="preserve"> Esta </w:t>
      </w:r>
      <w:r w:rsidR="00DE0BA1" w:rsidRPr="00B751FD">
        <w:rPr>
          <w:rFonts w:ascii="Arial" w:hAnsi="Arial" w:cs="Arial"/>
          <w:b w:val="0"/>
          <w:sz w:val="22"/>
          <w:szCs w:val="22"/>
        </w:rPr>
        <w:t>unidad</w:t>
      </w:r>
      <w:r w:rsidR="00CB5E86" w:rsidRPr="00B751FD">
        <w:rPr>
          <w:rFonts w:ascii="Arial" w:hAnsi="Arial" w:cs="Arial"/>
          <w:b w:val="0"/>
          <w:sz w:val="22"/>
          <w:szCs w:val="22"/>
        </w:rPr>
        <w:t xml:space="preserve"> proporcionará al </w:t>
      </w:r>
      <w:r w:rsidR="00657782" w:rsidRPr="00B751FD">
        <w:rPr>
          <w:rFonts w:ascii="Arial" w:hAnsi="Arial" w:cs="Arial"/>
          <w:b w:val="0"/>
          <w:sz w:val="22"/>
          <w:szCs w:val="22"/>
        </w:rPr>
        <w:t>Organismo Ejecutor</w:t>
      </w:r>
      <w:r w:rsidR="00CB5E86" w:rsidRPr="00B751FD">
        <w:rPr>
          <w:rFonts w:ascii="Arial" w:hAnsi="Arial" w:cs="Arial"/>
          <w:b w:val="0"/>
          <w:sz w:val="22"/>
          <w:szCs w:val="22"/>
        </w:rPr>
        <w:t xml:space="preserve"> la información relativa a las operaciones apoyadas al amparo del </w:t>
      </w:r>
      <w:r w:rsidR="0046692F" w:rsidRPr="00B751FD">
        <w:rPr>
          <w:rFonts w:ascii="Arial" w:hAnsi="Arial" w:cs="Arial"/>
          <w:b w:val="0"/>
          <w:sz w:val="22"/>
          <w:szCs w:val="22"/>
        </w:rPr>
        <w:t>programa</w:t>
      </w:r>
      <w:r w:rsidR="00CB5E86" w:rsidRPr="00B751FD">
        <w:rPr>
          <w:rFonts w:ascii="Arial" w:hAnsi="Arial" w:cs="Arial"/>
          <w:b w:val="0"/>
          <w:sz w:val="22"/>
          <w:szCs w:val="22"/>
        </w:rPr>
        <w:t xml:space="preserve">, </w:t>
      </w:r>
      <w:r w:rsidR="002505AC" w:rsidRPr="00B751FD">
        <w:rPr>
          <w:rFonts w:ascii="Arial" w:hAnsi="Arial" w:cs="Arial"/>
          <w:b w:val="0"/>
          <w:sz w:val="22"/>
          <w:szCs w:val="22"/>
        </w:rPr>
        <w:t xml:space="preserve">con </w:t>
      </w:r>
      <w:r w:rsidR="00657782" w:rsidRPr="00B751FD">
        <w:rPr>
          <w:rFonts w:ascii="Arial" w:hAnsi="Arial" w:cs="Arial"/>
          <w:b w:val="0"/>
          <w:sz w:val="22"/>
          <w:szCs w:val="22"/>
        </w:rPr>
        <w:t xml:space="preserve">el </w:t>
      </w:r>
      <w:r w:rsidR="002505AC" w:rsidRPr="00B751FD">
        <w:rPr>
          <w:rFonts w:ascii="Arial" w:hAnsi="Arial" w:cs="Arial"/>
          <w:b w:val="0"/>
          <w:sz w:val="22"/>
          <w:szCs w:val="22"/>
        </w:rPr>
        <w:t xml:space="preserve">objeto de que </w:t>
      </w:r>
      <w:r w:rsidR="00BF3CF7" w:rsidRPr="00B751FD">
        <w:rPr>
          <w:rFonts w:ascii="Arial" w:hAnsi="Arial" w:cs="Arial"/>
          <w:b w:val="0"/>
          <w:sz w:val="22"/>
          <w:szCs w:val="22"/>
        </w:rPr>
        <w:t>el Organismo Ejecutor</w:t>
      </w:r>
      <w:r w:rsidR="00657782" w:rsidRPr="00B751FD">
        <w:rPr>
          <w:rFonts w:ascii="Arial" w:hAnsi="Arial" w:cs="Arial"/>
          <w:b w:val="0"/>
          <w:sz w:val="22"/>
          <w:szCs w:val="22"/>
        </w:rPr>
        <w:t xml:space="preserve"> </w:t>
      </w:r>
      <w:r w:rsidR="002505AC" w:rsidRPr="00B751FD">
        <w:rPr>
          <w:rFonts w:ascii="Arial" w:hAnsi="Arial" w:cs="Arial"/>
          <w:b w:val="0"/>
          <w:sz w:val="22"/>
          <w:szCs w:val="22"/>
        </w:rPr>
        <w:t xml:space="preserve">pueda </w:t>
      </w:r>
      <w:r w:rsidR="00C25580" w:rsidRPr="00B751FD">
        <w:rPr>
          <w:rFonts w:ascii="Arial" w:hAnsi="Arial" w:cs="Arial"/>
          <w:b w:val="0"/>
          <w:sz w:val="22"/>
          <w:szCs w:val="22"/>
        </w:rPr>
        <w:t>presentar</w:t>
      </w:r>
      <w:r w:rsidR="007911FA" w:rsidRPr="00B751FD">
        <w:rPr>
          <w:rFonts w:ascii="Arial" w:hAnsi="Arial" w:cs="Arial"/>
          <w:b w:val="0"/>
          <w:sz w:val="22"/>
          <w:szCs w:val="22"/>
        </w:rPr>
        <w:t xml:space="preserve"> </w:t>
      </w:r>
      <w:r w:rsidR="002505AC" w:rsidRPr="00B751FD">
        <w:rPr>
          <w:rFonts w:ascii="Arial" w:hAnsi="Arial" w:cs="Arial"/>
          <w:b w:val="0"/>
          <w:sz w:val="22"/>
          <w:szCs w:val="22"/>
        </w:rPr>
        <w:t xml:space="preserve">ante </w:t>
      </w:r>
      <w:r w:rsidR="007911FA" w:rsidRPr="00B751FD">
        <w:rPr>
          <w:rFonts w:ascii="Arial" w:hAnsi="Arial" w:cs="Arial"/>
          <w:b w:val="0"/>
          <w:sz w:val="22"/>
          <w:szCs w:val="22"/>
        </w:rPr>
        <w:t>el Banco las solicitudes de desembolso</w:t>
      </w:r>
      <w:r w:rsidR="00941D32" w:rsidRPr="00B751FD">
        <w:rPr>
          <w:rFonts w:ascii="Arial" w:hAnsi="Arial" w:cs="Arial"/>
          <w:b w:val="0"/>
          <w:sz w:val="22"/>
          <w:szCs w:val="22"/>
        </w:rPr>
        <w:t xml:space="preserve"> correspondientes</w:t>
      </w:r>
      <w:r w:rsidR="002505AC" w:rsidRPr="00B751FD">
        <w:rPr>
          <w:rFonts w:ascii="Arial" w:hAnsi="Arial" w:cs="Arial"/>
          <w:b w:val="0"/>
          <w:sz w:val="22"/>
          <w:szCs w:val="22"/>
        </w:rPr>
        <w:t>.</w:t>
      </w:r>
    </w:p>
    <w:p w14:paraId="1A900043" w14:textId="77777777" w:rsidR="000D0AE9" w:rsidRPr="00B751FD" w:rsidRDefault="000D0AE9" w:rsidP="00BF1A3C">
      <w:pPr>
        <w:rPr>
          <w:rFonts w:ascii="Arial" w:hAnsi="Arial" w:cs="Arial"/>
          <w:sz w:val="22"/>
          <w:szCs w:val="22"/>
          <w:lang w:val="es-ES_tradnl"/>
        </w:rPr>
      </w:pPr>
    </w:p>
    <w:p w14:paraId="2166C7B5" w14:textId="77777777" w:rsidR="00CA46D4" w:rsidRPr="00B751FD" w:rsidRDefault="00CA46D4" w:rsidP="00C07BF2">
      <w:pPr>
        <w:pStyle w:val="Chapter"/>
        <w:ind w:hanging="18"/>
        <w:rPr>
          <w:rFonts w:ascii="Arial" w:hAnsi="Arial" w:cs="Arial"/>
          <w:b w:val="0"/>
          <w:smallCaps w:val="0"/>
          <w:sz w:val="22"/>
          <w:szCs w:val="22"/>
        </w:rPr>
      </w:pPr>
      <w:bookmarkStart w:id="64" w:name="_Toc197782565"/>
      <w:bookmarkStart w:id="65" w:name="_Toc198025808"/>
      <w:bookmarkStart w:id="66" w:name="_Toc205191274"/>
      <w:bookmarkStart w:id="67" w:name="_Toc207082521"/>
      <w:bookmarkStart w:id="68" w:name="_Toc207082554"/>
      <w:bookmarkStart w:id="69" w:name="_Toc240434734"/>
      <w:r w:rsidRPr="00B751FD">
        <w:rPr>
          <w:rFonts w:ascii="Arial" w:hAnsi="Arial" w:cs="Arial"/>
          <w:b w:val="0"/>
          <w:smallCaps w:val="0"/>
          <w:sz w:val="22"/>
          <w:szCs w:val="22"/>
        </w:rPr>
        <w:t>Modificaciones del Reglamento</w:t>
      </w:r>
      <w:bookmarkEnd w:id="64"/>
      <w:bookmarkEnd w:id="65"/>
      <w:bookmarkEnd w:id="66"/>
      <w:bookmarkEnd w:id="67"/>
      <w:bookmarkEnd w:id="68"/>
      <w:bookmarkEnd w:id="69"/>
    </w:p>
    <w:p w14:paraId="7F083B86" w14:textId="77777777" w:rsidR="00CA46D4" w:rsidRPr="00B751FD" w:rsidRDefault="00CA46D4" w:rsidP="00B751FD">
      <w:pPr>
        <w:pStyle w:val="Paragraph"/>
        <w:ind w:left="810" w:hanging="810"/>
        <w:rPr>
          <w:rFonts w:ascii="Arial" w:hAnsi="Arial" w:cs="Arial"/>
          <w:sz w:val="22"/>
          <w:szCs w:val="22"/>
        </w:rPr>
      </w:pPr>
      <w:r w:rsidRPr="00B751FD">
        <w:rPr>
          <w:rFonts w:ascii="Arial" w:hAnsi="Arial" w:cs="Arial"/>
          <w:sz w:val="22"/>
          <w:szCs w:val="22"/>
        </w:rPr>
        <w:t xml:space="preserve">BROU podrá sugerir modificaciones al presente Reglamento para adaptarlo a nuevas circunstancias o condiciones que pudieran presentarse en el transcurso de su ejecución. Cualquier modificación a este Reglamento se hará conforme a las normas y procedimientos del Banco y entrará en vigencia una vez que el BID exprese su no-objeción. </w:t>
      </w:r>
    </w:p>
    <w:p w14:paraId="612649FA" w14:textId="2136F47A" w:rsidR="006B17B3" w:rsidRPr="00B751FD" w:rsidRDefault="00CA46D4" w:rsidP="00B751FD">
      <w:pPr>
        <w:pStyle w:val="Paragraph"/>
        <w:ind w:left="810" w:hanging="810"/>
        <w:rPr>
          <w:rFonts w:ascii="Arial" w:hAnsi="Arial" w:cs="Arial"/>
          <w:sz w:val="22"/>
          <w:szCs w:val="22"/>
        </w:rPr>
      </w:pPr>
      <w:r w:rsidRPr="00B751FD">
        <w:rPr>
          <w:rFonts w:ascii="Arial" w:hAnsi="Arial" w:cs="Arial"/>
          <w:sz w:val="22"/>
          <w:szCs w:val="22"/>
        </w:rPr>
        <w:lastRenderedPageBreak/>
        <w:t xml:space="preserve">Con el propósito de esquematizar las funciones y actividades que cada área administrativa llevará a cabo dentro del </w:t>
      </w:r>
      <w:r w:rsidR="0046692F" w:rsidRPr="00B751FD">
        <w:rPr>
          <w:rFonts w:ascii="Arial" w:hAnsi="Arial" w:cs="Arial"/>
          <w:sz w:val="22"/>
          <w:szCs w:val="22"/>
        </w:rPr>
        <w:t>programa</w:t>
      </w:r>
      <w:r w:rsidR="0041031C" w:rsidRPr="00B751FD">
        <w:rPr>
          <w:rFonts w:ascii="Arial" w:hAnsi="Arial" w:cs="Arial"/>
          <w:sz w:val="22"/>
          <w:szCs w:val="22"/>
        </w:rPr>
        <w:t>, se detalla un Flujo de Procesos</w:t>
      </w:r>
      <w:r w:rsidRPr="00B751FD">
        <w:rPr>
          <w:rFonts w:ascii="Arial" w:hAnsi="Arial" w:cs="Arial"/>
          <w:sz w:val="22"/>
          <w:szCs w:val="22"/>
        </w:rPr>
        <w:t xml:space="preserve"> </w:t>
      </w:r>
      <w:r w:rsidR="0041031C" w:rsidRPr="00B751FD">
        <w:rPr>
          <w:rFonts w:ascii="Arial" w:hAnsi="Arial" w:cs="Arial"/>
          <w:sz w:val="22"/>
          <w:szCs w:val="22"/>
        </w:rPr>
        <w:t>y una Matriz de Responsabilidades (Anexos II y III).</w:t>
      </w:r>
    </w:p>
    <w:p w14:paraId="14F0F4E8" w14:textId="77777777" w:rsidR="006B17B3" w:rsidRPr="00B751FD" w:rsidRDefault="006B17B3" w:rsidP="00DE0BA1">
      <w:pPr>
        <w:pStyle w:val="Paragraph"/>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296" w:hanging="1296"/>
        <w:rPr>
          <w:rFonts w:ascii="Arial" w:hAnsi="Arial" w:cs="Arial"/>
          <w:sz w:val="22"/>
          <w:szCs w:val="22"/>
        </w:rPr>
      </w:pPr>
    </w:p>
    <w:p w14:paraId="7AF03022" w14:textId="77777777" w:rsidR="00656D8B" w:rsidRPr="005A6ED4" w:rsidRDefault="00656D8B">
      <w:pPr>
        <w:rPr>
          <w:rFonts w:ascii="Arial" w:hAnsi="Arial" w:cs="Arial"/>
          <w:sz w:val="24"/>
          <w:szCs w:val="24"/>
          <w:lang w:val="es-ES_tradnl"/>
        </w:rPr>
      </w:pPr>
      <w:r w:rsidRPr="005A6ED4">
        <w:rPr>
          <w:rFonts w:ascii="Arial" w:hAnsi="Arial" w:cs="Arial"/>
          <w:szCs w:val="24"/>
          <w:lang w:val="es-ES_tradnl"/>
        </w:rPr>
        <w:br w:type="page"/>
      </w:r>
    </w:p>
    <w:p w14:paraId="737AEA28" w14:textId="4D1D29F1" w:rsidR="003946F9" w:rsidRPr="005B7CDD" w:rsidRDefault="001C5556" w:rsidP="00D55FD9">
      <w:pPr>
        <w:pStyle w:val="AODocTxt"/>
        <w:numPr>
          <w:ilvl w:val="0"/>
          <w:numId w:val="0"/>
        </w:numPr>
        <w:spacing w:before="0" w:line="240" w:lineRule="auto"/>
        <w:jc w:val="center"/>
        <w:rPr>
          <w:rFonts w:ascii="Arial" w:hAnsi="Arial" w:cs="Arial"/>
          <w:b/>
          <w:bCs/>
          <w:color w:val="17365D" w:themeColor="text2" w:themeShade="BF"/>
          <w:kern w:val="24"/>
          <w:sz w:val="24"/>
          <w:szCs w:val="24"/>
          <w:lang w:val="pt-BR"/>
        </w:rPr>
      </w:pPr>
      <w:r w:rsidRPr="005B7CDD">
        <w:rPr>
          <w:rFonts w:ascii="Arial" w:hAnsi="Arial" w:cs="Arial"/>
          <w:b/>
          <w:bCs/>
          <w:color w:val="17365D" w:themeColor="text2" w:themeShade="BF"/>
          <w:kern w:val="24"/>
          <w:sz w:val="24"/>
          <w:szCs w:val="24"/>
          <w:lang w:val="pt-BR"/>
        </w:rPr>
        <w:lastRenderedPageBreak/>
        <w:t>ANEXO I: MATRIZ DE RESULTADOS</w:t>
      </w:r>
    </w:p>
    <w:p w14:paraId="574A1238" w14:textId="77777777" w:rsidR="003946F9" w:rsidRPr="005B7CDD" w:rsidRDefault="003946F9" w:rsidP="00DE0BA1">
      <w:pPr>
        <w:pStyle w:val="AODocTxt"/>
        <w:numPr>
          <w:ilvl w:val="0"/>
          <w:numId w:val="0"/>
        </w:numPr>
        <w:spacing w:before="0" w:line="240" w:lineRule="auto"/>
        <w:rPr>
          <w:rFonts w:ascii="Arial" w:hAnsi="Arial" w:cs="Arial"/>
          <w:b/>
          <w:bCs/>
          <w:color w:val="17365D" w:themeColor="text2" w:themeShade="BF"/>
          <w:kern w:val="24"/>
          <w:sz w:val="24"/>
          <w:szCs w:val="24"/>
          <w:lang w:val="pt-BR"/>
        </w:rPr>
      </w:pPr>
    </w:p>
    <w:p w14:paraId="6EA94521" w14:textId="216080FF" w:rsidR="003946F9" w:rsidRPr="005B7CDD" w:rsidRDefault="00345D2F" w:rsidP="001C5556">
      <w:pPr>
        <w:pStyle w:val="AODocTxt"/>
        <w:numPr>
          <w:ilvl w:val="0"/>
          <w:numId w:val="0"/>
        </w:numPr>
        <w:spacing w:before="0" w:line="240" w:lineRule="auto"/>
        <w:jc w:val="center"/>
        <w:rPr>
          <w:rFonts w:ascii="Arial" w:hAnsi="Arial" w:cs="Arial"/>
          <w:b/>
          <w:bCs/>
          <w:color w:val="17365D" w:themeColor="text2" w:themeShade="BF"/>
          <w:kern w:val="24"/>
          <w:sz w:val="24"/>
          <w:szCs w:val="24"/>
          <w:lang w:val="pt-BR"/>
        </w:rPr>
      </w:pPr>
      <w:r w:rsidRPr="005B7CDD">
        <w:rPr>
          <w:rFonts w:ascii="Arial" w:hAnsi="Arial" w:cs="Arial"/>
          <w:b/>
          <w:bCs/>
          <w:color w:val="17365D" w:themeColor="text2" w:themeShade="BF"/>
          <w:kern w:val="24"/>
          <w:sz w:val="24"/>
          <w:szCs w:val="24"/>
          <w:lang w:val="pt-BR"/>
        </w:rPr>
        <w:t>Ver matriz de resultados aprobada</w:t>
      </w:r>
    </w:p>
    <w:p w14:paraId="6ECDFE9E" w14:textId="05C1AE28" w:rsidR="003946F9" w:rsidRPr="005B7CDD" w:rsidRDefault="003946F9" w:rsidP="001C5556">
      <w:pPr>
        <w:pStyle w:val="AODocTxt"/>
        <w:numPr>
          <w:ilvl w:val="0"/>
          <w:numId w:val="0"/>
        </w:numPr>
        <w:spacing w:before="0" w:line="240" w:lineRule="auto"/>
        <w:jc w:val="center"/>
        <w:rPr>
          <w:rFonts w:ascii="Arial" w:hAnsi="Arial" w:cs="Arial"/>
          <w:b/>
          <w:bCs/>
          <w:color w:val="17365D" w:themeColor="text2" w:themeShade="BF"/>
          <w:kern w:val="24"/>
          <w:sz w:val="24"/>
          <w:szCs w:val="24"/>
          <w:lang w:val="pt-BR"/>
        </w:rPr>
      </w:pPr>
    </w:p>
    <w:p w14:paraId="6FADE882" w14:textId="7242E66E" w:rsidR="003946F9" w:rsidRPr="005B7CDD" w:rsidRDefault="003946F9" w:rsidP="001C5556">
      <w:pPr>
        <w:pStyle w:val="AODocTxt"/>
        <w:numPr>
          <w:ilvl w:val="0"/>
          <w:numId w:val="0"/>
        </w:numPr>
        <w:spacing w:before="0" w:line="240" w:lineRule="auto"/>
        <w:jc w:val="center"/>
        <w:rPr>
          <w:rFonts w:ascii="Arial" w:hAnsi="Arial" w:cs="Arial"/>
          <w:b/>
          <w:bCs/>
          <w:color w:val="17365D" w:themeColor="text2" w:themeShade="BF"/>
          <w:kern w:val="24"/>
          <w:sz w:val="24"/>
          <w:szCs w:val="24"/>
          <w:lang w:val="pt-BR"/>
        </w:rPr>
      </w:pPr>
    </w:p>
    <w:p w14:paraId="4B67149B" w14:textId="5059B24C" w:rsidR="00222176" w:rsidRPr="00167A35" w:rsidRDefault="00B751FD" w:rsidP="003946F9">
      <w:pPr>
        <w:pStyle w:val="AODocTxt"/>
        <w:numPr>
          <w:ilvl w:val="0"/>
          <w:numId w:val="0"/>
        </w:numPr>
        <w:spacing w:before="0" w:line="240" w:lineRule="auto"/>
        <w:jc w:val="center"/>
        <w:rPr>
          <w:rFonts w:ascii="Arial" w:hAnsi="Arial"/>
          <w:b/>
          <w:color w:val="17365D" w:themeColor="text2" w:themeShade="BF"/>
          <w:kern w:val="24"/>
          <w:sz w:val="24"/>
          <w:lang w:val="pt-BR"/>
        </w:rPr>
      </w:pPr>
      <w:r w:rsidRPr="005A6ED4">
        <w:rPr>
          <w:noProof/>
          <w:lang w:val="es-ES_tradnl"/>
        </w:rPr>
        <w:drawing>
          <wp:anchor distT="0" distB="0" distL="114300" distR="114300" simplePos="0" relativeHeight="251658240" behindDoc="0" locked="0" layoutInCell="1" allowOverlap="1" wp14:anchorId="60145F3A" wp14:editId="7166B2AF">
            <wp:simplePos x="0" y="0"/>
            <wp:positionH relativeFrom="column">
              <wp:posOffset>-686790</wp:posOffset>
            </wp:positionH>
            <wp:positionV relativeFrom="paragraph">
              <wp:posOffset>175895</wp:posOffset>
            </wp:positionV>
            <wp:extent cx="6985000" cy="5273208"/>
            <wp:effectExtent l="0" t="0" r="6350" b="381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0" cy="5273208"/>
                    </a:xfrm>
                    <a:prstGeom prst="rect">
                      <a:avLst/>
                    </a:prstGeom>
                    <a:noFill/>
                    <a:ln>
                      <a:noFill/>
                    </a:ln>
                  </pic:spPr>
                </pic:pic>
              </a:graphicData>
            </a:graphic>
            <wp14:sizeRelH relativeFrom="page">
              <wp14:pctWidth>0</wp14:pctWidth>
            </wp14:sizeRelH>
            <wp14:sizeRelV relativeFrom="page">
              <wp14:pctHeight>0</wp14:pctHeight>
            </wp14:sizeRelV>
          </wp:anchor>
        </w:drawing>
      </w:r>
      <w:r w:rsidR="001C5556" w:rsidRPr="00167A35">
        <w:rPr>
          <w:rFonts w:ascii="Arial" w:hAnsi="Arial"/>
          <w:b/>
          <w:color w:val="17365D" w:themeColor="text2" w:themeShade="BF"/>
          <w:kern w:val="24"/>
          <w:sz w:val="24"/>
          <w:lang w:val="pt-BR"/>
        </w:rPr>
        <w:t xml:space="preserve">ANEXO II: </w:t>
      </w:r>
      <w:r w:rsidR="00DE0BA1" w:rsidRPr="00167A35">
        <w:rPr>
          <w:rFonts w:ascii="Arial" w:hAnsi="Arial"/>
          <w:b/>
          <w:color w:val="17365D" w:themeColor="text2" w:themeShade="BF"/>
          <w:kern w:val="24"/>
          <w:sz w:val="24"/>
          <w:lang w:val="pt-BR"/>
        </w:rPr>
        <w:t>F</w:t>
      </w:r>
      <w:r w:rsidR="002F4319" w:rsidRPr="00167A35">
        <w:rPr>
          <w:rFonts w:ascii="Arial" w:hAnsi="Arial"/>
          <w:b/>
          <w:color w:val="17365D" w:themeColor="text2" w:themeShade="BF"/>
          <w:kern w:val="24"/>
          <w:sz w:val="24"/>
          <w:lang w:val="pt-BR"/>
        </w:rPr>
        <w:t>LUJO DE LA CCLIP</w:t>
      </w:r>
      <w:r w:rsidR="00952378" w:rsidRPr="00167A35">
        <w:rPr>
          <w:rFonts w:ascii="Arial" w:hAnsi="Arial"/>
          <w:b/>
          <w:color w:val="17365D" w:themeColor="text2" w:themeShade="BF"/>
          <w:kern w:val="24"/>
          <w:sz w:val="24"/>
          <w:lang w:val="pt-BR"/>
        </w:rPr>
        <w:t xml:space="preserve"> II</w:t>
      </w:r>
      <w:r w:rsidR="001D7852" w:rsidRPr="00167A35">
        <w:rPr>
          <w:rFonts w:ascii="Arial" w:hAnsi="Arial"/>
          <w:b/>
          <w:color w:val="17365D" w:themeColor="text2" w:themeShade="BF"/>
          <w:kern w:val="24"/>
          <w:sz w:val="24"/>
          <w:lang w:val="pt-BR"/>
        </w:rPr>
        <w:t xml:space="preserve"> </w:t>
      </w:r>
      <w:r w:rsidR="00AD298A" w:rsidRPr="00167A35">
        <w:rPr>
          <w:rFonts w:ascii="Arial" w:hAnsi="Arial"/>
          <w:b/>
          <w:color w:val="17365D" w:themeColor="text2" w:themeShade="BF"/>
          <w:kern w:val="24"/>
          <w:sz w:val="24"/>
          <w:lang w:val="pt-BR"/>
        </w:rPr>
        <w:t>BROU</w:t>
      </w:r>
      <w:r w:rsidR="002F4319" w:rsidRPr="00167A35">
        <w:rPr>
          <w:rFonts w:ascii="Arial" w:hAnsi="Arial"/>
          <w:b/>
          <w:color w:val="17365D" w:themeColor="text2" w:themeShade="BF"/>
          <w:kern w:val="24"/>
          <w:sz w:val="24"/>
          <w:lang w:val="pt-BR"/>
        </w:rPr>
        <w:t>-</w:t>
      </w:r>
      <w:r w:rsidR="001D7852" w:rsidRPr="00167A35">
        <w:rPr>
          <w:rFonts w:ascii="Arial" w:hAnsi="Arial"/>
          <w:b/>
          <w:color w:val="17365D" w:themeColor="text2" w:themeShade="BF"/>
          <w:kern w:val="24"/>
          <w:sz w:val="24"/>
          <w:lang w:val="pt-BR"/>
        </w:rPr>
        <w:t>BID</w:t>
      </w:r>
    </w:p>
    <w:p w14:paraId="1E378725" w14:textId="5917C3B2" w:rsidR="00CA46D4" w:rsidRPr="00167A35" w:rsidRDefault="00CA46D4" w:rsidP="00FC5AF8">
      <w:pPr>
        <w:jc w:val="center"/>
        <w:rPr>
          <w:lang w:val="pt-BR"/>
        </w:rPr>
      </w:pPr>
    </w:p>
    <w:p w14:paraId="7FBB60F2" w14:textId="5E9C0574" w:rsidR="00B751FD" w:rsidRPr="00167A35" w:rsidRDefault="00B751FD" w:rsidP="00FC5AF8">
      <w:pPr>
        <w:jc w:val="center"/>
        <w:rPr>
          <w:lang w:val="pt-BR"/>
        </w:rPr>
      </w:pPr>
    </w:p>
    <w:p w14:paraId="228A2A0E" w14:textId="586F36EE" w:rsidR="00B751FD" w:rsidRPr="00167A35" w:rsidRDefault="00B751FD" w:rsidP="00FC5AF8">
      <w:pPr>
        <w:jc w:val="center"/>
        <w:rPr>
          <w:lang w:val="pt-BR"/>
        </w:rPr>
      </w:pPr>
    </w:p>
    <w:p w14:paraId="3D9B2EBD" w14:textId="22D0A4C3" w:rsidR="00B751FD" w:rsidRPr="00167A35" w:rsidRDefault="00B751FD" w:rsidP="00FC5AF8">
      <w:pPr>
        <w:jc w:val="center"/>
        <w:rPr>
          <w:lang w:val="pt-BR"/>
        </w:rPr>
      </w:pPr>
    </w:p>
    <w:p w14:paraId="394D8B68" w14:textId="65CA5409" w:rsidR="00B751FD" w:rsidRPr="00167A35" w:rsidRDefault="00B751FD" w:rsidP="00FC5AF8">
      <w:pPr>
        <w:jc w:val="center"/>
        <w:rPr>
          <w:lang w:val="pt-BR"/>
        </w:rPr>
      </w:pPr>
    </w:p>
    <w:p w14:paraId="1E06C738" w14:textId="76F63ACF" w:rsidR="00B751FD" w:rsidRPr="00167A35" w:rsidRDefault="00B751FD" w:rsidP="00FC5AF8">
      <w:pPr>
        <w:jc w:val="center"/>
        <w:rPr>
          <w:lang w:val="pt-BR"/>
        </w:rPr>
      </w:pPr>
    </w:p>
    <w:p w14:paraId="5F3B0B43" w14:textId="312FA3C2" w:rsidR="00B751FD" w:rsidRPr="00167A35" w:rsidRDefault="00B751FD" w:rsidP="00FC5AF8">
      <w:pPr>
        <w:jc w:val="center"/>
        <w:rPr>
          <w:lang w:val="pt-BR"/>
        </w:rPr>
      </w:pPr>
    </w:p>
    <w:p w14:paraId="0BAA1515" w14:textId="71F67AD7" w:rsidR="00B751FD" w:rsidRPr="00167A35" w:rsidRDefault="00B751FD" w:rsidP="00FC5AF8">
      <w:pPr>
        <w:jc w:val="center"/>
        <w:rPr>
          <w:lang w:val="pt-BR"/>
        </w:rPr>
      </w:pPr>
    </w:p>
    <w:p w14:paraId="17D38DAF" w14:textId="1070C6EF" w:rsidR="00B751FD" w:rsidRPr="00167A35" w:rsidRDefault="00B751FD" w:rsidP="00FC5AF8">
      <w:pPr>
        <w:jc w:val="center"/>
        <w:rPr>
          <w:lang w:val="pt-BR"/>
        </w:rPr>
      </w:pPr>
    </w:p>
    <w:p w14:paraId="518C80E9" w14:textId="094D4BB8" w:rsidR="00B751FD" w:rsidRPr="00167A35" w:rsidRDefault="00B751FD" w:rsidP="00FC5AF8">
      <w:pPr>
        <w:jc w:val="center"/>
        <w:rPr>
          <w:lang w:val="pt-BR"/>
        </w:rPr>
      </w:pPr>
    </w:p>
    <w:p w14:paraId="755E956D" w14:textId="090F6C2B" w:rsidR="00B751FD" w:rsidRPr="00167A35" w:rsidRDefault="00B751FD" w:rsidP="00FC5AF8">
      <w:pPr>
        <w:jc w:val="center"/>
        <w:rPr>
          <w:lang w:val="pt-BR"/>
        </w:rPr>
      </w:pPr>
    </w:p>
    <w:p w14:paraId="2FB563A5" w14:textId="312817F8" w:rsidR="00B751FD" w:rsidRPr="00167A35" w:rsidRDefault="00B751FD" w:rsidP="00FC5AF8">
      <w:pPr>
        <w:jc w:val="center"/>
        <w:rPr>
          <w:lang w:val="pt-BR"/>
        </w:rPr>
      </w:pPr>
    </w:p>
    <w:p w14:paraId="6A2C58F0" w14:textId="2E9C88B6" w:rsidR="00B751FD" w:rsidRPr="00167A35" w:rsidRDefault="00B751FD" w:rsidP="00FC5AF8">
      <w:pPr>
        <w:jc w:val="center"/>
        <w:rPr>
          <w:lang w:val="pt-BR"/>
        </w:rPr>
      </w:pPr>
    </w:p>
    <w:p w14:paraId="46358A5B" w14:textId="77777777" w:rsidR="00B751FD" w:rsidRPr="00167A35" w:rsidRDefault="00B751FD" w:rsidP="00FC5AF8">
      <w:pPr>
        <w:jc w:val="center"/>
        <w:rPr>
          <w:lang w:val="pt-BR"/>
        </w:rPr>
      </w:pPr>
    </w:p>
    <w:p w14:paraId="76163945" w14:textId="342376C2" w:rsidR="0015505C" w:rsidRPr="00167A35" w:rsidRDefault="001C5556" w:rsidP="00D55FD9">
      <w:pPr>
        <w:pStyle w:val="AODocTxt"/>
        <w:numPr>
          <w:ilvl w:val="0"/>
          <w:numId w:val="0"/>
        </w:numPr>
        <w:spacing w:before="0" w:line="240" w:lineRule="auto"/>
        <w:jc w:val="center"/>
        <w:rPr>
          <w:rFonts w:ascii="Arial" w:hAnsi="Arial"/>
          <w:b/>
          <w:color w:val="17365D" w:themeColor="text2" w:themeShade="BF"/>
          <w:kern w:val="24"/>
          <w:sz w:val="24"/>
          <w:lang w:val="pt-BR"/>
        </w:rPr>
      </w:pPr>
      <w:r w:rsidRPr="00167A35">
        <w:rPr>
          <w:rFonts w:ascii="Arial" w:hAnsi="Arial"/>
          <w:b/>
          <w:color w:val="17365D" w:themeColor="text2" w:themeShade="BF"/>
          <w:kern w:val="24"/>
          <w:sz w:val="24"/>
          <w:lang w:val="pt-BR"/>
        </w:rPr>
        <w:t xml:space="preserve">ANEXO III: </w:t>
      </w:r>
      <w:r w:rsidR="008578C3" w:rsidRPr="00167A35">
        <w:rPr>
          <w:rFonts w:ascii="Arial" w:hAnsi="Arial"/>
          <w:b/>
          <w:color w:val="17365D" w:themeColor="text2" w:themeShade="BF"/>
          <w:kern w:val="24"/>
          <w:sz w:val="24"/>
          <w:lang w:val="pt-BR"/>
        </w:rPr>
        <w:t>MATRIZ DE RESPONSABILIDADES</w:t>
      </w:r>
    </w:p>
    <w:p w14:paraId="07EBB881" w14:textId="3BB358DA" w:rsidR="00B97815" w:rsidRPr="00167A35" w:rsidRDefault="00B751FD" w:rsidP="00B97815">
      <w:pPr>
        <w:pStyle w:val="AODocTxt"/>
        <w:numPr>
          <w:ilvl w:val="0"/>
          <w:numId w:val="0"/>
        </w:numPr>
        <w:spacing w:before="0" w:line="240" w:lineRule="auto"/>
        <w:rPr>
          <w:rFonts w:ascii="Arial" w:hAnsi="Arial"/>
          <w:b/>
          <w:color w:val="17365D" w:themeColor="text2" w:themeShade="BF"/>
          <w:kern w:val="24"/>
          <w:sz w:val="24"/>
          <w:lang w:val="pt-BR"/>
        </w:rPr>
      </w:pPr>
      <w:r w:rsidRPr="005A6ED4">
        <w:rPr>
          <w:noProof/>
          <w:lang w:val="es-ES_tradnl"/>
        </w:rPr>
        <w:drawing>
          <wp:anchor distT="0" distB="0" distL="114300" distR="114300" simplePos="0" relativeHeight="251659264" behindDoc="0" locked="0" layoutInCell="1" allowOverlap="1" wp14:anchorId="1E0B8FD0" wp14:editId="455CACD9">
            <wp:simplePos x="0" y="0"/>
            <wp:positionH relativeFrom="column">
              <wp:posOffset>-832180</wp:posOffset>
            </wp:positionH>
            <wp:positionV relativeFrom="paragraph">
              <wp:posOffset>314249</wp:posOffset>
            </wp:positionV>
            <wp:extent cx="7327875" cy="2310419"/>
            <wp:effectExtent l="0" t="0" r="698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27875" cy="23104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11DDCA" w14:textId="0E645F94" w:rsidR="00B97815" w:rsidRPr="00167A35" w:rsidRDefault="00B97815" w:rsidP="00B97815">
      <w:pPr>
        <w:pStyle w:val="AODocTxt"/>
        <w:numPr>
          <w:ilvl w:val="0"/>
          <w:numId w:val="0"/>
        </w:numPr>
        <w:spacing w:before="0" w:line="240" w:lineRule="auto"/>
        <w:rPr>
          <w:rFonts w:ascii="Arial" w:hAnsi="Arial"/>
          <w:b/>
          <w:sz w:val="24"/>
          <w:lang w:val="pt-BR"/>
        </w:rPr>
      </w:pPr>
    </w:p>
    <w:p w14:paraId="640C05E7" w14:textId="77777777" w:rsidR="00B97815" w:rsidRPr="00167A35" w:rsidRDefault="00B97815" w:rsidP="00CB5E86">
      <w:pPr>
        <w:jc w:val="center"/>
        <w:rPr>
          <w:rFonts w:ascii="Arial" w:hAnsi="Arial"/>
          <w:b/>
          <w:sz w:val="24"/>
          <w:lang w:val="pt-BR"/>
        </w:rPr>
      </w:pPr>
    </w:p>
    <w:p w14:paraId="7A49C2AC" w14:textId="77777777" w:rsidR="00487011" w:rsidRPr="00167A35" w:rsidRDefault="00487011" w:rsidP="00487011">
      <w:pPr>
        <w:jc w:val="center"/>
        <w:rPr>
          <w:rFonts w:ascii="Arial" w:hAnsi="Arial" w:cs="Arial"/>
          <w:b/>
          <w:bCs/>
          <w:caps/>
          <w:lang w:val="pt-BR"/>
        </w:rPr>
      </w:pPr>
      <w:r w:rsidRPr="00167A35">
        <w:rPr>
          <w:rFonts w:ascii="Arial" w:hAnsi="Arial" w:cs="Arial"/>
          <w:b/>
          <w:sz w:val="24"/>
          <w:szCs w:val="24"/>
          <w:lang w:val="pt-BR"/>
        </w:rPr>
        <w:t xml:space="preserve">Anexo IV </w:t>
      </w:r>
      <w:r w:rsidRPr="00167A35">
        <w:rPr>
          <w:rFonts w:ascii="Arial" w:hAnsi="Arial" w:cs="Arial"/>
          <w:b/>
          <w:bCs/>
          <w:caps/>
          <w:lang w:val="pt-BR"/>
        </w:rPr>
        <w:t>Marco de Gestion AMBIENTAL Y SOCIAL</w:t>
      </w:r>
    </w:p>
    <w:p w14:paraId="4DA00B12" w14:textId="74A1B280" w:rsidR="00071D2E" w:rsidRPr="00167A35" w:rsidRDefault="00071D2E" w:rsidP="00CB5E86">
      <w:pPr>
        <w:jc w:val="center"/>
        <w:rPr>
          <w:rFonts w:ascii="Arial" w:hAnsi="Arial" w:cs="Arial"/>
          <w:b/>
          <w:sz w:val="24"/>
          <w:szCs w:val="24"/>
          <w:lang w:val="pt-BR"/>
        </w:rPr>
      </w:pPr>
    </w:p>
    <w:p w14:paraId="19B34F14" w14:textId="77777777" w:rsidR="00487011" w:rsidRPr="00167A35" w:rsidRDefault="00487011" w:rsidP="00487011">
      <w:pPr>
        <w:rPr>
          <w:lang w:val="pt-BR"/>
        </w:rPr>
      </w:pPr>
      <w:bookmarkStart w:id="70" w:name="_Toc168066102"/>
    </w:p>
    <w:p w14:paraId="0EED78C7" w14:textId="77777777" w:rsidR="00487011" w:rsidRPr="00987A3D" w:rsidRDefault="00487011" w:rsidP="00487011">
      <w:pPr>
        <w:rPr>
          <w:rFonts w:ascii="Arial" w:hAnsi="Arial" w:cs="Arial"/>
          <w:b/>
          <w:bCs/>
          <w:sz w:val="22"/>
          <w:szCs w:val="22"/>
          <w:lang w:val="es-ES"/>
        </w:rPr>
      </w:pPr>
      <w:r w:rsidRPr="00987A3D">
        <w:rPr>
          <w:rFonts w:ascii="Arial" w:hAnsi="Arial" w:cs="Arial"/>
          <w:b/>
          <w:bCs/>
          <w:sz w:val="22"/>
          <w:szCs w:val="22"/>
          <w:lang w:val="es-ES"/>
        </w:rPr>
        <w:t>ANTECEDENTES</w:t>
      </w:r>
    </w:p>
    <w:p w14:paraId="473F1AD9" w14:textId="6E4FCAD4" w:rsidR="00487011" w:rsidRPr="00987A3D" w:rsidRDefault="00487011" w:rsidP="00487011">
      <w:pPr>
        <w:pStyle w:val="ListParagraph"/>
        <w:numPr>
          <w:ilvl w:val="1"/>
          <w:numId w:val="21"/>
        </w:numPr>
        <w:tabs>
          <w:tab w:val="clear" w:pos="1296"/>
        </w:tabs>
        <w:ind w:left="720"/>
        <w:contextualSpacing/>
        <w:jc w:val="both"/>
        <w:rPr>
          <w:rFonts w:ascii="Arial" w:hAnsi="Arial" w:cs="Arial"/>
          <w:sz w:val="22"/>
          <w:szCs w:val="22"/>
          <w:lang w:val="es-ES_tradnl"/>
        </w:rPr>
      </w:pPr>
      <w:r w:rsidRPr="00987A3D">
        <w:rPr>
          <w:rFonts w:ascii="Arial" w:hAnsi="Arial" w:cs="Arial"/>
          <w:sz w:val="22"/>
          <w:szCs w:val="22"/>
          <w:lang w:val="es-ES_tradnl"/>
        </w:rPr>
        <w:t>Este programa es la segunda operación bajo la CCLIP</w:t>
      </w:r>
      <w:r w:rsidR="00987A3D" w:rsidRPr="00987A3D">
        <w:rPr>
          <w:rFonts w:ascii="Arial" w:hAnsi="Arial" w:cs="Arial"/>
          <w:sz w:val="22"/>
          <w:szCs w:val="22"/>
          <w:lang w:val="es-ES_tradnl"/>
        </w:rPr>
        <w:t xml:space="preserve"> </w:t>
      </w:r>
      <w:r w:rsidRPr="00987A3D">
        <w:rPr>
          <w:rFonts w:ascii="Arial" w:hAnsi="Arial" w:cs="Arial"/>
          <w:sz w:val="22"/>
          <w:szCs w:val="22"/>
          <w:lang w:val="es-ES_tradnl"/>
        </w:rPr>
        <w:t>para el financiamiento del desarrollo productivo, que pretende contribuir a corregir el déficit de financiamiento a largo plazo en el país, que constituye uno de los principales obstáculos a la capitalización de la economía y al crecimiento de la productividad. Este segundo programa siguiendo el éxito de la primera operación UR-L1099, busca proveer fondeo de mediano y largo plazo al Banco de la República Oriental del Uruguay</w:t>
      </w:r>
      <w:r w:rsidRPr="00987A3D">
        <w:rPr>
          <w:rFonts w:ascii="Arial" w:hAnsi="Arial" w:cs="Arial"/>
          <w:sz w:val="22"/>
          <w:szCs w:val="22"/>
          <w:vertAlign w:val="superscript"/>
          <w:lang w:val="es-ES_tradnl"/>
        </w:rPr>
        <w:footnoteReference w:id="7"/>
      </w:r>
      <w:r w:rsidR="00987A3D" w:rsidRPr="00987A3D">
        <w:rPr>
          <w:rFonts w:ascii="Arial" w:hAnsi="Arial" w:cs="Arial"/>
          <w:sz w:val="22"/>
          <w:szCs w:val="22"/>
          <w:lang w:val="es-ES_tradnl"/>
        </w:rPr>
        <w:t> </w:t>
      </w:r>
      <w:r w:rsidRPr="00987A3D">
        <w:rPr>
          <w:rFonts w:ascii="Arial" w:hAnsi="Arial" w:cs="Arial"/>
          <w:sz w:val="22"/>
          <w:szCs w:val="22"/>
          <w:lang w:val="es-ES_tradnl"/>
        </w:rPr>
        <w:t xml:space="preserve">(BROU),  Esta segunda operación bajo la Línea proveerá financiamiento de mediano y largo plazo a través del BROU dirigido a financiar inversión en capital productivo de sectores estratégicos, como el sector agroforestal, e inversión en infraestructura a través de diferentes esquemas como la participación pública privada (PPP) o </w:t>
      </w:r>
      <w:r w:rsidRPr="00987A3D">
        <w:rPr>
          <w:rFonts w:ascii="Arial" w:hAnsi="Arial" w:cs="Arial"/>
          <w:i/>
          <w:sz w:val="22"/>
          <w:szCs w:val="22"/>
          <w:lang w:val="es-ES_tradnl"/>
        </w:rPr>
        <w:t>Project finance</w:t>
      </w:r>
      <w:r w:rsidRPr="00987A3D">
        <w:rPr>
          <w:rFonts w:ascii="Arial" w:hAnsi="Arial" w:cs="Arial"/>
          <w:sz w:val="22"/>
          <w:szCs w:val="22"/>
          <w:lang w:val="es-ES_tradnl"/>
        </w:rPr>
        <w:t xml:space="preserve">.  </w:t>
      </w:r>
    </w:p>
    <w:p w14:paraId="5AF5C548" w14:textId="77777777" w:rsidR="00487011" w:rsidRPr="00987A3D" w:rsidRDefault="00487011" w:rsidP="00487011">
      <w:pPr>
        <w:jc w:val="both"/>
        <w:rPr>
          <w:rFonts w:ascii="Arial" w:hAnsi="Arial" w:cs="Arial"/>
          <w:sz w:val="22"/>
          <w:szCs w:val="22"/>
          <w:lang w:val="it-IT" w:eastAsia="it-IT"/>
        </w:rPr>
      </w:pPr>
    </w:p>
    <w:p w14:paraId="219E3BD1"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El BROU tiene como mandato brindar servicios financieros a la población, estimular el ahorro y fomentar la producción de bienes y servicios contribuyendo al desarrollo productivo, económico y social del país. De entre las áreas de dicho mandato, este programa focaliza los recursos del Banco hacia el desarrollo productivo en dos campos: infraestructura y la inversión productiva de las empresas.</w:t>
      </w:r>
    </w:p>
    <w:p w14:paraId="4E69808A"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 xml:space="preserve">La necesidad de ampliar la oferta de financiamiento a largo plazo al sector productivo uruguayo se apoya también en lecciones aprendidas resultantes de otras operaciones del BID en Uruguay. En particular, la operación se benefició de los diagnósticos sobre el sector productivo y el crecimiento en UR-L1076 (Programa de Posicionamiento Estratégico Internacional), así como también  de los análisis </w:t>
      </w:r>
      <w:r w:rsidRPr="00987A3D">
        <w:rPr>
          <w:rFonts w:ascii="Arial" w:hAnsi="Arial" w:cs="Arial"/>
          <w:sz w:val="22"/>
          <w:szCs w:val="22"/>
        </w:rPr>
        <w:lastRenderedPageBreak/>
        <w:t>realizados para el  Programa de Innovación para el Desarrollo Productivo, (UR-L1096) actualmente en preparación; del trabajo sectorial y lecciones aprendidas obtenidas en proyectos como UR-L1070 (Proyecto de Generación Eléctrica Ciclo Combinado Punta del Tigre), así como intervenciones desde la ventanilla privada: UR-L1077 (El libertador Wind Project), UR-L1080 (Palmatir Wind Project); UR-L1086 (proyecto Eolico Carape I &amp;II), y del acompañamiento técnico a través de varias asistencias técnicas (UR-T1102 Support for the Development of LNG in Uruguay).</w:t>
      </w:r>
      <w:r w:rsidRPr="00987A3D">
        <w:rPr>
          <w:rFonts w:ascii="Arial" w:hAnsi="Arial" w:cs="Arial"/>
          <w:sz w:val="22"/>
          <w:szCs w:val="22"/>
        </w:rPr>
        <w:tab/>
      </w:r>
    </w:p>
    <w:p w14:paraId="40751024" w14:textId="77777777" w:rsidR="00487011" w:rsidRPr="00987A3D" w:rsidRDefault="00487011" w:rsidP="00487011">
      <w:pPr>
        <w:pStyle w:val="Heading2"/>
        <w:numPr>
          <w:ilvl w:val="0"/>
          <w:numId w:val="0"/>
        </w:numPr>
        <w:rPr>
          <w:rFonts w:cs="Arial"/>
          <w:bCs/>
          <w:i w:val="0"/>
          <w:sz w:val="22"/>
          <w:szCs w:val="22"/>
          <w:lang w:val="es-ES"/>
        </w:rPr>
      </w:pPr>
      <w:r w:rsidRPr="00987A3D">
        <w:rPr>
          <w:rFonts w:cs="Arial"/>
          <w:bCs/>
          <w:i w:val="0"/>
          <w:sz w:val="22"/>
          <w:szCs w:val="22"/>
          <w:lang w:val="es-ES"/>
        </w:rPr>
        <w:t xml:space="preserve">OBJETIVOS </w:t>
      </w:r>
    </w:p>
    <w:p w14:paraId="65F8FF08"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El objetivo de este documento es establecer el marco para una adecuada gestión ambiental y social del Programa en base al cumplimiento de la normativa ambiental y social vigente en el país y a las políticas ambientales y sociales del Banco, considerando las características ambientales y sociales relevantes de las áreas a intervenir y el tipo de intervenciones a realizar con los proyectos.</w:t>
      </w:r>
    </w:p>
    <w:p w14:paraId="1C5CBA76" w14:textId="77777777" w:rsidR="00487011" w:rsidRPr="00987A3D" w:rsidRDefault="00487011" w:rsidP="007B5C86">
      <w:pPr>
        <w:pStyle w:val="Paragraph"/>
        <w:numPr>
          <w:ilvl w:val="0"/>
          <w:numId w:val="0"/>
        </w:numPr>
        <w:rPr>
          <w:rFonts w:ascii="Arial" w:hAnsi="Arial" w:cs="Arial"/>
          <w:sz w:val="22"/>
          <w:szCs w:val="22"/>
        </w:rPr>
      </w:pPr>
    </w:p>
    <w:p w14:paraId="2C6A1191" w14:textId="77777777" w:rsidR="00487011" w:rsidRPr="00987A3D" w:rsidRDefault="00487011" w:rsidP="007B5C86">
      <w:pPr>
        <w:pStyle w:val="Paragraph"/>
        <w:numPr>
          <w:ilvl w:val="0"/>
          <w:numId w:val="0"/>
        </w:numPr>
        <w:rPr>
          <w:rFonts w:ascii="Arial" w:hAnsi="Arial" w:cs="Arial"/>
          <w:b/>
          <w:bCs/>
          <w:sz w:val="22"/>
          <w:szCs w:val="22"/>
          <w:lang w:val="es-ES"/>
        </w:rPr>
      </w:pPr>
      <w:r w:rsidRPr="00987A3D">
        <w:rPr>
          <w:rFonts w:ascii="Arial" w:hAnsi="Arial" w:cs="Arial"/>
          <w:b/>
          <w:bCs/>
          <w:sz w:val="22"/>
          <w:szCs w:val="22"/>
          <w:lang w:val="es-ES"/>
        </w:rPr>
        <w:t xml:space="preserve">DESCRIPCIÓN DE LA OPERACIÓN </w:t>
      </w:r>
    </w:p>
    <w:p w14:paraId="7C30B333" w14:textId="77777777" w:rsidR="00487011" w:rsidRPr="00987A3D" w:rsidRDefault="00487011" w:rsidP="00487011">
      <w:pPr>
        <w:pStyle w:val="Paragraph"/>
        <w:numPr>
          <w:ilvl w:val="1"/>
          <w:numId w:val="21"/>
        </w:numPr>
        <w:tabs>
          <w:tab w:val="clear" w:pos="1296"/>
          <w:tab w:val="num" w:pos="720"/>
          <w:tab w:val="num" w:pos="2448"/>
        </w:tabs>
        <w:ind w:left="720" w:hanging="720"/>
        <w:rPr>
          <w:rFonts w:ascii="Arial" w:hAnsi="Arial" w:cs="Arial"/>
          <w:sz w:val="22"/>
          <w:szCs w:val="22"/>
        </w:rPr>
      </w:pPr>
      <w:r w:rsidRPr="00987A3D">
        <w:rPr>
          <w:rFonts w:ascii="Arial" w:hAnsi="Arial" w:cs="Arial"/>
          <w:sz w:val="22"/>
          <w:szCs w:val="22"/>
        </w:rPr>
        <w:t>La Línea de CCLIP y de esta segunda operación es promover la inversión en infraestructuras y la inversión productiva de empresas, mediante la provisión de financiamiento de mediano y largo plazo a través del BROU. La CCLIP tiene un monto total de US$ 250 millones de los cuales US$50 millones estarán destinados a la segunda operación.</w:t>
      </w:r>
    </w:p>
    <w:p w14:paraId="7357AF53" w14:textId="1CBB77AC" w:rsidR="00487011" w:rsidRPr="00987A3D" w:rsidRDefault="00487011" w:rsidP="00487011">
      <w:pPr>
        <w:pStyle w:val="Paragraph"/>
        <w:numPr>
          <w:ilvl w:val="1"/>
          <w:numId w:val="21"/>
        </w:numPr>
        <w:tabs>
          <w:tab w:val="clear" w:pos="1296"/>
          <w:tab w:val="num" w:pos="720"/>
          <w:tab w:val="num" w:pos="2448"/>
        </w:tabs>
        <w:ind w:left="720" w:hanging="720"/>
        <w:rPr>
          <w:rFonts w:ascii="Arial" w:hAnsi="Arial" w:cs="Arial"/>
          <w:sz w:val="22"/>
          <w:szCs w:val="22"/>
        </w:rPr>
      </w:pPr>
      <w:r w:rsidRPr="00987A3D">
        <w:rPr>
          <w:rFonts w:ascii="Arial" w:hAnsi="Arial" w:cs="Arial"/>
          <w:sz w:val="22"/>
          <w:szCs w:val="22"/>
          <w:lang w:val="it-IT" w:eastAsia="it-IT"/>
        </w:rPr>
        <w:t xml:space="preserve">Esta segunda operación bajo la Línea proveerá financiamiento de mediano y largo plazo a través del BROU dirigido a financiar inversión en capital productivo de sectores estratégicos, como el sector agroforestal, e inversión en infraestructura a través de diferentes esquemas como la participación pública privada (PPP) o Project finance.  </w:t>
      </w:r>
      <w:r w:rsidRPr="00987A3D">
        <w:rPr>
          <w:rFonts w:ascii="Arial" w:hAnsi="Arial" w:cs="Arial"/>
          <w:sz w:val="22"/>
          <w:szCs w:val="22"/>
        </w:rPr>
        <w:t xml:space="preserve">La segunda operación se va a focalizar en dos objetivos específicos: </w:t>
      </w:r>
      <w:r w:rsidR="0087057A">
        <w:rPr>
          <w:rFonts w:ascii="Arial" w:hAnsi="Arial" w:cs="Arial"/>
          <w:sz w:val="22"/>
          <w:szCs w:val="22"/>
        </w:rPr>
        <w:t>(</w:t>
      </w:r>
      <w:r w:rsidRPr="00987A3D">
        <w:rPr>
          <w:rFonts w:ascii="Arial" w:hAnsi="Arial" w:cs="Arial"/>
          <w:sz w:val="22"/>
          <w:szCs w:val="22"/>
        </w:rPr>
        <w:t>i)</w:t>
      </w:r>
      <w:r w:rsidR="0087057A">
        <w:rPr>
          <w:rFonts w:ascii="Arial" w:hAnsi="Arial" w:cs="Arial"/>
          <w:sz w:val="22"/>
          <w:szCs w:val="22"/>
        </w:rPr>
        <w:t> </w:t>
      </w:r>
      <w:r w:rsidRPr="00987A3D">
        <w:rPr>
          <w:rFonts w:ascii="Arial" w:hAnsi="Arial" w:cs="Arial"/>
          <w:sz w:val="22"/>
          <w:szCs w:val="22"/>
        </w:rPr>
        <w:t>facilitar inversiones de crédito productivo para empresas agroforestales (y de sectores asociados)</w:t>
      </w:r>
      <w:r w:rsidR="0087057A">
        <w:rPr>
          <w:rFonts w:ascii="Arial" w:hAnsi="Arial" w:cs="Arial"/>
          <w:sz w:val="22"/>
          <w:szCs w:val="22"/>
        </w:rPr>
        <w:t>;</w:t>
      </w:r>
      <w:r w:rsidRPr="00987A3D">
        <w:rPr>
          <w:rFonts w:ascii="Arial" w:hAnsi="Arial" w:cs="Arial"/>
          <w:sz w:val="22"/>
          <w:szCs w:val="22"/>
        </w:rPr>
        <w:t xml:space="preserve"> y </w:t>
      </w:r>
      <w:r w:rsidR="0087057A">
        <w:rPr>
          <w:rFonts w:ascii="Arial" w:hAnsi="Arial" w:cs="Arial"/>
          <w:sz w:val="22"/>
          <w:szCs w:val="22"/>
        </w:rPr>
        <w:t>(</w:t>
      </w:r>
      <w:proofErr w:type="spellStart"/>
      <w:r w:rsidRPr="00987A3D">
        <w:rPr>
          <w:rFonts w:ascii="Arial" w:hAnsi="Arial" w:cs="Arial"/>
          <w:sz w:val="22"/>
          <w:szCs w:val="22"/>
        </w:rPr>
        <w:t>ii</w:t>
      </w:r>
      <w:proofErr w:type="spellEnd"/>
      <w:r w:rsidRPr="00987A3D">
        <w:rPr>
          <w:rFonts w:ascii="Arial" w:hAnsi="Arial" w:cs="Arial"/>
          <w:sz w:val="22"/>
          <w:szCs w:val="22"/>
        </w:rPr>
        <w:t>) posibilitar inversiones de infraestructura productiva privada. Con esa finalidad, esta operación tendrá dos componentes: Componente I (aproximadamente US$15 millones) irá dirigido a fondear al BROU para financiar préstamos de inversión productiva de medio y largo plazo para empresas agroforestales y de industrias asociadas. Componente II (aproximadamente US$35</w:t>
      </w:r>
      <w:r w:rsidR="0087057A">
        <w:rPr>
          <w:rFonts w:ascii="Arial" w:hAnsi="Arial" w:cs="Arial"/>
          <w:sz w:val="22"/>
          <w:szCs w:val="22"/>
        </w:rPr>
        <w:t> </w:t>
      </w:r>
      <w:r w:rsidRPr="00987A3D">
        <w:rPr>
          <w:rFonts w:ascii="Arial" w:hAnsi="Arial" w:cs="Arial"/>
          <w:sz w:val="22"/>
          <w:szCs w:val="22"/>
        </w:rPr>
        <w:t>millones) irá dirigido a financiar operaciones de infraestructura productiva privada.</w:t>
      </w:r>
    </w:p>
    <w:p w14:paraId="05EDF07A" w14:textId="718DA123" w:rsidR="00487011" w:rsidRPr="00987A3D" w:rsidRDefault="00487011" w:rsidP="00487011">
      <w:pPr>
        <w:pStyle w:val="Paragraph"/>
        <w:numPr>
          <w:ilvl w:val="1"/>
          <w:numId w:val="21"/>
        </w:numPr>
        <w:tabs>
          <w:tab w:val="clear" w:pos="1296"/>
          <w:tab w:val="num" w:pos="720"/>
          <w:tab w:val="num" w:pos="2448"/>
        </w:tabs>
        <w:ind w:left="720" w:hanging="720"/>
        <w:rPr>
          <w:rFonts w:ascii="Arial" w:hAnsi="Arial" w:cs="Arial"/>
          <w:sz w:val="22"/>
          <w:szCs w:val="22"/>
        </w:rPr>
      </w:pPr>
      <w:r w:rsidRPr="00987A3D">
        <w:rPr>
          <w:rFonts w:ascii="Arial" w:hAnsi="Arial" w:cs="Arial"/>
          <w:sz w:val="22"/>
          <w:szCs w:val="22"/>
          <w:lang w:val="it-IT" w:eastAsia="it-IT"/>
        </w:rPr>
        <w:t>Cabe mencionar que ya se ha tenido experiencia con el BROU a través de la implementación de la operación UR-L1099, que buscó contribuir a la diversificación de la matriz energética del U</w:t>
      </w:r>
      <w:r w:rsidR="00A17329">
        <w:rPr>
          <w:rFonts w:ascii="Arial" w:hAnsi="Arial" w:cs="Arial"/>
          <w:sz w:val="22"/>
          <w:szCs w:val="22"/>
          <w:lang w:val="it-IT" w:eastAsia="it-IT"/>
        </w:rPr>
        <w:t>q</w:t>
      </w:r>
      <w:r w:rsidRPr="00987A3D">
        <w:rPr>
          <w:rFonts w:ascii="Arial" w:hAnsi="Arial" w:cs="Arial"/>
          <w:sz w:val="22"/>
          <w:szCs w:val="22"/>
          <w:lang w:val="it-IT" w:eastAsia="it-IT"/>
        </w:rPr>
        <w:t xml:space="preserve">ruguay proveyendo acceso a financiamiento de plantas de generación eléctrica a partir de energía renovable de forma eólica, y  apoyar el fortalecimiento de la competitividad mediante la canalización de financiamiento para la inversión productiva, en particular al sector agrícola. Como parte de la implementación de este programa se le financió al BROU un Sistema de Gestión Ambiental y Social (SGAS), el cual han estado viniendo implementando de buena manera. Asimismo se trabajará en las brechas que se encontraron en cuestión socioambiental, durante la última operación para mejorarlo. </w:t>
      </w:r>
    </w:p>
    <w:p w14:paraId="142F2C66" w14:textId="77777777" w:rsidR="00487011" w:rsidRPr="00987A3D" w:rsidRDefault="00487011" w:rsidP="00487011">
      <w:pPr>
        <w:pStyle w:val="Paragraph"/>
        <w:numPr>
          <w:ilvl w:val="1"/>
          <w:numId w:val="21"/>
        </w:numPr>
        <w:tabs>
          <w:tab w:val="clear" w:pos="1296"/>
          <w:tab w:val="num" w:pos="720"/>
          <w:tab w:val="num" w:pos="2448"/>
        </w:tabs>
        <w:ind w:left="720" w:hanging="720"/>
        <w:rPr>
          <w:rFonts w:ascii="Arial" w:hAnsi="Arial" w:cs="Arial"/>
          <w:sz w:val="22"/>
          <w:szCs w:val="22"/>
        </w:rPr>
      </w:pPr>
      <w:r w:rsidRPr="00987A3D">
        <w:rPr>
          <w:rFonts w:ascii="Arial" w:hAnsi="Arial" w:cs="Arial"/>
          <w:sz w:val="22"/>
          <w:szCs w:val="22"/>
          <w:lang w:val="it-IT" w:eastAsia="it-IT"/>
        </w:rPr>
        <w:t xml:space="preserve">En base a los componentes que se han identificado como lo son el agroforestal, donde se pretende que los beneficiarios de los préstamos del BROU compren tierras </w:t>
      </w:r>
      <w:r w:rsidRPr="00987A3D">
        <w:rPr>
          <w:rFonts w:ascii="Arial" w:hAnsi="Arial" w:cs="Arial"/>
          <w:sz w:val="22"/>
          <w:szCs w:val="22"/>
          <w:lang w:val="it-IT" w:eastAsia="it-IT"/>
        </w:rPr>
        <w:lastRenderedPageBreak/>
        <w:t xml:space="preserve">que han sido forestadas o se adquieran tierras para su propia reforestación, mayoritariamiente, utilizando eucaliptos para la explotación maderable. </w:t>
      </w:r>
    </w:p>
    <w:p w14:paraId="70C701BE" w14:textId="77777777" w:rsidR="00487011" w:rsidRPr="00987A3D" w:rsidRDefault="00487011" w:rsidP="00487011">
      <w:pPr>
        <w:pStyle w:val="Paragraph"/>
        <w:numPr>
          <w:ilvl w:val="1"/>
          <w:numId w:val="21"/>
        </w:numPr>
        <w:tabs>
          <w:tab w:val="clear" w:pos="1296"/>
          <w:tab w:val="num" w:pos="720"/>
          <w:tab w:val="num" w:pos="2448"/>
        </w:tabs>
        <w:ind w:left="720" w:hanging="720"/>
        <w:rPr>
          <w:rFonts w:ascii="Arial" w:hAnsi="Arial" w:cs="Arial"/>
          <w:sz w:val="22"/>
          <w:szCs w:val="22"/>
        </w:rPr>
      </w:pPr>
      <w:r w:rsidRPr="00987A3D">
        <w:rPr>
          <w:rFonts w:ascii="Arial" w:hAnsi="Arial" w:cs="Arial"/>
          <w:sz w:val="22"/>
          <w:szCs w:val="22"/>
          <w:lang w:val="it-IT" w:eastAsia="it-IT"/>
        </w:rPr>
        <w:t xml:space="preserve">Se acordó que antes del inicio de las obras se adaptará el SGAS para cerciorarse que la nueva tipología de proyectos pueda ser cubierta con el mismo. Para esto el Banco a través de una cooperacion tecnica estará apoyando al BROU en esta adaptación del SGAS. </w:t>
      </w:r>
    </w:p>
    <w:p w14:paraId="1D9ADB2C" w14:textId="77777777" w:rsidR="00487011" w:rsidRPr="00987A3D" w:rsidRDefault="00487011" w:rsidP="00487011">
      <w:pPr>
        <w:pStyle w:val="Paragraph"/>
        <w:numPr>
          <w:ilvl w:val="1"/>
          <w:numId w:val="21"/>
        </w:numPr>
        <w:tabs>
          <w:tab w:val="clear" w:pos="1296"/>
          <w:tab w:val="num" w:pos="720"/>
          <w:tab w:val="num" w:pos="2448"/>
        </w:tabs>
        <w:ind w:left="720" w:hanging="720"/>
        <w:rPr>
          <w:rFonts w:ascii="Arial" w:hAnsi="Arial" w:cs="Arial"/>
          <w:sz w:val="22"/>
          <w:szCs w:val="22"/>
        </w:rPr>
      </w:pPr>
      <w:r w:rsidRPr="00987A3D">
        <w:rPr>
          <w:rFonts w:ascii="Arial" w:hAnsi="Arial" w:cs="Arial"/>
          <w:sz w:val="22"/>
          <w:szCs w:val="22"/>
          <w:lang w:val="it-IT" w:eastAsia="it-IT"/>
        </w:rPr>
        <w:t xml:space="preserve">El BROU cuenta con funcionarios dedicados a la gestión ambiental y social de los proyectos en las divisiones de Empresa y Agropecuaria. Estos últimos cuentan con gran experiencia en el tema ya que han trabajado en el proceso de certificación de calidad ISO 9001- 2008 para la estandarización de los formularios ambientales y sociales en el proceso crediticio. Se realizará un Reglamento Operativo el cual incluirá el SGAS mediante el cual el Organismo Ejecutor identificará, evaluará, categorizará, mitigará y dará seguimiento a los impactos y riesgos de los proyectos apoyados, asegurando el cumplimiento de las normas aplicables de la legislación nacional y de las Políticas de Salvaguardas del Banco.  </w:t>
      </w:r>
    </w:p>
    <w:p w14:paraId="58D6F848" w14:textId="77777777" w:rsidR="00487011" w:rsidRPr="00987A3D" w:rsidRDefault="00487011" w:rsidP="00487011">
      <w:pPr>
        <w:pStyle w:val="Heading2"/>
        <w:numPr>
          <w:ilvl w:val="0"/>
          <w:numId w:val="0"/>
        </w:numPr>
        <w:rPr>
          <w:rFonts w:cs="Arial"/>
          <w:bCs/>
          <w:i w:val="0"/>
          <w:sz w:val="22"/>
          <w:szCs w:val="22"/>
          <w:lang w:val="es-ES"/>
        </w:rPr>
      </w:pPr>
      <w:r w:rsidRPr="00987A3D">
        <w:rPr>
          <w:rFonts w:cs="Arial"/>
          <w:bCs/>
          <w:i w:val="0"/>
          <w:sz w:val="22"/>
          <w:szCs w:val="22"/>
          <w:lang w:val="es-ES"/>
        </w:rPr>
        <w:t>MEDIDAS DE MITIGACIÓN Y PREVENCIÓN DE IMPACTO AMBIENTAL Y SOCIAL – SISTEMA DE GESTIÓN AMBIENTAL PARA EL PROGRAMA</w:t>
      </w:r>
    </w:p>
    <w:p w14:paraId="49FFBF11"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bookmarkStart w:id="71" w:name="_Toc168066103"/>
      <w:bookmarkEnd w:id="70"/>
      <w:r w:rsidRPr="00987A3D">
        <w:rPr>
          <w:rFonts w:ascii="Arial" w:hAnsi="Arial" w:cs="Arial"/>
          <w:sz w:val="22"/>
          <w:szCs w:val="22"/>
        </w:rPr>
        <w:t xml:space="preserve">La ejecución de la operación se regirá por un Reglamento Operativo del Programa (ROP), a través del cual se establecerán los criterios para selección de los proyectos, una tipología de proyectos elegibles, los estudios y requerimientos necesarios para cada tipo de proyecto, condiciones para otorgar financiamiento, restricciones para el uso de los recursos y la relación entre la entidad financiera y ejecutora. </w:t>
      </w:r>
    </w:p>
    <w:p w14:paraId="7351D201" w14:textId="042DED4C"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 xml:space="preserve">El ROP incluirá el Sistema de Gestión Ambiental y Social (SGAS) mediante el cual el Organismo Ejecutor (OE) identificará, evaluará, categorizará, mitigará y dará seguimiento a los impactos y riesgos de los proyectos seleccionados, asegurando el cumplimiento de las normas aplicables de la legislación nacional y de las Políticas de Salvaguardas del Banco.  El SGAS contará con requerimientos que aseguren el cumplimiento con: </w:t>
      </w:r>
      <w:r w:rsidR="0087057A">
        <w:rPr>
          <w:rFonts w:ascii="Arial" w:hAnsi="Arial" w:cs="Arial"/>
          <w:sz w:val="22"/>
          <w:szCs w:val="22"/>
        </w:rPr>
        <w:t>(</w:t>
      </w:r>
      <w:r w:rsidRPr="00987A3D">
        <w:rPr>
          <w:rFonts w:ascii="Arial" w:hAnsi="Arial" w:cs="Arial"/>
          <w:sz w:val="22"/>
          <w:szCs w:val="22"/>
        </w:rPr>
        <w:t>i) todas las políticas ambientales, sociales, de salud, seguridad y laborales aplicables requeridas en Uruguay</w:t>
      </w:r>
      <w:r w:rsidR="0087057A">
        <w:rPr>
          <w:rFonts w:ascii="Arial" w:hAnsi="Arial" w:cs="Arial"/>
          <w:sz w:val="22"/>
          <w:szCs w:val="22"/>
        </w:rPr>
        <w:t>;</w:t>
      </w:r>
      <w:r w:rsidRPr="00987A3D">
        <w:rPr>
          <w:rFonts w:ascii="Arial" w:hAnsi="Arial" w:cs="Arial"/>
          <w:sz w:val="22"/>
          <w:szCs w:val="22"/>
        </w:rPr>
        <w:t xml:space="preserve"> </w:t>
      </w:r>
      <w:r w:rsidR="0087057A">
        <w:rPr>
          <w:rFonts w:ascii="Arial" w:hAnsi="Arial" w:cs="Arial"/>
          <w:sz w:val="22"/>
          <w:szCs w:val="22"/>
        </w:rPr>
        <w:t>(</w:t>
      </w:r>
      <w:proofErr w:type="spellStart"/>
      <w:r w:rsidRPr="00987A3D">
        <w:rPr>
          <w:rFonts w:ascii="Arial" w:hAnsi="Arial" w:cs="Arial"/>
          <w:sz w:val="22"/>
          <w:szCs w:val="22"/>
        </w:rPr>
        <w:t>ii</w:t>
      </w:r>
      <w:proofErr w:type="spellEnd"/>
      <w:r w:rsidRPr="00987A3D">
        <w:rPr>
          <w:rFonts w:ascii="Arial" w:hAnsi="Arial" w:cs="Arial"/>
          <w:sz w:val="22"/>
          <w:szCs w:val="22"/>
        </w:rPr>
        <w:t>) el listado de actividades excluidas de financiamiento del BID</w:t>
      </w:r>
      <w:r w:rsidR="0087057A">
        <w:rPr>
          <w:rFonts w:ascii="Arial" w:hAnsi="Arial" w:cs="Arial"/>
          <w:sz w:val="22"/>
          <w:szCs w:val="22"/>
        </w:rPr>
        <w:t>;</w:t>
      </w:r>
      <w:r w:rsidRPr="00987A3D">
        <w:rPr>
          <w:rFonts w:ascii="Arial" w:hAnsi="Arial" w:cs="Arial"/>
          <w:sz w:val="22"/>
          <w:szCs w:val="22"/>
        </w:rPr>
        <w:t xml:space="preserve"> </w:t>
      </w:r>
      <w:r w:rsidR="0087057A">
        <w:rPr>
          <w:rFonts w:ascii="Arial" w:hAnsi="Arial" w:cs="Arial"/>
          <w:sz w:val="22"/>
          <w:szCs w:val="22"/>
        </w:rPr>
        <w:t>(</w:t>
      </w:r>
      <w:proofErr w:type="spellStart"/>
      <w:r w:rsidRPr="00987A3D">
        <w:rPr>
          <w:rFonts w:ascii="Arial" w:hAnsi="Arial" w:cs="Arial"/>
          <w:sz w:val="22"/>
          <w:szCs w:val="22"/>
        </w:rPr>
        <w:t>iii</w:t>
      </w:r>
      <w:proofErr w:type="spellEnd"/>
      <w:r w:rsidRPr="00987A3D">
        <w:rPr>
          <w:rFonts w:ascii="Arial" w:hAnsi="Arial" w:cs="Arial"/>
          <w:sz w:val="22"/>
          <w:szCs w:val="22"/>
        </w:rPr>
        <w:t>) los Principios y Derechos Fundamentales en el Trabajo</w:t>
      </w:r>
      <w:r w:rsidR="0087057A">
        <w:rPr>
          <w:rFonts w:ascii="Arial" w:hAnsi="Arial" w:cs="Arial"/>
          <w:sz w:val="22"/>
          <w:szCs w:val="22"/>
        </w:rPr>
        <w:t>;</w:t>
      </w:r>
      <w:r w:rsidRPr="00987A3D">
        <w:rPr>
          <w:rFonts w:ascii="Arial" w:hAnsi="Arial" w:cs="Arial"/>
          <w:sz w:val="22"/>
          <w:szCs w:val="22"/>
        </w:rPr>
        <w:t xml:space="preserve"> </w:t>
      </w:r>
      <w:r w:rsidR="0087057A">
        <w:rPr>
          <w:rFonts w:ascii="Arial" w:hAnsi="Arial" w:cs="Arial"/>
          <w:sz w:val="22"/>
          <w:szCs w:val="22"/>
        </w:rPr>
        <w:t>(</w:t>
      </w:r>
      <w:proofErr w:type="spellStart"/>
      <w:r w:rsidRPr="00987A3D">
        <w:rPr>
          <w:rFonts w:ascii="Arial" w:hAnsi="Arial" w:cs="Arial"/>
          <w:sz w:val="22"/>
          <w:szCs w:val="22"/>
        </w:rPr>
        <w:t>iv</w:t>
      </w:r>
      <w:proofErr w:type="spellEnd"/>
      <w:r w:rsidRPr="00987A3D">
        <w:rPr>
          <w:rFonts w:ascii="Arial" w:hAnsi="Arial" w:cs="Arial"/>
          <w:sz w:val="22"/>
          <w:szCs w:val="22"/>
        </w:rPr>
        <w:t>) la Política de Salvaguardias Ambientales y Sociales del BID</w:t>
      </w:r>
      <w:r w:rsidR="0087057A">
        <w:rPr>
          <w:rFonts w:ascii="Arial" w:hAnsi="Arial" w:cs="Arial"/>
          <w:sz w:val="22"/>
          <w:szCs w:val="22"/>
        </w:rPr>
        <w:t>; y</w:t>
      </w:r>
      <w:r w:rsidRPr="00987A3D">
        <w:rPr>
          <w:rFonts w:ascii="Arial" w:hAnsi="Arial" w:cs="Arial"/>
          <w:sz w:val="22"/>
          <w:szCs w:val="22"/>
        </w:rPr>
        <w:t xml:space="preserve"> </w:t>
      </w:r>
      <w:r w:rsidR="0087057A">
        <w:rPr>
          <w:rFonts w:ascii="Arial" w:hAnsi="Arial" w:cs="Arial"/>
          <w:sz w:val="22"/>
          <w:szCs w:val="22"/>
        </w:rPr>
        <w:t>(</w:t>
      </w:r>
      <w:r w:rsidRPr="00987A3D">
        <w:rPr>
          <w:rFonts w:ascii="Arial" w:hAnsi="Arial" w:cs="Arial"/>
          <w:sz w:val="22"/>
          <w:szCs w:val="22"/>
        </w:rPr>
        <w:t xml:space="preserve">v) Las Normas de Desempeño de la Corporación Financiera Internacional (CFI) (para operaciones de alto riesgo).  Adicionalmente, el SGAS deberá especificar actividades como: </w:t>
      </w:r>
      <w:r w:rsidR="0087057A">
        <w:rPr>
          <w:rFonts w:ascii="Arial" w:hAnsi="Arial" w:cs="Arial"/>
          <w:sz w:val="22"/>
          <w:szCs w:val="22"/>
        </w:rPr>
        <w:t>(</w:t>
      </w:r>
      <w:r w:rsidRPr="00987A3D">
        <w:rPr>
          <w:rFonts w:ascii="Arial" w:hAnsi="Arial" w:cs="Arial"/>
          <w:sz w:val="22"/>
          <w:szCs w:val="22"/>
        </w:rPr>
        <w:t>i) definición de roles, responsabilidades y entrenamiento dentro del BROU</w:t>
      </w:r>
      <w:r w:rsidR="0087057A">
        <w:rPr>
          <w:rFonts w:ascii="Arial" w:hAnsi="Arial" w:cs="Arial"/>
          <w:sz w:val="22"/>
          <w:szCs w:val="22"/>
        </w:rPr>
        <w:t>;</w:t>
      </w:r>
      <w:r w:rsidRPr="00987A3D">
        <w:rPr>
          <w:rFonts w:ascii="Arial" w:hAnsi="Arial" w:cs="Arial"/>
          <w:sz w:val="22"/>
          <w:szCs w:val="22"/>
        </w:rPr>
        <w:t xml:space="preserve"> </w:t>
      </w:r>
      <w:r w:rsidR="0087057A">
        <w:rPr>
          <w:rFonts w:ascii="Arial" w:hAnsi="Arial" w:cs="Arial"/>
          <w:sz w:val="22"/>
          <w:szCs w:val="22"/>
        </w:rPr>
        <w:t>(</w:t>
      </w:r>
      <w:r w:rsidRPr="00987A3D">
        <w:rPr>
          <w:rFonts w:ascii="Arial" w:hAnsi="Arial" w:cs="Arial"/>
          <w:sz w:val="22"/>
          <w:szCs w:val="22"/>
        </w:rPr>
        <w:t>ii) implementación de procedimientos de revisión para asegurar cumplimiento con los requerimientos</w:t>
      </w:r>
      <w:r w:rsidR="00A1472F">
        <w:rPr>
          <w:rFonts w:ascii="Arial" w:hAnsi="Arial" w:cs="Arial"/>
          <w:sz w:val="22"/>
          <w:szCs w:val="22"/>
        </w:rPr>
        <w:t>;</w:t>
      </w:r>
      <w:r w:rsidRPr="00987A3D">
        <w:rPr>
          <w:rFonts w:ascii="Arial" w:hAnsi="Arial" w:cs="Arial"/>
          <w:sz w:val="22"/>
          <w:szCs w:val="22"/>
        </w:rPr>
        <w:t xml:space="preserve"> </w:t>
      </w:r>
      <w:r w:rsidR="00A1472F">
        <w:rPr>
          <w:rFonts w:ascii="Arial" w:hAnsi="Arial" w:cs="Arial"/>
          <w:sz w:val="22"/>
          <w:szCs w:val="22"/>
        </w:rPr>
        <w:t>(</w:t>
      </w:r>
      <w:proofErr w:type="spellStart"/>
      <w:r w:rsidRPr="00987A3D">
        <w:rPr>
          <w:rFonts w:ascii="Arial" w:hAnsi="Arial" w:cs="Arial"/>
          <w:sz w:val="22"/>
          <w:szCs w:val="22"/>
        </w:rPr>
        <w:t>iii</w:t>
      </w:r>
      <w:proofErr w:type="spellEnd"/>
      <w:r w:rsidRPr="00987A3D">
        <w:rPr>
          <w:rFonts w:ascii="Arial" w:hAnsi="Arial" w:cs="Arial"/>
          <w:sz w:val="22"/>
          <w:szCs w:val="22"/>
        </w:rPr>
        <w:t>) diseño de Planes de Manejo Ambiental y Social para proyectos de alto riesgo</w:t>
      </w:r>
      <w:r w:rsidR="00A1472F">
        <w:rPr>
          <w:rFonts w:ascii="Arial" w:hAnsi="Arial" w:cs="Arial"/>
          <w:sz w:val="22"/>
          <w:szCs w:val="22"/>
        </w:rPr>
        <w:t>;</w:t>
      </w:r>
      <w:r w:rsidRPr="00987A3D">
        <w:rPr>
          <w:rFonts w:ascii="Arial" w:hAnsi="Arial" w:cs="Arial"/>
          <w:sz w:val="22"/>
          <w:szCs w:val="22"/>
        </w:rPr>
        <w:t xml:space="preserve"> </w:t>
      </w:r>
      <w:r w:rsidR="00A1472F">
        <w:rPr>
          <w:rFonts w:ascii="Arial" w:hAnsi="Arial" w:cs="Arial"/>
          <w:sz w:val="22"/>
          <w:szCs w:val="22"/>
        </w:rPr>
        <w:t>(</w:t>
      </w:r>
      <w:proofErr w:type="spellStart"/>
      <w:r w:rsidRPr="00987A3D">
        <w:rPr>
          <w:rFonts w:ascii="Arial" w:hAnsi="Arial" w:cs="Arial"/>
          <w:sz w:val="22"/>
          <w:szCs w:val="22"/>
        </w:rPr>
        <w:t>iv</w:t>
      </w:r>
      <w:proofErr w:type="spellEnd"/>
      <w:r w:rsidRPr="00987A3D">
        <w:rPr>
          <w:rFonts w:ascii="Arial" w:hAnsi="Arial" w:cs="Arial"/>
          <w:sz w:val="22"/>
          <w:szCs w:val="22"/>
        </w:rPr>
        <w:t>) supervisión y monitoreo, v) elaboración de reportes sobre la implementación de los requerimientos del SGAS, vi) definición de requisitos legales específicos de cada proyecto (p. e., contratos de concesión, construcción, operaciones, mantenimiento, etc.)</w:t>
      </w:r>
      <w:r w:rsidR="00A1472F">
        <w:rPr>
          <w:rFonts w:ascii="Arial" w:hAnsi="Arial" w:cs="Arial"/>
          <w:sz w:val="22"/>
          <w:szCs w:val="22"/>
        </w:rPr>
        <w:t>;</w:t>
      </w:r>
      <w:r w:rsidRPr="00987A3D">
        <w:rPr>
          <w:rFonts w:ascii="Arial" w:hAnsi="Arial" w:cs="Arial"/>
          <w:sz w:val="22"/>
          <w:szCs w:val="22"/>
        </w:rPr>
        <w:t xml:space="preserve"> </w:t>
      </w:r>
      <w:r w:rsidR="00A1472F">
        <w:rPr>
          <w:rFonts w:ascii="Arial" w:hAnsi="Arial" w:cs="Arial"/>
          <w:sz w:val="22"/>
          <w:szCs w:val="22"/>
        </w:rPr>
        <w:t>(</w:t>
      </w:r>
      <w:proofErr w:type="spellStart"/>
      <w:r w:rsidRPr="00987A3D">
        <w:rPr>
          <w:rFonts w:ascii="Arial" w:hAnsi="Arial" w:cs="Arial"/>
          <w:sz w:val="22"/>
          <w:szCs w:val="22"/>
        </w:rPr>
        <w:t>vii</w:t>
      </w:r>
      <w:proofErr w:type="spellEnd"/>
      <w:r w:rsidRPr="00987A3D">
        <w:rPr>
          <w:rFonts w:ascii="Arial" w:hAnsi="Arial" w:cs="Arial"/>
          <w:sz w:val="22"/>
          <w:szCs w:val="22"/>
        </w:rPr>
        <w:t>) coordinación con las autoridades competentes</w:t>
      </w:r>
      <w:r w:rsidR="00A1472F">
        <w:rPr>
          <w:rFonts w:ascii="Arial" w:hAnsi="Arial" w:cs="Arial"/>
          <w:sz w:val="22"/>
          <w:szCs w:val="22"/>
        </w:rPr>
        <w:t>;</w:t>
      </w:r>
      <w:r w:rsidRPr="00987A3D">
        <w:rPr>
          <w:rFonts w:ascii="Arial" w:hAnsi="Arial" w:cs="Arial"/>
          <w:sz w:val="22"/>
          <w:szCs w:val="22"/>
        </w:rPr>
        <w:t xml:space="preserve"> y </w:t>
      </w:r>
      <w:r w:rsidR="00A1472F">
        <w:rPr>
          <w:rFonts w:ascii="Arial" w:hAnsi="Arial" w:cs="Arial"/>
          <w:sz w:val="22"/>
          <w:szCs w:val="22"/>
        </w:rPr>
        <w:t>(</w:t>
      </w:r>
      <w:r w:rsidRPr="00987A3D">
        <w:rPr>
          <w:rFonts w:ascii="Arial" w:hAnsi="Arial" w:cs="Arial"/>
          <w:sz w:val="22"/>
          <w:szCs w:val="22"/>
        </w:rPr>
        <w:t>vi) realización de consulta pública e inclusión de un mecanismo de quejas de acuerdo a la Política del BID (OP-703).</w:t>
      </w:r>
      <w:r w:rsidRPr="00987A3D">
        <w:rPr>
          <w:rFonts w:ascii="Arial" w:hAnsi="Arial" w:cs="Arial"/>
          <w:sz w:val="22"/>
          <w:szCs w:val="22"/>
          <w:vertAlign w:val="superscript"/>
        </w:rPr>
        <w:footnoteReference w:id="8"/>
      </w:r>
    </w:p>
    <w:p w14:paraId="24F2609C"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lastRenderedPageBreak/>
        <w:t xml:space="preserve">Cabe resaltar que al momento el BROU cuenta con un SGAS que ha sido implementado durante la ejecución de la operación UR-L1099, y es ejecutado de manera satisfactoria conforme a los lineamientos del Banco para proyectos de energía renovable y el sector agropecuario. Por lo tanto, el SGAS deberá ser actualizado para ser compatible con la nueva tipología de proyectos identificados para esta operación UR-L1115. </w:t>
      </w:r>
    </w:p>
    <w:p w14:paraId="0170F80C"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highlight w:val="yellow"/>
        </w:rPr>
      </w:pPr>
      <w:r w:rsidRPr="00987A3D">
        <w:rPr>
          <w:rFonts w:ascii="Arial" w:hAnsi="Arial" w:cs="Arial"/>
          <w:sz w:val="22"/>
          <w:szCs w:val="22"/>
          <w:highlight w:val="yellow"/>
        </w:rPr>
        <w:t xml:space="preserve">Algunos requerimientos para los proyectos a financiar con esta operación se describen a continuación (para mayor detalle ver Anexo 5, cuadro 3): </w:t>
      </w:r>
    </w:p>
    <w:p w14:paraId="65E8A0C0"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 xml:space="preserve">Para las operaciones clasificadas de alto riesgo (A o B+), el BROU deberá solicitar la preparación de un Estudio de Impacto Ambiental y Social (EIAS) y deberá revisarlo a través de un consultor externo o un profesional interno calificado quien realizará una evaluación exhaustiva para asegurar el cumplimiento con los otros requerimientos que le apliquen </w:t>
      </w:r>
      <w:proofErr w:type="gramStart"/>
      <w:r w:rsidRPr="00987A3D">
        <w:rPr>
          <w:rFonts w:ascii="Arial" w:hAnsi="Arial" w:cs="Arial"/>
          <w:sz w:val="22"/>
          <w:szCs w:val="22"/>
        </w:rPr>
        <w:t>de acuerdo al</w:t>
      </w:r>
      <w:proofErr w:type="gramEnd"/>
      <w:r w:rsidRPr="00987A3D">
        <w:rPr>
          <w:rFonts w:ascii="Arial" w:hAnsi="Arial" w:cs="Arial"/>
          <w:sz w:val="22"/>
          <w:szCs w:val="22"/>
        </w:rPr>
        <w:t xml:space="preserve"> SGAS, el cual tendrá diferentes requerimientos de acuerdo al monto de las operaciones. El BROU deberá de buscar la no objeción para los proyectos categorizados como categoría A del BID y asimismo deberá de compartir las evaluaciones realizadas a las tres primeras operaciones de categoría ambiental B del BID.</w:t>
      </w:r>
    </w:p>
    <w:p w14:paraId="286BCF07"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La Directiva B.6 de la Política de Medio Ambiente y Cumplimiento de Salvaguardias (OP-703) del BID prevé al menos 2 procesos de consulta para los proyectos clasificados como de alto riesgo socioambiental (categoría A); y al menos un proceso de consulta para los proyectos clasificados como de moderado riesgo socioambiental (categoría B).</w:t>
      </w:r>
    </w:p>
    <w:p w14:paraId="4AF2065A"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u w:val="single"/>
        </w:rPr>
        <w:t>Alto riesgo</w:t>
      </w:r>
      <w:r w:rsidRPr="00987A3D">
        <w:rPr>
          <w:rFonts w:ascii="Arial" w:hAnsi="Arial" w:cs="Arial"/>
          <w:sz w:val="22"/>
          <w:szCs w:val="22"/>
        </w:rPr>
        <w:t xml:space="preserve">: dos procesos de consulta durante la preparación de un proyecto (etapa de diseño), la primera previa a la elaboración de los estudios (presentación de Términos de Referencia - </w:t>
      </w:r>
      <w:proofErr w:type="spellStart"/>
      <w:r w:rsidRPr="00987A3D">
        <w:rPr>
          <w:rFonts w:ascii="Arial" w:hAnsi="Arial" w:cs="Arial"/>
          <w:sz w:val="22"/>
          <w:szCs w:val="22"/>
        </w:rPr>
        <w:t>TdR</w:t>
      </w:r>
      <w:proofErr w:type="spellEnd"/>
      <w:r w:rsidRPr="00987A3D">
        <w:rPr>
          <w:rFonts w:ascii="Arial" w:hAnsi="Arial" w:cs="Arial"/>
          <w:sz w:val="22"/>
          <w:szCs w:val="22"/>
        </w:rPr>
        <w:t xml:space="preserve">), y la segunda una vez que se cuente con los documentos finales en borrador. La responsabilidad de desarrollar estos procesos de participación estará a cargo de los responsables de la elaboración de los estudios. </w:t>
      </w:r>
    </w:p>
    <w:p w14:paraId="41EA771F"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 xml:space="preserve">Los procesos para realizar una consulta significativa conforme a las guías operativas del BID se han adjuntado en el Anexo 7. </w:t>
      </w:r>
    </w:p>
    <w:p w14:paraId="5AE8C497"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u w:val="single"/>
        </w:rPr>
        <w:t>Riesgo moderado</w:t>
      </w:r>
      <w:r w:rsidRPr="00987A3D">
        <w:rPr>
          <w:rFonts w:ascii="Arial" w:hAnsi="Arial" w:cs="Arial"/>
          <w:sz w:val="22"/>
          <w:szCs w:val="22"/>
        </w:rPr>
        <w:t>: un proceso de consulta con las partes afectadas, preferentemente durante la preparación o revisión de los estudios ambientales y sociales. Para propósitos de la consulta se deberá suministrar la información en los lugares y formatos que permitan consultas de buena fe con las partes afectadas, y se formen una opinión y hagan comentarios sobre la acción propuesta. La responsabilidad de desarrollar estos procesos de participación estará a cargo de los responsables de elaboración de los estudios.</w:t>
      </w:r>
    </w:p>
    <w:p w14:paraId="2ECAB703"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Cabe señalar que los resultados de la consulta deberán ser procesados y tomados en cuenta en las etapas posteriores de diseño y ejecución de los proyectos o actividades.  Si bien la responsabilidad de desarrollar estos procesos de consulta es del desarrollador a través de la empresa responsable de la elaboración de los estudios, el BROU, a través de su equipo técnico podrá apoyar en estos procesos de participación y consulta, con el fin de asegurar el cumplimiento de las disposiciones incluidas en el presente SGAS.</w:t>
      </w:r>
    </w:p>
    <w:p w14:paraId="31DBC5FB"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lastRenderedPageBreak/>
        <w:t>Para los proyectos que involucren facilidades asociadas,</w:t>
      </w:r>
      <w:r w:rsidRPr="00987A3D">
        <w:rPr>
          <w:rFonts w:ascii="Arial" w:hAnsi="Arial" w:cs="Arial"/>
          <w:sz w:val="22"/>
          <w:szCs w:val="22"/>
          <w:vertAlign w:val="superscript"/>
        </w:rPr>
        <w:footnoteReference w:id="9"/>
      </w:r>
      <w:r w:rsidRPr="00987A3D">
        <w:rPr>
          <w:rFonts w:ascii="Arial" w:hAnsi="Arial" w:cs="Arial"/>
          <w:sz w:val="22"/>
          <w:szCs w:val="22"/>
          <w:vertAlign w:val="superscript"/>
        </w:rPr>
        <w:t xml:space="preserve"> </w:t>
      </w:r>
      <w:r w:rsidRPr="00987A3D">
        <w:rPr>
          <w:rFonts w:ascii="Arial" w:hAnsi="Arial" w:cs="Arial"/>
          <w:sz w:val="22"/>
          <w:szCs w:val="22"/>
        </w:rPr>
        <w:t>el BROU será responsable de hacer cumplir los requerimientos del SGAS incluso cuando ésta no sea financiada por el Banco.</w:t>
      </w:r>
    </w:p>
    <w:p w14:paraId="57470A7F" w14:textId="77777777" w:rsidR="00487011" w:rsidRPr="00987A3D" w:rsidRDefault="00487011" w:rsidP="00487011">
      <w:pPr>
        <w:pStyle w:val="Paragraph"/>
        <w:numPr>
          <w:ilvl w:val="1"/>
          <w:numId w:val="21"/>
        </w:numPr>
        <w:tabs>
          <w:tab w:val="clear" w:pos="1296"/>
          <w:tab w:val="num" w:pos="720"/>
          <w:tab w:val="num" w:pos="2448"/>
        </w:tabs>
        <w:ind w:left="720" w:hanging="720"/>
        <w:rPr>
          <w:rFonts w:ascii="Arial" w:hAnsi="Arial" w:cs="Arial"/>
          <w:sz w:val="22"/>
          <w:szCs w:val="22"/>
        </w:rPr>
      </w:pPr>
      <w:r w:rsidRPr="00987A3D">
        <w:rPr>
          <w:rFonts w:ascii="Arial" w:hAnsi="Arial" w:cs="Arial"/>
          <w:sz w:val="22"/>
          <w:szCs w:val="22"/>
          <w:lang w:val="it-IT" w:eastAsia="it-IT"/>
        </w:rPr>
        <w:t xml:space="preserve">En especifico para los proyectos agroforestales se buscará que se utilicen especies clones de híbridos  de eucaliptos que a su vez  producen semillas estériles, y asimismo que las plantaciones no se encuentren en áreas claves para la biodiversidad (KBA) o sitios críticos para la conservación, como áreas protegidas o International Bird Areas (o por sus siglas en inglés, IBA). Asimismo, en lugares culturales de importancia como lo son los paisajes protegidos bajo denominación uruguaya. En cuanto a la adquisición de tierras forestadas o a forestarse serán elegibles a través de la estrategia de jerarquización de mitigación del BID, la cual será incluida y deberá de ser adaptada en el SGAS. </w:t>
      </w:r>
    </w:p>
    <w:p w14:paraId="5B6A7B95"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 xml:space="preserve">Se sugiere implementar la estrategia de jerarquización de mitigación del BID, que se sugiere implementar la cual se basa en el manejo de impactos potenciales a través de la 1. Evitar 2. Minimizar 3. Rehabilitar/Restaurar 4. Compensar5. Acciones </w:t>
      </w:r>
      <w:proofErr w:type="spellStart"/>
      <w:r w:rsidRPr="00987A3D">
        <w:rPr>
          <w:rFonts w:ascii="Arial" w:hAnsi="Arial" w:cs="Arial"/>
          <w:sz w:val="22"/>
          <w:szCs w:val="22"/>
        </w:rPr>
        <w:t>accionales</w:t>
      </w:r>
      <w:proofErr w:type="spellEnd"/>
      <w:r w:rsidRPr="00987A3D">
        <w:rPr>
          <w:rStyle w:val="FootnoteReference"/>
          <w:rFonts w:ascii="Arial" w:hAnsi="Arial" w:cs="Arial"/>
          <w:sz w:val="22"/>
          <w:szCs w:val="22"/>
        </w:rPr>
        <w:footnoteReference w:id="10"/>
      </w:r>
      <w:r w:rsidRPr="00987A3D">
        <w:rPr>
          <w:rFonts w:ascii="Arial" w:hAnsi="Arial" w:cs="Arial"/>
          <w:sz w:val="22"/>
          <w:szCs w:val="22"/>
        </w:rPr>
        <w:t>.</w:t>
      </w:r>
    </w:p>
    <w:p w14:paraId="1F13EDFB"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lang w:val="it-IT" w:eastAsia="it-IT"/>
        </w:rPr>
      </w:pPr>
      <w:r w:rsidRPr="00987A3D">
        <w:rPr>
          <w:rFonts w:ascii="Arial" w:hAnsi="Arial" w:cs="Arial"/>
          <w:b/>
          <w:sz w:val="22"/>
          <w:szCs w:val="22"/>
          <w:lang w:val="it-IT" w:eastAsia="it-IT"/>
        </w:rPr>
        <w:t>Reasentamiento Involuntario</w:t>
      </w:r>
      <w:r w:rsidRPr="00987A3D">
        <w:rPr>
          <w:rFonts w:ascii="Arial" w:hAnsi="Arial" w:cs="Arial"/>
          <w:sz w:val="22"/>
          <w:szCs w:val="22"/>
          <w:lang w:val="it-IT" w:eastAsia="it-IT"/>
        </w:rPr>
        <w:t xml:space="preserve"> No se ha identificado al momento impactos relacionados a reasentamiento involuntario</w:t>
      </w:r>
      <w:r w:rsidRPr="00987A3D" w:rsidDel="002178FF">
        <w:rPr>
          <w:rFonts w:ascii="Arial" w:hAnsi="Arial" w:cs="Arial"/>
          <w:sz w:val="22"/>
          <w:szCs w:val="22"/>
          <w:lang w:val="it-IT" w:eastAsia="it-IT"/>
        </w:rPr>
        <w:t xml:space="preserve"> </w:t>
      </w:r>
      <w:r w:rsidRPr="00987A3D">
        <w:rPr>
          <w:rFonts w:ascii="Arial" w:hAnsi="Arial" w:cs="Arial"/>
          <w:sz w:val="22"/>
          <w:szCs w:val="22"/>
          <w:lang w:val="it-IT" w:eastAsia="it-IT"/>
        </w:rPr>
        <w:t>Si durante la ejecución se identifican este tipo de impactos se deberá notificar al Banco y garantizar el cumplimiento de la legislación nacional, las políticas de salvaguarda del BID, y las mejores prácticas internacionales pertinentes.. En primer lugar, se activaría la Política de Reasentamiento Involuntario (OP-710) del Banco y se deberá de preparar un marco de reasentamiento en cumplimiento con dicha Política conforme aplique. Luego si un proyecto potencialmente afectará viviendas por la ejecución de las obras,  se requerirá desarrollar un Plan de Reasentamiento Involuntario (PRI), que demuestre cumplimiento con el Marco de Reasentamiento. En el caso de afectar a más de 100 personas o 20 hogares el desarrollador deberá presentar al BROU el respectivo PRI con el fin de que éste sea sometido a la revisión, aprobación y no objeción por parte del BID. En el caso de que un proyecto afecte a menos de 100 personas o 20 hogares, y estos sean generalmente casos puntuales y dispersos, el proyecto o actividad requerirá la aplicación de las directrices de la OP-710 del BID. Estos lineamientos deberán desarrollarse en el mencionado Marco de Reasentamiento.</w:t>
      </w:r>
    </w:p>
    <w:p w14:paraId="5A9D6A68"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lang w:val="it-IT" w:eastAsia="it-IT"/>
        </w:rPr>
      </w:pPr>
      <w:r w:rsidRPr="00987A3D">
        <w:rPr>
          <w:rFonts w:ascii="Arial" w:hAnsi="Arial" w:cs="Arial"/>
          <w:b/>
          <w:sz w:val="22"/>
          <w:szCs w:val="22"/>
          <w:lang w:val="it-IT" w:eastAsia="it-IT"/>
        </w:rPr>
        <w:t>Medios de Subsistencia (desplazamiento económico).</w:t>
      </w:r>
      <w:r w:rsidRPr="00987A3D">
        <w:rPr>
          <w:rFonts w:ascii="Arial" w:hAnsi="Arial" w:cs="Arial"/>
          <w:sz w:val="22"/>
          <w:szCs w:val="22"/>
          <w:lang w:val="it-IT" w:eastAsia="it-IT"/>
        </w:rPr>
        <w:t xml:space="preserve"> No se ha identificado al momento este tipo de impactos. Si durante la ejecución se identifica desplazamiento económico (afectaciones a predios/estructuras y/o actividades económicas) se deberá seguir con el cumplimiento de la legislación nacional, las políticas de salvaguarda del BID, y las mejores prácticas internacionales pertinentes. Se notificará al Banco y se deberá de preparar un Marco de Compensación/Restitución de Medios de Vida o de Reasentamiento (este último en caso se identifique tanto desplazamiento físico como económico) en cumplimiento con la Política de Reasentamiento Involuntario del BID y/o la Política de Medio Ambiente y Cumplimiento de Salvaguardias, conforme aplique. A diferencia de la aplicación de la OP-710, el SGAS no contiene disposiciones específicas sobre desplazamiento </w:t>
      </w:r>
      <w:r w:rsidRPr="00987A3D">
        <w:rPr>
          <w:rFonts w:ascii="Arial" w:hAnsi="Arial" w:cs="Arial"/>
          <w:sz w:val="22"/>
          <w:szCs w:val="22"/>
          <w:lang w:val="it-IT" w:eastAsia="it-IT"/>
        </w:rPr>
        <w:lastRenderedPageBreak/>
        <w:t>económico, por lo que en el proceso de actualización deberá ser complementado en este aspecto.</w:t>
      </w:r>
    </w:p>
    <w:p w14:paraId="640808C5"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lang w:val="it-IT" w:eastAsia="it-IT"/>
        </w:rPr>
      </w:pPr>
      <w:r w:rsidRPr="00987A3D">
        <w:rPr>
          <w:rFonts w:ascii="Arial" w:hAnsi="Arial" w:cs="Arial"/>
          <w:b/>
          <w:sz w:val="22"/>
          <w:szCs w:val="22"/>
          <w:u w:val="single"/>
          <w:shd w:val="clear" w:color="auto" w:fill="FFFFFF"/>
          <w:lang w:val="es-ES"/>
        </w:rPr>
        <w:t xml:space="preserve">Personas Vulnerables. </w:t>
      </w:r>
      <w:r w:rsidRPr="00987A3D">
        <w:rPr>
          <w:rFonts w:ascii="Arial" w:hAnsi="Arial" w:cs="Arial"/>
          <w:sz w:val="22"/>
          <w:szCs w:val="22"/>
          <w:shd w:val="clear" w:color="auto" w:fill="FFFFFF"/>
          <w:lang w:val="es-ES"/>
        </w:rPr>
        <w:t xml:space="preserve">No se han identificado al momento, pero en caso de darse se deberá garantizar el cumplimiento de la legislación nacional, las políticas de salvaguarda del BID, y las mejores prácticas internacionales pertinentes. No se ha identificado al momento el potencial de afectación a personas vulnerables. En caso de darse se deberá de realizar una evaluación social, se incluya un análisis de riesgo de empobrecimiento en caso se identifiquen impactos relacionados a desplazamiento físico y/o económico, lineamientos específicos para los procesos de consulta significativa, entre otros. </w:t>
      </w:r>
    </w:p>
    <w:p w14:paraId="23456A79"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lang w:val="it-IT" w:eastAsia="it-IT"/>
        </w:rPr>
      </w:pPr>
      <w:r w:rsidRPr="00987A3D">
        <w:rPr>
          <w:rFonts w:ascii="Arial" w:hAnsi="Arial" w:cs="Arial"/>
          <w:b/>
          <w:sz w:val="22"/>
          <w:szCs w:val="22"/>
          <w:u w:val="single"/>
          <w:shd w:val="clear" w:color="auto" w:fill="FFFFFF"/>
          <w:lang w:val="es-ES"/>
        </w:rPr>
        <w:t xml:space="preserve">Género. </w:t>
      </w:r>
      <w:r w:rsidRPr="00987A3D">
        <w:rPr>
          <w:rFonts w:ascii="Arial" w:hAnsi="Arial" w:cs="Arial"/>
          <w:sz w:val="22"/>
          <w:szCs w:val="22"/>
          <w:shd w:val="clear" w:color="auto" w:fill="FFFFFF"/>
          <w:lang w:val="es-ES"/>
        </w:rPr>
        <w:t xml:space="preserve">Durante la ejecución se integrará medidas para garantizar el cumplimiento de la legislación nacional, las políticas de salvaguarda del BID y las mejores prácticas internacionales pertinentes.  </w:t>
      </w:r>
      <w:proofErr w:type="gramStart"/>
      <w:r w:rsidRPr="00987A3D">
        <w:rPr>
          <w:rFonts w:ascii="Arial" w:hAnsi="Arial" w:cs="Arial"/>
          <w:sz w:val="22"/>
          <w:szCs w:val="22"/>
          <w:shd w:val="clear" w:color="auto" w:fill="FFFFFF"/>
          <w:lang w:val="es-ES"/>
        </w:rPr>
        <w:t>Las</w:t>
      </w:r>
      <w:r w:rsidRPr="00987A3D">
        <w:rPr>
          <w:rFonts w:ascii="Arial" w:hAnsi="Arial" w:cs="Arial"/>
          <w:sz w:val="22"/>
          <w:szCs w:val="22"/>
          <w:lang w:val="es-BO"/>
        </w:rPr>
        <w:t xml:space="preserve"> operaciones a financiarse</w:t>
      </w:r>
      <w:proofErr w:type="gramEnd"/>
      <w:r w:rsidRPr="00987A3D">
        <w:rPr>
          <w:rFonts w:ascii="Arial" w:hAnsi="Arial" w:cs="Arial"/>
          <w:sz w:val="22"/>
          <w:szCs w:val="22"/>
          <w:lang w:val="es-BO"/>
        </w:rPr>
        <w:t xml:space="preserve"> requieren consideración de género durante la preparación y la ejecución, de acuerdo a lineamientos contenido en el Anexo 6. Entre los que se encuentran asegurar que los procesos de consulta se desarrollen con consideración de igualdad de género en el marco de la OP-761. El </w:t>
      </w:r>
      <w:r w:rsidRPr="00987A3D">
        <w:rPr>
          <w:rFonts w:ascii="Arial" w:hAnsi="Arial" w:cs="Arial"/>
          <w:sz w:val="22"/>
          <w:szCs w:val="22"/>
          <w:lang w:val="it-IT" w:eastAsia="it-IT"/>
        </w:rPr>
        <w:t>SGAS no contiene disposiciones específicas sobre temas de género, por lo que en el proceso de actualización deberá ser complementado en este aspecto.</w:t>
      </w:r>
    </w:p>
    <w:p w14:paraId="391275EE"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lang w:val="it-IT" w:eastAsia="it-IT"/>
        </w:rPr>
      </w:pPr>
      <w:r w:rsidRPr="00987A3D">
        <w:rPr>
          <w:rFonts w:ascii="Arial" w:hAnsi="Arial" w:cs="Arial"/>
          <w:b/>
          <w:sz w:val="22"/>
          <w:szCs w:val="22"/>
          <w:u w:val="single"/>
          <w:shd w:val="clear" w:color="auto" w:fill="FFFFFF"/>
          <w:lang w:val="es-ES"/>
        </w:rPr>
        <w:t xml:space="preserve">Riesgo de Desastres, </w:t>
      </w:r>
      <w:r w:rsidRPr="00987A3D">
        <w:rPr>
          <w:rFonts w:ascii="Arial" w:hAnsi="Arial" w:cs="Arial"/>
          <w:sz w:val="22"/>
          <w:szCs w:val="22"/>
          <w:shd w:val="clear" w:color="auto" w:fill="FFFFFF"/>
          <w:lang w:val="es-ES"/>
        </w:rPr>
        <w:t xml:space="preserve">durante la ejecución se deberá garantizar el cumplimiento de la legislación nacional, las políticas de salvaguardia del BID, y las mejores prácticas internacionales pertinentes en términos de identificación de riesgo y mitigación de desastres naturales del tipo 1 y tipo 2. Considerando el marco de la </w:t>
      </w:r>
      <w:r w:rsidRPr="00987A3D">
        <w:rPr>
          <w:rFonts w:ascii="Arial" w:hAnsi="Arial" w:cs="Arial"/>
          <w:sz w:val="22"/>
          <w:szCs w:val="22"/>
          <w:highlight w:val="yellow"/>
          <w:shd w:val="clear" w:color="auto" w:fill="FFFFFF"/>
          <w:lang w:val="es-ES"/>
        </w:rPr>
        <w:t>OPXX.</w:t>
      </w:r>
    </w:p>
    <w:p w14:paraId="1442FA5D" w14:textId="77777777" w:rsidR="00487011" w:rsidRPr="00987A3D" w:rsidRDefault="00487011" w:rsidP="007B5C86">
      <w:pPr>
        <w:pStyle w:val="Paragraph"/>
        <w:numPr>
          <w:ilvl w:val="0"/>
          <w:numId w:val="0"/>
        </w:numPr>
        <w:ind w:left="1296"/>
        <w:rPr>
          <w:rFonts w:ascii="Arial" w:hAnsi="Arial" w:cs="Arial"/>
          <w:sz w:val="22"/>
          <w:szCs w:val="22"/>
          <w:lang w:val="it-IT" w:eastAsia="it-IT"/>
        </w:rPr>
      </w:pPr>
    </w:p>
    <w:p w14:paraId="688B7F86" w14:textId="77777777" w:rsidR="00487011" w:rsidRPr="00987A3D" w:rsidRDefault="00487011" w:rsidP="00487011">
      <w:pPr>
        <w:pStyle w:val="Heading2"/>
        <w:numPr>
          <w:ilvl w:val="0"/>
          <w:numId w:val="0"/>
        </w:numPr>
        <w:rPr>
          <w:rFonts w:cs="Arial"/>
          <w:bCs/>
          <w:i w:val="0"/>
          <w:sz w:val="22"/>
          <w:szCs w:val="22"/>
          <w:lang w:val="es-ES"/>
        </w:rPr>
      </w:pPr>
      <w:r w:rsidRPr="00987A3D">
        <w:rPr>
          <w:rFonts w:cs="Arial"/>
          <w:bCs/>
          <w:i w:val="0"/>
          <w:sz w:val="22"/>
          <w:szCs w:val="22"/>
          <w:lang w:val="es-ES"/>
        </w:rPr>
        <w:t>MONITOREO Y SUPERVISION</w:t>
      </w:r>
    </w:p>
    <w:p w14:paraId="4AA82B4B"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 xml:space="preserve">El BROU preparará informes de cumplimiento ambiental y social periódicamente durante la vida del préstamo y estos informes de cumplimiento será revisado por el BID para confirmar el cumplimiento continuo de los requerimientos del Programa. </w:t>
      </w:r>
    </w:p>
    <w:p w14:paraId="3091C080"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El monitoreo de los aspectos ambientales, sociales, de salud, seguridad y laborales de las operaciones debería poderse realizar a través de alguna o varias de estas opciones:</w:t>
      </w:r>
    </w:p>
    <w:p w14:paraId="6292C9B0" w14:textId="77777777" w:rsidR="00487011" w:rsidRPr="00987A3D" w:rsidRDefault="00487011" w:rsidP="00487011">
      <w:pPr>
        <w:pStyle w:val="Paragraph"/>
        <w:numPr>
          <w:ilvl w:val="1"/>
          <w:numId w:val="22"/>
        </w:numPr>
        <w:tabs>
          <w:tab w:val="clear" w:pos="1296"/>
          <w:tab w:val="num" w:pos="1080"/>
        </w:tabs>
        <w:ind w:left="1080" w:hanging="360"/>
        <w:rPr>
          <w:rFonts w:ascii="Arial" w:hAnsi="Arial" w:cs="Arial"/>
          <w:sz w:val="22"/>
          <w:szCs w:val="22"/>
        </w:rPr>
      </w:pPr>
      <w:r w:rsidRPr="00987A3D">
        <w:rPr>
          <w:rFonts w:ascii="Arial" w:hAnsi="Arial" w:cs="Arial"/>
          <w:sz w:val="22"/>
          <w:szCs w:val="22"/>
        </w:rPr>
        <w:t>Supervisar el BID directamente (</w:t>
      </w:r>
      <w:proofErr w:type="spellStart"/>
      <w:r w:rsidRPr="00987A3D">
        <w:rPr>
          <w:rFonts w:ascii="Arial" w:hAnsi="Arial" w:cs="Arial"/>
          <w:sz w:val="22"/>
          <w:szCs w:val="22"/>
        </w:rPr>
        <w:t>ej</w:t>
      </w:r>
      <w:proofErr w:type="spellEnd"/>
      <w:r w:rsidRPr="00987A3D">
        <w:rPr>
          <w:rFonts w:ascii="Arial" w:hAnsi="Arial" w:cs="Arial"/>
          <w:sz w:val="22"/>
          <w:szCs w:val="22"/>
        </w:rPr>
        <w:t>: visitas al proyecto, revisión de documentación, consultas con partes afectadas e interesadas, etc.)</w:t>
      </w:r>
    </w:p>
    <w:p w14:paraId="345040F3" w14:textId="77777777" w:rsidR="00487011" w:rsidRPr="00987A3D" w:rsidRDefault="00487011" w:rsidP="00487011">
      <w:pPr>
        <w:pStyle w:val="Paragraph"/>
        <w:numPr>
          <w:ilvl w:val="1"/>
          <w:numId w:val="22"/>
        </w:numPr>
        <w:tabs>
          <w:tab w:val="clear" w:pos="1296"/>
          <w:tab w:val="num" w:pos="1080"/>
        </w:tabs>
        <w:ind w:left="1080" w:hanging="360"/>
        <w:rPr>
          <w:rFonts w:ascii="Arial" w:hAnsi="Arial" w:cs="Arial"/>
          <w:sz w:val="22"/>
          <w:szCs w:val="22"/>
        </w:rPr>
      </w:pPr>
      <w:r w:rsidRPr="00987A3D">
        <w:rPr>
          <w:rFonts w:ascii="Arial" w:hAnsi="Arial" w:cs="Arial"/>
          <w:sz w:val="22"/>
          <w:szCs w:val="22"/>
        </w:rPr>
        <w:t>Otorgar el derecho al BID de contratar un consultor externo independiente para realizar una auditoria más detallada de la cartera y/o supervisión/monitoreo de un proyecto en específico según crea necesario durante la vigencia del préstamo.</w:t>
      </w:r>
    </w:p>
    <w:p w14:paraId="05D88638" w14:textId="77777777" w:rsidR="00487011" w:rsidRPr="00987A3D" w:rsidRDefault="00487011" w:rsidP="00487011">
      <w:pPr>
        <w:pStyle w:val="Paragraph"/>
        <w:numPr>
          <w:ilvl w:val="1"/>
          <w:numId w:val="22"/>
        </w:numPr>
        <w:tabs>
          <w:tab w:val="clear" w:pos="1296"/>
          <w:tab w:val="num" w:pos="1080"/>
        </w:tabs>
        <w:ind w:left="1080" w:hanging="360"/>
        <w:rPr>
          <w:rFonts w:ascii="Arial" w:hAnsi="Arial" w:cs="Arial"/>
          <w:sz w:val="22"/>
          <w:szCs w:val="22"/>
        </w:rPr>
      </w:pPr>
      <w:r w:rsidRPr="00987A3D">
        <w:rPr>
          <w:rFonts w:ascii="Arial" w:hAnsi="Arial" w:cs="Arial"/>
          <w:sz w:val="22"/>
          <w:szCs w:val="22"/>
        </w:rPr>
        <w:t>Acordar entre el BROU y el BID de compartir de manera proactiva, y de ser posible antes de financiar, las tres primeras operaciones de alto riesgo y sus EIA y PMAS, para efectos de revisión, comentarios y posible mejoramiento del SGAS.</w:t>
      </w:r>
    </w:p>
    <w:p w14:paraId="5EA1C0F3" w14:textId="77777777" w:rsidR="00487011" w:rsidRPr="00987A3D" w:rsidRDefault="00487011" w:rsidP="00487011">
      <w:pPr>
        <w:pStyle w:val="Heading1"/>
        <w:numPr>
          <w:ilvl w:val="0"/>
          <w:numId w:val="0"/>
        </w:numPr>
        <w:jc w:val="both"/>
        <w:textAlignment w:val="top"/>
        <w:rPr>
          <w:rFonts w:cs="Arial"/>
          <w:bCs/>
          <w:kern w:val="0"/>
          <w:sz w:val="22"/>
          <w:szCs w:val="22"/>
          <w:lang w:val="es-ES"/>
        </w:rPr>
      </w:pPr>
      <w:r w:rsidRPr="00987A3D">
        <w:rPr>
          <w:rFonts w:cs="Arial"/>
          <w:bCs/>
          <w:kern w:val="0"/>
          <w:sz w:val="22"/>
          <w:szCs w:val="22"/>
          <w:lang w:val="es-ES"/>
        </w:rPr>
        <w:lastRenderedPageBreak/>
        <w:t>CONDICIONES ESPECIALES</w:t>
      </w:r>
    </w:p>
    <w:p w14:paraId="7E74035D"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lang w:val="es-ES"/>
        </w:rPr>
        <w:t>S</w:t>
      </w:r>
      <w:proofErr w:type="spellStart"/>
      <w:r w:rsidRPr="00987A3D">
        <w:rPr>
          <w:rFonts w:ascii="Arial" w:hAnsi="Arial" w:cs="Arial"/>
          <w:sz w:val="22"/>
          <w:szCs w:val="22"/>
        </w:rPr>
        <w:t>erá</w:t>
      </w:r>
      <w:proofErr w:type="spellEnd"/>
      <w:r w:rsidRPr="00987A3D">
        <w:rPr>
          <w:rFonts w:ascii="Arial" w:hAnsi="Arial" w:cs="Arial"/>
          <w:sz w:val="22"/>
          <w:szCs w:val="22"/>
        </w:rPr>
        <w:t xml:space="preserve"> requerida la </w:t>
      </w:r>
      <w:proofErr w:type="gramStart"/>
      <w:r w:rsidRPr="00987A3D">
        <w:rPr>
          <w:rFonts w:ascii="Arial" w:hAnsi="Arial" w:cs="Arial"/>
          <w:sz w:val="22"/>
          <w:szCs w:val="22"/>
        </w:rPr>
        <w:t>entrada en vigencia</w:t>
      </w:r>
      <w:proofErr w:type="gramEnd"/>
      <w:r w:rsidRPr="00987A3D">
        <w:rPr>
          <w:rFonts w:ascii="Arial" w:hAnsi="Arial" w:cs="Arial"/>
          <w:sz w:val="22"/>
          <w:szCs w:val="22"/>
        </w:rPr>
        <w:t xml:space="preserve"> del ROP, el cual incluirá la actualización del SGAS actualmente en operación por el BROU previamente financiado por el Banco según descrito en el presente MGAS, el cual el BROU se comprometerá a no modificar sin la autorización previa del Banco. </w:t>
      </w:r>
    </w:p>
    <w:p w14:paraId="43B205DD"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El compromiso del BROU de: (i) demostrar que se cuenta con los recursos necesarios para implementar el SGAS actualizado y presentar un diagnóstico del desempeño del mismo durante la primera operación UR-l1099 ; (</w:t>
      </w:r>
      <w:proofErr w:type="spellStart"/>
      <w:r w:rsidRPr="00987A3D">
        <w:rPr>
          <w:rFonts w:ascii="Arial" w:hAnsi="Arial" w:cs="Arial"/>
          <w:sz w:val="22"/>
          <w:szCs w:val="22"/>
        </w:rPr>
        <w:t>ii</w:t>
      </w:r>
      <w:proofErr w:type="spellEnd"/>
      <w:r w:rsidRPr="00987A3D">
        <w:rPr>
          <w:rFonts w:ascii="Arial" w:hAnsi="Arial" w:cs="Arial"/>
          <w:sz w:val="22"/>
          <w:szCs w:val="22"/>
        </w:rPr>
        <w:t>) presentar anualmente a satisfacción del Banco un Informe de Cumplimiento Ambiental y Social y notificar al Banco de cualquier incumplimiento; (</w:t>
      </w:r>
      <w:proofErr w:type="spellStart"/>
      <w:r w:rsidRPr="00987A3D">
        <w:rPr>
          <w:rFonts w:ascii="Arial" w:hAnsi="Arial" w:cs="Arial"/>
          <w:sz w:val="22"/>
          <w:szCs w:val="22"/>
        </w:rPr>
        <w:t>iii</w:t>
      </w:r>
      <w:proofErr w:type="spellEnd"/>
      <w:r w:rsidRPr="00987A3D">
        <w:rPr>
          <w:rFonts w:ascii="Arial" w:hAnsi="Arial" w:cs="Arial"/>
          <w:sz w:val="22"/>
          <w:szCs w:val="22"/>
        </w:rPr>
        <w:t>) cooperar plenamente con el BID para llevar a cabo acciones de supervisión que el Banco estime necesarias durante la vida del préstamo, incluido el acceso a toda la documentación, las instalaciones y el personal relacionados con el Programa y los subpréstamos, y cooperar plenamente con cualquier inspección o auditoría por parte del Banco, sus representantes o consultores designados; (</w:t>
      </w:r>
      <w:proofErr w:type="spellStart"/>
      <w:r w:rsidRPr="00987A3D">
        <w:rPr>
          <w:rFonts w:ascii="Arial" w:hAnsi="Arial" w:cs="Arial"/>
          <w:sz w:val="22"/>
          <w:szCs w:val="22"/>
        </w:rPr>
        <w:t>iv</w:t>
      </w:r>
      <w:proofErr w:type="spellEnd"/>
      <w:r w:rsidRPr="00987A3D">
        <w:rPr>
          <w:rFonts w:ascii="Arial" w:hAnsi="Arial" w:cs="Arial"/>
          <w:sz w:val="22"/>
          <w:szCs w:val="22"/>
        </w:rPr>
        <w:t>) en caso de incumplimiento implementar un Plan de Acción Correctivo acordado con el Banco.</w:t>
      </w:r>
    </w:p>
    <w:p w14:paraId="1F97CB86" w14:textId="77777777" w:rsidR="00487011" w:rsidRPr="00987A3D" w:rsidRDefault="00487011" w:rsidP="00487011">
      <w:pPr>
        <w:pStyle w:val="Paragraph"/>
        <w:numPr>
          <w:ilvl w:val="1"/>
          <w:numId w:val="21"/>
        </w:numPr>
        <w:tabs>
          <w:tab w:val="clear" w:pos="1296"/>
          <w:tab w:val="num" w:pos="720"/>
        </w:tabs>
        <w:ind w:left="720" w:hanging="720"/>
        <w:rPr>
          <w:rFonts w:ascii="Arial" w:hAnsi="Arial" w:cs="Arial"/>
          <w:sz w:val="22"/>
          <w:szCs w:val="22"/>
        </w:rPr>
      </w:pPr>
      <w:r w:rsidRPr="00987A3D">
        <w:rPr>
          <w:rFonts w:ascii="Arial" w:hAnsi="Arial" w:cs="Arial"/>
          <w:sz w:val="22"/>
          <w:szCs w:val="22"/>
        </w:rPr>
        <w:t xml:space="preserve">Cabe mencionar que el Banco al momento se encuentra apoyando al BROU mediante una cooperación técnica </w:t>
      </w:r>
      <w:r w:rsidRPr="00987A3D">
        <w:rPr>
          <w:rFonts w:ascii="Arial" w:hAnsi="Arial" w:cs="Arial"/>
          <w:sz w:val="22"/>
          <w:szCs w:val="22"/>
          <w:highlight w:val="yellow"/>
        </w:rPr>
        <w:t>UR-TCXX</w:t>
      </w:r>
      <w:r w:rsidRPr="00987A3D">
        <w:rPr>
          <w:rFonts w:ascii="Arial" w:hAnsi="Arial" w:cs="Arial"/>
          <w:sz w:val="22"/>
          <w:szCs w:val="22"/>
        </w:rPr>
        <w:t xml:space="preserve"> para el diseño e integración de un SGAS integral. Se buscará que a través de esta TC también se adapte el SGAS conforme a los nuevos sectores identificados en este programa.</w:t>
      </w:r>
    </w:p>
    <w:p w14:paraId="1D679E29" w14:textId="77777777" w:rsidR="00487011" w:rsidRPr="00987A3D" w:rsidRDefault="00487011" w:rsidP="00487011">
      <w:pPr>
        <w:pStyle w:val="ListParagraph"/>
        <w:rPr>
          <w:rFonts w:ascii="Arial" w:hAnsi="Arial" w:cs="Arial"/>
          <w:sz w:val="22"/>
          <w:szCs w:val="22"/>
          <w:lang w:val="es-ES_tradnl"/>
        </w:rPr>
      </w:pPr>
    </w:p>
    <w:p w14:paraId="2B2B5380" w14:textId="77777777" w:rsidR="00487011" w:rsidRPr="00B154BC" w:rsidRDefault="00487011" w:rsidP="00487011">
      <w:pPr>
        <w:rPr>
          <w:lang w:val="es-ES_tradnl"/>
        </w:rPr>
      </w:pPr>
    </w:p>
    <w:p w14:paraId="382F2FB7" w14:textId="77777777" w:rsidR="00487011" w:rsidRPr="00B154BC" w:rsidRDefault="00487011" w:rsidP="00487011">
      <w:pPr>
        <w:rPr>
          <w:lang w:val="es-ES_tradnl"/>
        </w:rPr>
      </w:pPr>
    </w:p>
    <w:p w14:paraId="05464DA2" w14:textId="77777777" w:rsidR="00487011" w:rsidRPr="00B154BC" w:rsidRDefault="00487011" w:rsidP="00487011">
      <w:pPr>
        <w:rPr>
          <w:lang w:val="es-ES_tradnl"/>
        </w:rPr>
      </w:pPr>
    </w:p>
    <w:p w14:paraId="751D04A2" w14:textId="77777777" w:rsidR="00487011" w:rsidRPr="00B154BC" w:rsidRDefault="00487011" w:rsidP="00487011">
      <w:pPr>
        <w:rPr>
          <w:lang w:val="es-ES_tradnl"/>
        </w:rPr>
      </w:pPr>
    </w:p>
    <w:p w14:paraId="7547B14F" w14:textId="77777777" w:rsidR="00487011" w:rsidRPr="00B154BC" w:rsidRDefault="00487011" w:rsidP="00487011">
      <w:pPr>
        <w:rPr>
          <w:lang w:val="es-ES_tradnl"/>
        </w:rPr>
      </w:pPr>
    </w:p>
    <w:p w14:paraId="5A6A2AA5" w14:textId="77777777" w:rsidR="00487011" w:rsidRPr="00B154BC" w:rsidRDefault="00487011" w:rsidP="00487011">
      <w:pPr>
        <w:rPr>
          <w:lang w:val="es-ES_tradnl"/>
        </w:rPr>
      </w:pPr>
    </w:p>
    <w:p w14:paraId="05B7FC5A" w14:textId="77777777" w:rsidR="00987A3D" w:rsidRDefault="00987A3D" w:rsidP="00487011">
      <w:pPr>
        <w:rPr>
          <w:lang w:val="es-ES_tradnl"/>
        </w:rPr>
        <w:sectPr w:rsidR="00987A3D" w:rsidSect="0045703D">
          <w:headerReference w:type="even" r:id="rId10"/>
          <w:headerReference w:type="default" r:id="rId11"/>
          <w:footerReference w:type="even" r:id="rId12"/>
          <w:footerReference w:type="default" r:id="rId13"/>
          <w:headerReference w:type="first" r:id="rId14"/>
          <w:footerReference w:type="first" r:id="rId15"/>
          <w:pgSz w:w="12240" w:h="15840"/>
          <w:pgMar w:top="1418" w:right="1701" w:bottom="1418" w:left="1701" w:header="709" w:footer="709" w:gutter="0"/>
          <w:pgNumType w:start="1"/>
          <w:cols w:space="708"/>
          <w:docGrid w:linePitch="360"/>
        </w:sectPr>
      </w:pPr>
    </w:p>
    <w:bookmarkEnd w:id="71"/>
    <w:p w14:paraId="08CC0341" w14:textId="77777777" w:rsidR="00487011" w:rsidRPr="00987A3D" w:rsidRDefault="00487011" w:rsidP="007B5C86">
      <w:pPr>
        <w:pStyle w:val="Paragraph"/>
        <w:numPr>
          <w:ilvl w:val="0"/>
          <w:numId w:val="0"/>
        </w:numPr>
        <w:rPr>
          <w:rFonts w:ascii="Arial" w:hAnsi="Arial" w:cs="Arial"/>
          <w:b/>
          <w:sz w:val="22"/>
          <w:szCs w:val="22"/>
        </w:rPr>
      </w:pPr>
      <w:r w:rsidRPr="00987A3D">
        <w:rPr>
          <w:rFonts w:ascii="Arial" w:hAnsi="Arial" w:cs="Arial"/>
          <w:b/>
          <w:sz w:val="22"/>
          <w:szCs w:val="22"/>
        </w:rPr>
        <w:lastRenderedPageBreak/>
        <w:t>ANEXO 1. Normativa nacional aplicable para proyectos agroforestales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6948"/>
      </w:tblGrid>
      <w:tr w:rsidR="00487011" w:rsidRPr="009126FF" w14:paraId="06110A9E" w14:textId="77777777" w:rsidTr="004F5C4C">
        <w:tc>
          <w:tcPr>
            <w:tcW w:w="1440" w:type="dxa"/>
            <w:shd w:val="clear" w:color="auto" w:fill="D9D9D9"/>
          </w:tcPr>
          <w:p w14:paraId="15A596B4" w14:textId="77777777" w:rsidR="00487011" w:rsidRPr="009126FF" w:rsidRDefault="00487011" w:rsidP="004F5C4C">
            <w:pPr>
              <w:spacing w:before="120" w:after="120"/>
              <w:jc w:val="center"/>
              <w:outlineLvl w:val="1"/>
              <w:rPr>
                <w:b/>
                <w:bCs/>
                <w:sz w:val="16"/>
                <w:szCs w:val="16"/>
                <w:lang w:val="es-CO"/>
              </w:rPr>
            </w:pPr>
            <w:r w:rsidRPr="009126FF">
              <w:rPr>
                <w:b/>
                <w:bCs/>
                <w:sz w:val="16"/>
                <w:szCs w:val="16"/>
                <w:lang w:val="es-CO"/>
              </w:rPr>
              <w:t>Normativa</w:t>
            </w:r>
          </w:p>
        </w:tc>
        <w:tc>
          <w:tcPr>
            <w:tcW w:w="6948" w:type="dxa"/>
            <w:shd w:val="clear" w:color="auto" w:fill="D9D9D9"/>
          </w:tcPr>
          <w:p w14:paraId="0C9332D0" w14:textId="77777777" w:rsidR="00487011" w:rsidRPr="009126FF" w:rsidRDefault="00487011" w:rsidP="004F5C4C">
            <w:pPr>
              <w:spacing w:before="120" w:after="120"/>
              <w:jc w:val="center"/>
              <w:outlineLvl w:val="1"/>
              <w:rPr>
                <w:b/>
                <w:bCs/>
                <w:sz w:val="16"/>
                <w:szCs w:val="16"/>
                <w:lang w:val="es-CO"/>
              </w:rPr>
            </w:pPr>
            <w:r w:rsidRPr="009126FF">
              <w:rPr>
                <w:b/>
                <w:bCs/>
                <w:sz w:val="16"/>
                <w:szCs w:val="16"/>
                <w:lang w:val="es-CO"/>
              </w:rPr>
              <w:t>Nombre</w:t>
            </w:r>
            <w:r>
              <w:rPr>
                <w:b/>
                <w:bCs/>
                <w:sz w:val="16"/>
                <w:szCs w:val="16"/>
                <w:lang w:val="es-CO"/>
              </w:rPr>
              <w:t xml:space="preserve"> y </w:t>
            </w:r>
            <w:r w:rsidRPr="009126FF">
              <w:rPr>
                <w:b/>
                <w:bCs/>
                <w:sz w:val="16"/>
                <w:szCs w:val="16"/>
                <w:lang w:val="es-CO"/>
              </w:rPr>
              <w:t>Observaciones</w:t>
            </w:r>
          </w:p>
        </w:tc>
      </w:tr>
      <w:tr w:rsidR="00487011" w:rsidRPr="004E7692" w14:paraId="7412CD0D" w14:textId="77777777" w:rsidTr="004F5C4C">
        <w:trPr>
          <w:trHeight w:val="782"/>
        </w:trPr>
        <w:tc>
          <w:tcPr>
            <w:tcW w:w="1440" w:type="dxa"/>
            <w:shd w:val="clear" w:color="auto" w:fill="auto"/>
          </w:tcPr>
          <w:p w14:paraId="56D0F396" w14:textId="77777777" w:rsidR="00487011" w:rsidRPr="009126FF" w:rsidRDefault="00487011" w:rsidP="004F5C4C">
            <w:pPr>
              <w:spacing w:before="120" w:after="120"/>
              <w:outlineLvl w:val="1"/>
              <w:rPr>
                <w:sz w:val="16"/>
                <w:szCs w:val="16"/>
                <w:lang w:val="es-ES_tradnl"/>
              </w:rPr>
            </w:pPr>
            <w:bookmarkStart w:id="72" w:name="_GoBack"/>
            <w:bookmarkEnd w:id="72"/>
          </w:p>
        </w:tc>
        <w:tc>
          <w:tcPr>
            <w:tcW w:w="6948" w:type="dxa"/>
            <w:shd w:val="clear" w:color="auto" w:fill="auto"/>
          </w:tcPr>
          <w:p w14:paraId="291DB76E" w14:textId="77777777" w:rsidR="00487011" w:rsidRPr="009126FF" w:rsidRDefault="00487011" w:rsidP="004F5C4C">
            <w:pPr>
              <w:shd w:val="clear" w:color="auto" w:fill="FFFFFF"/>
              <w:spacing w:before="100" w:beforeAutospacing="1" w:after="240"/>
              <w:textAlignment w:val="top"/>
              <w:rPr>
                <w:sz w:val="16"/>
                <w:szCs w:val="16"/>
                <w:lang w:val="es-ES_tradnl"/>
              </w:rPr>
            </w:pPr>
          </w:p>
        </w:tc>
      </w:tr>
    </w:tbl>
    <w:p w14:paraId="1051609D" w14:textId="77777777" w:rsidR="00487011" w:rsidRDefault="00487011" w:rsidP="00487011">
      <w:pPr>
        <w:ind w:left="360" w:hanging="360"/>
        <w:jc w:val="both"/>
        <w:rPr>
          <w:b/>
          <w:sz w:val="22"/>
          <w:szCs w:val="22"/>
          <w:lang w:val="es-ES_tradnl"/>
        </w:rPr>
      </w:pPr>
    </w:p>
    <w:p w14:paraId="32BE8DCD" w14:textId="77777777" w:rsidR="00987A3D" w:rsidRDefault="00987A3D" w:rsidP="00487011">
      <w:pPr>
        <w:rPr>
          <w:sz w:val="22"/>
          <w:szCs w:val="22"/>
          <w:lang w:val="es-ES_tradnl"/>
        </w:rPr>
        <w:sectPr w:rsidR="00987A3D" w:rsidSect="0045703D">
          <w:pgSz w:w="12240" w:h="15840"/>
          <w:pgMar w:top="1418" w:right="1701" w:bottom="1418" w:left="1701" w:header="709" w:footer="709" w:gutter="0"/>
          <w:pgNumType w:start="1"/>
          <w:cols w:space="708"/>
          <w:docGrid w:linePitch="360"/>
        </w:sectPr>
      </w:pPr>
    </w:p>
    <w:p w14:paraId="5DBACD77" w14:textId="77777777" w:rsidR="00487011" w:rsidRPr="00987A3D" w:rsidRDefault="00487011" w:rsidP="007B5C86">
      <w:pPr>
        <w:pStyle w:val="Paragraph"/>
        <w:numPr>
          <w:ilvl w:val="0"/>
          <w:numId w:val="0"/>
        </w:numPr>
        <w:rPr>
          <w:rFonts w:ascii="Arial" w:hAnsi="Arial" w:cs="Arial"/>
          <w:b/>
          <w:sz w:val="22"/>
          <w:szCs w:val="22"/>
        </w:rPr>
      </w:pPr>
      <w:r w:rsidRPr="00987A3D">
        <w:rPr>
          <w:rFonts w:ascii="Arial" w:hAnsi="Arial" w:cs="Arial"/>
          <w:b/>
          <w:sz w:val="22"/>
          <w:szCs w:val="22"/>
        </w:rPr>
        <w:lastRenderedPageBreak/>
        <w:t>ANEXO 2 Procedimiento para determinación de requerimientos según el riesgo de las operaciones</w:t>
      </w:r>
    </w:p>
    <w:p w14:paraId="6269309C" w14:textId="77777777" w:rsidR="00487011" w:rsidRPr="00A17329" w:rsidRDefault="00487011" w:rsidP="007B5C86">
      <w:pPr>
        <w:pStyle w:val="Paragraph"/>
        <w:numPr>
          <w:ilvl w:val="0"/>
          <w:numId w:val="0"/>
        </w:numPr>
        <w:rPr>
          <w:rFonts w:ascii="Arial" w:hAnsi="Arial" w:cs="Arial"/>
          <w:sz w:val="22"/>
          <w:szCs w:val="22"/>
        </w:rPr>
      </w:pPr>
      <w:r w:rsidRPr="00A17329">
        <w:rPr>
          <w:rFonts w:ascii="Arial" w:hAnsi="Arial" w:cs="Arial"/>
          <w:sz w:val="22"/>
          <w:szCs w:val="22"/>
        </w:rPr>
        <w:t xml:space="preserve">Para que los proyectos sean elegibles de financiamiento con recursos del Programa deberán cumplir con: i) todas las normas ambientales, sociales, de salud, seguridad y laborales de la legislación uruguaya aplicable, </w:t>
      </w:r>
      <w:proofErr w:type="spellStart"/>
      <w:r w:rsidRPr="00A17329">
        <w:rPr>
          <w:rFonts w:ascii="Arial" w:hAnsi="Arial" w:cs="Arial"/>
          <w:sz w:val="22"/>
          <w:szCs w:val="22"/>
        </w:rPr>
        <w:t>ii</w:t>
      </w:r>
      <w:proofErr w:type="spellEnd"/>
      <w:r w:rsidRPr="00A17329">
        <w:rPr>
          <w:rFonts w:ascii="Arial" w:hAnsi="Arial" w:cs="Arial"/>
          <w:sz w:val="22"/>
          <w:szCs w:val="22"/>
        </w:rPr>
        <w:t xml:space="preserve">) las Políticas de Salvaguardas Ambientales y Sociales del BID, </w:t>
      </w:r>
      <w:proofErr w:type="spellStart"/>
      <w:r w:rsidRPr="00A17329">
        <w:rPr>
          <w:rFonts w:ascii="Arial" w:hAnsi="Arial" w:cs="Arial"/>
          <w:sz w:val="22"/>
          <w:szCs w:val="22"/>
        </w:rPr>
        <w:t>iii</w:t>
      </w:r>
      <w:proofErr w:type="spellEnd"/>
      <w:r w:rsidRPr="00A17329">
        <w:rPr>
          <w:rFonts w:ascii="Arial" w:hAnsi="Arial" w:cs="Arial"/>
          <w:sz w:val="22"/>
          <w:szCs w:val="22"/>
        </w:rPr>
        <w:t xml:space="preserve">) las Normas de Desempeño de la CIF y </w:t>
      </w:r>
      <w:proofErr w:type="spellStart"/>
      <w:r w:rsidRPr="00A17329">
        <w:rPr>
          <w:rFonts w:ascii="Arial" w:hAnsi="Arial" w:cs="Arial"/>
          <w:sz w:val="22"/>
          <w:szCs w:val="22"/>
        </w:rPr>
        <w:t>iv</w:t>
      </w:r>
      <w:proofErr w:type="spellEnd"/>
      <w:r w:rsidRPr="00A17329">
        <w:rPr>
          <w:rFonts w:ascii="Arial" w:hAnsi="Arial" w:cs="Arial"/>
          <w:sz w:val="22"/>
          <w:szCs w:val="22"/>
        </w:rPr>
        <w:t xml:space="preserve">) no deberán involucrar actividades del Listado de Actividades Excluidas de Financiamiento (Anexo 5). </w:t>
      </w:r>
    </w:p>
    <w:p w14:paraId="787ABD77" w14:textId="77777777" w:rsidR="00487011" w:rsidRPr="00A17329" w:rsidRDefault="00487011" w:rsidP="007B5C86">
      <w:pPr>
        <w:pStyle w:val="Paragraph"/>
        <w:numPr>
          <w:ilvl w:val="0"/>
          <w:numId w:val="0"/>
        </w:numPr>
        <w:rPr>
          <w:rFonts w:ascii="Arial" w:hAnsi="Arial" w:cs="Arial"/>
          <w:sz w:val="22"/>
          <w:szCs w:val="22"/>
        </w:rPr>
      </w:pPr>
      <w:r w:rsidRPr="00A17329">
        <w:rPr>
          <w:rFonts w:ascii="Arial" w:hAnsi="Arial" w:cs="Arial"/>
          <w:sz w:val="22"/>
          <w:szCs w:val="22"/>
        </w:rPr>
        <w:t xml:space="preserve">El nivel de riesgo para cada tipo de obra se basa en el riesgo social y ambiental asociado a (i) el tipo de obra o sector, </w:t>
      </w:r>
      <w:proofErr w:type="spellStart"/>
      <w:r w:rsidRPr="00A17329">
        <w:rPr>
          <w:rFonts w:ascii="Arial" w:hAnsi="Arial" w:cs="Arial"/>
          <w:sz w:val="22"/>
          <w:szCs w:val="22"/>
        </w:rPr>
        <w:t>ii</w:t>
      </w:r>
      <w:proofErr w:type="spellEnd"/>
      <w:r w:rsidRPr="00A17329">
        <w:rPr>
          <w:rFonts w:ascii="Arial" w:hAnsi="Arial" w:cs="Arial"/>
          <w:sz w:val="22"/>
          <w:szCs w:val="22"/>
        </w:rPr>
        <w:t xml:space="preserve">) la sensibilidad del sitio </w:t>
      </w:r>
      <w:proofErr w:type="gramStart"/>
      <w:r w:rsidRPr="00A17329">
        <w:rPr>
          <w:rFonts w:ascii="Arial" w:hAnsi="Arial" w:cs="Arial"/>
          <w:sz w:val="22"/>
          <w:szCs w:val="22"/>
        </w:rPr>
        <w:t xml:space="preserve">y  </w:t>
      </w:r>
      <w:proofErr w:type="spellStart"/>
      <w:r w:rsidRPr="00A17329">
        <w:rPr>
          <w:rFonts w:ascii="Arial" w:hAnsi="Arial" w:cs="Arial"/>
          <w:sz w:val="22"/>
          <w:szCs w:val="22"/>
        </w:rPr>
        <w:t>iii</w:t>
      </w:r>
      <w:proofErr w:type="spellEnd"/>
      <w:proofErr w:type="gramEnd"/>
      <w:r w:rsidRPr="00A17329">
        <w:rPr>
          <w:rFonts w:ascii="Arial" w:hAnsi="Arial" w:cs="Arial"/>
          <w:sz w:val="22"/>
          <w:szCs w:val="22"/>
        </w:rPr>
        <w:t>) el monto de la operación.</w:t>
      </w:r>
    </w:p>
    <w:p w14:paraId="17C3748C" w14:textId="77777777" w:rsidR="00487011" w:rsidRPr="00A17329" w:rsidRDefault="00487011" w:rsidP="007B5C86">
      <w:pPr>
        <w:pStyle w:val="Paragraph"/>
        <w:numPr>
          <w:ilvl w:val="0"/>
          <w:numId w:val="0"/>
        </w:numPr>
        <w:rPr>
          <w:rFonts w:ascii="Arial" w:hAnsi="Arial" w:cs="Arial"/>
          <w:sz w:val="22"/>
          <w:szCs w:val="22"/>
        </w:rPr>
      </w:pPr>
      <w:r w:rsidRPr="00A17329">
        <w:rPr>
          <w:rFonts w:ascii="Arial" w:hAnsi="Arial" w:cs="Arial"/>
          <w:sz w:val="22"/>
          <w:szCs w:val="22"/>
        </w:rPr>
        <w:t xml:space="preserve">Para determinar el riesgo de cada operación, el BROU clasificará los proyectos según Riesgo Ambiental y Social potencial (Riesgo Ambiental y </w:t>
      </w:r>
      <w:proofErr w:type="gramStart"/>
      <w:r w:rsidRPr="00A17329">
        <w:rPr>
          <w:rFonts w:ascii="Arial" w:hAnsi="Arial" w:cs="Arial"/>
          <w:sz w:val="22"/>
          <w:szCs w:val="22"/>
        </w:rPr>
        <w:t>Social  I</w:t>
      </w:r>
      <w:proofErr w:type="gramEnd"/>
      <w:r w:rsidRPr="00A17329">
        <w:rPr>
          <w:rFonts w:ascii="Arial" w:hAnsi="Arial" w:cs="Arial"/>
          <w:sz w:val="22"/>
          <w:szCs w:val="22"/>
        </w:rPr>
        <w:t>, II o III). El cuadro a continuación presenta una clasificación de riesgo ambiental y social, según el tipo de obra.</w:t>
      </w:r>
    </w:p>
    <w:p w14:paraId="405ACB24" w14:textId="77777777" w:rsidR="00487011" w:rsidRPr="00A17329" w:rsidRDefault="00487011" w:rsidP="007B5C86">
      <w:pPr>
        <w:pStyle w:val="Paragraph"/>
        <w:numPr>
          <w:ilvl w:val="0"/>
          <w:numId w:val="0"/>
        </w:numPr>
        <w:rPr>
          <w:rFonts w:ascii="Arial" w:hAnsi="Arial" w:cs="Arial"/>
          <w:b/>
          <w:sz w:val="22"/>
          <w:szCs w:val="22"/>
        </w:rPr>
      </w:pPr>
      <w:r w:rsidRPr="00A17329">
        <w:rPr>
          <w:rFonts w:ascii="Arial" w:hAnsi="Arial" w:cs="Arial"/>
          <w:b/>
          <w:sz w:val="22"/>
          <w:szCs w:val="22"/>
        </w:rPr>
        <w:t xml:space="preserve">Cuadro 1. Guía de </w:t>
      </w:r>
      <w:proofErr w:type="spellStart"/>
      <w:proofErr w:type="gramStart"/>
      <w:r w:rsidRPr="00A17329">
        <w:rPr>
          <w:rFonts w:ascii="Arial" w:hAnsi="Arial" w:cs="Arial"/>
          <w:b/>
          <w:sz w:val="22"/>
          <w:szCs w:val="22"/>
        </w:rPr>
        <w:t>pre-clasificación</w:t>
      </w:r>
      <w:proofErr w:type="spellEnd"/>
      <w:proofErr w:type="gramEnd"/>
      <w:r w:rsidRPr="00A17329">
        <w:rPr>
          <w:rFonts w:ascii="Arial" w:hAnsi="Arial" w:cs="Arial"/>
          <w:b/>
          <w:sz w:val="22"/>
          <w:szCs w:val="22"/>
        </w:rPr>
        <w:t xml:space="preserve"> de riesgo ambiental y social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15"/>
        <w:gridCol w:w="1980"/>
        <w:gridCol w:w="1980"/>
        <w:gridCol w:w="1767"/>
      </w:tblGrid>
      <w:tr w:rsidR="00487011" w:rsidRPr="00A17329" w14:paraId="3817B2D3" w14:textId="77777777" w:rsidTr="004F5C4C">
        <w:trPr>
          <w:jc w:val="center"/>
        </w:trPr>
        <w:tc>
          <w:tcPr>
            <w:tcW w:w="2915" w:type="dxa"/>
            <w:shd w:val="clear" w:color="auto" w:fill="D9D9D9"/>
          </w:tcPr>
          <w:p w14:paraId="76300B54"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Tipo de obra</w:t>
            </w:r>
          </w:p>
        </w:tc>
        <w:tc>
          <w:tcPr>
            <w:tcW w:w="1980" w:type="dxa"/>
            <w:shd w:val="clear" w:color="auto" w:fill="D9D9D9"/>
          </w:tcPr>
          <w:p w14:paraId="2C2F7AE5"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Bajo Riesgo</w:t>
            </w:r>
          </w:p>
          <w:p w14:paraId="348A73E4"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I</w:t>
            </w:r>
          </w:p>
        </w:tc>
        <w:tc>
          <w:tcPr>
            <w:tcW w:w="1980" w:type="dxa"/>
            <w:shd w:val="clear" w:color="auto" w:fill="D9D9D9"/>
          </w:tcPr>
          <w:p w14:paraId="3E8CBD5B"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Medio Riesgo</w:t>
            </w:r>
          </w:p>
          <w:p w14:paraId="3849297F"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II</w:t>
            </w:r>
          </w:p>
        </w:tc>
        <w:tc>
          <w:tcPr>
            <w:tcW w:w="1767" w:type="dxa"/>
            <w:tcBorders>
              <w:bottom w:val="single" w:sz="6" w:space="0" w:color="auto"/>
            </w:tcBorders>
            <w:shd w:val="clear" w:color="auto" w:fill="D9D9D9"/>
          </w:tcPr>
          <w:p w14:paraId="69C9B404"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Alto Riesgo</w:t>
            </w:r>
          </w:p>
          <w:p w14:paraId="7A0BF735"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III</w:t>
            </w:r>
          </w:p>
        </w:tc>
      </w:tr>
      <w:tr w:rsidR="00487011" w:rsidRPr="00A17329" w14:paraId="26918769" w14:textId="77777777" w:rsidTr="004F5C4C">
        <w:trPr>
          <w:trHeight w:val="489"/>
          <w:jc w:val="center"/>
        </w:trPr>
        <w:tc>
          <w:tcPr>
            <w:tcW w:w="2915" w:type="dxa"/>
            <w:shd w:val="clear" w:color="auto" w:fill="D9D9D9"/>
          </w:tcPr>
          <w:p w14:paraId="00342B30" w14:textId="77777777" w:rsidR="00487011" w:rsidRPr="00A17329" w:rsidRDefault="00487011" w:rsidP="004F5C4C">
            <w:pPr>
              <w:spacing w:after="200" w:line="276" w:lineRule="auto"/>
              <w:jc w:val="both"/>
              <w:rPr>
                <w:rFonts w:ascii="Arial" w:hAnsi="Arial" w:cs="Arial"/>
                <w:sz w:val="16"/>
                <w:szCs w:val="16"/>
                <w:lang w:val="es-ES_tradnl"/>
              </w:rPr>
            </w:pPr>
            <w:r w:rsidRPr="00A17329">
              <w:rPr>
                <w:rFonts w:ascii="Arial" w:hAnsi="Arial" w:cs="Arial"/>
                <w:sz w:val="16"/>
                <w:szCs w:val="16"/>
                <w:lang w:val="es-ES_tradnl"/>
              </w:rPr>
              <w:t>Sector Agroforestal</w:t>
            </w:r>
          </w:p>
        </w:tc>
        <w:tc>
          <w:tcPr>
            <w:tcW w:w="1980" w:type="dxa"/>
            <w:shd w:val="clear" w:color="auto" w:fill="FFFFFF"/>
          </w:tcPr>
          <w:p w14:paraId="6C697E71"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-50</w:t>
            </w:r>
          </w:p>
        </w:tc>
        <w:tc>
          <w:tcPr>
            <w:tcW w:w="1980" w:type="dxa"/>
            <w:tcBorders>
              <w:bottom w:val="single" w:sz="6" w:space="0" w:color="auto"/>
            </w:tcBorders>
            <w:shd w:val="clear" w:color="auto" w:fill="FFFFFF"/>
          </w:tcPr>
          <w:p w14:paraId="2624A320"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 xml:space="preserve">+100 </w:t>
            </w:r>
            <w:proofErr w:type="spellStart"/>
            <w:r w:rsidRPr="00A17329">
              <w:rPr>
                <w:rFonts w:ascii="Arial" w:hAnsi="Arial" w:cs="Arial"/>
                <w:sz w:val="16"/>
                <w:szCs w:val="16"/>
                <w:lang w:val="es-ES_tradnl"/>
              </w:rPr>
              <w:t>Hectareas</w:t>
            </w:r>
            <w:proofErr w:type="spellEnd"/>
          </w:p>
        </w:tc>
        <w:tc>
          <w:tcPr>
            <w:tcW w:w="1767" w:type="dxa"/>
            <w:shd w:val="clear" w:color="auto" w:fill="FFFFFF"/>
          </w:tcPr>
          <w:p w14:paraId="6692BE0B" w14:textId="77777777" w:rsidR="00487011" w:rsidRPr="00A17329" w:rsidRDefault="00487011" w:rsidP="004F5C4C">
            <w:pPr>
              <w:spacing w:after="200" w:line="276" w:lineRule="auto"/>
              <w:jc w:val="center"/>
              <w:rPr>
                <w:rFonts w:ascii="Arial" w:hAnsi="Arial" w:cs="Arial"/>
                <w:sz w:val="16"/>
                <w:szCs w:val="16"/>
                <w:lang w:val="es-ES_tradnl"/>
              </w:rPr>
            </w:pPr>
          </w:p>
        </w:tc>
      </w:tr>
      <w:tr w:rsidR="00487011" w:rsidRPr="00A17329" w14:paraId="2E358129" w14:textId="77777777" w:rsidTr="004F5C4C">
        <w:trPr>
          <w:trHeight w:val="525"/>
          <w:jc w:val="center"/>
        </w:trPr>
        <w:tc>
          <w:tcPr>
            <w:tcW w:w="2915" w:type="dxa"/>
            <w:shd w:val="clear" w:color="auto" w:fill="D9D9D9"/>
          </w:tcPr>
          <w:p w14:paraId="380491B3" w14:textId="77777777" w:rsidR="00487011" w:rsidRPr="00A17329" w:rsidRDefault="00487011" w:rsidP="004F5C4C">
            <w:pPr>
              <w:spacing w:after="200" w:line="276" w:lineRule="auto"/>
              <w:jc w:val="both"/>
              <w:rPr>
                <w:rFonts w:ascii="Arial" w:hAnsi="Arial" w:cs="Arial"/>
                <w:sz w:val="16"/>
                <w:szCs w:val="16"/>
                <w:lang w:val="es-ES_tradnl"/>
              </w:rPr>
            </w:pPr>
            <w:r w:rsidRPr="00A17329">
              <w:rPr>
                <w:rFonts w:ascii="Arial" w:hAnsi="Arial" w:cs="Arial"/>
                <w:sz w:val="16"/>
                <w:szCs w:val="16"/>
                <w:lang w:val="es-ES_tradnl"/>
              </w:rPr>
              <w:t>Construcción de centros de salud</w:t>
            </w:r>
          </w:p>
        </w:tc>
        <w:tc>
          <w:tcPr>
            <w:tcW w:w="1980" w:type="dxa"/>
            <w:tcBorders>
              <w:bottom w:val="single" w:sz="6" w:space="0" w:color="auto"/>
            </w:tcBorders>
            <w:shd w:val="clear" w:color="auto" w:fill="auto"/>
          </w:tcPr>
          <w:p w14:paraId="22564F9A" w14:textId="77777777" w:rsidR="00487011" w:rsidRPr="00A17329" w:rsidRDefault="00487011" w:rsidP="004F5C4C">
            <w:pPr>
              <w:spacing w:after="200" w:line="276" w:lineRule="auto"/>
              <w:jc w:val="center"/>
              <w:rPr>
                <w:rFonts w:ascii="Arial" w:hAnsi="Arial" w:cs="Arial"/>
                <w:sz w:val="16"/>
                <w:szCs w:val="16"/>
                <w:lang w:val="es-ES_tradnl"/>
              </w:rPr>
            </w:pPr>
          </w:p>
        </w:tc>
        <w:tc>
          <w:tcPr>
            <w:tcW w:w="1980" w:type="dxa"/>
            <w:tcBorders>
              <w:bottom w:val="single" w:sz="6" w:space="0" w:color="auto"/>
            </w:tcBorders>
            <w:shd w:val="clear" w:color="auto" w:fill="auto"/>
          </w:tcPr>
          <w:p w14:paraId="64389D09" w14:textId="77777777" w:rsidR="00487011" w:rsidRPr="00A17329" w:rsidRDefault="00487011" w:rsidP="004F5C4C">
            <w:pPr>
              <w:spacing w:after="200" w:line="276" w:lineRule="auto"/>
              <w:jc w:val="center"/>
              <w:rPr>
                <w:rFonts w:ascii="Arial" w:hAnsi="Arial" w:cs="Arial"/>
                <w:sz w:val="16"/>
                <w:szCs w:val="16"/>
                <w:lang w:val="es-ES_tradnl"/>
              </w:rPr>
            </w:pPr>
          </w:p>
        </w:tc>
        <w:tc>
          <w:tcPr>
            <w:tcW w:w="1767" w:type="dxa"/>
            <w:shd w:val="clear" w:color="auto" w:fill="auto"/>
          </w:tcPr>
          <w:p w14:paraId="6AED5728" w14:textId="77777777" w:rsidR="00487011" w:rsidRPr="00A17329" w:rsidRDefault="00487011" w:rsidP="004F5C4C">
            <w:pPr>
              <w:spacing w:after="200" w:line="276" w:lineRule="auto"/>
              <w:jc w:val="center"/>
              <w:rPr>
                <w:rFonts w:ascii="Arial" w:hAnsi="Arial" w:cs="Arial"/>
                <w:sz w:val="16"/>
                <w:szCs w:val="16"/>
                <w:lang w:val="es-ES_tradnl"/>
              </w:rPr>
            </w:pPr>
          </w:p>
        </w:tc>
      </w:tr>
    </w:tbl>
    <w:p w14:paraId="55A8BD76" w14:textId="77777777" w:rsidR="00487011" w:rsidRPr="00A17329" w:rsidRDefault="00487011" w:rsidP="00487011">
      <w:pPr>
        <w:jc w:val="both"/>
        <w:rPr>
          <w:rFonts w:ascii="Arial" w:eastAsia="SimSun" w:hAnsi="Arial" w:cs="Arial"/>
          <w:bCs/>
          <w:sz w:val="22"/>
          <w:szCs w:val="22"/>
          <w:lang w:val="es-CO"/>
        </w:rPr>
      </w:pPr>
    </w:p>
    <w:p w14:paraId="45794137" w14:textId="77777777" w:rsidR="00487011" w:rsidRPr="00A17329" w:rsidRDefault="00487011" w:rsidP="00487011">
      <w:pPr>
        <w:jc w:val="both"/>
        <w:rPr>
          <w:rFonts w:ascii="Arial" w:eastAsia="SimSun" w:hAnsi="Arial" w:cs="Arial"/>
          <w:bCs/>
          <w:sz w:val="22"/>
          <w:szCs w:val="22"/>
          <w:lang w:val="es-CO"/>
        </w:rPr>
      </w:pPr>
      <w:r w:rsidRPr="00A17329">
        <w:rPr>
          <w:rFonts w:ascii="Arial" w:eastAsia="SimSun" w:hAnsi="Arial" w:cs="Arial"/>
          <w:bCs/>
          <w:sz w:val="22"/>
          <w:szCs w:val="22"/>
          <w:lang w:val="es-CO"/>
        </w:rPr>
        <w:t xml:space="preserve">En caso de financiar otros sectores diferentes a los del cuadro anterior, será necesario acordar con el BID la clasificación </w:t>
      </w:r>
      <w:proofErr w:type="gramStart"/>
      <w:r w:rsidRPr="00A17329">
        <w:rPr>
          <w:rFonts w:ascii="Arial" w:eastAsia="SimSun" w:hAnsi="Arial" w:cs="Arial"/>
          <w:bCs/>
          <w:sz w:val="22"/>
          <w:szCs w:val="22"/>
          <w:lang w:val="es-CO"/>
        </w:rPr>
        <w:t>de acuerdo a</w:t>
      </w:r>
      <w:proofErr w:type="gramEnd"/>
      <w:r w:rsidRPr="00A17329">
        <w:rPr>
          <w:rFonts w:ascii="Arial" w:eastAsia="SimSun" w:hAnsi="Arial" w:cs="Arial"/>
          <w:bCs/>
          <w:sz w:val="22"/>
          <w:szCs w:val="22"/>
          <w:lang w:val="es-CO"/>
        </w:rPr>
        <w:t xml:space="preserve"> los posibles riesgos e impactos que puedan generar. </w:t>
      </w:r>
    </w:p>
    <w:p w14:paraId="57C7C3A7" w14:textId="77777777" w:rsidR="00487011" w:rsidRPr="00A17329" w:rsidRDefault="00487011" w:rsidP="00487011">
      <w:pPr>
        <w:jc w:val="both"/>
        <w:rPr>
          <w:rFonts w:ascii="Arial" w:eastAsia="SimSun" w:hAnsi="Arial" w:cs="Arial"/>
          <w:bCs/>
          <w:sz w:val="22"/>
          <w:szCs w:val="22"/>
          <w:lang w:val="es-CO"/>
        </w:rPr>
      </w:pPr>
    </w:p>
    <w:p w14:paraId="25A9D45B" w14:textId="77777777" w:rsidR="00487011" w:rsidRPr="00A17329" w:rsidRDefault="00487011" w:rsidP="00487011">
      <w:pPr>
        <w:jc w:val="both"/>
        <w:rPr>
          <w:rFonts w:ascii="Arial" w:eastAsia="SimSun" w:hAnsi="Arial" w:cs="Arial"/>
          <w:bCs/>
          <w:sz w:val="22"/>
          <w:szCs w:val="22"/>
          <w:lang w:val="es-CO"/>
        </w:rPr>
      </w:pPr>
      <w:r w:rsidRPr="00A17329">
        <w:rPr>
          <w:rFonts w:ascii="Arial" w:eastAsia="SimSun" w:hAnsi="Arial" w:cs="Arial"/>
          <w:bCs/>
          <w:sz w:val="22"/>
          <w:szCs w:val="22"/>
          <w:lang w:val="es-CO"/>
        </w:rPr>
        <w:t xml:space="preserve">Adicionalmente, el nivel de riesgo puede aumentar </w:t>
      </w:r>
      <w:proofErr w:type="gramStart"/>
      <w:r w:rsidRPr="00A17329">
        <w:rPr>
          <w:rFonts w:ascii="Arial" w:eastAsia="SimSun" w:hAnsi="Arial" w:cs="Arial"/>
          <w:bCs/>
          <w:sz w:val="22"/>
          <w:szCs w:val="22"/>
          <w:lang w:val="es-CO"/>
        </w:rPr>
        <w:t>de acuerdo a</w:t>
      </w:r>
      <w:proofErr w:type="gramEnd"/>
      <w:r w:rsidRPr="00A17329">
        <w:rPr>
          <w:rFonts w:ascii="Arial" w:eastAsia="SimSun" w:hAnsi="Arial" w:cs="Arial"/>
          <w:bCs/>
          <w:sz w:val="22"/>
          <w:szCs w:val="22"/>
          <w:lang w:val="es-CO"/>
        </w:rPr>
        <w:t xml:space="preserve"> la sensibilidad del sitio donde se desarrolle la obra, la cual a su vez varía en la medida que se localice: </w:t>
      </w:r>
    </w:p>
    <w:p w14:paraId="7F44761B" w14:textId="77777777" w:rsidR="00487011" w:rsidRPr="00A17329" w:rsidRDefault="00487011" w:rsidP="00487011">
      <w:pPr>
        <w:numPr>
          <w:ilvl w:val="0"/>
          <w:numId w:val="20"/>
        </w:numPr>
        <w:jc w:val="both"/>
        <w:rPr>
          <w:rFonts w:ascii="Arial" w:eastAsia="SimSun" w:hAnsi="Arial" w:cs="Arial"/>
          <w:bCs/>
          <w:sz w:val="22"/>
          <w:szCs w:val="22"/>
          <w:lang w:val="es-CO"/>
        </w:rPr>
      </w:pPr>
      <w:r w:rsidRPr="00A17329">
        <w:rPr>
          <w:rFonts w:ascii="Arial" w:eastAsia="SimSun" w:hAnsi="Arial" w:cs="Arial"/>
          <w:bCs/>
          <w:sz w:val="22"/>
          <w:szCs w:val="22"/>
          <w:lang w:val="es-CO"/>
        </w:rPr>
        <w:t>En o cerca de áreas con presencia de ecosistemas sensitivos o de alto valor (áreas protegidas, humedales, áreas de interés aviar, hábitats para especies amenazadas);</w:t>
      </w:r>
    </w:p>
    <w:p w14:paraId="0073DBDB" w14:textId="77777777" w:rsidR="00487011" w:rsidRPr="00A17329" w:rsidRDefault="00487011" w:rsidP="00487011">
      <w:pPr>
        <w:numPr>
          <w:ilvl w:val="0"/>
          <w:numId w:val="20"/>
        </w:numPr>
        <w:jc w:val="both"/>
        <w:rPr>
          <w:rFonts w:ascii="Arial" w:eastAsia="SimSun" w:hAnsi="Arial" w:cs="Arial"/>
          <w:bCs/>
          <w:sz w:val="22"/>
          <w:szCs w:val="22"/>
          <w:lang w:val="pt-BR"/>
        </w:rPr>
      </w:pPr>
      <w:r w:rsidRPr="00A17329">
        <w:rPr>
          <w:rFonts w:ascii="Arial" w:eastAsia="SimSun" w:hAnsi="Arial" w:cs="Arial"/>
          <w:bCs/>
          <w:sz w:val="22"/>
          <w:szCs w:val="22"/>
          <w:lang w:val="pt-BR"/>
        </w:rPr>
        <w:t xml:space="preserve">En o cerca de áreas de alto valor arqueológico, paleontológico o histórico; </w:t>
      </w:r>
    </w:p>
    <w:p w14:paraId="77C5FF5A" w14:textId="77777777" w:rsidR="00487011" w:rsidRPr="00A17329" w:rsidRDefault="00487011" w:rsidP="00487011">
      <w:pPr>
        <w:numPr>
          <w:ilvl w:val="0"/>
          <w:numId w:val="20"/>
        </w:numPr>
        <w:jc w:val="both"/>
        <w:rPr>
          <w:rFonts w:ascii="Arial" w:eastAsia="SimSun" w:hAnsi="Arial" w:cs="Arial"/>
          <w:bCs/>
          <w:sz w:val="22"/>
          <w:szCs w:val="22"/>
          <w:lang w:val="es-CO"/>
        </w:rPr>
      </w:pPr>
      <w:r w:rsidRPr="00A17329">
        <w:rPr>
          <w:rFonts w:ascii="Arial" w:eastAsia="SimSun" w:hAnsi="Arial" w:cs="Arial"/>
          <w:bCs/>
          <w:sz w:val="22"/>
          <w:szCs w:val="22"/>
          <w:lang w:val="es-CO"/>
        </w:rPr>
        <w:t>Áreas densamente pobladas, o en donde se requieran reasentamientos de población con impactos sociales significativos (más de 100 personas o más de 20 hogares);</w:t>
      </w:r>
    </w:p>
    <w:p w14:paraId="01E212A4" w14:textId="77777777" w:rsidR="00487011" w:rsidRPr="00A17329" w:rsidRDefault="00487011" w:rsidP="00487011">
      <w:pPr>
        <w:numPr>
          <w:ilvl w:val="0"/>
          <w:numId w:val="20"/>
        </w:numPr>
        <w:jc w:val="both"/>
        <w:rPr>
          <w:rFonts w:ascii="Arial" w:eastAsia="SimSun" w:hAnsi="Arial" w:cs="Arial"/>
          <w:bCs/>
          <w:sz w:val="22"/>
          <w:szCs w:val="22"/>
          <w:lang w:val="es-CO"/>
        </w:rPr>
      </w:pPr>
      <w:r w:rsidRPr="00A17329">
        <w:rPr>
          <w:rFonts w:ascii="Arial" w:eastAsia="SimSun" w:hAnsi="Arial" w:cs="Arial"/>
          <w:bCs/>
          <w:sz w:val="22"/>
          <w:szCs w:val="22"/>
          <w:lang w:val="es-CO"/>
        </w:rPr>
        <w:t>Áreas con sistemas de tenencia de tierra ancestrales, o con poblaciones rurales tradicionales);</w:t>
      </w:r>
    </w:p>
    <w:p w14:paraId="58F1CEA8" w14:textId="77777777" w:rsidR="00487011" w:rsidRPr="00A17329" w:rsidRDefault="00487011" w:rsidP="00487011">
      <w:pPr>
        <w:numPr>
          <w:ilvl w:val="0"/>
          <w:numId w:val="20"/>
        </w:numPr>
        <w:jc w:val="both"/>
        <w:rPr>
          <w:rFonts w:ascii="Arial" w:eastAsia="SimSun" w:hAnsi="Arial" w:cs="Arial"/>
          <w:bCs/>
          <w:sz w:val="22"/>
          <w:szCs w:val="22"/>
          <w:lang w:val="es-CO"/>
        </w:rPr>
      </w:pPr>
      <w:r w:rsidRPr="00A17329">
        <w:rPr>
          <w:rFonts w:ascii="Arial" w:eastAsia="SimSun" w:hAnsi="Arial" w:cs="Arial"/>
          <w:bCs/>
          <w:sz w:val="22"/>
          <w:szCs w:val="22"/>
          <w:lang w:val="es-CO"/>
        </w:rPr>
        <w:t>En o cerca de áreas con recursos naturales valiosos (pesquerías, bosques, plantas medicinales, etc.)</w:t>
      </w:r>
    </w:p>
    <w:p w14:paraId="4F91DBE6" w14:textId="77777777" w:rsidR="00487011" w:rsidRPr="00A17329" w:rsidRDefault="00487011" w:rsidP="00487011">
      <w:pPr>
        <w:numPr>
          <w:ilvl w:val="0"/>
          <w:numId w:val="20"/>
        </w:numPr>
        <w:jc w:val="both"/>
        <w:rPr>
          <w:rFonts w:ascii="Arial" w:eastAsia="SimSun" w:hAnsi="Arial" w:cs="Arial"/>
          <w:sz w:val="22"/>
          <w:szCs w:val="22"/>
          <w:lang w:val="es-CO"/>
        </w:rPr>
      </w:pPr>
      <w:r w:rsidRPr="00A17329">
        <w:rPr>
          <w:rFonts w:ascii="Arial" w:eastAsia="SimSun" w:hAnsi="Arial" w:cs="Arial"/>
          <w:sz w:val="22"/>
          <w:szCs w:val="22"/>
          <w:lang w:val="es-CO"/>
        </w:rPr>
        <w:t>Áreas de alta amenaza por fenómenos naturales.</w:t>
      </w:r>
    </w:p>
    <w:p w14:paraId="29ADE15F" w14:textId="77777777" w:rsidR="00487011" w:rsidRPr="00A17329" w:rsidRDefault="00487011" w:rsidP="00487011">
      <w:pPr>
        <w:jc w:val="both"/>
        <w:rPr>
          <w:rFonts w:ascii="Arial" w:eastAsia="SimSun" w:hAnsi="Arial" w:cs="Arial"/>
          <w:sz w:val="22"/>
          <w:szCs w:val="22"/>
          <w:lang w:val="es-CO"/>
        </w:rPr>
      </w:pPr>
    </w:p>
    <w:p w14:paraId="0EABB2AF" w14:textId="77777777" w:rsidR="00487011" w:rsidRPr="00A17329" w:rsidRDefault="00487011" w:rsidP="007B5C86">
      <w:pPr>
        <w:pStyle w:val="Paragraph"/>
        <w:numPr>
          <w:ilvl w:val="0"/>
          <w:numId w:val="0"/>
        </w:numPr>
        <w:rPr>
          <w:rFonts w:ascii="Arial" w:hAnsi="Arial" w:cs="Arial"/>
          <w:b/>
          <w:sz w:val="22"/>
          <w:szCs w:val="22"/>
        </w:rPr>
      </w:pPr>
      <w:r w:rsidRPr="00A17329">
        <w:rPr>
          <w:rFonts w:ascii="Arial" w:hAnsi="Arial" w:cs="Arial"/>
          <w:b/>
          <w:sz w:val="22"/>
          <w:szCs w:val="22"/>
        </w:rPr>
        <w:t>Cuadro 2. Sensibilidad del sitio</w:t>
      </w:r>
    </w:p>
    <w:tbl>
      <w:tblPr>
        <w:tblW w:w="942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4"/>
        <w:gridCol w:w="2430"/>
        <w:gridCol w:w="2250"/>
        <w:gridCol w:w="2515"/>
      </w:tblGrid>
      <w:tr w:rsidR="00487011" w:rsidRPr="00A17329" w14:paraId="42ED2E02" w14:textId="77777777" w:rsidTr="004F5C4C">
        <w:trPr>
          <w:jc w:val="center"/>
        </w:trPr>
        <w:tc>
          <w:tcPr>
            <w:tcW w:w="2234" w:type="dxa"/>
            <w:shd w:val="clear" w:color="auto" w:fill="D9D9D9"/>
          </w:tcPr>
          <w:p w14:paraId="6BF2ADC0" w14:textId="77777777" w:rsidR="00487011" w:rsidRPr="00A17329" w:rsidRDefault="00487011" w:rsidP="004F5C4C">
            <w:pPr>
              <w:spacing w:after="200" w:line="276" w:lineRule="auto"/>
              <w:jc w:val="center"/>
              <w:rPr>
                <w:rFonts w:ascii="Arial" w:hAnsi="Arial" w:cs="Arial"/>
                <w:b/>
                <w:sz w:val="16"/>
                <w:szCs w:val="16"/>
                <w:lang w:val="es-ES_tradnl"/>
              </w:rPr>
            </w:pPr>
          </w:p>
        </w:tc>
        <w:tc>
          <w:tcPr>
            <w:tcW w:w="2430" w:type="dxa"/>
            <w:shd w:val="clear" w:color="auto" w:fill="D9D9D9"/>
          </w:tcPr>
          <w:p w14:paraId="58009835"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 xml:space="preserve">Sensibilidad Baja </w:t>
            </w:r>
          </w:p>
        </w:tc>
        <w:tc>
          <w:tcPr>
            <w:tcW w:w="2250" w:type="dxa"/>
            <w:shd w:val="clear" w:color="auto" w:fill="D9D9D9"/>
          </w:tcPr>
          <w:p w14:paraId="29DC1407"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Sensibilidad Media</w:t>
            </w:r>
          </w:p>
        </w:tc>
        <w:tc>
          <w:tcPr>
            <w:tcW w:w="2515" w:type="dxa"/>
            <w:shd w:val="clear" w:color="auto" w:fill="D9D9D9"/>
          </w:tcPr>
          <w:p w14:paraId="7AF92429"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Sensibilidad Alta</w:t>
            </w:r>
          </w:p>
        </w:tc>
      </w:tr>
      <w:tr w:rsidR="00487011" w:rsidRPr="00A17329" w14:paraId="29C617CF" w14:textId="77777777" w:rsidTr="004F5C4C">
        <w:trPr>
          <w:jc w:val="center"/>
        </w:trPr>
        <w:tc>
          <w:tcPr>
            <w:tcW w:w="2234" w:type="dxa"/>
            <w:shd w:val="clear" w:color="auto" w:fill="D9D9D9"/>
          </w:tcPr>
          <w:p w14:paraId="200AD8F9"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Hábitats Naturales</w:t>
            </w:r>
          </w:p>
        </w:tc>
        <w:tc>
          <w:tcPr>
            <w:tcW w:w="2430" w:type="dxa"/>
          </w:tcPr>
          <w:p w14:paraId="5B327E8E"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No hay hábitats naturales críticos, baja biodiversidad, ecosistemas alterados</w:t>
            </w:r>
          </w:p>
        </w:tc>
        <w:tc>
          <w:tcPr>
            <w:tcW w:w="2250" w:type="dxa"/>
          </w:tcPr>
          <w:p w14:paraId="3B2DECF8" w14:textId="77777777" w:rsidR="00487011" w:rsidRPr="00A17329" w:rsidRDefault="00487011" w:rsidP="004F5C4C">
            <w:pPr>
              <w:jc w:val="center"/>
              <w:rPr>
                <w:rFonts w:ascii="Arial" w:hAnsi="Arial" w:cs="Arial"/>
                <w:sz w:val="16"/>
                <w:szCs w:val="16"/>
                <w:lang w:val="es-ES_tradnl"/>
              </w:rPr>
            </w:pPr>
            <w:r w:rsidRPr="00A17329">
              <w:rPr>
                <w:rFonts w:ascii="Arial" w:hAnsi="Arial" w:cs="Arial"/>
                <w:sz w:val="16"/>
                <w:szCs w:val="16"/>
                <w:lang w:val="es-ES_tradnl"/>
              </w:rPr>
              <w:t xml:space="preserve">No hay hábitats naturales críticos; </w:t>
            </w:r>
          </w:p>
          <w:p w14:paraId="6BE8C8B2" w14:textId="77777777" w:rsidR="00487011" w:rsidRPr="00A17329" w:rsidRDefault="00487011" w:rsidP="004F5C4C">
            <w:pPr>
              <w:jc w:val="center"/>
              <w:rPr>
                <w:rFonts w:ascii="Arial" w:hAnsi="Arial" w:cs="Arial"/>
                <w:sz w:val="16"/>
                <w:szCs w:val="16"/>
                <w:lang w:val="es-ES_tradnl"/>
              </w:rPr>
            </w:pPr>
            <w:r w:rsidRPr="00A17329">
              <w:rPr>
                <w:rFonts w:ascii="Arial" w:hAnsi="Arial" w:cs="Arial"/>
                <w:sz w:val="16"/>
                <w:szCs w:val="16"/>
                <w:lang w:val="es-ES_tradnl"/>
              </w:rPr>
              <w:t>Hay presencia de manchas de valor ecológico</w:t>
            </w:r>
          </w:p>
        </w:tc>
        <w:tc>
          <w:tcPr>
            <w:tcW w:w="2515" w:type="dxa"/>
          </w:tcPr>
          <w:p w14:paraId="5C68565D"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Presencia de hábitats naturales críticos, especies en peligro, alta biodiversidad, áreas protegidas</w:t>
            </w:r>
          </w:p>
        </w:tc>
      </w:tr>
      <w:tr w:rsidR="00487011" w:rsidRPr="00A17329" w14:paraId="5C52F7FF" w14:textId="77777777" w:rsidTr="004F5C4C">
        <w:trPr>
          <w:trHeight w:val="1182"/>
          <w:jc w:val="center"/>
        </w:trPr>
        <w:tc>
          <w:tcPr>
            <w:tcW w:w="2234" w:type="dxa"/>
            <w:shd w:val="clear" w:color="auto" w:fill="D9D9D9"/>
          </w:tcPr>
          <w:p w14:paraId="2F8C3ADD"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lastRenderedPageBreak/>
              <w:t>Reasentamientos</w:t>
            </w:r>
          </w:p>
        </w:tc>
        <w:tc>
          <w:tcPr>
            <w:tcW w:w="2430" w:type="dxa"/>
          </w:tcPr>
          <w:p w14:paraId="31BB01E2"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 xml:space="preserve">Baja densidad de población (según estándares regionales); tenencia de la tierra definida; sin reasentamiento involuntario </w:t>
            </w:r>
          </w:p>
        </w:tc>
        <w:tc>
          <w:tcPr>
            <w:tcW w:w="2250" w:type="dxa"/>
          </w:tcPr>
          <w:p w14:paraId="6E440D85"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Densidad media; tenencia mezclada y con algunos conflictos manejables y sin reasentamiento o menor a 100 personas y se tienen medidas de mitigación factibles de aplicar.</w:t>
            </w:r>
          </w:p>
        </w:tc>
        <w:tc>
          <w:tcPr>
            <w:tcW w:w="2515" w:type="dxa"/>
          </w:tcPr>
          <w:p w14:paraId="43C7A007"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Alta densidad poblacional (según estándares regionales), tenencia legal e ilegal, conflictos de uso, conflictos entre poblaciones, más de 100 reasentados o 20 hogares, impactos significativos sobre medios de subsistencia poniendo en riesgo de pobreza y/o desintegración social a la comunidad</w:t>
            </w:r>
          </w:p>
        </w:tc>
      </w:tr>
      <w:tr w:rsidR="00487011" w:rsidRPr="00A17329" w14:paraId="247061C8" w14:textId="77777777" w:rsidTr="004F5C4C">
        <w:trPr>
          <w:trHeight w:val="1182"/>
          <w:jc w:val="center"/>
        </w:trPr>
        <w:tc>
          <w:tcPr>
            <w:tcW w:w="2234" w:type="dxa"/>
            <w:shd w:val="clear" w:color="auto" w:fill="D9D9D9"/>
          </w:tcPr>
          <w:p w14:paraId="7600C81A"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Desplazamiento Económico</w:t>
            </w:r>
          </w:p>
        </w:tc>
        <w:tc>
          <w:tcPr>
            <w:tcW w:w="2430" w:type="dxa"/>
          </w:tcPr>
          <w:p w14:paraId="17097ED1"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No se afectan actividades económicas</w:t>
            </w:r>
          </w:p>
          <w:p w14:paraId="6252C4A8"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No se requiere expropiación de tierras</w:t>
            </w:r>
          </w:p>
        </w:tc>
        <w:tc>
          <w:tcPr>
            <w:tcW w:w="2250" w:type="dxa"/>
          </w:tcPr>
          <w:p w14:paraId="1C4F4BBB"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Baja densidad de actividades económicas afectadas o se trata de negocios en su mayoría formales</w:t>
            </w:r>
          </w:p>
          <w:p w14:paraId="29191196"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Expropiaciones parciales de tierras o totales sin que impliquen desplazamiento físico o impactos a medios de vida</w:t>
            </w:r>
          </w:p>
        </w:tc>
        <w:tc>
          <w:tcPr>
            <w:tcW w:w="2515" w:type="dxa"/>
          </w:tcPr>
          <w:p w14:paraId="41C47A5D"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Alta densidad de actividades económicas afectadas incluyendo gran número de negocios informales (alta vulnerabilidad)</w:t>
            </w:r>
          </w:p>
          <w:p w14:paraId="29971794"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Expropiaciones que pueden conllevar a desplazamiento físico de población</w:t>
            </w:r>
          </w:p>
        </w:tc>
      </w:tr>
      <w:tr w:rsidR="00487011" w:rsidRPr="00A17329" w14:paraId="65C63287" w14:textId="77777777" w:rsidTr="004F5C4C">
        <w:trPr>
          <w:trHeight w:val="1236"/>
          <w:jc w:val="center"/>
        </w:trPr>
        <w:tc>
          <w:tcPr>
            <w:tcW w:w="2234" w:type="dxa"/>
            <w:shd w:val="clear" w:color="auto" w:fill="D9D9D9"/>
          </w:tcPr>
          <w:p w14:paraId="06640768"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Recursos Naturales</w:t>
            </w:r>
          </w:p>
        </w:tc>
        <w:tc>
          <w:tcPr>
            <w:tcW w:w="2430" w:type="dxa"/>
          </w:tcPr>
          <w:p w14:paraId="467CDAC7"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Recursos con valor bajo</w:t>
            </w:r>
          </w:p>
        </w:tc>
        <w:tc>
          <w:tcPr>
            <w:tcW w:w="2250" w:type="dxa"/>
          </w:tcPr>
          <w:p w14:paraId="3EE1CE66"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 xml:space="preserve">Recursos con algún valor, utilización media. Impactos sobre los recursos o restricción de acceso de carácter sustancial, potencial de conflictos </w:t>
            </w:r>
          </w:p>
        </w:tc>
        <w:tc>
          <w:tcPr>
            <w:tcW w:w="2515" w:type="dxa"/>
          </w:tcPr>
          <w:p w14:paraId="77B7EB2E"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Uso intensivo de recursos naturales, alta productividad, impactos a subsistencia de grupos vulnerables, potencial de conflictos es alto</w:t>
            </w:r>
          </w:p>
        </w:tc>
      </w:tr>
      <w:tr w:rsidR="00487011" w:rsidRPr="00A17329" w14:paraId="0958955E" w14:textId="77777777" w:rsidTr="004F5C4C">
        <w:trPr>
          <w:jc w:val="center"/>
        </w:trPr>
        <w:tc>
          <w:tcPr>
            <w:tcW w:w="2234" w:type="dxa"/>
            <w:shd w:val="clear" w:color="auto" w:fill="D9D9D9"/>
          </w:tcPr>
          <w:p w14:paraId="7F8D57C1"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Amenazas naturales</w:t>
            </w:r>
          </w:p>
        </w:tc>
        <w:tc>
          <w:tcPr>
            <w:tcW w:w="2430" w:type="dxa"/>
          </w:tcPr>
          <w:p w14:paraId="6C6C8AD6"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 xml:space="preserve">Sin o con bajas amenazas </w:t>
            </w:r>
          </w:p>
        </w:tc>
        <w:tc>
          <w:tcPr>
            <w:tcW w:w="2250" w:type="dxa"/>
          </w:tcPr>
          <w:p w14:paraId="1B171A2C"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Amenazas medias: erosión, inestabilidad, inundaciones</w:t>
            </w:r>
          </w:p>
        </w:tc>
        <w:tc>
          <w:tcPr>
            <w:tcW w:w="2515" w:type="dxa"/>
          </w:tcPr>
          <w:p w14:paraId="6053C926"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Riesgo alto: altas pendientes, inestabilidad geológica, inundaciones, eventos sísmicos</w:t>
            </w:r>
          </w:p>
        </w:tc>
      </w:tr>
      <w:tr w:rsidR="00487011" w:rsidRPr="00A17329" w14:paraId="14E38104" w14:textId="77777777" w:rsidTr="004F5C4C">
        <w:trPr>
          <w:jc w:val="center"/>
        </w:trPr>
        <w:tc>
          <w:tcPr>
            <w:tcW w:w="2234" w:type="dxa"/>
            <w:shd w:val="clear" w:color="auto" w:fill="D9D9D9"/>
          </w:tcPr>
          <w:p w14:paraId="2666F378" w14:textId="77777777" w:rsidR="00487011" w:rsidRPr="00A17329" w:rsidRDefault="00487011" w:rsidP="004F5C4C">
            <w:pPr>
              <w:spacing w:after="200" w:line="276" w:lineRule="auto"/>
              <w:jc w:val="center"/>
              <w:rPr>
                <w:rFonts w:ascii="Arial" w:hAnsi="Arial" w:cs="Arial"/>
                <w:b/>
                <w:sz w:val="16"/>
                <w:szCs w:val="16"/>
                <w:lang w:val="es-ES_tradnl"/>
              </w:rPr>
            </w:pPr>
            <w:r w:rsidRPr="00A17329">
              <w:rPr>
                <w:rFonts w:ascii="Arial" w:hAnsi="Arial" w:cs="Arial"/>
                <w:b/>
                <w:sz w:val="16"/>
                <w:szCs w:val="16"/>
                <w:lang w:val="es-ES_tradnl"/>
              </w:rPr>
              <w:t>Patrimonio Cultural</w:t>
            </w:r>
          </w:p>
        </w:tc>
        <w:tc>
          <w:tcPr>
            <w:tcW w:w="2430" w:type="dxa"/>
          </w:tcPr>
          <w:p w14:paraId="5696FE89"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No existen o no se sospecha presencia</w:t>
            </w:r>
          </w:p>
        </w:tc>
        <w:tc>
          <w:tcPr>
            <w:tcW w:w="2250" w:type="dxa"/>
          </w:tcPr>
          <w:p w14:paraId="79AFB398"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Se sospecha presencia; algunos sitios conocidos de importancia limitada</w:t>
            </w:r>
          </w:p>
        </w:tc>
        <w:tc>
          <w:tcPr>
            <w:tcW w:w="2515" w:type="dxa"/>
          </w:tcPr>
          <w:p w14:paraId="6489C8A6" w14:textId="77777777" w:rsidR="00487011" w:rsidRPr="00A17329" w:rsidRDefault="00487011" w:rsidP="004F5C4C">
            <w:pPr>
              <w:spacing w:after="200" w:line="276" w:lineRule="auto"/>
              <w:jc w:val="center"/>
              <w:rPr>
                <w:rFonts w:ascii="Arial" w:hAnsi="Arial" w:cs="Arial"/>
                <w:sz w:val="16"/>
                <w:szCs w:val="16"/>
                <w:lang w:val="es-ES_tradnl"/>
              </w:rPr>
            </w:pPr>
            <w:r w:rsidRPr="00A17329">
              <w:rPr>
                <w:rFonts w:ascii="Arial" w:hAnsi="Arial" w:cs="Arial"/>
                <w:sz w:val="16"/>
                <w:szCs w:val="16"/>
                <w:lang w:val="es-ES_tradnl"/>
              </w:rPr>
              <w:t>Sitios/hallazgos ya conocidos, de alto valor cultural, o potencial alto de hallazgos significativos y/o arraigo de grupos tradicionales</w:t>
            </w:r>
          </w:p>
        </w:tc>
      </w:tr>
    </w:tbl>
    <w:p w14:paraId="76D941D4" w14:textId="77777777" w:rsidR="00487011" w:rsidRPr="00A17329" w:rsidRDefault="00487011" w:rsidP="00487011">
      <w:pPr>
        <w:numPr>
          <w:ilvl w:val="1"/>
          <w:numId w:val="0"/>
        </w:numPr>
        <w:tabs>
          <w:tab w:val="num" w:pos="1260"/>
        </w:tabs>
        <w:spacing w:before="120" w:after="120"/>
        <w:jc w:val="both"/>
        <w:outlineLvl w:val="1"/>
        <w:rPr>
          <w:rFonts w:ascii="Arial" w:hAnsi="Arial" w:cs="Arial"/>
          <w:noProof/>
          <w:lang w:val="es-ES_tradnl"/>
        </w:rPr>
      </w:pPr>
    </w:p>
    <w:p w14:paraId="07BF57E2" w14:textId="77777777" w:rsidR="00487011" w:rsidRPr="00A17329" w:rsidRDefault="00487011" w:rsidP="00487011">
      <w:pPr>
        <w:numPr>
          <w:ilvl w:val="1"/>
          <w:numId w:val="0"/>
        </w:numPr>
        <w:tabs>
          <w:tab w:val="num" w:pos="1260"/>
        </w:tabs>
        <w:spacing w:before="120" w:after="120"/>
        <w:jc w:val="both"/>
        <w:outlineLvl w:val="1"/>
        <w:rPr>
          <w:rFonts w:ascii="Arial" w:hAnsi="Arial" w:cs="Arial"/>
          <w:sz w:val="22"/>
          <w:szCs w:val="22"/>
          <w:lang w:val="es-ES_tradnl"/>
        </w:rPr>
      </w:pPr>
      <w:r w:rsidRPr="00A17329">
        <w:rPr>
          <w:rFonts w:ascii="Arial" w:hAnsi="Arial" w:cs="Arial"/>
          <w:sz w:val="22"/>
          <w:szCs w:val="22"/>
          <w:lang w:val="es-ES_tradnl"/>
        </w:rPr>
        <w:t>Las obras con sensibilidad mediana o alta para reasentamiento o sensibilidad alta para desplazamiento económico deberán ser excluidas.</w:t>
      </w:r>
    </w:p>
    <w:p w14:paraId="529B21F0" w14:textId="77777777" w:rsidR="00487011" w:rsidRPr="00A17329" w:rsidRDefault="00487011" w:rsidP="00487011">
      <w:pPr>
        <w:numPr>
          <w:ilvl w:val="1"/>
          <w:numId w:val="0"/>
        </w:numPr>
        <w:tabs>
          <w:tab w:val="num" w:pos="0"/>
        </w:tabs>
        <w:spacing w:before="120" w:after="120"/>
        <w:jc w:val="both"/>
        <w:outlineLvl w:val="1"/>
        <w:rPr>
          <w:rFonts w:ascii="Arial" w:hAnsi="Arial" w:cs="Arial"/>
          <w:sz w:val="22"/>
          <w:szCs w:val="22"/>
          <w:lang w:val="es-ES_tradnl"/>
        </w:rPr>
      </w:pPr>
      <w:r w:rsidRPr="00A17329">
        <w:rPr>
          <w:rFonts w:ascii="Arial" w:hAnsi="Arial" w:cs="Arial"/>
          <w:sz w:val="22"/>
          <w:szCs w:val="22"/>
          <w:lang w:val="es-ES_tradnl"/>
        </w:rPr>
        <w:t xml:space="preserve">Las obras con posibilidad de alguno de los otros riesgos del cuadro 2 de sensibilidad alta, deberán ser excluidas, o de ser financiadas, necesitarán elevar el nivel de riesgo obtenido en el cuadro 1. Si la sensibilidad resultante es Media el riesgo se incrementa en un nivel (de I a II o de II a III) y si la sensibilidad es Alta el riesgo es siempre III. Además, deberán contar con acuerdos formales con el BID sobre los requerimientos ambientales y sociales para el control, mitigación y/o compensación de estos aspectos negativos que estarán basados en las políticas de salvaguardas ambientales OP-703, reasentamiento involuntario OP-710, pueblos indígenas OP-765, desastres naturales OP-704 y género OP-761 del BID. </w:t>
      </w:r>
    </w:p>
    <w:p w14:paraId="2471CDCE" w14:textId="77777777" w:rsidR="00487011" w:rsidRPr="00A17329" w:rsidRDefault="00487011" w:rsidP="00487011">
      <w:pPr>
        <w:numPr>
          <w:ilvl w:val="1"/>
          <w:numId w:val="0"/>
        </w:numPr>
        <w:tabs>
          <w:tab w:val="num" w:pos="0"/>
        </w:tabs>
        <w:spacing w:before="120" w:after="120"/>
        <w:jc w:val="both"/>
        <w:outlineLvl w:val="1"/>
        <w:rPr>
          <w:rFonts w:ascii="Arial" w:hAnsi="Arial" w:cs="Arial"/>
          <w:sz w:val="22"/>
          <w:szCs w:val="22"/>
          <w:lang w:val="es-ES_tradnl"/>
        </w:rPr>
      </w:pPr>
      <w:r w:rsidRPr="00A17329">
        <w:rPr>
          <w:rFonts w:ascii="Arial" w:hAnsi="Arial" w:cs="Arial"/>
          <w:sz w:val="22"/>
          <w:szCs w:val="22"/>
          <w:lang w:val="es-ES_tradnl"/>
        </w:rPr>
        <w:t xml:space="preserve">Para determinar los requerimientos ambientales y sociales necesarios para cada operación, se deberá considerar el nivel de riesgo obtenido en el cuadro 1 con los ajustes aplicables según el cuadro 2, para luego aplicarlo al cuadro 3. </w:t>
      </w:r>
    </w:p>
    <w:p w14:paraId="3CF1149A" w14:textId="77777777" w:rsidR="00487011" w:rsidRPr="00A17329" w:rsidRDefault="00487011" w:rsidP="007B5C86">
      <w:pPr>
        <w:pStyle w:val="Paragraph"/>
        <w:numPr>
          <w:ilvl w:val="0"/>
          <w:numId w:val="0"/>
        </w:numPr>
        <w:rPr>
          <w:rFonts w:ascii="Arial" w:hAnsi="Arial" w:cs="Arial"/>
          <w:b/>
          <w:sz w:val="22"/>
          <w:szCs w:val="22"/>
        </w:rPr>
      </w:pPr>
    </w:p>
    <w:p w14:paraId="07B03DB4" w14:textId="77777777" w:rsidR="00487011" w:rsidRPr="00A17329" w:rsidRDefault="00487011" w:rsidP="007B5C86">
      <w:pPr>
        <w:pStyle w:val="Paragraph"/>
        <w:numPr>
          <w:ilvl w:val="0"/>
          <w:numId w:val="0"/>
        </w:numPr>
        <w:rPr>
          <w:rFonts w:ascii="Arial" w:hAnsi="Arial" w:cs="Arial"/>
          <w:b/>
          <w:sz w:val="22"/>
          <w:szCs w:val="22"/>
        </w:rPr>
      </w:pPr>
      <w:r w:rsidRPr="00A17329">
        <w:rPr>
          <w:rFonts w:ascii="Arial" w:hAnsi="Arial" w:cs="Arial"/>
          <w:b/>
          <w:sz w:val="22"/>
          <w:szCs w:val="22"/>
        </w:rPr>
        <w:t>Cuadro 3. Requerimientos según nivel de riesgo y monto de los subproyectos</w:t>
      </w:r>
    </w:p>
    <w:p w14:paraId="0F3BC922" w14:textId="77777777" w:rsidR="00487011" w:rsidRPr="00A17329" w:rsidRDefault="00487011" w:rsidP="00487011">
      <w:pPr>
        <w:spacing w:before="120" w:after="120"/>
        <w:jc w:val="both"/>
        <w:outlineLvl w:val="1"/>
        <w:rPr>
          <w:rFonts w:ascii="Arial" w:hAnsi="Arial" w:cs="Arial"/>
          <w:lang w:val="es-ES_tradnl"/>
        </w:rPr>
      </w:pPr>
      <w:r w:rsidRPr="00A17329">
        <w:rPr>
          <w:rFonts w:ascii="Arial" w:hAnsi="Arial" w:cs="Arial"/>
          <w:noProof/>
        </w:rPr>
        <w:drawing>
          <wp:inline distT="0" distB="0" distL="0" distR="0" wp14:anchorId="31C61CB8" wp14:editId="18488235">
            <wp:extent cx="5565683" cy="21062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65683" cy="2106295"/>
                    </a:xfrm>
                    <a:prstGeom prst="rect">
                      <a:avLst/>
                    </a:prstGeom>
                    <a:noFill/>
                    <a:ln>
                      <a:noFill/>
                    </a:ln>
                  </pic:spPr>
                </pic:pic>
              </a:graphicData>
            </a:graphic>
          </wp:inline>
        </w:drawing>
      </w:r>
    </w:p>
    <w:p w14:paraId="039FCD4F" w14:textId="77777777" w:rsidR="00487011" w:rsidRPr="00A17329" w:rsidRDefault="00487011" w:rsidP="00487011">
      <w:pPr>
        <w:spacing w:before="120"/>
        <w:ind w:left="1260" w:hanging="1350"/>
        <w:jc w:val="both"/>
        <w:outlineLvl w:val="1"/>
        <w:rPr>
          <w:rFonts w:ascii="Arial" w:hAnsi="Arial" w:cs="Arial"/>
          <w:sz w:val="16"/>
          <w:szCs w:val="16"/>
          <w:lang w:val="es-ES_tradnl"/>
        </w:rPr>
      </w:pPr>
      <w:r w:rsidRPr="00A17329">
        <w:rPr>
          <w:rFonts w:ascii="Arial" w:hAnsi="Arial" w:cs="Arial"/>
          <w:sz w:val="16"/>
          <w:szCs w:val="16"/>
          <w:lang w:val="es-ES_tradnl"/>
        </w:rPr>
        <w:t>LE: Lista de Exclusión</w:t>
      </w:r>
      <w:r w:rsidRPr="00A17329">
        <w:rPr>
          <w:rFonts w:ascii="Arial" w:hAnsi="Arial" w:cs="Arial"/>
          <w:sz w:val="16"/>
          <w:szCs w:val="16"/>
          <w:lang w:val="es-ES_tradnl"/>
        </w:rPr>
        <w:tab/>
        <w:t xml:space="preserve"> (Anexo 6)</w:t>
      </w:r>
      <w:r w:rsidRPr="00A17329">
        <w:rPr>
          <w:rFonts w:ascii="Arial" w:hAnsi="Arial" w:cs="Arial"/>
          <w:sz w:val="16"/>
          <w:szCs w:val="16"/>
          <w:lang w:val="es-ES_tradnl"/>
        </w:rPr>
        <w:tab/>
        <w:t xml:space="preserve">       LL: Legislación Local</w:t>
      </w:r>
      <w:r w:rsidRPr="00A17329">
        <w:rPr>
          <w:rFonts w:ascii="Arial" w:hAnsi="Arial" w:cs="Arial"/>
          <w:sz w:val="16"/>
          <w:szCs w:val="16"/>
          <w:lang w:val="es-ES_tradnl"/>
        </w:rPr>
        <w:tab/>
        <w:t xml:space="preserve">CV: Con </w:t>
      </w:r>
      <w:proofErr w:type="gramStart"/>
      <w:r w:rsidRPr="00A17329">
        <w:rPr>
          <w:rFonts w:ascii="Arial" w:hAnsi="Arial" w:cs="Arial"/>
          <w:sz w:val="16"/>
          <w:szCs w:val="16"/>
          <w:lang w:val="es-ES_tradnl"/>
        </w:rPr>
        <w:t>verificación  (</w:t>
      </w:r>
      <w:proofErr w:type="spellStart"/>
      <w:proofErr w:type="gramEnd"/>
      <w:r w:rsidRPr="00A17329">
        <w:rPr>
          <w:rFonts w:ascii="Arial" w:hAnsi="Arial" w:cs="Arial"/>
          <w:sz w:val="16"/>
          <w:szCs w:val="16"/>
          <w:lang w:val="es-ES_tradnl"/>
        </w:rPr>
        <w:t>ej</w:t>
      </w:r>
      <w:proofErr w:type="spellEnd"/>
      <w:r w:rsidRPr="00A17329">
        <w:rPr>
          <w:rFonts w:ascii="Arial" w:hAnsi="Arial" w:cs="Arial"/>
          <w:sz w:val="16"/>
          <w:szCs w:val="16"/>
          <w:lang w:val="es-ES_tradnl"/>
        </w:rPr>
        <w:t>: auto declaración, clausula en contrato)</w:t>
      </w:r>
    </w:p>
    <w:p w14:paraId="24940CC5" w14:textId="77777777" w:rsidR="00487011" w:rsidRPr="00A17329" w:rsidRDefault="00487011" w:rsidP="00487011">
      <w:pPr>
        <w:spacing w:before="120"/>
        <w:ind w:left="1260" w:hanging="1350"/>
        <w:jc w:val="both"/>
        <w:outlineLvl w:val="1"/>
        <w:rPr>
          <w:rFonts w:ascii="Arial" w:hAnsi="Arial" w:cs="Arial"/>
          <w:sz w:val="16"/>
          <w:szCs w:val="16"/>
          <w:lang w:val="es-ES_tradnl"/>
        </w:rPr>
      </w:pPr>
      <w:r w:rsidRPr="00A17329">
        <w:rPr>
          <w:rFonts w:ascii="Arial" w:hAnsi="Arial" w:cs="Arial"/>
          <w:sz w:val="16"/>
          <w:szCs w:val="16"/>
          <w:lang w:val="es-ES_tradnl"/>
        </w:rPr>
        <w:t>FS: Filtro de Salvaguardias</w:t>
      </w:r>
      <w:r w:rsidRPr="00A17329">
        <w:rPr>
          <w:rFonts w:ascii="Arial" w:hAnsi="Arial" w:cs="Arial"/>
          <w:sz w:val="16"/>
          <w:szCs w:val="16"/>
          <w:lang w:val="es-ES_tradnl"/>
        </w:rPr>
        <w:tab/>
        <w:t>DD: Debida Diligencia (</w:t>
      </w:r>
      <w:proofErr w:type="spellStart"/>
      <w:r w:rsidRPr="00A17329">
        <w:rPr>
          <w:rFonts w:ascii="Arial" w:hAnsi="Arial" w:cs="Arial"/>
          <w:sz w:val="16"/>
          <w:szCs w:val="16"/>
          <w:lang w:val="es-ES_tradnl"/>
        </w:rPr>
        <w:t>ej</w:t>
      </w:r>
      <w:proofErr w:type="spellEnd"/>
      <w:r w:rsidRPr="00A17329">
        <w:rPr>
          <w:rFonts w:ascii="Arial" w:hAnsi="Arial" w:cs="Arial"/>
          <w:sz w:val="16"/>
          <w:szCs w:val="16"/>
          <w:lang w:val="es-ES_tradnl"/>
        </w:rPr>
        <w:t>: visita, reporte de consultor, etc.)</w:t>
      </w:r>
      <w:r w:rsidRPr="00A17329">
        <w:rPr>
          <w:rFonts w:ascii="Arial" w:hAnsi="Arial" w:cs="Arial"/>
          <w:sz w:val="16"/>
          <w:szCs w:val="16"/>
          <w:lang w:val="es-ES_tradnl"/>
        </w:rPr>
        <w:tab/>
      </w:r>
    </w:p>
    <w:p w14:paraId="5EBA9677" w14:textId="77777777" w:rsidR="00487011" w:rsidRPr="00A17329" w:rsidRDefault="00487011" w:rsidP="00487011">
      <w:pPr>
        <w:spacing w:before="120"/>
        <w:ind w:left="1260" w:hanging="1350"/>
        <w:jc w:val="both"/>
        <w:outlineLvl w:val="1"/>
        <w:rPr>
          <w:rFonts w:ascii="Arial" w:hAnsi="Arial" w:cs="Arial"/>
          <w:sz w:val="16"/>
          <w:szCs w:val="16"/>
          <w:lang w:val="es-ES_tradnl"/>
        </w:rPr>
      </w:pPr>
      <w:r w:rsidRPr="00A17329">
        <w:rPr>
          <w:rFonts w:ascii="Arial" w:hAnsi="Arial" w:cs="Arial"/>
          <w:sz w:val="16"/>
          <w:szCs w:val="16"/>
          <w:lang w:val="es-ES_tradnl"/>
        </w:rPr>
        <w:t>ME: Mejores Estándares Internacionales (</w:t>
      </w:r>
      <w:proofErr w:type="spellStart"/>
      <w:r w:rsidRPr="00A17329">
        <w:rPr>
          <w:rFonts w:ascii="Arial" w:hAnsi="Arial" w:cs="Arial"/>
          <w:sz w:val="16"/>
          <w:szCs w:val="16"/>
          <w:lang w:val="es-ES_tradnl"/>
        </w:rPr>
        <w:t>ej</w:t>
      </w:r>
      <w:proofErr w:type="spellEnd"/>
      <w:r w:rsidRPr="00A17329">
        <w:rPr>
          <w:rFonts w:ascii="Arial" w:hAnsi="Arial" w:cs="Arial"/>
          <w:sz w:val="16"/>
          <w:szCs w:val="16"/>
          <w:lang w:val="es-ES_tradnl"/>
        </w:rPr>
        <w:t>: Normas de Desempeño de la CFI)</w:t>
      </w:r>
      <w:r w:rsidRPr="00A17329">
        <w:rPr>
          <w:rFonts w:ascii="Arial" w:hAnsi="Arial" w:cs="Arial"/>
          <w:sz w:val="16"/>
          <w:szCs w:val="16"/>
          <w:lang w:val="es-ES_tradnl"/>
        </w:rPr>
        <w:tab/>
      </w:r>
      <w:r w:rsidRPr="00A17329">
        <w:rPr>
          <w:rFonts w:ascii="Arial" w:hAnsi="Arial" w:cs="Arial"/>
          <w:sz w:val="16"/>
          <w:szCs w:val="16"/>
          <w:lang w:val="es-ES_tradnl"/>
        </w:rPr>
        <w:tab/>
        <w:t>ICI: Informe de Consultor Independiente</w:t>
      </w:r>
    </w:p>
    <w:p w14:paraId="372B3636" w14:textId="77777777" w:rsidR="00487011" w:rsidRPr="00A17329" w:rsidRDefault="00487011" w:rsidP="007B5C86">
      <w:pPr>
        <w:pStyle w:val="Paragraph"/>
        <w:numPr>
          <w:ilvl w:val="0"/>
          <w:numId w:val="0"/>
        </w:numPr>
        <w:rPr>
          <w:rFonts w:ascii="Arial" w:hAnsi="Arial" w:cs="Arial"/>
          <w:b/>
          <w:sz w:val="22"/>
          <w:szCs w:val="22"/>
        </w:rPr>
      </w:pPr>
    </w:p>
    <w:p w14:paraId="0FCB8D70" w14:textId="77777777" w:rsidR="00487011" w:rsidRPr="00A17329" w:rsidRDefault="00487011" w:rsidP="007B5C86">
      <w:pPr>
        <w:pStyle w:val="Paragraph"/>
        <w:numPr>
          <w:ilvl w:val="0"/>
          <w:numId w:val="0"/>
        </w:numPr>
        <w:rPr>
          <w:rFonts w:ascii="Arial" w:hAnsi="Arial" w:cs="Arial"/>
          <w:b/>
          <w:sz w:val="22"/>
          <w:szCs w:val="22"/>
          <w:lang w:val="es-AR"/>
        </w:rPr>
      </w:pPr>
      <w:r w:rsidRPr="00A17329">
        <w:rPr>
          <w:rFonts w:ascii="Arial" w:hAnsi="Arial" w:cs="Arial"/>
          <w:b/>
          <w:sz w:val="22"/>
          <w:szCs w:val="22"/>
        </w:rPr>
        <w:t xml:space="preserve">ANEXO 5 </w:t>
      </w:r>
      <w:r w:rsidRPr="00A17329">
        <w:rPr>
          <w:rFonts w:ascii="Arial" w:hAnsi="Arial" w:cs="Arial"/>
          <w:b/>
          <w:sz w:val="22"/>
          <w:szCs w:val="22"/>
          <w:lang w:val="es-AR"/>
        </w:rPr>
        <w:t>Listado de Actividades Excluidas de Financiamiento</w:t>
      </w:r>
    </w:p>
    <w:p w14:paraId="0EFDB0AC" w14:textId="77777777" w:rsidR="00487011" w:rsidRPr="00A17329" w:rsidRDefault="00487011" w:rsidP="00487011">
      <w:pPr>
        <w:spacing w:after="240"/>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El BID no otorga financiamiento para proyectos ni compañías involucrados en la producción, comercio o uso de los productos, sustancias o actividades enunciados en la siguiente lista.</w:t>
      </w:r>
    </w:p>
    <w:p w14:paraId="356F65B1" w14:textId="77777777" w:rsidR="00487011" w:rsidRPr="00A17329" w:rsidRDefault="00487011" w:rsidP="00487011">
      <w:pPr>
        <w:ind w:left="720" w:hanging="720"/>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w:t>
      </w:r>
      <w:r w:rsidRPr="00A17329">
        <w:rPr>
          <w:rFonts w:ascii="Arial" w:eastAsia="SimSun" w:hAnsi="Arial" w:cs="Arial"/>
          <w:sz w:val="22"/>
          <w:szCs w:val="22"/>
          <w:lang w:val="es-ES_tradnl" w:eastAsia="zh-CN"/>
        </w:rPr>
        <w:tab/>
        <w:t>Los que sean ilegales conforme a las leyes o reglamentos del país receptor, o conforme a convenciones y tratados internacionales ratificados por éste.</w:t>
      </w:r>
    </w:p>
    <w:p w14:paraId="0D9CFB6A"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2.</w:t>
      </w:r>
      <w:r w:rsidRPr="00A17329">
        <w:rPr>
          <w:rFonts w:ascii="Arial" w:eastAsia="SimSun" w:hAnsi="Arial" w:cs="Arial"/>
          <w:sz w:val="22"/>
          <w:szCs w:val="22"/>
          <w:lang w:val="es-ES_tradnl" w:eastAsia="zh-CN"/>
        </w:rPr>
        <w:tab/>
        <w:t>Armas y municiones.</w:t>
      </w:r>
    </w:p>
    <w:p w14:paraId="5A65C941"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3.</w:t>
      </w:r>
      <w:r w:rsidRPr="00A17329">
        <w:rPr>
          <w:rFonts w:ascii="Arial" w:eastAsia="SimSun" w:hAnsi="Arial" w:cs="Arial"/>
          <w:sz w:val="22"/>
          <w:szCs w:val="22"/>
          <w:lang w:val="es-ES_tradnl" w:eastAsia="zh-CN"/>
        </w:rPr>
        <w:tab/>
        <w:t>Tabaco</w:t>
      </w:r>
      <w:r w:rsidRPr="00A17329">
        <w:rPr>
          <w:rFonts w:ascii="Arial" w:eastAsia="SimSun" w:hAnsi="Arial" w:cs="Arial"/>
          <w:position w:val="6"/>
          <w:sz w:val="22"/>
          <w:szCs w:val="22"/>
          <w:lang w:val="en-GB" w:eastAsia="zh-CN"/>
        </w:rPr>
        <w:footnoteReference w:id="11"/>
      </w:r>
    </w:p>
    <w:p w14:paraId="0DE6A1DA"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4.</w:t>
      </w:r>
      <w:r w:rsidRPr="00A17329">
        <w:rPr>
          <w:rFonts w:ascii="Arial" w:eastAsia="SimSun" w:hAnsi="Arial" w:cs="Arial"/>
          <w:sz w:val="22"/>
          <w:szCs w:val="22"/>
          <w:lang w:val="es-ES_tradnl" w:eastAsia="zh-CN"/>
        </w:rPr>
        <w:tab/>
        <w:t>Juegos de azar, casinos y empresas equivalentes</w:t>
      </w:r>
      <w:r w:rsidRPr="00A17329">
        <w:rPr>
          <w:rFonts w:ascii="Arial" w:eastAsia="SimSun" w:hAnsi="Arial" w:cs="Arial"/>
          <w:position w:val="6"/>
          <w:sz w:val="22"/>
          <w:szCs w:val="22"/>
          <w:lang w:val="en-GB" w:eastAsia="zh-CN"/>
        </w:rPr>
        <w:footnoteReference w:id="12"/>
      </w:r>
    </w:p>
    <w:p w14:paraId="63DBD680" w14:textId="77777777" w:rsidR="00487011" w:rsidRPr="00A17329" w:rsidRDefault="00487011" w:rsidP="00487011">
      <w:pPr>
        <w:ind w:left="720" w:hanging="720"/>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5.</w:t>
      </w:r>
      <w:r w:rsidRPr="00A17329">
        <w:rPr>
          <w:rFonts w:ascii="Arial" w:eastAsia="SimSun" w:hAnsi="Arial" w:cs="Arial"/>
          <w:sz w:val="22"/>
          <w:szCs w:val="22"/>
          <w:lang w:val="es-ES_tradnl" w:eastAsia="zh-CN"/>
        </w:rPr>
        <w:tab/>
        <w:t xml:space="preserve">Animales y plantas silvestres o productos derivados de ellos reglamentados conforme a la Convención sobre el Comercio Internacional de Especies Amenazadas de Fauna y Flora Silvestres (CITES) </w:t>
      </w:r>
      <w:r w:rsidRPr="00A17329">
        <w:rPr>
          <w:rFonts w:ascii="Arial" w:eastAsia="SimSun" w:hAnsi="Arial" w:cs="Arial"/>
          <w:position w:val="6"/>
          <w:sz w:val="22"/>
          <w:szCs w:val="22"/>
          <w:lang w:val="en-GB" w:eastAsia="zh-CN"/>
        </w:rPr>
        <w:footnoteReference w:id="13"/>
      </w:r>
    </w:p>
    <w:p w14:paraId="03C0D015"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6.</w:t>
      </w:r>
      <w:r w:rsidRPr="00A17329">
        <w:rPr>
          <w:rFonts w:ascii="Arial" w:eastAsia="SimSun" w:hAnsi="Arial" w:cs="Arial"/>
          <w:sz w:val="22"/>
          <w:szCs w:val="22"/>
          <w:lang w:val="es-ES_tradnl" w:eastAsia="zh-CN"/>
        </w:rPr>
        <w:tab/>
        <w:t>Materiales radioactivos</w:t>
      </w:r>
      <w:r w:rsidRPr="00A17329">
        <w:rPr>
          <w:rFonts w:ascii="Arial" w:eastAsia="SimSun" w:hAnsi="Arial" w:cs="Arial"/>
          <w:position w:val="6"/>
          <w:sz w:val="22"/>
          <w:szCs w:val="22"/>
          <w:lang w:val="en-GB" w:eastAsia="zh-CN"/>
        </w:rPr>
        <w:footnoteReference w:id="14"/>
      </w:r>
    </w:p>
    <w:p w14:paraId="16FB7878"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7.</w:t>
      </w:r>
      <w:r w:rsidRPr="00A17329">
        <w:rPr>
          <w:rFonts w:ascii="Arial" w:eastAsia="SimSun" w:hAnsi="Arial" w:cs="Arial"/>
          <w:sz w:val="22"/>
          <w:szCs w:val="22"/>
          <w:lang w:val="es-ES_tradnl" w:eastAsia="zh-CN"/>
        </w:rPr>
        <w:tab/>
        <w:t>Fibras de amianto no aglutinado</w:t>
      </w:r>
      <w:r w:rsidRPr="00A17329">
        <w:rPr>
          <w:rFonts w:ascii="Arial" w:eastAsia="SimSun" w:hAnsi="Arial" w:cs="Arial"/>
          <w:position w:val="6"/>
          <w:sz w:val="22"/>
          <w:szCs w:val="22"/>
          <w:lang w:val="en-GB" w:eastAsia="zh-CN"/>
        </w:rPr>
        <w:footnoteReference w:id="15"/>
      </w:r>
    </w:p>
    <w:p w14:paraId="484947F8" w14:textId="77777777" w:rsidR="00487011" w:rsidRPr="00A17329" w:rsidRDefault="00487011" w:rsidP="00487011">
      <w:pPr>
        <w:ind w:left="720" w:hanging="720"/>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lastRenderedPageBreak/>
        <w:t>8.</w:t>
      </w:r>
      <w:r w:rsidRPr="00A17329">
        <w:rPr>
          <w:rFonts w:ascii="Arial" w:eastAsia="SimSun" w:hAnsi="Arial" w:cs="Arial"/>
          <w:sz w:val="22"/>
          <w:szCs w:val="22"/>
          <w:lang w:val="es-ES_tradnl" w:eastAsia="zh-CN"/>
        </w:rPr>
        <w:tab/>
        <w:t>Proyectos u operaciones forestales que no sean congruentes con la Política de Medio Ambiente y Observancia de Salvaguardias del Banco (documento GN-2208-20)</w:t>
      </w:r>
    </w:p>
    <w:p w14:paraId="3E5ACDA9" w14:textId="77777777" w:rsidR="00487011" w:rsidRPr="00A17329" w:rsidRDefault="00487011" w:rsidP="00487011">
      <w:pPr>
        <w:ind w:left="720" w:hanging="720"/>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9.</w:t>
      </w:r>
      <w:r w:rsidRPr="00A17329">
        <w:rPr>
          <w:rFonts w:ascii="Arial" w:eastAsia="SimSun" w:hAnsi="Arial" w:cs="Arial"/>
          <w:sz w:val="22"/>
          <w:szCs w:val="22"/>
          <w:lang w:val="es-ES_tradnl" w:eastAsia="zh-CN"/>
        </w:rPr>
        <w:tab/>
        <w:t xml:space="preserve">Compuestos de </w:t>
      </w:r>
      <w:proofErr w:type="spellStart"/>
      <w:r w:rsidRPr="00A17329">
        <w:rPr>
          <w:rFonts w:ascii="Arial" w:eastAsia="SimSun" w:hAnsi="Arial" w:cs="Arial"/>
          <w:sz w:val="22"/>
          <w:szCs w:val="22"/>
          <w:lang w:val="es-ES_tradnl" w:eastAsia="zh-CN"/>
        </w:rPr>
        <w:t>bifenilopoliclorado</w:t>
      </w:r>
      <w:proofErr w:type="spellEnd"/>
      <w:r w:rsidRPr="00A17329">
        <w:rPr>
          <w:rFonts w:ascii="Arial" w:eastAsia="SimSun" w:hAnsi="Arial" w:cs="Arial"/>
          <w:sz w:val="22"/>
          <w:szCs w:val="22"/>
          <w:lang w:val="es-ES_tradnl" w:eastAsia="zh-CN"/>
        </w:rPr>
        <w:t xml:space="preserve"> (</w:t>
      </w:r>
      <w:proofErr w:type="spellStart"/>
      <w:r w:rsidRPr="00A17329">
        <w:rPr>
          <w:rFonts w:ascii="Arial" w:eastAsia="SimSun" w:hAnsi="Arial" w:cs="Arial"/>
          <w:sz w:val="22"/>
          <w:szCs w:val="22"/>
          <w:lang w:val="es-ES_tradnl" w:eastAsia="zh-CN"/>
        </w:rPr>
        <w:t>PCBs</w:t>
      </w:r>
      <w:proofErr w:type="spellEnd"/>
      <w:r w:rsidRPr="00A17329">
        <w:rPr>
          <w:rFonts w:ascii="Arial" w:eastAsia="SimSun" w:hAnsi="Arial" w:cs="Arial"/>
          <w:sz w:val="22"/>
          <w:szCs w:val="22"/>
          <w:lang w:val="es-ES_tradnl" w:eastAsia="zh-CN"/>
        </w:rPr>
        <w:t>)</w:t>
      </w:r>
    </w:p>
    <w:p w14:paraId="3C909AB2"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10.</w:t>
      </w:r>
      <w:r w:rsidRPr="00A17329">
        <w:rPr>
          <w:rFonts w:ascii="Arial" w:eastAsia="SimSun" w:hAnsi="Arial" w:cs="Arial"/>
          <w:sz w:val="22"/>
          <w:szCs w:val="22"/>
          <w:lang w:val="es-ES_tradnl" w:eastAsia="zh-CN"/>
        </w:rPr>
        <w:tab/>
        <w:t>Productos farmacéuticos sujetos a eliminación gradual o prohibición internacional</w:t>
      </w:r>
      <w:r w:rsidRPr="00A17329">
        <w:rPr>
          <w:rFonts w:ascii="Arial" w:eastAsia="SimSun" w:hAnsi="Arial" w:cs="Arial"/>
          <w:position w:val="6"/>
          <w:sz w:val="22"/>
          <w:szCs w:val="22"/>
          <w:lang w:val="en-GB" w:eastAsia="zh-CN"/>
        </w:rPr>
        <w:footnoteReference w:id="16"/>
      </w:r>
    </w:p>
    <w:p w14:paraId="128B7163"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11.</w:t>
      </w:r>
      <w:r w:rsidRPr="00A17329">
        <w:rPr>
          <w:rFonts w:ascii="Arial" w:eastAsia="SimSun" w:hAnsi="Arial" w:cs="Arial"/>
          <w:sz w:val="22"/>
          <w:szCs w:val="22"/>
          <w:lang w:val="es-ES_tradnl" w:eastAsia="zh-CN"/>
        </w:rPr>
        <w:tab/>
        <w:t>Pesticidas y herbicidas sujetos a eliminación gradual o prohibición internacional</w:t>
      </w:r>
      <w:r w:rsidRPr="00A17329">
        <w:rPr>
          <w:rFonts w:ascii="Arial" w:eastAsia="SimSun" w:hAnsi="Arial" w:cs="Arial"/>
          <w:position w:val="6"/>
          <w:sz w:val="22"/>
          <w:szCs w:val="22"/>
          <w:lang w:val="en-GB" w:eastAsia="zh-CN"/>
        </w:rPr>
        <w:footnoteReference w:id="17"/>
      </w:r>
    </w:p>
    <w:p w14:paraId="0A89AAD3" w14:textId="77777777" w:rsidR="00487011" w:rsidRPr="00A17329" w:rsidRDefault="00487011" w:rsidP="00487011">
      <w:pPr>
        <w:jc w:val="both"/>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12.</w:t>
      </w:r>
      <w:r w:rsidRPr="00A17329">
        <w:rPr>
          <w:rFonts w:ascii="Arial" w:eastAsia="SimSun" w:hAnsi="Arial" w:cs="Arial"/>
          <w:sz w:val="22"/>
          <w:szCs w:val="22"/>
          <w:lang w:val="es-ES_tradnl" w:eastAsia="zh-CN"/>
        </w:rPr>
        <w:tab/>
        <w:t>Sustancias que agotan la capa de ozono sujetas a eliminación gradual internacional</w:t>
      </w:r>
      <w:r w:rsidRPr="00A17329">
        <w:rPr>
          <w:rFonts w:ascii="Arial" w:eastAsia="SimSun" w:hAnsi="Arial" w:cs="Arial"/>
          <w:position w:val="6"/>
          <w:sz w:val="22"/>
          <w:szCs w:val="22"/>
          <w:lang w:val="en-GB" w:eastAsia="zh-CN"/>
        </w:rPr>
        <w:footnoteReference w:id="18"/>
      </w:r>
    </w:p>
    <w:p w14:paraId="5E6B1B8B" w14:textId="77777777" w:rsidR="00487011" w:rsidRPr="00A17329" w:rsidRDefault="00487011" w:rsidP="00487011">
      <w:pPr>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13.</w:t>
      </w:r>
      <w:r w:rsidRPr="00A17329">
        <w:rPr>
          <w:rFonts w:ascii="Arial" w:eastAsia="SimSun" w:hAnsi="Arial" w:cs="Arial"/>
          <w:sz w:val="22"/>
          <w:szCs w:val="22"/>
          <w:lang w:val="es-ES_tradnl" w:eastAsia="zh-CN"/>
        </w:rPr>
        <w:tab/>
        <w:t>Pesca en el entorno marítimo con redes de arrastre superiores a 2,5 km de longitud.</w:t>
      </w:r>
    </w:p>
    <w:p w14:paraId="4E0C9ADB" w14:textId="77777777" w:rsidR="00487011" w:rsidRPr="00A17329" w:rsidRDefault="00487011" w:rsidP="00487011">
      <w:pPr>
        <w:ind w:left="720" w:hanging="720"/>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14.</w:t>
      </w:r>
      <w:r w:rsidRPr="00A17329">
        <w:rPr>
          <w:rFonts w:ascii="Arial" w:eastAsia="SimSun" w:hAnsi="Arial" w:cs="Arial"/>
          <w:sz w:val="22"/>
          <w:szCs w:val="22"/>
          <w:lang w:val="es-ES_tradnl" w:eastAsia="zh-CN"/>
        </w:rPr>
        <w:tab/>
        <w:t>Movimientos transfronterizos de residuos y productos de residuos</w:t>
      </w:r>
      <w:r w:rsidRPr="00A17329">
        <w:rPr>
          <w:rFonts w:ascii="Arial" w:eastAsia="SimSun" w:hAnsi="Arial" w:cs="Arial"/>
          <w:position w:val="6"/>
          <w:sz w:val="22"/>
          <w:szCs w:val="22"/>
          <w:lang w:val="en-GB" w:eastAsia="zh-CN"/>
        </w:rPr>
        <w:footnoteReference w:id="19"/>
      </w:r>
      <w:r w:rsidRPr="00A17329">
        <w:rPr>
          <w:rFonts w:ascii="Arial" w:eastAsia="SimSun" w:hAnsi="Arial" w:cs="Arial"/>
          <w:sz w:val="22"/>
          <w:szCs w:val="22"/>
          <w:lang w:val="es-ES_tradnl" w:eastAsia="zh-CN"/>
        </w:rPr>
        <w:t>, excepto residuos no tóxicos destinados a reciclaje.</w:t>
      </w:r>
    </w:p>
    <w:p w14:paraId="549DAAF5" w14:textId="77777777" w:rsidR="00487011" w:rsidRPr="00A17329" w:rsidRDefault="00487011" w:rsidP="00487011">
      <w:pPr>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15.</w:t>
      </w:r>
      <w:r w:rsidRPr="00A17329">
        <w:rPr>
          <w:rFonts w:ascii="Arial" w:eastAsia="SimSun" w:hAnsi="Arial" w:cs="Arial"/>
          <w:sz w:val="22"/>
          <w:szCs w:val="22"/>
          <w:lang w:val="es-ES_tradnl" w:eastAsia="zh-CN"/>
        </w:rPr>
        <w:tab/>
        <w:t>Contaminantes Orgánicos Persistentes</w:t>
      </w:r>
      <w:r w:rsidRPr="00A17329">
        <w:rPr>
          <w:rFonts w:ascii="Arial" w:eastAsia="SimSun" w:hAnsi="Arial" w:cs="Arial"/>
          <w:position w:val="6"/>
          <w:sz w:val="22"/>
          <w:szCs w:val="22"/>
          <w:lang w:val="en-GB" w:eastAsia="zh-CN"/>
        </w:rPr>
        <w:footnoteReference w:id="20"/>
      </w:r>
    </w:p>
    <w:p w14:paraId="3FB46C52" w14:textId="77777777" w:rsidR="00487011" w:rsidRPr="00A17329" w:rsidRDefault="00487011" w:rsidP="00487011">
      <w:pPr>
        <w:ind w:left="720" w:hanging="720"/>
        <w:rPr>
          <w:rFonts w:ascii="Arial" w:eastAsia="SimSun" w:hAnsi="Arial" w:cs="Arial"/>
          <w:sz w:val="22"/>
          <w:szCs w:val="22"/>
          <w:lang w:val="es-ES_tradnl" w:eastAsia="zh-CN"/>
        </w:rPr>
      </w:pPr>
      <w:r w:rsidRPr="00A17329">
        <w:rPr>
          <w:rFonts w:ascii="Arial" w:eastAsia="SimSun" w:hAnsi="Arial" w:cs="Arial"/>
          <w:sz w:val="22"/>
          <w:szCs w:val="22"/>
          <w:lang w:val="es-ES_tradnl" w:eastAsia="zh-CN"/>
        </w:rPr>
        <w:t>16.</w:t>
      </w:r>
      <w:r w:rsidRPr="00A17329">
        <w:rPr>
          <w:rFonts w:ascii="Arial" w:eastAsia="SimSun" w:hAnsi="Arial" w:cs="Arial"/>
          <w:sz w:val="22"/>
          <w:szCs w:val="22"/>
          <w:lang w:val="es-ES_tradnl" w:eastAsia="zh-CN"/>
        </w:rPr>
        <w:tab/>
        <w:t>Incumplimiento de los principios fundamentales de los trabajadores y de los derechos en el trabajo</w:t>
      </w:r>
      <w:r w:rsidRPr="00A17329">
        <w:rPr>
          <w:rFonts w:ascii="Arial" w:eastAsia="SimSun" w:hAnsi="Arial" w:cs="Arial"/>
          <w:position w:val="6"/>
          <w:sz w:val="22"/>
          <w:szCs w:val="22"/>
          <w:lang w:val="en-GB" w:eastAsia="zh-CN"/>
        </w:rPr>
        <w:footnoteReference w:id="21"/>
      </w:r>
    </w:p>
    <w:p w14:paraId="07AC4E2C" w14:textId="77777777" w:rsidR="00487011" w:rsidRPr="00A17329" w:rsidRDefault="00487011" w:rsidP="00487011">
      <w:pPr>
        <w:rPr>
          <w:rFonts w:ascii="Arial" w:hAnsi="Arial" w:cs="Arial"/>
          <w:lang w:val="es-ES_tradnl"/>
        </w:rPr>
      </w:pPr>
    </w:p>
    <w:p w14:paraId="319BDEBD" w14:textId="77777777" w:rsidR="00A17329" w:rsidRDefault="00A17329" w:rsidP="00487011">
      <w:pPr>
        <w:rPr>
          <w:rFonts w:ascii="Arial" w:hAnsi="Arial" w:cs="Arial"/>
          <w:lang w:val="es-ES_tradnl"/>
        </w:rPr>
        <w:sectPr w:rsidR="00A17329" w:rsidSect="0045703D">
          <w:pgSz w:w="12240" w:h="15840"/>
          <w:pgMar w:top="1418" w:right="1701" w:bottom="1418" w:left="1701" w:header="709" w:footer="709" w:gutter="0"/>
          <w:pgNumType w:start="1"/>
          <w:cols w:space="708"/>
          <w:docGrid w:linePitch="360"/>
        </w:sectPr>
      </w:pPr>
    </w:p>
    <w:p w14:paraId="783FB34A" w14:textId="7F3F11D4" w:rsidR="00487011" w:rsidRPr="00A17329" w:rsidRDefault="00487011" w:rsidP="00487011">
      <w:pPr>
        <w:rPr>
          <w:rFonts w:ascii="Arial" w:hAnsi="Arial" w:cs="Arial"/>
          <w:lang w:val="es-ES_tradnl"/>
        </w:rPr>
      </w:pPr>
    </w:p>
    <w:p w14:paraId="3ECE1EC3" w14:textId="77777777" w:rsidR="00487011" w:rsidRPr="00A17329" w:rsidRDefault="00487011" w:rsidP="00487011">
      <w:pPr>
        <w:rPr>
          <w:rFonts w:ascii="Arial" w:hAnsi="Arial" w:cs="Arial"/>
          <w:b/>
          <w:sz w:val="22"/>
          <w:szCs w:val="22"/>
          <w:lang w:val="es-ES_tradnl"/>
        </w:rPr>
      </w:pPr>
      <w:r w:rsidRPr="00A17329">
        <w:rPr>
          <w:rFonts w:ascii="Arial" w:hAnsi="Arial" w:cs="Arial"/>
          <w:b/>
          <w:sz w:val="22"/>
          <w:szCs w:val="22"/>
          <w:lang w:val="es-ES_tradnl"/>
        </w:rPr>
        <w:t>ANEXO 6 – Lineamientos para la Aplicación de la OP-761</w:t>
      </w:r>
    </w:p>
    <w:p w14:paraId="047EE281" w14:textId="77777777" w:rsidR="00487011" w:rsidRPr="00A17329" w:rsidRDefault="00487011" w:rsidP="00487011">
      <w:pPr>
        <w:rPr>
          <w:rFonts w:ascii="Arial" w:hAnsi="Arial" w:cs="Arial"/>
          <w:sz w:val="22"/>
          <w:szCs w:val="22"/>
          <w:lang w:val="es-ES_tradnl"/>
        </w:rPr>
      </w:pPr>
    </w:p>
    <w:p w14:paraId="12C4232B" w14:textId="77777777" w:rsidR="00487011" w:rsidRPr="00A17329" w:rsidRDefault="00487011" w:rsidP="00487011">
      <w:pPr>
        <w:jc w:val="both"/>
        <w:rPr>
          <w:rFonts w:ascii="Arial" w:hAnsi="Arial" w:cs="Arial"/>
          <w:sz w:val="22"/>
          <w:szCs w:val="22"/>
          <w:lang w:val="es-ES_tradnl"/>
        </w:rPr>
      </w:pPr>
      <w:r w:rsidRPr="00A17329">
        <w:rPr>
          <w:rFonts w:ascii="Arial" w:hAnsi="Arial" w:cs="Arial"/>
          <w:sz w:val="22"/>
          <w:szCs w:val="22"/>
          <w:lang w:val="es-ES_tradnl"/>
        </w:rPr>
        <w:t xml:space="preserve">La Política de Igualdad de Género (OP 761) identifica dos líneas de acción: i) promover activamente la igualdad de género en todas las intervenciones de proyecto financiados por el BID; y </w:t>
      </w:r>
      <w:proofErr w:type="spellStart"/>
      <w:r w:rsidRPr="00A17329">
        <w:rPr>
          <w:rFonts w:ascii="Arial" w:hAnsi="Arial" w:cs="Arial"/>
          <w:sz w:val="22"/>
          <w:szCs w:val="22"/>
          <w:lang w:val="es-ES_tradnl"/>
        </w:rPr>
        <w:t>ii</w:t>
      </w:r>
      <w:proofErr w:type="spellEnd"/>
      <w:r w:rsidRPr="00A17329">
        <w:rPr>
          <w:rFonts w:ascii="Arial" w:hAnsi="Arial" w:cs="Arial"/>
          <w:sz w:val="22"/>
          <w:szCs w:val="22"/>
          <w:lang w:val="es-ES_tradnl"/>
        </w:rPr>
        <w:t>) prevenir o mitigar los impactos negativos sobre hombres y mueres por razones de género. De acuerdo no estas líneas de acción se proponen los siguientes lineamientos:</w:t>
      </w:r>
    </w:p>
    <w:p w14:paraId="0985D3DC" w14:textId="77777777" w:rsidR="00487011" w:rsidRPr="00A17329" w:rsidRDefault="00487011" w:rsidP="00487011">
      <w:pPr>
        <w:jc w:val="both"/>
        <w:rPr>
          <w:rFonts w:ascii="Arial" w:hAnsi="Arial" w:cs="Arial"/>
          <w:sz w:val="22"/>
          <w:szCs w:val="22"/>
          <w:lang w:val="es-ES_tradnl"/>
        </w:rPr>
      </w:pPr>
    </w:p>
    <w:p w14:paraId="6E1D4AFA" w14:textId="77777777" w:rsidR="00487011" w:rsidRPr="00A17329" w:rsidRDefault="00487011" w:rsidP="00487011">
      <w:pPr>
        <w:jc w:val="both"/>
        <w:rPr>
          <w:rFonts w:ascii="Arial" w:hAnsi="Arial" w:cs="Arial"/>
          <w:b/>
          <w:sz w:val="22"/>
          <w:szCs w:val="22"/>
          <w:lang w:val="es-ES_tradnl"/>
        </w:rPr>
      </w:pPr>
      <w:r w:rsidRPr="00A17329">
        <w:rPr>
          <w:rFonts w:ascii="Arial" w:hAnsi="Arial" w:cs="Arial"/>
          <w:b/>
          <w:sz w:val="22"/>
          <w:szCs w:val="22"/>
          <w:lang w:val="es-ES_tradnl"/>
        </w:rPr>
        <w:t xml:space="preserve">Responsabilidades del Ejecutor </w:t>
      </w:r>
    </w:p>
    <w:p w14:paraId="74D25187" w14:textId="77777777" w:rsidR="00487011" w:rsidRPr="00A17329" w:rsidRDefault="00487011" w:rsidP="00487011">
      <w:pPr>
        <w:jc w:val="both"/>
        <w:rPr>
          <w:rFonts w:ascii="Arial" w:hAnsi="Arial" w:cs="Arial"/>
          <w:sz w:val="22"/>
          <w:szCs w:val="22"/>
          <w:lang w:val="es-ES_tradnl"/>
        </w:rPr>
      </w:pPr>
    </w:p>
    <w:p w14:paraId="438E99DC" w14:textId="77777777" w:rsidR="00487011" w:rsidRPr="00A17329" w:rsidRDefault="00487011" w:rsidP="00487011">
      <w:pPr>
        <w:jc w:val="both"/>
        <w:rPr>
          <w:rFonts w:ascii="Arial" w:hAnsi="Arial" w:cs="Arial"/>
          <w:sz w:val="22"/>
          <w:szCs w:val="22"/>
          <w:lang w:val="es-ES_tradnl"/>
        </w:rPr>
      </w:pPr>
      <w:r w:rsidRPr="00A17329">
        <w:rPr>
          <w:rFonts w:ascii="Arial" w:hAnsi="Arial" w:cs="Arial"/>
          <w:sz w:val="22"/>
          <w:szCs w:val="22"/>
          <w:lang w:val="es-ES_tradnl"/>
        </w:rPr>
        <w:t>En todas las fases de la operación el Ejecutor se compromete a corroborar que los diferentes proyectos financiados bajo la operación (y sus consultores y contratistas) se incorporen acciones transversales de igualdad de género incluyendo:</w:t>
      </w:r>
    </w:p>
    <w:p w14:paraId="50B16377" w14:textId="77777777" w:rsidR="00487011" w:rsidRPr="00A17329" w:rsidRDefault="00487011" w:rsidP="00487011">
      <w:pPr>
        <w:jc w:val="both"/>
        <w:rPr>
          <w:rFonts w:ascii="Arial" w:hAnsi="Arial" w:cs="Arial"/>
          <w:sz w:val="22"/>
          <w:szCs w:val="22"/>
          <w:lang w:val="es-ES_tradnl"/>
        </w:rPr>
      </w:pPr>
    </w:p>
    <w:p w14:paraId="40419E34" w14:textId="77777777" w:rsidR="00487011" w:rsidRPr="00A17329" w:rsidRDefault="00487011" w:rsidP="00487011">
      <w:pPr>
        <w:jc w:val="both"/>
        <w:rPr>
          <w:rFonts w:ascii="Arial" w:hAnsi="Arial" w:cs="Arial"/>
          <w:b/>
          <w:sz w:val="22"/>
          <w:szCs w:val="22"/>
          <w:lang w:val="es-ES_tradnl"/>
        </w:rPr>
      </w:pPr>
      <w:r w:rsidRPr="00A17329">
        <w:rPr>
          <w:rFonts w:ascii="Arial" w:hAnsi="Arial" w:cs="Arial"/>
          <w:b/>
          <w:sz w:val="22"/>
          <w:szCs w:val="22"/>
          <w:lang w:val="es-ES_tradnl"/>
        </w:rPr>
        <w:t>Información y consulta</w:t>
      </w:r>
    </w:p>
    <w:p w14:paraId="305EFFCB" w14:textId="77777777" w:rsidR="00487011" w:rsidRPr="00A17329" w:rsidRDefault="00487011" w:rsidP="00487011">
      <w:pPr>
        <w:jc w:val="both"/>
        <w:rPr>
          <w:rFonts w:ascii="Arial" w:hAnsi="Arial" w:cs="Arial"/>
          <w:sz w:val="22"/>
          <w:szCs w:val="22"/>
          <w:lang w:val="es-ES_tradnl"/>
        </w:rPr>
      </w:pPr>
    </w:p>
    <w:p w14:paraId="4787CC7D" w14:textId="77777777" w:rsidR="00487011" w:rsidRPr="00A17329" w:rsidRDefault="00487011" w:rsidP="00487011">
      <w:pPr>
        <w:jc w:val="both"/>
        <w:rPr>
          <w:rFonts w:ascii="Arial" w:hAnsi="Arial" w:cs="Arial"/>
          <w:sz w:val="22"/>
          <w:szCs w:val="22"/>
          <w:lang w:val="es-ES_tradnl"/>
        </w:rPr>
      </w:pPr>
      <w:r w:rsidRPr="00A17329">
        <w:rPr>
          <w:rFonts w:ascii="Arial" w:hAnsi="Arial" w:cs="Arial"/>
          <w:sz w:val="22"/>
          <w:szCs w:val="22"/>
          <w:lang w:val="es-ES_tradnl"/>
        </w:rPr>
        <w:t>Identificar y desagregar por género los actores relevantes dentro del área de influencia (beneficiarios, afectados, organizaciones, actores interesados) y establecer mecanismos adecuados (contenidos y medios), según las condiciones socioeconómicas y culturales prevalecientes para asegurar la participación de las mujeres en los procesos de información y consulta reportando específicamente sus contribuciones.</w:t>
      </w:r>
    </w:p>
    <w:p w14:paraId="3FBCA4A9" w14:textId="77777777" w:rsidR="00487011" w:rsidRPr="00A17329" w:rsidRDefault="00487011" w:rsidP="00487011">
      <w:pPr>
        <w:jc w:val="both"/>
        <w:rPr>
          <w:rFonts w:ascii="Arial" w:hAnsi="Arial" w:cs="Arial"/>
          <w:sz w:val="22"/>
          <w:szCs w:val="22"/>
          <w:lang w:val="es-ES_tradnl"/>
        </w:rPr>
      </w:pPr>
    </w:p>
    <w:p w14:paraId="4305CBA6" w14:textId="77777777" w:rsidR="00487011" w:rsidRPr="00A17329" w:rsidRDefault="00487011" w:rsidP="00487011">
      <w:pPr>
        <w:jc w:val="both"/>
        <w:rPr>
          <w:rFonts w:ascii="Arial" w:hAnsi="Arial" w:cs="Arial"/>
          <w:b/>
          <w:sz w:val="22"/>
          <w:szCs w:val="22"/>
          <w:lang w:val="es-ES_tradnl"/>
        </w:rPr>
      </w:pPr>
      <w:r w:rsidRPr="00A17329">
        <w:rPr>
          <w:rFonts w:ascii="Arial" w:hAnsi="Arial" w:cs="Arial"/>
          <w:b/>
          <w:sz w:val="22"/>
          <w:szCs w:val="22"/>
          <w:lang w:val="es-ES_tradnl"/>
        </w:rPr>
        <w:t>Toma de decisiones y participación en los beneficios</w:t>
      </w:r>
    </w:p>
    <w:p w14:paraId="50627A7E" w14:textId="77777777" w:rsidR="00487011" w:rsidRPr="00A17329" w:rsidRDefault="00487011" w:rsidP="00487011">
      <w:pPr>
        <w:jc w:val="both"/>
        <w:rPr>
          <w:rFonts w:ascii="Arial" w:hAnsi="Arial" w:cs="Arial"/>
          <w:sz w:val="22"/>
          <w:szCs w:val="22"/>
          <w:lang w:val="es-ES_tradnl"/>
        </w:rPr>
      </w:pPr>
    </w:p>
    <w:p w14:paraId="6D020FC8" w14:textId="77777777" w:rsidR="00487011" w:rsidRPr="00A17329" w:rsidRDefault="00487011" w:rsidP="00487011">
      <w:pPr>
        <w:jc w:val="both"/>
        <w:rPr>
          <w:rFonts w:ascii="Arial" w:hAnsi="Arial" w:cs="Arial"/>
          <w:sz w:val="22"/>
          <w:szCs w:val="22"/>
          <w:lang w:val="es-ES_tradnl"/>
        </w:rPr>
      </w:pPr>
      <w:r w:rsidRPr="00A17329">
        <w:rPr>
          <w:rFonts w:ascii="Arial" w:hAnsi="Arial" w:cs="Arial"/>
          <w:sz w:val="22"/>
          <w:szCs w:val="22"/>
          <w:lang w:val="es-ES_tradnl"/>
        </w:rPr>
        <w:t xml:space="preserve">Durante la vida de la operación: i) </w:t>
      </w:r>
      <w:proofErr w:type="gramStart"/>
      <w:r w:rsidRPr="00A17329">
        <w:rPr>
          <w:rFonts w:ascii="Arial" w:hAnsi="Arial" w:cs="Arial"/>
          <w:sz w:val="22"/>
          <w:szCs w:val="22"/>
          <w:lang w:val="es-ES_tradnl"/>
        </w:rPr>
        <w:t>Asegurar</w:t>
      </w:r>
      <w:proofErr w:type="gramEnd"/>
      <w:r w:rsidRPr="00A17329">
        <w:rPr>
          <w:rFonts w:ascii="Arial" w:hAnsi="Arial" w:cs="Arial"/>
          <w:sz w:val="22"/>
          <w:szCs w:val="22"/>
          <w:lang w:val="es-ES_tradnl"/>
        </w:rPr>
        <w:t xml:space="preserve"> que en las actividades de preparación, ejecución y operación según corresponda las mujeres participen en la toma de decisiones que las afecten o la beneficien; </w:t>
      </w:r>
      <w:proofErr w:type="spellStart"/>
      <w:r w:rsidRPr="00A17329">
        <w:rPr>
          <w:rFonts w:ascii="Arial" w:hAnsi="Arial" w:cs="Arial"/>
          <w:sz w:val="22"/>
          <w:szCs w:val="22"/>
          <w:lang w:val="es-ES_tradnl"/>
        </w:rPr>
        <w:t>ii</w:t>
      </w:r>
      <w:proofErr w:type="spellEnd"/>
      <w:r w:rsidRPr="00A17329">
        <w:rPr>
          <w:rFonts w:ascii="Arial" w:hAnsi="Arial" w:cs="Arial"/>
          <w:sz w:val="22"/>
          <w:szCs w:val="22"/>
          <w:lang w:val="es-ES_tradnl"/>
        </w:rPr>
        <w:t xml:space="preserve">) identificar y poner en práctica medidas para mejorar la participación de las mujeres en Identificar en las oportunidades de empleo y capacitación y otras medidas de fortalecimiento de habilidades y organización relacionadas con el proyecto. </w:t>
      </w:r>
    </w:p>
    <w:p w14:paraId="03246DF6" w14:textId="77777777" w:rsidR="00487011" w:rsidRPr="00A17329" w:rsidRDefault="00487011" w:rsidP="00487011">
      <w:pPr>
        <w:jc w:val="both"/>
        <w:rPr>
          <w:rFonts w:ascii="Arial" w:hAnsi="Arial" w:cs="Arial"/>
          <w:sz w:val="22"/>
          <w:szCs w:val="22"/>
          <w:lang w:val="es-ES_tradnl"/>
        </w:rPr>
      </w:pPr>
    </w:p>
    <w:p w14:paraId="279B250D" w14:textId="77777777" w:rsidR="00487011" w:rsidRPr="00A17329" w:rsidRDefault="00487011" w:rsidP="00487011">
      <w:pPr>
        <w:jc w:val="both"/>
        <w:rPr>
          <w:rFonts w:ascii="Arial" w:hAnsi="Arial" w:cs="Arial"/>
          <w:b/>
          <w:sz w:val="22"/>
          <w:szCs w:val="22"/>
          <w:lang w:val="es-ES_tradnl"/>
        </w:rPr>
      </w:pPr>
      <w:r w:rsidRPr="00A17329">
        <w:rPr>
          <w:rFonts w:ascii="Arial" w:hAnsi="Arial" w:cs="Arial"/>
          <w:b/>
          <w:sz w:val="22"/>
          <w:szCs w:val="22"/>
          <w:lang w:val="es-ES_tradnl"/>
        </w:rPr>
        <w:t>Medidas de prevención de impactos por género</w:t>
      </w:r>
    </w:p>
    <w:p w14:paraId="05E91D6C" w14:textId="77777777" w:rsidR="00487011" w:rsidRPr="00A17329" w:rsidRDefault="00487011" w:rsidP="00487011">
      <w:pPr>
        <w:jc w:val="both"/>
        <w:rPr>
          <w:rFonts w:ascii="Arial" w:hAnsi="Arial" w:cs="Arial"/>
          <w:sz w:val="22"/>
          <w:szCs w:val="22"/>
          <w:lang w:val="es-ES_tradnl"/>
        </w:rPr>
      </w:pPr>
    </w:p>
    <w:p w14:paraId="5B1A7D77" w14:textId="77777777" w:rsidR="00487011" w:rsidRPr="00A17329" w:rsidRDefault="00487011" w:rsidP="00487011">
      <w:pPr>
        <w:jc w:val="both"/>
        <w:rPr>
          <w:rFonts w:ascii="Arial" w:hAnsi="Arial" w:cs="Arial"/>
          <w:sz w:val="22"/>
          <w:szCs w:val="22"/>
          <w:lang w:val="es-ES_tradnl"/>
        </w:rPr>
      </w:pPr>
      <w:r w:rsidRPr="00A17329">
        <w:rPr>
          <w:rFonts w:ascii="Arial" w:hAnsi="Arial" w:cs="Arial"/>
          <w:sz w:val="22"/>
          <w:szCs w:val="22"/>
          <w:lang w:val="es-ES_tradnl"/>
        </w:rPr>
        <w:t xml:space="preserve">Como parte de las medidas preventivas que pudieran derivar en impactos negativos por género: i) incorporar códigos de conducta para los trabajadores; </w:t>
      </w:r>
      <w:proofErr w:type="spellStart"/>
      <w:r w:rsidRPr="00A17329">
        <w:rPr>
          <w:rFonts w:ascii="Arial" w:hAnsi="Arial" w:cs="Arial"/>
          <w:sz w:val="22"/>
          <w:szCs w:val="22"/>
          <w:lang w:val="es-ES_tradnl"/>
        </w:rPr>
        <w:t>ii</w:t>
      </w:r>
      <w:proofErr w:type="spellEnd"/>
      <w:r w:rsidRPr="00A17329">
        <w:rPr>
          <w:rFonts w:ascii="Arial" w:hAnsi="Arial" w:cs="Arial"/>
          <w:sz w:val="22"/>
          <w:szCs w:val="22"/>
          <w:lang w:val="es-ES_tradnl"/>
        </w:rPr>
        <w:t xml:space="preserve">) proporcionar capacitación a empleados y trabajadores para evitar acciones que afecten específicamente a las mujeres; y </w:t>
      </w:r>
      <w:proofErr w:type="spellStart"/>
      <w:r w:rsidRPr="00A17329">
        <w:rPr>
          <w:rFonts w:ascii="Arial" w:hAnsi="Arial" w:cs="Arial"/>
          <w:sz w:val="22"/>
          <w:szCs w:val="22"/>
          <w:lang w:val="es-ES_tradnl"/>
        </w:rPr>
        <w:t>iii</w:t>
      </w:r>
      <w:proofErr w:type="spellEnd"/>
      <w:r w:rsidRPr="00A17329">
        <w:rPr>
          <w:rFonts w:ascii="Arial" w:hAnsi="Arial" w:cs="Arial"/>
          <w:sz w:val="22"/>
          <w:szCs w:val="22"/>
          <w:lang w:val="es-ES_tradnl"/>
        </w:rPr>
        <w:t xml:space="preserve">) establecer sistemas de comunicación y manejo de quejas de las comunidades y/o habitantes circunvecinos para resolver rápidamente cualquier conducta que viole el código de conducta y de relaciones con la comunidad establecidos; </w:t>
      </w:r>
      <w:proofErr w:type="spellStart"/>
      <w:r w:rsidRPr="00A17329">
        <w:rPr>
          <w:rFonts w:ascii="Arial" w:hAnsi="Arial" w:cs="Arial"/>
          <w:sz w:val="22"/>
          <w:szCs w:val="22"/>
          <w:lang w:val="es-ES_tradnl"/>
        </w:rPr>
        <w:t>iv</w:t>
      </w:r>
      <w:proofErr w:type="spellEnd"/>
      <w:r w:rsidRPr="00A17329">
        <w:rPr>
          <w:rFonts w:ascii="Arial" w:hAnsi="Arial" w:cs="Arial"/>
          <w:sz w:val="22"/>
          <w:szCs w:val="22"/>
          <w:lang w:val="es-ES_tradnl"/>
        </w:rPr>
        <w:t>) estas medidas se incorporarán en los contratos de los contratistas que participen en las obras de los proyecto.</w:t>
      </w:r>
    </w:p>
    <w:p w14:paraId="224C3824" w14:textId="77777777" w:rsidR="00487011" w:rsidRPr="00A17329" w:rsidRDefault="00487011" w:rsidP="00487011">
      <w:pPr>
        <w:jc w:val="both"/>
        <w:rPr>
          <w:rFonts w:ascii="Arial" w:hAnsi="Arial" w:cs="Arial"/>
          <w:lang w:val="es-ES_tradnl"/>
        </w:rPr>
      </w:pPr>
    </w:p>
    <w:p w14:paraId="611284DC" w14:textId="77777777" w:rsidR="00487011" w:rsidRPr="00A17329" w:rsidRDefault="00487011" w:rsidP="00487011">
      <w:pPr>
        <w:jc w:val="both"/>
        <w:rPr>
          <w:rFonts w:ascii="Arial" w:hAnsi="Arial" w:cs="Arial"/>
          <w:b/>
          <w:sz w:val="22"/>
          <w:szCs w:val="22"/>
          <w:u w:val="single"/>
          <w:lang w:val="es-ES_tradnl"/>
        </w:rPr>
      </w:pPr>
      <w:r w:rsidRPr="00A17329">
        <w:rPr>
          <w:rFonts w:ascii="Arial" w:hAnsi="Arial" w:cs="Arial"/>
          <w:b/>
          <w:sz w:val="22"/>
          <w:szCs w:val="22"/>
          <w:u w:val="single"/>
          <w:lang w:val="es-ES_tradnl"/>
        </w:rPr>
        <w:t>ANEXO 7 - Lineamientos para la Consulta Significativa</w:t>
      </w:r>
    </w:p>
    <w:p w14:paraId="1E7FC636" w14:textId="77777777" w:rsidR="00487011" w:rsidRPr="00A17329" w:rsidRDefault="00487011" w:rsidP="00487011">
      <w:pPr>
        <w:contextualSpacing/>
        <w:jc w:val="both"/>
        <w:rPr>
          <w:rFonts w:ascii="Arial" w:hAnsi="Arial" w:cs="Arial"/>
          <w:b/>
          <w:sz w:val="22"/>
          <w:szCs w:val="22"/>
          <w:lang w:val="es-ES_tradnl"/>
        </w:rPr>
      </w:pPr>
    </w:p>
    <w:p w14:paraId="26E3DABD" w14:textId="77777777" w:rsidR="00487011" w:rsidRPr="00A17329" w:rsidRDefault="00487011" w:rsidP="00487011">
      <w:pPr>
        <w:contextualSpacing/>
        <w:jc w:val="both"/>
        <w:rPr>
          <w:rFonts w:ascii="Arial" w:hAnsi="Arial" w:cs="Arial"/>
          <w:b/>
          <w:sz w:val="22"/>
          <w:szCs w:val="22"/>
          <w:lang w:val="es-ES_tradnl"/>
        </w:rPr>
      </w:pPr>
      <w:r w:rsidRPr="00A17329">
        <w:rPr>
          <w:rFonts w:ascii="Arial" w:hAnsi="Arial" w:cs="Arial"/>
          <w:b/>
          <w:sz w:val="22"/>
          <w:szCs w:val="22"/>
          <w:lang w:val="es-ES_tradnl"/>
        </w:rPr>
        <w:t>Objetivos</w:t>
      </w:r>
    </w:p>
    <w:p w14:paraId="0E4B4554" w14:textId="77777777" w:rsidR="00487011" w:rsidRPr="00A17329" w:rsidRDefault="00487011" w:rsidP="00487011">
      <w:pPr>
        <w:spacing w:before="240"/>
        <w:jc w:val="both"/>
        <w:rPr>
          <w:rFonts w:ascii="Arial" w:hAnsi="Arial" w:cs="Arial"/>
          <w:sz w:val="22"/>
          <w:szCs w:val="22"/>
          <w:lang w:val="es-ES_tradnl"/>
        </w:rPr>
      </w:pPr>
      <w:r w:rsidRPr="00A17329">
        <w:rPr>
          <w:rFonts w:ascii="Arial" w:hAnsi="Arial" w:cs="Arial"/>
          <w:sz w:val="22"/>
          <w:szCs w:val="22"/>
          <w:lang w:val="es-ES_tradnl"/>
        </w:rPr>
        <w:t xml:space="preserve">De acuerdo con la normativa ambiental nacional y las salvaguardas del BID, se ha establecido como  buena práctica, obligatoria para los proyectos financiados por el BID,  llevar a cabo un proceso de consulta en las diversas fases de preparación, ejecución y operación de los mismos, la finalidad de promover la participación de los actores involucrados  y tomar en cuenta sus puntos de vista e incorporar medidas para optimizar </w:t>
      </w:r>
      <w:r w:rsidRPr="00A17329">
        <w:rPr>
          <w:rFonts w:ascii="Arial" w:hAnsi="Arial" w:cs="Arial"/>
          <w:sz w:val="22"/>
          <w:szCs w:val="22"/>
          <w:lang w:val="es-ES_tradnl"/>
        </w:rPr>
        <w:lastRenderedPageBreak/>
        <w:t xml:space="preserve">los beneficios del proyecto, minimizar y/o mitigar las posibles consecuencias negativas y evitar el surgimiento de conflictos.  </w:t>
      </w:r>
    </w:p>
    <w:p w14:paraId="78AF519F" w14:textId="77777777" w:rsidR="00487011" w:rsidRPr="00A17329" w:rsidRDefault="00487011" w:rsidP="00487011">
      <w:pPr>
        <w:ind w:firstLine="450"/>
        <w:jc w:val="both"/>
        <w:rPr>
          <w:rFonts w:ascii="Arial" w:hAnsi="Arial" w:cs="Arial"/>
          <w:b/>
          <w:sz w:val="22"/>
          <w:szCs w:val="22"/>
          <w:lang w:val="es-ES_tradnl"/>
        </w:rPr>
      </w:pPr>
    </w:p>
    <w:p w14:paraId="78DB441C" w14:textId="77777777" w:rsidR="00487011" w:rsidRPr="00A17329" w:rsidRDefault="00487011" w:rsidP="00487011">
      <w:pPr>
        <w:jc w:val="both"/>
        <w:rPr>
          <w:rFonts w:ascii="Arial" w:hAnsi="Arial" w:cs="Arial"/>
          <w:b/>
          <w:sz w:val="22"/>
          <w:szCs w:val="22"/>
          <w:lang w:val="es-ES_tradnl"/>
        </w:rPr>
      </w:pPr>
      <w:r w:rsidRPr="00A17329">
        <w:rPr>
          <w:rFonts w:ascii="Arial" w:hAnsi="Arial" w:cs="Arial"/>
          <w:b/>
          <w:sz w:val="22"/>
          <w:szCs w:val="22"/>
          <w:lang w:val="es-ES_tradnl"/>
        </w:rPr>
        <w:t>Lineamientos y principios</w:t>
      </w:r>
    </w:p>
    <w:p w14:paraId="0ED0D00D" w14:textId="77777777" w:rsidR="00487011" w:rsidRPr="00A17329" w:rsidRDefault="00487011" w:rsidP="00487011">
      <w:pPr>
        <w:ind w:left="450"/>
        <w:contextualSpacing/>
        <w:jc w:val="both"/>
        <w:rPr>
          <w:rFonts w:ascii="Arial" w:hAnsi="Arial" w:cs="Arial"/>
          <w:sz w:val="22"/>
          <w:szCs w:val="22"/>
          <w:lang w:val="es-ES_tradnl"/>
        </w:rPr>
      </w:pPr>
    </w:p>
    <w:p w14:paraId="7BCA2928" w14:textId="77777777" w:rsidR="00487011" w:rsidRPr="00A17329" w:rsidRDefault="00487011" w:rsidP="00487011">
      <w:pPr>
        <w:contextualSpacing/>
        <w:jc w:val="both"/>
        <w:rPr>
          <w:rFonts w:ascii="Arial" w:hAnsi="Arial" w:cs="Arial"/>
          <w:sz w:val="22"/>
          <w:szCs w:val="22"/>
          <w:lang w:val="es-ES_tradnl"/>
        </w:rPr>
      </w:pPr>
      <w:r w:rsidRPr="00A17329">
        <w:rPr>
          <w:rFonts w:ascii="Arial" w:hAnsi="Arial" w:cs="Arial"/>
          <w:sz w:val="22"/>
          <w:szCs w:val="22"/>
          <w:lang w:val="es-ES_tradnl"/>
        </w:rPr>
        <w:t>La consulta se define como un proceso que abarca tanto la preparación como la ejecución de los proyectos y un programa de comunicación durante la operación, así como el establecimiento, a lo largo del proceso de un sistema para el manejo y resolución de quejas y reclamos que evite el escalamiento de conflictos.</w:t>
      </w:r>
    </w:p>
    <w:p w14:paraId="1599EAB4" w14:textId="77777777" w:rsidR="00487011" w:rsidRPr="00A17329" w:rsidRDefault="00487011" w:rsidP="00487011">
      <w:pPr>
        <w:contextualSpacing/>
        <w:jc w:val="both"/>
        <w:rPr>
          <w:rFonts w:ascii="Arial" w:hAnsi="Arial" w:cs="Arial"/>
          <w:sz w:val="22"/>
          <w:szCs w:val="22"/>
          <w:lang w:val="es-ES_tradnl"/>
        </w:rPr>
      </w:pPr>
    </w:p>
    <w:p w14:paraId="4CCDC8F1"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La consulta debería estar precedida por un análisis del proyecto, de su contexto y de sus impactos potenciales, y por una identificación de las partes interesadas relevantes; a estos pasos debería seguirles una consideración genuina de las opiniones y preocupaciones de las partes interesadas en relación con la planificación y la implementación del proyecto.</w:t>
      </w:r>
    </w:p>
    <w:p w14:paraId="0DA29F51"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32C6B121"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Adicionalmente a la necesidad de análisis previo y posterior seguimiento, una consulta significativa con las partes interesadas debería reflejar los siguientes diez principios:</w:t>
      </w:r>
    </w:p>
    <w:p w14:paraId="0B861C81"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3300285A"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El proceso de consulta con las partes interesadas tiene que ser continuo e iterativo a lo largo del ciclo del proyecto, y comenzar lo más temprano posible.</w:t>
      </w:r>
    </w:p>
    <w:p w14:paraId="2818D3F9"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Debe asegurar que las diferentes categorías de partes interesadas estén representadas y participen. Esto puede incluir individuos y grupos, así como instituciones locales formales e informales.</w:t>
      </w:r>
    </w:p>
    <w:p w14:paraId="5B88B1AD"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Tiene que contar con suficientes recursos. Esto abarca tanto los presupuestos, el personal, la capacidad y la voluntad de las autoridades del proyecto para tomar en serio las opiniones de las partes interesadas y modificar los diseños y la implementación del proyecto con el fin de reflejar las preocupaciones de las partes interesadas donde sea posible. Puede que esto incluya la necesidad de fortalecer la capacidad de las partes interesadas afectadas, a fin de establecer una igualdad de condiciones para que participen diferentes grupos.</w:t>
      </w:r>
    </w:p>
    <w:p w14:paraId="261518DC"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Debe ser transparente y basarse en información objetiva, incluyendo sobre el alcance de la consulta y la capacidad de las partes interesadas para influir en las decisiones del proyecto.</w:t>
      </w:r>
    </w:p>
    <w:p w14:paraId="12676FB0"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Debe ser equitativa y no discriminatoria, y garantizar que las partes interesadas afectadas más pobres o más vulnerables tengan voz.</w:t>
      </w:r>
    </w:p>
    <w:p w14:paraId="25347C85"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Las partes interesadas deben tener información previa sobre aspectos relevantes del proyecto, en el idioma, el formato y la manera que sean apropiados para ellos. Diferentes grupos y diferentes contextos necesitarán enfoques diferentes, pero, como mínimo, esta información debería transmitirse de forma que sea comprensible y accesible para todos.</w:t>
      </w:r>
    </w:p>
    <w:p w14:paraId="6999BC07"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Los eventos de consulta y los demás foros o medios para involucrarse con las partes interesadas deben ser respetuosos y estar exentos de coerción. Es preciso proteger de represalias a las partes interesadas que expresen su preocupación o sus críticas contra el proyecto o las autoridades.</w:t>
      </w:r>
    </w:p>
    <w:p w14:paraId="49CF3DD9"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La confidencialidad de la información y las partes interesadas debe estar asegurada cuando sea apropiado.</w:t>
      </w:r>
    </w:p>
    <w:p w14:paraId="2E84777D"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lastRenderedPageBreak/>
        <w:t>Para ser significativo, un proceso de consulta también debe evitar la consulta sin un objetivo claro o las discusiones excesivas que no conducen a ninguna parte.</w:t>
      </w:r>
    </w:p>
    <w:p w14:paraId="2AE8BF18" w14:textId="77777777" w:rsidR="00487011" w:rsidRPr="00A17329" w:rsidRDefault="00487011" w:rsidP="00487011">
      <w:pPr>
        <w:pStyle w:val="ListParagraph"/>
        <w:numPr>
          <w:ilvl w:val="0"/>
          <w:numId w:val="27"/>
        </w:numPr>
        <w:spacing w:line="276" w:lineRule="auto"/>
        <w:ind w:left="360"/>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El proceso debe ser documentado sistemáticamente y sus aspectos relevantes tienen que ser divulgados de manera pública.</w:t>
      </w:r>
    </w:p>
    <w:p w14:paraId="3DF7B68A" w14:textId="77777777" w:rsidR="00487011" w:rsidRPr="00A17329" w:rsidRDefault="00487011" w:rsidP="00487011">
      <w:pPr>
        <w:contextualSpacing/>
        <w:jc w:val="both"/>
        <w:rPr>
          <w:rFonts w:ascii="Arial" w:hAnsi="Arial" w:cs="Arial"/>
          <w:sz w:val="22"/>
          <w:szCs w:val="22"/>
          <w:lang w:val="es-ES_tradnl"/>
        </w:rPr>
      </w:pPr>
    </w:p>
    <w:p w14:paraId="63229629" w14:textId="77777777" w:rsidR="00487011" w:rsidRPr="00A17329" w:rsidRDefault="00487011" w:rsidP="00487011">
      <w:pPr>
        <w:jc w:val="both"/>
        <w:rPr>
          <w:rFonts w:ascii="Arial" w:hAnsi="Arial" w:cs="Arial"/>
          <w:b/>
          <w:sz w:val="22"/>
          <w:szCs w:val="22"/>
          <w:lang w:val="es-ES_tradnl"/>
        </w:rPr>
      </w:pPr>
      <w:r w:rsidRPr="00A17329">
        <w:rPr>
          <w:rFonts w:ascii="Arial" w:hAnsi="Arial" w:cs="Arial"/>
          <w:b/>
          <w:sz w:val="22"/>
          <w:szCs w:val="22"/>
          <w:lang w:val="es-ES_tradnl"/>
        </w:rPr>
        <w:t>Principales Actividades</w:t>
      </w:r>
    </w:p>
    <w:p w14:paraId="40E78E6B" w14:textId="77777777" w:rsidR="00487011" w:rsidRPr="00A17329" w:rsidRDefault="00487011" w:rsidP="00487011">
      <w:pPr>
        <w:spacing w:before="120"/>
        <w:ind w:right="288"/>
        <w:jc w:val="both"/>
        <w:rPr>
          <w:rFonts w:ascii="Arial" w:hAnsi="Arial" w:cs="Arial"/>
          <w:sz w:val="22"/>
          <w:szCs w:val="22"/>
          <w:lang w:val="es-ES_tradnl"/>
        </w:rPr>
      </w:pPr>
      <w:r w:rsidRPr="00A17329">
        <w:rPr>
          <w:rFonts w:ascii="Arial" w:hAnsi="Arial" w:cs="Arial"/>
          <w:sz w:val="22"/>
          <w:szCs w:val="22"/>
          <w:lang w:val="es-ES_tradnl"/>
        </w:rPr>
        <w:t xml:space="preserve">Como actividades específicas del proceso de consulta del proyecto, sin excluir otras que sean pertinentes según el tipo y localización del proyecto, se proponen las siguientes actividades: ales: </w:t>
      </w:r>
    </w:p>
    <w:p w14:paraId="0E4F6B73" w14:textId="77777777" w:rsidR="00487011" w:rsidRPr="00A17329" w:rsidRDefault="00487011" w:rsidP="00487011">
      <w:pPr>
        <w:pStyle w:val="ListParagraph"/>
        <w:ind w:left="360"/>
        <w:jc w:val="both"/>
        <w:rPr>
          <w:rFonts w:ascii="Arial" w:hAnsi="Arial" w:cs="Arial"/>
          <w:sz w:val="22"/>
          <w:szCs w:val="22"/>
          <w:lang w:val="es-ES_tradnl"/>
        </w:rPr>
      </w:pPr>
    </w:p>
    <w:p w14:paraId="17D9E6AF" w14:textId="77777777" w:rsidR="00487011" w:rsidRPr="00A17329" w:rsidRDefault="00487011" w:rsidP="00487011">
      <w:pPr>
        <w:pStyle w:val="ListParagraph"/>
        <w:numPr>
          <w:ilvl w:val="0"/>
          <w:numId w:val="29"/>
        </w:numPr>
        <w:spacing w:after="200"/>
        <w:ind w:left="360"/>
        <w:contextualSpacing/>
        <w:jc w:val="both"/>
        <w:rPr>
          <w:rFonts w:ascii="Arial" w:hAnsi="Arial" w:cs="Arial"/>
          <w:sz w:val="22"/>
          <w:szCs w:val="22"/>
          <w:u w:val="single"/>
          <w:lang w:val="es-ES_tradnl"/>
        </w:rPr>
      </w:pPr>
      <w:r w:rsidRPr="00A17329">
        <w:rPr>
          <w:rFonts w:ascii="Arial" w:hAnsi="Arial" w:cs="Arial"/>
          <w:sz w:val="22"/>
          <w:szCs w:val="22"/>
          <w:u w:val="single"/>
          <w:lang w:val="es-ES_tradnl"/>
        </w:rPr>
        <w:t xml:space="preserve">Identificación de actores y acuerdos preliminares: </w:t>
      </w:r>
    </w:p>
    <w:p w14:paraId="1D737B21" w14:textId="77777777" w:rsidR="00487011" w:rsidRPr="00A17329" w:rsidRDefault="00487011" w:rsidP="00487011">
      <w:pPr>
        <w:pStyle w:val="ListParagraph"/>
        <w:jc w:val="both"/>
        <w:rPr>
          <w:rFonts w:ascii="Arial" w:hAnsi="Arial" w:cs="Arial"/>
          <w:b/>
          <w:sz w:val="22"/>
          <w:szCs w:val="22"/>
          <w:lang w:val="es-ES_tradnl"/>
        </w:rPr>
      </w:pPr>
    </w:p>
    <w:p w14:paraId="72475343" w14:textId="77777777" w:rsidR="00487011" w:rsidRPr="00A17329" w:rsidRDefault="00487011" w:rsidP="00487011">
      <w:pPr>
        <w:pStyle w:val="ListParagraph"/>
        <w:numPr>
          <w:ilvl w:val="0"/>
          <w:numId w:val="31"/>
        </w:numPr>
        <w:spacing w:after="200"/>
        <w:ind w:left="360"/>
        <w:contextualSpacing/>
        <w:jc w:val="both"/>
        <w:rPr>
          <w:rFonts w:ascii="Arial" w:hAnsi="Arial" w:cs="Arial"/>
          <w:b/>
          <w:sz w:val="22"/>
          <w:szCs w:val="22"/>
          <w:lang w:val="es-ES_tradnl"/>
        </w:rPr>
      </w:pPr>
      <w:r w:rsidRPr="00A17329">
        <w:rPr>
          <w:rFonts w:ascii="Arial" w:hAnsi="Arial" w:cs="Arial"/>
          <w:sz w:val="22"/>
          <w:szCs w:val="22"/>
          <w:lang w:val="es-ES_tradnl"/>
        </w:rPr>
        <w:t xml:space="preserve">Identificar y caracterizar a los actores es un proceso fundamental para definir los alcances y modalidades de la consulta. Es conveniente efectuar reuniones preliminares y acordar el protocolo de consulta a llevar a cabo; este paso facilita el proceso y logras consensos. </w:t>
      </w:r>
    </w:p>
    <w:p w14:paraId="35522CF9" w14:textId="77777777" w:rsidR="00487011" w:rsidRPr="00A17329" w:rsidRDefault="00487011" w:rsidP="00487011">
      <w:pPr>
        <w:pStyle w:val="ListParagraph"/>
        <w:ind w:hanging="270"/>
        <w:jc w:val="both"/>
        <w:rPr>
          <w:rFonts w:ascii="Arial" w:hAnsi="Arial" w:cs="Arial"/>
          <w:b/>
          <w:sz w:val="22"/>
          <w:szCs w:val="22"/>
          <w:lang w:val="es-ES_tradnl"/>
        </w:rPr>
      </w:pPr>
    </w:p>
    <w:p w14:paraId="2C941B35" w14:textId="77777777" w:rsidR="00487011" w:rsidRPr="00A17329" w:rsidRDefault="00487011" w:rsidP="00487011">
      <w:pPr>
        <w:pStyle w:val="ListParagraph"/>
        <w:numPr>
          <w:ilvl w:val="0"/>
          <w:numId w:val="29"/>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Fase Informativa</w:t>
      </w:r>
    </w:p>
    <w:p w14:paraId="48E4966C" w14:textId="77777777" w:rsidR="00487011" w:rsidRPr="00A17329" w:rsidRDefault="00487011" w:rsidP="00487011">
      <w:pPr>
        <w:pStyle w:val="ListParagraph"/>
        <w:jc w:val="both"/>
        <w:rPr>
          <w:rFonts w:ascii="Arial" w:hAnsi="Arial" w:cs="Arial"/>
          <w:sz w:val="22"/>
          <w:szCs w:val="22"/>
        </w:rPr>
      </w:pPr>
    </w:p>
    <w:p w14:paraId="046B82BB" w14:textId="77777777" w:rsidR="00487011" w:rsidRPr="00A17329" w:rsidRDefault="00487011" w:rsidP="00487011">
      <w:pPr>
        <w:pStyle w:val="ListParagraph"/>
        <w:numPr>
          <w:ilvl w:val="0"/>
          <w:numId w:val="30"/>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 xml:space="preserve">Esta fase incluye: i) presentar los objetivos del proyecto, componentes y los beneficios potenciales para los involucrados; </w:t>
      </w:r>
      <w:proofErr w:type="spellStart"/>
      <w:r w:rsidRPr="00A17329">
        <w:rPr>
          <w:rFonts w:ascii="Arial" w:hAnsi="Arial" w:cs="Arial"/>
          <w:sz w:val="22"/>
          <w:szCs w:val="22"/>
          <w:lang w:val="es-ES_tradnl"/>
        </w:rPr>
        <w:t>ii</w:t>
      </w:r>
      <w:proofErr w:type="spellEnd"/>
      <w:r w:rsidRPr="00A17329">
        <w:rPr>
          <w:rFonts w:ascii="Arial" w:hAnsi="Arial" w:cs="Arial"/>
          <w:sz w:val="22"/>
          <w:szCs w:val="22"/>
          <w:lang w:val="es-ES_tradnl"/>
        </w:rPr>
        <w:t xml:space="preserve">) presentar los impactos y medidas de mitigación y en su caso los procedimientos de compensación previstos; y </w:t>
      </w:r>
      <w:proofErr w:type="spellStart"/>
      <w:r w:rsidRPr="00A17329">
        <w:rPr>
          <w:rFonts w:ascii="Arial" w:hAnsi="Arial" w:cs="Arial"/>
          <w:sz w:val="22"/>
          <w:szCs w:val="22"/>
          <w:lang w:val="es-ES_tradnl"/>
        </w:rPr>
        <w:t>iii</w:t>
      </w:r>
      <w:proofErr w:type="spellEnd"/>
      <w:r w:rsidRPr="00A17329">
        <w:rPr>
          <w:rFonts w:ascii="Arial" w:hAnsi="Arial" w:cs="Arial"/>
          <w:sz w:val="22"/>
          <w:szCs w:val="22"/>
          <w:lang w:val="es-ES_tradnl"/>
        </w:rPr>
        <w:t>) presentar a los representantes y mantener acceso al diálogo. Esta fase incluye un tiempo para diseminación y de deliberación al interior de las organizaciones.</w:t>
      </w:r>
    </w:p>
    <w:p w14:paraId="2B82FD14" w14:textId="77777777" w:rsidR="00487011" w:rsidRPr="00A17329" w:rsidRDefault="00487011" w:rsidP="00487011">
      <w:pPr>
        <w:pStyle w:val="ListParagraph"/>
        <w:spacing w:after="200"/>
        <w:ind w:left="360"/>
        <w:jc w:val="both"/>
        <w:rPr>
          <w:rFonts w:ascii="Arial" w:hAnsi="Arial" w:cs="Arial"/>
          <w:sz w:val="22"/>
          <w:szCs w:val="22"/>
          <w:lang w:val="es-ES_tradnl"/>
        </w:rPr>
      </w:pPr>
    </w:p>
    <w:p w14:paraId="5B33A422" w14:textId="77777777" w:rsidR="00487011" w:rsidRPr="00A17329" w:rsidRDefault="00487011" w:rsidP="00487011">
      <w:pPr>
        <w:pStyle w:val="ListParagraph"/>
        <w:numPr>
          <w:ilvl w:val="0"/>
          <w:numId w:val="29"/>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Fase consultiva (Desarrollo de los eventos de consulta pública)</w:t>
      </w:r>
    </w:p>
    <w:p w14:paraId="672C8B35" w14:textId="77777777" w:rsidR="00487011" w:rsidRPr="00A17329" w:rsidRDefault="00487011" w:rsidP="00487011">
      <w:pPr>
        <w:pStyle w:val="ListParagraph"/>
        <w:jc w:val="both"/>
        <w:rPr>
          <w:rFonts w:ascii="Arial" w:hAnsi="Arial" w:cs="Arial"/>
          <w:sz w:val="22"/>
          <w:szCs w:val="22"/>
          <w:lang w:val="es-ES_tradnl"/>
        </w:rPr>
      </w:pPr>
    </w:p>
    <w:p w14:paraId="32E56ECF" w14:textId="77777777" w:rsidR="00487011" w:rsidRPr="00A17329" w:rsidRDefault="00487011" w:rsidP="00487011">
      <w:pPr>
        <w:pStyle w:val="ListParagraph"/>
        <w:numPr>
          <w:ilvl w:val="0"/>
          <w:numId w:val="28"/>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 xml:space="preserve">La fase consultiva propiamente se establece con los representantes de las organizaciones confirmadas durante la fase anterior y con el protocolo acordado. Este proceso se realiza de acuerdo con la organización y forma de toma de decisión locales y autoridades de comunidades indígenas, en su caso. </w:t>
      </w:r>
    </w:p>
    <w:p w14:paraId="26D8CD06" w14:textId="77777777" w:rsidR="00487011" w:rsidRPr="00A17329" w:rsidRDefault="00487011" w:rsidP="00487011">
      <w:pPr>
        <w:pStyle w:val="ListParagraph"/>
        <w:ind w:left="360" w:hanging="360"/>
        <w:jc w:val="both"/>
        <w:rPr>
          <w:rFonts w:ascii="Arial" w:hAnsi="Arial" w:cs="Arial"/>
          <w:sz w:val="22"/>
          <w:szCs w:val="22"/>
          <w:lang w:val="es-ES_tradnl"/>
        </w:rPr>
      </w:pPr>
    </w:p>
    <w:p w14:paraId="663E2024" w14:textId="77777777" w:rsidR="00487011" w:rsidRPr="00A17329" w:rsidRDefault="00487011" w:rsidP="00487011">
      <w:pPr>
        <w:pStyle w:val="ListParagraph"/>
        <w:numPr>
          <w:ilvl w:val="0"/>
          <w:numId w:val="28"/>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Las fechas, sitios y horarios de la consulta se fijarán de manera tal que todos los actores involucrados e interesados en el proyecto puedan participar; de ser necesario el promotor aportará el apoyo logístico necesario.</w:t>
      </w:r>
    </w:p>
    <w:p w14:paraId="7863F16C" w14:textId="77777777" w:rsidR="00487011" w:rsidRPr="00A17329" w:rsidRDefault="00487011" w:rsidP="00487011">
      <w:pPr>
        <w:pStyle w:val="ListParagraph"/>
        <w:ind w:left="360" w:hanging="360"/>
        <w:jc w:val="both"/>
        <w:rPr>
          <w:rFonts w:ascii="Arial" w:hAnsi="Arial" w:cs="Arial"/>
          <w:sz w:val="22"/>
          <w:szCs w:val="22"/>
          <w:lang w:val="es-ES_tradnl"/>
        </w:rPr>
      </w:pPr>
    </w:p>
    <w:p w14:paraId="2D31AF1A" w14:textId="77777777" w:rsidR="00487011" w:rsidRPr="00A17329" w:rsidRDefault="00487011" w:rsidP="00487011">
      <w:pPr>
        <w:pStyle w:val="ListParagraph"/>
        <w:numPr>
          <w:ilvl w:val="0"/>
          <w:numId w:val="28"/>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 xml:space="preserve">Registro y diseminación: Es necesario llevar un registro (con la identificación pertinente) de los participantes, desagregado por género; </w:t>
      </w:r>
      <w:proofErr w:type="spellStart"/>
      <w:r w:rsidRPr="00A17329">
        <w:rPr>
          <w:rFonts w:ascii="Arial" w:hAnsi="Arial" w:cs="Arial"/>
          <w:sz w:val="22"/>
          <w:szCs w:val="22"/>
          <w:lang w:val="es-ES_tradnl"/>
        </w:rPr>
        <w:t>ii</w:t>
      </w:r>
      <w:proofErr w:type="spellEnd"/>
      <w:r w:rsidRPr="00A17329">
        <w:rPr>
          <w:rFonts w:ascii="Arial" w:hAnsi="Arial" w:cs="Arial"/>
          <w:sz w:val="22"/>
          <w:szCs w:val="22"/>
          <w:lang w:val="es-ES_tradnl"/>
        </w:rPr>
        <w:t>) levantar y firmar un acta con las principales preocupaciones/requerimientos y en su caso respuestas ofrecidas; los resultados de las consultas deben ser accesible al público. El responsable del proyecto tomara en cuenta las propuestas presentadas y de ser posible las incorporara al diseño proceso del proyecto informando de ello a las partes relevantes</w:t>
      </w:r>
    </w:p>
    <w:p w14:paraId="66173D74" w14:textId="77777777" w:rsidR="00487011" w:rsidRPr="00A17329" w:rsidRDefault="00487011" w:rsidP="00487011">
      <w:pPr>
        <w:pStyle w:val="ListParagraph"/>
        <w:jc w:val="both"/>
        <w:rPr>
          <w:rFonts w:ascii="Arial" w:hAnsi="Arial" w:cs="Arial"/>
          <w:sz w:val="22"/>
          <w:szCs w:val="22"/>
          <w:lang w:val="es-ES_tradnl"/>
        </w:rPr>
      </w:pPr>
    </w:p>
    <w:p w14:paraId="249D7025" w14:textId="77777777" w:rsidR="00487011" w:rsidRPr="00A17329" w:rsidRDefault="00487011" w:rsidP="00487011">
      <w:pPr>
        <w:pStyle w:val="ListParagraph"/>
        <w:numPr>
          <w:ilvl w:val="0"/>
          <w:numId w:val="29"/>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Mecanismo para la presentación, manejo y resolución de quejas</w:t>
      </w:r>
    </w:p>
    <w:p w14:paraId="46E40F96" w14:textId="77777777" w:rsidR="00487011" w:rsidRPr="00A17329" w:rsidRDefault="00487011" w:rsidP="00487011">
      <w:pPr>
        <w:pStyle w:val="ListParagraph"/>
        <w:jc w:val="both"/>
        <w:rPr>
          <w:rFonts w:ascii="Arial" w:hAnsi="Arial" w:cs="Arial"/>
          <w:sz w:val="22"/>
          <w:szCs w:val="22"/>
          <w:lang w:val="es-ES_tradnl"/>
        </w:rPr>
      </w:pPr>
    </w:p>
    <w:p w14:paraId="3636C6A8" w14:textId="77777777" w:rsidR="00487011" w:rsidRPr="00A17329" w:rsidRDefault="00487011" w:rsidP="00487011">
      <w:pPr>
        <w:pStyle w:val="ListParagraph"/>
        <w:numPr>
          <w:ilvl w:val="0"/>
          <w:numId w:val="28"/>
        </w:numPr>
        <w:spacing w:after="200"/>
        <w:ind w:left="360"/>
        <w:contextualSpacing/>
        <w:jc w:val="both"/>
        <w:rPr>
          <w:rFonts w:ascii="Arial" w:hAnsi="Arial" w:cs="Arial"/>
          <w:sz w:val="22"/>
          <w:szCs w:val="22"/>
          <w:lang w:val="es-ES_tradnl"/>
        </w:rPr>
      </w:pPr>
      <w:r w:rsidRPr="00A17329">
        <w:rPr>
          <w:rFonts w:ascii="Arial" w:hAnsi="Arial" w:cs="Arial"/>
          <w:sz w:val="22"/>
          <w:szCs w:val="22"/>
          <w:lang w:val="es-ES_tradnl"/>
        </w:rPr>
        <w:t>Durante la consulta se presentará el mecanismo establecido para recibir y atender quejas y reclamos proporcionando los medios que resulten accesibles para ello.</w:t>
      </w:r>
    </w:p>
    <w:p w14:paraId="6E6FFAB6" w14:textId="77777777" w:rsidR="00487011" w:rsidRPr="00A17329" w:rsidRDefault="00487011" w:rsidP="00487011">
      <w:pPr>
        <w:spacing w:line="276" w:lineRule="auto"/>
        <w:jc w:val="both"/>
        <w:rPr>
          <w:rFonts w:ascii="Arial" w:hAnsi="Arial" w:cs="Arial"/>
          <w:b/>
          <w:color w:val="000000" w:themeColor="text1"/>
          <w:sz w:val="22"/>
          <w:szCs w:val="22"/>
          <w:u w:val="single"/>
          <w:lang w:val="es-ES_tradnl"/>
        </w:rPr>
      </w:pPr>
      <w:r w:rsidRPr="00A17329">
        <w:rPr>
          <w:rFonts w:ascii="Arial" w:hAnsi="Arial" w:cs="Arial"/>
          <w:b/>
          <w:color w:val="000000" w:themeColor="text1"/>
          <w:sz w:val="22"/>
          <w:szCs w:val="22"/>
          <w:u w:val="single"/>
          <w:lang w:val="es-ES_tradnl"/>
        </w:rPr>
        <w:t>Informe de Consulta</w:t>
      </w:r>
    </w:p>
    <w:p w14:paraId="58F21698" w14:textId="77777777" w:rsidR="00487011" w:rsidRPr="00A17329" w:rsidRDefault="00487011" w:rsidP="00487011">
      <w:pPr>
        <w:spacing w:line="276" w:lineRule="auto"/>
        <w:jc w:val="both"/>
        <w:rPr>
          <w:rFonts w:ascii="Arial" w:hAnsi="Arial" w:cs="Arial"/>
          <w:b/>
          <w:color w:val="000000" w:themeColor="text1"/>
          <w:sz w:val="22"/>
          <w:szCs w:val="22"/>
          <w:u w:val="single"/>
          <w:lang w:val="es-ES_tradnl"/>
        </w:rPr>
      </w:pPr>
    </w:p>
    <w:p w14:paraId="5A59B66F"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El Informe de Consulta deberá registrar la síntesis de los resultados obtenidos en el proceso, y sus diferentes mecanismos de participación. Se deben registrar todos los comentarios y/o consultas realizadas durante el evento de consultas y sus respectivas respuestas por parte de la autoridad. El informe deberá incluir, al menos, los siguientes elementos:</w:t>
      </w:r>
    </w:p>
    <w:p w14:paraId="3EB8ABC6"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4DA2908A" w14:textId="77777777" w:rsidR="00487011" w:rsidRPr="00A17329" w:rsidRDefault="00487011" w:rsidP="00487011">
      <w:pPr>
        <w:pStyle w:val="ListParagraph"/>
        <w:numPr>
          <w:ilvl w:val="0"/>
          <w:numId w:val="24"/>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Registro del horario y sede del evento.</w:t>
      </w:r>
    </w:p>
    <w:p w14:paraId="708FCE27" w14:textId="77777777" w:rsidR="00487011" w:rsidRPr="00A17329" w:rsidRDefault="00487011" w:rsidP="00487011">
      <w:pPr>
        <w:pStyle w:val="ListParagraph"/>
        <w:numPr>
          <w:ilvl w:val="0"/>
          <w:numId w:val="24"/>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Dinámica del evento.</w:t>
      </w:r>
    </w:p>
    <w:p w14:paraId="57E4AE12" w14:textId="77777777" w:rsidR="00487011" w:rsidRPr="00A17329" w:rsidRDefault="00487011" w:rsidP="00487011">
      <w:pPr>
        <w:pStyle w:val="ListParagraph"/>
        <w:numPr>
          <w:ilvl w:val="0"/>
          <w:numId w:val="24"/>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Mapeo de actores y criterio de selección de los actores convocados.</w:t>
      </w:r>
    </w:p>
    <w:p w14:paraId="7AF6C4C6" w14:textId="77777777" w:rsidR="00487011" w:rsidRPr="00A17329" w:rsidRDefault="00487011" w:rsidP="00487011">
      <w:pPr>
        <w:pStyle w:val="ListParagraph"/>
        <w:numPr>
          <w:ilvl w:val="0"/>
          <w:numId w:val="24"/>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Análisis de los asistentes de la actividad (en comparación a los invitados).</w:t>
      </w:r>
    </w:p>
    <w:p w14:paraId="67E7D0C5" w14:textId="77777777" w:rsidR="00487011" w:rsidRPr="00A17329" w:rsidRDefault="00487011" w:rsidP="00487011">
      <w:pPr>
        <w:pStyle w:val="ListParagraph"/>
        <w:numPr>
          <w:ilvl w:val="0"/>
          <w:numId w:val="24"/>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Asuntos claves discutidos y acuerdos alcanzados. Registro de todas las consultas realizadas y sus respuestas.</w:t>
      </w:r>
    </w:p>
    <w:p w14:paraId="434104AF" w14:textId="77777777" w:rsidR="00487011" w:rsidRPr="00A17329" w:rsidRDefault="00487011" w:rsidP="00487011">
      <w:pPr>
        <w:pStyle w:val="ListParagraph"/>
        <w:numPr>
          <w:ilvl w:val="0"/>
          <w:numId w:val="24"/>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Cómo se han tenido en cuenta o se tendrán en cuenta las recomendaciones.</w:t>
      </w:r>
    </w:p>
    <w:p w14:paraId="305D95BA" w14:textId="77777777" w:rsidR="00487011" w:rsidRPr="00A17329" w:rsidRDefault="00487011" w:rsidP="00487011">
      <w:pPr>
        <w:pStyle w:val="ListParagraph"/>
        <w:numPr>
          <w:ilvl w:val="0"/>
          <w:numId w:val="25"/>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Cómo se espera que las decisiones adoptadas sobre la base de los aportes mejoren los beneficios y reduzcan o compensen los impactos adversos.</w:t>
      </w:r>
    </w:p>
    <w:p w14:paraId="1145C67B" w14:textId="77777777" w:rsidR="00487011" w:rsidRPr="00A17329" w:rsidRDefault="00487011" w:rsidP="00487011">
      <w:pPr>
        <w:pStyle w:val="ListParagraph"/>
        <w:numPr>
          <w:ilvl w:val="0"/>
          <w:numId w:val="25"/>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Ámbitos de desacuerdo y motivos por los que no se pueden incluir algunas recomendaciones.</w:t>
      </w:r>
    </w:p>
    <w:p w14:paraId="3CDC2238" w14:textId="77777777" w:rsidR="00487011" w:rsidRPr="00A17329" w:rsidRDefault="00487011" w:rsidP="00487011">
      <w:pPr>
        <w:pStyle w:val="ListParagraph"/>
        <w:numPr>
          <w:ilvl w:val="0"/>
          <w:numId w:val="25"/>
        </w:numPr>
        <w:spacing w:line="276" w:lineRule="auto"/>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Futuros canales de comunicación, procesos de consulta previstos y el acceso a reparación mediante un mecanismo de quejas y reclamos.</w:t>
      </w:r>
    </w:p>
    <w:p w14:paraId="64198766"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426C31B7"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Los puntos clave que es preciso cubrir durante los eventos de consulta son los siguientes:</w:t>
      </w:r>
    </w:p>
    <w:p w14:paraId="4BBC1544" w14:textId="77777777" w:rsidR="00487011" w:rsidRPr="00A17329" w:rsidRDefault="00487011" w:rsidP="00487011">
      <w:pPr>
        <w:pStyle w:val="ListParagraph"/>
        <w:numPr>
          <w:ilvl w:val="0"/>
          <w:numId w:val="23"/>
        </w:numPr>
        <w:spacing w:line="276" w:lineRule="auto"/>
        <w:ind w:left="993" w:hanging="284"/>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Explicar los objetivos de la reunión, la forma en que se estructurará el evento y el seguimiento previsto.</w:t>
      </w:r>
    </w:p>
    <w:p w14:paraId="0988BF1A" w14:textId="77777777" w:rsidR="00487011" w:rsidRPr="00A17329" w:rsidRDefault="00487011" w:rsidP="00487011">
      <w:pPr>
        <w:pStyle w:val="ListParagraph"/>
        <w:numPr>
          <w:ilvl w:val="0"/>
          <w:numId w:val="23"/>
        </w:numPr>
        <w:spacing w:line="276" w:lineRule="auto"/>
        <w:ind w:left="993" w:hanging="284"/>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Acordar una agenda para la discusión.</w:t>
      </w:r>
    </w:p>
    <w:p w14:paraId="5E18036A" w14:textId="77777777" w:rsidR="00487011" w:rsidRPr="00A17329" w:rsidRDefault="00487011" w:rsidP="00487011">
      <w:pPr>
        <w:pStyle w:val="ListParagraph"/>
        <w:numPr>
          <w:ilvl w:val="0"/>
          <w:numId w:val="23"/>
        </w:numPr>
        <w:spacing w:line="276" w:lineRule="auto"/>
        <w:ind w:left="993" w:hanging="284"/>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 xml:space="preserve">Impactos ambientales y sociales del proyecto y sus respectivas medidas de mitigación. </w:t>
      </w:r>
    </w:p>
    <w:p w14:paraId="5A47D179" w14:textId="77777777" w:rsidR="00487011" w:rsidRPr="00A17329" w:rsidRDefault="00487011" w:rsidP="00487011">
      <w:pPr>
        <w:pStyle w:val="ListParagraph"/>
        <w:numPr>
          <w:ilvl w:val="0"/>
          <w:numId w:val="23"/>
        </w:numPr>
        <w:spacing w:line="276" w:lineRule="auto"/>
        <w:ind w:left="993" w:hanging="284"/>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Percepciones y expectativas de las personas.</w:t>
      </w:r>
    </w:p>
    <w:p w14:paraId="103BF23E" w14:textId="77777777" w:rsidR="00487011" w:rsidRPr="00A17329" w:rsidRDefault="00487011" w:rsidP="00487011">
      <w:pPr>
        <w:pStyle w:val="ListParagraph"/>
        <w:numPr>
          <w:ilvl w:val="0"/>
          <w:numId w:val="23"/>
        </w:numPr>
        <w:spacing w:line="276" w:lineRule="auto"/>
        <w:ind w:left="993" w:hanging="284"/>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Aportes a cambios en el diseño del proyecto.</w:t>
      </w:r>
    </w:p>
    <w:p w14:paraId="66C8DB7C" w14:textId="77777777" w:rsidR="00487011" w:rsidRPr="00A17329" w:rsidRDefault="00487011" w:rsidP="00487011">
      <w:pPr>
        <w:pStyle w:val="ListParagraph"/>
        <w:numPr>
          <w:ilvl w:val="0"/>
          <w:numId w:val="23"/>
        </w:numPr>
        <w:spacing w:line="276" w:lineRule="auto"/>
        <w:ind w:left="993" w:hanging="284"/>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Explicar seguimiento y cómo se relacionará en futuro con personas.</w:t>
      </w:r>
    </w:p>
    <w:p w14:paraId="42990F45" w14:textId="77777777" w:rsidR="00487011" w:rsidRPr="00A17329" w:rsidRDefault="00487011" w:rsidP="00487011">
      <w:pPr>
        <w:pStyle w:val="ListParagraph"/>
        <w:numPr>
          <w:ilvl w:val="0"/>
          <w:numId w:val="23"/>
        </w:numPr>
        <w:spacing w:line="276" w:lineRule="auto"/>
        <w:ind w:left="993" w:hanging="284"/>
        <w:contextualSpacing/>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Explicar el mecanismo de atención de quejas y reclamos</w:t>
      </w:r>
    </w:p>
    <w:p w14:paraId="04EBA123"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5E9171BD"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Previa a la consulta se debe realizar un mapeo de actores sociales que incluya la descripción de los criterios de selección aplicados. Este mapeo deberá incluir como base de su análisis la existencia de posibles grupos más vulnerables y sensibles desde la perspectiva de género y sociocultural. Durante la elaboración del informe de consulta se deberá realizar un breve análisis de los asistentes (en comparación con los invitados) a fin de demostrar la representatividad de los participantes.</w:t>
      </w:r>
    </w:p>
    <w:p w14:paraId="0CC53814"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050517A2"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Las reuniones previas de coordinación con representantes de partes interesadas deben buscar asegurar la representatividad de los principales grupos de actores que serán invitados al evento de consulta.</w:t>
      </w:r>
    </w:p>
    <w:p w14:paraId="2F685674"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50C9673F"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lastRenderedPageBreak/>
        <w:t xml:space="preserve">En el informe de consulta se deberá realizar un detalle descriptivo de las intervenciones de los actores sociales participantes </w:t>
      </w:r>
      <w:proofErr w:type="gramStart"/>
      <w:r w:rsidRPr="00A17329">
        <w:rPr>
          <w:rFonts w:ascii="Arial" w:hAnsi="Arial" w:cs="Arial"/>
          <w:color w:val="000000" w:themeColor="text1"/>
          <w:sz w:val="22"/>
          <w:szCs w:val="22"/>
          <w:lang w:val="es-ES_tradnl"/>
        </w:rPr>
        <w:t>en relación al</w:t>
      </w:r>
      <w:proofErr w:type="gramEnd"/>
      <w:r w:rsidRPr="00A17329">
        <w:rPr>
          <w:rFonts w:ascii="Arial" w:hAnsi="Arial" w:cs="Arial"/>
          <w:color w:val="000000" w:themeColor="text1"/>
          <w:sz w:val="22"/>
          <w:szCs w:val="22"/>
          <w:lang w:val="es-ES_tradnl"/>
        </w:rPr>
        <w:t xml:space="preserve"> proyecto, sus impactos socio ambiéntales, sus medidas de manejo ambiental y además se deberá incluir sus aportes concretos en relación al proyecto. Estos aportes serán considerados en la estructura de las evaluaciones ambientales y sociales.</w:t>
      </w:r>
    </w:p>
    <w:p w14:paraId="598AC430"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3B953948"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 xml:space="preserve">Además, se deben indicar los elementos recogidos de las consultas que podrían ser incluidos en la versión final de las evaluaciones ambientales y sociales del proyecto, o de qué manera ya se encuentran atendidos en todo caso en la documentación existente. </w:t>
      </w:r>
    </w:p>
    <w:p w14:paraId="66C362CF"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70B28F5D"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La versión final de las evaluaciones ambientales y sociales será publicada en la página web del desarrollador y del BROU o se pondrá a disposición del público en copias físicas, para garantizar facilidad de acceso. Asimismo, se debe indicar un plazo máximo de respuesta de preguntas que no hayan podido ser atendidas durante el evento de consulta.</w:t>
      </w:r>
    </w:p>
    <w:p w14:paraId="0D32DFC5"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73BF3B24"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El informe deberá contener al menos los siguientes anexos: copia de la presentación realizada; copia ejemplo de la carta de invitación enviada; copia de los acuses de recibo del envío de las cartas de invitación; lista de invitados; lista de participantes; y fotografías de la actividad.</w:t>
      </w:r>
    </w:p>
    <w:p w14:paraId="0A4CC539" w14:textId="77777777" w:rsidR="00487011" w:rsidRPr="00A17329" w:rsidRDefault="00487011" w:rsidP="00487011">
      <w:pPr>
        <w:spacing w:line="276" w:lineRule="auto"/>
        <w:jc w:val="both"/>
        <w:rPr>
          <w:rFonts w:ascii="Arial" w:hAnsi="Arial" w:cs="Arial"/>
          <w:color w:val="000000" w:themeColor="text1"/>
          <w:sz w:val="22"/>
          <w:szCs w:val="22"/>
          <w:lang w:val="es-ES_tradnl"/>
        </w:rPr>
      </w:pPr>
    </w:p>
    <w:p w14:paraId="3E36D9F9" w14:textId="77777777" w:rsidR="00487011" w:rsidRPr="00A17329" w:rsidRDefault="00487011" w:rsidP="00487011">
      <w:pPr>
        <w:spacing w:line="276" w:lineRule="auto"/>
        <w:jc w:val="both"/>
        <w:rPr>
          <w:rFonts w:ascii="Arial" w:hAnsi="Arial" w:cs="Arial"/>
          <w:color w:val="000000" w:themeColor="text1"/>
          <w:sz w:val="22"/>
          <w:szCs w:val="22"/>
          <w:lang w:val="es-ES_tradnl"/>
        </w:rPr>
      </w:pPr>
      <w:r w:rsidRPr="00A17329">
        <w:rPr>
          <w:rFonts w:ascii="Arial" w:hAnsi="Arial" w:cs="Arial"/>
          <w:color w:val="000000" w:themeColor="text1"/>
          <w:sz w:val="22"/>
          <w:szCs w:val="22"/>
          <w:lang w:val="es-ES_tradnl"/>
        </w:rPr>
        <w:t xml:space="preserve">Para mayor información: ver Guía sobre Consulta Significativa con Partes Interesadas, </w:t>
      </w:r>
      <w:hyperlink r:id="rId17" w:history="1">
        <w:r w:rsidRPr="00A17329">
          <w:rPr>
            <w:rStyle w:val="Hyperlink"/>
            <w:rFonts w:ascii="Arial" w:hAnsi="Arial" w:cs="Arial"/>
            <w:sz w:val="22"/>
            <w:szCs w:val="22"/>
            <w:lang w:val="es-ES_tradnl"/>
          </w:rPr>
          <w:t>https://publications.iadb.org/bitstream/handle/11319/8454/Consulta-significativa-con-las-partes-interesadas.PDF?sequence=4&amp;isAllowed=y</w:t>
        </w:r>
      </w:hyperlink>
      <w:r w:rsidRPr="00A17329">
        <w:rPr>
          <w:rFonts w:ascii="Arial" w:hAnsi="Arial" w:cs="Arial"/>
          <w:color w:val="000000" w:themeColor="text1"/>
          <w:sz w:val="22"/>
          <w:szCs w:val="22"/>
          <w:lang w:val="es-ES_tradnl"/>
        </w:rPr>
        <w:t xml:space="preserve"> </w:t>
      </w:r>
    </w:p>
    <w:p w14:paraId="3243E752" w14:textId="77777777" w:rsidR="00FC5AF8" w:rsidRPr="005A6ED4" w:rsidRDefault="00FC5AF8" w:rsidP="00CB5E86">
      <w:pPr>
        <w:jc w:val="center"/>
        <w:rPr>
          <w:rFonts w:ascii="Arial" w:hAnsi="Arial" w:cs="Arial"/>
          <w:b/>
          <w:sz w:val="24"/>
          <w:szCs w:val="24"/>
          <w:lang w:val="es-ES_tradnl"/>
        </w:rPr>
      </w:pPr>
    </w:p>
    <w:sectPr w:rsidR="00FC5AF8" w:rsidRPr="005A6ED4" w:rsidSect="0045703D">
      <w:pgSz w:w="12240" w:h="15840"/>
      <w:pgMar w:top="1418"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D8BF8" w14:textId="77777777" w:rsidR="000B60EB" w:rsidRDefault="000B60EB">
      <w:r>
        <w:separator/>
      </w:r>
    </w:p>
  </w:endnote>
  <w:endnote w:type="continuationSeparator" w:id="0">
    <w:p w14:paraId="114C1DBC" w14:textId="77777777" w:rsidR="000B60EB" w:rsidRDefault="000B60EB">
      <w:r>
        <w:continuationSeparator/>
      </w:r>
    </w:p>
  </w:endnote>
  <w:endnote w:type="continuationNotice" w:id="1">
    <w:p w14:paraId="76B5FE27" w14:textId="77777777" w:rsidR="000B60EB" w:rsidRDefault="000B60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00000001" w:usb1="00000000" w:usb2="01000407"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9F52F" w14:textId="77777777" w:rsidR="006D4003" w:rsidRDefault="006D40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4714022"/>
      <w:docPartObj>
        <w:docPartGallery w:val="Page Numbers (Bottom of Page)"/>
        <w:docPartUnique/>
      </w:docPartObj>
    </w:sdtPr>
    <w:sdtEndPr>
      <w:rPr>
        <w:rFonts w:ascii="Arial" w:hAnsi="Arial" w:cs="Arial"/>
        <w:sz w:val="18"/>
        <w:szCs w:val="18"/>
      </w:rPr>
    </w:sdtEndPr>
    <w:sdtContent>
      <w:p w14:paraId="52FF9F47" w14:textId="44129567" w:rsidR="006D4003" w:rsidRPr="005A6ED4" w:rsidRDefault="006D4003" w:rsidP="005A6ED4">
        <w:pPr>
          <w:pStyle w:val="Footer"/>
          <w:jc w:val="center"/>
          <w:rPr>
            <w:rFonts w:ascii="Arial" w:hAnsi="Arial" w:cs="Arial"/>
            <w:sz w:val="18"/>
            <w:szCs w:val="18"/>
          </w:rPr>
        </w:pPr>
        <w:r>
          <w:t>- </w:t>
        </w:r>
        <w:r w:rsidRPr="005A6ED4">
          <w:rPr>
            <w:rFonts w:ascii="Arial" w:hAnsi="Arial" w:cs="Arial"/>
            <w:sz w:val="18"/>
            <w:szCs w:val="18"/>
          </w:rPr>
          <w:fldChar w:fldCharType="begin"/>
        </w:r>
        <w:r w:rsidRPr="005A6ED4">
          <w:rPr>
            <w:rFonts w:ascii="Arial" w:hAnsi="Arial" w:cs="Arial"/>
            <w:sz w:val="18"/>
            <w:szCs w:val="18"/>
          </w:rPr>
          <w:instrText>PAGE   \* MERGEFORMAT</w:instrText>
        </w:r>
        <w:r w:rsidRPr="005A6ED4">
          <w:rPr>
            <w:rFonts w:ascii="Arial" w:hAnsi="Arial" w:cs="Arial"/>
            <w:sz w:val="18"/>
            <w:szCs w:val="18"/>
          </w:rPr>
          <w:fldChar w:fldCharType="separate"/>
        </w:r>
        <w:r w:rsidRPr="00B751FD">
          <w:rPr>
            <w:rFonts w:ascii="Arial" w:hAnsi="Arial" w:cs="Arial"/>
            <w:noProof/>
            <w:sz w:val="18"/>
            <w:szCs w:val="18"/>
            <w:lang w:val="es-ES"/>
          </w:rPr>
          <w:t>18</w:t>
        </w:r>
        <w:r w:rsidRPr="005A6ED4">
          <w:rPr>
            <w:rFonts w:ascii="Arial" w:hAnsi="Arial" w:cs="Arial"/>
            <w:sz w:val="18"/>
            <w:szCs w:val="18"/>
          </w:rPr>
          <w:fldChar w:fldCharType="end"/>
        </w:r>
        <w:r>
          <w:rPr>
            <w:rFonts w:ascii="Arial" w:hAnsi="Arial" w:cs="Arial"/>
            <w:sz w:val="18"/>
            <w:szCs w:val="18"/>
          </w:rPr>
          <w:t> -</w:t>
        </w:r>
      </w:p>
    </w:sdtContent>
  </w:sdt>
  <w:p w14:paraId="24DF1254" w14:textId="77777777" w:rsidR="006D4003" w:rsidRDefault="006D40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06651" w14:textId="77777777" w:rsidR="006D4003" w:rsidRDefault="006D40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4BDB5" w14:textId="77777777" w:rsidR="000B60EB" w:rsidRDefault="000B60EB">
      <w:r>
        <w:separator/>
      </w:r>
    </w:p>
  </w:footnote>
  <w:footnote w:type="continuationSeparator" w:id="0">
    <w:p w14:paraId="38A217CA" w14:textId="77777777" w:rsidR="000B60EB" w:rsidRDefault="000B60EB">
      <w:r>
        <w:continuationSeparator/>
      </w:r>
    </w:p>
  </w:footnote>
  <w:footnote w:type="continuationNotice" w:id="1">
    <w:p w14:paraId="2B00553C" w14:textId="77777777" w:rsidR="000B60EB" w:rsidRDefault="000B60EB"/>
  </w:footnote>
  <w:footnote w:id="2">
    <w:p w14:paraId="1C7937AE" w14:textId="3CDFF12E" w:rsidR="006D4003" w:rsidRPr="00161AFF" w:rsidRDefault="006D4003" w:rsidP="006D4003">
      <w:pPr>
        <w:pStyle w:val="FootnoteText"/>
        <w:spacing w:after="0"/>
        <w:rPr>
          <w:rFonts w:ascii="Arial" w:hAnsi="Arial" w:cs="Arial"/>
          <w:sz w:val="18"/>
          <w:szCs w:val="18"/>
        </w:rPr>
      </w:pPr>
      <w:r w:rsidRPr="00161AFF">
        <w:rPr>
          <w:rStyle w:val="FootnoteReference"/>
          <w:rFonts w:ascii="Arial" w:hAnsi="Arial" w:cs="Arial"/>
          <w:sz w:val="18"/>
          <w:szCs w:val="18"/>
        </w:rPr>
        <w:footnoteRef/>
      </w:r>
      <w:r w:rsidRPr="00161AFF">
        <w:rPr>
          <w:rFonts w:ascii="Arial" w:hAnsi="Arial" w:cs="Arial"/>
          <w:sz w:val="18"/>
          <w:szCs w:val="18"/>
        </w:rPr>
        <w:t xml:space="preserve"> </w:t>
      </w:r>
      <w:r w:rsidRPr="00161AFF">
        <w:rPr>
          <w:rFonts w:ascii="Arial" w:hAnsi="Arial" w:cs="Arial"/>
          <w:sz w:val="18"/>
          <w:szCs w:val="18"/>
        </w:rPr>
        <w:tab/>
        <w:t>Incluyendo inversiones en: (i) planes de mejoramiento, orientados a mejorar los indicadores de competitividad y/o productividad; (</w:t>
      </w:r>
      <w:proofErr w:type="spellStart"/>
      <w:r w:rsidRPr="00161AFF">
        <w:rPr>
          <w:rFonts w:ascii="Arial" w:hAnsi="Arial" w:cs="Arial"/>
          <w:sz w:val="18"/>
          <w:szCs w:val="18"/>
        </w:rPr>
        <w:t>ii</w:t>
      </w:r>
      <w:proofErr w:type="spellEnd"/>
      <w:r w:rsidRPr="00161AFF">
        <w:rPr>
          <w:rFonts w:ascii="Arial" w:hAnsi="Arial" w:cs="Arial"/>
          <w:sz w:val="18"/>
          <w:szCs w:val="18"/>
        </w:rPr>
        <w:t>) proyectos de innovación y desarrollo tecnológico; (</w:t>
      </w:r>
      <w:proofErr w:type="spellStart"/>
      <w:r w:rsidRPr="00161AFF">
        <w:rPr>
          <w:rFonts w:ascii="Arial" w:hAnsi="Arial" w:cs="Arial"/>
          <w:sz w:val="18"/>
          <w:szCs w:val="18"/>
        </w:rPr>
        <w:t>iii</w:t>
      </w:r>
      <w:proofErr w:type="spellEnd"/>
      <w:r w:rsidRPr="00161AFF">
        <w:rPr>
          <w:rFonts w:ascii="Arial" w:hAnsi="Arial" w:cs="Arial"/>
          <w:sz w:val="18"/>
          <w:szCs w:val="18"/>
        </w:rPr>
        <w:t>) planes de expansión comercial; (</w:t>
      </w:r>
      <w:proofErr w:type="spellStart"/>
      <w:r w:rsidRPr="00161AFF">
        <w:rPr>
          <w:rFonts w:ascii="Arial" w:hAnsi="Arial" w:cs="Arial"/>
          <w:sz w:val="18"/>
          <w:szCs w:val="18"/>
        </w:rPr>
        <w:t>iv</w:t>
      </w:r>
      <w:proofErr w:type="spellEnd"/>
      <w:r w:rsidRPr="00161AFF">
        <w:rPr>
          <w:rFonts w:ascii="Arial" w:hAnsi="Arial" w:cs="Arial"/>
          <w:sz w:val="18"/>
          <w:szCs w:val="18"/>
        </w:rPr>
        <w:t>)</w:t>
      </w:r>
      <w:r w:rsidR="00B87CCD">
        <w:rPr>
          <w:rFonts w:ascii="Arial" w:hAnsi="Arial" w:cs="Arial"/>
          <w:sz w:val="18"/>
          <w:szCs w:val="18"/>
        </w:rPr>
        <w:t> </w:t>
      </w:r>
      <w:r w:rsidRPr="00161AFF">
        <w:rPr>
          <w:rFonts w:ascii="Arial" w:hAnsi="Arial" w:cs="Arial"/>
          <w:sz w:val="18"/>
          <w:szCs w:val="18"/>
        </w:rPr>
        <w:t xml:space="preserve">programas para el control y mejoramiento de impactos ambientales y sociales; (v) financiamiento a orientado a mejorar comercialización de productos; y (vi) la inversión en activos fijos vinculados a procesos de producción, comercialización y prestación de servicios de empresas beneficiarias, tales como: tierra, bienes muebles e inmuebles, adecuación, maquinaria, equipos, </w:t>
      </w:r>
      <w:r w:rsidRPr="00A25AD7">
        <w:rPr>
          <w:rFonts w:ascii="Arial" w:hAnsi="Arial" w:cs="Arial"/>
          <w:i/>
          <w:sz w:val="18"/>
          <w:szCs w:val="18"/>
        </w:rPr>
        <w:t>software</w:t>
      </w:r>
      <w:r w:rsidRPr="00161AFF">
        <w:rPr>
          <w:rFonts w:ascii="Arial" w:hAnsi="Arial" w:cs="Arial"/>
          <w:sz w:val="18"/>
          <w:szCs w:val="18"/>
        </w:rPr>
        <w:t>, vehículos, certificaciones de calidad, licencias, patentes, registros sanitarios, y demás inversiones orientadas al incremento de la productividad.</w:t>
      </w:r>
    </w:p>
  </w:footnote>
  <w:footnote w:id="3">
    <w:p w14:paraId="381B714A" w14:textId="738E8B6B" w:rsidR="006D4003" w:rsidRPr="004F5C4C" w:rsidRDefault="006D4003">
      <w:pPr>
        <w:pStyle w:val="FootnoteText"/>
        <w:rPr>
          <w:rFonts w:ascii="Arial" w:hAnsi="Arial" w:cs="Arial"/>
          <w:sz w:val="18"/>
          <w:szCs w:val="18"/>
        </w:rPr>
      </w:pPr>
      <w:r w:rsidRPr="00B87CCD">
        <w:rPr>
          <w:rStyle w:val="FootnoteReference"/>
          <w:rFonts w:ascii="Arial" w:hAnsi="Arial" w:cs="Arial"/>
        </w:rPr>
        <w:footnoteRef/>
      </w:r>
      <w:r w:rsidRPr="00B87CCD">
        <w:rPr>
          <w:rFonts w:ascii="Arial" w:hAnsi="Arial" w:cs="Arial"/>
        </w:rPr>
        <w:t xml:space="preserve"> </w:t>
      </w:r>
      <w:r w:rsidR="00B87CCD">
        <w:tab/>
      </w:r>
      <w:r w:rsidRPr="004F5C4C">
        <w:rPr>
          <w:rFonts w:ascii="Arial" w:hAnsi="Arial" w:cs="Arial"/>
          <w:sz w:val="18"/>
          <w:szCs w:val="18"/>
        </w:rPr>
        <w:t>Se podrán financiar obras para la construcción, adecuación, ampliación, mantenimiento de infraestructura de transporte y logística.</w:t>
      </w:r>
    </w:p>
  </w:footnote>
  <w:footnote w:id="4">
    <w:p w14:paraId="10479AED" w14:textId="18AC2E64" w:rsidR="006D4003" w:rsidRPr="001E66D5" w:rsidRDefault="006D4003" w:rsidP="001E66D5">
      <w:pPr>
        <w:pStyle w:val="FootnoteText"/>
        <w:tabs>
          <w:tab w:val="left" w:pos="270"/>
        </w:tabs>
        <w:spacing w:after="0"/>
        <w:rPr>
          <w:rFonts w:ascii="Arial" w:hAnsi="Arial" w:cs="Arial"/>
          <w:sz w:val="18"/>
          <w:szCs w:val="18"/>
        </w:rPr>
      </w:pPr>
      <w:r w:rsidRPr="001E66D5">
        <w:rPr>
          <w:rStyle w:val="FootnoteReference"/>
          <w:rFonts w:ascii="Arial" w:hAnsi="Arial" w:cs="Arial"/>
          <w:sz w:val="18"/>
          <w:szCs w:val="18"/>
        </w:rPr>
        <w:footnoteRef/>
      </w:r>
      <w:r w:rsidRPr="001E66D5">
        <w:rPr>
          <w:rFonts w:ascii="Arial" w:hAnsi="Arial" w:cs="Arial"/>
          <w:sz w:val="18"/>
          <w:szCs w:val="18"/>
        </w:rPr>
        <w:t xml:space="preserve"> </w:t>
      </w:r>
      <w:r>
        <w:rPr>
          <w:rFonts w:ascii="Arial" w:hAnsi="Arial" w:cs="Arial"/>
          <w:sz w:val="18"/>
          <w:szCs w:val="18"/>
        </w:rPr>
        <w:tab/>
      </w:r>
      <w:r w:rsidRPr="001E66D5">
        <w:rPr>
          <w:rFonts w:ascii="Arial" w:hAnsi="Arial" w:cs="Arial"/>
          <w:sz w:val="18"/>
          <w:szCs w:val="18"/>
        </w:rPr>
        <w:t>La NDC de Uruguay cuenta con una meta incondicional de mantener el 100% de la superficie de plantaciones forestales con destino sombra y abrigo del año 2012 (77.790 ha) y una meta condicionada de aumentar en un 25% la superficie de plantaciones forestales con destino sombra y abrigo del año 2012, incluyendo sistemas silvopastoriles, (97.338 ha).</w:t>
      </w:r>
    </w:p>
  </w:footnote>
  <w:footnote w:id="5">
    <w:p w14:paraId="7B424F6A" w14:textId="3075AEFD" w:rsidR="006D4003" w:rsidRDefault="006D4003" w:rsidP="001E66D5">
      <w:pPr>
        <w:pStyle w:val="FootnoteText"/>
        <w:tabs>
          <w:tab w:val="left" w:pos="270"/>
        </w:tabs>
        <w:spacing w:after="0"/>
      </w:pPr>
      <w:r w:rsidRPr="001E66D5">
        <w:rPr>
          <w:rStyle w:val="FootnoteReference"/>
          <w:rFonts w:ascii="Arial" w:hAnsi="Arial" w:cs="Arial"/>
          <w:sz w:val="18"/>
          <w:szCs w:val="18"/>
        </w:rPr>
        <w:footnoteRef/>
      </w:r>
      <w:r w:rsidRPr="001E66D5">
        <w:rPr>
          <w:rFonts w:ascii="Arial" w:hAnsi="Arial" w:cs="Arial"/>
          <w:sz w:val="18"/>
          <w:szCs w:val="18"/>
        </w:rPr>
        <w:t xml:space="preserve"> </w:t>
      </w:r>
      <w:r>
        <w:rPr>
          <w:rFonts w:ascii="Arial" w:hAnsi="Arial" w:cs="Arial"/>
          <w:sz w:val="18"/>
          <w:szCs w:val="18"/>
        </w:rPr>
        <w:tab/>
      </w:r>
      <w:r w:rsidRPr="001E66D5">
        <w:rPr>
          <w:rFonts w:ascii="Arial" w:hAnsi="Arial" w:cs="Arial"/>
          <w:sz w:val="18"/>
          <w:szCs w:val="18"/>
        </w:rPr>
        <w:t xml:space="preserve">Ver “Estudio sobre la financiación de concesiones y </w:t>
      </w:r>
      <w:r>
        <w:rPr>
          <w:rFonts w:ascii="Arial" w:hAnsi="Arial" w:cs="Arial"/>
          <w:sz w:val="18"/>
          <w:szCs w:val="18"/>
        </w:rPr>
        <w:t>las PPP</w:t>
      </w:r>
      <w:r w:rsidRPr="001E66D5">
        <w:rPr>
          <w:rFonts w:ascii="Arial" w:hAnsi="Arial" w:cs="Arial"/>
          <w:sz w:val="18"/>
          <w:szCs w:val="18"/>
        </w:rPr>
        <w:t xml:space="preserve"> en Uruguay”.</w:t>
      </w:r>
    </w:p>
  </w:footnote>
  <w:footnote w:id="6">
    <w:p w14:paraId="50F1905E" w14:textId="788C5FCA" w:rsidR="006D4003" w:rsidRPr="00B05F08" w:rsidRDefault="006D4003" w:rsidP="00F546F7">
      <w:pPr>
        <w:pStyle w:val="FootnoteText"/>
        <w:rPr>
          <w:rFonts w:ascii="Arial" w:hAnsi="Arial" w:cs="Arial"/>
          <w:spacing w:val="0"/>
          <w:sz w:val="16"/>
          <w:szCs w:val="16"/>
          <w:lang w:val="es-ES"/>
        </w:rPr>
      </w:pPr>
      <w:r w:rsidRPr="00B05F08">
        <w:rPr>
          <w:rFonts w:ascii="Arial" w:hAnsi="Arial" w:cs="Arial"/>
          <w:spacing w:val="0"/>
          <w:sz w:val="16"/>
          <w:szCs w:val="16"/>
          <w:lang w:val="es-ES"/>
        </w:rPr>
        <w:footnoteRef/>
      </w:r>
      <w:r>
        <w:rPr>
          <w:rFonts w:ascii="Arial" w:hAnsi="Arial" w:cs="Arial"/>
          <w:spacing w:val="0"/>
          <w:sz w:val="16"/>
          <w:szCs w:val="16"/>
          <w:lang w:val="es-ES"/>
        </w:rPr>
        <w:t xml:space="preserve"> </w:t>
      </w:r>
      <w:r w:rsidR="002D557F">
        <w:rPr>
          <w:rFonts w:ascii="Arial" w:hAnsi="Arial" w:cs="Arial"/>
          <w:spacing w:val="0"/>
          <w:sz w:val="16"/>
          <w:szCs w:val="16"/>
          <w:lang w:val="es-ES"/>
        </w:rPr>
        <w:tab/>
      </w:r>
      <w:r w:rsidRPr="00B05F08">
        <w:rPr>
          <w:rFonts w:ascii="Arial" w:hAnsi="Arial" w:cs="Arial"/>
          <w:spacing w:val="0"/>
          <w:sz w:val="16"/>
          <w:szCs w:val="16"/>
          <w:lang w:val="es-ES"/>
        </w:rPr>
        <w:t>La comparación de precios es un método de contratación que se basa en la obtención de cotizaciones de precios de diversos proveedores (en el caso de bienes) o de varios contratistas (en el caso de obra pública), con un mínimo de tres, con el objeto de obtener precios competitivos. Es un método apropiado para adquirir bienes en existencia, fáciles de obtener, o productos a granel con especificaciones estándar y pequeño valor o trabajos sencillos de obra civil y pequeño valor. La solicitud de cotización de precios debe incluir una descripción y la cantidad de los bienes o las especificaciones de la obra, así como el plazo (o fecha de terminación) y lugar de entrega requerido. Las cotizaciones pueden presentarse por carta, fax o medios electrónicos. Para la evaluación de las cotizaciones el comprador debe seguir los mismos principios que aplican para las licitaciones públicas. Los términos de la oferta aceptada deben incorporarse en una orden de compra o en un contrato simplificado.</w:t>
      </w:r>
    </w:p>
  </w:footnote>
  <w:footnote w:id="7">
    <w:p w14:paraId="35AFF230" w14:textId="77777777" w:rsidR="006D4003" w:rsidRPr="006F6099" w:rsidRDefault="006D4003" w:rsidP="00487011">
      <w:pPr>
        <w:pStyle w:val="FootnoteText"/>
        <w:spacing w:after="0"/>
        <w:ind w:left="180" w:hanging="180"/>
        <w:rPr>
          <w:lang w:val="es-ES_tradnl"/>
        </w:rPr>
      </w:pPr>
      <w:r>
        <w:rPr>
          <w:rStyle w:val="FootnoteReference"/>
        </w:rPr>
        <w:footnoteRef/>
      </w:r>
      <w:r w:rsidRPr="00D3240E">
        <w:rPr>
          <w:lang w:val="es-ES_tradnl"/>
        </w:rPr>
        <w:t xml:space="preserve"> </w:t>
      </w:r>
      <w:r>
        <w:rPr>
          <w:lang w:val="es-ES_tradnl"/>
        </w:rPr>
        <w:tab/>
      </w:r>
      <w:r w:rsidRPr="006F6099">
        <w:rPr>
          <w:lang w:val="es-ES_tradnl"/>
        </w:rPr>
        <w:t xml:space="preserve">El Banco de la República Oriental del Uruguay, </w:t>
      </w:r>
      <w:r>
        <w:rPr>
          <w:lang w:val="es-ES_tradnl"/>
        </w:rPr>
        <w:t xml:space="preserve">es una institución pública </w:t>
      </w:r>
      <w:r w:rsidRPr="006F6099">
        <w:rPr>
          <w:lang w:val="es-ES_tradnl"/>
        </w:rPr>
        <w:t>fundad</w:t>
      </w:r>
      <w:r>
        <w:rPr>
          <w:lang w:val="es-ES_tradnl"/>
        </w:rPr>
        <w:t>a</w:t>
      </w:r>
      <w:r w:rsidRPr="006F6099">
        <w:rPr>
          <w:lang w:val="es-ES_tradnl"/>
        </w:rPr>
        <w:t xml:space="preserve"> en 1896, es el banco más importante en </w:t>
      </w:r>
      <w:r w:rsidRPr="006F6099">
        <w:rPr>
          <w:b/>
          <w:bCs/>
          <w:lang w:val="es-ES_tradnl"/>
        </w:rPr>
        <w:t>Uruguay</w:t>
      </w:r>
      <w:r>
        <w:rPr>
          <w:lang w:val="es-ES_tradnl"/>
        </w:rPr>
        <w:t xml:space="preserve">. </w:t>
      </w:r>
      <w:r w:rsidRPr="006F6099">
        <w:rPr>
          <w:lang w:val="es-ES_tradnl"/>
        </w:rPr>
        <w:t>Desde su creación</w:t>
      </w:r>
      <w:r>
        <w:rPr>
          <w:lang w:val="es-ES_tradnl"/>
        </w:rPr>
        <w:t xml:space="preserve"> </w:t>
      </w:r>
      <w:r w:rsidRPr="006F6099">
        <w:rPr>
          <w:lang w:val="es-ES_tradnl"/>
        </w:rPr>
        <w:t xml:space="preserve">ha jugado un rol </w:t>
      </w:r>
      <w:r>
        <w:rPr>
          <w:lang w:val="es-ES_tradnl"/>
        </w:rPr>
        <w:t>importante</w:t>
      </w:r>
      <w:r w:rsidRPr="006F6099">
        <w:rPr>
          <w:lang w:val="es-ES_tradnl"/>
        </w:rPr>
        <w:t xml:space="preserve"> en el desarrollo económico del País, avalad</w:t>
      </w:r>
      <w:r>
        <w:rPr>
          <w:lang w:val="es-ES_tradnl"/>
        </w:rPr>
        <w:t>o</w:t>
      </w:r>
      <w:r w:rsidRPr="006F6099">
        <w:rPr>
          <w:lang w:val="es-ES_tradnl"/>
        </w:rPr>
        <w:t xml:space="preserve"> por el Estado Uruguayo.</w:t>
      </w:r>
    </w:p>
  </w:footnote>
  <w:footnote w:id="8">
    <w:p w14:paraId="39EAFBDF" w14:textId="77777777" w:rsidR="006D4003" w:rsidRPr="00A17329" w:rsidRDefault="006D4003" w:rsidP="00487011">
      <w:pPr>
        <w:pStyle w:val="FootnoteText"/>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El BROU cuenta actualmente con un proceso avanzado que sigue los requerimientos de los PE para operaciones mayores a US$10 millones y para operaciones menores a US$ 10 millones se espera aplicar un formulario ambiental que se encuentra en piloto.</w:t>
      </w:r>
    </w:p>
  </w:footnote>
  <w:footnote w:id="9">
    <w:p w14:paraId="06CD6B17" w14:textId="77777777" w:rsidR="006D4003" w:rsidRPr="00A17329" w:rsidRDefault="006D4003" w:rsidP="00487011">
      <w:pPr>
        <w:pStyle w:val="FootnoteText"/>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En el caso de los proyectos de infraestructura vial, los caminos de acceso son facilidades asociadas, por ejemplo.</w:t>
      </w:r>
    </w:p>
  </w:footnote>
  <w:footnote w:id="10">
    <w:p w14:paraId="1191F300" w14:textId="77777777" w:rsidR="006D4003" w:rsidRPr="00A17329" w:rsidRDefault="006D4003" w:rsidP="00487011">
      <w:pPr>
        <w:pStyle w:val="FootnoteText"/>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hyperlink r:id="rId1" w:history="1">
        <w:r w:rsidRPr="00A17329">
          <w:rPr>
            <w:rStyle w:val="Hyperlink"/>
            <w:rFonts w:ascii="Arial" w:hAnsi="Arial" w:cs="Arial"/>
            <w:sz w:val="18"/>
            <w:szCs w:val="18"/>
            <w:lang w:val="es-ES_tradnl"/>
          </w:rPr>
          <w:t>https://publications.iadb.org/bitstream/handle/11319/7094/Buenas-practicas-para-la-evaluacion-y-planificacion-del-manejo-de-impactos-sobre-la-biodiversidad.pdf?sequence=4</w:t>
        </w:r>
      </w:hyperlink>
      <w:r w:rsidRPr="00A17329">
        <w:rPr>
          <w:rFonts w:ascii="Arial" w:hAnsi="Arial" w:cs="Arial"/>
          <w:sz w:val="18"/>
          <w:szCs w:val="18"/>
          <w:lang w:val="es-ES_tradnl"/>
        </w:rPr>
        <w:t xml:space="preserve"> </w:t>
      </w:r>
    </w:p>
  </w:footnote>
  <w:footnote w:id="11">
    <w:p w14:paraId="27240FD5" w14:textId="77777777" w:rsidR="006D4003" w:rsidRPr="00A17329" w:rsidRDefault="006D4003" w:rsidP="00A17329">
      <w:pPr>
        <w:pStyle w:val="FootnoteText"/>
        <w:spacing w:after="0"/>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No se aplica a patrocinadores (</w:t>
      </w:r>
      <w:r w:rsidRPr="00A17329">
        <w:rPr>
          <w:rFonts w:ascii="Arial" w:hAnsi="Arial" w:cs="Arial"/>
          <w:i/>
          <w:sz w:val="18"/>
          <w:szCs w:val="18"/>
          <w:lang w:val="es-ES_tradnl"/>
        </w:rPr>
        <w:t>sponsors</w:t>
      </w:r>
      <w:r w:rsidRPr="00A17329">
        <w:rPr>
          <w:rFonts w:ascii="Arial" w:hAnsi="Arial" w:cs="Arial"/>
          <w:sz w:val="18"/>
          <w:szCs w:val="18"/>
          <w:lang w:val="es-ES_tradnl"/>
        </w:rPr>
        <w:t>) que no están sustancialmente involucrados en estas actividades.  “No sustancialmente involucrado” significa que la actividad es ancilar a las actividades principales del patrocinador de operaciones.</w:t>
      </w:r>
    </w:p>
  </w:footnote>
  <w:footnote w:id="12">
    <w:p w14:paraId="2D802723" w14:textId="77777777" w:rsidR="006D4003" w:rsidRPr="00A17329" w:rsidRDefault="006D4003" w:rsidP="00A17329">
      <w:pPr>
        <w:pStyle w:val="FootnoteText"/>
        <w:spacing w:after="0"/>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No se aplica a patrocinadores (</w:t>
      </w:r>
      <w:r w:rsidRPr="00A17329">
        <w:rPr>
          <w:rFonts w:ascii="Arial" w:hAnsi="Arial" w:cs="Arial"/>
          <w:i/>
          <w:sz w:val="18"/>
          <w:szCs w:val="18"/>
          <w:lang w:val="es-ES_tradnl"/>
        </w:rPr>
        <w:t>sponsors</w:t>
      </w:r>
      <w:r w:rsidRPr="00A17329">
        <w:rPr>
          <w:rFonts w:ascii="Arial" w:hAnsi="Arial" w:cs="Arial"/>
          <w:b/>
          <w:sz w:val="18"/>
          <w:szCs w:val="18"/>
          <w:lang w:val="es-ES_tradnl"/>
        </w:rPr>
        <w:t>)</w:t>
      </w:r>
      <w:r w:rsidRPr="00A17329">
        <w:rPr>
          <w:rFonts w:ascii="Arial" w:hAnsi="Arial" w:cs="Arial"/>
          <w:sz w:val="18"/>
          <w:szCs w:val="18"/>
          <w:lang w:val="es-ES_tradnl"/>
        </w:rPr>
        <w:t xml:space="preserve"> que no están sustancialmente involucrados en estas actividades.  “No sustancialmente involucrado” significa que la actividad es ancilar a las actividades principales del patrocinador de operaciones.</w:t>
      </w:r>
    </w:p>
  </w:footnote>
  <w:footnote w:id="13">
    <w:p w14:paraId="286A2B81" w14:textId="77777777" w:rsidR="006D4003" w:rsidRPr="00A17329" w:rsidRDefault="006D4003" w:rsidP="00A17329">
      <w:pPr>
        <w:pStyle w:val="FootnoteText"/>
        <w:spacing w:after="0"/>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Véase http://www.cites.org</w:t>
      </w:r>
    </w:p>
  </w:footnote>
  <w:footnote w:id="14">
    <w:p w14:paraId="0C13B9C6" w14:textId="77777777" w:rsidR="006D4003" w:rsidRPr="00A17329" w:rsidRDefault="006D4003" w:rsidP="00A17329">
      <w:pPr>
        <w:pStyle w:val="FootnoteText"/>
        <w:spacing w:after="0"/>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ab/>
        <w:t>No se aplica a la compra de equipo médico, equipos de control de calidad (medición) ni otros equipos en los que pueda demostrarse que la fuente radiactiva es insignificante y/o se encuentra debidamente revestida.</w:t>
      </w:r>
    </w:p>
  </w:footnote>
  <w:footnote w:id="15">
    <w:p w14:paraId="6BCAA676" w14:textId="77777777" w:rsidR="006D4003" w:rsidRPr="00DC0280" w:rsidRDefault="006D4003" w:rsidP="00A17329">
      <w:pPr>
        <w:pStyle w:val="FootnoteText"/>
        <w:spacing w:after="0"/>
        <w:rPr>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ab/>
        <w:t>No se aplica a la compra y uso de laminas de fibrocemento de amianto aglutinado en el cual el contenido de amianto sea &lt;20%.</w:t>
      </w:r>
    </w:p>
  </w:footnote>
  <w:footnote w:id="16">
    <w:p w14:paraId="5860EC49" w14:textId="77777777" w:rsidR="006D4003" w:rsidRPr="00A17329" w:rsidRDefault="006D4003" w:rsidP="00A17329">
      <w:pPr>
        <w:pStyle w:val="FootnoteText"/>
        <w:spacing w:after="0"/>
        <w:ind w:left="446" w:hanging="446"/>
        <w:rPr>
          <w:rFonts w:ascii="Arial" w:hAnsi="Arial" w:cs="Arial"/>
          <w:sz w:val="18"/>
          <w:szCs w:val="18"/>
        </w:rPr>
      </w:pPr>
      <w:r w:rsidRPr="00A17329">
        <w:rPr>
          <w:rStyle w:val="FootnoteReference"/>
          <w:rFonts w:ascii="Arial" w:hAnsi="Arial" w:cs="Arial"/>
          <w:sz w:val="18"/>
          <w:szCs w:val="18"/>
        </w:rPr>
        <w:footnoteRef/>
      </w:r>
      <w:r w:rsidRPr="00A17329">
        <w:rPr>
          <w:rFonts w:ascii="Arial" w:hAnsi="Arial" w:cs="Arial"/>
          <w:sz w:val="18"/>
          <w:szCs w:val="18"/>
          <w:lang w:val="en-US"/>
        </w:rPr>
        <w:tab/>
        <w:t xml:space="preserve">Productos farmacéuticos sujetos </w:t>
      </w:r>
      <w:proofErr w:type="gramStart"/>
      <w:r w:rsidRPr="00A17329">
        <w:rPr>
          <w:rFonts w:ascii="Arial" w:hAnsi="Arial" w:cs="Arial"/>
          <w:sz w:val="18"/>
          <w:szCs w:val="18"/>
          <w:lang w:val="en-US"/>
        </w:rPr>
        <w:t>a</w:t>
      </w:r>
      <w:proofErr w:type="gramEnd"/>
      <w:r w:rsidRPr="00A17329">
        <w:rPr>
          <w:rFonts w:ascii="Arial" w:hAnsi="Arial" w:cs="Arial"/>
          <w:sz w:val="18"/>
          <w:szCs w:val="18"/>
          <w:lang w:val="en-US"/>
        </w:rPr>
        <w:t xml:space="preserve"> eliminación gradual o prohibición en Naciones Unidas, </w:t>
      </w:r>
      <w:r w:rsidRPr="00A17329">
        <w:rPr>
          <w:rFonts w:ascii="Arial" w:hAnsi="Arial" w:cs="Arial"/>
          <w:i/>
          <w:sz w:val="18"/>
          <w:szCs w:val="18"/>
          <w:lang w:val="en-US"/>
        </w:rPr>
        <w:t>Banned Products: Consolidated List of Products Whose Consumption and/or Sale Have Been Banned, Withdrawn, Severely Restricted or not Approved by Governments</w:t>
      </w:r>
      <w:r w:rsidRPr="00A17329">
        <w:rPr>
          <w:rFonts w:ascii="Arial" w:hAnsi="Arial" w:cs="Arial"/>
          <w:sz w:val="18"/>
          <w:szCs w:val="18"/>
          <w:lang w:val="en-US"/>
        </w:rPr>
        <w:t xml:space="preserve"> (última versión 2008</w:t>
      </w:r>
      <w:r w:rsidRPr="00A17329">
        <w:rPr>
          <w:rFonts w:ascii="Arial" w:hAnsi="Arial" w:cs="Arial"/>
          <w:b/>
          <w:sz w:val="18"/>
          <w:szCs w:val="18"/>
          <w:lang w:val="en-US"/>
        </w:rPr>
        <w:t xml:space="preserve">). </w:t>
      </w:r>
      <w:hyperlink r:id="rId2" w:tooltip="http://www.who.int/medicines/areas/quality_safety/safety_efficacy/who_emp_qsm2008.3.pdf" w:history="1">
        <w:r w:rsidRPr="00A17329">
          <w:rPr>
            <w:rStyle w:val="Hyperlink"/>
            <w:rFonts w:ascii="Arial" w:hAnsi="Arial" w:cs="Arial"/>
            <w:sz w:val="18"/>
            <w:szCs w:val="18"/>
          </w:rPr>
          <w:t>http://www.who.int/medicines/areas/quality_safety/safety_efficacy/who_emp_qsm2008.3.pdf</w:t>
        </w:r>
      </w:hyperlink>
      <w:r w:rsidRPr="00A17329">
        <w:rPr>
          <w:rFonts w:ascii="Arial" w:hAnsi="Arial" w:cs="Arial"/>
          <w:sz w:val="18"/>
          <w:szCs w:val="18"/>
        </w:rPr>
        <w:t>.</w:t>
      </w:r>
    </w:p>
  </w:footnote>
  <w:footnote w:id="17">
    <w:p w14:paraId="19558A42" w14:textId="77777777" w:rsidR="006D4003" w:rsidRPr="00A17329" w:rsidRDefault="006D4003" w:rsidP="00A17329">
      <w:pPr>
        <w:pStyle w:val="FootnoteText"/>
        <w:spacing w:after="0"/>
        <w:ind w:left="446" w:hanging="446"/>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ab/>
        <w:t>Pesticidas y herbicidas sujetos a eliminación gradual o prohibición incluidos en los Convenios de Rotterdam (http://www.pic.int) y de Estocolmo (http://www.pops.int).</w:t>
      </w:r>
    </w:p>
  </w:footnote>
  <w:footnote w:id="18">
    <w:p w14:paraId="01A5C25F" w14:textId="77777777" w:rsidR="006D4003" w:rsidRPr="00A17329" w:rsidRDefault="006D4003" w:rsidP="00A17329">
      <w:pPr>
        <w:pStyle w:val="FootnoteText"/>
        <w:spacing w:after="0"/>
        <w:ind w:left="446" w:hanging="446"/>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Las sustancias que agotan la capa de ozono son compuestos químicos que reaccionan con el ozono 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agentes sopladores para espumas, solventes y agentes extintores de fuego. (http://ozone.unep.org/Publications/6ii_publications%20handbooks.shtml).</w:t>
      </w:r>
    </w:p>
    <w:p w14:paraId="4F1E796C" w14:textId="77777777" w:rsidR="006D4003" w:rsidRPr="00A17329" w:rsidRDefault="006D4003" w:rsidP="00A17329">
      <w:pPr>
        <w:pStyle w:val="FootnoteText"/>
        <w:spacing w:after="0"/>
        <w:ind w:left="446" w:hanging="446"/>
        <w:rPr>
          <w:rFonts w:ascii="Arial" w:hAnsi="Arial" w:cs="Arial"/>
          <w:sz w:val="18"/>
          <w:szCs w:val="18"/>
          <w:lang w:val="es-ES_tradnl"/>
        </w:rPr>
      </w:pPr>
      <w:r w:rsidRPr="00A17329">
        <w:rPr>
          <w:rFonts w:ascii="Arial" w:hAnsi="Arial" w:cs="Arial"/>
          <w:sz w:val="18"/>
          <w:szCs w:val="18"/>
          <w:lang w:val="es-ES_tradnl"/>
        </w:rPr>
        <w:t xml:space="preserve"> </w:t>
      </w:r>
      <w:r w:rsidRPr="00A17329">
        <w:rPr>
          <w:rFonts w:ascii="Arial" w:hAnsi="Arial" w:cs="Arial"/>
          <w:sz w:val="18"/>
          <w:szCs w:val="18"/>
          <w:lang w:val="es-ES_tradnl"/>
        </w:rPr>
        <w:tab/>
        <w:t>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 http://www.ilo.org).</w:t>
      </w:r>
    </w:p>
  </w:footnote>
  <w:footnote w:id="19">
    <w:p w14:paraId="5F2505F1" w14:textId="77777777" w:rsidR="006D4003" w:rsidRPr="00A17329" w:rsidRDefault="006D4003" w:rsidP="00A17329">
      <w:pPr>
        <w:pStyle w:val="FootnoteText"/>
        <w:spacing w:after="0"/>
        <w:ind w:left="446" w:hanging="446"/>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Definidos por el Convenio de Basilea (http://www.basel.int).</w:t>
      </w:r>
    </w:p>
  </w:footnote>
  <w:footnote w:id="20">
    <w:p w14:paraId="2A61CE76" w14:textId="77777777" w:rsidR="006D4003" w:rsidRPr="00A17329" w:rsidRDefault="006D4003" w:rsidP="00A17329">
      <w:pPr>
        <w:pStyle w:val="FootnoteText"/>
        <w:spacing w:after="0"/>
        <w:ind w:left="446" w:hanging="446"/>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Definidos por el Convenio Internacional sobre reducción y eliminación de contaminantes orgánicos persistentes (de septiembre de 1999) que actualmente incluye los pesticidas aldrina, clordano, dieldrina, endrina, heptacloro, mirex y toxafeno, así como los clorobencenos químicos de uso industrial (http://chm.pops.int/).</w:t>
      </w:r>
    </w:p>
  </w:footnote>
  <w:footnote w:id="21">
    <w:p w14:paraId="053A4B87" w14:textId="77777777" w:rsidR="006D4003" w:rsidRPr="00A17329" w:rsidRDefault="006D4003" w:rsidP="00A17329">
      <w:pPr>
        <w:pStyle w:val="FootnoteText"/>
        <w:spacing w:after="0"/>
        <w:ind w:left="446" w:hanging="446"/>
        <w:rPr>
          <w:rFonts w:ascii="Arial" w:hAnsi="Arial" w:cs="Arial"/>
          <w:sz w:val="18"/>
          <w:szCs w:val="18"/>
          <w:lang w:val="es-ES_tradnl"/>
        </w:rPr>
      </w:pPr>
      <w:r w:rsidRPr="00A17329">
        <w:rPr>
          <w:rStyle w:val="FootnoteReference"/>
          <w:rFonts w:ascii="Arial" w:hAnsi="Arial" w:cs="Arial"/>
          <w:sz w:val="18"/>
          <w:szCs w:val="18"/>
        </w:rPr>
        <w:footnoteRef/>
      </w:r>
      <w:r w:rsidRPr="00A17329">
        <w:rPr>
          <w:rFonts w:ascii="Arial" w:hAnsi="Arial" w:cs="Arial"/>
          <w:sz w:val="18"/>
          <w:szCs w:val="18"/>
          <w:lang w:val="es-ES_tradnl"/>
        </w:rPr>
        <w:t xml:space="preserve">  </w:t>
      </w:r>
      <w:r w:rsidRPr="00A17329">
        <w:rPr>
          <w:rFonts w:ascii="Arial" w:hAnsi="Arial" w:cs="Arial"/>
          <w:sz w:val="18"/>
          <w:szCs w:val="18"/>
          <w:lang w:val="es-ES_tradnl"/>
        </w:rPr>
        <w:tab/>
        <w:t>Los Principios y Derechos Fundamentales en el Trabajo significan: i) la libertad de asociación y el reconocimiento efectivo del derecho de negociación colectiva; ii) la prohibición de todas las formas de trabajo forzoso u obligatorio; iii) la prohibición del trabajo infantil, incluyendo, sin limitación alguna, la prohibición de que personas menores de 18 años trabajen en condiciones peligrosas (incluidas las actividades de construcción), realicen trabajos nocturnos, que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 http://www.ilo.org).</w:t>
      </w:r>
    </w:p>
    <w:p w14:paraId="28703889" w14:textId="77777777" w:rsidR="006D4003" w:rsidRPr="00DC0280" w:rsidRDefault="006D4003" w:rsidP="00487011">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42D2" w14:textId="77777777" w:rsidR="006D4003" w:rsidRDefault="006D40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7767381"/>
      <w:docPartObj>
        <w:docPartGallery w:val="Watermarks"/>
        <w:docPartUnique/>
      </w:docPartObj>
    </w:sdtPr>
    <w:sdtContent>
      <w:p w14:paraId="5F5D7563" w14:textId="2E382309" w:rsidR="006D4003" w:rsidRDefault="006D4003">
        <w:pPr>
          <w:pStyle w:val="Header"/>
        </w:pPr>
        <w:r>
          <w:rPr>
            <w:noProof/>
          </w:rPr>
          <w:pict w14:anchorId="651D3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93861" o:spid="_x0000_s2049" type="#_x0000_t136" style="position:absolute;margin-left:0;margin-top:0;width:520.2pt;height:102.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8BFB6" w14:textId="77777777" w:rsidR="006D4003" w:rsidRDefault="006D40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multilevel"/>
    <w:tmpl w:val="00000014"/>
    <w:name w:val="WW8Num62"/>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 w15:restartNumberingAfterBreak="0">
    <w:nsid w:val="0B916CE9"/>
    <w:multiLevelType w:val="multilevel"/>
    <w:tmpl w:val="561AA67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0DAB7FC9"/>
    <w:multiLevelType w:val="multilevel"/>
    <w:tmpl w:val="E3EEDA32"/>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296"/>
        </w:tabs>
        <w:ind w:left="1296" w:hanging="1296"/>
      </w:pPr>
      <w:rPr>
        <w:rFonts w:ascii="Arial" w:hAnsi="Arial" w:cs="Arial" w:hint="default"/>
        <w:b w:val="0"/>
        <w:strike w:val="0"/>
        <w:color w:val="auto"/>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3" w15:restartNumberingAfterBreak="0">
    <w:nsid w:val="1764009F"/>
    <w:multiLevelType w:val="hybridMultilevel"/>
    <w:tmpl w:val="F8C8BB96"/>
    <w:lvl w:ilvl="0" w:tplc="080A000F">
      <w:start w:val="1"/>
      <w:numFmt w:val="decimal"/>
      <w:lvlText w:val="%1."/>
      <w:lvlJc w:val="left"/>
      <w:pPr>
        <w:tabs>
          <w:tab w:val="num" w:pos="1353"/>
        </w:tabs>
        <w:ind w:left="1353"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7B320B"/>
    <w:multiLevelType w:val="hybridMultilevel"/>
    <w:tmpl w:val="839209B6"/>
    <w:lvl w:ilvl="0" w:tplc="0C0A0001">
      <w:start w:val="1"/>
      <w:numFmt w:val="upperRoman"/>
      <w:pStyle w:val="TtulodePrrafo"/>
      <w:lvlText w:val="%1."/>
      <w:lvlJc w:val="left"/>
      <w:pPr>
        <w:tabs>
          <w:tab w:val="num" w:pos="720"/>
        </w:tabs>
        <w:ind w:left="397" w:hanging="397"/>
      </w:pPr>
      <w:rPr>
        <w:rFonts w:hint="default"/>
        <w:b/>
        <w:i w:val="0"/>
        <w:color w:val="auto"/>
        <w:sz w:val="24"/>
      </w:rPr>
    </w:lvl>
    <w:lvl w:ilvl="1" w:tplc="0C0A0003">
      <w:start w:val="5"/>
      <w:numFmt w:val="bullet"/>
      <w:lvlText w:val="-"/>
      <w:lvlJc w:val="left"/>
      <w:pPr>
        <w:tabs>
          <w:tab w:val="num" w:pos="1440"/>
        </w:tabs>
        <w:ind w:left="1440" w:hanging="360"/>
      </w:pPr>
      <w:rPr>
        <w:rFonts w:ascii="Arial" w:eastAsia="Times New Roman" w:hAnsi="Arial" w:cs="Arial" w:hint="default"/>
      </w:r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 w15:restartNumberingAfterBreak="0">
    <w:nsid w:val="1D79533A"/>
    <w:multiLevelType w:val="multilevel"/>
    <w:tmpl w:val="058ADC68"/>
    <w:lvl w:ilvl="0">
      <w:start w:val="1"/>
      <w:numFmt w:val="none"/>
      <w:lvlRestart w:val="0"/>
      <w:pStyle w:val="FirstHeading"/>
      <w:suff w:val="nothing"/>
      <w:lvlText w:val=""/>
      <w:lvlJc w:val="left"/>
      <w:pPr>
        <w:ind w:left="5686" w:hanging="720"/>
      </w:pPr>
      <w:rPr>
        <w:rFonts w:hint="default"/>
      </w:rPr>
    </w:lvl>
    <w:lvl w:ilvl="1">
      <w:start w:val="1"/>
      <w:numFmt w:val="decimal"/>
      <w:pStyle w:val="SecHeading"/>
      <w:lvlText w:val="%2."/>
      <w:lvlJc w:val="left"/>
      <w:pPr>
        <w:tabs>
          <w:tab w:val="num" w:pos="1286"/>
        </w:tabs>
        <w:ind w:left="1286" w:hanging="576"/>
      </w:pPr>
      <w:rPr>
        <w:rFonts w:hint="default"/>
        <w:b/>
        <w:strike w:val="0"/>
        <w:u w:val="none"/>
      </w:rPr>
    </w:lvl>
    <w:lvl w:ilvl="2">
      <w:start w:val="1"/>
      <w:numFmt w:val="lowerRoman"/>
      <w:lvlText w:val="(%3)"/>
      <w:lvlJc w:val="left"/>
      <w:pPr>
        <w:tabs>
          <w:tab w:val="num" w:pos="3366"/>
        </w:tabs>
        <w:ind w:left="3366" w:hanging="576"/>
      </w:pPr>
      <w:rPr>
        <w:rFonts w:hint="default"/>
        <w:b w:val="0"/>
      </w:rPr>
    </w:lvl>
    <w:lvl w:ilvl="3">
      <w:start w:val="1"/>
      <w:numFmt w:val="lowerRoman"/>
      <w:pStyle w:val="Subheading2"/>
      <w:lvlText w:val="(%4)"/>
      <w:lvlJc w:val="right"/>
      <w:pPr>
        <w:tabs>
          <w:tab w:val="num" w:pos="7342"/>
        </w:tabs>
        <w:ind w:left="7342" w:hanging="288"/>
      </w:pPr>
      <w:rPr>
        <w:rFonts w:hint="default"/>
        <w:b/>
      </w:rPr>
    </w:lvl>
    <w:lvl w:ilvl="4">
      <w:start w:val="1"/>
      <w:numFmt w:val="decimal"/>
      <w:pStyle w:val="Heading5"/>
      <w:lvlText w:val="%5)"/>
      <w:lvlJc w:val="left"/>
      <w:pPr>
        <w:tabs>
          <w:tab w:val="num" w:pos="5974"/>
        </w:tabs>
        <w:ind w:left="5974" w:hanging="432"/>
      </w:pPr>
      <w:rPr>
        <w:rFonts w:hint="default"/>
      </w:rPr>
    </w:lvl>
    <w:lvl w:ilvl="5">
      <w:start w:val="1"/>
      <w:numFmt w:val="lowerLetter"/>
      <w:pStyle w:val="Heading6"/>
      <w:lvlText w:val="%6)"/>
      <w:lvlJc w:val="left"/>
      <w:pPr>
        <w:tabs>
          <w:tab w:val="num" w:pos="6118"/>
        </w:tabs>
        <w:ind w:left="6118" w:hanging="432"/>
      </w:pPr>
      <w:rPr>
        <w:rFonts w:hint="default"/>
      </w:rPr>
    </w:lvl>
    <w:lvl w:ilvl="6">
      <w:start w:val="1"/>
      <w:numFmt w:val="lowerRoman"/>
      <w:pStyle w:val="Heading7"/>
      <w:lvlText w:val="%7)"/>
      <w:lvlJc w:val="right"/>
      <w:pPr>
        <w:tabs>
          <w:tab w:val="num" w:pos="6262"/>
        </w:tabs>
        <w:ind w:left="6262" w:hanging="288"/>
      </w:pPr>
      <w:rPr>
        <w:rFonts w:hint="default"/>
      </w:rPr>
    </w:lvl>
    <w:lvl w:ilvl="7">
      <w:start w:val="1"/>
      <w:numFmt w:val="lowerLetter"/>
      <w:pStyle w:val="Heading8"/>
      <w:lvlText w:val="%8."/>
      <w:lvlJc w:val="left"/>
      <w:pPr>
        <w:tabs>
          <w:tab w:val="num" w:pos="6406"/>
        </w:tabs>
        <w:ind w:left="6406" w:hanging="432"/>
      </w:pPr>
      <w:rPr>
        <w:rFonts w:hint="default"/>
      </w:rPr>
    </w:lvl>
    <w:lvl w:ilvl="8">
      <w:start w:val="1"/>
      <w:numFmt w:val="lowerRoman"/>
      <w:pStyle w:val="Heading9"/>
      <w:lvlText w:val="%9."/>
      <w:lvlJc w:val="right"/>
      <w:pPr>
        <w:tabs>
          <w:tab w:val="num" w:pos="6550"/>
        </w:tabs>
        <w:ind w:left="6550" w:hanging="144"/>
      </w:pPr>
      <w:rPr>
        <w:rFonts w:hint="default"/>
      </w:rPr>
    </w:lvl>
  </w:abstractNum>
  <w:abstractNum w:abstractNumId="6" w15:restartNumberingAfterBreak="0">
    <w:nsid w:val="222357B9"/>
    <w:multiLevelType w:val="hybridMultilevel"/>
    <w:tmpl w:val="46742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4A412B"/>
    <w:multiLevelType w:val="hybridMultilevel"/>
    <w:tmpl w:val="93DAAE8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9055042"/>
    <w:multiLevelType w:val="multilevel"/>
    <w:tmpl w:val="5F582BA4"/>
    <w:lvl w:ilvl="0">
      <w:start w:val="1"/>
      <w:numFmt w:val="none"/>
      <w:lvlRestart w:val="0"/>
      <w:suff w:val="nothing"/>
      <w:lvlText w:val=""/>
      <w:lvlJc w:val="left"/>
      <w:pPr>
        <w:ind w:left="5686" w:hanging="720"/>
      </w:pPr>
    </w:lvl>
    <w:lvl w:ilvl="1">
      <w:start w:val="1"/>
      <w:numFmt w:val="decimal"/>
      <w:lvlText w:val="%2."/>
      <w:lvlJc w:val="left"/>
      <w:pPr>
        <w:tabs>
          <w:tab w:val="num" w:pos="6262"/>
        </w:tabs>
        <w:ind w:left="6262" w:hanging="576"/>
      </w:pPr>
      <w:rPr>
        <w:b/>
      </w:rPr>
    </w:lvl>
    <w:lvl w:ilvl="2">
      <w:start w:val="1"/>
      <w:numFmt w:val="lowerLetter"/>
      <w:lvlText w:val="%3)"/>
      <w:lvlJc w:val="left"/>
      <w:pPr>
        <w:tabs>
          <w:tab w:val="num" w:pos="6838"/>
        </w:tabs>
        <w:ind w:left="6838" w:hanging="576"/>
      </w:pPr>
      <w:rPr>
        <w:b/>
      </w:rPr>
    </w:lvl>
    <w:lvl w:ilvl="3">
      <w:start w:val="1"/>
      <w:numFmt w:val="lowerRoman"/>
      <w:lvlText w:val="(%4)"/>
      <w:lvlJc w:val="right"/>
      <w:pPr>
        <w:tabs>
          <w:tab w:val="num" w:pos="7342"/>
        </w:tabs>
        <w:ind w:left="7342" w:hanging="288"/>
      </w:pPr>
      <w:rPr>
        <w:b/>
      </w:rPr>
    </w:lvl>
    <w:lvl w:ilvl="4">
      <w:start w:val="1"/>
      <w:numFmt w:val="decimal"/>
      <w:lvlText w:val="%5)"/>
      <w:lvlJc w:val="left"/>
      <w:pPr>
        <w:tabs>
          <w:tab w:val="num" w:pos="5974"/>
        </w:tabs>
        <w:ind w:left="5974" w:hanging="432"/>
      </w:pPr>
    </w:lvl>
    <w:lvl w:ilvl="5">
      <w:start w:val="1"/>
      <w:numFmt w:val="lowerLetter"/>
      <w:lvlText w:val="%6)"/>
      <w:lvlJc w:val="left"/>
      <w:pPr>
        <w:tabs>
          <w:tab w:val="num" w:pos="6118"/>
        </w:tabs>
        <w:ind w:left="6118" w:hanging="432"/>
      </w:pPr>
    </w:lvl>
    <w:lvl w:ilvl="6">
      <w:start w:val="1"/>
      <w:numFmt w:val="lowerRoman"/>
      <w:lvlText w:val="%7)"/>
      <w:lvlJc w:val="right"/>
      <w:pPr>
        <w:tabs>
          <w:tab w:val="num" w:pos="6262"/>
        </w:tabs>
        <w:ind w:left="6262" w:hanging="288"/>
      </w:pPr>
    </w:lvl>
    <w:lvl w:ilvl="7">
      <w:start w:val="1"/>
      <w:numFmt w:val="lowerLetter"/>
      <w:lvlText w:val="%8."/>
      <w:lvlJc w:val="left"/>
      <w:pPr>
        <w:tabs>
          <w:tab w:val="num" w:pos="6406"/>
        </w:tabs>
        <w:ind w:left="6406" w:hanging="432"/>
      </w:pPr>
    </w:lvl>
    <w:lvl w:ilvl="8">
      <w:start w:val="1"/>
      <w:numFmt w:val="lowerRoman"/>
      <w:lvlText w:val="%9."/>
      <w:lvlJc w:val="right"/>
      <w:pPr>
        <w:tabs>
          <w:tab w:val="num" w:pos="6550"/>
        </w:tabs>
        <w:ind w:left="6550" w:hanging="144"/>
      </w:pPr>
    </w:lvl>
  </w:abstractNum>
  <w:abstractNum w:abstractNumId="9" w15:restartNumberingAfterBreak="0">
    <w:nsid w:val="2A3D23AE"/>
    <w:multiLevelType w:val="hybridMultilevel"/>
    <w:tmpl w:val="E710D68C"/>
    <w:lvl w:ilvl="0" w:tplc="3ECC6EE2">
      <w:numFmt w:val="bullet"/>
      <w:lvlText w:val="•"/>
      <w:lvlJc w:val="left"/>
      <w:pPr>
        <w:ind w:left="720" w:hanging="360"/>
      </w:pPr>
      <w:rPr>
        <w:rFonts w:ascii="Calibri" w:eastAsiaTheme="minorHAnsi" w:hAnsi="Calibri" w:cs="Calibr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2C83473C"/>
    <w:multiLevelType w:val="multilevel"/>
    <w:tmpl w:val="1A3CEDD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580"/>
        </w:tabs>
        <w:ind w:left="1580" w:hanging="1296"/>
      </w:pPr>
      <w:rPr>
        <w:rFonts w:ascii="Arial" w:hAnsi="Arial" w:cs="Arial" w:hint="default"/>
        <w:strike w:val="0"/>
        <w:color w:val="auto"/>
      </w:rPr>
    </w:lvl>
    <w:lvl w:ilvl="2">
      <w:start w:val="1"/>
      <w:numFmt w:val="lowerLetter"/>
      <w:lvlText w:val="%3)"/>
      <w:lvlJc w:val="left"/>
      <w:pPr>
        <w:tabs>
          <w:tab w:val="num" w:pos="1512"/>
        </w:tabs>
        <w:ind w:left="1512" w:hanging="432"/>
      </w:pPr>
    </w:lvl>
    <w:lvl w:ilvl="3">
      <w:start w:val="1"/>
      <w:numFmt w:val="lowerRoman"/>
      <w:lvlText w:val="%4."/>
      <w:lvlJc w:val="right"/>
      <w:pPr>
        <w:tabs>
          <w:tab w:val="num" w:pos="2736"/>
        </w:tabs>
        <w:ind w:left="2736" w:hanging="288"/>
      </w:pPr>
    </w:lvl>
    <w:lvl w:ilvl="4">
      <w:start w:val="1"/>
      <w:numFmt w:val="decimal"/>
      <w:lvlText w:val="%1.%2.%3.%4.%5"/>
      <w:lvlJc w:val="left"/>
      <w:pPr>
        <w:tabs>
          <w:tab w:val="num" w:pos="2160"/>
        </w:tabs>
        <w:ind w:left="2160" w:hanging="1008"/>
      </w:pPr>
    </w:lvl>
    <w:lvl w:ilvl="5">
      <w:start w:val="1"/>
      <w:numFmt w:val="decimal"/>
      <w:lvlText w:val="%1.%2.%3.%4.%5.%6"/>
      <w:lvlJc w:val="left"/>
      <w:pPr>
        <w:tabs>
          <w:tab w:val="num" w:pos="2304"/>
        </w:tabs>
        <w:ind w:left="2304" w:hanging="1152"/>
      </w:pPr>
    </w:lvl>
    <w:lvl w:ilvl="6">
      <w:start w:val="1"/>
      <w:numFmt w:val="decimal"/>
      <w:lvlText w:val="%1.%2.%3.%4.%5.%6.%7"/>
      <w:lvlJc w:val="left"/>
      <w:pPr>
        <w:tabs>
          <w:tab w:val="num" w:pos="2448"/>
        </w:tabs>
        <w:ind w:left="2448" w:hanging="1296"/>
      </w:pPr>
    </w:lvl>
    <w:lvl w:ilvl="7">
      <w:start w:val="1"/>
      <w:numFmt w:val="decimal"/>
      <w:lvlText w:val="%1.%2.%3.%4.%5.%6.%7.%8"/>
      <w:lvlJc w:val="left"/>
      <w:pPr>
        <w:tabs>
          <w:tab w:val="num" w:pos="2592"/>
        </w:tabs>
        <w:ind w:left="2592" w:hanging="1440"/>
      </w:pPr>
    </w:lvl>
    <w:lvl w:ilvl="8">
      <w:start w:val="1"/>
      <w:numFmt w:val="decimal"/>
      <w:lvlText w:val="%1.%2.%3.%4.%5.%6.%7.%8.%9"/>
      <w:lvlJc w:val="left"/>
      <w:pPr>
        <w:tabs>
          <w:tab w:val="num" w:pos="2736"/>
        </w:tabs>
        <w:ind w:left="2736" w:hanging="1584"/>
      </w:pPr>
    </w:lvl>
  </w:abstractNum>
  <w:abstractNum w:abstractNumId="11" w15:restartNumberingAfterBreak="0">
    <w:nsid w:val="30E73D32"/>
    <w:multiLevelType w:val="hybridMultilevel"/>
    <w:tmpl w:val="F56029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1304B30"/>
    <w:multiLevelType w:val="hybridMultilevel"/>
    <w:tmpl w:val="0B82F89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3C8327E6"/>
    <w:multiLevelType w:val="hybridMultilevel"/>
    <w:tmpl w:val="D0F4DE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9C2FB8"/>
    <w:multiLevelType w:val="hybridMultilevel"/>
    <w:tmpl w:val="E0748194"/>
    <w:lvl w:ilvl="0" w:tplc="0409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4727697E"/>
    <w:multiLevelType w:val="multilevel"/>
    <w:tmpl w:val="97006A38"/>
    <w:styleLink w:val="LFO19"/>
    <w:lvl w:ilvl="0">
      <w:start w:val="1"/>
      <w:numFmt w:val="upperRoman"/>
      <w:lvlText w:val="%1."/>
      <w:lvlJc w:val="center"/>
      <w:pPr>
        <w:ind w:left="1296" w:firstLine="288"/>
      </w:pPr>
      <w:rPr>
        <w:b/>
        <w:i w:val="0"/>
      </w:rPr>
    </w:lvl>
    <w:lvl w:ilvl="1">
      <w:start w:val="1"/>
      <w:numFmt w:val="decimal"/>
      <w:lvlText w:val="%1.%2"/>
      <w:lvlJc w:val="left"/>
      <w:pPr>
        <w:ind w:left="3510" w:hanging="1296"/>
      </w:pPr>
      <w:rPr>
        <w:rFonts w:ascii="Arial" w:hAnsi="Arial" w:cs="Arial"/>
        <w:b w:val="0"/>
        <w:color w:val="auto"/>
        <w:sz w:val="22"/>
        <w:szCs w:val="22"/>
      </w:rPr>
    </w:lvl>
    <w:lvl w:ilvl="2">
      <w:start w:val="1"/>
      <w:numFmt w:val="lowerLetter"/>
      <w:lvlText w:val="%3."/>
      <w:lvlJc w:val="left"/>
      <w:pPr>
        <w:ind w:left="3888" w:hanging="432"/>
      </w:pPr>
    </w:lvl>
    <w:lvl w:ilvl="3">
      <w:start w:val="1"/>
      <w:numFmt w:val="lowerRoman"/>
      <w:lvlText w:val="%4."/>
      <w:lvlJc w:val="right"/>
      <w:pPr>
        <w:ind w:left="4320" w:hanging="288"/>
      </w:pPr>
    </w:lvl>
    <w:lvl w:ilvl="4">
      <w:start w:val="1"/>
      <w:numFmt w:val="decimal"/>
      <w:lvlText w:val="%1.%2.%3.%4.%5"/>
      <w:lvlJc w:val="left"/>
      <w:pPr>
        <w:ind w:left="3744" w:hanging="1008"/>
      </w:pPr>
    </w:lvl>
    <w:lvl w:ilvl="5">
      <w:start w:val="1"/>
      <w:numFmt w:val="decimal"/>
      <w:lvlText w:val="%1.%2.%3.%4.%5.%6"/>
      <w:lvlJc w:val="left"/>
      <w:pPr>
        <w:ind w:left="3888" w:hanging="1152"/>
      </w:pPr>
    </w:lvl>
    <w:lvl w:ilvl="6">
      <w:start w:val="1"/>
      <w:numFmt w:val="decimal"/>
      <w:lvlText w:val="%1.%2.%3.%4.%5.%6.%7"/>
      <w:lvlJc w:val="left"/>
      <w:pPr>
        <w:ind w:left="4032" w:hanging="1296"/>
      </w:pPr>
    </w:lvl>
    <w:lvl w:ilvl="7">
      <w:start w:val="1"/>
      <w:numFmt w:val="decimal"/>
      <w:lvlText w:val="%1.%2.%3.%4.%5.%6.%7.%8"/>
      <w:lvlJc w:val="left"/>
      <w:pPr>
        <w:ind w:left="4176" w:hanging="1440"/>
      </w:pPr>
    </w:lvl>
    <w:lvl w:ilvl="8">
      <w:start w:val="1"/>
      <w:numFmt w:val="decimal"/>
      <w:lvlText w:val="%1.%2.%3.%4.%5.%6.%7.%8.%9"/>
      <w:lvlJc w:val="left"/>
      <w:pPr>
        <w:ind w:left="4320" w:hanging="1584"/>
      </w:pPr>
    </w:lvl>
  </w:abstractNum>
  <w:abstractNum w:abstractNumId="16" w15:restartNumberingAfterBreak="0">
    <w:nsid w:val="475B3203"/>
    <w:multiLevelType w:val="multilevel"/>
    <w:tmpl w:val="6096DEFC"/>
    <w:name w:val="AOBullet2"/>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7" w15:restartNumberingAfterBreak="0">
    <w:nsid w:val="4D2C4E72"/>
    <w:multiLevelType w:val="hybridMultilevel"/>
    <w:tmpl w:val="71CE7EB2"/>
    <w:lvl w:ilvl="0" w:tplc="0C0A000F">
      <w:start w:val="1"/>
      <w:numFmt w:val="bullet"/>
      <w:pStyle w:val="vietacuadrada"/>
      <w:lvlText w:val=""/>
      <w:lvlJc w:val="left"/>
      <w:pPr>
        <w:tabs>
          <w:tab w:val="num" w:pos="720"/>
        </w:tabs>
        <w:ind w:left="720" w:hanging="360"/>
      </w:pPr>
      <w:rPr>
        <w:rFonts w:ascii="Wingdings" w:hAnsi="Wingdings" w:hint="default"/>
        <w:color w:val="808080"/>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C668F5"/>
    <w:multiLevelType w:val="hybridMultilevel"/>
    <w:tmpl w:val="8B48C22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5A4140B2"/>
    <w:multiLevelType w:val="multilevel"/>
    <w:tmpl w:val="3BCA38F0"/>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1296"/>
        </w:tabs>
        <w:ind w:left="1296" w:hanging="1296"/>
      </w:pPr>
      <w:rPr>
        <w:rFonts w:ascii="Symbol" w:hAnsi="Symbol" w:hint="default"/>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0" w15:restartNumberingAfterBreak="0">
    <w:nsid w:val="5EFD5DC8"/>
    <w:multiLevelType w:val="hybridMultilevel"/>
    <w:tmpl w:val="089E0594"/>
    <w:lvl w:ilvl="0" w:tplc="080A000F">
      <w:start w:val="1"/>
      <w:numFmt w:val="decimal"/>
      <w:lvlText w:val="%1."/>
      <w:lvlJc w:val="left"/>
      <w:pPr>
        <w:tabs>
          <w:tab w:val="num" w:pos="1353"/>
        </w:tabs>
        <w:ind w:left="1353"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5FD9548D"/>
    <w:multiLevelType w:val="hybridMultilevel"/>
    <w:tmpl w:val="F426072E"/>
    <w:lvl w:ilvl="0" w:tplc="080A0017">
      <w:start w:val="1"/>
      <w:numFmt w:val="lowerLetter"/>
      <w:lvlText w:val="%1)"/>
      <w:lvlJc w:val="left"/>
      <w:pPr>
        <w:ind w:left="1920" w:hanging="360"/>
      </w:pPr>
    </w:lvl>
    <w:lvl w:ilvl="1" w:tplc="080A0019">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abstractNum w:abstractNumId="22" w15:restartNumberingAfterBreak="0">
    <w:nsid w:val="63F87D2F"/>
    <w:multiLevelType w:val="hybridMultilevel"/>
    <w:tmpl w:val="21922A1C"/>
    <w:lvl w:ilvl="0" w:tplc="3C446730">
      <w:start w:val="1"/>
      <w:numFmt w:val="lowerLetter"/>
      <w:lvlText w:val="%1)"/>
      <w:lvlJc w:val="left"/>
      <w:pPr>
        <w:ind w:left="1796" w:hanging="360"/>
      </w:pPr>
      <w:rPr>
        <w:rFonts w:hint="default"/>
      </w:rPr>
    </w:lvl>
    <w:lvl w:ilvl="1" w:tplc="080A0019" w:tentative="1">
      <w:start w:val="1"/>
      <w:numFmt w:val="lowerLetter"/>
      <w:lvlText w:val="%2."/>
      <w:lvlJc w:val="left"/>
      <w:pPr>
        <w:ind w:left="2516" w:hanging="360"/>
      </w:pPr>
    </w:lvl>
    <w:lvl w:ilvl="2" w:tplc="080A001B" w:tentative="1">
      <w:start w:val="1"/>
      <w:numFmt w:val="lowerRoman"/>
      <w:lvlText w:val="%3."/>
      <w:lvlJc w:val="right"/>
      <w:pPr>
        <w:ind w:left="3236" w:hanging="180"/>
      </w:pPr>
    </w:lvl>
    <w:lvl w:ilvl="3" w:tplc="080A000F">
      <w:start w:val="1"/>
      <w:numFmt w:val="decimal"/>
      <w:lvlText w:val="%4."/>
      <w:lvlJc w:val="left"/>
      <w:pPr>
        <w:ind w:left="3956" w:hanging="360"/>
      </w:pPr>
    </w:lvl>
    <w:lvl w:ilvl="4" w:tplc="080A0019" w:tentative="1">
      <w:start w:val="1"/>
      <w:numFmt w:val="lowerLetter"/>
      <w:lvlText w:val="%5."/>
      <w:lvlJc w:val="left"/>
      <w:pPr>
        <w:ind w:left="4676" w:hanging="360"/>
      </w:pPr>
    </w:lvl>
    <w:lvl w:ilvl="5" w:tplc="080A001B" w:tentative="1">
      <w:start w:val="1"/>
      <w:numFmt w:val="lowerRoman"/>
      <w:lvlText w:val="%6."/>
      <w:lvlJc w:val="right"/>
      <w:pPr>
        <w:ind w:left="5396" w:hanging="180"/>
      </w:pPr>
    </w:lvl>
    <w:lvl w:ilvl="6" w:tplc="080A000F" w:tentative="1">
      <w:start w:val="1"/>
      <w:numFmt w:val="decimal"/>
      <w:lvlText w:val="%7."/>
      <w:lvlJc w:val="left"/>
      <w:pPr>
        <w:ind w:left="6116" w:hanging="360"/>
      </w:pPr>
    </w:lvl>
    <w:lvl w:ilvl="7" w:tplc="080A0019" w:tentative="1">
      <w:start w:val="1"/>
      <w:numFmt w:val="lowerLetter"/>
      <w:lvlText w:val="%8."/>
      <w:lvlJc w:val="left"/>
      <w:pPr>
        <w:ind w:left="6836" w:hanging="360"/>
      </w:pPr>
    </w:lvl>
    <w:lvl w:ilvl="8" w:tplc="080A001B" w:tentative="1">
      <w:start w:val="1"/>
      <w:numFmt w:val="lowerRoman"/>
      <w:lvlText w:val="%9."/>
      <w:lvlJc w:val="right"/>
      <w:pPr>
        <w:ind w:left="7556" w:hanging="180"/>
      </w:pPr>
    </w:lvl>
  </w:abstractNum>
  <w:abstractNum w:abstractNumId="23" w15:restartNumberingAfterBreak="0">
    <w:nsid w:val="64B419BA"/>
    <w:multiLevelType w:val="multilevel"/>
    <w:tmpl w:val="7A521A4C"/>
    <w:lvl w:ilvl="0">
      <w:start w:val="1"/>
      <w:numFmt w:val="decimal"/>
      <w:lvlText w:val="%1"/>
      <w:lvlJc w:val="left"/>
      <w:pPr>
        <w:ind w:left="360" w:hanging="360"/>
      </w:pPr>
      <w:rPr>
        <w:rFonts w:ascii="Arial" w:hAnsi="Arial" w:cs="Arial" w:hint="default"/>
        <w:b/>
        <w:sz w:val="22"/>
      </w:rPr>
    </w:lvl>
    <w:lvl w:ilvl="1">
      <w:start w:val="1"/>
      <w:numFmt w:val="decimal"/>
      <w:lvlText w:val="%1.%2"/>
      <w:lvlJc w:val="left"/>
      <w:pPr>
        <w:ind w:left="1080" w:hanging="360"/>
      </w:pPr>
      <w:rPr>
        <w:rFonts w:ascii="Arial" w:hAnsi="Arial" w:cs="Arial" w:hint="default"/>
        <w:b w:val="0"/>
        <w:i w:val="0"/>
        <w:sz w:val="22"/>
      </w:rPr>
    </w:lvl>
    <w:lvl w:ilvl="2">
      <w:start w:val="1"/>
      <w:numFmt w:val="decimal"/>
      <w:lvlText w:val="%1.%2.%3"/>
      <w:lvlJc w:val="left"/>
      <w:pPr>
        <w:ind w:left="2160" w:hanging="720"/>
      </w:pPr>
      <w:rPr>
        <w:rFonts w:ascii="Arial" w:hAnsi="Arial" w:cs="Arial" w:hint="default"/>
        <w:b/>
        <w:sz w:val="22"/>
      </w:rPr>
    </w:lvl>
    <w:lvl w:ilvl="3">
      <w:start w:val="1"/>
      <w:numFmt w:val="decimal"/>
      <w:lvlText w:val="%1.%2.%3.%4"/>
      <w:lvlJc w:val="left"/>
      <w:pPr>
        <w:ind w:left="2880" w:hanging="720"/>
      </w:pPr>
      <w:rPr>
        <w:rFonts w:ascii="Arial" w:hAnsi="Arial" w:cs="Arial" w:hint="default"/>
        <w:b/>
        <w:sz w:val="22"/>
      </w:rPr>
    </w:lvl>
    <w:lvl w:ilvl="4">
      <w:start w:val="1"/>
      <w:numFmt w:val="decimal"/>
      <w:lvlText w:val="%1.%2.%3.%4.%5"/>
      <w:lvlJc w:val="left"/>
      <w:pPr>
        <w:ind w:left="3960" w:hanging="1080"/>
      </w:pPr>
      <w:rPr>
        <w:rFonts w:ascii="Arial" w:hAnsi="Arial" w:cs="Arial" w:hint="default"/>
        <w:b/>
        <w:sz w:val="22"/>
      </w:rPr>
    </w:lvl>
    <w:lvl w:ilvl="5">
      <w:start w:val="1"/>
      <w:numFmt w:val="decimal"/>
      <w:lvlText w:val="%1.%2.%3.%4.%5.%6"/>
      <w:lvlJc w:val="left"/>
      <w:pPr>
        <w:ind w:left="4680" w:hanging="1080"/>
      </w:pPr>
      <w:rPr>
        <w:rFonts w:ascii="Arial" w:hAnsi="Arial" w:cs="Arial" w:hint="default"/>
        <w:b/>
        <w:sz w:val="22"/>
      </w:rPr>
    </w:lvl>
    <w:lvl w:ilvl="6">
      <w:start w:val="1"/>
      <w:numFmt w:val="decimal"/>
      <w:lvlText w:val="%1.%2.%3.%4.%5.%6.%7"/>
      <w:lvlJc w:val="left"/>
      <w:pPr>
        <w:ind w:left="5760" w:hanging="1440"/>
      </w:pPr>
      <w:rPr>
        <w:rFonts w:ascii="Arial" w:hAnsi="Arial" w:cs="Arial" w:hint="default"/>
        <w:b/>
        <w:sz w:val="22"/>
      </w:rPr>
    </w:lvl>
    <w:lvl w:ilvl="7">
      <w:start w:val="1"/>
      <w:numFmt w:val="decimal"/>
      <w:lvlText w:val="%1.%2.%3.%4.%5.%6.%7.%8"/>
      <w:lvlJc w:val="left"/>
      <w:pPr>
        <w:ind w:left="6480" w:hanging="1440"/>
      </w:pPr>
      <w:rPr>
        <w:rFonts w:ascii="Arial" w:hAnsi="Arial" w:cs="Arial" w:hint="default"/>
        <w:b/>
        <w:sz w:val="22"/>
      </w:rPr>
    </w:lvl>
    <w:lvl w:ilvl="8">
      <w:start w:val="1"/>
      <w:numFmt w:val="decimal"/>
      <w:lvlText w:val="%1.%2.%3.%4.%5.%6.%7.%8.%9"/>
      <w:lvlJc w:val="left"/>
      <w:pPr>
        <w:ind w:left="7560" w:hanging="1800"/>
      </w:pPr>
      <w:rPr>
        <w:rFonts w:ascii="Arial" w:hAnsi="Arial" w:cs="Arial" w:hint="default"/>
        <w:b/>
        <w:sz w:val="22"/>
      </w:rPr>
    </w:lvl>
  </w:abstractNum>
  <w:abstractNum w:abstractNumId="24" w15:restartNumberingAfterBreak="0">
    <w:nsid w:val="661E4F9D"/>
    <w:multiLevelType w:val="hybridMultilevel"/>
    <w:tmpl w:val="06F4262A"/>
    <w:lvl w:ilvl="0" w:tplc="1C0A0001">
      <w:start w:val="1"/>
      <w:numFmt w:val="bullet"/>
      <w:lvlText w:val=""/>
      <w:lvlJc w:val="left"/>
      <w:pPr>
        <w:ind w:left="1800" w:hanging="360"/>
      </w:pPr>
      <w:rPr>
        <w:rFonts w:ascii="Symbol" w:hAnsi="Symbol" w:hint="default"/>
      </w:rPr>
    </w:lvl>
    <w:lvl w:ilvl="1" w:tplc="1C0A0003" w:tentative="1">
      <w:start w:val="1"/>
      <w:numFmt w:val="bullet"/>
      <w:lvlText w:val="o"/>
      <w:lvlJc w:val="left"/>
      <w:pPr>
        <w:ind w:left="2520" w:hanging="360"/>
      </w:pPr>
      <w:rPr>
        <w:rFonts w:ascii="Courier New" w:hAnsi="Courier New" w:cs="Courier New" w:hint="default"/>
      </w:rPr>
    </w:lvl>
    <w:lvl w:ilvl="2" w:tplc="1C0A0005" w:tentative="1">
      <w:start w:val="1"/>
      <w:numFmt w:val="bullet"/>
      <w:lvlText w:val=""/>
      <w:lvlJc w:val="left"/>
      <w:pPr>
        <w:ind w:left="3240" w:hanging="360"/>
      </w:pPr>
      <w:rPr>
        <w:rFonts w:ascii="Wingdings" w:hAnsi="Wingdings" w:hint="default"/>
      </w:rPr>
    </w:lvl>
    <w:lvl w:ilvl="3" w:tplc="1C0A0001" w:tentative="1">
      <w:start w:val="1"/>
      <w:numFmt w:val="bullet"/>
      <w:lvlText w:val=""/>
      <w:lvlJc w:val="left"/>
      <w:pPr>
        <w:ind w:left="3960" w:hanging="360"/>
      </w:pPr>
      <w:rPr>
        <w:rFonts w:ascii="Symbol" w:hAnsi="Symbol" w:hint="default"/>
      </w:rPr>
    </w:lvl>
    <w:lvl w:ilvl="4" w:tplc="1C0A0003" w:tentative="1">
      <w:start w:val="1"/>
      <w:numFmt w:val="bullet"/>
      <w:lvlText w:val="o"/>
      <w:lvlJc w:val="left"/>
      <w:pPr>
        <w:ind w:left="4680" w:hanging="360"/>
      </w:pPr>
      <w:rPr>
        <w:rFonts w:ascii="Courier New" w:hAnsi="Courier New" w:cs="Courier New" w:hint="default"/>
      </w:rPr>
    </w:lvl>
    <w:lvl w:ilvl="5" w:tplc="1C0A0005" w:tentative="1">
      <w:start w:val="1"/>
      <w:numFmt w:val="bullet"/>
      <w:lvlText w:val=""/>
      <w:lvlJc w:val="left"/>
      <w:pPr>
        <w:ind w:left="5400" w:hanging="360"/>
      </w:pPr>
      <w:rPr>
        <w:rFonts w:ascii="Wingdings" w:hAnsi="Wingdings" w:hint="default"/>
      </w:rPr>
    </w:lvl>
    <w:lvl w:ilvl="6" w:tplc="1C0A0001" w:tentative="1">
      <w:start w:val="1"/>
      <w:numFmt w:val="bullet"/>
      <w:lvlText w:val=""/>
      <w:lvlJc w:val="left"/>
      <w:pPr>
        <w:ind w:left="6120" w:hanging="360"/>
      </w:pPr>
      <w:rPr>
        <w:rFonts w:ascii="Symbol" w:hAnsi="Symbol" w:hint="default"/>
      </w:rPr>
    </w:lvl>
    <w:lvl w:ilvl="7" w:tplc="1C0A0003" w:tentative="1">
      <w:start w:val="1"/>
      <w:numFmt w:val="bullet"/>
      <w:lvlText w:val="o"/>
      <w:lvlJc w:val="left"/>
      <w:pPr>
        <w:ind w:left="6840" w:hanging="360"/>
      </w:pPr>
      <w:rPr>
        <w:rFonts w:ascii="Courier New" w:hAnsi="Courier New" w:cs="Courier New" w:hint="default"/>
      </w:rPr>
    </w:lvl>
    <w:lvl w:ilvl="8" w:tplc="1C0A0005" w:tentative="1">
      <w:start w:val="1"/>
      <w:numFmt w:val="bullet"/>
      <w:lvlText w:val=""/>
      <w:lvlJc w:val="left"/>
      <w:pPr>
        <w:ind w:left="7560" w:hanging="360"/>
      </w:pPr>
      <w:rPr>
        <w:rFonts w:ascii="Wingdings" w:hAnsi="Wingdings" w:hint="default"/>
      </w:rPr>
    </w:lvl>
  </w:abstractNum>
  <w:abstractNum w:abstractNumId="25" w15:restartNumberingAfterBreak="0">
    <w:nsid w:val="66396465"/>
    <w:multiLevelType w:val="hybridMultilevel"/>
    <w:tmpl w:val="88B02B92"/>
    <w:lvl w:ilvl="0" w:tplc="3ECC6EE2">
      <w:numFmt w:val="bullet"/>
      <w:lvlText w:val="•"/>
      <w:lvlJc w:val="left"/>
      <w:pPr>
        <w:ind w:left="720" w:hanging="360"/>
      </w:pPr>
      <w:rPr>
        <w:rFonts w:ascii="Calibri" w:eastAsiaTheme="minorHAnsi" w:hAnsi="Calibri" w:cs="Calibri"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9B16B48"/>
    <w:multiLevelType w:val="hybridMultilevel"/>
    <w:tmpl w:val="CDD4ED82"/>
    <w:name w:val="AODoc"/>
    <w:lvl w:ilvl="0" w:tplc="FFFFFFFF">
      <w:start w:val="1"/>
      <w:numFmt w:val="bullet"/>
      <w:lvlText w:val=""/>
      <w:lvlJc w:val="left"/>
      <w:pPr>
        <w:tabs>
          <w:tab w:val="num" w:pos="2160"/>
        </w:tabs>
        <w:ind w:left="2160" w:hanging="360"/>
      </w:pPr>
      <w:rPr>
        <w:rFonts w:ascii="Symbol" w:hAnsi="Symbol" w:cs="Times New Roman" w:hint="default"/>
        <w:color w:val="auto"/>
      </w:rPr>
    </w:lvl>
    <w:lvl w:ilvl="1" w:tplc="FFFFFFFF">
      <w:start w:val="1"/>
      <w:numFmt w:val="bullet"/>
      <w:lvlText w:val=""/>
      <w:lvlJc w:val="left"/>
      <w:pPr>
        <w:tabs>
          <w:tab w:val="num" w:pos="1440"/>
        </w:tabs>
        <w:ind w:left="1440" w:hanging="360"/>
      </w:pPr>
      <w:rPr>
        <w:rFonts w:ascii="Symbol" w:hAnsi="Symbol" w:cs="Times New Roman"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E50782"/>
    <w:multiLevelType w:val="hybridMultilevel"/>
    <w:tmpl w:val="62281182"/>
    <w:lvl w:ilvl="0" w:tplc="3ECC6EE2">
      <w:numFmt w:val="bullet"/>
      <w:lvlText w:val="•"/>
      <w:lvlJc w:val="left"/>
      <w:pPr>
        <w:ind w:left="1080" w:hanging="360"/>
      </w:pPr>
      <w:rPr>
        <w:rFonts w:ascii="Calibri" w:eastAsiaTheme="minorHAnsi" w:hAnsi="Calibri" w:cs="Calibri" w:hint="default"/>
      </w:rPr>
    </w:lvl>
    <w:lvl w:ilvl="1" w:tplc="1C0A0003" w:tentative="1">
      <w:start w:val="1"/>
      <w:numFmt w:val="bullet"/>
      <w:lvlText w:val="o"/>
      <w:lvlJc w:val="left"/>
      <w:pPr>
        <w:ind w:left="1800" w:hanging="360"/>
      </w:pPr>
      <w:rPr>
        <w:rFonts w:ascii="Courier New" w:hAnsi="Courier New" w:cs="Courier New" w:hint="default"/>
      </w:rPr>
    </w:lvl>
    <w:lvl w:ilvl="2" w:tplc="1C0A0005" w:tentative="1">
      <w:start w:val="1"/>
      <w:numFmt w:val="bullet"/>
      <w:lvlText w:val=""/>
      <w:lvlJc w:val="left"/>
      <w:pPr>
        <w:ind w:left="2520" w:hanging="360"/>
      </w:pPr>
      <w:rPr>
        <w:rFonts w:ascii="Wingdings" w:hAnsi="Wingdings" w:hint="default"/>
      </w:rPr>
    </w:lvl>
    <w:lvl w:ilvl="3" w:tplc="1C0A0001" w:tentative="1">
      <w:start w:val="1"/>
      <w:numFmt w:val="bullet"/>
      <w:lvlText w:val=""/>
      <w:lvlJc w:val="left"/>
      <w:pPr>
        <w:ind w:left="3240" w:hanging="360"/>
      </w:pPr>
      <w:rPr>
        <w:rFonts w:ascii="Symbol" w:hAnsi="Symbol" w:hint="default"/>
      </w:rPr>
    </w:lvl>
    <w:lvl w:ilvl="4" w:tplc="1C0A0003" w:tentative="1">
      <w:start w:val="1"/>
      <w:numFmt w:val="bullet"/>
      <w:lvlText w:val="o"/>
      <w:lvlJc w:val="left"/>
      <w:pPr>
        <w:ind w:left="3960" w:hanging="360"/>
      </w:pPr>
      <w:rPr>
        <w:rFonts w:ascii="Courier New" w:hAnsi="Courier New" w:cs="Courier New" w:hint="default"/>
      </w:rPr>
    </w:lvl>
    <w:lvl w:ilvl="5" w:tplc="1C0A0005" w:tentative="1">
      <w:start w:val="1"/>
      <w:numFmt w:val="bullet"/>
      <w:lvlText w:val=""/>
      <w:lvlJc w:val="left"/>
      <w:pPr>
        <w:ind w:left="4680" w:hanging="360"/>
      </w:pPr>
      <w:rPr>
        <w:rFonts w:ascii="Wingdings" w:hAnsi="Wingdings" w:hint="default"/>
      </w:rPr>
    </w:lvl>
    <w:lvl w:ilvl="6" w:tplc="1C0A0001" w:tentative="1">
      <w:start w:val="1"/>
      <w:numFmt w:val="bullet"/>
      <w:lvlText w:val=""/>
      <w:lvlJc w:val="left"/>
      <w:pPr>
        <w:ind w:left="5400" w:hanging="360"/>
      </w:pPr>
      <w:rPr>
        <w:rFonts w:ascii="Symbol" w:hAnsi="Symbol" w:hint="default"/>
      </w:rPr>
    </w:lvl>
    <w:lvl w:ilvl="7" w:tplc="1C0A0003" w:tentative="1">
      <w:start w:val="1"/>
      <w:numFmt w:val="bullet"/>
      <w:lvlText w:val="o"/>
      <w:lvlJc w:val="left"/>
      <w:pPr>
        <w:ind w:left="6120" w:hanging="360"/>
      </w:pPr>
      <w:rPr>
        <w:rFonts w:ascii="Courier New" w:hAnsi="Courier New" w:cs="Courier New" w:hint="default"/>
      </w:rPr>
    </w:lvl>
    <w:lvl w:ilvl="8" w:tplc="1C0A0005" w:tentative="1">
      <w:start w:val="1"/>
      <w:numFmt w:val="bullet"/>
      <w:lvlText w:val=""/>
      <w:lvlJc w:val="left"/>
      <w:pPr>
        <w:ind w:left="6840" w:hanging="360"/>
      </w:pPr>
      <w:rPr>
        <w:rFonts w:ascii="Wingdings" w:hAnsi="Wingdings" w:hint="default"/>
      </w:rPr>
    </w:lvl>
  </w:abstractNum>
  <w:abstractNum w:abstractNumId="28" w15:restartNumberingAfterBreak="0">
    <w:nsid w:val="74C74592"/>
    <w:multiLevelType w:val="multilevel"/>
    <w:tmpl w:val="95CC3492"/>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15:restartNumberingAfterBreak="0">
    <w:nsid w:val="77710E9F"/>
    <w:multiLevelType w:val="hybridMultilevel"/>
    <w:tmpl w:val="606EF962"/>
    <w:lvl w:ilvl="0" w:tplc="3D38E330">
      <w:start w:val="1"/>
      <w:numFmt w:val="lowerRoman"/>
      <w:lvlText w:val="(%1)"/>
      <w:lvlJc w:val="left"/>
      <w:pPr>
        <w:ind w:left="2280" w:hanging="720"/>
      </w:pPr>
      <w:rPr>
        <w:rFonts w:hint="default"/>
      </w:rPr>
    </w:lvl>
    <w:lvl w:ilvl="1" w:tplc="080A0019">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num w:numId="1">
    <w:abstractNumId w:val="5"/>
  </w:num>
  <w:num w:numId="2">
    <w:abstractNumId w:val="28"/>
  </w:num>
  <w:num w:numId="3">
    <w:abstractNumId w:val="28"/>
  </w:num>
  <w:num w:numId="4">
    <w:abstractNumId w:val="28"/>
  </w:num>
  <w:num w:numId="5">
    <w:abstractNumId w:val="28"/>
  </w:num>
  <w:num w:numId="6">
    <w:abstractNumId w:val="17"/>
  </w:num>
  <w:num w:numId="7">
    <w:abstractNumId w:val="4"/>
  </w:num>
  <w:num w:numId="8">
    <w:abstractNumId w:val="21"/>
  </w:num>
  <w:num w:numId="9">
    <w:abstractNumId w:val="16"/>
  </w:num>
  <w:num w:numId="10">
    <w:abstractNumId w:val="10"/>
  </w:num>
  <w:num w:numId="11">
    <w:abstractNumId w:val="29"/>
  </w:num>
  <w:num w:numId="12">
    <w:abstractNumId w:val="22"/>
  </w:num>
  <w:num w:numId="13">
    <w:abstractNumId w:val="8"/>
  </w:num>
  <w:num w:numId="14">
    <w:abstractNumId w:val="2"/>
  </w:num>
  <w:num w:numId="15">
    <w:abstractNumId w:val="2"/>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7"/>
  </w:num>
  <w:num w:numId="18">
    <w:abstractNumId w:val="20"/>
  </w:num>
  <w:num w:numId="19">
    <w:abstractNumId w:val="15"/>
  </w:num>
  <w:num w:numId="20">
    <w:abstractNumId w:val="13"/>
  </w:num>
  <w:num w:numId="21">
    <w:abstractNumId w:val="1"/>
  </w:num>
  <w:num w:numId="22">
    <w:abstractNumId w:val="19"/>
  </w:num>
  <w:num w:numId="23">
    <w:abstractNumId w:val="24"/>
  </w:num>
  <w:num w:numId="24">
    <w:abstractNumId w:val="25"/>
  </w:num>
  <w:num w:numId="25">
    <w:abstractNumId w:val="9"/>
  </w:num>
  <w:num w:numId="26">
    <w:abstractNumId w:val="27"/>
  </w:num>
  <w:num w:numId="27">
    <w:abstractNumId w:val="11"/>
  </w:num>
  <w:num w:numId="28">
    <w:abstractNumId w:val="18"/>
  </w:num>
  <w:num w:numId="29">
    <w:abstractNumId w:val="14"/>
  </w:num>
  <w:num w:numId="30">
    <w:abstractNumId w:val="12"/>
  </w:num>
  <w:num w:numId="31">
    <w:abstractNumId w:val="6"/>
  </w:num>
  <w:num w:numId="32">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812"/>
    <w:rsid w:val="0000031A"/>
    <w:rsid w:val="00000962"/>
    <w:rsid w:val="00000979"/>
    <w:rsid w:val="00004793"/>
    <w:rsid w:val="00010AAB"/>
    <w:rsid w:val="00014BD4"/>
    <w:rsid w:val="00017FA8"/>
    <w:rsid w:val="00020DC9"/>
    <w:rsid w:val="000223FC"/>
    <w:rsid w:val="00022625"/>
    <w:rsid w:val="00022985"/>
    <w:rsid w:val="00023E54"/>
    <w:rsid w:val="00024570"/>
    <w:rsid w:val="00025A7C"/>
    <w:rsid w:val="00025DD1"/>
    <w:rsid w:val="00031340"/>
    <w:rsid w:val="0003180A"/>
    <w:rsid w:val="00033FF4"/>
    <w:rsid w:val="00037F39"/>
    <w:rsid w:val="00040A51"/>
    <w:rsid w:val="00041F52"/>
    <w:rsid w:val="00043255"/>
    <w:rsid w:val="000438D6"/>
    <w:rsid w:val="00045032"/>
    <w:rsid w:val="00046E01"/>
    <w:rsid w:val="00047DB7"/>
    <w:rsid w:val="0005069B"/>
    <w:rsid w:val="00051795"/>
    <w:rsid w:val="00051B94"/>
    <w:rsid w:val="00051D51"/>
    <w:rsid w:val="00055831"/>
    <w:rsid w:val="000637B3"/>
    <w:rsid w:val="00063DAF"/>
    <w:rsid w:val="0007054F"/>
    <w:rsid w:val="0007058A"/>
    <w:rsid w:val="00071AE6"/>
    <w:rsid w:val="00071D2E"/>
    <w:rsid w:val="00072C74"/>
    <w:rsid w:val="00072DCA"/>
    <w:rsid w:val="00083BAA"/>
    <w:rsid w:val="00084D86"/>
    <w:rsid w:val="000914DB"/>
    <w:rsid w:val="00091AAA"/>
    <w:rsid w:val="00092077"/>
    <w:rsid w:val="000931B2"/>
    <w:rsid w:val="000933C7"/>
    <w:rsid w:val="00094736"/>
    <w:rsid w:val="00094D8C"/>
    <w:rsid w:val="000956D1"/>
    <w:rsid w:val="0009634E"/>
    <w:rsid w:val="000A1912"/>
    <w:rsid w:val="000A1ACD"/>
    <w:rsid w:val="000B0978"/>
    <w:rsid w:val="000B4BE1"/>
    <w:rsid w:val="000B60EB"/>
    <w:rsid w:val="000B69E3"/>
    <w:rsid w:val="000B7176"/>
    <w:rsid w:val="000B7C11"/>
    <w:rsid w:val="000C22B0"/>
    <w:rsid w:val="000C2A94"/>
    <w:rsid w:val="000C4333"/>
    <w:rsid w:val="000C461E"/>
    <w:rsid w:val="000C4D9E"/>
    <w:rsid w:val="000D0AE9"/>
    <w:rsid w:val="000D1321"/>
    <w:rsid w:val="000D1D5C"/>
    <w:rsid w:val="000D7C19"/>
    <w:rsid w:val="000E3A55"/>
    <w:rsid w:val="000E61B2"/>
    <w:rsid w:val="000E6D8A"/>
    <w:rsid w:val="000F5951"/>
    <w:rsid w:val="000F6480"/>
    <w:rsid w:val="00100E4E"/>
    <w:rsid w:val="00101275"/>
    <w:rsid w:val="00104042"/>
    <w:rsid w:val="00104DB9"/>
    <w:rsid w:val="00104FBE"/>
    <w:rsid w:val="001050C1"/>
    <w:rsid w:val="001112C2"/>
    <w:rsid w:val="00113FBF"/>
    <w:rsid w:val="00115EA8"/>
    <w:rsid w:val="0011621E"/>
    <w:rsid w:val="001175D2"/>
    <w:rsid w:val="0011787C"/>
    <w:rsid w:val="00117C36"/>
    <w:rsid w:val="0012175B"/>
    <w:rsid w:val="00130651"/>
    <w:rsid w:val="00136106"/>
    <w:rsid w:val="00136B7F"/>
    <w:rsid w:val="00140B36"/>
    <w:rsid w:val="00141F75"/>
    <w:rsid w:val="00142221"/>
    <w:rsid w:val="0015353B"/>
    <w:rsid w:val="0015505C"/>
    <w:rsid w:val="0015714D"/>
    <w:rsid w:val="00157AF6"/>
    <w:rsid w:val="001601F7"/>
    <w:rsid w:val="00160639"/>
    <w:rsid w:val="00160E69"/>
    <w:rsid w:val="00163128"/>
    <w:rsid w:val="00166A45"/>
    <w:rsid w:val="00167A35"/>
    <w:rsid w:val="00173B07"/>
    <w:rsid w:val="00173BBA"/>
    <w:rsid w:val="00174502"/>
    <w:rsid w:val="00174E40"/>
    <w:rsid w:val="001829DB"/>
    <w:rsid w:val="00183EF3"/>
    <w:rsid w:val="0019055F"/>
    <w:rsid w:val="00192559"/>
    <w:rsid w:val="00192923"/>
    <w:rsid w:val="0019552F"/>
    <w:rsid w:val="001A1045"/>
    <w:rsid w:val="001A1EF9"/>
    <w:rsid w:val="001A5B24"/>
    <w:rsid w:val="001A7550"/>
    <w:rsid w:val="001A7598"/>
    <w:rsid w:val="001A7D32"/>
    <w:rsid w:val="001B08F4"/>
    <w:rsid w:val="001B2B20"/>
    <w:rsid w:val="001B5F84"/>
    <w:rsid w:val="001B7451"/>
    <w:rsid w:val="001C2CF5"/>
    <w:rsid w:val="001C5556"/>
    <w:rsid w:val="001C5C84"/>
    <w:rsid w:val="001D5601"/>
    <w:rsid w:val="001D6EA2"/>
    <w:rsid w:val="001D7852"/>
    <w:rsid w:val="001D7BB2"/>
    <w:rsid w:val="001D7E4C"/>
    <w:rsid w:val="001E3558"/>
    <w:rsid w:val="001E4711"/>
    <w:rsid w:val="001E4800"/>
    <w:rsid w:val="001E5AAB"/>
    <w:rsid w:val="001E6111"/>
    <w:rsid w:val="001E66D5"/>
    <w:rsid w:val="001E6CFC"/>
    <w:rsid w:val="001F0696"/>
    <w:rsid w:val="001F27C7"/>
    <w:rsid w:val="001F3845"/>
    <w:rsid w:val="001F4C1F"/>
    <w:rsid w:val="001F564B"/>
    <w:rsid w:val="001F78E9"/>
    <w:rsid w:val="001F7FEF"/>
    <w:rsid w:val="00202F58"/>
    <w:rsid w:val="00203A8A"/>
    <w:rsid w:val="00204F0F"/>
    <w:rsid w:val="00207D24"/>
    <w:rsid w:val="0021036E"/>
    <w:rsid w:val="0021264C"/>
    <w:rsid w:val="00212AF2"/>
    <w:rsid w:val="00214297"/>
    <w:rsid w:val="00222176"/>
    <w:rsid w:val="00224886"/>
    <w:rsid w:val="00225973"/>
    <w:rsid w:val="00230812"/>
    <w:rsid w:val="002308C9"/>
    <w:rsid w:val="0023117F"/>
    <w:rsid w:val="0024233B"/>
    <w:rsid w:val="0024290D"/>
    <w:rsid w:val="00242B57"/>
    <w:rsid w:val="00244249"/>
    <w:rsid w:val="00244F35"/>
    <w:rsid w:val="00245016"/>
    <w:rsid w:val="002461CF"/>
    <w:rsid w:val="002505AC"/>
    <w:rsid w:val="0026003D"/>
    <w:rsid w:val="0026062D"/>
    <w:rsid w:val="00265F42"/>
    <w:rsid w:val="0027123F"/>
    <w:rsid w:val="002725FF"/>
    <w:rsid w:val="00272845"/>
    <w:rsid w:val="002740C5"/>
    <w:rsid w:val="00275B78"/>
    <w:rsid w:val="0028043B"/>
    <w:rsid w:val="002875B3"/>
    <w:rsid w:val="00291301"/>
    <w:rsid w:val="002924E0"/>
    <w:rsid w:val="002934A4"/>
    <w:rsid w:val="0029670A"/>
    <w:rsid w:val="0029771F"/>
    <w:rsid w:val="002A3087"/>
    <w:rsid w:val="002B2638"/>
    <w:rsid w:val="002B313D"/>
    <w:rsid w:val="002B6FCD"/>
    <w:rsid w:val="002C0E18"/>
    <w:rsid w:val="002C1089"/>
    <w:rsid w:val="002C42E6"/>
    <w:rsid w:val="002C43C5"/>
    <w:rsid w:val="002C7E1C"/>
    <w:rsid w:val="002C7ED1"/>
    <w:rsid w:val="002D5109"/>
    <w:rsid w:val="002D557F"/>
    <w:rsid w:val="002E140C"/>
    <w:rsid w:val="002F082C"/>
    <w:rsid w:val="002F1773"/>
    <w:rsid w:val="002F4319"/>
    <w:rsid w:val="002F52C8"/>
    <w:rsid w:val="003002C4"/>
    <w:rsid w:val="0030107F"/>
    <w:rsid w:val="003015A1"/>
    <w:rsid w:val="00303799"/>
    <w:rsid w:val="003063CF"/>
    <w:rsid w:val="00306E86"/>
    <w:rsid w:val="00312E06"/>
    <w:rsid w:val="00312EAF"/>
    <w:rsid w:val="00317B62"/>
    <w:rsid w:val="00320F67"/>
    <w:rsid w:val="003226CA"/>
    <w:rsid w:val="00322D02"/>
    <w:rsid w:val="00323A20"/>
    <w:rsid w:val="00327990"/>
    <w:rsid w:val="0033211A"/>
    <w:rsid w:val="00335B25"/>
    <w:rsid w:val="00336567"/>
    <w:rsid w:val="003372C5"/>
    <w:rsid w:val="00337570"/>
    <w:rsid w:val="00342C85"/>
    <w:rsid w:val="00344206"/>
    <w:rsid w:val="003452F4"/>
    <w:rsid w:val="00345C9D"/>
    <w:rsid w:val="00345D2F"/>
    <w:rsid w:val="0035340E"/>
    <w:rsid w:val="003549B6"/>
    <w:rsid w:val="00355C99"/>
    <w:rsid w:val="003619FC"/>
    <w:rsid w:val="00361B90"/>
    <w:rsid w:val="00362FAE"/>
    <w:rsid w:val="00364983"/>
    <w:rsid w:val="0036690B"/>
    <w:rsid w:val="00366AEF"/>
    <w:rsid w:val="003710EB"/>
    <w:rsid w:val="00371500"/>
    <w:rsid w:val="003736B3"/>
    <w:rsid w:val="00374559"/>
    <w:rsid w:val="00374969"/>
    <w:rsid w:val="0038328E"/>
    <w:rsid w:val="00390982"/>
    <w:rsid w:val="003917D7"/>
    <w:rsid w:val="00394564"/>
    <w:rsid w:val="003946F9"/>
    <w:rsid w:val="00395FE3"/>
    <w:rsid w:val="003A3326"/>
    <w:rsid w:val="003A33E5"/>
    <w:rsid w:val="003A3884"/>
    <w:rsid w:val="003B125C"/>
    <w:rsid w:val="003B263B"/>
    <w:rsid w:val="003B5FB4"/>
    <w:rsid w:val="003C25D8"/>
    <w:rsid w:val="003C5DC4"/>
    <w:rsid w:val="003C6229"/>
    <w:rsid w:val="003D17FD"/>
    <w:rsid w:val="003D23AB"/>
    <w:rsid w:val="003D2D37"/>
    <w:rsid w:val="003D5098"/>
    <w:rsid w:val="003D6A8D"/>
    <w:rsid w:val="003E08D2"/>
    <w:rsid w:val="003E5EEF"/>
    <w:rsid w:val="004018B5"/>
    <w:rsid w:val="0040472D"/>
    <w:rsid w:val="004055D9"/>
    <w:rsid w:val="00406EC6"/>
    <w:rsid w:val="0041031C"/>
    <w:rsid w:val="004108B3"/>
    <w:rsid w:val="00410E61"/>
    <w:rsid w:val="0041384C"/>
    <w:rsid w:val="00414182"/>
    <w:rsid w:val="0041429D"/>
    <w:rsid w:val="00415734"/>
    <w:rsid w:val="00416231"/>
    <w:rsid w:val="0041730E"/>
    <w:rsid w:val="0042129C"/>
    <w:rsid w:val="00423AEC"/>
    <w:rsid w:val="004279B2"/>
    <w:rsid w:val="004300DD"/>
    <w:rsid w:val="0043143F"/>
    <w:rsid w:val="00431B37"/>
    <w:rsid w:val="00435BD6"/>
    <w:rsid w:val="00435CF0"/>
    <w:rsid w:val="00440B18"/>
    <w:rsid w:val="004419BA"/>
    <w:rsid w:val="00442137"/>
    <w:rsid w:val="0044779D"/>
    <w:rsid w:val="004508D8"/>
    <w:rsid w:val="00450C2E"/>
    <w:rsid w:val="00451BA8"/>
    <w:rsid w:val="0045447D"/>
    <w:rsid w:val="00455843"/>
    <w:rsid w:val="00455F0B"/>
    <w:rsid w:val="0045703D"/>
    <w:rsid w:val="00460EB6"/>
    <w:rsid w:val="00460FDB"/>
    <w:rsid w:val="00465FBA"/>
    <w:rsid w:val="0046692F"/>
    <w:rsid w:val="00470F98"/>
    <w:rsid w:val="004732A3"/>
    <w:rsid w:val="00474889"/>
    <w:rsid w:val="00474947"/>
    <w:rsid w:val="00475D5A"/>
    <w:rsid w:val="004772CF"/>
    <w:rsid w:val="00477429"/>
    <w:rsid w:val="00484FF9"/>
    <w:rsid w:val="00485B77"/>
    <w:rsid w:val="00487011"/>
    <w:rsid w:val="0049435D"/>
    <w:rsid w:val="00494F27"/>
    <w:rsid w:val="004A0228"/>
    <w:rsid w:val="004A2D72"/>
    <w:rsid w:val="004A3470"/>
    <w:rsid w:val="004B0AA8"/>
    <w:rsid w:val="004B0C51"/>
    <w:rsid w:val="004B2B2F"/>
    <w:rsid w:val="004B6AF2"/>
    <w:rsid w:val="004B7261"/>
    <w:rsid w:val="004B7772"/>
    <w:rsid w:val="004C21C6"/>
    <w:rsid w:val="004C5315"/>
    <w:rsid w:val="004C7307"/>
    <w:rsid w:val="004D12D4"/>
    <w:rsid w:val="004D1785"/>
    <w:rsid w:val="004D23C6"/>
    <w:rsid w:val="004D2739"/>
    <w:rsid w:val="004D4A53"/>
    <w:rsid w:val="004D5FEC"/>
    <w:rsid w:val="004D68A6"/>
    <w:rsid w:val="004E3207"/>
    <w:rsid w:val="004E4465"/>
    <w:rsid w:val="004F267F"/>
    <w:rsid w:val="004F30FD"/>
    <w:rsid w:val="004F4AA5"/>
    <w:rsid w:val="004F56D8"/>
    <w:rsid w:val="004F5C4C"/>
    <w:rsid w:val="004F7215"/>
    <w:rsid w:val="005000C5"/>
    <w:rsid w:val="00504EC3"/>
    <w:rsid w:val="00511661"/>
    <w:rsid w:val="00511D05"/>
    <w:rsid w:val="0051232F"/>
    <w:rsid w:val="005135FA"/>
    <w:rsid w:val="00516730"/>
    <w:rsid w:val="00520345"/>
    <w:rsid w:val="005203ED"/>
    <w:rsid w:val="005206EA"/>
    <w:rsid w:val="00521418"/>
    <w:rsid w:val="00521E4F"/>
    <w:rsid w:val="00523837"/>
    <w:rsid w:val="00524BBA"/>
    <w:rsid w:val="0052762F"/>
    <w:rsid w:val="0052763E"/>
    <w:rsid w:val="005310E9"/>
    <w:rsid w:val="00531E0E"/>
    <w:rsid w:val="00532D11"/>
    <w:rsid w:val="00533445"/>
    <w:rsid w:val="005344D1"/>
    <w:rsid w:val="00534BA2"/>
    <w:rsid w:val="0053709C"/>
    <w:rsid w:val="00542954"/>
    <w:rsid w:val="00542A4F"/>
    <w:rsid w:val="00544F09"/>
    <w:rsid w:val="00545630"/>
    <w:rsid w:val="005500A5"/>
    <w:rsid w:val="00550191"/>
    <w:rsid w:val="0055333F"/>
    <w:rsid w:val="00557109"/>
    <w:rsid w:val="00557B4B"/>
    <w:rsid w:val="005635E9"/>
    <w:rsid w:val="00565D7E"/>
    <w:rsid w:val="005703F4"/>
    <w:rsid w:val="005718F7"/>
    <w:rsid w:val="00574B46"/>
    <w:rsid w:val="00576131"/>
    <w:rsid w:val="00577FB4"/>
    <w:rsid w:val="0058055C"/>
    <w:rsid w:val="00585D7C"/>
    <w:rsid w:val="005902E8"/>
    <w:rsid w:val="005914A4"/>
    <w:rsid w:val="00592A5B"/>
    <w:rsid w:val="00594608"/>
    <w:rsid w:val="005A2959"/>
    <w:rsid w:val="005A6ED4"/>
    <w:rsid w:val="005B2685"/>
    <w:rsid w:val="005B6AEA"/>
    <w:rsid w:val="005B7738"/>
    <w:rsid w:val="005B7CDD"/>
    <w:rsid w:val="005C1F6F"/>
    <w:rsid w:val="005C6492"/>
    <w:rsid w:val="005C7E1E"/>
    <w:rsid w:val="005D113D"/>
    <w:rsid w:val="005D4901"/>
    <w:rsid w:val="005D78CE"/>
    <w:rsid w:val="005D7F12"/>
    <w:rsid w:val="005E07B7"/>
    <w:rsid w:val="005E0B73"/>
    <w:rsid w:val="005E102B"/>
    <w:rsid w:val="005E20B8"/>
    <w:rsid w:val="005E27A5"/>
    <w:rsid w:val="005E2F87"/>
    <w:rsid w:val="005E6CEB"/>
    <w:rsid w:val="005F06AA"/>
    <w:rsid w:val="005F34B4"/>
    <w:rsid w:val="005F5886"/>
    <w:rsid w:val="005F6906"/>
    <w:rsid w:val="0060019D"/>
    <w:rsid w:val="006011BD"/>
    <w:rsid w:val="0060188F"/>
    <w:rsid w:val="006026F2"/>
    <w:rsid w:val="00610A37"/>
    <w:rsid w:val="00610D24"/>
    <w:rsid w:val="00613066"/>
    <w:rsid w:val="00613B1C"/>
    <w:rsid w:val="00613FFF"/>
    <w:rsid w:val="006149E4"/>
    <w:rsid w:val="00620868"/>
    <w:rsid w:val="00621C9C"/>
    <w:rsid w:val="0062334B"/>
    <w:rsid w:val="006246F9"/>
    <w:rsid w:val="0062561B"/>
    <w:rsid w:val="00631ADB"/>
    <w:rsid w:val="006347E0"/>
    <w:rsid w:val="00635518"/>
    <w:rsid w:val="00635821"/>
    <w:rsid w:val="00635BBE"/>
    <w:rsid w:val="006414CD"/>
    <w:rsid w:val="006428F2"/>
    <w:rsid w:val="00642D9C"/>
    <w:rsid w:val="0064544A"/>
    <w:rsid w:val="00646FA7"/>
    <w:rsid w:val="006470AD"/>
    <w:rsid w:val="0065013C"/>
    <w:rsid w:val="006528A6"/>
    <w:rsid w:val="00655249"/>
    <w:rsid w:val="00656D8B"/>
    <w:rsid w:val="006575C6"/>
    <w:rsid w:val="00657782"/>
    <w:rsid w:val="00661079"/>
    <w:rsid w:val="00664683"/>
    <w:rsid w:val="00666076"/>
    <w:rsid w:val="006670A5"/>
    <w:rsid w:val="006719C2"/>
    <w:rsid w:val="006727D6"/>
    <w:rsid w:val="006742C1"/>
    <w:rsid w:val="006754C6"/>
    <w:rsid w:val="00676C8B"/>
    <w:rsid w:val="00676D82"/>
    <w:rsid w:val="006827F3"/>
    <w:rsid w:val="0068449B"/>
    <w:rsid w:val="006872DF"/>
    <w:rsid w:val="00690AFF"/>
    <w:rsid w:val="00690C29"/>
    <w:rsid w:val="00692C36"/>
    <w:rsid w:val="006969A1"/>
    <w:rsid w:val="006A3AA7"/>
    <w:rsid w:val="006B17B3"/>
    <w:rsid w:val="006B4E28"/>
    <w:rsid w:val="006B7C0B"/>
    <w:rsid w:val="006B7FA3"/>
    <w:rsid w:val="006C5DE4"/>
    <w:rsid w:val="006D0E42"/>
    <w:rsid w:val="006D1A70"/>
    <w:rsid w:val="006D4003"/>
    <w:rsid w:val="006D441E"/>
    <w:rsid w:val="006D66A9"/>
    <w:rsid w:val="006E00B8"/>
    <w:rsid w:val="006E1145"/>
    <w:rsid w:val="006E3680"/>
    <w:rsid w:val="006E3890"/>
    <w:rsid w:val="006E69B9"/>
    <w:rsid w:val="006E78FC"/>
    <w:rsid w:val="006E7A80"/>
    <w:rsid w:val="006F234B"/>
    <w:rsid w:val="006F2DF1"/>
    <w:rsid w:val="006F72FC"/>
    <w:rsid w:val="0070014E"/>
    <w:rsid w:val="00700244"/>
    <w:rsid w:val="007015D2"/>
    <w:rsid w:val="00702D36"/>
    <w:rsid w:val="007062A3"/>
    <w:rsid w:val="00706D34"/>
    <w:rsid w:val="00715E9F"/>
    <w:rsid w:val="00720602"/>
    <w:rsid w:val="00722B2D"/>
    <w:rsid w:val="00722BD8"/>
    <w:rsid w:val="00734053"/>
    <w:rsid w:val="007404E7"/>
    <w:rsid w:val="007410BF"/>
    <w:rsid w:val="00744118"/>
    <w:rsid w:val="00744DCF"/>
    <w:rsid w:val="007457E3"/>
    <w:rsid w:val="00747200"/>
    <w:rsid w:val="0075055A"/>
    <w:rsid w:val="00750586"/>
    <w:rsid w:val="00751AC6"/>
    <w:rsid w:val="007533FE"/>
    <w:rsid w:val="00764131"/>
    <w:rsid w:val="0076574F"/>
    <w:rsid w:val="00765C37"/>
    <w:rsid w:val="00766798"/>
    <w:rsid w:val="00767B58"/>
    <w:rsid w:val="00771444"/>
    <w:rsid w:val="00771557"/>
    <w:rsid w:val="00772329"/>
    <w:rsid w:val="0077298C"/>
    <w:rsid w:val="007779DB"/>
    <w:rsid w:val="0078003C"/>
    <w:rsid w:val="00781CAE"/>
    <w:rsid w:val="00783C0D"/>
    <w:rsid w:val="00784276"/>
    <w:rsid w:val="00787579"/>
    <w:rsid w:val="007911FA"/>
    <w:rsid w:val="0079294B"/>
    <w:rsid w:val="007952FF"/>
    <w:rsid w:val="007A235A"/>
    <w:rsid w:val="007A23C3"/>
    <w:rsid w:val="007B0775"/>
    <w:rsid w:val="007B202C"/>
    <w:rsid w:val="007B3503"/>
    <w:rsid w:val="007B54D6"/>
    <w:rsid w:val="007B5C86"/>
    <w:rsid w:val="007B7FDC"/>
    <w:rsid w:val="007C25DA"/>
    <w:rsid w:val="007D04CB"/>
    <w:rsid w:val="007D057E"/>
    <w:rsid w:val="007D31D8"/>
    <w:rsid w:val="007D78DF"/>
    <w:rsid w:val="007D7A71"/>
    <w:rsid w:val="007E10B2"/>
    <w:rsid w:val="007E16A2"/>
    <w:rsid w:val="007E19B6"/>
    <w:rsid w:val="007E1A33"/>
    <w:rsid w:val="007E36C3"/>
    <w:rsid w:val="007E3896"/>
    <w:rsid w:val="007E39FF"/>
    <w:rsid w:val="007E4154"/>
    <w:rsid w:val="007E41E8"/>
    <w:rsid w:val="007E4249"/>
    <w:rsid w:val="007E5772"/>
    <w:rsid w:val="007F3E6B"/>
    <w:rsid w:val="007F4D6F"/>
    <w:rsid w:val="00803CF8"/>
    <w:rsid w:val="00804141"/>
    <w:rsid w:val="00805D1B"/>
    <w:rsid w:val="00806584"/>
    <w:rsid w:val="00806657"/>
    <w:rsid w:val="00807646"/>
    <w:rsid w:val="008175EC"/>
    <w:rsid w:val="00817CE3"/>
    <w:rsid w:val="00823B81"/>
    <w:rsid w:val="00825E58"/>
    <w:rsid w:val="008316F6"/>
    <w:rsid w:val="00832555"/>
    <w:rsid w:val="00837108"/>
    <w:rsid w:val="0084002C"/>
    <w:rsid w:val="008401DE"/>
    <w:rsid w:val="00845D65"/>
    <w:rsid w:val="0084642F"/>
    <w:rsid w:val="008471D1"/>
    <w:rsid w:val="008502DE"/>
    <w:rsid w:val="008519FE"/>
    <w:rsid w:val="00852219"/>
    <w:rsid w:val="00852751"/>
    <w:rsid w:val="008539AB"/>
    <w:rsid w:val="00855DE7"/>
    <w:rsid w:val="008578C3"/>
    <w:rsid w:val="008620B5"/>
    <w:rsid w:val="00862788"/>
    <w:rsid w:val="00862B54"/>
    <w:rsid w:val="00865134"/>
    <w:rsid w:val="00865B8D"/>
    <w:rsid w:val="008703D3"/>
    <w:rsid w:val="0087057A"/>
    <w:rsid w:val="00875E87"/>
    <w:rsid w:val="00877B51"/>
    <w:rsid w:val="00880826"/>
    <w:rsid w:val="00887CBA"/>
    <w:rsid w:val="00892562"/>
    <w:rsid w:val="008948E3"/>
    <w:rsid w:val="00896015"/>
    <w:rsid w:val="008971D6"/>
    <w:rsid w:val="00897AC2"/>
    <w:rsid w:val="008A1590"/>
    <w:rsid w:val="008A74C0"/>
    <w:rsid w:val="008B293C"/>
    <w:rsid w:val="008B40DF"/>
    <w:rsid w:val="008B501A"/>
    <w:rsid w:val="008C0720"/>
    <w:rsid w:val="008C08D4"/>
    <w:rsid w:val="008C2907"/>
    <w:rsid w:val="008C2C6B"/>
    <w:rsid w:val="008C63E9"/>
    <w:rsid w:val="008C7371"/>
    <w:rsid w:val="008C74DA"/>
    <w:rsid w:val="008D0178"/>
    <w:rsid w:val="008D0885"/>
    <w:rsid w:val="008E2749"/>
    <w:rsid w:val="008E27AF"/>
    <w:rsid w:val="008E2B04"/>
    <w:rsid w:val="008E3717"/>
    <w:rsid w:val="008F4856"/>
    <w:rsid w:val="008F4E79"/>
    <w:rsid w:val="008F5037"/>
    <w:rsid w:val="008F71D5"/>
    <w:rsid w:val="0090388C"/>
    <w:rsid w:val="00905CA4"/>
    <w:rsid w:val="009061A9"/>
    <w:rsid w:val="00912EFD"/>
    <w:rsid w:val="009146C9"/>
    <w:rsid w:val="00914892"/>
    <w:rsid w:val="009158FC"/>
    <w:rsid w:val="009159C3"/>
    <w:rsid w:val="0092028E"/>
    <w:rsid w:val="00920A81"/>
    <w:rsid w:val="00920D1E"/>
    <w:rsid w:val="009212B3"/>
    <w:rsid w:val="009224A6"/>
    <w:rsid w:val="009306B4"/>
    <w:rsid w:val="0093168F"/>
    <w:rsid w:val="00932BBF"/>
    <w:rsid w:val="00933280"/>
    <w:rsid w:val="00933B78"/>
    <w:rsid w:val="00934531"/>
    <w:rsid w:val="00940900"/>
    <w:rsid w:val="00941280"/>
    <w:rsid w:val="00941D32"/>
    <w:rsid w:val="00943B13"/>
    <w:rsid w:val="00943C77"/>
    <w:rsid w:val="00945698"/>
    <w:rsid w:val="00951270"/>
    <w:rsid w:val="00952378"/>
    <w:rsid w:val="00953C8F"/>
    <w:rsid w:val="0095453B"/>
    <w:rsid w:val="00954818"/>
    <w:rsid w:val="009567A1"/>
    <w:rsid w:val="00960145"/>
    <w:rsid w:val="00964315"/>
    <w:rsid w:val="00973760"/>
    <w:rsid w:val="00974E39"/>
    <w:rsid w:val="00975736"/>
    <w:rsid w:val="00975963"/>
    <w:rsid w:val="0097650F"/>
    <w:rsid w:val="009847AB"/>
    <w:rsid w:val="00986012"/>
    <w:rsid w:val="00986E81"/>
    <w:rsid w:val="0098730A"/>
    <w:rsid w:val="00987A3D"/>
    <w:rsid w:val="00992A29"/>
    <w:rsid w:val="00995FED"/>
    <w:rsid w:val="009A2326"/>
    <w:rsid w:val="009A3015"/>
    <w:rsid w:val="009A38A8"/>
    <w:rsid w:val="009A3F44"/>
    <w:rsid w:val="009A4037"/>
    <w:rsid w:val="009A4EB1"/>
    <w:rsid w:val="009A5801"/>
    <w:rsid w:val="009A5A38"/>
    <w:rsid w:val="009A642F"/>
    <w:rsid w:val="009B1553"/>
    <w:rsid w:val="009B2F0C"/>
    <w:rsid w:val="009B496C"/>
    <w:rsid w:val="009B56CC"/>
    <w:rsid w:val="009B5C65"/>
    <w:rsid w:val="009B6611"/>
    <w:rsid w:val="009B7296"/>
    <w:rsid w:val="009C152C"/>
    <w:rsid w:val="009C16C0"/>
    <w:rsid w:val="009C4FB2"/>
    <w:rsid w:val="009D2978"/>
    <w:rsid w:val="009D2F04"/>
    <w:rsid w:val="009D3296"/>
    <w:rsid w:val="009D35EC"/>
    <w:rsid w:val="009D3788"/>
    <w:rsid w:val="009E1299"/>
    <w:rsid w:val="009E41DF"/>
    <w:rsid w:val="009E4748"/>
    <w:rsid w:val="009E4760"/>
    <w:rsid w:val="009E58E3"/>
    <w:rsid w:val="009E5BF7"/>
    <w:rsid w:val="009E69A7"/>
    <w:rsid w:val="009F022B"/>
    <w:rsid w:val="009F1198"/>
    <w:rsid w:val="009F1EF7"/>
    <w:rsid w:val="009F6369"/>
    <w:rsid w:val="009F65D1"/>
    <w:rsid w:val="00A021AD"/>
    <w:rsid w:val="00A0459C"/>
    <w:rsid w:val="00A05A1D"/>
    <w:rsid w:val="00A065F7"/>
    <w:rsid w:val="00A07149"/>
    <w:rsid w:val="00A11802"/>
    <w:rsid w:val="00A1472F"/>
    <w:rsid w:val="00A171D9"/>
    <w:rsid w:val="00A17329"/>
    <w:rsid w:val="00A2147B"/>
    <w:rsid w:val="00A2264F"/>
    <w:rsid w:val="00A22F62"/>
    <w:rsid w:val="00A23A64"/>
    <w:rsid w:val="00A244B7"/>
    <w:rsid w:val="00A24D28"/>
    <w:rsid w:val="00A256CD"/>
    <w:rsid w:val="00A3321B"/>
    <w:rsid w:val="00A37DDF"/>
    <w:rsid w:val="00A50D63"/>
    <w:rsid w:val="00A51667"/>
    <w:rsid w:val="00A52CB5"/>
    <w:rsid w:val="00A56887"/>
    <w:rsid w:val="00A57A93"/>
    <w:rsid w:val="00A6317D"/>
    <w:rsid w:val="00A7186E"/>
    <w:rsid w:val="00A71B82"/>
    <w:rsid w:val="00A74CFE"/>
    <w:rsid w:val="00A7502E"/>
    <w:rsid w:val="00A81744"/>
    <w:rsid w:val="00A82497"/>
    <w:rsid w:val="00A82519"/>
    <w:rsid w:val="00A875EF"/>
    <w:rsid w:val="00A91866"/>
    <w:rsid w:val="00A92192"/>
    <w:rsid w:val="00A92A6F"/>
    <w:rsid w:val="00A92B65"/>
    <w:rsid w:val="00A9433D"/>
    <w:rsid w:val="00A948E5"/>
    <w:rsid w:val="00A94D31"/>
    <w:rsid w:val="00A966BF"/>
    <w:rsid w:val="00A966D7"/>
    <w:rsid w:val="00A96CF8"/>
    <w:rsid w:val="00A97543"/>
    <w:rsid w:val="00AA3A12"/>
    <w:rsid w:val="00AA4F2C"/>
    <w:rsid w:val="00AA59AB"/>
    <w:rsid w:val="00AA726C"/>
    <w:rsid w:val="00AB0988"/>
    <w:rsid w:val="00AB3F5C"/>
    <w:rsid w:val="00AB65EF"/>
    <w:rsid w:val="00AB673B"/>
    <w:rsid w:val="00AC228F"/>
    <w:rsid w:val="00AC2FF7"/>
    <w:rsid w:val="00AD298A"/>
    <w:rsid w:val="00AD4A82"/>
    <w:rsid w:val="00AD5B87"/>
    <w:rsid w:val="00AE39C0"/>
    <w:rsid w:val="00AE4021"/>
    <w:rsid w:val="00AE4F9D"/>
    <w:rsid w:val="00AE6ED3"/>
    <w:rsid w:val="00AE6F51"/>
    <w:rsid w:val="00AE7469"/>
    <w:rsid w:val="00AF02B4"/>
    <w:rsid w:val="00AF08EF"/>
    <w:rsid w:val="00AF1243"/>
    <w:rsid w:val="00AF2FD6"/>
    <w:rsid w:val="00AF4743"/>
    <w:rsid w:val="00AF5594"/>
    <w:rsid w:val="00AF57FF"/>
    <w:rsid w:val="00AF70E2"/>
    <w:rsid w:val="00AF7152"/>
    <w:rsid w:val="00AF79BB"/>
    <w:rsid w:val="00AF7BE8"/>
    <w:rsid w:val="00B0186D"/>
    <w:rsid w:val="00B033FC"/>
    <w:rsid w:val="00B039A7"/>
    <w:rsid w:val="00B05F03"/>
    <w:rsid w:val="00B05F08"/>
    <w:rsid w:val="00B11A15"/>
    <w:rsid w:val="00B127B9"/>
    <w:rsid w:val="00B14B12"/>
    <w:rsid w:val="00B15F69"/>
    <w:rsid w:val="00B16815"/>
    <w:rsid w:val="00B16AF5"/>
    <w:rsid w:val="00B21ADD"/>
    <w:rsid w:val="00B238BF"/>
    <w:rsid w:val="00B249A0"/>
    <w:rsid w:val="00B24E48"/>
    <w:rsid w:val="00B318BB"/>
    <w:rsid w:val="00B323BF"/>
    <w:rsid w:val="00B32428"/>
    <w:rsid w:val="00B40616"/>
    <w:rsid w:val="00B4212B"/>
    <w:rsid w:val="00B424AC"/>
    <w:rsid w:val="00B45A11"/>
    <w:rsid w:val="00B53381"/>
    <w:rsid w:val="00B56721"/>
    <w:rsid w:val="00B64E19"/>
    <w:rsid w:val="00B6577F"/>
    <w:rsid w:val="00B66F95"/>
    <w:rsid w:val="00B7242E"/>
    <w:rsid w:val="00B72C7C"/>
    <w:rsid w:val="00B732C7"/>
    <w:rsid w:val="00B73609"/>
    <w:rsid w:val="00B751FD"/>
    <w:rsid w:val="00B76206"/>
    <w:rsid w:val="00B85FC6"/>
    <w:rsid w:val="00B87CCD"/>
    <w:rsid w:val="00B908A6"/>
    <w:rsid w:val="00B909EE"/>
    <w:rsid w:val="00B92919"/>
    <w:rsid w:val="00B95891"/>
    <w:rsid w:val="00B97166"/>
    <w:rsid w:val="00B97726"/>
    <w:rsid w:val="00B97815"/>
    <w:rsid w:val="00B97957"/>
    <w:rsid w:val="00BA1ADD"/>
    <w:rsid w:val="00BA3D8C"/>
    <w:rsid w:val="00BA44A4"/>
    <w:rsid w:val="00BA4886"/>
    <w:rsid w:val="00BA725D"/>
    <w:rsid w:val="00BA7A63"/>
    <w:rsid w:val="00BB021F"/>
    <w:rsid w:val="00BB2E39"/>
    <w:rsid w:val="00BB5FF9"/>
    <w:rsid w:val="00BB65D8"/>
    <w:rsid w:val="00BC2582"/>
    <w:rsid w:val="00BC2DB5"/>
    <w:rsid w:val="00BC2E73"/>
    <w:rsid w:val="00BD4D34"/>
    <w:rsid w:val="00BD690E"/>
    <w:rsid w:val="00BE3820"/>
    <w:rsid w:val="00BE7C24"/>
    <w:rsid w:val="00BF1A3C"/>
    <w:rsid w:val="00BF1C9F"/>
    <w:rsid w:val="00BF3CF7"/>
    <w:rsid w:val="00BF6CEB"/>
    <w:rsid w:val="00BF7384"/>
    <w:rsid w:val="00BF76F1"/>
    <w:rsid w:val="00C0532A"/>
    <w:rsid w:val="00C06C33"/>
    <w:rsid w:val="00C07BF2"/>
    <w:rsid w:val="00C13844"/>
    <w:rsid w:val="00C22204"/>
    <w:rsid w:val="00C25580"/>
    <w:rsid w:val="00C25669"/>
    <w:rsid w:val="00C261D4"/>
    <w:rsid w:val="00C33584"/>
    <w:rsid w:val="00C345C4"/>
    <w:rsid w:val="00C400E5"/>
    <w:rsid w:val="00C402A4"/>
    <w:rsid w:val="00C416A1"/>
    <w:rsid w:val="00C41B23"/>
    <w:rsid w:val="00C41FC8"/>
    <w:rsid w:val="00C4212E"/>
    <w:rsid w:val="00C445B1"/>
    <w:rsid w:val="00C457E8"/>
    <w:rsid w:val="00C520D3"/>
    <w:rsid w:val="00C526E6"/>
    <w:rsid w:val="00C52FE5"/>
    <w:rsid w:val="00C57009"/>
    <w:rsid w:val="00C600DE"/>
    <w:rsid w:val="00C66C8A"/>
    <w:rsid w:val="00C71A16"/>
    <w:rsid w:val="00C7281B"/>
    <w:rsid w:val="00C72BF7"/>
    <w:rsid w:val="00C75B0F"/>
    <w:rsid w:val="00C80B37"/>
    <w:rsid w:val="00C80FB3"/>
    <w:rsid w:val="00C81168"/>
    <w:rsid w:val="00C82099"/>
    <w:rsid w:val="00C82BCC"/>
    <w:rsid w:val="00C845FE"/>
    <w:rsid w:val="00C84747"/>
    <w:rsid w:val="00C8783F"/>
    <w:rsid w:val="00C92E7F"/>
    <w:rsid w:val="00C93DE7"/>
    <w:rsid w:val="00C95022"/>
    <w:rsid w:val="00C96B6A"/>
    <w:rsid w:val="00CA015C"/>
    <w:rsid w:val="00CA0814"/>
    <w:rsid w:val="00CA1DEB"/>
    <w:rsid w:val="00CA46D4"/>
    <w:rsid w:val="00CB10A0"/>
    <w:rsid w:val="00CB2579"/>
    <w:rsid w:val="00CB2719"/>
    <w:rsid w:val="00CB4704"/>
    <w:rsid w:val="00CB5B28"/>
    <w:rsid w:val="00CB5E86"/>
    <w:rsid w:val="00CB7A18"/>
    <w:rsid w:val="00CC0A53"/>
    <w:rsid w:val="00CC47B1"/>
    <w:rsid w:val="00CD00DE"/>
    <w:rsid w:val="00CD095F"/>
    <w:rsid w:val="00CD168C"/>
    <w:rsid w:val="00CD17B4"/>
    <w:rsid w:val="00CD7194"/>
    <w:rsid w:val="00CD7327"/>
    <w:rsid w:val="00CD7818"/>
    <w:rsid w:val="00CD79C6"/>
    <w:rsid w:val="00CE0A8A"/>
    <w:rsid w:val="00CE3BDD"/>
    <w:rsid w:val="00CE4643"/>
    <w:rsid w:val="00CE473C"/>
    <w:rsid w:val="00CE489D"/>
    <w:rsid w:val="00CE566A"/>
    <w:rsid w:val="00CF0EB1"/>
    <w:rsid w:val="00CF5809"/>
    <w:rsid w:val="00D0294D"/>
    <w:rsid w:val="00D02D11"/>
    <w:rsid w:val="00D03A9C"/>
    <w:rsid w:val="00D048FD"/>
    <w:rsid w:val="00D05411"/>
    <w:rsid w:val="00D05F35"/>
    <w:rsid w:val="00D071C4"/>
    <w:rsid w:val="00D122FC"/>
    <w:rsid w:val="00D13C19"/>
    <w:rsid w:val="00D157C7"/>
    <w:rsid w:val="00D177E2"/>
    <w:rsid w:val="00D20449"/>
    <w:rsid w:val="00D244D1"/>
    <w:rsid w:val="00D24617"/>
    <w:rsid w:val="00D271A1"/>
    <w:rsid w:val="00D276EF"/>
    <w:rsid w:val="00D279D1"/>
    <w:rsid w:val="00D32373"/>
    <w:rsid w:val="00D33EBD"/>
    <w:rsid w:val="00D34015"/>
    <w:rsid w:val="00D355DC"/>
    <w:rsid w:val="00D35AB6"/>
    <w:rsid w:val="00D40804"/>
    <w:rsid w:val="00D40C35"/>
    <w:rsid w:val="00D415EF"/>
    <w:rsid w:val="00D420D5"/>
    <w:rsid w:val="00D435AD"/>
    <w:rsid w:val="00D445E1"/>
    <w:rsid w:val="00D456B7"/>
    <w:rsid w:val="00D466B2"/>
    <w:rsid w:val="00D46822"/>
    <w:rsid w:val="00D55FD9"/>
    <w:rsid w:val="00D562FB"/>
    <w:rsid w:val="00D56E27"/>
    <w:rsid w:val="00D610EB"/>
    <w:rsid w:val="00D61E5C"/>
    <w:rsid w:val="00D623EB"/>
    <w:rsid w:val="00D6309E"/>
    <w:rsid w:val="00D660F2"/>
    <w:rsid w:val="00D66F07"/>
    <w:rsid w:val="00D7201A"/>
    <w:rsid w:val="00D72925"/>
    <w:rsid w:val="00D757AF"/>
    <w:rsid w:val="00D765EE"/>
    <w:rsid w:val="00D76A2A"/>
    <w:rsid w:val="00D77B0E"/>
    <w:rsid w:val="00D84288"/>
    <w:rsid w:val="00D84C0B"/>
    <w:rsid w:val="00D8581A"/>
    <w:rsid w:val="00D86FA8"/>
    <w:rsid w:val="00DA68DD"/>
    <w:rsid w:val="00DB146D"/>
    <w:rsid w:val="00DB3209"/>
    <w:rsid w:val="00DB3265"/>
    <w:rsid w:val="00DB344D"/>
    <w:rsid w:val="00DB5786"/>
    <w:rsid w:val="00DB6A21"/>
    <w:rsid w:val="00DC092B"/>
    <w:rsid w:val="00DC10A7"/>
    <w:rsid w:val="00DC1C53"/>
    <w:rsid w:val="00DC71EE"/>
    <w:rsid w:val="00DD0014"/>
    <w:rsid w:val="00DD0133"/>
    <w:rsid w:val="00DD25C6"/>
    <w:rsid w:val="00DE0595"/>
    <w:rsid w:val="00DE0BA1"/>
    <w:rsid w:val="00DE530F"/>
    <w:rsid w:val="00DE5C6D"/>
    <w:rsid w:val="00DE5D92"/>
    <w:rsid w:val="00DE7BD9"/>
    <w:rsid w:val="00DF0A29"/>
    <w:rsid w:val="00DF222F"/>
    <w:rsid w:val="00DF24CE"/>
    <w:rsid w:val="00DF3403"/>
    <w:rsid w:val="00DF367F"/>
    <w:rsid w:val="00DF5AAD"/>
    <w:rsid w:val="00DF6247"/>
    <w:rsid w:val="00DF7683"/>
    <w:rsid w:val="00E02AE9"/>
    <w:rsid w:val="00E10964"/>
    <w:rsid w:val="00E121ED"/>
    <w:rsid w:val="00E127D5"/>
    <w:rsid w:val="00E146DA"/>
    <w:rsid w:val="00E17324"/>
    <w:rsid w:val="00E17700"/>
    <w:rsid w:val="00E20CB1"/>
    <w:rsid w:val="00E26C62"/>
    <w:rsid w:val="00E30404"/>
    <w:rsid w:val="00E33543"/>
    <w:rsid w:val="00E33CB3"/>
    <w:rsid w:val="00E33D05"/>
    <w:rsid w:val="00E406FC"/>
    <w:rsid w:val="00E41EF7"/>
    <w:rsid w:val="00E423BC"/>
    <w:rsid w:val="00E45F70"/>
    <w:rsid w:val="00E463D3"/>
    <w:rsid w:val="00E46D97"/>
    <w:rsid w:val="00E46DBC"/>
    <w:rsid w:val="00E51FA8"/>
    <w:rsid w:val="00E522D2"/>
    <w:rsid w:val="00E52E04"/>
    <w:rsid w:val="00E543FF"/>
    <w:rsid w:val="00E548E6"/>
    <w:rsid w:val="00E63B66"/>
    <w:rsid w:val="00E658FB"/>
    <w:rsid w:val="00E67646"/>
    <w:rsid w:val="00E67BF3"/>
    <w:rsid w:val="00E67F90"/>
    <w:rsid w:val="00E72169"/>
    <w:rsid w:val="00E733E5"/>
    <w:rsid w:val="00E74D4A"/>
    <w:rsid w:val="00E807F3"/>
    <w:rsid w:val="00E80BC1"/>
    <w:rsid w:val="00E84A41"/>
    <w:rsid w:val="00E857D0"/>
    <w:rsid w:val="00E910E1"/>
    <w:rsid w:val="00E94300"/>
    <w:rsid w:val="00EA1131"/>
    <w:rsid w:val="00EA2D86"/>
    <w:rsid w:val="00EA5CE9"/>
    <w:rsid w:val="00EA636E"/>
    <w:rsid w:val="00EA712A"/>
    <w:rsid w:val="00EA731D"/>
    <w:rsid w:val="00EB04DA"/>
    <w:rsid w:val="00EB2F21"/>
    <w:rsid w:val="00EB4871"/>
    <w:rsid w:val="00EB4BFB"/>
    <w:rsid w:val="00EB5711"/>
    <w:rsid w:val="00EB6949"/>
    <w:rsid w:val="00EC4608"/>
    <w:rsid w:val="00EC7288"/>
    <w:rsid w:val="00ED2138"/>
    <w:rsid w:val="00ED3BE4"/>
    <w:rsid w:val="00ED56F3"/>
    <w:rsid w:val="00EE0F90"/>
    <w:rsid w:val="00EE219F"/>
    <w:rsid w:val="00EE5945"/>
    <w:rsid w:val="00EE5D78"/>
    <w:rsid w:val="00EE71DD"/>
    <w:rsid w:val="00EF04E2"/>
    <w:rsid w:val="00EF0BB0"/>
    <w:rsid w:val="00EF3DFB"/>
    <w:rsid w:val="00EF530A"/>
    <w:rsid w:val="00EF58D4"/>
    <w:rsid w:val="00EF5927"/>
    <w:rsid w:val="00EF75B9"/>
    <w:rsid w:val="00EF7907"/>
    <w:rsid w:val="00F001AB"/>
    <w:rsid w:val="00F00B83"/>
    <w:rsid w:val="00F03464"/>
    <w:rsid w:val="00F14727"/>
    <w:rsid w:val="00F16D93"/>
    <w:rsid w:val="00F17E10"/>
    <w:rsid w:val="00F218C6"/>
    <w:rsid w:val="00F25357"/>
    <w:rsid w:val="00F25C7C"/>
    <w:rsid w:val="00F31CC6"/>
    <w:rsid w:val="00F33B17"/>
    <w:rsid w:val="00F3479F"/>
    <w:rsid w:val="00F34D5D"/>
    <w:rsid w:val="00F400ED"/>
    <w:rsid w:val="00F40483"/>
    <w:rsid w:val="00F47617"/>
    <w:rsid w:val="00F53C91"/>
    <w:rsid w:val="00F54343"/>
    <w:rsid w:val="00F546F7"/>
    <w:rsid w:val="00F54807"/>
    <w:rsid w:val="00F60B9B"/>
    <w:rsid w:val="00F61A0D"/>
    <w:rsid w:val="00F62243"/>
    <w:rsid w:val="00F65BBB"/>
    <w:rsid w:val="00F65FF3"/>
    <w:rsid w:val="00F6636B"/>
    <w:rsid w:val="00F67230"/>
    <w:rsid w:val="00F6732D"/>
    <w:rsid w:val="00F67CEA"/>
    <w:rsid w:val="00F707A1"/>
    <w:rsid w:val="00F74D8B"/>
    <w:rsid w:val="00F76CFF"/>
    <w:rsid w:val="00F80B7E"/>
    <w:rsid w:val="00F84C3E"/>
    <w:rsid w:val="00F8679C"/>
    <w:rsid w:val="00F8788B"/>
    <w:rsid w:val="00F91E4B"/>
    <w:rsid w:val="00F92921"/>
    <w:rsid w:val="00F93A02"/>
    <w:rsid w:val="00F94C1C"/>
    <w:rsid w:val="00F96DE1"/>
    <w:rsid w:val="00FA021D"/>
    <w:rsid w:val="00FA4A53"/>
    <w:rsid w:val="00FA6110"/>
    <w:rsid w:val="00FA7CFB"/>
    <w:rsid w:val="00FB0964"/>
    <w:rsid w:val="00FC0074"/>
    <w:rsid w:val="00FC139D"/>
    <w:rsid w:val="00FC251C"/>
    <w:rsid w:val="00FC41E6"/>
    <w:rsid w:val="00FC46F1"/>
    <w:rsid w:val="00FC4C75"/>
    <w:rsid w:val="00FC5AF8"/>
    <w:rsid w:val="00FC765D"/>
    <w:rsid w:val="00FD0EB9"/>
    <w:rsid w:val="00FD12FF"/>
    <w:rsid w:val="00FD1E00"/>
    <w:rsid w:val="00FD27DC"/>
    <w:rsid w:val="00FD4C2F"/>
    <w:rsid w:val="00FD6FB5"/>
    <w:rsid w:val="00FE235C"/>
    <w:rsid w:val="00FE71FC"/>
    <w:rsid w:val="00FF147B"/>
    <w:rsid w:val="00FF4DD8"/>
    <w:rsid w:val="00FF6757"/>
    <w:rsid w:val="00FF7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DC9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5B25"/>
  </w:style>
  <w:style w:type="paragraph" w:styleId="Heading1">
    <w:name w:val="heading 1"/>
    <w:aliases w:val="Edgar 1,título 1"/>
    <w:basedOn w:val="Normal"/>
    <w:next w:val="Normal"/>
    <w:qFormat/>
    <w:rsid w:val="00335B25"/>
    <w:pPr>
      <w:keepNext/>
      <w:numPr>
        <w:numId w:val="2"/>
      </w:numPr>
      <w:spacing w:before="240" w:after="60"/>
      <w:outlineLvl w:val="0"/>
    </w:pPr>
    <w:rPr>
      <w:rFonts w:ascii="Arial" w:hAnsi="Arial"/>
      <w:b/>
      <w:kern w:val="28"/>
      <w:sz w:val="28"/>
    </w:rPr>
  </w:style>
  <w:style w:type="paragraph" w:styleId="Heading2">
    <w:name w:val="heading 2"/>
    <w:aliases w:val="Edgar 2,título 2,título 2 Car,Título 2 Car,Edgar 2 Car"/>
    <w:basedOn w:val="Normal"/>
    <w:next w:val="Normal"/>
    <w:qFormat/>
    <w:rsid w:val="00335B25"/>
    <w:pPr>
      <w:keepNext/>
      <w:numPr>
        <w:ilvl w:val="1"/>
        <w:numId w:val="3"/>
      </w:numPr>
      <w:spacing w:before="240" w:after="60"/>
      <w:outlineLvl w:val="1"/>
    </w:pPr>
    <w:rPr>
      <w:rFonts w:ascii="Arial" w:hAnsi="Arial"/>
      <w:b/>
      <w:i/>
    </w:rPr>
  </w:style>
  <w:style w:type="paragraph" w:styleId="Heading3">
    <w:name w:val="heading 3"/>
    <w:basedOn w:val="Normal"/>
    <w:next w:val="Normal"/>
    <w:qFormat/>
    <w:rsid w:val="00335B25"/>
    <w:pPr>
      <w:keepNext/>
      <w:numPr>
        <w:ilvl w:val="2"/>
        <w:numId w:val="4"/>
      </w:numPr>
      <w:spacing w:before="240" w:after="60"/>
      <w:outlineLvl w:val="2"/>
    </w:pPr>
    <w:rPr>
      <w:rFonts w:ascii="Arial" w:hAnsi="Arial"/>
    </w:rPr>
  </w:style>
  <w:style w:type="paragraph" w:styleId="Heading4">
    <w:name w:val="heading 4"/>
    <w:basedOn w:val="Normal"/>
    <w:next w:val="Normal"/>
    <w:qFormat/>
    <w:rsid w:val="00335B25"/>
    <w:pPr>
      <w:keepNext/>
      <w:numPr>
        <w:ilvl w:val="3"/>
        <w:numId w:val="5"/>
      </w:numPr>
      <w:spacing w:before="240" w:after="60"/>
      <w:outlineLvl w:val="3"/>
    </w:pPr>
    <w:rPr>
      <w:rFonts w:ascii="Arial" w:hAnsi="Arial"/>
      <w:b/>
    </w:rPr>
  </w:style>
  <w:style w:type="paragraph" w:styleId="Heading5">
    <w:name w:val="heading 5"/>
    <w:aliases w:val="Título 5-BCN"/>
    <w:basedOn w:val="Normal"/>
    <w:next w:val="Normal"/>
    <w:qFormat/>
    <w:rsid w:val="00533445"/>
    <w:pPr>
      <w:numPr>
        <w:ilvl w:val="4"/>
        <w:numId w:val="1"/>
      </w:numPr>
      <w:spacing w:before="240" w:after="60"/>
      <w:outlineLvl w:val="4"/>
    </w:pPr>
    <w:rPr>
      <w:sz w:val="22"/>
    </w:rPr>
  </w:style>
  <w:style w:type="paragraph" w:styleId="Heading6">
    <w:name w:val="heading 6"/>
    <w:aliases w:val="Título 6-BCN"/>
    <w:basedOn w:val="Normal"/>
    <w:next w:val="Normal"/>
    <w:qFormat/>
    <w:rsid w:val="00533445"/>
    <w:pPr>
      <w:numPr>
        <w:ilvl w:val="5"/>
        <w:numId w:val="1"/>
      </w:numPr>
      <w:spacing w:before="240" w:after="60"/>
      <w:outlineLvl w:val="5"/>
    </w:pPr>
    <w:rPr>
      <w:i/>
      <w:sz w:val="22"/>
    </w:rPr>
  </w:style>
  <w:style w:type="paragraph" w:styleId="Heading7">
    <w:name w:val="heading 7"/>
    <w:basedOn w:val="Normal"/>
    <w:next w:val="Normal"/>
    <w:qFormat/>
    <w:rsid w:val="00533445"/>
    <w:pPr>
      <w:numPr>
        <w:ilvl w:val="6"/>
        <w:numId w:val="1"/>
      </w:numPr>
      <w:spacing w:before="240" w:after="60"/>
      <w:outlineLvl w:val="6"/>
    </w:pPr>
    <w:rPr>
      <w:rFonts w:ascii="Arial" w:hAnsi="Arial"/>
    </w:rPr>
  </w:style>
  <w:style w:type="paragraph" w:styleId="Heading8">
    <w:name w:val="heading 8"/>
    <w:basedOn w:val="Normal"/>
    <w:next w:val="Normal"/>
    <w:qFormat/>
    <w:rsid w:val="00533445"/>
    <w:pPr>
      <w:numPr>
        <w:ilvl w:val="7"/>
        <w:numId w:val="1"/>
      </w:numPr>
      <w:spacing w:before="240" w:after="60"/>
      <w:outlineLvl w:val="7"/>
    </w:pPr>
    <w:rPr>
      <w:rFonts w:ascii="Arial" w:hAnsi="Arial"/>
      <w:i/>
    </w:rPr>
  </w:style>
  <w:style w:type="paragraph" w:styleId="Heading9">
    <w:name w:val="heading 9"/>
    <w:basedOn w:val="Normal"/>
    <w:next w:val="Normal"/>
    <w:qFormat/>
    <w:rsid w:val="00533445"/>
    <w:pPr>
      <w:numPr>
        <w:ilvl w:val="8"/>
        <w:numId w:val="1"/>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335B25"/>
    <w:rPr>
      <w:caps/>
      <w:lang w:val="es-ES_tradnl"/>
    </w:rPr>
  </w:style>
  <w:style w:type="paragraph" w:customStyle="1" w:styleId="ABBR">
    <w:name w:val="ABBR"/>
    <w:basedOn w:val="Annex"/>
    <w:rsid w:val="00335B25"/>
  </w:style>
  <w:style w:type="paragraph" w:customStyle="1" w:styleId="AbbrDesc">
    <w:name w:val="AbbrDesc"/>
    <w:basedOn w:val="Normal"/>
    <w:rsid w:val="00335B25"/>
    <w:pPr>
      <w:tabs>
        <w:tab w:val="left" w:pos="3060"/>
      </w:tabs>
      <w:jc w:val="both"/>
    </w:pPr>
    <w:rPr>
      <w:lang w:val="es-ES_tradnl"/>
    </w:rPr>
  </w:style>
  <w:style w:type="paragraph" w:styleId="BodyText">
    <w:name w:val="Body Text"/>
    <w:basedOn w:val="Normal"/>
    <w:rsid w:val="00335B25"/>
    <w:pPr>
      <w:tabs>
        <w:tab w:val="left" w:pos="3060"/>
      </w:tabs>
      <w:jc w:val="center"/>
    </w:pPr>
  </w:style>
  <w:style w:type="paragraph" w:styleId="BodyTextIndent">
    <w:name w:val="Body Text Indent"/>
    <w:basedOn w:val="Normal"/>
    <w:rsid w:val="00335B25"/>
    <w:pPr>
      <w:spacing w:after="120"/>
      <w:ind w:left="360"/>
    </w:pPr>
    <w:rPr>
      <w:sz w:val="24"/>
    </w:rPr>
  </w:style>
  <w:style w:type="paragraph" w:styleId="BodyTextIndent3">
    <w:name w:val="Body Text Indent 3"/>
    <w:basedOn w:val="Normal"/>
    <w:rsid w:val="00335B25"/>
    <w:pPr>
      <w:spacing w:after="120"/>
      <w:ind w:left="360"/>
    </w:pPr>
    <w:rPr>
      <w:sz w:val="24"/>
    </w:rPr>
  </w:style>
  <w:style w:type="paragraph" w:customStyle="1" w:styleId="Chapter">
    <w:name w:val="Chapter"/>
    <w:basedOn w:val="Normal"/>
    <w:next w:val="Normal"/>
    <w:rsid w:val="00533445"/>
    <w:pPr>
      <w:keepNext/>
      <w:numPr>
        <w:numId w:val="14"/>
      </w:numPr>
      <w:tabs>
        <w:tab w:val="left" w:pos="1440"/>
      </w:tabs>
      <w:spacing w:before="240" w:after="240"/>
      <w:jc w:val="center"/>
    </w:pPr>
    <w:rPr>
      <w:b/>
      <w:smallCaps/>
      <w:sz w:val="24"/>
      <w:lang w:val="es-ES_tradnl"/>
    </w:rPr>
  </w:style>
  <w:style w:type="paragraph" w:styleId="DocumentMap">
    <w:name w:val="Document Map"/>
    <w:basedOn w:val="Normal"/>
    <w:semiHidden/>
    <w:rsid w:val="00335B25"/>
    <w:pPr>
      <w:shd w:val="clear" w:color="auto" w:fill="000080"/>
    </w:pPr>
    <w:rPr>
      <w:rFonts w:ascii="Tahoma" w:hAnsi="Tahoma"/>
    </w:rPr>
  </w:style>
  <w:style w:type="paragraph" w:customStyle="1" w:styleId="FirstHeading">
    <w:name w:val="FirstHeading"/>
    <w:basedOn w:val="Normal"/>
    <w:next w:val="Normal"/>
    <w:rsid w:val="00533445"/>
    <w:pPr>
      <w:keepNext/>
      <w:numPr>
        <w:numId w:val="1"/>
      </w:numPr>
      <w:tabs>
        <w:tab w:val="left" w:pos="0"/>
        <w:tab w:val="left" w:pos="86"/>
      </w:tabs>
      <w:spacing w:before="120" w:after="120"/>
    </w:pPr>
    <w:rPr>
      <w:b/>
      <w:sz w:val="24"/>
      <w:lang w:val="es-ES_tradnl"/>
    </w:rPr>
  </w:style>
  <w:style w:type="paragraph" w:styleId="Footer">
    <w:name w:val="footer"/>
    <w:basedOn w:val="Normal"/>
    <w:link w:val="FooterChar"/>
    <w:uiPriority w:val="99"/>
    <w:rsid w:val="00335B25"/>
    <w:pPr>
      <w:tabs>
        <w:tab w:val="center" w:pos="4320"/>
        <w:tab w:val="right" w:pos="8640"/>
      </w:tabs>
    </w:pPr>
  </w:style>
  <w:style w:type="paragraph" w:styleId="FootnoteText">
    <w:name w:val="footnote text"/>
    <w:aliases w:val="fn,Texto nota pie IIRSA,foottextfra,footnote,F,ft,Footnote Text Char Char Char Char Char Char,Footnote Text Char Char Char Char1,Footnote Text Char Char Char Char Char1,Footnote Text Char Char Char Char Char,Footnote Text Char Char Char,f"/>
    <w:basedOn w:val="Normal"/>
    <w:link w:val="FootnoteTextChar"/>
    <w:rsid w:val="00335B25"/>
    <w:pPr>
      <w:keepNext/>
      <w:keepLines/>
      <w:spacing w:after="120"/>
      <w:ind w:left="288" w:hanging="288"/>
      <w:jc w:val="both"/>
    </w:pPr>
    <w:rPr>
      <w:spacing w:val="-3"/>
    </w:rPr>
  </w:style>
  <w:style w:type="paragraph" w:styleId="Header">
    <w:name w:val="header"/>
    <w:basedOn w:val="Normal"/>
    <w:rsid w:val="00335B25"/>
    <w:pPr>
      <w:tabs>
        <w:tab w:val="center" w:pos="4320"/>
        <w:tab w:val="right" w:pos="8640"/>
      </w:tabs>
    </w:pPr>
  </w:style>
  <w:style w:type="character" w:styleId="LineNumber">
    <w:name w:val="line number"/>
    <w:basedOn w:val="DefaultParagraphFont"/>
    <w:rsid w:val="00335B25"/>
  </w:style>
  <w:style w:type="paragraph" w:customStyle="1" w:styleId="MasterSourceText">
    <w:name w:val="Master_SourceText"/>
    <w:basedOn w:val="Normal"/>
    <w:rsid w:val="00335B25"/>
    <w:pPr>
      <w:tabs>
        <w:tab w:val="left" w:pos="1440"/>
      </w:tabs>
      <w:ind w:left="1440" w:hanging="720"/>
      <w:jc w:val="both"/>
    </w:pPr>
    <w:rPr>
      <w:lang w:val="es-ES_tradnl"/>
    </w:rPr>
  </w:style>
  <w:style w:type="paragraph" w:customStyle="1" w:styleId="Newpage">
    <w:name w:val="Newpage"/>
    <w:basedOn w:val="Chapter"/>
    <w:rsid w:val="00335B25"/>
    <w:pPr>
      <w:numPr>
        <w:numId w:val="0"/>
      </w:numPr>
      <w:tabs>
        <w:tab w:val="left" w:pos="3060"/>
      </w:tabs>
      <w:spacing w:after="0"/>
    </w:pPr>
  </w:style>
  <w:style w:type="character" w:styleId="PageNumber">
    <w:name w:val="page number"/>
    <w:basedOn w:val="DefaultParagraphFont"/>
    <w:rsid w:val="00335B25"/>
  </w:style>
  <w:style w:type="paragraph" w:customStyle="1" w:styleId="Paragraph">
    <w:name w:val="Paragraph"/>
    <w:aliases w:val="paragraph,p,PARAGRAPH,PG,pa,at"/>
    <w:basedOn w:val="BodyTextIndent"/>
    <w:link w:val="ParagraphCar"/>
    <w:qFormat/>
    <w:rsid w:val="007B5C86"/>
    <w:pPr>
      <w:numPr>
        <w:ilvl w:val="1"/>
        <w:numId w:val="14"/>
      </w:numPr>
      <w:spacing w:before="120"/>
      <w:jc w:val="both"/>
      <w:outlineLvl w:val="1"/>
    </w:pPr>
    <w:rPr>
      <w:lang w:val="es-ES_tradnl"/>
    </w:rPr>
  </w:style>
  <w:style w:type="paragraph" w:customStyle="1" w:styleId="RegheadTab">
    <w:name w:val="RegheadTab"/>
    <w:basedOn w:val="FirstHeading"/>
    <w:rsid w:val="00335B25"/>
    <w:pPr>
      <w:numPr>
        <w:numId w:val="0"/>
      </w:numPr>
      <w:tabs>
        <w:tab w:val="num" w:pos="504"/>
      </w:tabs>
      <w:spacing w:after="0"/>
      <w:ind w:left="504" w:hanging="504"/>
      <w:jc w:val="center"/>
    </w:pPr>
  </w:style>
  <w:style w:type="paragraph" w:customStyle="1" w:styleId="SecHeading">
    <w:name w:val="SecHeading"/>
    <w:basedOn w:val="Normal"/>
    <w:next w:val="Paragraph"/>
    <w:rsid w:val="00533445"/>
    <w:pPr>
      <w:keepNext/>
      <w:numPr>
        <w:ilvl w:val="1"/>
        <w:numId w:val="1"/>
      </w:numPr>
      <w:tabs>
        <w:tab w:val="clear" w:pos="1286"/>
        <w:tab w:val="num" w:pos="6262"/>
      </w:tabs>
      <w:spacing w:before="120" w:after="120"/>
      <w:ind w:left="6262"/>
    </w:pPr>
    <w:rPr>
      <w:b/>
      <w:sz w:val="24"/>
      <w:lang w:val="es-ES_tradnl"/>
    </w:rPr>
  </w:style>
  <w:style w:type="paragraph" w:customStyle="1" w:styleId="SubHeading1">
    <w:name w:val="SubHeading1"/>
    <w:basedOn w:val="SecHeading"/>
    <w:rsid w:val="00533445"/>
    <w:pPr>
      <w:numPr>
        <w:ilvl w:val="0"/>
        <w:numId w:val="0"/>
      </w:numPr>
    </w:pPr>
  </w:style>
  <w:style w:type="paragraph" w:customStyle="1" w:styleId="Subheading2">
    <w:name w:val="Subheading2"/>
    <w:basedOn w:val="SecHeading"/>
    <w:rsid w:val="00533445"/>
    <w:pPr>
      <w:numPr>
        <w:ilvl w:val="3"/>
      </w:numPr>
      <w:tabs>
        <w:tab w:val="clear" w:pos="7342"/>
        <w:tab w:val="num" w:pos="2376"/>
      </w:tabs>
      <w:ind w:left="2376"/>
    </w:pPr>
  </w:style>
  <w:style w:type="paragraph" w:customStyle="1" w:styleId="subpar">
    <w:name w:val="subpar"/>
    <w:basedOn w:val="BodyTextIndent3"/>
    <w:rsid w:val="00533445"/>
    <w:pPr>
      <w:numPr>
        <w:ilvl w:val="2"/>
        <w:numId w:val="14"/>
      </w:numPr>
      <w:spacing w:before="120"/>
      <w:jc w:val="both"/>
      <w:outlineLvl w:val="2"/>
    </w:pPr>
    <w:rPr>
      <w:lang w:val="es-ES_tradnl"/>
    </w:rPr>
  </w:style>
  <w:style w:type="paragraph" w:customStyle="1" w:styleId="SubSubPar">
    <w:name w:val="SubSubPar"/>
    <w:basedOn w:val="subpar"/>
    <w:rsid w:val="00533445"/>
    <w:pPr>
      <w:numPr>
        <w:ilvl w:val="3"/>
      </w:numPr>
      <w:tabs>
        <w:tab w:val="left" w:pos="0"/>
      </w:tabs>
    </w:pPr>
  </w:style>
  <w:style w:type="paragraph" w:styleId="Title">
    <w:name w:val="Title"/>
    <w:basedOn w:val="Normal"/>
    <w:link w:val="TitleChar"/>
    <w:qFormat/>
    <w:rsid w:val="00335B25"/>
    <w:pPr>
      <w:tabs>
        <w:tab w:val="left" w:pos="1440"/>
        <w:tab w:val="left" w:pos="3060"/>
      </w:tabs>
      <w:jc w:val="center"/>
      <w:outlineLvl w:val="0"/>
    </w:pPr>
  </w:style>
  <w:style w:type="paragraph" w:styleId="TOC1">
    <w:name w:val="toc 1"/>
    <w:basedOn w:val="Normal"/>
    <w:next w:val="Normal"/>
    <w:autoRedefine/>
    <w:uiPriority w:val="39"/>
    <w:rsid w:val="0070014E"/>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rsid w:val="00335B25"/>
    <w:pPr>
      <w:spacing w:before="120"/>
      <w:ind w:left="200"/>
    </w:pPr>
    <w:rPr>
      <w:rFonts w:asciiTheme="minorHAnsi" w:hAnsiTheme="minorHAnsi" w:cstheme="minorHAnsi"/>
      <w:b/>
      <w:bCs/>
      <w:sz w:val="22"/>
      <w:szCs w:val="22"/>
    </w:rPr>
  </w:style>
  <w:style w:type="paragraph" w:styleId="TOC3">
    <w:name w:val="toc 3"/>
    <w:basedOn w:val="Normal"/>
    <w:next w:val="Normal"/>
    <w:autoRedefine/>
    <w:uiPriority w:val="39"/>
    <w:rsid w:val="00335B25"/>
    <w:pPr>
      <w:ind w:left="400"/>
    </w:pPr>
    <w:rPr>
      <w:rFonts w:asciiTheme="minorHAnsi" w:hAnsiTheme="minorHAnsi" w:cstheme="minorHAnsi"/>
    </w:rPr>
  </w:style>
  <w:style w:type="paragraph" w:styleId="TOC4">
    <w:name w:val="toc 4"/>
    <w:basedOn w:val="Normal"/>
    <w:next w:val="Normal"/>
    <w:autoRedefine/>
    <w:uiPriority w:val="39"/>
    <w:rsid w:val="00335B25"/>
    <w:pPr>
      <w:ind w:left="600"/>
    </w:pPr>
    <w:rPr>
      <w:rFonts w:asciiTheme="minorHAnsi" w:hAnsiTheme="minorHAnsi" w:cstheme="minorHAnsi"/>
    </w:rPr>
  </w:style>
  <w:style w:type="paragraph" w:styleId="TOC5">
    <w:name w:val="toc 5"/>
    <w:basedOn w:val="Normal"/>
    <w:next w:val="Normal"/>
    <w:autoRedefine/>
    <w:uiPriority w:val="39"/>
    <w:rsid w:val="00335B25"/>
    <w:pPr>
      <w:ind w:left="800"/>
    </w:pPr>
    <w:rPr>
      <w:rFonts w:asciiTheme="minorHAnsi" w:hAnsiTheme="minorHAnsi" w:cstheme="minorHAnsi"/>
    </w:rPr>
  </w:style>
  <w:style w:type="paragraph" w:styleId="TOC6">
    <w:name w:val="toc 6"/>
    <w:basedOn w:val="Normal"/>
    <w:next w:val="Normal"/>
    <w:autoRedefine/>
    <w:uiPriority w:val="39"/>
    <w:rsid w:val="00335B25"/>
    <w:pPr>
      <w:ind w:left="1000"/>
    </w:pPr>
    <w:rPr>
      <w:rFonts w:asciiTheme="minorHAnsi" w:hAnsiTheme="minorHAnsi" w:cstheme="minorHAnsi"/>
    </w:rPr>
  </w:style>
  <w:style w:type="paragraph" w:styleId="TOC7">
    <w:name w:val="toc 7"/>
    <w:basedOn w:val="Normal"/>
    <w:next w:val="Normal"/>
    <w:autoRedefine/>
    <w:uiPriority w:val="39"/>
    <w:rsid w:val="00335B25"/>
    <w:pPr>
      <w:ind w:left="1200"/>
    </w:pPr>
    <w:rPr>
      <w:rFonts w:asciiTheme="minorHAnsi" w:hAnsiTheme="minorHAnsi" w:cstheme="minorHAnsi"/>
    </w:rPr>
  </w:style>
  <w:style w:type="paragraph" w:styleId="TOC8">
    <w:name w:val="toc 8"/>
    <w:basedOn w:val="Normal"/>
    <w:next w:val="Normal"/>
    <w:autoRedefine/>
    <w:uiPriority w:val="39"/>
    <w:rsid w:val="00335B25"/>
    <w:pPr>
      <w:ind w:left="1400"/>
    </w:pPr>
    <w:rPr>
      <w:rFonts w:asciiTheme="minorHAnsi" w:hAnsiTheme="minorHAnsi" w:cstheme="minorHAnsi"/>
    </w:rPr>
  </w:style>
  <w:style w:type="paragraph" w:styleId="TOC9">
    <w:name w:val="toc 9"/>
    <w:basedOn w:val="Normal"/>
    <w:next w:val="Normal"/>
    <w:autoRedefine/>
    <w:uiPriority w:val="39"/>
    <w:rsid w:val="00335B25"/>
    <w:pPr>
      <w:ind w:left="1600"/>
    </w:pPr>
    <w:rPr>
      <w:rFonts w:asciiTheme="minorHAnsi" w:hAnsiTheme="minorHAnsi" w:cstheme="minorHAnsi"/>
    </w:rPr>
  </w:style>
  <w:style w:type="character" w:styleId="FollowedHyperlink">
    <w:name w:val="FollowedHyperlink"/>
    <w:basedOn w:val="DefaultParagraphFont"/>
    <w:rsid w:val="00335B25"/>
    <w:rPr>
      <w:color w:val="800080"/>
      <w:u w:val="single"/>
    </w:rPr>
  </w:style>
  <w:style w:type="character" w:styleId="Hyperlink">
    <w:name w:val="Hyperlink"/>
    <w:basedOn w:val="DefaultParagraphFont"/>
    <w:uiPriority w:val="99"/>
    <w:rsid w:val="00335B25"/>
    <w:rPr>
      <w:color w:val="0000FF"/>
      <w:u w:val="single"/>
    </w:rPr>
  </w:style>
  <w:style w:type="paragraph" w:styleId="BodyTextIndent2">
    <w:name w:val="Body Text Indent 2"/>
    <w:basedOn w:val="Normal"/>
    <w:rsid w:val="00335B25"/>
    <w:pPr>
      <w:tabs>
        <w:tab w:val="left" w:pos="3240"/>
        <w:tab w:val="left" w:pos="3600"/>
      </w:tabs>
      <w:spacing w:line="360" w:lineRule="auto"/>
      <w:ind w:left="3600" w:hanging="3600"/>
    </w:pPr>
    <w:rPr>
      <w:sz w:val="23"/>
      <w:lang w:val="es-ES_tradnl"/>
    </w:rPr>
  </w:style>
  <w:style w:type="paragraph" w:styleId="BodyText2">
    <w:name w:val="Body Text 2"/>
    <w:basedOn w:val="Normal"/>
    <w:rsid w:val="00335B25"/>
    <w:pPr>
      <w:spacing w:after="120"/>
    </w:pPr>
    <w:rPr>
      <w:sz w:val="24"/>
      <w:lang w:val="es-ES_tradnl"/>
    </w:rPr>
  </w:style>
  <w:style w:type="character" w:styleId="FootnoteReference">
    <w:name w:val="footnote reference"/>
    <w:aliases w:val="titulo 2,16 Point,Superscript 6 Point,ftref,Fußnotenzeichen DISS,BVI fnr, BVI fnr,Знак сноски 1,referencia nota al pie,FC,Footnote Referencefra,Ref. de nota al pie."/>
    <w:basedOn w:val="DefaultParagraphFont"/>
    <w:rsid w:val="00335B25"/>
    <w:rPr>
      <w:vertAlign w:val="superscript"/>
    </w:rPr>
  </w:style>
  <w:style w:type="paragraph" w:customStyle="1" w:styleId="Para1">
    <w:name w:val="Para1"/>
    <w:basedOn w:val="NormalIndent"/>
    <w:rsid w:val="00335B25"/>
    <w:pPr>
      <w:tabs>
        <w:tab w:val="left" w:pos="720"/>
        <w:tab w:val="left" w:pos="1080"/>
      </w:tabs>
      <w:spacing w:after="120"/>
      <w:ind w:left="0"/>
      <w:jc w:val="both"/>
    </w:pPr>
    <w:rPr>
      <w:rFonts w:eastAsia="Batang"/>
      <w:snapToGrid w:val="0"/>
      <w:lang w:val="en-US" w:eastAsia="ko-KR"/>
    </w:rPr>
  </w:style>
  <w:style w:type="character" w:styleId="CommentReference">
    <w:name w:val="annotation reference"/>
    <w:basedOn w:val="DefaultParagraphFont"/>
    <w:rsid w:val="00335B25"/>
    <w:rPr>
      <w:sz w:val="16"/>
      <w:szCs w:val="16"/>
    </w:rPr>
  </w:style>
  <w:style w:type="paragraph" w:styleId="CommentText">
    <w:name w:val="annotation text"/>
    <w:basedOn w:val="Normal"/>
    <w:link w:val="CommentTextChar"/>
    <w:rsid w:val="00335B25"/>
    <w:rPr>
      <w:lang w:val="en-US" w:eastAsia="en-US"/>
    </w:rPr>
  </w:style>
  <w:style w:type="paragraph" w:styleId="CommentSubject">
    <w:name w:val="annotation subject"/>
    <w:basedOn w:val="CommentText"/>
    <w:next w:val="CommentText"/>
    <w:semiHidden/>
    <w:rsid w:val="00335B25"/>
    <w:rPr>
      <w:b/>
      <w:bCs/>
      <w:lang w:val="es-MX" w:eastAsia="es-MX"/>
    </w:rPr>
  </w:style>
  <w:style w:type="character" w:customStyle="1" w:styleId="Edgar3Char">
    <w:name w:val="Edgar 3 Char"/>
    <w:aliases w:val="Título 3 yy Char Char"/>
    <w:basedOn w:val="DefaultParagraphFont"/>
    <w:rsid w:val="00335B25"/>
    <w:rPr>
      <w:rFonts w:ascii="Arial" w:hAnsi="Arial"/>
      <w:lang w:bidi="ar-SA"/>
    </w:rPr>
  </w:style>
  <w:style w:type="paragraph" w:styleId="NormalIndent">
    <w:name w:val="Normal Indent"/>
    <w:basedOn w:val="Normal"/>
    <w:rsid w:val="00335B25"/>
    <w:pPr>
      <w:ind w:left="720"/>
    </w:pPr>
  </w:style>
  <w:style w:type="paragraph" w:styleId="BalloonText">
    <w:name w:val="Balloon Text"/>
    <w:basedOn w:val="Normal"/>
    <w:rsid w:val="00335B25"/>
    <w:rPr>
      <w:rFonts w:ascii="Tahoma" w:hAnsi="Tahoma" w:cs="Tahoma"/>
      <w:sz w:val="16"/>
      <w:szCs w:val="16"/>
    </w:rPr>
  </w:style>
  <w:style w:type="character" w:customStyle="1" w:styleId="SecHeadingChar">
    <w:name w:val="SecHeading Char"/>
    <w:basedOn w:val="DefaultParagraphFont"/>
    <w:rsid w:val="00335B25"/>
    <w:rPr>
      <w:b/>
      <w:lang w:val="es-ES_tradnl" w:bidi="ar-SA"/>
    </w:rPr>
  </w:style>
  <w:style w:type="character" w:customStyle="1" w:styleId="ParagraphCar">
    <w:name w:val="Paragraph Car"/>
    <w:basedOn w:val="DefaultParagraphFont"/>
    <w:link w:val="Paragraph"/>
    <w:rsid w:val="00533445"/>
    <w:rPr>
      <w:sz w:val="24"/>
      <w:lang w:val="es-ES_tradnl"/>
    </w:rPr>
  </w:style>
  <w:style w:type="character" w:customStyle="1" w:styleId="ParagraphChar">
    <w:name w:val="Paragraph Char"/>
    <w:basedOn w:val="DefaultParagraphFont"/>
    <w:rsid w:val="00F80B7E"/>
    <w:rPr>
      <w:sz w:val="24"/>
      <w:lang w:val="es-ES_tradnl" w:eastAsia="en-US" w:bidi="ar-SA"/>
    </w:rPr>
  </w:style>
  <w:style w:type="paragraph" w:customStyle="1" w:styleId="Regtable">
    <w:name w:val="Regtable"/>
    <w:basedOn w:val="Normal"/>
    <w:rsid w:val="00533445"/>
    <w:pPr>
      <w:keepLines/>
      <w:framePr w:wrap="around" w:vAnchor="text" w:hAnchor="text" w:y="1"/>
      <w:spacing w:before="20" w:after="20"/>
    </w:pPr>
  </w:style>
  <w:style w:type="paragraph" w:customStyle="1" w:styleId="TableTitle">
    <w:name w:val="TableTitle"/>
    <w:basedOn w:val="Normal"/>
    <w:rsid w:val="00533445"/>
    <w:pPr>
      <w:keepNext/>
      <w:framePr w:wrap="around" w:vAnchor="text" w:hAnchor="text" w:y="1"/>
      <w:spacing w:before="20" w:after="20"/>
      <w:jc w:val="center"/>
    </w:pPr>
    <w:rPr>
      <w:rFonts w:ascii="Times New Roman Bold" w:hAnsi="Times New Roman Bold"/>
      <w:b/>
      <w:spacing w:val="-3"/>
    </w:rPr>
  </w:style>
  <w:style w:type="paragraph" w:customStyle="1" w:styleId="vietacuadrada">
    <w:name w:val="viñeta cuadrada"/>
    <w:basedOn w:val="Normal"/>
    <w:autoRedefine/>
    <w:rsid w:val="0011621E"/>
    <w:pPr>
      <w:numPr>
        <w:numId w:val="6"/>
      </w:numPr>
      <w:spacing w:after="240"/>
      <w:ind w:right="1278"/>
      <w:jc w:val="both"/>
    </w:pPr>
    <w:rPr>
      <w:rFonts w:ascii="Arial Narrow" w:hAnsi="Arial Narrow" w:cs="Arial"/>
      <w:szCs w:val="16"/>
      <w:lang w:val="es-ES" w:eastAsia="es-ES"/>
    </w:rPr>
  </w:style>
  <w:style w:type="paragraph" w:customStyle="1" w:styleId="TextoTablaRol">
    <w:name w:val="Texto Tabla Rol"/>
    <w:basedOn w:val="Normal"/>
    <w:rsid w:val="0011621E"/>
    <w:pPr>
      <w:jc w:val="center"/>
    </w:pPr>
    <w:rPr>
      <w:rFonts w:cs="Arial"/>
      <w:sz w:val="24"/>
      <w:lang w:eastAsia="es-ES"/>
    </w:rPr>
  </w:style>
  <w:style w:type="paragraph" w:customStyle="1" w:styleId="TtulodePrrafo">
    <w:name w:val="Título de Párrafo"/>
    <w:basedOn w:val="Normal"/>
    <w:next w:val="CuerpodeTexto"/>
    <w:rsid w:val="0011621E"/>
    <w:pPr>
      <w:numPr>
        <w:numId w:val="7"/>
      </w:numPr>
    </w:pPr>
    <w:rPr>
      <w:rFonts w:cs="Arial"/>
      <w:b/>
      <w:bCs/>
      <w:sz w:val="24"/>
      <w:szCs w:val="24"/>
      <w:lang w:eastAsia="es-ES"/>
    </w:rPr>
  </w:style>
  <w:style w:type="paragraph" w:customStyle="1" w:styleId="CuerpodeTexto">
    <w:name w:val="Cuerpo de Texto"/>
    <w:basedOn w:val="Normal"/>
    <w:rsid w:val="0011621E"/>
    <w:pPr>
      <w:jc w:val="both"/>
    </w:pPr>
    <w:rPr>
      <w:sz w:val="24"/>
      <w:szCs w:val="24"/>
      <w:lang w:val="es-ES" w:eastAsia="en-US"/>
    </w:rPr>
  </w:style>
  <w:style w:type="paragraph" w:customStyle="1" w:styleId="CuerpoA">
    <w:name w:val="Cuerpo A"/>
    <w:rsid w:val="0011621E"/>
    <w:rPr>
      <w:rFonts w:ascii="Helvetica" w:eastAsia="ヒラギノ角ゴ Pro W3" w:hAnsi="Helvetica"/>
      <w:color w:val="000000"/>
      <w:sz w:val="24"/>
      <w:lang w:val="es-ES_tradnl" w:eastAsia="es-ES_tradnl"/>
    </w:rPr>
  </w:style>
  <w:style w:type="character" w:customStyle="1" w:styleId="Refdenotaalpie1">
    <w:name w:val="Ref. de nota al pie1"/>
    <w:rsid w:val="0011621E"/>
    <w:rPr>
      <w:color w:val="000000"/>
      <w:vertAlign w:val="superscript"/>
    </w:rPr>
  </w:style>
  <w:style w:type="paragraph" w:customStyle="1" w:styleId="Textonotapie1">
    <w:name w:val="Texto nota pie1"/>
    <w:rsid w:val="0011621E"/>
    <w:rPr>
      <w:rFonts w:eastAsia="ヒラギノ角ゴ Pro W3"/>
      <w:color w:val="000000"/>
      <w:sz w:val="24"/>
      <w:lang w:val="es-ES_tradnl" w:eastAsia="es-ES_tradnl"/>
    </w:rPr>
  </w:style>
  <w:style w:type="paragraph" w:customStyle="1" w:styleId="Tablaconcuadrcula1">
    <w:name w:val="Tabla con cuadrícula1"/>
    <w:rsid w:val="0011621E"/>
    <w:rPr>
      <w:rFonts w:eastAsia="ヒラギノ角ゴ Pro W3"/>
      <w:color w:val="000000"/>
      <w:sz w:val="24"/>
      <w:lang w:val="es-ES_tradnl" w:eastAsia="es-ES_tradnl"/>
    </w:rPr>
  </w:style>
  <w:style w:type="character" w:customStyle="1" w:styleId="Hipervnculo1">
    <w:name w:val="Hipervínculo1"/>
    <w:rsid w:val="00655249"/>
    <w:rPr>
      <w:color w:val="0000FF"/>
      <w:u w:val="single"/>
    </w:rPr>
  </w:style>
  <w:style w:type="paragraph" w:styleId="NormalWeb">
    <w:name w:val="Normal (Web)"/>
    <w:basedOn w:val="Normal"/>
    <w:uiPriority w:val="99"/>
    <w:unhideWhenUsed/>
    <w:rsid w:val="00702D36"/>
    <w:pPr>
      <w:spacing w:before="100" w:beforeAutospacing="1" w:after="100" w:afterAutospacing="1"/>
    </w:pPr>
    <w:rPr>
      <w:sz w:val="24"/>
      <w:szCs w:val="24"/>
    </w:rPr>
  </w:style>
  <w:style w:type="paragraph" w:customStyle="1" w:styleId="Default">
    <w:name w:val="Default"/>
    <w:rsid w:val="009B496C"/>
    <w:pPr>
      <w:autoSpaceDE w:val="0"/>
      <w:autoSpaceDN w:val="0"/>
      <w:adjustRightInd w:val="0"/>
    </w:pPr>
    <w:rPr>
      <w:rFonts w:ascii="Calibri" w:hAnsi="Calibri" w:cs="Calibri"/>
      <w:color w:val="000000"/>
      <w:sz w:val="24"/>
      <w:szCs w:val="24"/>
    </w:rPr>
  </w:style>
  <w:style w:type="paragraph" w:styleId="ListParagraph">
    <w:name w:val="List Paragraph"/>
    <w:basedOn w:val="Normal"/>
    <w:link w:val="ListParagraphChar"/>
    <w:uiPriority w:val="34"/>
    <w:qFormat/>
    <w:rsid w:val="00D244D1"/>
    <w:pPr>
      <w:ind w:left="720"/>
    </w:pPr>
    <w:rPr>
      <w:rFonts w:eastAsiaTheme="minorHAnsi"/>
      <w:sz w:val="24"/>
      <w:szCs w:val="24"/>
    </w:rPr>
  </w:style>
  <w:style w:type="paragraph" w:customStyle="1" w:styleId="AODocTxt">
    <w:name w:val="AODocTxt"/>
    <w:basedOn w:val="Normal"/>
    <w:rsid w:val="00474889"/>
    <w:pPr>
      <w:numPr>
        <w:numId w:val="9"/>
      </w:numPr>
      <w:spacing w:before="240" w:line="260" w:lineRule="atLeast"/>
      <w:jc w:val="both"/>
    </w:pPr>
    <w:rPr>
      <w:rFonts w:eastAsia="SimSun"/>
      <w:sz w:val="22"/>
      <w:szCs w:val="22"/>
      <w:lang w:val="en-US" w:eastAsia="en-US"/>
    </w:rPr>
  </w:style>
  <w:style w:type="paragraph" w:customStyle="1" w:styleId="AODocTxtL1">
    <w:name w:val="AODocTxtL1"/>
    <w:basedOn w:val="AODocTxt"/>
    <w:rsid w:val="00474889"/>
    <w:pPr>
      <w:numPr>
        <w:ilvl w:val="1"/>
      </w:numPr>
    </w:pPr>
  </w:style>
  <w:style w:type="paragraph" w:customStyle="1" w:styleId="AODocTxtL2">
    <w:name w:val="AODocTxtL2"/>
    <w:basedOn w:val="AODocTxt"/>
    <w:rsid w:val="00474889"/>
    <w:pPr>
      <w:numPr>
        <w:ilvl w:val="2"/>
      </w:numPr>
    </w:pPr>
  </w:style>
  <w:style w:type="paragraph" w:customStyle="1" w:styleId="AODocTxtL3">
    <w:name w:val="AODocTxtL3"/>
    <w:basedOn w:val="AODocTxt"/>
    <w:rsid w:val="00474889"/>
    <w:pPr>
      <w:numPr>
        <w:ilvl w:val="3"/>
      </w:numPr>
    </w:pPr>
  </w:style>
  <w:style w:type="paragraph" w:customStyle="1" w:styleId="AODocTxtL4">
    <w:name w:val="AODocTxtL4"/>
    <w:basedOn w:val="AODocTxt"/>
    <w:rsid w:val="00474889"/>
    <w:pPr>
      <w:numPr>
        <w:ilvl w:val="4"/>
      </w:numPr>
    </w:pPr>
  </w:style>
  <w:style w:type="paragraph" w:customStyle="1" w:styleId="AODocTxtL5">
    <w:name w:val="AODocTxtL5"/>
    <w:basedOn w:val="AODocTxt"/>
    <w:rsid w:val="00474889"/>
    <w:pPr>
      <w:numPr>
        <w:ilvl w:val="5"/>
      </w:numPr>
    </w:pPr>
  </w:style>
  <w:style w:type="paragraph" w:customStyle="1" w:styleId="AODocTxtL6">
    <w:name w:val="AODocTxtL6"/>
    <w:basedOn w:val="AODocTxt"/>
    <w:rsid w:val="00474889"/>
    <w:pPr>
      <w:numPr>
        <w:ilvl w:val="6"/>
      </w:numPr>
    </w:pPr>
  </w:style>
  <w:style w:type="paragraph" w:customStyle="1" w:styleId="AODocTxtL7">
    <w:name w:val="AODocTxtL7"/>
    <w:basedOn w:val="AODocTxt"/>
    <w:rsid w:val="00474889"/>
    <w:pPr>
      <w:numPr>
        <w:ilvl w:val="7"/>
      </w:numPr>
    </w:pPr>
  </w:style>
  <w:style w:type="paragraph" w:customStyle="1" w:styleId="AODocTxtL8">
    <w:name w:val="AODocTxtL8"/>
    <w:basedOn w:val="AODocTxt"/>
    <w:rsid w:val="00474889"/>
    <w:pPr>
      <w:numPr>
        <w:ilvl w:val="8"/>
      </w:numPr>
    </w:pPr>
  </w:style>
  <w:style w:type="character" w:customStyle="1" w:styleId="DeltaViewInsertion">
    <w:name w:val="DeltaView Insertion"/>
    <w:rsid w:val="00474889"/>
    <w:rPr>
      <w:color w:val="0000FF"/>
      <w:spacing w:val="0"/>
      <w:u w:val="double"/>
    </w:rPr>
  </w:style>
  <w:style w:type="character" w:customStyle="1" w:styleId="TitleChar">
    <w:name w:val="Title Char"/>
    <w:basedOn w:val="DefaultParagraphFont"/>
    <w:link w:val="Title"/>
    <w:rsid w:val="0015505C"/>
  </w:style>
  <w:style w:type="table" w:styleId="TableGrid">
    <w:name w:val="Table Grid"/>
    <w:basedOn w:val="TableNormal"/>
    <w:uiPriority w:val="59"/>
    <w:rsid w:val="001550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F7152"/>
  </w:style>
  <w:style w:type="character" w:styleId="Emphasis">
    <w:name w:val="Emphasis"/>
    <w:basedOn w:val="DefaultParagraphFont"/>
    <w:qFormat/>
    <w:rsid w:val="006E3680"/>
    <w:rPr>
      <w:i/>
      <w:iCs/>
    </w:rPr>
  </w:style>
  <w:style w:type="character" w:customStyle="1" w:styleId="FooterChar">
    <w:name w:val="Footer Char"/>
    <w:basedOn w:val="DefaultParagraphFont"/>
    <w:link w:val="Footer"/>
    <w:uiPriority w:val="99"/>
    <w:rsid w:val="00136B7F"/>
  </w:style>
  <w:style w:type="numbering" w:customStyle="1" w:styleId="LFO19">
    <w:name w:val="LFO19"/>
    <w:basedOn w:val="NoList"/>
    <w:rsid w:val="00BE7C24"/>
    <w:pPr>
      <w:numPr>
        <w:numId w:val="19"/>
      </w:numPr>
    </w:pPr>
  </w:style>
  <w:style w:type="character" w:customStyle="1" w:styleId="FootnoteTextChar">
    <w:name w:val="Footnote Text Char"/>
    <w:aliases w:val="fn Char,Texto nota pie IIRSA Char,foottextfra Char,footnote Char,F Char,ft Char,Footnote Text Char Char Char Char Char Char Char,Footnote Text Char Char Char Char1 Char,Footnote Text Char Char Char Char Char1 Char,f Char"/>
    <w:basedOn w:val="DefaultParagraphFont"/>
    <w:link w:val="FootnoteText"/>
    <w:rsid w:val="00487011"/>
    <w:rPr>
      <w:spacing w:val="-3"/>
    </w:rPr>
  </w:style>
  <w:style w:type="character" w:customStyle="1" w:styleId="CommentTextChar">
    <w:name w:val="Comment Text Char"/>
    <w:basedOn w:val="DefaultParagraphFont"/>
    <w:link w:val="CommentText"/>
    <w:uiPriority w:val="99"/>
    <w:rsid w:val="00487011"/>
    <w:rPr>
      <w:lang w:val="en-US" w:eastAsia="en-US"/>
    </w:rPr>
  </w:style>
  <w:style w:type="character" w:customStyle="1" w:styleId="ListParagraphChar">
    <w:name w:val="List Paragraph Char"/>
    <w:basedOn w:val="DefaultParagraphFont"/>
    <w:link w:val="ListParagraph"/>
    <w:uiPriority w:val="34"/>
    <w:rsid w:val="00487011"/>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73335">
      <w:bodyDiv w:val="1"/>
      <w:marLeft w:val="0"/>
      <w:marRight w:val="0"/>
      <w:marTop w:val="0"/>
      <w:marBottom w:val="0"/>
      <w:divBdr>
        <w:top w:val="none" w:sz="0" w:space="0" w:color="auto"/>
        <w:left w:val="none" w:sz="0" w:space="0" w:color="auto"/>
        <w:bottom w:val="none" w:sz="0" w:space="0" w:color="auto"/>
        <w:right w:val="none" w:sz="0" w:space="0" w:color="auto"/>
      </w:divBdr>
    </w:div>
    <w:div w:id="73287806">
      <w:bodyDiv w:val="1"/>
      <w:marLeft w:val="0"/>
      <w:marRight w:val="0"/>
      <w:marTop w:val="0"/>
      <w:marBottom w:val="0"/>
      <w:divBdr>
        <w:top w:val="none" w:sz="0" w:space="0" w:color="auto"/>
        <w:left w:val="none" w:sz="0" w:space="0" w:color="auto"/>
        <w:bottom w:val="none" w:sz="0" w:space="0" w:color="auto"/>
        <w:right w:val="none" w:sz="0" w:space="0" w:color="auto"/>
      </w:divBdr>
    </w:div>
    <w:div w:id="150681656">
      <w:bodyDiv w:val="1"/>
      <w:marLeft w:val="0"/>
      <w:marRight w:val="0"/>
      <w:marTop w:val="0"/>
      <w:marBottom w:val="0"/>
      <w:divBdr>
        <w:top w:val="none" w:sz="0" w:space="0" w:color="auto"/>
        <w:left w:val="none" w:sz="0" w:space="0" w:color="auto"/>
        <w:bottom w:val="none" w:sz="0" w:space="0" w:color="auto"/>
        <w:right w:val="none" w:sz="0" w:space="0" w:color="auto"/>
      </w:divBdr>
    </w:div>
    <w:div w:id="187448641">
      <w:bodyDiv w:val="1"/>
      <w:marLeft w:val="0"/>
      <w:marRight w:val="0"/>
      <w:marTop w:val="0"/>
      <w:marBottom w:val="0"/>
      <w:divBdr>
        <w:top w:val="none" w:sz="0" w:space="0" w:color="auto"/>
        <w:left w:val="none" w:sz="0" w:space="0" w:color="auto"/>
        <w:bottom w:val="none" w:sz="0" w:space="0" w:color="auto"/>
        <w:right w:val="none" w:sz="0" w:space="0" w:color="auto"/>
      </w:divBdr>
    </w:div>
    <w:div w:id="223684128">
      <w:bodyDiv w:val="1"/>
      <w:marLeft w:val="0"/>
      <w:marRight w:val="0"/>
      <w:marTop w:val="0"/>
      <w:marBottom w:val="0"/>
      <w:divBdr>
        <w:top w:val="none" w:sz="0" w:space="0" w:color="auto"/>
        <w:left w:val="none" w:sz="0" w:space="0" w:color="auto"/>
        <w:bottom w:val="none" w:sz="0" w:space="0" w:color="auto"/>
        <w:right w:val="none" w:sz="0" w:space="0" w:color="auto"/>
      </w:divBdr>
    </w:div>
    <w:div w:id="253708961">
      <w:bodyDiv w:val="1"/>
      <w:marLeft w:val="0"/>
      <w:marRight w:val="0"/>
      <w:marTop w:val="0"/>
      <w:marBottom w:val="0"/>
      <w:divBdr>
        <w:top w:val="none" w:sz="0" w:space="0" w:color="auto"/>
        <w:left w:val="none" w:sz="0" w:space="0" w:color="auto"/>
        <w:bottom w:val="none" w:sz="0" w:space="0" w:color="auto"/>
        <w:right w:val="none" w:sz="0" w:space="0" w:color="auto"/>
      </w:divBdr>
    </w:div>
    <w:div w:id="435711744">
      <w:bodyDiv w:val="1"/>
      <w:marLeft w:val="0"/>
      <w:marRight w:val="0"/>
      <w:marTop w:val="0"/>
      <w:marBottom w:val="0"/>
      <w:divBdr>
        <w:top w:val="none" w:sz="0" w:space="0" w:color="auto"/>
        <w:left w:val="none" w:sz="0" w:space="0" w:color="auto"/>
        <w:bottom w:val="none" w:sz="0" w:space="0" w:color="auto"/>
        <w:right w:val="none" w:sz="0" w:space="0" w:color="auto"/>
      </w:divBdr>
      <w:divsChild>
        <w:div w:id="246814552">
          <w:marLeft w:val="360"/>
          <w:marRight w:val="0"/>
          <w:marTop w:val="0"/>
          <w:marBottom w:val="0"/>
          <w:divBdr>
            <w:top w:val="none" w:sz="0" w:space="0" w:color="auto"/>
            <w:left w:val="none" w:sz="0" w:space="0" w:color="auto"/>
            <w:bottom w:val="none" w:sz="0" w:space="0" w:color="auto"/>
            <w:right w:val="none" w:sz="0" w:space="0" w:color="auto"/>
          </w:divBdr>
        </w:div>
        <w:div w:id="401099818">
          <w:marLeft w:val="360"/>
          <w:marRight w:val="0"/>
          <w:marTop w:val="0"/>
          <w:marBottom w:val="0"/>
          <w:divBdr>
            <w:top w:val="none" w:sz="0" w:space="0" w:color="auto"/>
            <w:left w:val="none" w:sz="0" w:space="0" w:color="auto"/>
            <w:bottom w:val="none" w:sz="0" w:space="0" w:color="auto"/>
            <w:right w:val="none" w:sz="0" w:space="0" w:color="auto"/>
          </w:divBdr>
        </w:div>
        <w:div w:id="972908268">
          <w:marLeft w:val="360"/>
          <w:marRight w:val="0"/>
          <w:marTop w:val="0"/>
          <w:marBottom w:val="0"/>
          <w:divBdr>
            <w:top w:val="none" w:sz="0" w:space="0" w:color="auto"/>
            <w:left w:val="none" w:sz="0" w:space="0" w:color="auto"/>
            <w:bottom w:val="none" w:sz="0" w:space="0" w:color="auto"/>
            <w:right w:val="none" w:sz="0" w:space="0" w:color="auto"/>
          </w:divBdr>
        </w:div>
      </w:divsChild>
    </w:div>
    <w:div w:id="504442195">
      <w:bodyDiv w:val="1"/>
      <w:marLeft w:val="0"/>
      <w:marRight w:val="0"/>
      <w:marTop w:val="0"/>
      <w:marBottom w:val="0"/>
      <w:divBdr>
        <w:top w:val="none" w:sz="0" w:space="0" w:color="auto"/>
        <w:left w:val="none" w:sz="0" w:space="0" w:color="auto"/>
        <w:bottom w:val="none" w:sz="0" w:space="0" w:color="auto"/>
        <w:right w:val="none" w:sz="0" w:space="0" w:color="auto"/>
      </w:divBdr>
      <w:divsChild>
        <w:div w:id="2015300077">
          <w:marLeft w:val="360"/>
          <w:marRight w:val="0"/>
          <w:marTop w:val="0"/>
          <w:marBottom w:val="0"/>
          <w:divBdr>
            <w:top w:val="none" w:sz="0" w:space="0" w:color="auto"/>
            <w:left w:val="none" w:sz="0" w:space="0" w:color="auto"/>
            <w:bottom w:val="none" w:sz="0" w:space="0" w:color="auto"/>
            <w:right w:val="none" w:sz="0" w:space="0" w:color="auto"/>
          </w:divBdr>
        </w:div>
        <w:div w:id="1460875943">
          <w:marLeft w:val="360"/>
          <w:marRight w:val="0"/>
          <w:marTop w:val="0"/>
          <w:marBottom w:val="0"/>
          <w:divBdr>
            <w:top w:val="none" w:sz="0" w:space="0" w:color="auto"/>
            <w:left w:val="none" w:sz="0" w:space="0" w:color="auto"/>
            <w:bottom w:val="none" w:sz="0" w:space="0" w:color="auto"/>
            <w:right w:val="none" w:sz="0" w:space="0" w:color="auto"/>
          </w:divBdr>
        </w:div>
        <w:div w:id="1633360088">
          <w:marLeft w:val="360"/>
          <w:marRight w:val="0"/>
          <w:marTop w:val="0"/>
          <w:marBottom w:val="0"/>
          <w:divBdr>
            <w:top w:val="none" w:sz="0" w:space="0" w:color="auto"/>
            <w:left w:val="none" w:sz="0" w:space="0" w:color="auto"/>
            <w:bottom w:val="none" w:sz="0" w:space="0" w:color="auto"/>
            <w:right w:val="none" w:sz="0" w:space="0" w:color="auto"/>
          </w:divBdr>
        </w:div>
      </w:divsChild>
    </w:div>
    <w:div w:id="767850216">
      <w:bodyDiv w:val="1"/>
      <w:marLeft w:val="0"/>
      <w:marRight w:val="0"/>
      <w:marTop w:val="0"/>
      <w:marBottom w:val="0"/>
      <w:divBdr>
        <w:top w:val="none" w:sz="0" w:space="0" w:color="auto"/>
        <w:left w:val="none" w:sz="0" w:space="0" w:color="auto"/>
        <w:bottom w:val="none" w:sz="0" w:space="0" w:color="auto"/>
        <w:right w:val="none" w:sz="0" w:space="0" w:color="auto"/>
      </w:divBdr>
    </w:div>
    <w:div w:id="864445741">
      <w:bodyDiv w:val="1"/>
      <w:marLeft w:val="0"/>
      <w:marRight w:val="0"/>
      <w:marTop w:val="0"/>
      <w:marBottom w:val="0"/>
      <w:divBdr>
        <w:top w:val="none" w:sz="0" w:space="0" w:color="auto"/>
        <w:left w:val="none" w:sz="0" w:space="0" w:color="auto"/>
        <w:bottom w:val="none" w:sz="0" w:space="0" w:color="auto"/>
        <w:right w:val="none" w:sz="0" w:space="0" w:color="auto"/>
      </w:divBdr>
    </w:div>
    <w:div w:id="935865396">
      <w:bodyDiv w:val="1"/>
      <w:marLeft w:val="0"/>
      <w:marRight w:val="0"/>
      <w:marTop w:val="0"/>
      <w:marBottom w:val="0"/>
      <w:divBdr>
        <w:top w:val="none" w:sz="0" w:space="0" w:color="auto"/>
        <w:left w:val="none" w:sz="0" w:space="0" w:color="auto"/>
        <w:bottom w:val="none" w:sz="0" w:space="0" w:color="auto"/>
        <w:right w:val="none" w:sz="0" w:space="0" w:color="auto"/>
      </w:divBdr>
    </w:div>
    <w:div w:id="1087270723">
      <w:bodyDiv w:val="1"/>
      <w:marLeft w:val="0"/>
      <w:marRight w:val="0"/>
      <w:marTop w:val="0"/>
      <w:marBottom w:val="0"/>
      <w:divBdr>
        <w:top w:val="none" w:sz="0" w:space="0" w:color="auto"/>
        <w:left w:val="none" w:sz="0" w:space="0" w:color="auto"/>
        <w:bottom w:val="none" w:sz="0" w:space="0" w:color="auto"/>
        <w:right w:val="none" w:sz="0" w:space="0" w:color="auto"/>
      </w:divBdr>
    </w:div>
    <w:div w:id="1114329781">
      <w:bodyDiv w:val="1"/>
      <w:marLeft w:val="0"/>
      <w:marRight w:val="0"/>
      <w:marTop w:val="0"/>
      <w:marBottom w:val="0"/>
      <w:divBdr>
        <w:top w:val="none" w:sz="0" w:space="0" w:color="auto"/>
        <w:left w:val="none" w:sz="0" w:space="0" w:color="auto"/>
        <w:bottom w:val="none" w:sz="0" w:space="0" w:color="auto"/>
        <w:right w:val="none" w:sz="0" w:space="0" w:color="auto"/>
      </w:divBdr>
    </w:div>
    <w:div w:id="1383559744">
      <w:bodyDiv w:val="1"/>
      <w:marLeft w:val="0"/>
      <w:marRight w:val="0"/>
      <w:marTop w:val="0"/>
      <w:marBottom w:val="0"/>
      <w:divBdr>
        <w:top w:val="none" w:sz="0" w:space="0" w:color="auto"/>
        <w:left w:val="none" w:sz="0" w:space="0" w:color="auto"/>
        <w:bottom w:val="none" w:sz="0" w:space="0" w:color="auto"/>
        <w:right w:val="none" w:sz="0" w:space="0" w:color="auto"/>
      </w:divBdr>
      <w:divsChild>
        <w:div w:id="109058696">
          <w:marLeft w:val="144"/>
          <w:marRight w:val="0"/>
          <w:marTop w:val="0"/>
          <w:marBottom w:val="0"/>
          <w:divBdr>
            <w:top w:val="none" w:sz="0" w:space="0" w:color="auto"/>
            <w:left w:val="none" w:sz="0" w:space="0" w:color="auto"/>
            <w:bottom w:val="none" w:sz="0" w:space="0" w:color="auto"/>
            <w:right w:val="none" w:sz="0" w:space="0" w:color="auto"/>
          </w:divBdr>
        </w:div>
      </w:divsChild>
    </w:div>
    <w:div w:id="1389378619">
      <w:bodyDiv w:val="1"/>
      <w:marLeft w:val="0"/>
      <w:marRight w:val="0"/>
      <w:marTop w:val="0"/>
      <w:marBottom w:val="0"/>
      <w:divBdr>
        <w:top w:val="none" w:sz="0" w:space="0" w:color="auto"/>
        <w:left w:val="none" w:sz="0" w:space="0" w:color="auto"/>
        <w:bottom w:val="none" w:sz="0" w:space="0" w:color="auto"/>
        <w:right w:val="none" w:sz="0" w:space="0" w:color="auto"/>
      </w:divBdr>
    </w:div>
    <w:div w:id="1487821484">
      <w:bodyDiv w:val="1"/>
      <w:marLeft w:val="0"/>
      <w:marRight w:val="0"/>
      <w:marTop w:val="0"/>
      <w:marBottom w:val="0"/>
      <w:divBdr>
        <w:top w:val="none" w:sz="0" w:space="0" w:color="auto"/>
        <w:left w:val="none" w:sz="0" w:space="0" w:color="auto"/>
        <w:bottom w:val="none" w:sz="0" w:space="0" w:color="auto"/>
        <w:right w:val="none" w:sz="0" w:space="0" w:color="auto"/>
      </w:divBdr>
    </w:div>
    <w:div w:id="1591768913">
      <w:bodyDiv w:val="1"/>
      <w:marLeft w:val="0"/>
      <w:marRight w:val="0"/>
      <w:marTop w:val="0"/>
      <w:marBottom w:val="0"/>
      <w:divBdr>
        <w:top w:val="none" w:sz="0" w:space="0" w:color="auto"/>
        <w:left w:val="none" w:sz="0" w:space="0" w:color="auto"/>
        <w:bottom w:val="none" w:sz="0" w:space="0" w:color="auto"/>
        <w:right w:val="none" w:sz="0" w:space="0" w:color="auto"/>
      </w:divBdr>
    </w:div>
    <w:div w:id="1625039813">
      <w:bodyDiv w:val="1"/>
      <w:marLeft w:val="0"/>
      <w:marRight w:val="0"/>
      <w:marTop w:val="0"/>
      <w:marBottom w:val="0"/>
      <w:divBdr>
        <w:top w:val="none" w:sz="0" w:space="0" w:color="auto"/>
        <w:left w:val="none" w:sz="0" w:space="0" w:color="auto"/>
        <w:bottom w:val="none" w:sz="0" w:space="0" w:color="auto"/>
        <w:right w:val="none" w:sz="0" w:space="0" w:color="auto"/>
      </w:divBdr>
    </w:div>
    <w:div w:id="1689480572">
      <w:bodyDiv w:val="1"/>
      <w:marLeft w:val="0"/>
      <w:marRight w:val="0"/>
      <w:marTop w:val="0"/>
      <w:marBottom w:val="0"/>
      <w:divBdr>
        <w:top w:val="none" w:sz="0" w:space="0" w:color="auto"/>
        <w:left w:val="none" w:sz="0" w:space="0" w:color="auto"/>
        <w:bottom w:val="none" w:sz="0" w:space="0" w:color="auto"/>
        <w:right w:val="none" w:sz="0" w:space="0" w:color="auto"/>
      </w:divBdr>
    </w:div>
    <w:div w:id="1793211099">
      <w:bodyDiv w:val="1"/>
      <w:marLeft w:val="0"/>
      <w:marRight w:val="0"/>
      <w:marTop w:val="0"/>
      <w:marBottom w:val="0"/>
      <w:divBdr>
        <w:top w:val="none" w:sz="0" w:space="0" w:color="auto"/>
        <w:left w:val="none" w:sz="0" w:space="0" w:color="auto"/>
        <w:bottom w:val="none" w:sz="0" w:space="0" w:color="auto"/>
        <w:right w:val="none" w:sz="0" w:space="0" w:color="auto"/>
      </w:divBdr>
    </w:div>
    <w:div w:id="1873575002">
      <w:bodyDiv w:val="1"/>
      <w:marLeft w:val="0"/>
      <w:marRight w:val="0"/>
      <w:marTop w:val="0"/>
      <w:marBottom w:val="0"/>
      <w:divBdr>
        <w:top w:val="none" w:sz="0" w:space="0" w:color="auto"/>
        <w:left w:val="none" w:sz="0" w:space="0" w:color="auto"/>
        <w:bottom w:val="none" w:sz="0" w:space="0" w:color="auto"/>
        <w:right w:val="none" w:sz="0" w:space="0" w:color="auto"/>
      </w:divBdr>
    </w:div>
    <w:div w:id="1903363566">
      <w:bodyDiv w:val="1"/>
      <w:marLeft w:val="0"/>
      <w:marRight w:val="0"/>
      <w:marTop w:val="0"/>
      <w:marBottom w:val="0"/>
      <w:divBdr>
        <w:top w:val="none" w:sz="0" w:space="0" w:color="auto"/>
        <w:left w:val="none" w:sz="0" w:space="0" w:color="auto"/>
        <w:bottom w:val="none" w:sz="0" w:space="0" w:color="auto"/>
        <w:right w:val="none" w:sz="0" w:space="0" w:color="auto"/>
      </w:divBdr>
    </w:div>
    <w:div w:id="1916275775">
      <w:bodyDiv w:val="1"/>
      <w:marLeft w:val="0"/>
      <w:marRight w:val="0"/>
      <w:marTop w:val="0"/>
      <w:marBottom w:val="0"/>
      <w:divBdr>
        <w:top w:val="none" w:sz="0" w:space="0" w:color="auto"/>
        <w:left w:val="none" w:sz="0" w:space="0" w:color="auto"/>
        <w:bottom w:val="none" w:sz="0" w:space="0" w:color="auto"/>
        <w:right w:val="none" w:sz="0" w:space="0" w:color="auto"/>
      </w:divBdr>
    </w:div>
    <w:div w:id="2076128394">
      <w:bodyDiv w:val="1"/>
      <w:marLeft w:val="0"/>
      <w:marRight w:val="0"/>
      <w:marTop w:val="0"/>
      <w:marBottom w:val="0"/>
      <w:divBdr>
        <w:top w:val="none" w:sz="0" w:space="0" w:color="auto"/>
        <w:left w:val="none" w:sz="0" w:space="0" w:color="auto"/>
        <w:bottom w:val="none" w:sz="0" w:space="0" w:color="auto"/>
        <w:right w:val="none" w:sz="0" w:space="0" w:color="auto"/>
      </w:divBdr>
      <w:divsChild>
        <w:div w:id="893156167">
          <w:marLeft w:val="547"/>
          <w:marRight w:val="0"/>
          <w:marTop w:val="0"/>
          <w:marBottom w:val="0"/>
          <w:divBdr>
            <w:top w:val="none" w:sz="0" w:space="0" w:color="auto"/>
            <w:left w:val="none" w:sz="0" w:space="0" w:color="auto"/>
            <w:bottom w:val="none" w:sz="0" w:space="0" w:color="auto"/>
            <w:right w:val="none" w:sz="0" w:space="0" w:color="auto"/>
          </w:divBdr>
        </w:div>
        <w:div w:id="653995703">
          <w:marLeft w:val="547"/>
          <w:marRight w:val="0"/>
          <w:marTop w:val="0"/>
          <w:marBottom w:val="0"/>
          <w:divBdr>
            <w:top w:val="none" w:sz="0" w:space="0" w:color="auto"/>
            <w:left w:val="none" w:sz="0" w:space="0" w:color="auto"/>
            <w:bottom w:val="none" w:sz="0" w:space="0" w:color="auto"/>
            <w:right w:val="none" w:sz="0" w:space="0" w:color="auto"/>
          </w:divBdr>
        </w:div>
        <w:div w:id="492834945">
          <w:marLeft w:val="547"/>
          <w:marRight w:val="0"/>
          <w:marTop w:val="0"/>
          <w:marBottom w:val="0"/>
          <w:divBdr>
            <w:top w:val="none" w:sz="0" w:space="0" w:color="auto"/>
            <w:left w:val="none" w:sz="0" w:space="0" w:color="auto"/>
            <w:bottom w:val="none" w:sz="0" w:space="0" w:color="auto"/>
            <w:right w:val="none" w:sz="0" w:space="0" w:color="auto"/>
          </w:divBdr>
        </w:div>
        <w:div w:id="1108962165">
          <w:marLeft w:val="547"/>
          <w:marRight w:val="0"/>
          <w:marTop w:val="0"/>
          <w:marBottom w:val="0"/>
          <w:divBdr>
            <w:top w:val="none" w:sz="0" w:space="0" w:color="auto"/>
            <w:left w:val="none" w:sz="0" w:space="0" w:color="auto"/>
            <w:bottom w:val="none" w:sz="0" w:space="0" w:color="auto"/>
            <w:right w:val="none" w:sz="0" w:space="0" w:color="auto"/>
          </w:divBdr>
        </w:div>
        <w:div w:id="399910644">
          <w:marLeft w:val="547"/>
          <w:marRight w:val="0"/>
          <w:marTop w:val="0"/>
          <w:marBottom w:val="0"/>
          <w:divBdr>
            <w:top w:val="none" w:sz="0" w:space="0" w:color="auto"/>
            <w:left w:val="none" w:sz="0" w:space="0" w:color="auto"/>
            <w:bottom w:val="none" w:sz="0" w:space="0" w:color="auto"/>
            <w:right w:val="none" w:sz="0" w:space="0" w:color="auto"/>
          </w:divBdr>
        </w:div>
      </w:divsChild>
    </w:div>
    <w:div w:id="2090468008">
      <w:bodyDiv w:val="1"/>
      <w:marLeft w:val="0"/>
      <w:marRight w:val="0"/>
      <w:marTop w:val="0"/>
      <w:marBottom w:val="0"/>
      <w:divBdr>
        <w:top w:val="none" w:sz="0" w:space="0" w:color="auto"/>
        <w:left w:val="none" w:sz="0" w:space="0" w:color="auto"/>
        <w:bottom w:val="none" w:sz="0" w:space="0" w:color="auto"/>
        <w:right w:val="none" w:sz="0" w:space="0" w:color="auto"/>
      </w:divBdr>
    </w:div>
    <w:div w:id="2119330218">
      <w:bodyDiv w:val="1"/>
      <w:marLeft w:val="0"/>
      <w:marRight w:val="0"/>
      <w:marTop w:val="0"/>
      <w:marBottom w:val="0"/>
      <w:divBdr>
        <w:top w:val="none" w:sz="0" w:space="0" w:color="auto"/>
        <w:left w:val="none" w:sz="0" w:space="0" w:color="auto"/>
        <w:bottom w:val="none" w:sz="0" w:space="0" w:color="auto"/>
        <w:right w:val="none" w:sz="0" w:space="0" w:color="auto"/>
      </w:divBdr>
      <w:divsChild>
        <w:div w:id="1855194681">
          <w:marLeft w:val="360"/>
          <w:marRight w:val="0"/>
          <w:marTop w:val="0"/>
          <w:marBottom w:val="0"/>
          <w:divBdr>
            <w:top w:val="none" w:sz="0" w:space="0" w:color="auto"/>
            <w:left w:val="none" w:sz="0" w:space="0" w:color="auto"/>
            <w:bottom w:val="none" w:sz="0" w:space="0" w:color="auto"/>
            <w:right w:val="none" w:sz="0" w:space="0" w:color="auto"/>
          </w:divBdr>
        </w:div>
        <w:div w:id="1281839513">
          <w:marLeft w:val="360"/>
          <w:marRight w:val="0"/>
          <w:marTop w:val="0"/>
          <w:marBottom w:val="0"/>
          <w:divBdr>
            <w:top w:val="none" w:sz="0" w:space="0" w:color="auto"/>
            <w:left w:val="none" w:sz="0" w:space="0" w:color="auto"/>
            <w:bottom w:val="none" w:sz="0" w:space="0" w:color="auto"/>
            <w:right w:val="none" w:sz="0" w:space="0" w:color="auto"/>
          </w:divBdr>
        </w:div>
        <w:div w:id="2116096511">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publications.iadb.org/bitstream/handle/11319/8454/Consulta-significativa-con-las-partes-interesadas.PDF?sequence=4&amp;isAllowed=y" TargetMode="Externa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who.int/medicines/areas/quality_safety/safety_efficacy/who_emp_qsm2008.3.pdf" TargetMode="External"/><Relationship Id="rId1" Type="http://schemas.openxmlformats.org/officeDocument/2006/relationships/hyperlink" Target="https://publications.iadb.org/bitstream/handle/11319/7094/Buenas-practicas-para-la-evaluacion-y-planificacion-del-manejo-de-impactos-sobre-la-biodiversidad.pdf?sequence=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E7DF3-B4D6-4237-84AF-14EC32E1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11256</Words>
  <Characters>64164</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75270</CharactersWithSpaces>
  <SharedDoc>false</SharedDoc>
  <HLinks>
    <vt:vector size="6" baseType="variant">
      <vt:variant>
        <vt:i4>262160</vt:i4>
      </vt:variant>
      <vt:variant>
        <vt:i4>72</vt:i4>
      </vt:variant>
      <vt:variant>
        <vt:i4>0</vt:i4>
      </vt:variant>
      <vt:variant>
        <vt:i4>5</vt:i4>
      </vt:variant>
      <vt:variant>
        <vt:lpwstr>http://www.funcionpublica.gob.mx/unaopspf/credito/normace.htm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2018-11-16T17:43:00Z</dcterms:created>
  <dcterms:modified xsi:type="dcterms:W3CDTF">2018-11-16T17:43:00Z</dcterms:modified>
</cp:coreProperties>
</file>