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395C2" w14:textId="77777777" w:rsidR="009D5FE2" w:rsidRPr="00E05B28" w:rsidRDefault="009D5FE2" w:rsidP="00E05B28">
      <w:pPr>
        <w:pStyle w:val="NoSpacing"/>
        <w:jc w:val="center"/>
        <w:rPr>
          <w:b/>
          <w:lang w:val="es-ES_tradnl"/>
        </w:rPr>
      </w:pPr>
      <w:r w:rsidRPr="00E05B28">
        <w:rPr>
          <w:b/>
          <w:lang w:val="es-ES_tradnl"/>
        </w:rPr>
        <w:t>PROGRAMA FINANCIERO PARA EL DESARROLLO PRODUCTIVO II</w:t>
      </w:r>
    </w:p>
    <w:p w14:paraId="24A51F13" w14:textId="77777777" w:rsidR="00A822B0" w:rsidRPr="00E05B28" w:rsidRDefault="009D5FE2" w:rsidP="00E05B28">
      <w:pPr>
        <w:pStyle w:val="NoSpacing"/>
        <w:jc w:val="center"/>
        <w:rPr>
          <w:b/>
          <w:lang w:val="es-ES_tradnl"/>
        </w:rPr>
      </w:pPr>
      <w:r w:rsidRPr="00E05B28">
        <w:rPr>
          <w:b/>
          <w:lang w:val="es-ES_tradnl"/>
        </w:rPr>
        <w:t>(UR-L1115)</w:t>
      </w:r>
    </w:p>
    <w:p w14:paraId="6DA5EF72" w14:textId="77777777" w:rsidR="009D5FE2" w:rsidRPr="00E05B28" w:rsidRDefault="009D5FE2" w:rsidP="00E05B28">
      <w:pPr>
        <w:pStyle w:val="NoSpacing"/>
        <w:jc w:val="center"/>
        <w:rPr>
          <w:b/>
          <w:lang w:val="es-ES_tradnl"/>
        </w:rPr>
      </w:pPr>
      <w:r w:rsidRPr="00E05B28">
        <w:rPr>
          <w:b/>
          <w:lang w:val="es-ES_tradnl"/>
        </w:rPr>
        <w:t>SEGUNDA OPERACIÓN INDIVIDUAL BAJO LA LÍNEA DE CRÉDITO</w:t>
      </w:r>
    </w:p>
    <w:p w14:paraId="11DFD690" w14:textId="77777777" w:rsidR="009D5FE2" w:rsidRPr="00E05B28" w:rsidRDefault="009D5FE2" w:rsidP="00E05B28">
      <w:pPr>
        <w:pStyle w:val="NoSpacing"/>
        <w:jc w:val="center"/>
        <w:rPr>
          <w:b/>
          <w:lang w:val="es-ES_tradnl"/>
        </w:rPr>
      </w:pPr>
      <w:r w:rsidRPr="00E05B28">
        <w:rPr>
          <w:b/>
          <w:lang w:val="es-ES_tradnl"/>
        </w:rPr>
        <w:t>CONDICIONAL PARA PROYECTOS DE INVERSIÓN (CCLIP) PARA EL</w:t>
      </w:r>
    </w:p>
    <w:p w14:paraId="53370663" w14:textId="77777777" w:rsidR="009D5FE2" w:rsidRPr="00E05B28" w:rsidRDefault="009D5FE2" w:rsidP="00E05B28">
      <w:pPr>
        <w:pStyle w:val="NoSpacing"/>
        <w:jc w:val="center"/>
        <w:rPr>
          <w:b/>
          <w:lang w:val="es-ES_tradnl"/>
        </w:rPr>
      </w:pPr>
      <w:r w:rsidRPr="00E05B28">
        <w:rPr>
          <w:b/>
          <w:lang w:val="es-ES_tradnl"/>
        </w:rPr>
        <w:t>FINANCIAMIENTO DEL DESARROLLO PRODUCTIVO</w:t>
      </w:r>
    </w:p>
    <w:p w14:paraId="00FCE706" w14:textId="77777777" w:rsidR="009D5FE2" w:rsidRPr="00E05B28" w:rsidRDefault="009D5FE2" w:rsidP="00E05B28">
      <w:pPr>
        <w:pStyle w:val="NoSpacing"/>
        <w:jc w:val="center"/>
        <w:rPr>
          <w:b/>
          <w:lang w:val="es-ES_tradnl"/>
        </w:rPr>
      </w:pPr>
      <w:r w:rsidRPr="00E05B28">
        <w:rPr>
          <w:b/>
          <w:lang w:val="es-ES_tradnl"/>
        </w:rPr>
        <w:t>(UR-X1011)</w:t>
      </w:r>
    </w:p>
    <w:p w14:paraId="0137899B" w14:textId="77777777" w:rsidR="009D5FE2" w:rsidRPr="00E05B28" w:rsidRDefault="009D5FE2" w:rsidP="00E05B28">
      <w:pPr>
        <w:pStyle w:val="NoSpacing"/>
        <w:jc w:val="both"/>
        <w:rPr>
          <w:b/>
          <w:lang w:val="es-ES_tradnl"/>
        </w:rPr>
      </w:pPr>
    </w:p>
    <w:p w14:paraId="4AA6AA2B" w14:textId="6CBCE005" w:rsidR="009D5FE2" w:rsidRPr="00377169" w:rsidRDefault="00377169" w:rsidP="00E05B28">
      <w:pPr>
        <w:pStyle w:val="Heading1"/>
        <w:jc w:val="both"/>
        <w:rPr>
          <w:lang w:val="es-ES_tradnl"/>
        </w:rPr>
      </w:pPr>
      <w:r w:rsidRPr="007922CD">
        <w:rPr>
          <w:rFonts w:ascii="Arial" w:hAnsi="Arial" w:cs="Arial"/>
          <w:color w:val="0000FF"/>
          <w:sz w:val="20"/>
          <w:szCs w:val="20"/>
          <w:lang w:val="es-ES_tradnl"/>
        </w:rPr>
        <w:t>Estimación de la Contribución al Financiamiento del Cambio Climático</w:t>
      </w:r>
    </w:p>
    <w:p w14:paraId="76DB150F" w14:textId="5D8BDE2C" w:rsidR="009D5FE2" w:rsidRPr="00E05B28" w:rsidRDefault="00E16508" w:rsidP="00E05B28">
      <w:pPr>
        <w:jc w:val="both"/>
        <w:rPr>
          <w:b/>
          <w:lang w:val="es-ES_tradnl"/>
        </w:rPr>
      </w:pPr>
      <w:r w:rsidRPr="00E05B28">
        <w:rPr>
          <w:b/>
          <w:lang w:val="es-ES_tradnl"/>
        </w:rPr>
        <w:t>Componente I. Financiamiento para préstamos de inversión productiv</w:t>
      </w:r>
      <w:r w:rsidR="00E05B28" w:rsidRPr="00E05B28">
        <w:rPr>
          <w:b/>
          <w:lang w:val="es-ES_tradnl"/>
        </w:rPr>
        <w:t>a</w:t>
      </w:r>
      <w:r w:rsidRPr="00E05B28">
        <w:rPr>
          <w:b/>
          <w:lang w:val="es-ES_tradnl"/>
        </w:rPr>
        <w:t xml:space="preserve"> agroforestales a través del BROU (aproximadamente US$15 millones).</w:t>
      </w:r>
    </w:p>
    <w:p w14:paraId="4DC3E572" w14:textId="77777777" w:rsidR="00766871" w:rsidRPr="007922CD" w:rsidRDefault="00766871" w:rsidP="00E05B28">
      <w:pPr>
        <w:jc w:val="both"/>
        <w:rPr>
          <w:u w:val="single"/>
          <w:lang w:val="es-ES_tradnl"/>
        </w:rPr>
      </w:pPr>
      <w:r w:rsidRPr="00E05B28">
        <w:rPr>
          <w:u w:val="single"/>
          <w:lang w:val="es-ES_tradnl"/>
        </w:rPr>
        <w:t xml:space="preserve">Potencial de apoyar los esfuerzos del país a través de acciones que podrían alinearse a la </w:t>
      </w:r>
      <w:hyperlink r:id="rId6" w:history="1">
        <w:r w:rsidRPr="007922CD">
          <w:rPr>
            <w:rStyle w:val="Hyperlink"/>
            <w:color w:val="auto"/>
            <w:lang w:val="es-ES_tradnl"/>
          </w:rPr>
          <w:t>Contribución Determinada a nivel Nacional (NDC)</w:t>
        </w:r>
      </w:hyperlink>
      <w:r w:rsidRPr="007922CD">
        <w:rPr>
          <w:u w:val="single"/>
          <w:lang w:val="es-ES_tradnl"/>
        </w:rPr>
        <w:t xml:space="preserve"> </w:t>
      </w:r>
    </w:p>
    <w:p w14:paraId="6F463023" w14:textId="77777777" w:rsidR="00766871" w:rsidRPr="006C028F" w:rsidRDefault="00766871" w:rsidP="006C028F">
      <w:pPr>
        <w:jc w:val="both"/>
        <w:rPr>
          <w:lang w:val="es-ES_tradnl"/>
        </w:rPr>
      </w:pPr>
      <w:r w:rsidRPr="006C028F">
        <w:rPr>
          <w:lang w:val="es-ES_tradnl"/>
        </w:rPr>
        <w:t xml:space="preserve">La NDC establece metas condicionales e incondicionales en materia de mitigación de CO2 a través de la Biomasa viva en Tierras Forestales. Las metas condicionadas </w:t>
      </w:r>
      <w:r w:rsidR="004D2366" w:rsidRPr="006C028F">
        <w:rPr>
          <w:lang w:val="es-ES_tradnl"/>
        </w:rPr>
        <w:t>deben de “</w:t>
      </w:r>
      <w:r w:rsidR="004D2366" w:rsidRPr="006C028F">
        <w:rPr>
          <w:i/>
          <w:lang w:val="es-ES_tradnl"/>
        </w:rPr>
        <w:t>los medios de implementación adicionales específicos que el país reciba, tanto vía financiamiento, como en transferencia y desarrollo de tecnologías y la generación de capacidades.”</w:t>
      </w:r>
    </w:p>
    <w:p w14:paraId="72B193DE" w14:textId="32AC1905" w:rsidR="00766871" w:rsidRPr="00E05B28" w:rsidRDefault="00766871" w:rsidP="00E05B28">
      <w:pPr>
        <w:pStyle w:val="ListParagraph"/>
        <w:jc w:val="both"/>
        <w:rPr>
          <w:lang w:val="es-ES_tradn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15"/>
        <w:gridCol w:w="4315"/>
      </w:tblGrid>
      <w:tr w:rsidR="00766871" w:rsidRPr="00E05B28" w14:paraId="2889CFAD" w14:textId="77777777" w:rsidTr="00E05B28">
        <w:tc>
          <w:tcPr>
            <w:tcW w:w="8630" w:type="dxa"/>
            <w:gridSpan w:val="2"/>
          </w:tcPr>
          <w:p w14:paraId="21828DE2" w14:textId="77777777" w:rsidR="00766871" w:rsidRPr="00E05B28" w:rsidRDefault="00766871" w:rsidP="00E05B28">
            <w:pPr>
              <w:pStyle w:val="ListParagraph"/>
              <w:ind w:left="0"/>
              <w:jc w:val="center"/>
              <w:rPr>
                <w:b/>
                <w:lang w:val="es-ES_tradnl"/>
              </w:rPr>
            </w:pPr>
            <w:r w:rsidRPr="00E05B28">
              <w:rPr>
                <w:b/>
                <w:lang w:val="es-ES_tradnl"/>
              </w:rPr>
              <w:t>Objetivos de Mitigación a 2025</w:t>
            </w:r>
          </w:p>
        </w:tc>
      </w:tr>
      <w:tr w:rsidR="00766871" w:rsidRPr="007922CD" w14:paraId="37B3FFA5" w14:textId="77777777" w:rsidTr="00E05B28">
        <w:tc>
          <w:tcPr>
            <w:tcW w:w="8630" w:type="dxa"/>
            <w:gridSpan w:val="2"/>
          </w:tcPr>
          <w:p w14:paraId="49F0D8A5" w14:textId="77777777" w:rsidR="00766871" w:rsidRPr="00E05B28" w:rsidRDefault="00766871" w:rsidP="00E05B28">
            <w:pPr>
              <w:pStyle w:val="ListParagraph"/>
              <w:ind w:left="0"/>
              <w:jc w:val="center"/>
              <w:rPr>
                <w:b/>
                <w:lang w:val="es-ES_tradnl"/>
              </w:rPr>
            </w:pPr>
            <w:r w:rsidRPr="00E05B28">
              <w:rPr>
                <w:b/>
                <w:lang w:val="es-ES_tradnl"/>
              </w:rPr>
              <w:t>Mantenimiento de stocks - CO2 Biomasa viva en Tierras Forestales</w:t>
            </w:r>
          </w:p>
        </w:tc>
      </w:tr>
      <w:tr w:rsidR="00766871" w:rsidRPr="007922CD" w14:paraId="1572F5A9" w14:textId="77777777" w:rsidTr="006C028F">
        <w:tc>
          <w:tcPr>
            <w:tcW w:w="4315" w:type="dxa"/>
          </w:tcPr>
          <w:p w14:paraId="0F631E48" w14:textId="5EFAEDB3" w:rsidR="00766871" w:rsidRPr="00E05B28" w:rsidRDefault="00766871" w:rsidP="00E05B28">
            <w:pPr>
              <w:pStyle w:val="ListParagraph"/>
              <w:ind w:left="0"/>
              <w:jc w:val="center"/>
              <w:rPr>
                <w:lang w:val="es-ES_tradnl"/>
              </w:rPr>
            </w:pPr>
            <w:r w:rsidRPr="00E05B28">
              <w:rPr>
                <w:lang w:val="es-ES_tradnl"/>
              </w:rPr>
              <w:t>Incondicional</w:t>
            </w:r>
          </w:p>
        </w:tc>
        <w:tc>
          <w:tcPr>
            <w:tcW w:w="4315" w:type="dxa"/>
            <w:shd w:val="clear" w:color="auto" w:fill="E2EFD9" w:themeFill="accent6" w:themeFillTint="33"/>
          </w:tcPr>
          <w:p w14:paraId="688D729E" w14:textId="77777777" w:rsidR="00766871" w:rsidRPr="00E05B28" w:rsidRDefault="00766871" w:rsidP="006C028F">
            <w:pPr>
              <w:pStyle w:val="ListParagraph"/>
              <w:ind w:left="0"/>
              <w:jc w:val="center"/>
              <w:rPr>
                <w:lang w:val="es-ES_tradnl"/>
              </w:rPr>
            </w:pPr>
            <w:r w:rsidRPr="00E05B28">
              <w:rPr>
                <w:lang w:val="es-ES_tradnl"/>
              </w:rPr>
              <w:t>Condicional a medios de implementación adicionales específicos</w:t>
            </w:r>
          </w:p>
        </w:tc>
      </w:tr>
      <w:tr w:rsidR="00766871" w:rsidRPr="007922CD" w14:paraId="01C115C2" w14:textId="77777777" w:rsidTr="006C028F">
        <w:tc>
          <w:tcPr>
            <w:tcW w:w="4315" w:type="dxa"/>
          </w:tcPr>
          <w:p w14:paraId="76471B33" w14:textId="77777777" w:rsidR="00766871" w:rsidRPr="00E05B28" w:rsidRDefault="00766871" w:rsidP="00E05B28">
            <w:pPr>
              <w:pStyle w:val="ListParagraph"/>
              <w:ind w:left="0"/>
              <w:jc w:val="center"/>
              <w:rPr>
                <w:lang w:val="es-ES_tradnl"/>
              </w:rPr>
            </w:pPr>
            <w:r w:rsidRPr="00E05B28">
              <w:rPr>
                <w:lang w:val="es-ES_tradnl"/>
              </w:rPr>
              <w:t>Mantener el 100% de la superficie de bosque nativo del año 2012 (849.960 ha)</w:t>
            </w:r>
          </w:p>
        </w:tc>
        <w:tc>
          <w:tcPr>
            <w:tcW w:w="4315" w:type="dxa"/>
            <w:shd w:val="clear" w:color="auto" w:fill="E2EFD9" w:themeFill="accent6" w:themeFillTint="33"/>
          </w:tcPr>
          <w:p w14:paraId="20EB6652" w14:textId="77777777" w:rsidR="00766871" w:rsidRPr="00E05B28" w:rsidRDefault="00766871" w:rsidP="006C028F">
            <w:pPr>
              <w:pStyle w:val="ListParagraph"/>
              <w:ind w:left="0"/>
              <w:jc w:val="center"/>
              <w:rPr>
                <w:lang w:val="es-ES_tradnl"/>
              </w:rPr>
            </w:pPr>
            <w:r w:rsidRPr="00E05B28">
              <w:rPr>
                <w:lang w:val="es-ES_tradnl"/>
              </w:rPr>
              <w:t>Aumentar en 5% la superficie de bosque nativo del año 2012 (892.458 ha)</w:t>
            </w:r>
          </w:p>
        </w:tc>
      </w:tr>
      <w:tr w:rsidR="00766871" w:rsidRPr="00E05B28" w14:paraId="76878751" w14:textId="77777777" w:rsidTr="006C028F">
        <w:tc>
          <w:tcPr>
            <w:tcW w:w="4315" w:type="dxa"/>
          </w:tcPr>
          <w:p w14:paraId="676C6F44" w14:textId="2D40D3C8" w:rsidR="00766871" w:rsidRPr="00E05B28" w:rsidRDefault="00766871" w:rsidP="00E05B28">
            <w:pPr>
              <w:pStyle w:val="ListParagraph"/>
              <w:ind w:left="0"/>
              <w:jc w:val="center"/>
              <w:rPr>
                <w:lang w:val="es-ES_tradnl"/>
              </w:rPr>
            </w:pPr>
            <w:r w:rsidRPr="00E05B28">
              <w:rPr>
                <w:lang w:val="es-ES_tradnl"/>
              </w:rPr>
              <w:t>Al menos mantener el 100% de la cantidad de superficie efectiva en manejo de plantaciones forestales, del año 2015 (763.070 ha)</w:t>
            </w:r>
          </w:p>
        </w:tc>
        <w:tc>
          <w:tcPr>
            <w:tcW w:w="4315" w:type="dxa"/>
            <w:shd w:val="clear" w:color="auto" w:fill="E2EFD9" w:themeFill="accent6" w:themeFillTint="33"/>
          </w:tcPr>
          <w:p w14:paraId="45F581F6" w14:textId="77777777" w:rsidR="00766871" w:rsidRPr="00E05B28" w:rsidRDefault="00766871" w:rsidP="006C028F">
            <w:pPr>
              <w:pStyle w:val="ListParagraph"/>
              <w:ind w:left="0"/>
              <w:jc w:val="center"/>
              <w:rPr>
                <w:lang w:val="es-ES_tradnl"/>
              </w:rPr>
            </w:pPr>
            <w:r w:rsidRPr="00E05B28">
              <w:rPr>
                <w:lang w:val="es-ES_tradnl"/>
              </w:rPr>
              <w:t>---</w:t>
            </w:r>
          </w:p>
        </w:tc>
      </w:tr>
      <w:tr w:rsidR="00766871" w:rsidRPr="007922CD" w14:paraId="7341C147" w14:textId="77777777" w:rsidTr="006C028F">
        <w:tc>
          <w:tcPr>
            <w:tcW w:w="4315" w:type="dxa"/>
          </w:tcPr>
          <w:p w14:paraId="485F1D2B" w14:textId="253C1FFF" w:rsidR="00766871" w:rsidRPr="00E05B28" w:rsidRDefault="00766871" w:rsidP="00E05B28">
            <w:pPr>
              <w:pStyle w:val="ListParagraph"/>
              <w:ind w:left="0"/>
              <w:jc w:val="center"/>
              <w:rPr>
                <w:lang w:val="es-ES_tradnl"/>
              </w:rPr>
            </w:pPr>
            <w:r w:rsidRPr="00E05B28">
              <w:rPr>
                <w:lang w:val="es-ES_tradnl"/>
              </w:rPr>
              <w:t>Mantener el 100% de la superficie de plantaciones forestales con destino sombra y abrigo del año 2012 (77.790 ha)</w:t>
            </w:r>
          </w:p>
        </w:tc>
        <w:tc>
          <w:tcPr>
            <w:tcW w:w="4315" w:type="dxa"/>
            <w:shd w:val="clear" w:color="auto" w:fill="E2EFD9" w:themeFill="accent6" w:themeFillTint="33"/>
          </w:tcPr>
          <w:p w14:paraId="03EEE672" w14:textId="77777777" w:rsidR="00766871" w:rsidRPr="006C028F" w:rsidRDefault="00766871" w:rsidP="006C028F">
            <w:pPr>
              <w:jc w:val="center"/>
              <w:rPr>
                <w:lang w:val="es-ES_tradnl"/>
              </w:rPr>
            </w:pPr>
            <w:r w:rsidRPr="006C028F">
              <w:rPr>
                <w:lang w:val="es-ES_tradnl"/>
              </w:rPr>
              <w:t>Aumentar en 25% la superficie de plantaciones forestales con destino sombra y abrigo del año 2012, incluyendo sistemas silvopastoriles, (97.338 ha)</w:t>
            </w:r>
          </w:p>
          <w:p w14:paraId="7F0B657F" w14:textId="77777777" w:rsidR="00766871" w:rsidRPr="00E05B28" w:rsidRDefault="00766871" w:rsidP="006C028F">
            <w:pPr>
              <w:pStyle w:val="ListParagraph"/>
              <w:ind w:left="0"/>
              <w:jc w:val="center"/>
              <w:rPr>
                <w:lang w:val="es-ES_tradnl"/>
              </w:rPr>
            </w:pPr>
          </w:p>
        </w:tc>
      </w:tr>
    </w:tbl>
    <w:p w14:paraId="749FA47A" w14:textId="3991A5C3" w:rsidR="004D2366" w:rsidRPr="00E05B28" w:rsidRDefault="004D2366" w:rsidP="00E05B28">
      <w:pPr>
        <w:jc w:val="both"/>
        <w:rPr>
          <w:lang w:val="es-ES_tradnl"/>
        </w:rPr>
      </w:pPr>
    </w:p>
    <w:p w14:paraId="272D7828" w14:textId="01CFCCDD" w:rsidR="00E16508" w:rsidRPr="00E05B28" w:rsidRDefault="004D2366" w:rsidP="00E05B28">
      <w:pPr>
        <w:jc w:val="both"/>
        <w:rPr>
          <w:lang w:val="es-ES_tradnl"/>
        </w:rPr>
      </w:pPr>
      <w:r w:rsidRPr="00E05B28">
        <w:rPr>
          <w:lang w:val="es-ES_tradnl"/>
        </w:rPr>
        <w:t xml:space="preserve">Adicionalmente, la NDC establece </w:t>
      </w:r>
      <w:r w:rsidR="00E16508" w:rsidRPr="00E05B28">
        <w:rPr>
          <w:lang w:val="es-ES_tradnl"/>
        </w:rPr>
        <w:t xml:space="preserve">específicamente que el </w:t>
      </w:r>
      <w:r w:rsidRPr="00E05B28">
        <w:rPr>
          <w:lang w:val="es-ES_tradnl"/>
        </w:rPr>
        <w:t xml:space="preserve">área de plantaciones forestales </w:t>
      </w:r>
      <w:r w:rsidR="00E16508" w:rsidRPr="00E05B28">
        <w:rPr>
          <w:lang w:val="es-ES_tradnl"/>
        </w:rPr>
        <w:t xml:space="preserve">es de interés y prioridad del país. Los últimos anos estas áreas </w:t>
      </w:r>
      <w:r w:rsidRPr="00E05B28">
        <w:rPr>
          <w:lang w:val="es-ES_tradnl"/>
        </w:rPr>
        <w:t>aument</w:t>
      </w:r>
      <w:r w:rsidR="00E16508" w:rsidRPr="00E05B28">
        <w:rPr>
          <w:lang w:val="es-ES_tradnl"/>
        </w:rPr>
        <w:t xml:space="preserve">aron </w:t>
      </w:r>
      <w:r w:rsidRPr="00E05B28">
        <w:rPr>
          <w:lang w:val="es-ES_tradnl"/>
        </w:rPr>
        <w:t xml:space="preserve">significativamente </w:t>
      </w:r>
      <w:r w:rsidR="00E16508" w:rsidRPr="00E05B28">
        <w:rPr>
          <w:lang w:val="es-ES_tradnl"/>
        </w:rPr>
        <w:t xml:space="preserve">debido a </w:t>
      </w:r>
      <w:r w:rsidRPr="00E05B28">
        <w:rPr>
          <w:lang w:val="es-ES_tradnl"/>
        </w:rPr>
        <w:t>la aprobación e implementación de la Ley Forestal</w:t>
      </w:r>
      <w:r w:rsidR="00E16508" w:rsidRPr="00E05B28">
        <w:rPr>
          <w:lang w:val="es-ES_tradnl"/>
        </w:rPr>
        <w:t xml:space="preserve">, teniendo como consecuencia que las </w:t>
      </w:r>
      <w:r w:rsidRPr="00E05B28">
        <w:rPr>
          <w:lang w:val="es-ES_tradnl"/>
        </w:rPr>
        <w:t>plantaciones forestales</w:t>
      </w:r>
      <w:r w:rsidR="00E16508" w:rsidRPr="00E05B28">
        <w:rPr>
          <w:lang w:val="es-ES_tradnl"/>
        </w:rPr>
        <w:t xml:space="preserve"> sean la fuente de</w:t>
      </w:r>
      <w:r w:rsidRPr="00E05B28">
        <w:rPr>
          <w:lang w:val="es-ES_tradnl"/>
        </w:rPr>
        <w:t xml:space="preserve"> la mayor parte de las remociones de CO</w:t>
      </w:r>
      <w:r w:rsidRPr="00E05B28">
        <w:rPr>
          <w:sz w:val="13"/>
          <w:szCs w:val="13"/>
          <w:lang w:val="es-ES_tradnl"/>
        </w:rPr>
        <w:t xml:space="preserve">2 </w:t>
      </w:r>
      <w:r w:rsidRPr="00E05B28">
        <w:rPr>
          <w:lang w:val="es-ES_tradnl"/>
        </w:rPr>
        <w:t xml:space="preserve">del sector UTCUTS. </w:t>
      </w:r>
    </w:p>
    <w:p w14:paraId="04F5436F" w14:textId="187201BF" w:rsidR="00E16508" w:rsidRPr="00E05B28" w:rsidRDefault="00E16508" w:rsidP="00E05B28">
      <w:pPr>
        <w:jc w:val="both"/>
        <w:rPr>
          <w:lang w:val="es-ES_tradnl"/>
        </w:rPr>
      </w:pPr>
    </w:p>
    <w:p w14:paraId="14CA8595" w14:textId="549ED43A" w:rsidR="00E16508" w:rsidRDefault="00E16508" w:rsidP="00E05B28">
      <w:pPr>
        <w:pStyle w:val="Heading1"/>
        <w:jc w:val="both"/>
        <w:rPr>
          <w:lang w:val="es-ES_tradnl"/>
        </w:rPr>
      </w:pPr>
      <w:r w:rsidRPr="00E05B28">
        <w:rPr>
          <w:noProof/>
          <w:lang w:val="es-ES_tradn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4C19C0" wp14:editId="75BB2FCF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5762625" cy="1404620"/>
                <wp:effectExtent l="0" t="0" r="28575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CF471" w14:textId="77777777" w:rsidR="00E16508" w:rsidRDefault="00E16508" w:rsidP="00E16508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E</w:t>
                            </w:r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l objetivo de las plantaciones forestales se ha definido</w:t>
                            </w:r>
                            <w:r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 como</w:t>
                            </w:r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 una cantidad mínima de área que permanecerá como superficie efectiva de manejo en las sucesivas </w:t>
                            </w:r>
                            <w:proofErr w:type="spellStart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N</w:t>
                            </w:r>
                            <w:r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DC</w:t>
                            </w:r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s</w:t>
                            </w:r>
                            <w:proofErr w:type="spellEnd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, más allá de los ciclos de plantación, crecimiento y cosecha, manteniendo el 100% de la superficie efectiva de 2015 de 763.070 ha, que representan un stock de carbono de 32.153 </w:t>
                            </w:r>
                            <w:proofErr w:type="spellStart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Gg</w:t>
                            </w:r>
                            <w:proofErr w:type="spellEnd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 de C, que equivalen a alrededor de 117.894 </w:t>
                            </w:r>
                            <w:proofErr w:type="spellStart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Gg</w:t>
                            </w:r>
                            <w:proofErr w:type="spellEnd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 de CO2, y que corresponde a 3,3 años de emisión promedio de Uruguay entre 1990 y 2012 con la métrica GWP. </w:t>
                            </w:r>
                          </w:p>
                          <w:p w14:paraId="24493025" w14:textId="77777777" w:rsidR="00E16508" w:rsidRDefault="00E16508" w:rsidP="00E16508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P</w:t>
                            </w:r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ara 2025 se estima un secuestro neto (emisiones menos remociones) de 2.853 </w:t>
                            </w:r>
                            <w:proofErr w:type="spellStart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Gg</w:t>
                            </w:r>
                            <w:proofErr w:type="spellEnd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 de CO2; comparado con el período 1990-1994, en el que no había secuestro, sino que se emitían en promedio 214 </w:t>
                            </w:r>
                            <w:proofErr w:type="spellStart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Gg</w:t>
                            </w:r>
                            <w:proofErr w:type="spellEnd"/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, en este sentido el sector forestal refleja un sostenido aumento de los stocks de carbono en biomasa, que continuará ampliándose en la estimación a 2025. </w:t>
                            </w:r>
                          </w:p>
                          <w:p w14:paraId="0F489ACD" w14:textId="604A7889" w:rsidR="00E16508" w:rsidRPr="00E16508" w:rsidRDefault="00E16508" w:rsidP="00E16508">
                            <w:pPr>
                              <w:jc w:val="both"/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</w:pPr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Uruguay está trabajando técnicamente para informar en los sucesivos INGEI el pool de carbono “</w:t>
                            </w:r>
                            <w:r w:rsidRPr="00E16508">
                              <w:rPr>
                                <w:i/>
                                <w:iCs/>
                                <w:sz w:val="20"/>
                                <w:szCs w:val="20"/>
                                <w:lang w:val="es-ES_tradnl"/>
                              </w:rPr>
                              <w:t>productos de madera cosechada</w:t>
                            </w:r>
                            <w:r w:rsidRPr="00E16508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” que representaría más adecuadamente los flujos de emisión de la cosecha de las plantaciones forestales, que dependiendo de si su destino es papel o madera para la industria de transformación mecánica, se pueden considerar emisiones diferidas entre 2 y 35 </w:t>
                            </w:r>
                            <w:r w:rsidRPr="007922CD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 xml:space="preserve">años. </w:t>
                            </w:r>
                            <w:r w:rsidRPr="007922CD">
                              <w:rPr>
                                <w:sz w:val="20"/>
                                <w:szCs w:val="20"/>
                              </w:rPr>
                              <w:t>NDC Uruguay</w:t>
                            </w:r>
                            <w:r w:rsidR="007922CD" w:rsidRPr="007922CD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4C19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pt;margin-top:0;width:453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">
                <v:textbox style="mso-fit-shape-to-text:t">
                  <w:txbxContent>
                    <w:p w14:paraId="70DCF471" w14:textId="77777777" w:rsidR="00E16508" w:rsidRDefault="00E16508" w:rsidP="00E16508">
                      <w:pPr>
                        <w:jc w:val="both"/>
                        <w:rPr>
                          <w:sz w:val="20"/>
                          <w:szCs w:val="20"/>
                          <w:lang w:val="es-ES_tradnl"/>
                        </w:rPr>
                      </w:pPr>
                      <w:r>
                        <w:rPr>
                          <w:sz w:val="20"/>
                          <w:szCs w:val="20"/>
                          <w:lang w:val="es-ES_tradnl"/>
                        </w:rPr>
                        <w:t>E</w:t>
                      </w:r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>l objetivo de las plantaciones forestales se ha definido</w:t>
                      </w:r>
                      <w:r>
                        <w:rPr>
                          <w:sz w:val="20"/>
                          <w:szCs w:val="20"/>
                          <w:lang w:val="es-ES_tradnl"/>
                        </w:rPr>
                        <w:t xml:space="preserve"> como</w:t>
                      </w:r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 xml:space="preserve"> una cantidad mínima de área que permanecerá como superficie efectiva de manejo en las sucesivas </w:t>
                      </w:r>
                      <w:proofErr w:type="spellStart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>N</w:t>
                      </w:r>
                      <w:r>
                        <w:rPr>
                          <w:sz w:val="20"/>
                          <w:szCs w:val="20"/>
                          <w:lang w:val="es-ES_tradnl"/>
                        </w:rPr>
                        <w:t>DC</w:t>
                      </w:r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>s</w:t>
                      </w:r>
                      <w:proofErr w:type="spellEnd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 xml:space="preserve">, más allá de los ciclos de plantación, crecimiento y cosecha, manteniendo el 100% de la superficie efectiva de 2015 de 763.070 ha, que representan un stock de carbono de 32.153 </w:t>
                      </w:r>
                      <w:proofErr w:type="spellStart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>Gg</w:t>
                      </w:r>
                      <w:proofErr w:type="spellEnd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 xml:space="preserve"> de C, que equivalen a alrededor de 117.894 </w:t>
                      </w:r>
                      <w:proofErr w:type="spellStart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>Gg</w:t>
                      </w:r>
                      <w:proofErr w:type="spellEnd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 xml:space="preserve"> de CO2, y que corresponde a 3,3 años de emisión promedio de Uruguay entre 1990 y 2012 con la métrica GWP. </w:t>
                      </w:r>
                    </w:p>
                    <w:p w14:paraId="24493025" w14:textId="77777777" w:rsidR="00E16508" w:rsidRDefault="00E16508" w:rsidP="00E16508">
                      <w:pPr>
                        <w:jc w:val="both"/>
                        <w:rPr>
                          <w:sz w:val="20"/>
                          <w:szCs w:val="20"/>
                          <w:lang w:val="es-ES_tradnl"/>
                        </w:rPr>
                      </w:pPr>
                      <w:r>
                        <w:rPr>
                          <w:sz w:val="20"/>
                          <w:szCs w:val="20"/>
                          <w:lang w:val="es-ES_tradnl"/>
                        </w:rPr>
                        <w:t>P</w:t>
                      </w:r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 xml:space="preserve">ara 2025 se estima un secuestro neto (emisiones menos remociones) de 2.853 </w:t>
                      </w:r>
                      <w:proofErr w:type="spellStart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>Gg</w:t>
                      </w:r>
                      <w:proofErr w:type="spellEnd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 xml:space="preserve"> de CO2; comparado con el período 1990-1994, en el que no había secuestro, sino que se emitían en promedio 214 </w:t>
                      </w:r>
                      <w:proofErr w:type="spellStart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>Gg</w:t>
                      </w:r>
                      <w:proofErr w:type="spellEnd"/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 xml:space="preserve">, en este sentido el sector forestal refleja un sostenido aumento de los stocks de carbono en biomasa, que continuará ampliándose en la estimación a 2025. </w:t>
                      </w:r>
                    </w:p>
                    <w:p w14:paraId="0F489ACD" w14:textId="604A7889" w:rsidR="00E16508" w:rsidRPr="00E16508" w:rsidRDefault="00E16508" w:rsidP="00E16508">
                      <w:pPr>
                        <w:jc w:val="both"/>
                        <w:rPr>
                          <w:color w:val="4472C4" w:themeColor="accent1"/>
                          <w:sz w:val="20"/>
                          <w:szCs w:val="20"/>
                        </w:rPr>
                      </w:pPr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>Uruguay está trabajando técnicamente para informar en los sucesivos INGEI el pool de carbono “</w:t>
                      </w:r>
                      <w:r w:rsidRPr="00E16508">
                        <w:rPr>
                          <w:i/>
                          <w:iCs/>
                          <w:sz w:val="20"/>
                          <w:szCs w:val="20"/>
                          <w:lang w:val="es-ES_tradnl"/>
                        </w:rPr>
                        <w:t>productos de madera cosechada</w:t>
                      </w:r>
                      <w:r w:rsidRPr="00E16508">
                        <w:rPr>
                          <w:sz w:val="20"/>
                          <w:szCs w:val="20"/>
                          <w:lang w:val="es-ES_tradnl"/>
                        </w:rPr>
                        <w:t xml:space="preserve">” que representaría más adecuadamente los flujos de emisión de la cosecha de las plantaciones forestales, que dependiendo de si su destino es papel o madera para la industria de transformación mecánica, se pueden considerar emisiones diferidas entre 2 y 35 </w:t>
                      </w:r>
                      <w:r w:rsidRPr="007922CD">
                        <w:rPr>
                          <w:sz w:val="20"/>
                          <w:szCs w:val="20"/>
                          <w:lang w:val="es-ES_tradnl"/>
                        </w:rPr>
                        <w:t xml:space="preserve">años. </w:t>
                      </w:r>
                      <w:r w:rsidRPr="007922CD">
                        <w:rPr>
                          <w:sz w:val="20"/>
                          <w:szCs w:val="20"/>
                        </w:rPr>
                        <w:t>NDC Uruguay</w:t>
                      </w:r>
                      <w:r w:rsidR="007922CD" w:rsidRPr="007922CD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00CE20" w14:textId="698EF9BC" w:rsidR="00E16508" w:rsidRPr="00E05B28" w:rsidRDefault="00E16508" w:rsidP="00E05B28">
      <w:pPr>
        <w:jc w:val="both"/>
        <w:rPr>
          <w:b/>
          <w:lang w:val="es-ES_tradnl"/>
        </w:rPr>
      </w:pPr>
      <w:r w:rsidRPr="00E05B28">
        <w:rPr>
          <w:b/>
          <w:lang w:val="es-ES_tradnl"/>
        </w:rPr>
        <w:t>Componente II. Financiamiento para operaciones de infraestructura productiva privada o público-privada (aproximadamente US$35 millones).</w:t>
      </w:r>
    </w:p>
    <w:p w14:paraId="2D0F9CB5" w14:textId="59D71A85" w:rsidR="00E16508" w:rsidRDefault="00E05B28" w:rsidP="00E05B28">
      <w:pPr>
        <w:jc w:val="both"/>
        <w:rPr>
          <w:lang w:val="es-ES_tradnl"/>
        </w:rPr>
      </w:pPr>
      <w:r w:rsidRPr="00E05B28">
        <w:rPr>
          <w:lang w:val="es-ES_tradnl"/>
        </w:rPr>
        <w:t>El documento establece que las inversiones deberían financiar obras de infraestructura en el sector de transporte y logística, pudiendo ser proyectos viales, ferroviarios o de puertos.</w:t>
      </w:r>
    </w:p>
    <w:p w14:paraId="1FA1D206" w14:textId="5DF5CC03" w:rsidR="00E05B28" w:rsidRPr="00E05B28" w:rsidRDefault="00E05B28" w:rsidP="00E05B28">
      <w:pPr>
        <w:jc w:val="both"/>
        <w:rPr>
          <w:lang w:val="es-ES_tradnl"/>
        </w:rPr>
      </w:pPr>
      <w:r>
        <w:rPr>
          <w:lang w:val="es-ES_tradnl"/>
        </w:rPr>
        <w:t xml:space="preserve">Los indicadores demuestran que serian principalmente carreteras por lo que no serian recursos considerados de financiamiento climático dada la falta de acceso a los pliegos de construcción que pudiesen indicar la inclusión de consideraciones de resiliencia. </w:t>
      </w:r>
    </w:p>
    <w:p w14:paraId="11D9518F" w14:textId="01A50244" w:rsidR="009D5FE2" w:rsidRPr="00E05B28" w:rsidRDefault="00991F55" w:rsidP="00E05B28">
      <w:pPr>
        <w:pStyle w:val="Heading1"/>
        <w:jc w:val="both"/>
        <w:rPr>
          <w:lang w:val="es-ES_tradnl"/>
        </w:rPr>
      </w:pPr>
      <w:r>
        <w:rPr>
          <w:lang w:val="es-ES_tradnl"/>
        </w:rPr>
        <w:t>Estima</w:t>
      </w:r>
      <w:r w:rsidR="009D5FE2" w:rsidRPr="00E05B28">
        <w:rPr>
          <w:lang w:val="es-ES_tradnl"/>
        </w:rPr>
        <w:t>ción de</w:t>
      </w:r>
      <w:r>
        <w:rPr>
          <w:lang w:val="es-ES_tradnl"/>
        </w:rPr>
        <w:t xml:space="preserve"> financiamiento</w:t>
      </w:r>
      <w:r w:rsidR="009D5FE2" w:rsidRPr="00E05B28">
        <w:rPr>
          <w:lang w:val="es-ES_tradnl"/>
        </w:rPr>
        <w:t xml:space="preserve"> </w:t>
      </w:r>
      <w:r>
        <w:rPr>
          <w:lang w:val="es-ES_tradnl"/>
        </w:rPr>
        <w:t>c</w:t>
      </w:r>
      <w:r w:rsidR="009D5FE2" w:rsidRPr="00E05B28">
        <w:rPr>
          <w:lang w:val="es-ES_tradnl"/>
        </w:rPr>
        <w:t xml:space="preserve">limático </w:t>
      </w:r>
    </w:p>
    <w:p w14:paraId="591A86EE" w14:textId="07C1D81C" w:rsidR="009D5FE2" w:rsidRDefault="009D5FE2" w:rsidP="00E05B28">
      <w:pPr>
        <w:jc w:val="both"/>
        <w:rPr>
          <w:lang w:val="es-ES_tradnl"/>
        </w:rPr>
      </w:pPr>
    </w:p>
    <w:p w14:paraId="04F2A897" w14:textId="2ACF084A" w:rsidR="00B46971" w:rsidRDefault="00B46971" w:rsidP="00B46971">
      <w:pPr>
        <w:rPr>
          <w:lang w:val="es-ES_tradnl"/>
        </w:rPr>
      </w:pPr>
      <w:r>
        <w:rPr>
          <w:lang w:val="es-ES_tradnl"/>
        </w:rPr>
        <w:t>La</w:t>
      </w:r>
      <w:r w:rsidR="00377169">
        <w:rPr>
          <w:lang w:val="es-ES_tradnl"/>
        </w:rPr>
        <w:t>s actividades forestales</w:t>
      </w:r>
      <w:r w:rsidR="00A66984">
        <w:rPr>
          <w:lang w:val="es-ES_tradnl"/>
        </w:rPr>
        <w:t xml:space="preserve"> </w:t>
      </w:r>
      <w:bookmarkStart w:id="0" w:name="_GoBack"/>
      <w:bookmarkEnd w:id="0"/>
      <w:r w:rsidR="00377169">
        <w:rPr>
          <w:lang w:val="es-ES_tradnl"/>
        </w:rPr>
        <w:t xml:space="preserve">elegibles en el Componente 1 – a) en tierras no-forestales, b) de reforestación, y c) de gestión forestal sostenible -- todas contribuyen a aumentar el stock de carbono y la capacidad de sumidero del bosque. Es así </w:t>
      </w:r>
      <w:proofErr w:type="gramStart"/>
      <w:r w:rsidR="00377169">
        <w:rPr>
          <w:lang w:val="es-ES_tradnl"/>
        </w:rPr>
        <w:t>que</w:t>
      </w:r>
      <w:proofErr w:type="gramEnd"/>
      <w:r w:rsidR="00377169">
        <w:rPr>
          <w:lang w:val="es-ES_tradnl"/>
        </w:rPr>
        <w:t xml:space="preserve"> son </w:t>
      </w:r>
      <w:r>
        <w:rPr>
          <w:lang w:val="es-ES_tradnl"/>
        </w:rPr>
        <w:t>considerada</w:t>
      </w:r>
      <w:r w:rsidR="00377169">
        <w:rPr>
          <w:lang w:val="es-ES_tradnl"/>
        </w:rPr>
        <w:t>s</w:t>
      </w:r>
      <w:r>
        <w:rPr>
          <w:lang w:val="es-ES_tradnl"/>
        </w:rPr>
        <w:t xml:space="preserve"> </w:t>
      </w:r>
      <w:r w:rsidR="00377169">
        <w:rPr>
          <w:lang w:val="es-ES_tradnl"/>
        </w:rPr>
        <w:t xml:space="preserve">como actividades de mitigación del cambio climático según </w:t>
      </w:r>
      <w:r>
        <w:rPr>
          <w:lang w:val="es-ES_tradnl"/>
        </w:rPr>
        <w:t xml:space="preserve">la </w:t>
      </w:r>
      <w:hyperlink r:id="rId7" w:history="1">
        <w:r w:rsidRPr="007922CD">
          <w:rPr>
            <w:rStyle w:val="Hyperlink"/>
            <w:color w:val="auto"/>
            <w:lang w:val="es-ES_tradnl"/>
          </w:rPr>
          <w:t>metodología</w:t>
        </w:r>
      </w:hyperlink>
      <w:r w:rsidRPr="007922CD">
        <w:rPr>
          <w:lang w:val="es-ES_tradnl"/>
        </w:rPr>
        <w:t xml:space="preserve"> </w:t>
      </w:r>
      <w:r w:rsidR="00377169" w:rsidRPr="007922CD">
        <w:rPr>
          <w:lang w:val="es-ES_tradnl"/>
        </w:rPr>
        <w:t xml:space="preserve">conjunta </w:t>
      </w:r>
      <w:r w:rsidR="00377169">
        <w:rPr>
          <w:lang w:val="es-ES_tradnl"/>
        </w:rPr>
        <w:t>de los BMD.</w:t>
      </w:r>
    </w:p>
    <w:p w14:paraId="2425A066" w14:textId="7E668CD4" w:rsidR="002D36EA" w:rsidRDefault="00991F55" w:rsidP="002D36EA">
      <w:pPr>
        <w:jc w:val="center"/>
        <w:rPr>
          <w:noProof/>
          <w:lang w:val="es-ES_tradnl"/>
        </w:rPr>
      </w:pPr>
      <w:r>
        <w:rPr>
          <w:noProof/>
          <w:lang w:val="es-ES_tradnl"/>
        </w:rPr>
        <w:t xml:space="preserve"> </w:t>
      </w:r>
    </w:p>
    <w:p w14:paraId="214D5F3C" w14:textId="0C8954E5" w:rsidR="00991F55" w:rsidRDefault="00991F55" w:rsidP="002D36EA">
      <w:pPr>
        <w:jc w:val="center"/>
        <w:rPr>
          <w:lang w:val="es-ES_tradnl"/>
        </w:rPr>
      </w:pPr>
    </w:p>
    <w:p w14:paraId="0B8A9A5B" w14:textId="23FEB856" w:rsidR="00991F55" w:rsidRDefault="00991F55" w:rsidP="002D36EA">
      <w:pPr>
        <w:jc w:val="center"/>
        <w:rPr>
          <w:lang w:val="es-ES_tradnl"/>
        </w:rPr>
      </w:pPr>
      <w:r>
        <w:rPr>
          <w:noProof/>
          <w:lang w:val="es-ES_tradnl"/>
        </w:rPr>
        <w:lastRenderedPageBreak/>
        <w:drawing>
          <wp:inline distT="0" distB="0" distL="0" distR="0" wp14:anchorId="7DF26ECA" wp14:editId="65B3FC2D">
            <wp:extent cx="5943600" cy="32746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A513D" w14:textId="77777777" w:rsidR="00B46971" w:rsidRDefault="00B46971" w:rsidP="00B46971">
      <w:pPr>
        <w:rPr>
          <w:lang w:val="es-ES_tradnl"/>
        </w:rPr>
      </w:pPr>
    </w:p>
    <w:p w14:paraId="328C528F" w14:textId="77777777" w:rsidR="00B46971" w:rsidRPr="00E05B28" w:rsidRDefault="00B46971" w:rsidP="00E05B28">
      <w:pPr>
        <w:jc w:val="both"/>
        <w:rPr>
          <w:lang w:val="es-ES_tradnl"/>
        </w:rPr>
      </w:pPr>
    </w:p>
    <w:tbl>
      <w:tblPr>
        <w:tblStyle w:val="TableGrid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3307"/>
        <w:gridCol w:w="1800"/>
        <w:gridCol w:w="1710"/>
        <w:gridCol w:w="1705"/>
      </w:tblGrid>
      <w:tr w:rsidR="00E05B28" w:rsidRPr="00E05B28" w14:paraId="1A593340" w14:textId="77777777" w:rsidTr="00E05B28">
        <w:trPr>
          <w:trHeight w:val="647"/>
          <w:jc w:val="center"/>
        </w:trPr>
        <w:tc>
          <w:tcPr>
            <w:tcW w:w="3307" w:type="dxa"/>
            <w:shd w:val="clear" w:color="auto" w:fill="D9D9D9" w:themeFill="background1" w:themeFillShade="D9"/>
          </w:tcPr>
          <w:p w14:paraId="3AD0A703" w14:textId="77777777" w:rsidR="00E05B28" w:rsidRPr="00E05B28" w:rsidRDefault="00E05B28" w:rsidP="00E05B28">
            <w:pPr>
              <w:jc w:val="center"/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Componente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58351274" w14:textId="77777777" w:rsidR="00E05B28" w:rsidRPr="00E05B28" w:rsidRDefault="00E05B28" w:rsidP="00E05B28">
            <w:pPr>
              <w:jc w:val="center"/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Préstamo BID</w:t>
            </w:r>
          </w:p>
          <w:p w14:paraId="71A3E053" w14:textId="7B33FDD1" w:rsidR="00E05B28" w:rsidRPr="00E05B28" w:rsidRDefault="00E05B28" w:rsidP="00E05B28">
            <w:pPr>
              <w:jc w:val="center"/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USD $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36E1BFDF" w14:textId="77777777" w:rsidR="00E05B28" w:rsidRPr="00E05B28" w:rsidRDefault="00E05B28" w:rsidP="00E05B28">
            <w:pPr>
              <w:jc w:val="center"/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Contrapartida local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0D8AA143" w14:textId="77777777" w:rsidR="00E05B28" w:rsidRPr="00E05B28" w:rsidRDefault="00E05B28" w:rsidP="00E05B28">
            <w:pPr>
              <w:jc w:val="center"/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Total</w:t>
            </w:r>
          </w:p>
        </w:tc>
      </w:tr>
      <w:tr w:rsidR="00E05B28" w:rsidRPr="00E05B28" w14:paraId="43DE7EF1" w14:textId="77777777" w:rsidTr="00E05B28">
        <w:trPr>
          <w:trHeight w:val="512"/>
          <w:jc w:val="center"/>
        </w:trPr>
        <w:tc>
          <w:tcPr>
            <w:tcW w:w="3307" w:type="dxa"/>
          </w:tcPr>
          <w:p w14:paraId="6B0FE2A8" w14:textId="710889BD" w:rsidR="00E05B28" w:rsidRPr="00E05B28" w:rsidRDefault="00E05B28" w:rsidP="001F0AB4">
            <w:pPr>
              <w:rPr>
                <w:rFonts w:ascii="Arial" w:hAnsi="Arial" w:cs="Arial"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sz w:val="18"/>
                <w:lang w:val="es-ES_tradnl"/>
              </w:rPr>
              <w:t>C1 - Financiamiento para préstamos de inversión productiva agroforestales a través del BROU</w:t>
            </w:r>
          </w:p>
        </w:tc>
        <w:tc>
          <w:tcPr>
            <w:tcW w:w="1800" w:type="dxa"/>
          </w:tcPr>
          <w:p w14:paraId="5B774103" w14:textId="72877C0A" w:rsidR="00E05B28" w:rsidRPr="00E05B28" w:rsidRDefault="00E05B28" w:rsidP="00E05B28">
            <w:pPr>
              <w:jc w:val="center"/>
              <w:rPr>
                <w:rFonts w:ascii="Arial" w:hAnsi="Arial" w:cs="Arial"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sz w:val="18"/>
                <w:lang w:val="es-ES_tradnl"/>
              </w:rPr>
              <w:t>15.000.000</w:t>
            </w:r>
          </w:p>
        </w:tc>
        <w:tc>
          <w:tcPr>
            <w:tcW w:w="1710" w:type="dxa"/>
          </w:tcPr>
          <w:p w14:paraId="09060535" w14:textId="2011B8A0" w:rsidR="00E05B28" w:rsidRPr="00E05B28" w:rsidRDefault="00E05B28" w:rsidP="00E05B28">
            <w:pPr>
              <w:jc w:val="center"/>
              <w:rPr>
                <w:rFonts w:ascii="Arial" w:hAnsi="Arial" w:cs="Arial"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sz w:val="18"/>
                <w:lang w:val="es-ES_tradnl"/>
              </w:rPr>
              <w:t>-</w:t>
            </w:r>
          </w:p>
        </w:tc>
        <w:tc>
          <w:tcPr>
            <w:tcW w:w="1705" w:type="dxa"/>
          </w:tcPr>
          <w:p w14:paraId="4702720F" w14:textId="3B78DB89" w:rsidR="00E05B28" w:rsidRPr="00E05B28" w:rsidRDefault="00E05B28" w:rsidP="00E05B28">
            <w:pPr>
              <w:ind w:left="-6124"/>
              <w:jc w:val="center"/>
              <w:rPr>
                <w:rFonts w:ascii="Arial" w:hAnsi="Arial" w:cs="Arial"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sz w:val="18"/>
                <w:lang w:val="es-ES_tradnl"/>
              </w:rPr>
              <w:t>15.000.000</w:t>
            </w:r>
          </w:p>
        </w:tc>
      </w:tr>
      <w:tr w:rsidR="00E05B28" w:rsidRPr="00E05B28" w14:paraId="39E6B004" w14:textId="77777777" w:rsidTr="00E05B28">
        <w:trPr>
          <w:trHeight w:val="350"/>
          <w:jc w:val="center"/>
        </w:trPr>
        <w:tc>
          <w:tcPr>
            <w:tcW w:w="3307" w:type="dxa"/>
          </w:tcPr>
          <w:p w14:paraId="49B8C70E" w14:textId="3ECD8950" w:rsidR="00E05B28" w:rsidRPr="00E05B28" w:rsidRDefault="00E05B28" w:rsidP="001F0AB4">
            <w:pPr>
              <w:rPr>
                <w:rFonts w:ascii="Arial" w:hAnsi="Arial" w:cs="Arial"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sz w:val="18"/>
                <w:lang w:val="es-ES_tradnl"/>
              </w:rPr>
              <w:t>C2 – Financiamiento para operaciones de infraestructura productiva privada o público-privada</w:t>
            </w:r>
          </w:p>
        </w:tc>
        <w:tc>
          <w:tcPr>
            <w:tcW w:w="1800" w:type="dxa"/>
          </w:tcPr>
          <w:p w14:paraId="50B94651" w14:textId="3FED8DB5" w:rsidR="00E05B28" w:rsidRPr="00E05B28" w:rsidRDefault="00E05B28" w:rsidP="00E05B28">
            <w:pPr>
              <w:jc w:val="center"/>
              <w:rPr>
                <w:rFonts w:ascii="Arial" w:hAnsi="Arial" w:cs="Arial"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sz w:val="18"/>
                <w:lang w:val="es-ES_tradnl"/>
              </w:rPr>
              <w:t>3</w:t>
            </w:r>
            <w:r>
              <w:rPr>
                <w:rFonts w:ascii="Arial" w:hAnsi="Arial" w:cs="Arial"/>
                <w:sz w:val="18"/>
                <w:lang w:val="es-ES_tradnl"/>
              </w:rPr>
              <w:t>5.000</w:t>
            </w:r>
            <w:r w:rsidRPr="00E05B28">
              <w:rPr>
                <w:rFonts w:ascii="Arial" w:hAnsi="Arial" w:cs="Arial"/>
                <w:sz w:val="18"/>
                <w:lang w:val="es-ES_tradnl"/>
              </w:rPr>
              <w:t>.000</w:t>
            </w:r>
          </w:p>
        </w:tc>
        <w:tc>
          <w:tcPr>
            <w:tcW w:w="1710" w:type="dxa"/>
          </w:tcPr>
          <w:p w14:paraId="6ECB7048" w14:textId="7872623D" w:rsidR="00E05B28" w:rsidRPr="00E05B28" w:rsidRDefault="00E05B28" w:rsidP="00E05B28">
            <w:pPr>
              <w:jc w:val="center"/>
              <w:rPr>
                <w:rFonts w:ascii="Arial" w:hAnsi="Arial" w:cs="Arial"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sz w:val="18"/>
                <w:lang w:val="es-ES_tradnl"/>
              </w:rPr>
              <w:t>-</w:t>
            </w:r>
          </w:p>
        </w:tc>
        <w:tc>
          <w:tcPr>
            <w:tcW w:w="1705" w:type="dxa"/>
          </w:tcPr>
          <w:p w14:paraId="0D9F78B7" w14:textId="268AEFA3" w:rsidR="00E05B28" w:rsidRPr="00E05B28" w:rsidRDefault="00E05B28" w:rsidP="00E05B28">
            <w:pPr>
              <w:jc w:val="center"/>
              <w:rPr>
                <w:rFonts w:ascii="Arial" w:hAnsi="Arial" w:cs="Arial"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sz w:val="18"/>
                <w:lang w:val="es-ES_tradnl"/>
              </w:rPr>
              <w:t>35.450.000</w:t>
            </w:r>
          </w:p>
        </w:tc>
      </w:tr>
      <w:tr w:rsidR="00E05B28" w:rsidRPr="00E05B28" w14:paraId="1AA2CC8B" w14:textId="77777777" w:rsidTr="00E05B28">
        <w:trPr>
          <w:trHeight w:val="377"/>
          <w:jc w:val="center"/>
        </w:trPr>
        <w:tc>
          <w:tcPr>
            <w:tcW w:w="3307" w:type="dxa"/>
          </w:tcPr>
          <w:p w14:paraId="22410AD5" w14:textId="77777777" w:rsidR="00E05B28" w:rsidRPr="00E05B28" w:rsidRDefault="00E05B28" w:rsidP="001F0AB4">
            <w:pPr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Total</w:t>
            </w:r>
          </w:p>
        </w:tc>
        <w:tc>
          <w:tcPr>
            <w:tcW w:w="1800" w:type="dxa"/>
          </w:tcPr>
          <w:p w14:paraId="34494294" w14:textId="4184F642" w:rsidR="00E05B28" w:rsidRPr="00E05B28" w:rsidRDefault="00E05B28" w:rsidP="00E05B28">
            <w:pPr>
              <w:jc w:val="center"/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50.000.000</w:t>
            </w:r>
          </w:p>
        </w:tc>
        <w:tc>
          <w:tcPr>
            <w:tcW w:w="1710" w:type="dxa"/>
          </w:tcPr>
          <w:p w14:paraId="798C0041" w14:textId="70F35465" w:rsidR="00E05B28" w:rsidRPr="00E05B28" w:rsidRDefault="00E05B28" w:rsidP="00E05B28">
            <w:pPr>
              <w:jc w:val="center"/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-</w:t>
            </w:r>
          </w:p>
        </w:tc>
        <w:tc>
          <w:tcPr>
            <w:tcW w:w="1705" w:type="dxa"/>
          </w:tcPr>
          <w:p w14:paraId="0AF2AB50" w14:textId="3B180407" w:rsidR="00E05B28" w:rsidRPr="00E05B28" w:rsidRDefault="00E05B28" w:rsidP="00E05B28">
            <w:pPr>
              <w:jc w:val="center"/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50.000.000</w:t>
            </w:r>
          </w:p>
        </w:tc>
      </w:tr>
      <w:tr w:rsidR="00E05B28" w:rsidRPr="00E05B28" w14:paraId="2119B6D3" w14:textId="77777777" w:rsidTr="00E05B28">
        <w:trPr>
          <w:trHeight w:val="377"/>
          <w:jc w:val="center"/>
        </w:trPr>
        <w:tc>
          <w:tcPr>
            <w:tcW w:w="3307" w:type="dxa"/>
            <w:shd w:val="clear" w:color="auto" w:fill="E2EFD9" w:themeFill="accent6" w:themeFillTint="33"/>
          </w:tcPr>
          <w:p w14:paraId="728DB7FA" w14:textId="63E18578" w:rsidR="00E05B28" w:rsidRPr="00E05B28" w:rsidRDefault="00E05B28" w:rsidP="00E05B28">
            <w:pPr>
              <w:spacing w:after="160" w:line="259" w:lineRule="auto"/>
              <w:jc w:val="center"/>
              <w:rPr>
                <w:b/>
                <w:sz w:val="18"/>
                <w:szCs w:val="18"/>
                <w:lang w:val="es-ES_tradnl"/>
              </w:rPr>
            </w:pPr>
            <w:r w:rsidRPr="00E05B28">
              <w:rPr>
                <w:b/>
                <w:sz w:val="18"/>
                <w:szCs w:val="18"/>
                <w:lang w:val="es-ES_tradnl"/>
              </w:rPr>
              <w:t>Financiamiento Climático Total</w:t>
            </w:r>
          </w:p>
        </w:tc>
        <w:tc>
          <w:tcPr>
            <w:tcW w:w="1800" w:type="dxa"/>
            <w:shd w:val="clear" w:color="auto" w:fill="E2EFD9" w:themeFill="accent6" w:themeFillTint="33"/>
          </w:tcPr>
          <w:p w14:paraId="41D7D699" w14:textId="17622F00" w:rsidR="00E05B28" w:rsidRPr="00E05B28" w:rsidRDefault="00E05B28" w:rsidP="00E05B28">
            <w:pPr>
              <w:spacing w:after="160" w:line="259" w:lineRule="auto"/>
              <w:jc w:val="center"/>
              <w:rPr>
                <w:rFonts w:ascii="Arial" w:hAnsi="Arial" w:cs="Arial"/>
                <w:b/>
                <w:sz w:val="18"/>
                <w:lang w:val="es-ES_tradnl"/>
              </w:rPr>
            </w:pPr>
            <w:r w:rsidRPr="00E05B28">
              <w:rPr>
                <w:b/>
                <w:sz w:val="18"/>
                <w:szCs w:val="18"/>
                <w:lang w:val="es-ES_tradnl"/>
              </w:rPr>
              <w:t>USD $</w:t>
            </w:r>
            <w:r w:rsidRPr="00E05B28">
              <w:rPr>
                <w:rFonts w:ascii="Arial" w:hAnsi="Arial" w:cs="Arial"/>
                <w:b/>
                <w:sz w:val="18"/>
                <w:lang w:val="es-ES_tradnl"/>
              </w:rPr>
              <w:t>15.000.000</w:t>
            </w:r>
          </w:p>
          <w:p w14:paraId="10509143" w14:textId="3797EED6" w:rsidR="00E05B28" w:rsidRPr="00E05B28" w:rsidRDefault="00E05B28" w:rsidP="00E05B28">
            <w:pPr>
              <w:spacing w:after="160" w:line="259" w:lineRule="auto"/>
              <w:jc w:val="center"/>
              <w:rPr>
                <w:b/>
                <w:sz w:val="18"/>
                <w:szCs w:val="18"/>
                <w:lang w:val="es-ES_tradnl"/>
              </w:rPr>
            </w:pPr>
            <w:r w:rsidRPr="00E05B28">
              <w:rPr>
                <w:b/>
                <w:sz w:val="18"/>
                <w:szCs w:val="18"/>
                <w:lang w:val="es-ES_tradnl"/>
              </w:rPr>
              <w:t>(</w:t>
            </w:r>
            <w:r>
              <w:rPr>
                <w:b/>
                <w:sz w:val="18"/>
                <w:szCs w:val="18"/>
                <w:lang w:val="es-ES_tradnl"/>
              </w:rPr>
              <w:t>3</w:t>
            </w:r>
            <w:r w:rsidRPr="00E05B28">
              <w:rPr>
                <w:b/>
                <w:sz w:val="18"/>
                <w:szCs w:val="18"/>
                <w:lang w:val="es-ES_tradnl"/>
              </w:rPr>
              <w:t>0%)</w:t>
            </w:r>
          </w:p>
        </w:tc>
        <w:tc>
          <w:tcPr>
            <w:tcW w:w="1710" w:type="dxa"/>
          </w:tcPr>
          <w:p w14:paraId="7DE17D78" w14:textId="77777777" w:rsidR="00E05B28" w:rsidRPr="00E05B28" w:rsidRDefault="00E05B28" w:rsidP="00E05B28">
            <w:pPr>
              <w:spacing w:after="160" w:line="259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705" w:type="dxa"/>
          </w:tcPr>
          <w:p w14:paraId="4E976565" w14:textId="77777777" w:rsidR="00E05B28" w:rsidRPr="00E05B28" w:rsidRDefault="00E05B28" w:rsidP="00E05B28">
            <w:pPr>
              <w:spacing w:after="160" w:line="259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</w:tr>
    </w:tbl>
    <w:p w14:paraId="0F228839" w14:textId="77777777" w:rsidR="00E05B28" w:rsidRPr="00E05B28" w:rsidRDefault="00E05B28" w:rsidP="00E05B28">
      <w:pPr>
        <w:jc w:val="both"/>
        <w:rPr>
          <w:lang w:val="es-ES_tradnl"/>
        </w:rPr>
      </w:pPr>
    </w:p>
    <w:sectPr w:rsidR="00E05B28" w:rsidRPr="00E05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A41DC"/>
    <w:multiLevelType w:val="hybridMultilevel"/>
    <w:tmpl w:val="9DD696CE"/>
    <w:lvl w:ilvl="0" w:tplc="7722CF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FE2"/>
    <w:rsid w:val="0009700A"/>
    <w:rsid w:val="001F0AB4"/>
    <w:rsid w:val="002775D7"/>
    <w:rsid w:val="002D36EA"/>
    <w:rsid w:val="00377169"/>
    <w:rsid w:val="004D2366"/>
    <w:rsid w:val="005C18D1"/>
    <w:rsid w:val="00626C1D"/>
    <w:rsid w:val="006C028F"/>
    <w:rsid w:val="00766871"/>
    <w:rsid w:val="007922CD"/>
    <w:rsid w:val="008160F6"/>
    <w:rsid w:val="00991F55"/>
    <w:rsid w:val="009D5FE2"/>
    <w:rsid w:val="00A66984"/>
    <w:rsid w:val="00B46971"/>
    <w:rsid w:val="00E05B28"/>
    <w:rsid w:val="00E1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C4FCA"/>
  <w15:chartTrackingRefBased/>
  <w15:docId w15:val="{B1557700-C70E-4371-8C72-B7B1A3AC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F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F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link w:val="NoSpacingChar"/>
    <w:uiPriority w:val="1"/>
    <w:qFormat/>
    <w:rsid w:val="009D5FE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68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87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66871"/>
    <w:pPr>
      <w:ind w:left="720"/>
      <w:contextualSpacing/>
    </w:pPr>
  </w:style>
  <w:style w:type="table" w:styleId="TableGrid">
    <w:name w:val="Table Grid"/>
    <w:basedOn w:val="TableNormal"/>
    <w:uiPriority w:val="59"/>
    <w:rsid w:val="0076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E16508"/>
  </w:style>
  <w:style w:type="paragraph" w:styleId="BalloonText">
    <w:name w:val="Balloon Text"/>
    <w:basedOn w:val="Normal"/>
    <w:link w:val="BalloonTextChar"/>
    <w:uiPriority w:val="99"/>
    <w:semiHidden/>
    <w:unhideWhenUsed/>
    <w:rsid w:val="00277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5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hyperlink" Target="https://publications.iadb.org/handle/11319/91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4.unfccc.int/ndcregistry/PublishedDocuments/Uruguay%20First/Uruguay_Primera%20Contribuci%C3%B3n%20Determinada%20a%20nivel%20Nacional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546B2-3FFB-452F-9022-AEA90C54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Doherty Bigara Rodriguez, Jennifer</dc:creator>
  <cp:keywords/>
  <dc:description/>
  <cp:lastModifiedBy>Bernedo, Cecilia</cp:lastModifiedBy>
  <cp:revision>2</cp:revision>
  <dcterms:created xsi:type="dcterms:W3CDTF">2018-11-20T17:14:00Z</dcterms:created>
  <dcterms:modified xsi:type="dcterms:W3CDTF">2018-11-20T17:14:00Z</dcterms:modified>
</cp:coreProperties>
</file>