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A0370" w:rsidR="007B7991" w:rsidP="007B7991" w:rsidRDefault="007B7991" w14:paraId="64B76668" w14:textId="77777777">
      <w:pPr>
        <w:pStyle w:val="SubSubPar"/>
        <w:numPr>
          <w:ilvl w:val="0"/>
          <w:numId w:val="0"/>
        </w:numPr>
        <w:spacing w:after="0"/>
        <w:jc w:val="center"/>
        <w:rPr>
          <w:rFonts w:ascii="Arial" w:hAnsi="Arial" w:cs="Arial"/>
          <w:smallCaps/>
          <w:sz w:val="22"/>
          <w:szCs w:val="22"/>
          <w:lang w:val="es-ES_tradnl"/>
        </w:rPr>
      </w:pPr>
      <w:r w:rsidRPr="00CA0370">
        <w:rPr>
          <w:rFonts w:ascii="Arial" w:hAnsi="Arial" w:cs="Arial"/>
          <w:smallCaps/>
          <w:sz w:val="22"/>
          <w:szCs w:val="22"/>
          <w:lang w:val="es-ES_tradnl"/>
        </w:rPr>
        <w:t>Documento Del Banco Interamericano De Desarrollo</w:t>
      </w:r>
    </w:p>
    <w:p w:rsidRPr="00CA0370" w:rsidR="007B7991" w:rsidP="007B7991" w:rsidRDefault="007B7991" w14:paraId="6AE08689" w14:textId="77777777">
      <w:pPr>
        <w:tabs>
          <w:tab w:val="left" w:pos="1440"/>
          <w:tab w:val="left" w:pos="3060"/>
        </w:tabs>
        <w:jc w:val="center"/>
        <w:rPr>
          <w:rFonts w:ascii="Arial" w:hAnsi="Arial" w:cs="Arial"/>
          <w:lang w:val="es-ES_tradnl"/>
        </w:rPr>
      </w:pPr>
    </w:p>
    <w:p w:rsidRPr="00CA0370" w:rsidR="007B7991" w:rsidP="007B7991" w:rsidRDefault="007B7991" w14:paraId="42961F0B" w14:textId="77777777">
      <w:pPr>
        <w:tabs>
          <w:tab w:val="left" w:pos="1440"/>
          <w:tab w:val="left" w:pos="3060"/>
        </w:tabs>
        <w:jc w:val="center"/>
        <w:rPr>
          <w:rFonts w:ascii="Arial" w:hAnsi="Arial" w:cs="Arial"/>
          <w:lang w:val="es-ES_tradnl"/>
        </w:rPr>
      </w:pPr>
    </w:p>
    <w:p w:rsidRPr="00CA0370" w:rsidR="007B7991" w:rsidP="007B7991" w:rsidRDefault="007B7991" w14:paraId="553D0FB4" w14:textId="77777777">
      <w:pPr>
        <w:ind w:left="540" w:hanging="540"/>
        <w:jc w:val="center"/>
        <w:rPr>
          <w:rFonts w:ascii="Arial" w:hAnsi="Arial" w:cs="Arial"/>
          <w:b/>
          <w:lang w:val="es-ES_tradnl"/>
        </w:rPr>
      </w:pPr>
    </w:p>
    <w:p w:rsidRPr="00CA0370" w:rsidR="003F0DD9" w:rsidP="003F0DD9" w:rsidRDefault="003F0DD9" w14:paraId="3AE9C299" w14:textId="77777777">
      <w:pPr>
        <w:tabs>
          <w:tab w:val="left" w:pos="1440"/>
          <w:tab w:val="left" w:pos="3060"/>
        </w:tabs>
        <w:spacing w:after="0" w:line="240" w:lineRule="auto"/>
        <w:jc w:val="center"/>
        <w:rPr>
          <w:rFonts w:ascii="Arial" w:hAnsi="Arial" w:eastAsia="Times New Roman" w:cs="Arial"/>
          <w:b/>
          <w:smallCaps/>
          <w:lang w:val="es-ES_tradnl"/>
        </w:rPr>
      </w:pPr>
      <w:r w:rsidRPr="00CA0370">
        <w:rPr>
          <w:rFonts w:ascii="Arial" w:hAnsi="Arial" w:eastAsia="Times New Roman" w:cs="Arial"/>
          <w:b/>
          <w:smallCaps/>
          <w:lang w:val="es-ES_tradnl"/>
        </w:rPr>
        <w:t>Programa financiero para el Desarrollo Productivo II</w:t>
      </w:r>
    </w:p>
    <w:p w:rsidRPr="00CA0370" w:rsidR="003F0DD9" w:rsidP="003F0DD9" w:rsidRDefault="003F0DD9" w14:paraId="34DB4911" w14:textId="77777777">
      <w:pPr>
        <w:tabs>
          <w:tab w:val="left" w:pos="1440"/>
          <w:tab w:val="left" w:pos="3060"/>
        </w:tabs>
        <w:spacing w:after="0" w:line="240" w:lineRule="auto"/>
        <w:jc w:val="center"/>
        <w:rPr>
          <w:rFonts w:ascii="Arial" w:hAnsi="Arial" w:eastAsia="Times New Roman" w:cs="Arial"/>
          <w:b/>
          <w:smallCaps/>
          <w:lang w:val="es-ES_tradnl"/>
        </w:rPr>
      </w:pPr>
    </w:p>
    <w:p w:rsidRPr="00CA0370" w:rsidR="003F0DD9" w:rsidP="003F0DD9" w:rsidRDefault="003F0DD9" w14:paraId="5B8ED0B7" w14:textId="77777777">
      <w:pPr>
        <w:tabs>
          <w:tab w:val="left" w:pos="1440"/>
          <w:tab w:val="left" w:pos="3060"/>
        </w:tabs>
        <w:spacing w:after="0" w:line="240" w:lineRule="auto"/>
        <w:jc w:val="center"/>
        <w:rPr>
          <w:rFonts w:ascii="Arial" w:hAnsi="Arial" w:eastAsia="Times New Roman" w:cs="Arial"/>
          <w:b/>
          <w:smallCaps/>
          <w:lang w:val="es-ES_tradnl"/>
        </w:rPr>
      </w:pPr>
      <w:r w:rsidRPr="00CA0370">
        <w:rPr>
          <w:rFonts w:ascii="Arial" w:hAnsi="Arial" w:eastAsia="Times New Roman" w:cs="Arial"/>
          <w:b/>
          <w:smallCaps/>
          <w:lang w:val="es-ES_tradnl"/>
        </w:rPr>
        <w:t>(UR-L1115)</w:t>
      </w:r>
    </w:p>
    <w:p w:rsidRPr="00CA0370" w:rsidR="003F0DD9" w:rsidP="003F0DD9" w:rsidRDefault="003F0DD9" w14:paraId="10E9D786" w14:textId="77777777">
      <w:pPr>
        <w:tabs>
          <w:tab w:val="left" w:pos="1440"/>
          <w:tab w:val="left" w:pos="3060"/>
        </w:tabs>
        <w:spacing w:after="0" w:line="240" w:lineRule="auto"/>
        <w:jc w:val="center"/>
        <w:rPr>
          <w:rFonts w:ascii="Arial" w:hAnsi="Arial" w:eastAsia="Times New Roman" w:cs="Arial"/>
          <w:smallCaps/>
          <w:lang w:val="es-ES_tradnl"/>
        </w:rPr>
      </w:pPr>
    </w:p>
    <w:p w:rsidRPr="00CA0370" w:rsidR="003F0DD9" w:rsidP="003F0DD9" w:rsidRDefault="003F0DD9" w14:paraId="75FDD764" w14:textId="77777777">
      <w:pPr>
        <w:tabs>
          <w:tab w:val="left" w:pos="1440"/>
          <w:tab w:val="left" w:pos="3060"/>
        </w:tabs>
        <w:spacing w:after="0" w:line="240" w:lineRule="auto"/>
        <w:jc w:val="center"/>
        <w:rPr>
          <w:rFonts w:ascii="Arial" w:hAnsi="Arial" w:eastAsia="Times New Roman" w:cs="Arial"/>
          <w:smallCaps/>
          <w:lang w:val="es-ES_tradnl"/>
        </w:rPr>
      </w:pPr>
    </w:p>
    <w:p w:rsidRPr="00CA0370" w:rsidR="003F0DD9" w:rsidP="003F0DD9" w:rsidRDefault="003F0DD9" w14:paraId="263CFB82" w14:textId="77777777">
      <w:pPr>
        <w:tabs>
          <w:tab w:val="left" w:pos="1440"/>
          <w:tab w:val="left" w:pos="3060"/>
        </w:tabs>
        <w:spacing w:after="0" w:line="240" w:lineRule="auto"/>
        <w:jc w:val="center"/>
        <w:rPr>
          <w:rFonts w:ascii="Arial" w:hAnsi="Arial" w:eastAsia="Times New Roman" w:cs="Arial"/>
          <w:smallCaps/>
          <w:lang w:val="es-ES_tradnl"/>
        </w:rPr>
      </w:pPr>
    </w:p>
    <w:p w:rsidRPr="00CA0370" w:rsidR="003F0DD9" w:rsidP="003F0DD9" w:rsidRDefault="003F0DD9" w14:paraId="0C897E86" w14:textId="77777777">
      <w:pPr>
        <w:tabs>
          <w:tab w:val="left" w:pos="1440"/>
          <w:tab w:val="left" w:pos="3060"/>
        </w:tabs>
        <w:spacing w:after="0" w:line="240" w:lineRule="auto"/>
        <w:jc w:val="center"/>
        <w:rPr>
          <w:rFonts w:ascii="Arial" w:hAnsi="Arial" w:eastAsia="Times New Roman" w:cs="Arial"/>
          <w:smallCaps/>
          <w:lang w:val="es-ES_tradnl"/>
        </w:rPr>
      </w:pPr>
    </w:p>
    <w:p w:rsidRPr="00CA0370" w:rsidR="003F0DD9" w:rsidP="003F0DD9" w:rsidRDefault="003F0DD9" w14:paraId="11C79B6C" w14:textId="77777777">
      <w:pPr>
        <w:tabs>
          <w:tab w:val="left" w:pos="1440"/>
          <w:tab w:val="left" w:pos="3060"/>
        </w:tabs>
        <w:spacing w:after="0" w:line="240" w:lineRule="auto"/>
        <w:jc w:val="center"/>
        <w:rPr>
          <w:rFonts w:ascii="Arial" w:hAnsi="Arial" w:eastAsia="Times New Roman" w:cs="Arial"/>
          <w:b/>
          <w:smallCaps/>
          <w:lang w:val="es-ES_tradnl"/>
        </w:rPr>
      </w:pPr>
      <w:r w:rsidRPr="00CA0370">
        <w:rPr>
          <w:rFonts w:ascii="Arial" w:hAnsi="Arial" w:eastAsia="Times New Roman" w:cs="Arial"/>
          <w:b/>
          <w:smallCaps/>
          <w:lang w:val="es-ES_tradnl"/>
        </w:rPr>
        <w:t xml:space="preserve">Segunda Operación Individual bajo la Línea de Crédito Condicional para Proyectos de Inversión (CCLIP) para el Financiamiento del Desarrollo Productivo </w:t>
      </w:r>
    </w:p>
    <w:p w:rsidRPr="00CA0370" w:rsidR="003F0DD9" w:rsidP="003F0DD9" w:rsidRDefault="003F0DD9" w14:paraId="31A22F50" w14:textId="77777777">
      <w:pPr>
        <w:tabs>
          <w:tab w:val="left" w:pos="1440"/>
          <w:tab w:val="left" w:pos="3060"/>
        </w:tabs>
        <w:spacing w:after="0" w:line="240" w:lineRule="auto"/>
        <w:jc w:val="center"/>
        <w:rPr>
          <w:rFonts w:ascii="Arial" w:hAnsi="Arial" w:eastAsia="Times New Roman" w:cs="Arial"/>
          <w:b/>
          <w:smallCaps/>
          <w:lang w:val="es-ES_tradnl"/>
        </w:rPr>
      </w:pPr>
    </w:p>
    <w:p w:rsidRPr="00CA0370" w:rsidR="003F0DD9" w:rsidP="003F0DD9" w:rsidRDefault="003F0DD9" w14:paraId="35FDE8EE" w14:textId="77777777">
      <w:pPr>
        <w:tabs>
          <w:tab w:val="left" w:pos="1440"/>
          <w:tab w:val="left" w:pos="3060"/>
        </w:tabs>
        <w:spacing w:after="0" w:line="240" w:lineRule="auto"/>
        <w:jc w:val="center"/>
        <w:rPr>
          <w:rFonts w:ascii="Arial" w:hAnsi="Arial" w:eastAsia="Times New Roman" w:cs="Arial"/>
          <w:b/>
          <w:smallCaps/>
          <w:lang w:val="es-ES_tradnl"/>
        </w:rPr>
      </w:pPr>
      <w:r w:rsidRPr="00CA0370">
        <w:rPr>
          <w:rFonts w:ascii="Arial" w:hAnsi="Arial" w:eastAsia="Times New Roman" w:cs="Arial"/>
          <w:b/>
          <w:smallCaps/>
          <w:lang w:val="es-ES_tradnl"/>
        </w:rPr>
        <w:t>(UR-X1011)</w:t>
      </w:r>
    </w:p>
    <w:p w:rsidRPr="00CA0370" w:rsidR="007B7991" w:rsidP="007B7991" w:rsidRDefault="007B7991" w14:paraId="307EA9E9" w14:textId="77777777">
      <w:pPr>
        <w:jc w:val="center"/>
        <w:rPr>
          <w:rFonts w:ascii="Arial" w:hAnsi="Arial" w:cs="Arial"/>
          <w:b/>
          <w:bCs/>
          <w:smallCaps/>
          <w:spacing w:val="5"/>
          <w:lang w:val="es-ES_tradnl"/>
        </w:rPr>
      </w:pPr>
    </w:p>
    <w:p w:rsidRPr="00CA0370" w:rsidR="007B7991" w:rsidP="007B7991" w:rsidRDefault="007B7991" w14:paraId="40C08099" w14:textId="77777777">
      <w:pPr>
        <w:ind w:left="540" w:hanging="540"/>
        <w:jc w:val="center"/>
        <w:rPr>
          <w:rFonts w:ascii="Arial" w:hAnsi="Arial" w:cs="Arial"/>
          <w:b/>
          <w:lang w:val="es-ES_tradnl"/>
        </w:rPr>
      </w:pPr>
    </w:p>
    <w:p w:rsidRPr="00CA0370" w:rsidR="007B7991" w:rsidP="007B7991" w:rsidRDefault="007B7991" w14:paraId="285946B8" w14:textId="77777777">
      <w:pPr>
        <w:ind w:left="540" w:hanging="540"/>
        <w:jc w:val="center"/>
        <w:rPr>
          <w:rFonts w:ascii="Arial" w:hAnsi="Arial" w:cs="Arial"/>
          <w:b/>
          <w:lang w:val="es-ES_tradnl"/>
        </w:rPr>
      </w:pPr>
    </w:p>
    <w:p w:rsidRPr="00CA0370" w:rsidR="007B7991" w:rsidP="007B7991" w:rsidRDefault="007B7991" w14:paraId="79486AAA" w14:textId="5412122C">
      <w:pPr>
        <w:tabs>
          <w:tab w:val="left" w:pos="1440"/>
          <w:tab w:val="left" w:pos="3060"/>
        </w:tabs>
        <w:jc w:val="center"/>
        <w:outlineLvl w:val="0"/>
        <w:rPr>
          <w:rFonts w:ascii="Arial" w:hAnsi="Arial" w:cs="Arial"/>
          <w:b/>
          <w:smallCaps/>
          <w:lang w:val="es-ES_tradnl"/>
        </w:rPr>
      </w:pPr>
      <w:r w:rsidRPr="00CA0370">
        <w:rPr>
          <w:rFonts w:ascii="Arial" w:hAnsi="Arial" w:cs="Arial"/>
          <w:b/>
          <w:smallCaps/>
          <w:lang w:val="es-ES_tradnl"/>
        </w:rPr>
        <w:t>Plan de Monitoreo y Evaluaci</w:t>
      </w:r>
      <w:r w:rsidRPr="00CA0370" w:rsidR="000F7E6F">
        <w:rPr>
          <w:rFonts w:ascii="Arial" w:hAnsi="Arial" w:cs="Arial"/>
          <w:b/>
          <w:smallCaps/>
          <w:lang w:val="es-ES_tradnl"/>
        </w:rPr>
        <w:t>ó</w:t>
      </w:r>
      <w:r w:rsidRPr="00CA0370">
        <w:rPr>
          <w:rFonts w:ascii="Arial" w:hAnsi="Arial" w:cs="Arial"/>
          <w:b/>
          <w:smallCaps/>
          <w:lang w:val="es-ES_tradnl"/>
        </w:rPr>
        <w:t>n</w:t>
      </w:r>
    </w:p>
    <w:p w:rsidRPr="00CA0370" w:rsidR="001A4A2F" w:rsidP="002F0E15" w:rsidRDefault="001A4A2F" w14:paraId="77D5D2C9" w14:textId="77777777">
      <w:pPr>
        <w:ind w:left="540" w:hanging="540"/>
        <w:jc w:val="center"/>
        <w:rPr>
          <w:rFonts w:ascii="Times New Roman" w:hAnsi="Times New Roman" w:cs="Times New Roman"/>
          <w:b/>
          <w:lang w:val="es-ES_tradnl"/>
        </w:rPr>
      </w:pPr>
    </w:p>
    <w:p w:rsidRPr="00CA0370" w:rsidR="001A4A2F" w:rsidP="002F0E15" w:rsidRDefault="001A4A2F" w14:paraId="23F405F6" w14:textId="77777777">
      <w:pPr>
        <w:ind w:left="540" w:hanging="540"/>
        <w:jc w:val="center"/>
        <w:rPr>
          <w:rFonts w:ascii="Times New Roman" w:hAnsi="Times New Roman" w:cs="Times New Roman"/>
          <w:b/>
          <w:lang w:val="es-ES_tradnl"/>
        </w:rPr>
      </w:pPr>
    </w:p>
    <w:p w:rsidRPr="00CA0370" w:rsidR="001A4A2F" w:rsidP="002F0E15" w:rsidRDefault="00246F4E" w14:paraId="7624DE23" w14:textId="491141F6">
      <w:pPr>
        <w:ind w:left="540" w:hanging="540"/>
        <w:jc w:val="center"/>
        <w:rPr>
          <w:rFonts w:ascii="Times New Roman" w:hAnsi="Times New Roman" w:cs="Times New Roman"/>
          <w:b/>
          <w:lang w:val="es-ES_tradnl"/>
        </w:rPr>
      </w:pPr>
      <w:r w:rsidRPr="00CA0370">
        <w:rPr>
          <w:rFonts w:ascii="Times New Roman" w:hAnsi="Times New Roman" w:cs="Times New Roman"/>
          <w:b/>
          <w:lang w:val="es-ES_tradnl"/>
        </w:rPr>
        <w:tab/>
      </w:r>
    </w:p>
    <w:p w:rsidRPr="00CA0370" w:rsidR="0076055D" w:rsidP="0076055D" w:rsidRDefault="0076055D" w14:paraId="25E12A51" w14:textId="77777777">
      <w:pPr>
        <w:rPr>
          <w:lang w:val="es-ES_tradnl"/>
        </w:rPr>
      </w:pPr>
    </w:p>
    <w:p w:rsidRPr="00CA0370" w:rsidR="0076055D" w:rsidP="0076055D" w:rsidRDefault="0076055D" w14:paraId="4A212E8E" w14:textId="0A8FA6EB">
      <w:pPr>
        <w:pStyle w:val="BodyText"/>
        <w:pBdr>
          <w:top w:val="single" w:color="auto" w:sz="4" w:space="1"/>
          <w:left w:val="single" w:color="auto" w:sz="4" w:space="4"/>
          <w:bottom w:val="single" w:color="auto" w:sz="4" w:space="1"/>
          <w:right w:val="single" w:color="auto" w:sz="4" w:space="4"/>
        </w:pBdr>
        <w:jc w:val="both"/>
        <w:rPr>
          <w:rFonts w:ascii="Arial" w:hAnsi="Arial" w:cs="Arial"/>
          <w:lang w:val="es-ES_tradnl"/>
        </w:rPr>
      </w:pPr>
      <w:r w:rsidRPr="00CA0370">
        <w:rPr>
          <w:rFonts w:ascii="Arial" w:hAnsi="Arial" w:cs="Arial"/>
          <w:lang w:val="es-ES_tradnl"/>
        </w:rPr>
        <w:t>El presente documento ha sido elaborado por Leopoldo Laborda</w:t>
      </w:r>
      <w:r w:rsidRPr="00CA0370" w:rsidR="00536FB6">
        <w:rPr>
          <w:rFonts w:ascii="Arial" w:hAnsi="Arial" w:cs="Arial"/>
          <w:lang w:val="es-ES_tradnl"/>
        </w:rPr>
        <w:t xml:space="preserve"> (consultor).</w:t>
      </w:r>
      <w:r w:rsidRPr="00CA0370">
        <w:rPr>
          <w:rFonts w:ascii="Arial" w:hAnsi="Arial" w:cs="Arial"/>
          <w:lang w:val="es-ES_tradnl"/>
        </w:rPr>
        <w:t xml:space="preserve"> </w:t>
      </w:r>
    </w:p>
    <w:p w:rsidRPr="00CA0370" w:rsidR="0076055D" w:rsidP="0076055D" w:rsidRDefault="0076055D" w14:paraId="7603E236" w14:textId="77777777">
      <w:pPr>
        <w:rPr>
          <w:rFonts w:cs="Arial"/>
          <w:lang w:val="es-ES_tradnl"/>
        </w:rPr>
      </w:pPr>
    </w:p>
    <w:p w:rsidRPr="00CA0370" w:rsidR="0076055D" w:rsidP="0076055D" w:rsidRDefault="0076055D" w14:paraId="0E0A2FA6" w14:textId="77777777">
      <w:pPr>
        <w:rPr>
          <w:rFonts w:cs="Arial"/>
          <w:lang w:val="es-ES_tradnl"/>
        </w:rPr>
        <w:sectPr w:rsidRPr="00CA0370" w:rsidR="0076055D" w:rsidSect="00AF1179">
          <w:footerReference w:type="even" r:id="rId8"/>
          <w:footerReference w:type="default" r:id="rId9"/>
          <w:pgSz w:w="12240" w:h="15840" w:orient="portrait" w:code="1"/>
          <w:pgMar w:top="1440" w:right="1800" w:bottom="1440" w:left="1800" w:header="720" w:footer="432" w:gutter="0"/>
          <w:cols w:space="720"/>
          <w:vAlign w:val="both"/>
          <w:docGrid w:linePitch="360"/>
        </w:sectPr>
      </w:pPr>
    </w:p>
    <w:p w:rsidRPr="00CA0370" w:rsidR="0076055D" w:rsidP="0076055D" w:rsidRDefault="0076055D" w14:paraId="6C9B8D49" w14:textId="77777777">
      <w:pPr>
        <w:spacing w:after="0"/>
        <w:jc w:val="center"/>
        <w:rPr>
          <w:rFonts w:ascii="Arial" w:hAnsi="Arial" w:cs="Arial"/>
          <w:b/>
          <w:lang w:val="es-ES_tradnl"/>
        </w:rPr>
      </w:pPr>
      <w:r w:rsidRPr="00CA0370">
        <w:rPr>
          <w:rFonts w:ascii="Arial" w:hAnsi="Arial" w:cs="Arial"/>
          <w:b/>
          <w:lang w:val="es-ES_tradnl"/>
        </w:rPr>
        <w:lastRenderedPageBreak/>
        <w:t>SIGLAS Y ABREVIATURAS</w:t>
      </w:r>
    </w:p>
    <w:p w:rsidRPr="00CA0370" w:rsidR="0076055D" w:rsidP="0076055D" w:rsidRDefault="0076055D" w14:paraId="26881B7D" w14:textId="77777777">
      <w:pPr>
        <w:spacing w:after="0"/>
        <w:jc w:val="center"/>
        <w:rPr>
          <w:rFonts w:ascii="Arial" w:hAnsi="Arial" w:cs="Arial"/>
          <w:b/>
          <w:lang w:val="es-ES_tradnl"/>
        </w:rPr>
      </w:pPr>
    </w:p>
    <w:tbl>
      <w:tblPr>
        <w:tblW w:w="7953" w:type="dxa"/>
        <w:jc w:val="center"/>
        <w:tblCellMar>
          <w:left w:w="70" w:type="dxa"/>
          <w:right w:w="70" w:type="dxa"/>
        </w:tblCellMar>
        <w:tblLook w:val="04A0" w:firstRow="1" w:lastRow="0" w:firstColumn="1" w:lastColumn="0" w:noHBand="0" w:noVBand="1"/>
      </w:tblPr>
      <w:tblGrid>
        <w:gridCol w:w="1200"/>
        <w:gridCol w:w="6753"/>
      </w:tblGrid>
      <w:tr w:rsidRPr="00CA0370" w:rsidR="0076055D" w:rsidTr="00AF1179" w14:paraId="028C7795"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76055D" w:rsidP="00AF1179" w:rsidRDefault="0076055D" w14:paraId="4E934886" w14:textId="77777777">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ACB</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76055D" w:rsidP="00AF1179" w:rsidRDefault="00C44D43" w14:paraId="03522CC7" w14:textId="454E5743">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Aná</w:t>
            </w:r>
            <w:r w:rsidRPr="00CA0370" w:rsidR="0076055D">
              <w:rPr>
                <w:rFonts w:ascii="Arial" w:hAnsi="Arial" w:eastAsia="Times New Roman" w:cs="Arial"/>
                <w:color w:val="000000" w:themeColor="text1"/>
                <w:lang w:val="es-ES_tradnl" w:eastAsia="es-ES_tradnl"/>
              </w:rPr>
              <w:t xml:space="preserve">lisis </w:t>
            </w:r>
            <w:r w:rsidRPr="00CA0370" w:rsidR="002816A4">
              <w:rPr>
                <w:rFonts w:ascii="Arial" w:hAnsi="Arial" w:eastAsia="Times New Roman" w:cs="Arial"/>
                <w:color w:val="000000" w:themeColor="text1"/>
                <w:lang w:val="es-ES_tradnl" w:eastAsia="es-ES_tradnl"/>
              </w:rPr>
              <w:t>Costo</w:t>
            </w:r>
            <w:r w:rsidRPr="00CA0370" w:rsidR="0076055D">
              <w:rPr>
                <w:rFonts w:ascii="Arial" w:hAnsi="Arial" w:eastAsia="Times New Roman" w:cs="Arial"/>
                <w:color w:val="000000" w:themeColor="text1"/>
                <w:lang w:val="es-ES_tradnl" w:eastAsia="es-ES_tradnl"/>
              </w:rPr>
              <w:t xml:space="preserve"> Beneficio</w:t>
            </w:r>
          </w:p>
        </w:tc>
      </w:tr>
      <w:tr w:rsidRPr="00CA0370" w:rsidR="003D6CE3" w:rsidTr="00AF1179" w14:paraId="6BDA9249"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0CEFB340" w14:textId="5056EA1F">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BID</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3D6CE3" w:rsidP="00AF1179" w:rsidRDefault="003D6CE3" w14:paraId="62BC461C" w14:textId="31607EC7">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Banco Interamericano de Desarrollo</w:t>
            </w:r>
          </w:p>
        </w:tc>
      </w:tr>
      <w:tr w:rsidRPr="00CA0370" w:rsidR="003D6CE3" w:rsidTr="00AF1179" w14:paraId="1C945B2A"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61D445D4" w14:textId="5DEC7820">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BROU</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3D6CE3" w:rsidP="00AF1179" w:rsidRDefault="003D6CE3" w14:paraId="2787B76B" w14:textId="53C949AD">
            <w:pPr>
              <w:spacing w:after="0"/>
              <w:rPr>
                <w:rFonts w:ascii="Arial" w:hAnsi="Arial" w:eastAsia="Times New Roman" w:cs="Arial"/>
                <w:color w:val="000000" w:themeColor="text1"/>
                <w:lang w:val="es-ES_tradnl" w:eastAsia="es-ES_tradnl"/>
              </w:rPr>
            </w:pPr>
            <w:r w:rsidRPr="00CA0370">
              <w:rPr>
                <w:rFonts w:ascii="Arial" w:hAnsi="Arial" w:cs="Arial"/>
                <w:color w:val="000000" w:themeColor="text1"/>
                <w:lang w:val="es-ES_tradnl"/>
              </w:rPr>
              <w:t>Banco de la República Oriental del Uruguay</w:t>
            </w:r>
          </w:p>
        </w:tc>
      </w:tr>
      <w:tr w:rsidRPr="00CA0370" w:rsidR="003D6CE3" w:rsidTr="00AF1179" w14:paraId="23289944"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027A2531" w14:textId="6C1C5AD2">
            <w:pPr>
              <w:spacing w:after="0"/>
              <w:rPr>
                <w:rFonts w:ascii="Arial" w:hAnsi="Arial" w:eastAsia="Times New Roman" w:cs="Arial"/>
                <w:color w:val="000000" w:themeColor="text1"/>
                <w:lang w:val="es-ES_tradnl" w:eastAsia="es-ES_tradnl"/>
              </w:rPr>
            </w:pPr>
            <w:r w:rsidRPr="00CA0370">
              <w:rPr>
                <w:rFonts w:ascii="Arial" w:hAnsi="Arial" w:cs="Arial"/>
                <w:lang w:val="es-ES_tradnl"/>
              </w:rPr>
              <w:t>INE</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3D6CE3" w:rsidP="00AF1179" w:rsidRDefault="003D6CE3" w14:paraId="22F16E7E" w14:textId="16D5167D">
            <w:pPr>
              <w:spacing w:after="0"/>
              <w:rPr>
                <w:rFonts w:ascii="Arial" w:hAnsi="Arial" w:eastAsia="Times New Roman" w:cs="Arial"/>
                <w:color w:val="000000" w:themeColor="text1"/>
                <w:lang w:val="es-ES_tradnl" w:eastAsia="es-ES_tradnl"/>
              </w:rPr>
            </w:pPr>
            <w:r w:rsidRPr="00CA0370">
              <w:rPr>
                <w:rFonts w:ascii="Arial" w:hAnsi="Arial" w:cs="Arial"/>
                <w:lang w:val="es-ES_tradnl"/>
              </w:rPr>
              <w:t>Instituto Nacional de Estadística del Uruguay</w:t>
            </w:r>
          </w:p>
        </w:tc>
      </w:tr>
      <w:tr w:rsidRPr="00CA0370" w:rsidR="003D6CE3" w:rsidTr="00AF1179" w14:paraId="36F0EC61"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6E429C8F" w14:textId="07CC77FB">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CCLIP</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3D6CE3" w:rsidP="00C208B0" w:rsidRDefault="003D6CE3" w14:paraId="0C7D1DE7" w14:textId="4A237EFF">
            <w:pPr>
              <w:spacing w:after="0"/>
              <w:rPr>
                <w:rFonts w:ascii="Arial" w:hAnsi="Arial" w:eastAsia="Times New Roman" w:cs="Arial"/>
                <w:color w:val="FF0000"/>
                <w:lang w:val="es-ES_tradnl" w:eastAsia="es-ES_tradnl"/>
              </w:rPr>
            </w:pPr>
            <w:r w:rsidRPr="00CA0370">
              <w:rPr>
                <w:rFonts w:ascii="Arial" w:hAnsi="Arial" w:cs="Arial"/>
                <w:color w:val="000000" w:themeColor="text1"/>
                <w:lang w:val="es-ES_tradnl"/>
              </w:rPr>
              <w:t>Línea de Crédito Condicional para Proyectos de Inversión</w:t>
            </w:r>
          </w:p>
        </w:tc>
      </w:tr>
      <w:tr w:rsidRPr="00CA0370" w:rsidR="003D6CE3" w:rsidTr="00AF1179" w14:paraId="52B5DACA" w14:textId="77777777">
        <w:trPr>
          <w:trHeight w:val="397"/>
          <w:jc w:val="center"/>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615BEDC1" w14:textId="4ECBD9EC">
            <w:pPr>
              <w:spacing w:after="0"/>
              <w:rPr>
                <w:rFonts w:ascii="Arial" w:hAnsi="Arial" w:eastAsia="Times New Roman" w:cs="Arial"/>
                <w:color w:val="000000" w:themeColor="text1"/>
                <w:lang w:val="es-ES_tradnl" w:eastAsia="es-ES_tradnl"/>
              </w:rPr>
            </w:pPr>
            <w:r w:rsidRPr="00CA0370">
              <w:rPr>
                <w:rFonts w:ascii="Arial" w:hAnsi="Arial" w:cs="Arial"/>
                <w:color w:val="000000" w:themeColor="text1"/>
                <w:lang w:val="es-ES_tradnl"/>
              </w:rPr>
              <w:t>MGAP</w:t>
            </w:r>
          </w:p>
        </w:tc>
        <w:tc>
          <w:tcPr>
            <w:tcW w:w="6753" w:type="dxa"/>
            <w:tcBorders>
              <w:top w:val="single" w:color="auto" w:sz="4" w:space="0"/>
              <w:left w:val="nil"/>
              <w:bottom w:val="single" w:color="auto" w:sz="4" w:space="0"/>
              <w:right w:val="single" w:color="auto" w:sz="4" w:space="0"/>
            </w:tcBorders>
            <w:shd w:val="clear" w:color="auto" w:fill="auto"/>
            <w:vAlign w:val="center"/>
          </w:tcPr>
          <w:p w:rsidRPr="00CA0370" w:rsidR="003D6CE3" w:rsidP="00AF1179" w:rsidRDefault="003D6CE3" w14:paraId="1EBCF954" w14:textId="7D74120A">
            <w:pPr>
              <w:spacing w:after="0"/>
              <w:rPr>
                <w:rFonts w:ascii="Arial" w:hAnsi="Arial" w:eastAsia="Times New Roman" w:cs="Arial"/>
                <w:color w:val="FF0000"/>
                <w:lang w:val="es-ES_tradnl" w:eastAsia="es-ES_tradnl"/>
              </w:rPr>
            </w:pPr>
            <w:r w:rsidRPr="00CA0370">
              <w:rPr>
                <w:rFonts w:ascii="Arial" w:hAnsi="Arial" w:cs="Arial"/>
                <w:color w:val="000000" w:themeColor="text1"/>
                <w:lang w:val="es-ES_tradnl"/>
              </w:rPr>
              <w:t xml:space="preserve">Ministerio de Ganadería, Agricultura y Pesca </w:t>
            </w:r>
          </w:p>
        </w:tc>
      </w:tr>
      <w:tr w:rsidRPr="00CA0370" w:rsidR="003D6CE3" w:rsidTr="00AF1179" w14:paraId="2B53D864"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1B5B7745" w14:textId="68E50BA2">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MR</w:t>
            </w:r>
          </w:p>
        </w:tc>
        <w:tc>
          <w:tcPr>
            <w:tcW w:w="6753" w:type="dxa"/>
            <w:tcBorders>
              <w:top w:val="nil"/>
              <w:left w:val="nil"/>
              <w:bottom w:val="single" w:color="auto" w:sz="4" w:space="0"/>
              <w:right w:val="single" w:color="auto" w:sz="4" w:space="0"/>
            </w:tcBorders>
            <w:shd w:val="clear" w:color="auto" w:fill="auto"/>
            <w:vAlign w:val="center"/>
          </w:tcPr>
          <w:p w:rsidRPr="00CA0370" w:rsidR="003D6CE3" w:rsidP="00AF1179" w:rsidRDefault="003D6CE3" w14:paraId="1EFB5761" w14:textId="35FC2563">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Matriz de Resultados</w:t>
            </w:r>
          </w:p>
        </w:tc>
      </w:tr>
      <w:tr w:rsidRPr="00CA0370" w:rsidR="003D6CE3" w:rsidTr="00AF1179" w14:paraId="2CDB3C00"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4AA137FD" w14:textId="25331125">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MTOP</w:t>
            </w:r>
          </w:p>
        </w:tc>
        <w:tc>
          <w:tcPr>
            <w:tcW w:w="6753" w:type="dxa"/>
            <w:tcBorders>
              <w:top w:val="nil"/>
              <w:left w:val="nil"/>
              <w:bottom w:val="single" w:color="auto" w:sz="4" w:space="0"/>
              <w:right w:val="single" w:color="auto" w:sz="4" w:space="0"/>
            </w:tcBorders>
            <w:shd w:val="clear" w:color="auto" w:fill="auto"/>
            <w:vAlign w:val="center"/>
          </w:tcPr>
          <w:p w:rsidRPr="00CA0370" w:rsidR="003D6CE3" w:rsidP="00AF1179" w:rsidRDefault="003D6CE3" w14:paraId="25EDBF93" w14:textId="33258B8A">
            <w:pPr>
              <w:spacing w:after="0"/>
              <w:rPr>
                <w:rFonts w:ascii="Arial" w:hAnsi="Arial" w:cs="Arial"/>
                <w:color w:val="000000" w:themeColor="text1"/>
                <w:lang w:val="es-ES_tradnl"/>
              </w:rPr>
            </w:pPr>
            <w:r w:rsidRPr="00CA0370">
              <w:rPr>
                <w:rFonts w:ascii="Arial" w:hAnsi="Arial" w:eastAsia="Times New Roman" w:cs="Arial"/>
                <w:color w:val="000000" w:themeColor="text1"/>
                <w:lang w:val="es-ES_tradnl" w:eastAsia="es-ES_tradnl"/>
              </w:rPr>
              <w:t>Ministerio de Transporte y Obras Públicas</w:t>
            </w:r>
          </w:p>
        </w:tc>
      </w:tr>
      <w:tr w:rsidRPr="00CA0370" w:rsidR="003D6CE3" w:rsidTr="00AF1179" w14:paraId="40158A95"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71999E6B" w14:textId="4266F178">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PME</w:t>
            </w:r>
          </w:p>
        </w:tc>
        <w:tc>
          <w:tcPr>
            <w:tcW w:w="6753" w:type="dxa"/>
            <w:tcBorders>
              <w:top w:val="nil"/>
              <w:left w:val="nil"/>
              <w:bottom w:val="single" w:color="auto" w:sz="4" w:space="0"/>
              <w:right w:val="single" w:color="auto" w:sz="4" w:space="0"/>
            </w:tcBorders>
            <w:shd w:val="clear" w:color="auto" w:fill="auto"/>
            <w:vAlign w:val="center"/>
          </w:tcPr>
          <w:p w:rsidRPr="00CA0370" w:rsidR="003D6CE3" w:rsidP="00AF1179" w:rsidRDefault="003D6CE3" w14:paraId="2D5F6795" w14:textId="024A5540">
            <w:pPr>
              <w:spacing w:after="0"/>
              <w:rPr>
                <w:rFonts w:ascii="Arial" w:hAnsi="Arial" w:eastAsia="Times New Roman" w:cs="Arial"/>
                <w:color w:val="000000" w:themeColor="text1"/>
                <w:lang w:val="es-ES_tradnl" w:eastAsia="es-ES_tradnl"/>
              </w:rPr>
            </w:pPr>
            <w:r w:rsidRPr="00CA0370">
              <w:rPr>
                <w:rFonts w:ascii="Arial" w:hAnsi="Arial" w:cs="Arial"/>
                <w:color w:val="000000" w:themeColor="text1"/>
                <w:lang w:val="es-ES_tradnl"/>
              </w:rPr>
              <w:t>Plan de Monitoreo y Evaluación</w:t>
            </w:r>
          </w:p>
        </w:tc>
      </w:tr>
      <w:tr w:rsidRPr="00CA0370" w:rsidR="003D6CE3" w:rsidTr="00AF1179" w14:paraId="3146D184"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3D6CE3" w:rsidP="00AF1179" w:rsidRDefault="003D6CE3" w14:paraId="15724C99" w14:textId="3DA4067D">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POD</w:t>
            </w:r>
          </w:p>
        </w:tc>
        <w:tc>
          <w:tcPr>
            <w:tcW w:w="6753" w:type="dxa"/>
            <w:tcBorders>
              <w:top w:val="nil"/>
              <w:left w:val="nil"/>
              <w:bottom w:val="single" w:color="auto" w:sz="4" w:space="0"/>
              <w:right w:val="single" w:color="auto" w:sz="4" w:space="0"/>
            </w:tcBorders>
            <w:shd w:val="clear" w:color="auto" w:fill="auto"/>
            <w:vAlign w:val="center"/>
          </w:tcPr>
          <w:p w:rsidRPr="00CA0370" w:rsidR="003D6CE3" w:rsidP="00AF1179" w:rsidRDefault="003D6CE3" w14:paraId="5CF15495" w14:textId="5899BEAD">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Propuesta de Desarrollo de la Operación</w:t>
            </w:r>
          </w:p>
        </w:tc>
      </w:tr>
      <w:tr w:rsidRPr="00CA0370" w:rsidR="00E73BBC" w:rsidTr="00AF1179" w14:paraId="00468707"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E73BBC" w:rsidP="00AF1179" w:rsidRDefault="00E73BBC" w14:paraId="1A0F4B41" w14:textId="2CB6BBE2">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TDPA</w:t>
            </w:r>
          </w:p>
        </w:tc>
        <w:tc>
          <w:tcPr>
            <w:tcW w:w="6753" w:type="dxa"/>
            <w:tcBorders>
              <w:top w:val="nil"/>
              <w:left w:val="nil"/>
              <w:bottom w:val="single" w:color="auto" w:sz="4" w:space="0"/>
              <w:right w:val="single" w:color="auto" w:sz="4" w:space="0"/>
            </w:tcBorders>
            <w:shd w:val="clear" w:color="auto" w:fill="auto"/>
            <w:vAlign w:val="center"/>
          </w:tcPr>
          <w:p w:rsidRPr="00CA0370" w:rsidR="00E73BBC" w:rsidP="00AF1179" w:rsidRDefault="006E136F" w14:paraId="57C6CA2A" w14:textId="65C34525">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Trá</w:t>
            </w:r>
            <w:r w:rsidRPr="00CA0370" w:rsidR="00E73BBC">
              <w:rPr>
                <w:rFonts w:ascii="Arial" w:hAnsi="Arial" w:eastAsia="Times New Roman" w:cs="Arial"/>
                <w:color w:val="000000" w:themeColor="text1"/>
                <w:lang w:val="es-ES_tradnl" w:eastAsia="es-ES_tradnl"/>
              </w:rPr>
              <w:t>nsito Diario Promedio Anual</w:t>
            </w:r>
          </w:p>
        </w:tc>
      </w:tr>
      <w:tr w:rsidRPr="00CA0370" w:rsidR="003D6CE3" w:rsidTr="00AF1179" w14:paraId="5FB8C435" w14:textId="77777777">
        <w:trPr>
          <w:trHeight w:val="397"/>
          <w:jc w:val="center"/>
        </w:trPr>
        <w:tc>
          <w:tcPr>
            <w:tcW w:w="1200" w:type="dxa"/>
            <w:tcBorders>
              <w:top w:val="nil"/>
              <w:left w:val="single" w:color="auto" w:sz="4" w:space="0"/>
              <w:bottom w:val="single" w:color="auto" w:sz="4" w:space="0"/>
              <w:right w:val="single" w:color="auto" w:sz="4" w:space="0"/>
            </w:tcBorders>
            <w:shd w:val="clear" w:color="auto" w:fill="auto"/>
            <w:vAlign w:val="center"/>
          </w:tcPr>
          <w:p w:rsidRPr="00CA0370" w:rsidR="003D6CE3" w:rsidP="00AF1179" w:rsidRDefault="003A38E6" w14:paraId="452BCE8E" w14:textId="7D53EC49">
            <w:pPr>
              <w:spacing w:after="0"/>
              <w:rPr>
                <w:rFonts w:ascii="Arial" w:hAnsi="Arial" w:eastAsia="Times New Roman" w:cs="Arial"/>
                <w:color w:val="000000" w:themeColor="text1"/>
                <w:lang w:val="es-ES_tradnl" w:eastAsia="es-ES_tradnl"/>
              </w:rPr>
            </w:pPr>
            <w:r w:rsidRPr="00CA0370">
              <w:rPr>
                <w:rFonts w:ascii="Arial" w:hAnsi="Arial" w:eastAsia="Times New Roman" w:cs="Arial"/>
                <w:color w:val="000000" w:themeColor="text1"/>
                <w:lang w:val="es-ES_tradnl" w:eastAsia="es-ES_tradnl"/>
              </w:rPr>
              <w:t>P</w:t>
            </w:r>
            <w:r w:rsidRPr="00CA0370" w:rsidR="006D5722">
              <w:rPr>
                <w:rFonts w:ascii="Arial" w:hAnsi="Arial" w:eastAsia="Times New Roman" w:cs="Arial"/>
                <w:color w:val="000000" w:themeColor="text1"/>
                <w:lang w:val="es-ES_tradnl" w:eastAsia="es-ES_tradnl"/>
              </w:rPr>
              <w:t>PP</w:t>
            </w:r>
          </w:p>
        </w:tc>
        <w:tc>
          <w:tcPr>
            <w:tcW w:w="6753" w:type="dxa"/>
            <w:tcBorders>
              <w:top w:val="nil"/>
              <w:left w:val="nil"/>
              <w:bottom w:val="single" w:color="auto" w:sz="4" w:space="0"/>
              <w:right w:val="single" w:color="auto" w:sz="4" w:space="0"/>
            </w:tcBorders>
            <w:shd w:val="clear" w:color="auto" w:fill="auto"/>
            <w:vAlign w:val="center"/>
          </w:tcPr>
          <w:p w:rsidRPr="00CA0370" w:rsidR="003D6CE3" w:rsidP="00AF1179" w:rsidRDefault="003A38E6" w14:paraId="3C9FF64D" w14:textId="1D54D3DB">
            <w:pPr>
              <w:spacing w:after="0"/>
              <w:rPr>
                <w:rFonts w:ascii="Arial" w:hAnsi="Arial" w:cs="Arial"/>
                <w:color w:val="000000" w:themeColor="text1"/>
                <w:lang w:val="es-ES_tradnl"/>
              </w:rPr>
            </w:pPr>
            <w:r w:rsidRPr="00CA0370">
              <w:rPr>
                <w:rFonts w:ascii="Arial" w:hAnsi="Arial" w:cs="Arial"/>
                <w:color w:val="000000" w:themeColor="text1"/>
                <w:lang w:val="es-ES_tradnl"/>
              </w:rPr>
              <w:t>Participación</w:t>
            </w:r>
            <w:r w:rsidRPr="00CA0370" w:rsidR="003D6CE3">
              <w:rPr>
                <w:rFonts w:ascii="Arial" w:hAnsi="Arial" w:cs="Arial"/>
                <w:color w:val="000000" w:themeColor="text1"/>
                <w:lang w:val="es-ES_tradnl"/>
              </w:rPr>
              <w:t xml:space="preserve"> Público-Privada</w:t>
            </w:r>
          </w:p>
        </w:tc>
      </w:tr>
    </w:tbl>
    <w:p w:rsidRPr="00CA0370" w:rsidR="0076055D" w:rsidP="0076055D" w:rsidRDefault="0076055D" w14:paraId="3CEDF900" w14:textId="77777777">
      <w:pPr>
        <w:spacing w:after="0"/>
        <w:rPr>
          <w:rFonts w:cs="Arial"/>
          <w:lang w:val="es-ES_tradnl"/>
        </w:rPr>
      </w:pPr>
    </w:p>
    <w:p w:rsidRPr="00CA0370" w:rsidR="0076055D" w:rsidP="0076055D" w:rsidRDefault="0076055D" w14:paraId="107643E7" w14:textId="77777777">
      <w:pPr>
        <w:spacing w:after="0"/>
        <w:rPr>
          <w:rFonts w:cs="Arial"/>
          <w:lang w:val="es-ES_tradnl"/>
        </w:rPr>
      </w:pPr>
    </w:p>
    <w:p w:rsidRPr="00CA0370" w:rsidR="0076055D" w:rsidP="002F0E15" w:rsidRDefault="0076055D" w14:paraId="2B8091B5"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7E62A9BD"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2A16A176" w14:textId="77777777">
      <w:pPr>
        <w:pStyle w:val="Paragraph"/>
        <w:numPr>
          <w:ilvl w:val="0"/>
          <w:numId w:val="0"/>
        </w:numPr>
        <w:ind w:left="540" w:hanging="540"/>
        <w:jc w:val="center"/>
        <w:rPr>
          <w:rStyle w:val="BookTitle"/>
          <w:sz w:val="22"/>
          <w:lang w:val="es-ES_tradnl"/>
        </w:rPr>
      </w:pPr>
    </w:p>
    <w:p w:rsidRPr="00CA0370" w:rsidR="0076055D" w:rsidP="003A38E6" w:rsidRDefault="003A38E6" w14:paraId="413CF1A0" w14:textId="57B9FDD9">
      <w:pPr>
        <w:pStyle w:val="Paragraph"/>
        <w:numPr>
          <w:ilvl w:val="0"/>
          <w:numId w:val="0"/>
        </w:numPr>
        <w:tabs>
          <w:tab w:val="left" w:pos="3427"/>
        </w:tabs>
        <w:ind w:left="540" w:hanging="540"/>
        <w:jc w:val="left"/>
        <w:rPr>
          <w:rStyle w:val="BookTitle"/>
          <w:sz w:val="22"/>
          <w:lang w:val="es-ES_tradnl"/>
        </w:rPr>
      </w:pPr>
      <w:r w:rsidRPr="00CA0370">
        <w:rPr>
          <w:rStyle w:val="BookTitle"/>
          <w:sz w:val="22"/>
          <w:lang w:val="es-ES_tradnl"/>
        </w:rPr>
        <w:tab/>
      </w:r>
      <w:r w:rsidRPr="00CA0370">
        <w:rPr>
          <w:rStyle w:val="BookTitle"/>
          <w:sz w:val="22"/>
          <w:lang w:val="es-ES_tradnl"/>
        </w:rPr>
        <w:tab/>
      </w:r>
    </w:p>
    <w:p w:rsidRPr="00CA0370" w:rsidR="0076055D" w:rsidP="002F0E15" w:rsidRDefault="0076055D" w14:paraId="5A0E6515"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7548CE49"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051EC9CC"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09305395" w14:textId="77777777">
      <w:pPr>
        <w:pStyle w:val="Paragraph"/>
        <w:numPr>
          <w:ilvl w:val="0"/>
          <w:numId w:val="0"/>
        </w:numPr>
        <w:ind w:left="540" w:hanging="540"/>
        <w:jc w:val="center"/>
        <w:rPr>
          <w:rStyle w:val="BookTitle"/>
          <w:sz w:val="22"/>
          <w:lang w:val="es-ES_tradnl"/>
        </w:rPr>
      </w:pPr>
    </w:p>
    <w:p w:rsidRPr="00CA0370" w:rsidR="0076055D" w:rsidP="002F0E15" w:rsidRDefault="0076055D" w14:paraId="1E031EA6" w14:textId="77777777">
      <w:pPr>
        <w:pStyle w:val="Paragraph"/>
        <w:numPr>
          <w:ilvl w:val="0"/>
          <w:numId w:val="0"/>
        </w:numPr>
        <w:ind w:left="540" w:hanging="540"/>
        <w:jc w:val="center"/>
        <w:rPr>
          <w:rStyle w:val="BookTitle"/>
          <w:sz w:val="22"/>
          <w:lang w:val="es-ES_tradnl"/>
        </w:rPr>
      </w:pPr>
    </w:p>
    <w:p w:rsidRPr="00CA0370" w:rsidR="000D45AB" w:rsidP="002F0E15" w:rsidRDefault="000D45AB" w14:paraId="0F3853DF" w14:textId="77777777">
      <w:pPr>
        <w:pStyle w:val="Paragraph"/>
        <w:numPr>
          <w:ilvl w:val="0"/>
          <w:numId w:val="0"/>
        </w:numPr>
        <w:ind w:left="540" w:hanging="540"/>
        <w:jc w:val="center"/>
        <w:rPr>
          <w:rStyle w:val="BookTitle"/>
          <w:sz w:val="22"/>
          <w:lang w:val="es-ES_tradnl"/>
        </w:rPr>
      </w:pPr>
    </w:p>
    <w:p w:rsidRPr="00CA0370" w:rsidR="000D45AB" w:rsidP="002F0E15" w:rsidRDefault="000D45AB" w14:paraId="7EF65824" w14:textId="77777777">
      <w:pPr>
        <w:pStyle w:val="Paragraph"/>
        <w:numPr>
          <w:ilvl w:val="0"/>
          <w:numId w:val="0"/>
        </w:numPr>
        <w:ind w:left="540" w:hanging="540"/>
        <w:jc w:val="center"/>
        <w:rPr>
          <w:rStyle w:val="BookTitle"/>
          <w:sz w:val="22"/>
          <w:lang w:val="es-ES_tradnl"/>
        </w:rPr>
      </w:pPr>
    </w:p>
    <w:p w:rsidRPr="00CA0370" w:rsidR="000D45AB" w:rsidP="002F0E15" w:rsidRDefault="000D45AB" w14:paraId="4BA05DE1" w14:textId="77777777">
      <w:pPr>
        <w:pStyle w:val="Paragraph"/>
        <w:numPr>
          <w:ilvl w:val="0"/>
          <w:numId w:val="0"/>
        </w:numPr>
        <w:ind w:left="540" w:hanging="540"/>
        <w:jc w:val="center"/>
        <w:rPr>
          <w:rStyle w:val="BookTitle"/>
          <w:sz w:val="22"/>
          <w:lang w:val="es-ES_tradnl"/>
        </w:rPr>
      </w:pPr>
    </w:p>
    <w:p w:rsidRPr="00CA0370" w:rsidR="0076055D" w:rsidP="0076055D" w:rsidRDefault="0076055D" w14:paraId="71003456" w14:textId="77777777">
      <w:pPr>
        <w:spacing w:after="0"/>
        <w:rPr>
          <w:rFonts w:ascii="Arial" w:hAnsi="Arial" w:cs="Arial"/>
          <w:lang w:val="es-ES_tradnl"/>
        </w:rPr>
      </w:pPr>
    </w:p>
    <w:p w:rsidRPr="00CA0370" w:rsidR="00210ADE" w:rsidP="002F0E15" w:rsidRDefault="00210ADE" w14:paraId="76C45970" w14:textId="77777777">
      <w:pPr>
        <w:pStyle w:val="Paragraph"/>
        <w:numPr>
          <w:ilvl w:val="0"/>
          <w:numId w:val="0"/>
        </w:numPr>
        <w:ind w:left="540" w:hanging="540"/>
        <w:jc w:val="center"/>
        <w:rPr>
          <w:rStyle w:val="BookTitle"/>
          <w:rFonts w:ascii="Arial" w:hAnsi="Arial" w:cs="Arial"/>
          <w:sz w:val="22"/>
          <w:lang w:val="es-ES_tradnl"/>
        </w:rPr>
      </w:pPr>
    </w:p>
    <w:p w:rsidRPr="00CA0370" w:rsidR="00A9384F" w:rsidP="002F0E15" w:rsidRDefault="00365D3F" w14:paraId="57F1C4E1" w14:textId="56EF7DFA">
      <w:pPr>
        <w:pStyle w:val="Paragraph"/>
        <w:numPr>
          <w:ilvl w:val="0"/>
          <w:numId w:val="0"/>
        </w:numPr>
        <w:ind w:left="540" w:hanging="540"/>
        <w:jc w:val="center"/>
        <w:rPr>
          <w:rStyle w:val="BookTitle"/>
          <w:rFonts w:ascii="Arial" w:hAnsi="Arial" w:cs="Arial"/>
          <w:sz w:val="22"/>
          <w:lang w:val="es-ES_tradnl"/>
        </w:rPr>
      </w:pPr>
      <w:r w:rsidRPr="00CA0370">
        <w:rPr>
          <w:rStyle w:val="BookTitle"/>
          <w:rFonts w:ascii="Arial" w:hAnsi="Arial" w:cs="Arial"/>
          <w:sz w:val="22"/>
          <w:lang w:val="es-ES_tradnl"/>
        </w:rPr>
        <w:lastRenderedPageBreak/>
        <w:t>CONTENIDOS</w:t>
      </w:r>
    </w:p>
    <w:p w:rsidRPr="00CA0370" w:rsidR="00A9384F" w:rsidP="002F0E15" w:rsidRDefault="00A9384F" w14:paraId="711AE259" w14:textId="77777777">
      <w:pPr>
        <w:ind w:left="540" w:hanging="540"/>
        <w:rPr>
          <w:rFonts w:ascii="Arial" w:hAnsi="Arial" w:cs="Arial"/>
          <w:lang w:val="es-ES_tradnl"/>
        </w:rPr>
      </w:pPr>
    </w:p>
    <w:p w:rsidRPr="00CA0370" w:rsidR="000D5367" w:rsidP="002F0E15" w:rsidRDefault="000D5367" w14:paraId="2F6A5EC7" w14:textId="77777777">
      <w:pPr>
        <w:ind w:left="540" w:hanging="540"/>
        <w:rPr>
          <w:rFonts w:ascii="Arial" w:hAnsi="Arial" w:cs="Arial"/>
          <w:lang w:val="es-ES_tradnl"/>
        </w:rPr>
        <w:sectPr w:rsidRPr="00CA0370" w:rsidR="000D5367" w:rsidSect="00A9384F">
          <w:pgSz w:w="12240" w:h="15840" w:orient="portrait"/>
          <w:pgMar w:top="1440" w:right="1800" w:bottom="1440" w:left="1800" w:header="720" w:footer="720" w:gutter="0"/>
          <w:cols w:space="720"/>
          <w:docGrid w:linePitch="360"/>
        </w:sectPr>
      </w:pPr>
    </w:p>
    <w:p w:rsidRPr="00CA0370" w:rsidR="00085B75" w:rsidRDefault="00A9384F" w14:paraId="0018EB04" w14:textId="4A89E991">
      <w:pPr>
        <w:pStyle w:val="TOC1"/>
        <w:rPr>
          <w:rFonts w:ascii="Arial" w:hAnsi="Arial" w:cs="Arial" w:eastAsiaTheme="minorEastAsia"/>
          <w:smallCaps w:val="0"/>
          <w:sz w:val="22"/>
          <w:lang w:val="es-ES_tradnl"/>
        </w:rPr>
      </w:pPr>
      <w:r w:rsidRPr="00CA0370">
        <w:rPr>
          <w:rFonts w:ascii="Arial" w:hAnsi="Arial" w:cs="Arial"/>
          <w:sz w:val="22"/>
          <w:lang w:val="es-ES_tradnl"/>
        </w:rPr>
        <w:fldChar w:fldCharType="begin"/>
      </w:r>
      <w:r w:rsidRPr="00CA0370">
        <w:rPr>
          <w:rFonts w:ascii="Arial" w:hAnsi="Arial" w:cs="Arial"/>
          <w:sz w:val="22"/>
          <w:lang w:val="es-ES_tradnl"/>
        </w:rPr>
        <w:instrText xml:space="preserve"> TOC \f \t "Chapter,1,FirstHeading,2,SecHeading,3" </w:instrText>
      </w:r>
      <w:r w:rsidRPr="00CA0370">
        <w:rPr>
          <w:rFonts w:ascii="Arial" w:hAnsi="Arial" w:cs="Arial"/>
          <w:sz w:val="22"/>
          <w:lang w:val="es-ES_tradnl"/>
        </w:rPr>
        <w:fldChar w:fldCharType="separate"/>
      </w:r>
      <w:r w:rsidRPr="00CA0370" w:rsidR="00085B75">
        <w:rPr>
          <w:rFonts w:ascii="Arial" w:hAnsi="Arial" w:cs="Arial"/>
          <w:sz w:val="22"/>
          <w:lang w:val="es-ES_tradnl"/>
        </w:rPr>
        <w:t>I.</w:t>
      </w:r>
      <w:r w:rsidRPr="00CA0370" w:rsidR="00085B75">
        <w:rPr>
          <w:rFonts w:ascii="Arial" w:hAnsi="Arial" w:cs="Arial" w:eastAsiaTheme="minorEastAsia"/>
          <w:smallCaps w:val="0"/>
          <w:sz w:val="22"/>
          <w:lang w:val="es-ES_tradnl"/>
        </w:rPr>
        <w:tab/>
      </w:r>
      <w:r w:rsidRPr="00CA0370" w:rsidR="00085B75">
        <w:rPr>
          <w:rFonts w:ascii="Arial" w:hAnsi="Arial" w:cs="Arial"/>
          <w:sz w:val="22"/>
          <w:lang w:val="es-ES_tradnl"/>
        </w:rPr>
        <w:t>INTRODUCCIÓN</w:t>
      </w:r>
      <w:r w:rsidRPr="00CA0370" w:rsidR="00085B75">
        <w:rPr>
          <w:rFonts w:ascii="Arial" w:hAnsi="Arial" w:cs="Arial"/>
          <w:sz w:val="22"/>
          <w:lang w:val="es-ES_tradnl"/>
        </w:rPr>
        <w:tab/>
      </w:r>
      <w:r w:rsidRPr="00CA0370" w:rsidR="00085B75">
        <w:rPr>
          <w:rFonts w:ascii="Arial" w:hAnsi="Arial" w:cs="Arial"/>
          <w:sz w:val="22"/>
          <w:lang w:val="es-ES_tradnl"/>
        </w:rPr>
        <w:fldChar w:fldCharType="begin"/>
      </w:r>
      <w:r w:rsidRPr="00CA0370" w:rsidR="00085B75">
        <w:rPr>
          <w:rFonts w:ascii="Arial" w:hAnsi="Arial" w:cs="Arial"/>
          <w:sz w:val="22"/>
          <w:lang w:val="es-ES_tradnl"/>
        </w:rPr>
        <w:instrText xml:space="preserve"> PAGEREF _Toc525339846 \h </w:instrText>
      </w:r>
      <w:r w:rsidRPr="00CA0370" w:rsidR="00085B75">
        <w:rPr>
          <w:rFonts w:ascii="Arial" w:hAnsi="Arial" w:cs="Arial"/>
          <w:sz w:val="22"/>
          <w:lang w:val="es-ES_tradnl"/>
        </w:rPr>
      </w:r>
      <w:r w:rsidRPr="00CA0370" w:rsidR="00085B75">
        <w:rPr>
          <w:rFonts w:ascii="Arial" w:hAnsi="Arial" w:cs="Arial"/>
          <w:sz w:val="22"/>
          <w:lang w:val="es-ES_tradnl"/>
        </w:rPr>
        <w:fldChar w:fldCharType="separate"/>
      </w:r>
      <w:r w:rsidRPr="00CA0370" w:rsidR="005A50B8">
        <w:rPr>
          <w:rFonts w:ascii="Arial" w:hAnsi="Arial" w:cs="Arial"/>
          <w:sz w:val="22"/>
          <w:lang w:val="es-ES_tradnl"/>
        </w:rPr>
        <w:t>4</w:t>
      </w:r>
      <w:r w:rsidRPr="00CA0370" w:rsidR="00085B75">
        <w:rPr>
          <w:rFonts w:ascii="Arial" w:hAnsi="Arial" w:cs="Arial"/>
          <w:sz w:val="22"/>
          <w:lang w:val="es-ES_tradnl"/>
        </w:rPr>
        <w:fldChar w:fldCharType="end"/>
      </w:r>
    </w:p>
    <w:p w:rsidRPr="00CA0370" w:rsidR="00085B75" w:rsidRDefault="00085B75" w14:paraId="56FCB931" w14:textId="41AA71B2">
      <w:pPr>
        <w:pStyle w:val="TOC1"/>
        <w:rPr>
          <w:rFonts w:ascii="Arial" w:hAnsi="Arial" w:cs="Arial" w:eastAsiaTheme="minorEastAsia"/>
          <w:smallCaps w:val="0"/>
          <w:sz w:val="22"/>
          <w:lang w:val="es-ES_tradnl"/>
        </w:rPr>
      </w:pPr>
      <w:r w:rsidRPr="00CA0370">
        <w:rPr>
          <w:rFonts w:ascii="Arial" w:hAnsi="Arial" w:cs="Arial"/>
          <w:sz w:val="22"/>
          <w:lang w:val="es-ES_tradnl"/>
        </w:rPr>
        <w:t>II.</w:t>
      </w:r>
      <w:r w:rsidRPr="00CA0370">
        <w:rPr>
          <w:rFonts w:ascii="Arial" w:hAnsi="Arial" w:cs="Arial" w:eastAsiaTheme="minorEastAsia"/>
          <w:smallCaps w:val="0"/>
          <w:sz w:val="22"/>
          <w:lang w:val="es-ES_tradnl"/>
        </w:rPr>
        <w:tab/>
      </w:r>
      <w:r w:rsidRPr="00CA0370">
        <w:rPr>
          <w:rFonts w:ascii="Arial" w:hAnsi="Arial" w:cs="Arial"/>
          <w:sz w:val="22"/>
          <w:lang w:val="es-ES_tradnl"/>
        </w:rPr>
        <w:t>Monitoreo</w:t>
      </w:r>
      <w:r w:rsidRPr="00CA0370">
        <w:rPr>
          <w:rFonts w:ascii="Arial" w:hAnsi="Arial" w:cs="Arial"/>
          <w:sz w:val="22"/>
          <w:lang w:val="es-ES_tradnl"/>
        </w:rPr>
        <w:tab/>
      </w:r>
      <w:r w:rsidRPr="00CA0370">
        <w:rPr>
          <w:rFonts w:ascii="Arial" w:hAnsi="Arial" w:cs="Arial"/>
          <w:sz w:val="22"/>
          <w:lang w:val="es-ES_tradnl"/>
        </w:rPr>
        <w:fldChar w:fldCharType="begin"/>
      </w:r>
      <w:r w:rsidRPr="00CA0370">
        <w:rPr>
          <w:rFonts w:ascii="Arial" w:hAnsi="Arial" w:cs="Arial"/>
          <w:sz w:val="22"/>
          <w:lang w:val="es-ES_tradnl"/>
        </w:rPr>
        <w:instrText xml:space="preserve"> PAGEREF _Toc525339847 \h </w:instrText>
      </w:r>
      <w:r w:rsidRPr="00CA0370">
        <w:rPr>
          <w:rFonts w:ascii="Arial" w:hAnsi="Arial" w:cs="Arial"/>
          <w:sz w:val="22"/>
          <w:lang w:val="es-ES_tradnl"/>
        </w:rPr>
      </w:r>
      <w:r w:rsidRPr="00CA0370">
        <w:rPr>
          <w:rFonts w:ascii="Arial" w:hAnsi="Arial" w:cs="Arial"/>
          <w:sz w:val="22"/>
          <w:lang w:val="es-ES_tradnl"/>
        </w:rPr>
        <w:fldChar w:fldCharType="separate"/>
      </w:r>
      <w:r w:rsidRPr="00CA0370" w:rsidR="005A50B8">
        <w:rPr>
          <w:rFonts w:ascii="Arial" w:hAnsi="Arial" w:cs="Arial"/>
          <w:sz w:val="22"/>
          <w:lang w:val="es-ES_tradnl"/>
        </w:rPr>
        <w:t>7</w:t>
      </w:r>
      <w:r w:rsidRPr="00CA0370">
        <w:rPr>
          <w:rFonts w:ascii="Arial" w:hAnsi="Arial" w:cs="Arial"/>
          <w:sz w:val="22"/>
          <w:lang w:val="es-ES_tradnl"/>
        </w:rPr>
        <w:fldChar w:fldCharType="end"/>
      </w:r>
    </w:p>
    <w:p w:rsidRPr="00CA0370" w:rsidR="00085B75" w:rsidRDefault="00085B75" w14:paraId="3859643F" w14:textId="42D8930E">
      <w:pPr>
        <w:pStyle w:val="TOC2"/>
        <w:rPr>
          <w:rFonts w:ascii="Arial" w:hAnsi="Arial" w:cs="Arial" w:eastAsiaTheme="minorEastAsia"/>
          <w:sz w:val="22"/>
          <w:lang w:val="es-ES_tradnl"/>
        </w:rPr>
      </w:pPr>
      <w:r w:rsidRPr="00CA0370">
        <w:rPr>
          <w:rFonts w:ascii="Arial" w:hAnsi="Arial" w:cs="Arial"/>
          <w:sz w:val="22"/>
          <w:lang w:val="es-ES_tradnl"/>
        </w:rPr>
        <w:t>A.</w:t>
      </w:r>
      <w:r w:rsidRPr="00CA0370">
        <w:rPr>
          <w:rFonts w:ascii="Arial" w:hAnsi="Arial" w:cs="Arial" w:eastAsiaTheme="minorEastAsia"/>
          <w:sz w:val="22"/>
          <w:lang w:val="es-ES_tradnl"/>
        </w:rPr>
        <w:tab/>
      </w:r>
      <w:r w:rsidRPr="00CA0370">
        <w:rPr>
          <w:rFonts w:ascii="Arial" w:hAnsi="Arial" w:cs="Arial"/>
          <w:sz w:val="22"/>
          <w:lang w:val="es-ES_tradnl"/>
        </w:rPr>
        <w:t>Condiciones marco para el monitoreo</w:t>
      </w:r>
      <w:r w:rsidRPr="00CA0370">
        <w:rPr>
          <w:rFonts w:ascii="Arial" w:hAnsi="Arial" w:cs="Arial"/>
          <w:sz w:val="22"/>
          <w:lang w:val="es-ES_tradnl"/>
        </w:rPr>
        <w:tab/>
      </w:r>
      <w:r w:rsidRPr="00CA0370">
        <w:rPr>
          <w:rFonts w:ascii="Arial" w:hAnsi="Arial" w:cs="Arial"/>
          <w:sz w:val="22"/>
          <w:lang w:val="es-ES_tradnl"/>
        </w:rPr>
        <w:fldChar w:fldCharType="begin"/>
      </w:r>
      <w:r w:rsidRPr="00CA0370">
        <w:rPr>
          <w:rFonts w:ascii="Arial" w:hAnsi="Arial" w:cs="Arial"/>
          <w:sz w:val="22"/>
          <w:lang w:val="es-ES_tradnl"/>
        </w:rPr>
        <w:instrText xml:space="preserve"> PAGEREF _Toc525339848 \h </w:instrText>
      </w:r>
      <w:r w:rsidRPr="00CA0370">
        <w:rPr>
          <w:rFonts w:ascii="Arial" w:hAnsi="Arial" w:cs="Arial"/>
          <w:sz w:val="22"/>
          <w:lang w:val="es-ES_tradnl"/>
        </w:rPr>
      </w:r>
      <w:r w:rsidRPr="00CA0370">
        <w:rPr>
          <w:rFonts w:ascii="Arial" w:hAnsi="Arial" w:cs="Arial"/>
          <w:sz w:val="22"/>
          <w:lang w:val="es-ES_tradnl"/>
        </w:rPr>
        <w:fldChar w:fldCharType="separate"/>
      </w:r>
      <w:r w:rsidRPr="00CA0370" w:rsidR="005A50B8">
        <w:rPr>
          <w:rFonts w:ascii="Arial" w:hAnsi="Arial" w:cs="Arial"/>
          <w:sz w:val="22"/>
          <w:lang w:val="es-ES_tradnl"/>
        </w:rPr>
        <w:t>7</w:t>
      </w:r>
      <w:r w:rsidRPr="00CA0370">
        <w:rPr>
          <w:rFonts w:ascii="Arial" w:hAnsi="Arial" w:cs="Arial"/>
          <w:sz w:val="22"/>
          <w:lang w:val="es-ES_tradnl"/>
        </w:rPr>
        <w:fldChar w:fldCharType="end"/>
      </w:r>
    </w:p>
    <w:p w:rsidRPr="00CA0370" w:rsidR="00085B75" w:rsidRDefault="00085B75" w14:paraId="58678506" w14:textId="098E4E51">
      <w:pPr>
        <w:pStyle w:val="TOC2"/>
        <w:rPr>
          <w:rFonts w:ascii="Arial" w:hAnsi="Arial" w:cs="Arial" w:eastAsiaTheme="minorEastAsia"/>
          <w:sz w:val="22"/>
          <w:lang w:val="es-ES_tradnl"/>
        </w:rPr>
      </w:pPr>
      <w:r w:rsidRPr="00CA0370">
        <w:rPr>
          <w:rFonts w:ascii="Arial" w:hAnsi="Arial" w:cs="Arial"/>
          <w:sz w:val="22"/>
          <w:lang w:val="es-ES_tradnl"/>
        </w:rPr>
        <w:t>B.</w:t>
      </w:r>
      <w:r w:rsidRPr="00CA0370">
        <w:rPr>
          <w:rFonts w:ascii="Arial" w:hAnsi="Arial" w:cs="Arial" w:eastAsiaTheme="minorEastAsia"/>
          <w:sz w:val="22"/>
          <w:lang w:val="es-ES_tradnl"/>
        </w:rPr>
        <w:tab/>
      </w:r>
      <w:r w:rsidRPr="00CA0370">
        <w:rPr>
          <w:rFonts w:ascii="Arial" w:hAnsi="Arial" w:cs="Arial"/>
          <w:sz w:val="22"/>
          <w:lang w:val="es-ES_tradnl"/>
        </w:rPr>
        <w:t>Indicadores de monitoreo</w:t>
      </w:r>
      <w:r w:rsidRPr="00CA0370">
        <w:rPr>
          <w:rFonts w:ascii="Arial" w:hAnsi="Arial" w:cs="Arial"/>
          <w:sz w:val="22"/>
          <w:lang w:val="es-ES_tradnl"/>
        </w:rPr>
        <w:tab/>
      </w:r>
      <w:r w:rsidRPr="00CA0370">
        <w:rPr>
          <w:rFonts w:ascii="Arial" w:hAnsi="Arial" w:cs="Arial"/>
          <w:sz w:val="22"/>
          <w:lang w:val="es-ES_tradnl"/>
        </w:rPr>
        <w:fldChar w:fldCharType="begin"/>
      </w:r>
      <w:r w:rsidRPr="00CA0370">
        <w:rPr>
          <w:rFonts w:ascii="Arial" w:hAnsi="Arial" w:cs="Arial"/>
          <w:sz w:val="22"/>
          <w:lang w:val="es-ES_tradnl"/>
        </w:rPr>
        <w:instrText xml:space="preserve"> PAGEREF _Toc525339849 \h </w:instrText>
      </w:r>
      <w:r w:rsidRPr="00CA0370">
        <w:rPr>
          <w:rFonts w:ascii="Arial" w:hAnsi="Arial" w:cs="Arial"/>
          <w:sz w:val="22"/>
          <w:lang w:val="es-ES_tradnl"/>
        </w:rPr>
      </w:r>
      <w:r w:rsidRPr="00CA0370">
        <w:rPr>
          <w:rFonts w:ascii="Arial" w:hAnsi="Arial" w:cs="Arial"/>
          <w:sz w:val="22"/>
          <w:lang w:val="es-ES_tradnl"/>
        </w:rPr>
        <w:fldChar w:fldCharType="separate"/>
      </w:r>
      <w:r w:rsidRPr="00CA0370" w:rsidR="005A50B8">
        <w:rPr>
          <w:rFonts w:ascii="Arial" w:hAnsi="Arial" w:cs="Arial"/>
          <w:sz w:val="22"/>
          <w:lang w:val="es-ES_tradnl"/>
        </w:rPr>
        <w:t>8</w:t>
      </w:r>
      <w:r w:rsidRPr="00CA0370">
        <w:rPr>
          <w:rFonts w:ascii="Arial" w:hAnsi="Arial" w:cs="Arial"/>
          <w:sz w:val="22"/>
          <w:lang w:val="es-ES_tradnl"/>
        </w:rPr>
        <w:fldChar w:fldCharType="end"/>
      </w:r>
    </w:p>
    <w:p w:rsidRPr="00CA0370" w:rsidR="00085B75" w:rsidRDefault="00085B75" w14:paraId="1667239B" w14:textId="335F1ED1">
      <w:pPr>
        <w:pStyle w:val="TOC1"/>
        <w:rPr>
          <w:rFonts w:ascii="Arial" w:hAnsi="Arial" w:cs="Arial" w:eastAsiaTheme="minorEastAsia"/>
          <w:smallCaps w:val="0"/>
          <w:sz w:val="22"/>
          <w:lang w:val="es-ES_tradnl"/>
        </w:rPr>
      </w:pPr>
      <w:r w:rsidRPr="00CA0370">
        <w:rPr>
          <w:rFonts w:ascii="Arial" w:hAnsi="Arial" w:cs="Arial"/>
          <w:sz w:val="22"/>
          <w:lang w:val="es-ES_tradnl"/>
        </w:rPr>
        <w:t>III.</w:t>
      </w:r>
      <w:r w:rsidRPr="00CA0370">
        <w:rPr>
          <w:rFonts w:ascii="Arial" w:hAnsi="Arial" w:cs="Arial" w:eastAsiaTheme="minorEastAsia"/>
          <w:smallCaps w:val="0"/>
          <w:sz w:val="22"/>
          <w:lang w:val="es-ES_tradnl"/>
        </w:rPr>
        <w:tab/>
      </w:r>
      <w:r w:rsidRPr="00CA0370">
        <w:rPr>
          <w:rFonts w:ascii="Arial" w:hAnsi="Arial" w:cs="Arial"/>
          <w:sz w:val="22"/>
          <w:lang w:val="es-ES_tradnl"/>
        </w:rPr>
        <w:t xml:space="preserve">Evaluación </w:t>
      </w:r>
      <w:r w:rsidRPr="00CA0370" w:rsidR="002816A4">
        <w:rPr>
          <w:rFonts w:ascii="Arial" w:hAnsi="Arial" w:cs="Arial"/>
          <w:sz w:val="22"/>
          <w:lang w:val="es-ES_tradnl"/>
        </w:rPr>
        <w:t>costo</w:t>
      </w:r>
      <w:r w:rsidRPr="00CA0370">
        <w:rPr>
          <w:rFonts w:ascii="Arial" w:hAnsi="Arial" w:cs="Arial"/>
          <w:sz w:val="22"/>
          <w:lang w:val="es-ES_tradnl"/>
        </w:rPr>
        <w:t>-beneficio ex post</w:t>
      </w:r>
      <w:r w:rsidRPr="00CA0370">
        <w:rPr>
          <w:rFonts w:ascii="Arial" w:hAnsi="Arial" w:cs="Arial"/>
          <w:sz w:val="22"/>
          <w:lang w:val="es-ES_tradnl"/>
        </w:rPr>
        <w:tab/>
      </w:r>
      <w:r w:rsidRPr="00CA0370">
        <w:rPr>
          <w:rFonts w:ascii="Arial" w:hAnsi="Arial" w:cs="Arial"/>
          <w:sz w:val="22"/>
          <w:lang w:val="es-ES_tradnl"/>
        </w:rPr>
        <w:fldChar w:fldCharType="begin"/>
      </w:r>
      <w:r w:rsidRPr="00CA0370">
        <w:rPr>
          <w:rFonts w:ascii="Arial" w:hAnsi="Arial" w:cs="Arial"/>
          <w:sz w:val="22"/>
          <w:lang w:val="es-ES_tradnl"/>
        </w:rPr>
        <w:instrText xml:space="preserve"> PAGEREF _Toc525339850 \h </w:instrText>
      </w:r>
      <w:r w:rsidRPr="00CA0370">
        <w:rPr>
          <w:rFonts w:ascii="Arial" w:hAnsi="Arial" w:cs="Arial"/>
          <w:sz w:val="22"/>
          <w:lang w:val="es-ES_tradnl"/>
        </w:rPr>
      </w:r>
      <w:r w:rsidRPr="00CA0370">
        <w:rPr>
          <w:rFonts w:ascii="Arial" w:hAnsi="Arial" w:cs="Arial"/>
          <w:sz w:val="22"/>
          <w:lang w:val="es-ES_tradnl"/>
        </w:rPr>
        <w:fldChar w:fldCharType="separate"/>
      </w:r>
      <w:r w:rsidRPr="00CA0370" w:rsidR="005A50B8">
        <w:rPr>
          <w:rFonts w:ascii="Arial" w:hAnsi="Arial" w:cs="Arial"/>
          <w:sz w:val="22"/>
          <w:lang w:val="es-ES_tradnl"/>
        </w:rPr>
        <w:t>16</w:t>
      </w:r>
      <w:r w:rsidRPr="00CA0370">
        <w:rPr>
          <w:rFonts w:ascii="Arial" w:hAnsi="Arial" w:cs="Arial"/>
          <w:sz w:val="22"/>
          <w:lang w:val="es-ES_tradnl"/>
        </w:rPr>
        <w:fldChar w:fldCharType="end"/>
      </w:r>
    </w:p>
    <w:p w:rsidRPr="00CA0370" w:rsidR="00A9384F" w:rsidP="002F0E15" w:rsidRDefault="00A9384F" w14:paraId="0A6AF6D6" w14:textId="43E69618">
      <w:pPr>
        <w:pStyle w:val="TOC3"/>
        <w:ind w:left="540" w:hanging="540"/>
        <w:rPr>
          <w:sz w:val="22"/>
          <w:lang w:val="es-ES_tradnl"/>
        </w:rPr>
      </w:pPr>
      <w:r w:rsidRPr="00CA0370">
        <w:rPr>
          <w:rFonts w:ascii="Arial" w:hAnsi="Arial" w:cs="Arial"/>
          <w:sz w:val="22"/>
          <w:lang w:val="es-ES_tradnl"/>
        </w:rPr>
        <w:fldChar w:fldCharType="end"/>
      </w:r>
    </w:p>
    <w:p w:rsidRPr="00CA0370" w:rsidR="00111825" w:rsidRDefault="00111825" w14:paraId="448C192D" w14:textId="77777777">
      <w:pPr>
        <w:rPr>
          <w:rFonts w:ascii="Times New Roman" w:hAnsi="Times New Roman" w:cs="Times New Roman"/>
          <w:lang w:val="es-ES_tradnl"/>
        </w:rPr>
      </w:pPr>
      <w:r w:rsidRPr="00CA0370">
        <w:rPr>
          <w:lang w:val="es-ES_tradnl"/>
        </w:rPr>
        <w:br w:type="page"/>
      </w:r>
    </w:p>
    <w:p w:rsidRPr="00CA0370" w:rsidR="00A9384F" w:rsidP="002F0E15" w:rsidRDefault="00A9384F" w14:paraId="4DAEBE58" w14:textId="77777777">
      <w:pPr>
        <w:pStyle w:val="TOC3"/>
        <w:ind w:left="540" w:hanging="540"/>
        <w:rPr>
          <w:sz w:val="22"/>
          <w:lang w:val="es-ES_tradnl"/>
        </w:rPr>
        <w:sectPr w:rsidRPr="00CA0370" w:rsidR="00A9384F" w:rsidSect="00A9384F">
          <w:type w:val="continuous"/>
          <w:pgSz w:w="12240" w:h="15840" w:orient="portrait"/>
          <w:pgMar w:top="1440" w:right="1800" w:bottom="1440" w:left="1800" w:header="720" w:footer="720" w:gutter="0"/>
          <w:cols w:space="720"/>
          <w:docGrid w:linePitch="360"/>
        </w:sectPr>
      </w:pPr>
    </w:p>
    <w:p w:rsidRPr="00CA0370" w:rsidR="00A9384F" w:rsidP="002F0E15" w:rsidRDefault="00A9384F" w14:paraId="43C91E7E" w14:textId="05483F28">
      <w:pPr>
        <w:pStyle w:val="Chapter"/>
        <w:ind w:left="540" w:hanging="540"/>
        <w:rPr>
          <w:rFonts w:ascii="Arial" w:hAnsi="Arial" w:cs="Arial"/>
          <w:sz w:val="22"/>
          <w:lang w:val="es-ES_tradnl"/>
        </w:rPr>
      </w:pPr>
      <w:bookmarkStart w:name="_Toc398652545" w:id="0"/>
      <w:bookmarkStart w:name="_Toc525339846" w:id="1"/>
      <w:r w:rsidRPr="00CA0370">
        <w:rPr>
          <w:rFonts w:ascii="Arial" w:hAnsi="Arial" w:cs="Arial"/>
          <w:sz w:val="22"/>
          <w:lang w:val="es-ES_tradnl"/>
        </w:rPr>
        <w:lastRenderedPageBreak/>
        <w:t>I</w:t>
      </w:r>
      <w:r w:rsidRPr="00CA0370" w:rsidR="00365D3F">
        <w:rPr>
          <w:rFonts w:ascii="Arial" w:hAnsi="Arial" w:cs="Arial"/>
          <w:sz w:val="22"/>
          <w:lang w:val="es-ES_tradnl"/>
        </w:rPr>
        <w:t>NTRODUCCIÓN</w:t>
      </w:r>
      <w:bookmarkEnd w:id="0"/>
      <w:bookmarkEnd w:id="1"/>
    </w:p>
    <w:p w:rsidRPr="00CA0370" w:rsidR="00CA77C7" w:rsidP="002F0E15" w:rsidRDefault="00CC4CF8" w14:paraId="15A3B087" w14:textId="1B2528C4">
      <w:pPr>
        <w:pStyle w:val="Paragraph"/>
        <w:ind w:left="540" w:hanging="540"/>
        <w:rPr>
          <w:rFonts w:ascii="Arial" w:hAnsi="Arial" w:cs="Arial"/>
          <w:sz w:val="22"/>
          <w:lang w:val="es-ES_tradnl"/>
        </w:rPr>
      </w:pPr>
      <w:r w:rsidRPr="00CA0370">
        <w:rPr>
          <w:rFonts w:ascii="Arial" w:hAnsi="Arial" w:cs="Arial"/>
          <w:b/>
          <w:sz w:val="22"/>
          <w:lang w:val="es-ES_tradnl"/>
        </w:rPr>
        <w:t>Marco de la operación</w:t>
      </w:r>
      <w:r w:rsidRPr="00CA0370" w:rsidR="002816F1">
        <w:rPr>
          <w:rFonts w:ascii="Arial" w:hAnsi="Arial" w:cs="Arial"/>
          <w:b/>
          <w:sz w:val="22"/>
          <w:lang w:val="es-ES_tradnl"/>
        </w:rPr>
        <w:t>.</w:t>
      </w:r>
      <w:r w:rsidRPr="00CA0370" w:rsidR="002816F1">
        <w:rPr>
          <w:rFonts w:ascii="Arial" w:hAnsi="Arial" w:cs="Arial"/>
          <w:sz w:val="22"/>
          <w:lang w:val="es-ES_tradnl"/>
        </w:rPr>
        <w:t xml:space="preserve"> </w:t>
      </w:r>
      <w:r w:rsidRPr="00CA0370" w:rsidR="00CD7519">
        <w:rPr>
          <w:rFonts w:ascii="Arial" w:hAnsi="Arial" w:cs="Arial"/>
          <w:sz w:val="22"/>
          <w:lang w:val="es-ES_tradnl"/>
        </w:rPr>
        <w:t>Este programa es la segunda</w:t>
      </w:r>
      <w:r w:rsidRPr="00CA0370" w:rsidR="002816F1">
        <w:rPr>
          <w:rFonts w:ascii="Arial" w:hAnsi="Arial" w:cs="Arial"/>
          <w:sz w:val="22"/>
          <w:lang w:val="es-ES_tradnl"/>
        </w:rPr>
        <w:t xml:space="preserve"> operación bajo la Línea de Crédito Condicional para </w:t>
      </w:r>
      <w:r w:rsidRPr="00CA0370" w:rsidR="00365D3F">
        <w:rPr>
          <w:rFonts w:ascii="Arial" w:hAnsi="Arial" w:cs="Arial"/>
          <w:sz w:val="22"/>
          <w:lang w:val="es-ES_tradnl"/>
        </w:rPr>
        <w:t xml:space="preserve">Proyectos de Inversión (CCLIP) </w:t>
      </w:r>
      <w:r w:rsidRPr="00CA0370" w:rsidR="002816F1">
        <w:rPr>
          <w:rFonts w:ascii="Arial" w:hAnsi="Arial" w:cs="Arial"/>
          <w:sz w:val="22"/>
          <w:lang w:val="es-ES_tradnl"/>
        </w:rPr>
        <w:t>UR</w:t>
      </w:r>
      <w:r w:rsidRPr="00CA0370" w:rsidR="00BC40B0">
        <w:rPr>
          <w:rFonts w:ascii="Arial" w:hAnsi="Arial" w:cs="Arial"/>
          <w:sz w:val="22"/>
          <w:lang w:val="es-ES_tradnl"/>
        </w:rPr>
        <w:t>˗</w:t>
      </w:r>
      <w:r w:rsidRPr="00CA0370" w:rsidR="00B66C52">
        <w:rPr>
          <w:rFonts w:ascii="Arial" w:hAnsi="Arial" w:cs="Arial"/>
          <w:sz w:val="22"/>
          <w:lang w:val="es-ES_tradnl"/>
        </w:rPr>
        <w:t>X1011 para el financiamiento de proyectos de</w:t>
      </w:r>
      <w:r w:rsidRPr="00CA0370" w:rsidR="002816F1">
        <w:rPr>
          <w:rFonts w:ascii="Arial" w:hAnsi="Arial" w:cs="Arial"/>
          <w:sz w:val="22"/>
          <w:lang w:val="es-ES_tradnl"/>
        </w:rPr>
        <w:t xml:space="preserve"> desarrollo productivo, </w:t>
      </w:r>
      <w:r w:rsidRPr="00CA0370" w:rsidR="00A1529A">
        <w:rPr>
          <w:rFonts w:ascii="Arial" w:hAnsi="Arial" w:cs="Arial"/>
          <w:sz w:val="22"/>
          <w:lang w:val="es-ES_tradnl"/>
        </w:rPr>
        <w:t xml:space="preserve">que permitan </w:t>
      </w:r>
      <w:r w:rsidRPr="00CA0370" w:rsidR="002816F1">
        <w:rPr>
          <w:rFonts w:ascii="Arial" w:hAnsi="Arial" w:cs="Arial"/>
          <w:sz w:val="22"/>
          <w:lang w:val="es-ES_tradnl"/>
        </w:rPr>
        <w:t>corregir el déficit de financiamiento a largo plazo en el p</w:t>
      </w:r>
      <w:r w:rsidRPr="00CA0370" w:rsidR="00A1529A">
        <w:rPr>
          <w:rFonts w:ascii="Arial" w:hAnsi="Arial" w:cs="Arial"/>
          <w:sz w:val="22"/>
          <w:lang w:val="es-ES_tradnl"/>
        </w:rPr>
        <w:t>aís, dado que dicho déficit es</w:t>
      </w:r>
      <w:r w:rsidRPr="00CA0370" w:rsidR="002816F1">
        <w:rPr>
          <w:rFonts w:ascii="Arial" w:hAnsi="Arial" w:cs="Arial"/>
          <w:sz w:val="22"/>
          <w:lang w:val="es-ES_tradnl"/>
        </w:rPr>
        <w:t xml:space="preserve"> </w:t>
      </w:r>
      <w:r w:rsidRPr="00CA0370" w:rsidR="00B66C52">
        <w:rPr>
          <w:rFonts w:ascii="Arial" w:hAnsi="Arial" w:cs="Arial"/>
          <w:sz w:val="22"/>
          <w:lang w:val="es-ES_tradnl"/>
        </w:rPr>
        <w:t>considerado uno de los principales obstáculos para</w:t>
      </w:r>
      <w:r w:rsidRPr="00CA0370" w:rsidR="002816F1">
        <w:rPr>
          <w:rFonts w:ascii="Arial" w:hAnsi="Arial" w:cs="Arial"/>
          <w:sz w:val="22"/>
          <w:lang w:val="es-ES_tradnl"/>
        </w:rPr>
        <w:t xml:space="preserve"> la ca</w:t>
      </w:r>
      <w:r w:rsidRPr="00CA0370" w:rsidR="00B66C52">
        <w:rPr>
          <w:rFonts w:ascii="Arial" w:hAnsi="Arial" w:cs="Arial"/>
          <w:sz w:val="22"/>
          <w:lang w:val="es-ES_tradnl"/>
        </w:rPr>
        <w:t>pitalización de la economía y el</w:t>
      </w:r>
      <w:r w:rsidRPr="00CA0370" w:rsidR="002816F1">
        <w:rPr>
          <w:rFonts w:ascii="Arial" w:hAnsi="Arial" w:cs="Arial"/>
          <w:sz w:val="22"/>
          <w:lang w:val="es-ES_tradnl"/>
        </w:rPr>
        <w:t xml:space="preserve"> crecimiento de la productividad.</w:t>
      </w:r>
      <w:r w:rsidRPr="00CA0370" w:rsidR="00CD7519">
        <w:rPr>
          <w:rFonts w:ascii="Arial" w:hAnsi="Arial" w:cs="Arial"/>
          <w:sz w:val="22"/>
          <w:lang w:val="es-ES_tradnl"/>
        </w:rPr>
        <w:t xml:space="preserve"> Este segundo</w:t>
      </w:r>
      <w:r w:rsidRPr="00CA0370" w:rsidR="00A1529A">
        <w:rPr>
          <w:rFonts w:ascii="Arial" w:hAnsi="Arial" w:cs="Arial"/>
          <w:sz w:val="22"/>
          <w:lang w:val="es-ES_tradnl"/>
        </w:rPr>
        <w:t xml:space="preserve"> programa provee financiación</w:t>
      </w:r>
      <w:r w:rsidRPr="00CA0370" w:rsidR="002816F1">
        <w:rPr>
          <w:rFonts w:ascii="Arial" w:hAnsi="Arial" w:cs="Arial"/>
          <w:sz w:val="22"/>
          <w:lang w:val="es-ES_tradnl"/>
        </w:rPr>
        <w:t xml:space="preserve"> de mediano y largo plazo al Banco de la República Oriental del Uruguay (BROU)</w:t>
      </w:r>
      <w:r w:rsidRPr="00CA0370" w:rsidR="00CA77C7">
        <w:rPr>
          <w:rFonts w:ascii="Arial" w:hAnsi="Arial" w:cs="Arial"/>
          <w:sz w:val="22"/>
          <w:lang w:val="es-ES_tradnl"/>
        </w:rPr>
        <w:t xml:space="preserve">, prestatario y organismo ejecutor, dirigido a financiar áreas estratégicas para el desarrollo productivo. </w:t>
      </w:r>
    </w:p>
    <w:p w:rsidRPr="00CA0370" w:rsidR="00691F7C" w:rsidP="00691F7C" w:rsidRDefault="00CC4CF8" w14:paraId="553CFF34" w14:textId="4D045358">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b/>
          <w:sz w:val="22"/>
          <w:lang w:val="es-ES_tradnl"/>
        </w:rPr>
        <w:t>Focalización esperada.</w:t>
      </w:r>
      <w:r w:rsidRPr="00CA0370">
        <w:rPr>
          <w:rFonts w:ascii="Arial" w:hAnsi="Arial" w:cs="Arial"/>
          <w:sz w:val="22"/>
          <w:lang w:val="es-ES_tradnl"/>
        </w:rPr>
        <w:t xml:space="preserve"> </w:t>
      </w:r>
      <w:r w:rsidRPr="00CA0370" w:rsidR="00691F7C">
        <w:rPr>
          <w:rFonts w:ascii="Arial" w:hAnsi="Arial" w:cs="Arial"/>
          <w:color w:val="000000" w:themeColor="text1"/>
          <w:sz w:val="22"/>
          <w:lang w:val="es-ES_tradnl"/>
        </w:rPr>
        <w:t xml:space="preserve">El objetivo general de la operación es </w:t>
      </w:r>
      <w:bookmarkStart w:name="_Hlk528143211" w:id="2"/>
      <w:r w:rsidRPr="00CA0370" w:rsidR="00691F7C">
        <w:rPr>
          <w:rFonts w:ascii="Arial" w:hAnsi="Arial" w:cs="Arial"/>
          <w:color w:val="000000" w:themeColor="text1"/>
          <w:sz w:val="22"/>
          <w:lang w:val="es-ES_tradnl"/>
        </w:rPr>
        <w:t>promover la inversión en infraestructuras y la inversión productiva de empresas, mediante la provisión de financiamiento de mediano y largo plazo a través del BROU.</w:t>
      </w:r>
    </w:p>
    <w:p w:rsidRPr="00CA0370" w:rsidR="00691F7C" w:rsidP="00691F7C" w:rsidRDefault="00691F7C" w14:paraId="3A35AAF1" w14:textId="77777777">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color w:val="000000" w:themeColor="text1"/>
          <w:sz w:val="22"/>
          <w:lang w:val="es-ES_tradnl"/>
        </w:rPr>
        <w:t>Los objetivos específicos son: (i) facilitar inversiones de crédito productivo para empresas agroforestales; y (ii) posibilitar inversiones de infraestructura productiva privada o público-privada.</w:t>
      </w:r>
    </w:p>
    <w:bookmarkEnd w:id="2"/>
    <w:p w:rsidRPr="00CA0370" w:rsidR="00210ADE" w:rsidP="00333FBE" w:rsidRDefault="002C682E" w14:paraId="3E7B75C1" w14:textId="095FFDC5">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color w:val="000000" w:themeColor="text1"/>
          <w:sz w:val="22"/>
          <w:lang w:val="es-ES_tradnl"/>
        </w:rPr>
        <w:t>La CCLIP brinda al prestatario un instrumento eficaz en la preparación y aprobación de préstamos para poder obtener recursos y dar continuidad a su programa de financiamiento. E</w:t>
      </w:r>
      <w:r w:rsidRPr="00CA0370" w:rsidR="00FF2B17">
        <w:rPr>
          <w:rFonts w:ascii="Arial" w:hAnsi="Arial" w:cs="Arial"/>
          <w:color w:val="000000" w:themeColor="text1"/>
          <w:sz w:val="22"/>
          <w:lang w:val="es-ES_tradnl"/>
        </w:rPr>
        <w:t>l</w:t>
      </w:r>
      <w:r w:rsidRPr="00CA0370">
        <w:rPr>
          <w:rFonts w:ascii="Arial" w:hAnsi="Arial" w:cs="Arial"/>
          <w:color w:val="000000" w:themeColor="text1"/>
          <w:sz w:val="22"/>
          <w:lang w:val="es-ES_tradnl"/>
        </w:rPr>
        <w:t xml:space="preserve"> primer programa bajo la CCLIP </w:t>
      </w:r>
      <w:r w:rsidRPr="00CA0370" w:rsidR="009A4FDE">
        <w:rPr>
          <w:rFonts w:ascii="Arial" w:hAnsi="Arial" w:cs="Arial"/>
          <w:color w:val="000000" w:themeColor="text1"/>
          <w:sz w:val="22"/>
          <w:lang w:val="es-ES_tradnl"/>
        </w:rPr>
        <w:t>ha focalizado</w:t>
      </w:r>
      <w:r w:rsidRPr="00CA0370">
        <w:rPr>
          <w:rFonts w:ascii="Arial" w:hAnsi="Arial" w:cs="Arial"/>
          <w:color w:val="000000" w:themeColor="text1"/>
          <w:sz w:val="22"/>
          <w:lang w:val="es-ES_tradnl"/>
        </w:rPr>
        <w:t xml:space="preserve"> los recursos en dos objetivos específicos: (i) facilitar inversiones en plantas de generación eléctrica a partir de energías renovables mediante la provisión de financiamiento a medio y largo plazo, a fin de contribuir a la diversificación de la matriz energética del Uruguay y reducir las emisiones de CO</w:t>
      </w:r>
      <w:r w:rsidRPr="00CA0370">
        <w:rPr>
          <w:rFonts w:ascii="Arial" w:hAnsi="Arial" w:cs="Arial"/>
          <w:color w:val="000000" w:themeColor="text1"/>
          <w:sz w:val="22"/>
          <w:vertAlign w:val="subscript"/>
          <w:lang w:val="es-ES_tradnl"/>
        </w:rPr>
        <w:t>2</w:t>
      </w:r>
      <w:r w:rsidRPr="00CA0370" w:rsidR="002816A4">
        <w:rPr>
          <w:rFonts w:ascii="Arial" w:hAnsi="Arial" w:cs="Arial"/>
          <w:color w:val="000000" w:themeColor="text1"/>
          <w:sz w:val="22"/>
          <w:lang w:val="es-ES_tradnl"/>
        </w:rPr>
        <w:t xml:space="preserve">; </w:t>
      </w:r>
      <w:r w:rsidRPr="00CA0370" w:rsidR="00AB67B5">
        <w:rPr>
          <w:rFonts w:ascii="Arial" w:hAnsi="Arial" w:cs="Arial"/>
          <w:color w:val="000000" w:themeColor="text1"/>
          <w:sz w:val="22"/>
          <w:lang w:val="es-ES_tradnl"/>
        </w:rPr>
        <w:t xml:space="preserve">y </w:t>
      </w:r>
      <w:r w:rsidRPr="00CA0370" w:rsidR="002816A4">
        <w:rPr>
          <w:rFonts w:ascii="Arial" w:hAnsi="Arial" w:cs="Arial"/>
          <w:color w:val="000000" w:themeColor="text1"/>
          <w:sz w:val="22"/>
          <w:lang w:val="es-ES_tradnl"/>
        </w:rPr>
        <w:t>(ii) </w:t>
      </w:r>
      <w:r w:rsidRPr="00CA0370">
        <w:rPr>
          <w:rFonts w:ascii="Arial" w:hAnsi="Arial" w:cs="Arial"/>
          <w:color w:val="000000" w:themeColor="text1"/>
          <w:sz w:val="22"/>
          <w:lang w:val="es-ES_tradnl"/>
        </w:rPr>
        <w:t>posibilitar inversiones en proyectos en el sector agropecuario, a fin de incrementar la productividad, mediante la provisión de financiamiento de mediano y largo plazo</w:t>
      </w:r>
      <w:r w:rsidRPr="00CA0370" w:rsidR="00A074D9">
        <w:rPr>
          <w:rFonts w:ascii="Arial" w:hAnsi="Arial" w:cs="Arial"/>
          <w:color w:val="000000" w:themeColor="text1"/>
          <w:sz w:val="22"/>
          <w:lang w:val="es-ES_tradnl"/>
        </w:rPr>
        <w:t xml:space="preserve">. </w:t>
      </w:r>
      <w:r w:rsidRPr="00CA0370" w:rsidR="009A4FDE">
        <w:rPr>
          <w:rFonts w:ascii="Arial" w:hAnsi="Arial" w:cs="Arial"/>
          <w:color w:val="000000" w:themeColor="text1"/>
          <w:sz w:val="22"/>
          <w:lang w:val="es-ES_tradnl"/>
        </w:rPr>
        <w:t>En este segundo programa</w:t>
      </w:r>
      <w:r w:rsidRPr="00CA0370" w:rsidR="00FF2B17">
        <w:rPr>
          <w:rFonts w:ascii="Arial" w:hAnsi="Arial" w:cs="Arial"/>
          <w:color w:val="000000" w:themeColor="text1"/>
          <w:sz w:val="22"/>
          <w:lang w:val="es-ES_tradnl"/>
        </w:rPr>
        <w:t xml:space="preserve"> se </w:t>
      </w:r>
      <w:r w:rsidRPr="00CA0370" w:rsidR="009A4FDE">
        <w:rPr>
          <w:rFonts w:ascii="Arial" w:hAnsi="Arial" w:cs="Arial"/>
          <w:color w:val="000000" w:themeColor="text1"/>
          <w:sz w:val="22"/>
          <w:lang w:val="es-ES_tradnl"/>
        </w:rPr>
        <w:t>pretende</w:t>
      </w:r>
      <w:r w:rsidRPr="00CA0370" w:rsidR="00FF2B17">
        <w:rPr>
          <w:rFonts w:ascii="Arial" w:hAnsi="Arial" w:cs="Arial"/>
          <w:color w:val="000000" w:themeColor="text1"/>
          <w:sz w:val="22"/>
          <w:lang w:val="es-ES_tradnl"/>
        </w:rPr>
        <w:t xml:space="preserve"> continuar con la focalización de recursos en el sector </w:t>
      </w:r>
      <w:r w:rsidRPr="00CA0370" w:rsidR="00B0051B">
        <w:rPr>
          <w:rFonts w:ascii="Arial" w:hAnsi="Arial" w:cs="Arial"/>
          <w:color w:val="000000" w:themeColor="text1"/>
          <w:sz w:val="22"/>
          <w:lang w:val="es-ES_tradnl"/>
        </w:rPr>
        <w:t>agroindustrial especialmente en el agroforestal</w:t>
      </w:r>
      <w:r w:rsidRPr="00CA0370" w:rsidR="00FF2B17">
        <w:rPr>
          <w:rFonts w:ascii="Arial" w:hAnsi="Arial" w:cs="Arial"/>
          <w:color w:val="000000" w:themeColor="text1"/>
          <w:sz w:val="22"/>
          <w:lang w:val="es-ES_tradnl"/>
        </w:rPr>
        <w:t xml:space="preserve"> y extenderla también </w:t>
      </w:r>
      <w:r w:rsidRPr="00CA0370" w:rsidR="00B0051B">
        <w:rPr>
          <w:rFonts w:ascii="Arial" w:hAnsi="Arial" w:cs="Arial"/>
          <w:color w:val="000000" w:themeColor="text1"/>
          <w:sz w:val="22"/>
          <w:lang w:val="es-ES_tradnl"/>
        </w:rPr>
        <w:t xml:space="preserve">a infraestructura productiva (carreteras, </w:t>
      </w:r>
      <w:r w:rsidRPr="00CA0370" w:rsidR="00646F5E">
        <w:rPr>
          <w:rFonts w:ascii="Arial" w:hAnsi="Arial" w:cs="Arial"/>
          <w:color w:val="000000" w:themeColor="text1"/>
          <w:sz w:val="22"/>
          <w:lang w:val="es-ES_tradnl"/>
        </w:rPr>
        <w:t>ferrocarril, etc</w:t>
      </w:r>
      <w:r w:rsidRPr="00CA0370" w:rsidR="00FF2B17">
        <w:rPr>
          <w:rFonts w:ascii="Arial" w:hAnsi="Arial" w:cs="Arial"/>
          <w:color w:val="000000" w:themeColor="text1"/>
          <w:sz w:val="22"/>
          <w:lang w:val="es-ES_tradnl"/>
        </w:rPr>
        <w:t>),</w:t>
      </w:r>
      <w:r w:rsidRPr="00CA0370" w:rsidR="008D5D30">
        <w:rPr>
          <w:rFonts w:ascii="Arial" w:hAnsi="Arial" w:cs="Arial"/>
          <w:color w:val="000000" w:themeColor="text1"/>
          <w:sz w:val="22"/>
          <w:lang w:val="es-ES_tradnl"/>
        </w:rPr>
        <w:t xml:space="preserve"> a fin de incrementar la productividad, exportaciones y la calidad de la infraestructura productiva,</w:t>
      </w:r>
      <w:r w:rsidRPr="00CA0370" w:rsidR="00FF2B17">
        <w:rPr>
          <w:rFonts w:ascii="Arial" w:hAnsi="Arial" w:cs="Arial"/>
          <w:color w:val="000000" w:themeColor="text1"/>
          <w:sz w:val="22"/>
          <w:lang w:val="es-ES_tradnl"/>
        </w:rPr>
        <w:t xml:space="preserve"> siendo sus dos objetivos específicos: </w:t>
      </w:r>
      <w:r w:rsidRPr="00CA0370" w:rsidR="00AB67B5">
        <w:rPr>
          <w:rFonts w:ascii="Arial" w:hAnsi="Arial" w:cs="Arial"/>
          <w:color w:val="000000" w:themeColor="text1"/>
          <w:sz w:val="22"/>
          <w:lang w:val="es-ES_tradnl"/>
        </w:rPr>
        <w:t>(</w:t>
      </w:r>
      <w:r w:rsidRPr="00CA0370" w:rsidR="00BC40B0">
        <w:rPr>
          <w:rFonts w:ascii="Arial" w:hAnsi="Arial" w:cs="Arial"/>
          <w:color w:val="000000" w:themeColor="text1"/>
          <w:sz w:val="22"/>
          <w:lang w:val="es-ES_tradnl"/>
        </w:rPr>
        <w:t>i) facilitar inversiones de crédito productivo para empresas agroforestales (y de sectores asociados); y (ii) posibilitar inversiones de infraestructura productiva privada</w:t>
      </w:r>
      <w:r w:rsidRPr="00CA0370" w:rsidR="006D5722">
        <w:rPr>
          <w:rFonts w:ascii="Arial" w:hAnsi="Arial" w:cs="Arial"/>
          <w:color w:val="000000" w:themeColor="text1"/>
          <w:sz w:val="22"/>
          <w:lang w:val="es-ES_tradnl"/>
        </w:rPr>
        <w:t xml:space="preserve"> o público privada</w:t>
      </w:r>
      <w:r w:rsidRPr="00CA0370" w:rsidR="00BC40B0">
        <w:rPr>
          <w:rFonts w:ascii="Arial" w:hAnsi="Arial" w:cs="Arial"/>
          <w:color w:val="000000" w:themeColor="text1"/>
          <w:sz w:val="22"/>
          <w:lang w:val="es-ES_tradnl"/>
        </w:rPr>
        <w:t>.</w:t>
      </w:r>
    </w:p>
    <w:p w:rsidRPr="00CA0370" w:rsidR="002C1A63" w:rsidP="00CA0370" w:rsidRDefault="002C1A63" w14:paraId="37B5ADEF" w14:textId="77777777">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b/>
          <w:color w:val="000000" w:themeColor="text1"/>
          <w:sz w:val="22"/>
          <w:lang w:val="es-ES_tradnl"/>
        </w:rPr>
        <w:t xml:space="preserve">Componente I. </w:t>
      </w:r>
      <w:bookmarkStart w:name="_Hlk528144136" w:id="3"/>
      <w:r w:rsidRPr="00CA0370">
        <w:rPr>
          <w:rFonts w:ascii="Arial" w:hAnsi="Arial" w:cs="Arial"/>
          <w:b/>
          <w:color w:val="000000" w:themeColor="text1"/>
          <w:sz w:val="22"/>
          <w:lang w:val="es-ES_tradnl"/>
        </w:rPr>
        <w:t>Financiamiento para préstamos de inversión productiva agroforestales a través del BROU (aproximadamente US$15 millones).</w:t>
      </w:r>
      <w:r w:rsidRPr="00CA0370">
        <w:rPr>
          <w:rFonts w:ascii="Arial" w:hAnsi="Arial" w:cs="Arial"/>
          <w:color w:val="000000" w:themeColor="text1"/>
          <w:sz w:val="22"/>
          <w:lang w:val="es-ES_tradnl"/>
        </w:rPr>
        <w:t xml:space="preserve"> Este componente estará dirigido a fondear al BROU para financiar préstamos de inversión productiva de medio y largo plazo para empresas agroforestales. </w:t>
      </w:r>
      <w:bookmarkEnd w:id="3"/>
      <w:r w:rsidRPr="00CA0370">
        <w:rPr>
          <w:rFonts w:ascii="Arial" w:hAnsi="Arial" w:cs="Arial"/>
          <w:color w:val="000000" w:themeColor="text1"/>
          <w:sz w:val="22"/>
          <w:lang w:val="es-ES_tradnl"/>
        </w:rPr>
        <w:t xml:space="preserve">Se financiarán por tanto actividades productivas que requieran inversión de mediano y largo plazo. Entre las actividades elegibles para financiamiento podrán incluir inversiones para la mejora de la productividad de las empresas agroforestales, tales </w:t>
      </w:r>
      <w:r w:rsidRPr="00CA0370">
        <w:rPr>
          <w:rFonts w:ascii="Arial" w:hAnsi="Arial" w:cs="Arial"/>
          <w:color w:val="000000" w:themeColor="text1"/>
          <w:sz w:val="22"/>
          <w:lang w:val="es-ES_tradnl"/>
        </w:rPr>
        <w:lastRenderedPageBreak/>
        <w:t>como compra de tierras, bienes de equipo y maquinaria, vehículos de carga, entre otros</w:t>
      </w:r>
      <w:r w:rsidRPr="00CA0370">
        <w:rPr>
          <w:color w:val="000000" w:themeColor="text1"/>
          <w:lang w:val="es-ES_tradnl"/>
        </w:rPr>
        <w:footnoteReference w:id="2"/>
      </w:r>
      <w:r w:rsidRPr="00CA0370">
        <w:rPr>
          <w:rFonts w:ascii="Arial" w:hAnsi="Arial" w:cs="Arial"/>
          <w:color w:val="000000" w:themeColor="text1"/>
          <w:sz w:val="22"/>
          <w:lang w:val="es-ES_tradnl"/>
        </w:rPr>
        <w:t>.</w:t>
      </w:r>
    </w:p>
    <w:p w:rsidRPr="00CA0370" w:rsidR="002C1A63" w:rsidP="00CA0370" w:rsidRDefault="002C1A63" w14:paraId="4FDE88C2" w14:textId="53F1DE23">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color w:val="000000" w:themeColor="text1"/>
          <w:sz w:val="22"/>
          <w:lang w:val="es-ES_tradnl"/>
        </w:rPr>
        <w:t>Criterios de Elegibilidad para el Componente I. Para el Componente I serán elegibles las empresas en el ámbito del sector agroforestal primario en tierras forestadas que cumplan con los Principios de Ecuador y/o la Ley Forestal Nº 15.939 que establece la prohibición de la tala de bosques nativos</w:t>
      </w:r>
      <w:r w:rsidRPr="00CA0370">
        <w:rPr>
          <w:rFonts w:ascii="Arial" w:hAnsi="Arial" w:cs="Arial"/>
          <w:color w:val="000000" w:themeColor="text1"/>
          <w:sz w:val="22"/>
          <w:lang w:val="es-ES_tradnl"/>
        </w:rPr>
        <w:footnoteReference w:id="3"/>
      </w:r>
      <w:r w:rsidRPr="00CA0370">
        <w:rPr>
          <w:rFonts w:ascii="Arial" w:hAnsi="Arial" w:cs="Arial"/>
          <w:color w:val="000000" w:themeColor="text1"/>
          <w:sz w:val="22"/>
          <w:lang w:val="es-ES_tradnl"/>
        </w:rPr>
        <w:t xml:space="preserve"> </w:t>
      </w:r>
      <w:r w:rsidRPr="00CA0370" w:rsidR="00CA0370">
        <w:rPr>
          <w:rFonts w:ascii="Arial" w:hAnsi="Arial" w:cs="Arial"/>
          <w:color w:val="000000" w:themeColor="text1"/>
          <w:sz w:val="22"/>
          <w:lang w:val="es-ES_tradnl"/>
        </w:rPr>
        <w:t>y las</w:t>
      </w:r>
      <w:r w:rsidRPr="00CA0370">
        <w:rPr>
          <w:rFonts w:ascii="Arial" w:hAnsi="Arial" w:cs="Arial"/>
          <w:color w:val="000000" w:themeColor="text1"/>
          <w:sz w:val="22"/>
          <w:lang w:val="es-ES_tradnl"/>
        </w:rPr>
        <w:t xml:space="preserve"> industrias asociadas a la cadena agroforestal en fases de producción, comercialización y servicios</w:t>
      </w:r>
      <w:r w:rsidRPr="00CA0370">
        <w:rPr>
          <w:rFonts w:ascii="Arial" w:hAnsi="Arial" w:cs="Arial"/>
          <w:color w:val="000000" w:themeColor="text1"/>
          <w:sz w:val="22"/>
          <w:lang w:val="es-ES_tradnl"/>
        </w:rPr>
        <w:footnoteReference w:id="4"/>
      </w:r>
      <w:r w:rsidRPr="00CA0370">
        <w:rPr>
          <w:rFonts w:ascii="Arial" w:hAnsi="Arial" w:cs="Arial"/>
          <w:color w:val="000000" w:themeColor="text1"/>
          <w:sz w:val="22"/>
          <w:lang w:val="es-ES_tradnl"/>
        </w:rPr>
        <w:t xml:space="preserve">.(Ver el ROP). </w:t>
      </w:r>
    </w:p>
    <w:p w:rsidRPr="00CA0370" w:rsidR="002C1A63" w:rsidP="00CA0370" w:rsidRDefault="002C1A63" w14:paraId="273159A3" w14:textId="77777777">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b/>
          <w:color w:val="000000" w:themeColor="text1"/>
          <w:sz w:val="22"/>
          <w:lang w:val="es-ES_tradnl"/>
        </w:rPr>
        <w:t xml:space="preserve">Componente II. </w:t>
      </w:r>
      <w:bookmarkStart w:name="_Hlk528144908" w:id="4"/>
      <w:bookmarkStart w:name="_Hlk528144198" w:id="5"/>
      <w:r w:rsidRPr="00CA0370">
        <w:rPr>
          <w:rFonts w:ascii="Arial" w:hAnsi="Arial" w:cs="Arial"/>
          <w:b/>
          <w:color w:val="000000" w:themeColor="text1"/>
          <w:sz w:val="22"/>
          <w:lang w:val="es-ES_tradnl"/>
        </w:rPr>
        <w:t>Financiamiento para obras de infraestructura productiva privada y/o pública</w:t>
      </w:r>
      <w:bookmarkEnd w:id="4"/>
      <w:r w:rsidRPr="00CA0370">
        <w:rPr>
          <w:rFonts w:ascii="Arial" w:hAnsi="Arial" w:cs="Arial"/>
          <w:b/>
          <w:color w:val="000000" w:themeColor="text1"/>
          <w:sz w:val="22"/>
          <w:lang w:val="es-ES_tradnl"/>
        </w:rPr>
        <w:t>-privada (aproximadamente US$35 millones).</w:t>
      </w:r>
      <w:r w:rsidRPr="00CA0370">
        <w:rPr>
          <w:rFonts w:ascii="Arial" w:hAnsi="Arial" w:cs="Arial"/>
          <w:color w:val="000000" w:themeColor="text1"/>
          <w:sz w:val="22"/>
          <w:lang w:val="es-ES_tradnl"/>
        </w:rPr>
        <w:t xml:space="preserve"> Este componente estará dirigido a financiar </w:t>
      </w:r>
      <w:bookmarkStart w:name="_Hlk528145159" w:id="6"/>
      <w:r w:rsidRPr="00CA0370">
        <w:rPr>
          <w:rFonts w:ascii="Arial" w:hAnsi="Arial" w:cs="Arial"/>
          <w:color w:val="000000" w:themeColor="text1"/>
          <w:sz w:val="22"/>
          <w:lang w:val="es-ES_tradnl"/>
        </w:rPr>
        <w:t xml:space="preserve">operaciones infraestructura productiva que serán financiados a través de esquemas de las PPP, concesiones u otras estructuras financieras. </w:t>
      </w:r>
      <w:bookmarkEnd w:id="5"/>
      <w:bookmarkEnd w:id="6"/>
    </w:p>
    <w:p w:rsidRPr="00CA0370" w:rsidR="002C1A63" w:rsidP="00CA0370" w:rsidRDefault="002C1A63" w14:paraId="2B488FEB" w14:textId="77777777">
      <w:pPr>
        <w:pStyle w:val="Paragraph"/>
        <w:tabs>
          <w:tab w:val="clear" w:pos="2448"/>
          <w:tab w:val="num" w:pos="720"/>
        </w:tabs>
        <w:ind w:left="540" w:hanging="540"/>
        <w:rPr>
          <w:rFonts w:ascii="Arial" w:hAnsi="Arial" w:cs="Arial"/>
          <w:color w:val="000000" w:themeColor="text1"/>
          <w:sz w:val="22"/>
          <w:lang w:val="es-ES_tradnl"/>
        </w:rPr>
      </w:pPr>
      <w:r w:rsidRPr="00CA0370">
        <w:rPr>
          <w:rFonts w:ascii="Arial" w:hAnsi="Arial" w:cs="Arial"/>
          <w:color w:val="000000" w:themeColor="text1"/>
          <w:sz w:val="22"/>
          <w:lang w:val="es-ES_tradnl"/>
        </w:rPr>
        <w:t>Criterios de Elegibilidad para el Componente II. Las inversiones de este componente financiarán obras de infraestructura en el sector de transporte y logística, incluyendo, entre otros, proyectos viales, ferroviarios o de puertos</w:t>
      </w:r>
      <w:r w:rsidRPr="00CA0370">
        <w:rPr>
          <w:color w:val="000000" w:themeColor="text1"/>
          <w:lang w:val="es-ES_tradnl"/>
        </w:rPr>
        <w:footnoteReference w:id="5"/>
      </w:r>
      <w:r w:rsidRPr="00CA0370">
        <w:rPr>
          <w:rFonts w:ascii="Arial" w:hAnsi="Arial" w:cs="Arial"/>
          <w:color w:val="000000" w:themeColor="text1"/>
          <w:sz w:val="22"/>
          <w:lang w:val="es-ES_tradnl"/>
        </w:rPr>
        <w:t xml:space="preserve">. Dado el tamaño de las inversiones en relación con el aporte del BROU no se establece un tope de monto de financiación, pero se podrán realizar inversiones en proyectos cofinanciados junto a otras entidades financieras (ver el </w:t>
      </w:r>
      <w:hyperlink w:history="1" r:id="rId10">
        <w:r w:rsidRPr="00CA0370">
          <w:rPr>
            <w:color w:val="000000" w:themeColor="text1"/>
            <w:sz w:val="22"/>
            <w:lang w:val="es-ES_tradnl"/>
          </w:rPr>
          <w:t>ROP</w:t>
        </w:r>
      </w:hyperlink>
      <w:r w:rsidRPr="00CA0370">
        <w:rPr>
          <w:color w:val="000000" w:themeColor="text1"/>
          <w:sz w:val="22"/>
          <w:lang w:val="es-ES_tradnl"/>
        </w:rPr>
        <w:t>)</w:t>
      </w:r>
      <w:r w:rsidRPr="00CA0370">
        <w:rPr>
          <w:rFonts w:ascii="Arial" w:hAnsi="Arial" w:cs="Arial"/>
          <w:color w:val="000000" w:themeColor="text1"/>
          <w:sz w:val="22"/>
          <w:lang w:val="es-ES_tradnl"/>
        </w:rPr>
        <w:t>. Se podrá estructurar diversos instrumentos financieros o esquemas de financiamiento que promuevan el apalancamiento de recursos de las obras asociadas tales como garantías, y/o esquemas de financiación estructurada, entre otros</w:t>
      </w:r>
      <w:r w:rsidRPr="00CA0370">
        <w:rPr>
          <w:color w:val="000000" w:themeColor="text1"/>
          <w:lang w:val="es-ES_tradnl"/>
        </w:rPr>
        <w:footnoteReference w:id="6"/>
      </w:r>
      <w:r w:rsidRPr="00CA0370">
        <w:rPr>
          <w:rFonts w:ascii="Arial" w:hAnsi="Arial" w:cs="Arial"/>
          <w:color w:val="000000" w:themeColor="text1"/>
          <w:sz w:val="22"/>
          <w:lang w:val="es-ES_tradnl"/>
        </w:rPr>
        <w:t>. Para ello, el Banco se encuentra procesando la aprobación de CT de Apoyo al Fortalecimiento Institucional del BROU (</w:t>
      </w:r>
      <w:hyperlink w:history="1" r:id="rId11">
        <w:r w:rsidRPr="00CA0370">
          <w:rPr>
            <w:color w:val="000000" w:themeColor="text1"/>
            <w:lang w:val="es-ES_tradnl"/>
          </w:rPr>
          <w:t>UR-T1181</w:t>
        </w:r>
      </w:hyperlink>
      <w:r w:rsidRPr="00CA0370">
        <w:rPr>
          <w:rFonts w:ascii="Arial" w:hAnsi="Arial" w:cs="Arial"/>
          <w:color w:val="000000" w:themeColor="text1"/>
          <w:sz w:val="22"/>
          <w:lang w:val="es-ES_tradnl"/>
        </w:rPr>
        <w:t>) que apoyará al BROU en la estructuración de un área que se dedique a la financiación de proyectos de las PPP y que servirá para apoyar el desarrollo de los mecanismos e instrumentos financieros que se utilicen en la ejecución del segundo componente. En conjunto con la Unidad de PPP del BID se está realizando un plan de capacitación de la Unidad de PPP del BROU con el fin de fortalecer la capacidad de análisis financiero de los proyectos.</w:t>
      </w:r>
    </w:p>
    <w:p w:rsidRPr="00CA0370" w:rsidR="00336549" w:rsidP="00210ADE" w:rsidRDefault="00336549" w14:paraId="0218D562" w14:textId="784AD704">
      <w:pPr>
        <w:pStyle w:val="Paragraph"/>
        <w:ind w:left="540" w:hanging="540"/>
        <w:rPr>
          <w:rFonts w:ascii="Arial" w:hAnsi="Arial" w:cs="Arial"/>
          <w:sz w:val="22"/>
          <w:lang w:val="es-ES_tradnl"/>
        </w:rPr>
      </w:pPr>
      <w:r w:rsidRPr="00CA0370">
        <w:rPr>
          <w:rFonts w:ascii="Arial" w:hAnsi="Arial" w:cs="Arial"/>
          <w:b/>
          <w:sz w:val="22"/>
          <w:lang w:val="es-ES_tradnl"/>
        </w:rPr>
        <w:t>Parámetros generales del programa.</w:t>
      </w:r>
      <w:r w:rsidRPr="00CA0370">
        <w:rPr>
          <w:rFonts w:ascii="Arial" w:hAnsi="Arial" w:cs="Arial"/>
          <w:sz w:val="22"/>
          <w:lang w:val="es-ES_tradnl"/>
        </w:rPr>
        <w:t xml:space="preserve"> El primer programa </w:t>
      </w:r>
      <w:r w:rsidRPr="00CA0370" w:rsidR="00035583">
        <w:rPr>
          <w:rFonts w:ascii="Arial" w:hAnsi="Arial" w:cs="Arial"/>
          <w:sz w:val="22"/>
          <w:lang w:val="es-ES_tradnl"/>
        </w:rPr>
        <w:t xml:space="preserve">ascendió </w:t>
      </w:r>
      <w:r w:rsidRPr="00CA0370">
        <w:rPr>
          <w:rFonts w:ascii="Arial" w:hAnsi="Arial" w:cs="Arial"/>
          <w:sz w:val="22"/>
          <w:lang w:val="es-ES_tradnl"/>
        </w:rPr>
        <w:t xml:space="preserve">a </w:t>
      </w:r>
      <w:r w:rsidRPr="00CA0370" w:rsidR="003E19A7">
        <w:rPr>
          <w:rFonts w:ascii="Arial" w:hAnsi="Arial" w:cs="Arial"/>
          <w:sz w:val="22"/>
          <w:lang w:val="es-ES_tradnl"/>
        </w:rPr>
        <w:t>US$</w:t>
      </w:r>
      <w:r w:rsidRPr="00CA0370">
        <w:rPr>
          <w:rFonts w:ascii="Arial" w:hAnsi="Arial" w:cs="Arial"/>
          <w:sz w:val="22"/>
          <w:lang w:val="es-ES_tradnl"/>
        </w:rPr>
        <w:t>125</w:t>
      </w:r>
      <w:r w:rsidRPr="00CA0370" w:rsidR="003E19A7">
        <w:rPr>
          <w:rFonts w:ascii="Arial" w:hAnsi="Arial" w:cs="Arial"/>
          <w:sz w:val="22"/>
          <w:lang w:val="es-ES_tradnl"/>
        </w:rPr>
        <w:t> </w:t>
      </w:r>
      <w:r w:rsidRPr="00CA0370">
        <w:rPr>
          <w:rFonts w:ascii="Arial" w:hAnsi="Arial" w:cs="Arial"/>
          <w:sz w:val="22"/>
          <w:lang w:val="es-ES_tradnl"/>
        </w:rPr>
        <w:t xml:space="preserve">millones, con un período de desembolso de </w:t>
      </w:r>
      <w:r w:rsidRPr="00CA0370" w:rsidR="003E19A7">
        <w:rPr>
          <w:rFonts w:ascii="Arial" w:hAnsi="Arial" w:cs="Arial"/>
          <w:sz w:val="22"/>
          <w:lang w:val="es-ES_tradnl"/>
        </w:rPr>
        <w:t>cuatro</w:t>
      </w:r>
      <w:r w:rsidRPr="00CA0370">
        <w:rPr>
          <w:rFonts w:ascii="Arial" w:hAnsi="Arial" w:cs="Arial"/>
          <w:sz w:val="22"/>
          <w:lang w:val="es-ES_tradnl"/>
        </w:rPr>
        <w:t xml:space="preserve"> años, siendo el prestatario y organismo ejecutor el Banco de la República Oriental del Uruguay </w:t>
      </w:r>
      <w:r w:rsidRPr="00CA0370">
        <w:rPr>
          <w:rFonts w:ascii="Arial" w:hAnsi="Arial" w:cs="Arial"/>
          <w:sz w:val="22"/>
          <w:lang w:val="es-ES_tradnl"/>
        </w:rPr>
        <w:lastRenderedPageBreak/>
        <w:t>(BROU).</w:t>
      </w:r>
      <w:r w:rsidRPr="00CA0370" w:rsidR="00035583">
        <w:rPr>
          <w:rFonts w:ascii="Arial" w:hAnsi="Arial" w:cs="Arial"/>
          <w:sz w:val="22"/>
          <w:lang w:val="es-ES_tradnl"/>
        </w:rPr>
        <w:t xml:space="preserve"> </w:t>
      </w:r>
      <w:r w:rsidRPr="00CA0370" w:rsidR="00035583">
        <w:rPr>
          <w:rFonts w:ascii="Arial" w:hAnsi="Arial" w:cs="Arial"/>
          <w:color w:val="000000" w:themeColor="text1"/>
          <w:sz w:val="22"/>
          <w:lang w:val="es-ES_tradnl"/>
        </w:rPr>
        <w:t>Este segundo programa</w:t>
      </w:r>
      <w:r w:rsidRPr="00CA0370" w:rsidR="003B4144">
        <w:rPr>
          <w:rFonts w:ascii="Arial" w:hAnsi="Arial" w:cs="Arial"/>
          <w:color w:val="000000" w:themeColor="text1"/>
          <w:sz w:val="22"/>
          <w:lang w:val="es-ES_tradnl"/>
        </w:rPr>
        <w:t xml:space="preserve"> cuenta por su parte con un montante de </w:t>
      </w:r>
      <w:r w:rsidRPr="00CA0370" w:rsidR="003E19A7">
        <w:rPr>
          <w:rFonts w:ascii="Arial" w:hAnsi="Arial" w:cs="Arial"/>
          <w:color w:val="000000" w:themeColor="text1"/>
          <w:sz w:val="22"/>
          <w:lang w:val="es-ES_tradnl"/>
        </w:rPr>
        <w:t>US</w:t>
      </w:r>
      <w:r w:rsidRPr="00CA0370" w:rsidR="003E19A7">
        <w:rPr>
          <w:rFonts w:ascii="Arial" w:hAnsi="Arial" w:cs="Arial"/>
          <w:sz w:val="22"/>
          <w:lang w:val="es-ES_tradnl"/>
        </w:rPr>
        <w:t>$</w:t>
      </w:r>
      <w:r w:rsidRPr="00CA0370" w:rsidR="003E394F">
        <w:rPr>
          <w:rFonts w:ascii="Arial" w:hAnsi="Arial" w:cs="Arial"/>
          <w:sz w:val="22"/>
          <w:lang w:val="es-ES_tradnl"/>
        </w:rPr>
        <w:t>50</w:t>
      </w:r>
      <w:r w:rsidRPr="00CA0370" w:rsidR="00AB67B5">
        <w:rPr>
          <w:rFonts w:ascii="Arial" w:hAnsi="Arial" w:cs="Arial"/>
          <w:sz w:val="22"/>
          <w:lang w:val="es-ES_tradnl"/>
        </w:rPr>
        <w:t> </w:t>
      </w:r>
      <w:r w:rsidRPr="00CA0370" w:rsidR="003E19A7">
        <w:rPr>
          <w:rFonts w:ascii="Arial" w:hAnsi="Arial" w:cs="Arial"/>
          <w:color w:val="000000" w:themeColor="text1"/>
          <w:sz w:val="22"/>
          <w:lang w:val="es-ES_tradnl"/>
        </w:rPr>
        <w:t>millones</w:t>
      </w:r>
      <w:r w:rsidRPr="00CA0370" w:rsidR="003B4144">
        <w:rPr>
          <w:rFonts w:ascii="Arial" w:hAnsi="Arial" w:cs="Arial"/>
          <w:color w:val="000000" w:themeColor="text1"/>
          <w:sz w:val="22"/>
          <w:lang w:val="es-ES_tradnl"/>
        </w:rPr>
        <w:t>, con un período de desembolso de</w:t>
      </w:r>
      <w:r w:rsidRPr="00CA0370" w:rsidR="003B4144">
        <w:rPr>
          <w:rFonts w:ascii="Arial" w:hAnsi="Arial" w:cs="Arial"/>
          <w:sz w:val="22"/>
          <w:lang w:val="es-ES_tradnl"/>
        </w:rPr>
        <w:t xml:space="preserve"> </w:t>
      </w:r>
      <w:r w:rsidRPr="00CA0370" w:rsidR="003E19A7">
        <w:rPr>
          <w:rFonts w:ascii="Arial" w:hAnsi="Arial" w:cs="Arial"/>
          <w:sz w:val="22"/>
          <w:lang w:val="es-ES_tradnl"/>
        </w:rPr>
        <w:t>cuatro</w:t>
      </w:r>
      <w:r w:rsidRPr="00CA0370" w:rsidR="003B4144">
        <w:rPr>
          <w:rFonts w:ascii="Arial" w:hAnsi="Arial" w:cs="Arial"/>
          <w:sz w:val="22"/>
          <w:lang w:val="es-ES_tradnl"/>
        </w:rPr>
        <w:t xml:space="preserve"> </w:t>
      </w:r>
      <w:r w:rsidRPr="00CA0370" w:rsidR="003B4144">
        <w:rPr>
          <w:rFonts w:ascii="Arial" w:hAnsi="Arial" w:cs="Arial"/>
          <w:color w:val="000000" w:themeColor="text1"/>
          <w:sz w:val="22"/>
          <w:lang w:val="es-ES_tradnl"/>
        </w:rPr>
        <w:t xml:space="preserve">años, siendo </w:t>
      </w:r>
      <w:r w:rsidRPr="00CA0370" w:rsidR="00900115">
        <w:rPr>
          <w:rFonts w:ascii="Arial" w:hAnsi="Arial" w:cs="Arial"/>
          <w:color w:val="000000" w:themeColor="text1"/>
          <w:sz w:val="22"/>
          <w:lang w:val="es-ES_tradnl"/>
        </w:rPr>
        <w:t xml:space="preserve">también </w:t>
      </w:r>
      <w:r w:rsidRPr="00CA0370" w:rsidR="003B4144">
        <w:rPr>
          <w:rFonts w:ascii="Arial" w:hAnsi="Arial" w:cs="Arial"/>
          <w:color w:val="000000" w:themeColor="text1"/>
          <w:sz w:val="22"/>
          <w:lang w:val="es-ES_tradnl"/>
        </w:rPr>
        <w:t>el prestatario y or</w:t>
      </w:r>
      <w:r w:rsidRPr="00CA0370" w:rsidR="00900115">
        <w:rPr>
          <w:rFonts w:ascii="Arial" w:hAnsi="Arial" w:cs="Arial"/>
          <w:color w:val="000000" w:themeColor="text1"/>
          <w:sz w:val="22"/>
          <w:lang w:val="es-ES_tradnl"/>
        </w:rPr>
        <w:t>ganismo ejecutor el BROU</w:t>
      </w:r>
      <w:r w:rsidRPr="00CA0370" w:rsidR="003B4144">
        <w:rPr>
          <w:rFonts w:ascii="Arial" w:hAnsi="Arial" w:cs="Arial"/>
          <w:color w:val="000000" w:themeColor="text1"/>
          <w:sz w:val="22"/>
          <w:lang w:val="es-ES_tradnl"/>
        </w:rPr>
        <w:t>.</w:t>
      </w:r>
    </w:p>
    <w:p w:rsidRPr="00CA0370" w:rsidR="00111825" w:rsidP="00900115" w:rsidRDefault="00683B0F" w14:paraId="6A162935" w14:textId="5570A99D">
      <w:pPr>
        <w:pStyle w:val="Paragraph"/>
        <w:ind w:left="540" w:hanging="540"/>
        <w:rPr>
          <w:rFonts w:ascii="Arial" w:hAnsi="Arial" w:cs="Arial"/>
          <w:sz w:val="22"/>
          <w:lang w:val="es-ES_tradnl"/>
        </w:rPr>
      </w:pPr>
      <w:r w:rsidRPr="00CA0370">
        <w:rPr>
          <w:rFonts w:ascii="Arial" w:hAnsi="Arial" w:cs="Arial"/>
          <w:b/>
          <w:sz w:val="22"/>
          <w:lang w:val="es-ES_tradnl"/>
        </w:rPr>
        <w:t>Cost</w:t>
      </w:r>
      <w:r w:rsidRPr="00CA0370" w:rsidR="005F06F9">
        <w:rPr>
          <w:rFonts w:ascii="Arial" w:hAnsi="Arial" w:cs="Arial"/>
          <w:b/>
          <w:sz w:val="22"/>
          <w:lang w:val="es-ES_tradnl"/>
        </w:rPr>
        <w:t>o</w:t>
      </w:r>
      <w:r w:rsidRPr="00CA0370" w:rsidR="00E63C1A">
        <w:rPr>
          <w:rFonts w:ascii="Arial" w:hAnsi="Arial" w:cs="Arial"/>
          <w:b/>
          <w:sz w:val="22"/>
          <w:lang w:val="es-ES_tradnl"/>
        </w:rPr>
        <w:t>s del programa por producto.</w:t>
      </w:r>
      <w:r w:rsidRPr="00CA0370" w:rsidR="00827FD1">
        <w:rPr>
          <w:rFonts w:ascii="Arial" w:hAnsi="Arial" w:cs="Arial"/>
          <w:sz w:val="22"/>
          <w:lang w:val="es-ES_tradnl"/>
        </w:rPr>
        <w:t xml:space="preserve"> En </w:t>
      </w:r>
      <w:r w:rsidRPr="00CA0370" w:rsidR="005F06F9">
        <w:rPr>
          <w:rFonts w:ascii="Arial" w:hAnsi="Arial" w:cs="Arial"/>
          <w:sz w:val="22"/>
          <w:lang w:val="es-ES_tradnl"/>
        </w:rPr>
        <w:t>el</w:t>
      </w:r>
      <w:r w:rsidRPr="00CA0370" w:rsidR="00E63C1A">
        <w:rPr>
          <w:rFonts w:ascii="Arial" w:hAnsi="Arial" w:cs="Arial"/>
          <w:sz w:val="22"/>
          <w:lang w:val="es-ES_tradnl"/>
        </w:rPr>
        <w:t xml:space="preserve"> siguiente </w:t>
      </w:r>
      <w:r w:rsidRPr="00CA0370" w:rsidR="006E136F">
        <w:rPr>
          <w:rFonts w:ascii="Arial" w:hAnsi="Arial" w:cs="Arial"/>
          <w:sz w:val="22"/>
          <w:lang w:val="es-ES_tradnl"/>
        </w:rPr>
        <w:t>Cu</w:t>
      </w:r>
      <w:r w:rsidRPr="00CA0370" w:rsidR="005F06F9">
        <w:rPr>
          <w:rFonts w:ascii="Arial" w:hAnsi="Arial" w:cs="Arial"/>
          <w:sz w:val="22"/>
          <w:lang w:val="es-ES_tradnl"/>
        </w:rPr>
        <w:t>adro</w:t>
      </w:r>
      <w:r w:rsidRPr="00CA0370" w:rsidR="00827FD1">
        <w:rPr>
          <w:rFonts w:ascii="Arial" w:hAnsi="Arial" w:cs="Arial"/>
          <w:sz w:val="22"/>
          <w:lang w:val="es-ES_tradnl"/>
        </w:rPr>
        <w:t xml:space="preserve"> 1</w:t>
      </w:r>
      <w:r w:rsidRPr="00CA0370" w:rsidR="00E63C1A">
        <w:rPr>
          <w:rFonts w:ascii="Arial" w:hAnsi="Arial" w:cs="Arial"/>
          <w:sz w:val="22"/>
          <w:lang w:val="es-ES_tradnl"/>
        </w:rPr>
        <w:t xml:space="preserve"> sintetiza la evolución esperada de los p</w:t>
      </w:r>
      <w:r w:rsidRPr="00CA0370" w:rsidR="006272CB">
        <w:rPr>
          <w:rFonts w:ascii="Arial" w:hAnsi="Arial" w:cs="Arial"/>
          <w:sz w:val="22"/>
          <w:lang w:val="es-ES_tradnl"/>
        </w:rPr>
        <w:t xml:space="preserve">roductos del programa y su </w:t>
      </w:r>
      <w:r w:rsidRPr="00CA0370" w:rsidR="002816A4">
        <w:rPr>
          <w:rFonts w:ascii="Arial" w:hAnsi="Arial" w:cs="Arial"/>
          <w:sz w:val="22"/>
          <w:lang w:val="es-ES_tradnl"/>
        </w:rPr>
        <w:t>costo</w:t>
      </w:r>
      <w:r w:rsidRPr="00CA0370" w:rsidR="00E63C1A">
        <w:rPr>
          <w:rFonts w:ascii="Arial" w:hAnsi="Arial" w:cs="Arial"/>
          <w:sz w:val="22"/>
          <w:lang w:val="es-ES_tradnl"/>
        </w:rPr>
        <w:t xml:space="preserve"> esperado.</w:t>
      </w:r>
    </w:p>
    <w:p w:rsidRPr="00CA0370" w:rsidR="00210ADE" w:rsidP="005F06F9" w:rsidRDefault="00210ADE" w14:paraId="2ABA03CF" w14:textId="664F2588">
      <w:pPr>
        <w:pStyle w:val="Paragraph"/>
        <w:numPr>
          <w:ilvl w:val="0"/>
          <w:numId w:val="0"/>
        </w:numPr>
        <w:spacing w:after="0"/>
        <w:jc w:val="center"/>
        <w:rPr>
          <w:rFonts w:ascii="Arial" w:hAnsi="Arial" w:cs="Arial"/>
          <w:b/>
          <w:sz w:val="20"/>
          <w:szCs w:val="20"/>
          <w:lang w:val="es-ES_tradnl"/>
        </w:rPr>
      </w:pPr>
    </w:p>
    <w:p w:rsidRPr="00CA0370" w:rsidR="00832F54" w:rsidP="005F06F9" w:rsidRDefault="00832F54" w14:paraId="055FB65D" w14:textId="58C81C34">
      <w:pPr>
        <w:pStyle w:val="Paragraph"/>
        <w:numPr>
          <w:ilvl w:val="0"/>
          <w:numId w:val="0"/>
        </w:numPr>
        <w:spacing w:after="0"/>
        <w:jc w:val="center"/>
        <w:rPr>
          <w:rFonts w:ascii="Arial" w:hAnsi="Arial" w:cs="Arial"/>
          <w:b/>
          <w:sz w:val="20"/>
          <w:szCs w:val="20"/>
          <w:lang w:val="es-ES_tradnl"/>
        </w:rPr>
      </w:pPr>
    </w:p>
    <w:p w:rsidRPr="00CA0370" w:rsidR="00832F54" w:rsidP="005F06F9" w:rsidRDefault="00832F54" w14:paraId="0FEED9F3" w14:textId="324B0AC7">
      <w:pPr>
        <w:pStyle w:val="Paragraph"/>
        <w:numPr>
          <w:ilvl w:val="0"/>
          <w:numId w:val="0"/>
        </w:numPr>
        <w:spacing w:after="0"/>
        <w:jc w:val="center"/>
        <w:rPr>
          <w:rFonts w:ascii="Arial" w:hAnsi="Arial" w:cs="Arial"/>
          <w:b/>
          <w:sz w:val="20"/>
          <w:szCs w:val="20"/>
          <w:lang w:val="es-ES_tradnl"/>
        </w:rPr>
      </w:pPr>
    </w:p>
    <w:p w:rsidRPr="00CA0370" w:rsidR="004F1F45" w:rsidP="005F06F9" w:rsidRDefault="004F1F45" w14:paraId="03E94452" w14:textId="77777777">
      <w:pPr>
        <w:pStyle w:val="Paragraph"/>
        <w:numPr>
          <w:ilvl w:val="0"/>
          <w:numId w:val="0"/>
        </w:numPr>
        <w:spacing w:after="0"/>
        <w:jc w:val="center"/>
        <w:rPr>
          <w:rFonts w:ascii="Arial" w:hAnsi="Arial" w:cs="Arial"/>
          <w:b/>
          <w:sz w:val="20"/>
          <w:szCs w:val="20"/>
          <w:lang w:val="es-ES_tradnl"/>
        </w:rPr>
      </w:pPr>
    </w:p>
    <w:p w:rsidRPr="00CA0370" w:rsidR="00832F54" w:rsidP="005F06F9" w:rsidRDefault="00832F54" w14:paraId="06CA5F41" w14:textId="77777777">
      <w:pPr>
        <w:pStyle w:val="Paragraph"/>
        <w:numPr>
          <w:ilvl w:val="0"/>
          <w:numId w:val="0"/>
        </w:numPr>
        <w:spacing w:after="0"/>
        <w:jc w:val="center"/>
        <w:rPr>
          <w:rFonts w:ascii="Arial" w:hAnsi="Arial" w:cs="Arial"/>
          <w:b/>
          <w:sz w:val="20"/>
          <w:szCs w:val="20"/>
          <w:lang w:val="es-ES_tradnl"/>
        </w:rPr>
      </w:pPr>
    </w:p>
    <w:p w:rsidRPr="00CA0370" w:rsidR="00210ADE" w:rsidP="005F06F9" w:rsidRDefault="00210ADE" w14:paraId="3D30F8A9" w14:textId="77777777">
      <w:pPr>
        <w:pStyle w:val="Paragraph"/>
        <w:numPr>
          <w:ilvl w:val="0"/>
          <w:numId w:val="0"/>
        </w:numPr>
        <w:spacing w:after="0"/>
        <w:jc w:val="center"/>
        <w:rPr>
          <w:rFonts w:ascii="Arial" w:hAnsi="Arial" w:cs="Arial"/>
          <w:b/>
          <w:sz w:val="20"/>
          <w:szCs w:val="20"/>
          <w:lang w:val="es-ES_tradnl"/>
        </w:rPr>
      </w:pPr>
    </w:p>
    <w:p w:rsidRPr="00CA0370" w:rsidR="00DE0491" w:rsidP="005F06F9" w:rsidRDefault="005F06F9" w14:paraId="5B6A7E0C" w14:textId="3EF336C5">
      <w:pPr>
        <w:pStyle w:val="Paragraph"/>
        <w:numPr>
          <w:ilvl w:val="0"/>
          <w:numId w:val="0"/>
        </w:numPr>
        <w:spacing w:after="0"/>
        <w:jc w:val="center"/>
        <w:rPr>
          <w:rFonts w:ascii="Arial" w:hAnsi="Arial" w:cs="Arial"/>
          <w:b/>
          <w:sz w:val="20"/>
          <w:szCs w:val="20"/>
          <w:lang w:val="es-ES_tradnl"/>
        </w:rPr>
      </w:pPr>
      <w:r w:rsidRPr="00CA0370">
        <w:rPr>
          <w:rFonts w:ascii="Arial" w:hAnsi="Arial" w:cs="Arial"/>
          <w:b/>
          <w:sz w:val="20"/>
          <w:szCs w:val="20"/>
          <w:lang w:val="es-ES_tradnl"/>
        </w:rPr>
        <w:t>Cuadro</w:t>
      </w:r>
      <w:r w:rsidRPr="00CA0370" w:rsidR="00F36B3C">
        <w:rPr>
          <w:rFonts w:ascii="Arial" w:hAnsi="Arial" w:cs="Arial"/>
          <w:b/>
          <w:sz w:val="20"/>
          <w:szCs w:val="20"/>
          <w:lang w:val="es-ES_tradnl"/>
        </w:rPr>
        <w:t xml:space="preserve"> 1</w:t>
      </w:r>
      <w:r w:rsidRPr="00CA0370">
        <w:rPr>
          <w:rFonts w:ascii="Arial" w:hAnsi="Arial" w:cs="Arial"/>
          <w:b/>
          <w:sz w:val="20"/>
          <w:szCs w:val="20"/>
          <w:lang w:val="es-ES_tradnl"/>
        </w:rPr>
        <w:t>:</w:t>
      </w:r>
      <w:r w:rsidRPr="00CA0370" w:rsidR="00F36B3C">
        <w:rPr>
          <w:rFonts w:ascii="Arial" w:hAnsi="Arial" w:cs="Arial"/>
          <w:b/>
          <w:sz w:val="20"/>
          <w:szCs w:val="20"/>
          <w:lang w:val="es-ES_tradnl"/>
        </w:rPr>
        <w:t xml:space="preserve"> Productos</w:t>
      </w:r>
      <w:r w:rsidRPr="00CA0370" w:rsidR="006272CB">
        <w:rPr>
          <w:rFonts w:ascii="Arial" w:hAnsi="Arial" w:cs="Arial"/>
          <w:b/>
          <w:sz w:val="20"/>
          <w:szCs w:val="20"/>
          <w:lang w:val="es-ES_tradnl"/>
        </w:rPr>
        <w:t xml:space="preserve"> y </w:t>
      </w:r>
      <w:r w:rsidRPr="00CA0370" w:rsidR="002816A4">
        <w:rPr>
          <w:rFonts w:ascii="Arial" w:hAnsi="Arial" w:cs="Arial"/>
          <w:b/>
          <w:sz w:val="20"/>
          <w:szCs w:val="20"/>
          <w:lang w:val="es-ES_tradnl"/>
        </w:rPr>
        <w:t>costo</w:t>
      </w:r>
      <w:r w:rsidRPr="00CA0370" w:rsidR="00F36B3C">
        <w:rPr>
          <w:rFonts w:ascii="Arial" w:hAnsi="Arial" w:cs="Arial"/>
          <w:b/>
          <w:sz w:val="20"/>
          <w:szCs w:val="20"/>
          <w:lang w:val="es-ES_tradnl"/>
        </w:rPr>
        <w:t xml:space="preserve">s del </w:t>
      </w:r>
      <w:r w:rsidRPr="00CA0370" w:rsidR="00900115">
        <w:rPr>
          <w:rFonts w:ascii="Arial" w:hAnsi="Arial" w:cs="Arial"/>
          <w:b/>
          <w:sz w:val="20"/>
          <w:szCs w:val="20"/>
          <w:lang w:val="es-ES_tradnl"/>
        </w:rPr>
        <w:t xml:space="preserve">segundo </w:t>
      </w:r>
      <w:r w:rsidRPr="00CA0370" w:rsidR="00F36B3C">
        <w:rPr>
          <w:rFonts w:ascii="Arial" w:hAnsi="Arial" w:cs="Arial"/>
          <w:b/>
          <w:sz w:val="20"/>
          <w:szCs w:val="20"/>
          <w:lang w:val="es-ES_tradnl"/>
        </w:rPr>
        <w:t>programa</w:t>
      </w:r>
    </w:p>
    <w:tbl>
      <w:tblPr>
        <w:tblW w:w="622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964"/>
        <w:gridCol w:w="815"/>
        <w:gridCol w:w="609"/>
        <w:gridCol w:w="661"/>
        <w:gridCol w:w="531"/>
        <w:gridCol w:w="606"/>
        <w:gridCol w:w="531"/>
        <w:gridCol w:w="651"/>
        <w:gridCol w:w="666"/>
        <w:gridCol w:w="1220"/>
        <w:gridCol w:w="2482"/>
      </w:tblGrid>
      <w:tr w:rsidRPr="00CA0370" w:rsidR="00E063B4" w:rsidTr="004F1F45" w14:paraId="792084B2" w14:textId="77777777">
        <w:trPr>
          <w:trHeight w:val="20"/>
          <w:tblHeader/>
          <w:jc w:val="center"/>
        </w:trPr>
        <w:tc>
          <w:tcPr>
            <w:tcW w:w="915"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7DD43EB7"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Productos</w:t>
            </w:r>
          </w:p>
        </w:tc>
        <w:tc>
          <w:tcPr>
            <w:tcW w:w="380"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5276E81E"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Unidad de Medida</w:t>
            </w:r>
          </w:p>
        </w:tc>
        <w:tc>
          <w:tcPr>
            <w:tcW w:w="284"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36B3A7A2"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Línea de Base</w:t>
            </w:r>
          </w:p>
        </w:tc>
        <w:tc>
          <w:tcPr>
            <w:tcW w:w="308"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2532B870"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Año</w:t>
            </w:r>
          </w:p>
          <w:p w:rsidRPr="00CA0370" w:rsidR="00691F7C" w:rsidP="004F1F45" w:rsidRDefault="00691F7C" w14:paraId="25DA5836"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Línea de Base</w:t>
            </w:r>
          </w:p>
        </w:tc>
        <w:tc>
          <w:tcPr>
            <w:tcW w:w="247"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4476D9F2"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2019</w:t>
            </w:r>
          </w:p>
        </w:tc>
        <w:tc>
          <w:tcPr>
            <w:tcW w:w="282"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1E93F9F3"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2020</w:t>
            </w:r>
          </w:p>
        </w:tc>
        <w:tc>
          <w:tcPr>
            <w:tcW w:w="247"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tcPr>
          <w:p w:rsidRPr="00CA0370" w:rsidR="00691F7C" w:rsidP="004F1F45" w:rsidRDefault="00691F7C" w14:paraId="2DE89B5F"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2021</w:t>
            </w:r>
          </w:p>
        </w:tc>
        <w:tc>
          <w:tcPr>
            <w:tcW w:w="303"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tcPr>
          <w:p w:rsidRPr="00CA0370" w:rsidR="00691F7C" w:rsidP="004F1F45" w:rsidRDefault="00691F7C" w14:paraId="244E479D" w14:textId="121A4F76">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2022</w:t>
            </w:r>
          </w:p>
        </w:tc>
        <w:tc>
          <w:tcPr>
            <w:tcW w:w="310"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4F9D58E9" w14:textId="7ABC4920">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Meta Final (2022)</w:t>
            </w:r>
          </w:p>
        </w:tc>
        <w:tc>
          <w:tcPr>
            <w:tcW w:w="568"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6268D4D5"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Medios de Verificación</w:t>
            </w:r>
          </w:p>
        </w:tc>
        <w:tc>
          <w:tcPr>
            <w:tcW w:w="1155" w:type="pct"/>
            <w:tcBorders>
              <w:top w:val="single" w:color="000000" w:sz="4" w:space="0"/>
              <w:left w:val="single" w:color="000000" w:sz="4" w:space="0"/>
              <w:bottom w:val="single" w:color="000000" w:sz="4" w:space="0"/>
              <w:right w:val="single" w:color="000000" w:sz="4" w:space="0"/>
            </w:tcBorders>
            <w:shd w:val="clear" w:color="auto" w:fill="C6D9F1" w:themeFill="text2" w:themeFillTint="33"/>
            <w:vAlign w:val="center"/>
            <w:hideMark/>
          </w:tcPr>
          <w:p w:rsidRPr="00CA0370" w:rsidR="00691F7C" w:rsidP="004F1F45" w:rsidRDefault="00691F7C" w14:paraId="6AB9E8AF" w14:textId="77777777">
            <w:pPr>
              <w:spacing w:after="0" w:line="240" w:lineRule="auto"/>
              <w:ind w:left="-130" w:right="-101"/>
              <w:jc w:val="center"/>
              <w:rPr>
                <w:rFonts w:ascii="Arial" w:hAnsi="Arial" w:cs="Arial"/>
                <w:b/>
                <w:sz w:val="20"/>
                <w:szCs w:val="20"/>
                <w:lang w:val="es-ES_tradnl" w:eastAsia="zh-CN"/>
              </w:rPr>
            </w:pPr>
            <w:r w:rsidRPr="00CA0370">
              <w:rPr>
                <w:rFonts w:ascii="Arial" w:hAnsi="Arial" w:cs="Arial"/>
                <w:b/>
                <w:sz w:val="20"/>
                <w:szCs w:val="20"/>
                <w:lang w:val="es-ES_tradnl" w:eastAsia="zh-CN"/>
              </w:rPr>
              <w:t>Comentarios</w:t>
            </w:r>
          </w:p>
        </w:tc>
      </w:tr>
      <w:tr w:rsidRPr="00CA0370" w:rsidR="00AB67B5" w:rsidTr="004F1F45" w14:paraId="735D7EEE" w14:textId="77777777">
        <w:trPr>
          <w:trHeight w:val="359"/>
          <w:jc w:val="center"/>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D9D9D9" w:themeFill="background1" w:themeFillShade="D9"/>
            <w:vAlign w:val="center"/>
          </w:tcPr>
          <w:p w:rsidRPr="00CA0370" w:rsidR="00AB67B5" w:rsidP="004F1F45" w:rsidRDefault="00AB67B5" w14:paraId="6F8F9BEB" w14:textId="3DCF6498">
            <w:pPr>
              <w:spacing w:after="0" w:line="240" w:lineRule="auto"/>
              <w:ind w:left="-43" w:right="-101"/>
              <w:rPr>
                <w:rFonts w:ascii="Arial" w:hAnsi="Arial" w:cs="Arial"/>
                <w:b/>
                <w:sz w:val="20"/>
                <w:szCs w:val="20"/>
                <w:lang w:val="es-ES_tradnl" w:eastAsia="zh-CN"/>
              </w:rPr>
            </w:pPr>
            <w:r w:rsidRPr="00CA0370">
              <w:rPr>
                <w:rFonts w:ascii="Arial" w:hAnsi="Arial" w:cs="Arial"/>
                <w:b/>
                <w:sz w:val="20"/>
                <w:szCs w:val="20"/>
                <w:lang w:val="es-ES_tradnl" w:eastAsia="zh-CN"/>
              </w:rPr>
              <w:t>Componente I. Financiamiento para préstamos de inversión productiva agroforestales a través del BROU.</w:t>
            </w:r>
          </w:p>
        </w:tc>
      </w:tr>
      <w:tr w:rsidRPr="00CA0370" w:rsidR="00657A38" w:rsidTr="004F1F45" w14:paraId="33903EB8" w14:textId="77777777">
        <w:trPr>
          <w:trHeight w:val="4940"/>
          <w:jc w:val="center"/>
        </w:trPr>
        <w:tc>
          <w:tcPr>
            <w:tcW w:w="915"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64DB5457" w14:textId="77777777">
            <w:pPr>
              <w:pStyle w:val="ListParagraph"/>
              <w:spacing w:after="0" w:line="240" w:lineRule="auto"/>
              <w:ind w:left="0"/>
              <w:contextualSpacing w:val="0"/>
              <w:rPr>
                <w:rFonts w:ascii="Arial" w:hAnsi="Arial" w:cs="Arial"/>
                <w:sz w:val="20"/>
                <w:szCs w:val="20"/>
                <w:lang w:val="es-ES_tradnl" w:eastAsia="zh-CN"/>
              </w:rPr>
            </w:pPr>
            <w:r w:rsidRPr="00CA0370">
              <w:rPr>
                <w:rFonts w:ascii="Arial" w:hAnsi="Arial" w:cs="Arial"/>
                <w:b/>
                <w:sz w:val="20"/>
                <w:szCs w:val="20"/>
                <w:lang w:val="es-ES_tradnl"/>
              </w:rPr>
              <w:t>Producto #1.</w:t>
            </w:r>
            <w:r w:rsidRPr="00CA0370">
              <w:rPr>
                <w:rFonts w:ascii="Arial" w:hAnsi="Arial" w:cs="Arial"/>
                <w:sz w:val="20"/>
                <w:szCs w:val="20"/>
                <w:lang w:val="es-ES_tradnl"/>
              </w:rPr>
              <w:t xml:space="preserve"> Montos totales de créditos desembolsados a empresas para proyectos de inversión productiva en el sector agroforestal y agroindustrial financiados con recursos del programa.</w:t>
            </w:r>
          </w:p>
        </w:tc>
        <w:tc>
          <w:tcPr>
            <w:tcW w:w="380"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4D3F6C64" w14:textId="77777777">
            <w:pPr>
              <w:spacing w:after="0"/>
              <w:ind w:left="-135" w:right="-105"/>
              <w:jc w:val="center"/>
              <w:rPr>
                <w:rFonts w:ascii="Arial" w:hAnsi="Arial" w:cs="Arial"/>
                <w:sz w:val="20"/>
                <w:szCs w:val="20"/>
                <w:lang w:val="es-ES_tradnl" w:eastAsia="zh-CN"/>
              </w:rPr>
            </w:pPr>
            <w:r w:rsidRPr="00CA0370">
              <w:rPr>
                <w:rFonts w:ascii="Arial" w:hAnsi="Arial" w:cs="Arial"/>
                <w:sz w:val="20"/>
                <w:szCs w:val="20"/>
                <w:lang w:val="es-ES_tradnl" w:eastAsia="zh-CN"/>
              </w:rPr>
              <w:t>Millones de US$</w:t>
            </w:r>
          </w:p>
        </w:tc>
        <w:tc>
          <w:tcPr>
            <w:tcW w:w="284"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52E098E" w14:textId="77777777">
            <w:pPr>
              <w:spacing w:after="0"/>
              <w:jc w:val="center"/>
              <w:rPr>
                <w:rFonts w:ascii="Arial" w:hAnsi="Arial" w:cs="Arial"/>
                <w:b/>
                <w:sz w:val="20"/>
                <w:szCs w:val="20"/>
                <w:lang w:val="es-ES_tradnl" w:eastAsia="zh-CN"/>
              </w:rPr>
            </w:pPr>
            <w:r w:rsidRPr="00CA0370">
              <w:rPr>
                <w:rFonts w:ascii="Arial" w:hAnsi="Arial" w:cs="Arial"/>
                <w:sz w:val="20"/>
                <w:szCs w:val="20"/>
                <w:lang w:val="es-ES_tradnl" w:eastAsia="zh-CN"/>
              </w:rPr>
              <w:t>0</w:t>
            </w:r>
          </w:p>
        </w:tc>
        <w:tc>
          <w:tcPr>
            <w:tcW w:w="308"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22313C2B" w14:textId="77777777">
            <w:pPr>
              <w:spacing w:after="0"/>
              <w:jc w:val="center"/>
              <w:rPr>
                <w:rFonts w:ascii="Arial" w:hAnsi="Arial" w:cs="Arial"/>
                <w:sz w:val="20"/>
                <w:szCs w:val="20"/>
                <w:lang w:val="es-ES_tradnl" w:eastAsia="zh-CN"/>
              </w:rPr>
            </w:pPr>
            <w:r w:rsidRPr="00CA0370">
              <w:rPr>
                <w:rFonts w:ascii="Arial" w:hAnsi="Arial" w:cs="Arial"/>
                <w:sz w:val="20"/>
                <w:szCs w:val="20"/>
                <w:lang w:val="es-ES_tradnl" w:eastAsia="zh-CN"/>
              </w:rPr>
              <w:t>2019</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55DDFE35" w14:textId="77777777">
            <w:pPr>
              <w:spacing w:after="0"/>
              <w:jc w:val="center"/>
              <w:rPr>
                <w:rFonts w:ascii="Arial" w:hAnsi="Arial" w:cs="Arial"/>
                <w:sz w:val="20"/>
                <w:szCs w:val="20"/>
                <w:lang w:val="es-ES_tradnl" w:eastAsia="zh-CN"/>
              </w:rPr>
            </w:pPr>
            <w:r w:rsidRPr="00CA0370">
              <w:rPr>
                <w:rFonts w:ascii="Arial" w:hAnsi="Arial" w:cs="Arial"/>
                <w:sz w:val="20"/>
                <w:szCs w:val="20"/>
                <w:lang w:val="es-ES_tradnl"/>
              </w:rPr>
              <w:t>2,5</w:t>
            </w:r>
          </w:p>
        </w:tc>
        <w:tc>
          <w:tcPr>
            <w:tcW w:w="282"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406E271F" w14:textId="77777777">
            <w:pPr>
              <w:spacing w:after="0"/>
              <w:jc w:val="center"/>
              <w:rPr>
                <w:rFonts w:ascii="Arial" w:hAnsi="Arial" w:cs="Arial"/>
                <w:sz w:val="20"/>
                <w:szCs w:val="20"/>
                <w:lang w:val="es-ES_tradnl" w:eastAsia="zh-CN"/>
              </w:rPr>
            </w:pPr>
            <w:r w:rsidRPr="00CA0370">
              <w:rPr>
                <w:rFonts w:ascii="Arial" w:hAnsi="Arial" w:cs="Arial"/>
                <w:sz w:val="20"/>
                <w:szCs w:val="20"/>
                <w:lang w:val="es-ES_tradnl" w:eastAsia="zh-CN"/>
              </w:rPr>
              <w:t>2,5</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5CDFB15E" w14:textId="77777777">
            <w:pPr>
              <w:spacing w:after="0"/>
              <w:jc w:val="center"/>
              <w:rPr>
                <w:rFonts w:ascii="Arial" w:hAnsi="Arial" w:cs="Arial"/>
                <w:sz w:val="20"/>
                <w:szCs w:val="20"/>
                <w:lang w:val="es-ES_tradnl" w:eastAsia="zh-CN"/>
              </w:rPr>
            </w:pPr>
            <w:r w:rsidRPr="00CA0370">
              <w:rPr>
                <w:rFonts w:ascii="Arial" w:hAnsi="Arial" w:cs="Arial"/>
                <w:sz w:val="20"/>
                <w:szCs w:val="20"/>
                <w:lang w:val="es-ES_tradnl" w:eastAsia="zh-CN"/>
              </w:rPr>
              <w:t>5</w:t>
            </w:r>
          </w:p>
        </w:tc>
        <w:tc>
          <w:tcPr>
            <w:tcW w:w="303"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7C021D63" w14:textId="0F67D794">
            <w:pPr>
              <w:spacing w:after="0"/>
              <w:jc w:val="center"/>
              <w:rPr>
                <w:rFonts w:ascii="Arial" w:hAnsi="Arial" w:cs="Arial"/>
                <w:sz w:val="20"/>
                <w:szCs w:val="20"/>
                <w:lang w:val="es-ES_tradnl" w:eastAsia="zh-CN"/>
              </w:rPr>
            </w:pPr>
            <w:r w:rsidRPr="00CA0370">
              <w:rPr>
                <w:rFonts w:ascii="Arial" w:hAnsi="Arial" w:cs="Arial"/>
                <w:sz w:val="20"/>
                <w:szCs w:val="20"/>
                <w:lang w:val="es-ES_tradnl" w:eastAsia="zh-CN"/>
              </w:rPr>
              <w:t>5</w:t>
            </w:r>
          </w:p>
        </w:tc>
        <w:tc>
          <w:tcPr>
            <w:tcW w:w="310"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0CA44C93" w14:textId="33EBE6CD">
            <w:pPr>
              <w:spacing w:after="0"/>
              <w:jc w:val="center"/>
              <w:rPr>
                <w:rFonts w:ascii="Arial" w:hAnsi="Arial" w:cs="Arial"/>
                <w:sz w:val="20"/>
                <w:szCs w:val="20"/>
                <w:lang w:val="es-ES_tradnl" w:eastAsia="zh-CN"/>
              </w:rPr>
            </w:pPr>
            <w:r w:rsidRPr="00CA0370">
              <w:rPr>
                <w:rFonts w:ascii="Arial" w:hAnsi="Arial" w:cs="Arial"/>
                <w:sz w:val="20"/>
                <w:szCs w:val="20"/>
                <w:lang w:val="es-ES_tradnl" w:eastAsia="zh-CN"/>
              </w:rPr>
              <w:t>15</w:t>
            </w:r>
          </w:p>
        </w:tc>
        <w:tc>
          <w:tcPr>
            <w:tcW w:w="568"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61A6CAF" w14:textId="77777777">
            <w:pPr>
              <w:spacing w:after="0"/>
              <w:rPr>
                <w:rFonts w:ascii="Arial" w:hAnsi="Arial" w:cs="Arial"/>
                <w:sz w:val="20"/>
                <w:szCs w:val="20"/>
                <w:lang w:val="es-ES_tradnl" w:eastAsia="zh-CN"/>
              </w:rPr>
            </w:pPr>
            <w:r w:rsidRPr="00CA0370">
              <w:rPr>
                <w:rFonts w:ascii="Arial" w:hAnsi="Arial" w:cs="Arial"/>
                <w:sz w:val="20"/>
                <w:szCs w:val="20"/>
                <w:lang w:val="es-ES_tradnl" w:eastAsia="zh-CN"/>
              </w:rPr>
              <w:t>Informes públicos del BROU e informes internos BID</w:t>
            </w:r>
          </w:p>
        </w:tc>
        <w:tc>
          <w:tcPr>
            <w:tcW w:w="1155"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0EC841C8" w14:textId="1C4512D7">
            <w:pPr>
              <w:spacing w:after="0"/>
              <w:rPr>
                <w:rFonts w:ascii="Arial" w:hAnsi="Arial" w:cs="Arial"/>
                <w:color w:val="000000" w:themeColor="text1"/>
                <w:sz w:val="20"/>
                <w:szCs w:val="20"/>
                <w:lang w:val="es-ES_tradnl" w:eastAsia="zh-CN"/>
              </w:rPr>
            </w:pPr>
            <w:r w:rsidRPr="00CA0370">
              <w:rPr>
                <w:rFonts w:ascii="Arial" w:hAnsi="Arial" w:cs="Arial"/>
                <w:color w:val="000000" w:themeColor="text1"/>
                <w:sz w:val="20"/>
                <w:szCs w:val="20"/>
                <w:lang w:val="es-ES_tradnl" w:eastAsia="zh-CN"/>
              </w:rPr>
              <w:t xml:space="preserve">El indicador medirá los montos totales de los proyectos agroforestales y agroindustriales que reciben créditos de mediano y largo plazo del BROU con recursos del Componente I del programa e inician su implementación. </w:t>
            </w:r>
            <w:r w:rsidRPr="00CA0370">
              <w:rPr>
                <w:rFonts w:ascii="Arial" w:hAnsi="Arial"/>
                <w:color w:val="000000" w:themeColor="text1"/>
                <w:sz w:val="20"/>
                <w:lang w:val="es-ES_tradnl"/>
              </w:rPr>
              <w:t xml:space="preserve">Se ha optado por </w:t>
            </w:r>
            <w:r w:rsidRPr="00CA0370" w:rsidR="003F7B5F">
              <w:rPr>
                <w:rFonts w:ascii="Arial" w:hAnsi="Arial" w:cs="Arial"/>
                <w:color w:val="000000" w:themeColor="text1"/>
                <w:sz w:val="20"/>
                <w:szCs w:val="20"/>
                <w:lang w:val="es-ES_tradnl" w:eastAsia="zh-CN"/>
              </w:rPr>
              <w:t>emplear</w:t>
            </w:r>
            <w:r w:rsidRPr="00CA0370">
              <w:rPr>
                <w:rFonts w:ascii="Arial" w:hAnsi="Arial"/>
                <w:color w:val="000000" w:themeColor="text1"/>
                <w:sz w:val="20"/>
                <w:lang w:val="es-ES_tradnl"/>
              </w:rPr>
              <w:t xml:space="preserve"> la cantidad inyectada como producto </w:t>
            </w:r>
            <w:r w:rsidRPr="00CA0370" w:rsidR="003F7B5F">
              <w:rPr>
                <w:rFonts w:ascii="Arial" w:hAnsi="Arial" w:cs="Arial"/>
                <w:color w:val="000000" w:themeColor="text1"/>
                <w:sz w:val="20"/>
                <w:szCs w:val="20"/>
                <w:lang w:val="es-ES_tradnl" w:eastAsia="zh-CN"/>
              </w:rPr>
              <w:t>dado que se espera una</w:t>
            </w:r>
            <w:r w:rsidRPr="00CA0370" w:rsidR="003F7B5F">
              <w:rPr>
                <w:rFonts w:ascii="Arial" w:hAnsi="Arial"/>
                <w:color w:val="000000" w:themeColor="text1"/>
                <w:sz w:val="20"/>
                <w:lang w:val="es-ES_tradnl"/>
              </w:rPr>
              <w:t xml:space="preserve"> </w:t>
            </w:r>
            <w:r w:rsidRPr="00CA0370">
              <w:rPr>
                <w:rFonts w:ascii="Arial" w:hAnsi="Arial"/>
                <w:color w:val="000000" w:themeColor="text1"/>
                <w:sz w:val="20"/>
                <w:lang w:val="es-ES_tradnl"/>
              </w:rPr>
              <w:t xml:space="preserve">cantidad de empresas </w:t>
            </w:r>
            <w:r w:rsidRPr="00CA0370" w:rsidR="003F7B5F">
              <w:rPr>
                <w:rFonts w:ascii="Arial" w:hAnsi="Arial" w:cs="Arial"/>
                <w:color w:val="000000" w:themeColor="text1"/>
                <w:sz w:val="20"/>
                <w:szCs w:val="20"/>
                <w:lang w:val="es-ES_tradnl" w:eastAsia="zh-CN"/>
              </w:rPr>
              <w:t xml:space="preserve">atendidas </w:t>
            </w:r>
            <w:r w:rsidRPr="00CA0370">
              <w:rPr>
                <w:rFonts w:ascii="Arial" w:hAnsi="Arial" w:cs="Arial"/>
                <w:color w:val="000000" w:themeColor="text1"/>
                <w:sz w:val="20"/>
                <w:szCs w:val="20"/>
                <w:lang w:val="es-ES_tradnl" w:eastAsia="zh-CN"/>
              </w:rPr>
              <w:t>reducid</w:t>
            </w:r>
            <w:r w:rsidRPr="00CA0370" w:rsidR="003F7B5F">
              <w:rPr>
                <w:rFonts w:ascii="Arial" w:hAnsi="Arial" w:cs="Arial"/>
                <w:color w:val="000000" w:themeColor="text1"/>
                <w:sz w:val="20"/>
                <w:szCs w:val="20"/>
                <w:lang w:val="es-ES_tradnl" w:eastAsia="zh-CN"/>
              </w:rPr>
              <w:t>a</w:t>
            </w:r>
            <w:r w:rsidRPr="00CA0370" w:rsidR="003F7B5F">
              <w:rPr>
                <w:rFonts w:ascii="Arial" w:hAnsi="Arial"/>
                <w:color w:val="000000" w:themeColor="text1"/>
                <w:sz w:val="20"/>
                <w:lang w:val="es-ES_tradnl"/>
              </w:rPr>
              <w:t xml:space="preserve"> </w:t>
            </w:r>
            <w:r w:rsidRPr="00CA0370">
              <w:rPr>
                <w:rFonts w:ascii="Arial" w:hAnsi="Arial"/>
                <w:color w:val="000000" w:themeColor="text1"/>
                <w:sz w:val="20"/>
                <w:lang w:val="es-ES_tradnl"/>
              </w:rPr>
              <w:t xml:space="preserve">y la información sobre el monto promedio de préstamo es incierta </w:t>
            </w:r>
            <w:r w:rsidRPr="00CA0370">
              <w:rPr>
                <w:rFonts w:ascii="Arial" w:hAnsi="Arial" w:cs="Arial"/>
                <w:color w:val="000000" w:themeColor="text1"/>
                <w:sz w:val="20"/>
                <w:szCs w:val="20"/>
                <w:lang w:val="es-ES_tradnl" w:eastAsia="zh-CN"/>
              </w:rPr>
              <w:t>sujet</w:t>
            </w:r>
            <w:r w:rsidRPr="00CA0370" w:rsidR="003F7B5F">
              <w:rPr>
                <w:rFonts w:ascii="Arial" w:hAnsi="Arial" w:cs="Arial"/>
                <w:color w:val="000000" w:themeColor="text1"/>
                <w:sz w:val="20"/>
                <w:szCs w:val="20"/>
                <w:lang w:val="es-ES_tradnl" w:eastAsia="zh-CN"/>
              </w:rPr>
              <w:t>a</w:t>
            </w:r>
            <w:r w:rsidRPr="00CA0370">
              <w:rPr>
                <w:rFonts w:ascii="Arial" w:hAnsi="Arial"/>
                <w:color w:val="000000" w:themeColor="text1"/>
                <w:sz w:val="20"/>
                <w:lang w:val="es-ES_tradnl"/>
              </w:rPr>
              <w:t xml:space="preserve"> a demanda futura.</w:t>
            </w:r>
          </w:p>
        </w:tc>
      </w:tr>
      <w:tr w:rsidRPr="00CA0370" w:rsidR="00AB67B5" w:rsidTr="004F1F45" w14:paraId="323E93C5" w14:textId="77777777">
        <w:trPr>
          <w:trHeight w:val="332"/>
          <w:jc w:val="center"/>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D9D9D9" w:themeFill="background1" w:themeFillShade="D9"/>
            <w:vAlign w:val="center"/>
          </w:tcPr>
          <w:p w:rsidRPr="00CA0370" w:rsidR="00AB67B5" w:rsidP="004F1F45" w:rsidRDefault="00AB67B5" w14:paraId="3FC2E100" w14:textId="4A9514BF">
            <w:pPr>
              <w:spacing w:after="0" w:line="240" w:lineRule="auto"/>
              <w:ind w:right="-101"/>
              <w:rPr>
                <w:rFonts w:ascii="Arial" w:hAnsi="Arial" w:cs="Arial"/>
                <w:b/>
                <w:sz w:val="20"/>
                <w:szCs w:val="20"/>
                <w:lang w:val="es-ES_tradnl" w:eastAsia="zh-CN"/>
              </w:rPr>
            </w:pPr>
            <w:r w:rsidRPr="00CA0370">
              <w:rPr>
                <w:rFonts w:ascii="Arial" w:hAnsi="Arial" w:cs="Arial"/>
                <w:b/>
                <w:sz w:val="20"/>
                <w:szCs w:val="20"/>
                <w:lang w:val="es-ES_tradnl" w:eastAsia="zh-CN"/>
              </w:rPr>
              <w:t xml:space="preserve">Componente II. </w:t>
            </w:r>
            <w:r w:rsidRPr="00CA0370">
              <w:rPr>
                <w:rFonts w:ascii="Arial" w:hAnsi="Arial" w:cs="Arial"/>
                <w:b/>
                <w:lang w:val="es-ES_tradnl"/>
              </w:rPr>
              <w:t>Financiamiento para obras de infraestructura productiva privada y/o público-privada.</w:t>
            </w:r>
          </w:p>
        </w:tc>
      </w:tr>
      <w:tr w:rsidRPr="00CA0370" w:rsidR="00657A38" w:rsidTr="004F1F45" w14:paraId="2A4CDF6B" w14:textId="77777777">
        <w:trPr>
          <w:trHeight w:val="20"/>
          <w:jc w:val="center"/>
        </w:trPr>
        <w:tc>
          <w:tcPr>
            <w:tcW w:w="915"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25B7AD15" w14:textId="0FBBB843">
            <w:pPr>
              <w:pStyle w:val="ListParagraph"/>
              <w:spacing w:after="0" w:line="240" w:lineRule="auto"/>
              <w:ind w:left="0"/>
              <w:contextualSpacing w:val="0"/>
              <w:rPr>
                <w:rFonts w:ascii="Arial" w:hAnsi="Arial" w:cs="Arial"/>
                <w:sz w:val="20"/>
                <w:szCs w:val="20"/>
                <w:lang w:val="es-ES_tradnl"/>
              </w:rPr>
            </w:pPr>
            <w:r w:rsidRPr="00CA0370">
              <w:rPr>
                <w:rFonts w:ascii="Arial" w:hAnsi="Arial" w:cs="Arial"/>
                <w:b/>
                <w:sz w:val="20"/>
                <w:szCs w:val="20"/>
                <w:lang w:val="es-ES_tradnl"/>
              </w:rPr>
              <w:t>Producto #2.</w:t>
            </w:r>
            <w:r w:rsidRPr="00CA0370">
              <w:rPr>
                <w:rFonts w:ascii="Arial" w:hAnsi="Arial" w:cs="Arial"/>
                <w:sz w:val="20"/>
                <w:szCs w:val="20"/>
                <w:lang w:val="es-ES_tradnl"/>
              </w:rPr>
              <w:t xml:space="preserve"> Montos totales aprobados a través del programa para proyectos de infraestructura privada o público-privada</w:t>
            </w:r>
          </w:p>
        </w:tc>
        <w:tc>
          <w:tcPr>
            <w:tcW w:w="380"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277C12B" w14:textId="201D2008">
            <w:pPr>
              <w:spacing w:after="0" w:line="240" w:lineRule="auto"/>
              <w:ind w:left="-135" w:right="-105"/>
              <w:jc w:val="center"/>
              <w:rPr>
                <w:rFonts w:ascii="Arial" w:hAnsi="Arial" w:cs="Arial"/>
                <w:sz w:val="20"/>
                <w:szCs w:val="20"/>
                <w:lang w:val="es-ES_tradnl" w:eastAsia="zh-CN"/>
              </w:rPr>
            </w:pPr>
            <w:r w:rsidRPr="00CA0370">
              <w:rPr>
                <w:rFonts w:ascii="Arial" w:hAnsi="Arial" w:cs="Arial"/>
                <w:sz w:val="20"/>
                <w:szCs w:val="20"/>
                <w:lang w:val="es-ES_tradnl" w:eastAsia="zh-CN"/>
              </w:rPr>
              <w:t>Millones de US$</w:t>
            </w:r>
          </w:p>
        </w:tc>
        <w:tc>
          <w:tcPr>
            <w:tcW w:w="284"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73A4D7D" w14:textId="7777777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0</w:t>
            </w:r>
          </w:p>
        </w:tc>
        <w:tc>
          <w:tcPr>
            <w:tcW w:w="308"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32BB7719" w14:textId="7777777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2019</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5CD4C6E2" w14:textId="7777777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rPr>
              <w:t>5</w:t>
            </w:r>
          </w:p>
        </w:tc>
        <w:tc>
          <w:tcPr>
            <w:tcW w:w="282"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69DEACE8" w14:textId="7777777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10</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E9C3433" w14:textId="7777777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10</w:t>
            </w:r>
          </w:p>
        </w:tc>
        <w:tc>
          <w:tcPr>
            <w:tcW w:w="303"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56D95A61" w14:textId="50A9B9D7">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10</w:t>
            </w:r>
          </w:p>
        </w:tc>
        <w:tc>
          <w:tcPr>
            <w:tcW w:w="310"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698B3BED" w14:textId="4CC90533">
            <w:pPr>
              <w:spacing w:after="0" w:line="240" w:lineRule="auto"/>
              <w:jc w:val="center"/>
              <w:rPr>
                <w:rFonts w:ascii="Arial" w:hAnsi="Arial" w:cs="Arial"/>
                <w:sz w:val="20"/>
                <w:szCs w:val="20"/>
                <w:lang w:val="es-ES_tradnl" w:eastAsia="zh-CN"/>
              </w:rPr>
            </w:pPr>
            <w:r w:rsidRPr="00CA0370">
              <w:rPr>
                <w:rFonts w:ascii="Arial" w:hAnsi="Arial" w:cs="Arial"/>
                <w:sz w:val="20"/>
                <w:szCs w:val="20"/>
                <w:lang w:val="es-ES_tradnl" w:eastAsia="zh-CN"/>
              </w:rPr>
              <w:t>35</w:t>
            </w:r>
          </w:p>
        </w:tc>
        <w:tc>
          <w:tcPr>
            <w:tcW w:w="568"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1D86E42B" w14:textId="77777777">
            <w:pPr>
              <w:spacing w:after="0" w:line="240" w:lineRule="auto"/>
              <w:rPr>
                <w:rFonts w:ascii="Arial" w:hAnsi="Arial" w:cs="Arial"/>
                <w:sz w:val="20"/>
                <w:szCs w:val="20"/>
                <w:lang w:val="es-ES_tradnl" w:eastAsia="zh-CN"/>
              </w:rPr>
            </w:pPr>
            <w:r w:rsidRPr="00CA0370">
              <w:rPr>
                <w:rFonts w:ascii="Arial" w:hAnsi="Arial" w:cs="Arial"/>
                <w:sz w:val="20"/>
                <w:szCs w:val="20"/>
                <w:lang w:val="es-ES_tradnl" w:eastAsia="zh-CN"/>
              </w:rPr>
              <w:t>Informes públicos del BROU e informes internos BID</w:t>
            </w:r>
          </w:p>
        </w:tc>
        <w:tc>
          <w:tcPr>
            <w:tcW w:w="1155" w:type="pct"/>
            <w:tcBorders>
              <w:top w:val="single" w:color="000000" w:sz="4" w:space="0"/>
              <w:left w:val="single" w:color="000000" w:sz="4" w:space="0"/>
              <w:bottom w:val="single" w:color="000000" w:sz="4" w:space="0"/>
              <w:right w:val="single" w:color="000000" w:sz="4" w:space="0"/>
            </w:tcBorders>
          </w:tcPr>
          <w:p w:rsidRPr="00CA0370" w:rsidR="00691F7C" w:rsidP="004F1F45" w:rsidRDefault="00691F7C" w14:paraId="5AEBFCC4" w14:textId="1AECBF31">
            <w:pPr>
              <w:spacing w:after="0" w:line="240" w:lineRule="auto"/>
              <w:rPr>
                <w:rFonts w:ascii="Arial" w:hAnsi="Arial" w:cs="Arial"/>
                <w:color w:val="000000" w:themeColor="text1"/>
                <w:sz w:val="20"/>
                <w:szCs w:val="20"/>
                <w:lang w:val="es-ES_tradnl" w:eastAsia="zh-CN"/>
              </w:rPr>
            </w:pPr>
            <w:r w:rsidRPr="00CA0370">
              <w:rPr>
                <w:rFonts w:ascii="Arial" w:hAnsi="Arial" w:cs="Arial"/>
                <w:color w:val="000000" w:themeColor="text1"/>
                <w:sz w:val="20"/>
                <w:szCs w:val="20"/>
                <w:lang w:val="es-ES_tradnl" w:eastAsia="zh-CN"/>
              </w:rPr>
              <w:t xml:space="preserve">El indicador medirá los montos totales de los proyectos de infraestructura productiva privada o público-privada que reciben apoyo financiero del BROU con recursos del Componente II del </w:t>
            </w:r>
            <w:r w:rsidRPr="00CA0370">
              <w:rPr>
                <w:rFonts w:ascii="Arial" w:hAnsi="Arial" w:cs="Arial"/>
                <w:color w:val="000000" w:themeColor="text1"/>
                <w:sz w:val="20"/>
                <w:szCs w:val="20"/>
                <w:lang w:val="es-ES_tradnl" w:eastAsia="zh-CN"/>
              </w:rPr>
              <w:lastRenderedPageBreak/>
              <w:t xml:space="preserve">programa e inician su implementación. Se ha optado por </w:t>
            </w:r>
            <w:r w:rsidRPr="00CA0370" w:rsidR="003F7B5F">
              <w:rPr>
                <w:rFonts w:ascii="Arial" w:hAnsi="Arial" w:cs="Arial"/>
                <w:color w:val="000000" w:themeColor="text1"/>
                <w:sz w:val="20"/>
                <w:szCs w:val="20"/>
                <w:lang w:val="es-ES_tradnl" w:eastAsia="zh-CN"/>
              </w:rPr>
              <w:t xml:space="preserve">emplear </w:t>
            </w:r>
            <w:r w:rsidRPr="00CA0370">
              <w:rPr>
                <w:rFonts w:ascii="Arial" w:hAnsi="Arial" w:cs="Arial"/>
                <w:color w:val="000000" w:themeColor="text1"/>
                <w:sz w:val="20"/>
                <w:szCs w:val="20"/>
                <w:lang w:val="es-ES_tradnl" w:eastAsia="zh-CN"/>
              </w:rPr>
              <w:t>la cantidad inyectada como producto porque tanto la cantidad de proyectos privados o p</w:t>
            </w:r>
            <w:r w:rsidRPr="00CA0370" w:rsidR="00832F54">
              <w:rPr>
                <w:rFonts w:ascii="Arial" w:hAnsi="Arial" w:cs="Arial"/>
                <w:color w:val="000000" w:themeColor="text1"/>
                <w:sz w:val="20"/>
                <w:szCs w:val="20"/>
                <w:lang w:val="es-ES_tradnl" w:eastAsia="zh-CN"/>
              </w:rPr>
              <w:t>ú</w:t>
            </w:r>
            <w:r w:rsidRPr="00CA0370">
              <w:rPr>
                <w:rFonts w:ascii="Arial" w:hAnsi="Arial" w:cs="Arial"/>
                <w:color w:val="000000" w:themeColor="text1"/>
                <w:sz w:val="20"/>
                <w:szCs w:val="20"/>
                <w:lang w:val="es-ES_tradnl" w:eastAsia="zh-CN"/>
              </w:rPr>
              <w:t>blico</w:t>
            </w:r>
            <w:r w:rsidRPr="00CA0370" w:rsidR="003F7B5F">
              <w:rPr>
                <w:rFonts w:ascii="Arial" w:hAnsi="Arial" w:cs="Arial"/>
                <w:color w:val="000000" w:themeColor="text1"/>
                <w:sz w:val="20"/>
                <w:szCs w:val="20"/>
                <w:lang w:val="es-ES_tradnl" w:eastAsia="zh-CN"/>
              </w:rPr>
              <w:t>-</w:t>
            </w:r>
            <w:r w:rsidRPr="00CA0370">
              <w:rPr>
                <w:rFonts w:ascii="Arial" w:hAnsi="Arial" w:cs="Arial"/>
                <w:color w:val="000000" w:themeColor="text1"/>
                <w:sz w:val="20"/>
                <w:szCs w:val="20"/>
                <w:lang w:val="es-ES_tradnl" w:eastAsia="zh-CN"/>
              </w:rPr>
              <w:t>privados están sujetos a demanda y se prevé sea un número reducido</w:t>
            </w:r>
          </w:p>
        </w:tc>
      </w:tr>
      <w:tr w:rsidRPr="00CA0370" w:rsidR="00691F7C" w:rsidTr="004F1F45" w14:paraId="4626D9FC" w14:textId="77777777">
        <w:trPr>
          <w:trHeight w:val="20"/>
          <w:jc w:val="center"/>
        </w:trPr>
        <w:tc>
          <w:tcPr>
            <w:tcW w:w="915"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2A2EFC9A" w14:textId="0CFD9E78">
            <w:pPr>
              <w:pStyle w:val="ListParagraph"/>
              <w:spacing w:after="0" w:line="240" w:lineRule="auto"/>
              <w:ind w:left="0"/>
              <w:rPr>
                <w:rFonts w:ascii="Arial" w:hAnsi="Arial" w:cs="Arial"/>
                <w:b/>
                <w:sz w:val="20"/>
                <w:szCs w:val="20"/>
                <w:lang w:val="es-ES_tradnl" w:eastAsia="zh-CN"/>
              </w:rPr>
            </w:pPr>
            <w:r w:rsidRPr="00CA0370">
              <w:rPr>
                <w:rFonts w:ascii="Arial" w:hAnsi="Arial" w:cs="Arial"/>
                <w:b/>
                <w:sz w:val="20"/>
                <w:szCs w:val="20"/>
                <w:lang w:val="es-ES_tradnl" w:eastAsia="zh-CN"/>
              </w:rPr>
              <w:t>Costos totales (millones US$)</w:t>
            </w:r>
          </w:p>
        </w:tc>
        <w:tc>
          <w:tcPr>
            <w:tcW w:w="380"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679D7330" w14:textId="18628F27">
            <w:pPr>
              <w:ind w:left="-135" w:right="-105"/>
              <w:jc w:val="center"/>
              <w:rPr>
                <w:rFonts w:ascii="Arial" w:hAnsi="Arial" w:cs="Arial"/>
                <w:sz w:val="20"/>
                <w:szCs w:val="20"/>
                <w:lang w:val="es-ES_tradnl" w:eastAsia="zh-CN"/>
              </w:rPr>
            </w:pPr>
            <w:r w:rsidRPr="00CA0370">
              <w:rPr>
                <w:rFonts w:ascii="Arial" w:hAnsi="Arial" w:cs="Arial"/>
                <w:sz w:val="20"/>
                <w:szCs w:val="20"/>
                <w:lang w:val="es-ES_tradnl" w:eastAsia="zh-CN"/>
              </w:rPr>
              <w:t>Millones de US$</w:t>
            </w:r>
          </w:p>
        </w:tc>
        <w:tc>
          <w:tcPr>
            <w:tcW w:w="284"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1E58F113" w14:textId="63C19356">
            <w:pPr>
              <w:jc w:val="center"/>
              <w:rPr>
                <w:rFonts w:ascii="Arial" w:hAnsi="Arial" w:cs="Arial"/>
                <w:sz w:val="20"/>
                <w:szCs w:val="20"/>
                <w:lang w:val="es-ES_tradnl" w:eastAsia="zh-CN"/>
              </w:rPr>
            </w:pPr>
            <w:r w:rsidRPr="00CA0370">
              <w:rPr>
                <w:rFonts w:ascii="Arial" w:hAnsi="Arial" w:cs="Arial"/>
                <w:sz w:val="20"/>
                <w:szCs w:val="20"/>
                <w:lang w:val="es-ES_tradnl" w:eastAsia="zh-CN"/>
              </w:rPr>
              <w:t>0</w:t>
            </w:r>
          </w:p>
        </w:tc>
        <w:tc>
          <w:tcPr>
            <w:tcW w:w="308"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55252A50" w14:textId="159855DA">
            <w:pPr>
              <w:jc w:val="center"/>
              <w:rPr>
                <w:rFonts w:ascii="Arial" w:hAnsi="Arial" w:cs="Arial"/>
                <w:sz w:val="20"/>
                <w:szCs w:val="20"/>
                <w:lang w:val="es-ES_tradnl" w:eastAsia="zh-CN"/>
              </w:rPr>
            </w:pPr>
            <w:r w:rsidRPr="00CA0370">
              <w:rPr>
                <w:rFonts w:ascii="Arial" w:hAnsi="Arial" w:cs="Arial"/>
                <w:sz w:val="20"/>
                <w:szCs w:val="20"/>
                <w:lang w:val="es-ES_tradnl" w:eastAsia="zh-CN"/>
              </w:rPr>
              <w:t>2019</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0DD512B0" w14:textId="3E95D6B7">
            <w:pPr>
              <w:jc w:val="center"/>
              <w:rPr>
                <w:rFonts w:ascii="Arial" w:hAnsi="Arial" w:cs="Arial"/>
                <w:sz w:val="20"/>
                <w:szCs w:val="20"/>
                <w:lang w:val="es-ES_tradnl" w:eastAsia="zh-CN"/>
              </w:rPr>
            </w:pPr>
            <w:r w:rsidRPr="00CA0370">
              <w:rPr>
                <w:rFonts w:ascii="Arial" w:hAnsi="Arial" w:cs="Arial"/>
                <w:sz w:val="20"/>
                <w:szCs w:val="20"/>
                <w:lang w:val="es-ES_tradnl" w:eastAsia="zh-CN"/>
              </w:rPr>
              <w:t>7,5</w:t>
            </w:r>
          </w:p>
        </w:tc>
        <w:tc>
          <w:tcPr>
            <w:tcW w:w="282"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423A9253" w14:textId="05F6FD93">
            <w:pPr>
              <w:jc w:val="center"/>
              <w:rPr>
                <w:rFonts w:ascii="Arial" w:hAnsi="Arial" w:cs="Arial"/>
                <w:sz w:val="20"/>
                <w:szCs w:val="20"/>
                <w:lang w:val="es-ES_tradnl" w:eastAsia="zh-CN"/>
              </w:rPr>
            </w:pPr>
            <w:r w:rsidRPr="00CA0370">
              <w:rPr>
                <w:rFonts w:ascii="Arial" w:hAnsi="Arial" w:cs="Arial"/>
                <w:sz w:val="20"/>
                <w:szCs w:val="20"/>
                <w:lang w:val="es-ES_tradnl" w:eastAsia="zh-CN"/>
              </w:rPr>
              <w:t>12,5</w:t>
            </w:r>
          </w:p>
        </w:tc>
        <w:tc>
          <w:tcPr>
            <w:tcW w:w="247"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5C0C5052" w14:textId="3969AAB4">
            <w:pPr>
              <w:jc w:val="center"/>
              <w:rPr>
                <w:rFonts w:ascii="Arial" w:hAnsi="Arial" w:cs="Arial"/>
                <w:sz w:val="20"/>
                <w:szCs w:val="20"/>
                <w:lang w:val="es-ES_tradnl" w:eastAsia="zh-CN"/>
              </w:rPr>
            </w:pPr>
            <w:r w:rsidRPr="00CA0370">
              <w:rPr>
                <w:rFonts w:ascii="Arial" w:hAnsi="Arial" w:cs="Arial"/>
                <w:sz w:val="20"/>
                <w:szCs w:val="20"/>
                <w:lang w:val="es-ES_tradnl" w:eastAsia="zh-CN"/>
              </w:rPr>
              <w:t>15</w:t>
            </w:r>
          </w:p>
        </w:tc>
        <w:tc>
          <w:tcPr>
            <w:tcW w:w="303"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559D119B" w14:textId="769390D3">
            <w:pPr>
              <w:jc w:val="center"/>
              <w:rPr>
                <w:rFonts w:ascii="Arial" w:hAnsi="Arial" w:cs="Arial"/>
                <w:sz w:val="20"/>
                <w:szCs w:val="20"/>
                <w:lang w:val="es-ES_tradnl" w:eastAsia="zh-CN"/>
              </w:rPr>
            </w:pPr>
            <w:r w:rsidRPr="00CA0370">
              <w:rPr>
                <w:rFonts w:ascii="Arial" w:hAnsi="Arial" w:cs="Arial"/>
                <w:sz w:val="20"/>
                <w:szCs w:val="20"/>
                <w:lang w:val="es-ES_tradnl" w:eastAsia="zh-CN"/>
              </w:rPr>
              <w:t>15</w:t>
            </w:r>
          </w:p>
        </w:tc>
        <w:tc>
          <w:tcPr>
            <w:tcW w:w="310"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5F722F48" w14:textId="6B6D27CF">
            <w:pPr>
              <w:jc w:val="center"/>
              <w:rPr>
                <w:rFonts w:ascii="Arial" w:hAnsi="Arial" w:cs="Arial"/>
                <w:sz w:val="20"/>
                <w:szCs w:val="20"/>
                <w:lang w:val="es-ES_tradnl" w:eastAsia="zh-CN"/>
              </w:rPr>
            </w:pPr>
            <w:r w:rsidRPr="00CA0370">
              <w:rPr>
                <w:rFonts w:ascii="Arial" w:hAnsi="Arial" w:cs="Arial"/>
                <w:sz w:val="20"/>
                <w:szCs w:val="20"/>
                <w:lang w:val="es-ES_tradnl" w:eastAsia="zh-CN"/>
              </w:rPr>
              <w:t xml:space="preserve">50 </w:t>
            </w:r>
          </w:p>
        </w:tc>
        <w:tc>
          <w:tcPr>
            <w:tcW w:w="568"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3A8CC0A9" w14:textId="77777777">
            <w:pPr>
              <w:rPr>
                <w:rFonts w:ascii="Arial" w:hAnsi="Arial" w:cs="Arial"/>
                <w:sz w:val="20"/>
                <w:szCs w:val="20"/>
                <w:lang w:val="es-ES_tradnl" w:eastAsia="zh-CN"/>
              </w:rPr>
            </w:pPr>
          </w:p>
        </w:tc>
        <w:tc>
          <w:tcPr>
            <w:tcW w:w="1155" w:type="pct"/>
            <w:tcBorders>
              <w:top w:val="single" w:color="000000" w:sz="4" w:space="0"/>
              <w:left w:val="single" w:color="000000" w:sz="4" w:space="0"/>
              <w:bottom w:val="single" w:color="000000" w:sz="4" w:space="0"/>
              <w:right w:val="single" w:color="000000" w:sz="4" w:space="0"/>
            </w:tcBorders>
          </w:tcPr>
          <w:p w:rsidRPr="00CA0370" w:rsidR="00691F7C" w:rsidP="00B563B1" w:rsidRDefault="00691F7C" w14:paraId="44C7F5A0" w14:textId="77777777">
            <w:pPr>
              <w:rPr>
                <w:rFonts w:ascii="Arial" w:hAnsi="Arial" w:cs="Arial"/>
                <w:sz w:val="20"/>
                <w:szCs w:val="20"/>
                <w:lang w:val="es-ES_tradnl" w:eastAsia="zh-CN"/>
              </w:rPr>
            </w:pPr>
          </w:p>
        </w:tc>
      </w:tr>
    </w:tbl>
    <w:p w:rsidRPr="00CA0370" w:rsidR="00DE0491" w:rsidP="00832CEF" w:rsidRDefault="00832CEF" w14:paraId="58A3FA79" w14:textId="7E1BCA3A">
      <w:pPr>
        <w:pStyle w:val="Paragraph"/>
        <w:numPr>
          <w:ilvl w:val="0"/>
          <w:numId w:val="0"/>
        </w:numPr>
        <w:jc w:val="left"/>
        <w:rPr>
          <w:rFonts w:ascii="Arial" w:hAnsi="Arial" w:cs="Arial"/>
          <w:sz w:val="18"/>
          <w:szCs w:val="18"/>
          <w:lang w:val="es-ES_tradnl"/>
        </w:rPr>
      </w:pPr>
      <w:r w:rsidRPr="00CA0370">
        <w:rPr>
          <w:rFonts w:ascii="Arial" w:hAnsi="Arial" w:cs="Arial"/>
          <w:sz w:val="18"/>
          <w:szCs w:val="18"/>
          <w:lang w:val="es-ES_tradnl"/>
        </w:rPr>
        <w:t>Fuente: Elaboración propia.</w:t>
      </w:r>
    </w:p>
    <w:p w:rsidRPr="00CA0370" w:rsidR="00A9384F" w:rsidP="00111825" w:rsidRDefault="00A9384F" w14:paraId="2327FD98" w14:textId="77777777">
      <w:pPr>
        <w:pStyle w:val="Chapter"/>
        <w:spacing w:before="480"/>
        <w:ind w:left="540" w:hanging="540"/>
        <w:rPr>
          <w:rFonts w:ascii="Arial" w:hAnsi="Arial" w:cs="Arial"/>
          <w:sz w:val="22"/>
          <w:lang w:val="es-ES_tradnl"/>
        </w:rPr>
      </w:pPr>
      <w:bookmarkStart w:name="_Toc398652546" w:id="7"/>
      <w:bookmarkStart w:name="_Toc525339847" w:id="8"/>
      <w:r w:rsidRPr="00CA0370">
        <w:rPr>
          <w:rFonts w:ascii="Arial" w:hAnsi="Arial" w:cs="Arial"/>
          <w:sz w:val="22"/>
          <w:lang w:val="es-ES_tradnl"/>
        </w:rPr>
        <w:t>Monitoreo</w:t>
      </w:r>
      <w:bookmarkEnd w:id="7"/>
      <w:bookmarkEnd w:id="8"/>
    </w:p>
    <w:p w:rsidRPr="00CA0370" w:rsidR="00A9384F" w:rsidP="002F0E15" w:rsidRDefault="00A9384F" w14:paraId="50386890" w14:textId="77777777">
      <w:pPr>
        <w:pStyle w:val="FirstHeading"/>
        <w:ind w:left="540" w:hanging="540"/>
        <w:rPr>
          <w:rFonts w:ascii="Arial" w:hAnsi="Arial" w:cs="Arial"/>
          <w:sz w:val="22"/>
          <w:lang w:val="es-ES_tradnl"/>
        </w:rPr>
      </w:pPr>
      <w:r w:rsidRPr="00CA0370">
        <w:rPr>
          <w:rFonts w:ascii="Arial" w:hAnsi="Arial" w:cs="Arial"/>
          <w:sz w:val="22"/>
          <w:lang w:val="es-ES_tradnl"/>
        </w:rPr>
        <w:fldChar w:fldCharType="begin"/>
      </w:r>
      <w:r w:rsidRPr="00CA0370">
        <w:rPr>
          <w:rFonts w:ascii="Arial" w:hAnsi="Arial" w:cs="Arial"/>
          <w:sz w:val="22"/>
          <w:lang w:val="es-ES_tradnl"/>
        </w:rPr>
        <w:instrText xml:space="preserve"> SEQ "</w:instrText>
      </w:r>
      <w:r w:rsidRPr="00CA0370" w:rsidR="00B67295">
        <w:rPr>
          <w:rFonts w:ascii="Arial" w:hAnsi="Arial" w:cs="Arial"/>
          <w:sz w:val="22"/>
          <w:lang w:val="es-ES_tradnl"/>
        </w:rPr>
        <w:fldChar w:fldCharType="begin"/>
      </w:r>
      <w:r w:rsidRPr="00CA0370" w:rsidR="00B67295">
        <w:rPr>
          <w:rFonts w:ascii="Arial" w:hAnsi="Arial" w:cs="Arial"/>
          <w:sz w:val="22"/>
          <w:lang w:val="es-ES_tradnl"/>
        </w:rPr>
        <w:instrText xml:space="preserve"> SECTION  \* MERGEFORMAT </w:instrText>
      </w:r>
      <w:r w:rsidRPr="00CA0370" w:rsidR="00B67295">
        <w:rPr>
          <w:rFonts w:ascii="Arial" w:hAnsi="Arial" w:cs="Arial"/>
          <w:sz w:val="22"/>
          <w:lang w:val="es-ES_tradnl"/>
        </w:rPr>
        <w:fldChar w:fldCharType="separate"/>
      </w:r>
      <w:r w:rsidRPr="00CA0370" w:rsidR="002E6065">
        <w:rPr>
          <w:rFonts w:ascii="Arial" w:hAnsi="Arial" w:cs="Arial"/>
          <w:sz w:val="22"/>
          <w:lang w:val="es-ES_tradnl"/>
        </w:rPr>
        <w:instrText>4</w:instrText>
      </w:r>
      <w:r w:rsidRPr="00CA0370" w:rsidR="00B67295">
        <w:rPr>
          <w:rFonts w:ascii="Arial" w:hAnsi="Arial" w:cs="Arial"/>
          <w:sz w:val="22"/>
          <w:lang w:val="es-ES_tradnl"/>
        </w:rPr>
        <w:fldChar w:fldCharType="end"/>
      </w:r>
      <w:r w:rsidRPr="00CA0370">
        <w:rPr>
          <w:rFonts w:ascii="Arial" w:hAnsi="Arial" w:cs="Arial"/>
          <w:sz w:val="22"/>
          <w:lang w:val="es-ES_tradnl"/>
        </w:rPr>
        <w:instrText xml:space="preserve">#"\* ALPHABETIC \* MERGEFORMAT </w:instrText>
      </w:r>
      <w:r w:rsidRPr="00CA0370">
        <w:rPr>
          <w:rFonts w:ascii="Arial" w:hAnsi="Arial" w:cs="Arial"/>
          <w:sz w:val="22"/>
          <w:lang w:val="es-ES_tradnl"/>
        </w:rPr>
        <w:fldChar w:fldCharType="separate"/>
      </w:r>
      <w:bookmarkStart w:name="_Toc398652547" w:id="9"/>
      <w:bookmarkStart w:name="_Toc525339848" w:id="10"/>
      <w:r w:rsidRPr="00CA0370" w:rsidR="002E6065">
        <w:rPr>
          <w:rFonts w:ascii="Arial" w:hAnsi="Arial" w:cs="Arial"/>
          <w:sz w:val="22"/>
          <w:lang w:val="es-ES_tradnl"/>
        </w:rPr>
        <w:t>A</w:t>
      </w:r>
      <w:r w:rsidRPr="00CA0370">
        <w:rPr>
          <w:rFonts w:ascii="Arial" w:hAnsi="Arial" w:cs="Arial"/>
          <w:sz w:val="22"/>
          <w:lang w:val="es-ES_tradnl"/>
        </w:rPr>
        <w:fldChar w:fldCharType="end"/>
      </w:r>
      <w:r w:rsidRPr="00CA0370">
        <w:rPr>
          <w:rFonts w:ascii="Arial" w:hAnsi="Arial" w:cs="Arial"/>
          <w:sz w:val="22"/>
          <w:lang w:val="es-ES_tradnl"/>
        </w:rPr>
        <w:t>.</w:t>
      </w:r>
      <w:r w:rsidRPr="00CA0370">
        <w:rPr>
          <w:rFonts w:ascii="Arial" w:hAnsi="Arial" w:cs="Arial"/>
          <w:sz w:val="22"/>
          <w:lang w:val="es-ES_tradnl"/>
        </w:rPr>
        <w:tab/>
      </w:r>
      <w:r w:rsidRPr="00CA0370" w:rsidR="00876971">
        <w:rPr>
          <w:rFonts w:ascii="Arial" w:hAnsi="Arial" w:cs="Arial"/>
          <w:sz w:val="22"/>
          <w:lang w:val="es-ES_tradnl"/>
        </w:rPr>
        <w:t>Condiciones marco para el monitoreo</w:t>
      </w:r>
      <w:bookmarkEnd w:id="9"/>
      <w:bookmarkEnd w:id="10"/>
    </w:p>
    <w:p w:rsidRPr="00CA0370" w:rsidR="00876971" w:rsidP="002F0E15" w:rsidRDefault="00876971" w14:paraId="1F104CEF" w14:textId="291A026F">
      <w:pPr>
        <w:pStyle w:val="Paragraph"/>
        <w:ind w:left="540" w:hanging="540"/>
        <w:rPr>
          <w:rFonts w:ascii="Arial" w:hAnsi="Arial" w:cs="Arial"/>
          <w:sz w:val="22"/>
          <w:lang w:val="es-ES_tradnl"/>
        </w:rPr>
      </w:pPr>
      <w:r w:rsidRPr="00CA0370">
        <w:rPr>
          <w:rFonts w:ascii="Arial" w:hAnsi="Arial" w:cs="Arial"/>
          <w:b/>
          <w:sz w:val="22"/>
          <w:lang w:val="es-ES_tradnl"/>
        </w:rPr>
        <w:t>Organización y canalización.</w:t>
      </w:r>
      <w:r w:rsidRPr="00CA0370">
        <w:rPr>
          <w:rFonts w:ascii="Arial" w:hAnsi="Arial" w:cs="Arial"/>
          <w:sz w:val="22"/>
          <w:lang w:val="es-ES_tradnl"/>
        </w:rPr>
        <w:t xml:space="preserve"> El BROU ejecutará el programa en el marco de su actual estructura organizativa. Será responsable de canalizar los recursos del programa para aquellas operaciones que se e</w:t>
      </w:r>
      <w:r w:rsidRPr="00CA0370" w:rsidR="000631BA">
        <w:rPr>
          <w:rFonts w:ascii="Arial" w:hAnsi="Arial" w:cs="Arial"/>
          <w:sz w:val="22"/>
          <w:lang w:val="es-ES_tradnl"/>
        </w:rPr>
        <w:t xml:space="preserve">nmarcan de acuerdo </w:t>
      </w:r>
      <w:r w:rsidRPr="00CA0370" w:rsidR="00832F54">
        <w:rPr>
          <w:rFonts w:ascii="Arial" w:hAnsi="Arial" w:cs="Arial"/>
          <w:sz w:val="22"/>
          <w:lang w:val="es-ES_tradnl"/>
        </w:rPr>
        <w:t xml:space="preserve">con </w:t>
      </w:r>
      <w:r w:rsidRPr="00CA0370" w:rsidR="000631BA">
        <w:rPr>
          <w:rFonts w:ascii="Arial" w:hAnsi="Arial" w:cs="Arial"/>
          <w:sz w:val="22"/>
          <w:lang w:val="es-ES_tradnl"/>
        </w:rPr>
        <w:t>los C</w:t>
      </w:r>
      <w:r w:rsidRPr="00CA0370">
        <w:rPr>
          <w:rFonts w:ascii="Arial" w:hAnsi="Arial" w:cs="Arial"/>
          <w:sz w:val="22"/>
          <w:lang w:val="es-ES_tradnl"/>
        </w:rPr>
        <w:t xml:space="preserve">omponentes I y II del programa. </w:t>
      </w:r>
    </w:p>
    <w:p w:rsidRPr="00CA0370" w:rsidR="00876971" w:rsidP="002F0E15" w:rsidRDefault="00876971" w14:paraId="4F642086" w14:textId="3F7141C9">
      <w:pPr>
        <w:pStyle w:val="Paragraph"/>
        <w:ind w:left="540" w:hanging="540"/>
        <w:rPr>
          <w:rFonts w:ascii="Arial" w:hAnsi="Arial" w:cs="Arial"/>
          <w:sz w:val="22"/>
          <w:lang w:val="es-ES_tradnl"/>
        </w:rPr>
      </w:pPr>
      <w:r w:rsidRPr="00CA0370">
        <w:rPr>
          <w:rFonts w:ascii="Arial" w:hAnsi="Arial" w:cs="Arial"/>
          <w:b/>
          <w:sz w:val="22"/>
          <w:lang w:val="es-ES_tradnl"/>
        </w:rPr>
        <w:t>Gestión.</w:t>
      </w:r>
      <w:r w:rsidRPr="00CA0370">
        <w:rPr>
          <w:rFonts w:ascii="Arial" w:hAnsi="Arial" w:cs="Arial"/>
          <w:sz w:val="22"/>
          <w:lang w:val="es-ES_tradnl"/>
        </w:rPr>
        <w:t xml:space="preserve"> El BROU se comprometerá a asumir la gestión de los componentes indicados, incluyendo las funciones de planificación, comercialización, estructuración, coordinación, seguimiento operativo, seguimiento legal, control contable y financiero, monitoreo, evaluación, y cualquier otra función que sea necesaria para mantener una debida administración del programa. </w:t>
      </w:r>
    </w:p>
    <w:p w:rsidRPr="00CA0370" w:rsidR="00691F7C" w:rsidP="00E063B4" w:rsidRDefault="00691F7C" w14:paraId="46800AB9" w14:textId="77777777">
      <w:pPr>
        <w:pStyle w:val="Paragraph"/>
        <w:ind w:left="540" w:hanging="540"/>
        <w:rPr>
          <w:rFonts w:ascii="Arial" w:hAnsi="Arial" w:cs="Arial"/>
          <w:sz w:val="22"/>
          <w:lang w:val="es-ES_tradnl"/>
        </w:rPr>
      </w:pPr>
      <w:r w:rsidRPr="00CA0370">
        <w:rPr>
          <w:rFonts w:ascii="Arial" w:hAnsi="Arial" w:cs="Arial"/>
          <w:sz w:val="22"/>
          <w:lang w:val="es-ES_tradnl"/>
        </w:rPr>
        <w:t>El seguimiento del programa se hará a través de informes semestrales preparados por el ejecutor, los cuales tomarán como referencia los compromisos de la MR y los informes indicados en las Normas Generales</w:t>
      </w:r>
      <w:r w:rsidRPr="00CA0370">
        <w:rPr>
          <w:lang w:val="es-ES_tradnl"/>
        </w:rPr>
        <w:footnoteReference w:id="7"/>
      </w:r>
      <w:r w:rsidRPr="00CA0370">
        <w:rPr>
          <w:rFonts w:ascii="Arial" w:hAnsi="Arial" w:cs="Arial"/>
          <w:sz w:val="22"/>
          <w:lang w:val="es-ES_tradnl"/>
        </w:rPr>
        <w:t xml:space="preserve">. Adicionalmente, el Banco realizará visitas periódicas para acompañar y monitorear la ejecución del programa. </w:t>
      </w:r>
    </w:p>
    <w:p w:rsidRPr="00CA0370" w:rsidR="00240ADA" w:rsidP="002F0E15" w:rsidRDefault="00240ADA" w14:paraId="4F409B42" w14:textId="271744A5">
      <w:pPr>
        <w:pStyle w:val="Paragraph"/>
        <w:ind w:left="540" w:hanging="540"/>
        <w:rPr>
          <w:rFonts w:ascii="Arial" w:hAnsi="Arial" w:cs="Arial"/>
          <w:sz w:val="22"/>
          <w:lang w:val="es-ES_tradnl"/>
        </w:rPr>
      </w:pPr>
      <w:r w:rsidRPr="00CA0370">
        <w:rPr>
          <w:rFonts w:ascii="Arial" w:hAnsi="Arial" w:cs="Arial"/>
          <w:b/>
          <w:sz w:val="22"/>
          <w:lang w:val="es-ES_tradnl"/>
        </w:rPr>
        <w:t xml:space="preserve">Coordinación de normativas. </w:t>
      </w:r>
      <w:r w:rsidRPr="00CA0370" w:rsidR="00876971">
        <w:rPr>
          <w:rFonts w:ascii="Arial" w:hAnsi="Arial" w:cs="Arial"/>
          <w:sz w:val="22"/>
          <w:lang w:val="es-ES_tradnl"/>
        </w:rPr>
        <w:t xml:space="preserve">Las normas que regirán la ejecución del </w:t>
      </w:r>
      <w:r w:rsidRPr="00CA0370" w:rsidR="00E34CAE">
        <w:rPr>
          <w:rFonts w:ascii="Arial" w:hAnsi="Arial" w:cs="Arial"/>
          <w:sz w:val="22"/>
          <w:lang w:val="es-ES_tradnl"/>
        </w:rPr>
        <w:t>programa,</w:t>
      </w:r>
      <w:r w:rsidRPr="00CA0370" w:rsidR="00876971">
        <w:rPr>
          <w:rFonts w:ascii="Arial" w:hAnsi="Arial" w:cs="Arial"/>
          <w:sz w:val="22"/>
          <w:lang w:val="es-ES_tradnl"/>
        </w:rPr>
        <w:t xml:space="preserve"> así como la elegibilidad de los créditos individuales se establecerán en el Reglamento de Operaciones acordado entre el Banco y el BROU, de acuerdo con las normas y políticas del BROU y del Banco, y con las leyes y prácticas financieras del país. </w:t>
      </w:r>
    </w:p>
    <w:p w:rsidRPr="00CA0370" w:rsidR="00210ADE" w:rsidP="002F0E15" w:rsidRDefault="00240ADA" w14:paraId="07CBF4F3" w14:textId="78F22DDE">
      <w:pPr>
        <w:pStyle w:val="Paragraph"/>
        <w:ind w:left="540" w:hanging="540"/>
        <w:rPr>
          <w:rFonts w:ascii="Arial" w:hAnsi="Arial" w:cs="Arial"/>
          <w:sz w:val="20"/>
          <w:szCs w:val="20"/>
          <w:lang w:val="es-ES_tradnl"/>
        </w:rPr>
      </w:pPr>
      <w:r w:rsidRPr="00CA0370">
        <w:rPr>
          <w:rFonts w:ascii="Arial" w:hAnsi="Arial" w:cs="Arial"/>
          <w:b/>
          <w:sz w:val="20"/>
          <w:szCs w:val="20"/>
          <w:lang w:val="es-ES_tradnl"/>
        </w:rPr>
        <w:lastRenderedPageBreak/>
        <w:t>Reglamento operativo.</w:t>
      </w:r>
      <w:r w:rsidRPr="00CA0370">
        <w:rPr>
          <w:rFonts w:ascii="Arial" w:hAnsi="Arial" w:cs="Arial"/>
          <w:sz w:val="20"/>
          <w:szCs w:val="20"/>
          <w:lang w:val="es-ES_tradnl"/>
        </w:rPr>
        <w:t xml:space="preserve"> </w:t>
      </w:r>
      <w:r w:rsidRPr="00CA0370" w:rsidR="00876971">
        <w:rPr>
          <w:rFonts w:ascii="Arial" w:hAnsi="Arial" w:cs="Arial"/>
          <w:sz w:val="20"/>
          <w:szCs w:val="20"/>
          <w:lang w:val="es-ES_tradnl"/>
        </w:rPr>
        <w:t xml:space="preserve">En el reglamento operativo </w:t>
      </w:r>
      <w:r w:rsidRPr="00CA0370" w:rsidR="00691F7C">
        <w:rPr>
          <w:rFonts w:ascii="Arial" w:hAnsi="Arial" w:cs="Arial"/>
          <w:sz w:val="20"/>
          <w:szCs w:val="20"/>
          <w:lang w:val="es-ES_tradnl"/>
        </w:rPr>
        <w:t>describe</w:t>
      </w:r>
      <w:r w:rsidRPr="00CA0370" w:rsidR="00876971">
        <w:rPr>
          <w:rFonts w:ascii="Arial" w:hAnsi="Arial" w:cs="Arial"/>
          <w:sz w:val="20"/>
          <w:szCs w:val="20"/>
          <w:lang w:val="es-ES_tradnl"/>
        </w:rPr>
        <w:t xml:space="preserve"> en detalle el proceso interno de aprobación, los criterios de elegibilidad, las financiaciones elegibles, la mecánica del desembolso y los requerimientos de monitoreo y evaluación.</w:t>
      </w:r>
      <w:r w:rsidRPr="00CA0370" w:rsidDel="001609C9" w:rsidR="001609C9">
        <w:rPr>
          <w:rFonts w:ascii="Arial" w:hAnsi="Arial" w:cs="Arial"/>
          <w:sz w:val="20"/>
          <w:szCs w:val="20"/>
          <w:lang w:val="es-ES_tradnl"/>
        </w:rPr>
        <w:t xml:space="preserve"> </w:t>
      </w:r>
    </w:p>
    <w:p w:rsidRPr="00CA0370" w:rsidR="00691F7C" w:rsidP="00691F7C" w:rsidRDefault="00210ADE" w14:paraId="365B3441" w14:textId="3ABA5E6B">
      <w:pPr>
        <w:pStyle w:val="Paragraph"/>
        <w:ind w:left="540" w:hanging="540"/>
        <w:rPr>
          <w:rFonts w:ascii="Arial" w:hAnsi="Arial" w:cs="Arial" w:eastAsiaTheme="minorHAnsi"/>
          <w:bCs/>
          <w:sz w:val="20"/>
          <w:szCs w:val="20"/>
          <w:lang w:val="es-ES_tradnl"/>
        </w:rPr>
      </w:pPr>
      <w:bookmarkStart w:name="_Ref309401561" w:id="11"/>
      <w:bookmarkStart w:name="_Ref398130008" w:id="12"/>
      <w:r w:rsidRPr="00CA0370">
        <w:rPr>
          <w:rFonts w:ascii="Arial" w:hAnsi="Arial" w:cs="Arial" w:eastAsiaTheme="minorHAnsi"/>
          <w:b/>
          <w:bCs/>
          <w:sz w:val="20"/>
          <w:szCs w:val="20"/>
          <w:lang w:val="es-ES_tradnl"/>
        </w:rPr>
        <w:t>Mecanismo de desembolsos</w:t>
      </w:r>
      <w:r w:rsidRPr="00CA0370" w:rsidR="00691F7C">
        <w:rPr>
          <w:rFonts w:ascii="Arial" w:hAnsi="Arial" w:cs="Arial" w:eastAsiaTheme="minorHAnsi"/>
          <w:b/>
          <w:bCs/>
          <w:sz w:val="20"/>
          <w:szCs w:val="20"/>
          <w:lang w:val="es-ES_tradnl"/>
        </w:rPr>
        <w:t>.</w:t>
      </w:r>
      <w:r w:rsidRPr="00CA0370" w:rsidR="00691F7C">
        <w:rPr>
          <w:rFonts w:ascii="Arial" w:hAnsi="Arial" w:eastAsia="Calibri" w:cs="Arial"/>
          <w:b/>
          <w:smallCaps/>
          <w:sz w:val="20"/>
          <w:szCs w:val="20"/>
          <w:lang w:val="es-ES_tradnl"/>
        </w:rPr>
        <w:t xml:space="preserve"> </w:t>
      </w:r>
      <w:r w:rsidRPr="00CA0370" w:rsidR="00691F7C">
        <w:rPr>
          <w:rFonts w:ascii="Arial" w:hAnsi="Arial" w:cs="Arial" w:eastAsiaTheme="minorHAnsi"/>
          <w:bCs/>
          <w:sz w:val="20"/>
          <w:szCs w:val="20"/>
          <w:lang w:val="es-ES_tradnl"/>
        </w:rPr>
        <w:t>Los desembolsos se realizarán en función de la demanda efectiva que recibirá el BROU de las solicitudes de financiamiento para los dos componentes. El BID desembolsará los recursos al BROU para financiar préstamos directos vía reembolsos o anticipo de fondos, de acuerdo con la práctica habitual del Banco sobre la base de una programación de cartera o de la cartera acometida por el BROU. La verificación de los desembolsos se realizará en base a la modalidad ex post y estará sujeta a la revisión in situ de las operaciones otorgadas en base a una muestra representativa.</w:t>
      </w:r>
    </w:p>
    <w:p w:rsidRPr="00CA0370" w:rsidR="00CF685B" w:rsidP="00E96140" w:rsidRDefault="00691F7C" w14:paraId="4A5E6A1E" w14:textId="16C47FBF">
      <w:pPr>
        <w:pStyle w:val="Paragraph"/>
        <w:ind w:left="540" w:hanging="540"/>
        <w:rPr>
          <w:rFonts w:ascii="Arial" w:hAnsi="Arial" w:cs="Arial"/>
          <w:sz w:val="20"/>
          <w:szCs w:val="20"/>
          <w:lang w:val="es-ES_tradnl"/>
        </w:rPr>
      </w:pPr>
      <w:r w:rsidRPr="00CA0370" w:rsidDel="00691F7C">
        <w:rPr>
          <w:rFonts w:ascii="Arial" w:hAnsi="Arial" w:cs="Arial" w:eastAsiaTheme="minorHAnsi"/>
          <w:sz w:val="20"/>
          <w:szCs w:val="20"/>
          <w:lang w:val="es-ES_tradnl"/>
        </w:rPr>
        <w:t xml:space="preserve"> </w:t>
      </w:r>
      <w:bookmarkEnd w:id="11"/>
      <w:bookmarkEnd w:id="12"/>
      <w:r w:rsidRPr="00CA0370" w:rsidR="002816A4">
        <w:rPr>
          <w:rFonts w:ascii="Arial" w:hAnsi="Arial" w:cs="Arial"/>
          <w:b/>
          <w:sz w:val="20"/>
          <w:szCs w:val="20"/>
          <w:lang w:val="es-ES_tradnl"/>
        </w:rPr>
        <w:t>Costo</w:t>
      </w:r>
      <w:r w:rsidRPr="00CA0370" w:rsidR="00CF685B">
        <w:rPr>
          <w:rFonts w:ascii="Arial" w:hAnsi="Arial" w:cs="Arial"/>
          <w:b/>
          <w:sz w:val="20"/>
          <w:szCs w:val="20"/>
          <w:lang w:val="es-ES_tradnl"/>
        </w:rPr>
        <w:t xml:space="preserve">s </w:t>
      </w:r>
      <w:r w:rsidRPr="00CA0370" w:rsidR="0090178B">
        <w:rPr>
          <w:rFonts w:ascii="Arial" w:hAnsi="Arial" w:cs="Arial"/>
          <w:b/>
          <w:sz w:val="20"/>
          <w:szCs w:val="20"/>
          <w:lang w:val="es-ES_tradnl"/>
        </w:rPr>
        <w:t xml:space="preserve">de </w:t>
      </w:r>
      <w:r w:rsidRPr="00CA0370" w:rsidR="00CF685B">
        <w:rPr>
          <w:rFonts w:ascii="Arial" w:hAnsi="Arial" w:cs="Arial"/>
          <w:b/>
          <w:sz w:val="20"/>
          <w:szCs w:val="20"/>
          <w:lang w:val="es-ES_tradnl"/>
        </w:rPr>
        <w:t xml:space="preserve">transacción o financieros. </w:t>
      </w:r>
      <w:r w:rsidRPr="00CA0370" w:rsidR="00CF685B">
        <w:rPr>
          <w:rFonts w:ascii="Arial" w:hAnsi="Arial" w:cs="Arial"/>
          <w:sz w:val="20"/>
          <w:szCs w:val="20"/>
          <w:lang w:val="es-ES_tradnl"/>
        </w:rPr>
        <w:t>Se espera que el monitoreo de amb</w:t>
      </w:r>
      <w:r w:rsidRPr="00CA0370" w:rsidR="0090178B">
        <w:rPr>
          <w:rFonts w:ascii="Arial" w:hAnsi="Arial" w:cs="Arial"/>
          <w:sz w:val="20"/>
          <w:szCs w:val="20"/>
          <w:lang w:val="es-ES_tradnl"/>
        </w:rPr>
        <w:t xml:space="preserve">os componentes no implique </w:t>
      </w:r>
      <w:r w:rsidRPr="00CA0370" w:rsidR="002816A4">
        <w:rPr>
          <w:rFonts w:ascii="Arial" w:hAnsi="Arial" w:cs="Arial"/>
          <w:sz w:val="20"/>
          <w:szCs w:val="20"/>
          <w:lang w:val="es-ES_tradnl"/>
        </w:rPr>
        <w:t>costo</w:t>
      </w:r>
      <w:r w:rsidRPr="00CA0370" w:rsidR="00CF685B">
        <w:rPr>
          <w:rFonts w:ascii="Arial" w:hAnsi="Arial" w:cs="Arial"/>
          <w:sz w:val="20"/>
          <w:szCs w:val="20"/>
          <w:lang w:val="es-ES_tradnl"/>
        </w:rPr>
        <w:t>s adicionales a los ya incluidos en la operación normal del BROU, institución que ya tiene en funcionamiento departamentos y personal dedic</w:t>
      </w:r>
      <w:r w:rsidRPr="00CA0370" w:rsidR="0090178B">
        <w:rPr>
          <w:rFonts w:ascii="Arial" w:hAnsi="Arial" w:cs="Arial"/>
          <w:sz w:val="20"/>
          <w:szCs w:val="20"/>
          <w:lang w:val="es-ES_tradnl"/>
        </w:rPr>
        <w:t xml:space="preserve">ados a estas tareas, cuyos </w:t>
      </w:r>
      <w:r w:rsidRPr="00CA0370" w:rsidR="002816A4">
        <w:rPr>
          <w:rFonts w:ascii="Arial" w:hAnsi="Arial" w:cs="Arial"/>
          <w:sz w:val="20"/>
          <w:szCs w:val="20"/>
          <w:lang w:val="es-ES_tradnl"/>
        </w:rPr>
        <w:t>costo</w:t>
      </w:r>
      <w:r w:rsidRPr="00CA0370" w:rsidR="00CF685B">
        <w:rPr>
          <w:rFonts w:ascii="Arial" w:hAnsi="Arial" w:cs="Arial"/>
          <w:sz w:val="20"/>
          <w:szCs w:val="20"/>
          <w:lang w:val="es-ES_tradnl"/>
        </w:rPr>
        <w:t>s operativos no se verán afectado</w:t>
      </w:r>
      <w:r w:rsidRPr="00CA0370" w:rsidR="00FC35CA">
        <w:rPr>
          <w:rFonts w:ascii="Arial" w:hAnsi="Arial" w:cs="Arial"/>
          <w:sz w:val="20"/>
          <w:szCs w:val="20"/>
          <w:lang w:val="es-ES_tradnl"/>
        </w:rPr>
        <w:t>s</w:t>
      </w:r>
      <w:r w:rsidRPr="00CA0370" w:rsidR="00CF685B">
        <w:rPr>
          <w:rFonts w:ascii="Arial" w:hAnsi="Arial" w:cs="Arial"/>
          <w:sz w:val="20"/>
          <w:szCs w:val="20"/>
          <w:lang w:val="es-ES_tradnl"/>
        </w:rPr>
        <w:t xml:space="preserve"> por las operaciones adicionales requeridas por este programa ya que existe la suficiente capacidad instalada (a nivel técnico y operativo).</w:t>
      </w:r>
    </w:p>
    <w:p w:rsidRPr="00CA0370" w:rsidR="000046F2" w:rsidP="002F0E15" w:rsidRDefault="002035E7" w14:paraId="2319EDB2" w14:textId="103876C8">
      <w:pPr>
        <w:pStyle w:val="Paragraph"/>
        <w:ind w:left="540" w:hanging="540"/>
        <w:rPr>
          <w:rFonts w:ascii="Arial" w:hAnsi="Arial" w:cs="Arial"/>
          <w:sz w:val="20"/>
          <w:szCs w:val="20"/>
          <w:lang w:val="es-ES_tradnl"/>
        </w:rPr>
      </w:pPr>
      <w:r w:rsidRPr="00CA0370">
        <w:rPr>
          <w:rFonts w:ascii="Arial" w:hAnsi="Arial" w:cs="Arial"/>
          <w:b/>
          <w:sz w:val="20"/>
          <w:szCs w:val="20"/>
          <w:lang w:val="es-ES_tradnl"/>
        </w:rPr>
        <w:t>Aceptación Matriz de R</w:t>
      </w:r>
      <w:r w:rsidRPr="00CA0370" w:rsidR="000046F2">
        <w:rPr>
          <w:rFonts w:ascii="Arial" w:hAnsi="Arial" w:cs="Arial"/>
          <w:b/>
          <w:sz w:val="20"/>
          <w:szCs w:val="20"/>
          <w:lang w:val="es-ES_tradnl"/>
        </w:rPr>
        <w:t>esultados</w:t>
      </w:r>
      <w:r w:rsidRPr="00CA0370">
        <w:rPr>
          <w:rFonts w:ascii="Arial" w:hAnsi="Arial" w:cs="Arial"/>
          <w:b/>
          <w:sz w:val="20"/>
          <w:szCs w:val="20"/>
          <w:lang w:val="es-ES_tradnl"/>
        </w:rPr>
        <w:t xml:space="preserve"> (MR)</w:t>
      </w:r>
      <w:r w:rsidRPr="00CA0370" w:rsidR="000046F2">
        <w:rPr>
          <w:rFonts w:ascii="Arial" w:hAnsi="Arial" w:cs="Arial"/>
          <w:b/>
          <w:sz w:val="20"/>
          <w:szCs w:val="20"/>
          <w:lang w:val="es-ES_tradnl"/>
        </w:rPr>
        <w:t xml:space="preserve">. </w:t>
      </w:r>
      <w:r w:rsidRPr="00CA0370" w:rsidR="000046F2">
        <w:rPr>
          <w:rFonts w:ascii="Arial" w:hAnsi="Arial" w:cs="Arial"/>
          <w:sz w:val="20"/>
          <w:szCs w:val="20"/>
          <w:lang w:val="es-ES_tradnl"/>
        </w:rPr>
        <w:t xml:space="preserve">Existe acuerdo entre el BID y el BROU (prestatario y organismo ejecutor) a los efectos de usar la </w:t>
      </w:r>
      <w:r w:rsidRPr="00CA0370">
        <w:rPr>
          <w:rFonts w:ascii="Arial" w:hAnsi="Arial" w:cs="Arial"/>
          <w:sz w:val="20"/>
          <w:szCs w:val="20"/>
          <w:lang w:val="es-ES_tradnl"/>
        </w:rPr>
        <w:t xml:space="preserve">MR </w:t>
      </w:r>
      <w:r w:rsidRPr="00CA0370" w:rsidR="000046F2">
        <w:rPr>
          <w:rFonts w:ascii="Arial" w:hAnsi="Arial" w:cs="Arial"/>
          <w:sz w:val="20"/>
          <w:szCs w:val="20"/>
          <w:lang w:val="es-ES_tradnl"/>
        </w:rPr>
        <w:t>para guiar el monitoreo de la información.</w:t>
      </w:r>
    </w:p>
    <w:p w:rsidRPr="00CA0370" w:rsidR="00A9384F" w:rsidP="002F0E15" w:rsidRDefault="00A9384F" w14:paraId="34C0959D" w14:textId="77777777">
      <w:pPr>
        <w:pStyle w:val="FirstHeading"/>
        <w:ind w:left="540" w:hanging="540"/>
        <w:rPr>
          <w:rFonts w:ascii="Arial" w:hAnsi="Arial" w:cs="Arial"/>
          <w:sz w:val="20"/>
          <w:szCs w:val="20"/>
          <w:lang w:val="es-ES_tradnl"/>
        </w:rPr>
      </w:pPr>
      <w:r w:rsidRPr="00CA0370">
        <w:rPr>
          <w:rFonts w:ascii="Arial" w:hAnsi="Arial" w:cs="Arial"/>
          <w:sz w:val="20"/>
          <w:szCs w:val="20"/>
          <w:lang w:val="es-ES_tradnl"/>
        </w:rPr>
        <w:fldChar w:fldCharType="begin"/>
      </w:r>
      <w:r w:rsidRPr="00CA0370">
        <w:rPr>
          <w:rFonts w:ascii="Arial" w:hAnsi="Arial" w:cs="Arial"/>
          <w:sz w:val="20"/>
          <w:szCs w:val="20"/>
          <w:lang w:val="es-ES_tradnl"/>
        </w:rPr>
        <w:instrText xml:space="preserve"> SEQ "</w:instrText>
      </w:r>
      <w:r w:rsidRPr="00CA0370" w:rsidR="00B67295">
        <w:rPr>
          <w:rFonts w:ascii="Arial" w:hAnsi="Arial" w:cs="Arial"/>
          <w:sz w:val="20"/>
          <w:szCs w:val="20"/>
          <w:lang w:val="es-ES_tradnl"/>
        </w:rPr>
        <w:fldChar w:fldCharType="begin"/>
      </w:r>
      <w:r w:rsidRPr="00CA0370" w:rsidR="00B67295">
        <w:rPr>
          <w:rFonts w:ascii="Arial" w:hAnsi="Arial" w:cs="Arial"/>
          <w:sz w:val="20"/>
          <w:szCs w:val="20"/>
          <w:lang w:val="es-ES_tradnl"/>
        </w:rPr>
        <w:instrText xml:space="preserve"> SECTION  \* MERGEFORMAT </w:instrText>
      </w:r>
      <w:r w:rsidRPr="00CA0370" w:rsidR="00B67295">
        <w:rPr>
          <w:rFonts w:ascii="Arial" w:hAnsi="Arial" w:cs="Arial"/>
          <w:sz w:val="20"/>
          <w:szCs w:val="20"/>
          <w:lang w:val="es-ES_tradnl"/>
        </w:rPr>
        <w:fldChar w:fldCharType="separate"/>
      </w:r>
      <w:r w:rsidRPr="00CA0370" w:rsidR="002E6065">
        <w:rPr>
          <w:rFonts w:ascii="Arial" w:hAnsi="Arial" w:cs="Arial"/>
          <w:sz w:val="20"/>
          <w:szCs w:val="20"/>
          <w:lang w:val="es-ES_tradnl"/>
        </w:rPr>
        <w:instrText>4</w:instrText>
      </w:r>
      <w:r w:rsidRPr="00CA0370" w:rsidR="00B67295">
        <w:rPr>
          <w:rFonts w:ascii="Arial" w:hAnsi="Arial" w:cs="Arial"/>
          <w:sz w:val="20"/>
          <w:szCs w:val="20"/>
          <w:lang w:val="es-ES_tradnl"/>
        </w:rPr>
        <w:fldChar w:fldCharType="end"/>
      </w:r>
      <w:r w:rsidRPr="00CA0370">
        <w:rPr>
          <w:rFonts w:ascii="Arial" w:hAnsi="Arial" w:cs="Arial"/>
          <w:sz w:val="20"/>
          <w:szCs w:val="20"/>
          <w:lang w:val="es-ES_tradnl"/>
        </w:rPr>
        <w:instrText xml:space="preserve">#"\* ALPHABETIC \* MERGEFORMAT </w:instrText>
      </w:r>
      <w:r w:rsidRPr="00CA0370">
        <w:rPr>
          <w:rFonts w:ascii="Arial" w:hAnsi="Arial" w:cs="Arial"/>
          <w:sz w:val="20"/>
          <w:szCs w:val="20"/>
          <w:lang w:val="es-ES_tradnl"/>
        </w:rPr>
        <w:fldChar w:fldCharType="separate"/>
      </w:r>
      <w:bookmarkStart w:name="_Toc398652548" w:id="13"/>
      <w:bookmarkStart w:name="_Toc525339849" w:id="14"/>
      <w:r w:rsidRPr="00CA0370" w:rsidR="002E6065">
        <w:rPr>
          <w:rFonts w:ascii="Arial" w:hAnsi="Arial" w:cs="Arial"/>
          <w:sz w:val="20"/>
          <w:szCs w:val="20"/>
          <w:lang w:val="es-ES_tradnl"/>
        </w:rPr>
        <w:t>B</w:t>
      </w:r>
      <w:r w:rsidRPr="00CA0370">
        <w:rPr>
          <w:rFonts w:ascii="Arial" w:hAnsi="Arial" w:cs="Arial"/>
          <w:sz w:val="20"/>
          <w:szCs w:val="20"/>
          <w:lang w:val="es-ES_tradnl"/>
        </w:rPr>
        <w:fldChar w:fldCharType="end"/>
      </w:r>
      <w:r w:rsidRPr="00CA0370">
        <w:rPr>
          <w:rFonts w:ascii="Arial" w:hAnsi="Arial" w:cs="Arial"/>
          <w:sz w:val="20"/>
          <w:szCs w:val="20"/>
          <w:lang w:val="es-ES_tradnl"/>
        </w:rPr>
        <w:t>.</w:t>
      </w:r>
      <w:r w:rsidRPr="00CA0370">
        <w:rPr>
          <w:rFonts w:ascii="Arial" w:hAnsi="Arial" w:cs="Arial"/>
          <w:sz w:val="20"/>
          <w:szCs w:val="20"/>
          <w:lang w:val="es-ES_tradnl"/>
        </w:rPr>
        <w:tab/>
      </w:r>
      <w:r w:rsidRPr="00CA0370" w:rsidR="00A83FB0">
        <w:rPr>
          <w:rFonts w:ascii="Arial" w:hAnsi="Arial" w:cs="Arial"/>
          <w:sz w:val="20"/>
          <w:szCs w:val="20"/>
          <w:lang w:val="es-ES_tradnl"/>
        </w:rPr>
        <w:t>Indicadores de monitoreo</w:t>
      </w:r>
      <w:bookmarkEnd w:id="13"/>
      <w:bookmarkEnd w:id="14"/>
      <w:r w:rsidRPr="00CA0370" w:rsidR="00D901F7">
        <w:rPr>
          <w:rFonts w:ascii="Arial" w:hAnsi="Arial" w:cs="Arial"/>
          <w:sz w:val="20"/>
          <w:szCs w:val="20"/>
          <w:lang w:val="es-ES_tradnl"/>
        </w:rPr>
        <w:t xml:space="preserve"> </w:t>
      </w:r>
    </w:p>
    <w:p w:rsidRPr="00CA0370" w:rsidR="00A62BEE" w:rsidP="00A62BEE" w:rsidRDefault="00A62BEE" w14:paraId="25C53352" w14:textId="3C847B86">
      <w:pPr>
        <w:pStyle w:val="Paragraph"/>
        <w:ind w:left="540" w:hanging="540"/>
        <w:rPr>
          <w:rFonts w:ascii="Arial" w:hAnsi="Arial" w:cs="Arial"/>
          <w:sz w:val="20"/>
          <w:szCs w:val="20"/>
          <w:lang w:val="es-ES_tradnl"/>
        </w:rPr>
      </w:pPr>
      <w:r w:rsidRPr="00CA0370">
        <w:rPr>
          <w:rFonts w:ascii="Arial" w:hAnsi="Arial" w:cs="Arial"/>
          <w:sz w:val="20"/>
          <w:szCs w:val="20"/>
          <w:lang w:val="es-ES_tradnl"/>
        </w:rPr>
        <w:t>Previo a establecer los</w:t>
      </w:r>
      <w:r w:rsidRPr="00CA0370" w:rsidR="00827FD1">
        <w:rPr>
          <w:rFonts w:ascii="Arial" w:hAnsi="Arial" w:cs="Arial"/>
          <w:sz w:val="20"/>
          <w:szCs w:val="20"/>
          <w:lang w:val="es-ES_tradnl"/>
        </w:rPr>
        <w:t xml:space="preserve"> indicadores de monitoreo, en </w:t>
      </w:r>
      <w:r w:rsidRPr="00CA0370" w:rsidR="00EA1BAD">
        <w:rPr>
          <w:rFonts w:ascii="Arial" w:hAnsi="Arial" w:cs="Arial"/>
          <w:sz w:val="20"/>
          <w:szCs w:val="20"/>
          <w:lang w:val="es-ES_tradnl"/>
        </w:rPr>
        <w:t>e</w:t>
      </w:r>
      <w:r w:rsidRPr="00CA0370" w:rsidR="00827FD1">
        <w:rPr>
          <w:rFonts w:ascii="Arial" w:hAnsi="Arial" w:cs="Arial"/>
          <w:sz w:val="20"/>
          <w:szCs w:val="20"/>
          <w:lang w:val="es-ES_tradnl"/>
        </w:rPr>
        <w:t xml:space="preserve">l siguiente </w:t>
      </w:r>
      <w:r w:rsidRPr="00CA0370" w:rsidR="00EA1BAD">
        <w:rPr>
          <w:rFonts w:ascii="Arial" w:hAnsi="Arial" w:cs="Arial"/>
          <w:sz w:val="20"/>
          <w:szCs w:val="20"/>
          <w:lang w:val="es-ES_tradnl"/>
        </w:rPr>
        <w:t>Cuadro</w:t>
      </w:r>
      <w:r w:rsidRPr="00CA0370">
        <w:rPr>
          <w:rFonts w:ascii="Arial" w:hAnsi="Arial" w:cs="Arial"/>
          <w:sz w:val="20"/>
          <w:szCs w:val="20"/>
          <w:lang w:val="es-ES_tradnl"/>
        </w:rPr>
        <w:t xml:space="preserve"> 2 se recoge la teoría del cambio sobre la que descansa esta segunda operación</w:t>
      </w:r>
      <w:r w:rsidRPr="00CA0370" w:rsidR="002035E7">
        <w:rPr>
          <w:rFonts w:ascii="Arial" w:hAnsi="Arial" w:cs="Arial"/>
          <w:sz w:val="20"/>
          <w:szCs w:val="20"/>
          <w:lang w:val="es-ES_tradnl"/>
        </w:rPr>
        <w:t>, y que constituye la base para el establecimiento de la lógica vertical de dicha operación.</w:t>
      </w:r>
    </w:p>
    <w:p w:rsidRPr="00CA0370" w:rsidR="00B67465" w:rsidP="00A62BEE" w:rsidRDefault="00B67465" w14:paraId="7A659ED3" w14:textId="77777777">
      <w:pPr>
        <w:pStyle w:val="Paragraph"/>
        <w:numPr>
          <w:ilvl w:val="0"/>
          <w:numId w:val="0"/>
        </w:numPr>
        <w:ind w:left="540" w:hanging="540"/>
        <w:jc w:val="center"/>
        <w:rPr>
          <w:rFonts w:ascii="Arial" w:hAnsi="Arial" w:cs="Arial"/>
          <w:b/>
          <w:sz w:val="20"/>
          <w:szCs w:val="20"/>
          <w:lang w:val="es-ES_tradnl"/>
        </w:rPr>
      </w:pPr>
    </w:p>
    <w:p w:rsidRPr="00CA0370" w:rsidR="00A62BEE" w:rsidP="00A62BEE" w:rsidRDefault="00EA1BAD" w14:paraId="558813B5" w14:textId="09E921B5">
      <w:pPr>
        <w:pStyle w:val="Paragraph"/>
        <w:numPr>
          <w:ilvl w:val="0"/>
          <w:numId w:val="0"/>
        </w:numPr>
        <w:ind w:left="540" w:hanging="540"/>
        <w:jc w:val="center"/>
        <w:rPr>
          <w:rFonts w:ascii="Arial" w:hAnsi="Arial" w:cs="Arial"/>
          <w:b/>
          <w:sz w:val="20"/>
          <w:szCs w:val="20"/>
          <w:lang w:val="es-ES_tradnl"/>
        </w:rPr>
      </w:pPr>
      <w:r w:rsidRPr="00CA0370">
        <w:rPr>
          <w:rFonts w:ascii="Arial" w:hAnsi="Arial" w:cs="Arial"/>
          <w:b/>
          <w:sz w:val="20"/>
          <w:szCs w:val="20"/>
          <w:lang w:val="es-ES_tradnl"/>
        </w:rPr>
        <w:t>Cuadro 2:</w:t>
      </w:r>
      <w:r w:rsidRPr="00CA0370" w:rsidR="00A62BEE">
        <w:rPr>
          <w:rFonts w:ascii="Arial" w:hAnsi="Arial" w:cs="Arial"/>
          <w:b/>
          <w:sz w:val="20"/>
          <w:szCs w:val="20"/>
          <w:lang w:val="es-ES_tradnl"/>
        </w:rPr>
        <w:t xml:space="preserve"> Teoría del cambio </w:t>
      </w:r>
    </w:p>
    <w:tbl>
      <w:tblPr>
        <w:tblStyle w:val="TableGrid"/>
        <w:tblW w:w="9592" w:type="dxa"/>
        <w:tblInd w:w="-342" w:type="dxa"/>
        <w:tblLayout w:type="fixed"/>
        <w:tblCellMar>
          <w:left w:w="115" w:type="dxa"/>
          <w:right w:w="115" w:type="dxa"/>
        </w:tblCellMar>
        <w:tblLook w:val="04A0" w:firstRow="1" w:lastRow="0" w:firstColumn="1" w:lastColumn="0" w:noHBand="0" w:noVBand="1"/>
      </w:tblPr>
      <w:tblGrid>
        <w:gridCol w:w="1620"/>
        <w:gridCol w:w="1890"/>
        <w:gridCol w:w="1980"/>
        <w:gridCol w:w="1980"/>
        <w:gridCol w:w="2122"/>
      </w:tblGrid>
      <w:tr w:rsidRPr="00CA0370" w:rsidR="00373E2D" w:rsidTr="002816A4" w14:paraId="0D5883E0" w14:textId="77777777">
        <w:trPr>
          <w:tblHeader/>
        </w:trPr>
        <w:tc>
          <w:tcPr>
            <w:tcW w:w="1620" w:type="dxa"/>
            <w:shd w:val="clear" w:color="auto" w:fill="C6D9F1" w:themeFill="text2" w:themeFillTint="33"/>
          </w:tcPr>
          <w:p w:rsidRPr="00CA0370" w:rsidR="00A62BEE" w:rsidP="000D45AB" w:rsidRDefault="00A62BEE" w14:paraId="6068F618" w14:textId="77777777">
            <w:pPr>
              <w:pStyle w:val="Paragraph"/>
              <w:numPr>
                <w:ilvl w:val="0"/>
                <w:numId w:val="0"/>
              </w:numPr>
              <w:spacing w:before="0" w:after="0"/>
              <w:ind w:left="547" w:hanging="547"/>
              <w:jc w:val="center"/>
              <w:rPr>
                <w:rFonts w:ascii="Arial" w:hAnsi="Arial" w:cs="Arial"/>
                <w:b/>
                <w:sz w:val="20"/>
                <w:szCs w:val="20"/>
                <w:lang w:val="es-ES_tradnl"/>
              </w:rPr>
            </w:pPr>
            <w:r w:rsidRPr="00CA0370">
              <w:rPr>
                <w:rFonts w:ascii="Arial" w:hAnsi="Arial" w:cs="Arial"/>
                <w:b/>
                <w:sz w:val="20"/>
                <w:szCs w:val="20"/>
                <w:lang w:val="es-ES_tradnl"/>
              </w:rPr>
              <w:t>Insumos</w:t>
            </w:r>
          </w:p>
        </w:tc>
        <w:tc>
          <w:tcPr>
            <w:tcW w:w="1890" w:type="dxa"/>
            <w:shd w:val="clear" w:color="auto" w:fill="C6D9F1" w:themeFill="text2" w:themeFillTint="33"/>
          </w:tcPr>
          <w:p w:rsidRPr="00CA0370" w:rsidR="00A62BEE" w:rsidP="000D45AB" w:rsidRDefault="00A62BEE" w14:paraId="35B5F3C6" w14:textId="77777777">
            <w:pPr>
              <w:pStyle w:val="Paragraph"/>
              <w:numPr>
                <w:ilvl w:val="0"/>
                <w:numId w:val="0"/>
              </w:numPr>
              <w:spacing w:before="0" w:after="0"/>
              <w:ind w:left="547" w:hanging="547"/>
              <w:jc w:val="center"/>
              <w:rPr>
                <w:rFonts w:ascii="Arial" w:hAnsi="Arial" w:cs="Arial"/>
                <w:b/>
                <w:sz w:val="20"/>
                <w:szCs w:val="20"/>
                <w:lang w:val="es-ES_tradnl"/>
              </w:rPr>
            </w:pPr>
            <w:r w:rsidRPr="00CA0370">
              <w:rPr>
                <w:rFonts w:ascii="Arial" w:hAnsi="Arial" w:cs="Arial"/>
                <w:b/>
                <w:sz w:val="20"/>
                <w:szCs w:val="20"/>
                <w:lang w:val="es-ES_tradnl"/>
              </w:rPr>
              <w:t>Actividades</w:t>
            </w:r>
          </w:p>
        </w:tc>
        <w:tc>
          <w:tcPr>
            <w:tcW w:w="1980" w:type="dxa"/>
            <w:shd w:val="clear" w:color="auto" w:fill="C6D9F1" w:themeFill="text2" w:themeFillTint="33"/>
          </w:tcPr>
          <w:p w:rsidRPr="00CA0370" w:rsidR="00A62BEE" w:rsidP="000D45AB" w:rsidRDefault="00A62BEE" w14:paraId="2055D2D7" w14:textId="77777777">
            <w:pPr>
              <w:pStyle w:val="Paragraph"/>
              <w:numPr>
                <w:ilvl w:val="0"/>
                <w:numId w:val="0"/>
              </w:numPr>
              <w:spacing w:before="0" w:after="0"/>
              <w:ind w:left="547" w:hanging="547"/>
              <w:jc w:val="center"/>
              <w:rPr>
                <w:rFonts w:ascii="Arial" w:hAnsi="Arial" w:cs="Arial"/>
                <w:b/>
                <w:sz w:val="20"/>
                <w:szCs w:val="20"/>
                <w:lang w:val="es-ES_tradnl"/>
              </w:rPr>
            </w:pPr>
            <w:r w:rsidRPr="00CA0370">
              <w:rPr>
                <w:rFonts w:ascii="Arial" w:hAnsi="Arial" w:cs="Arial"/>
                <w:b/>
                <w:sz w:val="20"/>
                <w:szCs w:val="20"/>
                <w:lang w:val="es-ES_tradnl"/>
              </w:rPr>
              <w:t>Productos</w:t>
            </w:r>
          </w:p>
        </w:tc>
        <w:tc>
          <w:tcPr>
            <w:tcW w:w="1980" w:type="dxa"/>
            <w:shd w:val="clear" w:color="auto" w:fill="C6D9F1" w:themeFill="text2" w:themeFillTint="33"/>
          </w:tcPr>
          <w:p w:rsidRPr="00CA0370" w:rsidR="00A62BEE" w:rsidP="000D45AB" w:rsidRDefault="00A62BEE" w14:paraId="178648C4" w14:textId="77777777">
            <w:pPr>
              <w:pStyle w:val="Paragraph"/>
              <w:numPr>
                <w:ilvl w:val="0"/>
                <w:numId w:val="0"/>
              </w:numPr>
              <w:spacing w:before="0" w:after="0"/>
              <w:ind w:left="547" w:hanging="547"/>
              <w:jc w:val="center"/>
              <w:rPr>
                <w:rFonts w:ascii="Arial" w:hAnsi="Arial" w:cs="Arial"/>
                <w:b/>
                <w:sz w:val="20"/>
                <w:szCs w:val="20"/>
                <w:lang w:val="es-ES_tradnl"/>
              </w:rPr>
            </w:pPr>
            <w:r w:rsidRPr="00CA0370">
              <w:rPr>
                <w:rFonts w:ascii="Arial" w:hAnsi="Arial" w:cs="Arial"/>
                <w:b/>
                <w:sz w:val="20"/>
                <w:szCs w:val="20"/>
                <w:lang w:val="es-ES_tradnl"/>
              </w:rPr>
              <w:t>Resultados</w:t>
            </w:r>
          </w:p>
        </w:tc>
        <w:tc>
          <w:tcPr>
            <w:tcW w:w="2122" w:type="dxa"/>
            <w:shd w:val="clear" w:color="auto" w:fill="C6D9F1" w:themeFill="text2" w:themeFillTint="33"/>
          </w:tcPr>
          <w:p w:rsidRPr="00CA0370" w:rsidR="00A62BEE" w:rsidP="000D45AB" w:rsidRDefault="00A62BEE" w14:paraId="15A245B2" w14:textId="77777777">
            <w:pPr>
              <w:pStyle w:val="Paragraph"/>
              <w:numPr>
                <w:ilvl w:val="0"/>
                <w:numId w:val="0"/>
              </w:numPr>
              <w:spacing w:before="0" w:after="0"/>
              <w:ind w:left="547" w:hanging="547"/>
              <w:jc w:val="center"/>
              <w:rPr>
                <w:rFonts w:ascii="Arial" w:hAnsi="Arial" w:cs="Arial"/>
                <w:b/>
                <w:sz w:val="20"/>
                <w:szCs w:val="20"/>
                <w:lang w:val="es-ES_tradnl"/>
              </w:rPr>
            </w:pPr>
            <w:r w:rsidRPr="00CA0370">
              <w:rPr>
                <w:rFonts w:ascii="Arial" w:hAnsi="Arial" w:cs="Arial"/>
                <w:b/>
                <w:sz w:val="20"/>
                <w:szCs w:val="20"/>
                <w:lang w:val="es-ES_tradnl"/>
              </w:rPr>
              <w:t>Impactos</w:t>
            </w:r>
          </w:p>
        </w:tc>
      </w:tr>
      <w:tr w:rsidRPr="00CA0370" w:rsidR="00373E2D" w:rsidTr="002816A4" w14:paraId="7F5AFB5F" w14:textId="77777777">
        <w:tc>
          <w:tcPr>
            <w:tcW w:w="1620" w:type="dxa"/>
            <w:shd w:val="clear" w:color="auto" w:fill="F2F2F2" w:themeFill="background1" w:themeFillShade="F2"/>
          </w:tcPr>
          <w:p w:rsidRPr="00CA0370" w:rsidR="00A62BEE" w:rsidP="000D45AB" w:rsidRDefault="00A62BEE" w14:paraId="17C7E36C" w14:textId="77777777">
            <w:pPr>
              <w:jc w:val="center"/>
              <w:rPr>
                <w:rFonts w:ascii="Arial" w:hAnsi="Arial" w:cs="Arial"/>
                <w:sz w:val="20"/>
                <w:szCs w:val="20"/>
                <w:lang w:val="es-ES_tradnl"/>
              </w:rPr>
            </w:pPr>
            <w:r w:rsidRPr="00CA0370">
              <w:rPr>
                <w:rFonts w:ascii="Arial" w:hAnsi="Arial" w:cs="Arial"/>
                <w:sz w:val="20"/>
                <w:szCs w:val="20"/>
                <w:lang w:val="es-ES_tradnl"/>
              </w:rPr>
              <w:t>Recursos financieros y humanos para apoyar las actividades</w:t>
            </w:r>
          </w:p>
        </w:tc>
        <w:tc>
          <w:tcPr>
            <w:tcW w:w="1890" w:type="dxa"/>
            <w:shd w:val="clear" w:color="auto" w:fill="F2F2F2" w:themeFill="background1" w:themeFillShade="F2"/>
          </w:tcPr>
          <w:p w:rsidRPr="00CA0370" w:rsidR="00A62BEE" w:rsidP="000D45AB" w:rsidRDefault="00A62BEE" w14:paraId="6A6C5ECE" w14:textId="77777777">
            <w:pPr>
              <w:jc w:val="center"/>
              <w:rPr>
                <w:rFonts w:ascii="Arial" w:hAnsi="Arial" w:cs="Arial"/>
                <w:sz w:val="20"/>
                <w:szCs w:val="20"/>
                <w:lang w:val="es-ES_tradnl"/>
              </w:rPr>
            </w:pPr>
            <w:r w:rsidRPr="00CA0370">
              <w:rPr>
                <w:rFonts w:ascii="Arial" w:hAnsi="Arial" w:cs="Arial"/>
                <w:sz w:val="20"/>
                <w:szCs w:val="20"/>
                <w:lang w:val="es-ES_tradnl"/>
              </w:rPr>
              <w:t>Acciones para convertir los insumos en productos</w:t>
            </w:r>
          </w:p>
        </w:tc>
        <w:tc>
          <w:tcPr>
            <w:tcW w:w="1980" w:type="dxa"/>
            <w:shd w:val="clear" w:color="auto" w:fill="F2F2F2" w:themeFill="background1" w:themeFillShade="F2"/>
          </w:tcPr>
          <w:p w:rsidRPr="00CA0370" w:rsidR="00A62BEE" w:rsidP="006F537B" w:rsidRDefault="00A62BEE" w14:paraId="5A7DE3FE" w14:textId="0A86C564">
            <w:pPr>
              <w:jc w:val="center"/>
              <w:rPr>
                <w:rFonts w:ascii="Arial" w:hAnsi="Arial" w:cs="Arial"/>
                <w:sz w:val="20"/>
                <w:szCs w:val="20"/>
                <w:lang w:val="es-ES_tradnl"/>
              </w:rPr>
            </w:pPr>
            <w:r w:rsidRPr="00CA0370">
              <w:rPr>
                <w:rFonts w:ascii="Arial" w:hAnsi="Arial" w:cs="Arial"/>
                <w:sz w:val="20"/>
                <w:szCs w:val="20"/>
                <w:lang w:val="es-ES_tradnl"/>
              </w:rPr>
              <w:t xml:space="preserve">Bienes y servicios producidos por la transformación de insumos </w:t>
            </w:r>
            <w:r w:rsidRPr="00CA0370" w:rsidR="006F537B">
              <w:rPr>
                <w:rFonts w:ascii="Arial" w:hAnsi="Arial" w:cs="Arial"/>
                <w:sz w:val="20"/>
                <w:szCs w:val="20"/>
                <w:lang w:val="es-ES_tradnl"/>
              </w:rPr>
              <w:t>(1)</w:t>
            </w:r>
          </w:p>
        </w:tc>
        <w:tc>
          <w:tcPr>
            <w:tcW w:w="1980" w:type="dxa"/>
            <w:shd w:val="clear" w:color="auto" w:fill="F2F2F2" w:themeFill="background1" w:themeFillShade="F2"/>
          </w:tcPr>
          <w:p w:rsidRPr="00CA0370" w:rsidR="00A62BEE" w:rsidP="006F537B" w:rsidRDefault="00A62BEE" w14:paraId="2AA07B57" w14:textId="50539A2E">
            <w:pPr>
              <w:jc w:val="center"/>
              <w:rPr>
                <w:rFonts w:ascii="Arial" w:hAnsi="Arial" w:cs="Arial"/>
                <w:sz w:val="20"/>
                <w:szCs w:val="20"/>
                <w:lang w:val="es-ES_tradnl"/>
              </w:rPr>
            </w:pPr>
            <w:r w:rsidRPr="00CA0370">
              <w:rPr>
                <w:rFonts w:ascii="Arial" w:hAnsi="Arial" w:cs="Arial"/>
                <w:sz w:val="20"/>
                <w:szCs w:val="20"/>
                <w:lang w:val="es-ES_tradnl"/>
              </w:rPr>
              <w:t>Derivados del uso de los productos por parte de la población beneficiaria</w:t>
            </w:r>
            <w:r w:rsidRPr="00CA0370" w:rsidR="006F537B">
              <w:rPr>
                <w:rFonts w:ascii="Arial" w:hAnsi="Arial" w:cs="Arial"/>
                <w:sz w:val="20"/>
                <w:szCs w:val="20"/>
                <w:lang w:val="es-ES_tradnl"/>
              </w:rPr>
              <w:t xml:space="preserve"> (2)</w:t>
            </w:r>
          </w:p>
        </w:tc>
        <w:tc>
          <w:tcPr>
            <w:tcW w:w="2122" w:type="dxa"/>
            <w:shd w:val="clear" w:color="auto" w:fill="F2F2F2" w:themeFill="background1" w:themeFillShade="F2"/>
          </w:tcPr>
          <w:p w:rsidRPr="00CA0370" w:rsidR="00A62BEE" w:rsidP="000D45AB" w:rsidRDefault="00A62BEE" w14:paraId="69A879F1" w14:textId="4E768C37">
            <w:pPr>
              <w:jc w:val="center"/>
              <w:rPr>
                <w:rFonts w:ascii="Arial" w:hAnsi="Arial" w:cs="Arial"/>
                <w:sz w:val="20"/>
                <w:szCs w:val="20"/>
                <w:lang w:val="es-ES_tradnl"/>
              </w:rPr>
            </w:pPr>
            <w:r w:rsidRPr="00CA0370">
              <w:rPr>
                <w:rFonts w:ascii="Arial" w:hAnsi="Arial" w:cs="Arial"/>
                <w:sz w:val="20"/>
                <w:szCs w:val="20"/>
                <w:lang w:val="es-ES_tradnl"/>
              </w:rPr>
              <w:t>Derivados de la consecución de los objetivos del programa a largo plazo</w:t>
            </w:r>
          </w:p>
        </w:tc>
      </w:tr>
      <w:tr w:rsidRPr="00CA0370" w:rsidR="00373E2D" w:rsidTr="002816A4" w14:paraId="17BCD622" w14:textId="77777777">
        <w:tc>
          <w:tcPr>
            <w:tcW w:w="1620" w:type="dxa"/>
          </w:tcPr>
          <w:p w:rsidRPr="00CA0370" w:rsidR="00A62BEE" w:rsidP="000D45AB" w:rsidRDefault="00A62BEE" w14:paraId="606A7022" w14:textId="77777777">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Recursos financieros BID</w:t>
            </w:r>
          </w:p>
          <w:p w:rsidRPr="00CA0370" w:rsidR="00A62BEE" w:rsidP="000D45AB" w:rsidRDefault="00A62BEE" w14:paraId="6E5CB5AB" w14:textId="34EDFDB6">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Personal técnico del BID y del BROU</w:t>
            </w:r>
          </w:p>
        </w:tc>
        <w:tc>
          <w:tcPr>
            <w:tcW w:w="1890" w:type="dxa"/>
          </w:tcPr>
          <w:p w:rsidRPr="00CA0370" w:rsidR="00A62BEE" w:rsidP="006F537B" w:rsidRDefault="00A62BEE" w14:paraId="75B261D8" w14:textId="5A07D030">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 xml:space="preserve">Evaluación ofertas </w:t>
            </w:r>
            <w:r w:rsidRPr="00CA0370" w:rsidR="006F537B">
              <w:rPr>
                <w:rFonts w:ascii="Arial" w:hAnsi="Arial" w:cs="Arial"/>
                <w:sz w:val="20"/>
                <w:szCs w:val="20"/>
                <w:lang w:val="es-ES_tradnl"/>
              </w:rPr>
              <w:t xml:space="preserve">de </w:t>
            </w:r>
            <w:r w:rsidRPr="00CA0370" w:rsidR="003D6CE3">
              <w:rPr>
                <w:rFonts w:ascii="Arial" w:hAnsi="Arial" w:cs="Arial"/>
                <w:sz w:val="20"/>
                <w:szCs w:val="20"/>
                <w:lang w:val="es-ES_tradnl"/>
              </w:rPr>
              <w:t xml:space="preserve">empresas y </w:t>
            </w:r>
            <w:r w:rsidRPr="00CA0370" w:rsidR="00EA1BAD">
              <w:rPr>
                <w:rFonts w:ascii="Arial" w:hAnsi="Arial" w:cs="Arial"/>
                <w:sz w:val="20"/>
                <w:szCs w:val="20"/>
                <w:lang w:val="es-ES_tradnl"/>
              </w:rPr>
              <w:t xml:space="preserve">las </w:t>
            </w:r>
            <w:r w:rsidRPr="00CA0370" w:rsidR="003A38E6">
              <w:rPr>
                <w:rFonts w:ascii="Arial" w:hAnsi="Arial" w:cs="Arial"/>
                <w:sz w:val="20"/>
                <w:szCs w:val="20"/>
                <w:lang w:val="es-ES_tradnl"/>
              </w:rPr>
              <w:t>PPP</w:t>
            </w:r>
            <w:r w:rsidRPr="00CA0370" w:rsidR="006F537B">
              <w:rPr>
                <w:rFonts w:ascii="Arial" w:hAnsi="Arial" w:cs="Arial"/>
                <w:sz w:val="20"/>
                <w:szCs w:val="20"/>
                <w:lang w:val="es-ES_tradnl"/>
              </w:rPr>
              <w:t>.</w:t>
            </w:r>
          </w:p>
        </w:tc>
        <w:tc>
          <w:tcPr>
            <w:tcW w:w="1980" w:type="dxa"/>
          </w:tcPr>
          <w:p w:rsidRPr="00CA0370" w:rsidR="00A62BEE" w:rsidP="006F537B" w:rsidRDefault="00B563B1" w14:paraId="57609E11" w14:textId="4D74E2D9">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 xml:space="preserve">Montos </w:t>
            </w:r>
            <w:r w:rsidRPr="00CA0370" w:rsidR="00A62BEE">
              <w:rPr>
                <w:rFonts w:ascii="Arial" w:hAnsi="Arial" w:cs="Arial"/>
                <w:sz w:val="20"/>
                <w:szCs w:val="20"/>
                <w:lang w:val="es-ES_tradnl"/>
              </w:rPr>
              <w:t xml:space="preserve">otorgados a empresas </w:t>
            </w:r>
            <w:r w:rsidRPr="00CA0370" w:rsidR="009711A4">
              <w:rPr>
                <w:rFonts w:ascii="Arial" w:hAnsi="Arial" w:cs="Arial"/>
                <w:sz w:val="20"/>
                <w:szCs w:val="20"/>
                <w:lang w:val="es-ES_tradnl"/>
              </w:rPr>
              <w:t xml:space="preserve">privadas o público-privadas. </w:t>
            </w:r>
            <w:r w:rsidRPr="00CA0370" w:rsidR="006F537B">
              <w:rPr>
                <w:rFonts w:ascii="Arial" w:hAnsi="Arial" w:cs="Arial"/>
                <w:sz w:val="20"/>
                <w:szCs w:val="20"/>
                <w:lang w:val="es-ES_tradnl"/>
              </w:rPr>
              <w:t>(3)</w:t>
            </w:r>
          </w:p>
        </w:tc>
        <w:tc>
          <w:tcPr>
            <w:tcW w:w="1980" w:type="dxa"/>
          </w:tcPr>
          <w:p w:rsidRPr="00CA0370" w:rsidR="006D5722" w:rsidP="006D5722" w:rsidRDefault="00AB584D" w14:paraId="65F84FF9" w14:textId="292AFFE4">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Incrementar la p</w:t>
            </w:r>
            <w:r w:rsidRPr="00CA0370" w:rsidR="006D5722">
              <w:rPr>
                <w:rFonts w:ascii="Arial" w:hAnsi="Arial" w:cs="Arial"/>
                <w:sz w:val="20"/>
                <w:szCs w:val="20"/>
                <w:lang w:val="es-ES_tradnl"/>
              </w:rPr>
              <w:t xml:space="preserve">roducción maderera </w:t>
            </w:r>
            <w:r w:rsidRPr="00CA0370">
              <w:rPr>
                <w:rFonts w:ascii="Arial" w:hAnsi="Arial" w:cs="Arial"/>
                <w:sz w:val="20"/>
                <w:szCs w:val="20"/>
                <w:lang w:val="es-ES_tradnl"/>
              </w:rPr>
              <w:t>sector agroforestal</w:t>
            </w:r>
            <w:r w:rsidRPr="00CA0370" w:rsidR="006D5722">
              <w:rPr>
                <w:rFonts w:ascii="Arial" w:hAnsi="Arial" w:cs="Arial"/>
                <w:sz w:val="20"/>
                <w:szCs w:val="20"/>
                <w:lang w:val="es-ES_tradnl"/>
              </w:rPr>
              <w:t xml:space="preserve"> </w:t>
            </w:r>
          </w:p>
          <w:p w:rsidRPr="00CA0370" w:rsidR="009711A4" w:rsidP="009711A4" w:rsidRDefault="009711A4" w14:paraId="70EFB9F4" w14:textId="160096DE">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Incrementar las exportaciones forestales.</w:t>
            </w:r>
          </w:p>
          <w:p w:rsidRPr="00CA0370" w:rsidR="006D5722" w:rsidP="006D5722" w:rsidRDefault="00AB584D" w14:paraId="0220FE45" w14:textId="71A7A052">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Incrementar el transito viajeros</w:t>
            </w:r>
          </w:p>
          <w:p w:rsidRPr="00CA0370" w:rsidR="00A62BEE" w:rsidP="006D5722" w:rsidRDefault="00AB584D" w14:paraId="6A7213E7" w14:textId="46BE6977">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 xml:space="preserve">Incrementar el diferencial plazos a </w:t>
            </w:r>
            <w:r w:rsidRPr="00CA0370" w:rsidR="006D5722">
              <w:rPr>
                <w:rFonts w:ascii="Arial" w:hAnsi="Arial" w:cs="Arial"/>
                <w:sz w:val="20"/>
                <w:szCs w:val="20"/>
                <w:lang w:val="es-ES_tradnl"/>
              </w:rPr>
              <w:t>MP y LP</w:t>
            </w:r>
          </w:p>
          <w:p w:rsidRPr="00CA0370" w:rsidR="00AB584D" w:rsidP="00373E2D" w:rsidRDefault="00AB584D" w14:paraId="0DC0DF4C" w14:textId="11E0E7DB">
            <w:pPr>
              <w:pStyle w:val="ListParagraph"/>
              <w:numPr>
                <w:ilvl w:val="0"/>
                <w:numId w:val="30"/>
              </w:numPr>
              <w:ind w:right="-80"/>
              <w:rPr>
                <w:rFonts w:ascii="Arial" w:hAnsi="Arial" w:cs="Arial"/>
                <w:sz w:val="20"/>
                <w:szCs w:val="20"/>
                <w:lang w:val="es-ES_tradnl"/>
              </w:rPr>
            </w:pPr>
            <w:r w:rsidRPr="00CA0370">
              <w:rPr>
                <w:rFonts w:ascii="Arial" w:hAnsi="Arial" w:cs="Arial"/>
                <w:sz w:val="20"/>
                <w:szCs w:val="20"/>
                <w:lang w:val="es-ES_tradnl"/>
              </w:rPr>
              <w:t xml:space="preserve">Incrementar el apalancamiento </w:t>
            </w:r>
            <w:r w:rsidRPr="00CA0370">
              <w:rPr>
                <w:rFonts w:ascii="Arial" w:hAnsi="Arial" w:cs="Arial"/>
                <w:sz w:val="20"/>
                <w:szCs w:val="20"/>
                <w:lang w:val="es-ES_tradnl"/>
              </w:rPr>
              <w:lastRenderedPageBreak/>
              <w:t>de los proyectos de inversión</w:t>
            </w:r>
          </w:p>
        </w:tc>
        <w:tc>
          <w:tcPr>
            <w:tcW w:w="2122" w:type="dxa"/>
          </w:tcPr>
          <w:p w:rsidRPr="00CA0370" w:rsidR="009F2455" w:rsidP="009F2455" w:rsidRDefault="009F2455" w14:paraId="53A93F72" w14:textId="7C2B6611">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lastRenderedPageBreak/>
              <w:t>Incrementar la productividad agroindustrial incluyendo la agroforestal</w:t>
            </w:r>
          </w:p>
          <w:p w:rsidRPr="00CA0370" w:rsidR="00A62BEE" w:rsidP="009F2455" w:rsidRDefault="009F2455" w14:paraId="3B431657" w14:textId="5EC8258E">
            <w:pPr>
              <w:pStyle w:val="ListParagraph"/>
              <w:numPr>
                <w:ilvl w:val="0"/>
                <w:numId w:val="30"/>
              </w:numPr>
              <w:rPr>
                <w:rFonts w:ascii="Arial" w:hAnsi="Arial" w:cs="Arial"/>
                <w:sz w:val="20"/>
                <w:szCs w:val="20"/>
                <w:lang w:val="es-ES_tradnl"/>
              </w:rPr>
            </w:pPr>
            <w:r w:rsidRPr="00CA0370">
              <w:rPr>
                <w:rFonts w:ascii="Arial" w:hAnsi="Arial" w:cs="Arial"/>
                <w:sz w:val="20"/>
                <w:szCs w:val="20"/>
                <w:lang w:val="es-ES_tradnl"/>
              </w:rPr>
              <w:t>Mejorar la calidad de la infraestructura de transporte</w:t>
            </w:r>
          </w:p>
        </w:tc>
      </w:tr>
      <w:tr w:rsidRPr="00CA0370" w:rsidR="00373E2D" w:rsidTr="004F1F45" w14:paraId="13F16436" w14:textId="77777777">
        <w:tc>
          <w:tcPr>
            <w:tcW w:w="5490" w:type="dxa"/>
            <w:gridSpan w:val="3"/>
            <w:tcBorders>
              <w:bottom w:val="single" w:color="auto" w:sz="4" w:space="0"/>
            </w:tcBorders>
            <w:shd w:val="clear" w:color="auto" w:fill="F2F2F2" w:themeFill="background1" w:themeFillShade="F2"/>
          </w:tcPr>
          <w:p w:rsidRPr="00CA0370" w:rsidR="00A62BEE" w:rsidP="000D45AB" w:rsidRDefault="00A62BEE" w14:paraId="426F979D" w14:textId="654E44EC">
            <w:pPr>
              <w:jc w:val="center"/>
              <w:rPr>
                <w:rFonts w:ascii="Arial" w:hAnsi="Arial" w:cs="Arial"/>
                <w:sz w:val="20"/>
                <w:szCs w:val="20"/>
                <w:lang w:val="es-ES_tradnl"/>
              </w:rPr>
            </w:pPr>
            <w:r w:rsidRPr="00CA0370">
              <w:rPr>
                <w:rFonts w:ascii="Arial" w:hAnsi="Arial" w:cs="Arial"/>
                <w:b/>
                <w:sz w:val="20"/>
                <w:szCs w:val="20"/>
                <w:lang w:val="es-ES_tradnl"/>
              </w:rPr>
              <w:t>Implementación (lado de la oferta)</w:t>
            </w:r>
          </w:p>
        </w:tc>
        <w:tc>
          <w:tcPr>
            <w:tcW w:w="4102" w:type="dxa"/>
            <w:gridSpan w:val="2"/>
            <w:tcBorders>
              <w:bottom w:val="single" w:color="auto" w:sz="4" w:space="0"/>
            </w:tcBorders>
            <w:shd w:val="clear" w:color="auto" w:fill="F2F2F2" w:themeFill="background1" w:themeFillShade="F2"/>
          </w:tcPr>
          <w:p w:rsidRPr="00CA0370" w:rsidR="00A62BEE" w:rsidP="000D45AB" w:rsidRDefault="00A62BEE" w14:paraId="4E1843E4" w14:textId="77777777">
            <w:pPr>
              <w:jc w:val="center"/>
              <w:rPr>
                <w:rFonts w:ascii="Arial" w:hAnsi="Arial" w:cs="Arial"/>
                <w:sz w:val="20"/>
                <w:szCs w:val="20"/>
                <w:lang w:val="es-ES_tradnl"/>
              </w:rPr>
            </w:pPr>
            <w:r w:rsidRPr="00CA0370">
              <w:rPr>
                <w:rFonts w:ascii="Arial" w:hAnsi="Arial" w:cs="Arial"/>
                <w:b/>
                <w:sz w:val="20"/>
                <w:szCs w:val="20"/>
                <w:lang w:val="es-ES_tradnl"/>
              </w:rPr>
              <w:t>Resultados (demanda + oferta)</w:t>
            </w:r>
          </w:p>
        </w:tc>
      </w:tr>
      <w:tr w:rsidRPr="00CA0370" w:rsidR="00373E2D" w:rsidTr="004F1F45" w14:paraId="7D4BD489" w14:textId="77777777">
        <w:trPr>
          <w:trHeight w:val="224"/>
        </w:trPr>
        <w:tc>
          <w:tcPr>
            <w:tcW w:w="9592" w:type="dxa"/>
            <w:gridSpan w:val="5"/>
            <w:tcBorders>
              <w:left w:val="nil"/>
              <w:bottom w:val="nil"/>
              <w:right w:val="nil"/>
            </w:tcBorders>
            <w:shd w:val="clear" w:color="auto" w:fill="auto"/>
          </w:tcPr>
          <w:p w:rsidRPr="00CA0370" w:rsidR="006F537B" w:rsidP="002035E7" w:rsidRDefault="006F537B" w14:paraId="233682FC" w14:textId="550BC31F">
            <w:pPr>
              <w:jc w:val="both"/>
              <w:rPr>
                <w:rFonts w:ascii="Arial" w:hAnsi="Arial" w:cs="Arial"/>
                <w:b/>
                <w:sz w:val="18"/>
                <w:szCs w:val="18"/>
                <w:lang w:val="es-ES_tradnl"/>
              </w:rPr>
            </w:pPr>
            <w:r w:rsidRPr="00CA0370">
              <w:rPr>
                <w:rFonts w:ascii="Arial" w:hAnsi="Arial" w:cs="Arial"/>
                <w:b/>
                <w:sz w:val="18"/>
                <w:szCs w:val="18"/>
                <w:lang w:val="es-ES_tradnl"/>
              </w:rPr>
              <w:t xml:space="preserve">Notas: </w:t>
            </w:r>
            <w:r w:rsidRPr="00CA0370">
              <w:rPr>
                <w:rFonts w:ascii="Arial" w:hAnsi="Arial" w:cs="Arial"/>
                <w:sz w:val="18"/>
                <w:szCs w:val="18"/>
                <w:lang w:val="es-ES_tradnl"/>
              </w:rPr>
              <w:t xml:space="preserve">(1) </w:t>
            </w:r>
            <w:r w:rsidRPr="00CA0370" w:rsidR="009F2455">
              <w:rPr>
                <w:rFonts w:ascii="Arial" w:hAnsi="Arial" w:cs="Arial"/>
                <w:sz w:val="18"/>
                <w:szCs w:val="18"/>
                <w:lang w:val="es-ES_tradnl"/>
              </w:rPr>
              <w:t>B</w:t>
            </w:r>
            <w:r w:rsidRPr="00CA0370">
              <w:rPr>
                <w:rFonts w:ascii="Arial" w:hAnsi="Arial" w:cs="Arial"/>
                <w:sz w:val="18"/>
                <w:szCs w:val="18"/>
                <w:lang w:val="es-ES_tradnl"/>
              </w:rPr>
              <w:t xml:space="preserve">ajo control del organismo ejecutor; (2) No totalmente bajo el control del </w:t>
            </w:r>
            <w:r w:rsidRPr="00CA0370" w:rsidR="009F2455">
              <w:rPr>
                <w:rFonts w:ascii="Arial" w:hAnsi="Arial" w:cs="Arial"/>
                <w:sz w:val="18"/>
                <w:szCs w:val="18"/>
                <w:lang w:val="es-ES_tradnl"/>
              </w:rPr>
              <w:t>organismo ejecutor; (3) P</w:t>
            </w:r>
            <w:r w:rsidRPr="00CA0370">
              <w:rPr>
                <w:rFonts w:ascii="Arial" w:hAnsi="Arial" w:cs="Arial"/>
                <w:sz w:val="18"/>
                <w:szCs w:val="18"/>
                <w:lang w:val="es-ES_tradnl"/>
              </w:rPr>
              <w:t>otencial apalancamiento de la inversión.</w:t>
            </w:r>
          </w:p>
        </w:tc>
      </w:tr>
    </w:tbl>
    <w:p w:rsidRPr="00CA0370" w:rsidR="00A62BEE" w:rsidP="004F1F45" w:rsidRDefault="00832CEF" w14:paraId="2CBB1511" w14:textId="7AEFB5B4">
      <w:pPr>
        <w:pStyle w:val="Paragraph"/>
        <w:numPr>
          <w:ilvl w:val="0"/>
          <w:numId w:val="0"/>
        </w:numPr>
        <w:ind w:left="-180"/>
        <w:jc w:val="left"/>
        <w:rPr>
          <w:rFonts w:ascii="Arial" w:hAnsi="Arial" w:cs="Arial"/>
          <w:sz w:val="18"/>
          <w:szCs w:val="18"/>
          <w:lang w:val="es-ES_tradnl"/>
        </w:rPr>
      </w:pPr>
      <w:r w:rsidRPr="00CA0370">
        <w:rPr>
          <w:rFonts w:ascii="Arial" w:hAnsi="Arial" w:cs="Arial"/>
          <w:sz w:val="18"/>
          <w:szCs w:val="18"/>
          <w:lang w:val="es-ES_tradnl"/>
        </w:rPr>
        <w:t>Fuente: Elaboración propia.</w:t>
      </w:r>
    </w:p>
    <w:p w:rsidRPr="00CA0370" w:rsidR="00111825" w:rsidP="008C73F9" w:rsidRDefault="002F0E15" w14:paraId="0F74614F" w14:textId="3F55A8AE">
      <w:pPr>
        <w:pStyle w:val="Paragraph"/>
        <w:ind w:left="540" w:hanging="540"/>
        <w:rPr>
          <w:rFonts w:ascii="Arial" w:hAnsi="Arial" w:cs="Arial"/>
          <w:sz w:val="22"/>
          <w:lang w:val="es-ES_tradnl"/>
        </w:rPr>
      </w:pPr>
      <w:r w:rsidRPr="00CA0370">
        <w:rPr>
          <w:rFonts w:ascii="Arial" w:hAnsi="Arial" w:cs="Arial"/>
          <w:sz w:val="22"/>
          <w:lang w:val="es-ES_tradnl"/>
        </w:rPr>
        <w:t xml:space="preserve">Los indicadores a los que se dará seguimiento de la </w:t>
      </w:r>
      <w:r w:rsidRPr="00CA0370" w:rsidR="002035E7">
        <w:rPr>
          <w:rFonts w:ascii="Arial" w:hAnsi="Arial" w:cs="Arial"/>
          <w:sz w:val="22"/>
          <w:lang w:val="es-ES_tradnl"/>
        </w:rPr>
        <w:t>MR</w:t>
      </w:r>
      <w:r w:rsidRPr="00CA0370" w:rsidR="00827FD1">
        <w:rPr>
          <w:rFonts w:ascii="Arial" w:hAnsi="Arial" w:cs="Arial"/>
          <w:sz w:val="22"/>
          <w:lang w:val="es-ES_tradnl"/>
        </w:rPr>
        <w:t xml:space="preserve"> son sintetizados en </w:t>
      </w:r>
      <w:r w:rsidRPr="00CA0370" w:rsidR="00EA1BAD">
        <w:rPr>
          <w:rFonts w:ascii="Arial" w:hAnsi="Arial" w:cs="Arial"/>
          <w:sz w:val="22"/>
          <w:lang w:val="es-ES_tradnl"/>
        </w:rPr>
        <w:t>Cuadro</w:t>
      </w:r>
      <w:r w:rsidRPr="00CA0370" w:rsidR="00832F54">
        <w:rPr>
          <w:rFonts w:ascii="Arial" w:hAnsi="Arial" w:cs="Arial"/>
          <w:sz w:val="22"/>
          <w:lang w:val="es-ES_tradnl"/>
        </w:rPr>
        <w:t> </w:t>
      </w:r>
      <w:r w:rsidRPr="00CA0370" w:rsidR="00EA1BAD">
        <w:rPr>
          <w:rFonts w:ascii="Arial" w:hAnsi="Arial" w:cs="Arial"/>
          <w:sz w:val="22"/>
          <w:lang w:val="es-ES_tradnl"/>
        </w:rPr>
        <w:t>3</w:t>
      </w:r>
      <w:r w:rsidRPr="00CA0370">
        <w:rPr>
          <w:rFonts w:ascii="Arial" w:hAnsi="Arial" w:cs="Arial"/>
          <w:sz w:val="22"/>
          <w:lang w:val="es-ES_tradnl"/>
        </w:rPr>
        <w:t>, que establece además la</w:t>
      </w:r>
      <w:r w:rsidRPr="00CA0370" w:rsidR="00E60470">
        <w:rPr>
          <w:rFonts w:ascii="Arial" w:hAnsi="Arial" w:cs="Arial"/>
          <w:sz w:val="22"/>
          <w:lang w:val="es-ES_tradnl"/>
        </w:rPr>
        <w:t xml:space="preserve"> metodología,</w:t>
      </w:r>
      <w:r w:rsidRPr="00CA0370">
        <w:rPr>
          <w:rFonts w:ascii="Arial" w:hAnsi="Arial" w:cs="Arial"/>
          <w:sz w:val="22"/>
          <w:lang w:val="es-ES_tradnl"/>
        </w:rPr>
        <w:t xml:space="preserve"> fuen</w:t>
      </w:r>
      <w:r w:rsidRPr="00CA0370" w:rsidR="009F2455">
        <w:rPr>
          <w:rFonts w:ascii="Arial" w:hAnsi="Arial" w:cs="Arial"/>
          <w:sz w:val="22"/>
          <w:lang w:val="es-ES_tradnl"/>
        </w:rPr>
        <w:t>te y frecuencia de recolección.</w:t>
      </w:r>
    </w:p>
    <w:p w:rsidRPr="00CA0370" w:rsidR="00832F54" w:rsidP="005A50B8" w:rsidRDefault="00832F54" w14:paraId="6FA70560" w14:textId="75861A00">
      <w:pPr>
        <w:pStyle w:val="Paragraph"/>
        <w:numPr>
          <w:ilvl w:val="0"/>
          <w:numId w:val="0"/>
        </w:numPr>
        <w:ind w:left="540"/>
        <w:rPr>
          <w:rFonts w:ascii="Arial" w:hAnsi="Arial" w:cs="Arial"/>
          <w:sz w:val="22"/>
          <w:lang w:val="es-ES_tradnl"/>
        </w:rPr>
      </w:pPr>
    </w:p>
    <w:p w:rsidRPr="00CA0370" w:rsidR="00832F54" w:rsidP="005A50B8" w:rsidRDefault="00832F54" w14:paraId="34A06205" w14:textId="07DD2293">
      <w:pPr>
        <w:pStyle w:val="Paragraph"/>
        <w:numPr>
          <w:ilvl w:val="0"/>
          <w:numId w:val="0"/>
        </w:numPr>
        <w:ind w:left="540"/>
        <w:rPr>
          <w:rFonts w:ascii="Arial" w:hAnsi="Arial" w:cs="Arial"/>
          <w:sz w:val="22"/>
          <w:lang w:val="es-ES_tradnl"/>
        </w:rPr>
      </w:pPr>
    </w:p>
    <w:p w:rsidRPr="00CA0370" w:rsidR="00832F54" w:rsidP="004F1F45" w:rsidRDefault="00832F54" w14:paraId="49842330" w14:textId="028205BE">
      <w:pPr>
        <w:pStyle w:val="Paragraph"/>
        <w:numPr>
          <w:ilvl w:val="0"/>
          <w:numId w:val="0"/>
        </w:numPr>
        <w:ind w:left="540"/>
        <w:rPr>
          <w:rFonts w:ascii="Arial" w:hAnsi="Arial" w:cs="Arial"/>
          <w:sz w:val="22"/>
          <w:lang w:val="es-ES_tradnl"/>
        </w:rPr>
      </w:pPr>
    </w:p>
    <w:p w:rsidRPr="00CA0370" w:rsidR="004F1F45" w:rsidP="004F1F45" w:rsidRDefault="004F1F45" w14:paraId="5122F555" w14:textId="452A9745">
      <w:pPr>
        <w:pStyle w:val="Paragraph"/>
        <w:numPr>
          <w:ilvl w:val="0"/>
          <w:numId w:val="0"/>
        </w:numPr>
        <w:ind w:left="540"/>
        <w:rPr>
          <w:rFonts w:ascii="Arial" w:hAnsi="Arial" w:cs="Arial"/>
          <w:sz w:val="22"/>
          <w:lang w:val="es-ES_tradnl"/>
        </w:rPr>
      </w:pPr>
    </w:p>
    <w:p w:rsidRPr="00CA0370" w:rsidR="004F1F45" w:rsidP="004F1F45" w:rsidRDefault="004F1F45" w14:paraId="0DFA174C" w14:textId="4E5C814C">
      <w:pPr>
        <w:pStyle w:val="Paragraph"/>
        <w:numPr>
          <w:ilvl w:val="0"/>
          <w:numId w:val="0"/>
        </w:numPr>
        <w:ind w:left="540"/>
        <w:rPr>
          <w:rFonts w:ascii="Arial" w:hAnsi="Arial" w:cs="Arial"/>
          <w:sz w:val="22"/>
          <w:lang w:val="es-ES_tradnl"/>
        </w:rPr>
      </w:pPr>
    </w:p>
    <w:p w:rsidRPr="00CA0370" w:rsidR="004F1F45" w:rsidP="004F1F45" w:rsidRDefault="004F1F45" w14:paraId="4DD90D69" w14:textId="77777777">
      <w:pPr>
        <w:pStyle w:val="Paragraph"/>
        <w:numPr>
          <w:ilvl w:val="0"/>
          <w:numId w:val="0"/>
        </w:numPr>
        <w:ind w:left="540"/>
        <w:rPr>
          <w:rFonts w:ascii="Arial" w:hAnsi="Arial" w:cs="Arial"/>
          <w:sz w:val="22"/>
          <w:lang w:val="es-ES_tradnl"/>
        </w:rPr>
      </w:pPr>
    </w:p>
    <w:p w:rsidRPr="00CA0370" w:rsidR="0087291A" w:rsidP="002F0E15" w:rsidRDefault="00EA1BAD" w14:paraId="7EC5DBC7" w14:textId="6F533EE5">
      <w:pPr>
        <w:pStyle w:val="Paragraph"/>
        <w:numPr>
          <w:ilvl w:val="0"/>
          <w:numId w:val="0"/>
        </w:numPr>
        <w:ind w:left="540" w:hanging="540"/>
        <w:jc w:val="center"/>
        <w:rPr>
          <w:rFonts w:ascii="Arial" w:hAnsi="Arial" w:cs="Arial"/>
          <w:b/>
          <w:sz w:val="20"/>
          <w:szCs w:val="20"/>
          <w:lang w:val="es-ES_tradnl"/>
        </w:rPr>
      </w:pPr>
      <w:r w:rsidRPr="00CA0370">
        <w:rPr>
          <w:rFonts w:ascii="Arial" w:hAnsi="Arial" w:cs="Arial"/>
          <w:b/>
          <w:sz w:val="20"/>
          <w:szCs w:val="20"/>
          <w:lang w:val="es-ES_tradnl"/>
        </w:rPr>
        <w:t xml:space="preserve">Cuadro 3: </w:t>
      </w:r>
      <w:r w:rsidRPr="00CA0370" w:rsidR="0087291A">
        <w:rPr>
          <w:rFonts w:ascii="Arial" w:hAnsi="Arial" w:cs="Arial"/>
          <w:b/>
          <w:sz w:val="20"/>
          <w:szCs w:val="20"/>
          <w:lang w:val="es-ES_tradnl"/>
        </w:rPr>
        <w:t xml:space="preserve">Indicadores </w:t>
      </w:r>
      <w:r w:rsidRPr="00CA0370" w:rsidR="002035E7">
        <w:rPr>
          <w:rFonts w:ascii="Arial" w:hAnsi="Arial" w:cs="Arial"/>
          <w:b/>
          <w:sz w:val="20"/>
          <w:szCs w:val="20"/>
          <w:lang w:val="es-ES_tradnl"/>
        </w:rPr>
        <w:t>de impacto, resultado y producto</w:t>
      </w:r>
    </w:p>
    <w:tbl>
      <w:tblPr>
        <w:tblStyle w:val="TableGrid"/>
        <w:tblW w:w="5000" w:type="pct"/>
        <w:jc w:val="center"/>
        <w:tblLook w:val="04A0" w:firstRow="1" w:lastRow="0" w:firstColumn="1" w:lastColumn="0" w:noHBand="0" w:noVBand="1"/>
      </w:tblPr>
      <w:tblGrid>
        <w:gridCol w:w="1507"/>
        <w:gridCol w:w="1762"/>
        <w:gridCol w:w="1186"/>
        <w:gridCol w:w="1261"/>
        <w:gridCol w:w="1337"/>
        <w:gridCol w:w="1577"/>
      </w:tblGrid>
      <w:tr w:rsidRPr="00CA0370" w:rsidR="008352D8" w:rsidTr="3934E850" w14:paraId="65E2142D" w14:textId="77777777">
        <w:trPr>
          <w:tblHeader/>
          <w:jc w:val="center"/>
        </w:trPr>
        <w:tc>
          <w:tcPr>
            <w:tcW w:w="640" w:type="pct"/>
            <w:shd w:val="clear" w:color="auto" w:fill="C6D9F1" w:themeFill="text2" w:themeFillTint="33"/>
            <w:tcMar/>
            <w:vAlign w:val="center"/>
          </w:tcPr>
          <w:p w:rsidRPr="00CA0370" w:rsidR="009711A4" w:rsidP="004F1F45" w:rsidRDefault="009711A4" w14:paraId="2B7C317A" w14:textId="77777777">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Indicadores</w:t>
            </w:r>
          </w:p>
        </w:tc>
        <w:tc>
          <w:tcPr>
            <w:tcW w:w="1105" w:type="pct"/>
            <w:shd w:val="clear" w:color="auto" w:fill="C6D9F1" w:themeFill="text2" w:themeFillTint="33"/>
            <w:tcMar/>
            <w:vAlign w:val="center"/>
          </w:tcPr>
          <w:p w:rsidRPr="00CA0370" w:rsidR="00376453" w:rsidP="004F1F45" w:rsidRDefault="009711A4" w14:paraId="002F1689" w14:textId="77777777">
            <w:pPr>
              <w:pStyle w:val="Paragraph"/>
              <w:numPr>
                <w:ilvl w:val="0"/>
                <w:numId w:val="0"/>
              </w:numPr>
              <w:spacing w:before="0" w:after="0"/>
              <w:ind w:left="-216" w:right="-158"/>
              <w:jc w:val="center"/>
              <w:rPr>
                <w:rFonts w:ascii="Arial" w:hAnsi="Arial" w:cs="Arial"/>
                <w:b/>
                <w:sz w:val="18"/>
                <w:szCs w:val="18"/>
                <w:lang w:val="es-ES_tradnl"/>
              </w:rPr>
            </w:pPr>
            <w:r w:rsidRPr="00CA0370">
              <w:rPr>
                <w:rFonts w:ascii="Arial" w:hAnsi="Arial" w:cs="Arial"/>
                <w:b/>
                <w:sz w:val="18"/>
                <w:szCs w:val="18"/>
                <w:lang w:val="es-ES_tradnl"/>
              </w:rPr>
              <w:t xml:space="preserve">Descripción / </w:t>
            </w:r>
          </w:p>
          <w:p w:rsidRPr="00CA0370" w:rsidR="009711A4" w:rsidP="004F1F45" w:rsidRDefault="009711A4" w14:paraId="5682EE2F" w14:textId="62A21C93">
            <w:pPr>
              <w:pStyle w:val="Paragraph"/>
              <w:numPr>
                <w:ilvl w:val="0"/>
                <w:numId w:val="0"/>
              </w:numPr>
              <w:spacing w:before="0" w:after="0"/>
              <w:ind w:left="-216" w:right="-158"/>
              <w:jc w:val="center"/>
              <w:rPr>
                <w:rFonts w:ascii="Arial" w:hAnsi="Arial" w:cs="Arial"/>
                <w:b/>
                <w:sz w:val="18"/>
                <w:szCs w:val="18"/>
                <w:lang w:val="es-ES_tradnl"/>
              </w:rPr>
            </w:pPr>
            <w:r w:rsidRPr="00CA0370">
              <w:rPr>
                <w:rFonts w:ascii="Arial" w:hAnsi="Arial" w:cs="Arial"/>
                <w:b/>
                <w:sz w:val="18"/>
                <w:szCs w:val="18"/>
                <w:lang w:val="es-ES_tradnl"/>
              </w:rPr>
              <w:t>Medida/ Fórmula</w:t>
            </w:r>
          </w:p>
        </w:tc>
        <w:tc>
          <w:tcPr>
            <w:tcW w:w="771" w:type="pct"/>
            <w:shd w:val="clear" w:color="auto" w:fill="C6D9F1" w:themeFill="text2" w:themeFillTint="33"/>
            <w:tcMar/>
            <w:vAlign w:val="center"/>
          </w:tcPr>
          <w:p w:rsidRPr="00CA0370" w:rsidR="009711A4" w:rsidP="004F1F45" w:rsidRDefault="009711A4" w14:paraId="77F86B3F" w14:textId="77777777">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Metodología</w:t>
            </w:r>
          </w:p>
        </w:tc>
        <w:tc>
          <w:tcPr>
            <w:tcW w:w="814" w:type="pct"/>
            <w:shd w:val="clear" w:color="auto" w:fill="C6D9F1" w:themeFill="text2" w:themeFillTint="33"/>
            <w:tcMar/>
            <w:vAlign w:val="center"/>
          </w:tcPr>
          <w:p w:rsidRPr="00CA0370" w:rsidR="009711A4" w:rsidP="004F1F45" w:rsidRDefault="009711A4" w14:paraId="1037387D" w14:textId="77777777">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Frecuencia</w:t>
            </w:r>
          </w:p>
          <w:p w:rsidRPr="00CA0370" w:rsidR="009711A4" w:rsidP="004F1F45" w:rsidRDefault="009711A4" w14:paraId="317EDCC4" w14:textId="77777777">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medición</w:t>
            </w:r>
          </w:p>
        </w:tc>
        <w:tc>
          <w:tcPr>
            <w:tcW w:w="728" w:type="pct"/>
            <w:shd w:val="clear" w:color="auto" w:fill="C6D9F1" w:themeFill="text2" w:themeFillTint="33"/>
            <w:tcMar/>
            <w:vAlign w:val="center"/>
          </w:tcPr>
          <w:p w:rsidRPr="00CA0370" w:rsidR="00D11661" w:rsidP="004F1F45" w:rsidRDefault="009711A4" w14:paraId="68D211B9" w14:textId="182F72E8">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Fuente</w:t>
            </w:r>
          </w:p>
          <w:p w:rsidRPr="00CA0370" w:rsidR="009711A4" w:rsidP="004F1F45" w:rsidRDefault="009711A4" w14:paraId="4BECF67E" w14:textId="6241CB74">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verificación</w:t>
            </w:r>
          </w:p>
        </w:tc>
        <w:tc>
          <w:tcPr>
            <w:tcW w:w="942" w:type="pct"/>
            <w:shd w:val="clear" w:color="auto" w:fill="C6D9F1" w:themeFill="text2" w:themeFillTint="33"/>
            <w:tcMar/>
            <w:vAlign w:val="center"/>
          </w:tcPr>
          <w:p w:rsidRPr="00CA0370" w:rsidR="009711A4" w:rsidP="004F1F45" w:rsidRDefault="009711A4" w14:paraId="6AE81E5F" w14:textId="5780CDEF">
            <w:pPr>
              <w:pStyle w:val="Paragraph"/>
              <w:numPr>
                <w:ilvl w:val="0"/>
                <w:numId w:val="0"/>
              </w:numPr>
              <w:spacing w:before="0" w:after="0"/>
              <w:ind w:left="547" w:right="-154" w:hanging="749"/>
              <w:jc w:val="center"/>
              <w:rPr>
                <w:rFonts w:ascii="Arial" w:hAnsi="Arial" w:cs="Arial"/>
                <w:b/>
                <w:sz w:val="18"/>
                <w:szCs w:val="18"/>
                <w:lang w:val="es-ES_tradnl"/>
              </w:rPr>
            </w:pPr>
            <w:r w:rsidRPr="00CA0370">
              <w:rPr>
                <w:rFonts w:ascii="Arial" w:hAnsi="Arial" w:cs="Arial"/>
                <w:b/>
                <w:sz w:val="18"/>
                <w:szCs w:val="18"/>
                <w:lang w:val="es-ES_tradnl"/>
              </w:rPr>
              <w:t>Comentarios</w:t>
            </w:r>
          </w:p>
        </w:tc>
      </w:tr>
      <w:tr w:rsidRPr="00CA0370" w:rsidR="00806898" w:rsidTr="3934E850" w14:paraId="30328AA4" w14:textId="77777777">
        <w:trPr>
          <w:jc w:val="center"/>
        </w:trPr>
        <w:tc>
          <w:tcPr>
            <w:tcW w:w="5000" w:type="pct"/>
            <w:gridSpan w:val="6"/>
            <w:shd w:val="clear" w:color="auto" w:fill="F2F2F2" w:themeFill="background1" w:themeFillShade="F2"/>
            <w:tcMar/>
            <w:vAlign w:val="center"/>
          </w:tcPr>
          <w:p w:rsidRPr="00CA0370" w:rsidR="00806898" w:rsidP="00806898" w:rsidRDefault="00806898" w14:paraId="2D2CF151" w14:textId="56A584E4">
            <w:pPr>
              <w:jc w:val="both"/>
              <w:rPr>
                <w:rFonts w:ascii="Arial" w:hAnsi="Arial" w:cs="Arial"/>
                <w:b/>
                <w:sz w:val="18"/>
                <w:szCs w:val="18"/>
                <w:lang w:val="es-ES_tradnl"/>
              </w:rPr>
            </w:pPr>
            <w:r w:rsidRPr="00CA0370">
              <w:rPr>
                <w:rFonts w:ascii="Arial" w:hAnsi="Arial" w:cs="Arial"/>
                <w:b/>
                <w:color w:val="000000" w:themeColor="text1"/>
                <w:sz w:val="18"/>
                <w:szCs w:val="18"/>
                <w:lang w:val="es-ES_tradnl" w:eastAsia="zh-CN"/>
              </w:rPr>
              <w:t xml:space="preserve">Impactos (vinculados al objetivo general): </w:t>
            </w:r>
            <w:r w:rsidRPr="00CA0370">
              <w:rPr>
                <w:rFonts w:ascii="Arial" w:hAnsi="Arial" w:cs="Arial"/>
                <w:sz w:val="18"/>
                <w:szCs w:val="18"/>
                <w:lang w:val="es-ES_tradnl" w:eastAsia="zh-CN"/>
              </w:rPr>
              <w:t>Incrementos de productividad, exportaciones y calidad de la infraestructura.</w:t>
            </w:r>
          </w:p>
        </w:tc>
      </w:tr>
      <w:tr w:rsidRPr="00CA0370" w:rsidR="008352D8" w:rsidTr="3934E850" w14:paraId="5DD589A8" w14:textId="77777777">
        <w:trPr>
          <w:jc w:val="center"/>
        </w:trPr>
        <w:tc>
          <w:tcPr>
            <w:tcW w:w="640" w:type="pct"/>
            <w:tcMar/>
          </w:tcPr>
          <w:p w:rsidRPr="00CA0370" w:rsidR="009711A4" w:rsidP="000D45AB" w:rsidRDefault="009711A4" w14:paraId="1DFD83BB" w14:textId="554B7220">
            <w:pPr>
              <w:rPr>
                <w:rFonts w:ascii="Arial" w:hAnsi="Arial" w:cs="Arial"/>
                <w:sz w:val="18"/>
                <w:szCs w:val="18"/>
                <w:lang w:val="es-ES_tradnl"/>
              </w:rPr>
            </w:pPr>
            <w:r w:rsidRPr="00CA0370">
              <w:rPr>
                <w:rFonts w:ascii="Arial" w:hAnsi="Arial" w:cs="Arial"/>
                <w:b/>
                <w:sz w:val="18"/>
                <w:szCs w:val="18"/>
                <w:lang w:val="es-ES_tradnl"/>
              </w:rPr>
              <w:t>Impacto #1.</w:t>
            </w:r>
            <w:r w:rsidRPr="00CA0370">
              <w:rPr>
                <w:rFonts w:ascii="Arial" w:hAnsi="Arial" w:cs="Arial"/>
                <w:sz w:val="18"/>
                <w:szCs w:val="18"/>
                <w:lang w:val="es-ES_tradnl"/>
              </w:rPr>
              <w:t xml:space="preserve"> PIB agroindustrial (incluye sector agroforestal)</w:t>
            </w:r>
          </w:p>
        </w:tc>
        <w:tc>
          <w:tcPr>
            <w:tcW w:w="1105" w:type="pct"/>
            <w:tcMar/>
          </w:tcPr>
          <w:p w:rsidRPr="00CA0370" w:rsidR="009711A4" w:rsidP="3934E850" w:rsidRDefault="009711A4" w14:paraId="21B361B8" w14:noSpellErr="1" w14:textId="2A19624D">
            <w:pPr>
              <w:jc w:val="center"/>
              <w:rPr>
                <w:rFonts w:ascii="Arial" w:hAnsi="Arial" w:cs="Arial"/>
                <w:sz w:val="18"/>
                <w:szCs w:val="18"/>
                <w:lang w:val="es-ES"/>
              </w:rPr>
            </w:pPr>
            <w:r w:rsidRPr="3934E850" w:rsidR="3934E850">
              <w:rPr>
                <w:rFonts w:ascii="Arial" w:hAnsi="Arial" w:cs="Arial"/>
                <w:sz w:val="18"/>
                <w:szCs w:val="18"/>
                <w:lang w:val="es-ES"/>
              </w:rPr>
              <w:t xml:space="preserve">Millones de </w:t>
            </w:r>
            <w:r w:rsidRPr="3934E850" w:rsidR="3934E850">
              <w:rPr>
                <w:rFonts w:ascii="Arial" w:hAnsi="Arial" w:cs="Arial"/>
                <w:sz w:val="18"/>
                <w:szCs w:val="18"/>
                <w:lang w:val="es-ES"/>
              </w:rPr>
              <w:t xml:space="preserve">pesos </w:t>
            </w:r>
            <w:r w:rsidRPr="3934E850" w:rsidR="3934E850">
              <w:rPr>
                <w:rFonts w:ascii="Arial" w:hAnsi="Arial" w:cs="Arial"/>
                <w:sz w:val="18"/>
                <w:szCs w:val="18"/>
                <w:lang w:val="es-ES"/>
              </w:rPr>
              <w:t>$ (precios constantes de 2005)</w:t>
            </w:r>
          </w:p>
        </w:tc>
        <w:tc>
          <w:tcPr>
            <w:tcW w:w="771" w:type="pct"/>
            <w:tcMar/>
          </w:tcPr>
          <w:p w:rsidRPr="00CA0370" w:rsidR="009711A4" w:rsidP="008C73F9" w:rsidRDefault="009711A4" w14:paraId="79B89FF0"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9711A4" w:rsidP="008C73F9" w:rsidRDefault="009711A4" w14:paraId="3ADCC10F" w14:textId="6BB4C630">
            <w:pPr>
              <w:jc w:val="cente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9711A4" w:rsidP="00E448CD" w:rsidRDefault="009711A4" w14:paraId="1514F9AF" w14:textId="26E7F838">
            <w:pPr>
              <w:jc w:val="center"/>
              <w:rPr>
                <w:rFonts w:ascii="Arial" w:hAnsi="Arial" w:cs="Arial"/>
                <w:sz w:val="18"/>
                <w:szCs w:val="18"/>
                <w:lang w:val="es-ES_tradnl"/>
              </w:rPr>
            </w:pPr>
            <w:r w:rsidRPr="00CA0370">
              <w:rPr>
                <w:rFonts w:ascii="Arial" w:hAnsi="Arial" w:cs="Arial"/>
                <w:sz w:val="18"/>
                <w:szCs w:val="18"/>
                <w:lang w:val="es-ES_tradnl"/>
              </w:rPr>
              <w:t>MGAP DIEA Anuario Estadístico Agropecuar</w:t>
            </w:r>
            <w:r w:rsidRPr="00CA0370" w:rsidR="00D11661">
              <w:rPr>
                <w:rFonts w:ascii="Arial" w:hAnsi="Arial" w:cs="Arial"/>
                <w:sz w:val="18"/>
                <w:szCs w:val="18"/>
                <w:lang w:val="es-ES_tradnl"/>
              </w:rPr>
              <w:t>io</w:t>
            </w:r>
          </w:p>
        </w:tc>
        <w:tc>
          <w:tcPr>
            <w:tcW w:w="942" w:type="pct"/>
            <w:tcMar/>
          </w:tcPr>
          <w:p w:rsidRPr="00CA0370" w:rsidR="009711A4" w:rsidP="3934E850" w:rsidRDefault="00D11661" w14:paraId="41E7347D" w14:noSpellErr="1" w14:textId="367F653D">
            <w:pPr>
              <w:rPr>
                <w:rFonts w:ascii="Arial" w:hAnsi="Arial" w:cs="Arial"/>
                <w:sz w:val="18"/>
                <w:szCs w:val="18"/>
                <w:lang w:val="es-ES"/>
              </w:rPr>
            </w:pPr>
            <w:r w:rsidRPr="3934E850">
              <w:rPr>
                <w:rFonts w:ascii="Arial" w:hAnsi="Arial" w:cs="Arial"/>
                <w:sz w:val="18"/>
                <w:szCs w:val="18"/>
                <w:lang w:val="es-ES" w:eastAsia="zh-CN"/>
              </w:rPr>
              <w:t xml:space="preserve">El indicador es la suma a precios constantes de 2005, del PIB agropecuario (42.028 </w:t>
            </w:r>
            <w:r w:rsidRPr="3934E850">
              <w:rPr>
                <w:rFonts w:ascii="Arial" w:hAnsi="Arial" w:cs="Arial"/>
                <w:sz w:val="18"/>
                <w:szCs w:val="18"/>
                <w:lang w:val="es-ES" w:eastAsia="zh-CN"/>
              </w:rPr>
              <w:t xml:space="preserve">pesos </w:t>
            </w:r>
            <w:r w:rsidRPr="3934E850">
              <w:rPr>
                <w:rFonts w:ascii="Arial" w:hAnsi="Arial" w:cs="Arial"/>
                <w:sz w:val="18"/>
                <w:szCs w:val="18"/>
                <w:lang w:val="es-ES" w:eastAsia="zh-CN"/>
              </w:rPr>
              <w:t>$) y el PIB de industrias asociadas a dicho sector</w:t>
            </w:r>
            <w:r w:rsidRPr="3934E850">
              <w:rPr>
                <w:rStyle w:val="FootnoteReference"/>
                <w:rFonts w:ascii="Arial" w:hAnsi="Arial" w:cs="Arial"/>
                <w:sz w:val="18"/>
                <w:szCs w:val="18"/>
                <w:lang w:val="es-ES" w:eastAsia="zh-CN"/>
              </w:rPr>
              <w:footnoteReference w:id="8"/>
            </w:r>
            <w:r w:rsidRPr="3934E850">
              <w:rPr>
                <w:rFonts w:ascii="Arial" w:hAnsi="Arial" w:cs="Arial"/>
                <w:sz w:val="18"/>
                <w:szCs w:val="18"/>
                <w:lang w:val="es-ES" w:eastAsia="zh-CN"/>
              </w:rPr>
              <w:t xml:space="preserve"> (22.408). Para establecer la meta se ha estimado el PIB agroindustrial mediante un modelo lineal de regresión con la serie disponible para 2010-2017. Para un R cuadrado </w:t>
            </w:r>
            <w:r w:rsidRPr="3934E850">
              <w:rPr>
                <w:rFonts w:ascii="Arial" w:hAnsi="Arial" w:cs="Arial"/>
                <w:sz w:val="18"/>
                <w:szCs w:val="18"/>
                <w:lang w:val="es-ES" w:eastAsia="zh-CN"/>
              </w:rPr>
              <w:lastRenderedPageBreak/>
              <w:t>ajustado de 0</w:t>
            </w:r>
            <w:r w:rsidRPr="3934E850" w:rsidR="00832F54">
              <w:rPr>
                <w:rFonts w:ascii="Arial" w:hAnsi="Arial" w:cs="Arial"/>
                <w:sz w:val="18"/>
                <w:szCs w:val="18"/>
                <w:lang w:val="es-ES" w:eastAsia="zh-CN"/>
              </w:rPr>
              <w:t>,</w:t>
            </w:r>
            <w:r w:rsidRPr="3934E850">
              <w:rPr>
                <w:rFonts w:ascii="Arial" w:hAnsi="Arial" w:cs="Arial"/>
                <w:sz w:val="18"/>
                <w:szCs w:val="18"/>
                <w:lang w:val="es-ES" w:eastAsia="zh-CN"/>
              </w:rPr>
              <w:t xml:space="preserve">41 se obtiene un coeficiente de </w:t>
            </w:r>
            <w:bookmarkStart w:name="OLE_LINK1" w:id="15"/>
            <w:r w:rsidRPr="3934E850">
              <w:rPr>
                <w:rFonts w:ascii="Arial" w:hAnsi="Arial" w:cs="Arial"/>
                <w:sz w:val="18"/>
                <w:szCs w:val="18"/>
                <w:lang w:val="es-ES" w:eastAsia="zh-CN"/>
              </w:rPr>
              <w:t xml:space="preserve">716,86 </w:t>
            </w:r>
            <w:bookmarkEnd w:id="15"/>
            <w:r w:rsidRPr="3934E850">
              <w:rPr>
                <w:rFonts w:ascii="Arial" w:hAnsi="Arial" w:cs="Arial"/>
                <w:sz w:val="18"/>
                <w:szCs w:val="18"/>
                <w:lang w:val="es-ES" w:eastAsia="zh-CN"/>
              </w:rPr>
              <w:t>estadísticamente significativo al 90%. Considerando la media de dicho periodo 62737,25 obtendríamos un incremento anual del PIB agroindustrial de 1.14, es decir, sin programa se obtendría un PIB agroindustrial de 64440.72. Considerando un efecto del programa conservador de 0</w:t>
            </w:r>
            <w:r w:rsidRPr="3934E850" w:rsidR="00F20731">
              <w:rPr>
                <w:rFonts w:ascii="Arial" w:hAnsi="Arial" w:cs="Arial"/>
                <w:sz w:val="18"/>
                <w:szCs w:val="18"/>
                <w:lang w:val="es-ES" w:eastAsia="zh-CN"/>
              </w:rPr>
              <w:t>,</w:t>
            </w:r>
            <w:r w:rsidRPr="3934E850">
              <w:rPr>
                <w:rFonts w:ascii="Arial" w:hAnsi="Arial" w:cs="Arial"/>
                <w:sz w:val="18"/>
                <w:szCs w:val="18"/>
                <w:lang w:val="es-ES" w:eastAsia="zh-CN"/>
              </w:rPr>
              <w:t>36, llegaríamos a la meta establecida para 2022.</w:t>
            </w:r>
          </w:p>
        </w:tc>
      </w:tr>
      <w:tr w:rsidRPr="00CA0370" w:rsidR="008352D8" w:rsidTr="3934E850" w14:paraId="2E7F8206" w14:textId="77777777">
        <w:trPr>
          <w:jc w:val="center"/>
        </w:trPr>
        <w:tc>
          <w:tcPr>
            <w:tcW w:w="640" w:type="pct"/>
            <w:tcMar/>
          </w:tcPr>
          <w:p w:rsidRPr="00CA0370" w:rsidR="009711A4" w:rsidP="008C73F9" w:rsidRDefault="009711A4" w14:paraId="046AB7DA" w14:textId="6D7B8ECA">
            <w:pPr>
              <w:rPr>
                <w:rFonts w:ascii="Arial" w:hAnsi="Arial" w:eastAsia="Arial" w:cs="Arial"/>
                <w:spacing w:val="-3"/>
                <w:sz w:val="18"/>
                <w:szCs w:val="18"/>
                <w:lang w:val="es-ES_tradnl"/>
              </w:rPr>
            </w:pPr>
            <w:r w:rsidRPr="00CA0370">
              <w:rPr>
                <w:rFonts w:ascii="Arial" w:hAnsi="Arial" w:eastAsia="Arial" w:cs="Arial"/>
                <w:b/>
                <w:spacing w:val="-3"/>
                <w:sz w:val="18"/>
                <w:szCs w:val="18"/>
                <w:lang w:val="es-ES_tradnl"/>
              </w:rPr>
              <w:t>Impacto #2.</w:t>
            </w:r>
            <w:r w:rsidRPr="00CA0370">
              <w:rPr>
                <w:rFonts w:ascii="Arial" w:hAnsi="Arial" w:eastAsia="Arial" w:cs="Arial"/>
                <w:spacing w:val="-3"/>
                <w:sz w:val="18"/>
                <w:szCs w:val="18"/>
                <w:lang w:val="es-ES_tradnl"/>
              </w:rPr>
              <w:t xml:space="preserve">   Índice de desempeño logístico (IDL): calidad de la infraestructura relacionada con </w:t>
            </w:r>
            <w:r w:rsidRPr="00CA0370" w:rsidR="00426436">
              <w:rPr>
                <w:rFonts w:ascii="Arial" w:hAnsi="Arial" w:eastAsia="Arial" w:cs="Arial"/>
                <w:spacing w:val="-3"/>
                <w:sz w:val="18"/>
                <w:szCs w:val="18"/>
                <w:lang w:val="es-ES_tradnl"/>
              </w:rPr>
              <w:t xml:space="preserve">el </w:t>
            </w:r>
            <w:r w:rsidRPr="00CA0370">
              <w:rPr>
                <w:rFonts w:ascii="Arial" w:hAnsi="Arial" w:eastAsia="Arial" w:cs="Arial"/>
                <w:spacing w:val="-3"/>
                <w:sz w:val="18"/>
                <w:szCs w:val="18"/>
                <w:lang w:val="es-ES_tradnl"/>
              </w:rPr>
              <w:t xml:space="preserve">comercio y </w:t>
            </w:r>
            <w:r w:rsidRPr="00CA0370" w:rsidR="00426436">
              <w:rPr>
                <w:rFonts w:ascii="Arial" w:hAnsi="Arial" w:eastAsia="Arial" w:cs="Arial"/>
                <w:spacing w:val="-3"/>
                <w:sz w:val="18"/>
                <w:szCs w:val="18"/>
                <w:lang w:val="es-ES_tradnl"/>
              </w:rPr>
              <w:t xml:space="preserve">el </w:t>
            </w:r>
            <w:r w:rsidRPr="00CA0370">
              <w:rPr>
                <w:rFonts w:ascii="Arial" w:hAnsi="Arial" w:eastAsia="Arial" w:cs="Arial"/>
                <w:spacing w:val="-3"/>
                <w:sz w:val="18"/>
                <w:szCs w:val="18"/>
                <w:lang w:val="es-ES_tradnl"/>
              </w:rPr>
              <w:t>transporte</w:t>
            </w:r>
          </w:p>
          <w:p w:rsidRPr="00CA0370" w:rsidR="009711A4" w:rsidP="008C73F9" w:rsidRDefault="009711A4" w14:paraId="0346CDD2" w14:textId="45B323A1">
            <w:pPr>
              <w:rPr>
                <w:rFonts w:ascii="Arial" w:hAnsi="Arial" w:cs="Arial"/>
                <w:sz w:val="18"/>
                <w:szCs w:val="18"/>
                <w:lang w:val="es-ES_tradnl"/>
              </w:rPr>
            </w:pPr>
          </w:p>
        </w:tc>
        <w:tc>
          <w:tcPr>
            <w:tcW w:w="1105" w:type="pct"/>
            <w:tcMar/>
          </w:tcPr>
          <w:p w:rsidRPr="00CA0370" w:rsidR="009711A4" w:rsidP="00E448CD" w:rsidRDefault="009711A4" w14:paraId="4E529B66" w14:textId="03DE133E">
            <w:pPr>
              <w:jc w:val="center"/>
              <w:rPr>
                <w:rFonts w:ascii="Arial" w:hAnsi="Arial" w:cs="Arial"/>
                <w:sz w:val="18"/>
                <w:szCs w:val="18"/>
                <w:lang w:val="es-ES_tradnl"/>
              </w:rPr>
            </w:pPr>
            <w:r w:rsidRPr="00CA0370">
              <w:rPr>
                <w:rFonts w:ascii="Arial" w:hAnsi="Arial" w:cs="Arial"/>
                <w:sz w:val="18"/>
                <w:szCs w:val="18"/>
                <w:lang w:val="es-ES_tradnl" w:eastAsia="zh-CN"/>
              </w:rPr>
              <w:t>(1= baja a 5= alta)</w:t>
            </w:r>
          </w:p>
        </w:tc>
        <w:tc>
          <w:tcPr>
            <w:tcW w:w="771" w:type="pct"/>
            <w:tcMar/>
          </w:tcPr>
          <w:p w:rsidRPr="00CA0370" w:rsidR="009711A4" w:rsidP="00E448CD" w:rsidRDefault="009711A4" w14:paraId="5220750B"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9711A4" w:rsidP="000D45AB" w:rsidRDefault="009711A4" w14:paraId="4237016F" w14:textId="380BAEE0">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9711A4" w:rsidP="00E448CD" w:rsidRDefault="009711A4" w14:paraId="0581188B" w14:textId="77777777">
            <w:pPr>
              <w:jc w:val="center"/>
              <w:rPr>
                <w:rFonts w:ascii="Arial" w:hAnsi="Arial" w:cs="Arial"/>
                <w:sz w:val="18"/>
                <w:szCs w:val="18"/>
                <w:lang w:val="es-ES_tradnl"/>
              </w:rPr>
            </w:pPr>
            <w:r w:rsidRPr="00CA0370">
              <w:rPr>
                <w:rFonts w:ascii="Arial" w:hAnsi="Arial" w:eastAsia="Arial" w:cs="Arial"/>
                <w:spacing w:val="-3"/>
                <w:sz w:val="18"/>
                <w:szCs w:val="18"/>
                <w:lang w:val="es-ES_tradnl"/>
              </w:rPr>
              <w:t>Encuestas del IDL del Banco Mundial.</w:t>
            </w:r>
          </w:p>
        </w:tc>
        <w:tc>
          <w:tcPr>
            <w:tcW w:w="942" w:type="pct"/>
            <w:tcMar/>
          </w:tcPr>
          <w:p w:rsidRPr="00CA0370" w:rsidR="009711A4" w:rsidP="3934E850" w:rsidRDefault="00D11661" w14:paraId="533EE261" w14:textId="0BA20C80">
            <w:pPr>
              <w:pStyle w:val="Normal"/>
              <w:rPr>
                <w:rFonts w:ascii="Arial" w:hAnsi="Arial" w:cs="Arial"/>
                <w:sz w:val="18"/>
                <w:szCs w:val="18"/>
                <w:lang w:val="es-ES"/>
              </w:rPr>
            </w:pPr>
            <w:r w:rsidRPr="3934E850">
              <w:rPr>
                <w:rFonts w:ascii="Arial" w:hAnsi="Arial" w:cs="Arial"/>
                <w:color w:val="000000" w:themeColor="text1"/>
                <w:sz w:val="18"/>
                <w:szCs w:val="18"/>
                <w:lang w:val="es-ES" w:eastAsia="zh-CN"/>
              </w:rPr>
              <w:t xml:space="preserve">La ronda de encuestas de 2009 cubrió </w:t>
            </w:r>
            <w:r w:rsidRPr="3934E850" w:rsidR="3934E850">
              <w:rPr>
                <w:rFonts w:ascii="Arial" w:hAnsi="Arial" w:cs="Arial"/>
                <w:noProof w:val="0"/>
                <w:color w:val="000000" w:themeColor="text1" w:themeTint="FF" w:themeShade="FF"/>
                <w:sz w:val="18"/>
                <w:szCs w:val="18"/>
                <w:lang w:val="es-ES" w:eastAsia="zh-CN"/>
              </w:rPr>
              <w:t>m</w:t>
            </w:r>
            <w:proofErr w:type="spellStart"/>
            <w:r w:rsidRPr="3934E850" w:rsidR="3934E850">
              <w:rPr>
                <w:rFonts w:ascii="Arial" w:hAnsi="Arial" w:cs="Arial"/>
                <w:noProof w:val="0"/>
                <w:color w:val="000000" w:themeColor="text1" w:themeTint="FF" w:themeShade="FF"/>
                <w:sz w:val="18"/>
                <w:szCs w:val="18"/>
                <w:lang w:val="es" w:eastAsia="zh-CN"/>
              </w:rPr>
              <w:t>ás</w:t>
            </w:r>
            <w:proofErr w:type="spellEnd"/>
            <w:r w:rsidRPr="3934E850" w:rsidR="3934E850">
              <w:rPr>
                <w:rFonts w:ascii="Arial" w:hAnsi="Arial" w:cs="Arial"/>
                <w:noProof w:val="0"/>
                <w:color w:val="000000" w:themeColor="text1" w:themeTint="FF" w:themeShade="FF"/>
                <w:sz w:val="18"/>
                <w:szCs w:val="18"/>
                <w:lang w:val="es" w:eastAsia="zh-CN"/>
              </w:rPr>
              <w:t xml:space="preserve"> de 5.000 evaluaciones de países</w:t>
            </w:r>
            <w:r w:rsidRPr="3934E850">
              <w:rPr>
                <w:rFonts w:ascii="Arial" w:hAnsi="Arial" w:cs="Arial"/>
                <w:color w:val="000000" w:themeColor="text1"/>
                <w:sz w:val="18"/>
                <w:szCs w:val="18"/>
                <w:lang w:val="es-ES" w:eastAsia="zh-CN"/>
              </w:rPr>
              <w:t xml:space="preserve"> por medio de casi 1.000 servicios de expedición de carga. Los encuestados evalúan ocho mercados de seis dimensiones básicas, en una escala de 1 (peor) a 5 (mejor). La elección de los mercados se realizó sobre la base de los mercados de importaciones y exportaciones más importantes del país de los encuestados, por selección al azar y, para los países sin salida </w:t>
            </w:r>
            <w:r w:rsidRPr="3934E850">
              <w:rPr>
                <w:rFonts w:ascii="Arial" w:hAnsi="Arial" w:cs="Arial"/>
                <w:color w:val="000000" w:themeColor="text1"/>
                <w:sz w:val="18"/>
                <w:szCs w:val="18"/>
                <w:lang w:val="es-ES" w:eastAsia="zh-CN"/>
              </w:rPr>
              <w:lastRenderedPageBreak/>
              <w:t>al mar, por los países vecinos que los conectan con los mercados internacionales</w:t>
            </w:r>
            <w:r w:rsidRPr="3934E850">
              <w:rPr>
                <w:rStyle w:val="FootnoteReference"/>
                <w:rFonts w:ascii="Arial" w:hAnsi="Arial" w:cs="Arial"/>
                <w:color w:val="000000" w:themeColor="text1"/>
                <w:sz w:val="18"/>
                <w:szCs w:val="18"/>
                <w:lang w:val="es-ES" w:eastAsia="zh-CN"/>
              </w:rPr>
              <w:footnoteReference w:id="9"/>
            </w:r>
            <w:r w:rsidRPr="3934E850">
              <w:rPr>
                <w:rFonts w:ascii="Arial" w:hAnsi="Arial" w:cs="Arial"/>
                <w:color w:val="000000" w:themeColor="text1"/>
                <w:sz w:val="18"/>
                <w:szCs w:val="18"/>
                <w:lang w:val="es-ES" w:eastAsia="zh-CN"/>
              </w:rPr>
              <w:t>.</w:t>
            </w:r>
          </w:p>
        </w:tc>
      </w:tr>
      <w:tr w:rsidRPr="00CA0370" w:rsidR="00426436" w:rsidTr="3934E850" w14:paraId="1B58D25D" w14:textId="550948F8">
        <w:trPr>
          <w:jc w:val="center"/>
        </w:trPr>
        <w:tc>
          <w:tcPr>
            <w:tcW w:w="5000" w:type="pct"/>
            <w:gridSpan w:val="6"/>
            <w:shd w:val="clear" w:color="auto" w:fill="F2F2F2" w:themeFill="background1" w:themeFillShade="F2"/>
            <w:tcMar/>
          </w:tcPr>
          <w:p w:rsidRPr="00CA0370" w:rsidR="00426436" w:rsidP="008352D8" w:rsidRDefault="00426436" w14:paraId="413EEA7A" w14:textId="6CB3D7AE">
            <w:pPr>
              <w:jc w:val="both"/>
              <w:rPr>
                <w:rFonts w:ascii="Arial" w:hAnsi="Arial" w:cs="Arial"/>
                <w:spacing w:val="-3"/>
                <w:sz w:val="18"/>
                <w:szCs w:val="18"/>
                <w:lang w:val="es-ES_tradnl"/>
              </w:rPr>
            </w:pPr>
            <w:r w:rsidRPr="00CA0370">
              <w:rPr>
                <w:rFonts w:ascii="Arial" w:hAnsi="Arial" w:cs="Arial"/>
                <w:b/>
                <w:sz w:val="18"/>
                <w:szCs w:val="18"/>
                <w:lang w:val="es-ES_tradnl" w:eastAsia="zh-CN"/>
              </w:rPr>
              <w:t xml:space="preserve">Resultados (vinculados al objetivo específico #1): </w:t>
            </w:r>
            <w:r w:rsidRPr="00CA0370">
              <w:rPr>
                <w:rFonts w:ascii="Arial" w:hAnsi="Arial" w:cs="Arial"/>
                <w:sz w:val="18"/>
                <w:szCs w:val="18"/>
                <w:lang w:val="es-ES_tradnl" w:eastAsia="zh-CN"/>
              </w:rPr>
              <w:t>Incremento exportaciones y producción agroforestal.</w:t>
            </w:r>
          </w:p>
        </w:tc>
      </w:tr>
      <w:tr w:rsidRPr="00CA0370" w:rsidR="008352D8" w:rsidTr="3934E850" w14:paraId="6A8A480F" w14:textId="77777777">
        <w:trPr>
          <w:jc w:val="center"/>
        </w:trPr>
        <w:tc>
          <w:tcPr>
            <w:tcW w:w="640" w:type="pct"/>
            <w:tcMar/>
          </w:tcPr>
          <w:p w:rsidRPr="00CA0370" w:rsidR="009711A4" w:rsidP="00806898" w:rsidRDefault="009711A4" w14:paraId="64D0FB77" w14:textId="533E10B8">
            <w:pPr>
              <w:rPr>
                <w:rFonts w:ascii="Arial" w:hAnsi="Arial" w:cs="Arial"/>
                <w:b/>
                <w:sz w:val="18"/>
                <w:szCs w:val="18"/>
                <w:lang w:val="es-ES_tradnl" w:eastAsia="zh-CN"/>
              </w:rPr>
            </w:pPr>
            <w:r w:rsidRPr="00CA0370">
              <w:rPr>
                <w:rFonts w:ascii="Arial" w:hAnsi="Arial" w:cs="Arial"/>
                <w:b/>
                <w:sz w:val="18"/>
                <w:szCs w:val="18"/>
                <w:lang w:val="es-ES_tradnl"/>
              </w:rPr>
              <w:t>Resultado #1.</w:t>
            </w:r>
            <w:r w:rsidRPr="00CA0370">
              <w:rPr>
                <w:rFonts w:ascii="Arial" w:hAnsi="Arial" w:cs="Arial"/>
                <w:sz w:val="18"/>
                <w:szCs w:val="18"/>
                <w:lang w:val="es-ES_tradnl"/>
              </w:rPr>
              <w:t xml:space="preserve">  </w:t>
            </w:r>
            <w:r w:rsidRPr="00CA0370">
              <w:rPr>
                <w:rFonts w:ascii="Arial" w:hAnsi="Arial" w:cs="Arial"/>
                <w:sz w:val="18"/>
                <w:szCs w:val="18"/>
                <w:lang w:val="es-ES_tradnl" w:eastAsia="zh-CN"/>
              </w:rPr>
              <w:t>Exportaciones forestales con Zona Franca</w:t>
            </w:r>
            <w:r w:rsidRPr="00CA0370" w:rsidR="00426436">
              <w:rPr>
                <w:rStyle w:val="FootnoteReference"/>
                <w:rFonts w:ascii="Arial" w:hAnsi="Arial" w:cs="Arial"/>
                <w:sz w:val="18"/>
                <w:szCs w:val="18"/>
                <w:lang w:val="es-ES_tradnl" w:eastAsia="zh-CN"/>
              </w:rPr>
              <w:footnoteReference w:id="10"/>
            </w:r>
          </w:p>
        </w:tc>
        <w:tc>
          <w:tcPr>
            <w:tcW w:w="1105" w:type="pct"/>
            <w:tcMar/>
          </w:tcPr>
          <w:p w:rsidRPr="00CA0370" w:rsidR="009711A4" w:rsidP="00806898" w:rsidRDefault="009711A4" w14:paraId="1FD62A58" w14:textId="77777777">
            <w:pPr>
              <w:jc w:val="center"/>
              <w:rPr>
                <w:rFonts w:ascii="Arial" w:hAnsi="Arial" w:cs="Arial"/>
                <w:sz w:val="18"/>
                <w:szCs w:val="18"/>
                <w:lang w:val="es-ES_tradnl"/>
              </w:rPr>
            </w:pPr>
            <w:r w:rsidRPr="00CA0370">
              <w:rPr>
                <w:rFonts w:ascii="Arial" w:hAnsi="Arial" w:cs="Arial"/>
                <w:sz w:val="18"/>
                <w:szCs w:val="18"/>
                <w:lang w:val="es-ES_tradnl"/>
              </w:rPr>
              <w:t>Miles de</w:t>
            </w:r>
          </w:p>
          <w:p w:rsidRPr="00CA0370" w:rsidR="009711A4" w:rsidP="00806898" w:rsidRDefault="009711A4" w14:paraId="404BF047" w14:textId="762327B0">
            <w:pPr>
              <w:jc w:val="center"/>
              <w:rPr>
                <w:rFonts w:ascii="Arial" w:hAnsi="Arial" w:cs="Arial"/>
                <w:sz w:val="18"/>
                <w:szCs w:val="18"/>
                <w:lang w:val="es-ES_tradnl" w:eastAsia="zh-CN"/>
              </w:rPr>
            </w:pPr>
            <w:r w:rsidRPr="00CA0370">
              <w:rPr>
                <w:rFonts w:ascii="Arial" w:hAnsi="Arial" w:cs="Arial"/>
                <w:sz w:val="18"/>
                <w:szCs w:val="18"/>
                <w:lang w:val="es-ES_tradnl"/>
              </w:rPr>
              <w:t>US$</w:t>
            </w:r>
          </w:p>
        </w:tc>
        <w:tc>
          <w:tcPr>
            <w:tcW w:w="771" w:type="pct"/>
            <w:tcMar/>
          </w:tcPr>
          <w:p w:rsidRPr="00CA0370" w:rsidR="009711A4" w:rsidP="00806898" w:rsidRDefault="009711A4" w14:paraId="3C4DAAC9" w14:textId="3DB69435">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9711A4" w:rsidP="00806898" w:rsidRDefault="009711A4" w14:paraId="0A9DB671" w14:textId="74E3562E">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9711A4" w:rsidP="00806898" w:rsidRDefault="009711A4" w14:paraId="109347EE" w14:textId="77777777">
            <w:pPr>
              <w:jc w:val="center"/>
              <w:rPr>
                <w:rFonts w:ascii="Arial" w:hAnsi="Arial" w:cs="Arial"/>
                <w:sz w:val="18"/>
                <w:szCs w:val="18"/>
                <w:lang w:val="es-ES_tradnl"/>
              </w:rPr>
            </w:pPr>
            <w:r w:rsidRPr="00CA0370">
              <w:rPr>
                <w:rFonts w:ascii="Arial" w:hAnsi="Arial" w:cs="Arial"/>
                <w:sz w:val="18"/>
                <w:szCs w:val="18"/>
                <w:lang w:val="es-ES_tradnl"/>
              </w:rPr>
              <w:t>MGAP DIEA Anuario Estadístico Agropecuario. Elaborado por la Dirección General Forestal con información de Urunet/BCU.</w:t>
            </w:r>
          </w:p>
        </w:tc>
        <w:tc>
          <w:tcPr>
            <w:tcW w:w="942" w:type="pct"/>
            <w:tcMar/>
          </w:tcPr>
          <w:p w:rsidRPr="00CA0370" w:rsidR="009711A4" w:rsidP="00806898" w:rsidRDefault="00D11661" w14:paraId="5F6CC339" w14:textId="34D47183">
            <w:pPr>
              <w:rPr>
                <w:rFonts w:ascii="Arial" w:hAnsi="Arial" w:cs="Arial"/>
                <w:sz w:val="18"/>
                <w:szCs w:val="18"/>
                <w:lang w:val="es-ES_tradnl"/>
              </w:rPr>
            </w:pPr>
            <w:r w:rsidRPr="00CA0370">
              <w:rPr>
                <w:rFonts w:ascii="Arial" w:hAnsi="Arial" w:cs="Arial"/>
                <w:color w:val="000000" w:themeColor="text1"/>
                <w:sz w:val="18"/>
                <w:szCs w:val="18"/>
                <w:lang w:val="es-ES_tradnl" w:eastAsia="zh-CN"/>
              </w:rPr>
              <w:t xml:space="preserve">El indicador recoge los siguientes productos: madera bruta, madera aserrada, productos elaborados, pasta de madera. </w:t>
            </w:r>
            <w:r w:rsidRPr="00CA0370">
              <w:rPr>
                <w:rFonts w:ascii="Arial" w:hAnsi="Arial" w:cs="Arial"/>
                <w:sz w:val="18"/>
                <w:szCs w:val="18"/>
                <w:lang w:val="es-ES_tradnl" w:eastAsia="zh-CN"/>
              </w:rPr>
              <w:t>Para establecer la meta de este indicador se han estimado las exportaciones forestales mediante un modelo lineal de regresión con la serie disponible para 2012-2017. Para un R</w:t>
            </w:r>
            <w:r w:rsidRPr="00CA0370" w:rsidR="00F20731">
              <w:rPr>
                <w:rFonts w:ascii="Arial" w:hAnsi="Arial" w:cs="Arial"/>
                <w:sz w:val="18"/>
                <w:szCs w:val="18"/>
                <w:lang w:val="es-ES_tradnl" w:eastAsia="zh-CN"/>
              </w:rPr>
              <w:t> </w:t>
            </w:r>
            <w:r w:rsidRPr="00CA0370">
              <w:rPr>
                <w:rFonts w:ascii="Arial" w:hAnsi="Arial" w:cs="Arial"/>
                <w:sz w:val="18"/>
                <w:szCs w:val="18"/>
                <w:lang w:val="es-ES_tradnl" w:eastAsia="zh-CN"/>
              </w:rPr>
              <w:t>cuadrado ajustado de 0</w:t>
            </w:r>
            <w:r w:rsidRPr="00CA0370" w:rsidR="00F20731">
              <w:rPr>
                <w:rFonts w:ascii="Arial" w:hAnsi="Arial" w:cs="Arial"/>
                <w:sz w:val="18"/>
                <w:szCs w:val="18"/>
                <w:lang w:val="es-ES_tradnl" w:eastAsia="zh-CN"/>
              </w:rPr>
              <w:t>,</w:t>
            </w:r>
            <w:r w:rsidRPr="00CA0370">
              <w:rPr>
                <w:rFonts w:ascii="Arial" w:hAnsi="Arial" w:cs="Arial"/>
                <w:sz w:val="18"/>
                <w:szCs w:val="18"/>
                <w:lang w:val="es-ES_tradnl" w:eastAsia="zh-CN"/>
              </w:rPr>
              <w:t>86 se obtiene un coeficiente de 129329</w:t>
            </w:r>
            <w:r w:rsidRPr="00CA0370" w:rsidR="00F20731">
              <w:rPr>
                <w:rFonts w:ascii="Arial" w:hAnsi="Arial" w:cs="Arial"/>
                <w:sz w:val="18"/>
                <w:szCs w:val="18"/>
                <w:lang w:val="es-ES_tradnl" w:eastAsia="zh-CN"/>
              </w:rPr>
              <w:t>,</w:t>
            </w:r>
            <w:r w:rsidRPr="00CA0370">
              <w:rPr>
                <w:rFonts w:ascii="Arial" w:hAnsi="Arial" w:cs="Arial"/>
                <w:sz w:val="18"/>
                <w:szCs w:val="18"/>
                <w:lang w:val="es-ES_tradnl" w:eastAsia="zh-CN"/>
              </w:rPr>
              <w:t xml:space="preserve">3 estadísticamente significativo al 95%. Considerando la media de dicho periodo 1341006 obtendríamos un incremento anual de las exportaciones forestales </w:t>
            </w:r>
            <w:r w:rsidRPr="00CA0370">
              <w:rPr>
                <w:rFonts w:ascii="Arial" w:hAnsi="Arial" w:cs="Arial"/>
                <w:color w:val="000000" w:themeColor="text1"/>
                <w:sz w:val="18"/>
                <w:szCs w:val="18"/>
                <w:lang w:val="es-ES_tradnl" w:eastAsia="zh-CN"/>
              </w:rPr>
              <w:t>de 9</w:t>
            </w:r>
            <w:r w:rsidRPr="00CA0370" w:rsidR="00F20731">
              <w:rPr>
                <w:rFonts w:ascii="Arial" w:hAnsi="Arial" w:cs="Arial"/>
                <w:color w:val="000000" w:themeColor="text1"/>
                <w:sz w:val="18"/>
                <w:szCs w:val="18"/>
                <w:lang w:val="es-ES_tradnl" w:eastAsia="zh-CN"/>
              </w:rPr>
              <w:t>,</w:t>
            </w:r>
            <w:r w:rsidRPr="00CA0370">
              <w:rPr>
                <w:rFonts w:ascii="Arial" w:hAnsi="Arial" w:cs="Arial"/>
                <w:color w:val="000000" w:themeColor="text1"/>
                <w:sz w:val="18"/>
                <w:szCs w:val="18"/>
                <w:lang w:val="es-ES_tradnl" w:eastAsia="zh-CN"/>
              </w:rPr>
              <w:t xml:space="preserve">64, </w:t>
            </w:r>
            <w:r w:rsidRPr="00CA0370">
              <w:rPr>
                <w:rFonts w:ascii="Arial" w:hAnsi="Arial" w:cs="Arial"/>
                <w:sz w:val="18"/>
                <w:szCs w:val="18"/>
                <w:lang w:val="es-ES_tradnl" w:eastAsia="zh-CN"/>
              </w:rPr>
              <w:t xml:space="preserve">es decir, sin programa se obtendrían unas </w:t>
            </w:r>
            <w:r w:rsidRPr="00CA0370">
              <w:rPr>
                <w:rFonts w:ascii="Arial" w:hAnsi="Arial" w:cs="Arial"/>
                <w:sz w:val="18"/>
                <w:szCs w:val="18"/>
                <w:lang w:val="es-ES_tradnl" w:eastAsia="zh-CN"/>
              </w:rPr>
              <w:lastRenderedPageBreak/>
              <w:t>exportaciones de 1.835.853. Considerando un efecto del programa conservador de 1</w:t>
            </w:r>
            <w:r w:rsidRPr="00CA0370" w:rsidR="00F20731">
              <w:rPr>
                <w:rFonts w:ascii="Arial" w:hAnsi="Arial" w:cs="Arial"/>
                <w:sz w:val="18"/>
                <w:szCs w:val="18"/>
                <w:lang w:val="es-ES_tradnl" w:eastAsia="zh-CN"/>
              </w:rPr>
              <w:t>,</w:t>
            </w:r>
            <w:r w:rsidRPr="00CA0370">
              <w:rPr>
                <w:rFonts w:ascii="Arial" w:hAnsi="Arial" w:cs="Arial"/>
                <w:sz w:val="18"/>
                <w:szCs w:val="18"/>
                <w:lang w:val="es-ES_tradnl" w:eastAsia="zh-CN"/>
              </w:rPr>
              <w:t>5, llegaríamos a la meta establecida para 2022.</w:t>
            </w:r>
          </w:p>
        </w:tc>
      </w:tr>
      <w:tr w:rsidRPr="00CA0370" w:rsidR="008352D8" w:rsidTr="3934E850" w14:paraId="360ECFA4" w14:textId="77777777">
        <w:trPr>
          <w:jc w:val="center"/>
        </w:trPr>
        <w:tc>
          <w:tcPr>
            <w:tcW w:w="640" w:type="pct"/>
            <w:tcMar/>
          </w:tcPr>
          <w:p w:rsidRPr="00CA0370" w:rsidR="00D11661" w:rsidP="00D11661" w:rsidRDefault="00D11661" w14:paraId="05D2F122" w14:textId="6D682DA7">
            <w:pPr>
              <w:rPr>
                <w:rFonts w:ascii="Arial" w:hAnsi="Arial" w:cs="Arial"/>
                <w:sz w:val="18"/>
                <w:szCs w:val="18"/>
                <w:lang w:val="es-ES_tradnl"/>
              </w:rPr>
            </w:pPr>
            <w:r w:rsidRPr="00CA0370">
              <w:rPr>
                <w:rFonts w:ascii="Arial" w:hAnsi="Arial" w:cs="Arial"/>
                <w:b/>
                <w:sz w:val="18"/>
                <w:szCs w:val="18"/>
                <w:lang w:val="es-ES_tradnl" w:eastAsia="zh-CN"/>
              </w:rPr>
              <w:t>Resultado #2.</w:t>
            </w:r>
            <w:r w:rsidRPr="00CA0370">
              <w:rPr>
                <w:rFonts w:ascii="Arial" w:hAnsi="Arial" w:cs="Arial"/>
                <w:sz w:val="18"/>
                <w:szCs w:val="18"/>
                <w:lang w:val="es-ES_tradnl" w:eastAsia="zh-CN"/>
              </w:rPr>
              <w:t xml:space="preserve"> </w:t>
            </w:r>
            <w:r w:rsidRPr="00CA0370">
              <w:rPr>
                <w:rFonts w:ascii="Arial" w:hAnsi="Arial" w:cs="Arial"/>
                <w:sz w:val="18"/>
                <w:szCs w:val="18"/>
                <w:lang w:val="es-ES_tradnl"/>
              </w:rPr>
              <w:t xml:space="preserve"> Producción total de madera de proyectos del sector agroforestal.</w:t>
            </w:r>
          </w:p>
          <w:p w:rsidRPr="00CA0370" w:rsidR="00D11661" w:rsidP="00D11661" w:rsidRDefault="00D11661" w14:paraId="398AFA73" w14:textId="3460EF8E">
            <w:pPr>
              <w:rPr>
                <w:rFonts w:ascii="Arial" w:hAnsi="Arial" w:cs="Arial"/>
                <w:sz w:val="18"/>
                <w:szCs w:val="18"/>
                <w:lang w:val="es-ES_tradnl"/>
              </w:rPr>
            </w:pPr>
          </w:p>
        </w:tc>
        <w:tc>
          <w:tcPr>
            <w:tcW w:w="1105" w:type="pct"/>
            <w:tcMar/>
          </w:tcPr>
          <w:p w:rsidRPr="00CA0370" w:rsidR="00D11661" w:rsidP="00D11661" w:rsidRDefault="00D11661" w14:paraId="23B6DE41" w14:textId="337E89B0">
            <w:pPr>
              <w:jc w:val="center"/>
              <w:rPr>
                <w:rFonts w:ascii="Arial" w:hAnsi="Arial" w:cs="Arial"/>
                <w:sz w:val="18"/>
                <w:szCs w:val="18"/>
                <w:lang w:val="es-ES_tradnl"/>
              </w:rPr>
            </w:pPr>
            <w:r w:rsidRPr="00CA0370">
              <w:rPr>
                <w:rFonts w:ascii="Arial" w:hAnsi="Arial" w:cs="Arial"/>
                <w:sz w:val="18"/>
                <w:szCs w:val="18"/>
                <w:lang w:val="es-ES_tradnl" w:eastAsia="zh-CN"/>
              </w:rPr>
              <w:t>Miles de metros cúbicos</w:t>
            </w:r>
          </w:p>
        </w:tc>
        <w:tc>
          <w:tcPr>
            <w:tcW w:w="771" w:type="pct"/>
            <w:tcMar/>
          </w:tcPr>
          <w:p w:rsidRPr="00CA0370" w:rsidR="00D11661" w:rsidP="00D11661" w:rsidRDefault="00D11661" w14:paraId="39791A3D" w14:textId="014897A1">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75F05998" w14:textId="2C4DF84A">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D11661" w:rsidP="00D11661" w:rsidRDefault="00D11661" w14:paraId="206C69FA" w14:textId="38C400FB">
            <w:pPr>
              <w:rPr>
                <w:rFonts w:ascii="Arial" w:hAnsi="Arial" w:cs="Arial"/>
                <w:sz w:val="18"/>
                <w:szCs w:val="18"/>
                <w:lang w:val="es-ES_tradnl"/>
              </w:rPr>
            </w:pPr>
            <w:r w:rsidRPr="00CA0370">
              <w:rPr>
                <w:rFonts w:ascii="Arial" w:hAnsi="Arial" w:cs="Arial"/>
                <w:sz w:val="18"/>
                <w:szCs w:val="18"/>
                <w:lang w:val="es-ES_tradnl" w:eastAsia="zh-CN"/>
              </w:rPr>
              <w:t>Informes del BROU y MGAP DIEA Anuario Estadístico Agropecuario.</w:t>
            </w:r>
          </w:p>
        </w:tc>
        <w:tc>
          <w:tcPr>
            <w:tcW w:w="942" w:type="pct"/>
            <w:tcMar/>
          </w:tcPr>
          <w:p w:rsidRPr="00CA0370" w:rsidR="00D11661" w:rsidP="00D11661" w:rsidRDefault="00D11661" w14:paraId="20AA0858" w14:textId="55136CEE">
            <w:pPr>
              <w:rPr>
                <w:rFonts w:ascii="Arial" w:hAnsi="Arial" w:cs="Arial"/>
                <w:sz w:val="18"/>
                <w:szCs w:val="18"/>
                <w:lang w:val="es-ES_tradnl" w:eastAsia="zh-CN"/>
              </w:rPr>
            </w:pPr>
            <w:r w:rsidRPr="00CA0370">
              <w:rPr>
                <w:rFonts w:ascii="Arial" w:hAnsi="Arial" w:cs="Arial"/>
                <w:sz w:val="18"/>
                <w:szCs w:val="18"/>
                <w:lang w:val="es-ES_tradnl" w:eastAsia="zh-CN"/>
              </w:rPr>
              <w:t>Para establecer la meta de este indicador se ha estimado la extracción de madera total (coníferas y no coníferas) mediante un modelo lineal de regresión con la serie disponible para 2010-2017. Para un R cuadrado ajustado de 0,60 se obtiene un coeficiente de 699,31 estadísticamente significativo al 95%. Considerando la media de dicho periodo 12,405 como LB obtendríamos un incremento anual de la producción de madera de 5,</w:t>
            </w:r>
            <w:r w:rsidRPr="00CA0370" w:rsidR="009F14E4">
              <w:rPr>
                <w:rFonts w:ascii="Arial" w:hAnsi="Arial" w:cs="Arial"/>
                <w:sz w:val="18"/>
                <w:szCs w:val="18"/>
                <w:lang w:val="es-ES_tradnl" w:eastAsia="zh-CN"/>
              </w:rPr>
              <w:t>34</w:t>
            </w:r>
            <w:r w:rsidRPr="00CA0370">
              <w:rPr>
                <w:rFonts w:ascii="Arial" w:hAnsi="Arial" w:cs="Arial"/>
                <w:sz w:val="18"/>
                <w:szCs w:val="18"/>
                <w:lang w:val="es-ES_tradnl" w:eastAsia="zh-CN"/>
              </w:rPr>
              <w:t xml:space="preserve"> % de miles de metros cúbicos sin programa. Tomando como referencia los multiplicadores de IMPLAN para la industria por el ferrocarril directo e indirecto (1,3) e inducido (0,3) sobre la producción por el apoyo a industrias agroforestales del programa </w:t>
            </w:r>
            <w:r w:rsidRPr="00CA0370">
              <w:rPr>
                <w:rFonts w:ascii="Arial" w:hAnsi="Arial" w:cs="Arial"/>
                <w:sz w:val="18"/>
                <w:szCs w:val="18"/>
                <w:lang w:val="es-ES_tradnl" w:eastAsia="zh-CN"/>
              </w:rPr>
              <w:lastRenderedPageBreak/>
              <w:t>tendríamos un coeficiente total de 1,6 para multiplicar a los metros cúbicos que se obtendría al final del programa si no hubiera tenido lugar dicho programa</w:t>
            </w:r>
            <w:r w:rsidRPr="00CA0370">
              <w:rPr>
                <w:rFonts w:ascii="Arial" w:hAnsi="Arial" w:cs="Arial"/>
                <w:sz w:val="18"/>
                <w:szCs w:val="18"/>
                <w:vertAlign w:val="superscript"/>
                <w:lang w:val="es-ES_tradnl"/>
              </w:rPr>
              <w:footnoteReference w:id="11"/>
            </w:r>
            <w:r w:rsidRPr="00CA0370">
              <w:rPr>
                <w:rFonts w:ascii="Arial" w:hAnsi="Arial" w:cs="Arial"/>
                <w:sz w:val="18"/>
                <w:szCs w:val="18"/>
                <w:vertAlign w:val="superscript"/>
                <w:lang w:val="es-ES_tradnl"/>
              </w:rPr>
              <w:t>.</w:t>
            </w:r>
            <w:r w:rsidRPr="00CA0370">
              <w:rPr>
                <w:rFonts w:ascii="Arial" w:hAnsi="Arial" w:cs="Arial"/>
                <w:sz w:val="18"/>
                <w:szCs w:val="18"/>
                <w:lang w:val="es-ES_tradnl" w:eastAsia="zh-CN"/>
              </w:rPr>
              <w:t xml:space="preserve"> </w:t>
            </w:r>
            <w:r w:rsidRPr="00CA0370" w:rsidR="009F14E4">
              <w:rPr>
                <w:rFonts w:ascii="Arial" w:hAnsi="Arial" w:cs="Arial"/>
                <w:sz w:val="18"/>
                <w:szCs w:val="18"/>
                <w:lang w:val="es-ES_tradnl" w:eastAsia="zh-CN"/>
              </w:rPr>
              <w:t>A efectos de ser conservadores se ha optado por incorporar solo el efecto de las empresas agroforestales dado que el ferrocarril no estaría plenamente operativo en 2022.</w:t>
            </w:r>
          </w:p>
        </w:tc>
      </w:tr>
      <w:tr w:rsidRPr="00CA0370" w:rsidR="008352D8" w:rsidTr="3934E850" w14:paraId="72A1DF3B" w14:textId="77777777">
        <w:trPr>
          <w:jc w:val="center"/>
        </w:trPr>
        <w:tc>
          <w:tcPr>
            <w:tcW w:w="640" w:type="pct"/>
            <w:tcMar/>
          </w:tcPr>
          <w:p w:rsidRPr="00CA0370" w:rsidR="00D11661" w:rsidP="00D11661" w:rsidRDefault="00D11661" w14:paraId="71409ED7" w14:textId="2A073DAC">
            <w:pPr>
              <w:rPr>
                <w:rFonts w:ascii="Arial" w:hAnsi="Arial" w:cs="Arial"/>
                <w:sz w:val="18"/>
                <w:szCs w:val="18"/>
                <w:lang w:val="es-ES_tradnl"/>
              </w:rPr>
            </w:pPr>
            <w:r w:rsidRPr="00CA0370">
              <w:rPr>
                <w:rFonts w:ascii="Arial" w:hAnsi="Arial" w:cs="Arial"/>
                <w:b/>
                <w:sz w:val="18"/>
                <w:szCs w:val="18"/>
                <w:lang w:val="es-ES_tradnl"/>
              </w:rPr>
              <w:t xml:space="preserve">Resultado #3. </w:t>
            </w:r>
            <w:r w:rsidRPr="00CA0370">
              <w:rPr>
                <w:rFonts w:ascii="Arial" w:hAnsi="Arial" w:cs="Arial"/>
                <w:sz w:val="18"/>
                <w:szCs w:val="18"/>
                <w:lang w:val="es-ES_tradnl"/>
              </w:rPr>
              <w:t>Diferencial duración préstamos a mediano y largo plazo</w:t>
            </w:r>
            <w:r w:rsidRPr="00CA0370">
              <w:rPr>
                <w:rFonts w:ascii="Arial" w:hAnsi="Arial" w:cs="Arial"/>
                <w:b/>
                <w:sz w:val="18"/>
                <w:szCs w:val="18"/>
                <w:lang w:val="es-ES_tradnl"/>
              </w:rPr>
              <w:t xml:space="preserve"> </w:t>
            </w:r>
            <w:r w:rsidRPr="00CA0370">
              <w:rPr>
                <w:rFonts w:ascii="Arial" w:hAnsi="Arial" w:cs="Arial"/>
                <w:sz w:val="18"/>
                <w:szCs w:val="18"/>
                <w:lang w:val="es-ES_tradnl"/>
              </w:rPr>
              <w:t>respecto al sistema (proyectos agroforestales).</w:t>
            </w:r>
          </w:p>
        </w:tc>
        <w:tc>
          <w:tcPr>
            <w:tcW w:w="1105" w:type="pct"/>
            <w:tcMar/>
          </w:tcPr>
          <w:p w:rsidRPr="00CA0370" w:rsidR="00D11661" w:rsidP="00D11661" w:rsidRDefault="00D11661" w14:paraId="571A9D42" w14:textId="1403F966">
            <w:pPr>
              <w:jc w:val="center"/>
              <w:rPr>
                <w:rFonts w:ascii="Arial" w:hAnsi="Arial" w:cs="Arial"/>
                <w:sz w:val="18"/>
                <w:szCs w:val="18"/>
                <w:lang w:val="es-ES_tradnl"/>
              </w:rPr>
            </w:pPr>
            <w:r w:rsidRPr="00CA0370">
              <w:rPr>
                <w:rFonts w:ascii="Arial" w:hAnsi="Arial" w:cs="Arial"/>
                <w:sz w:val="18"/>
                <w:szCs w:val="18"/>
                <w:lang w:val="es-ES_tradnl" w:eastAsia="zh-CN"/>
              </w:rPr>
              <w:t>Años</w:t>
            </w:r>
          </w:p>
        </w:tc>
        <w:tc>
          <w:tcPr>
            <w:tcW w:w="771" w:type="pct"/>
            <w:tcMar/>
          </w:tcPr>
          <w:p w:rsidRPr="00CA0370" w:rsidR="00D11661" w:rsidP="00D11661" w:rsidRDefault="00D11661" w14:paraId="330FD042"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00B5414F" w14:textId="0B3A3017">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D11661" w:rsidP="00D11661" w:rsidRDefault="00D11661" w14:paraId="6EEC1169" w14:textId="72D5C6EC">
            <w:pPr>
              <w:rPr>
                <w:rFonts w:ascii="Arial" w:hAnsi="Arial" w:cs="Arial"/>
                <w:sz w:val="18"/>
                <w:szCs w:val="18"/>
                <w:lang w:val="es-ES_tradnl"/>
              </w:rPr>
            </w:pPr>
            <w:r w:rsidRPr="00CA0370">
              <w:rPr>
                <w:rFonts w:ascii="Arial" w:hAnsi="Arial" w:cs="Arial"/>
                <w:sz w:val="18"/>
                <w:szCs w:val="18"/>
                <w:lang w:val="es-ES_tradnl" w:eastAsia="zh-CN"/>
              </w:rPr>
              <w:t>Informes del BROU e informes internos BID.</w:t>
            </w:r>
          </w:p>
        </w:tc>
        <w:tc>
          <w:tcPr>
            <w:tcW w:w="942" w:type="pct"/>
            <w:tcMar/>
          </w:tcPr>
          <w:p w:rsidRPr="00CA0370" w:rsidR="00D11661" w:rsidP="00D11661" w:rsidRDefault="00D11661" w14:paraId="44971232" w14:textId="6546C518">
            <w:pPr>
              <w:rPr>
                <w:rFonts w:ascii="Arial" w:hAnsi="Arial" w:cs="Arial"/>
                <w:sz w:val="18"/>
                <w:szCs w:val="18"/>
                <w:lang w:val="es-ES_tradnl"/>
              </w:rPr>
            </w:pPr>
            <w:r w:rsidRPr="00CA0370">
              <w:rPr>
                <w:rFonts w:ascii="Arial" w:hAnsi="Arial" w:cs="Arial"/>
                <w:sz w:val="18"/>
                <w:szCs w:val="18"/>
                <w:lang w:val="es-ES_tradnl" w:eastAsia="zh-CN"/>
              </w:rPr>
              <w:t xml:space="preserve">Este indicador pretende cuantificar el efecto del programa respecto a la extensión de la duración de los </w:t>
            </w:r>
            <w:r w:rsidRPr="00CA0370" w:rsidR="00426436">
              <w:rPr>
                <w:rFonts w:ascii="Arial" w:hAnsi="Arial" w:cs="Arial"/>
                <w:sz w:val="18"/>
                <w:szCs w:val="18"/>
                <w:lang w:val="es-ES_tradnl" w:eastAsia="zh-CN"/>
              </w:rPr>
              <w:t>préstamos</w:t>
            </w:r>
            <w:r w:rsidRPr="00CA0370">
              <w:rPr>
                <w:rFonts w:ascii="Arial" w:hAnsi="Arial" w:cs="Arial"/>
                <w:sz w:val="18"/>
                <w:szCs w:val="18"/>
                <w:lang w:val="es-ES_tradnl" w:eastAsia="zh-CN"/>
              </w:rPr>
              <w:t xml:space="preserve"> a medio y largo plazo, respecto a la duración que ofrece el sistema financiero para proyectos agroforestales.</w:t>
            </w:r>
          </w:p>
        </w:tc>
      </w:tr>
      <w:tr w:rsidRPr="00CA0370" w:rsidR="00426436" w:rsidTr="3934E850" w14:paraId="3C5F6DDB" w14:textId="77777777">
        <w:trPr>
          <w:jc w:val="center"/>
        </w:trPr>
        <w:tc>
          <w:tcPr>
            <w:tcW w:w="5000" w:type="pct"/>
            <w:gridSpan w:val="6"/>
            <w:tcMar/>
            <w:vAlign w:val="center"/>
          </w:tcPr>
          <w:p w:rsidRPr="00CA0370" w:rsidR="00426436" w:rsidP="00426436" w:rsidRDefault="00426436" w14:paraId="11531BD5" w14:textId="5474764B">
            <w:pPr>
              <w:rPr>
                <w:rFonts w:ascii="Arial" w:hAnsi="Arial" w:cs="Arial"/>
                <w:sz w:val="18"/>
                <w:szCs w:val="18"/>
                <w:lang w:val="es-ES_tradnl" w:eastAsia="zh-CN"/>
              </w:rPr>
            </w:pPr>
            <w:r w:rsidRPr="00CA0370">
              <w:rPr>
                <w:rFonts w:ascii="Arial" w:hAnsi="Arial" w:cs="Arial"/>
                <w:b/>
                <w:sz w:val="18"/>
                <w:szCs w:val="18"/>
                <w:lang w:val="es-ES_tradnl" w:eastAsia="zh-CN"/>
              </w:rPr>
              <w:t xml:space="preserve">Resultados (vinculados al objetivo específico #2): </w:t>
            </w:r>
            <w:r w:rsidRPr="00CA0370">
              <w:rPr>
                <w:rFonts w:ascii="Arial" w:hAnsi="Arial" w:cs="Arial"/>
                <w:sz w:val="18"/>
                <w:szCs w:val="18"/>
                <w:lang w:val="es-ES_tradnl" w:eastAsia="zh-CN"/>
              </w:rPr>
              <w:t>Incremento del flujo de viajeros en la zona intervenida.</w:t>
            </w:r>
          </w:p>
        </w:tc>
      </w:tr>
      <w:tr w:rsidRPr="00CA0370" w:rsidR="008352D8" w:rsidTr="3934E850" w14:paraId="2C056A7D" w14:textId="77777777">
        <w:trPr>
          <w:jc w:val="center"/>
        </w:trPr>
        <w:tc>
          <w:tcPr>
            <w:tcW w:w="640" w:type="pct"/>
            <w:tcMar/>
          </w:tcPr>
          <w:p w:rsidRPr="00CA0370" w:rsidR="00D11661" w:rsidP="00D11661" w:rsidRDefault="00D11661" w14:paraId="0AEEFC31" w14:textId="6704135E">
            <w:pPr>
              <w:rPr>
                <w:rFonts w:ascii="Arial" w:hAnsi="Arial" w:cs="Arial"/>
                <w:sz w:val="18"/>
                <w:szCs w:val="18"/>
                <w:lang w:val="es-ES_tradnl"/>
              </w:rPr>
            </w:pPr>
            <w:r w:rsidRPr="00CA0370">
              <w:rPr>
                <w:rFonts w:ascii="Arial" w:hAnsi="Arial" w:cs="Arial"/>
                <w:b/>
                <w:sz w:val="18"/>
                <w:szCs w:val="18"/>
                <w:lang w:val="es-ES_tradnl"/>
              </w:rPr>
              <w:t>Resultado #</w:t>
            </w:r>
            <w:r w:rsidRPr="00CA0370" w:rsidR="00426436">
              <w:rPr>
                <w:rFonts w:ascii="Arial" w:hAnsi="Arial" w:cs="Arial"/>
                <w:b/>
                <w:sz w:val="18"/>
                <w:szCs w:val="18"/>
                <w:lang w:val="es-ES_tradnl"/>
              </w:rPr>
              <w:t>1</w:t>
            </w:r>
            <w:r w:rsidRPr="00CA0370">
              <w:rPr>
                <w:rFonts w:ascii="Arial" w:hAnsi="Arial" w:cs="Arial"/>
                <w:b/>
                <w:sz w:val="18"/>
                <w:szCs w:val="18"/>
                <w:lang w:val="es-ES_tradnl"/>
              </w:rPr>
              <w:t xml:space="preserve">. </w:t>
            </w:r>
            <w:r w:rsidRPr="00CA0370">
              <w:rPr>
                <w:rFonts w:ascii="Arial" w:hAnsi="Arial" w:cs="Arial"/>
                <w:sz w:val="18"/>
                <w:szCs w:val="18"/>
                <w:lang w:val="es-ES_tradnl"/>
              </w:rPr>
              <w:t>Tránsito promedio diario anual (TPDA) total rutas 14 y 15.</w:t>
            </w:r>
          </w:p>
          <w:p w:rsidRPr="00CA0370" w:rsidR="00D11661" w:rsidP="00D11661" w:rsidRDefault="00D11661" w14:paraId="10F5DAAB" w14:textId="2A89FE56">
            <w:pPr>
              <w:rPr>
                <w:rFonts w:ascii="Arial" w:hAnsi="Arial" w:cs="Arial"/>
                <w:sz w:val="18"/>
                <w:szCs w:val="18"/>
                <w:lang w:val="es-ES_tradnl"/>
              </w:rPr>
            </w:pPr>
          </w:p>
        </w:tc>
        <w:tc>
          <w:tcPr>
            <w:tcW w:w="1105" w:type="pct"/>
            <w:tcMar/>
          </w:tcPr>
          <w:p w:rsidRPr="00CA0370" w:rsidR="00D11661" w:rsidP="00D11661" w:rsidRDefault="00D11661" w14:paraId="42D29841" w14:textId="4E95248C">
            <w:pPr>
              <w:pStyle w:val="p1"/>
              <w:jc w:val="center"/>
              <w:rPr>
                <w:rFonts w:ascii="Arial" w:hAnsi="Arial" w:cs="Arial"/>
                <w:sz w:val="18"/>
                <w:szCs w:val="18"/>
                <w:lang w:val="es-ES_tradnl"/>
              </w:rPr>
            </w:pPr>
            <w:r w:rsidRPr="00CA0370">
              <w:rPr>
                <w:rFonts w:ascii="Arial" w:hAnsi="Arial" w:cs="Arial"/>
                <w:sz w:val="18"/>
                <w:szCs w:val="18"/>
                <w:lang w:val="es-ES_tradnl" w:eastAsia="zh-CN"/>
              </w:rPr>
              <w:t>Número vehículos</w:t>
            </w:r>
          </w:p>
        </w:tc>
        <w:tc>
          <w:tcPr>
            <w:tcW w:w="771" w:type="pct"/>
            <w:tcMar/>
          </w:tcPr>
          <w:p w:rsidRPr="00CA0370" w:rsidR="00D11661" w:rsidP="00D11661" w:rsidRDefault="00D11661" w14:paraId="2427D00E"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266565C8" w14:textId="6E19BF0D">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D11661" w:rsidP="00D11661" w:rsidRDefault="00D11661" w14:paraId="036C9FDE" w14:textId="7D0FCB25">
            <w:pPr>
              <w:rPr>
                <w:rFonts w:ascii="Arial" w:hAnsi="Arial" w:eastAsia="Arial" w:cs="Arial"/>
                <w:spacing w:val="-3"/>
                <w:sz w:val="18"/>
                <w:szCs w:val="18"/>
                <w:lang w:val="es-ES_tradnl"/>
              </w:rPr>
            </w:pPr>
            <w:r w:rsidRPr="00CA0370">
              <w:rPr>
                <w:rFonts w:ascii="Arial" w:hAnsi="Arial" w:eastAsia="Arial" w:cs="Arial"/>
                <w:spacing w:val="-3"/>
                <w:sz w:val="18"/>
                <w:szCs w:val="18"/>
                <w:lang w:val="es-ES_tradnl"/>
              </w:rPr>
              <w:t xml:space="preserve">Informes Corporación Nacional para el Desarrollo (CND) del corredor vial rutas 14 y 15, </w:t>
            </w:r>
            <w:r w:rsidRPr="00CA0370">
              <w:rPr>
                <w:rFonts w:ascii="Arial" w:hAnsi="Arial" w:cs="Arial"/>
                <w:sz w:val="18"/>
                <w:szCs w:val="18"/>
                <w:lang w:val="es-ES_tradnl" w:eastAsia="zh-CN"/>
              </w:rPr>
              <w:t>informes del BROU e informes internos BID.</w:t>
            </w:r>
          </w:p>
        </w:tc>
        <w:tc>
          <w:tcPr>
            <w:tcW w:w="942" w:type="pct"/>
            <w:tcMar/>
          </w:tcPr>
          <w:p w:rsidRPr="00CA0370" w:rsidR="00D11661" w:rsidP="00D11661" w:rsidRDefault="00D11661" w14:paraId="1AFE6214" w14:textId="19999B51">
            <w:pPr>
              <w:rPr>
                <w:rFonts w:ascii="Arial" w:hAnsi="Arial" w:cs="Arial"/>
                <w:sz w:val="18"/>
                <w:szCs w:val="18"/>
                <w:lang w:val="es-ES_tradnl"/>
              </w:rPr>
            </w:pPr>
            <w:r w:rsidRPr="00CA0370">
              <w:rPr>
                <w:rFonts w:ascii="Arial" w:hAnsi="Arial" w:cs="Arial"/>
                <w:sz w:val="18"/>
                <w:szCs w:val="18"/>
                <w:lang w:val="es-ES_tradnl" w:eastAsia="zh-CN"/>
              </w:rPr>
              <w:t xml:space="preserve">Tránsito promedio diario anual o TPDA, se define como el volumen total de vehículos que pasan por un punto o sección de una carretera en un periodo de tiempo determinado, que es mayor de un día y menor o </w:t>
            </w:r>
            <w:r w:rsidRPr="00CA0370">
              <w:rPr>
                <w:rFonts w:ascii="Arial" w:hAnsi="Arial" w:cs="Arial"/>
                <w:sz w:val="18"/>
                <w:szCs w:val="18"/>
                <w:lang w:val="es-ES_tradnl" w:eastAsia="zh-CN"/>
              </w:rPr>
              <w:lastRenderedPageBreak/>
              <w:t>igual a un año, dividido por el número de días comprendido en dicho período de medición. En el cálculo se ha incluido la ruta 14 (tramos 303+N1, N2, N3, 304 y 305) y la ruta 15 (tramos 310 y 311) a partir de datos del informe de prefactibilidad de la CND</w:t>
            </w:r>
            <w:r w:rsidRPr="00CA0370">
              <w:rPr>
                <w:rStyle w:val="FootnoteReference"/>
                <w:rFonts w:ascii="Arial" w:hAnsi="Arial" w:cs="Arial"/>
                <w:sz w:val="18"/>
                <w:szCs w:val="18"/>
                <w:lang w:val="es-ES_tradnl" w:eastAsia="zh-CN"/>
              </w:rPr>
              <w:footnoteReference w:id="12"/>
            </w:r>
            <w:r w:rsidRPr="00CA0370">
              <w:rPr>
                <w:rFonts w:ascii="Arial" w:hAnsi="Arial" w:cs="Arial"/>
                <w:sz w:val="18"/>
                <w:szCs w:val="18"/>
                <w:lang w:val="es-ES_tradnl" w:eastAsia="zh-CN"/>
              </w:rPr>
              <w:t>. La línea de base del indicador corresponde al TPDA (tránsito normal) antes del proyecto (3.684) y la meta añade el TDPA (tránsito generado) tras la realización del proyecto de infraestructura vial apoyado por la operación (264)</w:t>
            </w:r>
            <w:r w:rsidRPr="00CA0370">
              <w:rPr>
                <w:rStyle w:val="FootnoteReference"/>
                <w:rFonts w:ascii="Arial" w:hAnsi="Arial" w:cs="Arial"/>
                <w:sz w:val="18"/>
                <w:szCs w:val="18"/>
                <w:lang w:val="es-ES_tradnl" w:eastAsia="zh-CN"/>
              </w:rPr>
              <w:footnoteReference w:id="13"/>
            </w:r>
            <w:r w:rsidRPr="00CA0370">
              <w:rPr>
                <w:rFonts w:ascii="Arial" w:hAnsi="Arial" w:cs="Arial"/>
                <w:sz w:val="18"/>
                <w:szCs w:val="18"/>
                <w:lang w:val="es-ES_tradnl" w:eastAsia="zh-CN"/>
              </w:rPr>
              <w:t xml:space="preserve">. </w:t>
            </w:r>
          </w:p>
        </w:tc>
      </w:tr>
      <w:tr w:rsidRPr="00CA0370" w:rsidR="008352D8" w:rsidTr="3934E850" w14:paraId="4D5D4577" w14:textId="77777777">
        <w:trPr>
          <w:jc w:val="center"/>
        </w:trPr>
        <w:tc>
          <w:tcPr>
            <w:tcW w:w="640" w:type="pct"/>
            <w:tcMar/>
          </w:tcPr>
          <w:p w:rsidRPr="00CA0370" w:rsidR="00D11661" w:rsidP="00D11661" w:rsidRDefault="00D11661" w14:paraId="577B69E1" w14:textId="2267DB56">
            <w:pPr>
              <w:rPr>
                <w:rFonts w:ascii="Arial" w:hAnsi="Arial" w:cs="Arial"/>
                <w:sz w:val="18"/>
                <w:szCs w:val="18"/>
                <w:lang w:val="es-ES_tradnl"/>
              </w:rPr>
            </w:pPr>
            <w:r w:rsidRPr="00CA0370">
              <w:rPr>
                <w:rFonts w:ascii="Arial" w:hAnsi="Arial" w:cs="Arial"/>
                <w:b/>
                <w:sz w:val="18"/>
                <w:szCs w:val="18"/>
                <w:lang w:val="es-ES_tradnl" w:eastAsia="zh-CN"/>
              </w:rPr>
              <w:t>Resultado #</w:t>
            </w:r>
            <w:r w:rsidRPr="00CA0370" w:rsidR="00426436">
              <w:rPr>
                <w:rFonts w:ascii="Arial" w:hAnsi="Arial" w:cs="Arial"/>
                <w:b/>
                <w:sz w:val="18"/>
                <w:szCs w:val="18"/>
                <w:lang w:val="es-ES_tradnl" w:eastAsia="zh-CN"/>
              </w:rPr>
              <w:t>2</w:t>
            </w:r>
            <w:r w:rsidRPr="00CA0370">
              <w:rPr>
                <w:rFonts w:ascii="Arial" w:hAnsi="Arial" w:cs="Arial"/>
                <w:b/>
                <w:sz w:val="18"/>
                <w:szCs w:val="18"/>
                <w:lang w:val="es-ES_tradnl" w:eastAsia="zh-CN"/>
              </w:rPr>
              <w:t>.</w:t>
            </w:r>
            <w:r w:rsidRPr="00CA0370">
              <w:rPr>
                <w:rFonts w:ascii="Arial" w:hAnsi="Arial" w:cs="Arial"/>
                <w:sz w:val="18"/>
                <w:szCs w:val="18"/>
                <w:lang w:val="es-ES_tradnl" w:eastAsia="zh-CN"/>
              </w:rPr>
              <w:t xml:space="preserve"> </w:t>
            </w:r>
            <w:r w:rsidRPr="00CA0370">
              <w:rPr>
                <w:rFonts w:ascii="Arial" w:hAnsi="Arial" w:cs="Arial"/>
                <w:sz w:val="18"/>
                <w:szCs w:val="18"/>
                <w:lang w:val="es-ES_tradnl"/>
              </w:rPr>
              <w:t xml:space="preserve"> Apalancamiento financiero (proyectos de infraestructura de transporte).</w:t>
            </w:r>
          </w:p>
          <w:p w:rsidRPr="00CA0370" w:rsidR="00D11661" w:rsidP="00D11661" w:rsidRDefault="00D11661" w14:paraId="4A9A4AA5" w14:textId="7B82797B">
            <w:pPr>
              <w:rPr>
                <w:rFonts w:ascii="Arial" w:hAnsi="Arial" w:cs="Arial"/>
                <w:sz w:val="18"/>
                <w:szCs w:val="18"/>
                <w:lang w:val="es-ES_tradnl"/>
              </w:rPr>
            </w:pPr>
          </w:p>
        </w:tc>
        <w:tc>
          <w:tcPr>
            <w:tcW w:w="1105" w:type="pct"/>
            <w:tcMar/>
          </w:tcPr>
          <w:p w:rsidRPr="00CA0370" w:rsidR="00D11661" w:rsidP="00D11661" w:rsidRDefault="00D11661" w14:paraId="3538AEA3" w14:textId="5A6ED7F3">
            <w:pPr>
              <w:jc w:val="center"/>
              <w:rPr>
                <w:rFonts w:ascii="Arial" w:hAnsi="Arial" w:cs="Arial"/>
                <w:sz w:val="18"/>
                <w:szCs w:val="18"/>
                <w:lang w:val="es-ES_tradnl" w:eastAsia="zh-CN"/>
              </w:rPr>
            </w:pPr>
            <w:r w:rsidRPr="00CA0370">
              <w:rPr>
                <w:rFonts w:ascii="Arial" w:hAnsi="Arial" w:cs="Arial"/>
                <w:sz w:val="18"/>
                <w:szCs w:val="18"/>
                <w:lang w:val="es-ES_tradnl" w:eastAsia="zh-CN"/>
              </w:rPr>
              <w:t>Millones de</w:t>
            </w:r>
          </w:p>
          <w:p w:rsidRPr="00CA0370" w:rsidR="00D11661" w:rsidP="00D11661" w:rsidRDefault="00D11661" w14:paraId="1C2E8BD0" w14:textId="5A90697F">
            <w:pPr>
              <w:jc w:val="center"/>
              <w:rPr>
                <w:rFonts w:ascii="Arial" w:hAnsi="Arial" w:cs="Arial"/>
                <w:sz w:val="18"/>
                <w:szCs w:val="18"/>
                <w:lang w:val="es-ES_tradnl"/>
              </w:rPr>
            </w:pPr>
            <w:r w:rsidRPr="00CA0370">
              <w:rPr>
                <w:rFonts w:ascii="Arial" w:hAnsi="Arial" w:cs="Arial"/>
                <w:sz w:val="18"/>
                <w:szCs w:val="18"/>
                <w:lang w:val="es-ES_tradnl" w:eastAsia="zh-CN"/>
              </w:rPr>
              <w:t>US$</w:t>
            </w:r>
          </w:p>
        </w:tc>
        <w:tc>
          <w:tcPr>
            <w:tcW w:w="771" w:type="pct"/>
            <w:tcMar/>
          </w:tcPr>
          <w:p w:rsidRPr="00CA0370" w:rsidR="00D11661" w:rsidP="00D11661" w:rsidRDefault="00D11661" w14:paraId="40B6654E" w14:textId="32E7D9B0">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30594AC3" w14:textId="13E54C3A">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D11661" w:rsidP="00D11661" w:rsidRDefault="00D11661" w14:paraId="6D93F6C6" w14:textId="4F599F07">
            <w:pPr>
              <w:rPr>
                <w:rFonts w:ascii="Arial" w:hAnsi="Arial" w:cs="Arial"/>
                <w:sz w:val="18"/>
                <w:szCs w:val="18"/>
                <w:lang w:val="es-ES_tradnl"/>
              </w:rPr>
            </w:pPr>
            <w:r w:rsidRPr="00CA0370">
              <w:rPr>
                <w:rFonts w:ascii="Arial" w:hAnsi="Arial" w:eastAsia="Arial" w:cs="Arial"/>
                <w:spacing w:val="-3"/>
                <w:sz w:val="18"/>
                <w:szCs w:val="18"/>
                <w:lang w:val="es-ES_tradnl"/>
              </w:rPr>
              <w:t>Informes internos del BROU</w:t>
            </w:r>
          </w:p>
        </w:tc>
        <w:tc>
          <w:tcPr>
            <w:tcW w:w="942" w:type="pct"/>
            <w:tcMar/>
          </w:tcPr>
          <w:p w:rsidRPr="00CA0370" w:rsidR="00D11661" w:rsidP="00D11661" w:rsidRDefault="00D11661" w14:paraId="6C95E41E" w14:textId="331958F0">
            <w:pPr>
              <w:rPr>
                <w:rFonts w:ascii="Arial" w:hAnsi="Arial" w:cs="Arial"/>
                <w:sz w:val="18"/>
                <w:szCs w:val="18"/>
                <w:lang w:val="es-ES_tradnl"/>
              </w:rPr>
            </w:pPr>
            <w:r w:rsidRPr="00CA0370">
              <w:rPr>
                <w:rFonts w:ascii="Arial" w:hAnsi="Arial" w:cs="Arial"/>
                <w:sz w:val="18"/>
                <w:szCs w:val="18"/>
                <w:lang w:val="es-ES_tradnl" w:eastAsia="zh-CN"/>
              </w:rPr>
              <w:t>Este indicador hace referencia a la movilización de recursos bancarios para proyectos de infraestructura de transporte.</w:t>
            </w:r>
          </w:p>
        </w:tc>
      </w:tr>
      <w:tr w:rsidRPr="00CA0370" w:rsidR="008352D8" w:rsidTr="3934E850" w14:paraId="5A0C63DC" w14:textId="77777777">
        <w:trPr>
          <w:jc w:val="center"/>
        </w:trPr>
        <w:tc>
          <w:tcPr>
            <w:tcW w:w="640" w:type="pct"/>
            <w:tcMar/>
          </w:tcPr>
          <w:p w:rsidRPr="00CA0370" w:rsidR="00D11661" w:rsidP="00D11661" w:rsidRDefault="00D11661" w14:paraId="5F87B344" w14:textId="56CC202D">
            <w:pPr>
              <w:rPr>
                <w:rFonts w:ascii="Arial" w:hAnsi="Arial" w:cs="Arial"/>
                <w:sz w:val="18"/>
                <w:szCs w:val="18"/>
                <w:lang w:val="es-ES_tradnl"/>
              </w:rPr>
            </w:pPr>
            <w:r w:rsidRPr="00CA0370">
              <w:rPr>
                <w:rFonts w:ascii="Arial" w:hAnsi="Arial" w:cs="Arial"/>
                <w:b/>
                <w:sz w:val="18"/>
                <w:szCs w:val="18"/>
                <w:lang w:val="es-ES_tradnl"/>
              </w:rPr>
              <w:t>Resultado #</w:t>
            </w:r>
            <w:r w:rsidRPr="00CA0370" w:rsidR="00426436">
              <w:rPr>
                <w:rFonts w:ascii="Arial" w:hAnsi="Arial" w:cs="Arial"/>
                <w:b/>
                <w:sz w:val="18"/>
                <w:szCs w:val="18"/>
                <w:lang w:val="es-ES_tradnl"/>
              </w:rPr>
              <w:t>3</w:t>
            </w:r>
            <w:r w:rsidRPr="00CA0370">
              <w:rPr>
                <w:rFonts w:ascii="Arial" w:hAnsi="Arial" w:cs="Arial"/>
                <w:b/>
                <w:sz w:val="18"/>
                <w:szCs w:val="18"/>
                <w:lang w:val="es-ES_tradnl"/>
              </w:rPr>
              <w:t xml:space="preserve">. </w:t>
            </w:r>
            <w:r w:rsidRPr="00CA0370">
              <w:rPr>
                <w:rFonts w:ascii="Arial" w:hAnsi="Arial" w:cs="Arial"/>
                <w:sz w:val="18"/>
                <w:szCs w:val="18"/>
                <w:lang w:val="es-ES_tradnl"/>
              </w:rPr>
              <w:t>Diferencial duración préstamos a mediano y largo plazo</w:t>
            </w:r>
            <w:r w:rsidRPr="00CA0370">
              <w:rPr>
                <w:rFonts w:ascii="Arial" w:hAnsi="Arial" w:cs="Arial"/>
                <w:b/>
                <w:sz w:val="18"/>
                <w:szCs w:val="18"/>
                <w:lang w:val="es-ES_tradnl"/>
              </w:rPr>
              <w:t xml:space="preserve"> </w:t>
            </w:r>
            <w:r w:rsidRPr="00CA0370">
              <w:rPr>
                <w:rFonts w:ascii="Arial" w:hAnsi="Arial" w:cs="Arial"/>
                <w:sz w:val="18"/>
                <w:szCs w:val="18"/>
                <w:lang w:val="es-ES_tradnl"/>
              </w:rPr>
              <w:t xml:space="preserve">respecto </w:t>
            </w:r>
            <w:r w:rsidRPr="00CA0370">
              <w:rPr>
                <w:rFonts w:ascii="Arial" w:hAnsi="Arial" w:cs="Arial"/>
                <w:sz w:val="18"/>
                <w:szCs w:val="18"/>
                <w:lang w:val="es-ES_tradnl"/>
              </w:rPr>
              <w:lastRenderedPageBreak/>
              <w:t xml:space="preserve">al </w:t>
            </w:r>
            <w:r w:rsidRPr="00CA0370" w:rsidR="007E63A6">
              <w:rPr>
                <w:rFonts w:ascii="Arial" w:hAnsi="Arial" w:cs="Arial"/>
                <w:sz w:val="18"/>
                <w:szCs w:val="18"/>
                <w:lang w:val="es-ES_tradnl"/>
              </w:rPr>
              <w:t>sistema (</w:t>
            </w:r>
            <w:r w:rsidRPr="00CA0370">
              <w:rPr>
                <w:rFonts w:ascii="Arial" w:hAnsi="Arial" w:cs="Arial"/>
                <w:sz w:val="18"/>
                <w:szCs w:val="18"/>
                <w:lang w:val="es-ES_tradnl"/>
              </w:rPr>
              <w:t>proyectos infraestructura de transporte).</w:t>
            </w:r>
          </w:p>
          <w:p w:rsidRPr="00CA0370" w:rsidR="00D11661" w:rsidP="00D11661" w:rsidRDefault="00D11661" w14:paraId="0DD8409E" w14:textId="0C66D1B5">
            <w:pPr>
              <w:rPr>
                <w:rFonts w:ascii="Arial" w:hAnsi="Arial" w:cs="Arial"/>
                <w:b/>
                <w:sz w:val="18"/>
                <w:szCs w:val="18"/>
                <w:lang w:val="es-ES_tradnl"/>
              </w:rPr>
            </w:pPr>
          </w:p>
        </w:tc>
        <w:tc>
          <w:tcPr>
            <w:tcW w:w="1105" w:type="pct"/>
            <w:tcMar/>
          </w:tcPr>
          <w:p w:rsidRPr="00CA0370" w:rsidR="00D11661" w:rsidP="00D11661" w:rsidRDefault="00D11661" w14:paraId="3C339D47" w14:textId="77777777">
            <w:pPr>
              <w:jc w:val="center"/>
              <w:rPr>
                <w:rFonts w:ascii="Arial" w:hAnsi="Arial" w:cs="Arial"/>
                <w:sz w:val="18"/>
                <w:szCs w:val="18"/>
                <w:lang w:val="es-ES_tradnl"/>
              </w:rPr>
            </w:pPr>
            <w:r w:rsidRPr="00CA0370">
              <w:rPr>
                <w:rFonts w:ascii="Arial" w:hAnsi="Arial" w:cs="Arial"/>
                <w:sz w:val="18"/>
                <w:szCs w:val="18"/>
                <w:lang w:val="es-ES_tradnl"/>
              </w:rPr>
              <w:lastRenderedPageBreak/>
              <w:t>Años</w:t>
            </w:r>
          </w:p>
        </w:tc>
        <w:tc>
          <w:tcPr>
            <w:tcW w:w="771" w:type="pct"/>
            <w:tcMar/>
          </w:tcPr>
          <w:p w:rsidRPr="00CA0370" w:rsidR="00D11661" w:rsidP="00D11661" w:rsidRDefault="00D11661" w14:paraId="23258942"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720F61FF" w14:textId="7FB9DB0A">
            <w:pPr>
              <w:rPr>
                <w:rFonts w:ascii="Arial" w:hAnsi="Arial" w:cs="Arial"/>
                <w:sz w:val="18"/>
                <w:szCs w:val="18"/>
                <w:lang w:val="es-ES_tradnl"/>
              </w:rPr>
            </w:pPr>
            <w:r w:rsidRPr="00CA0370">
              <w:rPr>
                <w:rFonts w:ascii="Arial" w:hAnsi="Arial" w:cs="Arial"/>
                <w:sz w:val="18"/>
                <w:szCs w:val="18"/>
                <w:lang w:val="es-ES_tradnl"/>
              </w:rPr>
              <w:t>Anual (inicio, año intermedio 2022 y final del programa).</w:t>
            </w:r>
          </w:p>
        </w:tc>
        <w:tc>
          <w:tcPr>
            <w:tcW w:w="728" w:type="pct"/>
            <w:tcMar/>
          </w:tcPr>
          <w:p w:rsidRPr="00CA0370" w:rsidR="00D11661" w:rsidP="00D11661" w:rsidRDefault="00D11661" w14:paraId="5F946A55" w14:textId="044FF3A9">
            <w:pPr>
              <w:rPr>
                <w:rFonts w:ascii="Arial" w:hAnsi="Arial" w:cs="Arial"/>
                <w:sz w:val="18"/>
                <w:szCs w:val="18"/>
                <w:lang w:val="es-ES_tradnl"/>
              </w:rPr>
            </w:pPr>
            <w:r w:rsidRPr="00CA0370">
              <w:rPr>
                <w:rFonts w:ascii="Arial" w:hAnsi="Arial" w:cs="Arial"/>
                <w:sz w:val="18"/>
                <w:szCs w:val="18"/>
                <w:lang w:val="es-ES_tradnl" w:eastAsia="zh-CN"/>
              </w:rPr>
              <w:t>Informes del BROU e informes internos BID</w:t>
            </w:r>
          </w:p>
        </w:tc>
        <w:tc>
          <w:tcPr>
            <w:tcW w:w="942" w:type="pct"/>
            <w:tcMar/>
          </w:tcPr>
          <w:p w:rsidRPr="00CA0370" w:rsidR="00D11661" w:rsidP="00D11661" w:rsidRDefault="00D11661" w14:paraId="532F563E" w14:textId="6FFB424D">
            <w:pPr>
              <w:rPr>
                <w:rFonts w:ascii="Arial" w:hAnsi="Arial" w:cs="Arial"/>
                <w:sz w:val="18"/>
                <w:szCs w:val="18"/>
                <w:lang w:val="es-ES_tradnl"/>
              </w:rPr>
            </w:pPr>
            <w:r w:rsidRPr="00CA0370">
              <w:rPr>
                <w:rFonts w:ascii="Arial" w:hAnsi="Arial" w:cs="Arial"/>
                <w:sz w:val="18"/>
                <w:szCs w:val="18"/>
                <w:lang w:val="es-ES_tradnl" w:eastAsia="zh-CN"/>
              </w:rPr>
              <w:t xml:space="preserve">Este indicador pretende cuantificar el efecto del programa respecto a la </w:t>
            </w:r>
            <w:r w:rsidRPr="00CA0370">
              <w:rPr>
                <w:rFonts w:ascii="Arial" w:hAnsi="Arial" w:cs="Arial"/>
                <w:sz w:val="18"/>
                <w:szCs w:val="18"/>
                <w:lang w:val="es-ES_tradnl" w:eastAsia="zh-CN"/>
              </w:rPr>
              <w:lastRenderedPageBreak/>
              <w:t>extensión de la duración de los pr</w:t>
            </w:r>
            <w:r w:rsidRPr="00CA0370" w:rsidR="00426436">
              <w:rPr>
                <w:rFonts w:ascii="Arial" w:hAnsi="Arial" w:cs="Arial"/>
                <w:sz w:val="18"/>
                <w:szCs w:val="18"/>
                <w:lang w:val="es-ES_tradnl" w:eastAsia="zh-CN"/>
              </w:rPr>
              <w:t>é</w:t>
            </w:r>
            <w:r w:rsidRPr="00CA0370">
              <w:rPr>
                <w:rFonts w:ascii="Arial" w:hAnsi="Arial" w:cs="Arial"/>
                <w:sz w:val="18"/>
                <w:szCs w:val="18"/>
                <w:lang w:val="es-ES_tradnl" w:eastAsia="zh-CN"/>
              </w:rPr>
              <w:t>stamos a medio y largo plazo, respecto a la duración que ofrece el sistema financiero para proyectos de infraestructura de transporte.</w:t>
            </w:r>
          </w:p>
        </w:tc>
      </w:tr>
      <w:tr w:rsidRPr="00CA0370" w:rsidR="00D11661" w:rsidTr="3934E850" w14:paraId="5A5ABDCA" w14:textId="77777777">
        <w:trPr>
          <w:jc w:val="center"/>
        </w:trPr>
        <w:tc>
          <w:tcPr>
            <w:tcW w:w="5000" w:type="pct"/>
            <w:gridSpan w:val="6"/>
            <w:shd w:val="clear" w:color="auto" w:fill="F2F2F2" w:themeFill="background1" w:themeFillShade="F2"/>
            <w:tcMar/>
          </w:tcPr>
          <w:p w:rsidRPr="00CA0370" w:rsidR="00D11661" w:rsidP="00D11661" w:rsidRDefault="00D11661" w14:paraId="542CEBB1" w14:textId="34F8A197">
            <w:pPr>
              <w:jc w:val="both"/>
              <w:rPr>
                <w:rFonts w:ascii="Arial" w:hAnsi="Arial" w:cs="Arial"/>
                <w:b/>
                <w:sz w:val="18"/>
                <w:szCs w:val="18"/>
                <w:lang w:val="es-ES_tradnl"/>
              </w:rPr>
            </w:pPr>
            <w:r w:rsidRPr="00CA0370">
              <w:rPr>
                <w:rFonts w:ascii="Arial" w:hAnsi="Arial" w:cs="Arial"/>
                <w:b/>
                <w:sz w:val="18"/>
                <w:szCs w:val="18"/>
                <w:lang w:val="es-ES_tradnl"/>
              </w:rPr>
              <w:t xml:space="preserve">Productos: </w:t>
            </w:r>
            <w:r w:rsidRPr="00CA0370">
              <w:rPr>
                <w:rFonts w:ascii="Arial" w:hAnsi="Arial" w:cs="Arial"/>
                <w:sz w:val="18"/>
                <w:szCs w:val="18"/>
                <w:lang w:val="es-ES_tradnl"/>
              </w:rPr>
              <w:t xml:space="preserve">Los principales entregables de la operación serian créditos a empresas y las </w:t>
            </w:r>
            <w:r w:rsidRPr="00CA0370" w:rsidR="003A38E6">
              <w:rPr>
                <w:rFonts w:ascii="Arial" w:hAnsi="Arial" w:cs="Arial"/>
                <w:sz w:val="18"/>
                <w:szCs w:val="18"/>
                <w:lang w:val="es-ES_tradnl"/>
              </w:rPr>
              <w:t>PPP</w:t>
            </w:r>
            <w:r w:rsidRPr="00CA0370">
              <w:rPr>
                <w:rFonts w:ascii="Arial" w:hAnsi="Arial" w:cs="Arial"/>
                <w:sz w:val="18"/>
                <w:szCs w:val="18"/>
                <w:lang w:val="es-ES_tradnl"/>
              </w:rPr>
              <w:t xml:space="preserve"> que permitan apalancar sus inversiones en infraestructura productiva y de transporte respectivamente.</w:t>
            </w:r>
          </w:p>
        </w:tc>
      </w:tr>
      <w:tr w:rsidRPr="00CA0370" w:rsidR="008352D8" w:rsidTr="3934E850" w14:paraId="103E4FDB" w14:textId="77777777">
        <w:trPr>
          <w:trHeight w:val="1439"/>
          <w:jc w:val="center"/>
        </w:trPr>
        <w:tc>
          <w:tcPr>
            <w:tcW w:w="640" w:type="pct"/>
            <w:tcMar/>
          </w:tcPr>
          <w:p w:rsidRPr="00CA0370" w:rsidR="00D11661" w:rsidP="00D11661" w:rsidRDefault="00D11661" w14:paraId="6B124761" w14:textId="77777777">
            <w:pPr>
              <w:rPr>
                <w:rFonts w:ascii="Arial" w:hAnsi="Arial" w:cs="Arial"/>
                <w:sz w:val="18"/>
                <w:szCs w:val="18"/>
                <w:lang w:val="es-ES_tradnl"/>
              </w:rPr>
            </w:pPr>
            <w:r w:rsidRPr="00CA0370">
              <w:rPr>
                <w:rFonts w:ascii="Arial" w:hAnsi="Arial" w:cs="Arial"/>
                <w:b/>
                <w:sz w:val="18"/>
                <w:szCs w:val="18"/>
                <w:lang w:val="es-ES_tradnl"/>
              </w:rPr>
              <w:t>Producto #1.</w:t>
            </w:r>
            <w:r w:rsidRPr="00CA0370">
              <w:rPr>
                <w:rFonts w:ascii="Arial" w:hAnsi="Arial" w:cs="Arial"/>
                <w:sz w:val="18"/>
                <w:szCs w:val="18"/>
                <w:lang w:val="es-ES_tradnl"/>
              </w:rPr>
              <w:t xml:space="preserve"> Montos totales de créditos desembolsados a empresas para proyectos de inversión productiva en el sector agroforestal y agroindustrial financiados con recursos del programa.</w:t>
            </w:r>
          </w:p>
          <w:p w:rsidRPr="00CA0370" w:rsidR="00D11661" w:rsidP="00D11661" w:rsidRDefault="00D11661" w14:paraId="662FDC13" w14:textId="52719948">
            <w:pPr>
              <w:rPr>
                <w:rFonts w:ascii="Arial" w:hAnsi="Arial" w:cs="Arial"/>
                <w:sz w:val="18"/>
                <w:szCs w:val="18"/>
                <w:lang w:val="es-ES_tradnl"/>
              </w:rPr>
            </w:pPr>
          </w:p>
        </w:tc>
        <w:tc>
          <w:tcPr>
            <w:tcW w:w="1105" w:type="pct"/>
            <w:tcMar/>
          </w:tcPr>
          <w:p w:rsidRPr="00CA0370" w:rsidR="00D11661" w:rsidP="00D11661" w:rsidRDefault="00D11661" w14:paraId="551AC21B" w14:textId="58785BDA">
            <w:pPr>
              <w:jc w:val="center"/>
              <w:rPr>
                <w:rFonts w:ascii="Arial" w:hAnsi="Arial" w:cs="Arial"/>
                <w:sz w:val="18"/>
                <w:szCs w:val="18"/>
                <w:lang w:val="es-ES_tradnl"/>
              </w:rPr>
            </w:pPr>
            <w:r w:rsidRPr="00CA0370">
              <w:rPr>
                <w:rFonts w:ascii="Arial" w:hAnsi="Arial" w:cs="Arial"/>
                <w:sz w:val="18"/>
                <w:szCs w:val="18"/>
                <w:lang w:val="es-ES_tradnl"/>
              </w:rPr>
              <w:t>Millones de US$</w:t>
            </w:r>
          </w:p>
        </w:tc>
        <w:tc>
          <w:tcPr>
            <w:tcW w:w="771" w:type="pct"/>
            <w:tcMar/>
          </w:tcPr>
          <w:p w:rsidRPr="00CA0370" w:rsidR="00D11661" w:rsidP="00D11661" w:rsidRDefault="00D11661" w14:paraId="7E9573A6"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4682B272" w14:textId="77777777">
            <w:pPr>
              <w:rPr>
                <w:rFonts w:ascii="Arial" w:hAnsi="Arial" w:cs="Arial"/>
                <w:sz w:val="18"/>
                <w:szCs w:val="18"/>
                <w:lang w:val="es-ES_tradnl"/>
              </w:rPr>
            </w:pPr>
            <w:r w:rsidRPr="00CA0370">
              <w:rPr>
                <w:rFonts w:ascii="Arial" w:hAnsi="Arial" w:cs="Arial"/>
                <w:sz w:val="18"/>
                <w:szCs w:val="18"/>
                <w:lang w:val="es-ES_tradnl"/>
              </w:rPr>
              <w:t>Anual.</w:t>
            </w:r>
          </w:p>
        </w:tc>
        <w:tc>
          <w:tcPr>
            <w:tcW w:w="728" w:type="pct"/>
            <w:tcMar/>
          </w:tcPr>
          <w:p w:rsidRPr="00CA0370" w:rsidR="00D11661" w:rsidP="00D11661" w:rsidRDefault="00D11661" w14:paraId="4C6A8125" w14:textId="41527C9B">
            <w:pPr>
              <w:rPr>
                <w:rFonts w:ascii="Arial" w:hAnsi="Arial" w:cs="Arial"/>
                <w:sz w:val="18"/>
                <w:szCs w:val="18"/>
                <w:lang w:val="es-ES_tradnl"/>
              </w:rPr>
            </w:pPr>
            <w:r w:rsidRPr="00CA0370">
              <w:rPr>
                <w:rFonts w:ascii="Arial" w:hAnsi="Arial" w:cs="Arial"/>
                <w:sz w:val="18"/>
                <w:szCs w:val="18"/>
                <w:lang w:val="es-ES_tradnl" w:eastAsia="zh-CN"/>
              </w:rPr>
              <w:t>Informes públicos del BROU e informes internos BID</w:t>
            </w:r>
          </w:p>
        </w:tc>
        <w:tc>
          <w:tcPr>
            <w:tcW w:w="942" w:type="pct"/>
            <w:tcMar/>
          </w:tcPr>
          <w:p w:rsidRPr="00CA0370" w:rsidR="00D11661" w:rsidP="00D11661" w:rsidRDefault="00D11661" w14:paraId="1F04A518" w14:textId="180BD204">
            <w:pPr>
              <w:rPr>
                <w:rFonts w:ascii="Arial" w:hAnsi="Arial" w:cs="Arial"/>
                <w:sz w:val="18"/>
                <w:szCs w:val="18"/>
                <w:lang w:val="es-ES_tradnl"/>
              </w:rPr>
            </w:pPr>
            <w:r w:rsidRPr="00CA0370">
              <w:rPr>
                <w:rFonts w:ascii="Arial" w:hAnsi="Arial" w:cs="Arial"/>
                <w:color w:val="000000" w:themeColor="text1"/>
                <w:sz w:val="18"/>
                <w:szCs w:val="18"/>
                <w:lang w:val="es-ES_tradnl" w:eastAsia="zh-CN"/>
              </w:rPr>
              <w:t xml:space="preserve">El indicador medirá los montos totales de los proyectos agroforestales y agroindustriales que reciben créditos de mediano y largo plazo del BROU con recursos del Componente I del programa e inician su implementación. </w:t>
            </w:r>
            <w:r w:rsidRPr="00CA0370" w:rsidR="00042260">
              <w:rPr>
                <w:rFonts w:ascii="Arial" w:hAnsi="Arial" w:cs="Arial"/>
                <w:color w:val="000000" w:themeColor="text1"/>
                <w:sz w:val="18"/>
                <w:szCs w:val="18"/>
                <w:lang w:val="es-ES_tradnl" w:eastAsia="zh-CN"/>
              </w:rPr>
              <w:t xml:space="preserve">Se ha optado por </w:t>
            </w:r>
            <w:r w:rsidRPr="00CA0370" w:rsidR="00302F81">
              <w:rPr>
                <w:rFonts w:ascii="Arial" w:hAnsi="Arial" w:cs="Arial"/>
                <w:color w:val="000000" w:themeColor="text1"/>
                <w:sz w:val="18"/>
                <w:szCs w:val="18"/>
                <w:lang w:val="es-ES_tradnl" w:eastAsia="zh-CN"/>
              </w:rPr>
              <w:t xml:space="preserve">emplear </w:t>
            </w:r>
            <w:r w:rsidRPr="00CA0370" w:rsidR="00042260">
              <w:rPr>
                <w:rFonts w:ascii="Arial" w:hAnsi="Arial" w:cs="Arial"/>
                <w:color w:val="000000" w:themeColor="text1"/>
                <w:sz w:val="18"/>
                <w:szCs w:val="18"/>
                <w:lang w:val="es-ES_tradnl" w:eastAsia="zh-CN"/>
              </w:rPr>
              <w:t xml:space="preserve">la cantidad inyectada como producto </w:t>
            </w:r>
            <w:r w:rsidRPr="00CA0370" w:rsidR="00302F81">
              <w:rPr>
                <w:rFonts w:ascii="Arial" w:hAnsi="Arial" w:cs="Arial"/>
                <w:color w:val="000000" w:themeColor="text1"/>
                <w:sz w:val="18"/>
                <w:szCs w:val="18"/>
                <w:lang w:val="es-ES_tradnl" w:eastAsia="zh-CN"/>
              </w:rPr>
              <w:t>dado que</w:t>
            </w:r>
            <w:r w:rsidRPr="00CA0370" w:rsidR="00042260">
              <w:rPr>
                <w:rFonts w:ascii="Arial" w:hAnsi="Arial" w:cs="Arial"/>
                <w:color w:val="000000" w:themeColor="text1"/>
                <w:sz w:val="18"/>
                <w:szCs w:val="18"/>
                <w:lang w:val="es-ES_tradnl" w:eastAsia="zh-CN"/>
              </w:rPr>
              <w:t xml:space="preserve"> se espera que </w:t>
            </w:r>
            <w:r w:rsidRPr="00CA0370" w:rsidR="009F14E4">
              <w:rPr>
                <w:rFonts w:ascii="Arial" w:hAnsi="Arial" w:cs="Arial"/>
                <w:color w:val="000000" w:themeColor="text1"/>
                <w:sz w:val="18"/>
                <w:szCs w:val="18"/>
                <w:lang w:val="es-ES_tradnl" w:eastAsia="zh-CN"/>
              </w:rPr>
              <w:t>una</w:t>
            </w:r>
            <w:r w:rsidRPr="00CA0370" w:rsidR="00302F81">
              <w:rPr>
                <w:rFonts w:ascii="Arial" w:hAnsi="Arial" w:cs="Arial"/>
                <w:color w:val="000000" w:themeColor="text1"/>
                <w:sz w:val="18"/>
                <w:szCs w:val="18"/>
                <w:lang w:val="es-ES_tradnl" w:eastAsia="zh-CN"/>
              </w:rPr>
              <w:t xml:space="preserve"> cantidad de empresas </w:t>
            </w:r>
            <w:r w:rsidRPr="00CA0370" w:rsidR="009F14E4">
              <w:rPr>
                <w:rFonts w:ascii="Arial" w:hAnsi="Arial" w:cs="Arial"/>
                <w:color w:val="000000" w:themeColor="text1"/>
                <w:sz w:val="18"/>
                <w:szCs w:val="18"/>
                <w:lang w:val="es-ES_tradnl" w:eastAsia="zh-CN"/>
              </w:rPr>
              <w:t xml:space="preserve">atendidas </w:t>
            </w:r>
            <w:r w:rsidRPr="00CA0370" w:rsidR="00042260">
              <w:rPr>
                <w:rFonts w:ascii="Arial" w:hAnsi="Arial" w:cs="Arial"/>
                <w:color w:val="000000" w:themeColor="text1"/>
                <w:sz w:val="18"/>
                <w:szCs w:val="18"/>
                <w:lang w:val="es-ES_tradnl" w:eastAsia="zh-CN"/>
              </w:rPr>
              <w:t>reducid</w:t>
            </w:r>
            <w:r w:rsidRPr="00CA0370" w:rsidR="00302F81">
              <w:rPr>
                <w:rFonts w:ascii="Arial" w:hAnsi="Arial" w:cs="Arial"/>
                <w:color w:val="000000" w:themeColor="text1"/>
                <w:sz w:val="18"/>
                <w:szCs w:val="18"/>
                <w:lang w:val="es-ES_tradnl" w:eastAsia="zh-CN"/>
              </w:rPr>
              <w:t>a</w:t>
            </w:r>
            <w:r w:rsidRPr="00CA0370" w:rsidR="00042260">
              <w:rPr>
                <w:rFonts w:ascii="Arial" w:hAnsi="Arial" w:cs="Arial"/>
                <w:color w:val="000000" w:themeColor="text1"/>
                <w:sz w:val="18"/>
                <w:szCs w:val="18"/>
                <w:lang w:val="es-ES_tradnl" w:eastAsia="zh-CN"/>
              </w:rPr>
              <w:t xml:space="preserve"> y la información sobre el monto promedio de préstamo es incierta sujet</w:t>
            </w:r>
            <w:r w:rsidRPr="00CA0370" w:rsidR="00302F81">
              <w:rPr>
                <w:rFonts w:ascii="Arial" w:hAnsi="Arial" w:cs="Arial"/>
                <w:color w:val="000000" w:themeColor="text1"/>
                <w:sz w:val="18"/>
                <w:szCs w:val="18"/>
                <w:lang w:val="es-ES_tradnl" w:eastAsia="zh-CN"/>
              </w:rPr>
              <w:t>a</w:t>
            </w:r>
            <w:r w:rsidRPr="00CA0370" w:rsidR="00042260">
              <w:rPr>
                <w:rFonts w:ascii="Arial" w:hAnsi="Arial" w:cs="Arial"/>
                <w:color w:val="000000" w:themeColor="text1"/>
                <w:sz w:val="18"/>
                <w:szCs w:val="18"/>
                <w:lang w:val="es-ES_tradnl" w:eastAsia="zh-CN"/>
              </w:rPr>
              <w:t xml:space="preserve"> a demanda futura.</w:t>
            </w:r>
          </w:p>
        </w:tc>
      </w:tr>
      <w:tr w:rsidRPr="00CA0370" w:rsidR="008352D8" w:rsidTr="3934E850" w14:paraId="04792291" w14:textId="77777777">
        <w:trPr>
          <w:trHeight w:val="1430"/>
          <w:jc w:val="center"/>
        </w:trPr>
        <w:tc>
          <w:tcPr>
            <w:tcW w:w="640" w:type="pct"/>
            <w:tcMar/>
          </w:tcPr>
          <w:p w:rsidRPr="00CA0370" w:rsidR="00D11661" w:rsidP="00D11661" w:rsidRDefault="00D11661" w14:paraId="418A38A2" w14:textId="69721E9B">
            <w:pPr>
              <w:rPr>
                <w:rFonts w:ascii="Arial" w:hAnsi="Arial" w:cs="Arial"/>
                <w:sz w:val="18"/>
                <w:szCs w:val="18"/>
                <w:lang w:val="es-ES_tradnl"/>
              </w:rPr>
            </w:pPr>
            <w:r w:rsidRPr="00CA0370">
              <w:rPr>
                <w:rFonts w:ascii="Arial" w:hAnsi="Arial" w:cs="Arial"/>
                <w:b/>
                <w:sz w:val="18"/>
                <w:szCs w:val="18"/>
                <w:lang w:val="es-ES_tradnl"/>
              </w:rPr>
              <w:t>Producto #2.</w:t>
            </w:r>
            <w:r w:rsidRPr="00CA0370">
              <w:rPr>
                <w:rFonts w:ascii="Arial" w:hAnsi="Arial" w:cs="Arial"/>
                <w:sz w:val="18"/>
                <w:szCs w:val="18"/>
                <w:lang w:val="es-ES_tradnl"/>
              </w:rPr>
              <w:t xml:space="preserve"> Montos totales aprobados a través del programa para proyectos de infraestructura privada o público-privada.</w:t>
            </w:r>
          </w:p>
        </w:tc>
        <w:tc>
          <w:tcPr>
            <w:tcW w:w="1105" w:type="pct"/>
            <w:tcMar/>
          </w:tcPr>
          <w:p w:rsidRPr="00CA0370" w:rsidR="00D11661" w:rsidP="00D11661" w:rsidRDefault="00D11661" w14:paraId="6EAB81E7" w14:textId="295A8108">
            <w:pPr>
              <w:jc w:val="center"/>
              <w:rPr>
                <w:rFonts w:ascii="Arial" w:hAnsi="Arial" w:cs="Arial"/>
                <w:sz w:val="18"/>
                <w:szCs w:val="18"/>
                <w:lang w:val="es-ES_tradnl"/>
              </w:rPr>
            </w:pPr>
            <w:r w:rsidRPr="00CA0370">
              <w:rPr>
                <w:rFonts w:ascii="Arial" w:hAnsi="Arial" w:cs="Arial"/>
                <w:sz w:val="18"/>
                <w:szCs w:val="18"/>
                <w:lang w:val="es-ES_tradnl"/>
              </w:rPr>
              <w:t>Millones de US$</w:t>
            </w:r>
          </w:p>
        </w:tc>
        <w:tc>
          <w:tcPr>
            <w:tcW w:w="771" w:type="pct"/>
            <w:tcMar/>
          </w:tcPr>
          <w:p w:rsidRPr="00CA0370" w:rsidR="00D11661" w:rsidP="00D11661" w:rsidRDefault="00D11661" w14:paraId="44A38011" w14:textId="77777777">
            <w:pPr>
              <w:jc w:val="center"/>
              <w:rPr>
                <w:rFonts w:ascii="Arial" w:hAnsi="Arial" w:cs="Arial"/>
                <w:sz w:val="18"/>
                <w:szCs w:val="18"/>
                <w:lang w:val="es-ES_tradnl"/>
              </w:rPr>
            </w:pPr>
            <w:r w:rsidRPr="00CA0370">
              <w:rPr>
                <w:rFonts w:ascii="Arial" w:hAnsi="Arial" w:cs="Arial"/>
                <w:sz w:val="18"/>
                <w:szCs w:val="18"/>
                <w:lang w:val="es-ES_tradnl"/>
              </w:rPr>
              <w:t>Antes-después</w:t>
            </w:r>
          </w:p>
        </w:tc>
        <w:tc>
          <w:tcPr>
            <w:tcW w:w="814" w:type="pct"/>
            <w:tcMar/>
          </w:tcPr>
          <w:p w:rsidRPr="00CA0370" w:rsidR="00D11661" w:rsidP="00D11661" w:rsidRDefault="00D11661" w14:paraId="4F74DD79" w14:textId="77777777">
            <w:pPr>
              <w:rPr>
                <w:rFonts w:ascii="Arial" w:hAnsi="Arial" w:cs="Arial"/>
                <w:sz w:val="18"/>
                <w:szCs w:val="18"/>
                <w:lang w:val="es-ES_tradnl"/>
              </w:rPr>
            </w:pPr>
            <w:r w:rsidRPr="00CA0370">
              <w:rPr>
                <w:rFonts w:ascii="Arial" w:hAnsi="Arial" w:cs="Arial"/>
                <w:sz w:val="18"/>
                <w:szCs w:val="18"/>
                <w:lang w:val="es-ES_tradnl"/>
              </w:rPr>
              <w:t>Anual.</w:t>
            </w:r>
          </w:p>
        </w:tc>
        <w:tc>
          <w:tcPr>
            <w:tcW w:w="728" w:type="pct"/>
            <w:tcMar/>
          </w:tcPr>
          <w:p w:rsidRPr="00CA0370" w:rsidR="00D11661" w:rsidDel="00806898" w:rsidP="00D11661" w:rsidRDefault="00D11661" w14:paraId="2A3833ED" w14:textId="79EC0C7B">
            <w:pPr>
              <w:rPr>
                <w:rFonts w:ascii="Arial" w:hAnsi="Arial" w:cs="Arial"/>
                <w:sz w:val="18"/>
                <w:szCs w:val="18"/>
                <w:lang w:val="es-ES_tradnl"/>
              </w:rPr>
            </w:pPr>
            <w:r w:rsidRPr="00CA0370">
              <w:rPr>
                <w:rFonts w:ascii="Arial" w:hAnsi="Arial" w:cs="Arial"/>
                <w:sz w:val="18"/>
                <w:szCs w:val="18"/>
                <w:lang w:val="es-ES_tradnl" w:eastAsia="zh-CN"/>
              </w:rPr>
              <w:t>Informes públicos del BROU e informes internos BID</w:t>
            </w:r>
            <w:r w:rsidRPr="00CA0370" w:rsidDel="00806898">
              <w:rPr>
                <w:rFonts w:ascii="Arial" w:hAnsi="Arial" w:cs="Arial"/>
                <w:sz w:val="18"/>
                <w:szCs w:val="18"/>
                <w:lang w:val="es-ES_tradnl"/>
              </w:rPr>
              <w:t xml:space="preserve"> </w:t>
            </w:r>
          </w:p>
        </w:tc>
        <w:tc>
          <w:tcPr>
            <w:tcW w:w="942" w:type="pct"/>
            <w:tcMar/>
          </w:tcPr>
          <w:p w:rsidRPr="00CA0370" w:rsidR="00D11661" w:rsidP="00D11661" w:rsidRDefault="00D11661" w14:paraId="1C0EF27B" w14:textId="7F338978">
            <w:pPr>
              <w:rPr>
                <w:rFonts w:ascii="Arial" w:hAnsi="Arial" w:cs="Arial"/>
                <w:sz w:val="18"/>
                <w:szCs w:val="18"/>
                <w:lang w:val="es-ES_tradnl"/>
              </w:rPr>
            </w:pPr>
            <w:r w:rsidRPr="00CA0370">
              <w:rPr>
                <w:rFonts w:ascii="Arial" w:hAnsi="Arial" w:cs="Arial"/>
                <w:color w:val="000000" w:themeColor="text1"/>
                <w:sz w:val="18"/>
                <w:szCs w:val="18"/>
                <w:lang w:val="es-ES_tradnl" w:eastAsia="zh-CN"/>
              </w:rPr>
              <w:t xml:space="preserve">El indicador medirá los montos totales de los proyectos de infraestructura productiva privada o público-privada que reciben apoyo financiero del BROU con recursos del Componente II </w:t>
            </w:r>
            <w:r w:rsidRPr="00CA0370">
              <w:rPr>
                <w:rFonts w:ascii="Arial" w:hAnsi="Arial" w:cs="Arial"/>
                <w:color w:val="000000" w:themeColor="text1"/>
                <w:sz w:val="18"/>
                <w:szCs w:val="18"/>
                <w:lang w:val="es-ES_tradnl" w:eastAsia="zh-CN"/>
              </w:rPr>
              <w:lastRenderedPageBreak/>
              <w:t xml:space="preserve">del programa e inician su implementación. </w:t>
            </w:r>
            <w:r w:rsidRPr="00CA0370" w:rsidR="00042260">
              <w:rPr>
                <w:rFonts w:ascii="Arial" w:hAnsi="Arial" w:cs="Arial"/>
                <w:color w:val="000000" w:themeColor="text1"/>
                <w:sz w:val="18"/>
                <w:szCs w:val="18"/>
                <w:lang w:val="es-ES_tradnl" w:eastAsia="zh-CN"/>
              </w:rPr>
              <w:t xml:space="preserve">Se ha optado por </w:t>
            </w:r>
            <w:r w:rsidRPr="00CA0370" w:rsidR="00302F81">
              <w:rPr>
                <w:rFonts w:ascii="Arial" w:hAnsi="Arial" w:cs="Arial"/>
                <w:color w:val="000000" w:themeColor="text1"/>
                <w:sz w:val="18"/>
                <w:szCs w:val="18"/>
                <w:lang w:val="es-ES_tradnl" w:eastAsia="zh-CN"/>
              </w:rPr>
              <w:t>emplear</w:t>
            </w:r>
            <w:r w:rsidRPr="00CA0370" w:rsidR="00042260">
              <w:rPr>
                <w:rFonts w:ascii="Arial" w:hAnsi="Arial" w:cs="Arial"/>
                <w:color w:val="000000" w:themeColor="text1"/>
                <w:sz w:val="18"/>
                <w:szCs w:val="18"/>
                <w:lang w:val="es-ES_tradnl" w:eastAsia="zh-CN"/>
              </w:rPr>
              <w:t xml:space="preserve"> la cantidad inyectada como producto porque tanto la cantidad de proyectos privados o p</w:t>
            </w:r>
            <w:r w:rsidRPr="00CA0370" w:rsidR="00F20731">
              <w:rPr>
                <w:rFonts w:ascii="Arial" w:hAnsi="Arial" w:cs="Arial"/>
                <w:color w:val="000000" w:themeColor="text1"/>
                <w:sz w:val="18"/>
                <w:szCs w:val="18"/>
                <w:lang w:val="es-ES_tradnl" w:eastAsia="zh-CN"/>
              </w:rPr>
              <w:t>ú</w:t>
            </w:r>
            <w:r w:rsidRPr="00CA0370" w:rsidR="00042260">
              <w:rPr>
                <w:rFonts w:ascii="Arial" w:hAnsi="Arial" w:cs="Arial"/>
                <w:color w:val="000000" w:themeColor="text1"/>
                <w:sz w:val="18"/>
                <w:szCs w:val="18"/>
                <w:lang w:val="es-ES_tradnl" w:eastAsia="zh-CN"/>
              </w:rPr>
              <w:t>blico</w:t>
            </w:r>
            <w:r w:rsidRPr="00CA0370" w:rsidR="00302F81">
              <w:rPr>
                <w:rFonts w:ascii="Arial" w:hAnsi="Arial" w:cs="Arial"/>
                <w:color w:val="000000" w:themeColor="text1"/>
                <w:sz w:val="18"/>
                <w:szCs w:val="18"/>
                <w:lang w:val="es-ES_tradnl" w:eastAsia="zh-CN"/>
              </w:rPr>
              <w:t>-</w:t>
            </w:r>
            <w:r w:rsidRPr="00CA0370" w:rsidR="00042260">
              <w:rPr>
                <w:rFonts w:ascii="Arial" w:hAnsi="Arial" w:cs="Arial"/>
                <w:color w:val="000000" w:themeColor="text1"/>
                <w:sz w:val="18"/>
                <w:szCs w:val="18"/>
                <w:lang w:val="es-ES_tradnl" w:eastAsia="zh-CN"/>
              </w:rPr>
              <w:t>privados están sujetos a demanda y se prevé sea un número reducido</w:t>
            </w:r>
            <w:r w:rsidRPr="00CA0370">
              <w:rPr>
                <w:rFonts w:ascii="Arial" w:hAnsi="Arial" w:cs="Arial"/>
                <w:color w:val="000000" w:themeColor="text1"/>
                <w:sz w:val="18"/>
                <w:szCs w:val="18"/>
                <w:lang w:val="es-ES_tradnl" w:eastAsia="zh-CN"/>
              </w:rPr>
              <w:t>.</w:t>
            </w:r>
          </w:p>
        </w:tc>
      </w:tr>
    </w:tbl>
    <w:p w:rsidRPr="00CA0370" w:rsidR="00D12C27" w:rsidP="00D12C27" w:rsidRDefault="00D12C27" w14:paraId="55185D5F" w14:textId="362FCBE6">
      <w:pPr>
        <w:pStyle w:val="Paragraph"/>
        <w:numPr>
          <w:ilvl w:val="0"/>
          <w:numId w:val="0"/>
        </w:numPr>
        <w:jc w:val="left"/>
        <w:rPr>
          <w:rFonts w:ascii="Arial" w:hAnsi="Arial" w:cs="Arial"/>
          <w:sz w:val="16"/>
          <w:szCs w:val="16"/>
          <w:lang w:val="es-ES_tradnl"/>
        </w:rPr>
      </w:pPr>
      <w:r w:rsidRPr="00CA0370">
        <w:rPr>
          <w:rFonts w:ascii="Arial" w:hAnsi="Arial" w:cs="Arial"/>
          <w:sz w:val="16"/>
          <w:szCs w:val="16"/>
          <w:lang w:val="es-ES_tradnl"/>
        </w:rPr>
        <w:t>Fuente: Elaboración propia.</w:t>
      </w:r>
    </w:p>
    <w:p w:rsidRPr="00CA0370" w:rsidR="00AA667D" w:rsidP="00F12265" w:rsidRDefault="004C2562" w14:paraId="59E6279D" w14:textId="772DC537">
      <w:pPr>
        <w:pStyle w:val="Paragraph"/>
        <w:ind w:left="540" w:hanging="540"/>
        <w:rPr>
          <w:rFonts w:ascii="Arial" w:hAnsi="Arial" w:cs="Arial"/>
          <w:sz w:val="22"/>
          <w:lang w:val="es-ES_tradnl"/>
        </w:rPr>
      </w:pPr>
      <w:r w:rsidRPr="00CA0370">
        <w:rPr>
          <w:rFonts w:ascii="Arial" w:hAnsi="Arial" w:cs="Arial"/>
          <w:b/>
          <w:sz w:val="22"/>
          <w:lang w:val="es-ES_tradnl"/>
        </w:rPr>
        <w:t>Recopilación de datos e instrumentos</w:t>
      </w:r>
      <w:r w:rsidRPr="00CA0370">
        <w:rPr>
          <w:rFonts w:ascii="Arial" w:hAnsi="Arial" w:cs="Arial"/>
          <w:sz w:val="22"/>
          <w:lang w:val="es-ES_tradnl"/>
        </w:rPr>
        <w:t xml:space="preserve">. </w:t>
      </w:r>
      <w:r w:rsidRPr="00CA0370" w:rsidR="00A65A03">
        <w:rPr>
          <w:rFonts w:ascii="Arial" w:hAnsi="Arial" w:cs="Arial"/>
          <w:sz w:val="22"/>
          <w:lang w:val="es-ES_tradnl"/>
        </w:rPr>
        <w:t>El BROU se encargará de recopilar los datos necesarios de las fuentes de información y presentarlos a través de los informes semestrales y final al BID. La capacidad técnica y profesional, los sistemas de información y bases de datos del BROU son suficientes para el seguimiento de los indicadores escogidos.</w:t>
      </w:r>
      <w:r w:rsidRPr="00CA0370" w:rsidR="00DA7F79">
        <w:rPr>
          <w:rFonts w:ascii="Arial" w:hAnsi="Arial" w:cs="Arial"/>
          <w:sz w:val="22"/>
          <w:lang w:val="es-ES_tradnl"/>
        </w:rPr>
        <w:t xml:space="preserve"> </w:t>
      </w:r>
      <w:r w:rsidRPr="00CA0370" w:rsidR="00A62BEE">
        <w:rPr>
          <w:rFonts w:ascii="Arial" w:hAnsi="Arial" w:cs="Arial"/>
          <w:sz w:val="22"/>
          <w:lang w:val="es-ES_tradnl"/>
        </w:rPr>
        <w:t>No obstante, p</w:t>
      </w:r>
      <w:r w:rsidRPr="00CA0370" w:rsidR="00DA7F79">
        <w:rPr>
          <w:rFonts w:ascii="Arial" w:hAnsi="Arial" w:cs="Arial"/>
          <w:sz w:val="22"/>
          <w:lang w:val="es-ES_tradnl"/>
        </w:rPr>
        <w:t xml:space="preserve">ara facilitar la labor de recogida de datos para los indicadores de impacto y resultado se realizará una encuesta al inicio y final del programa </w:t>
      </w:r>
      <w:r w:rsidRPr="00CA0370" w:rsidR="00A62BEE">
        <w:rPr>
          <w:rFonts w:ascii="Arial" w:hAnsi="Arial" w:cs="Arial"/>
          <w:sz w:val="22"/>
          <w:lang w:val="es-ES_tradnl"/>
        </w:rPr>
        <w:t>donde se recoge información primaria que se detalla en la siguiente sección.</w:t>
      </w:r>
      <w:r w:rsidRPr="00CA0370" w:rsidR="00AA667D">
        <w:rPr>
          <w:rFonts w:ascii="Arial" w:hAnsi="Arial" w:cs="Arial"/>
          <w:sz w:val="22"/>
          <w:lang w:val="es-ES_tradnl"/>
        </w:rPr>
        <w:t xml:space="preserve"> </w:t>
      </w:r>
    </w:p>
    <w:p w:rsidRPr="00CA0370" w:rsidR="00AA667D" w:rsidP="00F12265" w:rsidRDefault="00AA667D" w14:paraId="78D12EC6" w14:textId="2283B638">
      <w:pPr>
        <w:pStyle w:val="Paragraph"/>
        <w:ind w:left="540" w:hanging="540"/>
        <w:rPr>
          <w:rFonts w:ascii="Arial" w:hAnsi="Arial" w:cs="Arial"/>
          <w:sz w:val="22"/>
          <w:lang w:val="es-ES_tradnl"/>
        </w:rPr>
      </w:pPr>
      <w:bookmarkStart w:name="_Hlk528686081" w:id="17"/>
      <w:r w:rsidRPr="00CA0370">
        <w:rPr>
          <w:rFonts w:ascii="Arial" w:hAnsi="Arial" w:cs="Arial"/>
          <w:sz w:val="22"/>
          <w:lang w:val="es-ES_tradnl"/>
        </w:rPr>
        <w:t xml:space="preserve">BROU se compromete a que se realice una evaluación de medio término a los veinticuatro (24) meses de </w:t>
      </w:r>
      <w:r w:rsidRPr="00CA0370" w:rsidR="00F12265">
        <w:rPr>
          <w:rFonts w:ascii="Arial" w:hAnsi="Arial" w:cs="Arial"/>
          <w:sz w:val="22"/>
          <w:lang w:val="es-ES_tradnl"/>
        </w:rPr>
        <w:t>entrada en vigor</w:t>
      </w:r>
      <w:r w:rsidRPr="00CA0370">
        <w:rPr>
          <w:rFonts w:ascii="Arial" w:hAnsi="Arial" w:cs="Arial"/>
          <w:sz w:val="22"/>
          <w:lang w:val="es-ES_tradnl"/>
        </w:rPr>
        <w:t xml:space="preserve"> del Contrato de Préstamo, o cuando se haya desembolsado el cincuenta por ciento (50%) de los recursos del Financiamiento, lo que ocurra primero, que deberá considerar el cumplimiento de las metas intermedias</w:t>
      </w:r>
      <w:bookmarkEnd w:id="17"/>
      <w:r w:rsidRPr="00CA0370">
        <w:rPr>
          <w:rFonts w:ascii="Arial" w:hAnsi="Arial" w:cs="Arial"/>
          <w:sz w:val="22"/>
          <w:lang w:val="es-ES_tradnl"/>
        </w:rPr>
        <w:t>.</w:t>
      </w:r>
    </w:p>
    <w:p w:rsidRPr="00CA0370" w:rsidR="00AA667D" w:rsidP="008352D8" w:rsidRDefault="00AA667D" w14:paraId="18A33930" w14:textId="3416CA34">
      <w:pPr>
        <w:pStyle w:val="Paragraph"/>
        <w:ind w:left="540" w:hanging="540"/>
        <w:rPr>
          <w:rFonts w:ascii="Arial" w:hAnsi="Arial" w:cs="Arial"/>
          <w:sz w:val="22"/>
          <w:lang w:val="es-ES_tradnl"/>
        </w:rPr>
      </w:pPr>
      <w:r w:rsidRPr="00CA0370">
        <w:rPr>
          <w:rFonts w:ascii="Arial" w:hAnsi="Arial" w:cs="Arial"/>
          <w:sz w:val="22"/>
          <w:lang w:val="es-ES_tradnl"/>
        </w:rPr>
        <w:t xml:space="preserve">El BROU presentará al Banco un informe de evaluación final, transcurridos seis meses desde el final del periodo de desembolso, con la información relevante para evaluar el cumplimiento de los objetivos y el comportamiento de los indicadores. </w:t>
      </w:r>
      <w:bookmarkStart w:name="_Hlk528572198" w:id="18"/>
      <w:r w:rsidRPr="00CA0370">
        <w:rPr>
          <w:rFonts w:ascii="Arial" w:hAnsi="Arial" w:cs="Arial"/>
          <w:sz w:val="22"/>
          <w:lang w:val="es-ES_tradnl"/>
        </w:rPr>
        <w:t>El informe final junto con la evaluación económica ex</w:t>
      </w:r>
      <w:r w:rsidRPr="00CA0370" w:rsidR="00F20731">
        <w:rPr>
          <w:rFonts w:ascii="Arial" w:hAnsi="Arial" w:cs="Arial"/>
          <w:sz w:val="22"/>
          <w:lang w:val="es-ES_tradnl"/>
        </w:rPr>
        <w:t xml:space="preserve"> </w:t>
      </w:r>
      <w:r w:rsidRPr="00CA0370">
        <w:rPr>
          <w:rFonts w:ascii="Arial" w:hAnsi="Arial" w:cs="Arial"/>
          <w:sz w:val="22"/>
          <w:lang w:val="es-ES_tradnl"/>
        </w:rPr>
        <w:t>post, servirá como insumo para la elaboración del Informe de Terminación de Proyecto (PCR).</w:t>
      </w:r>
    </w:p>
    <w:bookmarkEnd w:id="18"/>
    <w:p w:rsidRPr="00CA0370" w:rsidR="00A65A03" w:rsidP="002F0E15" w:rsidRDefault="00A65A03" w14:paraId="350F22E1" w14:textId="77777777">
      <w:pPr>
        <w:pStyle w:val="Paragraph"/>
        <w:ind w:left="540" w:hanging="540"/>
        <w:rPr>
          <w:rFonts w:ascii="Arial" w:hAnsi="Arial" w:cs="Arial"/>
          <w:sz w:val="22"/>
          <w:lang w:val="es-ES_tradnl"/>
        </w:rPr>
      </w:pPr>
      <w:r w:rsidRPr="00CA0370">
        <w:rPr>
          <w:rFonts w:ascii="Arial" w:hAnsi="Arial" w:cs="Arial"/>
          <w:b/>
          <w:sz w:val="22"/>
          <w:lang w:val="es-ES_tradnl"/>
        </w:rPr>
        <w:t>Presentación de informes.</w:t>
      </w:r>
      <w:r w:rsidRPr="00CA0370">
        <w:rPr>
          <w:rFonts w:ascii="Arial" w:hAnsi="Arial" w:cs="Arial"/>
          <w:sz w:val="22"/>
          <w:lang w:val="es-ES_tradnl"/>
        </w:rPr>
        <w:t xml:space="preserve"> Los informes del BROU al BID deberán reportar información pertinente para establecer la evolución de los indicadores monitoreados, como así también la información contable-financiera sobre el manejo de los recursos y la situación de la/s cuenta/s especial/es utilizada/s para el manejo del programa si esto fuera pertinente. </w:t>
      </w:r>
    </w:p>
    <w:p w:rsidRPr="00CA0370" w:rsidR="00A9041C" w:rsidP="00A9041C" w:rsidRDefault="00A65A03" w14:paraId="40F904CA" w14:textId="075C38E6">
      <w:pPr>
        <w:pStyle w:val="Paragraph"/>
        <w:ind w:left="540" w:hanging="540"/>
        <w:rPr>
          <w:rFonts w:ascii="Arial" w:hAnsi="Arial" w:cs="Arial"/>
          <w:sz w:val="22"/>
          <w:lang w:val="es-ES_tradnl"/>
        </w:rPr>
      </w:pPr>
      <w:r w:rsidRPr="00CA0370">
        <w:rPr>
          <w:rFonts w:ascii="Arial" w:hAnsi="Arial" w:cs="Arial"/>
          <w:b/>
          <w:sz w:val="22"/>
          <w:lang w:val="es-ES_tradnl"/>
        </w:rPr>
        <w:t>Reserva.</w:t>
      </w:r>
      <w:r w:rsidRPr="00CA0370">
        <w:rPr>
          <w:rFonts w:ascii="Arial" w:hAnsi="Arial" w:cs="Arial"/>
          <w:sz w:val="22"/>
          <w:lang w:val="es-ES_tradnl"/>
        </w:rPr>
        <w:t xml:space="preserve"> El BID tendrá la última palabra respecto de la pertinencia, oportunidad, y </w:t>
      </w:r>
      <w:r w:rsidRPr="00CA0370" w:rsidR="00EC7044">
        <w:rPr>
          <w:rFonts w:ascii="Arial" w:hAnsi="Arial" w:cs="Arial"/>
          <w:sz w:val="22"/>
          <w:lang w:val="es-ES_tradnl"/>
        </w:rPr>
        <w:t>calidad</w:t>
      </w:r>
      <w:r w:rsidRPr="00CA0370">
        <w:rPr>
          <w:rFonts w:ascii="Arial" w:hAnsi="Arial" w:cs="Arial"/>
          <w:sz w:val="22"/>
          <w:lang w:val="es-ES_tradnl"/>
        </w:rPr>
        <w:t xml:space="preserve"> de los informes que se le presenten, y se reserva la posibilidad de requerir informes adicionales a los efectos de asegurar los objetivos del programa, y en partic</w:t>
      </w:r>
      <w:r w:rsidRPr="00CA0370" w:rsidR="00A9041C">
        <w:rPr>
          <w:rFonts w:ascii="Arial" w:hAnsi="Arial" w:cs="Arial"/>
          <w:sz w:val="22"/>
          <w:lang w:val="es-ES_tradnl"/>
        </w:rPr>
        <w:t>ular del espíritu de</w:t>
      </w:r>
      <w:r w:rsidRPr="00CA0370" w:rsidR="00EC7044">
        <w:rPr>
          <w:rFonts w:ascii="Arial" w:hAnsi="Arial" w:cs="Arial"/>
          <w:sz w:val="22"/>
          <w:lang w:val="es-ES_tradnl"/>
        </w:rPr>
        <w:t xml:space="preserve"> este Plan de Monitoreo y Evaluación (PME).</w:t>
      </w:r>
    </w:p>
    <w:p w:rsidRPr="00CA0370" w:rsidR="00FA2914" w:rsidP="00B563B1" w:rsidRDefault="00334017" w14:paraId="5CC83C05" w14:textId="50C92E06">
      <w:pPr>
        <w:pStyle w:val="Paragraph"/>
        <w:ind w:left="540" w:hanging="540"/>
        <w:rPr>
          <w:rFonts w:ascii="Arial" w:hAnsi="Arial" w:cs="Arial"/>
          <w:sz w:val="22"/>
          <w:lang w:val="es-ES_tradnl"/>
        </w:rPr>
      </w:pPr>
      <w:r w:rsidRPr="00CA0370">
        <w:rPr>
          <w:rFonts w:ascii="Arial" w:hAnsi="Arial" w:cs="Arial"/>
          <w:b/>
          <w:sz w:val="22"/>
          <w:lang w:val="es-ES_tradnl"/>
        </w:rPr>
        <w:lastRenderedPageBreak/>
        <w:t>Coordinación, plan de trabajo, y seguimiento</w:t>
      </w:r>
      <w:r w:rsidRPr="00CA0370">
        <w:rPr>
          <w:rFonts w:ascii="Arial" w:hAnsi="Arial" w:cs="Arial"/>
          <w:sz w:val="22"/>
          <w:lang w:val="es-ES_tradnl"/>
        </w:rPr>
        <w:t xml:space="preserve">. </w:t>
      </w:r>
      <w:r w:rsidRPr="00CA0370" w:rsidR="0072200B">
        <w:rPr>
          <w:rFonts w:ascii="Arial" w:hAnsi="Arial" w:cs="Arial"/>
          <w:sz w:val="22"/>
          <w:lang w:val="es-ES_tradnl"/>
        </w:rPr>
        <w:t>El BROU será responsable por la supervisión y coordinación estratégica, técnica y administrativa del programa como un todo. Sus funciones administrativas incluirán, entre otras: (i) la planificación de la ejecución del programa; (ii)</w:t>
      </w:r>
      <w:r w:rsidRPr="00CA0370" w:rsidR="00EA1BAD">
        <w:rPr>
          <w:rFonts w:ascii="Arial" w:hAnsi="Arial" w:cs="Arial"/>
          <w:sz w:val="22"/>
          <w:lang w:val="es-ES_tradnl"/>
        </w:rPr>
        <w:t> </w:t>
      </w:r>
      <w:r w:rsidRPr="00CA0370" w:rsidR="0072200B">
        <w:rPr>
          <w:rFonts w:ascii="Arial" w:hAnsi="Arial" w:cs="Arial"/>
          <w:sz w:val="22"/>
          <w:lang w:val="es-ES_tradnl"/>
        </w:rPr>
        <w:t>sus desembolsos; (iii) sus controles internos; (iv) su auditoria; y (v) el mantenimiento y continua actualización de las informaciones pertinentes.</w:t>
      </w:r>
      <w:r w:rsidRPr="00CA0370" w:rsidR="00A9041C">
        <w:rPr>
          <w:rFonts w:ascii="Arial" w:hAnsi="Arial" w:cs="Arial"/>
          <w:sz w:val="22"/>
          <w:lang w:val="es-ES_tradnl"/>
        </w:rPr>
        <w:t xml:space="preserve"> Lo anterior se realizará siguiendo el cronograma </w:t>
      </w:r>
      <w:r w:rsidRPr="00CA0370" w:rsidR="00EC7044">
        <w:rPr>
          <w:rFonts w:ascii="Arial" w:hAnsi="Arial" w:cs="Arial"/>
          <w:sz w:val="22"/>
          <w:lang w:val="es-ES_tradnl"/>
        </w:rPr>
        <w:t xml:space="preserve">de actividades </w:t>
      </w:r>
      <w:r w:rsidRPr="00CA0370" w:rsidR="00827FD1">
        <w:rPr>
          <w:rFonts w:ascii="Arial" w:hAnsi="Arial" w:cs="Arial"/>
          <w:sz w:val="22"/>
          <w:lang w:val="es-ES_tradnl"/>
        </w:rPr>
        <w:t xml:space="preserve">que se detalla en </w:t>
      </w:r>
      <w:r w:rsidRPr="00CA0370" w:rsidR="00EA1BAD">
        <w:rPr>
          <w:rFonts w:ascii="Arial" w:hAnsi="Arial" w:cs="Arial"/>
          <w:sz w:val="22"/>
          <w:lang w:val="es-ES_tradnl"/>
        </w:rPr>
        <w:t>e</w:t>
      </w:r>
      <w:r w:rsidRPr="00CA0370" w:rsidR="00827FD1">
        <w:rPr>
          <w:rFonts w:ascii="Arial" w:hAnsi="Arial" w:cs="Arial"/>
          <w:sz w:val="22"/>
          <w:lang w:val="es-ES_tradnl"/>
        </w:rPr>
        <w:t xml:space="preserve">l siguiente </w:t>
      </w:r>
      <w:r w:rsidRPr="00CA0370" w:rsidR="00EA1BAD">
        <w:rPr>
          <w:rFonts w:ascii="Arial" w:hAnsi="Arial" w:cs="Arial"/>
          <w:sz w:val="22"/>
          <w:lang w:val="es-ES_tradnl"/>
        </w:rPr>
        <w:t>Cuadro 4</w:t>
      </w:r>
      <w:r w:rsidRPr="00CA0370" w:rsidR="00A9041C">
        <w:rPr>
          <w:rFonts w:ascii="Arial" w:hAnsi="Arial" w:cs="Arial"/>
          <w:sz w:val="22"/>
          <w:lang w:val="es-ES_tradnl"/>
        </w:rPr>
        <w:t>.</w:t>
      </w:r>
      <w:r w:rsidRPr="00CA0370" w:rsidR="00A9041C">
        <w:rPr>
          <w:rFonts w:ascii="Arial" w:hAnsi="Arial" w:cs="Arial"/>
          <w:b/>
          <w:sz w:val="22"/>
          <w:lang w:val="es-ES_tradnl"/>
        </w:rPr>
        <w:t xml:space="preserve"> </w:t>
      </w:r>
    </w:p>
    <w:p w:rsidRPr="00CA0370" w:rsidR="008B7284" w:rsidP="008B7284" w:rsidRDefault="00EA1BAD" w14:paraId="19B3C6F0" w14:textId="7143F5C4">
      <w:pPr>
        <w:pStyle w:val="Paragraph"/>
        <w:numPr>
          <w:ilvl w:val="0"/>
          <w:numId w:val="0"/>
        </w:numPr>
        <w:ind w:left="540" w:hanging="540"/>
        <w:jc w:val="center"/>
        <w:rPr>
          <w:rFonts w:ascii="Arial" w:hAnsi="Arial" w:cs="Arial"/>
          <w:b/>
          <w:sz w:val="20"/>
          <w:szCs w:val="20"/>
          <w:lang w:val="es-ES_tradnl"/>
        </w:rPr>
      </w:pPr>
      <w:r w:rsidRPr="00CA0370">
        <w:rPr>
          <w:rFonts w:ascii="Arial" w:hAnsi="Arial" w:cs="Arial"/>
          <w:b/>
          <w:sz w:val="20"/>
          <w:szCs w:val="20"/>
          <w:lang w:val="es-ES_tradnl"/>
        </w:rPr>
        <w:t>Cuadro 4:</w:t>
      </w:r>
      <w:r w:rsidRPr="00CA0370" w:rsidR="00A9041C">
        <w:rPr>
          <w:rFonts w:ascii="Arial" w:hAnsi="Arial" w:cs="Arial"/>
          <w:b/>
          <w:sz w:val="20"/>
          <w:szCs w:val="20"/>
          <w:lang w:val="es-ES_tradnl"/>
        </w:rPr>
        <w:t xml:space="preserve"> Cronograma</w:t>
      </w:r>
      <w:r w:rsidRPr="00CA0370" w:rsidR="00EC7044">
        <w:rPr>
          <w:rFonts w:ascii="Arial" w:hAnsi="Arial" w:cs="Arial"/>
          <w:b/>
          <w:sz w:val="20"/>
          <w:szCs w:val="20"/>
          <w:lang w:val="es-ES_tradnl"/>
        </w:rPr>
        <w:t xml:space="preserve"> de actividades</w:t>
      </w:r>
      <w:r w:rsidRPr="00CA0370" w:rsidR="00A710BA">
        <w:rPr>
          <w:rFonts w:ascii="Arial" w:hAnsi="Arial" w:cs="Arial"/>
          <w:b/>
          <w:sz w:val="20"/>
          <w:szCs w:val="20"/>
          <w:lang w:val="es-ES_tradnl"/>
        </w:rPr>
        <w:t xml:space="preserve"> de monitoreo y evaluación</w:t>
      </w:r>
    </w:p>
    <w:tbl>
      <w:tblPr>
        <w:tblStyle w:val="TableGrid"/>
        <w:tblW w:w="9781" w:type="dxa"/>
        <w:jc w:val="center"/>
        <w:tblLook w:val="04A0" w:firstRow="1" w:lastRow="0" w:firstColumn="1" w:lastColumn="0" w:noHBand="0" w:noVBand="1"/>
      </w:tblPr>
      <w:tblGrid>
        <w:gridCol w:w="1600"/>
        <w:gridCol w:w="328"/>
        <w:gridCol w:w="328"/>
        <w:gridCol w:w="328"/>
        <w:gridCol w:w="328"/>
        <w:gridCol w:w="328"/>
        <w:gridCol w:w="350"/>
        <w:gridCol w:w="328"/>
        <w:gridCol w:w="328"/>
        <w:gridCol w:w="350"/>
        <w:gridCol w:w="328"/>
        <w:gridCol w:w="962"/>
        <w:gridCol w:w="1461"/>
        <w:gridCol w:w="1161"/>
        <w:gridCol w:w="1273"/>
      </w:tblGrid>
      <w:tr w:rsidRPr="00CA0370" w:rsidR="008352D8" w:rsidTr="00A710BA" w14:paraId="0FAA4FF1" w14:textId="77777777">
        <w:trPr>
          <w:jc w:val="center"/>
        </w:trPr>
        <w:tc>
          <w:tcPr>
            <w:tcW w:w="1600" w:type="dxa"/>
            <w:shd w:val="clear" w:color="auto" w:fill="C6D9F1" w:themeFill="text2" w:themeFillTint="33"/>
          </w:tcPr>
          <w:p w:rsidRPr="00CA0370" w:rsidR="008B7284" w:rsidP="000D45AB" w:rsidRDefault="008B7284" w14:paraId="20E39C56" w14:textId="77777777">
            <w:pPr>
              <w:pStyle w:val="Paragraph"/>
              <w:numPr>
                <w:ilvl w:val="0"/>
                <w:numId w:val="0"/>
              </w:numPr>
              <w:spacing w:before="0" w:after="0"/>
              <w:rPr>
                <w:rFonts w:ascii="Arial" w:hAnsi="Arial" w:cs="Arial"/>
                <w:b/>
                <w:sz w:val="20"/>
                <w:szCs w:val="20"/>
                <w:lang w:val="es-ES_tradnl"/>
              </w:rPr>
            </w:pPr>
          </w:p>
        </w:tc>
        <w:tc>
          <w:tcPr>
            <w:tcW w:w="656" w:type="dxa"/>
            <w:gridSpan w:val="2"/>
            <w:shd w:val="clear" w:color="auto" w:fill="C6D9F1" w:themeFill="text2" w:themeFillTint="33"/>
          </w:tcPr>
          <w:p w:rsidRPr="00CA0370" w:rsidR="008B7284" w:rsidP="000D45AB" w:rsidRDefault="008B7284" w14:paraId="56F15D17"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0</w:t>
            </w:r>
          </w:p>
        </w:tc>
        <w:tc>
          <w:tcPr>
            <w:tcW w:w="656" w:type="dxa"/>
            <w:gridSpan w:val="2"/>
            <w:shd w:val="clear" w:color="auto" w:fill="C6D9F1" w:themeFill="text2" w:themeFillTint="33"/>
          </w:tcPr>
          <w:p w:rsidRPr="00CA0370" w:rsidR="008B7284" w:rsidP="000D45AB" w:rsidRDefault="008B7284" w14:paraId="048D30FF"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678" w:type="dxa"/>
            <w:gridSpan w:val="2"/>
            <w:shd w:val="clear" w:color="auto" w:fill="C6D9F1" w:themeFill="text2" w:themeFillTint="33"/>
          </w:tcPr>
          <w:p w:rsidRPr="00CA0370" w:rsidR="008B7284" w:rsidP="000D45AB" w:rsidRDefault="008B7284" w14:paraId="379D60DB"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656" w:type="dxa"/>
            <w:gridSpan w:val="2"/>
            <w:shd w:val="clear" w:color="auto" w:fill="C6D9F1" w:themeFill="text2" w:themeFillTint="33"/>
          </w:tcPr>
          <w:p w:rsidRPr="00CA0370" w:rsidR="008B7284" w:rsidP="000D45AB" w:rsidRDefault="008B7284" w14:paraId="2B999092"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3</w:t>
            </w:r>
          </w:p>
        </w:tc>
        <w:tc>
          <w:tcPr>
            <w:tcW w:w="678" w:type="dxa"/>
            <w:gridSpan w:val="2"/>
            <w:shd w:val="clear" w:color="auto" w:fill="C6D9F1" w:themeFill="text2" w:themeFillTint="33"/>
          </w:tcPr>
          <w:p w:rsidRPr="00CA0370" w:rsidR="008B7284" w:rsidP="000D45AB" w:rsidRDefault="008B7284" w14:paraId="3D4BF0CE"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4</w:t>
            </w:r>
          </w:p>
        </w:tc>
        <w:tc>
          <w:tcPr>
            <w:tcW w:w="962" w:type="dxa"/>
            <w:shd w:val="clear" w:color="auto" w:fill="C6D9F1" w:themeFill="text2" w:themeFillTint="33"/>
          </w:tcPr>
          <w:p w:rsidRPr="00CA0370" w:rsidR="008B7284" w:rsidP="000D45AB" w:rsidRDefault="008B7284" w14:paraId="2561D86B" w14:textId="77777777">
            <w:pPr>
              <w:pStyle w:val="Paragraph"/>
              <w:numPr>
                <w:ilvl w:val="0"/>
                <w:numId w:val="0"/>
              </w:numPr>
              <w:spacing w:before="0" w:after="0"/>
              <w:rPr>
                <w:rFonts w:ascii="Arial" w:hAnsi="Arial" w:cs="Arial"/>
                <w:b/>
                <w:sz w:val="20"/>
                <w:szCs w:val="20"/>
                <w:lang w:val="es-ES_tradnl"/>
              </w:rPr>
            </w:pPr>
          </w:p>
        </w:tc>
        <w:tc>
          <w:tcPr>
            <w:tcW w:w="1461" w:type="dxa"/>
            <w:shd w:val="clear" w:color="auto" w:fill="C6D9F1" w:themeFill="text2" w:themeFillTint="33"/>
          </w:tcPr>
          <w:p w:rsidRPr="00CA0370" w:rsidR="008B7284" w:rsidP="000D45AB" w:rsidRDefault="008B7284" w14:paraId="35B84296" w14:textId="77777777">
            <w:pPr>
              <w:pStyle w:val="Paragraph"/>
              <w:numPr>
                <w:ilvl w:val="0"/>
                <w:numId w:val="0"/>
              </w:numPr>
              <w:spacing w:before="0" w:after="0"/>
              <w:rPr>
                <w:rFonts w:ascii="Arial" w:hAnsi="Arial" w:cs="Arial"/>
                <w:b/>
                <w:sz w:val="20"/>
                <w:szCs w:val="20"/>
                <w:lang w:val="es-ES_tradnl"/>
              </w:rPr>
            </w:pPr>
          </w:p>
        </w:tc>
        <w:tc>
          <w:tcPr>
            <w:tcW w:w="1161" w:type="dxa"/>
            <w:shd w:val="clear" w:color="auto" w:fill="C6D9F1" w:themeFill="text2" w:themeFillTint="33"/>
          </w:tcPr>
          <w:p w:rsidRPr="00CA0370" w:rsidR="008B7284" w:rsidP="000D45AB" w:rsidRDefault="008B7284" w14:paraId="78DF336E" w14:textId="77777777">
            <w:pPr>
              <w:pStyle w:val="Paragraph"/>
              <w:numPr>
                <w:ilvl w:val="0"/>
                <w:numId w:val="0"/>
              </w:numPr>
              <w:spacing w:before="0" w:after="0"/>
              <w:rPr>
                <w:rFonts w:ascii="Arial" w:hAnsi="Arial" w:cs="Arial"/>
                <w:b/>
                <w:sz w:val="20"/>
                <w:szCs w:val="20"/>
                <w:lang w:val="es-ES_tradnl"/>
              </w:rPr>
            </w:pPr>
          </w:p>
        </w:tc>
        <w:tc>
          <w:tcPr>
            <w:tcW w:w="1273" w:type="dxa"/>
            <w:shd w:val="clear" w:color="auto" w:fill="C6D9F1" w:themeFill="text2" w:themeFillTint="33"/>
          </w:tcPr>
          <w:p w:rsidRPr="00CA0370" w:rsidR="008B7284" w:rsidP="000D45AB" w:rsidRDefault="008B7284" w14:paraId="25C4F2FB" w14:textId="77777777">
            <w:pPr>
              <w:pStyle w:val="Paragraph"/>
              <w:numPr>
                <w:ilvl w:val="0"/>
                <w:numId w:val="0"/>
              </w:numPr>
              <w:spacing w:before="0" w:after="0"/>
              <w:rPr>
                <w:rFonts w:ascii="Arial" w:hAnsi="Arial" w:cs="Arial"/>
                <w:b/>
                <w:sz w:val="20"/>
                <w:szCs w:val="20"/>
                <w:lang w:val="es-ES_tradnl"/>
              </w:rPr>
            </w:pPr>
          </w:p>
        </w:tc>
      </w:tr>
      <w:tr w:rsidRPr="00CA0370" w:rsidR="008352D8" w:rsidTr="00A710BA" w14:paraId="266192CE" w14:textId="77777777">
        <w:trPr>
          <w:jc w:val="center"/>
        </w:trPr>
        <w:tc>
          <w:tcPr>
            <w:tcW w:w="1600" w:type="dxa"/>
            <w:shd w:val="clear" w:color="auto" w:fill="F2F2F2" w:themeFill="background1" w:themeFillShade="F2"/>
          </w:tcPr>
          <w:p w:rsidRPr="00CA0370" w:rsidR="008B7284" w:rsidP="000D45AB" w:rsidRDefault="008B7284" w14:paraId="13C99257" w14:textId="77777777">
            <w:pPr>
              <w:pStyle w:val="Paragraph"/>
              <w:numPr>
                <w:ilvl w:val="0"/>
                <w:numId w:val="0"/>
              </w:numPr>
              <w:spacing w:before="0" w:after="0"/>
              <w:rPr>
                <w:rFonts w:ascii="Arial" w:hAnsi="Arial" w:cs="Arial"/>
                <w:b/>
                <w:sz w:val="20"/>
                <w:szCs w:val="20"/>
                <w:lang w:val="es-ES_tradnl"/>
              </w:rPr>
            </w:pPr>
            <w:r w:rsidRPr="00CA0370">
              <w:rPr>
                <w:rFonts w:ascii="Arial" w:hAnsi="Arial" w:cs="Arial"/>
                <w:b/>
                <w:sz w:val="20"/>
                <w:szCs w:val="20"/>
                <w:lang w:val="es-ES_tradnl"/>
              </w:rPr>
              <w:t>Actividades</w:t>
            </w:r>
          </w:p>
        </w:tc>
        <w:tc>
          <w:tcPr>
            <w:tcW w:w="328" w:type="dxa"/>
            <w:shd w:val="clear" w:color="auto" w:fill="F2F2F2" w:themeFill="background1" w:themeFillShade="F2"/>
          </w:tcPr>
          <w:p w:rsidRPr="00CA0370" w:rsidR="008B7284" w:rsidP="000D45AB" w:rsidRDefault="008B7284" w14:paraId="36FFD984"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328" w:type="dxa"/>
            <w:shd w:val="clear" w:color="auto" w:fill="F2F2F2" w:themeFill="background1" w:themeFillShade="F2"/>
          </w:tcPr>
          <w:p w:rsidRPr="00CA0370" w:rsidR="008B7284" w:rsidP="000D45AB" w:rsidRDefault="008B7284" w14:paraId="1048627D"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328" w:type="dxa"/>
            <w:shd w:val="clear" w:color="auto" w:fill="F2F2F2" w:themeFill="background1" w:themeFillShade="F2"/>
          </w:tcPr>
          <w:p w:rsidRPr="00CA0370" w:rsidR="008B7284" w:rsidP="000D45AB" w:rsidRDefault="008B7284" w14:paraId="43F71E77"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328" w:type="dxa"/>
            <w:shd w:val="clear" w:color="auto" w:fill="F2F2F2" w:themeFill="background1" w:themeFillShade="F2"/>
          </w:tcPr>
          <w:p w:rsidRPr="00CA0370" w:rsidR="008B7284" w:rsidP="000D45AB" w:rsidRDefault="008B7284" w14:paraId="7A5898E3"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328" w:type="dxa"/>
            <w:shd w:val="clear" w:color="auto" w:fill="F2F2F2" w:themeFill="background1" w:themeFillShade="F2"/>
          </w:tcPr>
          <w:p w:rsidRPr="00CA0370" w:rsidR="008B7284" w:rsidP="000D45AB" w:rsidRDefault="008B7284" w14:paraId="33EE3E9E"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350" w:type="dxa"/>
            <w:shd w:val="clear" w:color="auto" w:fill="F2F2F2" w:themeFill="background1" w:themeFillShade="F2"/>
          </w:tcPr>
          <w:p w:rsidRPr="00CA0370" w:rsidR="008B7284" w:rsidP="000D45AB" w:rsidRDefault="008B7284" w14:paraId="55E4FA81"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328" w:type="dxa"/>
            <w:shd w:val="clear" w:color="auto" w:fill="F2F2F2" w:themeFill="background1" w:themeFillShade="F2"/>
          </w:tcPr>
          <w:p w:rsidRPr="00CA0370" w:rsidR="008B7284" w:rsidP="000D45AB" w:rsidRDefault="008B7284" w14:paraId="4C6B0F2A"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328" w:type="dxa"/>
            <w:shd w:val="clear" w:color="auto" w:fill="F2F2F2" w:themeFill="background1" w:themeFillShade="F2"/>
          </w:tcPr>
          <w:p w:rsidRPr="00CA0370" w:rsidR="008B7284" w:rsidP="000D45AB" w:rsidRDefault="008B7284" w14:paraId="4231921A"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350" w:type="dxa"/>
            <w:shd w:val="clear" w:color="auto" w:fill="F2F2F2" w:themeFill="background1" w:themeFillShade="F2"/>
          </w:tcPr>
          <w:p w:rsidRPr="00CA0370" w:rsidR="008B7284" w:rsidP="000D45AB" w:rsidRDefault="008B7284" w14:paraId="02BED31B"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1</w:t>
            </w:r>
          </w:p>
        </w:tc>
        <w:tc>
          <w:tcPr>
            <w:tcW w:w="328" w:type="dxa"/>
            <w:shd w:val="clear" w:color="auto" w:fill="F2F2F2" w:themeFill="background1" w:themeFillShade="F2"/>
          </w:tcPr>
          <w:p w:rsidRPr="00CA0370" w:rsidR="008B7284" w:rsidP="000D45AB" w:rsidRDefault="008B7284" w14:paraId="6DB5563F" w14:textId="77777777">
            <w:pPr>
              <w:pStyle w:val="Paragraph"/>
              <w:numPr>
                <w:ilvl w:val="0"/>
                <w:numId w:val="0"/>
              </w:numPr>
              <w:spacing w:before="0" w:after="0"/>
              <w:jc w:val="center"/>
              <w:rPr>
                <w:rFonts w:ascii="Arial" w:hAnsi="Arial" w:cs="Arial"/>
                <w:b/>
                <w:sz w:val="20"/>
                <w:szCs w:val="20"/>
                <w:lang w:val="es-ES_tradnl"/>
              </w:rPr>
            </w:pPr>
            <w:r w:rsidRPr="00CA0370">
              <w:rPr>
                <w:rFonts w:ascii="Arial" w:hAnsi="Arial" w:cs="Arial"/>
                <w:b/>
                <w:sz w:val="20"/>
                <w:szCs w:val="20"/>
                <w:lang w:val="es-ES_tradnl"/>
              </w:rPr>
              <w:t>2</w:t>
            </w:r>
          </w:p>
        </w:tc>
        <w:tc>
          <w:tcPr>
            <w:tcW w:w="962" w:type="dxa"/>
            <w:shd w:val="clear" w:color="auto" w:fill="F2F2F2" w:themeFill="background1" w:themeFillShade="F2"/>
          </w:tcPr>
          <w:p w:rsidRPr="00CA0370" w:rsidR="008B7284" w:rsidP="000D45AB" w:rsidRDefault="008B7284" w14:paraId="60BAABDE" w14:textId="3D187C96">
            <w:pPr>
              <w:pStyle w:val="Paragraph"/>
              <w:numPr>
                <w:ilvl w:val="0"/>
                <w:numId w:val="0"/>
              </w:numPr>
              <w:spacing w:before="0" w:after="0"/>
              <w:rPr>
                <w:rFonts w:ascii="Arial" w:hAnsi="Arial" w:cs="Arial"/>
                <w:b/>
                <w:sz w:val="20"/>
                <w:szCs w:val="20"/>
                <w:lang w:val="es-ES_tradnl"/>
              </w:rPr>
            </w:pPr>
            <w:r w:rsidRPr="00CA0370">
              <w:rPr>
                <w:rFonts w:ascii="Arial" w:hAnsi="Arial" w:cs="Arial"/>
                <w:b/>
                <w:sz w:val="20"/>
                <w:szCs w:val="20"/>
                <w:lang w:val="es-ES_tradnl"/>
              </w:rPr>
              <w:t>Cost</w:t>
            </w:r>
            <w:r w:rsidRPr="00CA0370" w:rsidR="002816A4">
              <w:rPr>
                <w:rFonts w:ascii="Arial" w:hAnsi="Arial" w:cs="Arial"/>
                <w:b/>
                <w:sz w:val="20"/>
                <w:szCs w:val="20"/>
                <w:lang w:val="es-ES_tradnl"/>
              </w:rPr>
              <w:t>o</w:t>
            </w:r>
          </w:p>
        </w:tc>
        <w:tc>
          <w:tcPr>
            <w:tcW w:w="1461" w:type="dxa"/>
            <w:shd w:val="clear" w:color="auto" w:fill="F2F2F2" w:themeFill="background1" w:themeFillShade="F2"/>
          </w:tcPr>
          <w:p w:rsidRPr="00CA0370" w:rsidR="008B7284" w:rsidP="000D45AB" w:rsidRDefault="008B7284" w14:paraId="746053AA" w14:textId="77777777">
            <w:pPr>
              <w:pStyle w:val="Paragraph"/>
              <w:numPr>
                <w:ilvl w:val="0"/>
                <w:numId w:val="0"/>
              </w:numPr>
              <w:spacing w:before="0" w:after="0"/>
              <w:rPr>
                <w:rFonts w:ascii="Arial" w:hAnsi="Arial" w:cs="Arial"/>
                <w:b/>
                <w:sz w:val="20"/>
                <w:szCs w:val="20"/>
                <w:lang w:val="es-ES_tradnl"/>
              </w:rPr>
            </w:pPr>
            <w:r w:rsidRPr="00CA0370">
              <w:rPr>
                <w:rFonts w:ascii="Arial" w:hAnsi="Arial" w:cs="Arial"/>
                <w:b/>
                <w:sz w:val="20"/>
                <w:szCs w:val="20"/>
                <w:lang w:val="es-ES_tradnl"/>
              </w:rPr>
              <w:t>Responsable</w:t>
            </w:r>
          </w:p>
        </w:tc>
        <w:tc>
          <w:tcPr>
            <w:tcW w:w="1161" w:type="dxa"/>
            <w:shd w:val="clear" w:color="auto" w:fill="F2F2F2" w:themeFill="background1" w:themeFillShade="F2"/>
          </w:tcPr>
          <w:p w:rsidRPr="00CA0370" w:rsidR="008B7284" w:rsidP="000D45AB" w:rsidRDefault="008B7284" w14:paraId="2E768FCE" w14:textId="77777777">
            <w:pPr>
              <w:pStyle w:val="Paragraph"/>
              <w:numPr>
                <w:ilvl w:val="0"/>
                <w:numId w:val="0"/>
              </w:numPr>
              <w:spacing w:before="0" w:after="0"/>
              <w:rPr>
                <w:rFonts w:ascii="Arial" w:hAnsi="Arial" w:cs="Arial"/>
                <w:b/>
                <w:sz w:val="20"/>
                <w:szCs w:val="20"/>
                <w:lang w:val="es-ES_tradnl"/>
              </w:rPr>
            </w:pPr>
            <w:r w:rsidRPr="00CA0370">
              <w:rPr>
                <w:rFonts w:ascii="Arial" w:hAnsi="Arial" w:cs="Arial"/>
                <w:b/>
                <w:sz w:val="20"/>
                <w:szCs w:val="20"/>
                <w:lang w:val="es-ES_tradnl"/>
              </w:rPr>
              <w:t>Fondos</w:t>
            </w:r>
          </w:p>
        </w:tc>
        <w:tc>
          <w:tcPr>
            <w:tcW w:w="1273" w:type="dxa"/>
            <w:shd w:val="clear" w:color="auto" w:fill="F2F2F2" w:themeFill="background1" w:themeFillShade="F2"/>
          </w:tcPr>
          <w:p w:rsidRPr="00CA0370" w:rsidR="008B7284" w:rsidP="000D45AB" w:rsidRDefault="008B7284" w14:paraId="15778CCF" w14:textId="77777777">
            <w:pPr>
              <w:pStyle w:val="Paragraph"/>
              <w:numPr>
                <w:ilvl w:val="0"/>
                <w:numId w:val="0"/>
              </w:numPr>
              <w:spacing w:before="0" w:after="0"/>
              <w:rPr>
                <w:rFonts w:ascii="Arial" w:hAnsi="Arial" w:cs="Arial"/>
                <w:b/>
                <w:sz w:val="20"/>
                <w:szCs w:val="20"/>
                <w:lang w:val="es-ES_tradnl"/>
              </w:rPr>
            </w:pPr>
            <w:r w:rsidRPr="00CA0370">
              <w:rPr>
                <w:rFonts w:ascii="Arial" w:hAnsi="Arial" w:cs="Arial"/>
                <w:b/>
                <w:sz w:val="20"/>
                <w:szCs w:val="20"/>
                <w:lang w:val="es-ES_tradnl"/>
              </w:rPr>
              <w:t>US$</w:t>
            </w:r>
          </w:p>
        </w:tc>
      </w:tr>
      <w:tr w:rsidRPr="00CA0370" w:rsidR="003B4D3A" w:rsidTr="00A710BA" w14:paraId="37846459" w14:textId="77777777">
        <w:trPr>
          <w:jc w:val="center"/>
        </w:trPr>
        <w:tc>
          <w:tcPr>
            <w:tcW w:w="1600" w:type="dxa"/>
          </w:tcPr>
          <w:p w:rsidRPr="00CA0370" w:rsidR="003B4D3A" w:rsidP="00DF4354" w:rsidRDefault="003B4D3A" w14:paraId="01AB33E7" w14:textId="32BCCD8B">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Auditorías</w:t>
            </w:r>
          </w:p>
        </w:tc>
        <w:tc>
          <w:tcPr>
            <w:tcW w:w="328" w:type="dxa"/>
          </w:tcPr>
          <w:p w:rsidRPr="00CA0370" w:rsidR="003B4D3A" w:rsidP="000D45AB" w:rsidRDefault="003B4D3A" w14:paraId="1FF2D2B4"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3B4D3A" w:rsidP="000D45AB" w:rsidRDefault="003B4D3A" w14:paraId="4189F632"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3B4D3A" w:rsidP="000D45AB" w:rsidRDefault="003B4D3A" w14:paraId="64B6AC7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3B4D3A" w:rsidP="000D45AB" w:rsidRDefault="003B4D3A" w14:paraId="4F040675" w14:textId="102620F8">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3B4D3A" w:rsidP="000D45AB" w:rsidRDefault="003B4D3A" w14:paraId="6878A88B"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3B4D3A" w:rsidP="000D45AB" w:rsidRDefault="003B4D3A" w14:paraId="77E6C7DE" w14:textId="1BA6838C">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3B4D3A" w:rsidP="000D45AB" w:rsidRDefault="003B4D3A" w14:paraId="6B8E74A6"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3B4D3A" w:rsidP="000D45AB" w:rsidRDefault="003B4D3A" w14:paraId="531DFED0" w14:textId="5E115093">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50" w:type="dxa"/>
          </w:tcPr>
          <w:p w:rsidRPr="00CA0370" w:rsidR="003B4D3A" w:rsidP="000D45AB" w:rsidRDefault="003B4D3A" w14:paraId="40C54ACD"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3B4D3A" w:rsidP="000D45AB" w:rsidRDefault="003B4D3A" w14:paraId="6BD3811F" w14:textId="594CF284">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962" w:type="dxa"/>
          </w:tcPr>
          <w:p w:rsidRPr="00CA0370" w:rsidR="003B4D3A" w:rsidP="003F0DD9" w:rsidRDefault="003B4D3A" w14:paraId="2C0D7C9F" w14:textId="2751B569">
            <w:pPr>
              <w:pStyle w:val="Paragraph"/>
              <w:numPr>
                <w:ilvl w:val="0"/>
                <w:numId w:val="0"/>
              </w:numPr>
              <w:spacing w:before="0" w:after="0"/>
              <w:ind w:left="-100" w:right="-50"/>
              <w:rPr>
                <w:rFonts w:ascii="Arial" w:hAnsi="Arial" w:cs="Arial"/>
                <w:sz w:val="20"/>
                <w:szCs w:val="20"/>
                <w:lang w:val="es-ES_tradnl"/>
              </w:rPr>
            </w:pPr>
            <w:r w:rsidRPr="00CA0370">
              <w:rPr>
                <w:rFonts w:ascii="Arial" w:hAnsi="Arial" w:cs="Arial"/>
                <w:sz w:val="20"/>
                <w:szCs w:val="20"/>
                <w:lang w:val="es-ES_tradnl"/>
              </w:rPr>
              <w:t>Imputado a ejecución</w:t>
            </w:r>
          </w:p>
        </w:tc>
        <w:tc>
          <w:tcPr>
            <w:tcW w:w="1461" w:type="dxa"/>
          </w:tcPr>
          <w:p w:rsidRPr="00CA0370" w:rsidR="003B4D3A" w:rsidP="000D45AB" w:rsidRDefault="003B4D3A" w14:paraId="1C72AB11" w14:textId="58885A55">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BROU</w:t>
            </w:r>
          </w:p>
        </w:tc>
        <w:tc>
          <w:tcPr>
            <w:tcW w:w="1161" w:type="dxa"/>
          </w:tcPr>
          <w:p w:rsidRPr="00CA0370" w:rsidR="003B4D3A" w:rsidP="000D45AB" w:rsidRDefault="003B4D3A" w14:paraId="761973B4" w14:textId="51328F0B">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Recursos del prestatario</w:t>
            </w:r>
          </w:p>
        </w:tc>
        <w:tc>
          <w:tcPr>
            <w:tcW w:w="1273" w:type="dxa"/>
          </w:tcPr>
          <w:p w:rsidRPr="00CA0370" w:rsidR="003B4D3A" w:rsidP="000D45AB" w:rsidRDefault="003B4D3A" w14:paraId="4978BA00" w14:textId="0FA9C695">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5.000</w:t>
            </w:r>
          </w:p>
        </w:tc>
      </w:tr>
      <w:tr w:rsidRPr="00CA0370" w:rsidR="00A710BA" w:rsidTr="00A710BA" w14:paraId="5E32BE48" w14:textId="77777777">
        <w:trPr>
          <w:jc w:val="center"/>
        </w:trPr>
        <w:tc>
          <w:tcPr>
            <w:tcW w:w="1600" w:type="dxa"/>
          </w:tcPr>
          <w:p w:rsidRPr="00CA0370" w:rsidR="00A710BA" w:rsidP="00A710BA" w:rsidRDefault="00A710BA" w14:paraId="0EEB02B1" w14:textId="7777777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Reportes</w:t>
            </w:r>
          </w:p>
          <w:p w:rsidRPr="00CA0370" w:rsidR="00A710BA" w:rsidP="00A710BA" w:rsidRDefault="00A710BA" w14:paraId="15F35D3D" w14:textId="68D2EDB5">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Semestrales (monitoreo)</w:t>
            </w:r>
          </w:p>
        </w:tc>
        <w:tc>
          <w:tcPr>
            <w:tcW w:w="328" w:type="dxa"/>
          </w:tcPr>
          <w:p w:rsidRPr="00CA0370" w:rsidR="00A710BA" w:rsidP="00A710BA" w:rsidRDefault="00A710BA" w14:paraId="344CA43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7B4558AD" w14:textId="669F1610">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2E67DE9C" w14:textId="001E404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61D3C097" w14:textId="23949CD1">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13904A5C" w14:textId="1750BA2C">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50" w:type="dxa"/>
          </w:tcPr>
          <w:p w:rsidRPr="00CA0370" w:rsidR="00A710BA" w:rsidP="00A710BA" w:rsidRDefault="00A710BA" w14:paraId="2181554F" w14:textId="0F02ED59">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79B27FC7" w14:textId="7E582E1E">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4FDCEB74" w14:textId="17EE3D58">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50" w:type="dxa"/>
          </w:tcPr>
          <w:p w:rsidRPr="00CA0370" w:rsidR="00A710BA" w:rsidP="00A710BA" w:rsidRDefault="00A710BA" w14:paraId="6941AC36" w14:textId="29B429F8">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1778831D" w14:textId="7FBAD021">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962" w:type="dxa"/>
          </w:tcPr>
          <w:p w:rsidRPr="00CA0370" w:rsidR="00A710BA" w:rsidP="00A710BA" w:rsidRDefault="00A710BA" w14:paraId="054AADCE" w14:textId="3CCF754E">
            <w:pPr>
              <w:pStyle w:val="Paragraph"/>
              <w:numPr>
                <w:ilvl w:val="0"/>
                <w:numId w:val="0"/>
              </w:numPr>
              <w:spacing w:before="0" w:after="0"/>
              <w:ind w:left="-100" w:right="-50"/>
              <w:rPr>
                <w:rFonts w:ascii="Arial" w:hAnsi="Arial" w:cs="Arial"/>
                <w:sz w:val="20"/>
                <w:szCs w:val="20"/>
                <w:lang w:val="es-ES_tradnl"/>
              </w:rPr>
            </w:pPr>
            <w:r w:rsidRPr="00CA0370">
              <w:rPr>
                <w:rFonts w:ascii="Arial" w:hAnsi="Arial" w:cs="Arial"/>
                <w:sz w:val="20"/>
                <w:szCs w:val="20"/>
                <w:lang w:val="es-ES_tradnl"/>
              </w:rPr>
              <w:t>Imputado a ejecución</w:t>
            </w:r>
          </w:p>
        </w:tc>
        <w:tc>
          <w:tcPr>
            <w:tcW w:w="1461" w:type="dxa"/>
          </w:tcPr>
          <w:p w:rsidRPr="00CA0370" w:rsidR="00A710BA" w:rsidP="00A710BA" w:rsidRDefault="00A710BA" w14:paraId="1CFA6924" w14:textId="7DD3F9CA">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BROU</w:t>
            </w:r>
          </w:p>
        </w:tc>
        <w:tc>
          <w:tcPr>
            <w:tcW w:w="1161" w:type="dxa"/>
          </w:tcPr>
          <w:p w:rsidRPr="00CA0370" w:rsidR="00A710BA" w:rsidP="00A710BA" w:rsidRDefault="00A710BA" w14:paraId="4DA0517C" w14:textId="4822AD06">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Recursos del prestatario</w:t>
            </w:r>
          </w:p>
        </w:tc>
        <w:tc>
          <w:tcPr>
            <w:tcW w:w="1273" w:type="dxa"/>
          </w:tcPr>
          <w:p w:rsidRPr="00CA0370" w:rsidR="00A710BA" w:rsidP="00A710BA" w:rsidRDefault="00A710BA" w14:paraId="1A62DFDC" w14:textId="755495B8">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10.000</w:t>
            </w:r>
          </w:p>
        </w:tc>
      </w:tr>
      <w:tr w:rsidRPr="00CA0370" w:rsidR="00A710BA" w:rsidTr="004F1F45" w14:paraId="6AFC91F1" w14:textId="77777777">
        <w:trPr>
          <w:jc w:val="center"/>
        </w:trPr>
        <w:tc>
          <w:tcPr>
            <w:tcW w:w="1600" w:type="dxa"/>
          </w:tcPr>
          <w:p w:rsidRPr="00CA0370" w:rsidR="00A710BA" w:rsidP="00A710BA" w:rsidRDefault="00A710BA" w14:paraId="747E00B5" w14:textId="17F43D7F">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Recopilación datos TDPA y realización ACB ex post</w:t>
            </w:r>
          </w:p>
        </w:tc>
        <w:tc>
          <w:tcPr>
            <w:tcW w:w="328" w:type="dxa"/>
          </w:tcPr>
          <w:p w:rsidRPr="00CA0370" w:rsidR="00A710BA" w:rsidP="00A710BA" w:rsidRDefault="00A710BA" w14:paraId="20EE1338" w14:textId="36B1A02F">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86421B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46F13B1"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14536ACF"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F354430"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1985E019"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3FF2DFD2"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38152BB"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734FA8C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20B8448" w14:textId="2DA7969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962" w:type="dxa"/>
          </w:tcPr>
          <w:p w:rsidRPr="00CA0370" w:rsidR="00A710BA" w:rsidP="00A710BA" w:rsidRDefault="00A710BA" w14:paraId="1EDEA6D5" w14:textId="329A0E77">
            <w:pPr>
              <w:pStyle w:val="Paragraph"/>
              <w:numPr>
                <w:ilvl w:val="0"/>
                <w:numId w:val="0"/>
              </w:numPr>
              <w:spacing w:before="0" w:after="0"/>
              <w:ind w:left="-100" w:right="-50"/>
              <w:rPr>
                <w:rFonts w:ascii="Arial" w:hAnsi="Arial" w:cs="Arial"/>
                <w:sz w:val="20"/>
                <w:szCs w:val="20"/>
                <w:lang w:val="es-ES_tradnl"/>
              </w:rPr>
            </w:pPr>
            <w:r w:rsidRPr="00CA0370">
              <w:rPr>
                <w:rFonts w:ascii="Arial" w:hAnsi="Arial" w:cs="Arial"/>
                <w:sz w:val="20"/>
                <w:szCs w:val="20"/>
                <w:lang w:val="es-ES_tradnl"/>
              </w:rPr>
              <w:t>Imputado a ejecución</w:t>
            </w:r>
          </w:p>
        </w:tc>
        <w:tc>
          <w:tcPr>
            <w:tcW w:w="1461" w:type="dxa"/>
          </w:tcPr>
          <w:p w:rsidRPr="00CA0370" w:rsidR="00A710BA" w:rsidP="00A710BA" w:rsidRDefault="00A710BA" w14:paraId="5EB309B3" w14:textId="6FCDEEE5">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BROU</w:t>
            </w:r>
          </w:p>
        </w:tc>
        <w:tc>
          <w:tcPr>
            <w:tcW w:w="1161" w:type="dxa"/>
          </w:tcPr>
          <w:p w:rsidRPr="00CA0370" w:rsidR="00A710BA" w:rsidP="00A710BA" w:rsidRDefault="00A710BA" w14:paraId="15880D71" w14:textId="4A52BDA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Recursos del prestatario</w:t>
            </w:r>
          </w:p>
        </w:tc>
        <w:tc>
          <w:tcPr>
            <w:tcW w:w="1273" w:type="dxa"/>
          </w:tcPr>
          <w:p w:rsidRPr="00CA0370" w:rsidR="00A710BA" w:rsidP="00A710BA" w:rsidRDefault="00A710BA" w14:paraId="1F7873BB" w14:textId="2F82DD5C">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20.000</w:t>
            </w:r>
          </w:p>
        </w:tc>
      </w:tr>
      <w:tr w:rsidRPr="00CA0370" w:rsidR="00A710BA" w:rsidTr="00A710BA" w14:paraId="22314BD9" w14:textId="77777777">
        <w:trPr>
          <w:jc w:val="center"/>
        </w:trPr>
        <w:tc>
          <w:tcPr>
            <w:tcW w:w="1600" w:type="dxa"/>
          </w:tcPr>
          <w:p w:rsidRPr="00CA0370" w:rsidR="00A710BA" w:rsidP="00A710BA" w:rsidRDefault="00A710BA" w14:paraId="3ED4348E" w14:textId="6B6C8986">
            <w:pPr>
              <w:pStyle w:val="Paragraph"/>
              <w:numPr>
                <w:ilvl w:val="0"/>
                <w:numId w:val="0"/>
              </w:numPr>
              <w:spacing w:before="0" w:after="0"/>
              <w:rPr>
                <w:rFonts w:ascii="Arial" w:hAnsi="Arial" w:cs="Arial"/>
                <w:sz w:val="20"/>
                <w:szCs w:val="20"/>
                <w:lang w:val="es-ES_tradnl"/>
              </w:rPr>
            </w:pPr>
            <w:r w:rsidRPr="00CA0370">
              <w:rPr>
                <w:rFonts w:ascii="Arial" w:hAnsi="Arial" w:cs="Arial"/>
                <w:sz w:val="22"/>
                <w:lang w:val="es-ES_tradnl"/>
              </w:rPr>
              <w:t>Evaluación de medio término</w:t>
            </w:r>
          </w:p>
        </w:tc>
        <w:tc>
          <w:tcPr>
            <w:tcW w:w="328" w:type="dxa"/>
          </w:tcPr>
          <w:p w:rsidRPr="00CA0370" w:rsidR="00A710BA" w:rsidP="00A710BA" w:rsidRDefault="00A710BA" w14:paraId="6DF106FF"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2A6558E"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22CF83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223BF2D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70E0AC53"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763FD426" w14:textId="05CFE4FA">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328" w:type="dxa"/>
          </w:tcPr>
          <w:p w:rsidRPr="00CA0370" w:rsidR="00A710BA" w:rsidP="00A710BA" w:rsidRDefault="00A710BA" w14:paraId="09BABA82"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B91B4B6"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7FCE9FC0"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34D38FB2" w14:textId="77777777">
            <w:pPr>
              <w:pStyle w:val="Paragraph"/>
              <w:numPr>
                <w:ilvl w:val="0"/>
                <w:numId w:val="0"/>
              </w:numPr>
              <w:spacing w:before="0" w:after="0"/>
              <w:rPr>
                <w:rFonts w:ascii="Arial" w:hAnsi="Arial" w:cs="Arial"/>
                <w:sz w:val="20"/>
                <w:szCs w:val="20"/>
                <w:lang w:val="es-ES_tradnl"/>
              </w:rPr>
            </w:pPr>
          </w:p>
        </w:tc>
        <w:tc>
          <w:tcPr>
            <w:tcW w:w="962" w:type="dxa"/>
          </w:tcPr>
          <w:p w:rsidRPr="00CA0370" w:rsidR="00A710BA" w:rsidP="00A710BA" w:rsidRDefault="00A710BA" w14:paraId="333C7EC0" w14:textId="00228F0D">
            <w:pPr>
              <w:pStyle w:val="Paragraph"/>
              <w:numPr>
                <w:ilvl w:val="0"/>
                <w:numId w:val="0"/>
              </w:numPr>
              <w:spacing w:before="0" w:after="0"/>
              <w:ind w:left="-100" w:right="-50"/>
              <w:rPr>
                <w:rFonts w:ascii="Arial" w:hAnsi="Arial" w:cs="Arial"/>
                <w:sz w:val="20"/>
                <w:szCs w:val="20"/>
                <w:lang w:val="es-ES_tradnl"/>
              </w:rPr>
            </w:pPr>
            <w:r w:rsidRPr="00CA0370">
              <w:rPr>
                <w:rFonts w:ascii="Arial" w:hAnsi="Arial" w:cs="Arial"/>
                <w:sz w:val="20"/>
                <w:szCs w:val="20"/>
                <w:lang w:val="es-ES_tradnl"/>
              </w:rPr>
              <w:t>Imputado a ejecución</w:t>
            </w:r>
          </w:p>
        </w:tc>
        <w:tc>
          <w:tcPr>
            <w:tcW w:w="1461" w:type="dxa"/>
          </w:tcPr>
          <w:p w:rsidRPr="00CA0370" w:rsidR="00A710BA" w:rsidP="00A710BA" w:rsidRDefault="00A710BA" w14:paraId="32D7527C" w14:textId="68DA9CC1">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BROU</w:t>
            </w:r>
          </w:p>
        </w:tc>
        <w:tc>
          <w:tcPr>
            <w:tcW w:w="1161" w:type="dxa"/>
          </w:tcPr>
          <w:p w:rsidRPr="00CA0370" w:rsidR="00A710BA" w:rsidP="00A710BA" w:rsidRDefault="00A710BA" w14:paraId="09842482" w14:textId="37FB867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Recursos del prestatario</w:t>
            </w:r>
          </w:p>
        </w:tc>
        <w:tc>
          <w:tcPr>
            <w:tcW w:w="1273" w:type="dxa"/>
          </w:tcPr>
          <w:p w:rsidRPr="00CA0370" w:rsidR="00A710BA" w:rsidP="00A710BA" w:rsidRDefault="00A710BA" w14:paraId="2D795151" w14:textId="47A78E2F">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10.000</w:t>
            </w:r>
          </w:p>
        </w:tc>
      </w:tr>
      <w:tr w:rsidRPr="00CA0370" w:rsidR="00A710BA" w:rsidTr="004F1F45" w14:paraId="247335E0" w14:textId="77777777">
        <w:trPr>
          <w:jc w:val="center"/>
        </w:trPr>
        <w:tc>
          <w:tcPr>
            <w:tcW w:w="1600" w:type="dxa"/>
          </w:tcPr>
          <w:p w:rsidRPr="00CA0370" w:rsidR="00A710BA" w:rsidP="00A710BA" w:rsidRDefault="00A710BA" w14:paraId="7603CB71" w14:textId="3E91A58B">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Informe final</w:t>
            </w:r>
          </w:p>
        </w:tc>
        <w:tc>
          <w:tcPr>
            <w:tcW w:w="328" w:type="dxa"/>
          </w:tcPr>
          <w:p w:rsidRPr="00CA0370" w:rsidR="00A710BA" w:rsidP="00A710BA" w:rsidRDefault="00A710BA" w14:paraId="0AA0A8A4"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0724610"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4AF6AD47"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746251F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7AF01E8A"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68D086D9"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22D21045"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FC6EDF2"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3DA356AC"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3E40E4C5" w14:textId="7777777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962" w:type="dxa"/>
          </w:tcPr>
          <w:p w:rsidRPr="00CA0370" w:rsidR="00A710BA" w:rsidP="00A710BA" w:rsidRDefault="00A710BA" w14:paraId="5A951CB3" w14:textId="77777777">
            <w:pPr>
              <w:pStyle w:val="Paragraph"/>
              <w:numPr>
                <w:ilvl w:val="0"/>
                <w:numId w:val="0"/>
              </w:numPr>
              <w:spacing w:before="0" w:after="0"/>
              <w:ind w:left="-100" w:right="-50"/>
              <w:rPr>
                <w:rFonts w:ascii="Arial" w:hAnsi="Arial" w:cs="Arial"/>
                <w:sz w:val="20"/>
                <w:szCs w:val="20"/>
                <w:lang w:val="es-ES_tradnl"/>
              </w:rPr>
            </w:pPr>
            <w:r w:rsidRPr="00CA0370">
              <w:rPr>
                <w:rFonts w:ascii="Arial" w:hAnsi="Arial" w:cs="Arial"/>
                <w:sz w:val="20"/>
                <w:szCs w:val="20"/>
                <w:lang w:val="es-ES_tradnl"/>
              </w:rPr>
              <w:t>Imputado a ejecución</w:t>
            </w:r>
          </w:p>
        </w:tc>
        <w:tc>
          <w:tcPr>
            <w:tcW w:w="1461" w:type="dxa"/>
          </w:tcPr>
          <w:p w:rsidRPr="00CA0370" w:rsidR="00A710BA" w:rsidP="00A710BA" w:rsidRDefault="00A710BA" w14:paraId="257AF5A4" w14:textId="7777777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BROU</w:t>
            </w:r>
          </w:p>
        </w:tc>
        <w:tc>
          <w:tcPr>
            <w:tcW w:w="1161" w:type="dxa"/>
          </w:tcPr>
          <w:p w:rsidRPr="00CA0370" w:rsidR="00A710BA" w:rsidP="00A710BA" w:rsidRDefault="00A710BA" w14:paraId="792E5CA8" w14:textId="77777777">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Recursos del prestatario</w:t>
            </w:r>
          </w:p>
        </w:tc>
        <w:tc>
          <w:tcPr>
            <w:tcW w:w="1273" w:type="dxa"/>
          </w:tcPr>
          <w:p w:rsidRPr="00CA0370" w:rsidR="00A710BA" w:rsidP="00A710BA" w:rsidRDefault="00A710BA" w14:paraId="02A58F32" w14:textId="0E8332DD">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10.000</w:t>
            </w:r>
          </w:p>
        </w:tc>
      </w:tr>
      <w:tr w:rsidRPr="00CA0370" w:rsidR="00A710BA" w:rsidTr="00A710BA" w14:paraId="6500CB0F" w14:textId="77777777">
        <w:trPr>
          <w:jc w:val="center"/>
        </w:trPr>
        <w:tc>
          <w:tcPr>
            <w:tcW w:w="1600" w:type="dxa"/>
          </w:tcPr>
          <w:p w:rsidRPr="00CA0370" w:rsidR="00A710BA" w:rsidP="00A710BA" w:rsidRDefault="00A710BA" w14:paraId="6394B1F6" w14:textId="0206CA2B">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PCR</w:t>
            </w:r>
          </w:p>
        </w:tc>
        <w:tc>
          <w:tcPr>
            <w:tcW w:w="328" w:type="dxa"/>
          </w:tcPr>
          <w:p w:rsidRPr="00CA0370" w:rsidR="00A710BA" w:rsidP="00A710BA" w:rsidRDefault="00A710BA" w14:paraId="5A7C03C1"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2A8F7B3"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07338026"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DC7D76B"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56A004C1"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53E334A2"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4E67007E"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608AD337" w14:textId="77777777">
            <w:pPr>
              <w:pStyle w:val="Paragraph"/>
              <w:numPr>
                <w:ilvl w:val="0"/>
                <w:numId w:val="0"/>
              </w:numPr>
              <w:spacing w:before="0" w:after="0"/>
              <w:rPr>
                <w:rFonts w:ascii="Arial" w:hAnsi="Arial" w:cs="Arial"/>
                <w:sz w:val="20"/>
                <w:szCs w:val="20"/>
                <w:lang w:val="es-ES_tradnl"/>
              </w:rPr>
            </w:pPr>
          </w:p>
        </w:tc>
        <w:tc>
          <w:tcPr>
            <w:tcW w:w="350" w:type="dxa"/>
          </w:tcPr>
          <w:p w:rsidRPr="00CA0370" w:rsidR="00A710BA" w:rsidP="00A710BA" w:rsidRDefault="00A710BA" w14:paraId="48D5BEF8" w14:textId="77777777">
            <w:pPr>
              <w:pStyle w:val="Paragraph"/>
              <w:numPr>
                <w:ilvl w:val="0"/>
                <w:numId w:val="0"/>
              </w:numPr>
              <w:spacing w:before="0" w:after="0"/>
              <w:rPr>
                <w:rFonts w:ascii="Arial" w:hAnsi="Arial" w:cs="Arial"/>
                <w:sz w:val="20"/>
                <w:szCs w:val="20"/>
                <w:lang w:val="es-ES_tradnl"/>
              </w:rPr>
            </w:pPr>
          </w:p>
        </w:tc>
        <w:tc>
          <w:tcPr>
            <w:tcW w:w="328" w:type="dxa"/>
          </w:tcPr>
          <w:p w:rsidRPr="00CA0370" w:rsidR="00A710BA" w:rsidP="00A710BA" w:rsidRDefault="00A710BA" w14:paraId="4B0C0FB4" w14:textId="598696FB">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x</w:t>
            </w:r>
          </w:p>
        </w:tc>
        <w:tc>
          <w:tcPr>
            <w:tcW w:w="962" w:type="dxa"/>
          </w:tcPr>
          <w:p w:rsidRPr="00CA0370" w:rsidR="00A710BA" w:rsidP="00A710BA" w:rsidRDefault="00A710BA" w14:paraId="28C33D8A" w14:textId="77777777">
            <w:pPr>
              <w:pStyle w:val="Paragraph"/>
              <w:numPr>
                <w:ilvl w:val="0"/>
                <w:numId w:val="0"/>
              </w:numPr>
              <w:spacing w:before="0" w:after="0"/>
              <w:ind w:left="-100" w:right="-50"/>
              <w:rPr>
                <w:rFonts w:ascii="Arial" w:hAnsi="Arial" w:cs="Arial"/>
                <w:sz w:val="20"/>
                <w:szCs w:val="20"/>
                <w:lang w:val="es-ES_tradnl"/>
              </w:rPr>
            </w:pPr>
          </w:p>
        </w:tc>
        <w:tc>
          <w:tcPr>
            <w:tcW w:w="1461" w:type="dxa"/>
          </w:tcPr>
          <w:p w:rsidRPr="00CA0370" w:rsidR="00A710BA" w:rsidP="00A710BA" w:rsidRDefault="00A710BA" w14:paraId="651CA61B" w14:textId="538D7410">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BID/BROU</w:t>
            </w:r>
          </w:p>
        </w:tc>
        <w:tc>
          <w:tcPr>
            <w:tcW w:w="1161" w:type="dxa"/>
          </w:tcPr>
          <w:p w:rsidRPr="00CA0370" w:rsidR="00A710BA" w:rsidP="00A710BA" w:rsidRDefault="00A710BA" w14:paraId="171D44E2" w14:textId="35CFAAC8">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BID/CMF</w:t>
            </w:r>
          </w:p>
        </w:tc>
        <w:tc>
          <w:tcPr>
            <w:tcW w:w="1273" w:type="dxa"/>
          </w:tcPr>
          <w:p w:rsidRPr="00CA0370" w:rsidR="00A710BA" w:rsidP="00A710BA" w:rsidRDefault="00A710BA" w14:paraId="58E85B3B" w14:textId="09BD301D">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15.000</w:t>
            </w:r>
          </w:p>
        </w:tc>
      </w:tr>
      <w:tr w:rsidRPr="00CA0370" w:rsidR="00A710BA" w:rsidTr="00A710BA" w14:paraId="5E3B99E3" w14:textId="77777777">
        <w:trPr>
          <w:trHeight w:val="206"/>
          <w:jc w:val="center"/>
        </w:trPr>
        <w:tc>
          <w:tcPr>
            <w:tcW w:w="8508" w:type="dxa"/>
            <w:gridSpan w:val="14"/>
          </w:tcPr>
          <w:p w:rsidRPr="00CA0370" w:rsidR="00A710BA" w:rsidP="00A710BA" w:rsidRDefault="00A710BA" w14:paraId="72E69B81" w14:textId="5F813978">
            <w:pPr>
              <w:pStyle w:val="Paragraph"/>
              <w:numPr>
                <w:ilvl w:val="0"/>
                <w:numId w:val="0"/>
              </w:numPr>
              <w:spacing w:before="0" w:after="0"/>
              <w:jc w:val="left"/>
              <w:rPr>
                <w:rFonts w:ascii="Arial" w:hAnsi="Arial" w:cs="Arial"/>
                <w:b/>
                <w:sz w:val="20"/>
                <w:szCs w:val="20"/>
                <w:lang w:val="es-ES_tradnl"/>
              </w:rPr>
            </w:pPr>
            <w:r w:rsidRPr="00CA0370">
              <w:rPr>
                <w:rFonts w:ascii="Arial" w:hAnsi="Arial" w:cs="Arial"/>
                <w:b/>
                <w:sz w:val="20"/>
                <w:szCs w:val="20"/>
                <w:lang w:val="es-ES_tradnl"/>
              </w:rPr>
              <w:t>Costo total (US$)</w:t>
            </w:r>
          </w:p>
        </w:tc>
        <w:tc>
          <w:tcPr>
            <w:tcW w:w="1273" w:type="dxa"/>
          </w:tcPr>
          <w:p w:rsidRPr="00CA0370" w:rsidR="00A710BA" w:rsidP="00A710BA" w:rsidRDefault="00A710BA" w14:paraId="13E89F7F" w14:textId="3A0D4421">
            <w:pPr>
              <w:pStyle w:val="Paragraph"/>
              <w:numPr>
                <w:ilvl w:val="0"/>
                <w:numId w:val="0"/>
              </w:numPr>
              <w:spacing w:before="0" w:after="0"/>
              <w:rPr>
                <w:rFonts w:ascii="Arial" w:hAnsi="Arial" w:cs="Arial"/>
                <w:sz w:val="20"/>
                <w:szCs w:val="20"/>
                <w:lang w:val="es-ES_tradnl"/>
              </w:rPr>
            </w:pPr>
            <w:r w:rsidRPr="00CA0370">
              <w:rPr>
                <w:rFonts w:ascii="Arial" w:hAnsi="Arial" w:cs="Arial"/>
                <w:sz w:val="20"/>
                <w:szCs w:val="20"/>
                <w:lang w:val="es-ES_tradnl"/>
              </w:rPr>
              <w:t>70.000</w:t>
            </w:r>
          </w:p>
        </w:tc>
      </w:tr>
    </w:tbl>
    <w:p w:rsidRPr="00CA0370" w:rsidR="008B7284" w:rsidP="008B7284" w:rsidRDefault="008B7284" w14:paraId="6803160D" w14:textId="77777777">
      <w:pPr>
        <w:pStyle w:val="Paragraph"/>
        <w:numPr>
          <w:ilvl w:val="0"/>
          <w:numId w:val="0"/>
        </w:numPr>
        <w:ind w:left="540"/>
        <w:jc w:val="left"/>
        <w:rPr>
          <w:rFonts w:ascii="Arial" w:hAnsi="Arial" w:cs="Arial"/>
          <w:sz w:val="18"/>
          <w:szCs w:val="18"/>
          <w:lang w:val="es-ES_tradnl"/>
        </w:rPr>
      </w:pPr>
      <w:r w:rsidRPr="00CA0370">
        <w:rPr>
          <w:rFonts w:ascii="Arial" w:hAnsi="Arial" w:cs="Arial"/>
          <w:sz w:val="18"/>
          <w:szCs w:val="18"/>
          <w:lang w:val="es-ES_tradnl"/>
        </w:rPr>
        <w:t>Fuente: Elaboración propia.</w:t>
      </w:r>
    </w:p>
    <w:p w:rsidRPr="00CA0370" w:rsidR="00A9384F" w:rsidP="00111825" w:rsidRDefault="0090178B" w14:paraId="2673BC76" w14:textId="455CD187">
      <w:pPr>
        <w:pStyle w:val="Chapter"/>
        <w:spacing w:before="480"/>
        <w:ind w:left="540" w:hanging="540"/>
        <w:rPr>
          <w:rFonts w:ascii="Arial" w:hAnsi="Arial" w:cs="Arial"/>
          <w:sz w:val="22"/>
          <w:lang w:val="es-ES_tradnl"/>
        </w:rPr>
      </w:pPr>
      <w:bookmarkStart w:name="_Toc398652549" w:id="19"/>
      <w:bookmarkStart w:name="_Toc525339850" w:id="20"/>
      <w:r w:rsidRPr="00CA0370">
        <w:rPr>
          <w:rFonts w:ascii="Arial" w:hAnsi="Arial" w:cs="Arial"/>
          <w:sz w:val="22"/>
          <w:lang w:val="es-ES_tradnl"/>
        </w:rPr>
        <w:t xml:space="preserve">Evaluación </w:t>
      </w:r>
      <w:r w:rsidRPr="00CA0370" w:rsidR="002816A4">
        <w:rPr>
          <w:rFonts w:ascii="Arial" w:hAnsi="Arial" w:cs="Arial"/>
          <w:sz w:val="22"/>
          <w:lang w:val="es-ES_tradnl"/>
        </w:rPr>
        <w:t>costo</w:t>
      </w:r>
      <w:r w:rsidRPr="00CA0370" w:rsidR="00317EAA">
        <w:rPr>
          <w:rFonts w:ascii="Arial" w:hAnsi="Arial" w:cs="Arial"/>
          <w:sz w:val="22"/>
          <w:lang w:val="es-ES_tradnl"/>
        </w:rPr>
        <w:t>-beneficio ex post</w:t>
      </w:r>
      <w:bookmarkEnd w:id="19"/>
      <w:bookmarkEnd w:id="20"/>
    </w:p>
    <w:p w:rsidRPr="00CA0370" w:rsidR="00097A58" w:rsidP="004F1F45" w:rsidRDefault="00097A58" w14:paraId="056D18CB" w14:textId="21D81C5B">
      <w:pPr>
        <w:pStyle w:val="Paragraph"/>
        <w:tabs>
          <w:tab w:val="clear" w:pos="2448"/>
        </w:tabs>
        <w:ind w:left="630" w:hanging="540"/>
        <w:rPr>
          <w:rFonts w:ascii="Arial" w:hAnsi="Arial" w:cs="Arial"/>
          <w:sz w:val="22"/>
          <w:lang w:val="es-ES_tradnl"/>
        </w:rPr>
      </w:pPr>
      <w:bookmarkStart w:name="_Ref526860036" w:id="21"/>
      <w:r w:rsidRPr="00CA0370">
        <w:rPr>
          <w:rFonts w:ascii="Arial" w:hAnsi="Arial" w:cs="Arial"/>
          <w:sz w:val="22"/>
          <w:lang w:val="es-ES_tradnl"/>
        </w:rPr>
        <w:t xml:space="preserve">Se contempla la realización de un informe final cuyo objetivo será verificar el avance en el cumplimiento de las metas previstas para cada uno de los resultados esperados y la generación de los productos por componente; Este informe se realizará cuando los desembolsos alcancen al menos un 50% de los recursos del </w:t>
      </w:r>
      <w:r w:rsidRPr="00CA0370" w:rsidR="007E63A6">
        <w:rPr>
          <w:rFonts w:ascii="Arial" w:hAnsi="Arial" w:cs="Arial"/>
          <w:sz w:val="22"/>
          <w:lang w:val="es-ES_tradnl"/>
        </w:rPr>
        <w:t>préstamo. El</w:t>
      </w:r>
      <w:r w:rsidRPr="00CA0370">
        <w:rPr>
          <w:rFonts w:ascii="Arial" w:hAnsi="Arial" w:cs="Arial"/>
          <w:sz w:val="22"/>
          <w:lang w:val="es-ES_tradnl"/>
        </w:rPr>
        <w:t xml:space="preserve"> informe final junto con la evaluación costo beneficio ex</w:t>
      </w:r>
      <w:r w:rsidRPr="00CA0370" w:rsidR="007E63A6">
        <w:rPr>
          <w:rFonts w:ascii="Arial" w:hAnsi="Arial" w:cs="Arial"/>
          <w:sz w:val="22"/>
          <w:lang w:val="es-ES_tradnl"/>
        </w:rPr>
        <w:t xml:space="preserve"> </w:t>
      </w:r>
      <w:r w:rsidRPr="00CA0370">
        <w:rPr>
          <w:rFonts w:ascii="Arial" w:hAnsi="Arial" w:cs="Arial"/>
          <w:sz w:val="22"/>
          <w:lang w:val="es-ES_tradnl"/>
        </w:rPr>
        <w:t xml:space="preserve">post, servirá como insumo para la </w:t>
      </w:r>
      <w:r w:rsidRPr="00CA0370" w:rsidR="007E63A6">
        <w:rPr>
          <w:rFonts w:ascii="Arial" w:hAnsi="Arial" w:cs="Arial"/>
          <w:sz w:val="22"/>
          <w:lang w:val="es-ES_tradnl"/>
        </w:rPr>
        <w:t>elaboración del</w:t>
      </w:r>
      <w:r w:rsidRPr="00CA0370">
        <w:rPr>
          <w:rFonts w:ascii="Arial" w:hAnsi="Arial" w:cs="Arial"/>
          <w:sz w:val="22"/>
          <w:lang w:val="es-ES_tradnl"/>
        </w:rPr>
        <w:t xml:space="preserve"> Informe de Terminación de Proyecto (PCR) una vez los desembolsos hayan sido totalmente justificados. El costo de la elaboración del PCR será financiado con recursos administrativos de CMF.</w:t>
      </w:r>
    </w:p>
    <w:p w:rsidRPr="00CA0370" w:rsidR="003C7D2E" w:rsidP="002F0E15" w:rsidRDefault="00276EEE" w14:paraId="38DBD62C" w14:textId="469A16C3">
      <w:pPr>
        <w:pStyle w:val="Paragraph"/>
        <w:ind w:left="540" w:hanging="540"/>
        <w:rPr>
          <w:rFonts w:ascii="Arial" w:hAnsi="Arial" w:cs="Arial"/>
          <w:sz w:val="22"/>
          <w:lang w:val="es-ES_tradnl"/>
        </w:rPr>
      </w:pPr>
      <w:r w:rsidRPr="00CA0370">
        <w:rPr>
          <w:rFonts w:ascii="Arial" w:hAnsi="Arial" w:cs="Arial"/>
          <w:b/>
          <w:sz w:val="22"/>
          <w:lang w:val="es-ES_tradnl"/>
        </w:rPr>
        <w:t>Justificación</w:t>
      </w:r>
      <w:r w:rsidRPr="00CA0370" w:rsidR="00EC7044">
        <w:rPr>
          <w:rFonts w:ascii="Arial" w:hAnsi="Arial" w:cs="Arial"/>
          <w:b/>
          <w:sz w:val="22"/>
          <w:lang w:val="es-ES_tradnl"/>
        </w:rPr>
        <w:t xml:space="preserve"> de la</w:t>
      </w:r>
      <w:r w:rsidRPr="00CA0370">
        <w:rPr>
          <w:rFonts w:ascii="Arial" w:hAnsi="Arial" w:cs="Arial"/>
          <w:b/>
          <w:sz w:val="22"/>
          <w:lang w:val="es-ES_tradnl"/>
        </w:rPr>
        <w:t xml:space="preserve"> metodología</w:t>
      </w:r>
      <w:r w:rsidRPr="00CA0370" w:rsidR="00097A58">
        <w:rPr>
          <w:rFonts w:ascii="Arial" w:hAnsi="Arial" w:cs="Arial"/>
          <w:b/>
          <w:sz w:val="22"/>
          <w:lang w:val="es-ES_tradnl"/>
        </w:rPr>
        <w:t xml:space="preserve"> costo-beneficio ex</w:t>
      </w:r>
      <w:r w:rsidRPr="00CA0370" w:rsidR="007E63A6">
        <w:rPr>
          <w:rFonts w:ascii="Arial" w:hAnsi="Arial" w:cs="Arial"/>
          <w:b/>
          <w:sz w:val="22"/>
          <w:lang w:val="es-ES_tradnl"/>
        </w:rPr>
        <w:t> </w:t>
      </w:r>
      <w:r w:rsidRPr="00CA0370" w:rsidR="00097A58">
        <w:rPr>
          <w:rFonts w:ascii="Arial" w:hAnsi="Arial" w:cs="Arial"/>
          <w:b/>
          <w:sz w:val="22"/>
          <w:lang w:val="es-ES_tradnl"/>
        </w:rPr>
        <w:t>post</w:t>
      </w:r>
      <w:r w:rsidRPr="00CA0370">
        <w:rPr>
          <w:rFonts w:ascii="Arial" w:hAnsi="Arial" w:cs="Arial"/>
          <w:sz w:val="22"/>
          <w:lang w:val="es-ES_tradnl"/>
        </w:rPr>
        <w:t xml:space="preserve">. </w:t>
      </w:r>
      <w:r w:rsidRPr="00CA0370" w:rsidR="00D461BB">
        <w:rPr>
          <w:rFonts w:ascii="Arial" w:hAnsi="Arial" w:cs="Arial"/>
          <w:sz w:val="22"/>
          <w:lang w:val="es-ES_tradnl"/>
        </w:rPr>
        <w:t xml:space="preserve">Tanto para </w:t>
      </w:r>
      <w:r w:rsidRPr="00CA0370" w:rsidR="00792CF7">
        <w:rPr>
          <w:rFonts w:ascii="Arial" w:hAnsi="Arial" w:cs="Arial"/>
          <w:sz w:val="22"/>
          <w:lang w:val="es-ES_tradnl"/>
        </w:rPr>
        <w:t>el Componente I</w:t>
      </w:r>
      <w:r w:rsidRPr="00CA0370" w:rsidR="00D461BB">
        <w:rPr>
          <w:rFonts w:ascii="Arial" w:hAnsi="Arial" w:cs="Arial"/>
          <w:sz w:val="22"/>
          <w:lang w:val="es-ES_tradnl"/>
        </w:rPr>
        <w:t xml:space="preserve"> (Inversión productiva</w:t>
      </w:r>
      <w:r w:rsidRPr="00CA0370" w:rsidR="0035329C">
        <w:rPr>
          <w:rFonts w:ascii="Arial" w:hAnsi="Arial" w:cs="Arial"/>
          <w:sz w:val="22"/>
          <w:lang w:val="es-ES_tradnl"/>
        </w:rPr>
        <w:t xml:space="preserve"> en el</w:t>
      </w:r>
      <w:r w:rsidRPr="00CA0370" w:rsidR="00D461BB">
        <w:rPr>
          <w:rFonts w:ascii="Arial" w:hAnsi="Arial" w:cs="Arial"/>
          <w:sz w:val="22"/>
          <w:lang w:val="es-ES_tradnl"/>
        </w:rPr>
        <w:t xml:space="preserve"> sector </w:t>
      </w:r>
      <w:r w:rsidRPr="00CA0370" w:rsidR="00D36073">
        <w:rPr>
          <w:rFonts w:ascii="Arial" w:hAnsi="Arial" w:cs="Arial"/>
          <w:sz w:val="22"/>
          <w:lang w:val="es-ES_tradnl"/>
        </w:rPr>
        <w:t>agroindustrial y especialmente agroforestal</w:t>
      </w:r>
      <w:r w:rsidRPr="00CA0370" w:rsidR="00D461BB">
        <w:rPr>
          <w:rFonts w:ascii="Arial" w:hAnsi="Arial" w:cs="Arial"/>
          <w:sz w:val="22"/>
          <w:lang w:val="es-ES_tradnl"/>
        </w:rPr>
        <w:t>) como para el Componente II (Inversión pr</w:t>
      </w:r>
      <w:r w:rsidRPr="00CA0370" w:rsidR="00D36073">
        <w:rPr>
          <w:rFonts w:ascii="Arial" w:hAnsi="Arial" w:cs="Arial"/>
          <w:sz w:val="22"/>
          <w:lang w:val="es-ES_tradnl"/>
        </w:rPr>
        <w:t>oductiva en infraestructura de transporte sobre todo de carreras y ferrocarril</w:t>
      </w:r>
      <w:r w:rsidRPr="00CA0370" w:rsidR="00D461BB">
        <w:rPr>
          <w:rFonts w:ascii="Arial" w:hAnsi="Arial" w:cs="Arial"/>
          <w:sz w:val="22"/>
          <w:lang w:val="es-ES_tradnl"/>
        </w:rPr>
        <w:t xml:space="preserve">) </w:t>
      </w:r>
      <w:r w:rsidRPr="00CA0370" w:rsidR="00792CF7">
        <w:rPr>
          <w:rFonts w:ascii="Arial" w:hAnsi="Arial" w:cs="Arial"/>
          <w:sz w:val="22"/>
          <w:lang w:val="es-ES_tradnl"/>
        </w:rPr>
        <w:t>la</w:t>
      </w:r>
      <w:r w:rsidRPr="00CA0370" w:rsidR="00D461BB">
        <w:rPr>
          <w:rFonts w:ascii="Arial" w:hAnsi="Arial" w:cs="Arial"/>
          <w:sz w:val="22"/>
          <w:lang w:val="es-ES_tradnl"/>
        </w:rPr>
        <w:t>s</w:t>
      </w:r>
      <w:r w:rsidRPr="00CA0370" w:rsidR="00792CF7">
        <w:rPr>
          <w:rFonts w:ascii="Arial" w:hAnsi="Arial" w:cs="Arial"/>
          <w:sz w:val="22"/>
          <w:lang w:val="es-ES_tradnl"/>
        </w:rPr>
        <w:t xml:space="preserve"> </w:t>
      </w:r>
      <w:r w:rsidRPr="00CA0370" w:rsidR="00D461BB">
        <w:rPr>
          <w:rFonts w:ascii="Arial" w:hAnsi="Arial" w:cs="Arial"/>
          <w:sz w:val="22"/>
          <w:lang w:val="es-ES_tradnl"/>
        </w:rPr>
        <w:t>posibilidades</w:t>
      </w:r>
      <w:r w:rsidRPr="00CA0370" w:rsidR="00792CF7">
        <w:rPr>
          <w:rFonts w:ascii="Arial" w:hAnsi="Arial" w:cs="Arial"/>
          <w:sz w:val="22"/>
          <w:lang w:val="es-ES_tradnl"/>
        </w:rPr>
        <w:t xml:space="preserve"> de construir un </w:t>
      </w:r>
      <w:r w:rsidRPr="00CA0370" w:rsidR="00D36073">
        <w:rPr>
          <w:rFonts w:ascii="Arial" w:hAnsi="Arial" w:cs="Arial"/>
          <w:sz w:val="22"/>
          <w:lang w:val="es-ES_tradnl"/>
        </w:rPr>
        <w:t>adecuado contrafactual</w:t>
      </w:r>
      <w:r w:rsidRPr="00CA0370" w:rsidR="00792CF7">
        <w:rPr>
          <w:rFonts w:ascii="Arial" w:hAnsi="Arial" w:cs="Arial"/>
          <w:sz w:val="22"/>
          <w:lang w:val="es-ES_tradnl"/>
        </w:rPr>
        <w:t xml:space="preserve"> </w:t>
      </w:r>
      <w:r w:rsidRPr="00CA0370" w:rsidR="00D461BB">
        <w:rPr>
          <w:rFonts w:ascii="Arial" w:hAnsi="Arial" w:cs="Arial"/>
          <w:sz w:val="22"/>
          <w:lang w:val="es-ES_tradnl"/>
        </w:rPr>
        <w:t>son</w:t>
      </w:r>
      <w:r w:rsidRPr="00CA0370" w:rsidR="00792CF7">
        <w:rPr>
          <w:rFonts w:ascii="Arial" w:hAnsi="Arial" w:cs="Arial"/>
          <w:sz w:val="22"/>
          <w:lang w:val="es-ES_tradnl"/>
        </w:rPr>
        <w:t xml:space="preserve"> limitada</w:t>
      </w:r>
      <w:r w:rsidRPr="00CA0370" w:rsidR="00D461BB">
        <w:rPr>
          <w:rFonts w:ascii="Arial" w:hAnsi="Arial" w:cs="Arial"/>
          <w:sz w:val="22"/>
          <w:lang w:val="es-ES_tradnl"/>
        </w:rPr>
        <w:t>s</w:t>
      </w:r>
      <w:r w:rsidRPr="00CA0370" w:rsidR="00792CF7">
        <w:rPr>
          <w:rFonts w:ascii="Arial" w:hAnsi="Arial" w:cs="Arial"/>
          <w:sz w:val="22"/>
          <w:lang w:val="es-ES_tradnl"/>
        </w:rPr>
        <w:t>,</w:t>
      </w:r>
      <w:r w:rsidRPr="00CA0370" w:rsidR="00D461BB">
        <w:rPr>
          <w:rFonts w:ascii="Arial" w:hAnsi="Arial" w:cs="Arial"/>
          <w:sz w:val="22"/>
          <w:lang w:val="es-ES_tradnl"/>
        </w:rPr>
        <w:t xml:space="preserve"> fundamentalmente</w:t>
      </w:r>
      <w:r w:rsidRPr="00CA0370" w:rsidR="004A283C">
        <w:rPr>
          <w:rFonts w:ascii="Arial" w:hAnsi="Arial" w:cs="Arial"/>
          <w:sz w:val="22"/>
          <w:lang w:val="es-ES_tradnl"/>
        </w:rPr>
        <w:t xml:space="preserve"> por dos razones: (</w:t>
      </w:r>
      <w:r w:rsidRPr="00CA0370" w:rsidR="00DE3A25">
        <w:rPr>
          <w:rFonts w:ascii="Arial" w:hAnsi="Arial" w:cs="Arial"/>
          <w:sz w:val="22"/>
          <w:lang w:val="es-ES_tradnl"/>
        </w:rPr>
        <w:t>i</w:t>
      </w:r>
      <w:r w:rsidRPr="00CA0370" w:rsidR="004A283C">
        <w:rPr>
          <w:rFonts w:ascii="Arial" w:hAnsi="Arial" w:cs="Arial"/>
          <w:sz w:val="22"/>
          <w:lang w:val="es-ES_tradnl"/>
        </w:rPr>
        <w:t>) En primer</w:t>
      </w:r>
      <w:r w:rsidRPr="00CA0370" w:rsidR="00D461BB">
        <w:rPr>
          <w:rFonts w:ascii="Arial" w:hAnsi="Arial" w:cs="Arial"/>
          <w:sz w:val="22"/>
          <w:lang w:val="es-ES_tradnl"/>
        </w:rPr>
        <w:t xml:space="preserve"> lugar,</w:t>
      </w:r>
      <w:r w:rsidRPr="00CA0370" w:rsidR="00792CF7">
        <w:rPr>
          <w:rFonts w:ascii="Arial" w:hAnsi="Arial" w:cs="Arial"/>
          <w:sz w:val="22"/>
          <w:lang w:val="es-ES_tradnl"/>
        </w:rPr>
        <w:t xml:space="preserve"> </w:t>
      </w:r>
      <w:r w:rsidRPr="00CA0370" w:rsidR="004A283C">
        <w:rPr>
          <w:rFonts w:ascii="Arial" w:hAnsi="Arial" w:cs="Arial"/>
          <w:sz w:val="22"/>
          <w:lang w:val="es-ES_tradnl"/>
        </w:rPr>
        <w:t xml:space="preserve">y en lo que respecta al Componente I, </w:t>
      </w:r>
      <w:r w:rsidRPr="00CA0370" w:rsidR="00792CF7">
        <w:rPr>
          <w:rFonts w:ascii="Arial" w:hAnsi="Arial" w:cs="Arial"/>
          <w:sz w:val="22"/>
          <w:lang w:val="es-ES_tradnl"/>
        </w:rPr>
        <w:t>al no contar con información de la situación ex post de los proyectos</w:t>
      </w:r>
      <w:r w:rsidRPr="00CA0370" w:rsidR="00D461BB">
        <w:rPr>
          <w:rFonts w:ascii="Arial" w:hAnsi="Arial" w:cs="Arial"/>
          <w:sz w:val="22"/>
          <w:lang w:val="es-ES_tradnl"/>
        </w:rPr>
        <w:t xml:space="preserve"> de empresas </w:t>
      </w:r>
      <w:r w:rsidRPr="00CA0370" w:rsidR="00D36073">
        <w:rPr>
          <w:rFonts w:ascii="Arial" w:hAnsi="Arial" w:cs="Arial"/>
          <w:sz w:val="22"/>
          <w:lang w:val="es-ES_tradnl"/>
        </w:rPr>
        <w:t>agroforestales</w:t>
      </w:r>
      <w:r w:rsidRPr="00CA0370" w:rsidR="00792CF7">
        <w:rPr>
          <w:rFonts w:ascii="Arial" w:hAnsi="Arial" w:cs="Arial"/>
          <w:sz w:val="22"/>
          <w:lang w:val="es-ES_tradnl"/>
        </w:rPr>
        <w:t xml:space="preserve"> que no fueron beneficiados por el programa (el BROU, dentro de sus limitaciones, puede obtener </w:t>
      </w:r>
      <w:r w:rsidRPr="00CA0370" w:rsidR="00792CF7">
        <w:rPr>
          <w:rFonts w:ascii="Arial" w:hAnsi="Arial" w:cs="Arial"/>
          <w:sz w:val="22"/>
          <w:lang w:val="es-ES_tradnl"/>
        </w:rPr>
        <w:lastRenderedPageBreak/>
        <w:t xml:space="preserve">información de los proyectos elegibles que no recibieron financiamiento, pero a posteriori levantar información sobre </w:t>
      </w:r>
      <w:r w:rsidRPr="00CA0370" w:rsidR="0035329C">
        <w:rPr>
          <w:rFonts w:ascii="Arial" w:hAnsi="Arial" w:cs="Arial"/>
          <w:sz w:val="22"/>
          <w:lang w:val="es-ES_tradnl"/>
        </w:rPr>
        <w:t>lo que</w:t>
      </w:r>
      <w:r w:rsidRPr="00CA0370" w:rsidR="00792CF7">
        <w:rPr>
          <w:rFonts w:ascii="Arial" w:hAnsi="Arial" w:cs="Arial"/>
          <w:sz w:val="22"/>
          <w:lang w:val="es-ES_tradnl"/>
        </w:rPr>
        <w:t xml:space="preserve"> ocurrió con los mismos, cuando no se ha mantenido con ellos una relación crediticia, no es posible sin el apoyo de un proveedor de servicios y una serie de recursos adicionales)</w:t>
      </w:r>
      <w:r w:rsidRPr="00CA0370" w:rsidR="00DE3A25">
        <w:rPr>
          <w:rFonts w:ascii="Arial" w:hAnsi="Arial" w:cs="Arial"/>
          <w:sz w:val="22"/>
          <w:lang w:val="es-ES_tradnl"/>
        </w:rPr>
        <w:t>;</w:t>
      </w:r>
      <w:r w:rsidRPr="00CA0370" w:rsidR="00792CF7">
        <w:rPr>
          <w:rFonts w:ascii="Arial" w:hAnsi="Arial" w:cs="Arial"/>
          <w:sz w:val="22"/>
          <w:lang w:val="es-ES_tradnl"/>
        </w:rPr>
        <w:t xml:space="preserve"> </w:t>
      </w:r>
      <w:r w:rsidRPr="00CA0370" w:rsidR="00D461BB">
        <w:rPr>
          <w:rFonts w:ascii="Arial" w:hAnsi="Arial" w:cs="Arial"/>
          <w:sz w:val="22"/>
          <w:lang w:val="es-ES_tradnl"/>
        </w:rPr>
        <w:t>(</w:t>
      </w:r>
      <w:r w:rsidRPr="00CA0370" w:rsidR="00DE3A25">
        <w:rPr>
          <w:rFonts w:ascii="Arial" w:hAnsi="Arial" w:cs="Arial"/>
          <w:sz w:val="22"/>
          <w:lang w:val="es-ES_tradnl"/>
        </w:rPr>
        <w:t>ii</w:t>
      </w:r>
      <w:r w:rsidRPr="00CA0370" w:rsidR="00D461BB">
        <w:rPr>
          <w:rFonts w:ascii="Arial" w:hAnsi="Arial" w:cs="Arial"/>
          <w:sz w:val="22"/>
          <w:lang w:val="es-ES_tradnl"/>
        </w:rPr>
        <w:t xml:space="preserve">) </w:t>
      </w:r>
      <w:r w:rsidRPr="00CA0370" w:rsidR="00DE3A25">
        <w:rPr>
          <w:rFonts w:ascii="Arial" w:hAnsi="Arial" w:cs="Arial"/>
          <w:sz w:val="22"/>
          <w:lang w:val="es-ES_tradnl"/>
        </w:rPr>
        <w:t>e</w:t>
      </w:r>
      <w:r w:rsidRPr="00CA0370" w:rsidR="004A283C">
        <w:rPr>
          <w:rFonts w:ascii="Arial" w:hAnsi="Arial" w:cs="Arial"/>
          <w:sz w:val="22"/>
          <w:lang w:val="es-ES_tradnl"/>
        </w:rPr>
        <w:t xml:space="preserve">n segundo lugar, y en lo que respecta al Componente II, </w:t>
      </w:r>
      <w:r w:rsidRPr="00CA0370" w:rsidR="00D461BB">
        <w:rPr>
          <w:rFonts w:ascii="Arial" w:hAnsi="Arial" w:cs="Arial"/>
          <w:sz w:val="22"/>
          <w:lang w:val="es-ES_tradnl"/>
        </w:rPr>
        <w:t>d</w:t>
      </w:r>
      <w:r w:rsidRPr="00CA0370">
        <w:rPr>
          <w:rFonts w:ascii="Arial" w:hAnsi="Arial" w:cs="Arial"/>
          <w:sz w:val="22"/>
          <w:lang w:val="es-ES_tradnl"/>
        </w:rPr>
        <w:t>ada</w:t>
      </w:r>
      <w:r w:rsidRPr="00CA0370" w:rsidR="00FC35CA">
        <w:rPr>
          <w:rFonts w:ascii="Arial" w:hAnsi="Arial" w:cs="Arial"/>
          <w:sz w:val="22"/>
          <w:lang w:val="es-ES_tradnl"/>
        </w:rPr>
        <w:t>s</w:t>
      </w:r>
      <w:r w:rsidRPr="00CA0370">
        <w:rPr>
          <w:rFonts w:ascii="Arial" w:hAnsi="Arial" w:cs="Arial"/>
          <w:sz w:val="22"/>
          <w:lang w:val="es-ES_tradnl"/>
        </w:rPr>
        <w:t xml:space="preserve"> las características de</w:t>
      </w:r>
      <w:r w:rsidRPr="00CA0370" w:rsidR="00FC35CA">
        <w:rPr>
          <w:rFonts w:ascii="Arial" w:hAnsi="Arial" w:cs="Arial"/>
          <w:sz w:val="22"/>
          <w:lang w:val="es-ES_tradnl"/>
        </w:rPr>
        <w:t xml:space="preserve"> las inversiones</w:t>
      </w:r>
      <w:r w:rsidRPr="00CA0370" w:rsidR="00D461BB">
        <w:rPr>
          <w:rFonts w:ascii="Arial" w:hAnsi="Arial" w:cs="Arial"/>
          <w:sz w:val="22"/>
          <w:lang w:val="es-ES_tradnl"/>
        </w:rPr>
        <w:t xml:space="preserve"> en infraestructura productiva</w:t>
      </w:r>
      <w:r w:rsidRPr="00CA0370" w:rsidR="00FC35CA">
        <w:rPr>
          <w:rFonts w:ascii="Arial" w:hAnsi="Arial" w:cs="Arial"/>
          <w:sz w:val="22"/>
          <w:lang w:val="es-ES_tradnl"/>
        </w:rPr>
        <w:t xml:space="preserve"> elegibles</w:t>
      </w:r>
      <w:r w:rsidRPr="00CA0370" w:rsidR="008B01F9">
        <w:rPr>
          <w:rFonts w:ascii="Arial" w:hAnsi="Arial" w:cs="Arial"/>
          <w:sz w:val="22"/>
          <w:lang w:val="es-ES_tradnl"/>
        </w:rPr>
        <w:t xml:space="preserve"> (infraestructura </w:t>
      </w:r>
      <w:r w:rsidRPr="00CA0370" w:rsidR="00D36073">
        <w:rPr>
          <w:rFonts w:ascii="Arial" w:hAnsi="Arial" w:cs="Arial"/>
          <w:sz w:val="22"/>
          <w:lang w:val="es-ES_tradnl"/>
        </w:rPr>
        <w:t xml:space="preserve">de transporte (carreteras, ferrocarril, </w:t>
      </w:r>
      <w:r w:rsidRPr="00CA0370" w:rsidR="007E63A6">
        <w:rPr>
          <w:rFonts w:ascii="Arial" w:hAnsi="Arial" w:cs="Arial"/>
          <w:sz w:val="22"/>
          <w:lang w:val="es-ES_tradnl"/>
        </w:rPr>
        <w:t>etc.</w:t>
      </w:r>
      <w:r w:rsidRPr="00CA0370" w:rsidR="008B01F9">
        <w:rPr>
          <w:rFonts w:ascii="Arial" w:hAnsi="Arial" w:cs="Arial"/>
          <w:sz w:val="22"/>
          <w:lang w:val="es-ES_tradnl"/>
        </w:rPr>
        <w:t xml:space="preserve">) </w:t>
      </w:r>
      <w:r w:rsidRPr="00CA0370" w:rsidR="003D6CE3">
        <w:rPr>
          <w:rFonts w:ascii="Arial" w:hAnsi="Arial" w:cs="Arial"/>
          <w:sz w:val="22"/>
          <w:lang w:val="es-ES_tradnl"/>
        </w:rPr>
        <w:t xml:space="preserve">entre distintas </w:t>
      </w:r>
      <w:r w:rsidRPr="00CA0370" w:rsidR="003A38E6">
        <w:rPr>
          <w:rFonts w:ascii="Arial" w:hAnsi="Arial" w:cs="Arial"/>
          <w:sz w:val="22"/>
          <w:lang w:val="es-ES_tradnl"/>
        </w:rPr>
        <w:t>PPP</w:t>
      </w:r>
      <w:r w:rsidRPr="00CA0370" w:rsidR="00D461BB">
        <w:rPr>
          <w:rFonts w:ascii="Arial" w:hAnsi="Arial" w:cs="Arial"/>
          <w:sz w:val="22"/>
          <w:lang w:val="es-ES_tradnl"/>
        </w:rPr>
        <w:t xml:space="preserve">, donde </w:t>
      </w:r>
      <w:r w:rsidRPr="00CA0370" w:rsidR="008B01F9">
        <w:rPr>
          <w:rFonts w:ascii="Arial" w:hAnsi="Arial" w:cs="Arial"/>
          <w:sz w:val="22"/>
          <w:lang w:val="es-ES_tradnl"/>
        </w:rPr>
        <w:t>el número de proyectos es</w:t>
      </w:r>
      <w:r w:rsidRPr="00CA0370" w:rsidR="00FC35CA">
        <w:rPr>
          <w:rFonts w:ascii="Arial" w:hAnsi="Arial" w:cs="Arial"/>
          <w:sz w:val="22"/>
          <w:lang w:val="es-ES_tradnl"/>
        </w:rPr>
        <w:t xml:space="preserve"> </w:t>
      </w:r>
      <w:r w:rsidRPr="00CA0370" w:rsidR="008B01F9">
        <w:rPr>
          <w:rFonts w:ascii="Arial" w:hAnsi="Arial" w:cs="Arial"/>
          <w:sz w:val="22"/>
          <w:lang w:val="es-ES_tradnl"/>
        </w:rPr>
        <w:t>muy bajo</w:t>
      </w:r>
      <w:r w:rsidRPr="00CA0370" w:rsidR="00D461BB">
        <w:rPr>
          <w:rFonts w:ascii="Arial" w:hAnsi="Arial" w:cs="Arial"/>
          <w:sz w:val="22"/>
          <w:lang w:val="es-ES_tradnl"/>
        </w:rPr>
        <w:t xml:space="preserve">, es difícil </w:t>
      </w:r>
      <w:r w:rsidRPr="00CA0370" w:rsidR="003F5072">
        <w:rPr>
          <w:rFonts w:ascii="Arial" w:hAnsi="Arial" w:cs="Arial"/>
          <w:sz w:val="22"/>
          <w:lang w:val="es-ES_tradnl"/>
        </w:rPr>
        <w:t>metodológicamente establecer una situación contrafactual basada en métodos experimentales o cuasi</w:t>
      </w:r>
      <w:r w:rsidRPr="00CA0370" w:rsidR="00DE3A25">
        <w:rPr>
          <w:rFonts w:ascii="Arial" w:hAnsi="Arial" w:cs="Arial"/>
          <w:sz w:val="22"/>
          <w:lang w:val="es-ES_tradnl"/>
        </w:rPr>
        <w:t>˗</w:t>
      </w:r>
      <w:r w:rsidRPr="00CA0370" w:rsidR="003F5072">
        <w:rPr>
          <w:rFonts w:ascii="Arial" w:hAnsi="Arial" w:cs="Arial"/>
          <w:sz w:val="22"/>
          <w:lang w:val="es-ES_tradnl"/>
        </w:rPr>
        <w:t>experimentales</w:t>
      </w:r>
      <w:r w:rsidRPr="00CA0370" w:rsidR="00D461BB">
        <w:rPr>
          <w:rFonts w:ascii="Arial" w:hAnsi="Arial" w:cs="Arial"/>
          <w:sz w:val="22"/>
          <w:lang w:val="es-ES_tradnl"/>
        </w:rPr>
        <w:t xml:space="preserve"> con el suficiente poder estadístico para detectar efectos (estos tendrían que ser de magnitudes muy elevadas y además </w:t>
      </w:r>
      <w:r w:rsidRPr="00CA0370" w:rsidR="004A283C">
        <w:rPr>
          <w:rFonts w:ascii="Arial" w:hAnsi="Arial" w:cs="Arial"/>
          <w:sz w:val="22"/>
          <w:lang w:val="es-ES_tradnl"/>
        </w:rPr>
        <w:t>tener lugar en fases muy tempranas de la implementación dado el periodo de ejecución del proyecto)</w:t>
      </w:r>
      <w:r w:rsidRPr="00CA0370" w:rsidR="00D461BB">
        <w:rPr>
          <w:rFonts w:ascii="Arial" w:hAnsi="Arial" w:cs="Arial"/>
          <w:sz w:val="22"/>
          <w:lang w:val="es-ES_tradnl"/>
        </w:rPr>
        <w:t>.</w:t>
      </w:r>
      <w:bookmarkEnd w:id="21"/>
      <w:r w:rsidRPr="00CA0370" w:rsidR="00D461BB">
        <w:rPr>
          <w:rFonts w:ascii="Arial" w:hAnsi="Arial" w:cs="Arial"/>
          <w:sz w:val="22"/>
          <w:lang w:val="es-ES_tradnl"/>
        </w:rPr>
        <w:t xml:space="preserve"> </w:t>
      </w:r>
    </w:p>
    <w:p w:rsidRPr="00CA0370" w:rsidR="003C7D2E" w:rsidP="003C7D2E" w:rsidRDefault="0004619A" w14:paraId="2FFB77E7" w14:textId="323A5050">
      <w:pPr>
        <w:pStyle w:val="Paragraph"/>
        <w:ind w:left="540" w:hanging="540"/>
        <w:rPr>
          <w:rFonts w:ascii="Arial" w:hAnsi="Arial" w:cs="Arial"/>
          <w:sz w:val="22"/>
          <w:lang w:val="es-ES_tradnl"/>
        </w:rPr>
      </w:pPr>
      <w:bookmarkStart w:name="_Ref526860059" w:id="22"/>
      <w:r w:rsidRPr="00CA0370">
        <w:rPr>
          <w:rFonts w:ascii="Arial" w:hAnsi="Arial" w:cs="Arial"/>
          <w:sz w:val="22"/>
          <w:lang w:val="es-ES_tradnl"/>
        </w:rPr>
        <w:t>Si es c</w:t>
      </w:r>
      <w:r w:rsidRPr="00CA0370" w:rsidR="00024128">
        <w:rPr>
          <w:rFonts w:ascii="Arial" w:hAnsi="Arial" w:cs="Arial"/>
          <w:sz w:val="22"/>
          <w:lang w:val="es-ES_tradnl"/>
        </w:rPr>
        <w:t>ierto que</w:t>
      </w:r>
      <w:r w:rsidRPr="00CA0370" w:rsidR="006B2DB3">
        <w:rPr>
          <w:rFonts w:ascii="Arial" w:hAnsi="Arial" w:cs="Arial"/>
          <w:sz w:val="22"/>
          <w:lang w:val="es-ES_tradnl"/>
        </w:rPr>
        <w:t xml:space="preserve"> para proyectos que involucran acciones similares,</w:t>
      </w:r>
      <w:r w:rsidRPr="00CA0370" w:rsidR="00024128">
        <w:rPr>
          <w:rFonts w:ascii="Arial" w:hAnsi="Arial" w:cs="Arial"/>
          <w:sz w:val="22"/>
          <w:lang w:val="es-ES_tradnl"/>
        </w:rPr>
        <w:t xml:space="preserve"> recientemente se han desarrollado estrategias para</w:t>
      </w:r>
      <w:r w:rsidRPr="00CA0370" w:rsidR="006B2DB3">
        <w:rPr>
          <w:rFonts w:ascii="Arial" w:hAnsi="Arial" w:cs="Arial"/>
          <w:sz w:val="22"/>
          <w:lang w:val="es-ES_tradnl"/>
        </w:rPr>
        <w:t xml:space="preserve"> intentar dar respuesta a preguntas como: (</w:t>
      </w:r>
      <w:r w:rsidRPr="00CA0370" w:rsidR="00EE6D04">
        <w:rPr>
          <w:rFonts w:ascii="Arial" w:hAnsi="Arial" w:cs="Arial"/>
          <w:sz w:val="22"/>
          <w:lang w:val="es-ES_tradnl"/>
        </w:rPr>
        <w:t>i</w:t>
      </w:r>
      <w:r w:rsidRPr="00CA0370" w:rsidR="006B2DB3">
        <w:rPr>
          <w:rFonts w:ascii="Arial" w:hAnsi="Arial" w:cs="Arial"/>
          <w:sz w:val="22"/>
          <w:lang w:val="es-ES_tradnl"/>
        </w:rPr>
        <w:t xml:space="preserve">) </w:t>
      </w:r>
      <w:r w:rsidRPr="00CA0370" w:rsidR="0035329C">
        <w:rPr>
          <w:rFonts w:ascii="Arial" w:hAnsi="Arial" w:cs="Arial"/>
          <w:sz w:val="22"/>
          <w:lang w:val="es-ES_tradnl"/>
        </w:rPr>
        <w:t>¿</w:t>
      </w:r>
      <w:r w:rsidRPr="00CA0370" w:rsidR="00EE6D04">
        <w:rPr>
          <w:rFonts w:ascii="Arial" w:hAnsi="Arial" w:cs="Arial"/>
          <w:sz w:val="22"/>
          <w:lang w:val="es-ES_tradnl"/>
        </w:rPr>
        <w:t>c</w:t>
      </w:r>
      <w:r w:rsidRPr="00CA0370" w:rsidR="0035329C">
        <w:rPr>
          <w:rFonts w:ascii="Arial" w:hAnsi="Arial" w:cs="Arial"/>
          <w:sz w:val="22"/>
          <w:lang w:val="es-ES_tradnl"/>
        </w:rPr>
        <w:t>uál es el impacto del p</w:t>
      </w:r>
      <w:r w:rsidRPr="00CA0370" w:rsidR="003C7D2E">
        <w:rPr>
          <w:rFonts w:ascii="Arial" w:hAnsi="Arial" w:cs="Arial"/>
          <w:sz w:val="22"/>
          <w:lang w:val="es-ES_tradnl"/>
        </w:rPr>
        <w:t xml:space="preserve">rograma en la actividad económica general </w:t>
      </w:r>
      <w:r w:rsidRPr="00CA0370" w:rsidR="006B2DB3">
        <w:rPr>
          <w:rFonts w:ascii="Arial" w:hAnsi="Arial" w:cs="Arial"/>
          <w:sz w:val="22"/>
          <w:lang w:val="es-ES_tradnl"/>
        </w:rPr>
        <w:t>del área intervenida</w:t>
      </w:r>
      <w:r w:rsidRPr="00CA0370" w:rsidR="003C7D2E">
        <w:rPr>
          <w:rFonts w:ascii="Arial" w:hAnsi="Arial" w:cs="Arial"/>
          <w:sz w:val="22"/>
          <w:lang w:val="es-ES_tradnl"/>
        </w:rPr>
        <w:t>?</w:t>
      </w:r>
      <w:r w:rsidRPr="00CA0370" w:rsidR="00EE6D04">
        <w:rPr>
          <w:rFonts w:ascii="Arial" w:hAnsi="Arial" w:cs="Arial"/>
          <w:sz w:val="22"/>
          <w:lang w:val="es-ES_tradnl"/>
        </w:rPr>
        <w:t>;</w:t>
      </w:r>
      <w:r w:rsidRPr="00CA0370" w:rsidR="006B2DB3">
        <w:rPr>
          <w:rFonts w:ascii="Arial" w:hAnsi="Arial" w:cs="Arial"/>
          <w:sz w:val="22"/>
          <w:lang w:val="es-ES_tradnl"/>
        </w:rPr>
        <w:t xml:space="preserve"> (</w:t>
      </w:r>
      <w:r w:rsidRPr="00CA0370" w:rsidR="00EE6D04">
        <w:rPr>
          <w:rFonts w:ascii="Arial" w:hAnsi="Arial" w:cs="Arial"/>
          <w:sz w:val="22"/>
          <w:lang w:val="es-ES_tradnl"/>
        </w:rPr>
        <w:t>ii</w:t>
      </w:r>
      <w:r w:rsidRPr="00CA0370" w:rsidR="006B2DB3">
        <w:rPr>
          <w:rFonts w:ascii="Arial" w:hAnsi="Arial" w:cs="Arial"/>
          <w:sz w:val="22"/>
          <w:lang w:val="es-ES_tradnl"/>
        </w:rPr>
        <w:t xml:space="preserve">) </w:t>
      </w:r>
      <w:r w:rsidRPr="00CA0370" w:rsidR="003C7D2E">
        <w:rPr>
          <w:rFonts w:ascii="Arial" w:hAnsi="Arial" w:cs="Arial"/>
          <w:sz w:val="22"/>
          <w:lang w:val="es-ES_tradnl"/>
        </w:rPr>
        <w:t>¿Cuál es el impacto en las actividades productivas de la</w:t>
      </w:r>
      <w:r w:rsidRPr="00CA0370" w:rsidR="00A61CFB">
        <w:rPr>
          <w:rFonts w:ascii="Arial" w:hAnsi="Arial" w:cs="Arial"/>
          <w:sz w:val="22"/>
          <w:lang w:val="es-ES_tradnl"/>
        </w:rPr>
        <w:t xml:space="preserve"> zona de influencia de la infraestructura de transporte</w:t>
      </w:r>
      <w:r w:rsidRPr="00CA0370" w:rsidR="003C7D2E">
        <w:rPr>
          <w:rFonts w:ascii="Arial" w:hAnsi="Arial" w:cs="Arial"/>
          <w:sz w:val="22"/>
          <w:lang w:val="es-ES_tradnl"/>
        </w:rPr>
        <w:t>?</w:t>
      </w:r>
      <w:r w:rsidRPr="00CA0370" w:rsidR="00EE6D04">
        <w:rPr>
          <w:rFonts w:ascii="Arial" w:hAnsi="Arial" w:cs="Arial"/>
          <w:sz w:val="22"/>
          <w:lang w:val="es-ES_tradnl"/>
        </w:rPr>
        <w:t>;</w:t>
      </w:r>
      <w:r w:rsidRPr="00CA0370" w:rsidR="006B2DB3">
        <w:rPr>
          <w:rFonts w:ascii="Arial" w:hAnsi="Arial" w:cs="Arial"/>
          <w:sz w:val="22"/>
          <w:lang w:val="es-ES_tradnl"/>
        </w:rPr>
        <w:t xml:space="preserve"> o (</w:t>
      </w:r>
      <w:r w:rsidRPr="00CA0370" w:rsidR="00EE6D04">
        <w:rPr>
          <w:rFonts w:ascii="Arial" w:hAnsi="Arial" w:cs="Arial"/>
          <w:sz w:val="22"/>
          <w:lang w:val="es-ES_tradnl"/>
        </w:rPr>
        <w:t>iii</w:t>
      </w:r>
      <w:r w:rsidRPr="00CA0370" w:rsidR="006B2DB3">
        <w:rPr>
          <w:rFonts w:ascii="Arial" w:hAnsi="Arial" w:cs="Arial"/>
          <w:sz w:val="22"/>
          <w:lang w:val="es-ES_tradnl"/>
        </w:rPr>
        <w:t>) ¿Cuál es el impacto del p</w:t>
      </w:r>
      <w:r w:rsidRPr="00CA0370" w:rsidR="003C7D2E">
        <w:rPr>
          <w:rFonts w:ascii="Arial" w:hAnsi="Arial" w:cs="Arial"/>
          <w:sz w:val="22"/>
          <w:lang w:val="es-ES_tradnl"/>
        </w:rPr>
        <w:t>rograma en el incremento de la movilidad de</w:t>
      </w:r>
      <w:r w:rsidRPr="00CA0370" w:rsidR="006B2DB3">
        <w:rPr>
          <w:rFonts w:ascii="Arial" w:hAnsi="Arial" w:cs="Arial"/>
          <w:sz w:val="22"/>
          <w:lang w:val="es-ES_tradnl"/>
        </w:rPr>
        <w:t xml:space="preserve"> los beneficiarios del programa? </w:t>
      </w:r>
      <w:r w:rsidRPr="00CA0370" w:rsidR="003C7D2E">
        <w:rPr>
          <w:rFonts w:ascii="Arial" w:hAnsi="Arial" w:cs="Arial"/>
          <w:sz w:val="22"/>
          <w:lang w:val="es-ES_tradnl"/>
        </w:rPr>
        <w:t xml:space="preserve">La primera pregunta de evaluación se </w:t>
      </w:r>
      <w:r w:rsidRPr="00CA0370" w:rsidR="0035329C">
        <w:rPr>
          <w:rFonts w:ascii="Arial" w:hAnsi="Arial" w:cs="Arial"/>
          <w:sz w:val="22"/>
          <w:lang w:val="es-ES_tradnl"/>
        </w:rPr>
        <w:t>enfocaría</w:t>
      </w:r>
      <w:r w:rsidRPr="00CA0370" w:rsidR="006B2DB3">
        <w:rPr>
          <w:rFonts w:ascii="Arial" w:hAnsi="Arial" w:cs="Arial"/>
          <w:sz w:val="22"/>
          <w:lang w:val="es-ES_tradnl"/>
        </w:rPr>
        <w:t xml:space="preserve"> </w:t>
      </w:r>
      <w:r w:rsidRPr="00CA0370" w:rsidR="003C7D2E">
        <w:rPr>
          <w:rFonts w:ascii="Arial" w:hAnsi="Arial" w:cs="Arial"/>
          <w:sz w:val="22"/>
          <w:lang w:val="es-ES_tradnl"/>
        </w:rPr>
        <w:t xml:space="preserve">en la medición de un indicador de impacto general </w:t>
      </w:r>
      <w:r w:rsidRPr="00CA0370" w:rsidR="006B2DB3">
        <w:rPr>
          <w:rFonts w:ascii="Arial" w:hAnsi="Arial" w:cs="Arial"/>
          <w:sz w:val="22"/>
          <w:lang w:val="es-ES_tradnl"/>
        </w:rPr>
        <w:t>d</w:t>
      </w:r>
      <w:r w:rsidRPr="00CA0370" w:rsidR="003C7D2E">
        <w:rPr>
          <w:rFonts w:ascii="Arial" w:hAnsi="Arial" w:cs="Arial"/>
          <w:sz w:val="22"/>
          <w:lang w:val="es-ES_tradnl"/>
        </w:rPr>
        <w:t>el aumento de la actividad económica general en la región producto de la mejora del corredor</w:t>
      </w:r>
      <w:r w:rsidRPr="00CA0370" w:rsidR="006B2DB3">
        <w:rPr>
          <w:rFonts w:ascii="Arial" w:hAnsi="Arial" w:cs="Arial"/>
          <w:sz w:val="22"/>
          <w:lang w:val="es-ES_tradnl"/>
        </w:rPr>
        <w:t xml:space="preserve"> vial intervenido</w:t>
      </w:r>
      <w:r w:rsidRPr="00CA0370" w:rsidR="003C7D2E">
        <w:rPr>
          <w:rFonts w:ascii="Arial" w:hAnsi="Arial" w:cs="Arial"/>
          <w:sz w:val="22"/>
          <w:lang w:val="es-ES_tradnl"/>
        </w:rPr>
        <w:t>. Se considera que un corredor en mejores condiciones permitirá una apertura a nuevos mercados, un aumento de la producción agro</w:t>
      </w:r>
      <w:r w:rsidRPr="00CA0370" w:rsidR="00A61CFB">
        <w:rPr>
          <w:rFonts w:ascii="Arial" w:hAnsi="Arial" w:cs="Arial"/>
          <w:sz w:val="22"/>
          <w:lang w:val="es-ES_tradnl"/>
        </w:rPr>
        <w:t>industrial</w:t>
      </w:r>
      <w:r w:rsidRPr="00CA0370" w:rsidR="003C7D2E">
        <w:rPr>
          <w:rFonts w:ascii="Arial" w:hAnsi="Arial" w:cs="Arial"/>
          <w:sz w:val="22"/>
          <w:lang w:val="es-ES_tradnl"/>
        </w:rPr>
        <w:t xml:space="preserve">, </w:t>
      </w:r>
      <w:r w:rsidRPr="00CA0370" w:rsidR="006B2DB3">
        <w:rPr>
          <w:rFonts w:ascii="Arial" w:hAnsi="Arial" w:cs="Arial"/>
          <w:sz w:val="22"/>
          <w:lang w:val="es-ES_tradnl"/>
        </w:rPr>
        <w:t>así como un mayor</w:t>
      </w:r>
      <w:r w:rsidRPr="00CA0370" w:rsidR="003C7D2E">
        <w:rPr>
          <w:rFonts w:ascii="Arial" w:hAnsi="Arial" w:cs="Arial"/>
          <w:sz w:val="22"/>
          <w:lang w:val="es-ES_tradnl"/>
        </w:rPr>
        <w:t xml:space="preserve"> acceso a los centros turísticos de la zona</w:t>
      </w:r>
      <w:r w:rsidRPr="00CA0370" w:rsidR="006B2DB3">
        <w:rPr>
          <w:rStyle w:val="FootnoteReference"/>
          <w:rFonts w:ascii="Arial" w:hAnsi="Arial" w:cs="Arial"/>
          <w:sz w:val="22"/>
          <w:lang w:val="es-ES_tradnl"/>
        </w:rPr>
        <w:footnoteReference w:id="14"/>
      </w:r>
      <w:r w:rsidRPr="00CA0370" w:rsidR="003C7D2E">
        <w:rPr>
          <w:rFonts w:ascii="Arial" w:hAnsi="Arial" w:cs="Arial"/>
          <w:sz w:val="22"/>
          <w:lang w:val="es-ES_tradnl"/>
        </w:rPr>
        <w:t xml:space="preserve">. </w:t>
      </w:r>
      <w:r w:rsidRPr="00CA0370" w:rsidR="00832CEF">
        <w:rPr>
          <w:rFonts w:ascii="Arial" w:hAnsi="Arial" w:cs="Arial"/>
          <w:sz w:val="22"/>
          <w:lang w:val="es-ES_tradnl"/>
        </w:rPr>
        <w:t xml:space="preserve">Esta primera </w:t>
      </w:r>
      <w:r w:rsidRPr="00CA0370" w:rsidR="00200EED">
        <w:rPr>
          <w:rFonts w:ascii="Arial" w:hAnsi="Arial" w:cs="Arial"/>
          <w:sz w:val="22"/>
          <w:lang w:val="es-ES_tradnl"/>
        </w:rPr>
        <w:t xml:space="preserve">pregunta de evaluación </w:t>
      </w:r>
      <w:r w:rsidRPr="00CA0370" w:rsidR="00832CEF">
        <w:rPr>
          <w:rFonts w:ascii="Arial" w:hAnsi="Arial" w:cs="Arial"/>
          <w:sz w:val="22"/>
          <w:lang w:val="es-ES_tradnl"/>
        </w:rPr>
        <w:t xml:space="preserve">se basa en la hipótesis de que </w:t>
      </w:r>
      <w:r w:rsidRPr="00CA0370" w:rsidR="003C7D2E">
        <w:rPr>
          <w:rFonts w:ascii="Arial" w:hAnsi="Arial" w:cs="Arial"/>
          <w:sz w:val="22"/>
          <w:lang w:val="es-ES_tradnl"/>
        </w:rPr>
        <w:t xml:space="preserve">el acceso a </w:t>
      </w:r>
      <w:r w:rsidRPr="00CA0370" w:rsidR="00832CEF">
        <w:rPr>
          <w:rFonts w:ascii="Arial" w:hAnsi="Arial" w:cs="Arial"/>
          <w:sz w:val="22"/>
          <w:lang w:val="es-ES_tradnl"/>
        </w:rPr>
        <w:t xml:space="preserve">nuevas </w:t>
      </w:r>
      <w:r w:rsidRPr="00CA0370" w:rsidR="00A61CFB">
        <w:rPr>
          <w:rFonts w:ascii="Arial" w:hAnsi="Arial" w:cs="Arial"/>
          <w:sz w:val="22"/>
          <w:lang w:val="es-ES_tradnl"/>
        </w:rPr>
        <w:t>infraestructuras de transporte</w:t>
      </w:r>
      <w:r w:rsidRPr="00CA0370" w:rsidR="00832CEF">
        <w:rPr>
          <w:rFonts w:ascii="Arial" w:hAnsi="Arial" w:cs="Arial"/>
          <w:sz w:val="22"/>
          <w:lang w:val="es-ES_tradnl"/>
        </w:rPr>
        <w:t xml:space="preserve"> o </w:t>
      </w:r>
      <w:r w:rsidRPr="00CA0370" w:rsidR="00A61CFB">
        <w:rPr>
          <w:rFonts w:ascii="Arial" w:hAnsi="Arial" w:cs="Arial"/>
          <w:sz w:val="22"/>
          <w:lang w:val="es-ES_tradnl"/>
        </w:rPr>
        <w:t>infraestructuras</w:t>
      </w:r>
      <w:r w:rsidRPr="00CA0370" w:rsidR="00832CEF">
        <w:rPr>
          <w:rFonts w:ascii="Arial" w:hAnsi="Arial" w:cs="Arial"/>
          <w:sz w:val="22"/>
          <w:lang w:val="es-ES_tradnl"/>
        </w:rPr>
        <w:t xml:space="preserve"> mejoradas</w:t>
      </w:r>
      <w:r w:rsidRPr="00CA0370" w:rsidR="003C7D2E">
        <w:rPr>
          <w:rFonts w:ascii="Arial" w:hAnsi="Arial" w:cs="Arial"/>
          <w:sz w:val="22"/>
          <w:lang w:val="es-ES_tradnl"/>
        </w:rPr>
        <w:t xml:space="preserve"> podría dinamizar la prod</w:t>
      </w:r>
      <w:r w:rsidRPr="00CA0370" w:rsidR="00832CEF">
        <w:rPr>
          <w:rFonts w:ascii="Arial" w:hAnsi="Arial" w:cs="Arial"/>
          <w:sz w:val="22"/>
          <w:lang w:val="es-ES_tradnl"/>
        </w:rPr>
        <w:t>ucción y</w:t>
      </w:r>
      <w:r w:rsidRPr="00CA0370" w:rsidR="0035329C">
        <w:rPr>
          <w:rFonts w:ascii="Arial" w:hAnsi="Arial" w:cs="Arial"/>
          <w:sz w:val="22"/>
          <w:lang w:val="es-ES_tradnl"/>
        </w:rPr>
        <w:t xml:space="preserve"> el acceso a mercados.</w:t>
      </w:r>
      <w:r w:rsidRPr="00CA0370" w:rsidR="00832CEF">
        <w:rPr>
          <w:rFonts w:ascii="Arial" w:hAnsi="Arial" w:cs="Arial"/>
          <w:sz w:val="22"/>
          <w:lang w:val="es-ES_tradnl"/>
        </w:rPr>
        <w:t xml:space="preserve"> L</w:t>
      </w:r>
      <w:r w:rsidRPr="00CA0370" w:rsidR="003C7D2E">
        <w:rPr>
          <w:rFonts w:ascii="Arial" w:hAnsi="Arial" w:cs="Arial"/>
          <w:sz w:val="22"/>
          <w:lang w:val="es-ES_tradnl"/>
        </w:rPr>
        <w:t>a segu</w:t>
      </w:r>
      <w:r w:rsidRPr="00CA0370" w:rsidR="0035329C">
        <w:rPr>
          <w:rFonts w:ascii="Arial" w:hAnsi="Arial" w:cs="Arial"/>
          <w:sz w:val="22"/>
          <w:lang w:val="es-ES_tradnl"/>
        </w:rPr>
        <w:t>nda pregunta de evaluación tendría</w:t>
      </w:r>
      <w:r w:rsidRPr="00CA0370" w:rsidR="003C7D2E">
        <w:rPr>
          <w:rFonts w:ascii="Arial" w:hAnsi="Arial" w:cs="Arial"/>
          <w:sz w:val="22"/>
          <w:lang w:val="es-ES_tradnl"/>
        </w:rPr>
        <w:t xml:space="preserve"> por objetivo medir el impacto de la mejora </w:t>
      </w:r>
      <w:r w:rsidRPr="00CA0370" w:rsidR="00A61CFB">
        <w:rPr>
          <w:rFonts w:ascii="Arial" w:hAnsi="Arial" w:cs="Arial"/>
          <w:sz w:val="22"/>
          <w:lang w:val="es-ES_tradnl"/>
        </w:rPr>
        <w:t>de la infraestructura vial</w:t>
      </w:r>
      <w:r w:rsidRPr="00CA0370" w:rsidR="003C7D2E">
        <w:rPr>
          <w:rFonts w:ascii="Arial" w:hAnsi="Arial" w:cs="Arial"/>
          <w:sz w:val="22"/>
          <w:lang w:val="es-ES_tradnl"/>
        </w:rPr>
        <w:t xml:space="preserve"> en las actividades produ</w:t>
      </w:r>
      <w:r w:rsidRPr="00CA0370" w:rsidR="00832CEF">
        <w:rPr>
          <w:rFonts w:ascii="Arial" w:hAnsi="Arial" w:cs="Arial"/>
          <w:sz w:val="22"/>
          <w:lang w:val="es-ES_tradnl"/>
        </w:rPr>
        <w:t>ctivas de la zona de influencia</w:t>
      </w:r>
      <w:r w:rsidRPr="00CA0370" w:rsidR="003C7D2E">
        <w:rPr>
          <w:rFonts w:ascii="Arial" w:hAnsi="Arial" w:cs="Arial"/>
          <w:sz w:val="22"/>
          <w:lang w:val="es-ES_tradnl"/>
        </w:rPr>
        <w:t xml:space="preserve"> a partir de la utilización de datos satelitales. La aparición de sensores satelitales que pueden observar de manera periódica un gran número de productores individuales aumenta las posibilidades de monitorear y comprender la productividad </w:t>
      </w:r>
      <w:r w:rsidRPr="00CA0370" w:rsidR="00A61CFB">
        <w:rPr>
          <w:rFonts w:ascii="Arial" w:hAnsi="Arial" w:cs="Arial"/>
          <w:sz w:val="22"/>
          <w:lang w:val="es-ES_tradnl"/>
        </w:rPr>
        <w:t>agroindustrial</w:t>
      </w:r>
      <w:r w:rsidRPr="00CA0370" w:rsidR="003C7D2E">
        <w:rPr>
          <w:rFonts w:ascii="Arial" w:hAnsi="Arial" w:cs="Arial"/>
          <w:sz w:val="22"/>
          <w:lang w:val="es-ES_tradnl"/>
        </w:rPr>
        <w:t xml:space="preserve"> en la zona de influencia. </w:t>
      </w:r>
      <w:r w:rsidRPr="00CA0370" w:rsidR="00832CEF">
        <w:rPr>
          <w:rFonts w:ascii="Arial" w:hAnsi="Arial" w:cs="Arial"/>
          <w:sz w:val="22"/>
          <w:lang w:val="es-ES_tradnl"/>
        </w:rPr>
        <w:t>Para ello se necesita procesar</w:t>
      </w:r>
      <w:r w:rsidRPr="00CA0370" w:rsidR="003C7D2E">
        <w:rPr>
          <w:rFonts w:ascii="Arial" w:hAnsi="Arial" w:cs="Arial"/>
          <w:sz w:val="22"/>
          <w:lang w:val="es-ES_tradnl"/>
        </w:rPr>
        <w:t xml:space="preserve"> las imágenes satelitales disponibles tanto en el área de influencia </w:t>
      </w:r>
      <w:r w:rsidRPr="00CA0370" w:rsidR="003C7D2E">
        <w:rPr>
          <w:rFonts w:ascii="Arial" w:hAnsi="Arial" w:cs="Arial"/>
          <w:sz w:val="22"/>
          <w:lang w:val="es-ES_tradnl"/>
        </w:rPr>
        <w:lastRenderedPageBreak/>
        <w:t xml:space="preserve">del </w:t>
      </w:r>
      <w:r w:rsidRPr="00CA0370" w:rsidR="00832CEF">
        <w:rPr>
          <w:rFonts w:ascii="Arial" w:hAnsi="Arial" w:cs="Arial"/>
          <w:sz w:val="22"/>
          <w:lang w:val="es-ES_tradnl"/>
        </w:rPr>
        <w:t xml:space="preserve">proyecto como en las de control y emplear </w:t>
      </w:r>
      <w:r w:rsidRPr="00CA0370" w:rsidR="003C7D2E">
        <w:rPr>
          <w:rFonts w:ascii="Arial" w:hAnsi="Arial" w:cs="Arial"/>
          <w:sz w:val="22"/>
          <w:lang w:val="es-ES_tradnl"/>
        </w:rPr>
        <w:t xml:space="preserve">métodos estadísticos apropiados para determinar el impacto atribuible de manera exclusiva a </w:t>
      </w:r>
      <w:r w:rsidRPr="00CA0370" w:rsidR="00832CEF">
        <w:rPr>
          <w:rFonts w:ascii="Arial" w:hAnsi="Arial" w:cs="Arial"/>
          <w:sz w:val="22"/>
          <w:lang w:val="es-ES_tradnl"/>
        </w:rPr>
        <w:t>dicha</w:t>
      </w:r>
      <w:r w:rsidRPr="00CA0370" w:rsidR="003C7D2E">
        <w:rPr>
          <w:rFonts w:ascii="Arial" w:hAnsi="Arial" w:cs="Arial"/>
          <w:sz w:val="22"/>
          <w:lang w:val="es-ES_tradnl"/>
        </w:rPr>
        <w:t xml:space="preserve"> intervención.</w:t>
      </w:r>
      <w:r w:rsidRPr="00CA0370" w:rsidR="00832CEF">
        <w:rPr>
          <w:rFonts w:ascii="Arial" w:hAnsi="Arial" w:cs="Arial"/>
          <w:sz w:val="22"/>
          <w:lang w:val="es-ES_tradnl"/>
        </w:rPr>
        <w:t xml:space="preserve"> </w:t>
      </w:r>
      <w:r w:rsidRPr="00CA0370" w:rsidR="0035329C">
        <w:rPr>
          <w:rFonts w:ascii="Arial" w:hAnsi="Arial" w:cs="Arial"/>
          <w:sz w:val="22"/>
          <w:lang w:val="es-ES_tradnl"/>
        </w:rPr>
        <w:t>La tercera pregunta estaría</w:t>
      </w:r>
      <w:r w:rsidRPr="00CA0370" w:rsidR="003C7D2E">
        <w:rPr>
          <w:rFonts w:ascii="Arial" w:hAnsi="Arial" w:cs="Arial"/>
          <w:sz w:val="22"/>
          <w:lang w:val="es-ES_tradnl"/>
        </w:rPr>
        <w:t xml:space="preserve"> diseñada para entender el impacto del presente en los patrones de movilidad de los beneficiarios. Tradicionalmente los estudios de movilidad se desarrollan mediante la recolección y análisis de datos de campo e información existente a través de encuestas domiciliarias, lo cual requieren importantes recursos y tiempo para su elaboración. </w:t>
      </w:r>
      <w:r w:rsidRPr="00CA0370" w:rsidR="00832CEF">
        <w:rPr>
          <w:rFonts w:ascii="Arial" w:hAnsi="Arial" w:cs="Arial"/>
          <w:sz w:val="22"/>
          <w:lang w:val="es-ES_tradnl"/>
        </w:rPr>
        <w:t xml:space="preserve">Una alternativa es utilizar </w:t>
      </w:r>
      <w:r w:rsidRPr="00CA0370" w:rsidR="003C7D2E">
        <w:rPr>
          <w:rFonts w:ascii="Arial" w:hAnsi="Arial" w:cs="Arial"/>
          <w:sz w:val="22"/>
          <w:lang w:val="es-ES_tradnl"/>
        </w:rPr>
        <w:t>Big Data de telefonía celular, que permite cubrir un área geográfica extensa y dispersa, y realizar un análisis de patrones de movilidad en un periodo acotado d</w:t>
      </w:r>
      <w:r w:rsidRPr="00CA0370" w:rsidR="00200EED">
        <w:rPr>
          <w:rFonts w:ascii="Arial" w:hAnsi="Arial" w:cs="Arial"/>
          <w:sz w:val="22"/>
          <w:lang w:val="es-ES_tradnl"/>
        </w:rPr>
        <w:t>e tiempo y sin trabajo de campo</w:t>
      </w:r>
      <w:r w:rsidRPr="00CA0370" w:rsidR="00200EED">
        <w:rPr>
          <w:rStyle w:val="FootnoteReference"/>
          <w:rFonts w:ascii="Arial" w:hAnsi="Arial" w:cs="Arial"/>
          <w:sz w:val="22"/>
          <w:lang w:val="es-ES_tradnl"/>
        </w:rPr>
        <w:footnoteReference w:id="15"/>
      </w:r>
      <w:r w:rsidRPr="00CA0370" w:rsidR="00200EED">
        <w:rPr>
          <w:rFonts w:ascii="Arial" w:hAnsi="Arial" w:cs="Arial"/>
          <w:sz w:val="22"/>
          <w:lang w:val="es-ES_tradnl"/>
        </w:rPr>
        <w:t>.</w:t>
      </w:r>
      <w:bookmarkEnd w:id="22"/>
      <w:r w:rsidRPr="00CA0370" w:rsidR="003C7D2E">
        <w:rPr>
          <w:rFonts w:ascii="Arial" w:hAnsi="Arial" w:cs="Arial"/>
          <w:sz w:val="22"/>
          <w:lang w:val="es-ES_tradnl"/>
        </w:rPr>
        <w:t xml:space="preserve"> </w:t>
      </w:r>
    </w:p>
    <w:p w:rsidRPr="00CA0370" w:rsidR="00276EEE" w:rsidP="002F0E15" w:rsidRDefault="00CD3B16" w14:paraId="4111B41D" w14:textId="71D9EA49">
      <w:pPr>
        <w:pStyle w:val="Paragraph"/>
        <w:ind w:left="540" w:hanging="540"/>
        <w:rPr>
          <w:rFonts w:ascii="Arial" w:hAnsi="Arial" w:cs="Arial"/>
          <w:sz w:val="22"/>
          <w:lang w:val="es-ES_tradnl"/>
        </w:rPr>
      </w:pPr>
      <w:r w:rsidRPr="00CA0370">
        <w:rPr>
          <w:rFonts w:ascii="Arial" w:hAnsi="Arial" w:cs="Arial"/>
          <w:sz w:val="22"/>
          <w:lang w:val="es-ES_tradnl"/>
        </w:rPr>
        <w:t>T</w:t>
      </w:r>
      <w:r w:rsidRPr="00CA0370" w:rsidR="004A283C">
        <w:rPr>
          <w:rFonts w:ascii="Arial" w:hAnsi="Arial" w:cs="Arial"/>
          <w:sz w:val="22"/>
          <w:lang w:val="es-ES_tradnl"/>
        </w:rPr>
        <w:t>eni</w:t>
      </w:r>
      <w:r w:rsidRPr="00CA0370" w:rsidR="00A343B2">
        <w:rPr>
          <w:rFonts w:ascii="Arial" w:hAnsi="Arial" w:cs="Arial"/>
          <w:sz w:val="22"/>
          <w:lang w:val="es-ES_tradnl"/>
        </w:rPr>
        <w:t>endo en cuenta</w:t>
      </w:r>
      <w:r w:rsidRPr="00CA0370">
        <w:rPr>
          <w:rFonts w:ascii="Arial" w:hAnsi="Arial" w:cs="Arial"/>
          <w:sz w:val="22"/>
          <w:lang w:val="es-ES_tradnl"/>
        </w:rPr>
        <w:t xml:space="preserve"> las restricciones de </w:t>
      </w:r>
      <w:r w:rsidRPr="00CA0370" w:rsidR="004470EE">
        <w:rPr>
          <w:rFonts w:ascii="Arial" w:hAnsi="Arial" w:cs="Arial"/>
          <w:sz w:val="22"/>
          <w:lang w:val="es-ES_tradnl"/>
        </w:rPr>
        <w:t>evaluación</w:t>
      </w:r>
      <w:r w:rsidRPr="00CA0370" w:rsidR="00A343B2">
        <w:rPr>
          <w:rFonts w:ascii="Arial" w:hAnsi="Arial" w:cs="Arial"/>
          <w:sz w:val="22"/>
          <w:lang w:val="es-ES_tradnl"/>
        </w:rPr>
        <w:t xml:space="preserve"> planteadas en el </w:t>
      </w:r>
      <w:r w:rsidRPr="00CA0370" w:rsidR="00EE6D04">
        <w:rPr>
          <w:rFonts w:ascii="Arial" w:hAnsi="Arial" w:cs="Arial"/>
          <w:sz w:val="22"/>
          <w:lang w:val="es-ES_tradnl"/>
        </w:rPr>
        <w:t>¶</w:t>
      </w:r>
      <w:r w:rsidRPr="00CA0370" w:rsidR="002816A4">
        <w:rPr>
          <w:rFonts w:ascii="Arial" w:hAnsi="Arial" w:cs="Arial"/>
          <w:sz w:val="22"/>
          <w:lang w:val="es-ES_tradnl"/>
        </w:rPr>
        <w:fldChar w:fldCharType="begin"/>
      </w:r>
      <w:r w:rsidRPr="00CA0370" w:rsidR="002816A4">
        <w:rPr>
          <w:rFonts w:ascii="Arial" w:hAnsi="Arial" w:cs="Arial"/>
          <w:sz w:val="22"/>
          <w:lang w:val="es-ES_tradnl"/>
        </w:rPr>
        <w:instrText xml:space="preserve"> REF _Ref526860036 \r \h </w:instrText>
      </w:r>
      <w:r w:rsidRPr="00CA0370" w:rsidR="003F0DD9">
        <w:rPr>
          <w:rFonts w:ascii="Arial" w:hAnsi="Arial" w:cs="Arial"/>
          <w:sz w:val="22"/>
          <w:lang w:val="es-ES_tradnl"/>
        </w:rPr>
        <w:instrText xml:space="preserve"> \* MERGEFORMAT </w:instrText>
      </w:r>
      <w:r w:rsidRPr="00CA0370" w:rsidR="002816A4">
        <w:rPr>
          <w:rFonts w:ascii="Arial" w:hAnsi="Arial" w:cs="Arial"/>
          <w:sz w:val="22"/>
          <w:lang w:val="es-ES_tradnl"/>
        </w:rPr>
      </w:r>
      <w:r w:rsidRPr="00CA0370" w:rsidR="002816A4">
        <w:rPr>
          <w:rFonts w:ascii="Arial" w:hAnsi="Arial" w:cs="Arial"/>
          <w:sz w:val="22"/>
          <w:lang w:val="es-ES_tradnl"/>
        </w:rPr>
        <w:fldChar w:fldCharType="separate"/>
      </w:r>
      <w:r w:rsidRPr="00CA0370" w:rsidR="002816A4">
        <w:rPr>
          <w:rFonts w:ascii="Arial" w:hAnsi="Arial" w:cs="Arial"/>
          <w:sz w:val="22"/>
          <w:lang w:val="es-ES_tradnl"/>
        </w:rPr>
        <w:t>3.1</w:t>
      </w:r>
      <w:r w:rsidRPr="00CA0370" w:rsidR="002816A4">
        <w:rPr>
          <w:rFonts w:ascii="Arial" w:hAnsi="Arial" w:cs="Arial"/>
          <w:sz w:val="22"/>
          <w:lang w:val="es-ES_tradnl"/>
        </w:rPr>
        <w:fldChar w:fldCharType="end"/>
      </w:r>
      <w:r w:rsidRPr="00CA0370" w:rsidR="004A283C">
        <w:rPr>
          <w:rFonts w:ascii="Arial" w:hAnsi="Arial" w:cs="Arial"/>
          <w:sz w:val="22"/>
          <w:lang w:val="es-ES_tradnl"/>
        </w:rPr>
        <w:t>,</w:t>
      </w:r>
      <w:r w:rsidRPr="00CA0370" w:rsidR="003F5072">
        <w:rPr>
          <w:rFonts w:ascii="Arial" w:hAnsi="Arial" w:cs="Arial"/>
          <w:sz w:val="22"/>
          <w:lang w:val="es-ES_tradnl"/>
        </w:rPr>
        <w:t xml:space="preserve"> </w:t>
      </w:r>
      <w:r w:rsidRPr="00CA0370" w:rsidR="00B27AAA">
        <w:rPr>
          <w:rFonts w:ascii="Arial" w:hAnsi="Arial" w:cs="Arial"/>
          <w:sz w:val="22"/>
          <w:lang w:val="es-ES_tradnl"/>
        </w:rPr>
        <w:t xml:space="preserve">y a efectos de mantener la unidad conceptual en el análisis realizado en la primera operación de la CCLIP, se ha optado por llevar a cabo también en esta segunda operación un </w:t>
      </w:r>
      <w:r w:rsidRPr="00CA0370" w:rsidR="00A343B2">
        <w:rPr>
          <w:rFonts w:ascii="Arial" w:hAnsi="Arial" w:cs="Arial"/>
          <w:sz w:val="22"/>
          <w:lang w:val="es-ES_tradnl"/>
        </w:rPr>
        <w:t>ACB</w:t>
      </w:r>
      <w:r w:rsidRPr="00CA0370" w:rsidR="00B27AAA">
        <w:rPr>
          <w:rFonts w:ascii="Arial" w:hAnsi="Arial" w:cs="Arial"/>
          <w:sz w:val="22"/>
          <w:lang w:val="es-ES_tradnl"/>
        </w:rPr>
        <w:t xml:space="preserve"> ex post para sus dos componentes, lo cual atiende también a las necesidades y deseos de la contraparte de reducir la c</w:t>
      </w:r>
      <w:r w:rsidRPr="00CA0370" w:rsidR="0090178B">
        <w:rPr>
          <w:rFonts w:ascii="Arial" w:hAnsi="Arial" w:cs="Arial"/>
          <w:sz w:val="22"/>
          <w:lang w:val="es-ES_tradnl"/>
        </w:rPr>
        <w:t xml:space="preserve">omplejidad ejecutiva y los </w:t>
      </w:r>
      <w:r w:rsidRPr="00CA0370" w:rsidR="002816A4">
        <w:rPr>
          <w:rFonts w:ascii="Arial" w:hAnsi="Arial" w:cs="Arial"/>
          <w:sz w:val="22"/>
          <w:lang w:val="es-ES_tradnl"/>
        </w:rPr>
        <w:t>costo</w:t>
      </w:r>
      <w:r w:rsidRPr="00CA0370" w:rsidR="00B27AAA">
        <w:rPr>
          <w:rFonts w:ascii="Arial" w:hAnsi="Arial" w:cs="Arial"/>
          <w:sz w:val="22"/>
          <w:lang w:val="es-ES_tradnl"/>
        </w:rPr>
        <w:t>s asociados a la operación</w:t>
      </w:r>
      <w:r w:rsidRPr="00CA0370" w:rsidR="00A343B2">
        <w:rPr>
          <w:rFonts w:ascii="Arial" w:hAnsi="Arial" w:cs="Arial"/>
          <w:sz w:val="22"/>
          <w:lang w:val="es-ES_tradnl"/>
        </w:rPr>
        <w:t xml:space="preserve"> (una evaluación de impacto como la definida en </w:t>
      </w:r>
      <w:r w:rsidRPr="00CA0370" w:rsidR="00EE6D04">
        <w:rPr>
          <w:rFonts w:ascii="Arial" w:hAnsi="Arial" w:cs="Arial"/>
          <w:sz w:val="22"/>
          <w:lang w:val="es-ES_tradnl"/>
        </w:rPr>
        <w:t>¶</w:t>
      </w:r>
      <w:r w:rsidRPr="00CA0370" w:rsidR="002816A4">
        <w:rPr>
          <w:rFonts w:ascii="Arial" w:hAnsi="Arial" w:cs="Arial"/>
          <w:sz w:val="22"/>
          <w:lang w:val="es-ES_tradnl"/>
        </w:rPr>
        <w:fldChar w:fldCharType="begin"/>
      </w:r>
      <w:r w:rsidRPr="00CA0370" w:rsidR="002816A4">
        <w:rPr>
          <w:rFonts w:ascii="Arial" w:hAnsi="Arial" w:cs="Arial"/>
          <w:sz w:val="22"/>
          <w:lang w:val="es-ES_tradnl"/>
        </w:rPr>
        <w:instrText xml:space="preserve"> REF _Ref526860059 \r \h </w:instrText>
      </w:r>
      <w:r w:rsidRPr="00CA0370" w:rsidR="003F0DD9">
        <w:rPr>
          <w:rFonts w:ascii="Arial" w:hAnsi="Arial" w:cs="Arial"/>
          <w:sz w:val="22"/>
          <w:lang w:val="es-ES_tradnl"/>
        </w:rPr>
        <w:instrText xml:space="preserve"> \* MERGEFORMAT </w:instrText>
      </w:r>
      <w:r w:rsidRPr="00CA0370" w:rsidR="002816A4">
        <w:rPr>
          <w:rFonts w:ascii="Arial" w:hAnsi="Arial" w:cs="Arial"/>
          <w:sz w:val="22"/>
          <w:lang w:val="es-ES_tradnl"/>
        </w:rPr>
      </w:r>
      <w:r w:rsidRPr="00CA0370" w:rsidR="002816A4">
        <w:rPr>
          <w:rFonts w:ascii="Arial" w:hAnsi="Arial" w:cs="Arial"/>
          <w:sz w:val="22"/>
          <w:lang w:val="es-ES_tradnl"/>
        </w:rPr>
        <w:fldChar w:fldCharType="separate"/>
      </w:r>
      <w:r w:rsidRPr="00CA0370" w:rsidR="002816A4">
        <w:rPr>
          <w:rFonts w:ascii="Arial" w:hAnsi="Arial" w:cs="Arial"/>
          <w:sz w:val="22"/>
          <w:lang w:val="es-ES_tradnl"/>
        </w:rPr>
        <w:t>3.2</w:t>
      </w:r>
      <w:r w:rsidRPr="00CA0370" w:rsidR="002816A4">
        <w:rPr>
          <w:rFonts w:ascii="Arial" w:hAnsi="Arial" w:cs="Arial"/>
          <w:sz w:val="22"/>
          <w:lang w:val="es-ES_tradnl"/>
        </w:rPr>
        <w:fldChar w:fldCharType="end"/>
      </w:r>
      <w:r w:rsidRPr="00CA0370" w:rsidR="00A343B2">
        <w:rPr>
          <w:rFonts w:ascii="Arial" w:hAnsi="Arial" w:cs="Arial"/>
          <w:sz w:val="22"/>
          <w:lang w:val="es-ES_tradnl"/>
        </w:rPr>
        <w:t xml:space="preserve"> implicaría una asignación presupuestaria que requeriría el concurso de alguna cooperación técnica de la que en estos momentos el programa no dispone).</w:t>
      </w:r>
      <w:r w:rsidRPr="00CA0370" w:rsidR="00397796">
        <w:rPr>
          <w:rFonts w:ascii="Arial" w:hAnsi="Arial" w:cs="Arial"/>
          <w:sz w:val="22"/>
          <w:lang w:val="es-ES_tradnl"/>
        </w:rPr>
        <w:t xml:space="preserve"> </w:t>
      </w:r>
    </w:p>
    <w:p w:rsidRPr="00CA0370" w:rsidR="00B67295" w:rsidP="002F0E15" w:rsidRDefault="00B67295" w14:paraId="5F378DAE" w14:textId="153D86B3">
      <w:pPr>
        <w:pStyle w:val="Paragraph"/>
        <w:ind w:left="540" w:hanging="540"/>
        <w:rPr>
          <w:rFonts w:ascii="Arial" w:hAnsi="Arial" w:cs="Arial"/>
          <w:sz w:val="22"/>
          <w:lang w:val="es-ES_tradnl"/>
        </w:rPr>
      </w:pPr>
      <w:r w:rsidRPr="00CA0370">
        <w:rPr>
          <w:rFonts w:ascii="Arial" w:hAnsi="Arial" w:cs="Arial"/>
          <w:b/>
          <w:sz w:val="22"/>
          <w:lang w:val="es-ES_tradnl"/>
        </w:rPr>
        <w:t>Interpretación resultados</w:t>
      </w:r>
      <w:r w:rsidRPr="00CA0370">
        <w:rPr>
          <w:rFonts w:ascii="Arial" w:hAnsi="Arial" w:cs="Arial"/>
          <w:sz w:val="22"/>
          <w:lang w:val="es-ES_tradnl"/>
        </w:rPr>
        <w:t xml:space="preserve">. El </w:t>
      </w:r>
      <w:r w:rsidRPr="00CA0370" w:rsidR="0090178B">
        <w:rPr>
          <w:rFonts w:ascii="Arial" w:hAnsi="Arial" w:cs="Arial"/>
          <w:sz w:val="22"/>
          <w:lang w:val="es-ES_tradnl"/>
        </w:rPr>
        <w:t>ACB</w:t>
      </w:r>
      <w:r w:rsidRPr="00CA0370">
        <w:rPr>
          <w:rFonts w:ascii="Arial" w:hAnsi="Arial" w:cs="Arial"/>
          <w:sz w:val="22"/>
          <w:lang w:val="es-ES_tradnl"/>
        </w:rPr>
        <w:t xml:space="preserve"> </w:t>
      </w:r>
      <w:r w:rsidRPr="00CA0370" w:rsidR="007E63A6">
        <w:rPr>
          <w:rFonts w:ascii="Arial" w:hAnsi="Arial" w:cs="Arial"/>
          <w:sz w:val="22"/>
          <w:lang w:val="es-ES_tradnl"/>
        </w:rPr>
        <w:t>ex </w:t>
      </w:r>
      <w:r w:rsidRPr="00CA0370">
        <w:rPr>
          <w:rFonts w:ascii="Arial" w:hAnsi="Arial" w:cs="Arial"/>
          <w:sz w:val="22"/>
          <w:lang w:val="es-ES_tradnl"/>
        </w:rPr>
        <w:t xml:space="preserve">post puede considerarse como una reevaluación del </w:t>
      </w:r>
      <w:r w:rsidRPr="00CA0370" w:rsidR="0090178B">
        <w:rPr>
          <w:rFonts w:ascii="Arial" w:hAnsi="Arial" w:cs="Arial"/>
          <w:sz w:val="22"/>
          <w:lang w:val="es-ES_tradnl"/>
        </w:rPr>
        <w:t>ACB</w:t>
      </w:r>
      <w:r w:rsidRPr="00CA0370" w:rsidR="00686A74">
        <w:rPr>
          <w:rFonts w:ascii="Arial" w:hAnsi="Arial" w:cs="Arial"/>
          <w:sz w:val="22"/>
          <w:lang w:val="es-ES_tradnl"/>
        </w:rPr>
        <w:t xml:space="preserve"> </w:t>
      </w:r>
      <w:r w:rsidRPr="00CA0370" w:rsidR="007E63A6">
        <w:rPr>
          <w:rFonts w:ascii="Arial" w:hAnsi="Arial" w:cs="Arial"/>
          <w:sz w:val="22"/>
          <w:lang w:val="es-ES_tradnl"/>
        </w:rPr>
        <w:t>ex </w:t>
      </w:r>
      <w:r w:rsidRPr="00CA0370" w:rsidR="00686A74">
        <w:rPr>
          <w:rFonts w:ascii="Arial" w:hAnsi="Arial" w:cs="Arial"/>
          <w:sz w:val="22"/>
          <w:lang w:val="es-ES_tradnl"/>
        </w:rPr>
        <w:t>ante</w:t>
      </w:r>
      <w:r w:rsidRPr="00CA0370" w:rsidR="00E06437">
        <w:rPr>
          <w:rFonts w:ascii="Arial" w:hAnsi="Arial" w:cs="Arial"/>
          <w:sz w:val="22"/>
          <w:lang w:val="es-ES_tradnl"/>
        </w:rPr>
        <w:t xml:space="preserve"> </w:t>
      </w:r>
      <w:r w:rsidRPr="00CA0370">
        <w:rPr>
          <w:rFonts w:ascii="Arial" w:hAnsi="Arial" w:cs="Arial"/>
          <w:sz w:val="22"/>
          <w:lang w:val="es-ES_tradnl"/>
        </w:rPr>
        <w:t xml:space="preserve">una vez que ya son conocidas </w:t>
      </w:r>
      <w:r w:rsidRPr="00CA0370" w:rsidR="00E34CAE">
        <w:rPr>
          <w:rFonts w:ascii="Arial" w:hAnsi="Arial" w:cs="Arial"/>
          <w:sz w:val="22"/>
          <w:lang w:val="es-ES_tradnl"/>
        </w:rPr>
        <w:t>las magnitudes efectivamente involucradas</w:t>
      </w:r>
      <w:r w:rsidRPr="00CA0370" w:rsidR="00BC304D">
        <w:rPr>
          <w:rFonts w:ascii="Arial" w:hAnsi="Arial" w:cs="Arial"/>
          <w:sz w:val="22"/>
          <w:lang w:val="es-ES_tradnl"/>
        </w:rPr>
        <w:t>.</w:t>
      </w:r>
    </w:p>
    <w:p w:rsidRPr="00CA0370" w:rsidR="00BC304D" w:rsidP="002F0E15" w:rsidRDefault="00BC304D" w14:paraId="7143418C" w14:textId="4FD0B670">
      <w:pPr>
        <w:pStyle w:val="Paragraph"/>
        <w:ind w:left="540" w:hanging="540"/>
        <w:rPr>
          <w:rFonts w:ascii="Arial" w:hAnsi="Arial" w:cs="Arial"/>
          <w:sz w:val="22"/>
          <w:lang w:val="es-ES_tradnl"/>
        </w:rPr>
      </w:pPr>
      <w:r w:rsidRPr="00CA0370">
        <w:rPr>
          <w:rFonts w:ascii="Arial" w:hAnsi="Arial" w:cs="Arial"/>
          <w:b/>
          <w:sz w:val="22"/>
          <w:lang w:val="es-ES_tradnl"/>
        </w:rPr>
        <w:t>Elementos claves</w:t>
      </w:r>
      <w:r w:rsidRPr="00CA0370">
        <w:rPr>
          <w:rFonts w:ascii="Arial" w:hAnsi="Arial" w:cs="Arial"/>
          <w:sz w:val="22"/>
          <w:lang w:val="es-ES_tradnl"/>
        </w:rPr>
        <w:t xml:space="preserve">. De lo anterior </w:t>
      </w:r>
      <w:r w:rsidRPr="00CA0370" w:rsidR="00A343B2">
        <w:rPr>
          <w:rFonts w:ascii="Arial" w:hAnsi="Arial" w:cs="Arial"/>
          <w:sz w:val="22"/>
          <w:lang w:val="es-ES_tradnl"/>
        </w:rPr>
        <w:t>se pone</w:t>
      </w:r>
      <w:r w:rsidRPr="00CA0370">
        <w:rPr>
          <w:rFonts w:ascii="Arial" w:hAnsi="Arial" w:cs="Arial"/>
          <w:sz w:val="22"/>
          <w:lang w:val="es-ES_tradnl"/>
        </w:rPr>
        <w:t xml:space="preserve"> de manifiesto que los elementos claves de un </w:t>
      </w:r>
      <w:r w:rsidRPr="00CA0370" w:rsidR="0090178B">
        <w:rPr>
          <w:rFonts w:ascii="Arial" w:hAnsi="Arial" w:cs="Arial"/>
          <w:sz w:val="22"/>
          <w:lang w:val="es-ES_tradnl"/>
        </w:rPr>
        <w:t>ACB</w:t>
      </w:r>
      <w:r w:rsidRPr="00CA0370">
        <w:rPr>
          <w:rFonts w:ascii="Arial" w:hAnsi="Arial" w:cs="Arial"/>
          <w:sz w:val="22"/>
          <w:lang w:val="es-ES_tradnl"/>
        </w:rPr>
        <w:t xml:space="preserve"> ex post </w:t>
      </w:r>
      <w:r w:rsidRPr="00CA0370" w:rsidR="008A0A63">
        <w:rPr>
          <w:rFonts w:ascii="Arial" w:hAnsi="Arial" w:cs="Arial"/>
          <w:sz w:val="22"/>
          <w:lang w:val="es-ES_tradnl"/>
        </w:rPr>
        <w:t xml:space="preserve">son similares a los de un </w:t>
      </w:r>
      <w:r w:rsidRPr="00CA0370" w:rsidR="0090178B">
        <w:rPr>
          <w:rFonts w:ascii="Arial" w:hAnsi="Arial" w:cs="Arial"/>
          <w:sz w:val="22"/>
          <w:lang w:val="es-ES_tradnl"/>
        </w:rPr>
        <w:t>ACB</w:t>
      </w:r>
      <w:r w:rsidRPr="00CA0370" w:rsidR="008A0A63">
        <w:rPr>
          <w:rFonts w:ascii="Arial" w:hAnsi="Arial" w:cs="Arial"/>
          <w:sz w:val="22"/>
          <w:lang w:val="es-ES_tradnl"/>
        </w:rPr>
        <w:t xml:space="preserve"> ex ante, con el agregado de que ahora las proyecciones del proyecto considerado han de reemplazarse con los valores efectivamente realizados. En este sentido, es importante identificar</w:t>
      </w:r>
      <w:r w:rsidRPr="00CA0370" w:rsidR="00A343B2">
        <w:rPr>
          <w:rFonts w:ascii="Arial" w:hAnsi="Arial" w:cs="Arial"/>
          <w:sz w:val="22"/>
          <w:lang w:val="es-ES_tradnl"/>
        </w:rPr>
        <w:t xml:space="preserve"> los siguientes elementos</w:t>
      </w:r>
      <w:r w:rsidRPr="00CA0370" w:rsidR="008A0A63">
        <w:rPr>
          <w:rFonts w:ascii="Arial" w:hAnsi="Arial" w:cs="Arial"/>
          <w:sz w:val="22"/>
          <w:lang w:val="es-ES_tradnl"/>
        </w:rPr>
        <w:t xml:space="preserve">: </w:t>
      </w:r>
    </w:p>
    <w:p w:rsidRPr="00CA0370" w:rsidR="008A0A63" w:rsidP="00333FBE" w:rsidRDefault="002816A4" w14:paraId="3C3682EF" w14:textId="173D46BB">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Costo</w:t>
      </w:r>
      <w:r w:rsidRPr="00CA0370" w:rsidR="008A0A63">
        <w:rPr>
          <w:rFonts w:ascii="Arial" w:hAnsi="Arial" w:cs="Arial"/>
          <w:b/>
          <w:sz w:val="22"/>
          <w:szCs w:val="22"/>
          <w:lang w:val="es-ES_tradnl"/>
        </w:rPr>
        <w:t>s.</w:t>
      </w:r>
      <w:r w:rsidRPr="00CA0370" w:rsidR="008A0A63">
        <w:rPr>
          <w:rFonts w:ascii="Arial" w:hAnsi="Arial" w:cs="Arial"/>
          <w:sz w:val="22"/>
          <w:szCs w:val="22"/>
          <w:lang w:val="es-ES_tradnl"/>
        </w:rPr>
        <w:t xml:space="preserve"> Tal como </w:t>
      </w:r>
      <w:r w:rsidRPr="00CA0370" w:rsidR="00F875C1">
        <w:rPr>
          <w:rFonts w:ascii="Arial" w:hAnsi="Arial" w:cs="Arial"/>
          <w:sz w:val="22"/>
          <w:szCs w:val="22"/>
          <w:lang w:val="es-ES_tradnl"/>
        </w:rPr>
        <w:t xml:space="preserve">se discute </w:t>
      </w:r>
      <w:r w:rsidRPr="00CA0370" w:rsidR="008A0A63">
        <w:rPr>
          <w:rFonts w:ascii="Arial" w:hAnsi="Arial" w:cs="Arial"/>
          <w:sz w:val="22"/>
          <w:szCs w:val="22"/>
          <w:lang w:val="es-ES_tradnl"/>
        </w:rPr>
        <w:t xml:space="preserve">en el anexo de análisis económico, han de considerarse </w:t>
      </w:r>
      <w:r w:rsidRPr="00CA0370" w:rsidR="00F875C1">
        <w:rPr>
          <w:rFonts w:ascii="Arial" w:hAnsi="Arial" w:cs="Arial"/>
          <w:sz w:val="22"/>
          <w:szCs w:val="22"/>
          <w:lang w:val="es-ES_tradnl"/>
        </w:rPr>
        <w:t xml:space="preserve">los </w:t>
      </w:r>
      <w:r w:rsidRPr="00CA0370">
        <w:rPr>
          <w:rFonts w:ascii="Arial" w:hAnsi="Arial" w:cs="Arial"/>
          <w:sz w:val="22"/>
          <w:szCs w:val="22"/>
          <w:lang w:val="es-ES_tradnl"/>
        </w:rPr>
        <w:t>costo</w:t>
      </w:r>
      <w:r w:rsidRPr="00CA0370" w:rsidR="008A0A63">
        <w:rPr>
          <w:rFonts w:ascii="Arial" w:hAnsi="Arial" w:cs="Arial"/>
          <w:sz w:val="22"/>
          <w:szCs w:val="22"/>
          <w:lang w:val="es-ES_tradnl"/>
        </w:rPr>
        <w:t xml:space="preserve">s reales de llevar adelante los proyectos considerados. </w:t>
      </w:r>
      <w:r w:rsidRPr="00CA0370" w:rsidR="00B4631C">
        <w:rPr>
          <w:rFonts w:ascii="Arial" w:hAnsi="Arial" w:cs="Arial"/>
          <w:sz w:val="22"/>
          <w:szCs w:val="22"/>
          <w:lang w:val="es-ES_tradnl"/>
        </w:rPr>
        <w:t>Esto involucra no só</w:t>
      </w:r>
      <w:r w:rsidRPr="00CA0370" w:rsidR="00F875C1">
        <w:rPr>
          <w:rFonts w:ascii="Arial" w:hAnsi="Arial" w:cs="Arial"/>
          <w:sz w:val="22"/>
          <w:szCs w:val="22"/>
          <w:lang w:val="es-ES_tradnl"/>
        </w:rPr>
        <w:t xml:space="preserve">lo los </w:t>
      </w:r>
      <w:r w:rsidRPr="00CA0370">
        <w:rPr>
          <w:rFonts w:ascii="Arial" w:hAnsi="Arial" w:cs="Arial"/>
          <w:sz w:val="22"/>
          <w:szCs w:val="22"/>
          <w:lang w:val="es-ES_tradnl"/>
        </w:rPr>
        <w:t>costo</w:t>
      </w:r>
      <w:r w:rsidRPr="00CA0370" w:rsidR="008A0A63">
        <w:rPr>
          <w:rFonts w:ascii="Arial" w:hAnsi="Arial" w:cs="Arial"/>
          <w:sz w:val="22"/>
          <w:szCs w:val="22"/>
          <w:lang w:val="es-ES_tradnl"/>
        </w:rPr>
        <w:t>s de inversión sino ta</w:t>
      </w:r>
      <w:r w:rsidRPr="00CA0370" w:rsidR="00F875C1">
        <w:rPr>
          <w:rFonts w:ascii="Arial" w:hAnsi="Arial" w:cs="Arial"/>
          <w:sz w:val="22"/>
          <w:szCs w:val="22"/>
          <w:lang w:val="es-ES_tradnl"/>
        </w:rPr>
        <w:t xml:space="preserve">mbién los correspondientes </w:t>
      </w:r>
      <w:r w:rsidRPr="00CA0370" w:rsidR="00B4631C">
        <w:rPr>
          <w:rFonts w:ascii="Arial" w:hAnsi="Arial" w:cs="Arial"/>
          <w:sz w:val="22"/>
          <w:szCs w:val="22"/>
          <w:lang w:val="es-ES_tradnl"/>
        </w:rPr>
        <w:t xml:space="preserve">a los </w:t>
      </w:r>
      <w:r w:rsidRPr="00CA0370">
        <w:rPr>
          <w:rFonts w:ascii="Arial" w:hAnsi="Arial" w:cs="Arial"/>
          <w:sz w:val="22"/>
          <w:szCs w:val="22"/>
          <w:lang w:val="es-ES_tradnl"/>
        </w:rPr>
        <w:t>costo</w:t>
      </w:r>
      <w:r w:rsidRPr="00CA0370" w:rsidR="008A0A63">
        <w:rPr>
          <w:rFonts w:ascii="Arial" w:hAnsi="Arial" w:cs="Arial"/>
          <w:sz w:val="22"/>
          <w:szCs w:val="22"/>
          <w:lang w:val="es-ES_tradnl"/>
        </w:rPr>
        <w:t>s operativos. También es</w:t>
      </w:r>
      <w:r w:rsidRPr="00CA0370" w:rsidR="00F875C1">
        <w:rPr>
          <w:rFonts w:ascii="Arial" w:hAnsi="Arial" w:cs="Arial"/>
          <w:sz w:val="22"/>
          <w:szCs w:val="22"/>
          <w:lang w:val="es-ES_tradnl"/>
        </w:rPr>
        <w:t xml:space="preserve"> pertinente considerar los </w:t>
      </w:r>
      <w:r w:rsidRPr="00CA0370">
        <w:rPr>
          <w:rFonts w:ascii="Arial" w:hAnsi="Arial" w:cs="Arial"/>
          <w:sz w:val="22"/>
          <w:szCs w:val="22"/>
          <w:lang w:val="es-ES_tradnl"/>
        </w:rPr>
        <w:t>costo</w:t>
      </w:r>
      <w:r w:rsidRPr="00CA0370" w:rsidR="008A0A63">
        <w:rPr>
          <w:rFonts w:ascii="Arial" w:hAnsi="Arial" w:cs="Arial"/>
          <w:sz w:val="22"/>
          <w:szCs w:val="22"/>
          <w:lang w:val="es-ES_tradnl"/>
        </w:rPr>
        <w:t xml:space="preserve">s sociales de estos recursos reales. Como </w:t>
      </w:r>
      <w:r w:rsidRPr="00CA0370" w:rsidR="00B4631C">
        <w:rPr>
          <w:rFonts w:ascii="Arial" w:hAnsi="Arial" w:cs="Arial"/>
          <w:sz w:val="22"/>
          <w:szCs w:val="22"/>
          <w:lang w:val="es-ES_tradnl"/>
        </w:rPr>
        <w:t xml:space="preserve">se </w:t>
      </w:r>
      <w:r w:rsidRPr="00CA0370" w:rsidR="00F875C1">
        <w:rPr>
          <w:rFonts w:ascii="Arial" w:hAnsi="Arial" w:cs="Arial"/>
          <w:sz w:val="22"/>
          <w:szCs w:val="22"/>
          <w:lang w:val="es-ES_tradnl"/>
        </w:rPr>
        <w:t>aborda</w:t>
      </w:r>
      <w:r w:rsidRPr="00CA0370" w:rsidR="008A0A63">
        <w:rPr>
          <w:rFonts w:ascii="Arial" w:hAnsi="Arial" w:cs="Arial"/>
          <w:sz w:val="22"/>
          <w:szCs w:val="22"/>
          <w:lang w:val="es-ES_tradnl"/>
        </w:rPr>
        <w:t xml:space="preserve"> en el </w:t>
      </w:r>
      <w:r w:rsidRPr="00CA0370" w:rsidR="00B4631C">
        <w:rPr>
          <w:rFonts w:ascii="Arial" w:hAnsi="Arial" w:cs="Arial"/>
          <w:sz w:val="22"/>
          <w:szCs w:val="22"/>
          <w:lang w:val="es-ES_tradnl"/>
        </w:rPr>
        <w:t xml:space="preserve">citado </w:t>
      </w:r>
      <w:r w:rsidRPr="00CA0370" w:rsidR="008A0A63">
        <w:rPr>
          <w:rFonts w:ascii="Arial" w:hAnsi="Arial" w:cs="Arial"/>
          <w:sz w:val="22"/>
          <w:szCs w:val="22"/>
          <w:lang w:val="es-ES_tradnl"/>
        </w:rPr>
        <w:t>anexo, los proyectos considerados no están sujetos a distorsiones que sugieran una fu</w:t>
      </w:r>
      <w:r w:rsidRPr="00CA0370" w:rsidR="00F875C1">
        <w:rPr>
          <w:rFonts w:ascii="Arial" w:hAnsi="Arial" w:cs="Arial"/>
          <w:sz w:val="22"/>
          <w:szCs w:val="22"/>
          <w:lang w:val="es-ES_tradnl"/>
        </w:rPr>
        <w:t xml:space="preserve">erte divergencia entre los </w:t>
      </w:r>
      <w:r w:rsidRPr="00CA0370">
        <w:rPr>
          <w:rFonts w:ascii="Arial" w:hAnsi="Arial" w:cs="Arial"/>
          <w:sz w:val="22"/>
          <w:szCs w:val="22"/>
          <w:lang w:val="es-ES_tradnl"/>
        </w:rPr>
        <w:t>costo</w:t>
      </w:r>
      <w:r w:rsidRPr="00CA0370" w:rsidR="008A0A63">
        <w:rPr>
          <w:rFonts w:ascii="Arial" w:hAnsi="Arial" w:cs="Arial"/>
          <w:sz w:val="22"/>
          <w:szCs w:val="22"/>
          <w:lang w:val="es-ES_tradnl"/>
        </w:rPr>
        <w:t xml:space="preserve">s privados y sociales, por lo que </w:t>
      </w:r>
      <w:r w:rsidRPr="00CA0370" w:rsidR="00F875C1">
        <w:rPr>
          <w:rFonts w:ascii="Arial" w:hAnsi="Arial" w:cs="Arial"/>
          <w:sz w:val="22"/>
          <w:szCs w:val="22"/>
          <w:lang w:val="es-ES_tradnl"/>
        </w:rPr>
        <w:t xml:space="preserve">también en el </w:t>
      </w:r>
      <w:r w:rsidRPr="00CA0370" w:rsidR="00B4631C">
        <w:rPr>
          <w:rFonts w:ascii="Arial" w:hAnsi="Arial" w:cs="Arial"/>
          <w:sz w:val="22"/>
          <w:szCs w:val="22"/>
          <w:lang w:val="es-ES_tradnl"/>
        </w:rPr>
        <w:t xml:space="preserve">ACB </w:t>
      </w:r>
      <w:r w:rsidRPr="00CA0370" w:rsidR="008A0A63">
        <w:rPr>
          <w:rFonts w:ascii="Arial" w:hAnsi="Arial" w:cs="Arial"/>
          <w:sz w:val="22"/>
          <w:szCs w:val="22"/>
          <w:lang w:val="es-ES_tradnl"/>
        </w:rPr>
        <w:t xml:space="preserve">ex post se continuará utilizando </w:t>
      </w:r>
      <w:r w:rsidRPr="00CA0370" w:rsidR="00380511">
        <w:rPr>
          <w:rFonts w:ascii="Arial" w:hAnsi="Arial" w:cs="Arial"/>
          <w:sz w:val="22"/>
          <w:szCs w:val="22"/>
          <w:lang w:val="es-ES_tradnl"/>
        </w:rPr>
        <w:t xml:space="preserve">el supuesto </w:t>
      </w:r>
      <w:r w:rsidRPr="00CA0370" w:rsidR="00F875C1">
        <w:rPr>
          <w:rFonts w:ascii="Arial" w:hAnsi="Arial" w:cs="Arial"/>
          <w:sz w:val="22"/>
          <w:szCs w:val="22"/>
          <w:lang w:val="es-ES_tradnl"/>
        </w:rPr>
        <w:t xml:space="preserve">de que los </w:t>
      </w:r>
      <w:r w:rsidRPr="00CA0370">
        <w:rPr>
          <w:rFonts w:ascii="Arial" w:hAnsi="Arial" w:cs="Arial"/>
          <w:sz w:val="22"/>
          <w:szCs w:val="22"/>
          <w:lang w:val="es-ES_tradnl"/>
        </w:rPr>
        <w:t>costo</w:t>
      </w:r>
      <w:r w:rsidRPr="00CA0370" w:rsidR="00380511">
        <w:rPr>
          <w:rFonts w:ascii="Arial" w:hAnsi="Arial" w:cs="Arial"/>
          <w:sz w:val="22"/>
          <w:szCs w:val="22"/>
          <w:lang w:val="es-ES_tradnl"/>
        </w:rPr>
        <w:t>s privados son aprox</w:t>
      </w:r>
      <w:r w:rsidRPr="00CA0370" w:rsidR="00F875C1">
        <w:rPr>
          <w:rFonts w:ascii="Arial" w:hAnsi="Arial" w:cs="Arial"/>
          <w:sz w:val="22"/>
          <w:szCs w:val="22"/>
          <w:lang w:val="es-ES_tradnl"/>
        </w:rPr>
        <w:t xml:space="preserve">imaciones adecuadas de los </w:t>
      </w:r>
      <w:r w:rsidRPr="00CA0370">
        <w:rPr>
          <w:rFonts w:ascii="Arial" w:hAnsi="Arial" w:cs="Arial"/>
          <w:sz w:val="22"/>
          <w:szCs w:val="22"/>
          <w:lang w:val="es-ES_tradnl"/>
        </w:rPr>
        <w:t>costo</w:t>
      </w:r>
      <w:r w:rsidRPr="00CA0370" w:rsidR="00380511">
        <w:rPr>
          <w:rFonts w:ascii="Arial" w:hAnsi="Arial" w:cs="Arial"/>
          <w:sz w:val="22"/>
          <w:szCs w:val="22"/>
          <w:lang w:val="es-ES_tradnl"/>
        </w:rPr>
        <w:t xml:space="preserve">s sociales en lo que </w:t>
      </w:r>
      <w:r w:rsidRPr="00CA0370" w:rsidR="00F875C1">
        <w:rPr>
          <w:rFonts w:ascii="Arial" w:hAnsi="Arial" w:cs="Arial"/>
          <w:sz w:val="22"/>
          <w:szCs w:val="22"/>
          <w:lang w:val="es-ES_tradnl"/>
        </w:rPr>
        <w:t xml:space="preserve">respecta </w:t>
      </w:r>
      <w:r w:rsidRPr="00CA0370" w:rsidR="00380511">
        <w:rPr>
          <w:rFonts w:ascii="Arial" w:hAnsi="Arial" w:cs="Arial"/>
          <w:sz w:val="22"/>
          <w:szCs w:val="22"/>
          <w:lang w:val="es-ES_tradnl"/>
        </w:rPr>
        <w:t xml:space="preserve">a </w:t>
      </w:r>
      <w:r w:rsidRPr="00CA0370" w:rsidR="00F875C1">
        <w:rPr>
          <w:rFonts w:ascii="Arial" w:hAnsi="Arial" w:cs="Arial"/>
          <w:sz w:val="22"/>
          <w:szCs w:val="22"/>
          <w:lang w:val="es-ES_tradnl"/>
        </w:rPr>
        <w:t xml:space="preserve">los niveles de inversión y </w:t>
      </w:r>
      <w:r w:rsidRPr="00CA0370">
        <w:rPr>
          <w:rFonts w:ascii="Arial" w:hAnsi="Arial" w:cs="Arial"/>
          <w:sz w:val="22"/>
          <w:szCs w:val="22"/>
          <w:lang w:val="es-ES_tradnl"/>
        </w:rPr>
        <w:t>costo</w:t>
      </w:r>
      <w:r w:rsidRPr="00CA0370" w:rsidR="00380511">
        <w:rPr>
          <w:rFonts w:ascii="Arial" w:hAnsi="Arial" w:cs="Arial"/>
          <w:sz w:val="22"/>
          <w:szCs w:val="22"/>
          <w:lang w:val="es-ES_tradnl"/>
        </w:rPr>
        <w:t>s de operación.</w:t>
      </w:r>
    </w:p>
    <w:p w:rsidRPr="00CA0370" w:rsidR="00380511" w:rsidP="00333FBE" w:rsidRDefault="00380511" w14:paraId="1249D408" w14:textId="0E04D43A">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Beneficios.</w:t>
      </w:r>
      <w:r w:rsidRPr="00CA0370">
        <w:rPr>
          <w:rFonts w:ascii="Arial" w:hAnsi="Arial" w:cs="Arial"/>
          <w:sz w:val="22"/>
          <w:szCs w:val="22"/>
          <w:lang w:val="es-ES_tradnl"/>
        </w:rPr>
        <w:t xml:space="preserve"> Además de los ingresos apropiables (privados) que surgen de </w:t>
      </w:r>
      <w:r w:rsidRPr="00CA0370" w:rsidR="007B2AA0">
        <w:rPr>
          <w:rFonts w:ascii="Arial" w:hAnsi="Arial" w:cs="Arial"/>
          <w:sz w:val="22"/>
          <w:szCs w:val="22"/>
          <w:lang w:val="es-ES_tradnl"/>
        </w:rPr>
        <w:t xml:space="preserve">los proyectos en </w:t>
      </w:r>
      <w:r w:rsidRPr="00CA0370" w:rsidR="00A61CFB">
        <w:rPr>
          <w:rFonts w:ascii="Arial" w:hAnsi="Arial" w:cs="Arial"/>
          <w:sz w:val="22"/>
          <w:szCs w:val="22"/>
          <w:lang w:val="es-ES_tradnl"/>
        </w:rPr>
        <w:t>términos de rentabilidad</w:t>
      </w:r>
      <w:r w:rsidRPr="00CA0370" w:rsidR="007B2AA0">
        <w:rPr>
          <w:rFonts w:ascii="Arial" w:hAnsi="Arial" w:cs="Arial"/>
          <w:sz w:val="22"/>
          <w:szCs w:val="22"/>
          <w:lang w:val="es-ES_tradnl"/>
        </w:rPr>
        <w:t xml:space="preserve">, es importante </w:t>
      </w:r>
      <w:r w:rsidRPr="00CA0370" w:rsidR="00F875C1">
        <w:rPr>
          <w:rFonts w:ascii="Arial" w:hAnsi="Arial" w:cs="Arial"/>
          <w:sz w:val="22"/>
          <w:szCs w:val="22"/>
          <w:lang w:val="es-ES_tradnl"/>
        </w:rPr>
        <w:t>tener en</w:t>
      </w:r>
      <w:r w:rsidRPr="00CA0370" w:rsidR="00EC6186">
        <w:rPr>
          <w:rFonts w:ascii="Arial" w:hAnsi="Arial" w:cs="Arial"/>
          <w:sz w:val="22"/>
          <w:szCs w:val="22"/>
          <w:lang w:val="es-ES_tradnl"/>
        </w:rPr>
        <w:t xml:space="preserve"> cuenta </w:t>
      </w:r>
      <w:r w:rsidRPr="00CA0370" w:rsidR="007B2AA0">
        <w:rPr>
          <w:rFonts w:ascii="Arial" w:hAnsi="Arial" w:cs="Arial"/>
          <w:sz w:val="22"/>
          <w:szCs w:val="22"/>
          <w:lang w:val="es-ES_tradnl"/>
        </w:rPr>
        <w:t>los beneficios sociales. Estos beneficios sociale</w:t>
      </w:r>
      <w:r w:rsidRPr="00CA0370" w:rsidR="00EC6186">
        <w:rPr>
          <w:rFonts w:ascii="Arial" w:hAnsi="Arial" w:cs="Arial"/>
          <w:sz w:val="22"/>
          <w:szCs w:val="22"/>
          <w:lang w:val="es-ES_tradnl"/>
        </w:rPr>
        <w:t xml:space="preserve">s se </w:t>
      </w:r>
      <w:r w:rsidRPr="00CA0370" w:rsidR="00123074">
        <w:rPr>
          <w:rFonts w:ascii="Arial" w:hAnsi="Arial" w:cs="Arial"/>
          <w:sz w:val="22"/>
          <w:szCs w:val="22"/>
          <w:lang w:val="es-ES_tradnl"/>
        </w:rPr>
        <w:t xml:space="preserve">derivan fundamentalmente </w:t>
      </w:r>
      <w:r w:rsidRPr="00CA0370" w:rsidR="00123074">
        <w:rPr>
          <w:rFonts w:ascii="Arial" w:hAnsi="Arial" w:cs="Arial"/>
          <w:sz w:val="22"/>
          <w:szCs w:val="22"/>
          <w:lang w:val="es-ES_tradnl"/>
        </w:rPr>
        <w:lastRenderedPageBreak/>
        <w:t>de resultados del proyecto vinculados al i</w:t>
      </w:r>
      <w:r w:rsidRPr="00CA0370" w:rsidR="00EC6186">
        <w:rPr>
          <w:rFonts w:ascii="Arial" w:hAnsi="Arial" w:cs="Arial"/>
          <w:sz w:val="22"/>
          <w:szCs w:val="22"/>
          <w:lang w:val="es-ES_tradnl"/>
        </w:rPr>
        <w:t xml:space="preserve">ncremento de la producción agroforestal </w:t>
      </w:r>
      <w:r w:rsidRPr="00CA0370" w:rsidR="00123074">
        <w:rPr>
          <w:rFonts w:ascii="Arial" w:hAnsi="Arial" w:cs="Arial"/>
          <w:sz w:val="22"/>
          <w:szCs w:val="22"/>
          <w:lang w:val="es-ES_tradnl"/>
        </w:rPr>
        <w:t xml:space="preserve">y al </w:t>
      </w:r>
      <w:r w:rsidRPr="00CA0370" w:rsidR="00EC6186">
        <w:rPr>
          <w:rFonts w:ascii="Arial" w:hAnsi="Arial" w:cs="Arial"/>
          <w:sz w:val="22"/>
          <w:szCs w:val="22"/>
          <w:lang w:val="es-ES_tradnl"/>
        </w:rPr>
        <w:t>flujo de viajeros en la zona intervenida</w:t>
      </w:r>
      <w:r w:rsidRPr="00CA0370" w:rsidR="00123074">
        <w:rPr>
          <w:rFonts w:ascii="Arial" w:hAnsi="Arial" w:cs="Arial"/>
          <w:sz w:val="22"/>
          <w:szCs w:val="22"/>
          <w:lang w:val="es-ES_tradnl"/>
        </w:rPr>
        <w:t xml:space="preserve">. No obstante, también es relevante, aunque queden fuera del </w:t>
      </w:r>
      <w:r w:rsidRPr="00CA0370" w:rsidR="00373E2D">
        <w:rPr>
          <w:rFonts w:ascii="Arial" w:hAnsi="Arial" w:cs="Arial"/>
          <w:sz w:val="22"/>
          <w:szCs w:val="22"/>
          <w:lang w:val="es-ES_tradnl"/>
        </w:rPr>
        <w:t>cómputo</w:t>
      </w:r>
      <w:r w:rsidRPr="00CA0370" w:rsidR="00123074">
        <w:rPr>
          <w:rFonts w:ascii="Arial" w:hAnsi="Arial" w:cs="Arial"/>
          <w:sz w:val="22"/>
          <w:szCs w:val="22"/>
          <w:lang w:val="es-ES_tradnl"/>
        </w:rPr>
        <w:t xml:space="preserve"> del análisis económico, tener en cuenta potenciales beneficios adicionales </w:t>
      </w:r>
      <w:r w:rsidRPr="00CA0370" w:rsidR="00EC6186">
        <w:rPr>
          <w:rFonts w:ascii="Arial" w:hAnsi="Arial" w:cs="Arial"/>
          <w:sz w:val="22"/>
          <w:szCs w:val="22"/>
          <w:lang w:val="es-ES_tradnl"/>
        </w:rPr>
        <w:t xml:space="preserve">de </w:t>
      </w:r>
      <w:r w:rsidRPr="00CA0370" w:rsidR="008A4E8E">
        <w:rPr>
          <w:rFonts w:ascii="Arial" w:hAnsi="Arial" w:cs="Arial"/>
          <w:sz w:val="22"/>
          <w:szCs w:val="22"/>
          <w:lang w:val="es-ES_tradnl"/>
        </w:rPr>
        <w:t xml:space="preserve">impactos a largo plazo </w:t>
      </w:r>
      <w:r w:rsidRPr="00CA0370" w:rsidR="007B2AA0">
        <w:rPr>
          <w:rFonts w:ascii="Arial" w:hAnsi="Arial" w:cs="Arial"/>
          <w:sz w:val="22"/>
          <w:szCs w:val="22"/>
          <w:lang w:val="es-ES_tradnl"/>
        </w:rPr>
        <w:t xml:space="preserve">en </w:t>
      </w:r>
      <w:r w:rsidRPr="00CA0370" w:rsidR="008A4E8E">
        <w:rPr>
          <w:rFonts w:ascii="Arial" w:hAnsi="Arial" w:cs="Arial"/>
          <w:sz w:val="22"/>
          <w:szCs w:val="22"/>
          <w:lang w:val="es-ES_tradnl"/>
        </w:rPr>
        <w:t xml:space="preserve">forma de incrementos de productividad, exportaciones para las empresas y </w:t>
      </w:r>
      <w:r w:rsidRPr="00CA0370" w:rsidR="00A61CFB">
        <w:rPr>
          <w:rFonts w:ascii="Arial" w:hAnsi="Arial" w:cs="Arial"/>
          <w:sz w:val="22"/>
          <w:szCs w:val="22"/>
          <w:lang w:val="es-ES_tradnl"/>
        </w:rPr>
        <w:t>mejora de la calidad de las infraestructuras de transporte.</w:t>
      </w:r>
    </w:p>
    <w:p w:rsidRPr="00CA0370" w:rsidR="00924DCA" w:rsidP="00333FBE" w:rsidRDefault="00924DCA" w14:paraId="3557FC24" w14:textId="0BBF9948">
      <w:pPr>
        <w:pStyle w:val="subpar"/>
        <w:tabs>
          <w:tab w:val="clear" w:pos="2304"/>
          <w:tab w:val="num" w:pos="1152"/>
        </w:tabs>
        <w:ind w:left="1152"/>
        <w:rPr>
          <w:rFonts w:ascii="Arial" w:hAnsi="Arial" w:cs="Arial"/>
          <w:sz w:val="22"/>
          <w:szCs w:val="22"/>
          <w:lang w:val="es-ES_tradnl"/>
        </w:rPr>
      </w:pPr>
      <w:r w:rsidRPr="00CA0370">
        <w:rPr>
          <w:rFonts w:ascii="Arial" w:hAnsi="Arial" w:cs="Arial"/>
          <w:sz w:val="22"/>
          <w:szCs w:val="22"/>
          <w:lang w:val="es-ES_tradnl"/>
        </w:rPr>
        <w:t xml:space="preserve">Operación en condiciones de mercado. Cabe notar en particular </w:t>
      </w:r>
      <w:r w:rsidRPr="00CA0370" w:rsidR="00E34CAE">
        <w:rPr>
          <w:rFonts w:ascii="Arial" w:hAnsi="Arial" w:cs="Arial"/>
          <w:sz w:val="22"/>
          <w:szCs w:val="22"/>
          <w:lang w:val="es-ES_tradnl"/>
        </w:rPr>
        <w:t>que,</w:t>
      </w:r>
      <w:r w:rsidRPr="00CA0370">
        <w:rPr>
          <w:rFonts w:ascii="Arial" w:hAnsi="Arial" w:cs="Arial"/>
          <w:sz w:val="22"/>
          <w:szCs w:val="22"/>
          <w:lang w:val="es-ES_tradnl"/>
        </w:rPr>
        <w:t xml:space="preserve"> dado que las operaciones en el </w:t>
      </w:r>
      <w:r w:rsidRPr="00CA0370" w:rsidR="008A4E8E">
        <w:rPr>
          <w:rFonts w:ascii="Arial" w:hAnsi="Arial" w:cs="Arial"/>
          <w:sz w:val="22"/>
          <w:szCs w:val="22"/>
          <w:lang w:val="es-ES_tradnl"/>
        </w:rPr>
        <w:t>primer</w:t>
      </w:r>
      <w:r w:rsidRPr="00CA0370">
        <w:rPr>
          <w:rFonts w:ascii="Arial" w:hAnsi="Arial" w:cs="Arial"/>
          <w:sz w:val="22"/>
          <w:szCs w:val="22"/>
          <w:lang w:val="es-ES_tradnl"/>
        </w:rPr>
        <w:t xml:space="preserve"> componente toman lugar en condiciones de mercado, no se esperan distorsiones mayores que justifiquen el cálculo de flujos diferenciales para llegar a los valores sociales.</w:t>
      </w:r>
    </w:p>
    <w:p w:rsidRPr="00CA0370" w:rsidR="00924DCA" w:rsidP="00333FBE" w:rsidRDefault="00924DCA" w14:paraId="0B70C4A0" w14:textId="302C3207">
      <w:pPr>
        <w:pStyle w:val="subpar"/>
        <w:tabs>
          <w:tab w:val="clear" w:pos="2304"/>
          <w:tab w:val="num" w:pos="1152"/>
        </w:tabs>
        <w:ind w:left="1152"/>
        <w:rPr>
          <w:rFonts w:ascii="Arial" w:hAnsi="Arial" w:cs="Arial"/>
          <w:sz w:val="22"/>
          <w:szCs w:val="22"/>
          <w:lang w:val="es-ES_tradnl"/>
        </w:rPr>
      </w:pPr>
      <w:r w:rsidRPr="00CA0370">
        <w:rPr>
          <w:rFonts w:ascii="Arial" w:hAnsi="Arial" w:cs="Arial"/>
          <w:sz w:val="22"/>
          <w:szCs w:val="22"/>
          <w:lang w:val="es-ES_tradnl"/>
        </w:rPr>
        <w:t xml:space="preserve">Tamaño de los proyectos. De importancia para el análisis del </w:t>
      </w:r>
      <w:r w:rsidRPr="00CA0370" w:rsidR="008A4E8E">
        <w:rPr>
          <w:rFonts w:ascii="Arial" w:hAnsi="Arial" w:cs="Arial"/>
          <w:sz w:val="22"/>
          <w:szCs w:val="22"/>
          <w:lang w:val="es-ES_tradnl"/>
        </w:rPr>
        <w:t xml:space="preserve">primer </w:t>
      </w:r>
      <w:r w:rsidRPr="00CA0370">
        <w:rPr>
          <w:rFonts w:ascii="Arial" w:hAnsi="Arial" w:cs="Arial"/>
          <w:sz w:val="22"/>
          <w:szCs w:val="22"/>
          <w:lang w:val="es-ES_tradnl"/>
        </w:rPr>
        <w:t>componente es el hecho de que las intervenciones son relativamente pequeñas cuando se tiene en cuenta que las produccione</w:t>
      </w:r>
      <w:r w:rsidRPr="00CA0370" w:rsidR="00E52EB6">
        <w:rPr>
          <w:rFonts w:ascii="Arial" w:hAnsi="Arial" w:cs="Arial"/>
          <w:sz w:val="22"/>
          <w:szCs w:val="22"/>
          <w:lang w:val="es-ES_tradnl"/>
        </w:rPr>
        <w:t xml:space="preserve">s </w:t>
      </w:r>
      <w:r w:rsidRPr="00CA0370" w:rsidR="008A4E8E">
        <w:rPr>
          <w:rFonts w:ascii="Arial" w:hAnsi="Arial" w:cs="Arial"/>
          <w:sz w:val="22"/>
          <w:szCs w:val="22"/>
          <w:lang w:val="es-ES_tradnl"/>
        </w:rPr>
        <w:t>son predominantemente</w:t>
      </w:r>
      <w:r w:rsidRPr="00CA0370" w:rsidR="00E52EB6">
        <w:rPr>
          <w:rFonts w:ascii="Arial" w:hAnsi="Arial" w:cs="Arial"/>
          <w:sz w:val="22"/>
          <w:szCs w:val="22"/>
          <w:lang w:val="es-ES_tradnl"/>
        </w:rPr>
        <w:t xml:space="preserve"> </w:t>
      </w:r>
      <w:r w:rsidRPr="00CA0370">
        <w:rPr>
          <w:rFonts w:ascii="Arial" w:hAnsi="Arial" w:cs="Arial"/>
          <w:sz w:val="22"/>
          <w:szCs w:val="22"/>
          <w:lang w:val="es-ES_tradnl"/>
        </w:rPr>
        <w:t xml:space="preserve">destinadas a mercados </w:t>
      </w:r>
      <w:r w:rsidRPr="00CA0370" w:rsidR="008A4E8E">
        <w:rPr>
          <w:rFonts w:ascii="Arial" w:hAnsi="Arial" w:cs="Arial"/>
          <w:sz w:val="22"/>
          <w:szCs w:val="22"/>
          <w:lang w:val="es-ES_tradnl"/>
        </w:rPr>
        <w:t>donde los</w:t>
      </w:r>
      <w:r w:rsidRPr="00CA0370">
        <w:rPr>
          <w:rFonts w:ascii="Arial" w:hAnsi="Arial" w:cs="Arial"/>
          <w:sz w:val="22"/>
          <w:szCs w:val="22"/>
          <w:lang w:val="es-ES_tradnl"/>
        </w:rPr>
        <w:t xml:space="preserve"> precios </w:t>
      </w:r>
      <w:r w:rsidRPr="00CA0370" w:rsidR="008A4E8E">
        <w:rPr>
          <w:rFonts w:ascii="Arial" w:hAnsi="Arial" w:cs="Arial"/>
          <w:sz w:val="22"/>
          <w:szCs w:val="22"/>
          <w:lang w:val="es-ES_tradnl"/>
        </w:rPr>
        <w:t xml:space="preserve">son </w:t>
      </w:r>
      <w:r w:rsidRPr="00CA0370">
        <w:rPr>
          <w:rFonts w:ascii="Arial" w:hAnsi="Arial" w:cs="Arial"/>
          <w:sz w:val="22"/>
          <w:szCs w:val="22"/>
          <w:lang w:val="es-ES_tradnl"/>
        </w:rPr>
        <w:t xml:space="preserve">determinados internacionalmente. Es decir, </w:t>
      </w:r>
      <w:r w:rsidRPr="00CA0370" w:rsidR="008A4E8E">
        <w:rPr>
          <w:rFonts w:ascii="Arial" w:hAnsi="Arial" w:cs="Arial"/>
          <w:sz w:val="22"/>
          <w:szCs w:val="22"/>
          <w:lang w:val="es-ES_tradnl"/>
        </w:rPr>
        <w:t>se esperarían</w:t>
      </w:r>
      <w:r w:rsidRPr="00CA0370">
        <w:rPr>
          <w:rFonts w:ascii="Arial" w:hAnsi="Arial" w:cs="Arial"/>
          <w:sz w:val="22"/>
          <w:szCs w:val="22"/>
          <w:lang w:val="es-ES_tradnl"/>
        </w:rPr>
        <w:t xml:space="preserve"> mo</w:t>
      </w:r>
      <w:r w:rsidRPr="00CA0370" w:rsidR="008A4E8E">
        <w:rPr>
          <w:rFonts w:ascii="Arial" w:hAnsi="Arial" w:cs="Arial"/>
          <w:sz w:val="22"/>
          <w:szCs w:val="22"/>
          <w:lang w:val="es-ES_tradnl"/>
        </w:rPr>
        <w:t>dificaciones en la producción de otras empresas</w:t>
      </w:r>
      <w:r w:rsidRPr="00CA0370">
        <w:rPr>
          <w:rFonts w:ascii="Arial" w:hAnsi="Arial" w:cs="Arial"/>
          <w:sz w:val="22"/>
          <w:szCs w:val="22"/>
          <w:lang w:val="es-ES_tradnl"/>
        </w:rPr>
        <w:t xml:space="preserve"> a partir de modificaciones en los precios.</w:t>
      </w:r>
    </w:p>
    <w:p w:rsidRPr="00CA0370" w:rsidR="00E720AE" w:rsidP="00333FBE" w:rsidRDefault="00E720AE" w14:paraId="0033F5E9" w14:textId="74652AD6">
      <w:pPr>
        <w:pStyle w:val="subpar"/>
        <w:tabs>
          <w:tab w:val="clear" w:pos="2304"/>
          <w:tab w:val="num" w:pos="1152"/>
        </w:tabs>
        <w:ind w:left="1152"/>
        <w:rPr>
          <w:rFonts w:ascii="Arial" w:hAnsi="Arial" w:cs="Arial"/>
          <w:sz w:val="22"/>
          <w:szCs w:val="22"/>
          <w:lang w:val="es-ES_tradnl"/>
        </w:rPr>
      </w:pPr>
      <w:r w:rsidRPr="00CA0370">
        <w:rPr>
          <w:rFonts w:ascii="Arial" w:hAnsi="Arial" w:cs="Arial"/>
          <w:sz w:val="22"/>
          <w:szCs w:val="22"/>
          <w:lang w:val="es-ES_tradnl"/>
        </w:rPr>
        <w:t>Siguiendo las recomendaciones del “</w:t>
      </w:r>
      <w:r w:rsidRPr="00CA0370">
        <w:rPr>
          <w:rFonts w:ascii="Arial" w:hAnsi="Arial" w:cs="Arial"/>
          <w:i/>
          <w:sz w:val="22"/>
          <w:szCs w:val="22"/>
          <w:lang w:val="es-ES_tradnl"/>
        </w:rPr>
        <w:t>Toolkit for the application of the DEM</w:t>
      </w:r>
      <w:r w:rsidRPr="00CA0370" w:rsidR="008A4E8E">
        <w:rPr>
          <w:rFonts w:ascii="Arial" w:hAnsi="Arial" w:cs="Arial"/>
          <w:sz w:val="22"/>
          <w:szCs w:val="22"/>
          <w:lang w:val="es-ES_tradnl"/>
        </w:rPr>
        <w:t xml:space="preserve">”, el </w:t>
      </w:r>
      <w:r w:rsidRPr="00CA0370" w:rsidR="00B4631C">
        <w:rPr>
          <w:rFonts w:ascii="Arial" w:hAnsi="Arial" w:cs="Arial"/>
          <w:sz w:val="22"/>
          <w:szCs w:val="22"/>
          <w:lang w:val="es-ES_tradnl"/>
        </w:rPr>
        <w:t>ACB</w:t>
      </w:r>
      <w:r w:rsidRPr="00CA0370">
        <w:rPr>
          <w:rFonts w:ascii="Arial" w:hAnsi="Arial" w:cs="Arial"/>
          <w:sz w:val="22"/>
          <w:szCs w:val="22"/>
          <w:lang w:val="es-ES_tradnl"/>
        </w:rPr>
        <w:t xml:space="preserve"> ex</w:t>
      </w:r>
      <w:r w:rsidRPr="00CA0370" w:rsidR="007E63A6">
        <w:rPr>
          <w:rFonts w:ascii="Arial" w:hAnsi="Arial" w:cs="Arial"/>
          <w:sz w:val="22"/>
          <w:szCs w:val="22"/>
          <w:lang w:val="es-ES_tradnl"/>
        </w:rPr>
        <w:t> </w:t>
      </w:r>
      <w:r w:rsidRPr="00CA0370">
        <w:rPr>
          <w:rFonts w:ascii="Arial" w:hAnsi="Arial" w:cs="Arial"/>
          <w:sz w:val="22"/>
          <w:szCs w:val="22"/>
          <w:lang w:val="es-ES_tradnl"/>
        </w:rPr>
        <w:t xml:space="preserve">post utiliza el mismo marco definido en el </w:t>
      </w:r>
      <w:r w:rsidRPr="00CA0370" w:rsidR="00B4631C">
        <w:rPr>
          <w:rFonts w:ascii="Arial" w:hAnsi="Arial" w:cs="Arial"/>
          <w:sz w:val="22"/>
          <w:szCs w:val="22"/>
          <w:lang w:val="es-ES_tradnl"/>
        </w:rPr>
        <w:t xml:space="preserve">ACB </w:t>
      </w:r>
      <w:r w:rsidRPr="00CA0370">
        <w:rPr>
          <w:rFonts w:ascii="Arial" w:hAnsi="Arial" w:cs="Arial"/>
          <w:sz w:val="22"/>
          <w:szCs w:val="22"/>
          <w:lang w:val="es-ES_tradnl"/>
        </w:rPr>
        <w:t>ex</w:t>
      </w:r>
      <w:r w:rsidRPr="00CA0370" w:rsidR="00EE6D04">
        <w:rPr>
          <w:rFonts w:ascii="Arial" w:hAnsi="Arial" w:cs="Arial"/>
          <w:sz w:val="22"/>
          <w:szCs w:val="22"/>
          <w:lang w:val="es-ES_tradnl"/>
        </w:rPr>
        <w:t> </w:t>
      </w:r>
      <w:r w:rsidRPr="00CA0370">
        <w:rPr>
          <w:rFonts w:ascii="Arial" w:hAnsi="Arial" w:cs="Arial"/>
          <w:sz w:val="22"/>
          <w:szCs w:val="22"/>
          <w:lang w:val="es-ES_tradnl"/>
        </w:rPr>
        <w:t>ante reemplazando valores supuestos con valores realizados. Al momento de realizar estos anexos, la situación contrafactual contiene las mejores proyecciones que pueden realizarse dentro de las limitaciones de conocim</w:t>
      </w:r>
      <w:r w:rsidRPr="00CA0370" w:rsidR="00E6019E">
        <w:rPr>
          <w:rFonts w:ascii="Arial" w:hAnsi="Arial" w:cs="Arial"/>
          <w:sz w:val="22"/>
          <w:szCs w:val="22"/>
          <w:lang w:val="es-ES_tradnl"/>
        </w:rPr>
        <w:t>i</w:t>
      </w:r>
      <w:r w:rsidRPr="00CA0370">
        <w:rPr>
          <w:rFonts w:ascii="Arial" w:hAnsi="Arial" w:cs="Arial"/>
          <w:sz w:val="22"/>
          <w:szCs w:val="22"/>
          <w:lang w:val="es-ES_tradnl"/>
        </w:rPr>
        <w:t>ento y recursos enfrentadas.</w:t>
      </w:r>
    </w:p>
    <w:p w:rsidRPr="00CA0370" w:rsidR="00576222" w:rsidP="00333FBE" w:rsidRDefault="00576222" w14:paraId="646D9F91" w14:textId="68293B37">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 xml:space="preserve">Información a recolectar. </w:t>
      </w:r>
      <w:r w:rsidRPr="00CA0370" w:rsidR="000C79A4">
        <w:rPr>
          <w:rFonts w:ascii="Arial" w:hAnsi="Arial" w:cs="Arial"/>
          <w:sz w:val="22"/>
          <w:szCs w:val="22"/>
          <w:lang w:val="es-ES_tradnl"/>
        </w:rPr>
        <w:t xml:space="preserve">Dado que el </w:t>
      </w:r>
      <w:r w:rsidRPr="00CA0370" w:rsidR="0090178B">
        <w:rPr>
          <w:rFonts w:ascii="Arial" w:hAnsi="Arial" w:cs="Arial"/>
          <w:sz w:val="22"/>
          <w:szCs w:val="22"/>
          <w:lang w:val="es-ES_tradnl"/>
        </w:rPr>
        <w:t>ACB</w:t>
      </w:r>
      <w:r w:rsidRPr="00CA0370" w:rsidR="000C79A4">
        <w:rPr>
          <w:rFonts w:ascii="Arial" w:hAnsi="Arial" w:cs="Arial"/>
          <w:sz w:val="22"/>
          <w:szCs w:val="22"/>
          <w:lang w:val="es-ES_tradnl"/>
        </w:rPr>
        <w:t xml:space="preserve"> ex</w:t>
      </w:r>
      <w:r w:rsidRPr="00CA0370" w:rsidR="00E6019E">
        <w:rPr>
          <w:rFonts w:ascii="Arial" w:hAnsi="Arial" w:cs="Arial"/>
          <w:sz w:val="22"/>
          <w:szCs w:val="22"/>
          <w:lang w:val="es-ES_tradnl"/>
        </w:rPr>
        <w:t xml:space="preserve"> </w:t>
      </w:r>
      <w:r w:rsidRPr="00CA0370" w:rsidR="000C79A4">
        <w:rPr>
          <w:rFonts w:ascii="Arial" w:hAnsi="Arial" w:cs="Arial"/>
          <w:sz w:val="22"/>
          <w:szCs w:val="22"/>
          <w:lang w:val="es-ES_tradnl"/>
        </w:rPr>
        <w:t xml:space="preserve">post busca replicar el </w:t>
      </w:r>
      <w:r w:rsidRPr="00CA0370" w:rsidR="0090178B">
        <w:rPr>
          <w:rFonts w:ascii="Arial" w:hAnsi="Arial" w:cs="Arial"/>
          <w:sz w:val="22"/>
          <w:szCs w:val="22"/>
          <w:lang w:val="es-ES_tradnl"/>
        </w:rPr>
        <w:t>ACB</w:t>
      </w:r>
      <w:r w:rsidRPr="00CA0370" w:rsidR="008A4E8E">
        <w:rPr>
          <w:rFonts w:ascii="Arial" w:hAnsi="Arial" w:cs="Arial"/>
          <w:sz w:val="22"/>
          <w:szCs w:val="22"/>
          <w:lang w:val="es-ES_tradnl"/>
        </w:rPr>
        <w:t xml:space="preserve"> ex</w:t>
      </w:r>
      <w:r w:rsidRPr="00CA0370" w:rsidR="007E63A6">
        <w:rPr>
          <w:rFonts w:ascii="Arial" w:hAnsi="Arial" w:cs="Arial"/>
          <w:sz w:val="22"/>
          <w:szCs w:val="22"/>
          <w:lang w:val="es-ES_tradnl"/>
        </w:rPr>
        <w:t> </w:t>
      </w:r>
      <w:r w:rsidRPr="00CA0370" w:rsidR="008A4E8E">
        <w:rPr>
          <w:rFonts w:ascii="Arial" w:hAnsi="Arial" w:cs="Arial"/>
          <w:sz w:val="22"/>
          <w:szCs w:val="22"/>
          <w:lang w:val="es-ES_tradnl"/>
        </w:rPr>
        <w:t>ante,</w:t>
      </w:r>
      <w:r w:rsidRPr="00CA0370" w:rsidR="000C79A4">
        <w:rPr>
          <w:rFonts w:ascii="Arial" w:hAnsi="Arial" w:cs="Arial"/>
          <w:sz w:val="22"/>
          <w:szCs w:val="22"/>
          <w:lang w:val="es-ES_tradnl"/>
        </w:rPr>
        <w:t xml:space="preserve"> pero reemplazando valores supuestos o estimados con valores efectivamente verificados, la información a recolectar se corresponde a la información utilizad</w:t>
      </w:r>
      <w:r w:rsidRPr="00CA0370" w:rsidR="002816A4">
        <w:rPr>
          <w:rFonts w:ascii="Arial" w:hAnsi="Arial" w:cs="Arial"/>
          <w:sz w:val="22"/>
          <w:szCs w:val="22"/>
          <w:lang w:val="es-ES_tradnl"/>
        </w:rPr>
        <w:t>a en el cómputo del análisis ex </w:t>
      </w:r>
      <w:r w:rsidRPr="00CA0370" w:rsidR="000C79A4">
        <w:rPr>
          <w:rFonts w:ascii="Arial" w:hAnsi="Arial" w:cs="Arial"/>
          <w:sz w:val="22"/>
          <w:szCs w:val="22"/>
          <w:lang w:val="es-ES_tradnl"/>
        </w:rPr>
        <w:t xml:space="preserve">ante. </w:t>
      </w:r>
      <w:r w:rsidRPr="00CA0370" w:rsidR="00FE7B4B">
        <w:rPr>
          <w:rFonts w:ascii="Arial" w:hAnsi="Arial" w:cs="Arial"/>
          <w:sz w:val="22"/>
          <w:szCs w:val="22"/>
          <w:lang w:val="es-ES_tradnl"/>
        </w:rPr>
        <w:t>De manera resumida</w:t>
      </w:r>
      <w:r w:rsidRPr="00CA0370" w:rsidR="000C79A4">
        <w:rPr>
          <w:rFonts w:ascii="Arial" w:hAnsi="Arial" w:cs="Arial"/>
          <w:sz w:val="22"/>
          <w:szCs w:val="22"/>
          <w:lang w:val="es-ES_tradnl"/>
        </w:rPr>
        <w:t xml:space="preserve"> </w:t>
      </w:r>
      <w:r w:rsidRPr="00CA0370" w:rsidR="00FE7B4B">
        <w:rPr>
          <w:rFonts w:ascii="Arial" w:hAnsi="Arial" w:cs="Arial"/>
          <w:sz w:val="22"/>
          <w:szCs w:val="22"/>
          <w:lang w:val="es-ES_tradnl"/>
        </w:rPr>
        <w:t>se menciona</w:t>
      </w:r>
      <w:r w:rsidRPr="00CA0370" w:rsidR="00E6019E">
        <w:rPr>
          <w:rFonts w:ascii="Arial" w:hAnsi="Arial" w:cs="Arial"/>
          <w:sz w:val="22"/>
          <w:szCs w:val="22"/>
          <w:lang w:val="es-ES_tradnl"/>
        </w:rPr>
        <w:t xml:space="preserve"> </w:t>
      </w:r>
      <w:r w:rsidRPr="00CA0370" w:rsidR="00B07804">
        <w:rPr>
          <w:rFonts w:ascii="Arial" w:hAnsi="Arial" w:cs="Arial"/>
          <w:sz w:val="22"/>
          <w:szCs w:val="22"/>
          <w:lang w:val="es-ES_tradnl"/>
        </w:rPr>
        <w:t xml:space="preserve">brevemente </w:t>
      </w:r>
      <w:r w:rsidRPr="00CA0370" w:rsidR="00CE6358">
        <w:rPr>
          <w:rFonts w:ascii="Arial" w:hAnsi="Arial" w:cs="Arial"/>
          <w:sz w:val="22"/>
          <w:szCs w:val="22"/>
          <w:lang w:val="es-ES_tradnl"/>
        </w:rPr>
        <w:t>en los dos siguientes numerales</w:t>
      </w:r>
      <w:r w:rsidRPr="00CA0370" w:rsidR="00FE7B4B">
        <w:rPr>
          <w:rFonts w:ascii="Arial" w:hAnsi="Arial" w:cs="Arial"/>
          <w:sz w:val="22"/>
          <w:szCs w:val="22"/>
          <w:lang w:val="es-ES_tradnl"/>
        </w:rPr>
        <w:t xml:space="preserve"> la información requerida en cada uno de los componentes del programa</w:t>
      </w:r>
      <w:r w:rsidRPr="00CA0370" w:rsidR="00CE6358">
        <w:rPr>
          <w:rFonts w:ascii="Arial" w:hAnsi="Arial" w:cs="Arial"/>
          <w:sz w:val="22"/>
          <w:szCs w:val="22"/>
          <w:lang w:val="es-ES_tradnl"/>
        </w:rPr>
        <w:t>. Así mismo, p</w:t>
      </w:r>
      <w:r w:rsidRPr="00CA0370" w:rsidR="000C79A4">
        <w:rPr>
          <w:rFonts w:ascii="Arial" w:hAnsi="Arial" w:cs="Arial"/>
          <w:sz w:val="22"/>
          <w:szCs w:val="22"/>
          <w:lang w:val="es-ES_tradnl"/>
        </w:rPr>
        <w:t>ara mayor detalle ver</w:t>
      </w:r>
      <w:r w:rsidRPr="00CA0370" w:rsidR="00CE6358">
        <w:rPr>
          <w:rFonts w:ascii="Arial" w:hAnsi="Arial" w:cs="Arial"/>
          <w:sz w:val="22"/>
          <w:szCs w:val="22"/>
          <w:lang w:val="es-ES_tradnl"/>
        </w:rPr>
        <w:t xml:space="preserve"> anexo análisis de </w:t>
      </w:r>
      <w:r w:rsidRPr="00CA0370" w:rsidR="002816A4">
        <w:rPr>
          <w:rFonts w:ascii="Arial" w:hAnsi="Arial" w:cs="Arial"/>
          <w:sz w:val="22"/>
          <w:szCs w:val="22"/>
          <w:lang w:val="es-ES_tradnl"/>
        </w:rPr>
        <w:t>costo</w:t>
      </w:r>
      <w:r w:rsidRPr="00CA0370" w:rsidR="00CE6358">
        <w:rPr>
          <w:rFonts w:ascii="Arial" w:hAnsi="Arial" w:cs="Arial"/>
          <w:sz w:val="22"/>
          <w:szCs w:val="22"/>
          <w:lang w:val="es-ES_tradnl"/>
        </w:rPr>
        <w:t xml:space="preserve"> beneficio.</w:t>
      </w:r>
      <w:r w:rsidRPr="00CA0370" w:rsidR="000C79A4">
        <w:rPr>
          <w:rFonts w:ascii="Arial" w:hAnsi="Arial" w:cs="Arial"/>
          <w:sz w:val="22"/>
          <w:szCs w:val="22"/>
          <w:lang w:val="es-ES_tradnl"/>
        </w:rPr>
        <w:t xml:space="preserve"> </w:t>
      </w:r>
    </w:p>
    <w:p w:rsidRPr="00CA0370" w:rsidR="00994C70" w:rsidP="00994C70" w:rsidRDefault="00BC4726" w14:paraId="00990787" w14:textId="10D1A757">
      <w:pPr>
        <w:pStyle w:val="Paragraph"/>
        <w:ind w:left="540" w:hanging="540"/>
        <w:rPr>
          <w:rFonts w:ascii="Arial" w:hAnsi="Arial" w:cs="Arial"/>
          <w:sz w:val="22"/>
          <w:lang w:val="es-ES_tradnl"/>
        </w:rPr>
      </w:pPr>
      <w:r w:rsidRPr="00CA0370">
        <w:rPr>
          <w:rFonts w:ascii="Arial" w:hAnsi="Arial" w:cs="Arial"/>
          <w:b/>
          <w:sz w:val="22"/>
          <w:lang w:val="es-ES_tradnl"/>
        </w:rPr>
        <w:t>Análisis del C</w:t>
      </w:r>
      <w:r w:rsidRPr="00CA0370" w:rsidR="00994C70">
        <w:rPr>
          <w:rFonts w:ascii="Arial" w:hAnsi="Arial" w:cs="Arial"/>
          <w:b/>
          <w:sz w:val="22"/>
          <w:lang w:val="es-ES_tradnl"/>
        </w:rPr>
        <w:t xml:space="preserve">omponente </w:t>
      </w:r>
      <w:r w:rsidRPr="00CA0370">
        <w:rPr>
          <w:rFonts w:ascii="Arial" w:hAnsi="Arial" w:cs="Arial"/>
          <w:b/>
          <w:sz w:val="22"/>
          <w:lang w:val="es-ES_tradnl"/>
        </w:rPr>
        <w:t xml:space="preserve">I </w:t>
      </w:r>
      <w:r w:rsidRPr="00CA0370" w:rsidR="00994C70">
        <w:rPr>
          <w:rFonts w:ascii="Arial" w:hAnsi="Arial" w:cs="Arial"/>
          <w:b/>
          <w:sz w:val="22"/>
          <w:lang w:val="es-ES_tradnl"/>
        </w:rPr>
        <w:t>inversión productiva</w:t>
      </w:r>
      <w:r w:rsidRPr="00CA0370" w:rsidR="00B07804">
        <w:rPr>
          <w:rFonts w:ascii="Arial" w:hAnsi="Arial" w:cs="Arial"/>
          <w:b/>
          <w:sz w:val="22"/>
          <w:lang w:val="es-ES_tradnl"/>
        </w:rPr>
        <w:t xml:space="preserve"> </w:t>
      </w:r>
      <w:r w:rsidRPr="00CA0370" w:rsidR="00A61CFB">
        <w:rPr>
          <w:rFonts w:ascii="Arial" w:hAnsi="Arial" w:cs="Arial"/>
          <w:b/>
          <w:sz w:val="22"/>
          <w:lang w:val="es-ES_tradnl"/>
        </w:rPr>
        <w:t>en el sector agroindustrial</w:t>
      </w:r>
      <w:r w:rsidRPr="00CA0370" w:rsidR="00B07804">
        <w:rPr>
          <w:rFonts w:ascii="Arial" w:hAnsi="Arial" w:cs="Arial"/>
          <w:b/>
          <w:sz w:val="22"/>
          <w:lang w:val="es-ES_tradnl"/>
        </w:rPr>
        <w:t xml:space="preserve">, focalizado en </w:t>
      </w:r>
      <w:r w:rsidRPr="00CA0370" w:rsidR="00A61CFB">
        <w:rPr>
          <w:rFonts w:ascii="Arial" w:hAnsi="Arial" w:cs="Arial"/>
          <w:b/>
          <w:sz w:val="22"/>
          <w:lang w:val="es-ES_tradnl"/>
        </w:rPr>
        <w:t>empresas agroforestales</w:t>
      </w:r>
      <w:r w:rsidRPr="00CA0370" w:rsidR="00994C70">
        <w:rPr>
          <w:rFonts w:ascii="Arial" w:hAnsi="Arial" w:cs="Arial"/>
          <w:sz w:val="22"/>
          <w:lang w:val="es-ES_tradnl"/>
        </w:rPr>
        <w:t xml:space="preserve">. </w:t>
      </w:r>
      <w:r w:rsidRPr="00CA0370" w:rsidR="00A61CFB">
        <w:rPr>
          <w:rFonts w:ascii="Arial" w:hAnsi="Arial" w:cs="Arial"/>
          <w:sz w:val="22"/>
          <w:lang w:val="es-ES_tradnl"/>
        </w:rPr>
        <w:t>La evaluación de este componente</w:t>
      </w:r>
      <w:r w:rsidRPr="00CA0370" w:rsidR="00D0362F">
        <w:rPr>
          <w:rFonts w:ascii="Arial" w:hAnsi="Arial" w:cs="Arial"/>
          <w:sz w:val="22"/>
          <w:lang w:val="es-ES_tradnl"/>
        </w:rPr>
        <w:t xml:space="preserve"> (y de la parte de inversión en ferrocarril del </w:t>
      </w:r>
      <w:r w:rsidRPr="00CA0370" w:rsidR="00373E2D">
        <w:rPr>
          <w:rFonts w:ascii="Arial" w:hAnsi="Arial" w:cs="Arial"/>
          <w:sz w:val="22"/>
          <w:lang w:val="es-ES_tradnl"/>
        </w:rPr>
        <w:t>C</w:t>
      </w:r>
      <w:r w:rsidRPr="00CA0370" w:rsidR="00D0362F">
        <w:rPr>
          <w:rFonts w:ascii="Arial" w:hAnsi="Arial" w:cs="Arial"/>
          <w:sz w:val="22"/>
          <w:lang w:val="es-ES_tradnl"/>
        </w:rPr>
        <w:t>omponente II dado que corres</w:t>
      </w:r>
      <w:r w:rsidRPr="00CA0370" w:rsidR="00520263">
        <w:rPr>
          <w:rFonts w:ascii="Arial" w:hAnsi="Arial" w:cs="Arial"/>
          <w:sz w:val="22"/>
          <w:lang w:val="es-ES_tradnl"/>
        </w:rPr>
        <w:t>p</w:t>
      </w:r>
      <w:r w:rsidRPr="00CA0370" w:rsidR="00D0362F">
        <w:rPr>
          <w:rFonts w:ascii="Arial" w:hAnsi="Arial" w:cs="Arial"/>
          <w:sz w:val="22"/>
          <w:lang w:val="es-ES_tradnl"/>
        </w:rPr>
        <w:t xml:space="preserve">onden a la misma zona de influencia del programa) </w:t>
      </w:r>
      <w:r w:rsidRPr="00CA0370" w:rsidR="00A61CFB">
        <w:rPr>
          <w:rFonts w:ascii="Arial" w:hAnsi="Arial" w:cs="Arial"/>
          <w:sz w:val="22"/>
          <w:lang w:val="es-ES_tradnl"/>
        </w:rPr>
        <w:t xml:space="preserve">se basa en </w:t>
      </w:r>
      <w:r w:rsidRPr="00CA0370" w:rsidR="00EF593A">
        <w:rPr>
          <w:rFonts w:ascii="Arial" w:hAnsi="Arial" w:cs="Arial"/>
          <w:sz w:val="22"/>
          <w:lang w:val="es-ES_tradnl"/>
        </w:rPr>
        <w:t>una monetización de los beneficios derivados de un aumento</w:t>
      </w:r>
      <w:r w:rsidRPr="00CA0370" w:rsidR="00A61CFB">
        <w:rPr>
          <w:rFonts w:ascii="Arial" w:hAnsi="Arial" w:cs="Arial"/>
          <w:sz w:val="22"/>
          <w:lang w:val="es-ES_tradnl"/>
        </w:rPr>
        <w:t xml:space="preserve"> de </w:t>
      </w:r>
      <w:r w:rsidRPr="00CA0370" w:rsidR="00D0362F">
        <w:rPr>
          <w:rFonts w:ascii="Arial" w:hAnsi="Arial" w:cs="Arial"/>
          <w:sz w:val="22"/>
          <w:lang w:val="es-ES_tradnl"/>
        </w:rPr>
        <w:t>la producción agroforestal</w:t>
      </w:r>
      <w:r w:rsidRPr="00CA0370" w:rsidR="00EF593A">
        <w:rPr>
          <w:rFonts w:ascii="Arial" w:hAnsi="Arial" w:cs="Arial"/>
          <w:sz w:val="22"/>
          <w:lang w:val="es-ES_tradnl"/>
        </w:rPr>
        <w:t xml:space="preserve"> por la influencia del programa en la financiación de proyectos agroforestales y de ferrocarril. </w:t>
      </w:r>
      <w:r w:rsidRPr="00CA0370" w:rsidR="0004793A">
        <w:rPr>
          <w:rFonts w:ascii="Arial" w:hAnsi="Arial" w:cs="Arial"/>
          <w:sz w:val="22"/>
          <w:lang w:val="es-ES_tradnl"/>
        </w:rPr>
        <w:t>En términos de cost</w:t>
      </w:r>
      <w:r w:rsidRPr="00CA0370" w:rsidR="004A4C29">
        <w:rPr>
          <w:rFonts w:ascii="Arial" w:hAnsi="Arial" w:cs="Arial"/>
          <w:sz w:val="22"/>
          <w:lang w:val="es-ES_tradnl"/>
        </w:rPr>
        <w:t>o</w:t>
      </w:r>
      <w:r w:rsidRPr="00CA0370" w:rsidR="00FE2596">
        <w:rPr>
          <w:rFonts w:ascii="Arial" w:hAnsi="Arial" w:cs="Arial"/>
          <w:sz w:val="22"/>
          <w:lang w:val="es-ES_tradnl"/>
        </w:rPr>
        <w:t>, para esta segunda operación, e</w:t>
      </w:r>
      <w:r w:rsidRPr="00CA0370" w:rsidR="00994C70">
        <w:rPr>
          <w:rFonts w:ascii="Arial" w:hAnsi="Arial" w:cs="Arial"/>
          <w:sz w:val="22"/>
          <w:lang w:val="es-ES_tradnl"/>
        </w:rPr>
        <w:t xml:space="preserve">l </w:t>
      </w:r>
      <w:r w:rsidRPr="00CA0370" w:rsidR="008A2FA0">
        <w:rPr>
          <w:rFonts w:ascii="Arial" w:hAnsi="Arial" w:cs="Arial"/>
          <w:sz w:val="22"/>
          <w:lang w:val="es-ES_tradnl"/>
        </w:rPr>
        <w:t>primer</w:t>
      </w:r>
      <w:r w:rsidRPr="00CA0370" w:rsidR="00994C70">
        <w:rPr>
          <w:rFonts w:ascii="Arial" w:hAnsi="Arial" w:cs="Arial"/>
          <w:sz w:val="22"/>
          <w:lang w:val="es-ES_tradnl"/>
        </w:rPr>
        <w:t xml:space="preserve"> comp</w:t>
      </w:r>
      <w:r w:rsidRPr="00CA0370" w:rsidR="008A2FA0">
        <w:rPr>
          <w:rFonts w:ascii="Arial" w:hAnsi="Arial" w:cs="Arial"/>
          <w:sz w:val="22"/>
          <w:lang w:val="es-ES_tradnl"/>
        </w:rPr>
        <w:t xml:space="preserve">onente se espera demande un </w:t>
      </w:r>
      <w:r w:rsidRPr="00CA0370" w:rsidR="0077089E">
        <w:rPr>
          <w:rFonts w:ascii="Arial" w:hAnsi="Arial" w:cs="Arial"/>
          <w:sz w:val="22"/>
          <w:lang w:val="es-ES_tradnl"/>
        </w:rPr>
        <w:t>30</w:t>
      </w:r>
      <w:r w:rsidRPr="00CA0370" w:rsidR="00994C70">
        <w:rPr>
          <w:rFonts w:ascii="Arial" w:hAnsi="Arial" w:cs="Arial"/>
          <w:sz w:val="22"/>
          <w:lang w:val="es-ES_tradnl"/>
        </w:rPr>
        <w:t>% de los recursos del programa</w:t>
      </w:r>
      <w:r w:rsidRPr="00CA0370" w:rsidR="00EF593A">
        <w:rPr>
          <w:rFonts w:ascii="Arial" w:hAnsi="Arial" w:cs="Arial"/>
          <w:sz w:val="22"/>
          <w:lang w:val="es-ES_tradnl"/>
        </w:rPr>
        <w:t xml:space="preserve"> (la parte de inversión en ferrocarril del componente II </w:t>
      </w:r>
      <w:r w:rsidRPr="00CA0370" w:rsidR="005A50B8">
        <w:rPr>
          <w:rFonts w:ascii="Arial" w:hAnsi="Arial" w:cs="Arial"/>
          <w:sz w:val="22"/>
          <w:lang w:val="es-ES_tradnl"/>
        </w:rPr>
        <w:t>sería</w:t>
      </w:r>
      <w:r w:rsidRPr="00CA0370" w:rsidR="00EF593A">
        <w:rPr>
          <w:rFonts w:ascii="Arial" w:hAnsi="Arial" w:cs="Arial"/>
          <w:sz w:val="22"/>
          <w:lang w:val="es-ES_tradnl"/>
        </w:rPr>
        <w:t xml:space="preserve"> un 35%)</w:t>
      </w:r>
      <w:r w:rsidRPr="00CA0370" w:rsidR="00994C70">
        <w:rPr>
          <w:rFonts w:ascii="Arial" w:hAnsi="Arial" w:cs="Arial"/>
          <w:sz w:val="22"/>
          <w:lang w:val="es-ES_tradnl"/>
        </w:rPr>
        <w:t xml:space="preserve">. Como se </w:t>
      </w:r>
      <w:r w:rsidRPr="00CA0370" w:rsidR="008A2FA0">
        <w:rPr>
          <w:rFonts w:ascii="Arial" w:hAnsi="Arial" w:cs="Arial"/>
          <w:sz w:val="22"/>
          <w:lang w:val="es-ES_tradnl"/>
        </w:rPr>
        <w:t>ha señalado</w:t>
      </w:r>
      <w:r w:rsidRPr="00CA0370" w:rsidR="00994C70">
        <w:rPr>
          <w:rFonts w:ascii="Arial" w:hAnsi="Arial" w:cs="Arial"/>
          <w:sz w:val="22"/>
          <w:lang w:val="es-ES_tradnl"/>
        </w:rPr>
        <w:t xml:space="preserve">, </w:t>
      </w:r>
      <w:r w:rsidRPr="00CA0370" w:rsidR="00FE2596">
        <w:rPr>
          <w:rFonts w:ascii="Arial" w:hAnsi="Arial" w:cs="Arial"/>
          <w:sz w:val="22"/>
          <w:lang w:val="es-ES_tradnl"/>
        </w:rPr>
        <w:t xml:space="preserve">teniendo en cuenta </w:t>
      </w:r>
      <w:r w:rsidRPr="00CA0370" w:rsidR="00994C70">
        <w:rPr>
          <w:rFonts w:ascii="Arial" w:hAnsi="Arial" w:cs="Arial"/>
          <w:sz w:val="22"/>
          <w:lang w:val="es-ES_tradnl"/>
        </w:rPr>
        <w:t xml:space="preserve">que las inversiones financiadas por este componente están sujetas a condiciones de mercados, a tasas de interés alineadas con las tasas privadas, para productos con precios dados a nivel internacional y sin externalidades obvias por el lado </w:t>
      </w:r>
      <w:r w:rsidRPr="00CA0370" w:rsidR="0090178B">
        <w:rPr>
          <w:rFonts w:ascii="Arial" w:hAnsi="Arial" w:cs="Arial"/>
          <w:sz w:val="22"/>
          <w:lang w:val="es-ES_tradnl"/>
        </w:rPr>
        <w:t xml:space="preserve">de los </w:t>
      </w:r>
      <w:r w:rsidRPr="00CA0370" w:rsidR="002816A4">
        <w:rPr>
          <w:rFonts w:ascii="Arial" w:hAnsi="Arial" w:cs="Arial"/>
          <w:sz w:val="22"/>
          <w:lang w:val="es-ES_tradnl"/>
        </w:rPr>
        <w:t>costo</w:t>
      </w:r>
      <w:r w:rsidRPr="00CA0370" w:rsidR="00994C70">
        <w:rPr>
          <w:rFonts w:ascii="Arial" w:hAnsi="Arial" w:cs="Arial"/>
          <w:sz w:val="22"/>
          <w:lang w:val="es-ES_tradnl"/>
        </w:rPr>
        <w:t xml:space="preserve">s o los beneficios, el </w:t>
      </w:r>
      <w:r w:rsidRPr="00CA0370" w:rsidR="0090178B">
        <w:rPr>
          <w:rFonts w:ascii="Arial" w:hAnsi="Arial" w:cs="Arial"/>
          <w:sz w:val="22"/>
          <w:lang w:val="es-ES_tradnl"/>
        </w:rPr>
        <w:t>ACB</w:t>
      </w:r>
      <w:r w:rsidRPr="00CA0370" w:rsidR="00994C70">
        <w:rPr>
          <w:rFonts w:ascii="Arial" w:hAnsi="Arial" w:cs="Arial"/>
          <w:sz w:val="22"/>
          <w:lang w:val="es-ES_tradnl"/>
        </w:rPr>
        <w:t xml:space="preserve"> ex post asumirá que los flujos privados aproximan adecuadamente los flujos sociales.</w:t>
      </w:r>
    </w:p>
    <w:p w:rsidRPr="00CA0370" w:rsidR="009B03B8" w:rsidP="00333FBE" w:rsidRDefault="00994C70" w14:paraId="09C27F5E" w14:textId="59D13BB0">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lastRenderedPageBreak/>
        <w:t>Plazo de evaluación</w:t>
      </w:r>
      <w:r w:rsidRPr="00CA0370">
        <w:rPr>
          <w:rFonts w:ascii="Arial" w:hAnsi="Arial" w:cs="Arial"/>
          <w:sz w:val="22"/>
          <w:szCs w:val="22"/>
          <w:lang w:val="es-ES_tradnl"/>
        </w:rPr>
        <w:t xml:space="preserve">. </w:t>
      </w:r>
      <w:r w:rsidRPr="00CA0370" w:rsidR="004B5D6C">
        <w:rPr>
          <w:rFonts w:ascii="Arial" w:hAnsi="Arial" w:cs="Arial"/>
          <w:sz w:val="22"/>
          <w:szCs w:val="22"/>
          <w:lang w:val="es-ES_tradnl"/>
        </w:rPr>
        <w:t>S</w:t>
      </w:r>
      <w:r w:rsidRPr="00CA0370" w:rsidR="00184D06">
        <w:rPr>
          <w:rFonts w:ascii="Arial" w:hAnsi="Arial" w:cs="Arial"/>
          <w:sz w:val="22"/>
          <w:szCs w:val="22"/>
          <w:lang w:val="es-ES_tradnl"/>
        </w:rPr>
        <w:t xml:space="preserve">e espera que las inversiones realizadas dentro de este componente comiencen a funcionar en un plazo </w:t>
      </w:r>
      <w:r w:rsidRPr="00CA0370" w:rsidR="004B5D6C">
        <w:rPr>
          <w:rFonts w:ascii="Arial" w:hAnsi="Arial" w:cs="Arial"/>
          <w:sz w:val="22"/>
          <w:szCs w:val="22"/>
          <w:lang w:val="es-ES_tradnl"/>
        </w:rPr>
        <w:t xml:space="preserve">de </w:t>
      </w:r>
      <w:r w:rsidRPr="00CA0370" w:rsidR="004A4C29">
        <w:rPr>
          <w:rFonts w:ascii="Arial" w:hAnsi="Arial" w:cs="Arial"/>
          <w:sz w:val="22"/>
          <w:szCs w:val="22"/>
          <w:lang w:val="es-ES_tradnl"/>
        </w:rPr>
        <w:t xml:space="preserve">cuatro </w:t>
      </w:r>
      <w:r w:rsidRPr="00CA0370" w:rsidR="004B5D6C">
        <w:rPr>
          <w:rFonts w:ascii="Arial" w:hAnsi="Arial" w:cs="Arial"/>
          <w:sz w:val="22"/>
          <w:szCs w:val="22"/>
          <w:lang w:val="es-ES_tradnl"/>
        </w:rPr>
        <w:t>años desde el inicio de la operación</w:t>
      </w:r>
      <w:r w:rsidRPr="00CA0370" w:rsidR="00024314">
        <w:rPr>
          <w:rFonts w:ascii="Arial" w:hAnsi="Arial" w:cs="Arial"/>
          <w:sz w:val="22"/>
          <w:szCs w:val="22"/>
          <w:lang w:val="es-ES_tradnl"/>
        </w:rPr>
        <w:t>.</w:t>
      </w:r>
    </w:p>
    <w:p w:rsidRPr="00CA0370" w:rsidR="00994C70" w:rsidP="00333FBE" w:rsidRDefault="008A2FA0" w14:paraId="059CEAE8" w14:textId="35ECA8FD">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Cost</w:t>
      </w:r>
      <w:r w:rsidRPr="00CA0370" w:rsidR="004A4C29">
        <w:rPr>
          <w:rFonts w:ascii="Arial" w:hAnsi="Arial" w:cs="Arial"/>
          <w:b/>
          <w:sz w:val="22"/>
          <w:szCs w:val="22"/>
          <w:lang w:val="es-ES_tradnl"/>
        </w:rPr>
        <w:t>o</w:t>
      </w:r>
      <w:r w:rsidRPr="00CA0370" w:rsidR="00994C70">
        <w:rPr>
          <w:rFonts w:ascii="Arial" w:hAnsi="Arial" w:cs="Arial"/>
          <w:b/>
          <w:sz w:val="22"/>
          <w:szCs w:val="22"/>
          <w:lang w:val="es-ES_tradnl"/>
        </w:rPr>
        <w:t>s</w:t>
      </w:r>
      <w:r w:rsidRPr="00CA0370" w:rsidR="00994C70">
        <w:rPr>
          <w:rFonts w:ascii="Arial" w:hAnsi="Arial" w:cs="Arial"/>
          <w:sz w:val="22"/>
          <w:szCs w:val="22"/>
          <w:lang w:val="es-ES_tradnl"/>
        </w:rPr>
        <w:t xml:space="preserve">. En línea con lo </w:t>
      </w:r>
      <w:r w:rsidRPr="00CA0370">
        <w:rPr>
          <w:rFonts w:ascii="Arial" w:hAnsi="Arial" w:cs="Arial"/>
          <w:sz w:val="22"/>
          <w:szCs w:val="22"/>
          <w:lang w:val="es-ES_tradnl"/>
        </w:rPr>
        <w:t>ya apuntado</w:t>
      </w:r>
      <w:r w:rsidRPr="00CA0370" w:rsidR="00994C70">
        <w:rPr>
          <w:rFonts w:ascii="Arial" w:hAnsi="Arial" w:cs="Arial"/>
          <w:sz w:val="22"/>
          <w:szCs w:val="22"/>
          <w:lang w:val="es-ES_tradnl"/>
        </w:rPr>
        <w:t xml:space="preserve">, </w:t>
      </w:r>
      <w:r w:rsidRPr="00CA0370" w:rsidR="009933B6">
        <w:rPr>
          <w:rFonts w:ascii="Arial" w:hAnsi="Arial" w:cs="Arial"/>
          <w:sz w:val="22"/>
          <w:szCs w:val="22"/>
          <w:lang w:val="es-ES_tradnl"/>
        </w:rPr>
        <w:t>l</w:t>
      </w:r>
      <w:r w:rsidRPr="00CA0370" w:rsidR="00F65360">
        <w:rPr>
          <w:rFonts w:ascii="Arial" w:hAnsi="Arial" w:cs="Arial"/>
          <w:sz w:val="22"/>
          <w:szCs w:val="22"/>
          <w:lang w:val="es-ES_tradnl"/>
        </w:rPr>
        <w:t xml:space="preserve">a rentabilidad del proyecto se obtiene considerando los </w:t>
      </w:r>
      <w:r w:rsidRPr="00CA0370" w:rsidR="002816A4">
        <w:rPr>
          <w:rFonts w:ascii="Arial" w:hAnsi="Arial" w:cs="Arial"/>
          <w:sz w:val="22"/>
          <w:szCs w:val="22"/>
          <w:lang w:val="es-ES_tradnl"/>
        </w:rPr>
        <w:t>costo</w:t>
      </w:r>
      <w:r w:rsidRPr="00CA0370" w:rsidR="00F65360">
        <w:rPr>
          <w:rFonts w:ascii="Arial" w:hAnsi="Arial" w:cs="Arial"/>
          <w:sz w:val="22"/>
          <w:szCs w:val="22"/>
          <w:lang w:val="es-ES_tradnl"/>
        </w:rPr>
        <w:t xml:space="preserve">s de inversión resultantes de los </w:t>
      </w:r>
      <w:r w:rsidRPr="00CA0370" w:rsidR="002816A4">
        <w:rPr>
          <w:rFonts w:ascii="Arial" w:hAnsi="Arial" w:cs="Arial"/>
          <w:sz w:val="22"/>
          <w:szCs w:val="22"/>
          <w:lang w:val="es-ES_tradnl"/>
        </w:rPr>
        <w:t>costo</w:t>
      </w:r>
      <w:r w:rsidRPr="00CA0370" w:rsidR="00F65360">
        <w:rPr>
          <w:rFonts w:ascii="Arial" w:hAnsi="Arial" w:cs="Arial"/>
          <w:sz w:val="22"/>
          <w:szCs w:val="22"/>
          <w:lang w:val="es-ES_tradnl"/>
        </w:rPr>
        <w:t xml:space="preserve">s de operación, los </w:t>
      </w:r>
      <w:r w:rsidRPr="00CA0370" w:rsidR="002816A4">
        <w:rPr>
          <w:rFonts w:ascii="Arial" w:hAnsi="Arial" w:cs="Arial"/>
          <w:sz w:val="22"/>
          <w:szCs w:val="22"/>
          <w:lang w:val="es-ES_tradnl"/>
        </w:rPr>
        <w:t>costo</w:t>
      </w:r>
      <w:r w:rsidRPr="00CA0370" w:rsidR="00F65360">
        <w:rPr>
          <w:rFonts w:ascii="Arial" w:hAnsi="Arial" w:cs="Arial"/>
          <w:sz w:val="22"/>
          <w:szCs w:val="22"/>
          <w:lang w:val="es-ES_tradnl"/>
        </w:rPr>
        <w:t>s anuales de mantenimiento</w:t>
      </w:r>
      <w:r w:rsidRPr="00CA0370" w:rsidR="00587160">
        <w:rPr>
          <w:rFonts w:ascii="Arial" w:hAnsi="Arial" w:cs="Arial"/>
          <w:sz w:val="22"/>
          <w:szCs w:val="22"/>
          <w:lang w:val="es-ES_tradnl"/>
        </w:rPr>
        <w:t>, la depreciación,</w:t>
      </w:r>
      <w:r w:rsidRPr="00CA0370" w:rsidR="00F65360">
        <w:rPr>
          <w:rFonts w:ascii="Arial" w:hAnsi="Arial" w:cs="Arial"/>
          <w:sz w:val="22"/>
          <w:szCs w:val="22"/>
          <w:lang w:val="es-ES_tradnl"/>
        </w:rPr>
        <w:t xml:space="preserve"> y los flujos de pérdidas y ganancias netas</w:t>
      </w:r>
      <w:r w:rsidRPr="00CA0370" w:rsidR="00EF593A">
        <w:rPr>
          <w:rFonts w:ascii="Arial" w:hAnsi="Arial" w:cs="Arial"/>
          <w:sz w:val="22"/>
          <w:szCs w:val="22"/>
          <w:lang w:val="es-ES_tradnl"/>
        </w:rPr>
        <w:t>.</w:t>
      </w:r>
    </w:p>
    <w:p w:rsidRPr="00CA0370" w:rsidR="00994C70" w:rsidP="00333FBE" w:rsidRDefault="00994C70" w14:paraId="6FEC7645" w14:textId="6FAE1B6A">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Beneficios</w:t>
      </w:r>
      <w:r w:rsidRPr="00CA0370">
        <w:rPr>
          <w:rFonts w:ascii="Arial" w:hAnsi="Arial" w:cs="Arial"/>
          <w:sz w:val="22"/>
          <w:szCs w:val="22"/>
          <w:lang w:val="es-ES_tradnl"/>
        </w:rPr>
        <w:t xml:space="preserve">. </w:t>
      </w:r>
      <w:r w:rsidRPr="00CA0370" w:rsidR="009B03B8">
        <w:rPr>
          <w:rFonts w:ascii="Arial" w:hAnsi="Arial" w:cs="Arial"/>
          <w:sz w:val="22"/>
          <w:szCs w:val="22"/>
          <w:lang w:val="es-ES_tradnl"/>
        </w:rPr>
        <w:t xml:space="preserve">Como ya se ha indicado, no se espera que las inversiones de este componente presenten </w:t>
      </w:r>
      <w:r w:rsidRPr="00CA0370" w:rsidR="008A2FA0">
        <w:rPr>
          <w:rFonts w:ascii="Arial" w:hAnsi="Arial" w:cs="Arial"/>
          <w:sz w:val="22"/>
          <w:szCs w:val="22"/>
          <w:lang w:val="es-ES_tradnl"/>
        </w:rPr>
        <w:t>externalidades significativas</w:t>
      </w:r>
      <w:r w:rsidRPr="00CA0370" w:rsidR="009B03B8">
        <w:rPr>
          <w:rFonts w:ascii="Arial" w:hAnsi="Arial" w:cs="Arial"/>
          <w:sz w:val="22"/>
          <w:szCs w:val="22"/>
          <w:lang w:val="es-ES_tradnl"/>
        </w:rPr>
        <w:t xml:space="preserve">, por lo que los flujos positivos sociales serán aproximados </w:t>
      </w:r>
      <w:r w:rsidRPr="00CA0370" w:rsidR="00EF593A">
        <w:rPr>
          <w:rFonts w:ascii="Arial" w:hAnsi="Arial" w:cs="Arial"/>
          <w:sz w:val="22"/>
          <w:szCs w:val="22"/>
          <w:lang w:val="es-ES_tradnl"/>
        </w:rPr>
        <w:t xml:space="preserve">mediante los beneficios de producción </w:t>
      </w:r>
      <w:r w:rsidRPr="00CA0370" w:rsidR="001118AF">
        <w:rPr>
          <w:rFonts w:ascii="Arial" w:hAnsi="Arial" w:cs="Arial"/>
          <w:sz w:val="22"/>
          <w:szCs w:val="22"/>
          <w:lang w:val="es-ES_tradnl"/>
        </w:rPr>
        <w:t>en el sector agroforestal</w:t>
      </w:r>
      <w:r w:rsidRPr="00CA0370" w:rsidR="00EF593A">
        <w:rPr>
          <w:rFonts w:ascii="Arial" w:hAnsi="Arial" w:cs="Arial"/>
          <w:sz w:val="22"/>
          <w:szCs w:val="22"/>
          <w:lang w:val="es-ES_tradnl"/>
        </w:rPr>
        <w:t>.</w:t>
      </w:r>
      <w:r w:rsidRPr="00CA0370" w:rsidR="00024314">
        <w:rPr>
          <w:rFonts w:ascii="Arial" w:hAnsi="Arial" w:cs="Arial"/>
          <w:sz w:val="22"/>
          <w:szCs w:val="22"/>
          <w:lang w:val="es-ES_tradnl"/>
        </w:rPr>
        <w:t xml:space="preserve"> </w:t>
      </w:r>
    </w:p>
    <w:p w:rsidRPr="00CA0370" w:rsidR="00994C70" w:rsidP="00333FBE" w:rsidRDefault="00994C70" w14:paraId="5D822F29" w14:textId="3C38A18D">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Fuentes y frecuencia de la información</w:t>
      </w:r>
      <w:r w:rsidRPr="00CA0370">
        <w:rPr>
          <w:rFonts w:ascii="Arial" w:hAnsi="Arial" w:cs="Arial"/>
          <w:sz w:val="22"/>
          <w:szCs w:val="22"/>
          <w:lang w:val="es-ES_tradnl"/>
        </w:rPr>
        <w:t>. La información necesaria para</w:t>
      </w:r>
      <w:r w:rsidRPr="00CA0370" w:rsidR="003D6382">
        <w:rPr>
          <w:rFonts w:ascii="Arial" w:hAnsi="Arial" w:cs="Arial"/>
          <w:sz w:val="22"/>
          <w:szCs w:val="22"/>
          <w:lang w:val="es-ES_tradnl"/>
        </w:rPr>
        <w:t xml:space="preserve"> la</w:t>
      </w:r>
      <w:r w:rsidRPr="00CA0370">
        <w:rPr>
          <w:rFonts w:ascii="Arial" w:hAnsi="Arial" w:cs="Arial"/>
          <w:sz w:val="22"/>
          <w:szCs w:val="22"/>
          <w:lang w:val="es-ES_tradnl"/>
        </w:rPr>
        <w:t xml:space="preserve"> realización de</w:t>
      </w:r>
      <w:r w:rsidRPr="00CA0370" w:rsidR="00C208B0">
        <w:rPr>
          <w:rFonts w:ascii="Arial" w:hAnsi="Arial" w:cs="Arial"/>
          <w:sz w:val="22"/>
          <w:szCs w:val="22"/>
          <w:lang w:val="es-ES_tradnl"/>
        </w:rPr>
        <w:t xml:space="preserve"> estos cálculos, en lo que respecta a </w:t>
      </w:r>
      <w:r w:rsidRPr="00CA0370" w:rsidR="002816A4">
        <w:rPr>
          <w:rFonts w:ascii="Arial" w:hAnsi="Arial" w:cs="Arial"/>
          <w:sz w:val="22"/>
          <w:szCs w:val="22"/>
          <w:lang w:val="es-ES_tradnl"/>
        </w:rPr>
        <w:t>costo</w:t>
      </w:r>
      <w:r w:rsidRPr="00CA0370">
        <w:rPr>
          <w:rFonts w:ascii="Arial" w:hAnsi="Arial" w:cs="Arial"/>
          <w:sz w:val="22"/>
          <w:szCs w:val="22"/>
          <w:lang w:val="es-ES_tradnl"/>
        </w:rPr>
        <w:t>s tot</w:t>
      </w:r>
      <w:r w:rsidRPr="00CA0370" w:rsidR="00C208B0">
        <w:rPr>
          <w:rFonts w:ascii="Arial" w:hAnsi="Arial" w:cs="Arial"/>
          <w:sz w:val="22"/>
          <w:szCs w:val="22"/>
          <w:lang w:val="es-ES_tradnl"/>
        </w:rPr>
        <w:t xml:space="preserve">ales de inversión, </w:t>
      </w:r>
      <w:r w:rsidRPr="00CA0370" w:rsidR="002816A4">
        <w:rPr>
          <w:rFonts w:ascii="Arial" w:hAnsi="Arial" w:cs="Arial"/>
          <w:sz w:val="22"/>
          <w:szCs w:val="22"/>
          <w:lang w:val="es-ES_tradnl"/>
        </w:rPr>
        <w:t>costo</w:t>
      </w:r>
      <w:r w:rsidRPr="00CA0370">
        <w:rPr>
          <w:rFonts w:ascii="Arial" w:hAnsi="Arial" w:cs="Arial"/>
          <w:sz w:val="22"/>
          <w:szCs w:val="22"/>
          <w:lang w:val="es-ES_tradnl"/>
        </w:rPr>
        <w:t>s totales de operación, y niveles efectivos de producción</w:t>
      </w:r>
      <w:r w:rsidRPr="00CA0370" w:rsidR="009B03B8">
        <w:rPr>
          <w:rFonts w:ascii="Arial" w:hAnsi="Arial" w:cs="Arial"/>
          <w:sz w:val="22"/>
          <w:szCs w:val="22"/>
          <w:lang w:val="es-ES_tradnl"/>
        </w:rPr>
        <w:t xml:space="preserve"> y ventas</w:t>
      </w:r>
      <w:r w:rsidRPr="00CA0370">
        <w:rPr>
          <w:rFonts w:ascii="Arial" w:hAnsi="Arial" w:cs="Arial"/>
          <w:sz w:val="22"/>
          <w:szCs w:val="22"/>
          <w:lang w:val="es-ES_tradnl"/>
        </w:rPr>
        <w:t xml:space="preserve"> serán recolectados por la unidad empresarial del BROU</w:t>
      </w:r>
      <w:r w:rsidRPr="00CA0370" w:rsidR="003D6382">
        <w:rPr>
          <w:rFonts w:ascii="Arial" w:hAnsi="Arial" w:cs="Arial"/>
          <w:sz w:val="22"/>
          <w:szCs w:val="22"/>
          <w:lang w:val="es-ES_tradnl"/>
        </w:rPr>
        <w:t xml:space="preserve"> </w:t>
      </w:r>
      <w:r w:rsidRPr="00CA0370">
        <w:rPr>
          <w:rFonts w:ascii="Arial" w:hAnsi="Arial" w:cs="Arial"/>
          <w:sz w:val="22"/>
          <w:szCs w:val="22"/>
          <w:lang w:val="es-ES_tradnl"/>
        </w:rPr>
        <w:t xml:space="preserve">como resultado del curso normal de sus operaciones de monitoreo y seguimiento. </w:t>
      </w:r>
      <w:r w:rsidRPr="00CA0370" w:rsidR="00F50C3F">
        <w:rPr>
          <w:rFonts w:ascii="Arial" w:hAnsi="Arial" w:cs="Arial"/>
          <w:sz w:val="22"/>
          <w:szCs w:val="22"/>
          <w:lang w:val="es-ES_tradnl"/>
        </w:rPr>
        <w:t>Dado el volumen de los créditos que se espera otorgar bajo este componente, la información</w:t>
      </w:r>
      <w:r w:rsidRPr="00CA0370" w:rsidR="003D6382">
        <w:rPr>
          <w:rFonts w:ascii="Arial" w:hAnsi="Arial" w:cs="Arial"/>
          <w:sz w:val="22"/>
          <w:szCs w:val="22"/>
          <w:lang w:val="es-ES_tradnl"/>
        </w:rPr>
        <w:t xml:space="preserve"> recolectada corresponderá a un proyecto prototípico</w:t>
      </w:r>
      <w:r w:rsidRPr="00CA0370" w:rsidR="00F50C3F">
        <w:rPr>
          <w:rFonts w:ascii="Arial" w:hAnsi="Arial" w:cs="Arial"/>
          <w:sz w:val="22"/>
          <w:szCs w:val="22"/>
          <w:lang w:val="es-ES_tradnl"/>
        </w:rPr>
        <w:t xml:space="preserve"> del total de los proyectos que resulten beneficiados por el programa que servirá para construir un proyecto tipo</w:t>
      </w:r>
      <w:r w:rsidRPr="00CA0370" w:rsidR="003D6382">
        <w:rPr>
          <w:rFonts w:ascii="Arial" w:hAnsi="Arial" w:cs="Arial"/>
          <w:sz w:val="22"/>
          <w:szCs w:val="22"/>
          <w:lang w:val="es-ES_tradnl"/>
        </w:rPr>
        <w:t xml:space="preserve"> agropecuario</w:t>
      </w:r>
      <w:r w:rsidRPr="00CA0370" w:rsidR="00F50C3F">
        <w:rPr>
          <w:rFonts w:ascii="Arial" w:hAnsi="Arial" w:cs="Arial"/>
          <w:sz w:val="22"/>
          <w:szCs w:val="22"/>
          <w:lang w:val="es-ES_tradnl"/>
        </w:rPr>
        <w:t xml:space="preserve"> (</w:t>
      </w:r>
      <w:r w:rsidRPr="00CA0370" w:rsidR="003D6382">
        <w:rPr>
          <w:rFonts w:ascii="Arial" w:hAnsi="Arial" w:cs="Arial"/>
          <w:sz w:val="22"/>
          <w:szCs w:val="22"/>
          <w:lang w:val="es-ES_tradnl"/>
        </w:rPr>
        <w:t>procesamiento de madera</w:t>
      </w:r>
      <w:r w:rsidRPr="00CA0370" w:rsidR="00F50C3F">
        <w:rPr>
          <w:rFonts w:ascii="Arial" w:hAnsi="Arial" w:cs="Arial"/>
          <w:sz w:val="22"/>
          <w:szCs w:val="22"/>
          <w:lang w:val="es-ES_tradnl"/>
        </w:rPr>
        <w:t xml:space="preserve">) y utilizar esos datos en el ejercicio de </w:t>
      </w:r>
      <w:r w:rsidRPr="00CA0370" w:rsidR="0090178B">
        <w:rPr>
          <w:rFonts w:ascii="Arial" w:hAnsi="Arial" w:cs="Arial"/>
          <w:sz w:val="22"/>
          <w:szCs w:val="22"/>
          <w:lang w:val="es-ES_tradnl"/>
        </w:rPr>
        <w:t>ACB</w:t>
      </w:r>
      <w:r w:rsidRPr="00CA0370" w:rsidR="00F50C3F">
        <w:rPr>
          <w:rFonts w:ascii="Arial" w:hAnsi="Arial" w:cs="Arial"/>
          <w:sz w:val="22"/>
          <w:szCs w:val="22"/>
          <w:lang w:val="es-ES_tradnl"/>
        </w:rPr>
        <w:t xml:space="preserve"> ex post. </w:t>
      </w:r>
      <w:r w:rsidRPr="00CA0370">
        <w:rPr>
          <w:rFonts w:ascii="Arial" w:hAnsi="Arial" w:cs="Arial"/>
          <w:sz w:val="22"/>
          <w:szCs w:val="22"/>
          <w:lang w:val="es-ES_tradnl"/>
        </w:rPr>
        <w:t xml:space="preserve">La frecuencia de los datos a utilizar es anual (aunque dicha </w:t>
      </w:r>
      <w:r w:rsidRPr="00CA0370" w:rsidR="00FE7B4B">
        <w:rPr>
          <w:rFonts w:ascii="Arial" w:hAnsi="Arial" w:cs="Arial"/>
          <w:sz w:val="22"/>
          <w:szCs w:val="22"/>
          <w:lang w:val="es-ES_tradnl"/>
        </w:rPr>
        <w:t xml:space="preserve">información estará disponible </w:t>
      </w:r>
      <w:r w:rsidRPr="00CA0370" w:rsidR="00C208B0">
        <w:rPr>
          <w:rFonts w:ascii="Arial" w:hAnsi="Arial" w:cs="Arial"/>
          <w:sz w:val="22"/>
          <w:szCs w:val="22"/>
          <w:lang w:val="es-ES_tradnl"/>
        </w:rPr>
        <w:t>con mayor periodicidad</w:t>
      </w:r>
      <w:r w:rsidRPr="00CA0370">
        <w:rPr>
          <w:rFonts w:ascii="Arial" w:hAnsi="Arial" w:cs="Arial"/>
          <w:sz w:val="22"/>
          <w:szCs w:val="22"/>
          <w:lang w:val="es-ES_tradnl"/>
        </w:rPr>
        <w:t xml:space="preserve">) </w:t>
      </w:r>
      <w:r w:rsidRPr="00CA0370" w:rsidR="005D702B">
        <w:rPr>
          <w:rFonts w:ascii="Arial" w:hAnsi="Arial" w:cs="Arial"/>
          <w:sz w:val="22"/>
          <w:szCs w:val="22"/>
          <w:lang w:val="es-ES_tradnl"/>
        </w:rPr>
        <w:t xml:space="preserve">y los datos serán recolectados </w:t>
      </w:r>
      <w:r w:rsidRPr="00CA0370" w:rsidR="00C208B0">
        <w:rPr>
          <w:rFonts w:ascii="Arial" w:hAnsi="Arial" w:cs="Arial"/>
          <w:sz w:val="22"/>
          <w:szCs w:val="22"/>
          <w:lang w:val="es-ES_tradnl"/>
        </w:rPr>
        <w:t>una sola</w:t>
      </w:r>
      <w:r w:rsidRPr="00CA0370" w:rsidR="005D702B">
        <w:rPr>
          <w:rFonts w:ascii="Arial" w:hAnsi="Arial" w:cs="Arial"/>
          <w:sz w:val="22"/>
          <w:szCs w:val="22"/>
          <w:lang w:val="es-ES_tradnl"/>
        </w:rPr>
        <w:t xml:space="preserve"> vez durante la realización del ejercicio de </w:t>
      </w:r>
      <w:r w:rsidRPr="00CA0370" w:rsidR="00C208B0">
        <w:rPr>
          <w:rFonts w:ascii="Arial" w:hAnsi="Arial" w:cs="Arial"/>
          <w:sz w:val="22"/>
          <w:szCs w:val="22"/>
          <w:lang w:val="es-ES_tradnl"/>
        </w:rPr>
        <w:t xml:space="preserve">ACB ex post en </w:t>
      </w:r>
      <w:r w:rsidRPr="00CA0370" w:rsidR="003E394F">
        <w:rPr>
          <w:rFonts w:ascii="Arial" w:hAnsi="Arial" w:cs="Arial"/>
          <w:sz w:val="22"/>
          <w:szCs w:val="22"/>
          <w:lang w:val="es-ES_tradnl"/>
        </w:rPr>
        <w:t>2023</w:t>
      </w:r>
      <w:r w:rsidRPr="00CA0370" w:rsidR="005D702B">
        <w:rPr>
          <w:rFonts w:ascii="Arial" w:hAnsi="Arial" w:cs="Arial"/>
          <w:sz w:val="22"/>
          <w:szCs w:val="22"/>
          <w:lang w:val="es-ES_tradnl"/>
        </w:rPr>
        <w:t xml:space="preserve"> ya que toda la información necesaria es registrada en el curso normal de las operaciones de las entidades involucradas</w:t>
      </w:r>
      <w:r w:rsidRPr="00CA0370" w:rsidR="00F65360">
        <w:rPr>
          <w:rFonts w:ascii="Arial" w:hAnsi="Arial" w:cs="Arial"/>
          <w:sz w:val="22"/>
          <w:szCs w:val="22"/>
          <w:lang w:val="es-ES_tradnl"/>
        </w:rPr>
        <w:t>. También se recurrirá a información</w:t>
      </w:r>
      <w:r w:rsidRPr="00CA0370" w:rsidR="00B27788">
        <w:rPr>
          <w:rFonts w:ascii="Arial" w:hAnsi="Arial" w:cs="Arial"/>
          <w:sz w:val="22"/>
          <w:szCs w:val="22"/>
          <w:lang w:val="es-ES_tradnl"/>
        </w:rPr>
        <w:t xml:space="preserve"> de la producción del sector agroforestal</w:t>
      </w:r>
      <w:r w:rsidRPr="00CA0370" w:rsidR="00F65360">
        <w:rPr>
          <w:rFonts w:ascii="Arial" w:hAnsi="Arial" w:cs="Arial"/>
          <w:sz w:val="22"/>
          <w:szCs w:val="22"/>
          <w:lang w:val="es-ES_tradnl"/>
        </w:rPr>
        <w:t xml:space="preserve"> proveniente de fuentes secundarias, proporcionada por el Instituto Nacional de Estadística de Uruguay (INE) y el Ministerio de Ganadería, Agricultura y Pesca de Uruguay (MGAP).</w:t>
      </w:r>
    </w:p>
    <w:p w:rsidRPr="00CA0370" w:rsidR="00994C70" w:rsidP="00333FBE" w:rsidRDefault="00994C70" w14:paraId="66582450" w14:textId="07B44D0F">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Tasas de descuento</w:t>
      </w:r>
      <w:r w:rsidRPr="00CA0370">
        <w:rPr>
          <w:rFonts w:ascii="Arial" w:hAnsi="Arial" w:cs="Arial"/>
          <w:sz w:val="22"/>
          <w:szCs w:val="22"/>
          <w:lang w:val="es-ES_tradnl"/>
        </w:rPr>
        <w:t>. Habiendo</w:t>
      </w:r>
      <w:r w:rsidRPr="00CA0370" w:rsidR="00C208B0">
        <w:rPr>
          <w:rFonts w:ascii="Arial" w:hAnsi="Arial" w:cs="Arial"/>
          <w:sz w:val="22"/>
          <w:szCs w:val="22"/>
          <w:lang w:val="es-ES_tradnl"/>
        </w:rPr>
        <w:t xml:space="preserve"> establecido los flujos de </w:t>
      </w:r>
      <w:r w:rsidRPr="00CA0370" w:rsidR="002816A4">
        <w:rPr>
          <w:rFonts w:ascii="Arial" w:hAnsi="Arial" w:cs="Arial"/>
          <w:sz w:val="22"/>
          <w:szCs w:val="22"/>
          <w:lang w:val="es-ES_tradnl"/>
        </w:rPr>
        <w:t>costo</w:t>
      </w:r>
      <w:r w:rsidRPr="00CA0370">
        <w:rPr>
          <w:rFonts w:ascii="Arial" w:hAnsi="Arial" w:cs="Arial"/>
          <w:sz w:val="22"/>
          <w:szCs w:val="22"/>
          <w:lang w:val="es-ES_tradnl"/>
        </w:rPr>
        <w:t>s y beneficios, los mismos serán normalizados en base a los índices de precio</w:t>
      </w:r>
      <w:r w:rsidRPr="00CA0370" w:rsidR="00C208B0">
        <w:rPr>
          <w:rFonts w:ascii="Arial" w:hAnsi="Arial" w:cs="Arial"/>
          <w:sz w:val="22"/>
          <w:szCs w:val="22"/>
          <w:lang w:val="es-ES_tradnl"/>
        </w:rPr>
        <w:t>s</w:t>
      </w:r>
      <w:r w:rsidRPr="00CA0370">
        <w:rPr>
          <w:rFonts w:ascii="Arial" w:hAnsi="Arial" w:cs="Arial"/>
          <w:sz w:val="22"/>
          <w:szCs w:val="22"/>
          <w:lang w:val="es-ES_tradnl"/>
        </w:rPr>
        <w:t xml:space="preserve"> </w:t>
      </w:r>
      <w:r w:rsidRPr="00CA0370" w:rsidR="00FE7B4B">
        <w:rPr>
          <w:rFonts w:ascii="Arial" w:hAnsi="Arial" w:cs="Arial"/>
          <w:sz w:val="22"/>
          <w:szCs w:val="22"/>
          <w:lang w:val="es-ES_tradnl"/>
        </w:rPr>
        <w:t>elaborados</w:t>
      </w:r>
      <w:r w:rsidRPr="00CA0370">
        <w:rPr>
          <w:rFonts w:ascii="Arial" w:hAnsi="Arial" w:cs="Arial"/>
          <w:sz w:val="22"/>
          <w:szCs w:val="22"/>
          <w:lang w:val="es-ES_tradnl"/>
        </w:rPr>
        <w:t xml:space="preserve"> por el Instituto Nacional de Estadística del Uruguay (INE) cuya publicación realiza periódicamente. Siguiendo luego la metodología propuesta en el anexo económico, los flujos diferenciales serán descontados a la tasa del 12% según las reco</w:t>
      </w:r>
      <w:r w:rsidRPr="00CA0370" w:rsidR="0090178B">
        <w:rPr>
          <w:rFonts w:ascii="Arial" w:hAnsi="Arial" w:cs="Arial"/>
          <w:sz w:val="22"/>
          <w:szCs w:val="22"/>
          <w:lang w:val="es-ES_tradnl"/>
        </w:rPr>
        <w:t>mendaciones para el ACB</w:t>
      </w:r>
      <w:r w:rsidRPr="00CA0370">
        <w:rPr>
          <w:rFonts w:ascii="Arial" w:hAnsi="Arial" w:cs="Arial"/>
          <w:sz w:val="22"/>
          <w:szCs w:val="22"/>
          <w:lang w:val="es-ES_tradnl"/>
        </w:rPr>
        <w:t xml:space="preserve"> del BID.</w:t>
      </w:r>
    </w:p>
    <w:p w:rsidRPr="00CA0370" w:rsidR="00BC4726" w:rsidP="00BC4726" w:rsidRDefault="00BC4726" w14:paraId="07887FC5" w14:textId="53C64230">
      <w:pPr>
        <w:pStyle w:val="Paragraph"/>
        <w:ind w:left="540" w:hanging="540"/>
        <w:rPr>
          <w:rFonts w:ascii="Arial" w:hAnsi="Arial" w:cs="Arial"/>
          <w:sz w:val="22"/>
          <w:lang w:val="es-ES_tradnl"/>
        </w:rPr>
      </w:pPr>
      <w:r w:rsidRPr="00CA0370">
        <w:rPr>
          <w:rFonts w:ascii="Arial" w:hAnsi="Arial" w:cs="Arial"/>
          <w:b/>
          <w:sz w:val="22"/>
          <w:lang w:val="es-ES_tradnl"/>
        </w:rPr>
        <w:t xml:space="preserve">Análisis del </w:t>
      </w:r>
      <w:r w:rsidRPr="00CA0370" w:rsidR="002816A4">
        <w:rPr>
          <w:rFonts w:ascii="Arial" w:hAnsi="Arial" w:cs="Arial"/>
          <w:b/>
          <w:sz w:val="22"/>
          <w:lang w:val="es-ES_tradnl"/>
        </w:rPr>
        <w:t>C</w:t>
      </w:r>
      <w:r w:rsidRPr="00CA0370">
        <w:rPr>
          <w:rFonts w:ascii="Arial" w:hAnsi="Arial" w:cs="Arial"/>
          <w:b/>
          <w:sz w:val="22"/>
          <w:lang w:val="es-ES_tradnl"/>
        </w:rPr>
        <w:t>omponente II</w:t>
      </w:r>
      <w:r w:rsidRPr="00CA0370" w:rsidR="00E50902">
        <w:rPr>
          <w:rFonts w:ascii="Arial" w:hAnsi="Arial" w:cs="Arial"/>
          <w:b/>
          <w:sz w:val="22"/>
          <w:lang w:val="es-ES_tradnl"/>
        </w:rPr>
        <w:t xml:space="preserve"> inversión de infraestructura productiva de </w:t>
      </w:r>
      <w:r w:rsidRPr="00CA0370" w:rsidR="00EE6D04">
        <w:rPr>
          <w:rFonts w:ascii="Arial" w:hAnsi="Arial" w:cs="Arial"/>
          <w:b/>
          <w:sz w:val="22"/>
          <w:lang w:val="es-ES_tradnl"/>
        </w:rPr>
        <w:t xml:space="preserve">las </w:t>
      </w:r>
      <w:r w:rsidRPr="00CA0370" w:rsidR="003A38E6">
        <w:rPr>
          <w:rFonts w:ascii="Arial" w:hAnsi="Arial" w:cs="Arial"/>
          <w:b/>
          <w:sz w:val="22"/>
          <w:lang w:val="es-ES_tradnl"/>
        </w:rPr>
        <w:t>PPP</w:t>
      </w:r>
      <w:r w:rsidRPr="00CA0370" w:rsidR="00E50902">
        <w:rPr>
          <w:rFonts w:ascii="Arial" w:hAnsi="Arial" w:cs="Arial"/>
          <w:b/>
          <w:sz w:val="22"/>
          <w:lang w:val="es-ES_tradnl"/>
        </w:rPr>
        <w:t>, focalizado en infraestructura vial</w:t>
      </w:r>
      <w:r w:rsidRPr="00CA0370" w:rsidR="00E50902">
        <w:rPr>
          <w:rFonts w:ascii="Arial" w:hAnsi="Arial" w:cs="Arial"/>
          <w:sz w:val="22"/>
          <w:lang w:val="es-ES_tradnl"/>
        </w:rPr>
        <w:t>.</w:t>
      </w:r>
      <w:r w:rsidRPr="00CA0370">
        <w:rPr>
          <w:rFonts w:ascii="Arial" w:hAnsi="Arial" w:cs="Arial"/>
          <w:sz w:val="22"/>
          <w:lang w:val="es-ES_tradnl"/>
        </w:rPr>
        <w:t xml:space="preserve"> </w:t>
      </w:r>
      <w:r w:rsidRPr="00CA0370" w:rsidR="00447B8E">
        <w:rPr>
          <w:rFonts w:ascii="Arial" w:hAnsi="Arial" w:cs="Arial"/>
          <w:sz w:val="22"/>
          <w:lang w:val="es-ES_tradnl"/>
        </w:rPr>
        <w:t xml:space="preserve">La evaluación de este componente se </w:t>
      </w:r>
      <w:r w:rsidRPr="00CA0370" w:rsidR="00125A20">
        <w:rPr>
          <w:rFonts w:ascii="Arial" w:hAnsi="Arial" w:cs="Arial"/>
          <w:sz w:val="22"/>
          <w:lang w:val="es-ES_tradnl"/>
        </w:rPr>
        <w:t>basa en la monetización de los beneficios derivados del incremento del TDPA</w:t>
      </w:r>
      <w:r w:rsidRPr="00CA0370" w:rsidR="00447B8E">
        <w:rPr>
          <w:rFonts w:ascii="Arial" w:hAnsi="Arial" w:cs="Arial"/>
          <w:sz w:val="22"/>
          <w:lang w:val="es-ES_tradnl"/>
        </w:rPr>
        <w:t xml:space="preserve"> </w:t>
      </w:r>
      <w:r w:rsidRPr="00CA0370" w:rsidR="00125A20">
        <w:rPr>
          <w:rFonts w:ascii="Arial" w:hAnsi="Arial" w:cs="Arial"/>
          <w:sz w:val="22"/>
          <w:lang w:val="es-ES_tradnl"/>
        </w:rPr>
        <w:t xml:space="preserve">por la financiación de proyectos de infraestructura por carretera. </w:t>
      </w:r>
      <w:r w:rsidRPr="00CA0370" w:rsidR="008E6C58">
        <w:rPr>
          <w:rFonts w:ascii="Arial" w:hAnsi="Arial" w:cs="Arial"/>
          <w:sz w:val="22"/>
          <w:lang w:val="es-ES_tradnl"/>
        </w:rPr>
        <w:t>Dicho</w:t>
      </w:r>
      <w:r w:rsidRPr="00CA0370">
        <w:rPr>
          <w:rFonts w:ascii="Arial" w:hAnsi="Arial" w:cs="Arial"/>
          <w:sz w:val="22"/>
          <w:lang w:val="es-ES_tradnl"/>
        </w:rPr>
        <w:t xml:space="preserve"> componente </w:t>
      </w:r>
      <w:r w:rsidRPr="00CA0370" w:rsidR="008C26E8">
        <w:rPr>
          <w:rFonts w:ascii="Arial" w:hAnsi="Arial" w:cs="Arial"/>
          <w:sz w:val="22"/>
          <w:lang w:val="es-ES_tradnl"/>
        </w:rPr>
        <w:t>de infraestructura de</w:t>
      </w:r>
      <w:r w:rsidRPr="00CA0370" w:rsidR="00447B8E">
        <w:rPr>
          <w:rFonts w:ascii="Arial" w:hAnsi="Arial" w:cs="Arial"/>
          <w:sz w:val="22"/>
          <w:lang w:val="es-ES_tradnl"/>
        </w:rPr>
        <w:t xml:space="preserve"> transporte </w:t>
      </w:r>
      <w:r w:rsidRPr="00CA0370" w:rsidR="00125A20">
        <w:rPr>
          <w:rFonts w:ascii="Arial" w:hAnsi="Arial" w:cs="Arial"/>
          <w:sz w:val="22"/>
          <w:lang w:val="es-ES_tradnl"/>
        </w:rPr>
        <w:t xml:space="preserve">por carreteras </w:t>
      </w:r>
      <w:r w:rsidRPr="00CA0370" w:rsidR="00447B8E">
        <w:rPr>
          <w:rFonts w:ascii="Arial" w:hAnsi="Arial" w:cs="Arial"/>
          <w:sz w:val="22"/>
          <w:lang w:val="es-ES_tradnl"/>
        </w:rPr>
        <w:t>(</w:t>
      </w:r>
      <w:r w:rsidRPr="00CA0370" w:rsidR="00125A20">
        <w:rPr>
          <w:rFonts w:ascii="Arial" w:hAnsi="Arial" w:cs="Arial"/>
          <w:sz w:val="22"/>
          <w:lang w:val="es-ES_tradnl"/>
        </w:rPr>
        <w:t>recordemos que la parte de</w:t>
      </w:r>
      <w:r w:rsidRPr="00CA0370" w:rsidR="00447B8E">
        <w:rPr>
          <w:rFonts w:ascii="Arial" w:hAnsi="Arial" w:cs="Arial"/>
          <w:sz w:val="22"/>
          <w:lang w:val="es-ES_tradnl"/>
        </w:rPr>
        <w:t xml:space="preserve"> ferrocarril</w:t>
      </w:r>
      <w:r w:rsidRPr="00CA0370" w:rsidR="00125A20">
        <w:rPr>
          <w:rFonts w:ascii="Arial" w:hAnsi="Arial" w:cs="Arial"/>
          <w:sz w:val="22"/>
          <w:lang w:val="es-ES_tradnl"/>
        </w:rPr>
        <w:t xml:space="preserve"> de este componente es del 35% de los recursos se incorporan al </w:t>
      </w:r>
      <w:r w:rsidRPr="00CA0370" w:rsidR="00373E2D">
        <w:rPr>
          <w:rFonts w:ascii="Arial" w:hAnsi="Arial" w:cs="Arial"/>
          <w:sz w:val="22"/>
          <w:lang w:val="es-ES_tradnl"/>
        </w:rPr>
        <w:t>cálculo</w:t>
      </w:r>
      <w:r w:rsidRPr="00CA0370" w:rsidR="00125A20">
        <w:rPr>
          <w:rFonts w:ascii="Arial" w:hAnsi="Arial" w:cs="Arial"/>
          <w:sz w:val="22"/>
          <w:lang w:val="es-ES_tradnl"/>
        </w:rPr>
        <w:t xml:space="preserve"> del incremento de productividad agroforestal del componente I</w:t>
      </w:r>
      <w:r w:rsidRPr="00CA0370" w:rsidR="00447B8E">
        <w:rPr>
          <w:rFonts w:ascii="Arial" w:hAnsi="Arial" w:cs="Arial"/>
          <w:sz w:val="22"/>
          <w:lang w:val="es-ES_tradnl"/>
        </w:rPr>
        <w:t>)</w:t>
      </w:r>
      <w:r w:rsidRPr="00CA0370" w:rsidR="008C26E8">
        <w:rPr>
          <w:rFonts w:ascii="Arial" w:hAnsi="Arial" w:cs="Arial"/>
          <w:sz w:val="22"/>
          <w:lang w:val="es-ES_tradnl"/>
        </w:rPr>
        <w:t xml:space="preserve"> </w:t>
      </w:r>
      <w:r w:rsidRPr="00CA0370">
        <w:rPr>
          <w:rFonts w:ascii="Arial" w:hAnsi="Arial" w:cs="Arial"/>
          <w:sz w:val="22"/>
          <w:lang w:val="es-ES_tradnl"/>
        </w:rPr>
        <w:t xml:space="preserve">se espera demande un </w:t>
      </w:r>
      <w:r w:rsidRPr="00CA0370" w:rsidR="00125A20">
        <w:rPr>
          <w:rFonts w:ascii="Arial" w:hAnsi="Arial" w:cs="Arial"/>
          <w:sz w:val="22"/>
          <w:lang w:val="es-ES_tradnl"/>
        </w:rPr>
        <w:t>35</w:t>
      </w:r>
      <w:r w:rsidRPr="00CA0370">
        <w:rPr>
          <w:rFonts w:ascii="Arial" w:hAnsi="Arial" w:cs="Arial"/>
          <w:sz w:val="22"/>
          <w:lang w:val="es-ES_tradnl"/>
        </w:rPr>
        <w:t>% de los recursos del programa</w:t>
      </w:r>
      <w:r w:rsidRPr="00CA0370" w:rsidR="00125A20">
        <w:rPr>
          <w:rFonts w:ascii="Arial" w:hAnsi="Arial" w:cs="Arial"/>
          <w:sz w:val="22"/>
          <w:lang w:val="es-ES_tradnl"/>
        </w:rPr>
        <w:t>. En otras palabras,</w:t>
      </w:r>
      <w:r w:rsidRPr="00CA0370">
        <w:rPr>
          <w:rFonts w:ascii="Arial" w:hAnsi="Arial" w:cs="Arial"/>
          <w:sz w:val="22"/>
          <w:lang w:val="es-ES_tradnl"/>
        </w:rPr>
        <w:t xml:space="preserve"> </w:t>
      </w:r>
      <w:r w:rsidRPr="00CA0370" w:rsidR="00125A20">
        <w:rPr>
          <w:rFonts w:ascii="Arial" w:hAnsi="Arial" w:cs="Arial"/>
          <w:sz w:val="22"/>
          <w:lang w:val="es-ES_tradnl"/>
        </w:rPr>
        <w:t xml:space="preserve">el </w:t>
      </w:r>
      <w:r w:rsidRPr="00CA0370" w:rsidR="00373E2D">
        <w:rPr>
          <w:rFonts w:ascii="Arial" w:hAnsi="Arial" w:cs="Arial"/>
          <w:sz w:val="22"/>
          <w:lang w:val="es-ES_tradnl"/>
        </w:rPr>
        <w:t>cálculo</w:t>
      </w:r>
      <w:r w:rsidRPr="00CA0370" w:rsidR="00125A20">
        <w:rPr>
          <w:rFonts w:ascii="Arial" w:hAnsi="Arial" w:cs="Arial"/>
          <w:sz w:val="22"/>
          <w:lang w:val="es-ES_tradnl"/>
        </w:rPr>
        <w:t xml:space="preserve"> económico de este componente</w:t>
      </w:r>
      <w:r w:rsidRPr="00CA0370" w:rsidR="008E6C58">
        <w:rPr>
          <w:rFonts w:ascii="Arial" w:hAnsi="Arial" w:cs="Arial"/>
          <w:sz w:val="22"/>
          <w:lang w:val="es-ES_tradnl"/>
        </w:rPr>
        <w:t xml:space="preserve"> tiene</w:t>
      </w:r>
      <w:r w:rsidRPr="00CA0370">
        <w:rPr>
          <w:rFonts w:ascii="Arial" w:hAnsi="Arial" w:cs="Arial"/>
          <w:sz w:val="22"/>
          <w:lang w:val="es-ES_tradnl"/>
        </w:rPr>
        <w:t xml:space="preserve"> la particularidad de que una parte relevante de los beneficios se espera </w:t>
      </w:r>
      <w:r w:rsidRPr="00CA0370" w:rsidR="008E6C58">
        <w:rPr>
          <w:rFonts w:ascii="Arial" w:hAnsi="Arial" w:cs="Arial"/>
          <w:sz w:val="22"/>
          <w:lang w:val="es-ES_tradnl"/>
        </w:rPr>
        <w:t xml:space="preserve">que </w:t>
      </w:r>
      <w:r w:rsidRPr="00CA0370" w:rsidR="006E0805">
        <w:rPr>
          <w:rFonts w:ascii="Arial" w:hAnsi="Arial" w:cs="Arial"/>
          <w:sz w:val="22"/>
          <w:lang w:val="es-ES_tradnl"/>
        </w:rPr>
        <w:t>provengan</w:t>
      </w:r>
      <w:r w:rsidRPr="00CA0370">
        <w:rPr>
          <w:rFonts w:ascii="Arial" w:hAnsi="Arial" w:cs="Arial"/>
          <w:sz w:val="22"/>
          <w:lang w:val="es-ES_tradnl"/>
        </w:rPr>
        <w:t xml:space="preserve"> </w:t>
      </w:r>
      <w:r w:rsidRPr="00CA0370" w:rsidR="003A427F">
        <w:rPr>
          <w:rFonts w:ascii="Arial" w:hAnsi="Arial" w:cs="Arial"/>
          <w:sz w:val="22"/>
          <w:lang w:val="es-ES_tradnl"/>
        </w:rPr>
        <w:t xml:space="preserve">del aumento del tránsito generado (además del normal) en </w:t>
      </w:r>
      <w:r w:rsidRPr="00CA0370" w:rsidR="003A427F">
        <w:rPr>
          <w:rFonts w:ascii="Arial" w:hAnsi="Arial" w:cs="Arial"/>
          <w:sz w:val="22"/>
          <w:lang w:val="es-ES_tradnl"/>
        </w:rPr>
        <w:lastRenderedPageBreak/>
        <w:t>el caso específico de la infraestructura de carreteras</w:t>
      </w:r>
      <w:r w:rsidRPr="00CA0370">
        <w:rPr>
          <w:rFonts w:ascii="Arial" w:hAnsi="Arial" w:cs="Arial"/>
          <w:sz w:val="22"/>
          <w:lang w:val="es-ES_tradnl"/>
        </w:rPr>
        <w:t>. Se detallan a continuación los lineamientos princ</w:t>
      </w:r>
      <w:r w:rsidRPr="00CA0370" w:rsidR="006E0805">
        <w:rPr>
          <w:rFonts w:ascii="Arial" w:hAnsi="Arial" w:cs="Arial"/>
          <w:sz w:val="22"/>
          <w:lang w:val="es-ES_tradnl"/>
        </w:rPr>
        <w:t xml:space="preserve">ipales para el </w:t>
      </w:r>
      <w:r w:rsidRPr="00CA0370" w:rsidR="00FE7B4B">
        <w:rPr>
          <w:rFonts w:ascii="Arial" w:hAnsi="Arial" w:cs="Arial"/>
          <w:sz w:val="22"/>
          <w:lang w:val="es-ES_tradnl"/>
        </w:rPr>
        <w:t>ACB</w:t>
      </w:r>
      <w:r w:rsidRPr="00CA0370">
        <w:rPr>
          <w:rFonts w:ascii="Arial" w:hAnsi="Arial" w:cs="Arial"/>
          <w:sz w:val="22"/>
          <w:lang w:val="es-ES_tradnl"/>
        </w:rPr>
        <w:t xml:space="preserve"> ex post para este componente.</w:t>
      </w:r>
    </w:p>
    <w:p w:rsidRPr="00CA0370" w:rsidR="00BC4726" w:rsidP="00BC4726" w:rsidRDefault="00BC4726" w14:paraId="1A9A6E54" w14:textId="5EEDF64E">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Plazo de evaluación</w:t>
      </w:r>
      <w:r w:rsidRPr="00CA0370" w:rsidR="00EE6D04">
        <w:rPr>
          <w:rFonts w:ascii="Arial" w:hAnsi="Arial" w:cs="Arial"/>
          <w:b/>
          <w:sz w:val="22"/>
          <w:szCs w:val="22"/>
          <w:lang w:val="es-ES_tradnl"/>
        </w:rPr>
        <w:t>.</w:t>
      </w:r>
      <w:r w:rsidRPr="00CA0370">
        <w:rPr>
          <w:rFonts w:ascii="Arial" w:hAnsi="Arial" w:cs="Arial"/>
          <w:sz w:val="22"/>
          <w:szCs w:val="22"/>
          <w:lang w:val="es-ES_tradnl"/>
        </w:rPr>
        <w:t xml:space="preserve"> Dado que se trata de proyectos </w:t>
      </w:r>
      <w:r w:rsidRPr="00CA0370" w:rsidR="006E0805">
        <w:rPr>
          <w:rFonts w:ascii="Arial" w:hAnsi="Arial" w:cs="Arial"/>
          <w:sz w:val="22"/>
          <w:szCs w:val="22"/>
          <w:lang w:val="es-ES_tradnl"/>
        </w:rPr>
        <w:t xml:space="preserve">de </w:t>
      </w:r>
      <w:r w:rsidRPr="00CA0370" w:rsidR="00E0763E">
        <w:rPr>
          <w:rFonts w:ascii="Arial" w:hAnsi="Arial" w:cs="Arial"/>
          <w:sz w:val="22"/>
          <w:szCs w:val="22"/>
          <w:lang w:val="es-ES_tradnl"/>
        </w:rPr>
        <w:t xml:space="preserve">infraestructura </w:t>
      </w:r>
      <w:r w:rsidRPr="00CA0370">
        <w:rPr>
          <w:rFonts w:ascii="Arial" w:hAnsi="Arial" w:cs="Arial"/>
          <w:sz w:val="22"/>
          <w:szCs w:val="22"/>
          <w:lang w:val="es-ES_tradnl"/>
        </w:rPr>
        <w:t xml:space="preserve">el análisis debe considerar un período suficientemente prolongado como para que </w:t>
      </w:r>
      <w:r w:rsidRPr="00CA0370" w:rsidR="003A427F">
        <w:rPr>
          <w:rFonts w:ascii="Arial" w:hAnsi="Arial" w:cs="Arial"/>
          <w:sz w:val="22"/>
          <w:szCs w:val="22"/>
          <w:lang w:val="es-ES_tradnl"/>
        </w:rPr>
        <w:t>pueda ejecutar la inversión</w:t>
      </w:r>
      <w:r w:rsidRPr="00CA0370">
        <w:rPr>
          <w:rFonts w:ascii="Arial" w:hAnsi="Arial" w:cs="Arial"/>
          <w:sz w:val="22"/>
          <w:szCs w:val="22"/>
          <w:lang w:val="es-ES_tradnl"/>
        </w:rPr>
        <w:t xml:space="preserve">. </w:t>
      </w:r>
      <w:r w:rsidRPr="00CA0370" w:rsidR="005A50B8">
        <w:rPr>
          <w:rFonts w:ascii="Arial" w:hAnsi="Arial" w:cs="Arial"/>
          <w:sz w:val="22"/>
          <w:szCs w:val="22"/>
          <w:lang w:val="es-ES_tradnl"/>
        </w:rPr>
        <w:t>De acuerdo con</w:t>
      </w:r>
      <w:r w:rsidRPr="00CA0370">
        <w:rPr>
          <w:rFonts w:ascii="Arial" w:hAnsi="Arial" w:cs="Arial"/>
          <w:sz w:val="22"/>
          <w:szCs w:val="22"/>
          <w:lang w:val="es-ES_tradnl"/>
        </w:rPr>
        <w:t xml:space="preserve"> las sugerencias técnicas, este plazo de operación ha de ser de unos </w:t>
      </w:r>
      <w:r w:rsidRPr="00CA0370" w:rsidR="00EB4AA3">
        <w:rPr>
          <w:rFonts w:ascii="Arial" w:hAnsi="Arial" w:cs="Arial"/>
          <w:sz w:val="22"/>
          <w:szCs w:val="22"/>
          <w:lang w:val="es-ES_tradnl"/>
        </w:rPr>
        <w:t xml:space="preserve">16 </w:t>
      </w:r>
      <w:r w:rsidRPr="00CA0370">
        <w:rPr>
          <w:rFonts w:ascii="Arial" w:hAnsi="Arial" w:cs="Arial"/>
          <w:sz w:val="22"/>
          <w:szCs w:val="22"/>
          <w:lang w:val="es-ES_tradnl"/>
        </w:rPr>
        <w:t>años</w:t>
      </w:r>
      <w:r w:rsidRPr="00CA0370" w:rsidR="00EB4AA3">
        <w:rPr>
          <w:rFonts w:ascii="Arial" w:hAnsi="Arial" w:cs="Arial"/>
          <w:sz w:val="22"/>
          <w:szCs w:val="22"/>
          <w:lang w:val="es-ES_tradnl"/>
        </w:rPr>
        <w:t xml:space="preserve"> para proyectos de carreteras </w:t>
      </w:r>
      <w:r w:rsidRPr="00CA0370" w:rsidR="00E0763E">
        <w:rPr>
          <w:rFonts w:ascii="Arial" w:hAnsi="Arial" w:cs="Arial"/>
          <w:sz w:val="22"/>
          <w:szCs w:val="22"/>
          <w:lang w:val="es-ES_tradnl"/>
        </w:rPr>
        <w:t>(</w:t>
      </w:r>
      <w:r w:rsidRPr="00CA0370" w:rsidR="00EB4AA3">
        <w:rPr>
          <w:rFonts w:ascii="Arial" w:hAnsi="Arial" w:cs="Arial"/>
          <w:sz w:val="22"/>
          <w:szCs w:val="22"/>
          <w:lang w:val="es-ES_tradnl"/>
        </w:rPr>
        <w:t>y 14 para proyectos de ferrocarril</w:t>
      </w:r>
      <w:r w:rsidRPr="00CA0370" w:rsidR="00E0763E">
        <w:rPr>
          <w:rFonts w:ascii="Arial" w:hAnsi="Arial" w:cs="Arial"/>
          <w:sz w:val="22"/>
          <w:szCs w:val="22"/>
          <w:lang w:val="es-ES_tradnl"/>
        </w:rPr>
        <w:t xml:space="preserve"> incorporados en el análisis del componente I por los argumentos ya expuestos). La justificación técnica de este periodo se basa en la disponibilidad detallada de los </w:t>
      </w:r>
      <w:r w:rsidRPr="00CA0370" w:rsidR="002816A4">
        <w:rPr>
          <w:rFonts w:ascii="Arial" w:hAnsi="Arial" w:cs="Arial"/>
          <w:sz w:val="22"/>
          <w:szCs w:val="22"/>
          <w:lang w:val="es-ES_tradnl"/>
        </w:rPr>
        <w:t>costo</w:t>
      </w:r>
      <w:r w:rsidRPr="00CA0370" w:rsidR="00E0763E">
        <w:rPr>
          <w:rFonts w:ascii="Arial" w:hAnsi="Arial" w:cs="Arial"/>
          <w:sz w:val="22"/>
          <w:szCs w:val="22"/>
          <w:lang w:val="es-ES_tradnl"/>
        </w:rPr>
        <w:t>s de los proyectos (mantenimiento</w:t>
      </w:r>
      <w:r w:rsidRPr="00CA0370" w:rsidR="00431854">
        <w:rPr>
          <w:rFonts w:ascii="Arial" w:hAnsi="Arial" w:cs="Arial"/>
          <w:sz w:val="22"/>
          <w:szCs w:val="22"/>
          <w:lang w:val="es-ES_tradnl"/>
        </w:rPr>
        <w:t xml:space="preserve">, operación, depreciación, </w:t>
      </w:r>
      <w:r w:rsidRPr="00CA0370" w:rsidR="005A50B8">
        <w:rPr>
          <w:rFonts w:ascii="Arial" w:hAnsi="Arial" w:cs="Arial"/>
          <w:sz w:val="22"/>
          <w:szCs w:val="22"/>
          <w:lang w:val="es-ES_tradnl"/>
        </w:rPr>
        <w:t>etc.</w:t>
      </w:r>
      <w:r w:rsidRPr="00CA0370" w:rsidR="00431854">
        <w:rPr>
          <w:rFonts w:ascii="Arial" w:hAnsi="Arial" w:cs="Arial"/>
          <w:sz w:val="22"/>
          <w:szCs w:val="22"/>
          <w:lang w:val="es-ES_tradnl"/>
        </w:rPr>
        <w:t>)</w:t>
      </w:r>
      <w:r w:rsidRPr="00CA0370" w:rsidR="00E0763E">
        <w:rPr>
          <w:rFonts w:ascii="Arial" w:hAnsi="Arial" w:cs="Arial"/>
          <w:sz w:val="22"/>
          <w:szCs w:val="22"/>
          <w:lang w:val="es-ES_tradnl"/>
        </w:rPr>
        <w:t xml:space="preserve">. Si bien en proyectos de esta envergadura es un escenario conservador en la medida que podrían ser razonables periodos </w:t>
      </w:r>
      <w:r w:rsidRPr="00CA0370" w:rsidR="00373E2D">
        <w:rPr>
          <w:rFonts w:ascii="Arial" w:hAnsi="Arial" w:cs="Arial"/>
          <w:sz w:val="22"/>
          <w:szCs w:val="22"/>
          <w:lang w:val="es-ES_tradnl"/>
        </w:rPr>
        <w:t>más</w:t>
      </w:r>
      <w:r w:rsidRPr="00CA0370" w:rsidR="00E0763E">
        <w:rPr>
          <w:rFonts w:ascii="Arial" w:hAnsi="Arial" w:cs="Arial"/>
          <w:sz w:val="22"/>
          <w:szCs w:val="22"/>
          <w:lang w:val="es-ES_tradnl"/>
        </w:rPr>
        <w:t xml:space="preserve"> grandes para contabilizar beneficios. En resumen, </w:t>
      </w:r>
      <w:r w:rsidRPr="00CA0370" w:rsidR="00431854">
        <w:rPr>
          <w:rFonts w:ascii="Arial" w:hAnsi="Arial" w:cs="Arial"/>
          <w:sz w:val="22"/>
          <w:szCs w:val="22"/>
          <w:lang w:val="es-ES_tradnl"/>
        </w:rPr>
        <w:t xml:space="preserve">considerando </w:t>
      </w:r>
      <w:r w:rsidRPr="00CA0370" w:rsidR="00E0763E">
        <w:rPr>
          <w:rFonts w:ascii="Arial" w:hAnsi="Arial" w:cs="Arial"/>
          <w:sz w:val="22"/>
          <w:szCs w:val="22"/>
          <w:lang w:val="es-ES_tradnl"/>
        </w:rPr>
        <w:t xml:space="preserve">los periodos en los que se tiene información detallada </w:t>
      </w:r>
      <w:r w:rsidRPr="00CA0370" w:rsidR="00431854">
        <w:rPr>
          <w:rFonts w:ascii="Arial" w:hAnsi="Arial" w:cs="Arial"/>
          <w:sz w:val="22"/>
          <w:szCs w:val="22"/>
          <w:lang w:val="es-ES_tradnl"/>
        </w:rPr>
        <w:t>podemos</w:t>
      </w:r>
      <w:r w:rsidRPr="00CA0370" w:rsidR="00E0763E">
        <w:rPr>
          <w:rFonts w:ascii="Arial" w:hAnsi="Arial" w:cs="Arial"/>
          <w:sz w:val="22"/>
          <w:szCs w:val="22"/>
          <w:lang w:val="es-ES_tradnl"/>
        </w:rPr>
        <w:t xml:space="preserve"> extender</w:t>
      </w:r>
      <w:r w:rsidRPr="00CA0370">
        <w:rPr>
          <w:rFonts w:ascii="Arial" w:hAnsi="Arial" w:cs="Arial"/>
          <w:sz w:val="22"/>
          <w:szCs w:val="22"/>
          <w:lang w:val="es-ES_tradnl"/>
        </w:rPr>
        <w:t xml:space="preserve"> el punto en el cual se rea</w:t>
      </w:r>
      <w:r w:rsidRPr="00CA0370" w:rsidR="006E0805">
        <w:rPr>
          <w:rFonts w:ascii="Arial" w:hAnsi="Arial" w:cs="Arial"/>
          <w:sz w:val="22"/>
          <w:szCs w:val="22"/>
          <w:lang w:val="es-ES_tradnl"/>
        </w:rPr>
        <w:t xml:space="preserve">lizaría la evaluación </w:t>
      </w:r>
      <w:r w:rsidRPr="00CA0370" w:rsidR="00EB4AA3">
        <w:rPr>
          <w:rFonts w:ascii="Arial" w:hAnsi="Arial" w:cs="Arial"/>
          <w:sz w:val="22"/>
          <w:szCs w:val="22"/>
          <w:lang w:val="es-ES_tradnl"/>
        </w:rPr>
        <w:t>a 2039</w:t>
      </w:r>
      <w:r w:rsidRPr="00CA0370" w:rsidR="00E0763E">
        <w:rPr>
          <w:rFonts w:ascii="Arial" w:hAnsi="Arial" w:cs="Arial"/>
          <w:sz w:val="22"/>
          <w:szCs w:val="22"/>
          <w:lang w:val="es-ES_tradnl"/>
        </w:rPr>
        <w:t xml:space="preserve"> en proyectos de carreteras</w:t>
      </w:r>
      <w:r w:rsidRPr="00CA0370" w:rsidR="00EB4AA3">
        <w:rPr>
          <w:rFonts w:ascii="Arial" w:hAnsi="Arial" w:cs="Arial"/>
          <w:sz w:val="22"/>
          <w:szCs w:val="22"/>
          <w:lang w:val="es-ES_tradnl"/>
        </w:rPr>
        <w:t xml:space="preserve"> y 2037 </w:t>
      </w:r>
      <w:r w:rsidRPr="00CA0370" w:rsidR="00E0763E">
        <w:rPr>
          <w:rFonts w:ascii="Arial" w:hAnsi="Arial" w:cs="Arial"/>
          <w:sz w:val="22"/>
          <w:szCs w:val="22"/>
          <w:lang w:val="es-ES_tradnl"/>
        </w:rPr>
        <w:t>en proyectos de ferrocarril</w:t>
      </w:r>
      <w:r w:rsidRPr="00CA0370">
        <w:rPr>
          <w:rFonts w:ascii="Arial" w:hAnsi="Arial" w:cs="Arial"/>
          <w:sz w:val="22"/>
          <w:szCs w:val="22"/>
          <w:lang w:val="es-ES_tradnl"/>
        </w:rPr>
        <w:t xml:space="preserve">. Atendiendo al tipo de inversiones y al requerimiento de contar con información oportuna se ha decidido planear la realización del ejercicio para el año </w:t>
      </w:r>
      <w:r w:rsidRPr="00CA0370" w:rsidR="00EB4AA3">
        <w:rPr>
          <w:rFonts w:ascii="Arial" w:hAnsi="Arial" w:cs="Arial"/>
          <w:sz w:val="22"/>
          <w:szCs w:val="22"/>
          <w:lang w:val="es-ES_tradnl"/>
        </w:rPr>
        <w:t>2023</w:t>
      </w:r>
      <w:r w:rsidRPr="00CA0370">
        <w:rPr>
          <w:rFonts w:ascii="Arial" w:hAnsi="Arial" w:cs="Arial"/>
          <w:sz w:val="22"/>
          <w:szCs w:val="22"/>
          <w:lang w:val="es-ES_tradnl"/>
        </w:rPr>
        <w:t xml:space="preserve"> (permitiendo un plazo mínimo que permita inferir los </w:t>
      </w:r>
      <w:r w:rsidRPr="00CA0370" w:rsidR="003A427F">
        <w:rPr>
          <w:rFonts w:ascii="Arial" w:hAnsi="Arial" w:cs="Arial"/>
          <w:sz w:val="22"/>
          <w:szCs w:val="22"/>
          <w:lang w:val="es-ES_tradnl"/>
        </w:rPr>
        <w:t>resultados</w:t>
      </w:r>
      <w:r w:rsidRPr="00CA0370">
        <w:rPr>
          <w:rFonts w:ascii="Arial" w:hAnsi="Arial" w:cs="Arial"/>
          <w:sz w:val="22"/>
          <w:szCs w:val="22"/>
          <w:lang w:val="es-ES_tradnl"/>
        </w:rPr>
        <w:t xml:space="preserve"> que se desea medir).</w:t>
      </w:r>
    </w:p>
    <w:p w:rsidRPr="00CA0370" w:rsidR="008E6C58" w:rsidP="00BC4726" w:rsidRDefault="006E0805" w14:paraId="7692CF5B" w14:textId="53870130">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Cost</w:t>
      </w:r>
      <w:r w:rsidRPr="00CA0370" w:rsidR="004A4C29">
        <w:rPr>
          <w:rFonts w:ascii="Arial" w:hAnsi="Arial" w:cs="Arial"/>
          <w:b/>
          <w:sz w:val="22"/>
          <w:szCs w:val="22"/>
          <w:lang w:val="es-ES_tradnl"/>
        </w:rPr>
        <w:t>o</w:t>
      </w:r>
      <w:r w:rsidRPr="00CA0370" w:rsidR="00BC4726">
        <w:rPr>
          <w:rFonts w:ascii="Arial" w:hAnsi="Arial" w:cs="Arial"/>
          <w:b/>
          <w:sz w:val="22"/>
          <w:szCs w:val="22"/>
          <w:lang w:val="es-ES_tradnl"/>
        </w:rPr>
        <w:t>s</w:t>
      </w:r>
      <w:r w:rsidRPr="00CA0370" w:rsidR="00EE6D04">
        <w:rPr>
          <w:rFonts w:ascii="Arial" w:hAnsi="Arial" w:cs="Arial"/>
          <w:b/>
          <w:sz w:val="22"/>
          <w:szCs w:val="22"/>
          <w:lang w:val="es-ES_tradnl"/>
        </w:rPr>
        <w:t>.</w:t>
      </w:r>
      <w:r w:rsidRPr="00CA0370" w:rsidR="00BC4726">
        <w:rPr>
          <w:rFonts w:ascii="Arial" w:hAnsi="Arial" w:cs="Arial"/>
          <w:sz w:val="22"/>
          <w:szCs w:val="22"/>
          <w:lang w:val="es-ES_tradnl"/>
        </w:rPr>
        <w:t xml:space="preserve"> </w:t>
      </w:r>
      <w:r w:rsidRPr="00CA0370" w:rsidR="008E6C58">
        <w:rPr>
          <w:rFonts w:ascii="Arial" w:hAnsi="Arial" w:cs="Arial"/>
          <w:sz w:val="22"/>
          <w:szCs w:val="22"/>
          <w:lang w:val="es-ES_tradnl"/>
        </w:rPr>
        <w:t xml:space="preserve">La rentabilidad del proyecto se obtiene considerando los </w:t>
      </w:r>
      <w:r w:rsidRPr="00CA0370" w:rsidR="002816A4">
        <w:rPr>
          <w:rFonts w:ascii="Arial" w:hAnsi="Arial" w:cs="Arial"/>
          <w:sz w:val="22"/>
          <w:szCs w:val="22"/>
          <w:lang w:val="es-ES_tradnl"/>
        </w:rPr>
        <w:t>costo</w:t>
      </w:r>
      <w:r w:rsidRPr="00CA0370" w:rsidR="008E6C58">
        <w:rPr>
          <w:rFonts w:ascii="Arial" w:hAnsi="Arial" w:cs="Arial"/>
          <w:sz w:val="22"/>
          <w:szCs w:val="22"/>
          <w:lang w:val="es-ES_tradnl"/>
        </w:rPr>
        <w:t xml:space="preserve">s de inversión resultantes de los estudios de </w:t>
      </w:r>
      <w:r w:rsidRPr="00CA0370" w:rsidR="003A427F">
        <w:rPr>
          <w:rFonts w:ascii="Arial" w:hAnsi="Arial" w:cs="Arial"/>
          <w:sz w:val="22"/>
          <w:szCs w:val="22"/>
          <w:lang w:val="es-ES_tradnl"/>
        </w:rPr>
        <w:t>ingeniería</w:t>
      </w:r>
      <w:r w:rsidRPr="00CA0370" w:rsidR="0090178B">
        <w:rPr>
          <w:rFonts w:ascii="Arial" w:hAnsi="Arial" w:cs="Arial"/>
          <w:sz w:val="22"/>
          <w:szCs w:val="22"/>
          <w:lang w:val="es-ES_tradnl"/>
        </w:rPr>
        <w:t xml:space="preserve">, los </w:t>
      </w:r>
      <w:r w:rsidRPr="00CA0370" w:rsidR="002816A4">
        <w:rPr>
          <w:rFonts w:ascii="Arial" w:hAnsi="Arial" w:cs="Arial"/>
          <w:sz w:val="22"/>
          <w:szCs w:val="22"/>
          <w:lang w:val="es-ES_tradnl"/>
        </w:rPr>
        <w:t>costo</w:t>
      </w:r>
      <w:r w:rsidRPr="00CA0370" w:rsidR="003A427F">
        <w:rPr>
          <w:rFonts w:ascii="Arial" w:hAnsi="Arial" w:cs="Arial"/>
          <w:sz w:val="22"/>
          <w:szCs w:val="22"/>
          <w:lang w:val="es-ES_tradnl"/>
        </w:rPr>
        <w:t xml:space="preserve">s de operación, </w:t>
      </w:r>
      <w:r w:rsidRPr="00CA0370" w:rsidR="0090178B">
        <w:rPr>
          <w:rFonts w:ascii="Arial" w:hAnsi="Arial" w:cs="Arial"/>
          <w:sz w:val="22"/>
          <w:szCs w:val="22"/>
          <w:lang w:val="es-ES_tradnl"/>
        </w:rPr>
        <w:t xml:space="preserve">los </w:t>
      </w:r>
      <w:r w:rsidRPr="00CA0370" w:rsidR="002816A4">
        <w:rPr>
          <w:rFonts w:ascii="Arial" w:hAnsi="Arial" w:cs="Arial"/>
          <w:sz w:val="22"/>
          <w:szCs w:val="22"/>
          <w:lang w:val="es-ES_tradnl"/>
        </w:rPr>
        <w:t>costo</w:t>
      </w:r>
      <w:r w:rsidRPr="00CA0370" w:rsidR="008E6C58">
        <w:rPr>
          <w:rFonts w:ascii="Arial" w:hAnsi="Arial" w:cs="Arial"/>
          <w:sz w:val="22"/>
          <w:szCs w:val="22"/>
          <w:lang w:val="es-ES_tradnl"/>
        </w:rPr>
        <w:t>s anuales de mantenimiento</w:t>
      </w:r>
      <w:r w:rsidRPr="00CA0370" w:rsidR="00587160">
        <w:rPr>
          <w:rFonts w:ascii="Arial" w:hAnsi="Arial" w:cs="Arial"/>
          <w:sz w:val="22"/>
          <w:szCs w:val="22"/>
          <w:lang w:val="es-ES_tradnl"/>
        </w:rPr>
        <w:t>, la depreciación,</w:t>
      </w:r>
      <w:r w:rsidRPr="00CA0370" w:rsidR="008E6C58">
        <w:rPr>
          <w:rFonts w:ascii="Arial" w:hAnsi="Arial" w:cs="Arial"/>
          <w:sz w:val="22"/>
          <w:szCs w:val="22"/>
          <w:lang w:val="es-ES_tradnl"/>
        </w:rPr>
        <w:t xml:space="preserve"> y los flujos de </w:t>
      </w:r>
      <w:r w:rsidRPr="00CA0370" w:rsidR="003A427F">
        <w:rPr>
          <w:rFonts w:ascii="Arial" w:hAnsi="Arial" w:cs="Arial"/>
          <w:sz w:val="22"/>
          <w:szCs w:val="22"/>
          <w:lang w:val="es-ES_tradnl"/>
        </w:rPr>
        <w:t>pérdidas y ganancias</w:t>
      </w:r>
      <w:r w:rsidRPr="00CA0370" w:rsidR="008E6C58">
        <w:rPr>
          <w:rFonts w:ascii="Arial" w:hAnsi="Arial" w:cs="Arial"/>
          <w:sz w:val="22"/>
          <w:szCs w:val="22"/>
          <w:lang w:val="es-ES_tradnl"/>
        </w:rPr>
        <w:t xml:space="preserve"> neta</w:t>
      </w:r>
      <w:r w:rsidRPr="00CA0370" w:rsidR="003A427F">
        <w:rPr>
          <w:rFonts w:ascii="Arial" w:hAnsi="Arial" w:cs="Arial"/>
          <w:sz w:val="22"/>
          <w:szCs w:val="22"/>
          <w:lang w:val="es-ES_tradnl"/>
        </w:rPr>
        <w:t>s</w:t>
      </w:r>
      <w:r w:rsidRPr="00CA0370" w:rsidR="00431854">
        <w:rPr>
          <w:rFonts w:ascii="Arial" w:hAnsi="Arial" w:cs="Arial"/>
          <w:sz w:val="22"/>
          <w:szCs w:val="22"/>
          <w:lang w:val="es-ES_tradnl"/>
        </w:rPr>
        <w:t>.</w:t>
      </w:r>
    </w:p>
    <w:p w:rsidRPr="00CA0370" w:rsidR="00BC4726" w:rsidP="00BC4726" w:rsidRDefault="00BC4726" w14:paraId="2D4CDDD5" w14:textId="6A0EE5B3">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Beneficios</w:t>
      </w:r>
      <w:r w:rsidRPr="00CA0370" w:rsidR="00EE6D04">
        <w:rPr>
          <w:rFonts w:ascii="Arial" w:hAnsi="Arial" w:cs="Arial"/>
          <w:b/>
          <w:sz w:val="22"/>
          <w:szCs w:val="22"/>
          <w:lang w:val="es-ES_tradnl"/>
        </w:rPr>
        <w:t>.</w:t>
      </w:r>
      <w:r w:rsidRPr="00CA0370">
        <w:rPr>
          <w:rFonts w:ascii="Arial" w:hAnsi="Arial" w:cs="Arial"/>
          <w:sz w:val="22"/>
          <w:szCs w:val="22"/>
          <w:lang w:val="es-ES_tradnl"/>
        </w:rPr>
        <w:t xml:space="preserve"> </w:t>
      </w:r>
      <w:r w:rsidRPr="00CA0370" w:rsidR="008E6C58">
        <w:rPr>
          <w:rFonts w:ascii="Arial" w:hAnsi="Arial" w:cs="Arial"/>
          <w:sz w:val="22"/>
          <w:szCs w:val="22"/>
          <w:lang w:val="es-ES_tradnl"/>
        </w:rPr>
        <w:t xml:space="preserve">La estimación de los beneficios del proyecto se apoya en una metodología de análisis generalmente utilizada en proyectos </w:t>
      </w:r>
      <w:r w:rsidRPr="00CA0370" w:rsidR="00F65360">
        <w:rPr>
          <w:rFonts w:ascii="Arial" w:hAnsi="Arial" w:cs="Arial"/>
          <w:sz w:val="22"/>
          <w:szCs w:val="22"/>
          <w:lang w:val="es-ES_tradnl"/>
        </w:rPr>
        <w:t>de infraestructura de transporte</w:t>
      </w:r>
      <w:r w:rsidRPr="00CA0370" w:rsidR="00D92E94">
        <w:rPr>
          <w:rFonts w:ascii="Arial" w:hAnsi="Arial" w:cs="Arial"/>
          <w:sz w:val="22"/>
          <w:szCs w:val="22"/>
          <w:lang w:val="es-ES_tradnl"/>
        </w:rPr>
        <w:t xml:space="preserve"> en los que se </w:t>
      </w:r>
      <w:r w:rsidRPr="00CA0370" w:rsidR="00E82F9E">
        <w:rPr>
          <w:rFonts w:ascii="Arial" w:hAnsi="Arial" w:cs="Arial"/>
          <w:sz w:val="22"/>
          <w:szCs w:val="22"/>
          <w:lang w:val="es-ES_tradnl"/>
        </w:rPr>
        <w:t xml:space="preserve">contemplan los incrementos del tránsito vehicular y se monetizan </w:t>
      </w:r>
      <w:r w:rsidRPr="00CA0370" w:rsidR="005A50B8">
        <w:rPr>
          <w:rFonts w:ascii="Arial" w:hAnsi="Arial" w:cs="Arial"/>
          <w:sz w:val="22"/>
          <w:szCs w:val="22"/>
          <w:lang w:val="es-ES_tradnl"/>
        </w:rPr>
        <w:t>de acuerdo con el</w:t>
      </w:r>
      <w:r w:rsidRPr="00CA0370" w:rsidR="00E82F9E">
        <w:rPr>
          <w:rFonts w:ascii="Arial" w:hAnsi="Arial" w:cs="Arial"/>
          <w:sz w:val="22"/>
          <w:szCs w:val="22"/>
          <w:lang w:val="es-ES_tradnl"/>
        </w:rPr>
        <w:t xml:space="preserve"> valor de viaje de usuarios que utilizan las carreteras por motivos de trabajo.</w:t>
      </w:r>
      <w:r w:rsidRPr="00CA0370" w:rsidR="00F65360">
        <w:rPr>
          <w:rFonts w:ascii="Arial" w:hAnsi="Arial" w:cs="Arial"/>
          <w:sz w:val="22"/>
          <w:szCs w:val="22"/>
          <w:lang w:val="es-ES_tradnl"/>
        </w:rPr>
        <w:t xml:space="preserve"> </w:t>
      </w:r>
    </w:p>
    <w:p w:rsidRPr="00CA0370" w:rsidR="00BC4726" w:rsidP="00BC4726" w:rsidRDefault="00BC4726" w14:paraId="78E71149" w14:textId="0819D58C">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Fuentes y frecuencia de la información</w:t>
      </w:r>
      <w:r w:rsidRPr="00CA0370" w:rsidR="00EE6D04">
        <w:rPr>
          <w:rFonts w:ascii="Arial" w:hAnsi="Arial" w:cs="Arial"/>
          <w:b/>
          <w:sz w:val="22"/>
          <w:szCs w:val="22"/>
          <w:lang w:val="es-ES_tradnl"/>
        </w:rPr>
        <w:t>.</w:t>
      </w:r>
      <w:r w:rsidRPr="00CA0370">
        <w:rPr>
          <w:rFonts w:ascii="Arial" w:hAnsi="Arial" w:cs="Arial"/>
          <w:sz w:val="22"/>
          <w:szCs w:val="22"/>
          <w:lang w:val="es-ES_tradnl"/>
        </w:rPr>
        <w:t xml:space="preserve"> La información necesaria</w:t>
      </w:r>
      <w:r w:rsidRPr="00CA0370" w:rsidR="00E82F9E">
        <w:rPr>
          <w:rFonts w:ascii="Arial" w:hAnsi="Arial" w:cs="Arial"/>
          <w:sz w:val="22"/>
          <w:szCs w:val="22"/>
          <w:lang w:val="es-ES_tradnl"/>
        </w:rPr>
        <w:t xml:space="preserve"> (con la excepción que se </w:t>
      </w:r>
      <w:r w:rsidRPr="00CA0370" w:rsidR="006E136F">
        <w:rPr>
          <w:rFonts w:ascii="Arial" w:hAnsi="Arial" w:cs="Arial"/>
          <w:sz w:val="22"/>
          <w:szCs w:val="22"/>
          <w:lang w:val="es-ES_tradnl"/>
        </w:rPr>
        <w:t>indicará</w:t>
      </w:r>
      <w:r w:rsidRPr="00CA0370" w:rsidR="00E82F9E">
        <w:rPr>
          <w:rFonts w:ascii="Arial" w:hAnsi="Arial" w:cs="Arial"/>
          <w:sz w:val="22"/>
          <w:szCs w:val="22"/>
          <w:lang w:val="es-ES_tradnl"/>
        </w:rPr>
        <w:t xml:space="preserve"> </w:t>
      </w:r>
      <w:r w:rsidRPr="00CA0370" w:rsidR="00373E2D">
        <w:rPr>
          <w:rFonts w:ascii="Arial" w:hAnsi="Arial" w:cs="Arial"/>
          <w:sz w:val="22"/>
          <w:szCs w:val="22"/>
          <w:lang w:val="es-ES_tradnl"/>
        </w:rPr>
        <w:t>más</w:t>
      </w:r>
      <w:r w:rsidRPr="00CA0370" w:rsidR="00E82F9E">
        <w:rPr>
          <w:rFonts w:ascii="Arial" w:hAnsi="Arial" w:cs="Arial"/>
          <w:sz w:val="22"/>
          <w:szCs w:val="22"/>
          <w:lang w:val="es-ES_tradnl"/>
        </w:rPr>
        <w:t xml:space="preserve"> adelante respecto a los datos del TDPA)</w:t>
      </w:r>
      <w:r w:rsidRPr="00CA0370">
        <w:rPr>
          <w:rFonts w:ascii="Arial" w:hAnsi="Arial" w:cs="Arial"/>
          <w:sz w:val="22"/>
          <w:szCs w:val="22"/>
          <w:lang w:val="es-ES_tradnl"/>
        </w:rPr>
        <w:t xml:space="preserve"> para </w:t>
      </w:r>
      <w:r w:rsidRPr="00CA0370" w:rsidR="00E82F9E">
        <w:rPr>
          <w:rFonts w:ascii="Arial" w:hAnsi="Arial" w:cs="Arial"/>
          <w:sz w:val="22"/>
          <w:szCs w:val="22"/>
          <w:lang w:val="es-ES_tradnl"/>
        </w:rPr>
        <w:t xml:space="preserve">la </w:t>
      </w:r>
      <w:r w:rsidRPr="00CA0370">
        <w:rPr>
          <w:rFonts w:ascii="Arial" w:hAnsi="Arial" w:cs="Arial"/>
          <w:sz w:val="22"/>
          <w:szCs w:val="22"/>
          <w:lang w:val="es-ES_tradnl"/>
        </w:rPr>
        <w:t>realización de estos cálculos</w:t>
      </w:r>
      <w:r w:rsidRPr="00CA0370" w:rsidR="00BE07B0">
        <w:rPr>
          <w:rFonts w:ascii="Arial" w:hAnsi="Arial" w:cs="Arial"/>
          <w:sz w:val="22"/>
          <w:szCs w:val="22"/>
          <w:lang w:val="es-ES_tradnl"/>
        </w:rPr>
        <w:t xml:space="preserve"> será recolectada</w:t>
      </w:r>
      <w:r w:rsidRPr="00CA0370">
        <w:rPr>
          <w:rFonts w:ascii="Arial" w:hAnsi="Arial" w:cs="Arial"/>
          <w:sz w:val="22"/>
          <w:szCs w:val="22"/>
          <w:lang w:val="es-ES_tradnl"/>
        </w:rPr>
        <w:t xml:space="preserve"> por la unidad </w:t>
      </w:r>
      <w:r w:rsidRPr="00CA0370" w:rsidR="003D6CE3">
        <w:rPr>
          <w:rFonts w:ascii="Arial" w:hAnsi="Arial" w:cs="Arial"/>
          <w:sz w:val="22"/>
          <w:szCs w:val="22"/>
          <w:lang w:val="es-ES_tradnl"/>
        </w:rPr>
        <w:t xml:space="preserve">de </w:t>
      </w:r>
      <w:r w:rsidRPr="00CA0370" w:rsidR="00EE6D04">
        <w:rPr>
          <w:rFonts w:ascii="Arial" w:hAnsi="Arial" w:cs="Arial"/>
          <w:sz w:val="22"/>
          <w:szCs w:val="22"/>
          <w:lang w:val="es-ES_tradnl"/>
        </w:rPr>
        <w:t xml:space="preserve">las </w:t>
      </w:r>
      <w:r w:rsidRPr="00CA0370" w:rsidR="003A38E6">
        <w:rPr>
          <w:rFonts w:ascii="Arial" w:hAnsi="Arial" w:cs="Arial"/>
          <w:sz w:val="22"/>
          <w:szCs w:val="22"/>
          <w:lang w:val="es-ES_tradnl"/>
        </w:rPr>
        <w:t>PPP</w:t>
      </w:r>
      <w:r w:rsidRPr="00CA0370">
        <w:rPr>
          <w:rFonts w:ascii="Arial" w:hAnsi="Arial" w:cs="Arial"/>
          <w:sz w:val="22"/>
          <w:szCs w:val="22"/>
          <w:lang w:val="es-ES_tradnl"/>
        </w:rPr>
        <w:t xml:space="preserve"> del BROU, como resultado del curso normal de sus operaci</w:t>
      </w:r>
      <w:r w:rsidRPr="00CA0370" w:rsidR="00BE07B0">
        <w:rPr>
          <w:rFonts w:ascii="Arial" w:hAnsi="Arial" w:cs="Arial"/>
          <w:sz w:val="22"/>
          <w:szCs w:val="22"/>
          <w:lang w:val="es-ES_tradnl"/>
        </w:rPr>
        <w:t>ones de monitoreo y seguimiento.</w:t>
      </w:r>
      <w:r w:rsidRPr="00CA0370">
        <w:rPr>
          <w:rFonts w:ascii="Arial" w:hAnsi="Arial" w:cs="Arial"/>
          <w:sz w:val="22"/>
          <w:szCs w:val="22"/>
          <w:lang w:val="es-ES_tradnl"/>
        </w:rPr>
        <w:t xml:space="preserve"> La frecuencia de los datos a utilizar es anual (aunque dicha información estará disponible a mayores frecuencias) y los datos serán recolectados </w:t>
      </w:r>
      <w:r w:rsidRPr="00CA0370" w:rsidR="00C445BD">
        <w:rPr>
          <w:rFonts w:ascii="Arial" w:hAnsi="Arial" w:cs="Arial"/>
          <w:sz w:val="22"/>
          <w:szCs w:val="22"/>
          <w:lang w:val="es-ES_tradnl"/>
        </w:rPr>
        <w:t>una</w:t>
      </w:r>
      <w:r w:rsidRPr="00CA0370">
        <w:rPr>
          <w:rFonts w:ascii="Arial" w:hAnsi="Arial" w:cs="Arial"/>
          <w:sz w:val="22"/>
          <w:szCs w:val="22"/>
          <w:lang w:val="es-ES_tradnl"/>
        </w:rPr>
        <w:t xml:space="preserve"> única vez durante la realización del ejercicio de </w:t>
      </w:r>
      <w:r w:rsidRPr="00CA0370" w:rsidR="006E0805">
        <w:rPr>
          <w:rFonts w:ascii="Arial" w:hAnsi="Arial" w:cs="Arial"/>
          <w:sz w:val="22"/>
          <w:szCs w:val="22"/>
          <w:lang w:val="es-ES_tradnl"/>
        </w:rPr>
        <w:t>A</w:t>
      </w:r>
      <w:r w:rsidRPr="00CA0370">
        <w:rPr>
          <w:rFonts w:ascii="Arial" w:hAnsi="Arial" w:cs="Arial"/>
          <w:sz w:val="22"/>
          <w:szCs w:val="22"/>
          <w:lang w:val="es-ES_tradnl"/>
        </w:rPr>
        <w:t xml:space="preserve">CB ex post en </w:t>
      </w:r>
      <w:r w:rsidRPr="00CA0370" w:rsidR="00C445BD">
        <w:rPr>
          <w:rFonts w:ascii="Arial" w:hAnsi="Arial" w:cs="Arial"/>
          <w:sz w:val="22"/>
          <w:szCs w:val="22"/>
          <w:lang w:val="es-ES_tradnl"/>
        </w:rPr>
        <w:t>2023</w:t>
      </w:r>
      <w:r w:rsidRPr="00CA0370">
        <w:rPr>
          <w:rFonts w:ascii="Arial" w:hAnsi="Arial" w:cs="Arial"/>
          <w:sz w:val="22"/>
          <w:szCs w:val="22"/>
          <w:lang w:val="es-ES_tradnl"/>
        </w:rPr>
        <w:t xml:space="preserve"> ya que toda la información necesaria es registrada en el curso normal de las operaciones de las entidades involucradas. </w:t>
      </w:r>
      <w:r w:rsidRPr="00CA0370" w:rsidR="000D45AB">
        <w:rPr>
          <w:rFonts w:ascii="Arial" w:hAnsi="Arial" w:cs="Arial"/>
          <w:sz w:val="22"/>
          <w:szCs w:val="22"/>
          <w:lang w:val="es-ES_tradnl"/>
        </w:rPr>
        <w:t xml:space="preserve">También se recurrirá a información proveniente de fuentes secundarias, proporcionada por el Instituto Nacional </w:t>
      </w:r>
      <w:r w:rsidRPr="00CA0370" w:rsidR="00F65360">
        <w:rPr>
          <w:rFonts w:ascii="Arial" w:hAnsi="Arial" w:cs="Arial"/>
          <w:sz w:val="22"/>
          <w:szCs w:val="22"/>
          <w:lang w:val="es-ES_tradnl"/>
        </w:rPr>
        <w:t>de Estadística de Uruguay (INE) y</w:t>
      </w:r>
      <w:r w:rsidRPr="00CA0370" w:rsidR="000D45AB">
        <w:rPr>
          <w:rFonts w:ascii="Arial" w:hAnsi="Arial" w:cs="Arial"/>
          <w:sz w:val="22"/>
          <w:szCs w:val="22"/>
          <w:lang w:val="es-ES_tradnl"/>
        </w:rPr>
        <w:t xml:space="preserve"> el Ministerio de Transporte y Obras Públicas de Uruguay (MTOP)</w:t>
      </w:r>
      <w:r w:rsidRPr="00CA0370" w:rsidR="00F65360">
        <w:rPr>
          <w:rFonts w:ascii="Arial" w:hAnsi="Arial" w:cs="Arial"/>
          <w:sz w:val="22"/>
          <w:szCs w:val="22"/>
          <w:lang w:val="es-ES_tradnl"/>
        </w:rPr>
        <w:t>.</w:t>
      </w:r>
    </w:p>
    <w:p w:rsidRPr="00CA0370" w:rsidR="00BC4726" w:rsidP="00BC4726" w:rsidRDefault="00BC4726" w14:paraId="538F26B6" w14:textId="0FC6D984">
      <w:pPr>
        <w:pStyle w:val="subpar"/>
        <w:tabs>
          <w:tab w:val="clear" w:pos="2304"/>
          <w:tab w:val="num" w:pos="1152"/>
        </w:tabs>
        <w:ind w:left="1152"/>
        <w:rPr>
          <w:rFonts w:ascii="Arial" w:hAnsi="Arial" w:cs="Arial"/>
          <w:sz w:val="22"/>
          <w:szCs w:val="22"/>
          <w:lang w:val="es-ES_tradnl"/>
        </w:rPr>
      </w:pPr>
      <w:r w:rsidRPr="00CA0370">
        <w:rPr>
          <w:rFonts w:ascii="Arial" w:hAnsi="Arial" w:cs="Arial"/>
          <w:b/>
          <w:sz w:val="22"/>
          <w:szCs w:val="22"/>
          <w:lang w:val="es-ES_tradnl"/>
        </w:rPr>
        <w:t>Tasas de descuento</w:t>
      </w:r>
      <w:r w:rsidRPr="00CA0370">
        <w:rPr>
          <w:rFonts w:ascii="Arial" w:hAnsi="Arial" w:cs="Arial"/>
          <w:sz w:val="22"/>
          <w:szCs w:val="22"/>
          <w:lang w:val="es-ES_tradnl"/>
        </w:rPr>
        <w:t xml:space="preserve">. </w:t>
      </w:r>
      <w:r w:rsidRPr="00CA0370" w:rsidR="00FE7B4B">
        <w:rPr>
          <w:rFonts w:ascii="Arial" w:hAnsi="Arial" w:cs="Arial"/>
          <w:sz w:val="22"/>
          <w:szCs w:val="22"/>
          <w:lang w:val="es-ES_tradnl"/>
        </w:rPr>
        <w:t>Una vez</w:t>
      </w:r>
      <w:r w:rsidRPr="00CA0370" w:rsidR="0090178B">
        <w:rPr>
          <w:rFonts w:ascii="Arial" w:hAnsi="Arial" w:cs="Arial"/>
          <w:sz w:val="22"/>
          <w:szCs w:val="22"/>
          <w:lang w:val="es-ES_tradnl"/>
        </w:rPr>
        <w:t xml:space="preserve"> establecido</w:t>
      </w:r>
      <w:r w:rsidRPr="00CA0370" w:rsidR="00FE7B4B">
        <w:rPr>
          <w:rFonts w:ascii="Arial" w:hAnsi="Arial" w:cs="Arial"/>
          <w:sz w:val="22"/>
          <w:szCs w:val="22"/>
          <w:lang w:val="es-ES_tradnl"/>
        </w:rPr>
        <w:t>s</w:t>
      </w:r>
      <w:r w:rsidRPr="00CA0370" w:rsidR="0090178B">
        <w:rPr>
          <w:rFonts w:ascii="Arial" w:hAnsi="Arial" w:cs="Arial"/>
          <w:sz w:val="22"/>
          <w:szCs w:val="22"/>
          <w:lang w:val="es-ES_tradnl"/>
        </w:rPr>
        <w:t xml:space="preserve"> los flujos de </w:t>
      </w:r>
      <w:r w:rsidRPr="00CA0370" w:rsidR="002816A4">
        <w:rPr>
          <w:rFonts w:ascii="Arial" w:hAnsi="Arial" w:cs="Arial"/>
          <w:sz w:val="22"/>
          <w:szCs w:val="22"/>
          <w:lang w:val="es-ES_tradnl"/>
        </w:rPr>
        <w:t>costo</w:t>
      </w:r>
      <w:r w:rsidRPr="00CA0370">
        <w:rPr>
          <w:rFonts w:ascii="Arial" w:hAnsi="Arial" w:cs="Arial"/>
          <w:sz w:val="22"/>
          <w:szCs w:val="22"/>
          <w:lang w:val="es-ES_tradnl"/>
        </w:rPr>
        <w:t>s y beneficios, los mismos serán normalizados en base a los índices de precio</w:t>
      </w:r>
      <w:r w:rsidRPr="00CA0370" w:rsidR="00FE7B4B">
        <w:rPr>
          <w:rFonts w:ascii="Arial" w:hAnsi="Arial" w:cs="Arial"/>
          <w:sz w:val="22"/>
          <w:szCs w:val="22"/>
          <w:lang w:val="es-ES_tradnl"/>
        </w:rPr>
        <w:t>s</w:t>
      </w:r>
      <w:r w:rsidRPr="00CA0370">
        <w:rPr>
          <w:rFonts w:ascii="Arial" w:hAnsi="Arial" w:cs="Arial"/>
          <w:sz w:val="22"/>
          <w:szCs w:val="22"/>
          <w:lang w:val="es-ES_tradnl"/>
        </w:rPr>
        <w:t xml:space="preserve"> </w:t>
      </w:r>
      <w:r w:rsidRPr="00CA0370" w:rsidR="00FE7B4B">
        <w:rPr>
          <w:rFonts w:ascii="Arial" w:hAnsi="Arial" w:cs="Arial"/>
          <w:sz w:val="22"/>
          <w:szCs w:val="22"/>
          <w:lang w:val="es-ES_tradnl"/>
        </w:rPr>
        <w:t>elaborados</w:t>
      </w:r>
      <w:r w:rsidRPr="00CA0370">
        <w:rPr>
          <w:rFonts w:ascii="Arial" w:hAnsi="Arial" w:cs="Arial"/>
          <w:sz w:val="22"/>
          <w:szCs w:val="22"/>
          <w:lang w:val="es-ES_tradnl"/>
        </w:rPr>
        <w:t xml:space="preserve"> por el </w:t>
      </w:r>
      <w:r w:rsidRPr="00CA0370" w:rsidR="00FE7B4B">
        <w:rPr>
          <w:rFonts w:ascii="Arial" w:hAnsi="Arial" w:cs="Arial"/>
          <w:sz w:val="22"/>
          <w:szCs w:val="22"/>
          <w:lang w:val="es-ES_tradnl"/>
        </w:rPr>
        <w:t>INE. Una vez más, siguiendo</w:t>
      </w:r>
      <w:r w:rsidRPr="00CA0370">
        <w:rPr>
          <w:rFonts w:ascii="Arial" w:hAnsi="Arial" w:cs="Arial"/>
          <w:sz w:val="22"/>
          <w:szCs w:val="22"/>
          <w:lang w:val="es-ES_tradnl"/>
        </w:rPr>
        <w:t xml:space="preserve"> la metodología propuesta en el anexo </w:t>
      </w:r>
      <w:r w:rsidRPr="00CA0370" w:rsidR="000D45AB">
        <w:rPr>
          <w:rFonts w:ascii="Arial" w:hAnsi="Arial" w:cs="Arial"/>
          <w:sz w:val="22"/>
          <w:szCs w:val="22"/>
          <w:lang w:val="es-ES_tradnl"/>
        </w:rPr>
        <w:t xml:space="preserve">del análisis </w:t>
      </w:r>
      <w:r w:rsidRPr="00CA0370">
        <w:rPr>
          <w:rFonts w:ascii="Arial" w:hAnsi="Arial" w:cs="Arial"/>
          <w:sz w:val="22"/>
          <w:szCs w:val="22"/>
          <w:lang w:val="es-ES_tradnl"/>
        </w:rPr>
        <w:t xml:space="preserve">económico, los flujos diferenciales serán descontados a la tasa del 12% según las recomendaciones para el </w:t>
      </w:r>
      <w:r w:rsidRPr="00CA0370" w:rsidR="0090178B">
        <w:rPr>
          <w:rFonts w:ascii="Arial" w:hAnsi="Arial" w:cs="Arial"/>
          <w:sz w:val="22"/>
          <w:szCs w:val="22"/>
          <w:lang w:val="es-ES_tradnl"/>
        </w:rPr>
        <w:t>ACB</w:t>
      </w:r>
      <w:r w:rsidRPr="00CA0370">
        <w:rPr>
          <w:rFonts w:ascii="Arial" w:hAnsi="Arial" w:cs="Arial"/>
          <w:sz w:val="22"/>
          <w:szCs w:val="22"/>
          <w:lang w:val="es-ES_tradnl"/>
        </w:rPr>
        <w:t xml:space="preserve"> del BID.</w:t>
      </w:r>
    </w:p>
    <w:p w:rsidRPr="00CA0370" w:rsidR="005F3F8E" w:rsidP="005F3F8E" w:rsidRDefault="00BC4726" w14:paraId="2D69788F" w14:textId="588EFC49">
      <w:pPr>
        <w:pStyle w:val="Paragraph"/>
        <w:ind w:left="540" w:hanging="540"/>
        <w:rPr>
          <w:rFonts w:ascii="Arial" w:hAnsi="Arial" w:cs="Arial"/>
          <w:sz w:val="22"/>
          <w:lang w:val="es-ES_tradnl"/>
        </w:rPr>
      </w:pPr>
      <w:r w:rsidRPr="00CA0370">
        <w:rPr>
          <w:rFonts w:ascii="Arial" w:hAnsi="Arial" w:cs="Arial"/>
          <w:b/>
          <w:sz w:val="22"/>
          <w:lang w:val="es-ES_tradnl"/>
        </w:rPr>
        <w:lastRenderedPageBreak/>
        <w:t>Presupuestario de recursos para evaluación</w:t>
      </w:r>
      <w:r w:rsidRPr="00CA0370">
        <w:rPr>
          <w:rFonts w:ascii="Arial" w:hAnsi="Arial" w:cs="Arial"/>
          <w:sz w:val="22"/>
          <w:lang w:val="es-ES_tradnl"/>
        </w:rPr>
        <w:t xml:space="preserve">. La información necesaria para el computo del </w:t>
      </w:r>
      <w:r w:rsidRPr="00CA0370" w:rsidR="0090178B">
        <w:rPr>
          <w:rFonts w:ascii="Arial" w:hAnsi="Arial" w:cs="Arial"/>
          <w:sz w:val="22"/>
          <w:lang w:val="es-ES_tradnl"/>
        </w:rPr>
        <w:t>ACB</w:t>
      </w:r>
      <w:r w:rsidRPr="00CA0370">
        <w:rPr>
          <w:rFonts w:ascii="Arial" w:hAnsi="Arial" w:cs="Arial"/>
          <w:sz w:val="22"/>
          <w:lang w:val="es-ES_tradnl"/>
        </w:rPr>
        <w:t xml:space="preserve"> </w:t>
      </w:r>
      <w:r w:rsidRPr="00CA0370" w:rsidR="00FE7B4B">
        <w:rPr>
          <w:rFonts w:ascii="Arial" w:hAnsi="Arial" w:cs="Arial"/>
          <w:sz w:val="22"/>
          <w:lang w:val="es-ES_tradnl"/>
        </w:rPr>
        <w:t>ex post será</w:t>
      </w:r>
      <w:r w:rsidRPr="00CA0370">
        <w:rPr>
          <w:rFonts w:ascii="Arial" w:hAnsi="Arial" w:cs="Arial"/>
          <w:sz w:val="22"/>
          <w:lang w:val="es-ES_tradnl"/>
        </w:rPr>
        <w:t xml:space="preserve"> generada </w:t>
      </w:r>
      <w:r w:rsidRPr="00CA0370" w:rsidR="00FE7B4B">
        <w:rPr>
          <w:rFonts w:ascii="Arial" w:hAnsi="Arial" w:cs="Arial"/>
          <w:sz w:val="22"/>
          <w:lang w:val="es-ES_tradnl"/>
        </w:rPr>
        <w:t>a partir de</w:t>
      </w:r>
      <w:r w:rsidRPr="00CA0370">
        <w:rPr>
          <w:rFonts w:ascii="Arial" w:hAnsi="Arial" w:cs="Arial"/>
          <w:sz w:val="22"/>
          <w:lang w:val="es-ES_tradnl"/>
        </w:rPr>
        <w:t xml:space="preserve"> los sistemas actuales de información del BROU, y en este sentido no es necesa</w:t>
      </w:r>
      <w:r w:rsidRPr="00CA0370" w:rsidR="00B27788">
        <w:rPr>
          <w:rFonts w:ascii="Arial" w:hAnsi="Arial" w:cs="Arial"/>
          <w:sz w:val="22"/>
          <w:lang w:val="es-ES_tradnl"/>
        </w:rPr>
        <w:t xml:space="preserve">rio realizar gastos adicionales con la </w:t>
      </w:r>
      <w:r w:rsidRPr="00CA0370" w:rsidR="006E136F">
        <w:rPr>
          <w:rFonts w:ascii="Arial" w:hAnsi="Arial" w:cs="Arial"/>
          <w:sz w:val="22"/>
          <w:lang w:val="es-ES_tradnl"/>
        </w:rPr>
        <w:t xml:space="preserve">ya mencionada </w:t>
      </w:r>
      <w:r w:rsidRPr="00CA0370" w:rsidR="00B27788">
        <w:rPr>
          <w:rFonts w:ascii="Arial" w:hAnsi="Arial" w:cs="Arial"/>
          <w:sz w:val="22"/>
          <w:lang w:val="es-ES_tradnl"/>
        </w:rPr>
        <w:t>excepción de los datos de t</w:t>
      </w:r>
      <w:r w:rsidRPr="00CA0370" w:rsidR="00E82F9E">
        <w:rPr>
          <w:rFonts w:ascii="Arial" w:hAnsi="Arial" w:cs="Arial"/>
          <w:sz w:val="22"/>
          <w:lang w:val="es-ES_tradnl"/>
        </w:rPr>
        <w:t>rá</w:t>
      </w:r>
      <w:r w:rsidRPr="00CA0370" w:rsidR="00B27788">
        <w:rPr>
          <w:rFonts w:ascii="Arial" w:hAnsi="Arial" w:cs="Arial"/>
          <w:sz w:val="22"/>
          <w:lang w:val="es-ES_tradnl"/>
        </w:rPr>
        <w:t>nsito promedio diario anual (TDPA) de las rutas 14 y 15 a la finalización del proyecto.</w:t>
      </w:r>
      <w:r w:rsidRPr="00CA0370">
        <w:rPr>
          <w:rFonts w:ascii="Arial" w:hAnsi="Arial" w:cs="Arial"/>
          <w:sz w:val="22"/>
          <w:lang w:val="es-ES_tradnl"/>
        </w:rPr>
        <w:t xml:space="preserve"> La información adicional no generada por el BROU </w:t>
      </w:r>
      <w:r w:rsidRPr="00CA0370" w:rsidR="00BA4918">
        <w:rPr>
          <w:rFonts w:ascii="Arial" w:hAnsi="Arial" w:cs="Arial"/>
          <w:sz w:val="22"/>
          <w:lang w:val="es-ES_tradnl"/>
        </w:rPr>
        <w:t>es realizada</w:t>
      </w:r>
      <w:r w:rsidRPr="00CA0370" w:rsidR="003D0E8A">
        <w:rPr>
          <w:rFonts w:ascii="Arial" w:hAnsi="Arial" w:cs="Arial"/>
          <w:sz w:val="22"/>
          <w:lang w:val="es-ES_tradnl"/>
        </w:rPr>
        <w:t xml:space="preserve"> por otras entidades (MTOP, MGAP, </w:t>
      </w:r>
      <w:r w:rsidRPr="00CA0370">
        <w:rPr>
          <w:rFonts w:ascii="Arial" w:hAnsi="Arial" w:cs="Arial"/>
          <w:sz w:val="22"/>
          <w:lang w:val="es-ES_tradnl"/>
        </w:rPr>
        <w:t>INE), dentro del curso normal de sus operaciones. Esto hace que el único recurso adicional relevante a considerar para la realización de estos informes es el de un consultor dedicado</w:t>
      </w:r>
      <w:r w:rsidRPr="00CA0370" w:rsidR="00587160">
        <w:rPr>
          <w:rFonts w:ascii="Arial" w:hAnsi="Arial" w:cs="Arial"/>
          <w:sz w:val="22"/>
          <w:lang w:val="es-ES_tradnl"/>
        </w:rPr>
        <w:t xml:space="preserve"> a la realización de los mismos</w:t>
      </w:r>
      <w:r w:rsidRPr="00CA0370" w:rsidR="00B27788">
        <w:rPr>
          <w:rFonts w:ascii="Arial" w:hAnsi="Arial" w:cs="Arial"/>
          <w:sz w:val="22"/>
          <w:lang w:val="es-ES_tradnl"/>
        </w:rPr>
        <w:t xml:space="preserve"> y otro a la recopilación de los datos de TPDA</w:t>
      </w:r>
      <w:r w:rsidRPr="00CA0370" w:rsidR="00587160">
        <w:rPr>
          <w:rFonts w:ascii="Arial" w:hAnsi="Arial" w:cs="Arial"/>
          <w:sz w:val="22"/>
          <w:lang w:val="es-ES_tradnl"/>
        </w:rPr>
        <w:t xml:space="preserve">. </w:t>
      </w:r>
      <w:r w:rsidRPr="00CA0370" w:rsidR="00B27788">
        <w:rPr>
          <w:rFonts w:ascii="Arial" w:hAnsi="Arial" w:cs="Arial"/>
          <w:sz w:val="22"/>
          <w:lang w:val="es-ES_tradnl"/>
        </w:rPr>
        <w:t>S</w:t>
      </w:r>
      <w:r w:rsidRPr="00CA0370">
        <w:rPr>
          <w:rFonts w:ascii="Arial" w:hAnsi="Arial" w:cs="Arial"/>
          <w:sz w:val="22"/>
          <w:lang w:val="es-ES_tradnl"/>
        </w:rPr>
        <w:t xml:space="preserve">e </w:t>
      </w:r>
      <w:r w:rsidRPr="00CA0370" w:rsidR="00BB011C">
        <w:rPr>
          <w:rFonts w:ascii="Arial" w:hAnsi="Arial" w:cs="Arial"/>
          <w:sz w:val="22"/>
          <w:lang w:val="es-ES_tradnl"/>
        </w:rPr>
        <w:t>estima</w:t>
      </w:r>
      <w:r w:rsidRPr="00CA0370">
        <w:rPr>
          <w:rFonts w:ascii="Arial" w:hAnsi="Arial" w:cs="Arial"/>
          <w:sz w:val="22"/>
          <w:lang w:val="es-ES_tradnl"/>
        </w:rPr>
        <w:t xml:space="preserve"> que un consultor en </w:t>
      </w:r>
      <w:r w:rsidRPr="00CA0370" w:rsidR="004A4C29">
        <w:rPr>
          <w:rFonts w:ascii="Arial" w:hAnsi="Arial" w:cs="Arial"/>
          <w:sz w:val="22"/>
          <w:lang w:val="es-ES_tradnl"/>
        </w:rPr>
        <w:t>un mes</w:t>
      </w:r>
      <w:r w:rsidRPr="00CA0370">
        <w:rPr>
          <w:rFonts w:ascii="Arial" w:hAnsi="Arial" w:cs="Arial"/>
          <w:sz w:val="22"/>
          <w:lang w:val="es-ES_tradnl"/>
        </w:rPr>
        <w:t xml:space="preserve"> de </w:t>
      </w:r>
      <w:r w:rsidRPr="00CA0370" w:rsidR="005A50B8">
        <w:rPr>
          <w:rFonts w:ascii="Arial" w:hAnsi="Arial" w:cs="Arial"/>
          <w:sz w:val="22"/>
          <w:lang w:val="es-ES_tradnl"/>
        </w:rPr>
        <w:t>trabajo</w:t>
      </w:r>
      <w:r w:rsidRPr="00CA0370">
        <w:rPr>
          <w:rFonts w:ascii="Arial" w:hAnsi="Arial" w:cs="Arial"/>
          <w:sz w:val="22"/>
          <w:lang w:val="es-ES_tradnl"/>
        </w:rPr>
        <w:t xml:space="preserve"> puede </w:t>
      </w:r>
      <w:r w:rsidRPr="00CA0370" w:rsidR="00FF3426">
        <w:rPr>
          <w:rFonts w:ascii="Arial" w:hAnsi="Arial" w:cs="Arial"/>
          <w:sz w:val="22"/>
          <w:lang w:val="es-ES_tradnl"/>
        </w:rPr>
        <w:t>realizar el análisis económico, y otro consultor levantar la información necesaria en otro mes de trabajo</w:t>
      </w:r>
      <w:r w:rsidRPr="00CA0370">
        <w:rPr>
          <w:rFonts w:ascii="Arial" w:hAnsi="Arial" w:cs="Arial"/>
          <w:sz w:val="22"/>
          <w:lang w:val="es-ES_tradnl"/>
        </w:rPr>
        <w:t>. Esta capacidad técnica ya está presente en los cuerpos profesionales del BRO</w:t>
      </w:r>
      <w:r w:rsidRPr="00CA0370" w:rsidR="00BA4918">
        <w:rPr>
          <w:rFonts w:ascii="Arial" w:hAnsi="Arial" w:cs="Arial"/>
          <w:sz w:val="22"/>
          <w:lang w:val="es-ES_tradnl"/>
        </w:rPr>
        <w:t>U y este tipo de análisis recae</w:t>
      </w:r>
      <w:r w:rsidRPr="00CA0370">
        <w:rPr>
          <w:rFonts w:ascii="Arial" w:hAnsi="Arial" w:cs="Arial"/>
          <w:sz w:val="22"/>
          <w:lang w:val="es-ES_tradnl"/>
        </w:rPr>
        <w:t xml:space="preserve"> en las actividades usuales. Es por tanto que no es necesario asignar un presupuesto adicional específico para llevar a cabo est</w:t>
      </w:r>
      <w:r w:rsidRPr="00CA0370" w:rsidR="00BA4918">
        <w:rPr>
          <w:rFonts w:ascii="Arial" w:hAnsi="Arial" w:cs="Arial"/>
          <w:sz w:val="22"/>
          <w:lang w:val="es-ES_tradnl"/>
        </w:rPr>
        <w:t xml:space="preserve">os análisis. Sin embargo, a </w:t>
      </w:r>
      <w:r w:rsidRPr="00CA0370">
        <w:rPr>
          <w:rFonts w:ascii="Arial" w:hAnsi="Arial" w:cs="Arial"/>
          <w:sz w:val="22"/>
          <w:lang w:val="es-ES_tradnl"/>
        </w:rPr>
        <w:t>efectos de mayor</w:t>
      </w:r>
      <w:r w:rsidRPr="00CA0370" w:rsidR="0090178B">
        <w:rPr>
          <w:rFonts w:ascii="Arial" w:hAnsi="Arial" w:cs="Arial"/>
          <w:sz w:val="22"/>
          <w:lang w:val="es-ES_tradnl"/>
        </w:rPr>
        <w:t xml:space="preserve"> detalle, se estima que el </w:t>
      </w:r>
      <w:r w:rsidRPr="00CA0370" w:rsidR="002816A4">
        <w:rPr>
          <w:rFonts w:ascii="Arial" w:hAnsi="Arial" w:cs="Arial"/>
          <w:sz w:val="22"/>
          <w:lang w:val="es-ES_tradnl"/>
        </w:rPr>
        <w:t>costo</w:t>
      </w:r>
      <w:r w:rsidRPr="00CA0370">
        <w:rPr>
          <w:rFonts w:ascii="Arial" w:hAnsi="Arial" w:cs="Arial"/>
          <w:sz w:val="22"/>
          <w:lang w:val="es-ES_tradnl"/>
        </w:rPr>
        <w:t xml:space="preserve"> imputado del tiempo de dicho</w:t>
      </w:r>
      <w:r w:rsidRPr="00CA0370" w:rsidR="00FF3426">
        <w:rPr>
          <w:rFonts w:ascii="Arial" w:hAnsi="Arial" w:cs="Arial"/>
          <w:sz w:val="22"/>
          <w:lang w:val="es-ES_tradnl"/>
        </w:rPr>
        <w:t>s</w:t>
      </w:r>
      <w:r w:rsidRPr="00CA0370">
        <w:rPr>
          <w:rFonts w:ascii="Arial" w:hAnsi="Arial" w:cs="Arial"/>
          <w:sz w:val="22"/>
          <w:lang w:val="es-ES_tradnl"/>
        </w:rPr>
        <w:t xml:space="preserve"> consultor</w:t>
      </w:r>
      <w:r w:rsidRPr="00CA0370" w:rsidR="00FF3426">
        <w:rPr>
          <w:rFonts w:ascii="Arial" w:hAnsi="Arial" w:cs="Arial"/>
          <w:sz w:val="22"/>
          <w:lang w:val="es-ES_tradnl"/>
        </w:rPr>
        <w:t>es</w:t>
      </w:r>
      <w:r w:rsidRPr="00CA0370">
        <w:rPr>
          <w:rFonts w:ascii="Arial" w:hAnsi="Arial" w:cs="Arial"/>
          <w:sz w:val="22"/>
          <w:lang w:val="es-ES_tradnl"/>
        </w:rPr>
        <w:t xml:space="preserve"> por </w:t>
      </w:r>
      <w:r w:rsidRPr="00CA0370" w:rsidR="004A4C29">
        <w:rPr>
          <w:rFonts w:ascii="Arial" w:hAnsi="Arial" w:cs="Arial"/>
          <w:sz w:val="22"/>
          <w:lang w:val="es-ES_tradnl"/>
        </w:rPr>
        <w:t>el mes</w:t>
      </w:r>
      <w:r w:rsidRPr="00CA0370">
        <w:rPr>
          <w:rFonts w:ascii="Arial" w:hAnsi="Arial" w:cs="Arial"/>
          <w:sz w:val="22"/>
          <w:lang w:val="es-ES_tradnl"/>
        </w:rPr>
        <w:t xml:space="preserve"> de trabajo</w:t>
      </w:r>
      <w:r w:rsidRPr="00CA0370" w:rsidR="00FF3426">
        <w:rPr>
          <w:rFonts w:ascii="Arial" w:hAnsi="Arial" w:cs="Arial"/>
          <w:sz w:val="22"/>
          <w:lang w:val="es-ES_tradnl"/>
        </w:rPr>
        <w:t xml:space="preserve"> </w:t>
      </w:r>
      <w:r w:rsidRPr="00CA0370">
        <w:rPr>
          <w:rFonts w:ascii="Arial" w:hAnsi="Arial" w:cs="Arial"/>
          <w:sz w:val="22"/>
          <w:lang w:val="es-ES_tradnl"/>
        </w:rPr>
        <w:t xml:space="preserve">es de </w:t>
      </w:r>
      <w:r w:rsidRPr="00CA0370" w:rsidR="00006593">
        <w:rPr>
          <w:rFonts w:ascii="Arial" w:hAnsi="Arial" w:cs="Arial"/>
          <w:sz w:val="22"/>
          <w:lang w:val="es-ES_tradnl"/>
        </w:rPr>
        <w:t>US$</w:t>
      </w:r>
      <w:r w:rsidRPr="00CA0370" w:rsidR="003F0DD9">
        <w:rPr>
          <w:rFonts w:ascii="Arial" w:hAnsi="Arial" w:cs="Arial"/>
          <w:sz w:val="22"/>
          <w:lang w:val="es-ES_tradnl"/>
        </w:rPr>
        <w:t>10.000 </w:t>
      </w:r>
      <w:r w:rsidRPr="00CA0370" w:rsidR="00FF3426">
        <w:rPr>
          <w:rFonts w:ascii="Arial" w:hAnsi="Arial" w:cs="Arial"/>
          <w:sz w:val="22"/>
          <w:lang w:val="es-ES_tradnl"/>
        </w:rPr>
        <w:t>cada uno,</w:t>
      </w:r>
      <w:r w:rsidRPr="00CA0370" w:rsidR="00E82F9E">
        <w:rPr>
          <w:rFonts w:ascii="Arial" w:hAnsi="Arial" w:cs="Arial"/>
          <w:sz w:val="22"/>
          <w:lang w:val="es-ES_tradnl"/>
        </w:rPr>
        <w:t xml:space="preserve"> </w:t>
      </w:r>
      <w:r w:rsidRPr="00CA0370" w:rsidR="004A4C29">
        <w:rPr>
          <w:rFonts w:ascii="Arial" w:hAnsi="Arial" w:cs="Arial"/>
          <w:sz w:val="22"/>
          <w:lang w:val="es-ES_tradnl"/>
        </w:rPr>
        <w:t xml:space="preserve">no esperándose </w:t>
      </w:r>
      <w:r w:rsidRPr="00CA0370">
        <w:rPr>
          <w:rFonts w:ascii="Arial" w:hAnsi="Arial" w:cs="Arial"/>
          <w:sz w:val="22"/>
          <w:lang w:val="es-ES_tradnl"/>
        </w:rPr>
        <w:t>gastos adicionales (insumos, requerimientos administrativos, etc.)</w:t>
      </w:r>
      <w:r w:rsidRPr="00CA0370" w:rsidR="00006593">
        <w:rPr>
          <w:rFonts w:ascii="Arial" w:hAnsi="Arial" w:cs="Arial"/>
          <w:sz w:val="22"/>
          <w:lang w:val="es-ES_tradnl"/>
        </w:rPr>
        <w:t>.</w:t>
      </w:r>
      <w:r w:rsidRPr="00CA0370">
        <w:rPr>
          <w:rFonts w:ascii="Arial" w:hAnsi="Arial" w:cs="Arial"/>
          <w:sz w:val="22"/>
          <w:lang w:val="es-ES_tradnl"/>
        </w:rPr>
        <w:t xml:space="preserve"> Se reitera que los recursos están dentro de los presupuestos del BROU y que lo que se presenta aquí son imputaciones contables que tendrán lugar en</w:t>
      </w:r>
      <w:r w:rsidRPr="00CA0370" w:rsidR="004A4C29">
        <w:rPr>
          <w:rFonts w:ascii="Arial" w:hAnsi="Arial" w:cs="Arial"/>
          <w:sz w:val="22"/>
          <w:lang w:val="es-ES_tradnl"/>
        </w:rPr>
        <w:t xml:space="preserve"> 2023</w:t>
      </w:r>
      <w:r w:rsidRPr="00CA0370">
        <w:rPr>
          <w:rFonts w:ascii="Arial" w:hAnsi="Arial" w:cs="Arial"/>
          <w:sz w:val="22"/>
          <w:lang w:val="es-ES_tradnl"/>
        </w:rPr>
        <w:t>.</w:t>
      </w:r>
    </w:p>
    <w:p w:rsidRPr="00CA0370" w:rsidR="005F3F8E" w:rsidP="005F3F8E" w:rsidRDefault="005F3F8E" w14:paraId="761964C2" w14:textId="1A1B95CA">
      <w:pPr>
        <w:pStyle w:val="Paragraph"/>
        <w:ind w:left="540" w:hanging="540"/>
        <w:rPr>
          <w:rFonts w:ascii="Arial" w:hAnsi="Arial" w:cs="Arial"/>
          <w:sz w:val="22"/>
          <w:lang w:val="es-ES_tradnl"/>
        </w:rPr>
      </w:pPr>
      <w:r w:rsidRPr="00CA0370">
        <w:rPr>
          <w:rFonts w:ascii="Arial" w:hAnsi="Arial" w:cs="Arial"/>
          <w:sz w:val="22"/>
          <w:lang w:val="es-ES_tradnl"/>
        </w:rPr>
        <w:t>Finalmente, en el Cuadro 5 describe las variables consideradas en el análisis económico ex</w:t>
      </w:r>
      <w:r w:rsidRPr="00CA0370" w:rsidR="007E63A6">
        <w:rPr>
          <w:rFonts w:ascii="Arial" w:hAnsi="Arial" w:cs="Arial"/>
          <w:sz w:val="22"/>
          <w:lang w:val="es-ES_tradnl"/>
        </w:rPr>
        <w:t> </w:t>
      </w:r>
      <w:r w:rsidRPr="00CA0370">
        <w:rPr>
          <w:rFonts w:ascii="Arial" w:hAnsi="Arial" w:cs="Arial"/>
          <w:sz w:val="22"/>
          <w:lang w:val="es-ES_tradnl"/>
        </w:rPr>
        <w:t>ante y el ex</w:t>
      </w:r>
      <w:r w:rsidRPr="00CA0370" w:rsidR="007E63A6">
        <w:rPr>
          <w:rFonts w:ascii="Arial" w:hAnsi="Arial" w:cs="Arial"/>
          <w:sz w:val="22"/>
          <w:lang w:val="es-ES_tradnl"/>
        </w:rPr>
        <w:t> </w:t>
      </w:r>
      <w:r w:rsidRPr="00CA0370">
        <w:rPr>
          <w:rFonts w:ascii="Arial" w:hAnsi="Arial" w:cs="Arial"/>
          <w:sz w:val="22"/>
          <w:lang w:val="es-ES_tradnl"/>
        </w:rPr>
        <w:t>post, así como el indicador de resultado asociado y la manera como se recopilará la información para la evaluación final.</w:t>
      </w:r>
    </w:p>
    <w:p w:rsidRPr="00CA0370" w:rsidR="005F3F8E" w:rsidP="005F3F8E" w:rsidRDefault="005F3F8E" w14:paraId="473B5D17" w14:textId="66115E40">
      <w:pPr>
        <w:pStyle w:val="Paragraph"/>
        <w:numPr>
          <w:ilvl w:val="0"/>
          <w:numId w:val="0"/>
        </w:numPr>
        <w:ind w:left="720"/>
        <w:jc w:val="center"/>
        <w:rPr>
          <w:rFonts w:ascii="Arial" w:hAnsi="Arial" w:cs="Arial"/>
          <w:b/>
          <w:sz w:val="22"/>
          <w:lang w:val="es-ES_tradnl"/>
        </w:rPr>
      </w:pPr>
      <w:r w:rsidRPr="00CA0370">
        <w:rPr>
          <w:rFonts w:ascii="Arial" w:hAnsi="Arial" w:cs="Arial"/>
          <w:b/>
          <w:sz w:val="22"/>
          <w:lang w:val="es-ES_tradnl"/>
        </w:rPr>
        <w:t>Cuadro 5. Variables del análisis coste beneficio ex</w:t>
      </w:r>
      <w:r w:rsidRPr="00CA0370" w:rsidR="007E63A6">
        <w:rPr>
          <w:rFonts w:ascii="Arial" w:hAnsi="Arial" w:cs="Arial"/>
          <w:b/>
          <w:sz w:val="22"/>
          <w:lang w:val="es-ES_tradnl"/>
        </w:rPr>
        <w:t> </w:t>
      </w:r>
      <w:r w:rsidRPr="00CA0370">
        <w:rPr>
          <w:rFonts w:ascii="Arial" w:hAnsi="Arial" w:cs="Arial"/>
          <w:b/>
          <w:sz w:val="22"/>
          <w:lang w:val="es-ES_tradnl"/>
        </w:rPr>
        <w:t>ante y ex</w:t>
      </w:r>
      <w:r w:rsidRPr="00CA0370" w:rsidR="007E63A6">
        <w:rPr>
          <w:rFonts w:ascii="Arial" w:hAnsi="Arial" w:cs="Arial"/>
          <w:b/>
          <w:sz w:val="22"/>
          <w:lang w:val="es-ES_tradnl"/>
        </w:rPr>
        <w:t> </w:t>
      </w:r>
      <w:r w:rsidRPr="00CA0370">
        <w:rPr>
          <w:rFonts w:ascii="Arial" w:hAnsi="Arial" w:cs="Arial"/>
          <w:b/>
          <w:sz w:val="22"/>
          <w:lang w:val="es-ES_tradnl"/>
        </w:rPr>
        <w:t>post.</w:t>
      </w:r>
    </w:p>
    <w:tbl>
      <w:tblPr>
        <w:tblStyle w:val="TableGrid"/>
        <w:tblW w:w="8995" w:type="dxa"/>
        <w:tblLook w:val="04A0" w:firstRow="1" w:lastRow="0" w:firstColumn="1" w:lastColumn="0" w:noHBand="0" w:noVBand="1"/>
      </w:tblPr>
      <w:tblGrid>
        <w:gridCol w:w="2183"/>
        <w:gridCol w:w="2314"/>
        <w:gridCol w:w="2068"/>
        <w:gridCol w:w="2430"/>
      </w:tblGrid>
      <w:tr w:rsidRPr="00CA0370" w:rsidR="005F3F8E" w:rsidTr="004F1F45" w14:paraId="3A880F4E" w14:textId="77777777">
        <w:trPr>
          <w:tblHeader/>
        </w:trPr>
        <w:tc>
          <w:tcPr>
            <w:tcW w:w="2183" w:type="dxa"/>
            <w:shd w:val="clear" w:color="auto" w:fill="C6D9F1" w:themeFill="text2" w:themeFillTint="33"/>
          </w:tcPr>
          <w:p w:rsidRPr="00CA0370" w:rsidR="005F3F8E" w:rsidP="00806898" w:rsidRDefault="001609C9" w14:paraId="4B6F0383" w14:textId="4359BBB1">
            <w:pPr>
              <w:pStyle w:val="Paragraph"/>
              <w:numPr>
                <w:ilvl w:val="0"/>
                <w:numId w:val="0"/>
              </w:numPr>
              <w:jc w:val="center"/>
              <w:rPr>
                <w:rFonts w:ascii="Arial" w:hAnsi="Arial" w:cs="Arial"/>
                <w:b/>
                <w:sz w:val="18"/>
                <w:lang w:val="es-ES_tradnl"/>
              </w:rPr>
            </w:pPr>
            <w:r w:rsidRPr="00CA0370">
              <w:rPr>
                <w:rFonts w:ascii="Arial" w:hAnsi="Arial" w:cs="Arial"/>
                <w:b/>
                <w:sz w:val="18"/>
                <w:lang w:val="es-ES_tradnl"/>
              </w:rPr>
              <w:t>Variable Coste Beneficio ex</w:t>
            </w:r>
            <w:r w:rsidRPr="00CA0370" w:rsidR="007E63A6">
              <w:rPr>
                <w:rFonts w:ascii="Arial" w:hAnsi="Arial" w:cs="Arial"/>
                <w:b/>
                <w:sz w:val="18"/>
                <w:lang w:val="es-ES_tradnl"/>
              </w:rPr>
              <w:t> </w:t>
            </w:r>
            <w:r w:rsidRPr="00CA0370">
              <w:rPr>
                <w:rFonts w:ascii="Arial" w:hAnsi="Arial" w:cs="Arial"/>
                <w:b/>
                <w:sz w:val="18"/>
                <w:lang w:val="es-ES_tradnl"/>
              </w:rPr>
              <w:t>a</w:t>
            </w:r>
            <w:r w:rsidRPr="00CA0370" w:rsidR="005F3F8E">
              <w:rPr>
                <w:rFonts w:ascii="Arial" w:hAnsi="Arial" w:cs="Arial"/>
                <w:b/>
                <w:sz w:val="18"/>
                <w:lang w:val="es-ES_tradnl"/>
              </w:rPr>
              <w:t>nte</w:t>
            </w:r>
          </w:p>
        </w:tc>
        <w:tc>
          <w:tcPr>
            <w:tcW w:w="2314" w:type="dxa"/>
            <w:shd w:val="clear" w:color="auto" w:fill="C6D9F1" w:themeFill="text2" w:themeFillTint="33"/>
          </w:tcPr>
          <w:p w:rsidRPr="00CA0370" w:rsidR="005F3F8E" w:rsidP="00806898" w:rsidRDefault="001609C9" w14:paraId="7CE68F5A" w14:textId="64824FD0">
            <w:pPr>
              <w:pStyle w:val="Paragraph"/>
              <w:numPr>
                <w:ilvl w:val="0"/>
                <w:numId w:val="0"/>
              </w:numPr>
              <w:jc w:val="center"/>
              <w:rPr>
                <w:rFonts w:ascii="Arial" w:hAnsi="Arial" w:cs="Arial"/>
                <w:b/>
                <w:sz w:val="18"/>
                <w:lang w:val="es-ES_tradnl"/>
              </w:rPr>
            </w:pPr>
            <w:r w:rsidRPr="00CA0370">
              <w:rPr>
                <w:rFonts w:ascii="Arial" w:hAnsi="Arial" w:cs="Arial"/>
                <w:b/>
                <w:sz w:val="18"/>
                <w:lang w:val="es-ES_tradnl"/>
              </w:rPr>
              <w:t>Variable Coste Beneficio e</w:t>
            </w:r>
            <w:r w:rsidRPr="00CA0370" w:rsidR="005F3F8E">
              <w:rPr>
                <w:rFonts w:ascii="Arial" w:hAnsi="Arial" w:cs="Arial"/>
                <w:b/>
                <w:sz w:val="18"/>
                <w:lang w:val="es-ES_tradnl"/>
              </w:rPr>
              <w:t>x</w:t>
            </w:r>
            <w:r w:rsidRPr="00CA0370" w:rsidR="007E63A6">
              <w:rPr>
                <w:rFonts w:ascii="Arial" w:hAnsi="Arial" w:cs="Arial"/>
                <w:b/>
                <w:sz w:val="18"/>
                <w:lang w:val="es-ES_tradnl"/>
              </w:rPr>
              <w:t> </w:t>
            </w:r>
            <w:r w:rsidRPr="00CA0370" w:rsidR="005F3F8E">
              <w:rPr>
                <w:rFonts w:ascii="Arial" w:hAnsi="Arial" w:cs="Arial"/>
                <w:b/>
                <w:sz w:val="18"/>
                <w:lang w:val="es-ES_tradnl"/>
              </w:rPr>
              <w:t>post</w:t>
            </w:r>
          </w:p>
        </w:tc>
        <w:tc>
          <w:tcPr>
            <w:tcW w:w="2068" w:type="dxa"/>
            <w:shd w:val="clear" w:color="auto" w:fill="C6D9F1" w:themeFill="text2" w:themeFillTint="33"/>
          </w:tcPr>
          <w:p w:rsidRPr="00CA0370" w:rsidR="005F3F8E" w:rsidP="00806898" w:rsidRDefault="005F3F8E" w14:paraId="34167CF0" w14:textId="77777777">
            <w:pPr>
              <w:pStyle w:val="Paragraph"/>
              <w:numPr>
                <w:ilvl w:val="0"/>
                <w:numId w:val="0"/>
              </w:numPr>
              <w:jc w:val="center"/>
              <w:rPr>
                <w:rFonts w:ascii="Arial" w:hAnsi="Arial" w:cs="Arial"/>
                <w:b/>
                <w:sz w:val="18"/>
                <w:lang w:val="es-ES_tradnl"/>
              </w:rPr>
            </w:pPr>
            <w:r w:rsidRPr="00CA0370">
              <w:rPr>
                <w:rFonts w:ascii="Arial" w:hAnsi="Arial" w:cs="Arial"/>
                <w:b/>
                <w:sz w:val="18"/>
                <w:lang w:val="es-ES_tradnl"/>
              </w:rPr>
              <w:t>Indicadores de matriz de resultados asociados</w:t>
            </w:r>
          </w:p>
        </w:tc>
        <w:tc>
          <w:tcPr>
            <w:tcW w:w="2430" w:type="dxa"/>
            <w:shd w:val="clear" w:color="auto" w:fill="C6D9F1" w:themeFill="text2" w:themeFillTint="33"/>
          </w:tcPr>
          <w:p w:rsidRPr="00CA0370" w:rsidR="005F3F8E" w:rsidP="00806898" w:rsidRDefault="005F3F8E" w14:paraId="5DC3C5CC" w14:textId="77777777">
            <w:pPr>
              <w:pStyle w:val="Paragraph"/>
              <w:numPr>
                <w:ilvl w:val="0"/>
                <w:numId w:val="0"/>
              </w:numPr>
              <w:jc w:val="center"/>
              <w:rPr>
                <w:rFonts w:ascii="Arial" w:hAnsi="Arial" w:cs="Arial"/>
                <w:b/>
                <w:sz w:val="18"/>
                <w:lang w:val="es-ES_tradnl"/>
              </w:rPr>
            </w:pPr>
            <w:r w:rsidRPr="00CA0370">
              <w:rPr>
                <w:rFonts w:ascii="Arial" w:hAnsi="Arial" w:cs="Arial"/>
                <w:b/>
                <w:sz w:val="18"/>
                <w:lang w:val="es-ES_tradnl"/>
              </w:rPr>
              <w:t>Método de medición</w:t>
            </w:r>
          </w:p>
        </w:tc>
      </w:tr>
      <w:tr w:rsidRPr="00CA0370" w:rsidR="005F3F8E" w:rsidTr="00806898" w14:paraId="550B9E0C" w14:textId="77777777">
        <w:tc>
          <w:tcPr>
            <w:tcW w:w="2183" w:type="dxa"/>
          </w:tcPr>
          <w:p w:rsidRPr="00CA0370" w:rsidR="005F3F8E" w:rsidP="004F1F45" w:rsidRDefault="005F3F8E" w14:paraId="10C00844" w14:textId="35E6A960">
            <w:pPr>
              <w:rPr>
                <w:rFonts w:ascii="Arial" w:hAnsi="Arial" w:cs="Arial"/>
                <w:color w:val="000000" w:themeColor="text1"/>
                <w:sz w:val="20"/>
                <w:szCs w:val="20"/>
                <w:lang w:val="es-ES_tradnl"/>
              </w:rPr>
            </w:pPr>
            <w:r w:rsidRPr="00CA0370">
              <w:rPr>
                <w:rFonts w:ascii="Arial" w:hAnsi="Arial" w:cs="Arial"/>
                <w:sz w:val="20"/>
                <w:szCs w:val="20"/>
                <w:lang w:val="es-ES_tradnl"/>
              </w:rPr>
              <w:t>Incremento</w:t>
            </w:r>
            <w:r w:rsidRPr="00CA0370" w:rsidR="00480B6B">
              <w:rPr>
                <w:rFonts w:ascii="Arial" w:hAnsi="Arial" w:cs="Arial"/>
                <w:color w:val="000000" w:themeColor="text1"/>
                <w:sz w:val="20"/>
                <w:szCs w:val="20"/>
                <w:lang w:val="es-ES_tradnl"/>
              </w:rPr>
              <w:t xml:space="preserve"> </w:t>
            </w:r>
            <w:r w:rsidRPr="00CA0370" w:rsidR="00480B6B">
              <w:rPr>
                <w:rFonts w:ascii="Arial" w:hAnsi="Arial" w:cs="Arial"/>
                <w:b/>
                <w:color w:val="000000" w:themeColor="text1"/>
                <w:sz w:val="20"/>
                <w:szCs w:val="20"/>
                <w:lang w:val="es-ES_tradnl"/>
              </w:rPr>
              <w:t>estimado</w:t>
            </w:r>
            <w:r w:rsidRPr="00CA0370">
              <w:rPr>
                <w:rFonts w:ascii="Arial" w:hAnsi="Arial" w:cs="Arial"/>
                <w:b/>
                <w:color w:val="000000" w:themeColor="text1"/>
                <w:sz w:val="20"/>
                <w:szCs w:val="20"/>
                <w:lang w:val="es-ES_tradnl"/>
              </w:rPr>
              <w:t xml:space="preserve"> </w:t>
            </w:r>
            <w:r w:rsidRPr="00CA0370" w:rsidR="00480B6B">
              <w:rPr>
                <w:rFonts w:ascii="Arial" w:hAnsi="Arial" w:cs="Arial"/>
                <w:color w:val="000000" w:themeColor="text1"/>
                <w:sz w:val="20"/>
                <w:szCs w:val="20"/>
                <w:lang w:val="es-ES_tradnl"/>
              </w:rPr>
              <w:t xml:space="preserve">de </w:t>
            </w:r>
            <w:r w:rsidRPr="00CA0370">
              <w:rPr>
                <w:rFonts w:ascii="Arial" w:hAnsi="Arial" w:cs="Arial"/>
                <w:color w:val="000000" w:themeColor="text1"/>
                <w:sz w:val="20"/>
                <w:szCs w:val="20"/>
                <w:lang w:val="es-ES_tradnl"/>
              </w:rPr>
              <w:t>la producción</w:t>
            </w:r>
            <w:r w:rsidRPr="00CA0370" w:rsidR="00480B6B">
              <w:rPr>
                <w:rFonts w:ascii="Arial" w:hAnsi="Arial" w:cs="Arial"/>
                <w:color w:val="000000" w:themeColor="text1"/>
                <w:sz w:val="20"/>
                <w:szCs w:val="20"/>
                <w:lang w:val="es-ES_tradnl"/>
              </w:rPr>
              <w:t xml:space="preserve"> total de madera de los proyectos del sector agroforestal financiados por el proyecto.</w:t>
            </w:r>
          </w:p>
        </w:tc>
        <w:tc>
          <w:tcPr>
            <w:tcW w:w="2314" w:type="dxa"/>
          </w:tcPr>
          <w:p w:rsidRPr="00CA0370" w:rsidR="005F3F8E" w:rsidP="004F1F45" w:rsidRDefault="00480B6B" w14:paraId="3209E5E1" w14:textId="333F165E">
            <w:pPr>
              <w:rPr>
                <w:rFonts w:ascii="Arial" w:hAnsi="Arial" w:cs="Arial"/>
                <w:color w:val="000000" w:themeColor="text1"/>
                <w:sz w:val="20"/>
                <w:szCs w:val="20"/>
                <w:lang w:val="es-ES_tradnl"/>
              </w:rPr>
            </w:pPr>
            <w:r w:rsidRPr="00CA0370">
              <w:rPr>
                <w:rFonts w:ascii="Arial" w:hAnsi="Arial" w:cs="Arial"/>
                <w:color w:val="000000" w:themeColor="text1"/>
                <w:sz w:val="20"/>
                <w:szCs w:val="20"/>
                <w:lang w:val="es-ES_tradnl"/>
              </w:rPr>
              <w:t xml:space="preserve">Incremento </w:t>
            </w:r>
            <w:r w:rsidRPr="00CA0370">
              <w:rPr>
                <w:rFonts w:ascii="Arial" w:hAnsi="Arial" w:cs="Arial"/>
                <w:b/>
                <w:color w:val="000000" w:themeColor="text1"/>
                <w:sz w:val="20"/>
                <w:szCs w:val="20"/>
                <w:lang w:val="es-ES_tradnl"/>
              </w:rPr>
              <w:t>efectivo</w:t>
            </w:r>
            <w:r w:rsidRPr="00CA0370">
              <w:rPr>
                <w:rFonts w:ascii="Arial" w:hAnsi="Arial" w:cs="Arial"/>
                <w:color w:val="000000" w:themeColor="text1"/>
                <w:sz w:val="20"/>
                <w:szCs w:val="20"/>
                <w:lang w:val="es-ES_tradnl"/>
              </w:rPr>
              <w:t xml:space="preserve"> de la producción total de madera </w:t>
            </w:r>
            <w:r w:rsidRPr="00CA0370">
              <w:rPr>
                <w:rFonts w:ascii="Arial" w:hAnsi="Arial" w:cs="Arial"/>
                <w:sz w:val="20"/>
                <w:szCs w:val="20"/>
                <w:lang w:val="es-ES_tradnl"/>
              </w:rPr>
              <w:t>de</w:t>
            </w:r>
            <w:r w:rsidRPr="00CA0370">
              <w:rPr>
                <w:rFonts w:ascii="Arial" w:hAnsi="Arial" w:cs="Arial"/>
                <w:color w:val="000000" w:themeColor="text1"/>
                <w:sz w:val="20"/>
                <w:szCs w:val="20"/>
                <w:lang w:val="es-ES_tradnl"/>
              </w:rPr>
              <w:t xml:space="preserve"> los proyectos del sector agroforestal financiados por el proyecto.</w:t>
            </w:r>
          </w:p>
        </w:tc>
        <w:tc>
          <w:tcPr>
            <w:tcW w:w="2068" w:type="dxa"/>
          </w:tcPr>
          <w:p w:rsidRPr="00CA0370" w:rsidR="00480B6B" w:rsidP="007E63A6" w:rsidRDefault="00991062" w14:paraId="7735CB0B" w14:textId="0CCEA8CC">
            <w:pPr>
              <w:rPr>
                <w:rFonts w:ascii="Arial" w:hAnsi="Arial" w:cs="Arial"/>
                <w:sz w:val="20"/>
                <w:szCs w:val="20"/>
                <w:lang w:val="es-ES_tradnl"/>
              </w:rPr>
            </w:pPr>
            <w:r w:rsidRPr="00CA0370">
              <w:rPr>
                <w:rFonts w:ascii="Arial" w:hAnsi="Arial" w:cs="Arial"/>
                <w:b/>
                <w:sz w:val="20"/>
                <w:szCs w:val="20"/>
                <w:lang w:val="es-ES_tradnl" w:eastAsia="zh-CN"/>
              </w:rPr>
              <w:t>Resultado #2.</w:t>
            </w:r>
            <w:r w:rsidRPr="00CA0370">
              <w:rPr>
                <w:rFonts w:ascii="Arial" w:hAnsi="Arial" w:cs="Arial"/>
                <w:sz w:val="20"/>
                <w:szCs w:val="20"/>
                <w:lang w:val="es-ES_tradnl" w:eastAsia="zh-CN"/>
              </w:rPr>
              <w:t xml:space="preserve"> </w:t>
            </w:r>
            <w:r w:rsidRPr="00CA0370">
              <w:rPr>
                <w:rFonts w:ascii="Arial" w:hAnsi="Arial" w:cs="Arial"/>
                <w:sz w:val="20"/>
                <w:szCs w:val="20"/>
                <w:lang w:val="es-ES_tradnl"/>
              </w:rPr>
              <w:t xml:space="preserve"> Producción total de madera de proyectos del sector agroforestal.</w:t>
            </w:r>
            <w:r w:rsidRPr="00CA0370" w:rsidR="00480B6B">
              <w:rPr>
                <w:rFonts w:ascii="Arial" w:hAnsi="Arial" w:cs="Arial"/>
                <w:b/>
                <w:sz w:val="20"/>
                <w:szCs w:val="20"/>
                <w:lang w:val="es-ES_tradnl"/>
              </w:rPr>
              <w:t xml:space="preserve"> </w:t>
            </w:r>
          </w:p>
          <w:p w:rsidRPr="00CA0370" w:rsidR="00991062" w:rsidP="007E63A6" w:rsidRDefault="00991062" w14:paraId="46DF5B0D" w14:textId="77777777">
            <w:pPr>
              <w:rPr>
                <w:rFonts w:ascii="Arial" w:hAnsi="Arial" w:cs="Arial"/>
                <w:sz w:val="20"/>
                <w:szCs w:val="20"/>
                <w:lang w:val="es-ES_tradnl"/>
              </w:rPr>
            </w:pPr>
          </w:p>
          <w:p w:rsidRPr="00CA0370" w:rsidR="005F3F8E" w:rsidP="004F1F45" w:rsidRDefault="005F3F8E" w14:paraId="40C4C606" w14:textId="2D52D38D">
            <w:pPr>
              <w:pStyle w:val="Paragraph"/>
              <w:numPr>
                <w:ilvl w:val="0"/>
                <w:numId w:val="0"/>
              </w:numPr>
              <w:jc w:val="left"/>
              <w:rPr>
                <w:rFonts w:ascii="Arial" w:hAnsi="Arial" w:cs="Arial"/>
                <w:color w:val="FF0000"/>
                <w:sz w:val="20"/>
                <w:szCs w:val="20"/>
                <w:lang w:val="es-ES_tradnl"/>
              </w:rPr>
            </w:pPr>
          </w:p>
        </w:tc>
        <w:tc>
          <w:tcPr>
            <w:tcW w:w="2430" w:type="dxa"/>
          </w:tcPr>
          <w:p w:rsidRPr="00CA0370" w:rsidR="007213DD" w:rsidP="004F1F45" w:rsidRDefault="00873F74" w14:paraId="57EDB37D" w14:textId="44D07A32">
            <w:pPr>
              <w:rPr>
                <w:rFonts w:ascii="Arial" w:hAnsi="Arial" w:cs="Arial"/>
                <w:color w:val="FF0000"/>
                <w:sz w:val="20"/>
                <w:szCs w:val="20"/>
                <w:lang w:val="es-ES_tradnl"/>
              </w:rPr>
            </w:pPr>
            <w:r w:rsidRPr="00CA0370">
              <w:rPr>
                <w:rFonts w:ascii="Arial" w:hAnsi="Arial" w:cs="Arial"/>
                <w:color w:val="000000" w:themeColor="text1"/>
                <w:sz w:val="20"/>
                <w:szCs w:val="20"/>
                <w:lang w:val="es-ES_tradnl"/>
              </w:rPr>
              <w:t xml:space="preserve">Tal como se indica en la columna de comentarios del cuadro 3, </w:t>
            </w:r>
            <w:r w:rsidRPr="00CA0370" w:rsidR="00104B95">
              <w:rPr>
                <w:rFonts w:ascii="Arial" w:hAnsi="Arial" w:cs="Arial"/>
                <w:sz w:val="20"/>
                <w:szCs w:val="20"/>
                <w:lang w:val="es-ES_tradnl" w:eastAsia="zh-CN"/>
              </w:rPr>
              <w:t xml:space="preserve">la </w:t>
            </w:r>
            <w:r w:rsidRPr="00CA0370" w:rsidR="00E96140">
              <w:rPr>
                <w:rFonts w:ascii="Arial" w:hAnsi="Arial" w:cs="Arial"/>
                <w:sz w:val="20"/>
                <w:szCs w:val="20"/>
                <w:lang w:val="es-ES_tradnl" w:eastAsia="zh-CN"/>
              </w:rPr>
              <w:t>información</w:t>
            </w:r>
            <w:r w:rsidRPr="00CA0370" w:rsidR="00104B95">
              <w:rPr>
                <w:rFonts w:ascii="Arial" w:hAnsi="Arial" w:cs="Arial"/>
                <w:sz w:val="20"/>
                <w:szCs w:val="20"/>
                <w:lang w:val="es-ES_tradnl" w:eastAsia="zh-CN"/>
              </w:rPr>
              <w:t xml:space="preserve"> estimada sigue el trabajo de Ozbay et al (2015).</w:t>
            </w:r>
            <w:r w:rsidRPr="00CA0370" w:rsidR="00104B95">
              <w:rPr>
                <w:rFonts w:ascii="Arial" w:hAnsi="Arial" w:cs="Arial"/>
                <w:color w:val="000000" w:themeColor="text1"/>
                <w:sz w:val="20"/>
                <w:szCs w:val="20"/>
                <w:lang w:val="es-ES_tradnl"/>
              </w:rPr>
              <w:t xml:space="preserve"> En 2022 el BROU realizaría una medición del incremento efectivo de la </w:t>
            </w:r>
            <w:r w:rsidRPr="00CA0370" w:rsidR="00E96140">
              <w:rPr>
                <w:rFonts w:ascii="Arial" w:hAnsi="Arial" w:cs="Arial"/>
                <w:color w:val="000000" w:themeColor="text1"/>
                <w:sz w:val="20"/>
                <w:szCs w:val="20"/>
                <w:lang w:val="es-ES_tradnl"/>
              </w:rPr>
              <w:t>producción</w:t>
            </w:r>
            <w:r w:rsidRPr="00CA0370" w:rsidR="00104B95">
              <w:rPr>
                <w:rFonts w:ascii="Arial" w:hAnsi="Arial" w:cs="Arial"/>
                <w:color w:val="000000" w:themeColor="text1"/>
                <w:sz w:val="20"/>
                <w:szCs w:val="20"/>
                <w:lang w:val="es-ES_tradnl"/>
              </w:rPr>
              <w:t xml:space="preserve"> de las empresas del sector agroforestal que han sido financiados por el proyecto.</w:t>
            </w:r>
          </w:p>
        </w:tc>
      </w:tr>
      <w:tr w:rsidRPr="00CA0370" w:rsidR="005F3F8E" w:rsidTr="004F1F45" w14:paraId="3EB53623" w14:textId="77777777">
        <w:tc>
          <w:tcPr>
            <w:tcW w:w="2183" w:type="dxa"/>
          </w:tcPr>
          <w:p w:rsidRPr="00CA0370" w:rsidR="005F3F8E" w:rsidP="004F1F45" w:rsidRDefault="00232904" w14:paraId="39250E7F" w14:textId="4E3E247D">
            <w:pPr>
              <w:rPr>
                <w:rFonts w:ascii="Arial" w:hAnsi="Arial" w:cs="Arial"/>
                <w:sz w:val="18"/>
                <w:lang w:val="es-ES_tradnl"/>
              </w:rPr>
            </w:pPr>
            <w:r w:rsidRPr="00CA0370">
              <w:rPr>
                <w:rFonts w:ascii="Arial" w:hAnsi="Arial" w:cs="Arial"/>
                <w:sz w:val="18"/>
                <w:lang w:val="es-ES_tradnl"/>
              </w:rPr>
              <w:t xml:space="preserve">Incremento del TPDA generado que ha sido </w:t>
            </w:r>
            <w:r w:rsidRPr="00CA0370">
              <w:rPr>
                <w:rFonts w:ascii="Arial" w:hAnsi="Arial" w:cs="Arial"/>
                <w:b/>
                <w:sz w:val="18"/>
                <w:lang w:val="es-ES_tradnl"/>
              </w:rPr>
              <w:t xml:space="preserve">estimado </w:t>
            </w:r>
            <w:r w:rsidRPr="00CA0370">
              <w:rPr>
                <w:rFonts w:ascii="Arial" w:hAnsi="Arial" w:cs="Arial"/>
                <w:b/>
                <w:sz w:val="20"/>
                <w:szCs w:val="20"/>
                <w:lang w:val="es-ES_tradnl"/>
              </w:rPr>
              <w:t>en</w:t>
            </w:r>
            <w:r w:rsidRPr="00CA0370">
              <w:rPr>
                <w:rFonts w:ascii="Arial" w:hAnsi="Arial" w:cs="Arial"/>
                <w:sz w:val="18"/>
                <w:lang w:val="es-ES_tradnl"/>
              </w:rPr>
              <w:t xml:space="preserve"> el informe de prefactibilidad del proyecto prototipo de las rutas 14 y 15.</w:t>
            </w:r>
          </w:p>
        </w:tc>
        <w:tc>
          <w:tcPr>
            <w:tcW w:w="2314" w:type="dxa"/>
          </w:tcPr>
          <w:p w:rsidRPr="00CA0370" w:rsidR="005F3F8E" w:rsidP="004F1F45" w:rsidRDefault="00232904" w14:paraId="5DA9FEDE" w14:textId="194F0CAA">
            <w:pPr>
              <w:rPr>
                <w:rFonts w:ascii="Arial" w:hAnsi="Arial" w:cs="Arial"/>
                <w:sz w:val="18"/>
                <w:lang w:val="es-ES_tradnl"/>
              </w:rPr>
            </w:pPr>
            <w:r w:rsidRPr="00CA0370">
              <w:rPr>
                <w:rFonts w:ascii="Arial" w:hAnsi="Arial" w:cs="Arial"/>
                <w:sz w:val="18"/>
                <w:lang w:val="es-ES_tradnl"/>
              </w:rPr>
              <w:t xml:space="preserve">Incremento del TPDA </w:t>
            </w:r>
            <w:r w:rsidRPr="00CA0370">
              <w:rPr>
                <w:rFonts w:ascii="Arial" w:hAnsi="Arial" w:cs="Arial"/>
                <w:b/>
                <w:sz w:val="18"/>
                <w:lang w:val="es-ES_tradnl"/>
              </w:rPr>
              <w:t>efectivamente</w:t>
            </w:r>
            <w:r w:rsidRPr="00CA0370">
              <w:rPr>
                <w:rFonts w:ascii="Arial" w:hAnsi="Arial" w:cs="Arial"/>
                <w:sz w:val="18"/>
                <w:lang w:val="es-ES_tradnl"/>
              </w:rPr>
              <w:t xml:space="preserve"> generado del proyecto prototipo de las rutas 14 y </w:t>
            </w:r>
            <w:r w:rsidRPr="00CA0370">
              <w:rPr>
                <w:rFonts w:ascii="Arial" w:hAnsi="Arial" w:cs="Arial"/>
                <w:b/>
                <w:sz w:val="20"/>
                <w:szCs w:val="20"/>
                <w:lang w:val="es-ES_tradnl"/>
              </w:rPr>
              <w:t>15</w:t>
            </w:r>
            <w:r w:rsidRPr="00CA0370">
              <w:rPr>
                <w:rFonts w:ascii="Arial" w:hAnsi="Arial" w:cs="Arial"/>
                <w:sz w:val="18"/>
                <w:lang w:val="es-ES_tradnl"/>
              </w:rPr>
              <w:t>.</w:t>
            </w:r>
          </w:p>
        </w:tc>
        <w:tc>
          <w:tcPr>
            <w:tcW w:w="2068" w:type="dxa"/>
          </w:tcPr>
          <w:p w:rsidRPr="00CA0370" w:rsidR="00480B6B" w:rsidP="00480B6B" w:rsidRDefault="00480B6B" w14:paraId="4E4286F7" w14:textId="78DFA1A2">
            <w:pPr>
              <w:rPr>
                <w:rFonts w:ascii="Arial" w:hAnsi="Arial" w:cs="Arial"/>
                <w:sz w:val="20"/>
                <w:szCs w:val="20"/>
                <w:lang w:val="es-ES_tradnl"/>
              </w:rPr>
            </w:pPr>
            <w:r w:rsidRPr="00CA0370">
              <w:rPr>
                <w:rFonts w:ascii="Arial" w:hAnsi="Arial" w:cs="Arial"/>
                <w:b/>
                <w:sz w:val="20"/>
                <w:szCs w:val="20"/>
                <w:lang w:val="es-ES_tradnl"/>
              </w:rPr>
              <w:t xml:space="preserve">Resultado #4. </w:t>
            </w:r>
            <w:r w:rsidRPr="00CA0370">
              <w:rPr>
                <w:rFonts w:ascii="Arial" w:hAnsi="Arial" w:cs="Arial"/>
                <w:sz w:val="20"/>
                <w:szCs w:val="20"/>
                <w:lang w:val="es-ES_tradnl"/>
              </w:rPr>
              <w:t>Tránsito promedio diario anual (TPDA) total rutas 14 y 15.</w:t>
            </w:r>
          </w:p>
          <w:p w:rsidRPr="00CA0370" w:rsidR="005F3F8E" w:rsidP="00E063B4" w:rsidRDefault="005F3F8E" w14:paraId="5DA37798" w14:textId="49EC575B">
            <w:pPr>
              <w:rPr>
                <w:rFonts w:ascii="Arial" w:hAnsi="Arial" w:cs="Arial"/>
                <w:sz w:val="20"/>
                <w:szCs w:val="20"/>
                <w:lang w:val="es-ES_tradnl"/>
              </w:rPr>
            </w:pPr>
          </w:p>
        </w:tc>
        <w:tc>
          <w:tcPr>
            <w:tcW w:w="2430" w:type="dxa"/>
          </w:tcPr>
          <w:p w:rsidRPr="00CA0370" w:rsidR="005F3F8E" w:rsidP="004F1F45" w:rsidRDefault="00873F74" w14:paraId="632FE01A" w14:textId="22E7B948">
            <w:pPr>
              <w:rPr>
                <w:rFonts w:ascii="Arial" w:hAnsi="Arial" w:cs="Arial"/>
                <w:sz w:val="18"/>
                <w:lang w:val="es-ES_tradnl"/>
              </w:rPr>
            </w:pPr>
            <w:r w:rsidRPr="00CA0370">
              <w:rPr>
                <w:rFonts w:ascii="Arial" w:hAnsi="Arial" w:cs="Arial"/>
                <w:color w:val="000000" w:themeColor="text1"/>
                <w:sz w:val="18"/>
                <w:lang w:val="es-ES_tradnl"/>
              </w:rPr>
              <w:t>Tal como se indica en la columna de comentarios del cuadro 3, l</w:t>
            </w:r>
            <w:r w:rsidRPr="00CA0370" w:rsidR="00232904">
              <w:rPr>
                <w:rFonts w:ascii="Arial" w:hAnsi="Arial" w:cs="Arial"/>
                <w:color w:val="000000" w:themeColor="text1"/>
                <w:sz w:val="18"/>
                <w:lang w:val="es-ES_tradnl"/>
              </w:rPr>
              <w:t xml:space="preserve">a </w:t>
            </w:r>
            <w:r w:rsidRPr="00CA0370" w:rsidR="00480B6B">
              <w:rPr>
                <w:rFonts w:ascii="Arial" w:hAnsi="Arial" w:cs="Arial"/>
                <w:color w:val="000000" w:themeColor="text1"/>
                <w:sz w:val="18"/>
                <w:lang w:val="es-ES_tradnl"/>
              </w:rPr>
              <w:t>información</w:t>
            </w:r>
            <w:r w:rsidRPr="00CA0370" w:rsidR="00232904">
              <w:rPr>
                <w:rFonts w:ascii="Arial" w:hAnsi="Arial" w:cs="Arial"/>
                <w:color w:val="000000" w:themeColor="text1"/>
                <w:sz w:val="18"/>
                <w:lang w:val="es-ES_tradnl"/>
              </w:rPr>
              <w:t xml:space="preserve"> estimada se ha obtenido del informe de prefactibilidad del proyecto prototipo de las rutas 14 y 15. En </w:t>
            </w:r>
            <w:r w:rsidRPr="00CA0370" w:rsidR="00232904">
              <w:rPr>
                <w:rFonts w:ascii="Arial" w:hAnsi="Arial" w:cs="Arial"/>
                <w:b/>
                <w:sz w:val="20"/>
                <w:szCs w:val="20"/>
                <w:lang w:val="es-ES_tradnl"/>
              </w:rPr>
              <w:t>2022</w:t>
            </w:r>
            <w:r w:rsidRPr="00CA0370" w:rsidR="00232904">
              <w:rPr>
                <w:rFonts w:ascii="Arial" w:hAnsi="Arial" w:cs="Arial"/>
                <w:color w:val="000000" w:themeColor="text1"/>
                <w:sz w:val="18"/>
                <w:lang w:val="es-ES_tradnl"/>
              </w:rPr>
              <w:t xml:space="preserve"> el </w:t>
            </w:r>
            <w:r w:rsidRPr="00CA0370" w:rsidR="00480B6B">
              <w:rPr>
                <w:rFonts w:ascii="Arial" w:hAnsi="Arial" w:cs="Arial"/>
                <w:color w:val="000000" w:themeColor="text1"/>
                <w:sz w:val="18"/>
                <w:lang w:val="es-ES_tradnl"/>
              </w:rPr>
              <w:t>BROU realizaría una medición de dicho tr</w:t>
            </w:r>
            <w:r w:rsidRPr="00CA0370" w:rsidR="004A590F">
              <w:rPr>
                <w:rFonts w:ascii="Arial" w:hAnsi="Arial" w:cs="Arial"/>
                <w:color w:val="000000" w:themeColor="text1"/>
                <w:sz w:val="18"/>
                <w:lang w:val="es-ES_tradnl"/>
              </w:rPr>
              <w:t>á</w:t>
            </w:r>
            <w:r w:rsidRPr="00CA0370" w:rsidR="00480B6B">
              <w:rPr>
                <w:rFonts w:ascii="Arial" w:hAnsi="Arial" w:cs="Arial"/>
                <w:color w:val="000000" w:themeColor="text1"/>
                <w:sz w:val="18"/>
                <w:lang w:val="es-ES_tradnl"/>
              </w:rPr>
              <w:t xml:space="preserve">nsito (para ello </w:t>
            </w:r>
            <w:r w:rsidRPr="00CA0370" w:rsidR="00480B6B">
              <w:rPr>
                <w:rFonts w:ascii="Arial" w:hAnsi="Arial" w:cs="Arial"/>
                <w:color w:val="000000" w:themeColor="text1"/>
                <w:sz w:val="18"/>
                <w:lang w:val="es-ES_tradnl"/>
              </w:rPr>
              <w:lastRenderedPageBreak/>
              <w:t xml:space="preserve">durante una semana se realizará un registro diario las 24 horas del </w:t>
            </w:r>
            <w:r w:rsidRPr="00CA0370" w:rsidR="00E96140">
              <w:rPr>
                <w:rFonts w:ascii="Arial" w:hAnsi="Arial" w:cs="Arial"/>
                <w:color w:val="000000" w:themeColor="text1"/>
                <w:sz w:val="18"/>
                <w:lang w:val="es-ES_tradnl"/>
              </w:rPr>
              <w:t>día</w:t>
            </w:r>
            <w:r w:rsidRPr="00CA0370" w:rsidR="00480B6B">
              <w:rPr>
                <w:rFonts w:ascii="Arial" w:hAnsi="Arial" w:cs="Arial"/>
                <w:color w:val="000000" w:themeColor="text1"/>
                <w:sz w:val="18"/>
                <w:lang w:val="es-ES_tradnl"/>
              </w:rPr>
              <w:t xml:space="preserve"> del tr</w:t>
            </w:r>
            <w:r w:rsidRPr="00CA0370" w:rsidR="004A590F">
              <w:rPr>
                <w:rFonts w:ascii="Arial" w:hAnsi="Arial" w:cs="Arial"/>
                <w:color w:val="000000" w:themeColor="text1"/>
                <w:sz w:val="18"/>
                <w:lang w:val="es-ES_tradnl"/>
              </w:rPr>
              <w:t>á</w:t>
            </w:r>
            <w:r w:rsidRPr="00CA0370" w:rsidR="00480B6B">
              <w:rPr>
                <w:rFonts w:ascii="Arial" w:hAnsi="Arial" w:cs="Arial"/>
                <w:color w:val="000000" w:themeColor="text1"/>
                <w:sz w:val="18"/>
                <w:lang w:val="es-ES_tradnl"/>
              </w:rPr>
              <w:t>nsito vehicular en las rutas 14 y 15).</w:t>
            </w:r>
          </w:p>
        </w:tc>
      </w:tr>
    </w:tbl>
    <w:p w:rsidRPr="00CA0370" w:rsidR="005F3F8E" w:rsidP="001609C9" w:rsidRDefault="001609C9" w14:paraId="783DCE1F" w14:textId="74712DFE">
      <w:pPr>
        <w:pStyle w:val="Paragraph"/>
        <w:numPr>
          <w:ilvl w:val="0"/>
          <w:numId w:val="0"/>
        </w:numPr>
        <w:ind w:left="540"/>
        <w:jc w:val="left"/>
        <w:rPr>
          <w:rFonts w:ascii="Arial" w:hAnsi="Arial" w:cs="Arial"/>
          <w:sz w:val="18"/>
          <w:szCs w:val="18"/>
          <w:lang w:val="es-ES_tradnl"/>
        </w:rPr>
      </w:pPr>
      <w:r w:rsidRPr="00CA0370">
        <w:rPr>
          <w:rFonts w:ascii="Arial" w:hAnsi="Arial" w:cs="Arial"/>
          <w:sz w:val="18"/>
          <w:szCs w:val="18"/>
          <w:lang w:val="es-ES_tradnl"/>
        </w:rPr>
        <w:lastRenderedPageBreak/>
        <w:t>Fuente: Elaboración propia.</w:t>
      </w:r>
    </w:p>
    <w:sectPr w:rsidRPr="00CA0370" w:rsidR="005F3F8E" w:rsidSect="002816A4">
      <w:type w:val="continuous"/>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C11" w:rsidP="00CA77C7" w:rsidRDefault="00567C11" w14:paraId="52323296" w14:textId="77777777">
      <w:pPr>
        <w:spacing w:after="0" w:line="240" w:lineRule="auto"/>
      </w:pPr>
      <w:r>
        <w:separator/>
      </w:r>
    </w:p>
  </w:endnote>
  <w:endnote w:type="continuationSeparator" w:id="0">
    <w:p w:rsidR="00567C11" w:rsidP="00CA77C7" w:rsidRDefault="00567C11" w14:paraId="1F8308F8" w14:textId="77777777">
      <w:pPr>
        <w:spacing w:after="0" w:line="240" w:lineRule="auto"/>
      </w:pPr>
      <w:r>
        <w:continuationSeparator/>
      </w:r>
    </w:p>
  </w:endnote>
  <w:endnote w:type="continuationNotice" w:id="1">
    <w:p w:rsidR="00567C11" w:rsidRDefault="00567C11" w14:paraId="5A608F7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7B5" w:rsidP="00BB5F1F" w:rsidRDefault="00AB67B5" w14:paraId="12931CF5" w14:textId="77777777">
    <w:pPr>
      <w:pStyle w:val="Footer"/>
      <w:framePr w:wrap="none"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67B5" w:rsidP="00365D3F" w:rsidRDefault="00AB67B5" w14:paraId="1995601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4F1F45" w:rsidR="00AB67B5" w:rsidP="00BB5F1F" w:rsidRDefault="005A50B8" w14:paraId="30CA9FFF" w14:textId="4A11AC91">
    <w:pPr>
      <w:pStyle w:val="Footer"/>
      <w:framePr w:wrap="none" w:hAnchor="margin" w:vAnchor="text" w:xAlign="center" w:y="1"/>
      <w:rPr>
        <w:rStyle w:val="PageNumber"/>
        <w:rFonts w:ascii="Arial" w:hAnsi="Arial" w:cs="Arial"/>
        <w:sz w:val="18"/>
        <w:szCs w:val="18"/>
      </w:rPr>
    </w:pPr>
    <w:r>
      <w:rPr>
        <w:rStyle w:val="PageNumber"/>
        <w:rFonts w:ascii="Arial" w:hAnsi="Arial" w:cs="Arial"/>
        <w:sz w:val="18"/>
        <w:szCs w:val="18"/>
      </w:rPr>
      <w:t>- </w:t>
    </w:r>
    <w:r w:rsidRPr="004F1F45" w:rsidR="00AB67B5">
      <w:rPr>
        <w:rStyle w:val="PageNumber"/>
        <w:rFonts w:ascii="Arial" w:hAnsi="Arial" w:cs="Arial"/>
        <w:sz w:val="18"/>
        <w:szCs w:val="18"/>
      </w:rPr>
      <w:fldChar w:fldCharType="begin"/>
    </w:r>
    <w:r w:rsidRPr="004F1F45" w:rsidR="00AB67B5">
      <w:rPr>
        <w:rStyle w:val="PageNumber"/>
        <w:rFonts w:ascii="Arial" w:hAnsi="Arial" w:cs="Arial"/>
        <w:sz w:val="18"/>
        <w:szCs w:val="18"/>
      </w:rPr>
      <w:instrText xml:space="preserve">PAGE  </w:instrText>
    </w:r>
    <w:r w:rsidRPr="004F1F45" w:rsidR="00AB67B5">
      <w:rPr>
        <w:rStyle w:val="PageNumber"/>
        <w:rFonts w:ascii="Arial" w:hAnsi="Arial" w:cs="Arial"/>
        <w:sz w:val="18"/>
        <w:szCs w:val="18"/>
      </w:rPr>
      <w:fldChar w:fldCharType="separate"/>
    </w:r>
    <w:r w:rsidRPr="004F1F45" w:rsidR="00AB67B5">
      <w:rPr>
        <w:rStyle w:val="PageNumber"/>
        <w:rFonts w:ascii="Arial" w:hAnsi="Arial" w:cs="Arial"/>
        <w:noProof/>
        <w:sz w:val="18"/>
        <w:szCs w:val="18"/>
      </w:rPr>
      <w:t>9</w:t>
    </w:r>
    <w:r w:rsidRPr="004F1F45" w:rsidR="00AB67B5">
      <w:rPr>
        <w:rStyle w:val="PageNumber"/>
        <w:rFonts w:ascii="Arial" w:hAnsi="Arial" w:cs="Arial"/>
        <w:sz w:val="18"/>
        <w:szCs w:val="18"/>
      </w:rPr>
      <w:fldChar w:fldCharType="end"/>
    </w:r>
    <w:r>
      <w:rPr>
        <w:rStyle w:val="PageNumber"/>
        <w:rFonts w:ascii="Arial" w:hAnsi="Arial" w:cs="Arial"/>
        <w:sz w:val="18"/>
        <w:szCs w:val="18"/>
      </w:rPr>
      <w:t> -</w:t>
    </w:r>
  </w:p>
  <w:p w:rsidRPr="004F1F45" w:rsidR="00AB67B5" w:rsidP="004F1F45" w:rsidRDefault="005A50B8" w14:paraId="37D2BADD" w14:textId="73CC2CF1">
    <w:pPr>
      <w:tabs>
        <w:tab w:val="left" w:pos="5938"/>
      </w:tabs>
      <w:ind w:right="360"/>
      <w:rPr>
        <w:color w:val="0F243E" w:themeColor="text2" w:themeShade="80"/>
        <w:sz w:val="18"/>
        <w:szCs w:val="18"/>
      </w:rPr>
    </w:pPr>
    <w:r>
      <w:rPr>
        <w:color w:val="0F243E" w:themeColor="text2" w:themeShade="80"/>
        <w:sz w:val="18"/>
        <w:szCs w:val="18"/>
      </w:rPr>
      <w:tab/>
    </w:r>
  </w:p>
  <w:p w:rsidR="00AB67B5" w:rsidP="00AF1179" w:rsidRDefault="00AB67B5" w14:paraId="2A5775A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C11" w:rsidP="00CA77C7" w:rsidRDefault="00567C11" w14:paraId="763B8AB0" w14:textId="77777777">
      <w:pPr>
        <w:spacing w:after="0" w:line="240" w:lineRule="auto"/>
      </w:pPr>
      <w:r>
        <w:separator/>
      </w:r>
    </w:p>
  </w:footnote>
  <w:footnote w:type="continuationSeparator" w:id="0">
    <w:p w:rsidR="00567C11" w:rsidP="00CA77C7" w:rsidRDefault="00567C11" w14:paraId="0D44D33B" w14:textId="77777777">
      <w:pPr>
        <w:spacing w:after="0" w:line="240" w:lineRule="auto"/>
      </w:pPr>
      <w:r>
        <w:continuationSeparator/>
      </w:r>
    </w:p>
  </w:footnote>
  <w:footnote w:type="continuationNotice" w:id="1">
    <w:p w:rsidR="00567C11" w:rsidRDefault="00567C11" w14:paraId="4AD6FA42" w14:textId="77777777">
      <w:pPr>
        <w:spacing w:after="0" w:line="240" w:lineRule="auto"/>
      </w:pPr>
    </w:p>
  </w:footnote>
  <w:footnote w:id="2">
    <w:p w:rsidRPr="00CA0370" w:rsidR="002C1A63" w:rsidP="002C1A63" w:rsidRDefault="002C1A63" w14:paraId="19C5EBB6" w14:textId="77777777">
      <w:pPr>
        <w:pStyle w:val="FootnoteText"/>
        <w:spacing w:after="0"/>
        <w:rPr>
          <w:rFonts w:ascii="Arial" w:hAnsi="Arial" w:cs="Arial"/>
          <w:sz w:val="18"/>
          <w:szCs w:val="18"/>
          <w:lang w:val="es-ES"/>
        </w:rPr>
      </w:pPr>
      <w:r w:rsidRPr="00161AFF">
        <w:rPr>
          <w:rStyle w:val="FootnoteReference"/>
          <w:rFonts w:ascii="Arial" w:hAnsi="Arial" w:cs="Arial"/>
          <w:sz w:val="18"/>
          <w:szCs w:val="18"/>
        </w:rPr>
        <w:footnoteRef/>
      </w:r>
      <w:r w:rsidRPr="00CA0370">
        <w:rPr>
          <w:rFonts w:ascii="Arial" w:hAnsi="Arial" w:cs="Arial"/>
          <w:sz w:val="18"/>
          <w:szCs w:val="18"/>
          <w:lang w:val="es-ES"/>
        </w:rPr>
        <w:t xml:space="preserve"> </w:t>
      </w:r>
      <w:r w:rsidRPr="00CA0370">
        <w:rPr>
          <w:rFonts w:ascii="Arial" w:hAnsi="Arial" w:cs="Arial"/>
          <w:sz w:val="18"/>
          <w:szCs w:val="18"/>
          <w:lang w:val="es-ES"/>
        </w:rPr>
        <w:tab/>
      </w:r>
      <w:r w:rsidRPr="00CA0370">
        <w:rPr>
          <w:rFonts w:ascii="Arial" w:hAnsi="Arial" w:cs="Arial"/>
          <w:sz w:val="18"/>
          <w:szCs w:val="18"/>
          <w:lang w:val="es-ES"/>
        </w:rPr>
        <w:t xml:space="preserve">Incluyendo inversiones en: (i) planes de mejoramiento, orientados a mejorar los indicadores de competitividad y/o productividad; (ii) proyectos de innovación y desarrollo tecnológico; (iii) planes de expansión comercial; (iv) programas para el control y mejoramiento de impactos ambientales y sociales; (v) financiamiento a orientado a mejorar comercialización de productos; y (vi) la inversión en activos fijos vinculados a procesos de producción, comercialización y prestación de servicios de empresas beneficiarias, tales como: tierra, bienes muebles e inmuebles, adecuación, maquinaria, equipos, </w:t>
      </w:r>
      <w:r w:rsidRPr="00CA0370">
        <w:rPr>
          <w:rFonts w:ascii="Arial" w:hAnsi="Arial" w:cs="Arial"/>
          <w:i/>
          <w:sz w:val="18"/>
          <w:szCs w:val="18"/>
          <w:lang w:val="es-ES"/>
        </w:rPr>
        <w:t>software</w:t>
      </w:r>
      <w:r w:rsidRPr="00CA0370">
        <w:rPr>
          <w:rFonts w:ascii="Arial" w:hAnsi="Arial" w:cs="Arial"/>
          <w:sz w:val="18"/>
          <w:szCs w:val="18"/>
          <w:lang w:val="es-ES"/>
        </w:rPr>
        <w:t>, vehículos, certificaciones de calidad, licencias, patentes, registros sanitarios, y demás inversiones orientadas al incremento de la productividad.</w:t>
      </w:r>
    </w:p>
  </w:footnote>
  <w:footnote w:id="3">
    <w:p w:rsidRPr="00CA0370" w:rsidR="002C1A63" w:rsidP="002C1A63" w:rsidRDefault="002C1A63" w14:paraId="58F06794" w14:textId="77777777">
      <w:pPr>
        <w:pStyle w:val="FootnoteText"/>
        <w:spacing w:after="0"/>
        <w:rPr>
          <w:rFonts w:ascii="Arial" w:hAnsi="Arial" w:cs="Arial"/>
          <w:sz w:val="18"/>
          <w:szCs w:val="18"/>
          <w:lang w:val="es-ES"/>
        </w:rPr>
      </w:pPr>
      <w:r w:rsidRPr="00161AFF">
        <w:rPr>
          <w:rStyle w:val="FootnoteReference"/>
          <w:rFonts w:ascii="Arial" w:hAnsi="Arial" w:cs="Arial"/>
          <w:sz w:val="18"/>
          <w:szCs w:val="18"/>
        </w:rPr>
        <w:footnoteRef/>
      </w:r>
      <w:r w:rsidRPr="00CA0370">
        <w:rPr>
          <w:rFonts w:ascii="Arial" w:hAnsi="Arial" w:cs="Arial"/>
          <w:sz w:val="18"/>
          <w:szCs w:val="18"/>
          <w:lang w:val="es-ES"/>
        </w:rPr>
        <w:t xml:space="preserve"> </w:t>
      </w:r>
      <w:r w:rsidRPr="00CA0370">
        <w:rPr>
          <w:rFonts w:ascii="Arial" w:hAnsi="Arial" w:cs="Arial"/>
          <w:sz w:val="18"/>
          <w:szCs w:val="18"/>
          <w:lang w:val="es-ES"/>
        </w:rPr>
        <w:tab/>
      </w:r>
      <w:r w:rsidRPr="00CA0370">
        <w:rPr>
          <w:rFonts w:ascii="Arial" w:hAnsi="Arial" w:cs="Arial"/>
          <w:sz w:val="18"/>
          <w:szCs w:val="18"/>
          <w:lang w:val="es-ES"/>
        </w:rPr>
        <w:t>La Contribución Determinada a nivel Nacional de Uruguay cuenta con una meta incondicional de mantener el 100% de la superficie de plantaciones forestales con destino sombra y abrigo del año 2012 (77.790 ha.) y una meta condicionada de aumentar en un 25% la superficie de plantaciones forestales con destino sombra y abrigo del año 2012, incluyendo sistemas silvopastoriles (97.338 ha.).</w:t>
      </w:r>
    </w:p>
  </w:footnote>
  <w:footnote w:id="4">
    <w:p w:rsidRPr="00CA0370" w:rsidR="002C1A63" w:rsidP="002C1A63" w:rsidRDefault="002C1A63" w14:paraId="19C27707" w14:textId="77777777">
      <w:pPr>
        <w:pStyle w:val="FootnoteText"/>
        <w:spacing w:after="0"/>
        <w:rPr>
          <w:rFonts w:ascii="Arial" w:hAnsi="Arial" w:cs="Arial"/>
          <w:sz w:val="18"/>
          <w:szCs w:val="18"/>
          <w:lang w:val="es-ES"/>
        </w:rPr>
      </w:pPr>
      <w:r w:rsidRPr="00161AFF">
        <w:rPr>
          <w:rStyle w:val="FootnoteReference"/>
          <w:rFonts w:ascii="Arial" w:hAnsi="Arial" w:cs="Arial"/>
          <w:sz w:val="18"/>
          <w:szCs w:val="18"/>
        </w:rPr>
        <w:footnoteRef/>
      </w:r>
      <w:r w:rsidRPr="00CA0370">
        <w:rPr>
          <w:rFonts w:ascii="Arial" w:hAnsi="Arial" w:cs="Arial"/>
          <w:sz w:val="18"/>
          <w:szCs w:val="18"/>
          <w:lang w:val="es-ES"/>
        </w:rPr>
        <w:t xml:space="preserve"> </w:t>
      </w:r>
      <w:r w:rsidRPr="00CA0370">
        <w:rPr>
          <w:rFonts w:ascii="Arial" w:hAnsi="Arial" w:cs="Arial"/>
          <w:sz w:val="18"/>
          <w:szCs w:val="18"/>
          <w:lang w:val="es-ES"/>
        </w:rPr>
        <w:tab/>
      </w:r>
      <w:r w:rsidRPr="00CA0370">
        <w:rPr>
          <w:rFonts w:ascii="Arial" w:hAnsi="Arial" w:cs="Arial"/>
          <w:sz w:val="18"/>
          <w:szCs w:val="18"/>
          <w:lang w:val="es-ES"/>
        </w:rPr>
        <w:t>No se establece un límite de tamaño de las empresas, pudiendo ser las empresas de tamaño pequeño, mediano o grande.</w:t>
      </w:r>
    </w:p>
  </w:footnote>
  <w:footnote w:id="5">
    <w:p w:rsidRPr="00CA0370" w:rsidR="002C1A63" w:rsidP="002C1A63" w:rsidRDefault="002C1A63" w14:paraId="545D0E59" w14:textId="77777777">
      <w:pPr>
        <w:pStyle w:val="FootnoteText"/>
        <w:spacing w:after="0"/>
        <w:rPr>
          <w:rFonts w:ascii="Arial" w:hAnsi="Arial" w:cs="Arial"/>
          <w:sz w:val="18"/>
          <w:szCs w:val="18"/>
          <w:lang w:val="es-ES"/>
        </w:rPr>
      </w:pPr>
      <w:r>
        <w:rPr>
          <w:rStyle w:val="FootnoteReference"/>
        </w:rPr>
        <w:footnoteRef/>
      </w:r>
      <w:r w:rsidRPr="00CA0370">
        <w:rPr>
          <w:lang w:val="es-ES"/>
        </w:rPr>
        <w:t xml:space="preserve"> </w:t>
      </w:r>
      <w:r w:rsidRPr="00CA0370">
        <w:rPr>
          <w:lang w:val="es-ES"/>
        </w:rPr>
        <w:tab/>
      </w:r>
      <w:r w:rsidRPr="00CA0370">
        <w:rPr>
          <w:rFonts w:ascii="Arial" w:hAnsi="Arial" w:cs="Arial"/>
          <w:sz w:val="18"/>
          <w:szCs w:val="18"/>
          <w:lang w:val="es-ES"/>
        </w:rPr>
        <w:t>Se podrán financiar obras para la construcción, adecuación, ampliación, mantenimiento de infraestructura de transporte y logística.</w:t>
      </w:r>
    </w:p>
  </w:footnote>
  <w:footnote w:id="6">
    <w:p w:rsidRPr="00CA0370" w:rsidR="002C1A63" w:rsidP="002C1A63" w:rsidRDefault="002C1A63" w14:paraId="10FC5F20" w14:textId="77777777">
      <w:pPr>
        <w:pStyle w:val="FootnoteText"/>
        <w:spacing w:after="0"/>
        <w:rPr>
          <w:rFonts w:ascii="Arial" w:hAnsi="Arial" w:cs="Arial"/>
          <w:sz w:val="18"/>
          <w:szCs w:val="18"/>
          <w:lang w:val="es-ES"/>
        </w:rPr>
      </w:pPr>
      <w:r w:rsidRPr="00161AFF">
        <w:rPr>
          <w:rStyle w:val="FootnoteReference"/>
          <w:rFonts w:ascii="Arial" w:hAnsi="Arial" w:cs="Arial"/>
          <w:sz w:val="18"/>
          <w:szCs w:val="18"/>
        </w:rPr>
        <w:footnoteRef/>
      </w:r>
      <w:r w:rsidRPr="00CA0370">
        <w:rPr>
          <w:rFonts w:ascii="Arial" w:hAnsi="Arial" w:cs="Arial"/>
          <w:sz w:val="18"/>
          <w:szCs w:val="18"/>
          <w:lang w:val="es-ES"/>
        </w:rPr>
        <w:t xml:space="preserve"> </w:t>
      </w:r>
      <w:r w:rsidRPr="00CA0370">
        <w:rPr>
          <w:rFonts w:ascii="Arial" w:hAnsi="Arial" w:cs="Arial"/>
          <w:sz w:val="18"/>
          <w:szCs w:val="18"/>
          <w:lang w:val="es-ES"/>
        </w:rPr>
        <w:tab/>
      </w:r>
      <w:r w:rsidRPr="00CA0370">
        <w:rPr>
          <w:rFonts w:ascii="Arial" w:hAnsi="Arial" w:cs="Arial"/>
          <w:sz w:val="18"/>
          <w:szCs w:val="18"/>
          <w:lang w:val="es-ES"/>
        </w:rPr>
        <w:t xml:space="preserve">Ver enlace opcional: </w:t>
      </w:r>
      <w:hyperlink w:history="1" r:id="rId1">
        <w:r w:rsidRPr="00CA0370">
          <w:rPr>
            <w:rStyle w:val="Hyperlink"/>
            <w:rFonts w:ascii="Arial" w:hAnsi="Arial" w:cs="Arial"/>
            <w:sz w:val="18"/>
            <w:szCs w:val="18"/>
            <w:lang w:val="es-ES"/>
          </w:rPr>
          <w:t>Estudio sobre la Financiación de Concesiones y las PPP en Uruguay</w:t>
        </w:r>
      </w:hyperlink>
      <w:r w:rsidRPr="00CA0370">
        <w:rPr>
          <w:rFonts w:ascii="Arial" w:hAnsi="Arial" w:cs="Arial"/>
          <w:sz w:val="18"/>
          <w:szCs w:val="18"/>
          <w:lang w:val="es-ES"/>
        </w:rPr>
        <w:t>.</w:t>
      </w:r>
    </w:p>
  </w:footnote>
  <w:footnote w:id="7">
    <w:p w:rsidRPr="004F1F45" w:rsidR="00AB67B5" w:rsidP="00691F7C" w:rsidRDefault="00AB67B5" w14:paraId="392838CB" w14:textId="56128061">
      <w:pPr>
        <w:pStyle w:val="FootnoteText"/>
        <w:rPr>
          <w:rFonts w:ascii="Arial" w:hAnsi="Arial" w:cs="Arial"/>
          <w:sz w:val="18"/>
          <w:szCs w:val="18"/>
          <w:lang w:val="es-ES"/>
        </w:rPr>
      </w:pPr>
      <w:r w:rsidRPr="004F1F45">
        <w:rPr>
          <w:rStyle w:val="FootnoteReference"/>
          <w:rFonts w:ascii="Arial" w:hAnsi="Arial" w:cs="Arial"/>
          <w:sz w:val="18"/>
          <w:szCs w:val="18"/>
        </w:rPr>
        <w:footnoteRef/>
      </w:r>
      <w:r w:rsidRPr="004F1F45">
        <w:rPr>
          <w:rFonts w:ascii="Arial" w:hAnsi="Arial" w:cs="Arial"/>
          <w:sz w:val="18"/>
          <w:szCs w:val="18"/>
          <w:lang w:val="es-ES"/>
        </w:rPr>
        <w:t xml:space="preserve"> </w:t>
      </w:r>
      <w:r w:rsidR="00832F54">
        <w:rPr>
          <w:rFonts w:ascii="Arial" w:hAnsi="Arial" w:cs="Arial"/>
          <w:sz w:val="18"/>
          <w:szCs w:val="18"/>
          <w:lang w:val="es-ES"/>
        </w:rPr>
        <w:tab/>
      </w:r>
      <w:r w:rsidRPr="004F1F45">
        <w:rPr>
          <w:rFonts w:ascii="Arial" w:hAnsi="Arial" w:cs="Arial"/>
          <w:sz w:val="18"/>
          <w:szCs w:val="18"/>
          <w:lang w:val="es-ES"/>
        </w:rPr>
        <w:t xml:space="preserve">BROU entregará los reportes de la ejecución del Préstamo en un plazo de 60 días naturales posteriores a la conclusión de cada semestre (agosto y febrero). Ver </w:t>
      </w:r>
      <w:hyperlink w:history="1" r:id="rId2">
        <w:r w:rsidRPr="00FE0DB6" w:rsidR="00FE0DB6">
          <w:rPr>
            <w:rStyle w:val="Hyperlink"/>
            <w:rFonts w:ascii="Arial" w:hAnsi="Arial" w:cs="Arial"/>
            <w:sz w:val="18"/>
            <w:szCs w:val="18"/>
            <w:lang w:val="es-ES"/>
          </w:rPr>
          <w:t>ROP</w:t>
        </w:r>
      </w:hyperlink>
      <w:r w:rsidR="00FE0DB6">
        <w:rPr>
          <w:rFonts w:ascii="Arial" w:hAnsi="Arial" w:cs="Arial"/>
          <w:sz w:val="18"/>
          <w:szCs w:val="18"/>
          <w:lang w:val="es-ES"/>
        </w:rPr>
        <w:t>.</w:t>
      </w:r>
    </w:p>
  </w:footnote>
  <w:footnote w:id="8">
    <w:p w:rsidRPr="004F1F45" w:rsidR="00AB67B5" w:rsidP="00D11661" w:rsidRDefault="00AB67B5" w14:paraId="57D4B695" w14:textId="21A932C1">
      <w:pPr>
        <w:pStyle w:val="FootnoteText"/>
        <w:rPr>
          <w:rFonts w:ascii="Arial" w:hAnsi="Arial" w:cs="Arial"/>
          <w:sz w:val="18"/>
          <w:szCs w:val="18"/>
          <w:lang w:val="es-ES"/>
        </w:rPr>
      </w:pPr>
      <w:r w:rsidRPr="004F1F45">
        <w:rPr>
          <w:rStyle w:val="FootnoteReference"/>
          <w:rFonts w:ascii="Arial" w:hAnsi="Arial" w:cs="Arial"/>
          <w:sz w:val="18"/>
          <w:szCs w:val="18"/>
        </w:rPr>
        <w:footnoteRef/>
      </w:r>
      <w:r w:rsidRPr="004F1F45">
        <w:rPr>
          <w:rFonts w:ascii="Arial" w:hAnsi="Arial" w:cs="Arial"/>
          <w:sz w:val="18"/>
          <w:szCs w:val="18"/>
          <w:lang w:val="es-ES"/>
        </w:rPr>
        <w:t xml:space="preserve"> </w:t>
      </w:r>
      <w:r w:rsidRPr="004F1F45" w:rsidR="00F20731">
        <w:rPr>
          <w:rFonts w:ascii="Arial" w:hAnsi="Arial" w:cs="Arial"/>
          <w:sz w:val="18"/>
          <w:szCs w:val="18"/>
          <w:lang w:val="es-ES"/>
        </w:rPr>
        <w:tab/>
      </w:r>
      <w:r w:rsidRPr="004F1F45">
        <w:rPr>
          <w:rFonts w:ascii="Arial" w:hAnsi="Arial" w:cs="Arial"/>
          <w:sz w:val="18"/>
          <w:szCs w:val="18"/>
          <w:lang w:val="es-ES_tradnl" w:eastAsia="zh-CN"/>
        </w:rPr>
        <w:t>Donde se incluyen las de: producción, procesamiento y conservación de carne y productos cárnicos; elaboración de productos lácteos; fabricación de productos textiles y de cuero; fabricación de productos de la madera y papel (excepto muebles e imprentas).</w:t>
      </w:r>
    </w:p>
  </w:footnote>
  <w:footnote w:id="9">
    <w:p w:rsidRPr="004F1F45" w:rsidR="00AB67B5" w:rsidP="004F1F45" w:rsidRDefault="00AB67B5" w14:paraId="7BFF0822" w14:textId="0100FAED">
      <w:pPr>
        <w:pStyle w:val="FootnoteText"/>
        <w:spacing w:after="0"/>
        <w:rPr>
          <w:rFonts w:ascii="Arial" w:hAnsi="Arial" w:cs="Arial"/>
          <w:sz w:val="18"/>
          <w:szCs w:val="18"/>
          <w:lang w:val="es-ES"/>
        </w:rPr>
      </w:pPr>
      <w:r w:rsidRPr="004F1F45">
        <w:rPr>
          <w:rStyle w:val="FootnoteReference"/>
          <w:rFonts w:ascii="Arial" w:hAnsi="Arial" w:cs="Arial"/>
          <w:sz w:val="18"/>
          <w:szCs w:val="18"/>
        </w:rPr>
        <w:footnoteRef/>
      </w:r>
      <w:r w:rsidRPr="004F1F45">
        <w:rPr>
          <w:rFonts w:ascii="Arial" w:hAnsi="Arial" w:cs="Arial"/>
          <w:sz w:val="18"/>
          <w:szCs w:val="18"/>
          <w:lang w:val="es-ES"/>
        </w:rPr>
        <w:t xml:space="preserve"> </w:t>
      </w:r>
      <w:r w:rsidR="005A50B8">
        <w:rPr>
          <w:rFonts w:ascii="Arial" w:hAnsi="Arial" w:cs="Arial"/>
          <w:sz w:val="18"/>
          <w:szCs w:val="18"/>
          <w:lang w:val="es-ES"/>
        </w:rPr>
        <w:tab/>
      </w:r>
      <w:r w:rsidRPr="004F1F45">
        <w:rPr>
          <w:rFonts w:ascii="Arial" w:hAnsi="Arial" w:cs="Arial"/>
          <w:color w:val="000000" w:themeColor="text1"/>
          <w:sz w:val="18"/>
          <w:szCs w:val="18"/>
          <w:lang w:val="es-ES_tradnl" w:eastAsia="zh-CN"/>
        </w:rPr>
        <w:t xml:space="preserve">Los detalles de las metodologías para las encuestas se encuentran en el informe de Arvis y otros, titulado </w:t>
      </w:r>
      <w:r w:rsidRPr="004F1F45">
        <w:rPr>
          <w:rFonts w:ascii="Arial" w:hAnsi="Arial" w:cs="Arial"/>
          <w:i/>
          <w:color w:val="000000" w:themeColor="text1"/>
          <w:sz w:val="18"/>
          <w:szCs w:val="18"/>
          <w:lang w:val="es-ES_tradnl" w:eastAsia="zh-CN"/>
        </w:rPr>
        <w:t>“Connecting to Compete: Trade Logistics in the Global Economy (2010)</w:t>
      </w:r>
      <w:r w:rsidRPr="004F1F45">
        <w:rPr>
          <w:rFonts w:ascii="Arial" w:hAnsi="Arial" w:cs="Arial"/>
          <w:color w:val="000000" w:themeColor="text1"/>
          <w:sz w:val="18"/>
          <w:szCs w:val="18"/>
          <w:lang w:val="es-ES_tradnl" w:eastAsia="zh-CN"/>
        </w:rPr>
        <w:t xml:space="preserve">”. Los encuestados evaluaron la calidad del comercio y la infraestructura relacionados con el transporte (por ejemplo: los puertos, ferrocarriles, carreteras y tecnologías de la información), en una clasificación que va desde 1 (muy baja) a 5 (muy alta). Los puntajes se promedian entre todos los encuestados. Dada la naturaleza cualitativa del indicador es complejo estimar su tasa de crecimiento, pero podría adoptarse como una aproximación, el valor que tiene en ese indicador Argentina (2.856), dado el importante flujo comercial (importaciones y exportaciones) y sus similitudes desde un punto de vista de estructura económica. </w:t>
      </w:r>
    </w:p>
  </w:footnote>
  <w:footnote w:id="10">
    <w:p w:rsidRPr="008352D8" w:rsidR="00AB67B5" w:rsidP="004F1F45" w:rsidRDefault="00AB67B5" w14:paraId="0F1436FE" w14:textId="5F88F4C5">
      <w:pPr>
        <w:pStyle w:val="FootnoteText"/>
        <w:spacing w:after="0"/>
        <w:rPr>
          <w:lang w:val="es-ES"/>
        </w:rPr>
      </w:pPr>
      <w:r w:rsidRPr="004F1F45">
        <w:rPr>
          <w:rStyle w:val="FootnoteReference"/>
          <w:rFonts w:ascii="Arial" w:hAnsi="Arial" w:cs="Arial"/>
          <w:sz w:val="18"/>
          <w:szCs w:val="18"/>
        </w:rPr>
        <w:footnoteRef/>
      </w:r>
      <w:r w:rsidRPr="004F1F45">
        <w:rPr>
          <w:rFonts w:ascii="Arial" w:hAnsi="Arial" w:cs="Arial"/>
          <w:sz w:val="18"/>
          <w:szCs w:val="18"/>
          <w:lang w:val="es-ES"/>
        </w:rPr>
        <w:t xml:space="preserve"> </w:t>
      </w:r>
      <w:r w:rsidR="005A50B8">
        <w:rPr>
          <w:rFonts w:ascii="Arial" w:hAnsi="Arial" w:cs="Arial"/>
          <w:sz w:val="18"/>
          <w:szCs w:val="18"/>
          <w:lang w:val="es-ES"/>
        </w:rPr>
        <w:tab/>
      </w:r>
      <w:r w:rsidRPr="004F1F45">
        <w:rPr>
          <w:rFonts w:ascii="Arial" w:hAnsi="Arial" w:cs="Arial"/>
          <w:color w:val="000000" w:themeColor="text1"/>
          <w:sz w:val="18"/>
          <w:szCs w:val="18"/>
          <w:lang w:val="es-ES_tradnl" w:eastAsia="zh-CN"/>
        </w:rPr>
        <w:t>Las cifras incluyen exportaciones de rollizos a Zona Franca de 'Fray Bentos' y 'Conchillas', pero no incluyen las exportaciones de pulpa de madera desde dichas Zonas Francas.</w:t>
      </w:r>
    </w:p>
  </w:footnote>
  <w:footnote w:id="11">
    <w:p w:rsidRPr="004F1F45" w:rsidR="00AB67B5" w:rsidRDefault="00AB67B5" w14:paraId="0B6D8150" w14:textId="3CB70D28">
      <w:pPr>
        <w:pStyle w:val="FootnoteText"/>
        <w:rPr>
          <w:rFonts w:ascii="Arial" w:hAnsi="Arial" w:cs="Arial"/>
          <w:sz w:val="18"/>
          <w:szCs w:val="18"/>
          <w:lang w:val="es-ES"/>
        </w:rPr>
      </w:pPr>
      <w:r w:rsidRPr="004F1F45">
        <w:rPr>
          <w:rStyle w:val="FootnoteReference"/>
          <w:rFonts w:ascii="Arial" w:hAnsi="Arial" w:cs="Arial"/>
          <w:sz w:val="18"/>
          <w:szCs w:val="18"/>
        </w:rPr>
        <w:footnoteRef/>
      </w:r>
      <w:r w:rsidRPr="004F1F45">
        <w:rPr>
          <w:rFonts w:ascii="Arial" w:hAnsi="Arial" w:cs="Arial"/>
          <w:sz w:val="18"/>
          <w:szCs w:val="18"/>
        </w:rPr>
        <w:t xml:space="preserve"> </w:t>
      </w:r>
      <w:r w:rsidRPr="004F1F45">
        <w:rPr>
          <w:rFonts w:ascii="Arial" w:hAnsi="Arial" w:cs="Arial"/>
          <w:sz w:val="18"/>
          <w:szCs w:val="18"/>
          <w:lang w:eastAsia="zh-CN"/>
        </w:rPr>
        <w:t>Ver</w:t>
      </w:r>
      <w:r w:rsidRPr="004F1F45" w:rsidR="00F20731">
        <w:rPr>
          <w:rFonts w:ascii="Arial" w:hAnsi="Arial" w:cs="Arial"/>
          <w:sz w:val="18"/>
          <w:szCs w:val="18"/>
          <w:lang w:eastAsia="zh-CN"/>
        </w:rPr>
        <w:t>:</w:t>
      </w:r>
      <w:r w:rsidRPr="004F1F45">
        <w:rPr>
          <w:rFonts w:ascii="Arial" w:hAnsi="Arial" w:cs="Arial"/>
          <w:sz w:val="18"/>
          <w:szCs w:val="18"/>
          <w:lang w:eastAsia="zh-CN"/>
        </w:rPr>
        <w:t xml:space="preserve"> </w:t>
      </w:r>
      <w:r w:rsidRPr="004F1F45">
        <w:rPr>
          <w:rFonts w:ascii="Arial" w:hAnsi="Arial" w:cs="Arial"/>
          <w:sz w:val="18"/>
          <w:szCs w:val="18"/>
          <w:shd w:val="clear" w:color="auto" w:fill="FFFFFF"/>
        </w:rPr>
        <w:t>Ozbay et al (2015).</w:t>
      </w:r>
      <w:r w:rsidRPr="004F1F45">
        <w:rPr>
          <w:rStyle w:val="apple-converted-space"/>
          <w:rFonts w:ascii="Arial" w:hAnsi="Arial" w:cs="Arial"/>
          <w:sz w:val="18"/>
          <w:szCs w:val="18"/>
          <w:shd w:val="clear" w:color="auto" w:fill="FFFFFF"/>
        </w:rPr>
        <w:t> </w:t>
      </w:r>
      <w:r w:rsidRPr="004F1F45">
        <w:rPr>
          <w:rFonts w:ascii="Arial" w:hAnsi="Arial" w:cs="Arial"/>
          <w:i/>
          <w:iCs/>
          <w:sz w:val="18"/>
          <w:szCs w:val="18"/>
        </w:rPr>
        <w:t xml:space="preserve">Impact of the Rail Grants Program </w:t>
      </w:r>
      <w:r w:rsidRPr="004F1F45">
        <w:rPr>
          <w:rFonts w:ascii="Arial" w:hAnsi="Arial" w:cs="Arial"/>
          <w:sz w:val="18"/>
          <w:szCs w:val="18"/>
          <w:shd w:val="clear" w:color="auto" w:fill="FFFFFF"/>
        </w:rPr>
        <w:t xml:space="preserve">(No. </w:t>
      </w:r>
      <w:r w:rsidRPr="004F1F45">
        <w:rPr>
          <w:rFonts w:ascii="Arial" w:hAnsi="Arial" w:cs="Arial"/>
          <w:sz w:val="18"/>
          <w:szCs w:val="18"/>
          <w:shd w:val="clear" w:color="auto" w:fill="FFFFFF"/>
          <w:lang w:val="es-ES_tradnl"/>
        </w:rPr>
        <w:t>FHWA-NJ-2015-002).</w:t>
      </w:r>
    </w:p>
  </w:footnote>
  <w:footnote w:id="12">
    <w:p w:rsidRPr="00E063B4" w:rsidR="00AB67B5" w:rsidP="00CA0370" w:rsidRDefault="00AB67B5" w14:paraId="4C7AFF13" w14:textId="00E3B92A">
      <w:pPr>
        <w:pStyle w:val="FootnoteText"/>
        <w:spacing w:after="0"/>
        <w:rPr>
          <w:lang w:val="es-ES"/>
        </w:rPr>
      </w:pPr>
      <w:r w:rsidRPr="004F1F45">
        <w:rPr>
          <w:rStyle w:val="FootnoteReference"/>
          <w:rFonts w:ascii="Arial" w:hAnsi="Arial" w:cs="Arial"/>
          <w:sz w:val="18"/>
          <w:szCs w:val="18"/>
        </w:rPr>
        <w:footnoteRef/>
      </w:r>
      <w:r w:rsidRPr="004F1F45">
        <w:rPr>
          <w:rFonts w:ascii="Arial" w:hAnsi="Arial" w:cs="Arial"/>
          <w:sz w:val="18"/>
          <w:szCs w:val="18"/>
          <w:lang w:val="es-ES"/>
        </w:rPr>
        <w:t xml:space="preserve"> </w:t>
      </w:r>
      <w:r w:rsidR="00F20731">
        <w:rPr>
          <w:rFonts w:ascii="Arial" w:hAnsi="Arial" w:cs="Arial"/>
          <w:sz w:val="18"/>
          <w:szCs w:val="18"/>
          <w:lang w:val="es-ES"/>
        </w:rPr>
        <w:tab/>
      </w:r>
      <w:r w:rsidRPr="004F1F45">
        <w:rPr>
          <w:rFonts w:ascii="Arial" w:hAnsi="Arial" w:cs="Arial"/>
          <w:sz w:val="18"/>
          <w:szCs w:val="18"/>
          <w:lang w:val="es-ES"/>
        </w:rPr>
        <w:t>La adopci</w:t>
      </w:r>
      <w:r w:rsidRPr="004F1F45">
        <w:rPr>
          <w:rFonts w:ascii="Arial" w:hAnsi="Arial" w:cs="Arial"/>
          <w:sz w:val="18"/>
          <w:szCs w:val="18"/>
          <w:lang w:val="es-ES_tradnl" w:eastAsia="zh-CN"/>
        </w:rPr>
        <w:t>ó</w:t>
      </w:r>
      <w:r w:rsidRPr="004F1F45">
        <w:rPr>
          <w:rFonts w:ascii="Arial" w:hAnsi="Arial" w:cs="Arial"/>
          <w:sz w:val="18"/>
          <w:szCs w:val="18"/>
          <w:lang w:val="es-ES"/>
        </w:rPr>
        <w:t>n de este proyecto de infraestructura de transporte como protot</w:t>
      </w:r>
      <w:r w:rsidRPr="004F1F45">
        <w:rPr>
          <w:rFonts w:ascii="Arial" w:hAnsi="Arial" w:cs="Arial"/>
          <w:sz w:val="18"/>
          <w:szCs w:val="18"/>
          <w:lang w:val="es-ES_tradnl" w:eastAsia="zh-CN"/>
        </w:rPr>
        <w:t>í</w:t>
      </w:r>
      <w:r w:rsidRPr="004F1F45">
        <w:rPr>
          <w:rFonts w:ascii="Arial" w:hAnsi="Arial" w:cs="Arial"/>
          <w:sz w:val="18"/>
          <w:szCs w:val="18"/>
          <w:lang w:val="es-ES"/>
        </w:rPr>
        <w:t>pico descansa en los siguientes argumentos: (i) el montante de la inversi</w:t>
      </w:r>
      <w:r w:rsidRPr="004F1F45">
        <w:rPr>
          <w:rFonts w:ascii="Arial" w:hAnsi="Arial" w:cs="Arial"/>
          <w:sz w:val="18"/>
          <w:szCs w:val="18"/>
          <w:lang w:val="es-ES_tradnl" w:eastAsia="zh-CN"/>
        </w:rPr>
        <w:t>ón</w:t>
      </w:r>
      <w:r w:rsidRPr="004F1F45">
        <w:rPr>
          <w:rFonts w:ascii="Arial" w:hAnsi="Arial" w:cs="Arial"/>
          <w:sz w:val="18"/>
          <w:szCs w:val="18"/>
          <w:lang w:val="es-ES"/>
        </w:rPr>
        <w:t xml:space="preserve"> y los kil</w:t>
      </w:r>
      <w:r w:rsidRPr="004F1F45">
        <w:rPr>
          <w:rFonts w:ascii="Arial" w:hAnsi="Arial" w:cs="Arial"/>
          <w:sz w:val="18"/>
          <w:szCs w:val="18"/>
          <w:lang w:val="es-ES_tradnl" w:eastAsia="zh-CN"/>
        </w:rPr>
        <w:t>ó</w:t>
      </w:r>
      <w:r w:rsidRPr="004F1F45">
        <w:rPr>
          <w:rFonts w:ascii="Arial" w:hAnsi="Arial" w:cs="Arial"/>
          <w:sz w:val="18"/>
          <w:szCs w:val="18"/>
          <w:lang w:val="es-ES"/>
        </w:rPr>
        <w:t>metros de carretera pueden ser considerados como un proyecto t</w:t>
      </w:r>
      <w:r w:rsidRPr="004F1F45">
        <w:rPr>
          <w:rFonts w:ascii="Arial" w:hAnsi="Arial" w:cs="Arial"/>
          <w:sz w:val="18"/>
          <w:szCs w:val="18"/>
          <w:lang w:val="es-ES_tradnl" w:eastAsia="zh-CN"/>
        </w:rPr>
        <w:t>í</w:t>
      </w:r>
      <w:r w:rsidRPr="004F1F45">
        <w:rPr>
          <w:rFonts w:ascii="Arial" w:hAnsi="Arial" w:cs="Arial"/>
          <w:sz w:val="18"/>
          <w:szCs w:val="18"/>
          <w:lang w:val="es-ES"/>
        </w:rPr>
        <w:t>pico del pipeline que el BROU maneja en este rubro de proyectos, (ii) este proyecto presenta un informe de prefactibilidad con informaci</w:t>
      </w:r>
      <w:r w:rsidRPr="004F1F45">
        <w:rPr>
          <w:rFonts w:ascii="Arial" w:hAnsi="Arial" w:cs="Arial"/>
          <w:sz w:val="18"/>
          <w:szCs w:val="18"/>
          <w:lang w:val="es-ES_tradnl" w:eastAsia="zh-CN"/>
        </w:rPr>
        <w:t>ó</w:t>
      </w:r>
      <w:r w:rsidRPr="004F1F45">
        <w:rPr>
          <w:rFonts w:ascii="Arial" w:hAnsi="Arial" w:cs="Arial"/>
          <w:sz w:val="18"/>
          <w:szCs w:val="18"/>
          <w:lang w:val="es-ES"/>
        </w:rPr>
        <w:t>n detallada en cuanto a sus caracter</w:t>
      </w:r>
      <w:r w:rsidRPr="004F1F45">
        <w:rPr>
          <w:rFonts w:ascii="Arial" w:hAnsi="Arial" w:cs="Arial"/>
          <w:sz w:val="18"/>
          <w:szCs w:val="18"/>
          <w:lang w:val="es-ES_tradnl" w:eastAsia="zh-CN"/>
        </w:rPr>
        <w:t>í</w:t>
      </w:r>
      <w:r w:rsidRPr="004F1F45">
        <w:rPr>
          <w:rFonts w:ascii="Arial" w:hAnsi="Arial" w:cs="Arial"/>
          <w:sz w:val="18"/>
          <w:szCs w:val="18"/>
          <w:lang w:val="es-ES"/>
        </w:rPr>
        <w:t>sticas t</w:t>
      </w:r>
      <w:r w:rsidRPr="004F1F45">
        <w:rPr>
          <w:rFonts w:ascii="Arial" w:hAnsi="Arial" w:eastAsia="Arial" w:cs="Arial"/>
          <w:sz w:val="18"/>
          <w:szCs w:val="18"/>
          <w:lang w:val="es-ES_tradnl"/>
        </w:rPr>
        <w:t>é</w:t>
      </w:r>
      <w:r w:rsidRPr="004F1F45">
        <w:rPr>
          <w:rFonts w:ascii="Arial" w:hAnsi="Arial" w:cs="Arial"/>
          <w:sz w:val="18"/>
          <w:szCs w:val="18"/>
          <w:lang w:val="es-ES"/>
        </w:rPr>
        <w:t>cnicas que permite realizar una medici</w:t>
      </w:r>
      <w:r w:rsidRPr="004F1F45">
        <w:rPr>
          <w:rFonts w:ascii="Arial" w:hAnsi="Arial" w:cs="Arial"/>
          <w:sz w:val="18"/>
          <w:szCs w:val="18"/>
          <w:lang w:val="es-ES_tradnl" w:eastAsia="zh-CN"/>
        </w:rPr>
        <w:t>ó</w:t>
      </w:r>
      <w:r w:rsidRPr="004F1F45">
        <w:rPr>
          <w:rFonts w:ascii="Arial" w:hAnsi="Arial" w:cs="Arial"/>
          <w:sz w:val="18"/>
          <w:szCs w:val="18"/>
          <w:lang w:val="es-ES"/>
        </w:rPr>
        <w:t>n robusta a nivel de resultados y de beneficios econ</w:t>
      </w:r>
      <w:r w:rsidRPr="004F1F45">
        <w:rPr>
          <w:rFonts w:ascii="Arial" w:hAnsi="Arial" w:cs="Arial"/>
          <w:sz w:val="18"/>
          <w:szCs w:val="18"/>
          <w:lang w:val="es-ES_tradnl" w:eastAsia="zh-CN"/>
        </w:rPr>
        <w:t>ó</w:t>
      </w:r>
      <w:r w:rsidRPr="004F1F45">
        <w:rPr>
          <w:rFonts w:ascii="Arial" w:hAnsi="Arial" w:cs="Arial"/>
          <w:sz w:val="18"/>
          <w:szCs w:val="18"/>
          <w:lang w:val="es-ES"/>
        </w:rPr>
        <w:t>micos y sociales tal como se detalla en el siguiente pie de p</w:t>
      </w:r>
      <w:r w:rsidRPr="004F1F45">
        <w:rPr>
          <w:rFonts w:ascii="Arial" w:hAnsi="Arial" w:cs="Arial"/>
          <w:sz w:val="18"/>
          <w:szCs w:val="18"/>
          <w:lang w:val="es-ES_tradnl" w:eastAsia="zh-CN"/>
        </w:rPr>
        <w:t>á</w:t>
      </w:r>
      <w:r w:rsidRPr="004F1F45">
        <w:rPr>
          <w:rFonts w:ascii="Arial" w:hAnsi="Arial" w:cs="Arial"/>
          <w:sz w:val="18"/>
          <w:szCs w:val="18"/>
          <w:lang w:val="es-ES"/>
        </w:rPr>
        <w:t>gina.</w:t>
      </w:r>
    </w:p>
  </w:footnote>
  <w:footnote w:id="13">
    <w:p w:rsidRPr="00CA0370" w:rsidR="00AB67B5" w:rsidRDefault="00AB67B5" w14:paraId="25986448" w14:textId="0DFA1E7A">
      <w:pPr>
        <w:pStyle w:val="FootnoteText"/>
        <w:rPr>
          <w:rFonts w:ascii="Arial" w:hAnsi="Arial" w:cs="Arial"/>
          <w:sz w:val="18"/>
          <w:szCs w:val="18"/>
          <w:lang w:val="es-ES"/>
        </w:rPr>
      </w:pPr>
      <w:r w:rsidRPr="00CA0370">
        <w:rPr>
          <w:rStyle w:val="FootnoteReference"/>
          <w:rFonts w:ascii="Arial" w:hAnsi="Arial" w:cs="Arial"/>
          <w:sz w:val="18"/>
          <w:szCs w:val="18"/>
        </w:rPr>
        <w:footnoteRef/>
      </w:r>
      <w:r w:rsidRPr="00CA0370">
        <w:rPr>
          <w:rFonts w:ascii="Arial" w:hAnsi="Arial" w:cs="Arial"/>
          <w:sz w:val="18"/>
          <w:szCs w:val="18"/>
          <w:lang w:val="es-ES"/>
        </w:rPr>
        <w:t xml:space="preserve"> </w:t>
      </w:r>
      <w:r w:rsidRPr="00CA0370" w:rsidR="00CA0370">
        <w:rPr>
          <w:rFonts w:ascii="Arial" w:hAnsi="Arial" w:cs="Arial"/>
          <w:sz w:val="18"/>
          <w:szCs w:val="18"/>
          <w:lang w:val="es-ES"/>
        </w:rPr>
        <w:tab/>
      </w:r>
      <w:r w:rsidRPr="00CA0370">
        <w:rPr>
          <w:rFonts w:ascii="Arial" w:hAnsi="Arial" w:eastAsia="Arial" w:cs="Arial"/>
          <w:sz w:val="18"/>
          <w:szCs w:val="18"/>
          <w:lang w:val="es-ES_tradnl"/>
        </w:rPr>
        <w:t>El indicador sirve como insumo básico para el c</w:t>
      </w:r>
      <w:r w:rsidRPr="00CA0370">
        <w:rPr>
          <w:rFonts w:ascii="Arial" w:hAnsi="Arial" w:cs="Arial"/>
          <w:sz w:val="18"/>
          <w:szCs w:val="18"/>
          <w:lang w:val="es-ES_tradnl" w:eastAsia="zh-CN"/>
        </w:rPr>
        <w:t>á</w:t>
      </w:r>
      <w:r w:rsidRPr="00CA0370">
        <w:rPr>
          <w:rFonts w:ascii="Arial" w:hAnsi="Arial" w:eastAsia="Arial" w:cs="Arial"/>
          <w:sz w:val="18"/>
          <w:szCs w:val="18"/>
          <w:lang w:val="es-ES_tradnl"/>
        </w:rPr>
        <w:t xml:space="preserve">lculo en el ACB del diferencial del valor del tiempo de los pasajeros que realizan viajes por motivos de trabajo en las rutas 14 y 15, entre el escenario “Sin” y “Con” incremento del tránsito debido al proyecto al proyecto” (ver anexo del </w:t>
      </w:r>
      <w:hyperlink w:history="1" r:id="rId3">
        <w:r w:rsidRPr="00CA0370">
          <w:rPr>
            <w:rStyle w:val="Hyperlink"/>
            <w:rFonts w:ascii="Arial" w:hAnsi="Arial" w:cs="Arial"/>
            <w:sz w:val="18"/>
            <w:szCs w:val="18"/>
            <w:lang w:val="es-ES"/>
          </w:rPr>
          <w:t>ACB</w:t>
        </w:r>
      </w:hyperlink>
      <w:r w:rsidRPr="00CA0370">
        <w:rPr>
          <w:rFonts w:ascii="Arial" w:hAnsi="Arial" w:eastAsia="Arial" w:cs="Arial"/>
          <w:sz w:val="18"/>
          <w:szCs w:val="18"/>
          <w:lang w:val="es-ES_tradnl"/>
        </w:rPr>
        <w:t xml:space="preserve"> para más detalle de los cálculos y supuestos). Es importante señalar que en el escenario sin proyecto no se consideran incrementos de tránsito vehicular debido a que no tenemos información p</w:t>
      </w:r>
      <w:bookmarkStart w:name="_GoBack" w:id="16"/>
      <w:bookmarkEnd w:id="16"/>
      <w:r w:rsidRPr="00CA0370">
        <w:rPr>
          <w:rFonts w:ascii="Arial" w:hAnsi="Arial" w:eastAsia="Arial" w:cs="Arial"/>
          <w:sz w:val="18"/>
          <w:szCs w:val="18"/>
          <w:lang w:val="es-ES_tradnl"/>
        </w:rPr>
        <w:t>revia para estimar la tendencia.</w:t>
      </w:r>
    </w:p>
  </w:footnote>
  <w:footnote w:id="14">
    <w:p w:rsidRPr="004F1F45" w:rsidR="00AB67B5" w:rsidP="004F1F45" w:rsidRDefault="00AB67B5" w14:paraId="61BB9EF5" w14:textId="30B2E4CB">
      <w:pPr>
        <w:pStyle w:val="FootnoteText"/>
        <w:keepNext w:val="0"/>
        <w:keepLines w:val="0"/>
        <w:widowControl w:val="0"/>
        <w:tabs>
          <w:tab w:val="left" w:pos="360"/>
        </w:tabs>
        <w:spacing w:after="0"/>
        <w:ind w:left="360" w:hanging="360"/>
        <w:rPr>
          <w:rFonts w:ascii="Arial" w:hAnsi="Arial" w:cs="Arial"/>
          <w:sz w:val="18"/>
          <w:szCs w:val="18"/>
          <w:lang w:val="es-ES_tradnl"/>
        </w:rPr>
      </w:pPr>
      <w:r w:rsidRPr="00B27AAA">
        <w:rPr>
          <w:rStyle w:val="FootnoteReference"/>
          <w:rFonts w:ascii="Arial" w:hAnsi="Arial" w:cs="Arial"/>
        </w:rPr>
        <w:footnoteRef/>
      </w:r>
      <w:r w:rsidRPr="00BC40B0">
        <w:rPr>
          <w:rFonts w:ascii="Arial" w:hAnsi="Arial" w:cs="Arial"/>
          <w:lang w:val="es-ES_tradnl"/>
        </w:rPr>
        <w:t xml:space="preserve"> </w:t>
      </w:r>
      <w:r>
        <w:rPr>
          <w:rFonts w:ascii="Arial" w:hAnsi="Arial" w:cs="Arial"/>
          <w:lang w:val="es-ES_tradnl"/>
        </w:rPr>
        <w:tab/>
      </w:r>
      <w:r w:rsidRPr="004F1F45">
        <w:rPr>
          <w:rFonts w:ascii="Arial" w:hAnsi="Arial" w:cs="Arial"/>
          <w:sz w:val="18"/>
          <w:szCs w:val="18"/>
          <w:lang w:val="es-ES_tradnl"/>
        </w:rPr>
        <w:t xml:space="preserve">Para llevar a cabo dicho análisis, sería necesario contar con información del producto bruto interno de la región. Tal requerimiento suele resultar difícil de satisfacer tanto para los beneficiarios en general como para el área de influencia del proyecto en particular. Sin embargo, es posible utilizar </w:t>
      </w:r>
      <w:r w:rsidRPr="004F1F45">
        <w:rPr>
          <w:rFonts w:ascii="Arial" w:hAnsi="Arial" w:cs="Arial"/>
          <w:i/>
          <w:sz w:val="18"/>
          <w:szCs w:val="18"/>
          <w:lang w:val="es-ES_tradnl"/>
        </w:rPr>
        <w:t>proxies</w:t>
      </w:r>
      <w:r w:rsidRPr="004F1F45">
        <w:rPr>
          <w:rFonts w:ascii="Arial" w:hAnsi="Arial" w:cs="Arial"/>
          <w:sz w:val="18"/>
          <w:szCs w:val="18"/>
          <w:lang w:val="es-ES_tradnl"/>
        </w:rPr>
        <w:t xml:space="preserve"> de medidas de actividad económica. Para ello, suele plantearse el uso de imágenes satelitales de luminosidad nocturna obtenidas de la NASA. La utilización de este tipo de imágenes satelitales como medida de aproximación al de actividad económica fue desarrollada por Henderson, Storeygard y Weil (2012) y posteriormente utilizado en diferentes tipos de proyectos por el BID (Corral y Schling, 2017; Mitnik, Sanchez y Yanez-Pagans, 2018). Básicamente, mediante el uso de este tipo de tecnología, resulta posible analizar el impacto de la rehabilitación de la carretera en la luminosidad del área, y el consecuente efecto en el Producto Interior Bruto (PIB). Es decir, la luminosidad serviría de canal para medir el impacto de la carretera en la actividad económica del </w:t>
      </w:r>
      <w:r w:rsidRPr="005A50B8" w:rsidR="005A50B8">
        <w:rPr>
          <w:rFonts w:ascii="Arial" w:hAnsi="Arial" w:cs="Arial"/>
          <w:sz w:val="18"/>
          <w:szCs w:val="18"/>
          <w:lang w:val="es-ES_tradnl"/>
        </w:rPr>
        <w:t>área</w:t>
      </w:r>
      <w:r w:rsidRPr="004F1F45">
        <w:rPr>
          <w:rFonts w:ascii="Arial" w:hAnsi="Arial" w:cs="Arial"/>
          <w:sz w:val="18"/>
          <w:szCs w:val="18"/>
          <w:lang w:val="es-ES_tradnl"/>
        </w:rPr>
        <w:t xml:space="preserve"> de influencia de la </w:t>
      </w:r>
      <w:r w:rsidRPr="005A50B8" w:rsidR="005A50B8">
        <w:rPr>
          <w:rFonts w:ascii="Arial" w:hAnsi="Arial" w:cs="Arial"/>
          <w:sz w:val="18"/>
          <w:szCs w:val="18"/>
          <w:lang w:val="es-ES_tradnl"/>
        </w:rPr>
        <w:t>intervención</w:t>
      </w:r>
      <w:r w:rsidRPr="004F1F45">
        <w:rPr>
          <w:rFonts w:ascii="Arial" w:hAnsi="Arial" w:cs="Arial"/>
          <w:sz w:val="18"/>
          <w:szCs w:val="18"/>
          <w:lang w:val="es-ES_tradnl"/>
        </w:rPr>
        <w:t xml:space="preserve">. Para más detalles sobre esta literatura </w:t>
      </w:r>
      <w:r w:rsidRPr="005A50B8" w:rsidR="005A50B8">
        <w:rPr>
          <w:rFonts w:ascii="Arial" w:hAnsi="Arial" w:cs="Arial"/>
          <w:sz w:val="18"/>
          <w:szCs w:val="18"/>
          <w:lang w:val="es-ES_tradnl"/>
        </w:rPr>
        <w:t>ver,</w:t>
      </w:r>
      <w:r w:rsidRPr="004F1F45">
        <w:rPr>
          <w:rFonts w:ascii="Arial" w:hAnsi="Arial" w:cs="Arial"/>
          <w:sz w:val="18"/>
          <w:szCs w:val="18"/>
          <w:lang w:val="es-ES_tradnl"/>
        </w:rPr>
        <w:t xml:space="preserve"> por ejemplo: (i) Henderson, J., Storeygard, A. &amp; David N. Weil. 2012. </w:t>
      </w:r>
      <w:r w:rsidRPr="004F1F45">
        <w:rPr>
          <w:rFonts w:ascii="Arial" w:hAnsi="Arial" w:cs="Arial"/>
          <w:sz w:val="18"/>
          <w:szCs w:val="18"/>
        </w:rPr>
        <w:t>"Measuring Economic Growth from Outer Space. "</w:t>
      </w:r>
      <w:r w:rsidRPr="004F1F45">
        <w:rPr>
          <w:rFonts w:ascii="Arial" w:hAnsi="Arial" w:cs="Arial"/>
          <w:i/>
          <w:sz w:val="18"/>
          <w:szCs w:val="18"/>
        </w:rPr>
        <w:t>American Economic Review</w:t>
      </w:r>
      <w:r w:rsidRPr="004F1F45">
        <w:rPr>
          <w:rFonts w:ascii="Arial" w:hAnsi="Arial" w:cs="Arial"/>
          <w:sz w:val="18"/>
          <w:szCs w:val="18"/>
        </w:rPr>
        <w:t xml:space="preserve">, 102(2): 994-1028; (ii) Corral, L., &amp; Schling, M. (2017). The impact of shoreline stabilization on economic growth in Small Island Developing Countries. </w:t>
      </w:r>
      <w:r w:rsidRPr="004F1F45">
        <w:rPr>
          <w:rFonts w:ascii="Arial" w:hAnsi="Arial" w:cs="Arial"/>
          <w:i/>
          <w:sz w:val="18"/>
          <w:szCs w:val="18"/>
        </w:rPr>
        <w:t>Journal of Environmental Economics and Management,</w:t>
      </w:r>
      <w:r w:rsidRPr="004F1F45">
        <w:rPr>
          <w:rFonts w:ascii="Arial" w:hAnsi="Arial" w:cs="Arial"/>
          <w:sz w:val="18"/>
          <w:szCs w:val="18"/>
        </w:rPr>
        <w:t xml:space="preserve"> 86C, 210-228; (iii) Mitnik, O., &amp; Sanchez, R. &amp; Yanez-Pagans, P. (2018). Bright investments: Measuring the impact of transport infrastructure using luminosity data in Haiti. </w:t>
      </w:r>
      <w:r w:rsidRPr="004F1F45">
        <w:rPr>
          <w:rFonts w:ascii="Arial" w:hAnsi="Arial" w:cs="Arial"/>
          <w:i/>
          <w:sz w:val="18"/>
          <w:szCs w:val="18"/>
        </w:rPr>
        <w:t>IADB Working paper;</w:t>
      </w:r>
      <w:r w:rsidRPr="004F1F45">
        <w:rPr>
          <w:rFonts w:ascii="Arial" w:hAnsi="Arial" w:cs="Arial"/>
          <w:sz w:val="18"/>
          <w:szCs w:val="18"/>
        </w:rPr>
        <w:t xml:space="preserve"> y (iv) Burke, M., &amp; Lobell, D. B. (2017). Satellite-based assessment of yield variation and its determinants in smallholder African systems. </w:t>
      </w:r>
      <w:r w:rsidRPr="004F1F45">
        <w:rPr>
          <w:rFonts w:ascii="Arial" w:hAnsi="Arial" w:cs="Arial"/>
          <w:i/>
          <w:sz w:val="18"/>
          <w:szCs w:val="18"/>
          <w:lang w:val="es-ES_tradnl"/>
        </w:rPr>
        <w:t>Proceedings of the National Academy of Sciences</w:t>
      </w:r>
      <w:r w:rsidRPr="004F1F45">
        <w:rPr>
          <w:rFonts w:ascii="Arial" w:hAnsi="Arial" w:cs="Arial"/>
          <w:sz w:val="18"/>
          <w:szCs w:val="18"/>
          <w:lang w:val="es-ES_tradnl"/>
        </w:rPr>
        <w:t>, 114(9), 2189˗2194.</w:t>
      </w:r>
    </w:p>
  </w:footnote>
  <w:footnote w:id="15">
    <w:p w:rsidRPr="004F1F45" w:rsidR="00AB67B5" w:rsidP="004F1F45" w:rsidRDefault="00AB67B5" w14:paraId="27D08DC2" w14:textId="190B8FBF">
      <w:pPr>
        <w:pStyle w:val="FootnoteText"/>
        <w:keepNext w:val="0"/>
        <w:keepLines w:val="0"/>
        <w:widowControl w:val="0"/>
        <w:tabs>
          <w:tab w:val="left" w:pos="360"/>
        </w:tabs>
        <w:spacing w:after="0"/>
        <w:ind w:left="360" w:hanging="360"/>
        <w:rPr>
          <w:rFonts w:ascii="Arial" w:hAnsi="Arial" w:cs="Arial"/>
          <w:sz w:val="18"/>
          <w:szCs w:val="18"/>
          <w:lang w:val="es-ES_tradnl"/>
        </w:rPr>
      </w:pPr>
      <w:r w:rsidRPr="004F1F45">
        <w:rPr>
          <w:rStyle w:val="FootnoteReference"/>
          <w:rFonts w:ascii="Arial" w:hAnsi="Arial" w:cs="Arial"/>
          <w:sz w:val="18"/>
          <w:szCs w:val="18"/>
        </w:rPr>
        <w:footnoteRef/>
      </w:r>
      <w:r w:rsidRPr="004F1F45">
        <w:rPr>
          <w:rFonts w:ascii="Arial" w:hAnsi="Arial" w:cs="Arial"/>
          <w:sz w:val="18"/>
          <w:szCs w:val="18"/>
          <w:lang w:val="es-ES_tradnl"/>
        </w:rPr>
        <w:t xml:space="preserve"> </w:t>
      </w:r>
      <w:r w:rsidRPr="004F1F45">
        <w:rPr>
          <w:rFonts w:ascii="Arial" w:hAnsi="Arial" w:cs="Arial"/>
          <w:sz w:val="18"/>
          <w:szCs w:val="18"/>
          <w:lang w:val="es-ES_tradnl"/>
        </w:rPr>
        <w:tab/>
      </w:r>
      <w:r w:rsidRPr="004F1F45">
        <w:rPr>
          <w:rFonts w:ascii="Arial" w:hAnsi="Arial" w:cs="Arial"/>
          <w:sz w:val="18"/>
          <w:szCs w:val="18"/>
          <w:lang w:val="es-ES_tradnl"/>
        </w:rPr>
        <w:t>La tecnología “</w:t>
      </w:r>
      <w:r w:rsidRPr="004F1F45">
        <w:rPr>
          <w:rFonts w:ascii="Arial" w:hAnsi="Arial" w:cs="Arial"/>
          <w:i/>
          <w:sz w:val="18"/>
          <w:szCs w:val="18"/>
          <w:lang w:val="es-ES_tradnl"/>
        </w:rPr>
        <w:t>Smart Steps</w:t>
      </w:r>
      <w:r w:rsidRPr="004F1F45">
        <w:rPr>
          <w:rFonts w:ascii="Arial" w:hAnsi="Arial" w:cs="Arial"/>
          <w:sz w:val="18"/>
          <w:szCs w:val="18"/>
          <w:lang w:val="es-ES_tradnl"/>
        </w:rPr>
        <w:t xml:space="preserve">”, provista por Telefónica, utiliza datos móviles anónimos, agregados y extrapolados que proveen el comportamiento real, no percibido, del movimiento de grupos de personas. Esto permite analizar el </w:t>
      </w:r>
      <w:r w:rsidRPr="004F1F45">
        <w:rPr>
          <w:rFonts w:ascii="Arial" w:hAnsi="Arial" w:cs="Arial"/>
          <w:i/>
          <w:sz w:val="18"/>
          <w:szCs w:val="18"/>
          <w:lang w:val="es-ES_tradnl"/>
        </w:rPr>
        <w:t>footfall</w:t>
      </w:r>
      <w:r w:rsidRPr="004F1F45">
        <w:rPr>
          <w:rFonts w:ascii="Arial" w:hAnsi="Arial" w:cs="Arial"/>
          <w:sz w:val="18"/>
          <w:szCs w:val="18"/>
          <w:lang w:val="es-ES_tradnl"/>
        </w:rPr>
        <w:t xml:space="preserve"> (estimación de actividad) en cualquier zona específica, por edad, género y franja temporal (por hora, día, semana o mes) y hacer comparaciones con cualquier otra localización. Para conocer las zonas de atracción de tránsito, la herramienta muestra de dónde vienen los individuos que están en un lugar. Se puede ver cómo evoluciona la actividad de las personas, a medida que pasan las horas, días o semanas.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16CE9"/>
    <w:multiLevelType w:val="multilevel"/>
    <w:tmpl w:val="561AA67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0DAB7FC9"/>
    <w:multiLevelType w:val="multilevel"/>
    <w:tmpl w:val="E3EEDA32"/>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296"/>
        </w:tabs>
        <w:ind w:left="1296" w:hanging="1296"/>
      </w:pPr>
      <w:rPr>
        <w:rFonts w:hint="default" w:ascii="Arial" w:hAnsi="Arial" w:cs="Arial"/>
        <w:b w:val="0"/>
        <w:strike w:val="0"/>
        <w:color w:val="auto"/>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2" w15:restartNumberingAfterBreak="0">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3"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DB7F98"/>
    <w:multiLevelType w:val="multilevel"/>
    <w:tmpl w:val="1F94B49E"/>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2736"/>
        </w:tabs>
        <w:ind w:left="2736" w:hanging="1296"/>
      </w:pPr>
      <w:rPr>
        <w:rFonts w:hint="default"/>
        <w:b w:val="0"/>
      </w:rPr>
    </w:lvl>
    <w:lvl w:ilvl="2">
      <w:start w:val="1"/>
      <w:numFmt w:val="lowerLetter"/>
      <w:lvlText w:val="%3."/>
      <w:lvlJc w:val="left"/>
      <w:pPr>
        <w:tabs>
          <w:tab w:val="num" w:pos="2682"/>
        </w:tabs>
        <w:ind w:left="268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6" w15:restartNumberingAfterBreak="0">
    <w:nsid w:val="2D717F2A"/>
    <w:multiLevelType w:val="multilevel"/>
    <w:tmpl w:val="162C18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59B4991"/>
    <w:multiLevelType w:val="multilevel"/>
    <w:tmpl w:val="D00E5B86"/>
    <w:lvl w:ilvl="0">
      <w:start w:val="1"/>
      <w:numFmt w:val="upperRoman"/>
      <w:lvlRestart w:val="0"/>
      <w:lvlText w:val="%1."/>
      <w:lvlJc w:val="center"/>
      <w:pPr>
        <w:tabs>
          <w:tab w:val="num" w:pos="360"/>
        </w:tabs>
        <w:ind w:left="-288" w:firstLine="288"/>
      </w:pPr>
      <w:rPr>
        <w:b/>
        <w:i w:val="0"/>
      </w:rPr>
    </w:lvl>
    <w:lvl w:ilvl="1">
      <w:start w:val="1"/>
      <w:numFmt w:val="decimal"/>
      <w:isLgl/>
      <w:lvlText w:val="%1.%2"/>
      <w:lvlJc w:val="left"/>
      <w:pPr>
        <w:tabs>
          <w:tab w:val="num" w:pos="1926"/>
        </w:tabs>
        <w:ind w:left="1926" w:hanging="1296"/>
      </w:pPr>
      <w:rPr>
        <w:rFonts w:hint="default" w:ascii="Arial" w:hAnsi="Arial" w:cs="Arial"/>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D094668"/>
    <w:multiLevelType w:val="multilevel"/>
    <w:tmpl w:val="AC2C9582"/>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9" w15:restartNumberingAfterBreak="0">
    <w:nsid w:val="419D58E8"/>
    <w:multiLevelType w:val="multilevel"/>
    <w:tmpl w:val="F54AC7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4727697E"/>
    <w:multiLevelType w:val="multilevel"/>
    <w:tmpl w:val="97006A38"/>
    <w:styleLink w:val="LFO19"/>
    <w:lvl w:ilvl="0">
      <w:start w:val="1"/>
      <w:numFmt w:val="upperRoman"/>
      <w:lvlText w:val="%1."/>
      <w:lvlJc w:val="center"/>
      <w:pPr>
        <w:ind w:left="1296" w:firstLine="288"/>
      </w:pPr>
      <w:rPr>
        <w:b/>
        <w:i w:val="0"/>
      </w:rPr>
    </w:lvl>
    <w:lvl w:ilvl="1">
      <w:start w:val="1"/>
      <w:numFmt w:val="decimal"/>
      <w:lvlText w:val="%1.%2"/>
      <w:lvlJc w:val="left"/>
      <w:pPr>
        <w:ind w:left="3510" w:hanging="1296"/>
      </w:pPr>
      <w:rPr>
        <w:rFonts w:ascii="Arial" w:hAnsi="Arial" w:cs="Arial"/>
        <w:b w:val="0"/>
        <w:color w:val="auto"/>
        <w:sz w:val="22"/>
        <w:szCs w:val="22"/>
      </w:rPr>
    </w:lvl>
    <w:lvl w:ilvl="2">
      <w:start w:val="1"/>
      <w:numFmt w:val="lowerLetter"/>
      <w:lvlText w:val="%3."/>
      <w:lvlJc w:val="left"/>
      <w:pPr>
        <w:ind w:left="3888" w:hanging="432"/>
      </w:pPr>
    </w:lvl>
    <w:lvl w:ilvl="3">
      <w:start w:val="1"/>
      <w:numFmt w:val="lowerRoman"/>
      <w:lvlText w:val="%4."/>
      <w:lvlJc w:val="right"/>
      <w:pPr>
        <w:ind w:left="4320" w:hanging="288"/>
      </w:pPr>
    </w:lvl>
    <w:lvl w:ilvl="4">
      <w:start w:val="1"/>
      <w:numFmt w:val="decimal"/>
      <w:lvlText w:val="%1.%2.%3.%4.%5"/>
      <w:lvlJc w:val="left"/>
      <w:pPr>
        <w:ind w:left="3744" w:hanging="1008"/>
      </w:pPr>
    </w:lvl>
    <w:lvl w:ilvl="5">
      <w:start w:val="1"/>
      <w:numFmt w:val="decimal"/>
      <w:lvlText w:val="%1.%2.%3.%4.%5.%6"/>
      <w:lvlJc w:val="left"/>
      <w:pPr>
        <w:ind w:left="3888" w:hanging="1152"/>
      </w:pPr>
    </w:lvl>
    <w:lvl w:ilvl="6">
      <w:start w:val="1"/>
      <w:numFmt w:val="decimal"/>
      <w:lvlText w:val="%1.%2.%3.%4.%5.%6.%7"/>
      <w:lvlJc w:val="left"/>
      <w:pPr>
        <w:ind w:left="4032" w:hanging="1296"/>
      </w:pPr>
    </w:lvl>
    <w:lvl w:ilvl="7">
      <w:start w:val="1"/>
      <w:numFmt w:val="decimal"/>
      <w:lvlText w:val="%1.%2.%3.%4.%5.%6.%7.%8"/>
      <w:lvlJc w:val="left"/>
      <w:pPr>
        <w:ind w:left="4176" w:hanging="1440"/>
      </w:pPr>
    </w:lvl>
    <w:lvl w:ilvl="8">
      <w:start w:val="1"/>
      <w:numFmt w:val="decimal"/>
      <w:lvlText w:val="%1.%2.%3.%4.%5.%6.%7.%8.%9"/>
      <w:lvlJc w:val="left"/>
      <w:pPr>
        <w:ind w:left="4320" w:hanging="1584"/>
      </w:pPr>
    </w:lvl>
  </w:abstractNum>
  <w:abstractNum w:abstractNumId="11" w15:restartNumberingAfterBreak="0">
    <w:nsid w:val="473E550F"/>
    <w:multiLevelType w:val="hybridMultilevel"/>
    <w:tmpl w:val="CFE40A5E"/>
    <w:lvl w:ilvl="0" w:tplc="DB723606">
      <w:start w:val="2"/>
      <w:numFmt w:val="bullet"/>
      <w:lvlText w:val=""/>
      <w:lvlJc w:val="left"/>
      <w:pPr>
        <w:ind w:left="585" w:hanging="360"/>
      </w:pPr>
      <w:rPr>
        <w:rFonts w:hint="default" w:ascii="Symbol" w:hAnsi="Symbol" w:eastAsia="Calibri" w:cs="Times New Roman"/>
      </w:rPr>
    </w:lvl>
    <w:lvl w:ilvl="1" w:tplc="04090003" w:tentative="1">
      <w:start w:val="1"/>
      <w:numFmt w:val="bullet"/>
      <w:lvlText w:val="o"/>
      <w:lvlJc w:val="left"/>
      <w:pPr>
        <w:ind w:left="1305" w:hanging="360"/>
      </w:pPr>
      <w:rPr>
        <w:rFonts w:hint="default" w:ascii="Courier New" w:hAnsi="Courier New" w:cs="Courier New"/>
      </w:rPr>
    </w:lvl>
    <w:lvl w:ilvl="2" w:tplc="04090005" w:tentative="1">
      <w:start w:val="1"/>
      <w:numFmt w:val="bullet"/>
      <w:lvlText w:val=""/>
      <w:lvlJc w:val="left"/>
      <w:pPr>
        <w:ind w:left="2025" w:hanging="360"/>
      </w:pPr>
      <w:rPr>
        <w:rFonts w:hint="default" w:ascii="Wingdings" w:hAnsi="Wingdings"/>
      </w:rPr>
    </w:lvl>
    <w:lvl w:ilvl="3" w:tplc="04090001" w:tentative="1">
      <w:start w:val="1"/>
      <w:numFmt w:val="bullet"/>
      <w:lvlText w:val=""/>
      <w:lvlJc w:val="left"/>
      <w:pPr>
        <w:ind w:left="2745" w:hanging="360"/>
      </w:pPr>
      <w:rPr>
        <w:rFonts w:hint="default" w:ascii="Symbol" w:hAnsi="Symbol"/>
      </w:rPr>
    </w:lvl>
    <w:lvl w:ilvl="4" w:tplc="04090003" w:tentative="1">
      <w:start w:val="1"/>
      <w:numFmt w:val="bullet"/>
      <w:lvlText w:val="o"/>
      <w:lvlJc w:val="left"/>
      <w:pPr>
        <w:ind w:left="3465" w:hanging="360"/>
      </w:pPr>
      <w:rPr>
        <w:rFonts w:hint="default" w:ascii="Courier New" w:hAnsi="Courier New" w:cs="Courier New"/>
      </w:rPr>
    </w:lvl>
    <w:lvl w:ilvl="5" w:tplc="04090005" w:tentative="1">
      <w:start w:val="1"/>
      <w:numFmt w:val="bullet"/>
      <w:lvlText w:val=""/>
      <w:lvlJc w:val="left"/>
      <w:pPr>
        <w:ind w:left="4185" w:hanging="360"/>
      </w:pPr>
      <w:rPr>
        <w:rFonts w:hint="default" w:ascii="Wingdings" w:hAnsi="Wingdings"/>
      </w:rPr>
    </w:lvl>
    <w:lvl w:ilvl="6" w:tplc="04090001" w:tentative="1">
      <w:start w:val="1"/>
      <w:numFmt w:val="bullet"/>
      <w:lvlText w:val=""/>
      <w:lvlJc w:val="left"/>
      <w:pPr>
        <w:ind w:left="4905" w:hanging="360"/>
      </w:pPr>
      <w:rPr>
        <w:rFonts w:hint="default" w:ascii="Symbol" w:hAnsi="Symbol"/>
      </w:rPr>
    </w:lvl>
    <w:lvl w:ilvl="7" w:tplc="04090003" w:tentative="1">
      <w:start w:val="1"/>
      <w:numFmt w:val="bullet"/>
      <w:lvlText w:val="o"/>
      <w:lvlJc w:val="left"/>
      <w:pPr>
        <w:ind w:left="5625" w:hanging="360"/>
      </w:pPr>
      <w:rPr>
        <w:rFonts w:hint="default" w:ascii="Courier New" w:hAnsi="Courier New" w:cs="Courier New"/>
      </w:rPr>
    </w:lvl>
    <w:lvl w:ilvl="8" w:tplc="04090005" w:tentative="1">
      <w:start w:val="1"/>
      <w:numFmt w:val="bullet"/>
      <w:lvlText w:val=""/>
      <w:lvlJc w:val="left"/>
      <w:pPr>
        <w:ind w:left="6345" w:hanging="360"/>
      </w:pPr>
      <w:rPr>
        <w:rFonts w:hint="default" w:ascii="Wingdings" w:hAnsi="Wingdings"/>
      </w:rPr>
    </w:lvl>
  </w:abstractNum>
  <w:abstractNum w:abstractNumId="12" w15:restartNumberingAfterBreak="0">
    <w:nsid w:val="551F3FF8"/>
    <w:multiLevelType w:val="multilevel"/>
    <w:tmpl w:val="DE2CEAE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56CE6169"/>
    <w:multiLevelType w:val="multilevel"/>
    <w:tmpl w:val="CE284FE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5EE0733F"/>
    <w:multiLevelType w:val="multilevel"/>
    <w:tmpl w:val="43628D44"/>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5" w15:restartNumberingAfterBreak="0">
    <w:nsid w:val="5F2905BA"/>
    <w:multiLevelType w:val="multilevel"/>
    <w:tmpl w:val="0EF8ADF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64B419BA"/>
    <w:multiLevelType w:val="multilevel"/>
    <w:tmpl w:val="7A521A4C"/>
    <w:lvl w:ilvl="0">
      <w:start w:val="1"/>
      <w:numFmt w:val="decimal"/>
      <w:lvlText w:val="%1"/>
      <w:lvlJc w:val="left"/>
      <w:pPr>
        <w:ind w:left="360" w:hanging="360"/>
      </w:pPr>
      <w:rPr>
        <w:rFonts w:hint="default" w:ascii="Arial" w:hAnsi="Arial" w:cs="Arial"/>
        <w:b/>
        <w:sz w:val="22"/>
      </w:rPr>
    </w:lvl>
    <w:lvl w:ilvl="1">
      <w:start w:val="1"/>
      <w:numFmt w:val="decimal"/>
      <w:lvlText w:val="%1.%2"/>
      <w:lvlJc w:val="left"/>
      <w:pPr>
        <w:ind w:left="1080" w:hanging="360"/>
      </w:pPr>
      <w:rPr>
        <w:rFonts w:hint="default" w:ascii="Arial" w:hAnsi="Arial" w:cs="Arial"/>
        <w:b w:val="0"/>
        <w:i w:val="0"/>
        <w:sz w:val="22"/>
      </w:rPr>
    </w:lvl>
    <w:lvl w:ilvl="2">
      <w:start w:val="1"/>
      <w:numFmt w:val="decimal"/>
      <w:lvlText w:val="%1.%2.%3"/>
      <w:lvlJc w:val="left"/>
      <w:pPr>
        <w:ind w:left="2160" w:hanging="720"/>
      </w:pPr>
      <w:rPr>
        <w:rFonts w:hint="default" w:ascii="Arial" w:hAnsi="Arial" w:cs="Arial"/>
        <w:b/>
        <w:sz w:val="22"/>
      </w:rPr>
    </w:lvl>
    <w:lvl w:ilvl="3">
      <w:start w:val="1"/>
      <w:numFmt w:val="decimal"/>
      <w:lvlText w:val="%1.%2.%3.%4"/>
      <w:lvlJc w:val="left"/>
      <w:pPr>
        <w:ind w:left="2880" w:hanging="720"/>
      </w:pPr>
      <w:rPr>
        <w:rFonts w:hint="default" w:ascii="Arial" w:hAnsi="Arial" w:cs="Arial"/>
        <w:b/>
        <w:sz w:val="22"/>
      </w:rPr>
    </w:lvl>
    <w:lvl w:ilvl="4">
      <w:start w:val="1"/>
      <w:numFmt w:val="decimal"/>
      <w:lvlText w:val="%1.%2.%3.%4.%5"/>
      <w:lvlJc w:val="left"/>
      <w:pPr>
        <w:ind w:left="3960" w:hanging="1080"/>
      </w:pPr>
      <w:rPr>
        <w:rFonts w:hint="default" w:ascii="Arial" w:hAnsi="Arial" w:cs="Arial"/>
        <w:b/>
        <w:sz w:val="22"/>
      </w:rPr>
    </w:lvl>
    <w:lvl w:ilvl="5">
      <w:start w:val="1"/>
      <w:numFmt w:val="decimal"/>
      <w:lvlText w:val="%1.%2.%3.%4.%5.%6"/>
      <w:lvlJc w:val="left"/>
      <w:pPr>
        <w:ind w:left="4680" w:hanging="1080"/>
      </w:pPr>
      <w:rPr>
        <w:rFonts w:hint="default" w:ascii="Arial" w:hAnsi="Arial" w:cs="Arial"/>
        <w:b/>
        <w:sz w:val="22"/>
      </w:rPr>
    </w:lvl>
    <w:lvl w:ilvl="6">
      <w:start w:val="1"/>
      <w:numFmt w:val="decimal"/>
      <w:lvlText w:val="%1.%2.%3.%4.%5.%6.%7"/>
      <w:lvlJc w:val="left"/>
      <w:pPr>
        <w:ind w:left="5760" w:hanging="1440"/>
      </w:pPr>
      <w:rPr>
        <w:rFonts w:hint="default" w:ascii="Arial" w:hAnsi="Arial" w:cs="Arial"/>
        <w:b/>
        <w:sz w:val="22"/>
      </w:rPr>
    </w:lvl>
    <w:lvl w:ilvl="7">
      <w:start w:val="1"/>
      <w:numFmt w:val="decimal"/>
      <w:lvlText w:val="%1.%2.%3.%4.%5.%6.%7.%8"/>
      <w:lvlJc w:val="left"/>
      <w:pPr>
        <w:ind w:left="6480" w:hanging="1440"/>
      </w:pPr>
      <w:rPr>
        <w:rFonts w:hint="default" w:ascii="Arial" w:hAnsi="Arial" w:cs="Arial"/>
        <w:b/>
        <w:sz w:val="22"/>
      </w:rPr>
    </w:lvl>
    <w:lvl w:ilvl="8">
      <w:start w:val="1"/>
      <w:numFmt w:val="decimal"/>
      <w:lvlText w:val="%1.%2.%3.%4.%5.%6.%7.%8.%9"/>
      <w:lvlJc w:val="left"/>
      <w:pPr>
        <w:ind w:left="7560" w:hanging="1800"/>
      </w:pPr>
      <w:rPr>
        <w:rFonts w:hint="default" w:ascii="Arial" w:hAnsi="Arial" w:cs="Arial"/>
        <w:b/>
        <w:sz w:val="22"/>
      </w:rPr>
    </w:lvl>
  </w:abstractNum>
  <w:abstractNum w:abstractNumId="17" w15:restartNumberingAfterBreak="0">
    <w:nsid w:val="6D343E9B"/>
    <w:multiLevelType w:val="multilevel"/>
    <w:tmpl w:val="C388D43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7D2F4722"/>
    <w:multiLevelType w:val="hybridMultilevel"/>
    <w:tmpl w:val="CDD29736"/>
    <w:lvl w:ilvl="0" w:tplc="31003A9C">
      <w:start w:val="1"/>
      <w:numFmt w:val="bullet"/>
      <w:lvlText w:val="-"/>
      <w:lvlJc w:val="left"/>
      <w:pPr>
        <w:ind w:left="360" w:hanging="360"/>
      </w:pPr>
      <w:rPr>
        <w:rFonts w:hint="default" w:ascii="Arial" w:hAnsi="Arial"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15"/>
  </w:num>
  <w:num w:numId="2">
    <w:abstractNumId w:val="13"/>
  </w:num>
  <w:num w:numId="3">
    <w:abstractNumId w:val="14"/>
  </w:num>
  <w:num w:numId="4">
    <w:abstractNumId w:val="0"/>
  </w:num>
  <w:num w:numId="5">
    <w:abstractNumId w:val="17"/>
  </w:num>
  <w:num w:numId="6">
    <w:abstractNumId w:val="9"/>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15"/>
  </w:num>
  <w:num w:numId="12">
    <w:abstractNumId w:val="13"/>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6"/>
  </w:num>
  <w:num w:numId="30">
    <w:abstractNumId w:val="18"/>
  </w:num>
  <w:num w:numId="31">
    <w:abstractNumId w:val="3"/>
  </w:num>
  <w:num w:numId="32">
    <w:abstractNumId w:val="2"/>
  </w:num>
  <w:num w:numId="33">
    <w:abstractNumId w:val="15"/>
  </w:num>
  <w:num w:numId="34">
    <w:abstractNumId w:val="15"/>
  </w:num>
  <w:num w:numId="35">
    <w:abstractNumId w:val="5"/>
  </w:num>
  <w:num w:numId="36">
    <w:abstractNumId w:val="4"/>
  </w:num>
  <w:num w:numId="37">
    <w:abstractNumId w:val="11"/>
  </w:num>
  <w:num w:numId="38">
    <w:abstractNumId w:val="7"/>
  </w:num>
  <w:num w:numId="39">
    <w:abstractNumId w:val="8"/>
  </w:num>
  <w:num w:numId="40">
    <w:abstractNumId w:val="10"/>
  </w:num>
  <w:num w:numId="41">
    <w:abstractNumId w:val="15"/>
  </w:num>
  <w:num w:numId="42">
    <w:abstractNumId w:val="1"/>
  </w:num>
  <w:num w:numId="43">
    <w:abstractNumId w:val="15"/>
  </w:num>
  <w:num w:numId="44">
    <w:abstractNumId w:val="16"/>
  </w:num>
  <w:num w:numId="45">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removePersonalInformation/>
  <w:removeDateAndTim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84F"/>
    <w:rsid w:val="00000A97"/>
    <w:rsid w:val="000015D3"/>
    <w:rsid w:val="000046F2"/>
    <w:rsid w:val="00006593"/>
    <w:rsid w:val="000075AC"/>
    <w:rsid w:val="00013C23"/>
    <w:rsid w:val="000171E9"/>
    <w:rsid w:val="00024128"/>
    <w:rsid w:val="00024314"/>
    <w:rsid w:val="000252A6"/>
    <w:rsid w:val="00025D96"/>
    <w:rsid w:val="00027966"/>
    <w:rsid w:val="00030EA5"/>
    <w:rsid w:val="00035583"/>
    <w:rsid w:val="0003684D"/>
    <w:rsid w:val="00042260"/>
    <w:rsid w:val="00045E3C"/>
    <w:rsid w:val="0004619A"/>
    <w:rsid w:val="0004793A"/>
    <w:rsid w:val="0005745E"/>
    <w:rsid w:val="00057DCD"/>
    <w:rsid w:val="000631BA"/>
    <w:rsid w:val="00085B75"/>
    <w:rsid w:val="00097A58"/>
    <w:rsid w:val="000C79A4"/>
    <w:rsid w:val="000D1F0A"/>
    <w:rsid w:val="000D2FD1"/>
    <w:rsid w:val="000D45AB"/>
    <w:rsid w:val="000D5367"/>
    <w:rsid w:val="000F288C"/>
    <w:rsid w:val="000F4A9E"/>
    <w:rsid w:val="000F7E6F"/>
    <w:rsid w:val="00100BB2"/>
    <w:rsid w:val="001048B2"/>
    <w:rsid w:val="00104B95"/>
    <w:rsid w:val="00111825"/>
    <w:rsid w:val="001118AF"/>
    <w:rsid w:val="001134D2"/>
    <w:rsid w:val="00123074"/>
    <w:rsid w:val="00125A20"/>
    <w:rsid w:val="00130C6E"/>
    <w:rsid w:val="0014013D"/>
    <w:rsid w:val="001417C8"/>
    <w:rsid w:val="00145493"/>
    <w:rsid w:val="00151D44"/>
    <w:rsid w:val="001609C9"/>
    <w:rsid w:val="001619A0"/>
    <w:rsid w:val="00175C8B"/>
    <w:rsid w:val="00184D06"/>
    <w:rsid w:val="001A3100"/>
    <w:rsid w:val="001A4A2F"/>
    <w:rsid w:val="001B4748"/>
    <w:rsid w:val="001C60E6"/>
    <w:rsid w:val="001D05D5"/>
    <w:rsid w:val="001E36E8"/>
    <w:rsid w:val="001F2934"/>
    <w:rsid w:val="00200EED"/>
    <w:rsid w:val="002035E7"/>
    <w:rsid w:val="00210ADE"/>
    <w:rsid w:val="00214D70"/>
    <w:rsid w:val="00232904"/>
    <w:rsid w:val="00240ADA"/>
    <w:rsid w:val="00246F4E"/>
    <w:rsid w:val="00252042"/>
    <w:rsid w:val="00255854"/>
    <w:rsid w:val="0026118F"/>
    <w:rsid w:val="002636D7"/>
    <w:rsid w:val="0026590A"/>
    <w:rsid w:val="00276EEE"/>
    <w:rsid w:val="002816A4"/>
    <w:rsid w:val="002816F1"/>
    <w:rsid w:val="00281D58"/>
    <w:rsid w:val="00282B03"/>
    <w:rsid w:val="00282DBF"/>
    <w:rsid w:val="002842ED"/>
    <w:rsid w:val="00284FEB"/>
    <w:rsid w:val="00291CC3"/>
    <w:rsid w:val="002924A5"/>
    <w:rsid w:val="002A1769"/>
    <w:rsid w:val="002A4AE2"/>
    <w:rsid w:val="002A730F"/>
    <w:rsid w:val="002B001B"/>
    <w:rsid w:val="002C0C87"/>
    <w:rsid w:val="002C1A63"/>
    <w:rsid w:val="002C5718"/>
    <w:rsid w:val="002C682E"/>
    <w:rsid w:val="002D0DFC"/>
    <w:rsid w:val="002D1B29"/>
    <w:rsid w:val="002D5DA0"/>
    <w:rsid w:val="002E30EF"/>
    <w:rsid w:val="002E3E69"/>
    <w:rsid w:val="002E6065"/>
    <w:rsid w:val="002E69B3"/>
    <w:rsid w:val="002E6F93"/>
    <w:rsid w:val="002E71E7"/>
    <w:rsid w:val="002F0E15"/>
    <w:rsid w:val="00302F81"/>
    <w:rsid w:val="00303EAC"/>
    <w:rsid w:val="00304396"/>
    <w:rsid w:val="0030512D"/>
    <w:rsid w:val="00310170"/>
    <w:rsid w:val="003124A3"/>
    <w:rsid w:val="003149D3"/>
    <w:rsid w:val="00316A64"/>
    <w:rsid w:val="00317EAA"/>
    <w:rsid w:val="00321E41"/>
    <w:rsid w:val="00331DC2"/>
    <w:rsid w:val="00333FBE"/>
    <w:rsid w:val="00334017"/>
    <w:rsid w:val="00336549"/>
    <w:rsid w:val="003404CC"/>
    <w:rsid w:val="00344CD0"/>
    <w:rsid w:val="0035329C"/>
    <w:rsid w:val="0035570C"/>
    <w:rsid w:val="00365D3F"/>
    <w:rsid w:val="00373E2D"/>
    <w:rsid w:val="00374D46"/>
    <w:rsid w:val="00376453"/>
    <w:rsid w:val="00380511"/>
    <w:rsid w:val="00386B29"/>
    <w:rsid w:val="0039227A"/>
    <w:rsid w:val="00393A4C"/>
    <w:rsid w:val="00397796"/>
    <w:rsid w:val="003A38E6"/>
    <w:rsid w:val="003A427F"/>
    <w:rsid w:val="003B4144"/>
    <w:rsid w:val="003B4D3A"/>
    <w:rsid w:val="003B72D7"/>
    <w:rsid w:val="003C7D2E"/>
    <w:rsid w:val="003D0E8A"/>
    <w:rsid w:val="003D1AC2"/>
    <w:rsid w:val="003D60CC"/>
    <w:rsid w:val="003D6382"/>
    <w:rsid w:val="003D6CE3"/>
    <w:rsid w:val="003E0DB9"/>
    <w:rsid w:val="003E19A7"/>
    <w:rsid w:val="003E3422"/>
    <w:rsid w:val="003E394F"/>
    <w:rsid w:val="003F0DD9"/>
    <w:rsid w:val="003F3045"/>
    <w:rsid w:val="003F5072"/>
    <w:rsid w:val="003F7B5F"/>
    <w:rsid w:val="00420DE4"/>
    <w:rsid w:val="00426436"/>
    <w:rsid w:val="00431854"/>
    <w:rsid w:val="00437DF8"/>
    <w:rsid w:val="00446287"/>
    <w:rsid w:val="004470EE"/>
    <w:rsid w:val="00447B8E"/>
    <w:rsid w:val="00461519"/>
    <w:rsid w:val="00461AED"/>
    <w:rsid w:val="004636F6"/>
    <w:rsid w:val="00464E31"/>
    <w:rsid w:val="004740E7"/>
    <w:rsid w:val="004766A8"/>
    <w:rsid w:val="00480B6B"/>
    <w:rsid w:val="004A283C"/>
    <w:rsid w:val="004A4C29"/>
    <w:rsid w:val="004A590F"/>
    <w:rsid w:val="004B5D6C"/>
    <w:rsid w:val="004C2562"/>
    <w:rsid w:val="004C621C"/>
    <w:rsid w:val="004D418D"/>
    <w:rsid w:val="004F1F45"/>
    <w:rsid w:val="00503723"/>
    <w:rsid w:val="00503C56"/>
    <w:rsid w:val="00520263"/>
    <w:rsid w:val="00535E64"/>
    <w:rsid w:val="00536FB6"/>
    <w:rsid w:val="00553181"/>
    <w:rsid w:val="00567778"/>
    <w:rsid w:val="00567C11"/>
    <w:rsid w:val="00576222"/>
    <w:rsid w:val="00583306"/>
    <w:rsid w:val="00587160"/>
    <w:rsid w:val="005906FF"/>
    <w:rsid w:val="005A50B8"/>
    <w:rsid w:val="005A7537"/>
    <w:rsid w:val="005C3583"/>
    <w:rsid w:val="005C7F11"/>
    <w:rsid w:val="005D2D0E"/>
    <w:rsid w:val="005D34DF"/>
    <w:rsid w:val="005D702B"/>
    <w:rsid w:val="005E100B"/>
    <w:rsid w:val="005E3133"/>
    <w:rsid w:val="005F06F9"/>
    <w:rsid w:val="005F3F8E"/>
    <w:rsid w:val="0060247C"/>
    <w:rsid w:val="006037FF"/>
    <w:rsid w:val="00607E2C"/>
    <w:rsid w:val="006266E2"/>
    <w:rsid w:val="006272CB"/>
    <w:rsid w:val="00636639"/>
    <w:rsid w:val="0063733F"/>
    <w:rsid w:val="00644317"/>
    <w:rsid w:val="00646F5E"/>
    <w:rsid w:val="00655081"/>
    <w:rsid w:val="00657A38"/>
    <w:rsid w:val="006625FC"/>
    <w:rsid w:val="0067318F"/>
    <w:rsid w:val="00674EC0"/>
    <w:rsid w:val="00683B0F"/>
    <w:rsid w:val="00686A74"/>
    <w:rsid w:val="00691F7C"/>
    <w:rsid w:val="006A18E7"/>
    <w:rsid w:val="006B2DB3"/>
    <w:rsid w:val="006B7FAA"/>
    <w:rsid w:val="006D2AD2"/>
    <w:rsid w:val="006D53C1"/>
    <w:rsid w:val="006D5722"/>
    <w:rsid w:val="006E0805"/>
    <w:rsid w:val="006E136F"/>
    <w:rsid w:val="006E2786"/>
    <w:rsid w:val="006E3010"/>
    <w:rsid w:val="006F537B"/>
    <w:rsid w:val="007154DF"/>
    <w:rsid w:val="007213DD"/>
    <w:rsid w:val="0072200B"/>
    <w:rsid w:val="0073654F"/>
    <w:rsid w:val="007368F0"/>
    <w:rsid w:val="00756AD8"/>
    <w:rsid w:val="0076055D"/>
    <w:rsid w:val="00762CE4"/>
    <w:rsid w:val="00762D07"/>
    <w:rsid w:val="007649B9"/>
    <w:rsid w:val="0077089E"/>
    <w:rsid w:val="00775BEF"/>
    <w:rsid w:val="007819BF"/>
    <w:rsid w:val="0078366C"/>
    <w:rsid w:val="00790ACA"/>
    <w:rsid w:val="00792CF7"/>
    <w:rsid w:val="00793180"/>
    <w:rsid w:val="007A1C8F"/>
    <w:rsid w:val="007B2AA0"/>
    <w:rsid w:val="007B7991"/>
    <w:rsid w:val="007D1408"/>
    <w:rsid w:val="007D2AE7"/>
    <w:rsid w:val="007D2DF1"/>
    <w:rsid w:val="007D468C"/>
    <w:rsid w:val="007D4728"/>
    <w:rsid w:val="007E63A6"/>
    <w:rsid w:val="007F6E37"/>
    <w:rsid w:val="008011F9"/>
    <w:rsid w:val="00806898"/>
    <w:rsid w:val="00807BDD"/>
    <w:rsid w:val="00824F9D"/>
    <w:rsid w:val="00827FD1"/>
    <w:rsid w:val="00832CEF"/>
    <w:rsid w:val="00832F54"/>
    <w:rsid w:val="008352D8"/>
    <w:rsid w:val="00836233"/>
    <w:rsid w:val="00842B2F"/>
    <w:rsid w:val="008440C4"/>
    <w:rsid w:val="00845913"/>
    <w:rsid w:val="00850F5B"/>
    <w:rsid w:val="008710CD"/>
    <w:rsid w:val="0087291A"/>
    <w:rsid w:val="00873F74"/>
    <w:rsid w:val="00876971"/>
    <w:rsid w:val="008808FB"/>
    <w:rsid w:val="008A0A63"/>
    <w:rsid w:val="008A2FA0"/>
    <w:rsid w:val="008A4E8E"/>
    <w:rsid w:val="008B01F9"/>
    <w:rsid w:val="008B0D40"/>
    <w:rsid w:val="008B37AC"/>
    <w:rsid w:val="008B3CA7"/>
    <w:rsid w:val="008B42F1"/>
    <w:rsid w:val="008B5F47"/>
    <w:rsid w:val="008B7284"/>
    <w:rsid w:val="008C26E8"/>
    <w:rsid w:val="008C3F3F"/>
    <w:rsid w:val="008C5961"/>
    <w:rsid w:val="008C73F9"/>
    <w:rsid w:val="008D5D30"/>
    <w:rsid w:val="008E030F"/>
    <w:rsid w:val="008E6C58"/>
    <w:rsid w:val="00900115"/>
    <w:rsid w:val="0090178B"/>
    <w:rsid w:val="00911091"/>
    <w:rsid w:val="00924DCA"/>
    <w:rsid w:val="009259A7"/>
    <w:rsid w:val="009278B0"/>
    <w:rsid w:val="009328D7"/>
    <w:rsid w:val="0094517B"/>
    <w:rsid w:val="009661F0"/>
    <w:rsid w:val="009711A4"/>
    <w:rsid w:val="00981524"/>
    <w:rsid w:val="00991062"/>
    <w:rsid w:val="009933B6"/>
    <w:rsid w:val="00994C70"/>
    <w:rsid w:val="009A17EE"/>
    <w:rsid w:val="009A4FDE"/>
    <w:rsid w:val="009A561F"/>
    <w:rsid w:val="009B03B8"/>
    <w:rsid w:val="009B03D4"/>
    <w:rsid w:val="009D35B0"/>
    <w:rsid w:val="009F0AD2"/>
    <w:rsid w:val="009F14E4"/>
    <w:rsid w:val="009F2455"/>
    <w:rsid w:val="00A01EC7"/>
    <w:rsid w:val="00A043C0"/>
    <w:rsid w:val="00A05A7B"/>
    <w:rsid w:val="00A074D9"/>
    <w:rsid w:val="00A10EA7"/>
    <w:rsid w:val="00A1529A"/>
    <w:rsid w:val="00A1774C"/>
    <w:rsid w:val="00A20463"/>
    <w:rsid w:val="00A22EA7"/>
    <w:rsid w:val="00A33826"/>
    <w:rsid w:val="00A343B2"/>
    <w:rsid w:val="00A345EF"/>
    <w:rsid w:val="00A44607"/>
    <w:rsid w:val="00A61CFB"/>
    <w:rsid w:val="00A62BEE"/>
    <w:rsid w:val="00A65A03"/>
    <w:rsid w:val="00A710BA"/>
    <w:rsid w:val="00A81F7D"/>
    <w:rsid w:val="00A83FB0"/>
    <w:rsid w:val="00A9041C"/>
    <w:rsid w:val="00A9384F"/>
    <w:rsid w:val="00AA10CB"/>
    <w:rsid w:val="00AA667D"/>
    <w:rsid w:val="00AB584D"/>
    <w:rsid w:val="00AB67B5"/>
    <w:rsid w:val="00AC043B"/>
    <w:rsid w:val="00AC2D3B"/>
    <w:rsid w:val="00AC60A6"/>
    <w:rsid w:val="00AC7757"/>
    <w:rsid w:val="00AE5005"/>
    <w:rsid w:val="00AF1179"/>
    <w:rsid w:val="00B0051B"/>
    <w:rsid w:val="00B00DE1"/>
    <w:rsid w:val="00B07804"/>
    <w:rsid w:val="00B21ECD"/>
    <w:rsid w:val="00B22930"/>
    <w:rsid w:val="00B27788"/>
    <w:rsid w:val="00B27AAA"/>
    <w:rsid w:val="00B447FB"/>
    <w:rsid w:val="00B45527"/>
    <w:rsid w:val="00B4631C"/>
    <w:rsid w:val="00B5089D"/>
    <w:rsid w:val="00B563B1"/>
    <w:rsid w:val="00B57852"/>
    <w:rsid w:val="00B57FD1"/>
    <w:rsid w:val="00B640E7"/>
    <w:rsid w:val="00B6565E"/>
    <w:rsid w:val="00B66C52"/>
    <w:rsid w:val="00B67295"/>
    <w:rsid w:val="00B67465"/>
    <w:rsid w:val="00B678C5"/>
    <w:rsid w:val="00B82FFB"/>
    <w:rsid w:val="00B8430C"/>
    <w:rsid w:val="00B9304B"/>
    <w:rsid w:val="00BA42E5"/>
    <w:rsid w:val="00BA4918"/>
    <w:rsid w:val="00BB011C"/>
    <w:rsid w:val="00BB337A"/>
    <w:rsid w:val="00BB5F1F"/>
    <w:rsid w:val="00BB70B9"/>
    <w:rsid w:val="00BC304D"/>
    <w:rsid w:val="00BC40B0"/>
    <w:rsid w:val="00BC4726"/>
    <w:rsid w:val="00BE07B0"/>
    <w:rsid w:val="00BE7925"/>
    <w:rsid w:val="00BF1EF6"/>
    <w:rsid w:val="00BF2B03"/>
    <w:rsid w:val="00C01A43"/>
    <w:rsid w:val="00C0489F"/>
    <w:rsid w:val="00C16226"/>
    <w:rsid w:val="00C17C52"/>
    <w:rsid w:val="00C208B0"/>
    <w:rsid w:val="00C227F5"/>
    <w:rsid w:val="00C319F9"/>
    <w:rsid w:val="00C3398E"/>
    <w:rsid w:val="00C40314"/>
    <w:rsid w:val="00C445BD"/>
    <w:rsid w:val="00C44D43"/>
    <w:rsid w:val="00C45A5A"/>
    <w:rsid w:val="00C5149D"/>
    <w:rsid w:val="00C53D53"/>
    <w:rsid w:val="00C553EB"/>
    <w:rsid w:val="00C56C5E"/>
    <w:rsid w:val="00C61426"/>
    <w:rsid w:val="00C7451F"/>
    <w:rsid w:val="00C81763"/>
    <w:rsid w:val="00C81D0A"/>
    <w:rsid w:val="00C85FAD"/>
    <w:rsid w:val="00C95C0E"/>
    <w:rsid w:val="00CA0370"/>
    <w:rsid w:val="00CA77C7"/>
    <w:rsid w:val="00CB03B9"/>
    <w:rsid w:val="00CB0576"/>
    <w:rsid w:val="00CC3DE0"/>
    <w:rsid w:val="00CC4CF8"/>
    <w:rsid w:val="00CC5F23"/>
    <w:rsid w:val="00CD3B16"/>
    <w:rsid w:val="00CD5F0E"/>
    <w:rsid w:val="00CD7519"/>
    <w:rsid w:val="00CE040B"/>
    <w:rsid w:val="00CE6358"/>
    <w:rsid w:val="00CF685B"/>
    <w:rsid w:val="00CF75E8"/>
    <w:rsid w:val="00D01E35"/>
    <w:rsid w:val="00D0362F"/>
    <w:rsid w:val="00D05EEC"/>
    <w:rsid w:val="00D11661"/>
    <w:rsid w:val="00D12C27"/>
    <w:rsid w:val="00D36073"/>
    <w:rsid w:val="00D461BB"/>
    <w:rsid w:val="00D700A4"/>
    <w:rsid w:val="00D901F7"/>
    <w:rsid w:val="00D92E94"/>
    <w:rsid w:val="00D934CD"/>
    <w:rsid w:val="00DA273C"/>
    <w:rsid w:val="00DA3457"/>
    <w:rsid w:val="00DA772C"/>
    <w:rsid w:val="00DA7E0C"/>
    <w:rsid w:val="00DA7F79"/>
    <w:rsid w:val="00DB65C3"/>
    <w:rsid w:val="00DB7D83"/>
    <w:rsid w:val="00DC1F55"/>
    <w:rsid w:val="00DD3F16"/>
    <w:rsid w:val="00DE0491"/>
    <w:rsid w:val="00DE3A25"/>
    <w:rsid w:val="00DE581A"/>
    <w:rsid w:val="00DE708D"/>
    <w:rsid w:val="00DF08D9"/>
    <w:rsid w:val="00DF4354"/>
    <w:rsid w:val="00E063B4"/>
    <w:rsid w:val="00E06437"/>
    <w:rsid w:val="00E070DF"/>
    <w:rsid w:val="00E0763E"/>
    <w:rsid w:val="00E1020B"/>
    <w:rsid w:val="00E13030"/>
    <w:rsid w:val="00E25801"/>
    <w:rsid w:val="00E34CAE"/>
    <w:rsid w:val="00E448CD"/>
    <w:rsid w:val="00E450C1"/>
    <w:rsid w:val="00E476F5"/>
    <w:rsid w:val="00E50902"/>
    <w:rsid w:val="00E52EB6"/>
    <w:rsid w:val="00E6019E"/>
    <w:rsid w:val="00E60470"/>
    <w:rsid w:val="00E63C1A"/>
    <w:rsid w:val="00E720AE"/>
    <w:rsid w:val="00E73BBC"/>
    <w:rsid w:val="00E75297"/>
    <w:rsid w:val="00E82F50"/>
    <w:rsid w:val="00E82F9E"/>
    <w:rsid w:val="00E85E67"/>
    <w:rsid w:val="00E87605"/>
    <w:rsid w:val="00E91E6F"/>
    <w:rsid w:val="00E96140"/>
    <w:rsid w:val="00E97E26"/>
    <w:rsid w:val="00EA1BAD"/>
    <w:rsid w:val="00EB302C"/>
    <w:rsid w:val="00EB4AA3"/>
    <w:rsid w:val="00EB59B6"/>
    <w:rsid w:val="00EC6186"/>
    <w:rsid w:val="00EC7044"/>
    <w:rsid w:val="00ED623B"/>
    <w:rsid w:val="00EE1810"/>
    <w:rsid w:val="00EE2FEA"/>
    <w:rsid w:val="00EE6D04"/>
    <w:rsid w:val="00EE6EAE"/>
    <w:rsid w:val="00EF593A"/>
    <w:rsid w:val="00EF5CEE"/>
    <w:rsid w:val="00F12265"/>
    <w:rsid w:val="00F20731"/>
    <w:rsid w:val="00F24620"/>
    <w:rsid w:val="00F2619D"/>
    <w:rsid w:val="00F353DA"/>
    <w:rsid w:val="00F36B3C"/>
    <w:rsid w:val="00F42583"/>
    <w:rsid w:val="00F42F9B"/>
    <w:rsid w:val="00F435E0"/>
    <w:rsid w:val="00F50C3F"/>
    <w:rsid w:val="00F54582"/>
    <w:rsid w:val="00F549F7"/>
    <w:rsid w:val="00F61687"/>
    <w:rsid w:val="00F65360"/>
    <w:rsid w:val="00F7375E"/>
    <w:rsid w:val="00F76DA5"/>
    <w:rsid w:val="00F840A0"/>
    <w:rsid w:val="00F86D51"/>
    <w:rsid w:val="00F871A3"/>
    <w:rsid w:val="00F875C1"/>
    <w:rsid w:val="00F92E21"/>
    <w:rsid w:val="00F9505A"/>
    <w:rsid w:val="00F9565B"/>
    <w:rsid w:val="00FA2914"/>
    <w:rsid w:val="00FC14BA"/>
    <w:rsid w:val="00FC301F"/>
    <w:rsid w:val="00FC35CA"/>
    <w:rsid w:val="00FC3EB0"/>
    <w:rsid w:val="00FD000F"/>
    <w:rsid w:val="00FE0DB6"/>
    <w:rsid w:val="00FE2596"/>
    <w:rsid w:val="00FE626E"/>
    <w:rsid w:val="00FE7B4B"/>
    <w:rsid w:val="00FF2B17"/>
    <w:rsid w:val="00FF3426"/>
    <w:rsid w:val="00FF569A"/>
    <w:rsid w:val="3934E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5DE36"/>
  <w15:docId w15:val="{bbde64dd-6fd4-4c0c-a06f-ee518b009d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eastAsia="MS Mincho" w:ascii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styleId="Normal" w:default="1">
    <w:name w:val="Normal"/>
    <w:qFormat/>
  </w:style>
  <w:style w:type="paragraph" w:styleId="Heading5">
    <w:name w:val="heading 5"/>
    <w:basedOn w:val="Normal"/>
    <w:next w:val="Normal"/>
    <w:link w:val="Heading5Char"/>
    <w:uiPriority w:val="9"/>
    <w:semiHidden/>
    <w:unhideWhenUsed/>
    <w:qFormat/>
    <w:rsid w:val="00A9384F"/>
    <w:pPr>
      <w:keepNext/>
      <w:keepLines/>
      <w:numPr>
        <w:ilvl w:val="4"/>
        <w:numId w:val="2"/>
      </w:numPr>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A9384F"/>
    <w:pPr>
      <w:keepNext/>
      <w:keepLines/>
      <w:numPr>
        <w:ilvl w:val="5"/>
        <w:numId w:val="2"/>
      </w:numPr>
      <w:spacing w:before="200" w:after="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nhideWhenUsed/>
    <w:qFormat/>
    <w:rsid w:val="00A9384F"/>
    <w:pPr>
      <w:keepNext/>
      <w:keepLines/>
      <w:numPr>
        <w:ilvl w:val="6"/>
        <w:numId w:val="2"/>
      </w:numPr>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nhideWhenUsed/>
    <w:qFormat/>
    <w:rsid w:val="00A9384F"/>
    <w:pPr>
      <w:keepNext/>
      <w:keepLines/>
      <w:numPr>
        <w:ilvl w:val="7"/>
        <w:numId w:val="2"/>
      </w:numPr>
      <w:spacing w:before="200" w:after="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nhideWhenUsed/>
    <w:qFormat/>
    <w:rsid w:val="00A9384F"/>
    <w:pPr>
      <w:keepNext/>
      <w:keepLines/>
      <w:numPr>
        <w:ilvl w:val="8"/>
        <w:numId w:val="2"/>
      </w:numPr>
      <w:spacing w:before="200" w:after="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hapter" w:customStyle="1">
    <w:name w:val="Chapter"/>
    <w:basedOn w:val="Normal"/>
    <w:next w:val="Normal"/>
    <w:link w:val="ChapterChar"/>
    <w:qFormat/>
    <w:rsid w:val="00A9384F"/>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styleId="ChapterChar" w:customStyle="1">
    <w:name w:val="Chapter Char"/>
    <w:basedOn w:val="DefaultParagraphFont"/>
    <w:link w:val="Chapter"/>
    <w:rsid w:val="00A9384F"/>
    <w:rPr>
      <w:rFonts w:ascii="Times New Roman" w:hAnsi="Times New Roman" w:cs="Times New Roman"/>
      <w:b/>
      <w:smallCaps/>
      <w:sz w:val="24"/>
    </w:rPr>
  </w:style>
  <w:style w:type="paragraph" w:styleId="FirstHeading" w:customStyle="1">
    <w:name w:val="FirstHeading"/>
    <w:basedOn w:val="Normal"/>
    <w:next w:val="Normal"/>
    <w:link w:val="FirstHeadingChar"/>
    <w:rsid w:val="00A9384F"/>
    <w:pPr>
      <w:keepNext/>
      <w:numPr>
        <w:numId w:val="2"/>
      </w:numPr>
      <w:tabs>
        <w:tab w:val="left" w:pos="0"/>
        <w:tab w:val="left" w:pos="86"/>
      </w:tabs>
      <w:spacing w:before="120" w:after="120" w:line="240" w:lineRule="auto"/>
    </w:pPr>
    <w:rPr>
      <w:rFonts w:ascii="Times New Roman" w:hAnsi="Times New Roman" w:cs="Times New Roman"/>
      <w:b/>
      <w:sz w:val="24"/>
    </w:rPr>
  </w:style>
  <w:style w:type="character" w:styleId="FirstHeadingChar" w:customStyle="1">
    <w:name w:val="FirstHeading Char"/>
    <w:basedOn w:val="DefaultParagraphFont"/>
    <w:link w:val="FirstHeading"/>
    <w:rsid w:val="00A9384F"/>
    <w:rPr>
      <w:rFonts w:ascii="Times New Roman" w:hAnsi="Times New Roman" w:cs="Times New Roman"/>
      <w:b/>
      <w:sz w:val="24"/>
    </w:rPr>
  </w:style>
  <w:style w:type="paragraph" w:styleId="SecHeading" w:customStyle="1">
    <w:name w:val="SecHeading"/>
    <w:basedOn w:val="Normal"/>
    <w:next w:val="Paragraph"/>
    <w:link w:val="SecHeadingChar"/>
    <w:rsid w:val="00A9384F"/>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styleId="SecHeadingChar" w:customStyle="1">
    <w:name w:val="SecHeading Char"/>
    <w:basedOn w:val="DefaultParagraphFont"/>
    <w:link w:val="SecHeading"/>
    <w:rsid w:val="00A9384F"/>
    <w:rPr>
      <w:rFonts w:ascii="Times New Roman" w:hAnsi="Times New Roman" w:cs="Times New Roman"/>
      <w:b/>
      <w:sz w:val="24"/>
    </w:rPr>
  </w:style>
  <w:style w:type="paragraph" w:styleId="SubHeading1" w:customStyle="1">
    <w:name w:val="SubHeading1"/>
    <w:basedOn w:val="SecHeading"/>
    <w:link w:val="SubHeading1Char"/>
    <w:rsid w:val="00A9384F"/>
    <w:pPr>
      <w:numPr>
        <w:ilvl w:val="2"/>
      </w:numPr>
      <w:tabs>
        <w:tab w:val="clear" w:pos="5976"/>
        <w:tab w:val="num" w:pos="1872"/>
      </w:tabs>
      <w:ind w:left="1872"/>
    </w:pPr>
  </w:style>
  <w:style w:type="character" w:styleId="SubHeading1Char" w:customStyle="1">
    <w:name w:val="SubHeading1 Char"/>
    <w:basedOn w:val="DefaultParagraphFont"/>
    <w:link w:val="SubHeading1"/>
    <w:rsid w:val="00A9384F"/>
    <w:rPr>
      <w:rFonts w:ascii="Times New Roman" w:hAnsi="Times New Roman" w:cs="Times New Roman"/>
      <w:b/>
      <w:sz w:val="24"/>
    </w:rPr>
  </w:style>
  <w:style w:type="paragraph" w:styleId="Subheading2" w:customStyle="1">
    <w:name w:val="Subheading2"/>
    <w:basedOn w:val="SecHeading"/>
    <w:link w:val="Subheading2Char"/>
    <w:rsid w:val="00A9384F"/>
    <w:pPr>
      <w:numPr>
        <w:ilvl w:val="3"/>
      </w:numPr>
      <w:tabs>
        <w:tab w:val="clear" w:pos="6480"/>
        <w:tab w:val="num" w:pos="2376"/>
      </w:tabs>
      <w:ind w:left="2376"/>
    </w:pPr>
  </w:style>
  <w:style w:type="character" w:styleId="Subheading2Char" w:customStyle="1">
    <w:name w:val="Subheading2 Char"/>
    <w:basedOn w:val="DefaultParagraphFont"/>
    <w:link w:val="Subheading2"/>
    <w:rsid w:val="00A9384F"/>
    <w:rPr>
      <w:rFonts w:ascii="Times New Roman" w:hAnsi="Times New Roman" w:cs="Times New Roman"/>
      <w:b/>
      <w:sz w:val="24"/>
    </w:rPr>
  </w:style>
  <w:style w:type="paragraph" w:styleId="Paragraph" w:customStyle="1">
    <w:name w:val="Paragraph"/>
    <w:aliases w:val="paragraph,p,PARAGRAPH,PG,pa,at"/>
    <w:basedOn w:val="BodyTextIndent"/>
    <w:link w:val="ParagraphChar"/>
    <w:qFormat/>
    <w:rsid w:val="00A9384F"/>
    <w:pPr>
      <w:numPr>
        <w:ilvl w:val="1"/>
        <w:numId w:val="1"/>
      </w:numPr>
      <w:spacing w:before="120"/>
      <w:jc w:val="both"/>
      <w:outlineLvl w:val="1"/>
    </w:pPr>
  </w:style>
  <w:style w:type="character" w:styleId="ParagraphChar" w:customStyle="1">
    <w:name w:val="Paragraph Char"/>
    <w:basedOn w:val="DefaultParagraphFont"/>
    <w:link w:val="Paragraph"/>
    <w:rsid w:val="00A9384F"/>
    <w:rPr>
      <w:rFonts w:ascii="Times New Roman" w:hAnsi="Times New Roman" w:cs="Times New Roman"/>
      <w:sz w:val="24"/>
    </w:rPr>
  </w:style>
  <w:style w:type="paragraph" w:styleId="subpar" w:customStyle="1">
    <w:name w:val="subpar"/>
    <w:basedOn w:val="BodyTextIndent3"/>
    <w:link w:val="subparChar"/>
    <w:rsid w:val="00A9384F"/>
    <w:pPr>
      <w:numPr>
        <w:ilvl w:val="2"/>
        <w:numId w:val="1"/>
      </w:numPr>
      <w:spacing w:before="120"/>
      <w:jc w:val="both"/>
      <w:outlineLvl w:val="2"/>
    </w:pPr>
  </w:style>
  <w:style w:type="character" w:styleId="subparChar" w:customStyle="1">
    <w:name w:val="subpar Char"/>
    <w:basedOn w:val="DefaultParagraphFont"/>
    <w:link w:val="subpar"/>
    <w:rsid w:val="00A9384F"/>
    <w:rPr>
      <w:rFonts w:ascii="Times New Roman" w:hAnsi="Times New Roman" w:cs="Times New Roman"/>
      <w:sz w:val="24"/>
      <w:szCs w:val="16"/>
    </w:rPr>
  </w:style>
  <w:style w:type="paragraph" w:styleId="SubSubPar" w:customStyle="1">
    <w:name w:val="SubSubPar"/>
    <w:basedOn w:val="subpar"/>
    <w:link w:val="SubSubParChar"/>
    <w:rsid w:val="00A9384F"/>
    <w:pPr>
      <w:numPr>
        <w:ilvl w:val="3"/>
      </w:numPr>
      <w:tabs>
        <w:tab w:val="clear" w:pos="2736"/>
        <w:tab w:val="left" w:pos="0"/>
        <w:tab w:val="num" w:pos="1296"/>
      </w:tabs>
      <w:ind w:left="1296"/>
    </w:pPr>
  </w:style>
  <w:style w:type="character" w:styleId="SubSubParChar" w:customStyle="1">
    <w:name w:val="SubSubPar Char"/>
    <w:basedOn w:val="DefaultParagraphFont"/>
    <w:link w:val="SubSubPar"/>
    <w:rsid w:val="00A9384F"/>
    <w:rPr>
      <w:rFonts w:ascii="Times New Roman" w:hAnsi="Times New Roman" w:cs="Times New Roman"/>
      <w:sz w:val="24"/>
      <w:szCs w:val="16"/>
    </w:rPr>
  </w:style>
  <w:style w:type="paragraph" w:styleId="Regtable" w:customStyle="1">
    <w:name w:val="Regtable"/>
    <w:basedOn w:val="Normal"/>
    <w:link w:val="RegtableChar"/>
    <w:rsid w:val="00A9384F"/>
    <w:pPr>
      <w:keepLines/>
      <w:framePr w:wrap="around" w:hAnchor="text" w:vAnchor="text" w:y="1"/>
      <w:spacing w:before="20" w:after="20" w:line="240" w:lineRule="auto"/>
    </w:pPr>
    <w:rPr>
      <w:rFonts w:ascii="Times New Roman" w:hAnsi="Times New Roman" w:cs="Times New Roman"/>
      <w:sz w:val="20"/>
    </w:rPr>
  </w:style>
  <w:style w:type="character" w:styleId="RegtableChar" w:customStyle="1">
    <w:name w:val="Regtable Char"/>
    <w:basedOn w:val="DefaultParagraphFont"/>
    <w:link w:val="Regtable"/>
    <w:rsid w:val="00A9384F"/>
    <w:rPr>
      <w:rFonts w:ascii="Times New Roman" w:hAnsi="Times New Roman" w:cs="Times New Roman"/>
      <w:sz w:val="20"/>
    </w:rPr>
  </w:style>
  <w:style w:type="paragraph" w:styleId="TableTitle" w:customStyle="1">
    <w:name w:val="TableTitle"/>
    <w:basedOn w:val="Normal"/>
    <w:link w:val="TableTitleChar"/>
    <w:rsid w:val="00A9384F"/>
    <w:pPr>
      <w:keepNext/>
      <w:framePr w:wrap="around" w:hAnchor="text" w:vAnchor="text" w:y="1"/>
      <w:spacing w:before="20" w:after="20" w:line="240" w:lineRule="auto"/>
      <w:jc w:val="center"/>
    </w:pPr>
    <w:rPr>
      <w:rFonts w:ascii="Times New Roman Bold" w:hAnsi="Times New Roman Bold" w:cs="Times New Roman Bold"/>
      <w:b/>
      <w:spacing w:val="-3"/>
      <w:sz w:val="20"/>
    </w:rPr>
  </w:style>
  <w:style w:type="character" w:styleId="TableTitleChar" w:customStyle="1">
    <w:name w:val="TableTitle Char"/>
    <w:basedOn w:val="DefaultParagraphFont"/>
    <w:link w:val="TableTitle"/>
    <w:rsid w:val="00A9384F"/>
    <w:rPr>
      <w:rFonts w:ascii="Times New Roman Bold" w:hAnsi="Times New Roman Bold" w:cs="Times New Roman Bold"/>
      <w:b/>
      <w:spacing w:val="-3"/>
      <w:sz w:val="20"/>
    </w:rPr>
  </w:style>
  <w:style w:type="character" w:styleId="Heading5Char" w:customStyle="1">
    <w:name w:val="Heading 5 Char"/>
    <w:basedOn w:val="DefaultParagraphFont"/>
    <w:link w:val="Heading5"/>
    <w:uiPriority w:val="9"/>
    <w:semiHidden/>
    <w:rsid w:val="00A9384F"/>
    <w:rPr>
      <w:rFonts w:asciiTheme="majorHAnsi" w:hAnsiTheme="majorHAnsi" w:eastAsiaTheme="majorEastAsia" w:cstheme="majorBidi"/>
      <w:color w:val="243F60" w:themeColor="accent1" w:themeShade="7F"/>
    </w:rPr>
  </w:style>
  <w:style w:type="character" w:styleId="Heading6Char" w:customStyle="1">
    <w:name w:val="Heading 6 Char"/>
    <w:basedOn w:val="DefaultParagraphFont"/>
    <w:link w:val="Heading6"/>
    <w:uiPriority w:val="9"/>
    <w:semiHidden/>
    <w:rsid w:val="00A9384F"/>
    <w:rPr>
      <w:rFonts w:asciiTheme="majorHAnsi" w:hAnsiTheme="majorHAnsi" w:eastAsiaTheme="majorEastAsia" w:cstheme="majorBidi"/>
      <w:i/>
      <w:iCs/>
      <w:color w:val="243F60" w:themeColor="accent1" w:themeShade="7F"/>
    </w:rPr>
  </w:style>
  <w:style w:type="character" w:styleId="Heading7Char" w:customStyle="1">
    <w:name w:val="Heading 7 Char"/>
    <w:basedOn w:val="DefaultParagraphFont"/>
    <w:link w:val="Heading7"/>
    <w:uiPriority w:val="9"/>
    <w:semiHidden/>
    <w:rsid w:val="00A9384F"/>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A9384F"/>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A9384F"/>
    <w:rPr>
      <w:rFonts w:asciiTheme="majorHAnsi" w:hAnsiTheme="majorHAnsi" w:eastAsiaTheme="majorEastAsia"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A9384F"/>
    <w:pPr>
      <w:spacing w:after="120" w:line="240" w:lineRule="auto"/>
      <w:ind w:left="360"/>
    </w:pPr>
    <w:rPr>
      <w:rFonts w:ascii="Times New Roman" w:hAnsi="Times New Roman" w:cs="Times New Roman"/>
      <w:sz w:val="24"/>
    </w:rPr>
  </w:style>
  <w:style w:type="character" w:styleId="BodyTextIndentChar" w:customStyle="1">
    <w:name w:val="Body Text Indent Char"/>
    <w:basedOn w:val="DefaultParagraphFont"/>
    <w:link w:val="BodyTextIndent"/>
    <w:uiPriority w:val="99"/>
    <w:semiHidden/>
    <w:rsid w:val="00A93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9384F"/>
    <w:pPr>
      <w:spacing w:after="120" w:line="240" w:lineRule="auto"/>
      <w:ind w:left="360"/>
    </w:pPr>
    <w:rPr>
      <w:rFonts w:ascii="Times New Roman" w:hAnsi="Times New Roman" w:cs="Times New Roman"/>
      <w:sz w:val="24"/>
      <w:szCs w:val="16"/>
    </w:rPr>
  </w:style>
  <w:style w:type="character" w:styleId="BodyTextIndent3Char" w:customStyle="1">
    <w:name w:val="Body Text Indent 3 Char"/>
    <w:basedOn w:val="DefaultParagraphFont"/>
    <w:link w:val="BodyTextIndent3"/>
    <w:uiPriority w:val="99"/>
    <w:semiHidden/>
    <w:rsid w:val="00A9384F"/>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ADB,single space"/>
    <w:basedOn w:val="Normal"/>
    <w:link w:val="FootnoteTextChar"/>
    <w:uiPriority w:val="99"/>
    <w:unhideWhenUsed/>
    <w:qFormat/>
    <w:rsid w:val="00A9384F"/>
    <w:pPr>
      <w:keepNext/>
      <w:keepLines/>
      <w:spacing w:after="120" w:line="240" w:lineRule="auto"/>
      <w:ind w:left="288" w:hanging="288"/>
      <w:jc w:val="both"/>
    </w:pPr>
    <w:rPr>
      <w:rFonts w:ascii="Times New Roman" w:hAnsi="Times New Roman" w:cs="Times New Roman"/>
      <w:spacing w:val="-3"/>
      <w:sz w:val="20"/>
      <w:szCs w:val="20"/>
    </w:rPr>
  </w:style>
  <w:style w:type="character" w:styleId="FootnoteTextChar" w:customStyle="1">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A9384F"/>
    <w:rPr>
      <w:rFonts w:ascii="Times New Roman" w:hAnsi="Times New Roman" w:cs="Times New Roman"/>
      <w:spacing w:val="-3"/>
      <w:sz w:val="20"/>
      <w:szCs w:val="20"/>
    </w:rPr>
  </w:style>
  <w:style w:type="paragraph" w:styleId="TOC1">
    <w:name w:val="toc 1"/>
    <w:basedOn w:val="Normal"/>
    <w:next w:val="Normal"/>
    <w:autoRedefine/>
    <w:uiPriority w:val="39"/>
    <w:unhideWhenUsed/>
    <w:rsid w:val="00A9384F"/>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A9384F"/>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A9384F"/>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titulo 2,16 Point,Superscript 6 Point,ftref,Fußnotenzeichen DISS,BVI fnr, BVI fnr,Знак сноски 1,referencia nota al pie,FC,Footnote Referencefra,Ref. de nota al pie.,Ref,de nota al pie,Footnote Referencefr,(Ref. de nota al pie)"/>
    <w:basedOn w:val="DefaultParagraphFont"/>
    <w:uiPriority w:val="99"/>
    <w:unhideWhenUsed/>
    <w:qFormat/>
    <w:rsid w:val="001D05D5"/>
    <w:rPr>
      <w:vertAlign w:val="superscript"/>
    </w:rPr>
  </w:style>
  <w:style w:type="table" w:styleId="TableGrid">
    <w:name w:val="Table Grid"/>
    <w:aliases w:val="CALC Tables,Tables for IDB"/>
    <w:basedOn w:val="TableNormal"/>
    <w:uiPriority w:val="59"/>
    <w:rsid w:val="0087291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11825"/>
    <w:pPr>
      <w:tabs>
        <w:tab w:val="center" w:pos="4680"/>
        <w:tab w:val="right" w:pos="9360"/>
      </w:tabs>
      <w:spacing w:after="0" w:line="240" w:lineRule="auto"/>
    </w:pPr>
  </w:style>
  <w:style w:type="character" w:styleId="HeaderChar" w:customStyle="1">
    <w:name w:val="Header Char"/>
    <w:basedOn w:val="DefaultParagraphFont"/>
    <w:link w:val="Header"/>
    <w:uiPriority w:val="99"/>
    <w:rsid w:val="00111825"/>
  </w:style>
  <w:style w:type="paragraph" w:styleId="Footer">
    <w:name w:val="footer"/>
    <w:basedOn w:val="Normal"/>
    <w:link w:val="FooterChar"/>
    <w:uiPriority w:val="99"/>
    <w:unhideWhenUsed/>
    <w:rsid w:val="00111825"/>
    <w:pPr>
      <w:tabs>
        <w:tab w:val="center" w:pos="4680"/>
        <w:tab w:val="right" w:pos="9360"/>
      </w:tabs>
      <w:spacing w:after="0" w:line="240" w:lineRule="auto"/>
    </w:pPr>
  </w:style>
  <w:style w:type="character" w:styleId="FooterChar" w:customStyle="1">
    <w:name w:val="Footer Char"/>
    <w:basedOn w:val="DefaultParagraphFont"/>
    <w:link w:val="Footer"/>
    <w:uiPriority w:val="99"/>
    <w:rsid w:val="00111825"/>
  </w:style>
  <w:style w:type="character" w:styleId="BookTitle">
    <w:name w:val="Book Title"/>
    <w:basedOn w:val="DefaultParagraphFont"/>
    <w:uiPriority w:val="33"/>
    <w:qFormat/>
    <w:rsid w:val="000D5367"/>
    <w:rPr>
      <w:b/>
      <w:bCs/>
      <w:smallCaps/>
      <w:spacing w:val="5"/>
    </w:rPr>
  </w:style>
  <w:style w:type="paragraph" w:styleId="BodyText">
    <w:name w:val="Body Text"/>
    <w:basedOn w:val="Normal"/>
    <w:link w:val="BodyTextChar"/>
    <w:uiPriority w:val="99"/>
    <w:semiHidden/>
    <w:unhideWhenUsed/>
    <w:rsid w:val="000D5367"/>
    <w:pPr>
      <w:spacing w:after="120"/>
    </w:pPr>
    <w:rPr>
      <w:rFonts w:ascii="Calibri" w:hAnsi="Calibri" w:eastAsia="Calibri" w:cs="Times New Roman"/>
    </w:rPr>
  </w:style>
  <w:style w:type="character" w:styleId="BodyTextChar" w:customStyle="1">
    <w:name w:val="Body Text Char"/>
    <w:basedOn w:val="DefaultParagraphFont"/>
    <w:link w:val="BodyText"/>
    <w:uiPriority w:val="99"/>
    <w:semiHidden/>
    <w:rsid w:val="000D5367"/>
    <w:rPr>
      <w:rFonts w:ascii="Calibri" w:hAnsi="Calibri" w:eastAsia="Calibri" w:cs="Times New Roman"/>
    </w:rPr>
  </w:style>
  <w:style w:type="character" w:styleId="Hyperlink">
    <w:name w:val="Hyperlink"/>
    <w:basedOn w:val="DefaultParagraphFont"/>
    <w:uiPriority w:val="99"/>
    <w:unhideWhenUsed/>
    <w:rsid w:val="00F2619D"/>
    <w:rPr>
      <w:color w:val="0000FF" w:themeColor="hyperlink"/>
      <w:u w:val="single"/>
    </w:rPr>
  </w:style>
  <w:style w:type="paragraph" w:styleId="BalloonText">
    <w:name w:val="Balloon Text"/>
    <w:basedOn w:val="Normal"/>
    <w:link w:val="BalloonTextChar"/>
    <w:uiPriority w:val="99"/>
    <w:semiHidden/>
    <w:unhideWhenUsed/>
    <w:rsid w:val="002E606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E6065"/>
    <w:rPr>
      <w:rFonts w:ascii="Tahoma" w:hAnsi="Tahoma" w:cs="Tahoma"/>
      <w:sz w:val="16"/>
      <w:szCs w:val="16"/>
    </w:rPr>
  </w:style>
  <w:style w:type="character" w:styleId="FollowedHyperlink">
    <w:name w:val="FollowedHyperlink"/>
    <w:basedOn w:val="DefaultParagraphFont"/>
    <w:uiPriority w:val="99"/>
    <w:semiHidden/>
    <w:unhideWhenUsed/>
    <w:rsid w:val="00F92E21"/>
    <w:rPr>
      <w:color w:val="800080" w:themeColor="followedHyperlink"/>
      <w:u w:val="single"/>
    </w:rPr>
  </w:style>
  <w:style w:type="paragraph" w:styleId="Newpage" w:customStyle="1">
    <w:name w:val="Newpage"/>
    <w:basedOn w:val="Normal"/>
    <w:rsid w:val="0076055D"/>
    <w:pPr>
      <w:tabs>
        <w:tab w:val="left" w:pos="1440"/>
        <w:tab w:val="left" w:pos="3060"/>
      </w:tabs>
      <w:spacing w:before="120" w:after="0" w:line="240" w:lineRule="auto"/>
      <w:jc w:val="center"/>
    </w:pPr>
    <w:rPr>
      <w:rFonts w:ascii="Arial" w:hAnsi="Arial" w:eastAsia="Times New Roman" w:cs="Arial"/>
      <w:b/>
      <w:smallCaps/>
      <w:sz w:val="24"/>
      <w:szCs w:val="20"/>
      <w:lang w:val="es-ES"/>
    </w:rPr>
  </w:style>
  <w:style w:type="character" w:styleId="PageNumber">
    <w:name w:val="page number"/>
    <w:basedOn w:val="DefaultParagraphFont"/>
    <w:uiPriority w:val="99"/>
    <w:semiHidden/>
    <w:unhideWhenUsed/>
    <w:rsid w:val="00365D3F"/>
  </w:style>
  <w:style w:type="paragraph" w:styleId="p1" w:customStyle="1">
    <w:name w:val="p1"/>
    <w:basedOn w:val="Normal"/>
    <w:rsid w:val="00F76DA5"/>
    <w:pPr>
      <w:spacing w:after="0" w:line="240" w:lineRule="auto"/>
    </w:pPr>
    <w:rPr>
      <w:rFonts w:ascii="Helvetica" w:hAnsi="Helvetica" w:cs="Times New Roman"/>
      <w:sz w:val="15"/>
      <w:szCs w:val="15"/>
    </w:rPr>
  </w:style>
  <w:style w:type="paragraph" w:styleId="p2" w:customStyle="1">
    <w:name w:val="p2"/>
    <w:basedOn w:val="Normal"/>
    <w:rsid w:val="00F76DA5"/>
    <w:pPr>
      <w:spacing w:after="0" w:line="240" w:lineRule="auto"/>
    </w:pPr>
    <w:rPr>
      <w:rFonts w:ascii="Helvetica" w:hAnsi="Helvetica" w:cs="Times New Roman"/>
      <w:sz w:val="14"/>
      <w:szCs w:val="14"/>
    </w:rPr>
  </w:style>
  <w:style w:type="character" w:styleId="apple-converted-space" w:customStyle="1">
    <w:name w:val="apple-converted-space"/>
    <w:basedOn w:val="DefaultParagraphFont"/>
    <w:rsid w:val="00F76DA5"/>
  </w:style>
  <w:style w:type="paragraph" w:styleId="ListParagraph">
    <w:name w:val="List Paragraph"/>
    <w:basedOn w:val="Normal"/>
    <w:link w:val="ListParagraphChar"/>
    <w:uiPriority w:val="34"/>
    <w:qFormat/>
    <w:rsid w:val="002B001B"/>
    <w:pPr>
      <w:ind w:left="720"/>
      <w:contextualSpacing/>
    </w:pPr>
  </w:style>
  <w:style w:type="character" w:styleId="ListParagraphChar" w:customStyle="1">
    <w:name w:val="List Paragraph Char"/>
    <w:link w:val="ListParagraph"/>
    <w:uiPriority w:val="34"/>
    <w:locked/>
    <w:rsid w:val="00B563B1"/>
  </w:style>
  <w:style w:type="character" w:styleId="CommentReference">
    <w:name w:val="annotation reference"/>
    <w:basedOn w:val="DefaultParagraphFont"/>
    <w:uiPriority w:val="99"/>
    <w:semiHidden/>
    <w:unhideWhenUsed/>
    <w:rsid w:val="00000A97"/>
    <w:rPr>
      <w:sz w:val="16"/>
      <w:szCs w:val="16"/>
    </w:rPr>
  </w:style>
  <w:style w:type="paragraph" w:styleId="CommentText">
    <w:name w:val="annotation text"/>
    <w:basedOn w:val="Normal"/>
    <w:link w:val="CommentTextChar"/>
    <w:uiPriority w:val="99"/>
    <w:unhideWhenUsed/>
    <w:rsid w:val="00000A97"/>
    <w:pPr>
      <w:spacing w:line="240" w:lineRule="auto"/>
    </w:pPr>
    <w:rPr>
      <w:sz w:val="20"/>
      <w:szCs w:val="20"/>
    </w:rPr>
  </w:style>
  <w:style w:type="character" w:styleId="CommentTextChar" w:customStyle="1">
    <w:name w:val="Comment Text Char"/>
    <w:basedOn w:val="DefaultParagraphFont"/>
    <w:link w:val="CommentText"/>
    <w:uiPriority w:val="99"/>
    <w:semiHidden/>
    <w:rsid w:val="00000A97"/>
    <w:rPr>
      <w:sz w:val="20"/>
      <w:szCs w:val="20"/>
    </w:rPr>
  </w:style>
  <w:style w:type="paragraph" w:styleId="CommentSubject">
    <w:name w:val="annotation subject"/>
    <w:basedOn w:val="CommentText"/>
    <w:next w:val="CommentText"/>
    <w:link w:val="CommentSubjectChar"/>
    <w:uiPriority w:val="99"/>
    <w:semiHidden/>
    <w:unhideWhenUsed/>
    <w:rsid w:val="00000A97"/>
    <w:rPr>
      <w:b/>
      <w:bCs/>
    </w:rPr>
  </w:style>
  <w:style w:type="character" w:styleId="CommentSubjectChar" w:customStyle="1">
    <w:name w:val="Comment Subject Char"/>
    <w:basedOn w:val="CommentTextChar"/>
    <w:link w:val="CommentSubject"/>
    <w:uiPriority w:val="99"/>
    <w:semiHidden/>
    <w:rsid w:val="00000A97"/>
    <w:rPr>
      <w:b/>
      <w:bCs/>
      <w:sz w:val="20"/>
      <w:szCs w:val="20"/>
    </w:rPr>
  </w:style>
  <w:style w:type="paragraph" w:styleId="Revision">
    <w:name w:val="Revision"/>
    <w:hidden/>
    <w:uiPriority w:val="99"/>
    <w:semiHidden/>
    <w:rsid w:val="000075AC"/>
    <w:pPr>
      <w:spacing w:after="0" w:line="240" w:lineRule="auto"/>
    </w:pPr>
  </w:style>
  <w:style w:type="numbering" w:styleId="WWOutlineListStyle1" w:customStyle="1">
    <w:name w:val="WW_OutlineListStyle_1"/>
    <w:basedOn w:val="NoList"/>
    <w:rsid w:val="00691F7C"/>
    <w:pPr>
      <w:numPr>
        <w:numId w:val="39"/>
      </w:numPr>
    </w:pPr>
  </w:style>
  <w:style w:type="numbering" w:styleId="LFO19" w:customStyle="1">
    <w:name w:val="LFO19"/>
    <w:basedOn w:val="NoList"/>
    <w:rsid w:val="00691F7C"/>
    <w:pPr>
      <w:numPr>
        <w:numId w:val="40"/>
      </w:numPr>
    </w:pPr>
  </w:style>
  <w:style w:type="character" w:styleId="UnresolvedMention">
    <w:name w:val="Unresolved Mention"/>
    <w:basedOn w:val="DefaultParagraphFont"/>
    <w:uiPriority w:val="99"/>
    <w:semiHidden/>
    <w:unhideWhenUsed/>
    <w:rsid w:val="003F7B5F"/>
    <w:rPr>
      <w:color w:val="605E5C"/>
      <w:shd w:val="clear" w:color="auto" w:fill="E1DFDD"/>
    </w:rPr>
  </w:style>
  <w:style w:type="character" w:styleId="ParagraphCar" w:customStyle="1">
    <w:name w:val="Paragraph Car"/>
    <w:basedOn w:val="DefaultParagraphFont"/>
    <w:rsid w:val="00AA667D"/>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93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iadb.org/en/project/UR-T1181" TargetMode="External" Id="rId11" /><Relationship Type="http://schemas.openxmlformats.org/officeDocument/2006/relationships/webSettings" Target="webSettings.xml" Id="rId5" /><Relationship Type="http://schemas.openxmlformats.org/officeDocument/2006/relationships/hyperlink" Target="http://idbdocs.iadb.org/wsdocs/getDocument.aspx?DOCNUM=EZSHARE-1688650711-20" TargetMode="External" Id="rId10" /><Relationship Type="http://schemas.openxmlformats.org/officeDocument/2006/relationships/settings" Target="settings.xml" Id="rId4" /><Relationship Type="http://schemas.openxmlformats.org/officeDocument/2006/relationships/footer" Target="footer2.xml" Id="rId9" /></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1688650711-6" TargetMode="External"/><Relationship Id="rId2" Type="http://schemas.openxmlformats.org/officeDocument/2006/relationships/hyperlink" Target="http://idbdocs.iadb.org/wsdocs/getDocument.aspx?DOCNUM=EZSHARE-1688650711-20" TargetMode="External"/><Relationship Id="rId1" Type="http://schemas.openxmlformats.org/officeDocument/2006/relationships/hyperlink" Target="http://idbdocs.iadb.org/wsdocs/getDocument.aspx?DOCNUM=EZSHARE-168865071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C5AF45-E8D7-46D1-88AF-8741C08AAD9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Fernandez Diez, Maria Carmen</lastModifiedBy>
  <revision>2</revision>
  <dcterms:created xsi:type="dcterms:W3CDTF">2018-11-15T19:57:00.0000000Z</dcterms:created>
  <dcterms:modified xsi:type="dcterms:W3CDTF">2018-11-15T20:52:47.3378560Z</dcterms:modified>
</coreProperties>
</file>