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C0A36" w14:textId="77777777" w:rsidR="0061705B" w:rsidRPr="007E52D4" w:rsidRDefault="004E2916" w:rsidP="00A81707">
      <w:pPr>
        <w:spacing w:after="120"/>
        <w:ind w:right="144"/>
        <w:jc w:val="center"/>
        <w:rPr>
          <w:rFonts w:ascii="Arial Bold" w:hAnsi="Arial Bold" w:cs="Arial"/>
          <w:b/>
          <w:smallCaps/>
          <w:lang w:val="es-ES_tradnl"/>
        </w:rPr>
      </w:pPr>
      <w:bookmarkStart w:id="0" w:name="_GoBack"/>
      <w:bookmarkEnd w:id="0"/>
      <w:r w:rsidRPr="007E52D4">
        <w:rPr>
          <w:rFonts w:ascii="Arial Bold" w:hAnsi="Arial Bold" w:cs="Arial"/>
          <w:b/>
          <w:smallCaps/>
          <w:lang w:val="es-ES_tradnl"/>
        </w:rPr>
        <w:t>Matriz de Medios de Verificación</w:t>
      </w:r>
    </w:p>
    <w:tbl>
      <w:tblPr>
        <w:tblStyle w:val="TableGrid"/>
        <w:tblW w:w="1323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6547"/>
        <w:gridCol w:w="4410"/>
        <w:gridCol w:w="2273"/>
      </w:tblGrid>
      <w:tr w:rsidR="0061705B" w14:paraId="01A9B4A4" w14:textId="77777777" w:rsidTr="53572D26">
        <w:trPr>
          <w:trHeight w:val="20"/>
          <w:tblHeader/>
        </w:trPr>
        <w:tc>
          <w:tcPr>
            <w:tcW w:w="6547" w:type="dxa"/>
            <w:shd w:val="clear" w:color="auto" w:fill="C6D9F1"/>
            <w:vAlign w:val="center"/>
          </w:tcPr>
          <w:p w14:paraId="59951E85" w14:textId="4746B66D" w:rsidR="0061705B" w:rsidRDefault="004E2916" w:rsidP="00A81707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>Condiciones de política</w:t>
            </w:r>
          </w:p>
          <w:p w14:paraId="5002566E" w14:textId="77777777" w:rsidR="0061705B" w:rsidRDefault="004E2916" w:rsidP="00A81707">
            <w:pPr>
              <w:jc w:val="center"/>
              <w:rPr>
                <w:rFonts w:ascii="Arial" w:hAnsi="Arial" w:cs="Arial"/>
                <w:b/>
                <w:smallCaps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>Primera operación programática</w:t>
            </w:r>
          </w:p>
        </w:tc>
        <w:tc>
          <w:tcPr>
            <w:tcW w:w="4410" w:type="dxa"/>
            <w:shd w:val="clear" w:color="auto" w:fill="C6D9F1"/>
            <w:vAlign w:val="center"/>
          </w:tcPr>
          <w:p w14:paraId="503A29C7" w14:textId="7ED15D8B" w:rsidR="0061705B" w:rsidRDefault="004E2916" w:rsidP="00A81707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>Medios de Verificación</w:t>
            </w:r>
          </w:p>
          <w:p w14:paraId="23387E32" w14:textId="77777777" w:rsidR="0061705B" w:rsidRDefault="004E2916" w:rsidP="00A81707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>Primera operación programática</w:t>
            </w:r>
          </w:p>
        </w:tc>
        <w:tc>
          <w:tcPr>
            <w:tcW w:w="2273" w:type="dxa"/>
            <w:shd w:val="clear" w:color="auto" w:fill="C6D9F1"/>
            <w:vAlign w:val="center"/>
          </w:tcPr>
          <w:p w14:paraId="399F6A14" w14:textId="77777777" w:rsidR="0061705B" w:rsidRDefault="004E2916" w:rsidP="00A81707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>Responsable</w:t>
            </w:r>
          </w:p>
        </w:tc>
      </w:tr>
      <w:tr w:rsidR="0061705B" w14:paraId="494EDC82" w14:textId="77777777" w:rsidTr="53572D26">
        <w:trPr>
          <w:trHeight w:val="20"/>
        </w:trPr>
        <w:tc>
          <w:tcPr>
            <w:tcW w:w="10957" w:type="dxa"/>
            <w:gridSpan w:val="2"/>
            <w:shd w:val="clear" w:color="auto" w:fill="C6D9F1"/>
            <w:vAlign w:val="center"/>
          </w:tcPr>
          <w:p w14:paraId="737A65AD" w14:textId="77777777" w:rsidR="0061705B" w:rsidRDefault="004E2916" w:rsidP="00A81707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>Componente I - Estabilidad Macroeconómica</w:t>
            </w:r>
          </w:p>
        </w:tc>
        <w:tc>
          <w:tcPr>
            <w:tcW w:w="2273" w:type="dxa"/>
            <w:shd w:val="clear" w:color="auto" w:fill="C6D9F1"/>
            <w:vAlign w:val="center"/>
          </w:tcPr>
          <w:p w14:paraId="672A6659" w14:textId="77777777" w:rsidR="0061705B" w:rsidRDefault="0061705B" w:rsidP="00A81707">
            <w:pPr>
              <w:rPr>
                <w:rFonts w:ascii="Arial" w:hAnsi="Arial" w:cs="Arial"/>
                <w:b/>
                <w:sz w:val="20"/>
                <w:lang w:val="es-ES"/>
              </w:rPr>
            </w:pPr>
          </w:p>
        </w:tc>
      </w:tr>
      <w:tr w:rsidR="0061705B" w:rsidRPr="00D12941" w14:paraId="2008ED34" w14:textId="77777777" w:rsidTr="53572D26">
        <w:trPr>
          <w:trHeight w:val="20"/>
        </w:trPr>
        <w:tc>
          <w:tcPr>
            <w:tcW w:w="6547" w:type="dxa"/>
          </w:tcPr>
          <w:p w14:paraId="7F8B8DDD" w14:textId="77777777" w:rsidR="0061705B" w:rsidRDefault="004E2916" w:rsidP="00A81707">
            <w:pPr>
              <w:pStyle w:val="ListParagraph"/>
              <w:numPr>
                <w:ilvl w:val="1"/>
                <w:numId w:val="1"/>
              </w:numPr>
              <w:tabs>
                <w:tab w:val="center" w:pos="4320"/>
                <w:tab w:val="right" w:pos="8640"/>
              </w:tabs>
              <w:contextualSpacing w:val="0"/>
              <w:rPr>
                <w:rFonts w:ascii="Arial" w:hAnsi="Arial" w:cs="Arial"/>
                <w:color w:val="000000"/>
                <w:sz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lang w:val="es-ES"/>
              </w:rPr>
              <w:t>Mantenimiento de un marco de políticas macroeconómicas apropiado y consistente con los objetivos del Programa según establecido en la matriz de políticas.</w:t>
            </w:r>
          </w:p>
        </w:tc>
        <w:tc>
          <w:tcPr>
            <w:tcW w:w="4410" w:type="dxa"/>
          </w:tcPr>
          <w:p w14:paraId="2E06D5BE" w14:textId="052A48E5" w:rsidR="0061705B" w:rsidRDefault="004E2916" w:rsidP="00A81707">
            <w:pPr>
              <w:pStyle w:val="ListParagraph"/>
              <w:numPr>
                <w:ilvl w:val="0"/>
                <w:numId w:val="6"/>
              </w:numPr>
              <w:ind w:left="348"/>
              <w:contextualSpacing w:val="0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lang w:val="es-ES"/>
              </w:rPr>
              <w:t>Informe de Evaluación Independiente de Condiciones Macroeconómicas (IAMC)</w:t>
            </w:r>
            <w:r w:rsidR="0080701D">
              <w:rPr>
                <w:rFonts w:ascii="Arial" w:hAnsi="Arial" w:cs="Arial"/>
                <w:color w:val="000000"/>
                <w:sz w:val="20"/>
                <w:lang w:val="es-ES"/>
              </w:rPr>
              <w:t xml:space="preserve"> del BID</w:t>
            </w:r>
            <w:r>
              <w:rPr>
                <w:rFonts w:ascii="Arial" w:hAnsi="Arial" w:cs="Arial"/>
                <w:color w:val="000000"/>
                <w:sz w:val="20"/>
                <w:lang w:val="es-ES"/>
              </w:rPr>
              <w:t>.</w:t>
            </w:r>
          </w:p>
        </w:tc>
        <w:tc>
          <w:tcPr>
            <w:tcW w:w="2273" w:type="dxa"/>
          </w:tcPr>
          <w:p w14:paraId="6DD57BD2" w14:textId="644716C0" w:rsidR="0061705B" w:rsidRPr="00A81707" w:rsidRDefault="00D86532" w:rsidP="00A81707">
            <w:pPr>
              <w:rPr>
                <w:rFonts w:ascii="Arial" w:hAnsi="Arial" w:cs="Arial"/>
                <w:sz w:val="20"/>
                <w:lang w:val="es-CR"/>
              </w:rPr>
            </w:pPr>
            <w:r>
              <w:rPr>
                <w:rFonts w:ascii="Arial" w:hAnsi="Arial" w:cs="Arial"/>
                <w:sz w:val="20"/>
                <w:lang w:val="es-ES"/>
              </w:rPr>
              <w:t>Ministerio de Hacienda (</w:t>
            </w:r>
            <w:r w:rsidR="0080701D">
              <w:rPr>
                <w:rFonts w:ascii="Arial" w:hAnsi="Arial" w:cs="Arial"/>
                <w:sz w:val="20"/>
                <w:lang w:val="es-ES"/>
              </w:rPr>
              <w:t>condición de política</w:t>
            </w:r>
            <w:r>
              <w:rPr>
                <w:rFonts w:ascii="Arial" w:hAnsi="Arial" w:cs="Arial"/>
                <w:sz w:val="20"/>
                <w:lang w:val="es-ES"/>
              </w:rPr>
              <w:t xml:space="preserve">) </w:t>
            </w:r>
          </w:p>
        </w:tc>
      </w:tr>
      <w:tr w:rsidR="0061705B" w:rsidRPr="00D12941" w14:paraId="701A5C6E" w14:textId="77777777" w:rsidTr="53572D26">
        <w:trPr>
          <w:trHeight w:val="20"/>
        </w:trPr>
        <w:tc>
          <w:tcPr>
            <w:tcW w:w="10957" w:type="dxa"/>
            <w:gridSpan w:val="2"/>
            <w:shd w:val="clear" w:color="auto" w:fill="C6D9F1"/>
            <w:vAlign w:val="center"/>
          </w:tcPr>
          <w:p w14:paraId="3D0A4B88" w14:textId="3E34CD25" w:rsidR="0061705B" w:rsidRDefault="004E2916" w:rsidP="00A81707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 xml:space="preserve">Componente II – </w:t>
            </w:r>
            <w:r w:rsidR="00A41FD8" w:rsidRPr="00705EBF">
              <w:rPr>
                <w:rFonts w:ascii="Arial" w:hAnsi="Arial" w:cs="Arial"/>
                <w:b/>
                <w:bCs/>
                <w:sz w:val="20"/>
                <w:lang w:val="es-CR"/>
              </w:rPr>
              <w:t>Reformas de Políticas y Gestión de Gastos e Ingresos</w:t>
            </w:r>
          </w:p>
        </w:tc>
        <w:tc>
          <w:tcPr>
            <w:tcW w:w="2273" w:type="dxa"/>
            <w:shd w:val="clear" w:color="auto" w:fill="C6D9F1"/>
            <w:vAlign w:val="center"/>
          </w:tcPr>
          <w:p w14:paraId="0A37501D" w14:textId="77777777" w:rsidR="0061705B" w:rsidRDefault="0061705B" w:rsidP="00A81707">
            <w:pPr>
              <w:rPr>
                <w:rFonts w:ascii="Arial" w:hAnsi="Arial" w:cs="Arial"/>
                <w:b/>
                <w:sz w:val="20"/>
                <w:lang w:val="es-ES"/>
              </w:rPr>
            </w:pPr>
          </w:p>
        </w:tc>
      </w:tr>
      <w:tr w:rsidR="0061705B" w:rsidRPr="00D12941" w14:paraId="1A1D62F0" w14:textId="77777777" w:rsidTr="53572D26">
        <w:trPr>
          <w:trHeight w:val="20"/>
        </w:trPr>
        <w:tc>
          <w:tcPr>
            <w:tcW w:w="10957" w:type="dxa"/>
            <w:gridSpan w:val="2"/>
            <w:shd w:val="clear" w:color="auto" w:fill="auto"/>
            <w:vAlign w:val="center"/>
          </w:tcPr>
          <w:p w14:paraId="6694AE2B" w14:textId="441A6AD0" w:rsidR="0061705B" w:rsidRPr="00D36571" w:rsidRDefault="00F01391" w:rsidP="00A81707">
            <w:pPr>
              <w:rPr>
                <w:rFonts w:ascii="Arial" w:hAnsi="Arial" w:cs="Arial"/>
                <w:sz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 xml:space="preserve">a. </w:t>
            </w:r>
            <w:r w:rsidR="00F02A07">
              <w:rPr>
                <w:rFonts w:ascii="Arial" w:hAnsi="Arial" w:cs="Arial"/>
                <w:b/>
                <w:sz w:val="20"/>
                <w:lang w:val="es-ES"/>
              </w:rPr>
              <w:t>M</w:t>
            </w:r>
            <w:r w:rsidR="00E90FDE">
              <w:rPr>
                <w:rFonts w:ascii="Arial" w:hAnsi="Arial" w:cs="Arial"/>
                <w:b/>
                <w:sz w:val="20"/>
                <w:lang w:val="es-ES"/>
              </w:rPr>
              <w:t>ejora del m</w:t>
            </w:r>
            <w:r w:rsidR="00F02A07">
              <w:rPr>
                <w:rFonts w:ascii="Arial" w:hAnsi="Arial" w:cs="Arial"/>
                <w:b/>
                <w:sz w:val="20"/>
                <w:lang w:val="es-ES"/>
              </w:rPr>
              <w:t xml:space="preserve">arco </w:t>
            </w:r>
            <w:r w:rsidR="00F7206F">
              <w:rPr>
                <w:rFonts w:ascii="Arial" w:hAnsi="Arial" w:cs="Arial"/>
                <w:b/>
                <w:sz w:val="20"/>
                <w:lang w:val="es-ES"/>
              </w:rPr>
              <w:t>i</w:t>
            </w:r>
            <w:r w:rsidR="00F02A07">
              <w:rPr>
                <w:rFonts w:ascii="Arial" w:hAnsi="Arial" w:cs="Arial"/>
                <w:b/>
                <w:sz w:val="20"/>
                <w:lang w:val="es-ES"/>
              </w:rPr>
              <w:t xml:space="preserve">nstitucional </w:t>
            </w:r>
            <w:r w:rsidR="00F7206F">
              <w:rPr>
                <w:rFonts w:ascii="Arial" w:hAnsi="Arial" w:cs="Arial"/>
                <w:b/>
                <w:sz w:val="20"/>
                <w:lang w:val="es-ES"/>
              </w:rPr>
              <w:t>m</w:t>
            </w:r>
            <w:r w:rsidR="00D54DF7">
              <w:rPr>
                <w:rFonts w:ascii="Arial" w:hAnsi="Arial" w:cs="Arial"/>
                <w:b/>
                <w:sz w:val="20"/>
                <w:lang w:val="es-ES"/>
              </w:rPr>
              <w:t>acrofiscal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A05A809" w14:textId="77777777" w:rsidR="0061705B" w:rsidRPr="00D36571" w:rsidRDefault="0061705B" w:rsidP="00A81707">
            <w:pPr>
              <w:rPr>
                <w:rFonts w:ascii="Arial" w:hAnsi="Arial" w:cs="Arial"/>
                <w:b/>
                <w:sz w:val="20"/>
                <w:highlight w:val="yellow"/>
                <w:lang w:val="es-ES"/>
              </w:rPr>
            </w:pPr>
          </w:p>
        </w:tc>
      </w:tr>
      <w:tr w:rsidR="0061705B" w:rsidRPr="00D36571" w14:paraId="5D341B39" w14:textId="77777777" w:rsidTr="53572D26">
        <w:trPr>
          <w:trHeight w:val="20"/>
        </w:trPr>
        <w:tc>
          <w:tcPr>
            <w:tcW w:w="6547" w:type="dxa"/>
          </w:tcPr>
          <w:p w14:paraId="2CDFD74A" w14:textId="4873810C" w:rsidR="002B1F6B" w:rsidRDefault="002B1F6B" w:rsidP="00A81707">
            <w:pPr>
              <w:pStyle w:val="ListParagraph"/>
              <w:numPr>
                <w:ilvl w:val="1"/>
                <w:numId w:val="18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>Aprobación de una Regla Fiscal</w:t>
            </w:r>
            <w:r w:rsidR="00E90FDE">
              <w:rPr>
                <w:rFonts w:ascii="Arial" w:hAnsi="Arial" w:cs="Arial"/>
                <w:color w:val="000000"/>
                <w:sz w:val="20"/>
                <w:lang w:val="es-CR"/>
              </w:rPr>
              <w:t xml:space="preserve"> (Ley de Fortalecimiento de las Finanzas Públicas)</w:t>
            </w: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 xml:space="preserve"> para el control del gasto, que incluya:</w:t>
            </w:r>
          </w:p>
          <w:p w14:paraId="122A7737" w14:textId="77777777" w:rsidR="007D628E" w:rsidRPr="009133AD" w:rsidRDefault="007D628E" w:rsidP="00A81707">
            <w:pPr>
              <w:pStyle w:val="ListParagraph"/>
              <w:tabs>
                <w:tab w:val="center" w:pos="4320"/>
                <w:tab w:val="right" w:pos="8640"/>
              </w:tabs>
              <w:spacing w:before="60"/>
              <w:ind w:left="360"/>
              <w:rPr>
                <w:rFonts w:ascii="Arial" w:hAnsi="Arial" w:cs="Arial"/>
                <w:color w:val="000000"/>
                <w:sz w:val="20"/>
                <w:lang w:val="es-CR"/>
              </w:rPr>
            </w:pPr>
          </w:p>
          <w:p w14:paraId="2252F58C" w14:textId="77777777" w:rsidR="002B1F6B" w:rsidRPr="00C866FD" w:rsidRDefault="002B1F6B" w:rsidP="00A81707">
            <w:pPr>
              <w:pStyle w:val="ListParagraph"/>
              <w:numPr>
                <w:ilvl w:val="0"/>
                <w:numId w:val="12"/>
              </w:numPr>
              <w:ind w:left="67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 xml:space="preserve">Control del crecimiento del gasto corriente, en función del endeudamiento y el crecimiento económico (mediano plazo). </w:t>
            </w:r>
          </w:p>
          <w:p w14:paraId="63A2B028" w14:textId="49B88803" w:rsidR="002B1F6B" w:rsidRPr="00C866FD" w:rsidRDefault="002B1F6B" w:rsidP="00A81707">
            <w:pPr>
              <w:pStyle w:val="ListParagraph"/>
              <w:numPr>
                <w:ilvl w:val="0"/>
                <w:numId w:val="12"/>
              </w:numPr>
              <w:tabs>
                <w:tab w:val="center" w:pos="4320"/>
                <w:tab w:val="right" w:pos="8640"/>
              </w:tabs>
              <w:spacing w:before="60"/>
              <w:ind w:left="67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La cobertura a todo el sector público no financi</w:t>
            </w: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>ero</w:t>
            </w:r>
            <w:r w:rsidRPr="009133AD">
              <w:rPr>
                <w:rFonts w:ascii="Arial" w:hAnsi="Arial" w:cs="Arial"/>
                <w:color w:val="000000"/>
                <w:sz w:val="20"/>
                <w:vertAlign w:val="superscript"/>
              </w:rPr>
              <w:footnoteReference w:id="2"/>
            </w:r>
            <w:r w:rsidR="00A81707">
              <w:rPr>
                <w:rFonts w:ascii="Arial" w:hAnsi="Arial" w:cs="Arial"/>
                <w:color w:val="000000"/>
                <w:sz w:val="20"/>
                <w:lang w:val="es-CR"/>
              </w:rPr>
              <w:t>.</w:t>
            </w:r>
          </w:p>
          <w:p w14:paraId="05633D00" w14:textId="77777777" w:rsidR="0061705B" w:rsidRDefault="002B1F6B" w:rsidP="00A81707">
            <w:pPr>
              <w:pStyle w:val="ListParagraph"/>
              <w:numPr>
                <w:ilvl w:val="0"/>
                <w:numId w:val="12"/>
              </w:numPr>
              <w:ind w:left="67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 xml:space="preserve">Presentación de un marco fiscal de mediano plazo congruente con la regla fiscal y las mejores prácticas internacionales. </w:t>
            </w:r>
          </w:p>
          <w:p w14:paraId="319B61E3" w14:textId="52C6B186" w:rsidR="00D54DF7" w:rsidRPr="006C617A" w:rsidRDefault="00D54DF7" w:rsidP="00A81707">
            <w:pPr>
              <w:pStyle w:val="ListParagraph"/>
              <w:numPr>
                <w:ilvl w:val="0"/>
                <w:numId w:val="12"/>
              </w:numPr>
              <w:ind w:left="67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>
              <w:rPr>
                <w:rFonts w:ascii="Arial" w:hAnsi="Arial" w:cs="Arial"/>
                <w:color w:val="000000"/>
                <w:sz w:val="20"/>
                <w:lang w:val="es-CR"/>
              </w:rPr>
              <w:t xml:space="preserve">Cláusulas de escape bien definidas para situaciones excepcionales y mecanismos de corrección. </w:t>
            </w:r>
          </w:p>
        </w:tc>
        <w:tc>
          <w:tcPr>
            <w:tcW w:w="4410" w:type="dxa"/>
          </w:tcPr>
          <w:p w14:paraId="309B5820" w14:textId="5B896C0B" w:rsidR="006C617A" w:rsidRPr="009133AD" w:rsidRDefault="006C617A" w:rsidP="00A81707">
            <w:pPr>
              <w:pStyle w:val="ListParagraph"/>
              <w:numPr>
                <w:ilvl w:val="1"/>
                <w:numId w:val="19"/>
              </w:numPr>
              <w:spacing w:after="60"/>
              <w:rPr>
                <w:rFonts w:ascii="Arial" w:hAnsi="Arial" w:cs="Arial"/>
                <w:sz w:val="20"/>
                <w:lang w:val="es-ES"/>
              </w:rPr>
            </w:pPr>
            <w:r w:rsidRPr="009133AD">
              <w:rPr>
                <w:rFonts w:ascii="Arial" w:hAnsi="Arial" w:cs="Arial"/>
                <w:sz w:val="20"/>
                <w:lang w:val="es-MX"/>
              </w:rPr>
              <w:t xml:space="preserve">Publicación en el Diario Oficial La Gaceta de la Ley de Fortalecimiento de las Finanzas Públicas. </w:t>
            </w:r>
            <w:r w:rsidR="001B3CCA">
              <w:fldChar w:fldCharType="begin"/>
            </w:r>
            <w:r w:rsidR="001B3CCA" w:rsidRPr="00D12941">
              <w:rPr>
                <w:lang w:val="es-US"/>
              </w:rPr>
              <w:instrText xml:space="preserve"> HYPERLINK "https://www.hacienda.go.cr/docs/5c07dd2965e11_ALCA202_04_12_2018.pdf" </w:instrText>
            </w:r>
            <w:r w:rsidR="001B3CCA">
              <w:fldChar w:fldCharType="separate"/>
            </w:r>
            <w:r w:rsidRPr="00D54DF7">
              <w:rPr>
                <w:rStyle w:val="Hyperlink"/>
                <w:rFonts w:ascii="Arial" w:hAnsi="Arial" w:cs="Arial"/>
                <w:sz w:val="20"/>
                <w:lang w:val="es-MX"/>
              </w:rPr>
              <w:t>Enlace</w:t>
            </w:r>
            <w:r w:rsidR="001B3CCA">
              <w:rPr>
                <w:rStyle w:val="Hyperlink"/>
                <w:rFonts w:ascii="Arial" w:hAnsi="Arial" w:cs="Arial"/>
                <w:sz w:val="20"/>
                <w:lang w:val="es-MX"/>
              </w:rPr>
              <w:fldChar w:fldCharType="end"/>
            </w:r>
            <w:r w:rsidRPr="009133AD">
              <w:rPr>
                <w:rFonts w:ascii="Arial" w:hAnsi="Arial" w:cs="Arial"/>
                <w:sz w:val="20"/>
                <w:lang w:val="es-MX"/>
              </w:rPr>
              <w:t xml:space="preserve">. </w:t>
            </w:r>
          </w:p>
          <w:p w14:paraId="5B22FF02" w14:textId="11016430" w:rsidR="0061705B" w:rsidRPr="006C617A" w:rsidRDefault="0061705B" w:rsidP="00A81707">
            <w:p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sz w:val="20"/>
                <w:highlight w:val="yellow"/>
                <w:lang w:val="es-ES"/>
              </w:rPr>
            </w:pPr>
          </w:p>
        </w:tc>
        <w:tc>
          <w:tcPr>
            <w:tcW w:w="2273" w:type="dxa"/>
          </w:tcPr>
          <w:p w14:paraId="5A39BBE3" w14:textId="7611BDCE" w:rsidR="0061705B" w:rsidRPr="00D36571" w:rsidRDefault="00625EE9" w:rsidP="00A81707">
            <w:pPr>
              <w:pStyle w:val="ListParagraph"/>
              <w:spacing w:before="60" w:after="60"/>
              <w:ind w:left="70" w:hanging="70"/>
              <w:contextualSpacing w:val="0"/>
              <w:rPr>
                <w:rFonts w:ascii="Arial" w:hAnsi="Arial" w:cs="Arial"/>
                <w:sz w:val="20"/>
                <w:highlight w:val="yellow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Poder Ejecutivo</w:t>
            </w:r>
          </w:p>
        </w:tc>
      </w:tr>
      <w:tr w:rsidR="006C617A" w:rsidRPr="00D36571" w14:paraId="12B88DB4" w14:textId="77777777" w:rsidTr="53572D26">
        <w:trPr>
          <w:trHeight w:val="20"/>
        </w:trPr>
        <w:tc>
          <w:tcPr>
            <w:tcW w:w="6547" w:type="dxa"/>
          </w:tcPr>
          <w:p w14:paraId="1A3612A5" w14:textId="68C58EDB" w:rsidR="006C617A" w:rsidRDefault="006C617A" w:rsidP="00A81707">
            <w:pPr>
              <w:pStyle w:val="ListParagraph"/>
              <w:numPr>
                <w:ilvl w:val="1"/>
                <w:numId w:val="19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>Propuesta de diseño de un Consejo Fiscal Independiente</w:t>
            </w:r>
            <w:r w:rsidR="00D86532">
              <w:rPr>
                <w:rFonts w:ascii="Arial" w:hAnsi="Arial" w:cs="Arial"/>
                <w:color w:val="000000"/>
                <w:sz w:val="20"/>
                <w:lang w:val="es-CR"/>
              </w:rPr>
              <w:t xml:space="preserve"> por parte del MH, que:</w:t>
            </w: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 xml:space="preserve"> </w:t>
            </w:r>
          </w:p>
          <w:p w14:paraId="34D0C71D" w14:textId="77777777" w:rsidR="007D628E" w:rsidRPr="009133AD" w:rsidRDefault="007D628E" w:rsidP="00A81707">
            <w:pPr>
              <w:pStyle w:val="ListParagraph"/>
              <w:tabs>
                <w:tab w:val="center" w:pos="4320"/>
                <w:tab w:val="right" w:pos="8640"/>
              </w:tabs>
              <w:spacing w:before="60"/>
              <w:ind w:left="360"/>
              <w:rPr>
                <w:rFonts w:ascii="Arial" w:hAnsi="Arial" w:cs="Arial"/>
                <w:color w:val="000000"/>
                <w:sz w:val="20"/>
                <w:lang w:val="es-CR"/>
              </w:rPr>
            </w:pPr>
          </w:p>
          <w:p w14:paraId="3B995981" w14:textId="31B71B3D" w:rsidR="006C617A" w:rsidRDefault="006C617A" w:rsidP="00A81707">
            <w:pPr>
              <w:pStyle w:val="ListParagraph"/>
              <w:numPr>
                <w:ilvl w:val="0"/>
                <w:numId w:val="11"/>
              </w:numPr>
              <w:tabs>
                <w:tab w:val="center" w:pos="4320"/>
                <w:tab w:val="right" w:pos="8640"/>
              </w:tabs>
              <w:spacing w:before="60"/>
              <w:ind w:left="67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Revise los parámetros macro fiscales del presupuesto y del marco fiscal de mediano plazo</w:t>
            </w:r>
            <w:r w:rsidR="004D016D">
              <w:rPr>
                <w:rFonts w:ascii="Arial" w:hAnsi="Arial" w:cs="Arial"/>
                <w:color w:val="000000"/>
                <w:sz w:val="20"/>
                <w:lang w:val="es-CR"/>
              </w:rPr>
              <w:t xml:space="preserve"> (MFMP)</w:t>
            </w: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 xml:space="preserve">; </w:t>
            </w:r>
          </w:p>
          <w:p w14:paraId="6E792F75" w14:textId="7899B3F3" w:rsidR="006C617A" w:rsidRPr="006C617A" w:rsidRDefault="006C617A" w:rsidP="00A81707">
            <w:pPr>
              <w:pStyle w:val="ListParagraph"/>
              <w:numPr>
                <w:ilvl w:val="0"/>
                <w:numId w:val="11"/>
              </w:numPr>
              <w:tabs>
                <w:tab w:val="center" w:pos="4320"/>
                <w:tab w:val="right" w:pos="8640"/>
              </w:tabs>
              <w:spacing w:before="60"/>
              <w:ind w:left="67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6C617A">
              <w:rPr>
                <w:rFonts w:ascii="Arial" w:hAnsi="Arial" w:cs="Arial"/>
                <w:color w:val="000000"/>
                <w:sz w:val="20"/>
                <w:lang w:val="es-CR"/>
              </w:rPr>
              <w:t>Monitoree el cumplimiento de la regla fiscal.</w:t>
            </w:r>
          </w:p>
        </w:tc>
        <w:tc>
          <w:tcPr>
            <w:tcW w:w="4410" w:type="dxa"/>
          </w:tcPr>
          <w:p w14:paraId="3A1E99C2" w14:textId="1861D78F" w:rsidR="006C617A" w:rsidRPr="009133AD" w:rsidRDefault="000463DF" w:rsidP="00A81707">
            <w:pPr>
              <w:pStyle w:val="ListParagraph"/>
              <w:numPr>
                <w:ilvl w:val="1"/>
                <w:numId w:val="20"/>
              </w:numPr>
              <w:spacing w:after="60"/>
              <w:rPr>
                <w:rFonts w:ascii="Arial" w:hAnsi="Arial" w:cs="Arial"/>
                <w:sz w:val="20"/>
                <w:lang w:val="es-MX"/>
              </w:rPr>
            </w:pPr>
            <w:r w:rsidRPr="009133AD">
              <w:rPr>
                <w:rFonts w:ascii="Arial" w:hAnsi="Arial" w:cs="Arial"/>
                <w:sz w:val="20"/>
                <w:lang w:val="es-MX"/>
              </w:rPr>
              <w:t>Informe del MH.</w:t>
            </w:r>
          </w:p>
        </w:tc>
        <w:tc>
          <w:tcPr>
            <w:tcW w:w="2273" w:type="dxa"/>
          </w:tcPr>
          <w:p w14:paraId="42FD83DD" w14:textId="4B3CD1D1" w:rsidR="006C617A" w:rsidRPr="006C617A" w:rsidRDefault="006C617A" w:rsidP="00A81707">
            <w:pPr>
              <w:pStyle w:val="ListParagraph"/>
              <w:spacing w:before="60" w:after="60"/>
              <w:ind w:left="70" w:hanging="70"/>
              <w:contextualSpacing w:val="0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Ministerio de Hacienda</w:t>
            </w:r>
          </w:p>
        </w:tc>
      </w:tr>
      <w:tr w:rsidR="00D54DF7" w:rsidRPr="00D12941" w14:paraId="383F27EA" w14:textId="77777777" w:rsidTr="00941AAD">
        <w:trPr>
          <w:trHeight w:val="20"/>
        </w:trPr>
        <w:tc>
          <w:tcPr>
            <w:tcW w:w="10957" w:type="dxa"/>
            <w:gridSpan w:val="2"/>
            <w:shd w:val="clear" w:color="auto" w:fill="auto"/>
          </w:tcPr>
          <w:p w14:paraId="062A3726" w14:textId="26A5EE0A" w:rsidR="00D54DF7" w:rsidRPr="00D36571" w:rsidRDefault="00F01391" w:rsidP="00A81707">
            <w:pPr>
              <w:rPr>
                <w:rFonts w:ascii="Arial" w:hAnsi="Arial" w:cs="Arial"/>
                <w:b/>
                <w:sz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 xml:space="preserve">b. </w:t>
            </w:r>
            <w:r w:rsidR="00D54DF7">
              <w:rPr>
                <w:rFonts w:ascii="Arial" w:hAnsi="Arial" w:cs="Arial"/>
                <w:b/>
                <w:sz w:val="20"/>
                <w:lang w:val="es-ES"/>
              </w:rPr>
              <w:t>Modernización del diseño</w:t>
            </w:r>
            <w:r w:rsidR="00E90FDE">
              <w:rPr>
                <w:rFonts w:ascii="Arial" w:hAnsi="Arial" w:cs="Arial"/>
                <w:b/>
                <w:sz w:val="20"/>
                <w:lang w:val="es-ES"/>
              </w:rPr>
              <w:t xml:space="preserve"> y gestión</w:t>
            </w:r>
            <w:r w:rsidR="00D54DF7">
              <w:rPr>
                <w:rFonts w:ascii="Arial" w:hAnsi="Arial" w:cs="Arial"/>
                <w:b/>
                <w:sz w:val="20"/>
                <w:lang w:val="es-ES"/>
              </w:rPr>
              <w:t xml:space="preserve"> del sistema tributario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C926BD2" w14:textId="77777777" w:rsidR="00D54DF7" w:rsidRPr="00D36571" w:rsidRDefault="00D54DF7" w:rsidP="00A81707">
            <w:pPr>
              <w:rPr>
                <w:rFonts w:ascii="Arial" w:hAnsi="Arial" w:cs="Arial"/>
                <w:b/>
                <w:sz w:val="20"/>
                <w:highlight w:val="yellow"/>
                <w:lang w:val="es-ES"/>
              </w:rPr>
            </w:pPr>
          </w:p>
        </w:tc>
      </w:tr>
      <w:tr w:rsidR="00D54DF7" w:rsidRPr="00AA6929" w14:paraId="59BD2B05" w14:textId="77777777" w:rsidTr="007D628E">
        <w:trPr>
          <w:trHeight w:val="962"/>
        </w:trPr>
        <w:tc>
          <w:tcPr>
            <w:tcW w:w="6547" w:type="dxa"/>
          </w:tcPr>
          <w:p w14:paraId="69EB0091" w14:textId="7C656724" w:rsidR="00D54DF7" w:rsidRDefault="004D016D" w:rsidP="00A81707">
            <w:pPr>
              <w:pStyle w:val="ListParagraph"/>
              <w:numPr>
                <w:ilvl w:val="1"/>
                <w:numId w:val="20"/>
              </w:num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4D016D">
              <w:rPr>
                <w:rFonts w:ascii="Arial" w:hAnsi="Arial" w:cs="Arial"/>
                <w:color w:val="000000"/>
                <w:sz w:val="20"/>
                <w:lang w:val="es-CR"/>
              </w:rPr>
              <w:tab/>
              <w:t>Aprobación de una reforma tributaria (Ley de Fortalecimiento de las Finanzas Públicas) que incluye</w:t>
            </w:r>
            <w:r w:rsidR="00D54DF7" w:rsidRPr="009133AD">
              <w:rPr>
                <w:rFonts w:ascii="Arial" w:hAnsi="Arial" w:cs="Arial"/>
                <w:color w:val="000000"/>
                <w:sz w:val="20"/>
                <w:lang w:val="es-CR"/>
              </w:rPr>
              <w:t xml:space="preserve">: </w:t>
            </w:r>
          </w:p>
          <w:p w14:paraId="0C740AA9" w14:textId="77777777" w:rsidR="007D628E" w:rsidRPr="009133AD" w:rsidRDefault="007D628E" w:rsidP="00A81707">
            <w:pPr>
              <w:pStyle w:val="ListParagraph"/>
              <w:tabs>
                <w:tab w:val="center" w:pos="4320"/>
                <w:tab w:val="right" w:pos="8640"/>
              </w:tabs>
              <w:ind w:left="360"/>
              <w:rPr>
                <w:rFonts w:ascii="Arial" w:hAnsi="Arial" w:cs="Arial"/>
                <w:color w:val="000000"/>
                <w:sz w:val="20"/>
                <w:lang w:val="es-CR"/>
              </w:rPr>
            </w:pPr>
          </w:p>
          <w:p w14:paraId="77819C3B" w14:textId="42BFB68C" w:rsidR="00D54DF7" w:rsidRPr="00251F0E" w:rsidRDefault="004D016D" w:rsidP="00A81707">
            <w:pPr>
              <w:pStyle w:val="ListParagraph"/>
              <w:numPr>
                <w:ilvl w:val="0"/>
                <w:numId w:val="9"/>
              </w:numPr>
              <w:tabs>
                <w:tab w:val="center" w:pos="4320"/>
                <w:tab w:val="right" w:pos="8640"/>
              </w:tabs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>
              <w:rPr>
                <w:rFonts w:ascii="Arial" w:hAnsi="Arial" w:cs="Arial"/>
                <w:color w:val="000000"/>
                <w:sz w:val="20"/>
                <w:lang w:val="es-CR"/>
              </w:rPr>
              <w:t>Sustitución del impuesto general de ventas (IGV) por un impuesto al valor agregado (IVA), incrementando la recaudación y productividad</w:t>
            </w:r>
            <w:r w:rsidR="00D54DF7" w:rsidRPr="00251F0E">
              <w:rPr>
                <w:rFonts w:ascii="Arial" w:hAnsi="Arial" w:cs="Arial"/>
                <w:color w:val="000000"/>
                <w:sz w:val="20"/>
                <w:lang w:val="es-CR"/>
              </w:rPr>
              <w:t xml:space="preserve">: </w:t>
            </w:r>
          </w:p>
          <w:p w14:paraId="4253704E" w14:textId="04D1D3B0" w:rsidR="00D54DF7" w:rsidRPr="00D54DF7" w:rsidRDefault="00D54DF7" w:rsidP="00A81707">
            <w:pPr>
              <w:pStyle w:val="ListParagraph"/>
              <w:numPr>
                <w:ilvl w:val="1"/>
                <w:numId w:val="9"/>
              </w:numPr>
              <w:tabs>
                <w:tab w:val="center" w:pos="4320"/>
                <w:tab w:val="right" w:pos="8640"/>
              </w:tabs>
              <w:ind w:left="1128"/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251F0E">
              <w:rPr>
                <w:rFonts w:ascii="Arial" w:hAnsi="Arial" w:cs="Arial"/>
                <w:color w:val="000000"/>
                <w:sz w:val="20"/>
                <w:lang w:val="es-CR"/>
              </w:rPr>
              <w:t xml:space="preserve">Ampliación </w:t>
            </w:r>
            <w:r w:rsidRPr="00251F0E" w:rsidDel="009A77F2">
              <w:rPr>
                <w:rFonts w:ascii="Arial" w:hAnsi="Arial" w:cs="Arial"/>
                <w:color w:val="000000"/>
                <w:sz w:val="20"/>
                <w:lang w:val="es-CR"/>
              </w:rPr>
              <w:t>d</w:t>
            </w:r>
            <w:r w:rsidRPr="00251F0E">
              <w:rPr>
                <w:rFonts w:ascii="Arial" w:hAnsi="Arial" w:cs="Arial"/>
                <w:color w:val="000000"/>
                <w:sz w:val="20"/>
                <w:lang w:val="es-CR"/>
              </w:rPr>
              <w:t>e la base mediante: inclusión de servicios</w:t>
            </w:r>
            <w:r w:rsidR="00E90FDE">
              <w:rPr>
                <w:rFonts w:ascii="Arial" w:hAnsi="Arial" w:cs="Arial"/>
                <w:color w:val="000000"/>
                <w:sz w:val="20"/>
                <w:lang w:val="es-CR"/>
              </w:rPr>
              <w:t xml:space="preserve"> y de </w:t>
            </w:r>
            <w:r w:rsidRPr="00251F0E">
              <w:rPr>
                <w:rFonts w:ascii="Arial" w:hAnsi="Arial" w:cs="Arial"/>
                <w:color w:val="000000"/>
                <w:sz w:val="20"/>
                <w:lang w:val="es-CR"/>
              </w:rPr>
              <w:t>una serie de bienes a tasas diferenciadas</w:t>
            </w:r>
            <w:r w:rsidR="00E90FDE">
              <w:rPr>
                <w:rFonts w:ascii="Arial" w:hAnsi="Arial" w:cs="Arial"/>
                <w:color w:val="000000"/>
                <w:sz w:val="20"/>
                <w:lang w:val="es-CR"/>
              </w:rPr>
              <w:t>,</w:t>
            </w:r>
            <w:r w:rsidRPr="00251F0E">
              <w:rPr>
                <w:rFonts w:ascii="Arial" w:hAnsi="Arial" w:cs="Arial"/>
                <w:color w:val="000000"/>
                <w:sz w:val="20"/>
                <w:lang w:val="es-CR"/>
              </w:rPr>
              <w:t xml:space="preserve"> y eliminación </w:t>
            </w:r>
            <w:r w:rsidRPr="00D54DF7">
              <w:rPr>
                <w:rFonts w:ascii="Arial" w:hAnsi="Arial" w:cs="Arial"/>
                <w:color w:val="000000"/>
                <w:sz w:val="20"/>
                <w:lang w:val="es-CR"/>
              </w:rPr>
              <w:t xml:space="preserve">de la tasa cero. </w:t>
            </w:r>
          </w:p>
          <w:p w14:paraId="2F6E7D0D" w14:textId="2D2D7A41" w:rsidR="007D628E" w:rsidRPr="007D628E" w:rsidRDefault="00D54DF7" w:rsidP="00A81707">
            <w:pPr>
              <w:pStyle w:val="ListParagraph"/>
              <w:numPr>
                <w:ilvl w:val="1"/>
                <w:numId w:val="9"/>
              </w:numPr>
              <w:tabs>
                <w:tab w:val="center" w:pos="4320"/>
                <w:tab w:val="right" w:pos="8640"/>
              </w:tabs>
              <w:ind w:left="1128"/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D54DF7">
              <w:rPr>
                <w:rFonts w:ascii="Arial" w:hAnsi="Arial" w:cs="Arial"/>
                <w:color w:val="000000"/>
                <w:sz w:val="20"/>
                <w:lang w:val="es-CR"/>
              </w:rPr>
              <w:lastRenderedPageBreak/>
              <w:t>Deducción financiera permitiendo todos los créditos fiscales</w:t>
            </w:r>
            <w:r w:rsidRPr="009133AD">
              <w:rPr>
                <w:rFonts w:ascii="Arial" w:hAnsi="Arial" w:cs="Arial"/>
                <w:color w:val="000000"/>
                <w:sz w:val="20"/>
                <w:vertAlign w:val="superscript"/>
              </w:rPr>
              <w:footnoteReference w:id="3"/>
            </w:r>
            <w:r w:rsidR="00A81707">
              <w:rPr>
                <w:rFonts w:ascii="Arial" w:hAnsi="Arial" w:cs="Arial"/>
                <w:color w:val="000000"/>
                <w:sz w:val="20"/>
                <w:lang w:val="es-CR"/>
              </w:rPr>
              <w:t>.</w:t>
            </w:r>
          </w:p>
          <w:p w14:paraId="543F66EF" w14:textId="77777777" w:rsidR="00D54DF7" w:rsidRPr="00251F0E" w:rsidRDefault="00D54DF7" w:rsidP="00A81707">
            <w:pPr>
              <w:pStyle w:val="ListParagraph"/>
              <w:numPr>
                <w:ilvl w:val="0"/>
                <w:numId w:val="9"/>
              </w:numPr>
              <w:tabs>
                <w:tab w:val="center" w:pos="4320"/>
                <w:tab w:val="right" w:pos="8640"/>
              </w:tabs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251F0E">
              <w:rPr>
                <w:rFonts w:ascii="Arial" w:hAnsi="Arial" w:cs="Arial"/>
                <w:color w:val="000000"/>
                <w:sz w:val="20"/>
                <w:lang w:val="es-CR"/>
              </w:rPr>
              <w:t>Cambios en renta aumentando la recaudación y progresividad:</w:t>
            </w:r>
          </w:p>
          <w:p w14:paraId="1F5CBB5D" w14:textId="561A5BE9" w:rsidR="00D54DF7" w:rsidRPr="00251F0E" w:rsidRDefault="00D54DF7" w:rsidP="00A81707">
            <w:pPr>
              <w:pStyle w:val="ListParagraph"/>
              <w:numPr>
                <w:ilvl w:val="1"/>
                <w:numId w:val="9"/>
              </w:numPr>
              <w:tabs>
                <w:tab w:val="center" w:pos="4320"/>
                <w:tab w:val="right" w:pos="8640"/>
              </w:tabs>
              <w:ind w:left="1128"/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251F0E">
              <w:rPr>
                <w:rFonts w:ascii="Arial" w:hAnsi="Arial" w:cs="Arial"/>
                <w:color w:val="000000"/>
                <w:sz w:val="20"/>
                <w:lang w:val="es-CR"/>
              </w:rPr>
              <w:t xml:space="preserve">Creación </w:t>
            </w:r>
            <w:r w:rsidR="004D016D">
              <w:rPr>
                <w:rFonts w:ascii="Arial" w:hAnsi="Arial" w:cs="Arial"/>
                <w:color w:val="000000"/>
                <w:sz w:val="20"/>
                <w:lang w:val="es-CR"/>
              </w:rPr>
              <w:t xml:space="preserve">de </w:t>
            </w:r>
            <w:r w:rsidRPr="00251F0E">
              <w:rPr>
                <w:rFonts w:ascii="Arial" w:hAnsi="Arial" w:cs="Arial"/>
                <w:color w:val="000000"/>
                <w:sz w:val="20"/>
                <w:lang w:val="es-CR"/>
              </w:rPr>
              <w:t xml:space="preserve">dos tramos en el impuesto de renta personal (20% y 25%). </w:t>
            </w:r>
          </w:p>
          <w:p w14:paraId="438C9EC6" w14:textId="40FE978E" w:rsidR="00D54DF7" w:rsidRPr="009133AD" w:rsidRDefault="00DC7D95" w:rsidP="00A81707">
            <w:pPr>
              <w:pStyle w:val="ListParagraph"/>
              <w:numPr>
                <w:ilvl w:val="1"/>
                <w:numId w:val="9"/>
              </w:numPr>
              <w:tabs>
                <w:tab w:val="center" w:pos="4320"/>
                <w:tab w:val="right" w:pos="8640"/>
              </w:tabs>
              <w:ind w:left="1128"/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DC7D95">
              <w:rPr>
                <w:rFonts w:ascii="Arial" w:hAnsi="Arial" w:cs="Arial"/>
                <w:color w:val="000000"/>
                <w:sz w:val="20"/>
                <w:lang w:val="es-CR"/>
              </w:rPr>
              <w:t xml:space="preserve">Generalización y aumento de la tasa de renta de capital, incluyendo </w:t>
            </w:r>
            <w:r w:rsidR="00F26270">
              <w:rPr>
                <w:rFonts w:ascii="Arial" w:hAnsi="Arial" w:cs="Arial"/>
                <w:color w:val="000000"/>
                <w:sz w:val="20"/>
                <w:lang w:val="es-CR"/>
              </w:rPr>
              <w:t xml:space="preserve">un </w:t>
            </w:r>
            <w:r w:rsidRPr="00DC7D95">
              <w:rPr>
                <w:rFonts w:ascii="Arial" w:hAnsi="Arial" w:cs="Arial"/>
                <w:color w:val="000000"/>
                <w:sz w:val="20"/>
                <w:lang w:val="es-CR"/>
              </w:rPr>
              <w:t>sistema de retención</w:t>
            </w:r>
            <w:r w:rsidR="00D54DF7" w:rsidRPr="00251F0E">
              <w:rPr>
                <w:rFonts w:ascii="Arial" w:hAnsi="Arial" w:cs="Arial"/>
                <w:color w:val="000000"/>
                <w:sz w:val="20"/>
                <w:lang w:val="es-CR"/>
              </w:rPr>
              <w:t>.</w:t>
            </w:r>
          </w:p>
        </w:tc>
        <w:tc>
          <w:tcPr>
            <w:tcW w:w="4410" w:type="dxa"/>
          </w:tcPr>
          <w:p w14:paraId="04B3F06B" w14:textId="6373BF21" w:rsidR="00D54DF7" w:rsidRPr="009133AD" w:rsidRDefault="006D5F0D" w:rsidP="00A81707">
            <w:pPr>
              <w:spacing w:after="60"/>
              <w:ind w:left="341" w:hanging="341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MX"/>
              </w:rPr>
              <w:lastRenderedPageBreak/>
              <w:t xml:space="preserve">2.3 </w:t>
            </w:r>
            <w:r w:rsidR="00D54DF7" w:rsidRPr="009133AD">
              <w:rPr>
                <w:rFonts w:ascii="Arial" w:hAnsi="Arial" w:cs="Arial"/>
                <w:sz w:val="20"/>
                <w:lang w:val="es-MX"/>
              </w:rPr>
              <w:t xml:space="preserve">Publicación en el Diario Oficial La Gaceta de la Ley de Fortalecimiento de las Finanzas Públicas. </w:t>
            </w:r>
            <w:r w:rsidR="001B3CCA">
              <w:fldChar w:fldCharType="begin"/>
            </w:r>
            <w:r w:rsidR="001B3CCA" w:rsidRPr="00D12941">
              <w:rPr>
                <w:lang w:val="es-US"/>
              </w:rPr>
              <w:instrText xml:space="preserve"> </w:instrText>
            </w:r>
            <w:r w:rsidR="001B3CCA" w:rsidRPr="00D12941">
              <w:rPr>
                <w:lang w:val="es-US"/>
              </w:rPr>
              <w:instrText xml:space="preserve">HYPERLINK "https://www.hacienda.go.cr/docs/5c07dd2965e11_ALCA202_04_12_2018.pdf" </w:instrText>
            </w:r>
            <w:r w:rsidR="001B3CCA">
              <w:fldChar w:fldCharType="separate"/>
            </w:r>
            <w:r w:rsidR="00D54DF7" w:rsidRPr="006D5F0D">
              <w:rPr>
                <w:rStyle w:val="Hyperlink"/>
                <w:rFonts w:ascii="Arial" w:hAnsi="Arial" w:cs="Arial"/>
                <w:sz w:val="20"/>
                <w:lang w:val="es-MX"/>
              </w:rPr>
              <w:t>Enlace</w:t>
            </w:r>
            <w:r w:rsidR="001B3CCA">
              <w:rPr>
                <w:rStyle w:val="Hyperlink"/>
                <w:rFonts w:ascii="Arial" w:hAnsi="Arial" w:cs="Arial"/>
                <w:sz w:val="20"/>
                <w:lang w:val="es-MX"/>
              </w:rPr>
              <w:fldChar w:fldCharType="end"/>
            </w:r>
            <w:r w:rsidR="00D54DF7" w:rsidRPr="009133AD">
              <w:rPr>
                <w:rFonts w:ascii="Arial" w:hAnsi="Arial" w:cs="Arial"/>
                <w:sz w:val="20"/>
                <w:lang w:val="es-MX"/>
              </w:rPr>
              <w:t xml:space="preserve">. </w:t>
            </w:r>
          </w:p>
          <w:p w14:paraId="061AEE39" w14:textId="77777777" w:rsidR="00D54DF7" w:rsidRPr="00251F0E" w:rsidRDefault="00D54DF7" w:rsidP="00A81707">
            <w:pPr>
              <w:spacing w:before="60" w:after="60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273" w:type="dxa"/>
          </w:tcPr>
          <w:p w14:paraId="5231C0C5" w14:textId="48B7A59C" w:rsidR="00D54DF7" w:rsidRPr="00AA6929" w:rsidRDefault="00625EE9" w:rsidP="00A81707">
            <w:pPr>
              <w:spacing w:after="60"/>
              <w:ind w:left="360" w:hanging="360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Poder Ejecutivo</w:t>
            </w:r>
          </w:p>
        </w:tc>
      </w:tr>
      <w:tr w:rsidR="006D5F0D" w:rsidRPr="006D5F0D" w14:paraId="5CCBDAF3" w14:textId="77777777" w:rsidTr="00941AAD">
        <w:trPr>
          <w:trHeight w:val="20"/>
        </w:trPr>
        <w:tc>
          <w:tcPr>
            <w:tcW w:w="6547" w:type="dxa"/>
          </w:tcPr>
          <w:p w14:paraId="1BB1A60D" w14:textId="17D1A37B" w:rsidR="006D5F0D" w:rsidRPr="009133AD" w:rsidRDefault="006D5F0D" w:rsidP="00A81707">
            <w:pPr>
              <w:pStyle w:val="ListParagraph"/>
              <w:numPr>
                <w:ilvl w:val="1"/>
                <w:numId w:val="20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>
              <w:rPr>
                <w:rFonts w:ascii="Arial" w:hAnsi="Arial" w:cs="Arial"/>
                <w:color w:val="000000"/>
                <w:sz w:val="20"/>
                <w:lang w:val="es-CR"/>
              </w:rPr>
              <w:t>Puesta en marcha de la Factura Electrónica para los grandes contribuyentes (GC)</w:t>
            </w:r>
            <w:r w:rsidR="00143D23">
              <w:rPr>
                <w:rStyle w:val="FootnoteReference"/>
                <w:rFonts w:ascii="Arial" w:hAnsi="Arial" w:cs="Arial"/>
                <w:color w:val="000000"/>
                <w:sz w:val="20"/>
                <w:lang w:val="es-CR"/>
              </w:rPr>
              <w:footnoteReference w:id="4"/>
            </w:r>
            <w:r w:rsidR="00592273">
              <w:rPr>
                <w:rFonts w:ascii="Arial" w:hAnsi="Arial" w:cs="Arial"/>
                <w:color w:val="000000"/>
                <w:sz w:val="20"/>
                <w:lang w:val="es-CR"/>
              </w:rPr>
              <w:t xml:space="preserve"> obligados a utilizarla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>.</w:t>
            </w:r>
          </w:p>
        </w:tc>
        <w:tc>
          <w:tcPr>
            <w:tcW w:w="4410" w:type="dxa"/>
          </w:tcPr>
          <w:p w14:paraId="093BFA59" w14:textId="244B05E2" w:rsidR="006D5F0D" w:rsidRPr="009133AD" w:rsidRDefault="006D5F0D" w:rsidP="00A81707">
            <w:pPr>
              <w:spacing w:after="60"/>
              <w:ind w:left="341" w:hanging="341"/>
              <w:rPr>
                <w:rFonts w:ascii="Arial" w:hAnsi="Arial" w:cs="Arial"/>
                <w:sz w:val="20"/>
                <w:lang w:val="es-CR"/>
              </w:rPr>
            </w:pPr>
            <w:r>
              <w:rPr>
                <w:rFonts w:ascii="Arial" w:hAnsi="Arial" w:cs="Arial"/>
                <w:sz w:val="20"/>
                <w:lang w:val="es-CR"/>
              </w:rPr>
              <w:t>2.4 Informe</w:t>
            </w:r>
            <w:r w:rsidR="000F3C1C">
              <w:rPr>
                <w:rFonts w:ascii="Arial" w:hAnsi="Arial" w:cs="Arial"/>
                <w:sz w:val="20"/>
                <w:lang w:val="es-CR"/>
              </w:rPr>
              <w:t xml:space="preserve"> </w:t>
            </w:r>
            <w:r>
              <w:rPr>
                <w:rFonts w:ascii="Arial" w:hAnsi="Arial" w:cs="Arial"/>
                <w:sz w:val="20"/>
                <w:lang w:val="es-CR"/>
              </w:rPr>
              <w:t>de DGT</w:t>
            </w:r>
            <w:r w:rsidR="006C69C3">
              <w:rPr>
                <w:rFonts w:ascii="Arial" w:hAnsi="Arial" w:cs="Arial"/>
                <w:sz w:val="20"/>
                <w:lang w:val="es-CR"/>
              </w:rPr>
              <w:t xml:space="preserve"> y </w:t>
            </w:r>
            <w:r w:rsidR="000F3C1C">
              <w:rPr>
                <w:rFonts w:ascii="Arial" w:hAnsi="Arial" w:cs="Arial"/>
                <w:sz w:val="20"/>
                <w:lang w:val="es-CR"/>
              </w:rPr>
              <w:t>la Resolución DGT-R-</w:t>
            </w:r>
            <w:r w:rsidR="004B1A0A">
              <w:rPr>
                <w:rFonts w:ascii="Arial" w:hAnsi="Arial" w:cs="Arial"/>
                <w:sz w:val="20"/>
                <w:lang w:val="es-CR"/>
              </w:rPr>
              <w:t>012</w:t>
            </w:r>
            <w:r w:rsidR="000F3C1C">
              <w:rPr>
                <w:rFonts w:ascii="Arial" w:hAnsi="Arial" w:cs="Arial"/>
                <w:sz w:val="20"/>
                <w:lang w:val="es-CR"/>
              </w:rPr>
              <w:t>-201</w:t>
            </w:r>
            <w:r w:rsidR="004B1A0A">
              <w:rPr>
                <w:rFonts w:ascii="Arial" w:hAnsi="Arial" w:cs="Arial"/>
                <w:sz w:val="20"/>
                <w:lang w:val="es-CR"/>
              </w:rPr>
              <w:t>8</w:t>
            </w:r>
            <w:r w:rsidR="000F3C1C">
              <w:rPr>
                <w:rFonts w:ascii="Arial" w:hAnsi="Arial" w:cs="Arial"/>
                <w:sz w:val="20"/>
                <w:lang w:val="es-CR"/>
              </w:rPr>
              <w:t xml:space="preserve">. </w:t>
            </w:r>
            <w:r w:rsidR="001B3CCA">
              <w:fldChar w:fldCharType="begin"/>
            </w:r>
            <w:r w:rsidR="001B3CCA" w:rsidRPr="00D12941">
              <w:rPr>
                <w:lang w:val="es-US"/>
              </w:rPr>
              <w:instrText xml:space="preserve"> HYPERLINK "https://www.hacienda.go.cr/docs/5ab41d54d1bda_DGT-R-012-2018%20OBLIGATORIEDAD%20GENERAL%20PARA%20EL%20USO%20DE%20LOS%20COMPROBANTES%20ELECTRONICOS.pdf" </w:instrText>
            </w:r>
            <w:r w:rsidR="001B3CCA">
              <w:fldChar w:fldCharType="separate"/>
            </w:r>
            <w:r w:rsidR="000F3C1C" w:rsidRPr="000F3C1C">
              <w:rPr>
                <w:rStyle w:val="Hyperlink"/>
                <w:rFonts w:ascii="Arial" w:hAnsi="Arial" w:cs="Arial"/>
                <w:sz w:val="20"/>
                <w:lang w:val="es-CR"/>
              </w:rPr>
              <w:t>Enlace</w:t>
            </w:r>
            <w:r w:rsidR="001B3CCA">
              <w:rPr>
                <w:rStyle w:val="Hyperlink"/>
                <w:rFonts w:ascii="Arial" w:hAnsi="Arial" w:cs="Arial"/>
                <w:sz w:val="20"/>
                <w:lang w:val="es-CR"/>
              </w:rPr>
              <w:fldChar w:fldCharType="end"/>
            </w:r>
            <w:r w:rsidR="000F3C1C">
              <w:rPr>
                <w:rFonts w:ascii="Arial" w:hAnsi="Arial" w:cs="Arial"/>
                <w:sz w:val="20"/>
                <w:lang w:val="es-CR"/>
              </w:rPr>
              <w:t xml:space="preserve">. </w:t>
            </w:r>
          </w:p>
        </w:tc>
        <w:tc>
          <w:tcPr>
            <w:tcW w:w="2273" w:type="dxa"/>
          </w:tcPr>
          <w:p w14:paraId="5CFFCF98" w14:textId="353AFF02" w:rsidR="006D5F0D" w:rsidRPr="00AA6929" w:rsidRDefault="006D5F0D" w:rsidP="00A81707">
            <w:pPr>
              <w:spacing w:after="60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 xml:space="preserve">Ministerio de Hacienda (MH). </w:t>
            </w:r>
          </w:p>
        </w:tc>
      </w:tr>
      <w:tr w:rsidR="00D54DF7" w:rsidRPr="00D12941" w14:paraId="484B2729" w14:textId="77777777" w:rsidTr="00F67CFF">
        <w:trPr>
          <w:trHeight w:val="20"/>
        </w:trPr>
        <w:tc>
          <w:tcPr>
            <w:tcW w:w="13230" w:type="dxa"/>
            <w:gridSpan w:val="3"/>
          </w:tcPr>
          <w:p w14:paraId="2FA0D654" w14:textId="361C9910" w:rsidR="00D54DF7" w:rsidRPr="009133AD" w:rsidRDefault="00F01391" w:rsidP="00A81707">
            <w:pPr>
              <w:pStyle w:val="ListParagraph"/>
              <w:ind w:left="70" w:hanging="70"/>
              <w:contextualSpacing w:val="0"/>
              <w:rPr>
                <w:rFonts w:ascii="Arial" w:hAnsi="Arial" w:cs="Arial"/>
                <w:b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 xml:space="preserve">c. </w:t>
            </w:r>
            <w:r w:rsidR="00D54DF7" w:rsidRPr="009133AD">
              <w:rPr>
                <w:rFonts w:ascii="Arial" w:hAnsi="Arial" w:cs="Arial"/>
                <w:b/>
                <w:sz w:val="20"/>
                <w:lang w:val="es-ES"/>
              </w:rPr>
              <w:t>Mejor</w:t>
            </w:r>
            <w:r w:rsidR="005C4542">
              <w:rPr>
                <w:rFonts w:ascii="Arial" w:hAnsi="Arial" w:cs="Arial"/>
                <w:b/>
                <w:sz w:val="20"/>
                <w:lang w:val="es-ES"/>
              </w:rPr>
              <w:t>a</w:t>
            </w:r>
            <w:r w:rsidR="00D54DF7" w:rsidRPr="009133AD">
              <w:rPr>
                <w:rFonts w:ascii="Arial" w:hAnsi="Arial" w:cs="Arial"/>
                <w:b/>
                <w:sz w:val="20"/>
                <w:lang w:val="es-ES"/>
              </w:rPr>
              <w:t xml:space="preserve"> en la gestión del gasto público</w:t>
            </w:r>
          </w:p>
        </w:tc>
      </w:tr>
      <w:tr w:rsidR="005C4542" w:rsidRPr="00D12941" w14:paraId="05C92B65" w14:textId="77777777" w:rsidTr="00D7372A">
        <w:trPr>
          <w:trHeight w:val="20"/>
        </w:trPr>
        <w:tc>
          <w:tcPr>
            <w:tcW w:w="6547" w:type="dxa"/>
            <w:shd w:val="clear" w:color="auto" w:fill="auto"/>
          </w:tcPr>
          <w:p w14:paraId="4C1E7CC9" w14:textId="77777777" w:rsidR="005C4542" w:rsidRDefault="005C4542" w:rsidP="00A81707">
            <w:pPr>
              <w:pStyle w:val="ListParagraph"/>
              <w:numPr>
                <w:ilvl w:val="1"/>
                <w:numId w:val="20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B04FD1">
              <w:rPr>
                <w:rFonts w:ascii="Arial" w:hAnsi="Arial" w:cs="Arial"/>
                <w:color w:val="000000"/>
                <w:sz w:val="20"/>
                <w:lang w:val="es-CR"/>
              </w:rPr>
              <w:t>Presentación a la Asamblea Legislativa de un proyecto de Ley de Empleo Público con, al menos, las siguientes características:</w:t>
            </w:r>
          </w:p>
          <w:p w14:paraId="29B2130E" w14:textId="77777777" w:rsidR="005C4542" w:rsidRPr="00D7372A" w:rsidRDefault="005C4542" w:rsidP="00A81707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D7372A">
              <w:rPr>
                <w:rFonts w:ascii="Arial" w:hAnsi="Arial" w:cs="Arial"/>
                <w:color w:val="000000"/>
                <w:sz w:val="20"/>
                <w:lang w:val="es-CR"/>
              </w:rPr>
              <w:t>Abarque al Sector Público no Financiero.</w:t>
            </w:r>
          </w:p>
          <w:p w14:paraId="2F91C71F" w14:textId="6F9F800E" w:rsidR="005C4542" w:rsidRPr="00C866FD" w:rsidRDefault="005C4542" w:rsidP="00A81707">
            <w:pPr>
              <w:pStyle w:val="ListParagraph"/>
              <w:numPr>
                <w:ilvl w:val="0"/>
                <w:numId w:val="27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 xml:space="preserve">Contenga un régimen de empleo público aplicable a todos los </w:t>
            </w:r>
            <w:proofErr w:type="spellStart"/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sub-regímenes</w:t>
            </w:r>
            <w:proofErr w:type="spellEnd"/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 xml:space="preserve"> especiales, y que en todos los casos se aplique para nuevos funcionarios la metodología de salario </w:t>
            </w:r>
            <w:r w:rsidR="00E133FC">
              <w:rPr>
                <w:rFonts w:ascii="Arial" w:hAnsi="Arial" w:cs="Arial"/>
                <w:color w:val="000000"/>
                <w:sz w:val="20"/>
                <w:lang w:val="es-CR"/>
              </w:rPr>
              <w:t>global (</w:t>
            </w: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único</w:t>
            </w:r>
            <w:r w:rsidR="00E133FC">
              <w:rPr>
                <w:rFonts w:ascii="Arial" w:hAnsi="Arial" w:cs="Arial"/>
                <w:color w:val="000000"/>
                <w:sz w:val="20"/>
                <w:lang w:val="es-CR"/>
              </w:rPr>
              <w:t>)</w:t>
            </w: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 xml:space="preserve"> competitivo. </w:t>
            </w:r>
          </w:p>
          <w:p w14:paraId="0690AB3C" w14:textId="44B7E15D" w:rsidR="005C4542" w:rsidRDefault="005C4542" w:rsidP="00A81707">
            <w:pPr>
              <w:pStyle w:val="ListParagraph"/>
              <w:numPr>
                <w:ilvl w:val="0"/>
                <w:numId w:val="27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Reclute y seleccione basado en méritos con pruebas específicas para el puesto y competencias.</w:t>
            </w:r>
          </w:p>
          <w:p w14:paraId="159A06A4" w14:textId="7705CE65" w:rsidR="005C4542" w:rsidRPr="009133AD" w:rsidRDefault="005C4542" w:rsidP="00A81707">
            <w:pPr>
              <w:pStyle w:val="ListParagraph"/>
              <w:numPr>
                <w:ilvl w:val="0"/>
                <w:numId w:val="27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 xml:space="preserve">Reclute, seleccione y evalúe de forma diferenciada a un segmento de directivos públicos (alta gerencia), con base en el principio de mérito.  </w:t>
            </w:r>
          </w:p>
        </w:tc>
        <w:tc>
          <w:tcPr>
            <w:tcW w:w="4410" w:type="dxa"/>
          </w:tcPr>
          <w:p w14:paraId="50FD8683" w14:textId="633F8CEB" w:rsidR="005C4542" w:rsidRDefault="005C4542" w:rsidP="00A81707">
            <w:pPr>
              <w:spacing w:after="60"/>
              <w:ind w:left="341" w:hanging="341"/>
              <w:rPr>
                <w:rFonts w:ascii="Arial" w:hAnsi="Arial" w:cs="Arial"/>
                <w:color w:val="000000"/>
                <w:sz w:val="20"/>
                <w:lang w:val="es-CR"/>
              </w:rPr>
            </w:pPr>
            <w:r>
              <w:rPr>
                <w:rFonts w:ascii="Arial" w:hAnsi="Arial" w:cs="Arial"/>
                <w:color w:val="000000"/>
                <w:sz w:val="20"/>
                <w:lang w:val="es-CR"/>
              </w:rPr>
              <w:t>2.5 Remisión del Poder Ejecutivo del proyecto de Ley a la Asamblea Legislativa.</w:t>
            </w:r>
            <w:r w:rsidR="00E70DEC">
              <w:rPr>
                <w:rFonts w:ascii="Arial" w:hAnsi="Arial" w:cs="Arial"/>
                <w:color w:val="000000"/>
                <w:sz w:val="20"/>
                <w:lang w:val="es-CR"/>
              </w:rPr>
              <w:t xml:space="preserve"> </w:t>
            </w:r>
            <w:hyperlink r:id="rId13" w:history="1">
              <w:r w:rsidR="00E70DEC" w:rsidRPr="00E70DEC">
                <w:rPr>
                  <w:rStyle w:val="Hyperlink"/>
                  <w:rFonts w:ascii="Arial" w:hAnsi="Arial" w:cs="Arial"/>
                  <w:sz w:val="20"/>
                  <w:lang w:val="es-CR"/>
                </w:rPr>
                <w:t>Enlace</w:t>
              </w:r>
            </w:hyperlink>
            <w:r w:rsidR="00E70DEC">
              <w:rPr>
                <w:rFonts w:ascii="Arial" w:hAnsi="Arial" w:cs="Arial"/>
                <w:color w:val="000000"/>
                <w:sz w:val="20"/>
                <w:lang w:val="es-CR"/>
              </w:rPr>
              <w:t>.</w:t>
            </w:r>
          </w:p>
        </w:tc>
        <w:tc>
          <w:tcPr>
            <w:tcW w:w="2273" w:type="dxa"/>
          </w:tcPr>
          <w:p w14:paraId="291E2DA0" w14:textId="4763F2E5" w:rsidR="005C4542" w:rsidRPr="006C617A" w:rsidRDefault="005C4542" w:rsidP="00A81707">
            <w:pPr>
              <w:spacing w:before="20" w:after="20"/>
              <w:rPr>
                <w:rFonts w:ascii="Arial" w:hAnsi="Arial" w:cs="Arial"/>
                <w:sz w:val="20"/>
                <w:lang w:val="es-ES"/>
              </w:rPr>
            </w:pPr>
            <w:r w:rsidRPr="00526B22">
              <w:rPr>
                <w:rFonts w:ascii="Arial" w:hAnsi="Arial" w:cs="Arial"/>
                <w:sz w:val="20"/>
                <w:lang w:val="es-ES"/>
              </w:rPr>
              <w:t>Ministerio de Planificación Nacional y Política Económica (MIDEPLAN)</w:t>
            </w:r>
          </w:p>
        </w:tc>
      </w:tr>
      <w:tr w:rsidR="00535112" w:rsidRPr="00725CA1" w14:paraId="0B150360" w14:textId="77777777" w:rsidTr="00D7372A">
        <w:trPr>
          <w:trHeight w:val="20"/>
        </w:trPr>
        <w:tc>
          <w:tcPr>
            <w:tcW w:w="6547" w:type="dxa"/>
            <w:shd w:val="clear" w:color="auto" w:fill="auto"/>
          </w:tcPr>
          <w:p w14:paraId="006443AE" w14:textId="5C40DC4D" w:rsidR="00535112" w:rsidRDefault="00535112" w:rsidP="00A81707">
            <w:pPr>
              <w:pStyle w:val="ListParagraph"/>
              <w:numPr>
                <w:ilvl w:val="1"/>
                <w:numId w:val="20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>Aprobación de medidas de control de gasto</w:t>
            </w:r>
            <w:r w:rsidR="00D754A5">
              <w:rPr>
                <w:rFonts w:ascii="Arial" w:hAnsi="Arial" w:cs="Arial"/>
                <w:color w:val="000000"/>
                <w:sz w:val="20"/>
                <w:lang w:val="es-CR"/>
              </w:rPr>
              <w:t xml:space="preserve"> (Ley de Fortalecimiento de las Finanzas Públicas)</w:t>
            </w: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 xml:space="preserve"> incluyendo:</w:t>
            </w:r>
          </w:p>
          <w:p w14:paraId="3F5055A8" w14:textId="77777777" w:rsidR="007D628E" w:rsidRPr="009133AD" w:rsidRDefault="007D628E" w:rsidP="00A81707">
            <w:pPr>
              <w:pStyle w:val="ListParagraph"/>
              <w:tabs>
                <w:tab w:val="center" w:pos="4320"/>
                <w:tab w:val="right" w:pos="8640"/>
              </w:tabs>
              <w:spacing w:before="60"/>
              <w:ind w:left="360"/>
              <w:rPr>
                <w:rFonts w:ascii="Arial" w:hAnsi="Arial" w:cs="Arial"/>
                <w:color w:val="000000"/>
                <w:sz w:val="20"/>
                <w:lang w:val="es-CR"/>
              </w:rPr>
            </w:pPr>
          </w:p>
          <w:p w14:paraId="083EC706" w14:textId="0867576E" w:rsidR="00535112" w:rsidRPr="00C866FD" w:rsidRDefault="00535112" w:rsidP="00A81707">
            <w:pPr>
              <w:pStyle w:val="ListParagraph"/>
              <w:numPr>
                <w:ilvl w:val="0"/>
                <w:numId w:val="14"/>
              </w:numPr>
              <w:tabs>
                <w:tab w:val="center" w:pos="4320"/>
                <w:tab w:val="right" w:pos="8640"/>
              </w:tabs>
              <w:spacing w:before="60"/>
              <w:ind w:left="768"/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Racionalización de incentivos salariales: anualidades, cesantías</w:t>
            </w:r>
            <w:r w:rsidR="00F631DB">
              <w:rPr>
                <w:rFonts w:ascii="Arial" w:hAnsi="Arial" w:cs="Arial"/>
                <w:color w:val="000000"/>
                <w:sz w:val="20"/>
                <w:lang w:val="es-CR"/>
              </w:rPr>
              <w:t xml:space="preserve"> y</w:t>
            </w: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 xml:space="preserve"> dedicación exclusiva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>.</w:t>
            </w: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 xml:space="preserve"> </w:t>
            </w:r>
          </w:p>
          <w:p w14:paraId="3A358DBE" w14:textId="3FC6FCDE" w:rsidR="00535112" w:rsidRPr="00666DA3" w:rsidRDefault="00535112" w:rsidP="00A81707">
            <w:pPr>
              <w:pStyle w:val="ListParagraph"/>
              <w:numPr>
                <w:ilvl w:val="0"/>
                <w:numId w:val="14"/>
              </w:numPr>
              <w:tabs>
                <w:tab w:val="center" w:pos="4320"/>
                <w:tab w:val="right" w:pos="8640"/>
              </w:tabs>
              <w:spacing w:before="60"/>
              <w:ind w:left="768"/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Límites al crecimiento en las transferencias corrientes (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 xml:space="preserve">racionalización </w:t>
            </w: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destinos específicos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 xml:space="preserve">, incluyendo </w:t>
            </w:r>
            <w:r w:rsidR="00625EE9">
              <w:rPr>
                <w:rFonts w:ascii="Arial" w:hAnsi="Arial" w:cs="Arial"/>
                <w:color w:val="000000"/>
                <w:sz w:val="20"/>
                <w:lang w:val="es-CR"/>
              </w:rPr>
              <w:t xml:space="preserve">la </w:t>
            </w:r>
            <w:r w:rsidR="00D754A5">
              <w:rPr>
                <w:rFonts w:ascii="Arial" w:hAnsi="Arial" w:cs="Arial"/>
                <w:color w:val="000000"/>
                <w:sz w:val="20"/>
                <w:lang w:val="es-CR"/>
              </w:rPr>
              <w:t>asignación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 xml:space="preserve"> al PANI</w:t>
            </w:r>
            <w:r w:rsidR="00143D23" w:rsidRPr="00C170E5">
              <w:rPr>
                <w:rStyle w:val="FootnoteReference"/>
                <w:rFonts w:ascii="Arial" w:hAnsi="Arial" w:cs="Arial"/>
                <w:color w:val="000000"/>
                <w:sz w:val="20"/>
                <w:lang w:val="es-CR"/>
              </w:rPr>
              <w:footnoteReference w:id="5"/>
            </w:r>
            <w:r w:rsidR="00625EE9">
              <w:rPr>
                <w:rFonts w:ascii="Arial" w:hAnsi="Arial" w:cs="Arial"/>
                <w:color w:val="000000"/>
                <w:sz w:val="20"/>
                <w:lang w:val="es-CR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>inclusión del INA</w:t>
            </w:r>
            <w:r w:rsidR="00143D23" w:rsidRPr="00C170E5">
              <w:rPr>
                <w:rStyle w:val="FootnoteReference"/>
                <w:rFonts w:ascii="Arial" w:hAnsi="Arial" w:cs="Arial"/>
                <w:color w:val="000000"/>
                <w:sz w:val="20"/>
                <w:lang w:val="es-CR"/>
              </w:rPr>
              <w:footnoteReference w:id="6"/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 xml:space="preserve"> y </w:t>
            </w:r>
            <w:r w:rsidR="00625EE9">
              <w:rPr>
                <w:rFonts w:ascii="Arial" w:hAnsi="Arial" w:cs="Arial"/>
                <w:color w:val="000000"/>
                <w:sz w:val="20"/>
                <w:lang w:val="es-CR"/>
              </w:rPr>
              <w:t xml:space="preserve">la 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>educación prescolar en el mandato constitucional del 8% del PIB a educación</w:t>
            </w:r>
            <w:r w:rsidRPr="00C866FD">
              <w:rPr>
                <w:rFonts w:ascii="Arial" w:hAnsi="Arial" w:cs="Arial"/>
                <w:color w:val="000000"/>
                <w:sz w:val="20"/>
                <w:lang w:val="es-CR"/>
              </w:rPr>
              <w:t>).</w:t>
            </w:r>
          </w:p>
        </w:tc>
        <w:tc>
          <w:tcPr>
            <w:tcW w:w="4410" w:type="dxa"/>
          </w:tcPr>
          <w:p w14:paraId="3F0464E2" w14:textId="375AEC00" w:rsidR="00535112" w:rsidRPr="006E42AC" w:rsidRDefault="006D5F0D" w:rsidP="00A81707">
            <w:pPr>
              <w:spacing w:after="60"/>
              <w:ind w:left="341" w:hanging="341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lang w:val="es-CR"/>
              </w:rPr>
              <w:t>2.</w:t>
            </w:r>
            <w:r w:rsidR="005C4542">
              <w:rPr>
                <w:rFonts w:ascii="Arial" w:hAnsi="Arial" w:cs="Arial"/>
                <w:color w:val="000000"/>
                <w:sz w:val="20"/>
                <w:lang w:val="es-CR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 xml:space="preserve"> </w:t>
            </w:r>
            <w:r w:rsidR="00535112" w:rsidRPr="009133AD">
              <w:rPr>
                <w:rFonts w:ascii="Arial" w:hAnsi="Arial" w:cs="Arial"/>
                <w:color w:val="000000"/>
                <w:sz w:val="20"/>
                <w:lang w:val="es-CR"/>
              </w:rPr>
              <w:t>Publicación en el Diario Oficial La Gaceta de la Ley de Fortalecimiento de las Finanzas Públicas.</w:t>
            </w:r>
            <w:r w:rsidR="00535112" w:rsidRPr="006E42AC">
              <w:rPr>
                <w:rFonts w:ascii="Arial" w:hAnsi="Arial" w:cs="Arial"/>
                <w:sz w:val="20"/>
                <w:lang w:val="es-MX"/>
              </w:rPr>
              <w:t xml:space="preserve"> </w:t>
            </w:r>
            <w:hyperlink r:id="rId14" w:history="1">
              <w:r w:rsidR="00535112" w:rsidRPr="006E42AC">
                <w:rPr>
                  <w:rStyle w:val="Hyperlink"/>
                  <w:rFonts w:ascii="Arial" w:hAnsi="Arial" w:cs="Arial"/>
                  <w:sz w:val="20"/>
                  <w:lang w:val="es-MX"/>
                </w:rPr>
                <w:t>Enlace</w:t>
              </w:r>
            </w:hyperlink>
            <w:r w:rsidR="00535112" w:rsidRPr="006E42AC">
              <w:rPr>
                <w:rFonts w:ascii="Arial" w:hAnsi="Arial" w:cs="Arial"/>
                <w:sz w:val="20"/>
                <w:lang w:val="es-MX"/>
              </w:rPr>
              <w:t xml:space="preserve">. </w:t>
            </w:r>
          </w:p>
          <w:p w14:paraId="338B832D" w14:textId="0A6425A2" w:rsidR="00535112" w:rsidRPr="006E42AC" w:rsidRDefault="00535112" w:rsidP="00A81707">
            <w:pPr>
              <w:widowControl w:val="0"/>
              <w:spacing w:before="20" w:after="20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273" w:type="dxa"/>
          </w:tcPr>
          <w:p w14:paraId="0A3414F7" w14:textId="4FDFB3A1" w:rsidR="00535112" w:rsidRPr="003E7B0C" w:rsidRDefault="00625EE9" w:rsidP="00A81707">
            <w:pPr>
              <w:spacing w:before="20" w:after="20"/>
              <w:rPr>
                <w:rFonts w:ascii="Arial" w:hAnsi="Arial" w:cs="Arial"/>
                <w:sz w:val="20"/>
                <w:highlight w:val="yellow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Poder Ejecutivo</w:t>
            </w:r>
          </w:p>
        </w:tc>
      </w:tr>
      <w:tr w:rsidR="001F5C57" w:rsidRPr="00725CA1" w14:paraId="4CA71493" w14:textId="77777777" w:rsidTr="007E52D4">
        <w:trPr>
          <w:trHeight w:val="1304"/>
        </w:trPr>
        <w:tc>
          <w:tcPr>
            <w:tcW w:w="6547" w:type="dxa"/>
            <w:shd w:val="clear" w:color="auto" w:fill="auto"/>
          </w:tcPr>
          <w:p w14:paraId="69236B43" w14:textId="21168A41" w:rsidR="001F5C57" w:rsidRPr="00C866FD" w:rsidRDefault="009776BF" w:rsidP="00A81707">
            <w:pPr>
              <w:pStyle w:val="ListParagraph"/>
              <w:numPr>
                <w:ilvl w:val="1"/>
                <w:numId w:val="20"/>
              </w:numPr>
              <w:tabs>
                <w:tab w:val="center" w:pos="4320"/>
                <w:tab w:val="right" w:pos="8640"/>
              </w:tabs>
              <w:spacing w:before="60"/>
              <w:contextualSpacing w:val="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9776BF">
              <w:rPr>
                <w:rFonts w:ascii="Arial" w:hAnsi="Arial" w:cs="Arial"/>
                <w:color w:val="000000"/>
                <w:sz w:val="20"/>
                <w:lang w:val="es-CR"/>
              </w:rPr>
              <w:lastRenderedPageBreak/>
              <w:t>Designación del MIDEPLAN como organismo rector y coordinador para la reforma administrativa, orientada a la racionalización de la estructura organizacional de las entidades del Sector Público, mediante decreto ejecutivo</w:t>
            </w:r>
          </w:p>
        </w:tc>
        <w:tc>
          <w:tcPr>
            <w:tcW w:w="4410" w:type="dxa"/>
          </w:tcPr>
          <w:p w14:paraId="0ED6CDBF" w14:textId="54E1AB5E" w:rsidR="00A40CD1" w:rsidRPr="00A40CD1" w:rsidRDefault="001F5C57" w:rsidP="00A81707">
            <w:pPr>
              <w:pStyle w:val="ListParagraph"/>
              <w:numPr>
                <w:ilvl w:val="1"/>
                <w:numId w:val="20"/>
              </w:numPr>
              <w:spacing w:after="60"/>
              <w:rPr>
                <w:rFonts w:ascii="Arial" w:hAnsi="Arial" w:cs="Arial"/>
                <w:sz w:val="20"/>
                <w:lang w:val="es-MX"/>
              </w:rPr>
            </w:pPr>
            <w:r w:rsidRPr="007E52D4">
              <w:rPr>
                <w:rFonts w:ascii="Arial" w:hAnsi="Arial" w:cs="Arial"/>
                <w:sz w:val="20"/>
                <w:lang w:val="es-ES"/>
              </w:rPr>
              <w:t>Publicación del decreto donde se designa al MIDEPLAN como coordinador de la Reforma de Administración Pública.</w:t>
            </w:r>
            <w:r w:rsidRPr="007E52D4">
              <w:rPr>
                <w:rFonts w:ascii="Arial" w:hAnsi="Arial" w:cs="Arial"/>
                <w:sz w:val="20"/>
                <w:lang w:val="es-MX"/>
              </w:rPr>
              <w:t xml:space="preserve"> </w:t>
            </w:r>
            <w:hyperlink r:id="rId15" w:history="1">
              <w:r w:rsidR="007D628E" w:rsidRPr="007E52D4">
                <w:rPr>
                  <w:rStyle w:val="Hyperlink"/>
                  <w:rFonts w:ascii="Arial" w:hAnsi="Arial" w:cs="Arial"/>
                  <w:sz w:val="20"/>
                  <w:lang w:val="es-MX"/>
                </w:rPr>
                <w:t>Enlace</w:t>
              </w:r>
            </w:hyperlink>
            <w:r w:rsidR="00132D89">
              <w:rPr>
                <w:rStyle w:val="Hyperlink"/>
                <w:rFonts w:ascii="Arial" w:hAnsi="Arial" w:cs="Arial"/>
                <w:sz w:val="20"/>
                <w:lang w:val="es-MX"/>
              </w:rPr>
              <w:t>.</w:t>
            </w:r>
            <w:r w:rsidRPr="007E52D4">
              <w:rPr>
                <w:rFonts w:ascii="Arial" w:hAnsi="Arial" w:cs="Arial"/>
                <w:sz w:val="20"/>
                <w:lang w:val="es-MX"/>
              </w:rPr>
              <w:t xml:space="preserve"> </w:t>
            </w:r>
          </w:p>
        </w:tc>
        <w:tc>
          <w:tcPr>
            <w:tcW w:w="2273" w:type="dxa"/>
          </w:tcPr>
          <w:p w14:paraId="605D3F16" w14:textId="68E41496" w:rsidR="001F5C57" w:rsidRDefault="001F5C57" w:rsidP="00A81707">
            <w:pPr>
              <w:spacing w:before="20" w:after="20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Presidencia de la República</w:t>
            </w:r>
            <w:r w:rsidRPr="006C617A">
              <w:rPr>
                <w:rFonts w:ascii="Arial" w:hAnsi="Arial" w:cs="Arial"/>
                <w:sz w:val="20"/>
                <w:lang w:val="es-ES"/>
              </w:rPr>
              <w:t>.</w:t>
            </w:r>
          </w:p>
          <w:p w14:paraId="619FDB25" w14:textId="3FAB9B74" w:rsidR="001F5C57" w:rsidRPr="009A0C78" w:rsidRDefault="001F5C57" w:rsidP="00A81707">
            <w:pPr>
              <w:spacing w:before="20" w:after="20"/>
              <w:rPr>
                <w:highlight w:val="yellow"/>
              </w:rPr>
            </w:pPr>
          </w:p>
        </w:tc>
      </w:tr>
      <w:tr w:rsidR="001F5C57" w:rsidRPr="00D12941" w14:paraId="51EAADD3" w14:textId="77777777" w:rsidTr="53572D26">
        <w:trPr>
          <w:trHeight w:val="20"/>
        </w:trPr>
        <w:tc>
          <w:tcPr>
            <w:tcW w:w="10957" w:type="dxa"/>
            <w:gridSpan w:val="2"/>
            <w:vAlign w:val="center"/>
          </w:tcPr>
          <w:p w14:paraId="7D87B83F" w14:textId="61F3D810" w:rsidR="001F5C57" w:rsidRDefault="00F01391" w:rsidP="00A81707">
            <w:pPr>
              <w:rPr>
                <w:rFonts w:ascii="Arial" w:hAnsi="Arial" w:cs="Arial"/>
                <w:b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 xml:space="preserve">d. </w:t>
            </w:r>
            <w:r w:rsidR="00D754A5">
              <w:rPr>
                <w:rFonts w:ascii="Arial" w:hAnsi="Arial" w:cs="Arial"/>
                <w:b/>
                <w:sz w:val="20"/>
                <w:lang w:val="es-ES"/>
              </w:rPr>
              <w:t>Ref</w:t>
            </w:r>
            <w:r>
              <w:rPr>
                <w:rFonts w:ascii="Arial" w:hAnsi="Arial" w:cs="Arial"/>
                <w:b/>
                <w:sz w:val="20"/>
                <w:lang w:val="es-ES"/>
              </w:rPr>
              <w:t>o</w:t>
            </w:r>
            <w:r w:rsidR="00D754A5">
              <w:rPr>
                <w:rFonts w:ascii="Arial" w:hAnsi="Arial" w:cs="Arial"/>
                <w:b/>
                <w:sz w:val="20"/>
                <w:lang w:val="es-ES"/>
              </w:rPr>
              <w:t>rma del régimen de p</w:t>
            </w:r>
            <w:r w:rsidR="001F5C57">
              <w:rPr>
                <w:rFonts w:ascii="Arial" w:hAnsi="Arial" w:cs="Arial"/>
                <w:b/>
                <w:sz w:val="20"/>
                <w:lang w:val="es-ES"/>
              </w:rPr>
              <w:t xml:space="preserve">ensiones </w:t>
            </w:r>
            <w:r w:rsidR="00D754A5">
              <w:rPr>
                <w:rFonts w:ascii="Arial" w:hAnsi="Arial" w:cs="Arial"/>
                <w:b/>
                <w:sz w:val="20"/>
                <w:lang w:val="es-ES"/>
              </w:rPr>
              <w:t xml:space="preserve">y jubilaciones </w:t>
            </w:r>
            <w:r w:rsidR="001F5C57">
              <w:rPr>
                <w:rFonts w:ascii="Arial" w:hAnsi="Arial" w:cs="Arial"/>
                <w:b/>
                <w:sz w:val="20"/>
                <w:lang w:val="es-ES"/>
              </w:rPr>
              <w:t>del Poder Judicial</w:t>
            </w:r>
          </w:p>
        </w:tc>
        <w:tc>
          <w:tcPr>
            <w:tcW w:w="2273" w:type="dxa"/>
            <w:vAlign w:val="center"/>
          </w:tcPr>
          <w:p w14:paraId="41C8F396" w14:textId="77777777" w:rsidR="001F5C57" w:rsidRDefault="001F5C57" w:rsidP="00A81707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1F5C57" w:rsidRPr="00D36571" w14:paraId="644FA764" w14:textId="77777777" w:rsidTr="009A0C78">
        <w:trPr>
          <w:trHeight w:val="2879"/>
        </w:trPr>
        <w:tc>
          <w:tcPr>
            <w:tcW w:w="6547" w:type="dxa"/>
          </w:tcPr>
          <w:p w14:paraId="6D181653" w14:textId="39FA36FB" w:rsidR="001F5C57" w:rsidRDefault="009776BF" w:rsidP="00A81707">
            <w:pPr>
              <w:pStyle w:val="ListParagraph"/>
              <w:numPr>
                <w:ilvl w:val="1"/>
                <w:numId w:val="20"/>
              </w:numPr>
              <w:tabs>
                <w:tab w:val="center" w:pos="4320"/>
                <w:tab w:val="right" w:pos="8640"/>
              </w:tabs>
              <w:spacing w:before="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9776BF">
              <w:rPr>
                <w:rFonts w:ascii="Arial" w:hAnsi="Arial" w:cs="Arial"/>
                <w:color w:val="000000"/>
                <w:sz w:val="20"/>
                <w:lang w:val="es-CR"/>
              </w:rPr>
              <w:t>Aprobación de la Ley de Reforma del Régimen de Jubilaciones y Pensiones del Poder Judicial con el objetivo de lograr la sostenibilidad financiera en el largo plazo, que contemple, al menos, los siguientes elementos</w:t>
            </w:r>
            <w:r w:rsidR="001F5C57" w:rsidRPr="009133AD">
              <w:rPr>
                <w:rFonts w:ascii="Arial" w:hAnsi="Arial" w:cs="Arial"/>
                <w:color w:val="000000"/>
                <w:sz w:val="20"/>
                <w:lang w:val="es-CR"/>
              </w:rPr>
              <w:t>:</w:t>
            </w:r>
          </w:p>
          <w:p w14:paraId="5FA1E695" w14:textId="77777777" w:rsidR="007D628E" w:rsidRPr="009133AD" w:rsidRDefault="007D628E" w:rsidP="00A81707">
            <w:pPr>
              <w:pStyle w:val="ListParagraph"/>
              <w:tabs>
                <w:tab w:val="center" w:pos="4320"/>
                <w:tab w:val="right" w:pos="8640"/>
              </w:tabs>
              <w:spacing w:before="60"/>
              <w:ind w:left="360"/>
              <w:rPr>
                <w:rFonts w:ascii="Arial" w:hAnsi="Arial" w:cs="Arial"/>
                <w:color w:val="000000"/>
                <w:sz w:val="20"/>
                <w:lang w:val="es-CR"/>
              </w:rPr>
            </w:pPr>
          </w:p>
          <w:p w14:paraId="501D58ED" w14:textId="77777777" w:rsidR="001F5C57" w:rsidRPr="00705EBF" w:rsidRDefault="001F5C57" w:rsidP="00A81707">
            <w:pPr>
              <w:pStyle w:val="ListParagraph"/>
              <w:numPr>
                <w:ilvl w:val="0"/>
                <w:numId w:val="16"/>
              </w:numPr>
              <w:tabs>
                <w:tab w:val="center" w:pos="4320"/>
                <w:tab w:val="right" w:pos="8640"/>
              </w:tabs>
              <w:spacing w:before="60"/>
              <w:ind w:left="76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705EBF">
              <w:rPr>
                <w:rFonts w:ascii="Arial" w:hAnsi="Arial" w:cs="Arial"/>
                <w:color w:val="000000"/>
                <w:sz w:val="20"/>
                <w:lang w:val="es-CR"/>
              </w:rPr>
              <w:t xml:space="preserve">Creación de una contribución especial y progresiva a las a pensiones más altas. </w:t>
            </w:r>
          </w:p>
          <w:p w14:paraId="10E94FCC" w14:textId="77777777" w:rsidR="001F5C57" w:rsidRPr="00705EBF" w:rsidRDefault="001F5C57" w:rsidP="00A81707">
            <w:pPr>
              <w:pStyle w:val="ListParagraph"/>
              <w:numPr>
                <w:ilvl w:val="0"/>
                <w:numId w:val="16"/>
              </w:numPr>
              <w:tabs>
                <w:tab w:val="center" w:pos="4320"/>
                <w:tab w:val="right" w:pos="8640"/>
              </w:tabs>
              <w:spacing w:before="60"/>
              <w:ind w:left="76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705EBF">
              <w:rPr>
                <w:rFonts w:ascii="Arial" w:hAnsi="Arial" w:cs="Arial"/>
                <w:color w:val="000000"/>
                <w:sz w:val="20"/>
                <w:lang w:val="es-CR"/>
              </w:rPr>
              <w:t>Ampliación de la base de contribución (aumento de tasa de aporte y número de contribuciones)</w:t>
            </w:r>
            <w:r>
              <w:rPr>
                <w:rFonts w:ascii="Arial" w:hAnsi="Arial" w:cs="Arial"/>
                <w:color w:val="000000"/>
                <w:sz w:val="20"/>
                <w:lang w:val="es-CR"/>
              </w:rPr>
              <w:t>.</w:t>
            </w:r>
            <w:r w:rsidRPr="00705EBF">
              <w:rPr>
                <w:rFonts w:ascii="Arial" w:hAnsi="Arial" w:cs="Arial"/>
                <w:color w:val="000000"/>
                <w:sz w:val="20"/>
                <w:lang w:val="es-CR"/>
              </w:rPr>
              <w:t xml:space="preserve"> </w:t>
            </w:r>
          </w:p>
          <w:p w14:paraId="2BFF6A97" w14:textId="77777777" w:rsidR="001F5C57" w:rsidRDefault="001F5C57" w:rsidP="00A81707">
            <w:pPr>
              <w:pStyle w:val="ListParagraph"/>
              <w:numPr>
                <w:ilvl w:val="0"/>
                <w:numId w:val="16"/>
              </w:numPr>
              <w:tabs>
                <w:tab w:val="center" w:pos="4320"/>
                <w:tab w:val="right" w:pos="8640"/>
              </w:tabs>
              <w:spacing w:before="60"/>
              <w:ind w:left="76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705EBF">
              <w:rPr>
                <w:rFonts w:ascii="Arial" w:hAnsi="Arial" w:cs="Arial"/>
                <w:color w:val="000000"/>
                <w:sz w:val="20"/>
                <w:lang w:val="es-CR"/>
              </w:rPr>
              <w:t>Aumento de la edad de jubilación ordinaria y de la edad mínima para acogerse a la pensión anticipada.</w:t>
            </w:r>
          </w:p>
          <w:p w14:paraId="6A9B3D6D" w14:textId="042574D3" w:rsidR="001F5C57" w:rsidRPr="00986ACF" w:rsidRDefault="001F5C57" w:rsidP="00A81707">
            <w:pPr>
              <w:pStyle w:val="ListParagraph"/>
              <w:numPr>
                <w:ilvl w:val="0"/>
                <w:numId w:val="16"/>
              </w:numPr>
              <w:tabs>
                <w:tab w:val="center" w:pos="4320"/>
                <w:tab w:val="right" w:pos="8640"/>
              </w:tabs>
              <w:spacing w:before="60"/>
              <w:ind w:left="768" w:hanging="360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986ACF">
              <w:rPr>
                <w:rFonts w:ascii="Arial" w:hAnsi="Arial" w:cs="Arial"/>
                <w:color w:val="000000"/>
                <w:sz w:val="20"/>
                <w:lang w:val="es-CR"/>
              </w:rPr>
              <w:t>Inclusión de revisión actuarial periódica para evaluar la sostenibilidad del sistema.</w:t>
            </w:r>
          </w:p>
        </w:tc>
        <w:tc>
          <w:tcPr>
            <w:tcW w:w="4410" w:type="dxa"/>
          </w:tcPr>
          <w:p w14:paraId="6BCEE057" w14:textId="3B618DD5" w:rsidR="001F5C57" w:rsidRPr="009133AD" w:rsidRDefault="001F5C57" w:rsidP="00A81707">
            <w:pPr>
              <w:tabs>
                <w:tab w:val="center" w:pos="4320"/>
                <w:tab w:val="right" w:pos="8640"/>
              </w:tabs>
              <w:spacing w:before="60"/>
              <w:ind w:left="341" w:hanging="341"/>
              <w:rPr>
                <w:rFonts w:ascii="Arial" w:hAnsi="Arial" w:cs="Arial"/>
                <w:color w:val="000000"/>
                <w:sz w:val="20"/>
                <w:lang w:val="es-CR"/>
              </w:rPr>
            </w:pPr>
            <w:r w:rsidRPr="006D5F0D">
              <w:rPr>
                <w:rFonts w:ascii="Arial" w:hAnsi="Arial" w:cs="Arial"/>
                <w:color w:val="000000"/>
                <w:sz w:val="20"/>
                <w:lang w:val="es-CR"/>
              </w:rPr>
              <w:t xml:space="preserve">2.9 </w:t>
            </w:r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 xml:space="preserve">Publicación en el Diario Oficial La Gaceta de la reforma del Régimen de Jubilaciones y Pensiones del Poder Judicial. </w:t>
            </w:r>
            <w:hyperlink r:id="rId16" w:history="1">
              <w:r w:rsidRPr="00A81707">
                <w:rPr>
                  <w:rFonts w:ascii="Arial" w:hAnsi="Arial" w:cs="Arial"/>
                  <w:color w:val="4472C4" w:themeColor="accent1"/>
                  <w:sz w:val="20"/>
                  <w:u w:val="single"/>
                  <w:lang w:val="es-CR"/>
                </w:rPr>
                <w:t>Enlace</w:t>
              </w:r>
            </w:hyperlink>
            <w:r w:rsidRPr="009133AD">
              <w:rPr>
                <w:rFonts w:ascii="Arial" w:hAnsi="Arial" w:cs="Arial"/>
                <w:color w:val="000000"/>
                <w:sz w:val="20"/>
                <w:lang w:val="es-CR"/>
              </w:rPr>
              <w:t>.</w:t>
            </w:r>
          </w:p>
        </w:tc>
        <w:tc>
          <w:tcPr>
            <w:tcW w:w="2273" w:type="dxa"/>
          </w:tcPr>
          <w:p w14:paraId="60061E4C" w14:textId="5F2128AD" w:rsidR="001F5C57" w:rsidRPr="007D628E" w:rsidRDefault="00625EE9" w:rsidP="00A81707">
            <w:pPr>
              <w:spacing w:after="60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Poder Ejecutivo</w:t>
            </w:r>
          </w:p>
        </w:tc>
      </w:tr>
    </w:tbl>
    <w:p w14:paraId="53128261" w14:textId="77777777" w:rsidR="0061705B" w:rsidRDefault="0061705B" w:rsidP="00A81707">
      <w:pPr>
        <w:rPr>
          <w:rFonts w:ascii="Arial" w:hAnsi="Arial" w:cs="Arial"/>
          <w:lang w:val="es-419"/>
        </w:rPr>
      </w:pPr>
    </w:p>
    <w:sectPr w:rsidR="0061705B">
      <w:headerReference w:type="default" r:id="rId1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C83B8" w14:textId="77777777" w:rsidR="001B3CCA" w:rsidRDefault="001B3CCA">
      <w:r>
        <w:separator/>
      </w:r>
    </w:p>
  </w:endnote>
  <w:endnote w:type="continuationSeparator" w:id="0">
    <w:p w14:paraId="6CACD46C" w14:textId="77777777" w:rsidR="001B3CCA" w:rsidRDefault="001B3CCA">
      <w:r>
        <w:continuationSeparator/>
      </w:r>
    </w:p>
  </w:endnote>
  <w:endnote w:type="continuationNotice" w:id="1">
    <w:p w14:paraId="5FFF776B" w14:textId="77777777" w:rsidR="001B3CCA" w:rsidRDefault="001B3C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FCD0D" w14:textId="77777777" w:rsidR="001B3CCA" w:rsidRDefault="001B3CCA">
      <w:r>
        <w:separator/>
      </w:r>
    </w:p>
  </w:footnote>
  <w:footnote w:type="continuationSeparator" w:id="0">
    <w:p w14:paraId="09CFE6F4" w14:textId="77777777" w:rsidR="001B3CCA" w:rsidRDefault="001B3CCA">
      <w:r>
        <w:continuationSeparator/>
      </w:r>
    </w:p>
  </w:footnote>
  <w:footnote w:type="continuationNotice" w:id="1">
    <w:p w14:paraId="152FF08F" w14:textId="77777777" w:rsidR="001B3CCA" w:rsidRDefault="001B3CCA"/>
  </w:footnote>
  <w:footnote w:id="2">
    <w:p w14:paraId="117F4A83" w14:textId="4AC8E5DD" w:rsidR="002B1F6B" w:rsidRPr="007D628E" w:rsidRDefault="002B1F6B" w:rsidP="007E52D4">
      <w:pPr>
        <w:pStyle w:val="FootnoteText"/>
        <w:ind w:left="180" w:hanging="270"/>
        <w:jc w:val="both"/>
        <w:rPr>
          <w:rFonts w:ascii="Arial" w:hAnsi="Arial" w:cs="Arial"/>
          <w:sz w:val="18"/>
          <w:szCs w:val="18"/>
          <w:lang w:val="es-CR"/>
        </w:rPr>
      </w:pPr>
      <w:r w:rsidRPr="007D628E">
        <w:rPr>
          <w:rStyle w:val="FootnoteReference"/>
          <w:rFonts w:ascii="Arial" w:hAnsi="Arial" w:cs="Arial"/>
          <w:sz w:val="18"/>
          <w:szCs w:val="18"/>
        </w:rPr>
        <w:footnoteRef/>
      </w:r>
      <w:r w:rsidRPr="007D628E">
        <w:rPr>
          <w:rFonts w:ascii="Arial" w:hAnsi="Arial" w:cs="Arial"/>
          <w:sz w:val="18"/>
          <w:szCs w:val="18"/>
          <w:lang w:val="es-CR"/>
        </w:rPr>
        <w:t xml:space="preserve"> </w:t>
      </w:r>
      <w:r w:rsidR="007D628E">
        <w:rPr>
          <w:rFonts w:ascii="Arial" w:hAnsi="Arial" w:cs="Arial"/>
          <w:sz w:val="18"/>
          <w:szCs w:val="18"/>
          <w:lang w:val="es-CR"/>
        </w:rPr>
        <w:tab/>
      </w:r>
      <w:r w:rsidRPr="007D628E">
        <w:rPr>
          <w:rFonts w:ascii="Arial" w:hAnsi="Arial" w:cs="Arial"/>
          <w:sz w:val="18"/>
          <w:szCs w:val="18"/>
          <w:lang w:val="es-MX"/>
        </w:rPr>
        <w:t>Excepto empresas públicas cuya razón deuda activos es menor al 50% porque no representan un riesgo fiscal.</w:t>
      </w:r>
    </w:p>
  </w:footnote>
  <w:footnote w:id="3">
    <w:p w14:paraId="6B1CEAC8" w14:textId="18272994" w:rsidR="00D54DF7" w:rsidRPr="007D628E" w:rsidRDefault="00D54DF7" w:rsidP="007E52D4">
      <w:pPr>
        <w:pStyle w:val="FootnoteText"/>
        <w:ind w:left="180" w:hanging="270"/>
        <w:jc w:val="both"/>
        <w:rPr>
          <w:rStyle w:val="FootnoteReference"/>
          <w:rFonts w:ascii="Arial" w:hAnsi="Arial" w:cs="Arial"/>
          <w:sz w:val="18"/>
          <w:szCs w:val="18"/>
          <w:lang w:val="es-CR"/>
        </w:rPr>
      </w:pPr>
      <w:r w:rsidRPr="007D628E">
        <w:rPr>
          <w:rStyle w:val="FootnoteReference"/>
          <w:rFonts w:ascii="Arial" w:hAnsi="Arial" w:cs="Arial"/>
          <w:sz w:val="18"/>
          <w:szCs w:val="18"/>
        </w:rPr>
        <w:footnoteRef/>
      </w:r>
      <w:r w:rsidRPr="007D628E">
        <w:rPr>
          <w:rFonts w:ascii="Arial" w:hAnsi="Arial" w:cs="Arial"/>
          <w:sz w:val="18"/>
          <w:szCs w:val="18"/>
          <w:lang w:val="es-CR"/>
        </w:rPr>
        <w:t xml:space="preserve"> </w:t>
      </w:r>
      <w:r w:rsidR="007D628E">
        <w:rPr>
          <w:rFonts w:ascii="Arial" w:hAnsi="Arial" w:cs="Arial"/>
          <w:sz w:val="18"/>
          <w:szCs w:val="18"/>
          <w:lang w:val="es-CR"/>
        </w:rPr>
        <w:tab/>
      </w:r>
      <w:r w:rsidRPr="007D628E">
        <w:rPr>
          <w:rFonts w:ascii="Arial" w:hAnsi="Arial" w:cs="Arial"/>
          <w:sz w:val="18"/>
          <w:szCs w:val="18"/>
          <w:lang w:val="es-CR"/>
        </w:rPr>
        <w:t>La deducción financiera permite no solamente deducir el IVA pagado por la compra de insumos, sino que también permite la deducción de todos los bienes y servicios tanto directa como indirectamente en la producción del bien o servicio gravado.</w:t>
      </w:r>
      <w:r w:rsidRPr="007D628E">
        <w:rPr>
          <w:rStyle w:val="FootnoteReference"/>
          <w:rFonts w:ascii="Arial" w:hAnsi="Arial" w:cs="Arial"/>
          <w:sz w:val="18"/>
          <w:szCs w:val="18"/>
          <w:lang w:val="es-CR"/>
        </w:rPr>
        <w:t xml:space="preserve"> </w:t>
      </w:r>
    </w:p>
  </w:footnote>
  <w:footnote w:id="4">
    <w:p w14:paraId="60B51356" w14:textId="77777777" w:rsidR="00143D23" w:rsidRPr="00BA6722" w:rsidRDefault="00143D23" w:rsidP="007E52D4">
      <w:pPr>
        <w:pStyle w:val="FootnoteText"/>
        <w:ind w:left="180" w:hanging="270"/>
        <w:rPr>
          <w:rFonts w:ascii="Arial" w:hAnsi="Arial" w:cs="Arial"/>
          <w:sz w:val="18"/>
          <w:szCs w:val="18"/>
          <w:lang w:val="es-CR"/>
        </w:rPr>
      </w:pPr>
      <w:r w:rsidRPr="00BA6722">
        <w:rPr>
          <w:rStyle w:val="FootnoteReference"/>
          <w:rFonts w:ascii="Arial" w:hAnsi="Arial" w:cs="Arial"/>
          <w:sz w:val="18"/>
          <w:szCs w:val="18"/>
        </w:rPr>
        <w:footnoteRef/>
      </w:r>
      <w:r w:rsidRPr="00BA6722">
        <w:rPr>
          <w:rFonts w:ascii="Arial" w:hAnsi="Arial" w:cs="Arial"/>
          <w:sz w:val="18"/>
          <w:szCs w:val="18"/>
          <w:lang w:val="es-CR"/>
        </w:rPr>
        <w:t xml:space="preserve"> </w:t>
      </w:r>
      <w:r w:rsidRPr="00BA6722">
        <w:rPr>
          <w:rFonts w:ascii="Arial" w:hAnsi="Arial" w:cs="Arial"/>
          <w:sz w:val="18"/>
          <w:szCs w:val="18"/>
          <w:lang w:val="es-CR"/>
        </w:rPr>
        <w:tab/>
        <w:t>Los contribuyentes obligados no incluyen al sector financiero ni los del Régimen de Tributación Simplificada (RTS, Leyes 7092 y 6826).</w:t>
      </w:r>
    </w:p>
  </w:footnote>
  <w:footnote w:id="5">
    <w:p w14:paraId="1C8B6942" w14:textId="77777777" w:rsidR="00143D23" w:rsidRPr="00BA6722" w:rsidRDefault="00143D23" w:rsidP="007E52D4">
      <w:pPr>
        <w:pStyle w:val="FootnoteText"/>
        <w:ind w:left="180" w:hanging="270"/>
        <w:jc w:val="both"/>
        <w:rPr>
          <w:rFonts w:ascii="Arial" w:hAnsi="Arial" w:cs="Arial"/>
          <w:sz w:val="18"/>
          <w:szCs w:val="18"/>
          <w:lang w:val="es-ES_tradnl"/>
        </w:rPr>
      </w:pPr>
      <w:r w:rsidRPr="00BA6722">
        <w:rPr>
          <w:rStyle w:val="FootnoteReference"/>
          <w:rFonts w:ascii="Arial" w:hAnsi="Arial" w:cs="Arial"/>
          <w:sz w:val="18"/>
          <w:szCs w:val="18"/>
        </w:rPr>
        <w:footnoteRef/>
      </w:r>
      <w:r w:rsidRPr="00BA6722">
        <w:rPr>
          <w:rStyle w:val="FootnoteReference"/>
          <w:rFonts w:ascii="Arial" w:hAnsi="Arial" w:cs="Arial"/>
          <w:sz w:val="18"/>
          <w:szCs w:val="18"/>
          <w:lang w:val="es-ES_tradnl"/>
        </w:rPr>
        <w:t xml:space="preserve"> </w:t>
      </w:r>
      <w:r w:rsidRPr="00BA6722">
        <w:rPr>
          <w:rFonts w:ascii="Arial" w:hAnsi="Arial" w:cs="Arial"/>
          <w:sz w:val="18"/>
          <w:szCs w:val="18"/>
          <w:lang w:val="es-ES_tradnl"/>
        </w:rPr>
        <w:tab/>
      </w:r>
      <w:r w:rsidRPr="00BA6722">
        <w:rPr>
          <w:rFonts w:ascii="Arial" w:hAnsi="Arial" w:cs="Arial"/>
          <w:sz w:val="18"/>
          <w:szCs w:val="18"/>
          <w:lang w:val="es-CR"/>
        </w:rPr>
        <w:t>Patronato Nacional de la Infancia</w:t>
      </w:r>
      <w:r w:rsidRPr="00BA6722">
        <w:rPr>
          <w:rFonts w:ascii="Arial" w:hAnsi="Arial" w:cs="Arial"/>
          <w:sz w:val="18"/>
          <w:szCs w:val="18"/>
          <w:lang w:val="es-ES_tradnl"/>
        </w:rPr>
        <w:t xml:space="preserve"> (PANI).</w:t>
      </w:r>
    </w:p>
  </w:footnote>
  <w:footnote w:id="6">
    <w:p w14:paraId="61ED3800" w14:textId="77777777" w:rsidR="00143D23" w:rsidRPr="00BA6722" w:rsidRDefault="00143D23" w:rsidP="007E52D4">
      <w:pPr>
        <w:pStyle w:val="FootnoteText"/>
        <w:ind w:left="180" w:hanging="270"/>
        <w:jc w:val="both"/>
        <w:rPr>
          <w:rFonts w:ascii="Arial" w:hAnsi="Arial" w:cs="Arial"/>
          <w:sz w:val="18"/>
          <w:szCs w:val="18"/>
          <w:lang w:val="es-CR"/>
        </w:rPr>
      </w:pPr>
      <w:r w:rsidRPr="00BA6722">
        <w:rPr>
          <w:rStyle w:val="FootnoteReference"/>
          <w:rFonts w:ascii="Arial" w:hAnsi="Arial" w:cs="Arial"/>
          <w:sz w:val="18"/>
          <w:szCs w:val="18"/>
        </w:rPr>
        <w:footnoteRef/>
      </w:r>
      <w:r w:rsidRPr="00BA6722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BA6722">
        <w:rPr>
          <w:rFonts w:ascii="Arial" w:hAnsi="Arial" w:cs="Arial"/>
          <w:sz w:val="18"/>
          <w:szCs w:val="18"/>
          <w:lang w:val="es-ES_tradnl"/>
        </w:rPr>
        <w:tab/>
      </w:r>
      <w:r w:rsidRPr="00BA6722">
        <w:rPr>
          <w:rFonts w:ascii="Arial" w:hAnsi="Arial" w:cs="Arial"/>
          <w:sz w:val="18"/>
          <w:szCs w:val="18"/>
          <w:lang w:val="es-CR"/>
        </w:rPr>
        <w:t>Instituto Nación de Aprendizaje (INA).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7780A" w14:textId="26C454F9" w:rsidR="009A0C78" w:rsidRPr="00C168AD" w:rsidRDefault="007E52D4" w:rsidP="007D55C1">
    <w:pPr>
      <w:pStyle w:val="Header"/>
      <w:jc w:val="right"/>
      <w:rPr>
        <w:rFonts w:ascii="Arial" w:hAnsi="Arial" w:cs="Arial"/>
        <w:sz w:val="18"/>
        <w:szCs w:val="18"/>
        <w:lang w:val="es-US"/>
      </w:rPr>
    </w:pPr>
    <w:r w:rsidRPr="00C168AD">
      <w:rPr>
        <w:rFonts w:ascii="Arial" w:hAnsi="Arial" w:cs="Arial"/>
        <w:sz w:val="18"/>
        <w:szCs w:val="18"/>
        <w:lang w:val="es-US"/>
      </w:rPr>
      <w:t xml:space="preserve">EER#2 - </w:t>
    </w:r>
    <w:r w:rsidR="009A0C78" w:rsidRPr="00C168AD">
      <w:rPr>
        <w:rFonts w:ascii="Arial" w:hAnsi="Arial" w:cs="Arial"/>
        <w:sz w:val="18"/>
        <w:szCs w:val="18"/>
        <w:lang w:val="es-US"/>
      </w:rPr>
      <w:t>CR-L1081</w:t>
    </w:r>
  </w:p>
  <w:p w14:paraId="2C84794F" w14:textId="0F8EDA5E" w:rsidR="007D55C1" w:rsidRDefault="004E2916" w:rsidP="007D55C1">
    <w:pPr>
      <w:pStyle w:val="Header"/>
      <w:jc w:val="right"/>
      <w:rPr>
        <w:rFonts w:ascii="Arial" w:hAnsi="Arial" w:cs="Arial"/>
        <w:noProof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 xml:space="preserve">Página </w:t>
    </w:r>
    <w:r>
      <w:rPr>
        <w:rFonts w:ascii="Arial" w:hAnsi="Arial" w:cs="Arial"/>
        <w:sz w:val="18"/>
        <w:szCs w:val="18"/>
        <w:lang w:val="es-ES_tradnl"/>
      </w:rPr>
      <w:fldChar w:fldCharType="begin"/>
    </w:r>
    <w:r>
      <w:rPr>
        <w:rFonts w:ascii="Arial" w:hAnsi="Arial" w:cs="Arial"/>
        <w:sz w:val="18"/>
        <w:szCs w:val="18"/>
        <w:lang w:val="es-ES_tradnl"/>
      </w:rPr>
      <w:instrText xml:space="preserve"> PAGE   \* MERGEFORMAT </w:instrText>
    </w:r>
    <w:r>
      <w:rPr>
        <w:rFonts w:ascii="Arial" w:hAnsi="Arial" w:cs="Arial"/>
        <w:sz w:val="18"/>
        <w:szCs w:val="18"/>
        <w:lang w:val="es-ES_tradnl"/>
      </w:rPr>
      <w:fldChar w:fldCharType="separate"/>
    </w:r>
    <w:r>
      <w:rPr>
        <w:rFonts w:ascii="Arial" w:hAnsi="Arial" w:cs="Arial"/>
        <w:noProof/>
        <w:sz w:val="18"/>
        <w:szCs w:val="18"/>
        <w:lang w:val="es-ES_tradnl"/>
      </w:rPr>
      <w:t>1</w:t>
    </w:r>
    <w:r>
      <w:rPr>
        <w:rFonts w:ascii="Arial" w:hAnsi="Arial" w:cs="Arial"/>
        <w:noProof/>
        <w:sz w:val="18"/>
        <w:szCs w:val="18"/>
        <w:lang w:val="es-ES_tradnl"/>
      </w:rPr>
      <w:fldChar w:fldCharType="end"/>
    </w:r>
    <w:r>
      <w:rPr>
        <w:rFonts w:ascii="Arial" w:hAnsi="Arial" w:cs="Arial"/>
        <w:noProof/>
        <w:sz w:val="18"/>
        <w:szCs w:val="18"/>
        <w:lang w:val="es-ES_tradnl"/>
      </w:rPr>
      <w:t xml:space="preserve"> de </w:t>
    </w:r>
    <w:r w:rsidR="007D55C1">
      <w:rPr>
        <w:rFonts w:ascii="Arial" w:hAnsi="Arial" w:cs="Arial"/>
        <w:noProof/>
        <w:sz w:val="18"/>
        <w:szCs w:val="18"/>
        <w:lang w:val="es-ES_tradn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7181"/>
    <w:multiLevelType w:val="hybridMultilevel"/>
    <w:tmpl w:val="EC5E6FF8"/>
    <w:lvl w:ilvl="0" w:tplc="EA14AF66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1EE9"/>
    <w:multiLevelType w:val="hybridMultilevel"/>
    <w:tmpl w:val="10C0EFC6"/>
    <w:lvl w:ilvl="0" w:tplc="2442832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16D1"/>
    <w:multiLevelType w:val="multilevel"/>
    <w:tmpl w:val="75EEBD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8A6AF6"/>
    <w:multiLevelType w:val="multilevel"/>
    <w:tmpl w:val="51463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6319F"/>
    <w:multiLevelType w:val="multilevel"/>
    <w:tmpl w:val="41BE6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47E5D04"/>
    <w:multiLevelType w:val="hybridMultilevel"/>
    <w:tmpl w:val="B9F8E9A4"/>
    <w:lvl w:ilvl="0" w:tplc="C3C6FF3C">
      <w:start w:val="1"/>
      <w:numFmt w:val="decimal"/>
      <w:lvlText w:val="3.%1"/>
      <w:lvlJc w:val="left"/>
      <w:pPr>
        <w:ind w:left="702" w:hanging="360"/>
      </w:pPr>
      <w:rPr>
        <w:rFonts w:ascii="Arial" w:hAnsi="Arial" w:cs="Arial" w:hint="default"/>
        <w:sz w:val="20"/>
      </w:rPr>
    </w:lvl>
    <w:lvl w:ilvl="1" w:tplc="040A0019" w:tentative="1">
      <w:start w:val="1"/>
      <w:numFmt w:val="lowerLetter"/>
      <w:lvlText w:val="%2."/>
      <w:lvlJc w:val="left"/>
      <w:pPr>
        <w:ind w:left="1422" w:hanging="360"/>
      </w:pPr>
    </w:lvl>
    <w:lvl w:ilvl="2" w:tplc="040A001B" w:tentative="1">
      <w:start w:val="1"/>
      <w:numFmt w:val="lowerRoman"/>
      <w:lvlText w:val="%3."/>
      <w:lvlJc w:val="right"/>
      <w:pPr>
        <w:ind w:left="2142" w:hanging="180"/>
      </w:pPr>
    </w:lvl>
    <w:lvl w:ilvl="3" w:tplc="040A000F" w:tentative="1">
      <w:start w:val="1"/>
      <w:numFmt w:val="decimal"/>
      <w:lvlText w:val="%4."/>
      <w:lvlJc w:val="left"/>
      <w:pPr>
        <w:ind w:left="2862" w:hanging="360"/>
      </w:pPr>
    </w:lvl>
    <w:lvl w:ilvl="4" w:tplc="040A0019" w:tentative="1">
      <w:start w:val="1"/>
      <w:numFmt w:val="lowerLetter"/>
      <w:lvlText w:val="%5."/>
      <w:lvlJc w:val="left"/>
      <w:pPr>
        <w:ind w:left="3582" w:hanging="360"/>
      </w:pPr>
    </w:lvl>
    <w:lvl w:ilvl="5" w:tplc="040A001B" w:tentative="1">
      <w:start w:val="1"/>
      <w:numFmt w:val="lowerRoman"/>
      <w:lvlText w:val="%6."/>
      <w:lvlJc w:val="right"/>
      <w:pPr>
        <w:ind w:left="4302" w:hanging="180"/>
      </w:pPr>
    </w:lvl>
    <w:lvl w:ilvl="6" w:tplc="040A000F" w:tentative="1">
      <w:start w:val="1"/>
      <w:numFmt w:val="decimal"/>
      <w:lvlText w:val="%7."/>
      <w:lvlJc w:val="left"/>
      <w:pPr>
        <w:ind w:left="5022" w:hanging="360"/>
      </w:pPr>
    </w:lvl>
    <w:lvl w:ilvl="7" w:tplc="040A0019" w:tentative="1">
      <w:start w:val="1"/>
      <w:numFmt w:val="lowerLetter"/>
      <w:lvlText w:val="%8."/>
      <w:lvlJc w:val="left"/>
      <w:pPr>
        <w:ind w:left="5742" w:hanging="360"/>
      </w:pPr>
    </w:lvl>
    <w:lvl w:ilvl="8" w:tplc="040A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6" w15:restartNumberingAfterBreak="0">
    <w:nsid w:val="1E414E1C"/>
    <w:multiLevelType w:val="multilevel"/>
    <w:tmpl w:val="AE5A4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FB92B6E"/>
    <w:multiLevelType w:val="multilevel"/>
    <w:tmpl w:val="AE5A4B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D0258F"/>
    <w:multiLevelType w:val="hybridMultilevel"/>
    <w:tmpl w:val="396E7C94"/>
    <w:lvl w:ilvl="0" w:tplc="F33AA6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B05EA"/>
    <w:multiLevelType w:val="hybridMultilevel"/>
    <w:tmpl w:val="DE282860"/>
    <w:lvl w:ilvl="0" w:tplc="5DCCD39A">
      <w:start w:val="1"/>
      <w:numFmt w:val="decimal"/>
      <w:lvlText w:val="1.%1"/>
      <w:lvlJc w:val="left"/>
      <w:pPr>
        <w:ind w:left="720" w:hanging="360"/>
      </w:pPr>
      <w:rPr>
        <w:rFonts w:hint="default"/>
        <w:sz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975CF"/>
    <w:multiLevelType w:val="multilevel"/>
    <w:tmpl w:val="AE5A4B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50562B"/>
    <w:multiLevelType w:val="multilevel"/>
    <w:tmpl w:val="D5B285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12" w15:restartNumberingAfterBreak="0">
    <w:nsid w:val="273275EC"/>
    <w:multiLevelType w:val="hybridMultilevel"/>
    <w:tmpl w:val="E4D2E812"/>
    <w:lvl w:ilvl="0" w:tplc="8EAA8C5A">
      <w:start w:val="1"/>
      <w:numFmt w:val="decimal"/>
      <w:lvlText w:val="4.%1"/>
      <w:lvlJc w:val="left"/>
      <w:pPr>
        <w:ind w:left="720" w:hanging="360"/>
      </w:pPr>
      <w:rPr>
        <w:rFonts w:hint="default"/>
        <w:sz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C6277"/>
    <w:multiLevelType w:val="hybridMultilevel"/>
    <w:tmpl w:val="7DACB3EC"/>
    <w:lvl w:ilvl="0" w:tplc="20E439CC">
      <w:start w:val="1"/>
      <w:numFmt w:val="decimal"/>
      <w:lvlText w:val="2.%1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011F0"/>
    <w:multiLevelType w:val="multilevel"/>
    <w:tmpl w:val="B418AB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A3731D"/>
    <w:multiLevelType w:val="hybridMultilevel"/>
    <w:tmpl w:val="D152C1A6"/>
    <w:lvl w:ilvl="0" w:tplc="F33AA67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20150"/>
    <w:multiLevelType w:val="multilevel"/>
    <w:tmpl w:val="01044A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43E386C"/>
    <w:multiLevelType w:val="multilevel"/>
    <w:tmpl w:val="A08A59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9C70DD0"/>
    <w:multiLevelType w:val="multilevel"/>
    <w:tmpl w:val="AE5A4B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A200434"/>
    <w:multiLevelType w:val="multilevel"/>
    <w:tmpl w:val="F3F6DF14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2E4409"/>
    <w:multiLevelType w:val="multilevel"/>
    <w:tmpl w:val="973E8C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1BD18A0"/>
    <w:multiLevelType w:val="hybridMultilevel"/>
    <w:tmpl w:val="C1267ED4"/>
    <w:lvl w:ilvl="0" w:tplc="F33AA6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53C24"/>
    <w:multiLevelType w:val="multilevel"/>
    <w:tmpl w:val="01044A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621AD1"/>
    <w:multiLevelType w:val="multilevel"/>
    <w:tmpl w:val="AE5A4B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96B0ACA"/>
    <w:multiLevelType w:val="hybridMultilevel"/>
    <w:tmpl w:val="2C1C8A66"/>
    <w:lvl w:ilvl="0" w:tplc="F33AA67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515BA"/>
    <w:multiLevelType w:val="hybridMultilevel"/>
    <w:tmpl w:val="7FB49012"/>
    <w:lvl w:ilvl="0" w:tplc="F33AA67A">
      <w:start w:val="1"/>
      <w:numFmt w:val="lowerRoman"/>
      <w:lvlText w:val="(%1)"/>
      <w:lvlJc w:val="left"/>
      <w:pPr>
        <w:ind w:left="2055" w:hanging="169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E037D"/>
    <w:multiLevelType w:val="hybridMultilevel"/>
    <w:tmpl w:val="02D26BDC"/>
    <w:lvl w:ilvl="0" w:tplc="78A831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33AA67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13"/>
  </w:num>
  <w:num w:numId="6">
    <w:abstractNumId w:val="9"/>
  </w:num>
  <w:num w:numId="7">
    <w:abstractNumId w:val="5"/>
  </w:num>
  <w:num w:numId="8">
    <w:abstractNumId w:val="12"/>
  </w:num>
  <w:num w:numId="9">
    <w:abstractNumId w:val="24"/>
  </w:num>
  <w:num w:numId="10">
    <w:abstractNumId w:val="22"/>
  </w:num>
  <w:num w:numId="11">
    <w:abstractNumId w:val="25"/>
  </w:num>
  <w:num w:numId="12">
    <w:abstractNumId w:val="8"/>
  </w:num>
  <w:num w:numId="13">
    <w:abstractNumId w:val="26"/>
  </w:num>
  <w:num w:numId="14">
    <w:abstractNumId w:val="19"/>
  </w:num>
  <w:num w:numId="15">
    <w:abstractNumId w:val="17"/>
  </w:num>
  <w:num w:numId="16">
    <w:abstractNumId w:val="21"/>
  </w:num>
  <w:num w:numId="17">
    <w:abstractNumId w:val="14"/>
  </w:num>
  <w:num w:numId="18">
    <w:abstractNumId w:val="3"/>
  </w:num>
  <w:num w:numId="19">
    <w:abstractNumId w:val="16"/>
  </w:num>
  <w:num w:numId="20">
    <w:abstractNumId w:val="6"/>
  </w:num>
  <w:num w:numId="21">
    <w:abstractNumId w:val="23"/>
  </w:num>
  <w:num w:numId="22">
    <w:abstractNumId w:val="20"/>
  </w:num>
  <w:num w:numId="23">
    <w:abstractNumId w:val="18"/>
  </w:num>
  <w:num w:numId="24">
    <w:abstractNumId w:val="10"/>
  </w:num>
  <w:num w:numId="25">
    <w:abstractNumId w:val="7"/>
  </w:num>
  <w:num w:numId="26">
    <w:abstractNumId w:val="2"/>
  </w:num>
  <w:num w:numId="2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3572D26"/>
    <w:rsid w:val="000175FE"/>
    <w:rsid w:val="00030963"/>
    <w:rsid w:val="00031989"/>
    <w:rsid w:val="000463DF"/>
    <w:rsid w:val="00064A1F"/>
    <w:rsid w:val="0007792C"/>
    <w:rsid w:val="00083FAC"/>
    <w:rsid w:val="0009705D"/>
    <w:rsid w:val="000E2E63"/>
    <w:rsid w:val="000E3FD2"/>
    <w:rsid w:val="000F0993"/>
    <w:rsid w:val="000F3C1C"/>
    <w:rsid w:val="00132D89"/>
    <w:rsid w:val="00143D23"/>
    <w:rsid w:val="00177D95"/>
    <w:rsid w:val="00184A7A"/>
    <w:rsid w:val="00194D58"/>
    <w:rsid w:val="001B3AB1"/>
    <w:rsid w:val="001B3CCA"/>
    <w:rsid w:val="001C593C"/>
    <w:rsid w:val="001D6A95"/>
    <w:rsid w:val="001F5C57"/>
    <w:rsid w:val="001F73AF"/>
    <w:rsid w:val="00222683"/>
    <w:rsid w:val="002312CD"/>
    <w:rsid w:val="00251F0E"/>
    <w:rsid w:val="002B1F6B"/>
    <w:rsid w:val="00320777"/>
    <w:rsid w:val="00351E9A"/>
    <w:rsid w:val="003A2325"/>
    <w:rsid w:val="003B7A67"/>
    <w:rsid w:val="003E7B0C"/>
    <w:rsid w:val="003F3E45"/>
    <w:rsid w:val="00405522"/>
    <w:rsid w:val="00486F29"/>
    <w:rsid w:val="004A5280"/>
    <w:rsid w:val="004B1A0A"/>
    <w:rsid w:val="004D016D"/>
    <w:rsid w:val="004E2916"/>
    <w:rsid w:val="004E642A"/>
    <w:rsid w:val="00512CAF"/>
    <w:rsid w:val="00526B22"/>
    <w:rsid w:val="00535112"/>
    <w:rsid w:val="00542D15"/>
    <w:rsid w:val="00592273"/>
    <w:rsid w:val="005C2643"/>
    <w:rsid w:val="005C4542"/>
    <w:rsid w:val="005D165F"/>
    <w:rsid w:val="005D7511"/>
    <w:rsid w:val="005E6AED"/>
    <w:rsid w:val="0061705B"/>
    <w:rsid w:val="00625EE9"/>
    <w:rsid w:val="00650DED"/>
    <w:rsid w:val="006559BD"/>
    <w:rsid w:val="00666DA3"/>
    <w:rsid w:val="0068360B"/>
    <w:rsid w:val="006A2B17"/>
    <w:rsid w:val="006C4A01"/>
    <w:rsid w:val="006C617A"/>
    <w:rsid w:val="006C69C3"/>
    <w:rsid w:val="006D0740"/>
    <w:rsid w:val="006D5F0D"/>
    <w:rsid w:val="006E42AC"/>
    <w:rsid w:val="00707EBC"/>
    <w:rsid w:val="00722C0D"/>
    <w:rsid w:val="00725CA1"/>
    <w:rsid w:val="00735E9B"/>
    <w:rsid w:val="007535CA"/>
    <w:rsid w:val="0075533A"/>
    <w:rsid w:val="007A39BB"/>
    <w:rsid w:val="007A404A"/>
    <w:rsid w:val="007D55C1"/>
    <w:rsid w:val="007D628E"/>
    <w:rsid w:val="007E52D4"/>
    <w:rsid w:val="0080701D"/>
    <w:rsid w:val="00825700"/>
    <w:rsid w:val="008602D3"/>
    <w:rsid w:val="008D5DFD"/>
    <w:rsid w:val="008E1453"/>
    <w:rsid w:val="00900303"/>
    <w:rsid w:val="009133AD"/>
    <w:rsid w:val="009228F2"/>
    <w:rsid w:val="00925500"/>
    <w:rsid w:val="00961A06"/>
    <w:rsid w:val="00964D72"/>
    <w:rsid w:val="00967BE9"/>
    <w:rsid w:val="009776BF"/>
    <w:rsid w:val="00986ACF"/>
    <w:rsid w:val="009A0C78"/>
    <w:rsid w:val="009C70BE"/>
    <w:rsid w:val="009D43AE"/>
    <w:rsid w:val="00A40CD1"/>
    <w:rsid w:val="00A41FD8"/>
    <w:rsid w:val="00A50577"/>
    <w:rsid w:val="00A51810"/>
    <w:rsid w:val="00A51D8C"/>
    <w:rsid w:val="00A81707"/>
    <w:rsid w:val="00AA6929"/>
    <w:rsid w:val="00AC61A6"/>
    <w:rsid w:val="00AE5698"/>
    <w:rsid w:val="00AF2A50"/>
    <w:rsid w:val="00AF478A"/>
    <w:rsid w:val="00AF71CD"/>
    <w:rsid w:val="00B11400"/>
    <w:rsid w:val="00B258C6"/>
    <w:rsid w:val="00B574DF"/>
    <w:rsid w:val="00BC65B6"/>
    <w:rsid w:val="00BD74C8"/>
    <w:rsid w:val="00BE1CD5"/>
    <w:rsid w:val="00C168AD"/>
    <w:rsid w:val="00C27B84"/>
    <w:rsid w:val="00C67A0A"/>
    <w:rsid w:val="00C8594A"/>
    <w:rsid w:val="00CD57DA"/>
    <w:rsid w:val="00D11794"/>
    <w:rsid w:val="00D12941"/>
    <w:rsid w:val="00D2232F"/>
    <w:rsid w:val="00D32774"/>
    <w:rsid w:val="00D36571"/>
    <w:rsid w:val="00D458EB"/>
    <w:rsid w:val="00D53370"/>
    <w:rsid w:val="00D54DF7"/>
    <w:rsid w:val="00D7372A"/>
    <w:rsid w:val="00D754A5"/>
    <w:rsid w:val="00D86532"/>
    <w:rsid w:val="00D86CB4"/>
    <w:rsid w:val="00D909C4"/>
    <w:rsid w:val="00DC7D95"/>
    <w:rsid w:val="00DF5D0E"/>
    <w:rsid w:val="00E07767"/>
    <w:rsid w:val="00E133FC"/>
    <w:rsid w:val="00E23B60"/>
    <w:rsid w:val="00E40F74"/>
    <w:rsid w:val="00E411A3"/>
    <w:rsid w:val="00E70DEC"/>
    <w:rsid w:val="00E74409"/>
    <w:rsid w:val="00E90FDE"/>
    <w:rsid w:val="00EF06DA"/>
    <w:rsid w:val="00F01391"/>
    <w:rsid w:val="00F02A07"/>
    <w:rsid w:val="00F26270"/>
    <w:rsid w:val="00F41F69"/>
    <w:rsid w:val="00F631DB"/>
    <w:rsid w:val="00F7206F"/>
    <w:rsid w:val="00F724A2"/>
    <w:rsid w:val="00F813D1"/>
    <w:rsid w:val="00FB64DD"/>
    <w:rsid w:val="00FE2EF6"/>
    <w:rsid w:val="5357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A9C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A23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232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D55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idbg.sharepoint.com/teams/EZ-CR-LON/CR-L1081/60%20Project%20Procurement%20of%20Goods%20and%20Services/Ley%20Marco%20de%20Empleo%20P%C3%BAblico.docx?d=wa9242bfcf522462596ba9c87c5df8236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mprentanacional.go.cr/pub/2018/05/22/COMP_22_05_2018.pdf" TargetMode="Externa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hyperlink" Target="https://www.mivah.go.cr/Documentos/quienes_somos/Competencias/Decreto_Ejecutivo_N41187-MP-MIDEPLAN_Reglamento_Organico_Poder_Ejecutivo.pdf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hacienda.go.cr/docs/5c07dd2965e11_ALCA202_04_12_201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Barreix, Alberto Daniel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26</Value>
      <Value>3</Value>
      <Value>142</Value>
      <Value>85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CR-L1081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R0002942254</Record_x0020_Number>
    <_dlc_DocId xmlns="cdc7663a-08f0-4737-9e8c-148ce897a09c">EZSHARE-168960212-24</_dlc_DocId>
    <_dlc_DocIdUrl xmlns="cdc7663a-08f0-4737-9e8c-148ce897a09c">
      <Url>https://idbg.sharepoint.com/teams/EZ-CR-LON/CR-L1081/_layouts/15/DocIdRedir.aspx?ID=EZSHARE-168960212-24</Url>
      <Description>EZSHARE-168960212-24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9F80323C379A84B894CE83F2406570A" ma:contentTypeVersion="1187" ma:contentTypeDescription="A content type to manage public (operations) IDB documents" ma:contentTypeScope="" ma:versionID="dd127f36ccdd4005a1e30d92f442077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d13605fb7ab47dcc04516f43d84d45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R-L108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7327BDA216C67408DD86CB4F926E00C" ma:contentTypeVersion="1034" ma:contentTypeDescription="The base project type from which other project content types inherit their information." ma:contentTypeScope="" ma:versionID="35ae0fd71731783b52615bf268893b6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2c1326738ece037cfa0320199d08fc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R-L108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C54D4D5-06AD-4369-B316-ED272B64085C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1AD001D5-32CE-4BDB-AA13-CC34D7348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6A82C0-020F-4DA1-902C-3611C4F50408}"/>
</file>

<file path=customXml/itemProps4.xml><?xml version="1.0" encoding="utf-8"?>
<ds:datastoreItem xmlns:ds="http://schemas.openxmlformats.org/officeDocument/2006/customXml" ds:itemID="{8DBE2FCB-4921-44CF-831B-210CB953575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E87BA06-351A-4F9B-B6FD-EA7DD7F98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E503596-8936-48A0-AC21-95CB26D070B8}"/>
</file>

<file path=customXml/itemProps7.xml><?xml version="1.0" encoding="utf-8"?>
<ds:datastoreItem xmlns:ds="http://schemas.openxmlformats.org/officeDocument/2006/customXml" ds:itemID="{A2DD876D-5A11-415C-B070-C773706781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2019-06-10T11:27:00Z</dcterms:created>
  <dcterms:modified xsi:type="dcterms:W3CDTF">2019-06-10T11:27:00Z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axKeywordTaxHTField">
    <vt:lpwstr/>
  </property>
  <property fmtid="{D5CDD505-2E9C-101B-9397-08002B2CF9AE}" pid="4" name="Series Operations IDB">
    <vt:lpwstr/>
  </property>
  <property fmtid="{D5CDD505-2E9C-101B-9397-08002B2CF9AE}" pid="5" name="Sub-Sector">
    <vt:lpwstr>142;#FISCAL POLICY FOR SUSTAINABILITY AND GROWTH|6e15b5e0-ae82-4b06-920a-eef6dd27cc8b</vt:lpwstr>
  </property>
  <property fmtid="{D5CDD505-2E9C-101B-9397-08002B2CF9AE}" pid="6" name="Fund IDB">
    <vt:lpwstr/>
  </property>
  <property fmtid="{D5CDD505-2E9C-101B-9397-08002B2CF9AE}" pid="7" name="Country">
    <vt:lpwstr>26;#Costa Rica|70401352-ba64-401d-af16-55c448a66295</vt:lpwstr>
  </property>
  <property fmtid="{D5CDD505-2E9C-101B-9397-08002B2CF9AE}" pid="8" name="Sector IDB">
    <vt:lpwstr>85;#REFORM / MODERNIZATION OF THE STATE|c8fda4a7-691a-4c65-b227-9825197b5cd2</vt:lpwstr>
  </property>
  <property fmtid="{D5CDD505-2E9C-101B-9397-08002B2CF9AE}" pid="9" name="Function Operations IDB">
    <vt:lpwstr>3;#Project Administration|751f71fd-1433-4702-a2db-ff12a4e45594</vt:lpwstr>
  </property>
  <property fmtid="{D5CDD505-2E9C-101B-9397-08002B2CF9AE}" pid="10" name="_dlc_DocIdItemGuid">
    <vt:lpwstr>2913caaf-260d-4e9e-9666-90dacc6c6463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0x0101001A458A224826124E8B45B1D613300CFC0079F80323C379A84B894CE83F2406570A</vt:lpwstr>
  </property>
</Properties>
</file>