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2.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drawings/drawing3.xml" ContentType="application/vnd.openxmlformats-officedocument.drawingml.chartshapes+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6.xml" ContentType="application/vnd.openxmlformats-officedocument.drawingml.chart+xml"/>
  <Override PartName="/word/charts/chart17.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8.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9.xml" ContentType="application/vnd.openxmlformats-officedocument.drawingml.chart+xml"/>
  <Override PartName="/word/charts/chart20.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5AE4F" w14:textId="6969688A" w:rsidR="00470505" w:rsidRPr="00EC03B5" w:rsidRDefault="00064C3C" w:rsidP="001A39CB">
      <w:pPr>
        <w:spacing w:after="0" w:line="360" w:lineRule="auto"/>
        <w:jc w:val="both"/>
        <w:rPr>
          <w:rFonts w:ascii="Times New Roman" w:hAnsi="Times New Roman" w:cs="Times New Roman"/>
          <w:b/>
          <w:bCs/>
          <w:iCs/>
          <w:szCs w:val="24"/>
        </w:rPr>
      </w:pPr>
      <w:bookmarkStart w:id="0" w:name="_GoBack"/>
      <w:bookmarkEnd w:id="0"/>
      <w:r>
        <w:rPr>
          <w:rFonts w:ascii="Times New Roman" w:hAnsi="Times New Roman" w:cs="Times New Roman"/>
          <w:b/>
          <w:bCs/>
          <w:iCs/>
          <w:szCs w:val="24"/>
        </w:rPr>
        <w:tab/>
      </w:r>
      <w:r w:rsidR="00290308">
        <w:rPr>
          <w:rFonts w:ascii="Times New Roman" w:hAnsi="Times New Roman" w:cs="Times New Roman"/>
          <w:b/>
          <w:bCs/>
          <w:iCs/>
          <w:szCs w:val="24"/>
        </w:rPr>
        <w:t xml:space="preserve"> </w:t>
      </w:r>
      <w:r w:rsidR="0097078D" w:rsidRPr="00EC03B5">
        <w:rPr>
          <w:rFonts w:ascii="Times New Roman" w:hAnsi="Times New Roman" w:cs="Times New Roman"/>
          <w:b/>
          <w:bCs/>
          <w:iCs/>
          <w:szCs w:val="24"/>
        </w:rPr>
        <w:tab/>
      </w:r>
    </w:p>
    <w:p w14:paraId="22BCBFF4" w14:textId="77777777" w:rsidR="00470505" w:rsidRPr="00EC03B5" w:rsidRDefault="008122F6" w:rsidP="001A39CB">
      <w:pPr>
        <w:spacing w:after="0" w:line="360" w:lineRule="auto"/>
        <w:jc w:val="center"/>
        <w:rPr>
          <w:rFonts w:ascii="Times New Roman" w:hAnsi="Times New Roman" w:cs="Times New Roman"/>
          <w:b/>
          <w:bCs/>
          <w:iCs/>
          <w:sz w:val="44"/>
          <w:szCs w:val="48"/>
        </w:rPr>
      </w:pPr>
      <w:r>
        <w:rPr>
          <w:rFonts w:ascii="Times New Roman" w:hAnsi="Times New Roman" w:cs="Times New Roman"/>
          <w:b/>
          <w:bCs/>
          <w:iCs/>
          <w:sz w:val="44"/>
          <w:szCs w:val="48"/>
        </w:rPr>
        <w:t>Propuestas para</w:t>
      </w:r>
      <w:r w:rsidR="00424C58" w:rsidRPr="00424C58">
        <w:rPr>
          <w:rFonts w:ascii="Times New Roman" w:hAnsi="Times New Roman" w:cs="Times New Roman"/>
          <w:b/>
          <w:bCs/>
          <w:iCs/>
          <w:sz w:val="44"/>
          <w:szCs w:val="48"/>
        </w:rPr>
        <w:t xml:space="preserve"> la sostenibilidad de las finanzas públicas</w:t>
      </w:r>
      <w:r>
        <w:rPr>
          <w:rFonts w:ascii="Times New Roman" w:hAnsi="Times New Roman" w:cs="Times New Roman"/>
          <w:b/>
          <w:bCs/>
          <w:iCs/>
          <w:sz w:val="44"/>
          <w:szCs w:val="48"/>
        </w:rPr>
        <w:t xml:space="preserve"> en Costa Rica</w:t>
      </w:r>
      <w:r w:rsidR="00D2088D">
        <w:rPr>
          <w:rStyle w:val="FootnoteReference"/>
          <w:rFonts w:ascii="Times New Roman" w:hAnsi="Times New Roman" w:cs="Times New Roman"/>
          <w:b/>
          <w:bCs/>
          <w:iCs/>
          <w:sz w:val="44"/>
          <w:szCs w:val="48"/>
        </w:rPr>
        <w:footnoteReference w:id="2"/>
      </w:r>
    </w:p>
    <w:p w14:paraId="3E1CB068" w14:textId="77777777" w:rsidR="00470505" w:rsidRPr="00EC03B5" w:rsidRDefault="00470505" w:rsidP="001A39CB">
      <w:pPr>
        <w:spacing w:after="0" w:line="360" w:lineRule="auto"/>
        <w:jc w:val="both"/>
        <w:rPr>
          <w:rFonts w:ascii="Times New Roman" w:hAnsi="Times New Roman" w:cs="Times New Roman"/>
          <w:b/>
          <w:bCs/>
          <w:iCs/>
          <w:sz w:val="44"/>
          <w:szCs w:val="48"/>
        </w:rPr>
      </w:pPr>
    </w:p>
    <w:p w14:paraId="6DA86B88" w14:textId="77777777" w:rsidR="00470505" w:rsidRPr="00EC03B5" w:rsidRDefault="00470505" w:rsidP="001A39CB">
      <w:pPr>
        <w:pStyle w:val="FootnoteText"/>
        <w:spacing w:after="0" w:line="360" w:lineRule="auto"/>
        <w:jc w:val="both"/>
        <w:rPr>
          <w:b/>
          <w:sz w:val="22"/>
          <w:szCs w:val="24"/>
          <w:lang w:val="es-ES"/>
        </w:rPr>
      </w:pPr>
    </w:p>
    <w:p w14:paraId="713233DE" w14:textId="77777777" w:rsidR="00F965DC" w:rsidRPr="00EC03B5" w:rsidRDefault="00F965DC" w:rsidP="002A6065">
      <w:pPr>
        <w:pStyle w:val="FootnoteText"/>
        <w:spacing w:after="0" w:line="360" w:lineRule="auto"/>
        <w:jc w:val="center"/>
        <w:rPr>
          <w:b/>
          <w:sz w:val="22"/>
          <w:szCs w:val="24"/>
          <w:lang w:val="es-ES"/>
        </w:rPr>
      </w:pPr>
    </w:p>
    <w:p w14:paraId="2DFCC868" w14:textId="77777777" w:rsidR="00F965DC" w:rsidRPr="00EC03B5" w:rsidRDefault="00F965DC" w:rsidP="001A39CB">
      <w:pPr>
        <w:pStyle w:val="FootnoteText"/>
        <w:spacing w:after="0" w:line="360" w:lineRule="auto"/>
        <w:jc w:val="both"/>
        <w:rPr>
          <w:b/>
          <w:sz w:val="22"/>
          <w:szCs w:val="24"/>
          <w:lang w:val="es-ES"/>
        </w:rPr>
      </w:pPr>
    </w:p>
    <w:p w14:paraId="55A101E4" w14:textId="77777777" w:rsidR="00F965DC" w:rsidRPr="00EC03B5" w:rsidRDefault="00F965DC" w:rsidP="001A39CB">
      <w:pPr>
        <w:pStyle w:val="FootnoteText"/>
        <w:spacing w:after="0" w:line="360" w:lineRule="auto"/>
        <w:jc w:val="both"/>
        <w:rPr>
          <w:b/>
          <w:sz w:val="22"/>
          <w:szCs w:val="24"/>
          <w:lang w:val="es-ES"/>
        </w:rPr>
      </w:pPr>
    </w:p>
    <w:p w14:paraId="1CD265F1" w14:textId="77777777" w:rsidR="00F965DC" w:rsidRPr="00EC03B5" w:rsidRDefault="00F965DC" w:rsidP="001A39CB">
      <w:pPr>
        <w:pStyle w:val="FootnoteText"/>
        <w:spacing w:after="0" w:line="360" w:lineRule="auto"/>
        <w:jc w:val="both"/>
        <w:rPr>
          <w:b/>
          <w:sz w:val="22"/>
          <w:szCs w:val="24"/>
          <w:lang w:val="es-ES"/>
        </w:rPr>
      </w:pPr>
    </w:p>
    <w:p w14:paraId="4E9D876C" w14:textId="77777777" w:rsidR="00F335E9" w:rsidRPr="00EC03B5" w:rsidRDefault="00F335E9" w:rsidP="001A39CB">
      <w:pPr>
        <w:tabs>
          <w:tab w:val="right" w:pos="8280"/>
        </w:tabs>
        <w:spacing w:after="0" w:line="360" w:lineRule="auto"/>
        <w:jc w:val="both"/>
        <w:rPr>
          <w:rFonts w:ascii="Times New Roman" w:hAnsi="Times New Roman" w:cs="Times New Roman"/>
          <w:szCs w:val="24"/>
        </w:rPr>
      </w:pPr>
    </w:p>
    <w:p w14:paraId="0C610EE8" w14:textId="77777777" w:rsidR="00F965DC" w:rsidRPr="00EC03B5" w:rsidRDefault="00F965DC" w:rsidP="001A39CB">
      <w:pPr>
        <w:tabs>
          <w:tab w:val="right" w:pos="8280"/>
        </w:tabs>
        <w:spacing w:after="0" w:line="360" w:lineRule="auto"/>
        <w:jc w:val="both"/>
        <w:rPr>
          <w:rFonts w:ascii="Times New Roman" w:hAnsi="Times New Roman" w:cs="Times New Roman"/>
          <w:szCs w:val="24"/>
        </w:rPr>
      </w:pPr>
    </w:p>
    <w:p w14:paraId="02859780" w14:textId="77777777" w:rsidR="00053DED" w:rsidRPr="00EC03B5" w:rsidRDefault="00053DED" w:rsidP="001A39CB">
      <w:pPr>
        <w:tabs>
          <w:tab w:val="right" w:pos="8280"/>
          <w:tab w:val="right" w:pos="8364"/>
        </w:tabs>
        <w:spacing w:after="0" w:line="360" w:lineRule="auto"/>
        <w:ind w:left="284"/>
        <w:jc w:val="both"/>
        <w:rPr>
          <w:rFonts w:ascii="Times New Roman" w:hAnsi="Times New Roman" w:cs="Times New Roman"/>
          <w:b/>
          <w:sz w:val="20"/>
        </w:rPr>
      </w:pPr>
    </w:p>
    <w:p w14:paraId="5A11CC56" w14:textId="77777777" w:rsidR="00F965DC" w:rsidRPr="00EC03B5" w:rsidRDefault="00F965DC" w:rsidP="001A39CB">
      <w:pPr>
        <w:pStyle w:val="FootnoteText"/>
        <w:spacing w:after="0" w:line="360" w:lineRule="auto"/>
        <w:jc w:val="both"/>
        <w:rPr>
          <w:b/>
          <w:sz w:val="22"/>
          <w:szCs w:val="24"/>
          <w:lang w:val="es-ES"/>
        </w:rPr>
        <w:sectPr w:rsidR="00F965DC" w:rsidRPr="00EC03B5" w:rsidSect="00D122A1">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pPr>
    </w:p>
    <w:sdt>
      <w:sdtPr>
        <w:rPr>
          <w:rFonts w:ascii="Times New Roman" w:eastAsiaTheme="minorEastAsia" w:hAnsi="Times New Roman" w:cs="Times New Roman"/>
          <w:color w:val="auto"/>
          <w:sz w:val="22"/>
          <w:szCs w:val="22"/>
          <w:lang w:val="es-ES" w:eastAsia="es-ES"/>
        </w:rPr>
        <w:id w:val="1000163546"/>
        <w:docPartObj>
          <w:docPartGallery w:val="Table of Contents"/>
          <w:docPartUnique/>
        </w:docPartObj>
      </w:sdtPr>
      <w:sdtEndPr>
        <w:rPr>
          <w:bCs/>
          <w:noProof/>
        </w:rPr>
      </w:sdtEndPr>
      <w:sdtContent>
        <w:p w14:paraId="77D8D9FB" w14:textId="77777777" w:rsidR="006D2A9D" w:rsidRPr="004C4D29" w:rsidRDefault="006D2A9D" w:rsidP="004C4D29">
          <w:pPr>
            <w:pStyle w:val="TOCHeading"/>
            <w:spacing w:before="0"/>
            <w:jc w:val="center"/>
            <w:rPr>
              <w:rFonts w:ascii="Times New Roman" w:hAnsi="Times New Roman" w:cs="Times New Roman"/>
              <w:b/>
              <w:color w:val="auto"/>
              <w:sz w:val="22"/>
              <w:szCs w:val="22"/>
            </w:rPr>
          </w:pPr>
          <w:r w:rsidRPr="004C4D29">
            <w:rPr>
              <w:rFonts w:ascii="Times New Roman" w:hAnsi="Times New Roman" w:cs="Times New Roman"/>
              <w:b/>
              <w:color w:val="auto"/>
              <w:sz w:val="22"/>
              <w:szCs w:val="22"/>
            </w:rPr>
            <w:t>Conten</w:t>
          </w:r>
          <w:r w:rsidR="004C4D29" w:rsidRPr="004C4D29">
            <w:rPr>
              <w:rFonts w:ascii="Times New Roman" w:hAnsi="Times New Roman" w:cs="Times New Roman"/>
              <w:b/>
              <w:color w:val="auto"/>
              <w:sz w:val="22"/>
              <w:szCs w:val="22"/>
            </w:rPr>
            <w:t>ido</w:t>
          </w:r>
          <w:r w:rsidRPr="004C4D29">
            <w:rPr>
              <w:rFonts w:ascii="Times New Roman" w:hAnsi="Times New Roman" w:cs="Times New Roman"/>
              <w:b/>
              <w:color w:val="auto"/>
              <w:sz w:val="22"/>
              <w:szCs w:val="22"/>
            </w:rPr>
            <w:t>s</w:t>
          </w:r>
        </w:p>
        <w:p w14:paraId="552F61C0" w14:textId="22345792" w:rsidR="004C4D29" w:rsidRPr="004C4D29" w:rsidRDefault="006D2A9D" w:rsidP="004C4D29">
          <w:pPr>
            <w:pStyle w:val="TOC1"/>
            <w:tabs>
              <w:tab w:val="right" w:leader="dot" w:pos="9060"/>
            </w:tabs>
            <w:rPr>
              <w:rFonts w:ascii="Times New Roman" w:hAnsi="Times New Roman" w:cs="Times New Roman"/>
              <w:noProof/>
              <w:lang w:val="en-US" w:eastAsia="en-US"/>
            </w:rPr>
          </w:pPr>
          <w:r w:rsidRPr="004C4D29">
            <w:rPr>
              <w:rFonts w:ascii="Times New Roman" w:hAnsi="Times New Roman" w:cs="Times New Roman"/>
              <w:bCs/>
              <w:noProof/>
            </w:rPr>
            <w:fldChar w:fldCharType="begin"/>
          </w:r>
          <w:r w:rsidRPr="004C4D29">
            <w:rPr>
              <w:rFonts w:ascii="Times New Roman" w:hAnsi="Times New Roman" w:cs="Times New Roman"/>
              <w:bCs/>
              <w:noProof/>
            </w:rPr>
            <w:instrText xml:space="preserve"> TOC \o "1-3" \h \z \u </w:instrText>
          </w:r>
          <w:r w:rsidRPr="004C4D29">
            <w:rPr>
              <w:rFonts w:ascii="Times New Roman" w:hAnsi="Times New Roman" w:cs="Times New Roman"/>
              <w:bCs/>
              <w:noProof/>
            </w:rPr>
            <w:fldChar w:fldCharType="separate"/>
          </w:r>
          <w:hyperlink w:anchor="_Toc518397887" w:history="1">
            <w:r w:rsidR="004C4D29" w:rsidRPr="004C4D29">
              <w:rPr>
                <w:rStyle w:val="Hyperlink"/>
                <w:rFonts w:ascii="Times New Roman" w:hAnsi="Times New Roman" w:cs="Times New Roman"/>
                <w:noProof/>
                <w:lang w:val="es-CR"/>
              </w:rPr>
              <w:t>Introducción</w:t>
            </w:r>
            <w:r w:rsidR="004C4D29" w:rsidRPr="004C4D29">
              <w:rPr>
                <w:rFonts w:ascii="Times New Roman" w:hAnsi="Times New Roman" w:cs="Times New Roman"/>
                <w:noProof/>
                <w:webHidden/>
              </w:rPr>
              <w:tab/>
            </w:r>
            <w:r w:rsidR="004C4D29" w:rsidRPr="004C4D29">
              <w:rPr>
                <w:rFonts w:ascii="Times New Roman" w:hAnsi="Times New Roman" w:cs="Times New Roman"/>
                <w:noProof/>
                <w:webHidden/>
              </w:rPr>
              <w:fldChar w:fldCharType="begin"/>
            </w:r>
            <w:r w:rsidR="004C4D29" w:rsidRPr="004C4D29">
              <w:rPr>
                <w:rFonts w:ascii="Times New Roman" w:hAnsi="Times New Roman" w:cs="Times New Roman"/>
                <w:noProof/>
                <w:webHidden/>
              </w:rPr>
              <w:instrText xml:space="preserve"> PAGEREF _Toc518397887 \h </w:instrText>
            </w:r>
            <w:r w:rsidR="004C4D29" w:rsidRPr="004C4D29">
              <w:rPr>
                <w:rFonts w:ascii="Times New Roman" w:hAnsi="Times New Roman" w:cs="Times New Roman"/>
                <w:noProof/>
                <w:webHidden/>
              </w:rPr>
            </w:r>
            <w:r w:rsidR="004C4D29" w:rsidRPr="004C4D29">
              <w:rPr>
                <w:rFonts w:ascii="Times New Roman" w:hAnsi="Times New Roman" w:cs="Times New Roman"/>
                <w:noProof/>
                <w:webHidden/>
              </w:rPr>
              <w:fldChar w:fldCharType="separate"/>
            </w:r>
            <w:r w:rsidR="002E140B">
              <w:rPr>
                <w:rFonts w:ascii="Times New Roman" w:hAnsi="Times New Roman" w:cs="Times New Roman"/>
                <w:noProof/>
                <w:webHidden/>
              </w:rPr>
              <w:t>3</w:t>
            </w:r>
            <w:r w:rsidR="004C4D29" w:rsidRPr="004C4D29">
              <w:rPr>
                <w:rFonts w:ascii="Times New Roman" w:hAnsi="Times New Roman" w:cs="Times New Roman"/>
                <w:noProof/>
                <w:webHidden/>
              </w:rPr>
              <w:fldChar w:fldCharType="end"/>
            </w:r>
          </w:hyperlink>
        </w:p>
        <w:p w14:paraId="15C5EE6D" w14:textId="27B2554D" w:rsidR="004C4D29" w:rsidRPr="004C4D29" w:rsidRDefault="00F6712E" w:rsidP="004C4D29">
          <w:pPr>
            <w:pStyle w:val="TOC1"/>
            <w:tabs>
              <w:tab w:val="right" w:leader="dot" w:pos="9060"/>
            </w:tabs>
            <w:rPr>
              <w:rFonts w:ascii="Times New Roman" w:hAnsi="Times New Roman" w:cs="Times New Roman"/>
              <w:noProof/>
              <w:lang w:val="en-US" w:eastAsia="en-US"/>
            </w:rPr>
          </w:pPr>
          <w:hyperlink w:anchor="_Toc518397888" w:history="1">
            <w:r w:rsidR="004C4D29" w:rsidRPr="004C4D29">
              <w:rPr>
                <w:rStyle w:val="Hyperlink"/>
                <w:rFonts w:ascii="Times New Roman" w:hAnsi="Times New Roman" w:cs="Times New Roman"/>
                <w:noProof/>
              </w:rPr>
              <w:t>Mejorar la estructura tributaria y la recaudación fiscal</w:t>
            </w:r>
            <w:r w:rsidR="004C4D29" w:rsidRPr="004C4D29">
              <w:rPr>
                <w:rFonts w:ascii="Times New Roman" w:hAnsi="Times New Roman" w:cs="Times New Roman"/>
                <w:noProof/>
                <w:webHidden/>
              </w:rPr>
              <w:tab/>
            </w:r>
            <w:r w:rsidR="004C4D29" w:rsidRPr="004C4D29">
              <w:rPr>
                <w:rFonts w:ascii="Times New Roman" w:hAnsi="Times New Roman" w:cs="Times New Roman"/>
                <w:noProof/>
                <w:webHidden/>
              </w:rPr>
              <w:fldChar w:fldCharType="begin"/>
            </w:r>
            <w:r w:rsidR="004C4D29" w:rsidRPr="004C4D29">
              <w:rPr>
                <w:rFonts w:ascii="Times New Roman" w:hAnsi="Times New Roman" w:cs="Times New Roman"/>
                <w:noProof/>
                <w:webHidden/>
              </w:rPr>
              <w:instrText xml:space="preserve"> PAGEREF _Toc518397888 \h </w:instrText>
            </w:r>
            <w:r w:rsidR="004C4D29" w:rsidRPr="004C4D29">
              <w:rPr>
                <w:rFonts w:ascii="Times New Roman" w:hAnsi="Times New Roman" w:cs="Times New Roman"/>
                <w:noProof/>
                <w:webHidden/>
              </w:rPr>
            </w:r>
            <w:r w:rsidR="004C4D29" w:rsidRPr="004C4D29">
              <w:rPr>
                <w:rFonts w:ascii="Times New Roman" w:hAnsi="Times New Roman" w:cs="Times New Roman"/>
                <w:noProof/>
                <w:webHidden/>
              </w:rPr>
              <w:fldChar w:fldCharType="separate"/>
            </w:r>
            <w:r w:rsidR="002E140B">
              <w:rPr>
                <w:rFonts w:ascii="Times New Roman" w:hAnsi="Times New Roman" w:cs="Times New Roman"/>
                <w:noProof/>
                <w:webHidden/>
              </w:rPr>
              <w:t>9</w:t>
            </w:r>
            <w:r w:rsidR="004C4D29" w:rsidRPr="004C4D29">
              <w:rPr>
                <w:rFonts w:ascii="Times New Roman" w:hAnsi="Times New Roman" w:cs="Times New Roman"/>
                <w:noProof/>
                <w:webHidden/>
              </w:rPr>
              <w:fldChar w:fldCharType="end"/>
            </w:r>
          </w:hyperlink>
        </w:p>
        <w:p w14:paraId="65587FBF" w14:textId="4E520A53" w:rsidR="004C4D29" w:rsidRPr="004C4D29" w:rsidRDefault="00F6712E" w:rsidP="004C4D29">
          <w:pPr>
            <w:pStyle w:val="TOC1"/>
            <w:tabs>
              <w:tab w:val="right" w:leader="dot" w:pos="9060"/>
            </w:tabs>
            <w:rPr>
              <w:rFonts w:ascii="Times New Roman" w:hAnsi="Times New Roman" w:cs="Times New Roman"/>
              <w:noProof/>
              <w:lang w:val="en-US" w:eastAsia="en-US"/>
            </w:rPr>
          </w:pPr>
          <w:hyperlink w:anchor="_Toc518397889" w:history="1">
            <w:r w:rsidR="004C4D29" w:rsidRPr="004C4D29">
              <w:rPr>
                <w:rStyle w:val="Hyperlink"/>
                <w:rFonts w:ascii="Times New Roman" w:hAnsi="Times New Roman" w:cs="Times New Roman"/>
                <w:noProof/>
              </w:rPr>
              <w:t>Mejoras a la Administración Tributaria y arreglos institucionales de largo plazo</w:t>
            </w:r>
            <w:r w:rsidR="004C4D29" w:rsidRPr="004C4D29">
              <w:rPr>
                <w:rFonts w:ascii="Times New Roman" w:hAnsi="Times New Roman" w:cs="Times New Roman"/>
                <w:noProof/>
                <w:webHidden/>
              </w:rPr>
              <w:tab/>
            </w:r>
            <w:r w:rsidR="004C4D29" w:rsidRPr="004C4D29">
              <w:rPr>
                <w:rFonts w:ascii="Times New Roman" w:hAnsi="Times New Roman" w:cs="Times New Roman"/>
                <w:noProof/>
                <w:webHidden/>
              </w:rPr>
              <w:fldChar w:fldCharType="begin"/>
            </w:r>
            <w:r w:rsidR="004C4D29" w:rsidRPr="004C4D29">
              <w:rPr>
                <w:rFonts w:ascii="Times New Roman" w:hAnsi="Times New Roman" w:cs="Times New Roman"/>
                <w:noProof/>
                <w:webHidden/>
              </w:rPr>
              <w:instrText xml:space="preserve"> PAGEREF _Toc518397889 \h </w:instrText>
            </w:r>
            <w:r w:rsidR="004C4D29" w:rsidRPr="004C4D29">
              <w:rPr>
                <w:rFonts w:ascii="Times New Roman" w:hAnsi="Times New Roman" w:cs="Times New Roman"/>
                <w:noProof/>
                <w:webHidden/>
              </w:rPr>
            </w:r>
            <w:r w:rsidR="004C4D29" w:rsidRPr="004C4D29">
              <w:rPr>
                <w:rFonts w:ascii="Times New Roman" w:hAnsi="Times New Roman" w:cs="Times New Roman"/>
                <w:noProof/>
                <w:webHidden/>
              </w:rPr>
              <w:fldChar w:fldCharType="separate"/>
            </w:r>
            <w:r w:rsidR="002E140B">
              <w:rPr>
                <w:rFonts w:ascii="Times New Roman" w:hAnsi="Times New Roman" w:cs="Times New Roman"/>
                <w:noProof/>
                <w:webHidden/>
              </w:rPr>
              <w:t>20</w:t>
            </w:r>
            <w:r w:rsidR="004C4D29" w:rsidRPr="004C4D29">
              <w:rPr>
                <w:rFonts w:ascii="Times New Roman" w:hAnsi="Times New Roman" w:cs="Times New Roman"/>
                <w:noProof/>
                <w:webHidden/>
              </w:rPr>
              <w:fldChar w:fldCharType="end"/>
            </w:r>
          </w:hyperlink>
        </w:p>
        <w:p w14:paraId="0F29AC6A" w14:textId="39074C54" w:rsidR="004C4D29" w:rsidRPr="004C4D29" w:rsidRDefault="00F6712E" w:rsidP="004C4D29">
          <w:pPr>
            <w:pStyle w:val="TOC1"/>
            <w:tabs>
              <w:tab w:val="right" w:leader="dot" w:pos="9060"/>
            </w:tabs>
            <w:rPr>
              <w:rFonts w:ascii="Times New Roman" w:hAnsi="Times New Roman" w:cs="Times New Roman"/>
              <w:noProof/>
              <w:lang w:val="en-US" w:eastAsia="en-US"/>
            </w:rPr>
          </w:pPr>
          <w:hyperlink w:anchor="_Toc518397890" w:history="1">
            <w:r w:rsidR="004C4D29" w:rsidRPr="004C4D29">
              <w:rPr>
                <w:rStyle w:val="Hyperlink"/>
                <w:rFonts w:ascii="Times New Roman" w:hAnsi="Times New Roman" w:cs="Times New Roman"/>
                <w:noProof/>
              </w:rPr>
              <w:t>Incrementar la eficiencia y control del gasto público</w:t>
            </w:r>
            <w:r w:rsidR="004C4D29" w:rsidRPr="004C4D29">
              <w:rPr>
                <w:rFonts w:ascii="Times New Roman" w:hAnsi="Times New Roman" w:cs="Times New Roman"/>
                <w:noProof/>
                <w:webHidden/>
              </w:rPr>
              <w:tab/>
            </w:r>
            <w:r w:rsidR="004C4D29" w:rsidRPr="004C4D29">
              <w:rPr>
                <w:rFonts w:ascii="Times New Roman" w:hAnsi="Times New Roman" w:cs="Times New Roman"/>
                <w:noProof/>
                <w:webHidden/>
              </w:rPr>
              <w:fldChar w:fldCharType="begin"/>
            </w:r>
            <w:r w:rsidR="004C4D29" w:rsidRPr="004C4D29">
              <w:rPr>
                <w:rFonts w:ascii="Times New Roman" w:hAnsi="Times New Roman" w:cs="Times New Roman"/>
                <w:noProof/>
                <w:webHidden/>
              </w:rPr>
              <w:instrText xml:space="preserve"> PAGEREF _Toc518397890 \h </w:instrText>
            </w:r>
            <w:r w:rsidR="004C4D29" w:rsidRPr="004C4D29">
              <w:rPr>
                <w:rFonts w:ascii="Times New Roman" w:hAnsi="Times New Roman" w:cs="Times New Roman"/>
                <w:noProof/>
                <w:webHidden/>
              </w:rPr>
            </w:r>
            <w:r w:rsidR="004C4D29" w:rsidRPr="004C4D29">
              <w:rPr>
                <w:rFonts w:ascii="Times New Roman" w:hAnsi="Times New Roman" w:cs="Times New Roman"/>
                <w:noProof/>
                <w:webHidden/>
              </w:rPr>
              <w:fldChar w:fldCharType="separate"/>
            </w:r>
            <w:r w:rsidR="002E140B">
              <w:rPr>
                <w:rFonts w:ascii="Times New Roman" w:hAnsi="Times New Roman" w:cs="Times New Roman"/>
                <w:noProof/>
                <w:webHidden/>
              </w:rPr>
              <w:t>22</w:t>
            </w:r>
            <w:r w:rsidR="004C4D29" w:rsidRPr="004C4D29">
              <w:rPr>
                <w:rFonts w:ascii="Times New Roman" w:hAnsi="Times New Roman" w:cs="Times New Roman"/>
                <w:noProof/>
                <w:webHidden/>
              </w:rPr>
              <w:fldChar w:fldCharType="end"/>
            </w:r>
          </w:hyperlink>
        </w:p>
        <w:p w14:paraId="4CC812CF" w14:textId="1498B5B8" w:rsidR="004C4D29" w:rsidRPr="004C4D29" w:rsidRDefault="00F6712E" w:rsidP="004C4D29">
          <w:pPr>
            <w:pStyle w:val="TOC1"/>
            <w:tabs>
              <w:tab w:val="right" w:leader="dot" w:pos="9060"/>
            </w:tabs>
            <w:rPr>
              <w:rFonts w:ascii="Times New Roman" w:hAnsi="Times New Roman" w:cs="Times New Roman"/>
              <w:noProof/>
              <w:lang w:val="en-US" w:eastAsia="en-US"/>
            </w:rPr>
          </w:pPr>
          <w:hyperlink w:anchor="_Toc518397891" w:history="1">
            <w:r w:rsidR="004C4D29" w:rsidRPr="004C4D29">
              <w:rPr>
                <w:rStyle w:val="Hyperlink"/>
                <w:rFonts w:ascii="Times New Roman" w:hAnsi="Times New Roman" w:cs="Times New Roman"/>
                <w:noProof/>
              </w:rPr>
              <w:t>Contribuyendo a la sostenibilidad de las Pensiones</w:t>
            </w:r>
            <w:r w:rsidR="004C4D29" w:rsidRPr="004C4D29">
              <w:rPr>
                <w:rFonts w:ascii="Times New Roman" w:hAnsi="Times New Roman" w:cs="Times New Roman"/>
                <w:noProof/>
                <w:webHidden/>
              </w:rPr>
              <w:tab/>
            </w:r>
            <w:r w:rsidR="004C4D29" w:rsidRPr="004C4D29">
              <w:rPr>
                <w:rFonts w:ascii="Times New Roman" w:hAnsi="Times New Roman" w:cs="Times New Roman"/>
                <w:noProof/>
                <w:webHidden/>
              </w:rPr>
              <w:fldChar w:fldCharType="begin"/>
            </w:r>
            <w:r w:rsidR="004C4D29" w:rsidRPr="004C4D29">
              <w:rPr>
                <w:rFonts w:ascii="Times New Roman" w:hAnsi="Times New Roman" w:cs="Times New Roman"/>
                <w:noProof/>
                <w:webHidden/>
              </w:rPr>
              <w:instrText xml:space="preserve"> PAGEREF _Toc518397891 \h </w:instrText>
            </w:r>
            <w:r w:rsidR="004C4D29" w:rsidRPr="004C4D29">
              <w:rPr>
                <w:rFonts w:ascii="Times New Roman" w:hAnsi="Times New Roman" w:cs="Times New Roman"/>
                <w:noProof/>
                <w:webHidden/>
              </w:rPr>
            </w:r>
            <w:r w:rsidR="004C4D29" w:rsidRPr="004C4D29">
              <w:rPr>
                <w:rFonts w:ascii="Times New Roman" w:hAnsi="Times New Roman" w:cs="Times New Roman"/>
                <w:noProof/>
                <w:webHidden/>
              </w:rPr>
              <w:fldChar w:fldCharType="separate"/>
            </w:r>
            <w:r w:rsidR="002E140B">
              <w:rPr>
                <w:rFonts w:ascii="Times New Roman" w:hAnsi="Times New Roman" w:cs="Times New Roman"/>
                <w:noProof/>
                <w:webHidden/>
              </w:rPr>
              <w:t>32</w:t>
            </w:r>
            <w:r w:rsidR="004C4D29" w:rsidRPr="004C4D29">
              <w:rPr>
                <w:rFonts w:ascii="Times New Roman" w:hAnsi="Times New Roman" w:cs="Times New Roman"/>
                <w:noProof/>
                <w:webHidden/>
              </w:rPr>
              <w:fldChar w:fldCharType="end"/>
            </w:r>
          </w:hyperlink>
        </w:p>
        <w:p w14:paraId="328660CC" w14:textId="6BBBF762" w:rsidR="004C4D29" w:rsidRPr="004C4D29" w:rsidRDefault="00F6712E" w:rsidP="004C4D29">
          <w:pPr>
            <w:pStyle w:val="TOC1"/>
            <w:tabs>
              <w:tab w:val="right" w:leader="dot" w:pos="9060"/>
            </w:tabs>
            <w:rPr>
              <w:rFonts w:ascii="Times New Roman" w:hAnsi="Times New Roman" w:cs="Times New Roman"/>
              <w:noProof/>
              <w:lang w:val="en-US" w:eastAsia="en-US"/>
            </w:rPr>
          </w:pPr>
          <w:hyperlink w:anchor="_Toc518397892" w:history="1">
            <w:r w:rsidR="004C4D29" w:rsidRPr="004C4D29">
              <w:rPr>
                <w:rStyle w:val="Hyperlink"/>
                <w:rFonts w:ascii="Times New Roman" w:hAnsi="Times New Roman" w:cs="Times New Roman"/>
                <w:noProof/>
              </w:rPr>
              <w:t>Amenaza fiscal de mediano plazo ligado al financiero de corto plazo pero el….</w:t>
            </w:r>
            <w:r w:rsidR="004C4D29" w:rsidRPr="004C4D29">
              <w:rPr>
                <w:rFonts w:ascii="Times New Roman" w:hAnsi="Times New Roman" w:cs="Times New Roman"/>
                <w:noProof/>
                <w:webHidden/>
              </w:rPr>
              <w:tab/>
            </w:r>
            <w:r w:rsidR="004C4D29" w:rsidRPr="004C4D29">
              <w:rPr>
                <w:rFonts w:ascii="Times New Roman" w:hAnsi="Times New Roman" w:cs="Times New Roman"/>
                <w:noProof/>
                <w:webHidden/>
              </w:rPr>
              <w:fldChar w:fldCharType="begin"/>
            </w:r>
            <w:r w:rsidR="004C4D29" w:rsidRPr="004C4D29">
              <w:rPr>
                <w:rFonts w:ascii="Times New Roman" w:hAnsi="Times New Roman" w:cs="Times New Roman"/>
                <w:noProof/>
                <w:webHidden/>
              </w:rPr>
              <w:instrText xml:space="preserve"> PAGEREF _Toc518397892 \h </w:instrText>
            </w:r>
            <w:r w:rsidR="004C4D29" w:rsidRPr="004C4D29">
              <w:rPr>
                <w:rFonts w:ascii="Times New Roman" w:hAnsi="Times New Roman" w:cs="Times New Roman"/>
                <w:noProof/>
                <w:webHidden/>
              </w:rPr>
            </w:r>
            <w:r w:rsidR="004C4D29" w:rsidRPr="004C4D29">
              <w:rPr>
                <w:rFonts w:ascii="Times New Roman" w:hAnsi="Times New Roman" w:cs="Times New Roman"/>
                <w:noProof/>
                <w:webHidden/>
              </w:rPr>
              <w:fldChar w:fldCharType="separate"/>
            </w:r>
            <w:r w:rsidR="002E140B">
              <w:rPr>
                <w:rFonts w:ascii="Times New Roman" w:hAnsi="Times New Roman" w:cs="Times New Roman"/>
                <w:noProof/>
                <w:webHidden/>
              </w:rPr>
              <w:t>38</w:t>
            </w:r>
            <w:r w:rsidR="004C4D29" w:rsidRPr="004C4D29">
              <w:rPr>
                <w:rFonts w:ascii="Times New Roman" w:hAnsi="Times New Roman" w:cs="Times New Roman"/>
                <w:noProof/>
                <w:webHidden/>
              </w:rPr>
              <w:fldChar w:fldCharType="end"/>
            </w:r>
          </w:hyperlink>
        </w:p>
        <w:p w14:paraId="683C4487" w14:textId="347D7A16" w:rsidR="004C4D29" w:rsidRPr="004C4D29" w:rsidRDefault="00F6712E" w:rsidP="004C4D29">
          <w:pPr>
            <w:pStyle w:val="TOC1"/>
            <w:tabs>
              <w:tab w:val="right" w:leader="dot" w:pos="9060"/>
            </w:tabs>
            <w:rPr>
              <w:rFonts w:ascii="Times New Roman" w:hAnsi="Times New Roman" w:cs="Times New Roman"/>
              <w:noProof/>
              <w:lang w:val="en-US" w:eastAsia="en-US"/>
            </w:rPr>
          </w:pPr>
          <w:hyperlink w:anchor="_Toc518397893" w:history="1">
            <w:r w:rsidR="004C4D29" w:rsidRPr="004C4D29">
              <w:rPr>
                <w:rStyle w:val="Hyperlink"/>
                <w:rFonts w:ascii="Times New Roman" w:hAnsi="Times New Roman" w:cs="Times New Roman"/>
                <w:noProof/>
              </w:rPr>
              <w:t>…reto mayor es la institucionalidad fiscal en el largo plazo</w:t>
            </w:r>
            <w:r w:rsidR="004C4D29" w:rsidRPr="004C4D29">
              <w:rPr>
                <w:rFonts w:ascii="Times New Roman" w:hAnsi="Times New Roman" w:cs="Times New Roman"/>
                <w:noProof/>
                <w:webHidden/>
              </w:rPr>
              <w:tab/>
            </w:r>
            <w:r w:rsidR="004C4D29" w:rsidRPr="004C4D29">
              <w:rPr>
                <w:rFonts w:ascii="Times New Roman" w:hAnsi="Times New Roman" w:cs="Times New Roman"/>
                <w:noProof/>
                <w:webHidden/>
              </w:rPr>
              <w:fldChar w:fldCharType="begin"/>
            </w:r>
            <w:r w:rsidR="004C4D29" w:rsidRPr="004C4D29">
              <w:rPr>
                <w:rFonts w:ascii="Times New Roman" w:hAnsi="Times New Roman" w:cs="Times New Roman"/>
                <w:noProof/>
                <w:webHidden/>
              </w:rPr>
              <w:instrText xml:space="preserve"> PAGEREF _Toc518397893 \h </w:instrText>
            </w:r>
            <w:r w:rsidR="004C4D29" w:rsidRPr="004C4D29">
              <w:rPr>
                <w:rFonts w:ascii="Times New Roman" w:hAnsi="Times New Roman" w:cs="Times New Roman"/>
                <w:noProof/>
                <w:webHidden/>
              </w:rPr>
            </w:r>
            <w:r w:rsidR="004C4D29" w:rsidRPr="004C4D29">
              <w:rPr>
                <w:rFonts w:ascii="Times New Roman" w:hAnsi="Times New Roman" w:cs="Times New Roman"/>
                <w:noProof/>
                <w:webHidden/>
              </w:rPr>
              <w:fldChar w:fldCharType="separate"/>
            </w:r>
            <w:r w:rsidR="002E140B">
              <w:rPr>
                <w:rFonts w:ascii="Times New Roman" w:hAnsi="Times New Roman" w:cs="Times New Roman"/>
                <w:noProof/>
                <w:webHidden/>
              </w:rPr>
              <w:t>39</w:t>
            </w:r>
            <w:r w:rsidR="004C4D29" w:rsidRPr="004C4D29">
              <w:rPr>
                <w:rFonts w:ascii="Times New Roman" w:hAnsi="Times New Roman" w:cs="Times New Roman"/>
                <w:noProof/>
                <w:webHidden/>
              </w:rPr>
              <w:fldChar w:fldCharType="end"/>
            </w:r>
          </w:hyperlink>
        </w:p>
        <w:p w14:paraId="6B1DE7C0" w14:textId="77777777" w:rsidR="006D2A9D" w:rsidRDefault="006D2A9D" w:rsidP="004C4D29">
          <w:r w:rsidRPr="004C4D29">
            <w:rPr>
              <w:rFonts w:ascii="Times New Roman" w:hAnsi="Times New Roman" w:cs="Times New Roman"/>
              <w:bCs/>
              <w:noProof/>
            </w:rPr>
            <w:fldChar w:fldCharType="end"/>
          </w:r>
        </w:p>
      </w:sdtContent>
    </w:sdt>
    <w:p w14:paraId="7550A27D" w14:textId="77777777" w:rsidR="00505AF3" w:rsidRPr="00505AF3" w:rsidRDefault="00505AF3" w:rsidP="00505AF3">
      <w:pPr>
        <w:pStyle w:val="TableofFigures"/>
        <w:tabs>
          <w:tab w:val="right" w:leader="dot" w:pos="9060"/>
        </w:tabs>
        <w:spacing w:line="360" w:lineRule="auto"/>
        <w:jc w:val="center"/>
        <w:rPr>
          <w:rFonts w:ascii="Times New Roman" w:hAnsi="Times New Roman" w:cs="Times New Roman"/>
          <w:b/>
          <w:lang w:val="es-CR"/>
        </w:rPr>
      </w:pPr>
      <w:r w:rsidRPr="00505AF3">
        <w:rPr>
          <w:rFonts w:ascii="Times New Roman" w:hAnsi="Times New Roman" w:cs="Times New Roman"/>
          <w:b/>
          <w:lang w:val="es-CR"/>
        </w:rPr>
        <w:t>Índice de Gráficos</w:t>
      </w:r>
    </w:p>
    <w:p w14:paraId="31768B6C" w14:textId="359C14EB" w:rsidR="00505AF3" w:rsidRPr="00505AF3" w:rsidRDefault="00257507" w:rsidP="00505AF3">
      <w:pPr>
        <w:pStyle w:val="TableofFigures"/>
        <w:tabs>
          <w:tab w:val="right" w:leader="dot" w:pos="9060"/>
        </w:tabs>
        <w:spacing w:line="360" w:lineRule="auto"/>
        <w:rPr>
          <w:rFonts w:ascii="Times New Roman" w:hAnsi="Times New Roman" w:cs="Times New Roman"/>
          <w:noProof/>
          <w:lang w:val="en-US" w:eastAsia="en-US"/>
        </w:rPr>
      </w:pPr>
      <w:r w:rsidRPr="00505AF3">
        <w:rPr>
          <w:rFonts w:ascii="Times New Roman" w:hAnsi="Times New Roman" w:cs="Times New Roman"/>
          <w:lang w:val="es-CR"/>
        </w:rPr>
        <w:fldChar w:fldCharType="begin"/>
      </w:r>
      <w:r w:rsidRPr="00505AF3">
        <w:rPr>
          <w:rFonts w:ascii="Times New Roman" w:hAnsi="Times New Roman" w:cs="Times New Roman"/>
          <w:lang w:val="es-CR"/>
        </w:rPr>
        <w:instrText xml:space="preserve"> TOC \h \z \c "Gráfico" </w:instrText>
      </w:r>
      <w:r w:rsidRPr="00505AF3">
        <w:rPr>
          <w:rFonts w:ascii="Times New Roman" w:hAnsi="Times New Roman" w:cs="Times New Roman"/>
          <w:lang w:val="es-CR"/>
        </w:rPr>
        <w:fldChar w:fldCharType="separate"/>
      </w:r>
      <w:hyperlink w:anchor="_Toc518399408" w:history="1">
        <w:r w:rsidR="00505AF3" w:rsidRPr="00505AF3">
          <w:rPr>
            <w:rStyle w:val="Hyperlink"/>
            <w:rFonts w:ascii="Times New Roman" w:hAnsi="Times New Roman" w:cs="Times New Roman"/>
            <w:noProof/>
          </w:rPr>
          <w:t>Gráfico 1</w:t>
        </w:r>
        <w:r w:rsidR="00505AF3" w:rsidRPr="00505AF3">
          <w:rPr>
            <w:rStyle w:val="Hyperlink"/>
            <w:rFonts w:ascii="Times New Roman" w:eastAsia="Times New Roman" w:hAnsi="Times New Roman" w:cs="Times New Roman"/>
            <w:noProof/>
          </w:rPr>
          <w:t>. Crecimiento económico acumulado 2000-2017 y per cápita en paridad de poder de compra 2017 para países seleccionados</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_Toc518399408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3</w:t>
        </w:r>
        <w:r w:rsidR="00505AF3" w:rsidRPr="00505AF3">
          <w:rPr>
            <w:rFonts w:ascii="Times New Roman" w:hAnsi="Times New Roman" w:cs="Times New Roman"/>
            <w:noProof/>
            <w:webHidden/>
          </w:rPr>
          <w:fldChar w:fldCharType="end"/>
        </w:r>
      </w:hyperlink>
    </w:p>
    <w:p w14:paraId="2BCF8B5F" w14:textId="5D7D5D7C"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09" w:history="1">
        <w:r w:rsidR="00505AF3" w:rsidRPr="00505AF3">
          <w:rPr>
            <w:rStyle w:val="Hyperlink"/>
            <w:rFonts w:ascii="Times New Roman" w:hAnsi="Times New Roman" w:cs="Times New Roman"/>
            <w:noProof/>
          </w:rPr>
          <w:t>Gráfico 2</w:t>
        </w:r>
        <w:r w:rsidR="00505AF3" w:rsidRPr="00505AF3">
          <w:rPr>
            <w:rStyle w:val="Hyperlink"/>
            <w:rFonts w:ascii="Times New Roman" w:eastAsia="Times New Roman" w:hAnsi="Times New Roman" w:cs="Times New Roman"/>
            <w:noProof/>
            <w:lang w:val="en-US"/>
          </w:rPr>
          <w:t xml:space="preserve">. </w:t>
        </w:r>
        <w:r w:rsidR="00505AF3" w:rsidRPr="00505AF3">
          <w:rPr>
            <w:rStyle w:val="Hyperlink"/>
            <w:rFonts w:ascii="Times New Roman" w:eastAsia="Times New Roman" w:hAnsi="Times New Roman" w:cs="Times New Roman"/>
            <w:noProof/>
          </w:rPr>
          <w:t>Deuda Pública Sector Público No Financiero (SPNF) y Banco Central (% PIB)</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_Toc518399409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3</w:t>
        </w:r>
        <w:r w:rsidR="00505AF3" w:rsidRPr="00505AF3">
          <w:rPr>
            <w:rFonts w:ascii="Times New Roman" w:hAnsi="Times New Roman" w:cs="Times New Roman"/>
            <w:noProof/>
            <w:webHidden/>
          </w:rPr>
          <w:fldChar w:fldCharType="end"/>
        </w:r>
      </w:hyperlink>
    </w:p>
    <w:p w14:paraId="54228CE2" w14:textId="7A0D19BA"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0" w:history="1">
        <w:r w:rsidR="00505AF3" w:rsidRPr="00505AF3">
          <w:rPr>
            <w:rStyle w:val="Hyperlink"/>
            <w:rFonts w:ascii="Times New Roman" w:hAnsi="Times New Roman" w:cs="Times New Roman"/>
            <w:noProof/>
          </w:rPr>
          <w:t>Gráfico 3</w:t>
        </w:r>
        <w:r w:rsidR="00505AF3" w:rsidRPr="00505AF3">
          <w:rPr>
            <w:rStyle w:val="Hyperlink"/>
            <w:rFonts w:ascii="Times New Roman" w:hAnsi="Times New Roman" w:cs="Times New Roman"/>
            <w:noProof/>
            <w:lang w:val="es-ES_tradnl"/>
          </w:rPr>
          <w:t>. Deuda Bonificada del Gobierno Central por Tenedor</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_Toc518399410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5</w:t>
        </w:r>
        <w:r w:rsidR="00505AF3" w:rsidRPr="00505AF3">
          <w:rPr>
            <w:rFonts w:ascii="Times New Roman" w:hAnsi="Times New Roman" w:cs="Times New Roman"/>
            <w:noProof/>
            <w:webHidden/>
          </w:rPr>
          <w:fldChar w:fldCharType="end"/>
        </w:r>
      </w:hyperlink>
    </w:p>
    <w:p w14:paraId="4C839DFB" w14:textId="2E3D5FE3"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1" w:history="1">
        <w:r w:rsidR="00505AF3" w:rsidRPr="00505AF3">
          <w:rPr>
            <w:rStyle w:val="Hyperlink"/>
            <w:rFonts w:ascii="Times New Roman" w:hAnsi="Times New Roman" w:cs="Times New Roman"/>
            <w:noProof/>
          </w:rPr>
          <w:t>Gráfico 4</w:t>
        </w:r>
        <w:r w:rsidR="00505AF3" w:rsidRPr="00505AF3">
          <w:rPr>
            <w:rStyle w:val="Hyperlink"/>
            <w:rFonts w:ascii="Times New Roman" w:eastAsia="Times New Roman" w:hAnsi="Times New Roman" w:cs="Times New Roman"/>
            <w:noProof/>
          </w:rPr>
          <w:t>. Ingresos, gastos y resultado financiero del Gobierno Central (% PIB)</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_Toc518399411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6</w:t>
        </w:r>
        <w:r w:rsidR="00505AF3" w:rsidRPr="00505AF3">
          <w:rPr>
            <w:rFonts w:ascii="Times New Roman" w:hAnsi="Times New Roman" w:cs="Times New Roman"/>
            <w:noProof/>
            <w:webHidden/>
          </w:rPr>
          <w:fldChar w:fldCharType="end"/>
        </w:r>
      </w:hyperlink>
    </w:p>
    <w:p w14:paraId="705084E4" w14:textId="6AD68800"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2" w:history="1">
        <w:r w:rsidR="00505AF3" w:rsidRPr="00505AF3">
          <w:rPr>
            <w:rStyle w:val="Hyperlink"/>
            <w:rFonts w:ascii="Times New Roman" w:hAnsi="Times New Roman" w:cs="Times New Roman"/>
            <w:noProof/>
          </w:rPr>
          <w:t>Gráfico 5</w:t>
        </w:r>
        <w:r w:rsidR="00505AF3" w:rsidRPr="00505AF3">
          <w:rPr>
            <w:rStyle w:val="Hyperlink"/>
            <w:rFonts w:ascii="Times New Roman" w:eastAsia="Times New Roman" w:hAnsi="Times New Roman" w:cs="Times New Roman"/>
            <w:noProof/>
          </w:rPr>
          <w:t xml:space="preserve">. </w:t>
        </w:r>
        <w:r w:rsidR="00505AF3" w:rsidRPr="00505AF3">
          <w:rPr>
            <w:rStyle w:val="Hyperlink"/>
            <w:rFonts w:ascii="Times New Roman" w:hAnsi="Times New Roman" w:cs="Times New Roman"/>
            <w:noProof/>
          </w:rPr>
          <w:t>Servicio intereses de la deuda y deuda Gobierno Central</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_Toc518399412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6</w:t>
        </w:r>
        <w:r w:rsidR="00505AF3" w:rsidRPr="00505AF3">
          <w:rPr>
            <w:rFonts w:ascii="Times New Roman" w:hAnsi="Times New Roman" w:cs="Times New Roman"/>
            <w:noProof/>
            <w:webHidden/>
          </w:rPr>
          <w:fldChar w:fldCharType="end"/>
        </w:r>
      </w:hyperlink>
    </w:p>
    <w:p w14:paraId="5C070F72" w14:textId="19E2C1D9"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3" w:history="1">
        <w:r w:rsidR="00505AF3" w:rsidRPr="00505AF3">
          <w:rPr>
            <w:rStyle w:val="Hyperlink"/>
            <w:rFonts w:ascii="Times New Roman" w:hAnsi="Times New Roman" w:cs="Times New Roman"/>
            <w:noProof/>
          </w:rPr>
          <w:t>Gráfico 6. Resultado financiero del Gobierno Central (% PIB) y crecimiento del PIB</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_Toc518399413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6</w:t>
        </w:r>
        <w:r w:rsidR="00505AF3" w:rsidRPr="00505AF3">
          <w:rPr>
            <w:rFonts w:ascii="Times New Roman" w:hAnsi="Times New Roman" w:cs="Times New Roman"/>
            <w:noProof/>
            <w:webHidden/>
          </w:rPr>
          <w:fldChar w:fldCharType="end"/>
        </w:r>
      </w:hyperlink>
    </w:p>
    <w:p w14:paraId="15E8628E" w14:textId="6F9278DF"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4" w:history="1">
        <w:r w:rsidR="00505AF3" w:rsidRPr="00505AF3">
          <w:rPr>
            <w:rStyle w:val="Hyperlink"/>
            <w:rFonts w:ascii="Times New Roman" w:hAnsi="Times New Roman" w:cs="Times New Roman"/>
            <w:noProof/>
          </w:rPr>
          <w:t>Gráfico 7. Déficit Fiscal del Gobierno Central, Déficit de Cuenta Corriente (% PIB) y crecimiento del PIB, 2006-2017</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_Toc518399414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7</w:t>
        </w:r>
        <w:r w:rsidR="00505AF3" w:rsidRPr="00505AF3">
          <w:rPr>
            <w:rFonts w:ascii="Times New Roman" w:hAnsi="Times New Roman" w:cs="Times New Roman"/>
            <w:noProof/>
            <w:webHidden/>
          </w:rPr>
          <w:fldChar w:fldCharType="end"/>
        </w:r>
      </w:hyperlink>
    </w:p>
    <w:p w14:paraId="0F19A8C5" w14:textId="21BA1A2F"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5" w:history="1">
        <w:r w:rsidR="00505AF3" w:rsidRPr="00505AF3">
          <w:rPr>
            <w:rStyle w:val="Hyperlink"/>
            <w:rFonts w:ascii="Times New Roman" w:hAnsi="Times New Roman" w:cs="Times New Roman"/>
            <w:noProof/>
          </w:rPr>
          <w:t>Gráfico 8. Ahorro Nacional, Público y Privado brutos (% PIB), 2006-2017</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_Toc518399415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7</w:t>
        </w:r>
        <w:r w:rsidR="00505AF3" w:rsidRPr="00505AF3">
          <w:rPr>
            <w:rFonts w:ascii="Times New Roman" w:hAnsi="Times New Roman" w:cs="Times New Roman"/>
            <w:noProof/>
            <w:webHidden/>
          </w:rPr>
          <w:fldChar w:fldCharType="end"/>
        </w:r>
      </w:hyperlink>
    </w:p>
    <w:p w14:paraId="666C5678" w14:textId="2705F50F"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6" w:history="1">
        <w:r w:rsidR="00505AF3" w:rsidRPr="00505AF3">
          <w:rPr>
            <w:rStyle w:val="Hyperlink"/>
            <w:rFonts w:ascii="Times New Roman" w:hAnsi="Times New Roman" w:cs="Times New Roman"/>
            <w:noProof/>
          </w:rPr>
          <w:t>Gráfico 9. Destino de las exportaciones de bienes y turismo como % del total de exportaciones de bienes y turismo, 1995 vs 2016</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_Toc518399416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8</w:t>
        </w:r>
        <w:r w:rsidR="00505AF3" w:rsidRPr="00505AF3">
          <w:rPr>
            <w:rFonts w:ascii="Times New Roman" w:hAnsi="Times New Roman" w:cs="Times New Roman"/>
            <w:noProof/>
            <w:webHidden/>
          </w:rPr>
          <w:fldChar w:fldCharType="end"/>
        </w:r>
      </w:hyperlink>
    </w:p>
    <w:p w14:paraId="653E2FAE" w14:textId="7EF2BBEB"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7" w:history="1">
        <w:r w:rsidR="00505AF3" w:rsidRPr="00505AF3">
          <w:rPr>
            <w:rStyle w:val="Hyperlink"/>
            <w:rFonts w:ascii="Times New Roman" w:hAnsi="Times New Roman" w:cs="Times New Roman"/>
            <w:noProof/>
          </w:rPr>
          <w:t>Gráfico 10. Saldos de depósitos y valores en las sociedades financieras a diciembre 2017.</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_Toc518399417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9</w:t>
        </w:r>
        <w:r w:rsidR="00505AF3" w:rsidRPr="00505AF3">
          <w:rPr>
            <w:rFonts w:ascii="Times New Roman" w:hAnsi="Times New Roman" w:cs="Times New Roman"/>
            <w:noProof/>
            <w:webHidden/>
          </w:rPr>
          <w:fldChar w:fldCharType="end"/>
        </w:r>
      </w:hyperlink>
    </w:p>
    <w:p w14:paraId="1DB80A3E" w14:textId="07BFBACF"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8" w:history="1">
        <w:r w:rsidR="00505AF3" w:rsidRPr="00505AF3">
          <w:rPr>
            <w:rStyle w:val="Hyperlink"/>
            <w:rFonts w:ascii="Times New Roman" w:hAnsi="Times New Roman" w:cs="Times New Roman"/>
            <w:noProof/>
          </w:rPr>
          <w:t>Gráfico 11. Ingresos tributarios. Costa Rica y promedio de América Latina (% PIB)</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_Toc518399418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10</w:t>
        </w:r>
        <w:r w:rsidR="00505AF3" w:rsidRPr="00505AF3">
          <w:rPr>
            <w:rFonts w:ascii="Times New Roman" w:hAnsi="Times New Roman" w:cs="Times New Roman"/>
            <w:noProof/>
            <w:webHidden/>
          </w:rPr>
          <w:fldChar w:fldCharType="end"/>
        </w:r>
      </w:hyperlink>
    </w:p>
    <w:p w14:paraId="386DB2CF" w14:textId="62109F8A"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19" w:history="1">
        <w:r w:rsidR="00505AF3" w:rsidRPr="00505AF3">
          <w:rPr>
            <w:rStyle w:val="Hyperlink"/>
            <w:rFonts w:ascii="Times New Roman" w:hAnsi="Times New Roman" w:cs="Times New Roman"/>
            <w:noProof/>
          </w:rPr>
          <w:t>Gráfico 12. Crecimiento del PIB y variación ingresos tributarios (puntos PIB). 2008-2015</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_Toc518399419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10</w:t>
        </w:r>
        <w:r w:rsidR="00505AF3" w:rsidRPr="00505AF3">
          <w:rPr>
            <w:rFonts w:ascii="Times New Roman" w:hAnsi="Times New Roman" w:cs="Times New Roman"/>
            <w:noProof/>
            <w:webHidden/>
          </w:rPr>
          <w:fldChar w:fldCharType="end"/>
        </w:r>
      </w:hyperlink>
    </w:p>
    <w:p w14:paraId="63717136" w14:textId="5946BCAF"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20" w:history="1">
        <w:r w:rsidR="00505AF3" w:rsidRPr="00505AF3">
          <w:rPr>
            <w:rStyle w:val="Hyperlink"/>
            <w:rFonts w:ascii="Times New Roman" w:hAnsi="Times New Roman" w:cs="Times New Roman"/>
            <w:noProof/>
          </w:rPr>
          <w:t>Gráfico 13. Umbrales sobre los cuales los individuos empiezan a pagar el IRPF, medidos como múltiplo del salario promedio en USD en 2013</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_Toc518399420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14</w:t>
        </w:r>
        <w:r w:rsidR="00505AF3" w:rsidRPr="00505AF3">
          <w:rPr>
            <w:rFonts w:ascii="Times New Roman" w:hAnsi="Times New Roman" w:cs="Times New Roman"/>
            <w:noProof/>
            <w:webHidden/>
          </w:rPr>
          <w:fldChar w:fldCharType="end"/>
        </w:r>
      </w:hyperlink>
    </w:p>
    <w:p w14:paraId="1210FF6F" w14:textId="5BC0C84E"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21" w:history="1">
        <w:r w:rsidR="00505AF3" w:rsidRPr="00505AF3">
          <w:rPr>
            <w:rStyle w:val="Hyperlink"/>
            <w:rFonts w:ascii="Times New Roman" w:hAnsi="Times New Roman" w:cs="Times New Roman"/>
            <w:noProof/>
          </w:rPr>
          <w:t>Gráfico 14. Cuñas fiscales promedio para un individuo soltero que percibe el salario promedio en países de la región de ALC en 2013</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_Toc518399421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15</w:t>
        </w:r>
        <w:r w:rsidR="00505AF3" w:rsidRPr="00505AF3">
          <w:rPr>
            <w:rFonts w:ascii="Times New Roman" w:hAnsi="Times New Roman" w:cs="Times New Roman"/>
            <w:noProof/>
            <w:webHidden/>
          </w:rPr>
          <w:fldChar w:fldCharType="end"/>
        </w:r>
      </w:hyperlink>
    </w:p>
    <w:p w14:paraId="3123FE7F" w14:textId="3124EFFD"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22" w:history="1">
        <w:r w:rsidR="00505AF3" w:rsidRPr="00505AF3">
          <w:rPr>
            <w:rStyle w:val="Hyperlink"/>
            <w:rFonts w:ascii="Times New Roman" w:hAnsi="Times New Roman" w:cs="Times New Roman"/>
            <w:noProof/>
          </w:rPr>
          <w:t>Gráfico 15. Tasa de IRE en países seleccionados, 2008-2017</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_Toc518399422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19</w:t>
        </w:r>
        <w:r w:rsidR="00505AF3" w:rsidRPr="00505AF3">
          <w:rPr>
            <w:rFonts w:ascii="Times New Roman" w:hAnsi="Times New Roman" w:cs="Times New Roman"/>
            <w:noProof/>
            <w:webHidden/>
          </w:rPr>
          <w:fldChar w:fldCharType="end"/>
        </w:r>
      </w:hyperlink>
    </w:p>
    <w:p w14:paraId="4CE71851" w14:textId="316F3061"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23" w:history="1">
        <w:r w:rsidR="00505AF3" w:rsidRPr="00505AF3">
          <w:rPr>
            <w:rStyle w:val="Hyperlink"/>
            <w:rFonts w:ascii="Times New Roman" w:hAnsi="Times New Roman" w:cs="Times New Roman"/>
            <w:noProof/>
          </w:rPr>
          <w:t>Gráfico 16</w:t>
        </w:r>
        <w:r w:rsidR="00505AF3" w:rsidRPr="00505AF3">
          <w:rPr>
            <w:rStyle w:val="Hyperlink"/>
            <w:rFonts w:ascii="Times New Roman" w:hAnsi="Times New Roman" w:cs="Times New Roman"/>
            <w:bCs/>
            <w:noProof/>
          </w:rPr>
          <w:t>. Crecimiento de Remuneraciones Totales Reales en instituciones del SPNF.</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_Toc518399423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23</w:t>
        </w:r>
        <w:r w:rsidR="00505AF3" w:rsidRPr="00505AF3">
          <w:rPr>
            <w:rFonts w:ascii="Times New Roman" w:hAnsi="Times New Roman" w:cs="Times New Roman"/>
            <w:noProof/>
            <w:webHidden/>
          </w:rPr>
          <w:fldChar w:fldCharType="end"/>
        </w:r>
      </w:hyperlink>
    </w:p>
    <w:p w14:paraId="589CAE85" w14:textId="3A4C4521"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24" w:history="1">
        <w:r w:rsidR="00505AF3" w:rsidRPr="00505AF3">
          <w:rPr>
            <w:rStyle w:val="Hyperlink"/>
            <w:rFonts w:ascii="Times New Roman" w:hAnsi="Times New Roman" w:cs="Times New Roman"/>
            <w:noProof/>
          </w:rPr>
          <w:t>Gráfico 17. Transferencias del Gobierno Central como % del PIB, 2006-2017</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_Toc518399424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25</w:t>
        </w:r>
        <w:r w:rsidR="00505AF3" w:rsidRPr="00505AF3">
          <w:rPr>
            <w:rFonts w:ascii="Times New Roman" w:hAnsi="Times New Roman" w:cs="Times New Roman"/>
            <w:noProof/>
            <w:webHidden/>
          </w:rPr>
          <w:fldChar w:fldCharType="end"/>
        </w:r>
      </w:hyperlink>
    </w:p>
    <w:p w14:paraId="0DE00F05" w14:textId="24480650"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25" w:history="1">
        <w:r w:rsidR="00505AF3" w:rsidRPr="00505AF3">
          <w:rPr>
            <w:rStyle w:val="Hyperlink"/>
            <w:rFonts w:ascii="Times New Roman" w:hAnsi="Times New Roman" w:cs="Times New Roman"/>
            <w:noProof/>
          </w:rPr>
          <w:t>Gráfico 18</w:t>
        </w:r>
        <w:r w:rsidR="00505AF3" w:rsidRPr="00505AF3">
          <w:rPr>
            <w:rStyle w:val="Hyperlink"/>
            <w:rFonts w:ascii="Times New Roman" w:hAnsi="Times New Roman" w:cs="Times New Roman"/>
            <w:bCs/>
            <w:noProof/>
          </w:rPr>
          <w:t>. Inversión de Gobierno Central por componentes para el período 2000-2016, % PIB</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_Toc518399425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27</w:t>
        </w:r>
        <w:r w:rsidR="00505AF3" w:rsidRPr="00505AF3">
          <w:rPr>
            <w:rFonts w:ascii="Times New Roman" w:hAnsi="Times New Roman" w:cs="Times New Roman"/>
            <w:noProof/>
            <w:webHidden/>
          </w:rPr>
          <w:fldChar w:fldCharType="end"/>
        </w:r>
      </w:hyperlink>
    </w:p>
    <w:p w14:paraId="67ACD91A" w14:textId="402E6610"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26" w:history="1">
        <w:r w:rsidR="00505AF3" w:rsidRPr="00505AF3">
          <w:rPr>
            <w:rStyle w:val="Hyperlink"/>
            <w:rFonts w:ascii="Times New Roman" w:hAnsi="Times New Roman" w:cs="Times New Roman"/>
            <w:noProof/>
          </w:rPr>
          <w:t>Gráfico 19</w:t>
        </w:r>
        <w:r w:rsidR="00505AF3" w:rsidRPr="00505AF3">
          <w:rPr>
            <w:rStyle w:val="Hyperlink"/>
            <w:rFonts w:ascii="Times New Roman" w:hAnsi="Times New Roman" w:cs="Times New Roman"/>
            <w:bCs/>
            <w:noProof/>
          </w:rPr>
          <w:t>. SPNF sin empresas: Crecimiento Gasto Corriente y Salario Reales 2006-2015</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_Toc518399426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32</w:t>
        </w:r>
        <w:r w:rsidR="00505AF3" w:rsidRPr="00505AF3">
          <w:rPr>
            <w:rFonts w:ascii="Times New Roman" w:hAnsi="Times New Roman" w:cs="Times New Roman"/>
            <w:noProof/>
            <w:webHidden/>
          </w:rPr>
          <w:fldChar w:fldCharType="end"/>
        </w:r>
      </w:hyperlink>
    </w:p>
    <w:p w14:paraId="6D11B3AD" w14:textId="73F0C3E3" w:rsidR="00505AF3" w:rsidRPr="00505AF3" w:rsidRDefault="00F6712E" w:rsidP="00505AF3">
      <w:pPr>
        <w:pStyle w:val="TableofFigures"/>
        <w:tabs>
          <w:tab w:val="right" w:leader="dot" w:pos="9060"/>
        </w:tabs>
        <w:spacing w:line="360" w:lineRule="auto"/>
        <w:rPr>
          <w:rFonts w:ascii="Times New Roman" w:hAnsi="Times New Roman" w:cs="Times New Roman"/>
          <w:noProof/>
          <w:lang w:val="en-US" w:eastAsia="en-US"/>
        </w:rPr>
      </w:pPr>
      <w:hyperlink w:anchor="_Toc518399427" w:history="1">
        <w:r w:rsidR="00505AF3" w:rsidRPr="00505AF3">
          <w:rPr>
            <w:rStyle w:val="Hyperlink"/>
            <w:rFonts w:ascii="Times New Roman" w:hAnsi="Times New Roman" w:cs="Times New Roman"/>
            <w:noProof/>
          </w:rPr>
          <w:t>Gráfico 20</w:t>
        </w:r>
        <w:r w:rsidR="00505AF3" w:rsidRPr="00505AF3">
          <w:rPr>
            <w:rStyle w:val="Hyperlink"/>
            <w:rFonts w:ascii="Times New Roman" w:hAnsi="Times New Roman" w:cs="Times New Roman"/>
            <w:bCs/>
            <w:noProof/>
          </w:rPr>
          <w:t>. Efecto de la Regla Fiscal en la deuda del Gobierno Central, 2006-2015</w:t>
        </w:r>
        <w:r w:rsidR="00505AF3" w:rsidRPr="00505AF3">
          <w:rPr>
            <w:rFonts w:ascii="Times New Roman" w:hAnsi="Times New Roman" w:cs="Times New Roman"/>
            <w:noProof/>
            <w:webHidden/>
          </w:rPr>
          <w:tab/>
        </w:r>
        <w:r w:rsidR="00505AF3" w:rsidRPr="00505AF3">
          <w:rPr>
            <w:rFonts w:ascii="Times New Roman" w:hAnsi="Times New Roman" w:cs="Times New Roman"/>
            <w:noProof/>
            <w:webHidden/>
          </w:rPr>
          <w:fldChar w:fldCharType="begin"/>
        </w:r>
        <w:r w:rsidR="00505AF3" w:rsidRPr="00505AF3">
          <w:rPr>
            <w:rFonts w:ascii="Times New Roman" w:hAnsi="Times New Roman" w:cs="Times New Roman"/>
            <w:noProof/>
            <w:webHidden/>
          </w:rPr>
          <w:instrText xml:space="preserve"> PAGEREF _Toc518399427 \h </w:instrText>
        </w:r>
        <w:r w:rsidR="00505AF3" w:rsidRPr="00505AF3">
          <w:rPr>
            <w:rFonts w:ascii="Times New Roman" w:hAnsi="Times New Roman" w:cs="Times New Roman"/>
            <w:noProof/>
            <w:webHidden/>
          </w:rPr>
        </w:r>
        <w:r w:rsidR="00505AF3" w:rsidRPr="00505AF3">
          <w:rPr>
            <w:rFonts w:ascii="Times New Roman" w:hAnsi="Times New Roman" w:cs="Times New Roman"/>
            <w:noProof/>
            <w:webHidden/>
          </w:rPr>
          <w:fldChar w:fldCharType="separate"/>
        </w:r>
        <w:r w:rsidR="002E140B">
          <w:rPr>
            <w:rFonts w:ascii="Times New Roman" w:hAnsi="Times New Roman" w:cs="Times New Roman"/>
            <w:noProof/>
            <w:webHidden/>
          </w:rPr>
          <w:t>32</w:t>
        </w:r>
        <w:r w:rsidR="00505AF3" w:rsidRPr="00505AF3">
          <w:rPr>
            <w:rFonts w:ascii="Times New Roman" w:hAnsi="Times New Roman" w:cs="Times New Roman"/>
            <w:noProof/>
            <w:webHidden/>
          </w:rPr>
          <w:fldChar w:fldCharType="end"/>
        </w:r>
      </w:hyperlink>
    </w:p>
    <w:p w14:paraId="5B26F001" w14:textId="77777777" w:rsidR="004C4D29" w:rsidRDefault="00257507" w:rsidP="00505AF3">
      <w:pPr>
        <w:spacing w:line="360" w:lineRule="auto"/>
        <w:rPr>
          <w:rFonts w:ascii="Times New Roman" w:hAnsi="Times New Roman" w:cs="Times New Roman"/>
          <w:lang w:val="es-CR"/>
        </w:rPr>
      </w:pPr>
      <w:r w:rsidRPr="00505AF3">
        <w:rPr>
          <w:rFonts w:ascii="Times New Roman" w:hAnsi="Times New Roman" w:cs="Times New Roman"/>
          <w:lang w:val="es-CR"/>
        </w:rPr>
        <w:fldChar w:fldCharType="end"/>
      </w:r>
    </w:p>
    <w:p w14:paraId="7FD22F73" w14:textId="77777777" w:rsidR="00505AF3" w:rsidRDefault="00505AF3" w:rsidP="00BD4CC8">
      <w:pPr>
        <w:spacing w:after="0" w:line="360" w:lineRule="auto"/>
        <w:jc w:val="center"/>
        <w:rPr>
          <w:rFonts w:ascii="Times New Roman" w:hAnsi="Times New Roman" w:cs="Times New Roman"/>
          <w:b/>
          <w:lang w:val="es-CR"/>
        </w:rPr>
      </w:pPr>
      <w:r w:rsidRPr="00505AF3">
        <w:rPr>
          <w:rFonts w:ascii="Times New Roman" w:hAnsi="Times New Roman" w:cs="Times New Roman"/>
          <w:b/>
          <w:lang w:val="es-CR"/>
        </w:rPr>
        <w:lastRenderedPageBreak/>
        <w:t>Índice de Tablas</w:t>
      </w:r>
    </w:p>
    <w:p w14:paraId="3D734DDB" w14:textId="39C4CD06" w:rsidR="00BD4CC8" w:rsidRPr="00BD4CC8" w:rsidRDefault="00BD4CC8" w:rsidP="00BD4CC8">
      <w:pPr>
        <w:pStyle w:val="TableofFigures"/>
        <w:tabs>
          <w:tab w:val="right" w:leader="dot" w:pos="9060"/>
        </w:tabs>
        <w:spacing w:line="360" w:lineRule="auto"/>
        <w:rPr>
          <w:rFonts w:ascii="Times New Roman" w:hAnsi="Times New Roman" w:cs="Times New Roman"/>
          <w:noProof/>
          <w:lang w:val="en-US" w:eastAsia="en-US"/>
        </w:rPr>
      </w:pPr>
      <w:r>
        <w:rPr>
          <w:rFonts w:ascii="Times New Roman" w:hAnsi="Times New Roman" w:cs="Times New Roman"/>
          <w:b/>
          <w:lang w:val="es-CR"/>
        </w:rPr>
        <w:fldChar w:fldCharType="begin"/>
      </w:r>
      <w:r>
        <w:rPr>
          <w:rFonts w:ascii="Times New Roman" w:hAnsi="Times New Roman" w:cs="Times New Roman"/>
          <w:b/>
          <w:lang w:val="es-CR"/>
        </w:rPr>
        <w:instrText xml:space="preserve"> TOC \h \z \c "Tabla" </w:instrText>
      </w:r>
      <w:r>
        <w:rPr>
          <w:rFonts w:ascii="Times New Roman" w:hAnsi="Times New Roman" w:cs="Times New Roman"/>
          <w:b/>
          <w:lang w:val="es-CR"/>
        </w:rPr>
        <w:fldChar w:fldCharType="separate"/>
      </w:r>
      <w:hyperlink w:anchor="_Toc518399856" w:history="1">
        <w:r w:rsidRPr="00BD4CC8">
          <w:rPr>
            <w:rStyle w:val="Hyperlink"/>
            <w:rFonts w:ascii="Times New Roman" w:hAnsi="Times New Roman" w:cs="Times New Roman"/>
            <w:noProof/>
          </w:rPr>
          <w:t>Tabla 1. Resultado sector público (% PIB)</w:t>
        </w:r>
        <w:r w:rsidRPr="00BD4CC8">
          <w:rPr>
            <w:rFonts w:ascii="Times New Roman" w:hAnsi="Times New Roman" w:cs="Times New Roman"/>
            <w:noProof/>
            <w:webHidden/>
          </w:rPr>
          <w:tab/>
        </w:r>
        <w:r w:rsidRPr="00BD4CC8">
          <w:rPr>
            <w:rFonts w:ascii="Times New Roman" w:hAnsi="Times New Roman" w:cs="Times New Roman"/>
            <w:noProof/>
            <w:webHidden/>
          </w:rPr>
          <w:fldChar w:fldCharType="begin"/>
        </w:r>
        <w:r w:rsidRPr="00BD4CC8">
          <w:rPr>
            <w:rFonts w:ascii="Times New Roman" w:hAnsi="Times New Roman" w:cs="Times New Roman"/>
            <w:noProof/>
            <w:webHidden/>
          </w:rPr>
          <w:instrText xml:space="preserve"> PAGEREF _Toc518399856 \h </w:instrText>
        </w:r>
        <w:r w:rsidRPr="00BD4CC8">
          <w:rPr>
            <w:rFonts w:ascii="Times New Roman" w:hAnsi="Times New Roman" w:cs="Times New Roman"/>
            <w:noProof/>
            <w:webHidden/>
          </w:rPr>
        </w:r>
        <w:r w:rsidRPr="00BD4CC8">
          <w:rPr>
            <w:rFonts w:ascii="Times New Roman" w:hAnsi="Times New Roman" w:cs="Times New Roman"/>
            <w:noProof/>
            <w:webHidden/>
          </w:rPr>
          <w:fldChar w:fldCharType="separate"/>
        </w:r>
        <w:r w:rsidR="002E140B">
          <w:rPr>
            <w:rFonts w:ascii="Times New Roman" w:hAnsi="Times New Roman" w:cs="Times New Roman"/>
            <w:noProof/>
            <w:webHidden/>
          </w:rPr>
          <w:t>4</w:t>
        </w:r>
        <w:r w:rsidRPr="00BD4CC8">
          <w:rPr>
            <w:rFonts w:ascii="Times New Roman" w:hAnsi="Times New Roman" w:cs="Times New Roman"/>
            <w:noProof/>
            <w:webHidden/>
          </w:rPr>
          <w:fldChar w:fldCharType="end"/>
        </w:r>
      </w:hyperlink>
    </w:p>
    <w:p w14:paraId="0B7EA6CD" w14:textId="14F6F4A5" w:rsidR="00BD4CC8" w:rsidRPr="00BD4CC8" w:rsidRDefault="00F6712E" w:rsidP="00BD4CC8">
      <w:pPr>
        <w:pStyle w:val="TableofFigures"/>
        <w:tabs>
          <w:tab w:val="right" w:leader="dot" w:pos="9060"/>
        </w:tabs>
        <w:spacing w:line="360" w:lineRule="auto"/>
        <w:rPr>
          <w:rFonts w:ascii="Times New Roman" w:hAnsi="Times New Roman" w:cs="Times New Roman"/>
          <w:noProof/>
          <w:lang w:val="en-US" w:eastAsia="en-US"/>
        </w:rPr>
      </w:pPr>
      <w:hyperlink w:anchor="_Toc518399857" w:history="1">
        <w:r w:rsidR="00BD4CC8" w:rsidRPr="00BD4CC8">
          <w:rPr>
            <w:rStyle w:val="Hyperlink"/>
            <w:rFonts w:ascii="Times New Roman" w:hAnsi="Times New Roman" w:cs="Times New Roman"/>
            <w:noProof/>
          </w:rPr>
          <w:t>Tabla 2. Mayores 5 rubros de exportaciones de bienes y turismo como % del total de exportaciones de bienes y turismo, 1995 vs 2015</w:t>
        </w:r>
        <w:r w:rsidR="00BD4CC8" w:rsidRPr="00BD4CC8">
          <w:rPr>
            <w:rFonts w:ascii="Times New Roman" w:hAnsi="Times New Roman" w:cs="Times New Roman"/>
            <w:noProof/>
            <w:webHidden/>
          </w:rPr>
          <w:tab/>
        </w:r>
        <w:r w:rsidR="00BD4CC8" w:rsidRPr="00BD4CC8">
          <w:rPr>
            <w:rFonts w:ascii="Times New Roman" w:hAnsi="Times New Roman" w:cs="Times New Roman"/>
            <w:noProof/>
            <w:webHidden/>
          </w:rPr>
          <w:fldChar w:fldCharType="begin"/>
        </w:r>
        <w:r w:rsidR="00BD4CC8" w:rsidRPr="00BD4CC8">
          <w:rPr>
            <w:rFonts w:ascii="Times New Roman" w:hAnsi="Times New Roman" w:cs="Times New Roman"/>
            <w:noProof/>
            <w:webHidden/>
          </w:rPr>
          <w:instrText xml:space="preserve"> PAGEREF _Toc518399857 \h </w:instrText>
        </w:r>
        <w:r w:rsidR="00BD4CC8" w:rsidRPr="00BD4CC8">
          <w:rPr>
            <w:rFonts w:ascii="Times New Roman" w:hAnsi="Times New Roman" w:cs="Times New Roman"/>
            <w:noProof/>
            <w:webHidden/>
          </w:rPr>
        </w:r>
        <w:r w:rsidR="00BD4CC8" w:rsidRPr="00BD4CC8">
          <w:rPr>
            <w:rFonts w:ascii="Times New Roman" w:hAnsi="Times New Roman" w:cs="Times New Roman"/>
            <w:noProof/>
            <w:webHidden/>
          </w:rPr>
          <w:fldChar w:fldCharType="separate"/>
        </w:r>
        <w:r w:rsidR="002E140B">
          <w:rPr>
            <w:rFonts w:ascii="Times New Roman" w:hAnsi="Times New Roman" w:cs="Times New Roman"/>
            <w:noProof/>
            <w:webHidden/>
          </w:rPr>
          <w:t>8</w:t>
        </w:r>
        <w:r w:rsidR="00BD4CC8" w:rsidRPr="00BD4CC8">
          <w:rPr>
            <w:rFonts w:ascii="Times New Roman" w:hAnsi="Times New Roman" w:cs="Times New Roman"/>
            <w:noProof/>
            <w:webHidden/>
          </w:rPr>
          <w:fldChar w:fldCharType="end"/>
        </w:r>
      </w:hyperlink>
    </w:p>
    <w:p w14:paraId="14D1AA97" w14:textId="5ADE7CAE" w:rsidR="00BD4CC8" w:rsidRPr="00BD4CC8" w:rsidRDefault="00F6712E" w:rsidP="00BD4CC8">
      <w:pPr>
        <w:pStyle w:val="TableofFigures"/>
        <w:tabs>
          <w:tab w:val="right" w:leader="dot" w:pos="9060"/>
        </w:tabs>
        <w:spacing w:line="360" w:lineRule="auto"/>
        <w:rPr>
          <w:rFonts w:ascii="Times New Roman" w:hAnsi="Times New Roman" w:cs="Times New Roman"/>
          <w:noProof/>
          <w:lang w:val="en-US" w:eastAsia="en-US"/>
        </w:rPr>
      </w:pPr>
      <w:hyperlink w:anchor="_Toc518399858" w:history="1">
        <w:r w:rsidR="00BD4CC8" w:rsidRPr="00BD4CC8">
          <w:rPr>
            <w:rStyle w:val="Hyperlink"/>
            <w:rFonts w:ascii="Times New Roman" w:hAnsi="Times New Roman" w:cs="Times New Roman"/>
            <w:noProof/>
          </w:rPr>
          <w:t>Tabla 3. Valor agregado de la producción de bienes y servicios según régimen, 2015</w:t>
        </w:r>
        <w:r w:rsidR="00BD4CC8" w:rsidRPr="00BD4CC8">
          <w:rPr>
            <w:rFonts w:ascii="Times New Roman" w:hAnsi="Times New Roman" w:cs="Times New Roman"/>
            <w:noProof/>
            <w:webHidden/>
          </w:rPr>
          <w:tab/>
        </w:r>
        <w:r w:rsidR="00BD4CC8" w:rsidRPr="00BD4CC8">
          <w:rPr>
            <w:rFonts w:ascii="Times New Roman" w:hAnsi="Times New Roman" w:cs="Times New Roman"/>
            <w:noProof/>
            <w:webHidden/>
          </w:rPr>
          <w:fldChar w:fldCharType="begin"/>
        </w:r>
        <w:r w:rsidR="00BD4CC8" w:rsidRPr="00BD4CC8">
          <w:rPr>
            <w:rFonts w:ascii="Times New Roman" w:hAnsi="Times New Roman" w:cs="Times New Roman"/>
            <w:noProof/>
            <w:webHidden/>
          </w:rPr>
          <w:instrText xml:space="preserve"> PAGEREF _Toc518399858 \h </w:instrText>
        </w:r>
        <w:r w:rsidR="00BD4CC8" w:rsidRPr="00BD4CC8">
          <w:rPr>
            <w:rFonts w:ascii="Times New Roman" w:hAnsi="Times New Roman" w:cs="Times New Roman"/>
            <w:noProof/>
            <w:webHidden/>
          </w:rPr>
        </w:r>
        <w:r w:rsidR="00BD4CC8" w:rsidRPr="00BD4CC8">
          <w:rPr>
            <w:rFonts w:ascii="Times New Roman" w:hAnsi="Times New Roman" w:cs="Times New Roman"/>
            <w:noProof/>
            <w:webHidden/>
          </w:rPr>
          <w:fldChar w:fldCharType="separate"/>
        </w:r>
        <w:r w:rsidR="002E140B">
          <w:rPr>
            <w:rFonts w:ascii="Times New Roman" w:hAnsi="Times New Roman" w:cs="Times New Roman"/>
            <w:noProof/>
            <w:webHidden/>
          </w:rPr>
          <w:t>8</w:t>
        </w:r>
        <w:r w:rsidR="00BD4CC8" w:rsidRPr="00BD4CC8">
          <w:rPr>
            <w:rFonts w:ascii="Times New Roman" w:hAnsi="Times New Roman" w:cs="Times New Roman"/>
            <w:noProof/>
            <w:webHidden/>
          </w:rPr>
          <w:fldChar w:fldCharType="end"/>
        </w:r>
      </w:hyperlink>
    </w:p>
    <w:p w14:paraId="4A8A2B76" w14:textId="5D687BB9" w:rsidR="00BD4CC8" w:rsidRPr="00BD4CC8" w:rsidRDefault="00F6712E" w:rsidP="00BD4CC8">
      <w:pPr>
        <w:pStyle w:val="TableofFigures"/>
        <w:tabs>
          <w:tab w:val="right" w:leader="dot" w:pos="9060"/>
        </w:tabs>
        <w:spacing w:line="360" w:lineRule="auto"/>
        <w:rPr>
          <w:rFonts w:ascii="Times New Roman" w:hAnsi="Times New Roman" w:cs="Times New Roman"/>
          <w:noProof/>
          <w:lang w:val="en-US" w:eastAsia="en-US"/>
        </w:rPr>
      </w:pPr>
      <w:hyperlink w:anchor="_Toc518399859" w:history="1">
        <w:r w:rsidR="00BD4CC8" w:rsidRPr="00BD4CC8">
          <w:rPr>
            <w:rStyle w:val="Hyperlink"/>
            <w:rFonts w:ascii="Times New Roman" w:hAnsi="Times New Roman" w:cs="Times New Roman"/>
            <w:noProof/>
          </w:rPr>
          <w:t>Tabla 4. Remuneraciones y Gasto Corriente del SPNF como % del PIB,</w:t>
        </w:r>
        <w:r w:rsidR="00BD4CC8" w:rsidRPr="00BD4CC8">
          <w:rPr>
            <w:rFonts w:ascii="Times New Roman" w:hAnsi="Times New Roman" w:cs="Times New Roman"/>
            <w:noProof/>
            <w:webHidden/>
          </w:rPr>
          <w:tab/>
        </w:r>
        <w:r w:rsidR="00BD4CC8" w:rsidRPr="00BD4CC8">
          <w:rPr>
            <w:rFonts w:ascii="Times New Roman" w:hAnsi="Times New Roman" w:cs="Times New Roman"/>
            <w:noProof/>
            <w:webHidden/>
          </w:rPr>
          <w:fldChar w:fldCharType="begin"/>
        </w:r>
        <w:r w:rsidR="00BD4CC8" w:rsidRPr="00BD4CC8">
          <w:rPr>
            <w:rFonts w:ascii="Times New Roman" w:hAnsi="Times New Roman" w:cs="Times New Roman"/>
            <w:noProof/>
            <w:webHidden/>
          </w:rPr>
          <w:instrText xml:space="preserve"> PAGEREF _Toc518399859 \h </w:instrText>
        </w:r>
        <w:r w:rsidR="00BD4CC8" w:rsidRPr="00BD4CC8">
          <w:rPr>
            <w:rFonts w:ascii="Times New Roman" w:hAnsi="Times New Roman" w:cs="Times New Roman"/>
            <w:noProof/>
            <w:webHidden/>
          </w:rPr>
        </w:r>
        <w:r w:rsidR="00BD4CC8" w:rsidRPr="00BD4CC8">
          <w:rPr>
            <w:rFonts w:ascii="Times New Roman" w:hAnsi="Times New Roman" w:cs="Times New Roman"/>
            <w:noProof/>
            <w:webHidden/>
          </w:rPr>
          <w:fldChar w:fldCharType="separate"/>
        </w:r>
        <w:r w:rsidR="002E140B">
          <w:rPr>
            <w:rFonts w:ascii="Times New Roman" w:hAnsi="Times New Roman" w:cs="Times New Roman"/>
            <w:noProof/>
            <w:webHidden/>
          </w:rPr>
          <w:t>22</w:t>
        </w:r>
        <w:r w:rsidR="00BD4CC8" w:rsidRPr="00BD4CC8">
          <w:rPr>
            <w:rFonts w:ascii="Times New Roman" w:hAnsi="Times New Roman" w:cs="Times New Roman"/>
            <w:noProof/>
            <w:webHidden/>
          </w:rPr>
          <w:fldChar w:fldCharType="end"/>
        </w:r>
      </w:hyperlink>
    </w:p>
    <w:p w14:paraId="31B22815" w14:textId="3D029D34" w:rsidR="00BD4CC8" w:rsidRPr="00BD4CC8" w:rsidRDefault="00F6712E" w:rsidP="00BD4CC8">
      <w:pPr>
        <w:pStyle w:val="TableofFigures"/>
        <w:tabs>
          <w:tab w:val="right" w:leader="dot" w:pos="9060"/>
        </w:tabs>
        <w:spacing w:line="360" w:lineRule="auto"/>
        <w:rPr>
          <w:rFonts w:ascii="Times New Roman" w:hAnsi="Times New Roman" w:cs="Times New Roman"/>
          <w:noProof/>
          <w:lang w:val="en-US" w:eastAsia="en-US"/>
        </w:rPr>
      </w:pPr>
      <w:hyperlink w:anchor="_Toc518399860" w:history="1">
        <w:r w:rsidR="00BD4CC8" w:rsidRPr="00BD4CC8">
          <w:rPr>
            <w:rStyle w:val="Hyperlink"/>
            <w:rFonts w:ascii="Times New Roman" w:hAnsi="Times New Roman" w:cs="Times New Roman"/>
            <w:noProof/>
          </w:rPr>
          <w:t>Tabla 5</w:t>
        </w:r>
        <w:r w:rsidR="00BD4CC8" w:rsidRPr="00BD4CC8">
          <w:rPr>
            <w:rStyle w:val="Hyperlink"/>
            <w:rFonts w:ascii="Times New Roman" w:hAnsi="Times New Roman" w:cs="Times New Roman"/>
            <w:bCs/>
            <w:noProof/>
          </w:rPr>
          <w:t>. Sensibilización de la aplicación del límite al Incremento de las anualidades</w:t>
        </w:r>
        <w:r w:rsidR="00BD4CC8" w:rsidRPr="00BD4CC8">
          <w:rPr>
            <w:rFonts w:ascii="Times New Roman" w:hAnsi="Times New Roman" w:cs="Times New Roman"/>
            <w:noProof/>
            <w:webHidden/>
          </w:rPr>
          <w:tab/>
        </w:r>
        <w:r w:rsidR="00BD4CC8" w:rsidRPr="00BD4CC8">
          <w:rPr>
            <w:rFonts w:ascii="Times New Roman" w:hAnsi="Times New Roman" w:cs="Times New Roman"/>
            <w:noProof/>
            <w:webHidden/>
          </w:rPr>
          <w:fldChar w:fldCharType="begin"/>
        </w:r>
        <w:r w:rsidR="00BD4CC8" w:rsidRPr="00BD4CC8">
          <w:rPr>
            <w:rFonts w:ascii="Times New Roman" w:hAnsi="Times New Roman" w:cs="Times New Roman"/>
            <w:noProof/>
            <w:webHidden/>
          </w:rPr>
          <w:instrText xml:space="preserve"> PAGEREF _Toc518399860 \h </w:instrText>
        </w:r>
        <w:r w:rsidR="00BD4CC8" w:rsidRPr="00BD4CC8">
          <w:rPr>
            <w:rFonts w:ascii="Times New Roman" w:hAnsi="Times New Roman" w:cs="Times New Roman"/>
            <w:noProof/>
            <w:webHidden/>
          </w:rPr>
        </w:r>
        <w:r w:rsidR="00BD4CC8" w:rsidRPr="00BD4CC8">
          <w:rPr>
            <w:rFonts w:ascii="Times New Roman" w:hAnsi="Times New Roman" w:cs="Times New Roman"/>
            <w:noProof/>
            <w:webHidden/>
          </w:rPr>
          <w:fldChar w:fldCharType="separate"/>
        </w:r>
        <w:r w:rsidR="002E140B">
          <w:rPr>
            <w:rFonts w:ascii="Times New Roman" w:hAnsi="Times New Roman" w:cs="Times New Roman"/>
            <w:noProof/>
            <w:webHidden/>
          </w:rPr>
          <w:t>24</w:t>
        </w:r>
        <w:r w:rsidR="00BD4CC8" w:rsidRPr="00BD4CC8">
          <w:rPr>
            <w:rFonts w:ascii="Times New Roman" w:hAnsi="Times New Roman" w:cs="Times New Roman"/>
            <w:noProof/>
            <w:webHidden/>
          </w:rPr>
          <w:fldChar w:fldCharType="end"/>
        </w:r>
      </w:hyperlink>
    </w:p>
    <w:p w14:paraId="1AB87BC8" w14:textId="7B9A5DB8" w:rsidR="00BD4CC8" w:rsidRPr="00BD4CC8" w:rsidRDefault="00F6712E" w:rsidP="00BD4CC8">
      <w:pPr>
        <w:pStyle w:val="TableofFigures"/>
        <w:tabs>
          <w:tab w:val="right" w:leader="dot" w:pos="9060"/>
        </w:tabs>
        <w:spacing w:line="360" w:lineRule="auto"/>
        <w:rPr>
          <w:rFonts w:ascii="Times New Roman" w:hAnsi="Times New Roman" w:cs="Times New Roman"/>
          <w:noProof/>
          <w:lang w:val="en-US" w:eastAsia="en-US"/>
        </w:rPr>
      </w:pPr>
      <w:hyperlink w:anchor="_Toc518399861" w:history="1">
        <w:r w:rsidR="00BD4CC8" w:rsidRPr="00BD4CC8">
          <w:rPr>
            <w:rStyle w:val="Hyperlink"/>
            <w:rFonts w:ascii="Times New Roman" w:hAnsi="Times New Roman" w:cs="Times New Roman"/>
            <w:noProof/>
          </w:rPr>
          <w:t>Tabla 6</w:t>
        </w:r>
        <w:r w:rsidR="00BD4CC8" w:rsidRPr="00BD4CC8">
          <w:rPr>
            <w:rStyle w:val="Hyperlink"/>
            <w:rFonts w:ascii="Times New Roman" w:hAnsi="Times New Roman" w:cs="Times New Roman"/>
            <w:bCs/>
            <w:noProof/>
          </w:rPr>
          <w:t>. Selección de indicadores de gasto y desempeño en salud, Costa Rica y otros países, 2014</w:t>
        </w:r>
        <w:r w:rsidR="00BD4CC8" w:rsidRPr="00BD4CC8">
          <w:rPr>
            <w:rFonts w:ascii="Times New Roman" w:hAnsi="Times New Roman" w:cs="Times New Roman"/>
            <w:noProof/>
            <w:webHidden/>
          </w:rPr>
          <w:tab/>
        </w:r>
        <w:r w:rsidR="00BD4CC8" w:rsidRPr="00BD4CC8">
          <w:rPr>
            <w:rFonts w:ascii="Times New Roman" w:hAnsi="Times New Roman" w:cs="Times New Roman"/>
            <w:noProof/>
            <w:webHidden/>
          </w:rPr>
          <w:fldChar w:fldCharType="begin"/>
        </w:r>
        <w:r w:rsidR="00BD4CC8" w:rsidRPr="00BD4CC8">
          <w:rPr>
            <w:rFonts w:ascii="Times New Roman" w:hAnsi="Times New Roman" w:cs="Times New Roman"/>
            <w:noProof/>
            <w:webHidden/>
          </w:rPr>
          <w:instrText xml:space="preserve"> PAGEREF _Toc518399861 \h </w:instrText>
        </w:r>
        <w:r w:rsidR="00BD4CC8" w:rsidRPr="00BD4CC8">
          <w:rPr>
            <w:rFonts w:ascii="Times New Roman" w:hAnsi="Times New Roman" w:cs="Times New Roman"/>
            <w:noProof/>
            <w:webHidden/>
          </w:rPr>
        </w:r>
        <w:r w:rsidR="00BD4CC8" w:rsidRPr="00BD4CC8">
          <w:rPr>
            <w:rFonts w:ascii="Times New Roman" w:hAnsi="Times New Roman" w:cs="Times New Roman"/>
            <w:noProof/>
            <w:webHidden/>
          </w:rPr>
          <w:fldChar w:fldCharType="separate"/>
        </w:r>
        <w:r w:rsidR="002E140B">
          <w:rPr>
            <w:rFonts w:ascii="Times New Roman" w:hAnsi="Times New Roman" w:cs="Times New Roman"/>
            <w:noProof/>
            <w:webHidden/>
          </w:rPr>
          <w:t>26</w:t>
        </w:r>
        <w:r w:rsidR="00BD4CC8" w:rsidRPr="00BD4CC8">
          <w:rPr>
            <w:rFonts w:ascii="Times New Roman" w:hAnsi="Times New Roman" w:cs="Times New Roman"/>
            <w:noProof/>
            <w:webHidden/>
          </w:rPr>
          <w:fldChar w:fldCharType="end"/>
        </w:r>
      </w:hyperlink>
    </w:p>
    <w:p w14:paraId="32716C71" w14:textId="663A75EE" w:rsidR="00BD4CC8" w:rsidRPr="00BD4CC8" w:rsidRDefault="00F6712E" w:rsidP="00BD4CC8">
      <w:pPr>
        <w:pStyle w:val="TableofFigures"/>
        <w:tabs>
          <w:tab w:val="right" w:leader="dot" w:pos="9060"/>
        </w:tabs>
        <w:spacing w:line="360" w:lineRule="auto"/>
        <w:rPr>
          <w:rFonts w:ascii="Times New Roman" w:hAnsi="Times New Roman" w:cs="Times New Roman"/>
          <w:noProof/>
          <w:lang w:val="en-US" w:eastAsia="en-US"/>
        </w:rPr>
      </w:pPr>
      <w:hyperlink w:anchor="_Toc518399862" w:history="1">
        <w:r w:rsidR="00BD4CC8" w:rsidRPr="00BD4CC8">
          <w:rPr>
            <w:rStyle w:val="Hyperlink"/>
            <w:rFonts w:ascii="Times New Roman" w:hAnsi="Times New Roman" w:cs="Times New Roman"/>
            <w:noProof/>
          </w:rPr>
          <w:t>Tabla 7. Principales características de los regímenes básicos de pensiones</w:t>
        </w:r>
        <w:r w:rsidR="00BD4CC8" w:rsidRPr="00BD4CC8">
          <w:rPr>
            <w:rFonts w:ascii="Times New Roman" w:hAnsi="Times New Roman" w:cs="Times New Roman"/>
            <w:noProof/>
            <w:webHidden/>
          </w:rPr>
          <w:tab/>
        </w:r>
        <w:r w:rsidR="00BD4CC8" w:rsidRPr="00BD4CC8">
          <w:rPr>
            <w:rFonts w:ascii="Times New Roman" w:hAnsi="Times New Roman" w:cs="Times New Roman"/>
            <w:noProof/>
            <w:webHidden/>
          </w:rPr>
          <w:fldChar w:fldCharType="begin"/>
        </w:r>
        <w:r w:rsidR="00BD4CC8" w:rsidRPr="00BD4CC8">
          <w:rPr>
            <w:rFonts w:ascii="Times New Roman" w:hAnsi="Times New Roman" w:cs="Times New Roman"/>
            <w:noProof/>
            <w:webHidden/>
          </w:rPr>
          <w:instrText xml:space="preserve"> PAGEREF _Toc518399862 \h </w:instrText>
        </w:r>
        <w:r w:rsidR="00BD4CC8" w:rsidRPr="00BD4CC8">
          <w:rPr>
            <w:rFonts w:ascii="Times New Roman" w:hAnsi="Times New Roman" w:cs="Times New Roman"/>
            <w:noProof/>
            <w:webHidden/>
          </w:rPr>
        </w:r>
        <w:r w:rsidR="00BD4CC8" w:rsidRPr="00BD4CC8">
          <w:rPr>
            <w:rFonts w:ascii="Times New Roman" w:hAnsi="Times New Roman" w:cs="Times New Roman"/>
            <w:noProof/>
            <w:webHidden/>
          </w:rPr>
          <w:fldChar w:fldCharType="separate"/>
        </w:r>
        <w:r w:rsidR="002E140B">
          <w:rPr>
            <w:rFonts w:ascii="Times New Roman" w:hAnsi="Times New Roman" w:cs="Times New Roman"/>
            <w:noProof/>
            <w:webHidden/>
          </w:rPr>
          <w:t>33</w:t>
        </w:r>
        <w:r w:rsidR="00BD4CC8" w:rsidRPr="00BD4CC8">
          <w:rPr>
            <w:rFonts w:ascii="Times New Roman" w:hAnsi="Times New Roman" w:cs="Times New Roman"/>
            <w:noProof/>
            <w:webHidden/>
          </w:rPr>
          <w:fldChar w:fldCharType="end"/>
        </w:r>
      </w:hyperlink>
    </w:p>
    <w:p w14:paraId="4459FB26" w14:textId="68F8913A" w:rsidR="00BD4CC8" w:rsidRPr="00BD4CC8" w:rsidRDefault="00F6712E" w:rsidP="00BD4CC8">
      <w:pPr>
        <w:pStyle w:val="TableofFigures"/>
        <w:tabs>
          <w:tab w:val="right" w:leader="dot" w:pos="9060"/>
        </w:tabs>
        <w:spacing w:line="360" w:lineRule="auto"/>
        <w:rPr>
          <w:rFonts w:ascii="Times New Roman" w:hAnsi="Times New Roman" w:cs="Times New Roman"/>
          <w:noProof/>
          <w:lang w:val="en-US" w:eastAsia="en-US"/>
        </w:rPr>
      </w:pPr>
      <w:hyperlink w:anchor="_Toc518399863" w:history="1">
        <w:r w:rsidR="00BD4CC8" w:rsidRPr="00BD4CC8">
          <w:rPr>
            <w:rStyle w:val="Hyperlink"/>
            <w:rFonts w:ascii="Times New Roman" w:hAnsi="Times New Roman" w:cs="Times New Roman"/>
            <w:noProof/>
          </w:rPr>
          <w:t>Tabla 8</w:t>
        </w:r>
        <w:r w:rsidR="00BD4CC8" w:rsidRPr="00BD4CC8">
          <w:rPr>
            <w:rStyle w:val="Hyperlink"/>
            <w:rFonts w:ascii="Times New Roman" w:hAnsi="Times New Roman" w:cs="Times New Roman"/>
            <w:bCs/>
            <w:noProof/>
            <w:lang w:val="es-ES_tradnl"/>
          </w:rPr>
          <w:t>. Momentos críticos para la sostenibilidad del régimen IVM de la CCSS</w:t>
        </w:r>
        <w:r w:rsidR="00BD4CC8" w:rsidRPr="00BD4CC8">
          <w:rPr>
            <w:rFonts w:ascii="Times New Roman" w:hAnsi="Times New Roman" w:cs="Times New Roman"/>
            <w:noProof/>
            <w:webHidden/>
          </w:rPr>
          <w:tab/>
        </w:r>
        <w:r w:rsidR="00BD4CC8" w:rsidRPr="00BD4CC8">
          <w:rPr>
            <w:rFonts w:ascii="Times New Roman" w:hAnsi="Times New Roman" w:cs="Times New Roman"/>
            <w:noProof/>
            <w:webHidden/>
          </w:rPr>
          <w:fldChar w:fldCharType="begin"/>
        </w:r>
        <w:r w:rsidR="00BD4CC8" w:rsidRPr="00BD4CC8">
          <w:rPr>
            <w:rFonts w:ascii="Times New Roman" w:hAnsi="Times New Roman" w:cs="Times New Roman"/>
            <w:noProof/>
            <w:webHidden/>
          </w:rPr>
          <w:instrText xml:space="preserve"> PAGEREF _Toc518399863 \h </w:instrText>
        </w:r>
        <w:r w:rsidR="00BD4CC8" w:rsidRPr="00BD4CC8">
          <w:rPr>
            <w:rFonts w:ascii="Times New Roman" w:hAnsi="Times New Roman" w:cs="Times New Roman"/>
            <w:noProof/>
            <w:webHidden/>
          </w:rPr>
        </w:r>
        <w:r w:rsidR="00BD4CC8" w:rsidRPr="00BD4CC8">
          <w:rPr>
            <w:rFonts w:ascii="Times New Roman" w:hAnsi="Times New Roman" w:cs="Times New Roman"/>
            <w:noProof/>
            <w:webHidden/>
          </w:rPr>
          <w:fldChar w:fldCharType="separate"/>
        </w:r>
        <w:r w:rsidR="002E140B">
          <w:rPr>
            <w:rFonts w:ascii="Times New Roman" w:hAnsi="Times New Roman" w:cs="Times New Roman"/>
            <w:noProof/>
            <w:webHidden/>
          </w:rPr>
          <w:t>35</w:t>
        </w:r>
        <w:r w:rsidR="00BD4CC8" w:rsidRPr="00BD4CC8">
          <w:rPr>
            <w:rFonts w:ascii="Times New Roman" w:hAnsi="Times New Roman" w:cs="Times New Roman"/>
            <w:noProof/>
            <w:webHidden/>
          </w:rPr>
          <w:fldChar w:fldCharType="end"/>
        </w:r>
      </w:hyperlink>
    </w:p>
    <w:p w14:paraId="4B04C150" w14:textId="42F7A8D5" w:rsidR="00BD4CC8" w:rsidRDefault="00F6712E" w:rsidP="00BD4CC8">
      <w:pPr>
        <w:pStyle w:val="TableofFigures"/>
        <w:tabs>
          <w:tab w:val="right" w:leader="dot" w:pos="9060"/>
        </w:tabs>
        <w:spacing w:line="360" w:lineRule="auto"/>
        <w:rPr>
          <w:noProof/>
          <w:lang w:val="en-US" w:eastAsia="en-US"/>
        </w:rPr>
      </w:pPr>
      <w:hyperlink w:anchor="_Toc518399864" w:history="1">
        <w:r w:rsidR="00BD4CC8" w:rsidRPr="00BD4CC8">
          <w:rPr>
            <w:rStyle w:val="Hyperlink"/>
            <w:rFonts w:ascii="Times New Roman" w:hAnsi="Times New Roman" w:cs="Times New Roman"/>
            <w:noProof/>
          </w:rPr>
          <w:t>Tabla 9</w:t>
        </w:r>
        <w:r w:rsidR="00BD4CC8" w:rsidRPr="00BD4CC8">
          <w:rPr>
            <w:rStyle w:val="Hyperlink"/>
            <w:rFonts w:ascii="Times New Roman" w:hAnsi="Times New Roman" w:cs="Times New Roman"/>
            <w:bCs/>
            <w:noProof/>
            <w:lang w:val="es-ES_tradnl"/>
          </w:rPr>
          <w:t>. Cuadro Comparativo de Regímenes de Pensiones</w:t>
        </w:r>
        <w:r w:rsidR="00BD4CC8" w:rsidRPr="00BD4CC8">
          <w:rPr>
            <w:rFonts w:ascii="Times New Roman" w:hAnsi="Times New Roman" w:cs="Times New Roman"/>
            <w:noProof/>
            <w:webHidden/>
          </w:rPr>
          <w:tab/>
        </w:r>
        <w:r w:rsidR="00BD4CC8" w:rsidRPr="00BD4CC8">
          <w:rPr>
            <w:rFonts w:ascii="Times New Roman" w:hAnsi="Times New Roman" w:cs="Times New Roman"/>
            <w:noProof/>
            <w:webHidden/>
          </w:rPr>
          <w:fldChar w:fldCharType="begin"/>
        </w:r>
        <w:r w:rsidR="00BD4CC8" w:rsidRPr="00BD4CC8">
          <w:rPr>
            <w:rFonts w:ascii="Times New Roman" w:hAnsi="Times New Roman" w:cs="Times New Roman"/>
            <w:noProof/>
            <w:webHidden/>
          </w:rPr>
          <w:instrText xml:space="preserve"> PAGEREF _Toc518399864 \h </w:instrText>
        </w:r>
        <w:r w:rsidR="00BD4CC8" w:rsidRPr="00BD4CC8">
          <w:rPr>
            <w:rFonts w:ascii="Times New Roman" w:hAnsi="Times New Roman" w:cs="Times New Roman"/>
            <w:noProof/>
            <w:webHidden/>
          </w:rPr>
        </w:r>
        <w:r w:rsidR="00BD4CC8" w:rsidRPr="00BD4CC8">
          <w:rPr>
            <w:rFonts w:ascii="Times New Roman" w:hAnsi="Times New Roman" w:cs="Times New Roman"/>
            <w:noProof/>
            <w:webHidden/>
          </w:rPr>
          <w:fldChar w:fldCharType="separate"/>
        </w:r>
        <w:r w:rsidR="002E140B">
          <w:rPr>
            <w:rFonts w:ascii="Times New Roman" w:hAnsi="Times New Roman" w:cs="Times New Roman"/>
            <w:noProof/>
            <w:webHidden/>
          </w:rPr>
          <w:t>37</w:t>
        </w:r>
        <w:r w:rsidR="00BD4CC8" w:rsidRPr="00BD4CC8">
          <w:rPr>
            <w:rFonts w:ascii="Times New Roman" w:hAnsi="Times New Roman" w:cs="Times New Roman"/>
            <w:noProof/>
            <w:webHidden/>
          </w:rPr>
          <w:fldChar w:fldCharType="end"/>
        </w:r>
      </w:hyperlink>
    </w:p>
    <w:p w14:paraId="1078F21B" w14:textId="77777777" w:rsidR="00505AF3" w:rsidRPr="00505AF3" w:rsidRDefault="00BD4CC8" w:rsidP="00505AF3">
      <w:pPr>
        <w:spacing w:line="360" w:lineRule="auto"/>
        <w:jc w:val="center"/>
        <w:rPr>
          <w:rFonts w:ascii="Times New Roman" w:hAnsi="Times New Roman" w:cs="Times New Roman"/>
          <w:b/>
          <w:lang w:val="es-CR"/>
        </w:rPr>
      </w:pPr>
      <w:r>
        <w:rPr>
          <w:rFonts w:ascii="Times New Roman" w:hAnsi="Times New Roman" w:cs="Times New Roman"/>
          <w:b/>
          <w:lang w:val="es-CR"/>
        </w:rPr>
        <w:fldChar w:fldCharType="end"/>
      </w:r>
    </w:p>
    <w:p w14:paraId="0AECB9B2" w14:textId="77777777" w:rsidR="006D2A9D" w:rsidRDefault="006D2A9D">
      <w:pPr>
        <w:rPr>
          <w:rFonts w:ascii="Times New Roman" w:eastAsia="SimSun" w:hAnsi="Times New Roman" w:cs="Times New Roman"/>
          <w:b/>
          <w:sz w:val="28"/>
          <w:szCs w:val="32"/>
          <w:lang w:val="es-CR"/>
        </w:rPr>
      </w:pPr>
      <w:r>
        <w:rPr>
          <w:b/>
          <w:sz w:val="28"/>
          <w:szCs w:val="32"/>
          <w:lang w:val="es-CR"/>
        </w:rPr>
        <w:br w:type="page"/>
      </w:r>
    </w:p>
    <w:p w14:paraId="369CAADF" w14:textId="77777777" w:rsidR="00AA16E0" w:rsidRPr="00EC03B5" w:rsidRDefault="008A7160" w:rsidP="000F2531">
      <w:pPr>
        <w:pStyle w:val="FootnoteText"/>
        <w:spacing w:after="0" w:line="360" w:lineRule="auto"/>
        <w:ind w:left="-360"/>
        <w:outlineLvl w:val="0"/>
        <w:rPr>
          <w:rFonts w:eastAsiaTheme="minorEastAsia"/>
          <w:sz w:val="22"/>
          <w:szCs w:val="24"/>
          <w:lang w:val="es-CR"/>
        </w:rPr>
      </w:pPr>
      <w:bookmarkStart w:id="1" w:name="_Toc518397887"/>
      <w:r>
        <w:rPr>
          <w:b/>
          <w:sz w:val="28"/>
          <w:szCs w:val="32"/>
          <w:lang w:val="es-CR"/>
        </w:rPr>
        <w:lastRenderedPageBreak/>
        <w:t>Introducción</w:t>
      </w:r>
      <w:bookmarkEnd w:id="1"/>
    </w:p>
    <w:p w14:paraId="3353F23F" w14:textId="77777777" w:rsidR="002F5C74" w:rsidRDefault="00EC03B5" w:rsidP="00AB7A9A">
      <w:pPr>
        <w:spacing w:after="0" w:line="360" w:lineRule="auto"/>
        <w:ind w:right="51"/>
        <w:jc w:val="both"/>
        <w:rPr>
          <w:rFonts w:ascii="Times New Roman" w:hAnsi="Times New Roman" w:cs="Times New Roman"/>
          <w:color w:val="000000" w:themeColor="text1"/>
          <w:szCs w:val="24"/>
        </w:rPr>
      </w:pPr>
      <w:r w:rsidRPr="006122C3">
        <w:rPr>
          <w:rFonts w:ascii="Times New Roman" w:hAnsi="Times New Roman" w:cs="Times New Roman"/>
          <w:b/>
          <w:szCs w:val="24"/>
        </w:rPr>
        <w:t xml:space="preserve">Costa Rica </w:t>
      </w:r>
      <w:r w:rsidR="00D01D97">
        <w:rPr>
          <w:rFonts w:ascii="Times New Roman" w:hAnsi="Times New Roman" w:cs="Times New Roman"/>
          <w:b/>
          <w:szCs w:val="24"/>
        </w:rPr>
        <w:t xml:space="preserve">ha tenido un muy buen crecimiento económico en las dos últimas </w:t>
      </w:r>
      <w:r w:rsidR="00DF4CFE">
        <w:rPr>
          <w:rFonts w:ascii="Times New Roman" w:hAnsi="Times New Roman" w:cs="Times New Roman"/>
          <w:b/>
          <w:szCs w:val="24"/>
        </w:rPr>
        <w:t>décadas,</w:t>
      </w:r>
      <w:r w:rsidR="00D01D97">
        <w:rPr>
          <w:rFonts w:ascii="Times New Roman" w:hAnsi="Times New Roman" w:cs="Times New Roman"/>
          <w:b/>
          <w:szCs w:val="24"/>
        </w:rPr>
        <w:t xml:space="preserve"> pero </w:t>
      </w:r>
      <w:r w:rsidRPr="006122C3">
        <w:rPr>
          <w:rFonts w:ascii="Times New Roman" w:hAnsi="Times New Roman" w:cs="Times New Roman"/>
          <w:b/>
          <w:szCs w:val="24"/>
        </w:rPr>
        <w:t xml:space="preserve">enfrenta grandes retos de desarrollo </w:t>
      </w:r>
      <w:r w:rsidR="00EE0909" w:rsidRPr="00D30C89">
        <w:rPr>
          <w:rFonts w:ascii="Times New Roman" w:hAnsi="Times New Roman" w:cs="Times New Roman"/>
          <w:szCs w:val="24"/>
        </w:rPr>
        <w:t>que</w:t>
      </w:r>
      <w:r w:rsidR="003B69E5" w:rsidRPr="00D30C89">
        <w:rPr>
          <w:rFonts w:ascii="Times New Roman" w:hAnsi="Times New Roman" w:cs="Times New Roman"/>
          <w:szCs w:val="24"/>
        </w:rPr>
        <w:t xml:space="preserve"> solo pueden ser abordados si el gobierno cuenta con sustento presupuestario para atenderlos</w:t>
      </w:r>
      <w:r w:rsidR="00A81BA8" w:rsidRPr="00D30C89">
        <w:rPr>
          <w:rFonts w:ascii="Times New Roman" w:hAnsi="Times New Roman" w:cs="Times New Roman"/>
          <w:szCs w:val="24"/>
        </w:rPr>
        <w:t xml:space="preserve">, y para esto </w:t>
      </w:r>
      <w:r w:rsidR="00E16C29" w:rsidRPr="00D30C89">
        <w:rPr>
          <w:rFonts w:ascii="Times New Roman" w:hAnsi="Times New Roman" w:cs="Times New Roman"/>
          <w:szCs w:val="24"/>
        </w:rPr>
        <w:t xml:space="preserve">requiere </w:t>
      </w:r>
      <w:r w:rsidR="006122C3" w:rsidRPr="00D30C89">
        <w:rPr>
          <w:rFonts w:ascii="Times New Roman" w:hAnsi="Times New Roman" w:cs="Times New Roman"/>
          <w:szCs w:val="24"/>
        </w:rPr>
        <w:t xml:space="preserve">sustantivas </w:t>
      </w:r>
      <w:r w:rsidR="00A81BA8" w:rsidRPr="00D30C89">
        <w:rPr>
          <w:rFonts w:ascii="Times New Roman" w:hAnsi="Times New Roman" w:cs="Times New Roman"/>
          <w:szCs w:val="24"/>
        </w:rPr>
        <w:t>reformas</w:t>
      </w:r>
      <w:r w:rsidR="006122C3" w:rsidRPr="00D30C89">
        <w:rPr>
          <w:rFonts w:ascii="Times New Roman" w:hAnsi="Times New Roman" w:cs="Times New Roman"/>
          <w:szCs w:val="24"/>
        </w:rPr>
        <w:t xml:space="preserve"> fiscales</w:t>
      </w:r>
      <w:r w:rsidR="003B69E5" w:rsidRPr="00D30C89">
        <w:rPr>
          <w:rFonts w:ascii="Times New Roman" w:hAnsi="Times New Roman" w:cs="Times New Roman"/>
          <w:szCs w:val="24"/>
        </w:rPr>
        <w:t>.</w:t>
      </w:r>
      <w:r w:rsidR="003B69E5" w:rsidRPr="00EC03B5">
        <w:rPr>
          <w:rFonts w:ascii="Times New Roman" w:hAnsi="Times New Roman" w:cs="Times New Roman"/>
          <w:szCs w:val="24"/>
        </w:rPr>
        <w:t xml:space="preserve"> </w:t>
      </w:r>
      <w:r w:rsidR="00BE2444" w:rsidRPr="00EC03B5">
        <w:rPr>
          <w:rFonts w:ascii="Times New Roman" w:hAnsi="Times New Roman" w:cs="Times New Roman"/>
          <w:szCs w:val="24"/>
        </w:rPr>
        <w:t>En particular, tiene un grave desequilibrio fiscal</w:t>
      </w:r>
      <w:r w:rsidR="00BE2444" w:rsidRPr="00EC03B5">
        <w:rPr>
          <w:rFonts w:ascii="Times New Roman" w:hAnsi="Times New Roman" w:cs="Times New Roman"/>
          <w:color w:val="000000" w:themeColor="text1"/>
          <w:szCs w:val="24"/>
        </w:rPr>
        <w:t>, que es consecuencia de graves problemas estructurales</w:t>
      </w:r>
      <w:r w:rsidR="00BE2444">
        <w:rPr>
          <w:rFonts w:ascii="Times New Roman" w:hAnsi="Times New Roman" w:cs="Times New Roman"/>
          <w:color w:val="000000" w:themeColor="text1"/>
          <w:szCs w:val="24"/>
        </w:rPr>
        <w:t>, y que ha convertido en insostenible la dinámica de la deuda pública</w:t>
      </w:r>
      <w:r w:rsidR="00CD46E5">
        <w:rPr>
          <w:rFonts w:ascii="Times New Roman" w:hAnsi="Times New Roman" w:cs="Times New Roman"/>
          <w:color w:val="000000" w:themeColor="text1"/>
          <w:szCs w:val="24"/>
        </w:rPr>
        <w:t xml:space="preserve"> (gráfico </w:t>
      </w:r>
      <w:r w:rsidR="00D01D97">
        <w:rPr>
          <w:rFonts w:ascii="Times New Roman" w:hAnsi="Times New Roman" w:cs="Times New Roman"/>
          <w:color w:val="000000" w:themeColor="text1"/>
          <w:szCs w:val="24"/>
        </w:rPr>
        <w:t>2</w:t>
      </w:r>
      <w:r w:rsidR="00CD46E5">
        <w:rPr>
          <w:rFonts w:ascii="Times New Roman" w:hAnsi="Times New Roman" w:cs="Times New Roman"/>
          <w:color w:val="000000" w:themeColor="text1"/>
          <w:szCs w:val="24"/>
        </w:rPr>
        <w:t>)</w:t>
      </w:r>
      <w:r w:rsidR="00BE2444" w:rsidRPr="00EC03B5">
        <w:rPr>
          <w:rFonts w:ascii="Times New Roman" w:hAnsi="Times New Roman" w:cs="Times New Roman"/>
          <w:color w:val="000000" w:themeColor="text1"/>
          <w:szCs w:val="24"/>
        </w:rPr>
        <w:t xml:space="preserve">. Actualmente, este puede ser considerado el mayor reto de desarrollo del país. </w:t>
      </w:r>
    </w:p>
    <w:p w14:paraId="36812E6F" w14:textId="0D82193D" w:rsidR="00846E14" w:rsidRPr="004C4D29" w:rsidRDefault="004C4D29" w:rsidP="004C4D29">
      <w:pPr>
        <w:pStyle w:val="Caption"/>
        <w:spacing w:after="0"/>
        <w:jc w:val="center"/>
        <w:rPr>
          <w:rFonts w:ascii="Times New Roman" w:hAnsi="Times New Roman" w:cs="Times New Roman"/>
          <w:b/>
          <w:i w:val="0"/>
          <w:color w:val="auto"/>
          <w:sz w:val="22"/>
          <w:szCs w:val="22"/>
        </w:rPr>
      </w:pPr>
      <w:bookmarkStart w:id="2" w:name="_Toc518399408"/>
      <w:r w:rsidRPr="004C4D29">
        <w:rPr>
          <w:rFonts w:ascii="Times New Roman" w:hAnsi="Times New Roman" w:cs="Times New Roman"/>
          <w:b/>
          <w:i w:val="0"/>
          <w:color w:val="auto"/>
          <w:sz w:val="22"/>
          <w:szCs w:val="22"/>
        </w:rPr>
        <w:t xml:space="preserve">Gráfico </w:t>
      </w:r>
      <w:r w:rsidRPr="004C4D29">
        <w:rPr>
          <w:rFonts w:ascii="Times New Roman" w:hAnsi="Times New Roman" w:cs="Times New Roman"/>
          <w:b/>
          <w:i w:val="0"/>
          <w:color w:val="auto"/>
          <w:sz w:val="22"/>
          <w:szCs w:val="22"/>
        </w:rPr>
        <w:fldChar w:fldCharType="begin"/>
      </w:r>
      <w:r w:rsidRPr="004C4D29">
        <w:rPr>
          <w:rFonts w:ascii="Times New Roman" w:hAnsi="Times New Roman" w:cs="Times New Roman"/>
          <w:b/>
          <w:i w:val="0"/>
          <w:color w:val="auto"/>
          <w:sz w:val="22"/>
          <w:szCs w:val="22"/>
        </w:rPr>
        <w:instrText xml:space="preserve"> SEQ Gráfico \* ARABIC </w:instrText>
      </w:r>
      <w:r w:rsidRPr="004C4D29">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w:t>
      </w:r>
      <w:r w:rsidRPr="004C4D29">
        <w:rPr>
          <w:rFonts w:ascii="Times New Roman" w:hAnsi="Times New Roman" w:cs="Times New Roman"/>
          <w:b/>
          <w:i w:val="0"/>
          <w:color w:val="auto"/>
          <w:sz w:val="22"/>
          <w:szCs w:val="22"/>
        </w:rPr>
        <w:fldChar w:fldCharType="end"/>
      </w:r>
      <w:r w:rsidR="00846E14" w:rsidRPr="004C4D29">
        <w:rPr>
          <w:rFonts w:ascii="Times New Roman" w:eastAsia="Times New Roman" w:hAnsi="Times New Roman" w:cs="Times New Roman"/>
          <w:b/>
          <w:i w:val="0"/>
          <w:color w:val="auto"/>
          <w:sz w:val="22"/>
          <w:szCs w:val="22"/>
        </w:rPr>
        <w:t xml:space="preserve">. Crecimiento económico acumulado </w:t>
      </w:r>
      <w:r w:rsidR="00272D17" w:rsidRPr="004C4D29">
        <w:rPr>
          <w:rFonts w:ascii="Times New Roman" w:eastAsia="Times New Roman" w:hAnsi="Times New Roman" w:cs="Times New Roman"/>
          <w:b/>
          <w:i w:val="0"/>
          <w:color w:val="auto"/>
          <w:sz w:val="22"/>
          <w:szCs w:val="22"/>
        </w:rPr>
        <w:t xml:space="preserve">2000-2017 </w:t>
      </w:r>
      <w:r w:rsidR="00846E14" w:rsidRPr="004C4D29">
        <w:rPr>
          <w:rFonts w:ascii="Times New Roman" w:eastAsia="Times New Roman" w:hAnsi="Times New Roman" w:cs="Times New Roman"/>
          <w:b/>
          <w:i w:val="0"/>
          <w:color w:val="auto"/>
          <w:sz w:val="22"/>
          <w:szCs w:val="22"/>
        </w:rPr>
        <w:t xml:space="preserve">y per cápita </w:t>
      </w:r>
      <w:r w:rsidR="00DF4CFE" w:rsidRPr="004C4D29">
        <w:rPr>
          <w:rFonts w:ascii="Times New Roman" w:eastAsia="Times New Roman" w:hAnsi="Times New Roman" w:cs="Times New Roman"/>
          <w:b/>
          <w:i w:val="0"/>
          <w:color w:val="auto"/>
          <w:sz w:val="22"/>
          <w:szCs w:val="22"/>
        </w:rPr>
        <w:t xml:space="preserve">en paridad de poder de compra </w:t>
      </w:r>
      <w:r w:rsidR="00846E14" w:rsidRPr="004C4D29">
        <w:rPr>
          <w:rFonts w:ascii="Times New Roman" w:eastAsia="Times New Roman" w:hAnsi="Times New Roman" w:cs="Times New Roman"/>
          <w:b/>
          <w:i w:val="0"/>
          <w:color w:val="auto"/>
          <w:sz w:val="22"/>
          <w:szCs w:val="22"/>
        </w:rPr>
        <w:t>201</w:t>
      </w:r>
      <w:r w:rsidR="00DF4CFE" w:rsidRPr="004C4D29">
        <w:rPr>
          <w:rFonts w:ascii="Times New Roman" w:eastAsia="Times New Roman" w:hAnsi="Times New Roman" w:cs="Times New Roman"/>
          <w:b/>
          <w:i w:val="0"/>
          <w:color w:val="auto"/>
          <w:sz w:val="22"/>
          <w:szCs w:val="22"/>
        </w:rPr>
        <w:t>7</w:t>
      </w:r>
      <w:r w:rsidR="00272D17" w:rsidRPr="004C4D29">
        <w:rPr>
          <w:rFonts w:ascii="Times New Roman" w:eastAsia="Times New Roman" w:hAnsi="Times New Roman" w:cs="Times New Roman"/>
          <w:b/>
          <w:i w:val="0"/>
          <w:color w:val="auto"/>
          <w:sz w:val="22"/>
          <w:szCs w:val="22"/>
        </w:rPr>
        <w:t xml:space="preserve"> para p</w:t>
      </w:r>
      <w:r w:rsidR="00846E14" w:rsidRPr="004C4D29">
        <w:rPr>
          <w:rFonts w:ascii="Times New Roman" w:eastAsia="Times New Roman" w:hAnsi="Times New Roman" w:cs="Times New Roman"/>
          <w:b/>
          <w:i w:val="0"/>
          <w:color w:val="auto"/>
          <w:sz w:val="22"/>
          <w:szCs w:val="22"/>
        </w:rPr>
        <w:t>aíses seleccionados</w:t>
      </w:r>
      <w:bookmarkEnd w:id="2"/>
    </w:p>
    <w:p w14:paraId="14DF201C" w14:textId="77777777" w:rsidR="00846E14" w:rsidRDefault="00DF4CFE" w:rsidP="00DF4CFE">
      <w:pPr>
        <w:spacing w:after="0" w:line="240" w:lineRule="auto"/>
        <w:ind w:right="51"/>
        <w:jc w:val="center"/>
        <w:rPr>
          <w:rFonts w:ascii="Times New Roman" w:hAnsi="Times New Roman" w:cs="Times New Roman"/>
          <w:color w:val="000000" w:themeColor="text1"/>
          <w:szCs w:val="24"/>
        </w:rPr>
      </w:pPr>
      <w:r>
        <w:rPr>
          <w:noProof/>
          <w:lang w:val="es-CR" w:eastAsia="es-CR"/>
        </w:rPr>
        <w:drawing>
          <wp:inline distT="0" distB="0" distL="0" distR="0" wp14:anchorId="1DC64BAA" wp14:editId="5B516FAE">
            <wp:extent cx="4862945" cy="2500630"/>
            <wp:effectExtent l="0" t="0" r="0" b="0"/>
            <wp:docPr id="13" name="Chart 13">
              <a:extLst xmlns:a="http://schemas.openxmlformats.org/drawingml/2006/main">
                <a:ext uri="{FF2B5EF4-FFF2-40B4-BE49-F238E27FC236}">
                  <a16:creationId xmlns:a16="http://schemas.microsoft.com/office/drawing/2014/main" id="{4890D82D-9C42-4990-A01B-1EBFFE0838F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EDF8619" w14:textId="77777777" w:rsidR="00DF4CFE" w:rsidRPr="00254B3A" w:rsidRDefault="00DF4CFE" w:rsidP="00DF4CFE">
      <w:pPr>
        <w:spacing w:after="0" w:line="360" w:lineRule="auto"/>
        <w:ind w:right="51"/>
        <w:jc w:val="center"/>
        <w:rPr>
          <w:rFonts w:ascii="Times New Roman" w:hAnsi="Times New Roman" w:cs="Times New Roman"/>
          <w:color w:val="000000" w:themeColor="text1"/>
          <w:sz w:val="18"/>
          <w:szCs w:val="18"/>
          <w:lang w:val="en-US"/>
        </w:rPr>
      </w:pPr>
      <w:r w:rsidRPr="00254B3A">
        <w:rPr>
          <w:rFonts w:ascii="Times New Roman" w:hAnsi="Times New Roman" w:cs="Times New Roman"/>
          <w:color w:val="000000" w:themeColor="text1"/>
          <w:sz w:val="18"/>
          <w:szCs w:val="18"/>
          <w:lang w:val="en-US"/>
        </w:rPr>
        <w:t>Fuente:</w:t>
      </w:r>
      <w:r w:rsidR="00272D17" w:rsidRPr="00254B3A">
        <w:rPr>
          <w:rFonts w:ascii="Times New Roman" w:hAnsi="Times New Roman" w:cs="Times New Roman"/>
          <w:color w:val="000000" w:themeColor="text1"/>
          <w:sz w:val="18"/>
          <w:szCs w:val="18"/>
          <w:lang w:val="en-US"/>
        </w:rPr>
        <w:t xml:space="preserve"> World Economic Outlook (2018).</w:t>
      </w:r>
    </w:p>
    <w:p w14:paraId="70284233" w14:textId="77777777" w:rsidR="00846E14" w:rsidRPr="00254B3A" w:rsidRDefault="00846E14" w:rsidP="00AB7A9A">
      <w:pPr>
        <w:spacing w:after="0" w:line="360" w:lineRule="auto"/>
        <w:ind w:right="51"/>
        <w:jc w:val="both"/>
        <w:rPr>
          <w:rFonts w:ascii="Times New Roman" w:hAnsi="Times New Roman" w:cs="Times New Roman"/>
          <w:color w:val="000000" w:themeColor="text1"/>
          <w:szCs w:val="24"/>
          <w:lang w:val="en-US"/>
        </w:rPr>
      </w:pPr>
    </w:p>
    <w:p w14:paraId="5380858E" w14:textId="0923A3FE" w:rsidR="00D81651" w:rsidRPr="004C4D29" w:rsidRDefault="004C4D29" w:rsidP="004C4D29">
      <w:pPr>
        <w:pStyle w:val="Caption"/>
        <w:spacing w:after="0"/>
        <w:jc w:val="center"/>
        <w:rPr>
          <w:rFonts w:ascii="Times New Roman" w:hAnsi="Times New Roman" w:cs="Times New Roman"/>
          <w:b/>
          <w:i w:val="0"/>
          <w:color w:val="auto"/>
          <w:sz w:val="22"/>
          <w:szCs w:val="22"/>
        </w:rPr>
      </w:pPr>
      <w:bookmarkStart w:id="3" w:name="_Toc518399409"/>
      <w:r w:rsidRPr="005A045C">
        <w:rPr>
          <w:rFonts w:ascii="Times New Roman" w:hAnsi="Times New Roman" w:cs="Times New Roman"/>
          <w:b/>
          <w:i w:val="0"/>
          <w:color w:val="auto"/>
          <w:sz w:val="22"/>
          <w:szCs w:val="22"/>
          <w:lang w:val="en-US"/>
        </w:rPr>
        <w:t xml:space="preserve">Gráfico </w:t>
      </w:r>
      <w:r w:rsidRPr="004C4D29">
        <w:rPr>
          <w:rFonts w:ascii="Times New Roman" w:hAnsi="Times New Roman" w:cs="Times New Roman"/>
          <w:b/>
          <w:i w:val="0"/>
          <w:color w:val="auto"/>
          <w:sz w:val="22"/>
          <w:szCs w:val="22"/>
        </w:rPr>
        <w:fldChar w:fldCharType="begin"/>
      </w:r>
      <w:r w:rsidRPr="005A045C">
        <w:rPr>
          <w:rFonts w:ascii="Times New Roman" w:hAnsi="Times New Roman" w:cs="Times New Roman"/>
          <w:b/>
          <w:i w:val="0"/>
          <w:color w:val="auto"/>
          <w:sz w:val="22"/>
          <w:szCs w:val="22"/>
          <w:lang w:val="en-US"/>
        </w:rPr>
        <w:instrText xml:space="preserve"> SEQ Gráfico \* ARABIC </w:instrText>
      </w:r>
      <w:r w:rsidRPr="004C4D29">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lang w:val="en-US"/>
        </w:rPr>
        <w:t>2</w:t>
      </w:r>
      <w:r w:rsidRPr="004C4D29">
        <w:rPr>
          <w:rFonts w:ascii="Times New Roman" w:hAnsi="Times New Roman" w:cs="Times New Roman"/>
          <w:b/>
          <w:i w:val="0"/>
          <w:color w:val="auto"/>
          <w:sz w:val="22"/>
          <w:szCs w:val="22"/>
        </w:rPr>
        <w:fldChar w:fldCharType="end"/>
      </w:r>
      <w:r w:rsidR="00D81651" w:rsidRPr="004C4D29">
        <w:rPr>
          <w:rFonts w:ascii="Times New Roman" w:eastAsia="Times New Roman" w:hAnsi="Times New Roman" w:cs="Times New Roman"/>
          <w:b/>
          <w:i w:val="0"/>
          <w:color w:val="auto"/>
          <w:sz w:val="22"/>
          <w:szCs w:val="22"/>
          <w:lang w:val="en-US"/>
        </w:rPr>
        <w:t xml:space="preserve">. </w:t>
      </w:r>
      <w:r w:rsidR="00D81651" w:rsidRPr="004C4D29">
        <w:rPr>
          <w:rFonts w:ascii="Times New Roman" w:eastAsia="Times New Roman" w:hAnsi="Times New Roman" w:cs="Times New Roman"/>
          <w:b/>
          <w:i w:val="0"/>
          <w:color w:val="auto"/>
          <w:sz w:val="22"/>
          <w:szCs w:val="22"/>
        </w:rPr>
        <w:t>Deuda Pública Sector Público No Financiero (SPNF) y Banco Central (% PIB)</w:t>
      </w:r>
      <w:bookmarkEnd w:id="3"/>
    </w:p>
    <w:p w14:paraId="04906923" w14:textId="77777777" w:rsidR="00D81651" w:rsidRDefault="00807847" w:rsidP="00B50E62">
      <w:pPr>
        <w:spacing w:after="0" w:line="240" w:lineRule="auto"/>
        <w:ind w:right="51"/>
        <w:jc w:val="center"/>
        <w:rPr>
          <w:rFonts w:ascii="Times New Roman" w:hAnsi="Times New Roman" w:cs="Times New Roman"/>
          <w:color w:val="000000" w:themeColor="text1"/>
          <w:szCs w:val="24"/>
        </w:rPr>
      </w:pPr>
      <w:r>
        <w:rPr>
          <w:noProof/>
          <w:lang w:val="es-CR" w:eastAsia="es-CR"/>
        </w:rPr>
        <w:drawing>
          <wp:inline distT="0" distB="0" distL="0" distR="0" wp14:anchorId="5E364585" wp14:editId="6315DAF4">
            <wp:extent cx="5242560" cy="3181350"/>
            <wp:effectExtent l="0" t="0" r="0" b="0"/>
            <wp:docPr id="5" name="Chart 5">
              <a:extLst xmlns:a="http://schemas.openxmlformats.org/drawingml/2006/main">
                <a:ext uri="{FF2B5EF4-FFF2-40B4-BE49-F238E27FC236}">
                  <a16:creationId xmlns:a16="http://schemas.microsoft.com/office/drawing/2014/main" id="{E2DB508E-AD68-408D-92A2-5D05EF7FE1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31E214F" w14:textId="77777777" w:rsidR="00D81651" w:rsidRPr="00D81651" w:rsidRDefault="00D81651" w:rsidP="001A39CB">
      <w:pPr>
        <w:spacing w:line="360" w:lineRule="auto"/>
        <w:ind w:right="51"/>
        <w:jc w:val="center"/>
        <w:rPr>
          <w:rFonts w:ascii="Times New Roman" w:hAnsi="Times New Roman" w:cs="Times New Roman"/>
          <w:color w:val="000000" w:themeColor="text1"/>
          <w:sz w:val="18"/>
          <w:szCs w:val="24"/>
        </w:rPr>
      </w:pPr>
      <w:r w:rsidRPr="00A9379A">
        <w:rPr>
          <w:rFonts w:ascii="Times New Roman" w:hAnsi="Times New Roman" w:cs="Times New Roman"/>
          <w:color w:val="000000" w:themeColor="text1"/>
          <w:sz w:val="18"/>
          <w:szCs w:val="24"/>
        </w:rPr>
        <w:t>Fuente: Ministerio de Hacienda.</w:t>
      </w:r>
    </w:p>
    <w:p w14:paraId="25F09304" w14:textId="77777777" w:rsidR="00D55841" w:rsidRDefault="00F647EA" w:rsidP="001A39CB">
      <w:pPr>
        <w:pStyle w:val="Estilo4"/>
        <w:numPr>
          <w:ilvl w:val="0"/>
          <w:numId w:val="0"/>
        </w:numPr>
        <w:tabs>
          <w:tab w:val="left" w:pos="0"/>
        </w:tabs>
        <w:spacing w:before="240" w:after="0" w:line="360" w:lineRule="auto"/>
        <w:contextualSpacing w:val="0"/>
        <w:rPr>
          <w:color w:val="000000" w:themeColor="text1"/>
          <w:sz w:val="22"/>
          <w:szCs w:val="22"/>
          <w:lang w:val="es-ES"/>
        </w:rPr>
      </w:pPr>
      <w:r w:rsidRPr="00D55841">
        <w:rPr>
          <w:b/>
          <w:color w:val="000000" w:themeColor="text1"/>
          <w:sz w:val="22"/>
          <w:szCs w:val="22"/>
        </w:rPr>
        <w:lastRenderedPageBreak/>
        <w:t>Específicamente, el problema proviene del Sector Público No Financiero (SPNF)</w:t>
      </w:r>
      <w:r w:rsidR="00264703" w:rsidRPr="00D55841">
        <w:rPr>
          <w:b/>
          <w:color w:val="000000" w:themeColor="text1"/>
          <w:sz w:val="22"/>
          <w:szCs w:val="22"/>
        </w:rPr>
        <w:t xml:space="preserve">, </w:t>
      </w:r>
      <w:r w:rsidR="00CC2713" w:rsidRPr="00D55841">
        <w:rPr>
          <w:b/>
          <w:color w:val="000000" w:themeColor="text1"/>
          <w:sz w:val="22"/>
          <w:szCs w:val="22"/>
        </w:rPr>
        <w:t>donde se destaca la problemática del Gobierno Central.</w:t>
      </w:r>
      <w:r w:rsidR="00CC2713" w:rsidRPr="00D55841">
        <w:rPr>
          <w:color w:val="000000" w:themeColor="text1"/>
          <w:sz w:val="22"/>
          <w:szCs w:val="22"/>
        </w:rPr>
        <w:t xml:space="preserve"> </w:t>
      </w:r>
      <w:r w:rsidR="002F5C74" w:rsidRPr="00D55841">
        <w:rPr>
          <w:color w:val="000000" w:themeColor="text1"/>
          <w:sz w:val="22"/>
          <w:szCs w:val="22"/>
        </w:rPr>
        <w:t xml:space="preserve">A partir de 2008, luego de la crisis internacional, la deuda de Sector Público ha crecido ininterrumpidamente, </w:t>
      </w:r>
      <w:r w:rsidR="002F5C74" w:rsidRPr="00F96872">
        <w:rPr>
          <w:color w:val="000000" w:themeColor="text1"/>
          <w:sz w:val="22"/>
          <w:szCs w:val="22"/>
        </w:rPr>
        <w:t>pasando de 38,4% a 65,2%</w:t>
      </w:r>
      <w:r w:rsidR="00C60283" w:rsidRPr="00F96872">
        <w:rPr>
          <w:color w:val="000000" w:themeColor="text1"/>
          <w:sz w:val="22"/>
          <w:szCs w:val="22"/>
        </w:rPr>
        <w:t xml:space="preserve"> en </w:t>
      </w:r>
      <w:r w:rsidR="00FF3FBB" w:rsidRPr="00F96872">
        <w:rPr>
          <w:color w:val="000000" w:themeColor="text1"/>
          <w:sz w:val="22"/>
          <w:szCs w:val="22"/>
        </w:rPr>
        <w:t>2017</w:t>
      </w:r>
      <w:r w:rsidR="00F96872" w:rsidRPr="00F96872">
        <w:rPr>
          <w:color w:val="000000" w:themeColor="text1"/>
          <w:sz w:val="22"/>
          <w:szCs w:val="22"/>
        </w:rPr>
        <w:t xml:space="preserve"> (gráfico 2)</w:t>
      </w:r>
      <w:r w:rsidR="002F5C74" w:rsidRPr="00F96872">
        <w:rPr>
          <w:color w:val="000000" w:themeColor="text1"/>
          <w:sz w:val="22"/>
          <w:szCs w:val="22"/>
        </w:rPr>
        <w:t>,</w:t>
      </w:r>
      <w:r w:rsidR="00C60283" w:rsidRPr="00F96872">
        <w:rPr>
          <w:color w:val="000000" w:themeColor="text1"/>
          <w:sz w:val="22"/>
          <w:szCs w:val="22"/>
        </w:rPr>
        <w:t xml:space="preserve"> lo</w:t>
      </w:r>
      <w:r w:rsidR="00C60283">
        <w:rPr>
          <w:color w:val="000000" w:themeColor="text1"/>
          <w:sz w:val="22"/>
          <w:szCs w:val="22"/>
        </w:rPr>
        <w:t xml:space="preserve"> que significa </w:t>
      </w:r>
      <w:r w:rsidR="00964793">
        <w:rPr>
          <w:color w:val="000000" w:themeColor="text1"/>
          <w:sz w:val="22"/>
          <w:szCs w:val="22"/>
        </w:rPr>
        <w:t>US$</w:t>
      </w:r>
      <w:r w:rsidR="00244BE4">
        <w:rPr>
          <w:color w:val="000000" w:themeColor="text1"/>
          <w:sz w:val="22"/>
          <w:szCs w:val="22"/>
        </w:rPr>
        <w:t xml:space="preserve"> </w:t>
      </w:r>
      <w:r w:rsidR="00964793">
        <w:rPr>
          <w:color w:val="000000" w:themeColor="text1"/>
          <w:sz w:val="22"/>
          <w:szCs w:val="22"/>
        </w:rPr>
        <w:t>37</w:t>
      </w:r>
      <w:r w:rsidR="00244BE4">
        <w:rPr>
          <w:color w:val="000000" w:themeColor="text1"/>
          <w:sz w:val="22"/>
          <w:szCs w:val="22"/>
        </w:rPr>
        <w:t>.310 millones</w:t>
      </w:r>
      <w:r w:rsidR="00C60283">
        <w:rPr>
          <w:color w:val="000000" w:themeColor="text1"/>
          <w:sz w:val="22"/>
          <w:szCs w:val="22"/>
        </w:rPr>
        <w:t>.</w:t>
      </w:r>
      <w:r w:rsidR="002F5C74" w:rsidRPr="00D55841">
        <w:rPr>
          <w:color w:val="000000" w:themeColor="text1"/>
          <w:sz w:val="22"/>
          <w:szCs w:val="22"/>
        </w:rPr>
        <w:t xml:space="preserve"> </w:t>
      </w:r>
      <w:r w:rsidR="00C60283">
        <w:rPr>
          <w:color w:val="000000" w:themeColor="text1"/>
          <w:sz w:val="22"/>
          <w:szCs w:val="22"/>
        </w:rPr>
        <w:t xml:space="preserve">Además, su </w:t>
      </w:r>
      <w:r w:rsidR="00CC6BA6" w:rsidRPr="00D55841">
        <w:rPr>
          <w:color w:val="000000" w:themeColor="text1"/>
          <w:sz w:val="22"/>
          <w:szCs w:val="22"/>
        </w:rPr>
        <w:t>tasa de</w:t>
      </w:r>
      <w:r w:rsidR="002F5C74" w:rsidRPr="00D55841">
        <w:rPr>
          <w:color w:val="000000" w:themeColor="text1"/>
          <w:sz w:val="22"/>
          <w:szCs w:val="22"/>
        </w:rPr>
        <w:t xml:space="preserve"> </w:t>
      </w:r>
      <w:r w:rsidR="00CC6BA6" w:rsidRPr="00D55841">
        <w:rPr>
          <w:color w:val="000000" w:themeColor="text1"/>
          <w:sz w:val="22"/>
          <w:szCs w:val="22"/>
        </w:rPr>
        <w:t>crecimiento</w:t>
      </w:r>
      <w:r w:rsidR="002F5C74" w:rsidRPr="00D55841">
        <w:rPr>
          <w:color w:val="000000" w:themeColor="text1"/>
          <w:sz w:val="22"/>
          <w:szCs w:val="22"/>
        </w:rPr>
        <w:t xml:space="preserve"> promedio </w:t>
      </w:r>
      <w:r w:rsidR="00C60283">
        <w:rPr>
          <w:color w:val="000000" w:themeColor="text1"/>
          <w:sz w:val="22"/>
          <w:szCs w:val="22"/>
        </w:rPr>
        <w:t xml:space="preserve">es </w:t>
      </w:r>
      <w:r w:rsidR="00C60283" w:rsidRPr="00D55841">
        <w:rPr>
          <w:color w:val="000000" w:themeColor="text1"/>
          <w:sz w:val="22"/>
          <w:szCs w:val="22"/>
        </w:rPr>
        <w:t>de</w:t>
      </w:r>
      <w:r w:rsidR="00C60283">
        <w:rPr>
          <w:color w:val="000000" w:themeColor="text1"/>
          <w:sz w:val="22"/>
          <w:szCs w:val="22"/>
        </w:rPr>
        <w:t xml:space="preserve"> </w:t>
      </w:r>
      <w:r w:rsidR="002F5C74" w:rsidRPr="00D55841">
        <w:rPr>
          <w:color w:val="000000" w:themeColor="text1"/>
          <w:sz w:val="22"/>
          <w:szCs w:val="22"/>
        </w:rPr>
        <w:t xml:space="preserve">4,1% entre 2008-2017. El </w:t>
      </w:r>
      <w:r w:rsidR="00CC6BA6" w:rsidRPr="00D55841">
        <w:rPr>
          <w:color w:val="000000" w:themeColor="text1"/>
          <w:sz w:val="22"/>
          <w:szCs w:val="22"/>
        </w:rPr>
        <w:t>incremento</w:t>
      </w:r>
      <w:r w:rsidR="002F5C74" w:rsidRPr="00D55841">
        <w:rPr>
          <w:color w:val="000000" w:themeColor="text1"/>
          <w:sz w:val="22"/>
          <w:szCs w:val="22"/>
        </w:rPr>
        <w:t xml:space="preserve"> de la deuda </w:t>
      </w:r>
      <w:r w:rsidR="007646F3" w:rsidRPr="00D55841">
        <w:rPr>
          <w:color w:val="000000" w:themeColor="text1"/>
          <w:sz w:val="22"/>
          <w:szCs w:val="22"/>
        </w:rPr>
        <w:t>del Sector P</w:t>
      </w:r>
      <w:r w:rsidR="002F5C74" w:rsidRPr="00D55841">
        <w:rPr>
          <w:color w:val="000000" w:themeColor="text1"/>
          <w:sz w:val="22"/>
          <w:szCs w:val="22"/>
        </w:rPr>
        <w:t>úblic</w:t>
      </w:r>
      <w:r w:rsidR="007646F3" w:rsidRPr="00D55841">
        <w:rPr>
          <w:color w:val="000000" w:themeColor="text1"/>
          <w:sz w:val="22"/>
          <w:szCs w:val="22"/>
        </w:rPr>
        <w:t>o</w:t>
      </w:r>
      <w:r w:rsidR="002F5C74" w:rsidRPr="00D55841">
        <w:rPr>
          <w:color w:val="000000" w:themeColor="text1"/>
          <w:sz w:val="22"/>
          <w:szCs w:val="22"/>
        </w:rPr>
        <w:t xml:space="preserve"> se explica por el Sector Público no Financiero (SPNF)</w:t>
      </w:r>
      <w:r w:rsidR="00CD648E" w:rsidRPr="00D55841">
        <w:rPr>
          <w:rStyle w:val="FootnoteReference"/>
          <w:color w:val="000000" w:themeColor="text1"/>
          <w:sz w:val="22"/>
          <w:szCs w:val="22"/>
        </w:rPr>
        <w:footnoteReference w:id="3"/>
      </w:r>
      <w:r w:rsidR="002F5C74" w:rsidRPr="00D55841">
        <w:rPr>
          <w:color w:val="000000" w:themeColor="text1"/>
          <w:sz w:val="22"/>
          <w:szCs w:val="22"/>
        </w:rPr>
        <w:t xml:space="preserve">, el cual experimentó una </w:t>
      </w:r>
      <w:r w:rsidR="002F5C74" w:rsidRPr="0029562D">
        <w:rPr>
          <w:color w:val="000000" w:themeColor="text1"/>
          <w:sz w:val="22"/>
          <w:szCs w:val="22"/>
        </w:rPr>
        <w:t>suba</w:t>
      </w:r>
      <w:r w:rsidR="00CC6BA6" w:rsidRPr="00D55841">
        <w:rPr>
          <w:color w:val="000000" w:themeColor="text1"/>
          <w:sz w:val="22"/>
          <w:szCs w:val="22"/>
        </w:rPr>
        <w:t xml:space="preserve"> promedio</w:t>
      </w:r>
      <w:r w:rsidR="002F5C74" w:rsidRPr="00D55841">
        <w:rPr>
          <w:color w:val="000000" w:themeColor="text1"/>
          <w:sz w:val="22"/>
          <w:szCs w:val="22"/>
        </w:rPr>
        <w:t xml:space="preserve"> de 6,7%. </w:t>
      </w:r>
      <w:r w:rsidR="00090D27">
        <w:rPr>
          <w:color w:val="000000" w:themeColor="text1"/>
          <w:sz w:val="22"/>
          <w:szCs w:val="22"/>
        </w:rPr>
        <w:t xml:space="preserve">La deuda del SPNF es más de 4 veces los ingresos tributarios y la del Gobierno Central más de 3 veces los impositivos. </w:t>
      </w:r>
      <w:r w:rsidR="002F5C74" w:rsidRPr="00D55841">
        <w:rPr>
          <w:color w:val="000000" w:themeColor="text1"/>
          <w:sz w:val="22"/>
          <w:szCs w:val="22"/>
        </w:rPr>
        <w:t>El SPNF puede dividirse entre el Gobierno Central y el resto del SPNF, para el cierre de 2017 la magnitud de la deuda de</w:t>
      </w:r>
      <w:r w:rsidR="004620BB">
        <w:rPr>
          <w:color w:val="000000" w:themeColor="text1"/>
          <w:sz w:val="22"/>
          <w:szCs w:val="22"/>
        </w:rPr>
        <w:t xml:space="preserve">l primero </w:t>
      </w:r>
      <w:r w:rsidR="00D339EB" w:rsidRPr="00D55841">
        <w:rPr>
          <w:color w:val="000000" w:themeColor="text1"/>
          <w:sz w:val="22"/>
          <w:szCs w:val="22"/>
        </w:rPr>
        <w:t>era</w:t>
      </w:r>
      <w:r w:rsidR="002F5C74" w:rsidRPr="00D55841">
        <w:rPr>
          <w:color w:val="000000" w:themeColor="text1"/>
          <w:sz w:val="22"/>
          <w:szCs w:val="22"/>
        </w:rPr>
        <w:t xml:space="preserve"> cinco veces mayor. El tamaño y dinámica de la deuda del Gobierno Central indican problemas de sostenibilidad, mientras que en el resto del SPNF los problemas son de </w:t>
      </w:r>
      <w:r w:rsidR="008941DE">
        <w:rPr>
          <w:color w:val="000000" w:themeColor="text1"/>
          <w:sz w:val="22"/>
          <w:szCs w:val="22"/>
        </w:rPr>
        <w:t>efectividad del gasto</w:t>
      </w:r>
      <w:r w:rsidR="002F5C74" w:rsidRPr="00D55841">
        <w:rPr>
          <w:color w:val="000000" w:themeColor="text1"/>
          <w:sz w:val="22"/>
          <w:szCs w:val="22"/>
        </w:rPr>
        <w:t xml:space="preserve">, aunque igualmente </w:t>
      </w:r>
      <w:r w:rsidR="006F46ED" w:rsidRPr="00D55841">
        <w:rPr>
          <w:color w:val="000000" w:themeColor="text1"/>
          <w:sz w:val="22"/>
          <w:szCs w:val="22"/>
        </w:rPr>
        <w:t>conectados a</w:t>
      </w:r>
      <w:r w:rsidR="002F5C74" w:rsidRPr="00D55841">
        <w:rPr>
          <w:color w:val="000000" w:themeColor="text1"/>
          <w:sz w:val="22"/>
          <w:szCs w:val="22"/>
        </w:rPr>
        <w:t>l Gobierno Central</w:t>
      </w:r>
      <w:r w:rsidR="00D339EB" w:rsidRPr="00D55841">
        <w:rPr>
          <w:rStyle w:val="FootnoteReference"/>
          <w:color w:val="000000" w:themeColor="text1"/>
          <w:sz w:val="22"/>
          <w:szCs w:val="22"/>
        </w:rPr>
        <w:footnoteReference w:id="4"/>
      </w:r>
      <w:r w:rsidR="002F5C74" w:rsidRPr="00D55841">
        <w:rPr>
          <w:color w:val="000000" w:themeColor="text1"/>
          <w:sz w:val="22"/>
          <w:szCs w:val="22"/>
        </w:rPr>
        <w:t>.</w:t>
      </w:r>
      <w:r w:rsidR="00090D27">
        <w:rPr>
          <w:color w:val="000000" w:themeColor="text1"/>
          <w:sz w:val="22"/>
          <w:szCs w:val="22"/>
        </w:rPr>
        <w:t xml:space="preserve"> </w:t>
      </w:r>
      <w:r w:rsidR="00D55841" w:rsidRPr="00D55841">
        <w:rPr>
          <w:color w:val="000000" w:themeColor="text1"/>
          <w:sz w:val="22"/>
          <w:szCs w:val="22"/>
          <w:lang w:val="es-ES"/>
        </w:rPr>
        <w:t>En términos del resultado fiscal, el conjunto del sector público cerró en 2016</w:t>
      </w:r>
      <w:r w:rsidR="00D55841" w:rsidRPr="00D55841">
        <w:rPr>
          <w:rStyle w:val="FootnoteReference"/>
          <w:color w:val="000000" w:themeColor="text1"/>
          <w:sz w:val="22"/>
          <w:szCs w:val="22"/>
          <w:lang w:val="es-ES"/>
        </w:rPr>
        <w:footnoteReference w:id="5"/>
      </w:r>
      <w:r w:rsidR="00D55841" w:rsidRPr="00D55841">
        <w:rPr>
          <w:color w:val="000000" w:themeColor="text1"/>
          <w:sz w:val="22"/>
          <w:szCs w:val="22"/>
          <w:lang w:val="es-ES"/>
        </w:rPr>
        <w:t xml:space="preserve"> con un déficit de 4,8% del PIB, inferior al del Gobierno Central gracias a un superávit de instituciones públicas del 1,1%</w:t>
      </w:r>
      <w:r w:rsidR="00D44176">
        <w:rPr>
          <w:rStyle w:val="FootnoteReference"/>
          <w:color w:val="000000" w:themeColor="text1"/>
          <w:sz w:val="22"/>
          <w:szCs w:val="22"/>
          <w:lang w:val="es-ES"/>
        </w:rPr>
        <w:footnoteReference w:id="6"/>
      </w:r>
      <w:r w:rsidR="00D55841" w:rsidRPr="00D55841">
        <w:rPr>
          <w:color w:val="000000" w:themeColor="text1"/>
          <w:sz w:val="22"/>
          <w:szCs w:val="22"/>
          <w:lang w:val="es-ES"/>
        </w:rPr>
        <w:t>.</w:t>
      </w:r>
    </w:p>
    <w:p w14:paraId="1944C697" w14:textId="2F211477" w:rsidR="000A2319" w:rsidRPr="00505AF3" w:rsidRDefault="00505AF3" w:rsidP="00505AF3">
      <w:pPr>
        <w:pStyle w:val="Caption"/>
        <w:spacing w:after="0"/>
        <w:jc w:val="center"/>
        <w:rPr>
          <w:rFonts w:ascii="Times New Roman" w:hAnsi="Times New Roman" w:cs="Times New Roman"/>
          <w:b/>
          <w:i w:val="0"/>
          <w:color w:val="auto"/>
          <w:sz w:val="22"/>
          <w:szCs w:val="22"/>
        </w:rPr>
      </w:pPr>
      <w:bookmarkStart w:id="4" w:name="_Toc518399856"/>
      <w:r w:rsidRPr="00505AF3">
        <w:rPr>
          <w:rFonts w:ascii="Times New Roman" w:hAnsi="Times New Roman" w:cs="Times New Roman"/>
          <w:b/>
          <w:i w:val="0"/>
          <w:color w:val="auto"/>
          <w:sz w:val="22"/>
          <w:szCs w:val="22"/>
        </w:rPr>
        <w:t xml:space="preserve">Tabla </w:t>
      </w:r>
      <w:r w:rsidRPr="00505AF3">
        <w:rPr>
          <w:rFonts w:ascii="Times New Roman" w:hAnsi="Times New Roman" w:cs="Times New Roman"/>
          <w:b/>
          <w:i w:val="0"/>
          <w:color w:val="auto"/>
          <w:sz w:val="22"/>
          <w:szCs w:val="22"/>
        </w:rPr>
        <w:fldChar w:fldCharType="begin"/>
      </w:r>
      <w:r w:rsidRPr="00505AF3">
        <w:rPr>
          <w:rFonts w:ascii="Times New Roman" w:hAnsi="Times New Roman" w:cs="Times New Roman"/>
          <w:b/>
          <w:i w:val="0"/>
          <w:color w:val="auto"/>
          <w:sz w:val="22"/>
          <w:szCs w:val="22"/>
        </w:rPr>
        <w:instrText xml:space="preserve"> SEQ Tabla \* ARABIC </w:instrText>
      </w:r>
      <w:r w:rsidRPr="00505AF3">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w:t>
      </w:r>
      <w:r w:rsidRPr="00505AF3">
        <w:rPr>
          <w:rFonts w:ascii="Times New Roman" w:hAnsi="Times New Roman" w:cs="Times New Roman"/>
          <w:b/>
          <w:i w:val="0"/>
          <w:color w:val="auto"/>
          <w:sz w:val="22"/>
          <w:szCs w:val="22"/>
        </w:rPr>
        <w:fldChar w:fldCharType="end"/>
      </w:r>
      <w:r w:rsidR="000A2319" w:rsidRPr="00505AF3">
        <w:rPr>
          <w:rFonts w:ascii="Times New Roman" w:hAnsi="Times New Roman" w:cs="Times New Roman"/>
          <w:b/>
          <w:i w:val="0"/>
          <w:color w:val="auto"/>
          <w:sz w:val="22"/>
          <w:szCs w:val="22"/>
        </w:rPr>
        <w:t>. Resultado sector público (% PIB)</w:t>
      </w:r>
      <w:bookmarkEnd w:id="4"/>
    </w:p>
    <w:tbl>
      <w:tblPr>
        <w:tblW w:w="9450" w:type="dxa"/>
        <w:jc w:val="center"/>
        <w:tblLayout w:type="fixed"/>
        <w:tblLook w:val="04A0" w:firstRow="1" w:lastRow="0" w:firstColumn="1" w:lastColumn="0" w:noHBand="0" w:noVBand="1"/>
      </w:tblPr>
      <w:tblGrid>
        <w:gridCol w:w="1890"/>
        <w:gridCol w:w="630"/>
        <w:gridCol w:w="630"/>
        <w:gridCol w:w="630"/>
        <w:gridCol w:w="630"/>
        <w:gridCol w:w="630"/>
        <w:gridCol w:w="630"/>
        <w:gridCol w:w="630"/>
        <w:gridCol w:w="630"/>
        <w:gridCol w:w="630"/>
        <w:gridCol w:w="630"/>
        <w:gridCol w:w="660"/>
        <w:gridCol w:w="600"/>
      </w:tblGrid>
      <w:tr w:rsidR="00272D17" w:rsidRPr="000F149B" w14:paraId="70DD9EC8" w14:textId="77777777" w:rsidTr="0076533B">
        <w:trPr>
          <w:trHeight w:val="467"/>
          <w:jc w:val="center"/>
        </w:trPr>
        <w:tc>
          <w:tcPr>
            <w:tcW w:w="1890" w:type="dxa"/>
            <w:tcBorders>
              <w:top w:val="double" w:sz="4" w:space="0" w:color="auto"/>
              <w:left w:val="nil"/>
              <w:bottom w:val="single" w:sz="4" w:space="0" w:color="auto"/>
              <w:right w:val="nil"/>
            </w:tcBorders>
            <w:shd w:val="clear" w:color="auto" w:fill="auto"/>
            <w:noWrap/>
            <w:vAlign w:val="bottom"/>
            <w:hideMark/>
          </w:tcPr>
          <w:p w14:paraId="7E8342ED" w14:textId="77777777" w:rsidR="00272D17" w:rsidRPr="0076533B" w:rsidRDefault="00272D17" w:rsidP="000F149B">
            <w:pPr>
              <w:spacing w:after="0" w:line="240" w:lineRule="auto"/>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Resultado Financiero Sector Público</w:t>
            </w:r>
          </w:p>
        </w:tc>
        <w:tc>
          <w:tcPr>
            <w:tcW w:w="630" w:type="dxa"/>
            <w:tcBorders>
              <w:top w:val="double" w:sz="4" w:space="0" w:color="auto"/>
              <w:left w:val="nil"/>
              <w:bottom w:val="single" w:sz="4" w:space="0" w:color="auto"/>
              <w:right w:val="nil"/>
            </w:tcBorders>
            <w:shd w:val="clear" w:color="auto" w:fill="auto"/>
            <w:noWrap/>
            <w:vAlign w:val="center"/>
            <w:hideMark/>
          </w:tcPr>
          <w:p w14:paraId="0CAB8785"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2006</w:t>
            </w:r>
          </w:p>
        </w:tc>
        <w:tc>
          <w:tcPr>
            <w:tcW w:w="630" w:type="dxa"/>
            <w:tcBorders>
              <w:top w:val="double" w:sz="4" w:space="0" w:color="auto"/>
              <w:left w:val="nil"/>
              <w:bottom w:val="single" w:sz="4" w:space="0" w:color="auto"/>
              <w:right w:val="nil"/>
            </w:tcBorders>
            <w:shd w:val="clear" w:color="auto" w:fill="auto"/>
            <w:noWrap/>
            <w:vAlign w:val="center"/>
            <w:hideMark/>
          </w:tcPr>
          <w:p w14:paraId="2B7AB1E4"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2007</w:t>
            </w:r>
          </w:p>
        </w:tc>
        <w:tc>
          <w:tcPr>
            <w:tcW w:w="630" w:type="dxa"/>
            <w:tcBorders>
              <w:top w:val="double" w:sz="4" w:space="0" w:color="auto"/>
              <w:left w:val="nil"/>
              <w:bottom w:val="single" w:sz="4" w:space="0" w:color="auto"/>
              <w:right w:val="nil"/>
            </w:tcBorders>
            <w:shd w:val="clear" w:color="auto" w:fill="auto"/>
            <w:noWrap/>
            <w:vAlign w:val="center"/>
            <w:hideMark/>
          </w:tcPr>
          <w:p w14:paraId="1D0730A0"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2008</w:t>
            </w:r>
          </w:p>
        </w:tc>
        <w:tc>
          <w:tcPr>
            <w:tcW w:w="630" w:type="dxa"/>
            <w:tcBorders>
              <w:top w:val="double" w:sz="4" w:space="0" w:color="auto"/>
              <w:left w:val="nil"/>
              <w:bottom w:val="single" w:sz="4" w:space="0" w:color="auto"/>
              <w:right w:val="nil"/>
            </w:tcBorders>
            <w:shd w:val="clear" w:color="auto" w:fill="auto"/>
            <w:noWrap/>
            <w:vAlign w:val="center"/>
            <w:hideMark/>
          </w:tcPr>
          <w:p w14:paraId="37E137D4"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2009</w:t>
            </w:r>
          </w:p>
        </w:tc>
        <w:tc>
          <w:tcPr>
            <w:tcW w:w="630" w:type="dxa"/>
            <w:tcBorders>
              <w:top w:val="double" w:sz="4" w:space="0" w:color="auto"/>
              <w:left w:val="nil"/>
              <w:bottom w:val="single" w:sz="4" w:space="0" w:color="auto"/>
              <w:right w:val="nil"/>
            </w:tcBorders>
            <w:shd w:val="clear" w:color="auto" w:fill="auto"/>
            <w:noWrap/>
            <w:vAlign w:val="center"/>
            <w:hideMark/>
          </w:tcPr>
          <w:p w14:paraId="5627815A"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2010</w:t>
            </w:r>
          </w:p>
        </w:tc>
        <w:tc>
          <w:tcPr>
            <w:tcW w:w="630" w:type="dxa"/>
            <w:tcBorders>
              <w:top w:val="double" w:sz="4" w:space="0" w:color="auto"/>
              <w:left w:val="nil"/>
              <w:bottom w:val="single" w:sz="4" w:space="0" w:color="auto"/>
              <w:right w:val="nil"/>
            </w:tcBorders>
            <w:shd w:val="clear" w:color="auto" w:fill="auto"/>
            <w:noWrap/>
            <w:vAlign w:val="center"/>
            <w:hideMark/>
          </w:tcPr>
          <w:p w14:paraId="449A4285"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2011</w:t>
            </w:r>
          </w:p>
        </w:tc>
        <w:tc>
          <w:tcPr>
            <w:tcW w:w="630" w:type="dxa"/>
            <w:tcBorders>
              <w:top w:val="double" w:sz="4" w:space="0" w:color="auto"/>
              <w:left w:val="nil"/>
              <w:bottom w:val="single" w:sz="4" w:space="0" w:color="auto"/>
              <w:right w:val="nil"/>
            </w:tcBorders>
            <w:shd w:val="clear" w:color="auto" w:fill="auto"/>
            <w:noWrap/>
            <w:vAlign w:val="center"/>
            <w:hideMark/>
          </w:tcPr>
          <w:p w14:paraId="6CF6C693"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2012</w:t>
            </w:r>
          </w:p>
        </w:tc>
        <w:tc>
          <w:tcPr>
            <w:tcW w:w="630" w:type="dxa"/>
            <w:tcBorders>
              <w:top w:val="double" w:sz="4" w:space="0" w:color="auto"/>
              <w:left w:val="nil"/>
              <w:bottom w:val="single" w:sz="4" w:space="0" w:color="auto"/>
              <w:right w:val="nil"/>
            </w:tcBorders>
            <w:shd w:val="clear" w:color="auto" w:fill="auto"/>
            <w:noWrap/>
            <w:vAlign w:val="center"/>
            <w:hideMark/>
          </w:tcPr>
          <w:p w14:paraId="522CE292"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2013</w:t>
            </w:r>
          </w:p>
        </w:tc>
        <w:tc>
          <w:tcPr>
            <w:tcW w:w="630" w:type="dxa"/>
            <w:tcBorders>
              <w:top w:val="double" w:sz="4" w:space="0" w:color="auto"/>
              <w:left w:val="nil"/>
              <w:bottom w:val="single" w:sz="4" w:space="0" w:color="auto"/>
              <w:right w:val="nil"/>
            </w:tcBorders>
            <w:shd w:val="clear" w:color="auto" w:fill="auto"/>
            <w:noWrap/>
            <w:vAlign w:val="center"/>
            <w:hideMark/>
          </w:tcPr>
          <w:p w14:paraId="1EFCEDE8"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2014</w:t>
            </w:r>
          </w:p>
        </w:tc>
        <w:tc>
          <w:tcPr>
            <w:tcW w:w="630" w:type="dxa"/>
            <w:tcBorders>
              <w:top w:val="double" w:sz="4" w:space="0" w:color="auto"/>
              <w:left w:val="nil"/>
              <w:bottom w:val="single" w:sz="4" w:space="0" w:color="auto"/>
              <w:right w:val="nil"/>
            </w:tcBorders>
            <w:shd w:val="clear" w:color="auto" w:fill="auto"/>
            <w:noWrap/>
            <w:vAlign w:val="center"/>
            <w:hideMark/>
          </w:tcPr>
          <w:p w14:paraId="683FA237" w14:textId="77777777" w:rsidR="00272D17" w:rsidRPr="0076533B" w:rsidRDefault="00272D17" w:rsidP="00272D17">
            <w:pPr>
              <w:spacing w:after="0" w:line="240" w:lineRule="auto"/>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2015</w:t>
            </w:r>
          </w:p>
        </w:tc>
        <w:tc>
          <w:tcPr>
            <w:tcW w:w="660" w:type="dxa"/>
            <w:tcBorders>
              <w:top w:val="double" w:sz="4" w:space="0" w:color="auto"/>
              <w:left w:val="nil"/>
              <w:bottom w:val="single" w:sz="4" w:space="0" w:color="auto"/>
              <w:right w:val="nil"/>
            </w:tcBorders>
            <w:shd w:val="clear" w:color="auto" w:fill="auto"/>
            <w:noWrap/>
            <w:vAlign w:val="center"/>
            <w:hideMark/>
          </w:tcPr>
          <w:p w14:paraId="6C3EF603" w14:textId="77777777" w:rsidR="00272D17" w:rsidRPr="0076533B" w:rsidRDefault="00272D17" w:rsidP="00272D17">
            <w:pPr>
              <w:spacing w:after="0" w:line="240" w:lineRule="auto"/>
              <w:ind w:right="33"/>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2016</w:t>
            </w:r>
          </w:p>
        </w:tc>
        <w:tc>
          <w:tcPr>
            <w:tcW w:w="600" w:type="dxa"/>
            <w:tcBorders>
              <w:top w:val="double" w:sz="4" w:space="0" w:color="auto"/>
              <w:left w:val="nil"/>
              <w:bottom w:val="single" w:sz="4" w:space="0" w:color="auto"/>
              <w:right w:val="nil"/>
            </w:tcBorders>
            <w:vAlign w:val="center"/>
          </w:tcPr>
          <w:p w14:paraId="4670CFB8" w14:textId="77777777" w:rsidR="00272D17" w:rsidRPr="0076533B" w:rsidRDefault="00272D17" w:rsidP="00272D17">
            <w:pPr>
              <w:spacing w:after="0" w:line="240" w:lineRule="auto"/>
              <w:ind w:left="-349" w:right="-292"/>
              <w:jc w:val="center"/>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2017</w:t>
            </w:r>
          </w:p>
        </w:tc>
      </w:tr>
      <w:tr w:rsidR="00272D17" w:rsidRPr="000F149B" w14:paraId="78DEEE89" w14:textId="77777777" w:rsidTr="0076533B">
        <w:trPr>
          <w:trHeight w:val="264"/>
          <w:jc w:val="center"/>
        </w:trPr>
        <w:tc>
          <w:tcPr>
            <w:tcW w:w="1890" w:type="dxa"/>
            <w:tcBorders>
              <w:top w:val="nil"/>
              <w:left w:val="nil"/>
              <w:bottom w:val="nil"/>
              <w:right w:val="nil"/>
            </w:tcBorders>
            <w:shd w:val="clear" w:color="auto" w:fill="auto"/>
            <w:noWrap/>
            <w:vAlign w:val="bottom"/>
            <w:hideMark/>
          </w:tcPr>
          <w:p w14:paraId="01214FCD" w14:textId="77777777" w:rsidR="00272D17" w:rsidRPr="0076533B" w:rsidRDefault="00272D17" w:rsidP="000F149B">
            <w:pPr>
              <w:spacing w:after="0" w:line="240" w:lineRule="auto"/>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BCCR</w:t>
            </w:r>
          </w:p>
        </w:tc>
        <w:tc>
          <w:tcPr>
            <w:tcW w:w="630" w:type="dxa"/>
            <w:tcBorders>
              <w:top w:val="nil"/>
              <w:left w:val="nil"/>
              <w:bottom w:val="nil"/>
              <w:right w:val="nil"/>
            </w:tcBorders>
            <w:shd w:val="clear" w:color="auto" w:fill="auto"/>
            <w:noWrap/>
            <w:vAlign w:val="center"/>
            <w:hideMark/>
          </w:tcPr>
          <w:p w14:paraId="75FF29BC"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-1.1</w:t>
            </w:r>
          </w:p>
        </w:tc>
        <w:tc>
          <w:tcPr>
            <w:tcW w:w="630" w:type="dxa"/>
            <w:tcBorders>
              <w:top w:val="nil"/>
              <w:left w:val="nil"/>
              <w:bottom w:val="nil"/>
              <w:right w:val="nil"/>
            </w:tcBorders>
            <w:shd w:val="clear" w:color="auto" w:fill="auto"/>
            <w:noWrap/>
            <w:vAlign w:val="center"/>
            <w:hideMark/>
          </w:tcPr>
          <w:p w14:paraId="58F10F54"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-0.7</w:t>
            </w:r>
          </w:p>
        </w:tc>
        <w:tc>
          <w:tcPr>
            <w:tcW w:w="630" w:type="dxa"/>
            <w:tcBorders>
              <w:top w:val="nil"/>
              <w:left w:val="nil"/>
              <w:bottom w:val="nil"/>
              <w:right w:val="nil"/>
            </w:tcBorders>
            <w:shd w:val="clear" w:color="auto" w:fill="auto"/>
            <w:noWrap/>
            <w:vAlign w:val="center"/>
            <w:hideMark/>
          </w:tcPr>
          <w:p w14:paraId="32E5DC76"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-0.2</w:t>
            </w:r>
          </w:p>
        </w:tc>
        <w:tc>
          <w:tcPr>
            <w:tcW w:w="630" w:type="dxa"/>
            <w:tcBorders>
              <w:top w:val="nil"/>
              <w:left w:val="nil"/>
              <w:bottom w:val="nil"/>
              <w:right w:val="nil"/>
            </w:tcBorders>
            <w:shd w:val="clear" w:color="auto" w:fill="auto"/>
            <w:noWrap/>
            <w:vAlign w:val="center"/>
            <w:hideMark/>
          </w:tcPr>
          <w:p w14:paraId="374777A1"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-0.8</w:t>
            </w:r>
          </w:p>
        </w:tc>
        <w:tc>
          <w:tcPr>
            <w:tcW w:w="630" w:type="dxa"/>
            <w:tcBorders>
              <w:top w:val="nil"/>
              <w:left w:val="nil"/>
              <w:bottom w:val="nil"/>
              <w:right w:val="nil"/>
            </w:tcBorders>
            <w:shd w:val="clear" w:color="auto" w:fill="auto"/>
            <w:noWrap/>
            <w:vAlign w:val="center"/>
            <w:hideMark/>
          </w:tcPr>
          <w:p w14:paraId="4BC53062"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-0.4</w:t>
            </w:r>
          </w:p>
        </w:tc>
        <w:tc>
          <w:tcPr>
            <w:tcW w:w="630" w:type="dxa"/>
            <w:tcBorders>
              <w:top w:val="nil"/>
              <w:left w:val="nil"/>
              <w:bottom w:val="nil"/>
              <w:right w:val="nil"/>
            </w:tcBorders>
            <w:shd w:val="clear" w:color="auto" w:fill="auto"/>
            <w:noWrap/>
            <w:vAlign w:val="center"/>
            <w:hideMark/>
          </w:tcPr>
          <w:p w14:paraId="66DDF1B9"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-0.6</w:t>
            </w:r>
          </w:p>
        </w:tc>
        <w:tc>
          <w:tcPr>
            <w:tcW w:w="630" w:type="dxa"/>
            <w:tcBorders>
              <w:top w:val="nil"/>
              <w:left w:val="nil"/>
              <w:bottom w:val="nil"/>
              <w:right w:val="nil"/>
            </w:tcBorders>
            <w:shd w:val="clear" w:color="auto" w:fill="auto"/>
            <w:noWrap/>
            <w:vAlign w:val="center"/>
            <w:hideMark/>
          </w:tcPr>
          <w:p w14:paraId="6B8F230A"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-0.6</w:t>
            </w:r>
          </w:p>
        </w:tc>
        <w:tc>
          <w:tcPr>
            <w:tcW w:w="630" w:type="dxa"/>
            <w:tcBorders>
              <w:top w:val="nil"/>
              <w:left w:val="nil"/>
              <w:bottom w:val="nil"/>
              <w:right w:val="nil"/>
            </w:tcBorders>
            <w:shd w:val="clear" w:color="auto" w:fill="auto"/>
            <w:noWrap/>
            <w:vAlign w:val="center"/>
            <w:hideMark/>
          </w:tcPr>
          <w:p w14:paraId="6D4038DB"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-0.8</w:t>
            </w:r>
          </w:p>
        </w:tc>
        <w:tc>
          <w:tcPr>
            <w:tcW w:w="630" w:type="dxa"/>
            <w:tcBorders>
              <w:top w:val="nil"/>
              <w:left w:val="nil"/>
              <w:bottom w:val="nil"/>
              <w:right w:val="nil"/>
            </w:tcBorders>
            <w:shd w:val="clear" w:color="auto" w:fill="auto"/>
            <w:noWrap/>
            <w:vAlign w:val="center"/>
            <w:hideMark/>
          </w:tcPr>
          <w:p w14:paraId="53D21E12"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-0.7</w:t>
            </w:r>
          </w:p>
        </w:tc>
        <w:tc>
          <w:tcPr>
            <w:tcW w:w="630" w:type="dxa"/>
            <w:tcBorders>
              <w:top w:val="nil"/>
              <w:left w:val="nil"/>
              <w:bottom w:val="nil"/>
              <w:right w:val="nil"/>
            </w:tcBorders>
            <w:shd w:val="clear" w:color="auto" w:fill="auto"/>
            <w:noWrap/>
            <w:vAlign w:val="center"/>
            <w:hideMark/>
          </w:tcPr>
          <w:p w14:paraId="3ED883C3"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-0.7</w:t>
            </w:r>
          </w:p>
        </w:tc>
        <w:tc>
          <w:tcPr>
            <w:tcW w:w="660" w:type="dxa"/>
            <w:tcBorders>
              <w:top w:val="nil"/>
              <w:left w:val="nil"/>
              <w:bottom w:val="nil"/>
              <w:right w:val="nil"/>
            </w:tcBorders>
            <w:shd w:val="clear" w:color="auto" w:fill="auto"/>
            <w:noWrap/>
            <w:vAlign w:val="center"/>
            <w:hideMark/>
          </w:tcPr>
          <w:p w14:paraId="1343A6E9" w14:textId="77777777" w:rsidR="00272D17" w:rsidRPr="0076533B" w:rsidRDefault="00272D17" w:rsidP="00272D17">
            <w:pPr>
              <w:spacing w:after="0" w:line="240" w:lineRule="auto"/>
              <w:ind w:right="33"/>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-0.6</w:t>
            </w:r>
          </w:p>
        </w:tc>
        <w:tc>
          <w:tcPr>
            <w:tcW w:w="600" w:type="dxa"/>
            <w:tcBorders>
              <w:top w:val="nil"/>
              <w:left w:val="nil"/>
              <w:bottom w:val="nil"/>
              <w:right w:val="nil"/>
            </w:tcBorders>
            <w:vAlign w:val="center"/>
          </w:tcPr>
          <w:p w14:paraId="2566EEAB" w14:textId="77777777" w:rsidR="00272D17" w:rsidRPr="0076533B" w:rsidRDefault="001971EA"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-0.4</w:t>
            </w:r>
          </w:p>
        </w:tc>
      </w:tr>
      <w:tr w:rsidR="00272D17" w:rsidRPr="000F149B" w14:paraId="6DBB6EC3" w14:textId="77777777" w:rsidTr="0076533B">
        <w:trPr>
          <w:trHeight w:val="264"/>
          <w:jc w:val="center"/>
        </w:trPr>
        <w:tc>
          <w:tcPr>
            <w:tcW w:w="1890" w:type="dxa"/>
            <w:tcBorders>
              <w:top w:val="nil"/>
              <w:left w:val="nil"/>
              <w:bottom w:val="nil"/>
              <w:right w:val="nil"/>
            </w:tcBorders>
            <w:shd w:val="clear" w:color="auto" w:fill="auto"/>
            <w:noWrap/>
            <w:vAlign w:val="bottom"/>
            <w:hideMark/>
          </w:tcPr>
          <w:p w14:paraId="1B71E480" w14:textId="77777777" w:rsidR="00272D17" w:rsidRPr="0076533B" w:rsidRDefault="00272D17" w:rsidP="000F149B">
            <w:pPr>
              <w:spacing w:after="0" w:line="240" w:lineRule="auto"/>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Gobierno Central</w:t>
            </w:r>
          </w:p>
        </w:tc>
        <w:tc>
          <w:tcPr>
            <w:tcW w:w="630" w:type="dxa"/>
            <w:tcBorders>
              <w:top w:val="nil"/>
              <w:left w:val="nil"/>
              <w:bottom w:val="nil"/>
              <w:right w:val="nil"/>
            </w:tcBorders>
            <w:shd w:val="clear" w:color="auto" w:fill="auto"/>
            <w:noWrap/>
            <w:vAlign w:val="center"/>
            <w:hideMark/>
          </w:tcPr>
          <w:p w14:paraId="7B57B72C"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-1.0</w:t>
            </w:r>
          </w:p>
        </w:tc>
        <w:tc>
          <w:tcPr>
            <w:tcW w:w="630" w:type="dxa"/>
            <w:tcBorders>
              <w:top w:val="nil"/>
              <w:left w:val="nil"/>
              <w:bottom w:val="nil"/>
              <w:right w:val="nil"/>
            </w:tcBorders>
            <w:shd w:val="clear" w:color="auto" w:fill="auto"/>
            <w:noWrap/>
            <w:vAlign w:val="center"/>
            <w:hideMark/>
          </w:tcPr>
          <w:p w14:paraId="6F1B076C"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0.6</w:t>
            </w:r>
          </w:p>
        </w:tc>
        <w:tc>
          <w:tcPr>
            <w:tcW w:w="630" w:type="dxa"/>
            <w:tcBorders>
              <w:top w:val="nil"/>
              <w:left w:val="nil"/>
              <w:bottom w:val="nil"/>
              <w:right w:val="nil"/>
            </w:tcBorders>
            <w:shd w:val="clear" w:color="auto" w:fill="auto"/>
            <w:noWrap/>
            <w:vAlign w:val="center"/>
            <w:hideMark/>
          </w:tcPr>
          <w:p w14:paraId="7AF89E8F"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0.2</w:t>
            </w:r>
          </w:p>
        </w:tc>
        <w:tc>
          <w:tcPr>
            <w:tcW w:w="630" w:type="dxa"/>
            <w:tcBorders>
              <w:top w:val="nil"/>
              <w:left w:val="nil"/>
              <w:bottom w:val="nil"/>
              <w:right w:val="nil"/>
            </w:tcBorders>
            <w:shd w:val="clear" w:color="auto" w:fill="auto"/>
            <w:noWrap/>
            <w:vAlign w:val="center"/>
            <w:hideMark/>
          </w:tcPr>
          <w:p w14:paraId="2EE7DC8B"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-3.3</w:t>
            </w:r>
          </w:p>
        </w:tc>
        <w:tc>
          <w:tcPr>
            <w:tcW w:w="630" w:type="dxa"/>
            <w:tcBorders>
              <w:top w:val="nil"/>
              <w:left w:val="nil"/>
              <w:bottom w:val="nil"/>
              <w:right w:val="nil"/>
            </w:tcBorders>
            <w:shd w:val="clear" w:color="auto" w:fill="auto"/>
            <w:noWrap/>
            <w:vAlign w:val="center"/>
            <w:hideMark/>
          </w:tcPr>
          <w:p w14:paraId="10049F6F"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-5.0</w:t>
            </w:r>
          </w:p>
        </w:tc>
        <w:tc>
          <w:tcPr>
            <w:tcW w:w="630" w:type="dxa"/>
            <w:tcBorders>
              <w:top w:val="nil"/>
              <w:left w:val="nil"/>
              <w:bottom w:val="nil"/>
              <w:right w:val="nil"/>
            </w:tcBorders>
            <w:shd w:val="clear" w:color="auto" w:fill="auto"/>
            <w:noWrap/>
            <w:vAlign w:val="center"/>
            <w:hideMark/>
          </w:tcPr>
          <w:p w14:paraId="1C651E1F"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-4.0</w:t>
            </w:r>
          </w:p>
        </w:tc>
        <w:tc>
          <w:tcPr>
            <w:tcW w:w="630" w:type="dxa"/>
            <w:tcBorders>
              <w:top w:val="nil"/>
              <w:left w:val="nil"/>
              <w:bottom w:val="nil"/>
              <w:right w:val="nil"/>
            </w:tcBorders>
            <w:shd w:val="clear" w:color="auto" w:fill="auto"/>
            <w:noWrap/>
            <w:vAlign w:val="center"/>
            <w:hideMark/>
          </w:tcPr>
          <w:p w14:paraId="6E4158F6"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-4.3</w:t>
            </w:r>
          </w:p>
        </w:tc>
        <w:tc>
          <w:tcPr>
            <w:tcW w:w="630" w:type="dxa"/>
            <w:tcBorders>
              <w:top w:val="nil"/>
              <w:left w:val="nil"/>
              <w:bottom w:val="nil"/>
              <w:right w:val="nil"/>
            </w:tcBorders>
            <w:shd w:val="clear" w:color="auto" w:fill="auto"/>
            <w:noWrap/>
            <w:vAlign w:val="center"/>
            <w:hideMark/>
          </w:tcPr>
          <w:p w14:paraId="5BFEBD11"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-5.4</w:t>
            </w:r>
          </w:p>
        </w:tc>
        <w:tc>
          <w:tcPr>
            <w:tcW w:w="630" w:type="dxa"/>
            <w:tcBorders>
              <w:top w:val="nil"/>
              <w:left w:val="nil"/>
              <w:bottom w:val="nil"/>
              <w:right w:val="nil"/>
            </w:tcBorders>
            <w:shd w:val="clear" w:color="auto" w:fill="auto"/>
            <w:noWrap/>
            <w:vAlign w:val="center"/>
            <w:hideMark/>
          </w:tcPr>
          <w:p w14:paraId="56A81E00"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-5.6</w:t>
            </w:r>
          </w:p>
        </w:tc>
        <w:tc>
          <w:tcPr>
            <w:tcW w:w="630" w:type="dxa"/>
            <w:tcBorders>
              <w:top w:val="nil"/>
              <w:left w:val="nil"/>
              <w:bottom w:val="nil"/>
              <w:right w:val="nil"/>
            </w:tcBorders>
            <w:shd w:val="clear" w:color="auto" w:fill="auto"/>
            <w:noWrap/>
            <w:vAlign w:val="center"/>
            <w:hideMark/>
          </w:tcPr>
          <w:p w14:paraId="0A93C443"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-5.7</w:t>
            </w:r>
          </w:p>
        </w:tc>
        <w:tc>
          <w:tcPr>
            <w:tcW w:w="660" w:type="dxa"/>
            <w:tcBorders>
              <w:top w:val="nil"/>
              <w:left w:val="nil"/>
              <w:bottom w:val="nil"/>
              <w:right w:val="nil"/>
            </w:tcBorders>
            <w:shd w:val="clear" w:color="auto" w:fill="auto"/>
            <w:noWrap/>
            <w:vAlign w:val="center"/>
            <w:hideMark/>
          </w:tcPr>
          <w:p w14:paraId="61DD0525" w14:textId="77777777" w:rsidR="00272D17" w:rsidRPr="0076533B" w:rsidRDefault="00272D17" w:rsidP="00272D17">
            <w:pPr>
              <w:spacing w:after="0" w:line="240" w:lineRule="auto"/>
              <w:ind w:right="33"/>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-5.3</w:t>
            </w:r>
          </w:p>
        </w:tc>
        <w:tc>
          <w:tcPr>
            <w:tcW w:w="600" w:type="dxa"/>
            <w:tcBorders>
              <w:top w:val="nil"/>
              <w:left w:val="nil"/>
              <w:bottom w:val="nil"/>
              <w:right w:val="nil"/>
            </w:tcBorders>
            <w:vAlign w:val="center"/>
          </w:tcPr>
          <w:p w14:paraId="771B4F3A" w14:textId="77777777" w:rsidR="00272D17" w:rsidRPr="0076533B" w:rsidRDefault="001971EA"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-6.2</w:t>
            </w:r>
          </w:p>
        </w:tc>
      </w:tr>
      <w:tr w:rsidR="00272D17" w:rsidRPr="000F149B" w14:paraId="644C9B24" w14:textId="77777777" w:rsidTr="0076533B">
        <w:trPr>
          <w:trHeight w:val="264"/>
          <w:jc w:val="center"/>
        </w:trPr>
        <w:tc>
          <w:tcPr>
            <w:tcW w:w="1890" w:type="dxa"/>
            <w:tcBorders>
              <w:top w:val="nil"/>
              <w:left w:val="nil"/>
              <w:bottom w:val="single" w:sz="4" w:space="0" w:color="auto"/>
              <w:right w:val="nil"/>
            </w:tcBorders>
            <w:shd w:val="clear" w:color="auto" w:fill="auto"/>
            <w:noWrap/>
            <w:vAlign w:val="bottom"/>
            <w:hideMark/>
          </w:tcPr>
          <w:p w14:paraId="4A951112" w14:textId="77777777" w:rsidR="00272D17" w:rsidRPr="0076533B" w:rsidRDefault="00272D17" w:rsidP="000F149B">
            <w:pPr>
              <w:spacing w:after="0" w:line="240" w:lineRule="auto"/>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Resto del SPNF</w:t>
            </w:r>
          </w:p>
        </w:tc>
        <w:tc>
          <w:tcPr>
            <w:tcW w:w="630" w:type="dxa"/>
            <w:tcBorders>
              <w:top w:val="nil"/>
              <w:left w:val="nil"/>
              <w:bottom w:val="single" w:sz="4" w:space="0" w:color="auto"/>
              <w:right w:val="nil"/>
            </w:tcBorders>
            <w:shd w:val="clear" w:color="auto" w:fill="auto"/>
            <w:noWrap/>
            <w:vAlign w:val="center"/>
            <w:hideMark/>
          </w:tcPr>
          <w:p w14:paraId="53BCBE79"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1.8</w:t>
            </w:r>
          </w:p>
        </w:tc>
        <w:tc>
          <w:tcPr>
            <w:tcW w:w="630" w:type="dxa"/>
            <w:tcBorders>
              <w:top w:val="nil"/>
              <w:left w:val="nil"/>
              <w:bottom w:val="single" w:sz="4" w:space="0" w:color="auto"/>
              <w:right w:val="nil"/>
            </w:tcBorders>
            <w:shd w:val="clear" w:color="auto" w:fill="auto"/>
            <w:noWrap/>
            <w:vAlign w:val="center"/>
            <w:hideMark/>
          </w:tcPr>
          <w:p w14:paraId="0AE4071F"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1.0</w:t>
            </w:r>
          </w:p>
        </w:tc>
        <w:tc>
          <w:tcPr>
            <w:tcW w:w="630" w:type="dxa"/>
            <w:tcBorders>
              <w:top w:val="nil"/>
              <w:left w:val="nil"/>
              <w:bottom w:val="single" w:sz="4" w:space="0" w:color="auto"/>
              <w:right w:val="nil"/>
            </w:tcBorders>
            <w:shd w:val="clear" w:color="auto" w:fill="auto"/>
            <w:noWrap/>
            <w:vAlign w:val="center"/>
            <w:hideMark/>
          </w:tcPr>
          <w:p w14:paraId="68F1D799"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-0.4</w:t>
            </w:r>
          </w:p>
        </w:tc>
        <w:tc>
          <w:tcPr>
            <w:tcW w:w="630" w:type="dxa"/>
            <w:tcBorders>
              <w:top w:val="nil"/>
              <w:left w:val="nil"/>
              <w:bottom w:val="single" w:sz="4" w:space="0" w:color="auto"/>
              <w:right w:val="nil"/>
            </w:tcBorders>
            <w:shd w:val="clear" w:color="auto" w:fill="auto"/>
            <w:noWrap/>
            <w:vAlign w:val="center"/>
            <w:hideMark/>
          </w:tcPr>
          <w:p w14:paraId="20E8F049"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-0.7</w:t>
            </w:r>
          </w:p>
        </w:tc>
        <w:tc>
          <w:tcPr>
            <w:tcW w:w="630" w:type="dxa"/>
            <w:tcBorders>
              <w:top w:val="nil"/>
              <w:left w:val="nil"/>
              <w:bottom w:val="single" w:sz="4" w:space="0" w:color="auto"/>
              <w:right w:val="nil"/>
            </w:tcBorders>
            <w:shd w:val="clear" w:color="auto" w:fill="auto"/>
            <w:noWrap/>
            <w:vAlign w:val="center"/>
            <w:hideMark/>
          </w:tcPr>
          <w:p w14:paraId="2356E2FC"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-0.3</w:t>
            </w:r>
          </w:p>
        </w:tc>
        <w:tc>
          <w:tcPr>
            <w:tcW w:w="630" w:type="dxa"/>
            <w:tcBorders>
              <w:top w:val="nil"/>
              <w:left w:val="nil"/>
              <w:bottom w:val="single" w:sz="4" w:space="0" w:color="auto"/>
              <w:right w:val="nil"/>
            </w:tcBorders>
            <w:shd w:val="clear" w:color="auto" w:fill="auto"/>
            <w:noWrap/>
            <w:vAlign w:val="center"/>
            <w:hideMark/>
          </w:tcPr>
          <w:p w14:paraId="574E9571"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-0.9</w:t>
            </w:r>
          </w:p>
        </w:tc>
        <w:tc>
          <w:tcPr>
            <w:tcW w:w="630" w:type="dxa"/>
            <w:tcBorders>
              <w:top w:val="nil"/>
              <w:left w:val="nil"/>
              <w:bottom w:val="single" w:sz="4" w:space="0" w:color="auto"/>
              <w:right w:val="nil"/>
            </w:tcBorders>
            <w:shd w:val="clear" w:color="auto" w:fill="auto"/>
            <w:noWrap/>
            <w:vAlign w:val="center"/>
            <w:hideMark/>
          </w:tcPr>
          <w:p w14:paraId="7CC7FD38"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0.0</w:t>
            </w:r>
          </w:p>
        </w:tc>
        <w:tc>
          <w:tcPr>
            <w:tcW w:w="630" w:type="dxa"/>
            <w:tcBorders>
              <w:top w:val="nil"/>
              <w:left w:val="nil"/>
              <w:bottom w:val="single" w:sz="4" w:space="0" w:color="auto"/>
              <w:right w:val="nil"/>
            </w:tcBorders>
            <w:shd w:val="clear" w:color="auto" w:fill="auto"/>
            <w:noWrap/>
            <w:vAlign w:val="center"/>
            <w:hideMark/>
          </w:tcPr>
          <w:p w14:paraId="1F4A4023"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0.1</w:t>
            </w:r>
          </w:p>
        </w:tc>
        <w:tc>
          <w:tcPr>
            <w:tcW w:w="630" w:type="dxa"/>
            <w:tcBorders>
              <w:top w:val="nil"/>
              <w:left w:val="nil"/>
              <w:bottom w:val="single" w:sz="4" w:space="0" w:color="auto"/>
              <w:right w:val="nil"/>
            </w:tcBorders>
            <w:shd w:val="clear" w:color="auto" w:fill="auto"/>
            <w:noWrap/>
            <w:vAlign w:val="center"/>
            <w:hideMark/>
          </w:tcPr>
          <w:p w14:paraId="7E8B3CAD"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1.1</w:t>
            </w:r>
          </w:p>
        </w:tc>
        <w:tc>
          <w:tcPr>
            <w:tcW w:w="630" w:type="dxa"/>
            <w:tcBorders>
              <w:top w:val="nil"/>
              <w:left w:val="nil"/>
              <w:bottom w:val="single" w:sz="4" w:space="0" w:color="auto"/>
              <w:right w:val="nil"/>
            </w:tcBorders>
            <w:shd w:val="clear" w:color="auto" w:fill="auto"/>
            <w:noWrap/>
            <w:vAlign w:val="center"/>
            <w:hideMark/>
          </w:tcPr>
          <w:p w14:paraId="3EA3C15E"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0.7</w:t>
            </w:r>
          </w:p>
        </w:tc>
        <w:tc>
          <w:tcPr>
            <w:tcW w:w="660" w:type="dxa"/>
            <w:tcBorders>
              <w:top w:val="nil"/>
              <w:left w:val="nil"/>
              <w:bottom w:val="single" w:sz="4" w:space="0" w:color="auto"/>
              <w:right w:val="nil"/>
            </w:tcBorders>
            <w:shd w:val="clear" w:color="auto" w:fill="auto"/>
            <w:noWrap/>
            <w:vAlign w:val="center"/>
            <w:hideMark/>
          </w:tcPr>
          <w:p w14:paraId="2B3E0B31" w14:textId="77777777" w:rsidR="00272D17" w:rsidRPr="0076533B" w:rsidRDefault="00272D17" w:rsidP="00272D17">
            <w:pPr>
              <w:spacing w:after="0" w:line="240" w:lineRule="auto"/>
              <w:ind w:right="33"/>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1.1</w:t>
            </w:r>
          </w:p>
        </w:tc>
        <w:tc>
          <w:tcPr>
            <w:tcW w:w="600" w:type="dxa"/>
            <w:tcBorders>
              <w:top w:val="nil"/>
              <w:left w:val="nil"/>
              <w:bottom w:val="single" w:sz="4" w:space="0" w:color="auto"/>
              <w:right w:val="nil"/>
            </w:tcBorders>
            <w:vAlign w:val="center"/>
          </w:tcPr>
          <w:p w14:paraId="06401AB1" w14:textId="77777777" w:rsidR="00272D17" w:rsidRPr="0076533B" w:rsidRDefault="001971EA"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1.0</w:t>
            </w:r>
          </w:p>
        </w:tc>
      </w:tr>
      <w:tr w:rsidR="00272D17" w:rsidRPr="000F149B" w14:paraId="0EB7F08C" w14:textId="77777777" w:rsidTr="0076533B">
        <w:trPr>
          <w:trHeight w:val="276"/>
          <w:jc w:val="center"/>
        </w:trPr>
        <w:tc>
          <w:tcPr>
            <w:tcW w:w="1890" w:type="dxa"/>
            <w:tcBorders>
              <w:top w:val="nil"/>
              <w:left w:val="nil"/>
              <w:bottom w:val="double" w:sz="6" w:space="0" w:color="auto"/>
              <w:right w:val="nil"/>
            </w:tcBorders>
            <w:shd w:val="clear" w:color="auto" w:fill="auto"/>
            <w:noWrap/>
            <w:vAlign w:val="bottom"/>
            <w:hideMark/>
          </w:tcPr>
          <w:p w14:paraId="69E89FAC" w14:textId="77777777" w:rsidR="00272D17" w:rsidRPr="0076533B" w:rsidRDefault="00272D17" w:rsidP="000F149B">
            <w:pPr>
              <w:spacing w:after="0" w:line="240" w:lineRule="auto"/>
              <w:rPr>
                <w:rFonts w:ascii="Times New Roman" w:eastAsia="Times New Roman" w:hAnsi="Times New Roman" w:cs="Times New Roman"/>
                <w:b/>
                <w:bCs/>
                <w:sz w:val="18"/>
                <w:szCs w:val="18"/>
                <w:lang w:val="en-US" w:eastAsia="en-US"/>
              </w:rPr>
            </w:pPr>
            <w:r w:rsidRPr="0076533B">
              <w:rPr>
                <w:rFonts w:ascii="Times New Roman" w:eastAsia="Times New Roman" w:hAnsi="Times New Roman" w:cs="Times New Roman"/>
                <w:b/>
                <w:bCs/>
                <w:sz w:val="18"/>
                <w:szCs w:val="18"/>
                <w:lang w:val="en-US" w:eastAsia="en-US"/>
              </w:rPr>
              <w:t>Total</w:t>
            </w:r>
          </w:p>
        </w:tc>
        <w:tc>
          <w:tcPr>
            <w:tcW w:w="630" w:type="dxa"/>
            <w:tcBorders>
              <w:top w:val="nil"/>
              <w:left w:val="nil"/>
              <w:bottom w:val="double" w:sz="6" w:space="0" w:color="auto"/>
              <w:right w:val="nil"/>
            </w:tcBorders>
            <w:shd w:val="clear" w:color="auto" w:fill="auto"/>
            <w:noWrap/>
            <w:vAlign w:val="center"/>
            <w:hideMark/>
          </w:tcPr>
          <w:p w14:paraId="1C428365"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-0.4</w:t>
            </w:r>
          </w:p>
        </w:tc>
        <w:tc>
          <w:tcPr>
            <w:tcW w:w="630" w:type="dxa"/>
            <w:tcBorders>
              <w:top w:val="nil"/>
              <w:left w:val="nil"/>
              <w:bottom w:val="double" w:sz="6" w:space="0" w:color="auto"/>
              <w:right w:val="nil"/>
            </w:tcBorders>
            <w:shd w:val="clear" w:color="auto" w:fill="auto"/>
            <w:noWrap/>
            <w:vAlign w:val="center"/>
            <w:hideMark/>
          </w:tcPr>
          <w:p w14:paraId="3EB78179"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0.8</w:t>
            </w:r>
          </w:p>
        </w:tc>
        <w:tc>
          <w:tcPr>
            <w:tcW w:w="630" w:type="dxa"/>
            <w:tcBorders>
              <w:top w:val="nil"/>
              <w:left w:val="nil"/>
              <w:bottom w:val="double" w:sz="6" w:space="0" w:color="auto"/>
              <w:right w:val="nil"/>
            </w:tcBorders>
            <w:shd w:val="clear" w:color="auto" w:fill="auto"/>
            <w:noWrap/>
            <w:vAlign w:val="center"/>
            <w:hideMark/>
          </w:tcPr>
          <w:p w14:paraId="20EED93F"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-0.4</w:t>
            </w:r>
          </w:p>
        </w:tc>
        <w:tc>
          <w:tcPr>
            <w:tcW w:w="630" w:type="dxa"/>
            <w:tcBorders>
              <w:top w:val="nil"/>
              <w:left w:val="nil"/>
              <w:bottom w:val="double" w:sz="6" w:space="0" w:color="auto"/>
              <w:right w:val="nil"/>
            </w:tcBorders>
            <w:shd w:val="clear" w:color="auto" w:fill="auto"/>
            <w:noWrap/>
            <w:vAlign w:val="center"/>
            <w:hideMark/>
          </w:tcPr>
          <w:p w14:paraId="06111B02"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-4.8</w:t>
            </w:r>
          </w:p>
        </w:tc>
        <w:tc>
          <w:tcPr>
            <w:tcW w:w="630" w:type="dxa"/>
            <w:tcBorders>
              <w:top w:val="nil"/>
              <w:left w:val="nil"/>
              <w:bottom w:val="double" w:sz="6" w:space="0" w:color="auto"/>
              <w:right w:val="nil"/>
            </w:tcBorders>
            <w:shd w:val="clear" w:color="auto" w:fill="auto"/>
            <w:noWrap/>
            <w:vAlign w:val="center"/>
            <w:hideMark/>
          </w:tcPr>
          <w:p w14:paraId="5945DC63"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-5.8</w:t>
            </w:r>
          </w:p>
        </w:tc>
        <w:tc>
          <w:tcPr>
            <w:tcW w:w="630" w:type="dxa"/>
            <w:tcBorders>
              <w:top w:val="nil"/>
              <w:left w:val="nil"/>
              <w:bottom w:val="double" w:sz="6" w:space="0" w:color="auto"/>
              <w:right w:val="nil"/>
            </w:tcBorders>
            <w:shd w:val="clear" w:color="auto" w:fill="auto"/>
            <w:noWrap/>
            <w:vAlign w:val="center"/>
            <w:hideMark/>
          </w:tcPr>
          <w:p w14:paraId="6824B8CD"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-5.4</w:t>
            </w:r>
          </w:p>
        </w:tc>
        <w:tc>
          <w:tcPr>
            <w:tcW w:w="630" w:type="dxa"/>
            <w:tcBorders>
              <w:top w:val="nil"/>
              <w:left w:val="nil"/>
              <w:bottom w:val="double" w:sz="6" w:space="0" w:color="auto"/>
              <w:right w:val="nil"/>
            </w:tcBorders>
            <w:shd w:val="clear" w:color="auto" w:fill="auto"/>
            <w:noWrap/>
            <w:vAlign w:val="center"/>
            <w:hideMark/>
          </w:tcPr>
          <w:p w14:paraId="63D26D75"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-4.9</w:t>
            </w:r>
          </w:p>
        </w:tc>
        <w:tc>
          <w:tcPr>
            <w:tcW w:w="630" w:type="dxa"/>
            <w:tcBorders>
              <w:top w:val="nil"/>
              <w:left w:val="nil"/>
              <w:bottom w:val="double" w:sz="6" w:space="0" w:color="auto"/>
              <w:right w:val="nil"/>
            </w:tcBorders>
            <w:shd w:val="clear" w:color="auto" w:fill="auto"/>
            <w:noWrap/>
            <w:vAlign w:val="center"/>
            <w:hideMark/>
          </w:tcPr>
          <w:p w14:paraId="1ABE0B4E"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-6.1</w:t>
            </w:r>
          </w:p>
        </w:tc>
        <w:tc>
          <w:tcPr>
            <w:tcW w:w="630" w:type="dxa"/>
            <w:tcBorders>
              <w:top w:val="nil"/>
              <w:left w:val="nil"/>
              <w:bottom w:val="double" w:sz="6" w:space="0" w:color="auto"/>
              <w:right w:val="nil"/>
            </w:tcBorders>
            <w:shd w:val="clear" w:color="auto" w:fill="auto"/>
            <w:noWrap/>
            <w:vAlign w:val="center"/>
            <w:hideMark/>
          </w:tcPr>
          <w:p w14:paraId="07C47519"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-5.2</w:t>
            </w:r>
          </w:p>
        </w:tc>
        <w:tc>
          <w:tcPr>
            <w:tcW w:w="630" w:type="dxa"/>
            <w:tcBorders>
              <w:top w:val="nil"/>
              <w:left w:val="nil"/>
              <w:bottom w:val="double" w:sz="6" w:space="0" w:color="auto"/>
              <w:right w:val="nil"/>
            </w:tcBorders>
            <w:shd w:val="clear" w:color="auto" w:fill="auto"/>
            <w:noWrap/>
            <w:vAlign w:val="center"/>
            <w:hideMark/>
          </w:tcPr>
          <w:p w14:paraId="16CCF7AF" w14:textId="77777777" w:rsidR="00272D17" w:rsidRPr="0076533B" w:rsidRDefault="00272D17"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-5.7</w:t>
            </w:r>
          </w:p>
        </w:tc>
        <w:tc>
          <w:tcPr>
            <w:tcW w:w="660" w:type="dxa"/>
            <w:tcBorders>
              <w:top w:val="nil"/>
              <w:left w:val="nil"/>
              <w:bottom w:val="double" w:sz="6" w:space="0" w:color="auto"/>
              <w:right w:val="nil"/>
            </w:tcBorders>
            <w:shd w:val="clear" w:color="auto" w:fill="auto"/>
            <w:noWrap/>
            <w:vAlign w:val="center"/>
            <w:hideMark/>
          </w:tcPr>
          <w:p w14:paraId="50469F82" w14:textId="77777777" w:rsidR="00272D17" w:rsidRPr="0076533B" w:rsidRDefault="00272D17" w:rsidP="00272D17">
            <w:pPr>
              <w:spacing w:after="0" w:line="240" w:lineRule="auto"/>
              <w:ind w:right="33"/>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-4.8</w:t>
            </w:r>
          </w:p>
        </w:tc>
        <w:tc>
          <w:tcPr>
            <w:tcW w:w="600" w:type="dxa"/>
            <w:tcBorders>
              <w:top w:val="nil"/>
              <w:left w:val="nil"/>
              <w:bottom w:val="double" w:sz="6" w:space="0" w:color="auto"/>
              <w:right w:val="nil"/>
            </w:tcBorders>
            <w:vAlign w:val="center"/>
          </w:tcPr>
          <w:p w14:paraId="40621B23" w14:textId="77777777" w:rsidR="00272D17" w:rsidRPr="0076533B" w:rsidRDefault="001971EA" w:rsidP="00272D17">
            <w:pPr>
              <w:spacing w:after="0" w:line="240" w:lineRule="auto"/>
              <w:jc w:val="center"/>
              <w:rPr>
                <w:rFonts w:ascii="Times New Roman" w:eastAsia="Times New Roman" w:hAnsi="Times New Roman" w:cs="Times New Roman"/>
                <w:sz w:val="18"/>
                <w:szCs w:val="18"/>
                <w:lang w:val="en-US" w:eastAsia="en-US"/>
              </w:rPr>
            </w:pPr>
            <w:r w:rsidRPr="0076533B">
              <w:rPr>
                <w:rFonts w:ascii="Times New Roman" w:eastAsia="Times New Roman" w:hAnsi="Times New Roman" w:cs="Times New Roman"/>
                <w:sz w:val="18"/>
                <w:szCs w:val="18"/>
                <w:lang w:val="en-US" w:eastAsia="en-US"/>
              </w:rPr>
              <w:t>-5.6</w:t>
            </w:r>
          </w:p>
        </w:tc>
      </w:tr>
    </w:tbl>
    <w:p w14:paraId="4193F4BD" w14:textId="77777777" w:rsidR="000A2319" w:rsidRPr="00EC03B5" w:rsidRDefault="000A2319" w:rsidP="001A39CB">
      <w:pPr>
        <w:pStyle w:val="Estilo4"/>
        <w:numPr>
          <w:ilvl w:val="0"/>
          <w:numId w:val="0"/>
        </w:numPr>
        <w:tabs>
          <w:tab w:val="left" w:pos="0"/>
        </w:tabs>
        <w:spacing w:line="240" w:lineRule="auto"/>
        <w:contextualSpacing w:val="0"/>
        <w:jc w:val="center"/>
        <w:rPr>
          <w:sz w:val="22"/>
        </w:rPr>
      </w:pPr>
      <w:r w:rsidRPr="00EC03B5">
        <w:rPr>
          <w:color w:val="000000" w:themeColor="text1"/>
          <w:sz w:val="18"/>
        </w:rPr>
        <w:t xml:space="preserve">Fuente: </w:t>
      </w:r>
      <w:r w:rsidR="00EA43B2">
        <w:rPr>
          <w:color w:val="000000" w:themeColor="text1"/>
          <w:sz w:val="18"/>
        </w:rPr>
        <w:t>Banco Central de Costa Rica</w:t>
      </w:r>
      <w:r w:rsidRPr="00EC03B5">
        <w:rPr>
          <w:color w:val="000000" w:themeColor="text1"/>
          <w:sz w:val="18"/>
        </w:rPr>
        <w:t>.</w:t>
      </w:r>
    </w:p>
    <w:p w14:paraId="6420D43E" w14:textId="77777777" w:rsidR="00CB5463" w:rsidRDefault="00B73C9C" w:rsidP="00C81724">
      <w:pPr>
        <w:spacing w:line="360" w:lineRule="auto"/>
        <w:ind w:right="51"/>
        <w:jc w:val="both"/>
        <w:rPr>
          <w:rFonts w:ascii="Times New Roman" w:hAnsi="Times New Roman" w:cs="Times New Roman"/>
          <w:i/>
          <w:color w:val="000000" w:themeColor="text1"/>
          <w:szCs w:val="24"/>
        </w:rPr>
      </w:pPr>
      <w:r>
        <w:rPr>
          <w:rFonts w:ascii="Times New Roman" w:hAnsi="Times New Roman" w:cs="Times New Roman"/>
          <w:b/>
          <w:color w:val="000000" w:themeColor="text1"/>
          <w:szCs w:val="24"/>
        </w:rPr>
        <w:t xml:space="preserve">El perfil de deuda del sector público costarricense presenta una composición favorable ante riesgos que </w:t>
      </w:r>
      <w:r w:rsidR="00A00451">
        <w:rPr>
          <w:rFonts w:ascii="Times New Roman" w:hAnsi="Times New Roman" w:cs="Times New Roman"/>
          <w:b/>
          <w:color w:val="000000" w:themeColor="text1"/>
          <w:szCs w:val="24"/>
        </w:rPr>
        <w:t xml:space="preserve">podrían </w:t>
      </w:r>
      <w:r>
        <w:rPr>
          <w:rFonts w:ascii="Times New Roman" w:hAnsi="Times New Roman" w:cs="Times New Roman"/>
          <w:b/>
          <w:color w:val="000000" w:themeColor="text1"/>
          <w:szCs w:val="24"/>
        </w:rPr>
        <w:t xml:space="preserve">agravar su trayectoria. </w:t>
      </w:r>
      <w:r w:rsidR="00E30BFA" w:rsidRPr="00C81724">
        <w:rPr>
          <w:rFonts w:ascii="Times New Roman" w:hAnsi="Times New Roman" w:cs="Times New Roman"/>
          <w:color w:val="000000" w:themeColor="text1"/>
          <w:szCs w:val="24"/>
        </w:rPr>
        <w:t>A pesar</w:t>
      </w:r>
      <w:r w:rsidR="005C21CE">
        <w:rPr>
          <w:rFonts w:ascii="Times New Roman" w:hAnsi="Times New Roman" w:cs="Times New Roman"/>
          <w:color w:val="000000" w:themeColor="text1"/>
          <w:szCs w:val="24"/>
        </w:rPr>
        <w:t xml:space="preserve"> de que la trayectoria de la deuda costarricense ya se encuentra en una senda insostenible y es inevitable que se deba hacer una reforma fiscal, el manejo de la deuda ha sido responsable. En primer lugar, el riesgo cambiario se ha minimiza</w:t>
      </w:r>
      <w:r w:rsidR="0000095E">
        <w:rPr>
          <w:rFonts w:ascii="Times New Roman" w:hAnsi="Times New Roman" w:cs="Times New Roman"/>
          <w:color w:val="000000" w:themeColor="text1"/>
          <w:szCs w:val="24"/>
        </w:rPr>
        <w:t>do</w:t>
      </w:r>
      <w:r w:rsidR="005C21CE">
        <w:rPr>
          <w:rFonts w:ascii="Times New Roman" w:hAnsi="Times New Roman" w:cs="Times New Roman"/>
          <w:color w:val="000000" w:themeColor="text1"/>
          <w:szCs w:val="24"/>
        </w:rPr>
        <w:t xml:space="preserve"> tratando de colocar más en colones, pues al cierre de 2017 el </w:t>
      </w:r>
      <w:r w:rsidR="004B1163">
        <w:rPr>
          <w:rFonts w:ascii="Times New Roman" w:hAnsi="Times New Roman" w:cs="Times New Roman"/>
          <w:color w:val="000000" w:themeColor="text1"/>
          <w:szCs w:val="24"/>
        </w:rPr>
        <w:t>60</w:t>
      </w:r>
      <w:r w:rsidR="005C21CE">
        <w:rPr>
          <w:rFonts w:ascii="Times New Roman" w:hAnsi="Times New Roman" w:cs="Times New Roman"/>
          <w:color w:val="000000" w:themeColor="text1"/>
          <w:szCs w:val="24"/>
        </w:rPr>
        <w:t>% de la deuda estaba denominada en esta moneda. Por otro lado, solamente el 2</w:t>
      </w:r>
      <w:r w:rsidR="004B1163">
        <w:rPr>
          <w:rFonts w:ascii="Times New Roman" w:hAnsi="Times New Roman" w:cs="Times New Roman"/>
          <w:color w:val="000000" w:themeColor="text1"/>
          <w:szCs w:val="24"/>
        </w:rPr>
        <w:t>1</w:t>
      </w:r>
      <w:r w:rsidR="005C21CE">
        <w:rPr>
          <w:rFonts w:ascii="Times New Roman" w:hAnsi="Times New Roman" w:cs="Times New Roman"/>
          <w:color w:val="000000" w:themeColor="text1"/>
          <w:szCs w:val="24"/>
        </w:rPr>
        <w:t xml:space="preserve">% de la deuda es externa, lo que disminuye el riesgo de un episodio de </w:t>
      </w:r>
      <w:r w:rsidR="005C21CE" w:rsidRPr="00C81724">
        <w:rPr>
          <w:rFonts w:ascii="Times New Roman" w:hAnsi="Times New Roman" w:cs="Times New Roman"/>
          <w:i/>
          <w:color w:val="000000" w:themeColor="text1"/>
          <w:szCs w:val="24"/>
        </w:rPr>
        <w:t>sudden stop</w:t>
      </w:r>
      <w:r w:rsidR="00EA5318">
        <w:rPr>
          <w:rFonts w:ascii="Times New Roman" w:hAnsi="Times New Roman" w:cs="Times New Roman"/>
          <w:i/>
          <w:color w:val="000000" w:themeColor="text1"/>
          <w:szCs w:val="24"/>
        </w:rPr>
        <w:t xml:space="preserve"> </w:t>
      </w:r>
      <w:r w:rsidR="00EA5318">
        <w:rPr>
          <w:rFonts w:ascii="Times New Roman" w:hAnsi="Times New Roman" w:cs="Times New Roman"/>
          <w:color w:val="000000" w:themeColor="text1"/>
          <w:szCs w:val="24"/>
        </w:rPr>
        <w:t>o una corrida a otros mercados</w:t>
      </w:r>
      <w:r w:rsidR="005C21CE">
        <w:rPr>
          <w:rFonts w:ascii="Times New Roman" w:hAnsi="Times New Roman" w:cs="Times New Roman"/>
          <w:i/>
          <w:color w:val="000000" w:themeColor="text1"/>
          <w:szCs w:val="24"/>
        </w:rPr>
        <w:t xml:space="preserve">. </w:t>
      </w:r>
    </w:p>
    <w:p w14:paraId="60BBEB0C" w14:textId="77777777" w:rsidR="003949A1" w:rsidRDefault="005C21CE" w:rsidP="003949A1">
      <w:pPr>
        <w:spacing w:line="360" w:lineRule="auto"/>
        <w:ind w:right="51"/>
        <w:jc w:val="both"/>
        <w:rPr>
          <w:rFonts w:ascii="Times New Roman" w:hAnsi="Times New Roman" w:cs="Times New Roman"/>
          <w:color w:val="000000" w:themeColor="text1"/>
          <w:szCs w:val="24"/>
        </w:rPr>
      </w:pPr>
      <w:r w:rsidRPr="00D30C89">
        <w:rPr>
          <w:rFonts w:ascii="Times New Roman" w:hAnsi="Times New Roman" w:cs="Times New Roman"/>
          <w:b/>
          <w:color w:val="000000" w:themeColor="text1"/>
          <w:szCs w:val="24"/>
        </w:rPr>
        <w:t>Aunado a lo anterior, los principales acreedores de la deuda del Gobierno Central son el sector privador nacional y el mismo sector público</w:t>
      </w:r>
      <w:r>
        <w:rPr>
          <w:rFonts w:ascii="Times New Roman" w:hAnsi="Times New Roman" w:cs="Times New Roman"/>
          <w:color w:val="000000" w:themeColor="text1"/>
          <w:szCs w:val="24"/>
        </w:rPr>
        <w:t xml:space="preserve">. El 37% de la deuda del Gobierno Central está en manos del sector privado (particulares), de los cuales 93% son residentes. </w:t>
      </w:r>
      <w:r w:rsidR="004B1163">
        <w:rPr>
          <w:rFonts w:ascii="Times New Roman" w:hAnsi="Times New Roman" w:cs="Times New Roman"/>
          <w:color w:val="000000" w:themeColor="text1"/>
          <w:szCs w:val="24"/>
        </w:rPr>
        <w:t xml:space="preserve">Mientras que el 39% de la deuda bonificada del Gobierno Central está en manos de otras instituciones públicas. Esto último es positivo porque es más fácil negociar operaciones de </w:t>
      </w:r>
      <w:r w:rsidR="004B1163" w:rsidRPr="00C81724">
        <w:rPr>
          <w:rFonts w:ascii="Times New Roman" w:hAnsi="Times New Roman" w:cs="Times New Roman"/>
          <w:i/>
          <w:color w:val="000000" w:themeColor="text1"/>
          <w:szCs w:val="24"/>
        </w:rPr>
        <w:t>roll</w:t>
      </w:r>
      <w:r w:rsidR="004B1163">
        <w:rPr>
          <w:rFonts w:ascii="Times New Roman" w:hAnsi="Times New Roman" w:cs="Times New Roman"/>
          <w:i/>
          <w:color w:val="000000" w:themeColor="text1"/>
          <w:szCs w:val="24"/>
        </w:rPr>
        <w:t xml:space="preserve">-over </w:t>
      </w:r>
      <w:r w:rsidR="004B1163">
        <w:rPr>
          <w:rFonts w:ascii="Times New Roman" w:hAnsi="Times New Roman" w:cs="Times New Roman"/>
          <w:color w:val="000000" w:themeColor="text1"/>
          <w:szCs w:val="24"/>
        </w:rPr>
        <w:t xml:space="preserve">de títulos de tenedores institucionales. Aunque </w:t>
      </w:r>
      <w:r w:rsidR="004B1163">
        <w:rPr>
          <w:rFonts w:ascii="Times New Roman" w:hAnsi="Times New Roman" w:cs="Times New Roman"/>
          <w:color w:val="000000" w:themeColor="text1"/>
          <w:szCs w:val="24"/>
        </w:rPr>
        <w:lastRenderedPageBreak/>
        <w:t xml:space="preserve">es importante mencionar que, de no hacerse un ajuste fiscal pronto, una crisis en el Gobierno Central afectaría directamente las finanzas de las demás instituciones públicas. </w:t>
      </w:r>
    </w:p>
    <w:p w14:paraId="5A7B49B4" w14:textId="16EFEECE" w:rsidR="00B73C9C" w:rsidRPr="004B1163" w:rsidRDefault="004B1163" w:rsidP="006D07C8">
      <w:pPr>
        <w:spacing w:after="0" w:line="360" w:lineRule="auto"/>
        <w:ind w:right="51"/>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Por último, los vencimientos de los bonos dan </w:t>
      </w:r>
      <w:r w:rsidR="00CB5463">
        <w:rPr>
          <w:rFonts w:ascii="Times New Roman" w:hAnsi="Times New Roman" w:cs="Times New Roman"/>
          <w:color w:val="000000" w:themeColor="text1"/>
          <w:szCs w:val="24"/>
        </w:rPr>
        <w:t>tiempo para que el ajuste fiscal surta efecto antes de entrar en una crisis, puesto que el 15% de los bonos tiene vencimiento en menos de un año y el 31,8% entre 1 y 5 años.</w:t>
      </w:r>
      <w:r w:rsidR="00090D27">
        <w:rPr>
          <w:rStyle w:val="FootnoteReference"/>
          <w:rFonts w:ascii="Times New Roman" w:hAnsi="Times New Roman" w:cs="Times New Roman"/>
          <w:color w:val="000000" w:themeColor="text1"/>
          <w:szCs w:val="24"/>
        </w:rPr>
        <w:footnoteReference w:id="7"/>
      </w:r>
      <w:r w:rsidR="00CB5463">
        <w:rPr>
          <w:rFonts w:ascii="Times New Roman" w:hAnsi="Times New Roman" w:cs="Times New Roman"/>
          <w:color w:val="000000" w:themeColor="text1"/>
          <w:szCs w:val="24"/>
        </w:rPr>
        <w:t xml:space="preserve"> De nuevo, es importante advertir que, de no hacerse un ajuste fiscal, la suba en las tasas de interés significará el riesgo más importante</w:t>
      </w:r>
      <w:r w:rsidR="002945BA">
        <w:rPr>
          <w:rFonts w:ascii="Times New Roman" w:hAnsi="Times New Roman" w:cs="Times New Roman"/>
          <w:color w:val="000000" w:themeColor="text1"/>
          <w:szCs w:val="24"/>
        </w:rPr>
        <w:t xml:space="preserve"> para las instituciones públicas</w:t>
      </w:r>
      <w:r w:rsidR="00694D54">
        <w:rPr>
          <w:rFonts w:ascii="Times New Roman" w:hAnsi="Times New Roman" w:cs="Times New Roman"/>
          <w:color w:val="000000" w:themeColor="text1"/>
          <w:szCs w:val="24"/>
        </w:rPr>
        <w:t xml:space="preserve"> tenedoras de </w:t>
      </w:r>
      <w:r w:rsidR="00F1039F">
        <w:rPr>
          <w:rFonts w:ascii="Times New Roman" w:hAnsi="Times New Roman" w:cs="Times New Roman"/>
          <w:color w:val="000000" w:themeColor="text1"/>
          <w:szCs w:val="24"/>
        </w:rPr>
        <w:t>bonos</w:t>
      </w:r>
      <w:r w:rsidR="0093616B">
        <w:rPr>
          <w:rFonts w:ascii="Times New Roman" w:hAnsi="Times New Roman" w:cs="Times New Roman"/>
          <w:color w:val="000000" w:themeColor="text1"/>
          <w:szCs w:val="24"/>
        </w:rPr>
        <w:t>.</w:t>
      </w:r>
      <w:r w:rsidR="002945BA">
        <w:rPr>
          <w:rFonts w:ascii="Times New Roman" w:hAnsi="Times New Roman" w:cs="Times New Roman"/>
          <w:color w:val="000000" w:themeColor="text1"/>
          <w:szCs w:val="24"/>
        </w:rPr>
        <w:t xml:space="preserve"> En e</w:t>
      </w:r>
      <w:r w:rsidR="00F1039F">
        <w:rPr>
          <w:rFonts w:ascii="Times New Roman" w:hAnsi="Times New Roman" w:cs="Times New Roman"/>
          <w:color w:val="000000" w:themeColor="text1"/>
          <w:szCs w:val="24"/>
        </w:rPr>
        <w:t xml:space="preserve">fecto, </w:t>
      </w:r>
      <w:r w:rsidR="00672C03">
        <w:rPr>
          <w:rFonts w:ascii="Times New Roman" w:hAnsi="Times New Roman" w:cs="Times New Roman"/>
          <w:color w:val="000000" w:themeColor="text1"/>
          <w:szCs w:val="24"/>
        </w:rPr>
        <w:t xml:space="preserve">la Caja Costarricense del Seguro Social (CCSS) </w:t>
      </w:r>
      <w:r w:rsidR="001D31A5">
        <w:rPr>
          <w:rFonts w:ascii="Times New Roman" w:hAnsi="Times New Roman" w:cs="Times New Roman"/>
          <w:color w:val="000000" w:themeColor="text1"/>
          <w:szCs w:val="24"/>
        </w:rPr>
        <w:t>contaba con 1</w:t>
      </w:r>
      <w:r w:rsidR="003A7C21">
        <w:rPr>
          <w:rFonts w:ascii="Times New Roman" w:hAnsi="Times New Roman" w:cs="Times New Roman"/>
          <w:color w:val="000000" w:themeColor="text1"/>
          <w:szCs w:val="24"/>
        </w:rPr>
        <w:t>,</w:t>
      </w:r>
      <w:r w:rsidR="001D31A5">
        <w:rPr>
          <w:rFonts w:ascii="Times New Roman" w:hAnsi="Times New Roman" w:cs="Times New Roman"/>
          <w:color w:val="000000" w:themeColor="text1"/>
          <w:szCs w:val="24"/>
        </w:rPr>
        <w:t>5</w:t>
      </w:r>
      <w:r w:rsidR="00BA5D8D">
        <w:rPr>
          <w:rFonts w:ascii="Times New Roman" w:hAnsi="Times New Roman" w:cs="Times New Roman"/>
          <w:color w:val="000000" w:themeColor="text1"/>
          <w:szCs w:val="24"/>
        </w:rPr>
        <w:t xml:space="preserve"> </w:t>
      </w:r>
      <w:r w:rsidR="00B7684F">
        <w:rPr>
          <w:rFonts w:ascii="Times New Roman" w:hAnsi="Times New Roman" w:cs="Times New Roman"/>
          <w:color w:val="000000" w:themeColor="text1"/>
          <w:szCs w:val="24"/>
        </w:rPr>
        <w:t>b</w:t>
      </w:r>
      <w:r w:rsidR="00BA5D8D">
        <w:rPr>
          <w:rFonts w:ascii="Times New Roman" w:hAnsi="Times New Roman" w:cs="Times New Roman"/>
          <w:color w:val="000000" w:themeColor="text1"/>
          <w:szCs w:val="24"/>
        </w:rPr>
        <w:t>illones de colones en deuda bonificada del Gobierno Central a</w:t>
      </w:r>
      <w:r w:rsidR="0066611D">
        <w:rPr>
          <w:rFonts w:ascii="Times New Roman" w:hAnsi="Times New Roman" w:cs="Times New Roman"/>
          <w:color w:val="000000" w:themeColor="text1"/>
          <w:szCs w:val="24"/>
        </w:rPr>
        <w:t xml:space="preserve">l cierre de </w:t>
      </w:r>
      <w:r w:rsidR="00BA5D8D">
        <w:rPr>
          <w:rFonts w:ascii="Times New Roman" w:hAnsi="Times New Roman" w:cs="Times New Roman"/>
          <w:color w:val="000000" w:themeColor="text1"/>
          <w:szCs w:val="24"/>
        </w:rPr>
        <w:t xml:space="preserve">2017, lo que representa </w:t>
      </w:r>
      <w:r w:rsidR="00527D6C">
        <w:rPr>
          <w:rFonts w:ascii="Times New Roman" w:hAnsi="Times New Roman" w:cs="Times New Roman"/>
          <w:color w:val="000000" w:themeColor="text1"/>
          <w:szCs w:val="24"/>
        </w:rPr>
        <w:t>un 28,3% de los activos y 31,3% del su patrimonio. Mientras que l</w:t>
      </w:r>
      <w:r w:rsidR="00EF55B2">
        <w:rPr>
          <w:rFonts w:ascii="Times New Roman" w:hAnsi="Times New Roman" w:cs="Times New Roman"/>
          <w:color w:val="000000" w:themeColor="text1"/>
          <w:szCs w:val="24"/>
        </w:rPr>
        <w:t>a</w:t>
      </w:r>
      <w:r w:rsidR="00527D6C">
        <w:rPr>
          <w:rFonts w:ascii="Times New Roman" w:hAnsi="Times New Roman" w:cs="Times New Roman"/>
          <w:color w:val="000000" w:themeColor="text1"/>
          <w:szCs w:val="24"/>
        </w:rPr>
        <w:t xml:space="preserve">s </w:t>
      </w:r>
      <w:r w:rsidR="00EF55B2">
        <w:rPr>
          <w:rFonts w:ascii="Times New Roman" w:hAnsi="Times New Roman" w:cs="Times New Roman"/>
          <w:color w:val="000000" w:themeColor="text1"/>
          <w:szCs w:val="24"/>
        </w:rPr>
        <w:t>instituciones financieras</w:t>
      </w:r>
      <w:r w:rsidR="00527D6C">
        <w:rPr>
          <w:rFonts w:ascii="Times New Roman" w:hAnsi="Times New Roman" w:cs="Times New Roman"/>
          <w:color w:val="000000" w:themeColor="text1"/>
          <w:szCs w:val="24"/>
        </w:rPr>
        <w:t xml:space="preserve"> </w:t>
      </w:r>
      <w:r w:rsidR="00EF55B2">
        <w:rPr>
          <w:rFonts w:ascii="Times New Roman" w:hAnsi="Times New Roman" w:cs="Times New Roman"/>
          <w:color w:val="000000" w:themeColor="text1"/>
          <w:szCs w:val="24"/>
        </w:rPr>
        <w:t>estatales (</w:t>
      </w:r>
      <w:r w:rsidR="003A7C21">
        <w:rPr>
          <w:rFonts w:ascii="Times New Roman" w:hAnsi="Times New Roman" w:cs="Times New Roman"/>
          <w:color w:val="000000" w:themeColor="text1"/>
          <w:szCs w:val="24"/>
        </w:rPr>
        <w:t>5)</w:t>
      </w:r>
      <w:r w:rsidR="00EF55B2">
        <w:rPr>
          <w:rFonts w:ascii="Times New Roman" w:hAnsi="Times New Roman" w:cs="Times New Roman"/>
          <w:color w:val="000000" w:themeColor="text1"/>
          <w:szCs w:val="24"/>
        </w:rPr>
        <w:t xml:space="preserve"> </w:t>
      </w:r>
      <w:r w:rsidR="00527D6C">
        <w:rPr>
          <w:rFonts w:ascii="Times New Roman" w:hAnsi="Times New Roman" w:cs="Times New Roman"/>
          <w:color w:val="000000" w:themeColor="text1"/>
          <w:szCs w:val="24"/>
        </w:rPr>
        <w:t xml:space="preserve">totalizaban </w:t>
      </w:r>
      <w:r w:rsidR="003A7C21">
        <w:rPr>
          <w:rFonts w:ascii="Times New Roman" w:hAnsi="Times New Roman" w:cs="Times New Roman"/>
          <w:color w:val="000000" w:themeColor="text1"/>
          <w:szCs w:val="24"/>
        </w:rPr>
        <w:t>2,7</w:t>
      </w:r>
      <w:r w:rsidR="001A0189">
        <w:rPr>
          <w:rFonts w:ascii="Times New Roman" w:hAnsi="Times New Roman" w:cs="Times New Roman"/>
          <w:color w:val="000000" w:themeColor="text1"/>
          <w:szCs w:val="24"/>
        </w:rPr>
        <w:t xml:space="preserve"> </w:t>
      </w:r>
      <w:r w:rsidR="00725F7F">
        <w:rPr>
          <w:rFonts w:ascii="Times New Roman" w:hAnsi="Times New Roman" w:cs="Times New Roman"/>
          <w:color w:val="000000" w:themeColor="text1"/>
          <w:szCs w:val="24"/>
        </w:rPr>
        <w:t>b</w:t>
      </w:r>
      <w:r w:rsidR="001A0189">
        <w:rPr>
          <w:rFonts w:ascii="Times New Roman" w:hAnsi="Times New Roman" w:cs="Times New Roman"/>
          <w:color w:val="000000" w:themeColor="text1"/>
          <w:szCs w:val="24"/>
        </w:rPr>
        <w:t>illones de colones, lo cual representaba el 1</w:t>
      </w:r>
      <w:r w:rsidR="003A7C21">
        <w:rPr>
          <w:rFonts w:ascii="Times New Roman" w:hAnsi="Times New Roman" w:cs="Times New Roman"/>
          <w:color w:val="000000" w:themeColor="text1"/>
          <w:szCs w:val="24"/>
        </w:rPr>
        <w:t>5</w:t>
      </w:r>
      <w:r w:rsidR="001A0189">
        <w:rPr>
          <w:rFonts w:ascii="Times New Roman" w:hAnsi="Times New Roman" w:cs="Times New Roman"/>
          <w:color w:val="000000" w:themeColor="text1"/>
          <w:szCs w:val="24"/>
        </w:rPr>
        <w:t>,</w:t>
      </w:r>
      <w:r w:rsidR="003A7C21">
        <w:rPr>
          <w:rFonts w:ascii="Times New Roman" w:hAnsi="Times New Roman" w:cs="Times New Roman"/>
          <w:color w:val="000000" w:themeColor="text1"/>
          <w:szCs w:val="24"/>
        </w:rPr>
        <w:t>3</w:t>
      </w:r>
      <w:r w:rsidR="001A0189">
        <w:rPr>
          <w:rFonts w:ascii="Times New Roman" w:hAnsi="Times New Roman" w:cs="Times New Roman"/>
          <w:color w:val="000000" w:themeColor="text1"/>
          <w:szCs w:val="24"/>
        </w:rPr>
        <w:t>% de</w:t>
      </w:r>
      <w:r w:rsidR="00D0150B">
        <w:rPr>
          <w:rFonts w:ascii="Times New Roman" w:hAnsi="Times New Roman" w:cs="Times New Roman"/>
          <w:color w:val="000000" w:themeColor="text1"/>
          <w:szCs w:val="24"/>
        </w:rPr>
        <w:t xml:space="preserve">l total de sus activos y el </w:t>
      </w:r>
      <w:r w:rsidR="0066611D">
        <w:rPr>
          <w:rFonts w:ascii="Times New Roman" w:hAnsi="Times New Roman" w:cs="Times New Roman"/>
          <w:color w:val="000000" w:themeColor="text1"/>
          <w:szCs w:val="24"/>
        </w:rPr>
        <w:t>99</w:t>
      </w:r>
      <w:r w:rsidR="00D0150B">
        <w:rPr>
          <w:rFonts w:ascii="Times New Roman" w:hAnsi="Times New Roman" w:cs="Times New Roman"/>
          <w:color w:val="000000" w:themeColor="text1"/>
          <w:szCs w:val="24"/>
        </w:rPr>
        <w:t>,</w:t>
      </w:r>
      <w:r w:rsidR="0066611D">
        <w:rPr>
          <w:rFonts w:ascii="Times New Roman" w:hAnsi="Times New Roman" w:cs="Times New Roman"/>
          <w:color w:val="000000" w:themeColor="text1"/>
          <w:szCs w:val="24"/>
        </w:rPr>
        <w:t>7</w:t>
      </w:r>
      <w:r w:rsidR="00D0150B">
        <w:rPr>
          <w:rFonts w:ascii="Times New Roman" w:hAnsi="Times New Roman" w:cs="Times New Roman"/>
          <w:color w:val="000000" w:themeColor="text1"/>
          <w:szCs w:val="24"/>
        </w:rPr>
        <w:t>% del patrimonio</w:t>
      </w:r>
      <w:r w:rsidR="00D4205D">
        <w:rPr>
          <w:rFonts w:ascii="Times New Roman" w:hAnsi="Times New Roman" w:cs="Times New Roman"/>
          <w:color w:val="000000" w:themeColor="text1"/>
          <w:szCs w:val="24"/>
        </w:rPr>
        <w:t>, en promedio ponderado</w:t>
      </w:r>
      <w:r w:rsidR="00D15F38">
        <w:rPr>
          <w:rFonts w:ascii="Times New Roman" w:hAnsi="Times New Roman" w:cs="Times New Roman"/>
          <w:color w:val="000000" w:themeColor="text1"/>
          <w:szCs w:val="24"/>
        </w:rPr>
        <w:t>.</w:t>
      </w:r>
      <w:r w:rsidR="0066611D">
        <w:rPr>
          <w:rStyle w:val="FootnoteReference"/>
          <w:rFonts w:ascii="Times New Roman" w:hAnsi="Times New Roman" w:cs="Times New Roman"/>
          <w:color w:val="000000" w:themeColor="text1"/>
          <w:szCs w:val="24"/>
        </w:rPr>
        <w:footnoteReference w:id="8"/>
      </w:r>
    </w:p>
    <w:p w14:paraId="46C76FE8" w14:textId="56BA8F1A" w:rsidR="00A00451" w:rsidRPr="004C4D29" w:rsidRDefault="004C4D29" w:rsidP="004C4D29">
      <w:pPr>
        <w:pStyle w:val="Caption"/>
        <w:spacing w:after="0"/>
        <w:jc w:val="center"/>
        <w:rPr>
          <w:rFonts w:ascii="Times New Roman" w:hAnsi="Times New Roman" w:cs="Times New Roman"/>
          <w:b/>
          <w:i w:val="0"/>
          <w:color w:val="auto"/>
          <w:sz w:val="22"/>
          <w:szCs w:val="22"/>
          <w:lang w:val="es-ES_tradnl"/>
        </w:rPr>
      </w:pPr>
      <w:bookmarkStart w:id="5" w:name="_Toc518399410"/>
      <w:r w:rsidRPr="004C4D29">
        <w:rPr>
          <w:rFonts w:ascii="Times New Roman" w:hAnsi="Times New Roman" w:cs="Times New Roman"/>
          <w:b/>
          <w:i w:val="0"/>
          <w:color w:val="auto"/>
          <w:sz w:val="22"/>
          <w:szCs w:val="22"/>
        </w:rPr>
        <w:t xml:space="preserve">Gráfico </w:t>
      </w:r>
      <w:r w:rsidRPr="004C4D29">
        <w:rPr>
          <w:rFonts w:ascii="Times New Roman" w:hAnsi="Times New Roman" w:cs="Times New Roman"/>
          <w:b/>
          <w:i w:val="0"/>
          <w:color w:val="auto"/>
          <w:sz w:val="22"/>
          <w:szCs w:val="22"/>
        </w:rPr>
        <w:fldChar w:fldCharType="begin"/>
      </w:r>
      <w:r w:rsidRPr="004C4D29">
        <w:rPr>
          <w:rFonts w:ascii="Times New Roman" w:hAnsi="Times New Roman" w:cs="Times New Roman"/>
          <w:b/>
          <w:i w:val="0"/>
          <w:color w:val="auto"/>
          <w:sz w:val="22"/>
          <w:szCs w:val="22"/>
        </w:rPr>
        <w:instrText xml:space="preserve"> SEQ Gráfico \* ARABIC </w:instrText>
      </w:r>
      <w:r w:rsidRPr="004C4D29">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3</w:t>
      </w:r>
      <w:r w:rsidRPr="004C4D29">
        <w:rPr>
          <w:rFonts w:ascii="Times New Roman" w:hAnsi="Times New Roman" w:cs="Times New Roman"/>
          <w:b/>
          <w:i w:val="0"/>
          <w:color w:val="auto"/>
          <w:sz w:val="22"/>
          <w:szCs w:val="22"/>
        </w:rPr>
        <w:fldChar w:fldCharType="end"/>
      </w:r>
      <w:r w:rsidR="00A00451" w:rsidRPr="004C4D29">
        <w:rPr>
          <w:rFonts w:ascii="Times New Roman" w:hAnsi="Times New Roman" w:cs="Times New Roman"/>
          <w:b/>
          <w:i w:val="0"/>
          <w:color w:val="auto"/>
          <w:sz w:val="22"/>
          <w:szCs w:val="22"/>
          <w:lang w:val="es-ES_tradnl"/>
        </w:rPr>
        <w:t>. Deuda Bonificada del Gobierno Central por Tenedor</w:t>
      </w:r>
      <w:bookmarkEnd w:id="5"/>
      <w:r w:rsidR="001510E4">
        <w:rPr>
          <w:rFonts w:ascii="Times New Roman" w:hAnsi="Times New Roman" w:cs="Times New Roman"/>
          <w:b/>
          <w:i w:val="0"/>
          <w:color w:val="auto"/>
          <w:sz w:val="22"/>
          <w:szCs w:val="22"/>
          <w:lang w:val="es-ES_tradnl"/>
        </w:rPr>
        <w:t>, al 31 de diciembre 2017</w:t>
      </w:r>
    </w:p>
    <w:p w14:paraId="6C1CF83C" w14:textId="77777777" w:rsidR="00A00451" w:rsidRDefault="00A00451" w:rsidP="00C81724">
      <w:pPr>
        <w:spacing w:after="0" w:line="240" w:lineRule="auto"/>
        <w:ind w:right="51"/>
        <w:jc w:val="center"/>
        <w:rPr>
          <w:rFonts w:ascii="Times New Roman" w:hAnsi="Times New Roman" w:cs="Times New Roman"/>
          <w:color w:val="000000" w:themeColor="text1"/>
          <w:szCs w:val="24"/>
        </w:rPr>
      </w:pPr>
      <w:r>
        <w:rPr>
          <w:noProof/>
          <w:lang w:val="es-CR" w:eastAsia="es-CR"/>
        </w:rPr>
        <w:drawing>
          <wp:inline distT="0" distB="0" distL="0" distR="0" wp14:anchorId="587DA219" wp14:editId="66C082A7">
            <wp:extent cx="5404339" cy="1645920"/>
            <wp:effectExtent l="0" t="0" r="0" b="0"/>
            <wp:docPr id="11" name="Chart 11">
              <a:extLst xmlns:a="http://schemas.openxmlformats.org/drawingml/2006/main">
                <a:ext uri="{FF2B5EF4-FFF2-40B4-BE49-F238E27FC236}">
                  <a16:creationId xmlns:a16="http://schemas.microsoft.com/office/drawing/2014/main" id="{1FD2B258-E1D8-45C9-9DBC-B5D6ABE1FFC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403B33" w:rsidRPr="00403B33">
        <w:rPr>
          <w:rFonts w:ascii="Times New Roman" w:hAnsi="Times New Roman" w:cs="Times New Roman"/>
          <w:color w:val="000000" w:themeColor="text1"/>
          <w:szCs w:val="24"/>
        </w:rPr>
        <w:t xml:space="preserve"> </w:t>
      </w:r>
    </w:p>
    <w:p w14:paraId="2E6C17A6" w14:textId="0C51A87A" w:rsidR="00A00451" w:rsidRDefault="00A00451" w:rsidP="00A00451">
      <w:pPr>
        <w:pStyle w:val="Estilo4"/>
        <w:numPr>
          <w:ilvl w:val="0"/>
          <w:numId w:val="0"/>
        </w:numPr>
        <w:tabs>
          <w:tab w:val="left" w:pos="0"/>
        </w:tabs>
        <w:spacing w:line="240" w:lineRule="auto"/>
        <w:contextualSpacing w:val="0"/>
        <w:jc w:val="center"/>
        <w:rPr>
          <w:color w:val="000000" w:themeColor="text1"/>
          <w:sz w:val="18"/>
        </w:rPr>
      </w:pPr>
      <w:r w:rsidRPr="00EC03B5">
        <w:rPr>
          <w:color w:val="000000" w:themeColor="text1"/>
          <w:sz w:val="18"/>
        </w:rPr>
        <w:t xml:space="preserve">Fuente: </w:t>
      </w:r>
      <w:r>
        <w:rPr>
          <w:color w:val="000000" w:themeColor="text1"/>
          <w:sz w:val="18"/>
        </w:rPr>
        <w:t>Banco Central de Costa Rica</w:t>
      </w:r>
      <w:r w:rsidRPr="00EC03B5">
        <w:rPr>
          <w:color w:val="000000" w:themeColor="text1"/>
          <w:sz w:val="18"/>
        </w:rPr>
        <w:t>.</w:t>
      </w:r>
      <w:r w:rsidR="00F74DFC" w:rsidRPr="00F74DFC">
        <w:rPr>
          <w:color w:val="000000" w:themeColor="text1"/>
          <w:sz w:val="18"/>
        </w:rPr>
        <w:t xml:space="preserve"> </w:t>
      </w:r>
    </w:p>
    <w:p w14:paraId="03D40CE8" w14:textId="77777777" w:rsidR="0093616B" w:rsidRDefault="00265F99" w:rsidP="0093616B">
      <w:pPr>
        <w:spacing w:after="0" w:line="360" w:lineRule="auto"/>
        <w:jc w:val="both"/>
        <w:rPr>
          <w:rFonts w:ascii="Times New Roman" w:hAnsi="Times New Roman" w:cs="Times New Roman"/>
          <w:color w:val="000000" w:themeColor="text1"/>
          <w:szCs w:val="24"/>
        </w:rPr>
      </w:pPr>
      <w:r w:rsidRPr="00D75C29">
        <w:rPr>
          <w:rFonts w:ascii="Times New Roman" w:hAnsi="Times New Roman" w:cs="Times New Roman"/>
          <w:b/>
          <w:color w:val="000000" w:themeColor="text1"/>
          <w:szCs w:val="24"/>
        </w:rPr>
        <w:t xml:space="preserve">El </w:t>
      </w:r>
      <w:r w:rsidR="009B7500" w:rsidRPr="00D75C29">
        <w:rPr>
          <w:rFonts w:ascii="Times New Roman" w:hAnsi="Times New Roman" w:cs="Times New Roman"/>
          <w:b/>
          <w:color w:val="000000" w:themeColor="text1"/>
          <w:szCs w:val="24"/>
        </w:rPr>
        <w:t xml:space="preserve">Gobierno Central </w:t>
      </w:r>
      <w:r w:rsidRPr="00D75C29">
        <w:rPr>
          <w:rFonts w:ascii="Times New Roman" w:hAnsi="Times New Roman" w:cs="Times New Roman"/>
          <w:b/>
          <w:color w:val="000000" w:themeColor="text1"/>
          <w:szCs w:val="24"/>
        </w:rPr>
        <w:t xml:space="preserve">presenta un déficit persistentemente negativo, </w:t>
      </w:r>
      <w:r w:rsidR="00F73D05" w:rsidRPr="00D75C29">
        <w:rPr>
          <w:rFonts w:ascii="Times New Roman" w:hAnsi="Times New Roman" w:cs="Times New Roman"/>
          <w:b/>
          <w:color w:val="000000" w:themeColor="text1"/>
          <w:szCs w:val="24"/>
        </w:rPr>
        <w:t>y</w:t>
      </w:r>
      <w:r w:rsidRPr="00D75C29">
        <w:rPr>
          <w:rFonts w:ascii="Times New Roman" w:hAnsi="Times New Roman" w:cs="Times New Roman"/>
          <w:b/>
          <w:color w:val="000000" w:themeColor="text1"/>
          <w:szCs w:val="24"/>
        </w:rPr>
        <w:t xml:space="preserve"> </w:t>
      </w:r>
      <w:r w:rsidR="00F73D05" w:rsidRPr="00D75C29">
        <w:rPr>
          <w:rFonts w:ascii="Times New Roman" w:hAnsi="Times New Roman" w:cs="Times New Roman"/>
          <w:b/>
          <w:color w:val="000000" w:themeColor="text1"/>
          <w:szCs w:val="24"/>
        </w:rPr>
        <w:t>que a través del tiempo ha ido empeorando</w:t>
      </w:r>
      <w:r w:rsidRPr="00F96872">
        <w:rPr>
          <w:rFonts w:ascii="Times New Roman" w:hAnsi="Times New Roman" w:cs="Times New Roman"/>
          <w:b/>
          <w:color w:val="000000" w:themeColor="text1"/>
          <w:szCs w:val="24"/>
        </w:rPr>
        <w:t>.</w:t>
      </w:r>
      <w:r w:rsidRPr="00F96872">
        <w:rPr>
          <w:rFonts w:ascii="Times New Roman" w:hAnsi="Times New Roman" w:cs="Times New Roman"/>
          <w:color w:val="000000" w:themeColor="text1"/>
          <w:szCs w:val="24"/>
        </w:rPr>
        <w:t xml:space="preserve"> </w:t>
      </w:r>
      <w:r w:rsidR="005B3EF1" w:rsidRPr="00F96872">
        <w:rPr>
          <w:rFonts w:ascii="Times New Roman" w:hAnsi="Times New Roman" w:cs="Times New Roman"/>
          <w:color w:val="000000" w:themeColor="text1"/>
          <w:szCs w:val="24"/>
        </w:rPr>
        <w:t>En 2017</w:t>
      </w:r>
      <w:r w:rsidR="00931B0D" w:rsidRPr="00F96872">
        <w:rPr>
          <w:rFonts w:ascii="Times New Roman" w:hAnsi="Times New Roman" w:cs="Times New Roman"/>
          <w:color w:val="000000" w:themeColor="text1"/>
          <w:szCs w:val="24"/>
        </w:rPr>
        <w:t xml:space="preserve"> el déficit del Gobierno Central </w:t>
      </w:r>
      <w:r w:rsidR="005B3EF1" w:rsidRPr="00F96872">
        <w:rPr>
          <w:rFonts w:ascii="Times New Roman" w:hAnsi="Times New Roman" w:cs="Times New Roman"/>
          <w:color w:val="000000" w:themeColor="text1"/>
          <w:szCs w:val="24"/>
        </w:rPr>
        <w:t>alcanzó el 6</w:t>
      </w:r>
      <w:r w:rsidR="000735AC" w:rsidRPr="00F96872">
        <w:rPr>
          <w:rFonts w:ascii="Times New Roman" w:hAnsi="Times New Roman" w:cs="Times New Roman"/>
          <w:color w:val="000000" w:themeColor="text1"/>
          <w:szCs w:val="24"/>
        </w:rPr>
        <w:t>,</w:t>
      </w:r>
      <w:r w:rsidR="005B3EF1" w:rsidRPr="00F96872">
        <w:rPr>
          <w:rFonts w:ascii="Times New Roman" w:hAnsi="Times New Roman" w:cs="Times New Roman"/>
          <w:color w:val="000000" w:themeColor="text1"/>
          <w:szCs w:val="24"/>
        </w:rPr>
        <w:t>2</w:t>
      </w:r>
      <w:r w:rsidR="00931B0D" w:rsidRPr="00F96872">
        <w:rPr>
          <w:rFonts w:ascii="Times New Roman" w:hAnsi="Times New Roman" w:cs="Times New Roman"/>
          <w:color w:val="000000" w:themeColor="text1"/>
          <w:szCs w:val="24"/>
        </w:rPr>
        <w:t>% del PIB</w:t>
      </w:r>
      <w:r w:rsidR="00F96872" w:rsidRPr="00F96872">
        <w:rPr>
          <w:rFonts w:ascii="Times New Roman" w:hAnsi="Times New Roman" w:cs="Times New Roman"/>
          <w:color w:val="000000" w:themeColor="text1"/>
          <w:szCs w:val="24"/>
        </w:rPr>
        <w:t xml:space="preserve"> (tabla 1)</w:t>
      </w:r>
      <w:r w:rsidR="00931B0D" w:rsidRPr="00F96872">
        <w:rPr>
          <w:rFonts w:ascii="Times New Roman" w:hAnsi="Times New Roman" w:cs="Times New Roman"/>
          <w:color w:val="000000" w:themeColor="text1"/>
          <w:szCs w:val="24"/>
        </w:rPr>
        <w:t>.</w:t>
      </w:r>
      <w:r w:rsidR="00EA5318" w:rsidRPr="00F96872">
        <w:rPr>
          <w:rStyle w:val="FootnoteReference"/>
          <w:rFonts w:ascii="Times New Roman" w:hAnsi="Times New Roman" w:cs="Times New Roman"/>
          <w:color w:val="000000" w:themeColor="text1"/>
          <w:szCs w:val="24"/>
        </w:rPr>
        <w:footnoteReference w:id="9"/>
      </w:r>
      <w:r w:rsidR="00931B0D" w:rsidRPr="00F96872">
        <w:rPr>
          <w:rFonts w:ascii="Times New Roman" w:hAnsi="Times New Roman" w:cs="Times New Roman"/>
          <w:color w:val="000000" w:themeColor="text1"/>
          <w:szCs w:val="24"/>
        </w:rPr>
        <w:t xml:space="preserve"> </w:t>
      </w:r>
      <w:r w:rsidR="00AA16E0" w:rsidRPr="00F96872">
        <w:rPr>
          <w:rFonts w:ascii="Times New Roman" w:hAnsi="Times New Roman" w:cs="Times New Roman"/>
          <w:color w:val="000000" w:themeColor="text1"/>
          <w:szCs w:val="24"/>
        </w:rPr>
        <w:t>C</w:t>
      </w:r>
      <w:r w:rsidR="00AA16E0" w:rsidRPr="00EC03B5">
        <w:rPr>
          <w:rFonts w:ascii="Times New Roman" w:hAnsi="Times New Roman" w:cs="Times New Roman"/>
          <w:color w:val="000000" w:themeColor="text1"/>
          <w:szCs w:val="24"/>
        </w:rPr>
        <w:t xml:space="preserve">omo consecuencia, se ha producido un </w:t>
      </w:r>
      <w:r w:rsidR="00931B0D" w:rsidRPr="00EC03B5">
        <w:rPr>
          <w:rFonts w:ascii="Times New Roman" w:hAnsi="Times New Roman" w:cs="Times New Roman"/>
          <w:color w:val="000000" w:themeColor="text1"/>
          <w:szCs w:val="24"/>
        </w:rPr>
        <w:t xml:space="preserve">fuerte </w:t>
      </w:r>
      <w:r w:rsidR="00AA16E0" w:rsidRPr="00EC03B5">
        <w:rPr>
          <w:rFonts w:ascii="Times New Roman" w:hAnsi="Times New Roman" w:cs="Times New Roman"/>
          <w:color w:val="000000" w:themeColor="text1"/>
          <w:szCs w:val="24"/>
        </w:rPr>
        <w:t>aumento de la deuda</w:t>
      </w:r>
      <w:r w:rsidR="004649D6" w:rsidRPr="00EC03B5">
        <w:rPr>
          <w:rFonts w:ascii="Times New Roman" w:hAnsi="Times New Roman" w:cs="Times New Roman"/>
          <w:color w:val="000000" w:themeColor="text1"/>
          <w:szCs w:val="24"/>
        </w:rPr>
        <w:t xml:space="preserve">, que </w:t>
      </w:r>
      <w:r w:rsidR="00931B0D" w:rsidRPr="00EC03B5">
        <w:rPr>
          <w:rFonts w:ascii="Times New Roman" w:hAnsi="Times New Roman" w:cs="Times New Roman"/>
          <w:color w:val="000000" w:themeColor="text1"/>
          <w:szCs w:val="24"/>
        </w:rPr>
        <w:t>ha pasado del 24</w:t>
      </w:r>
      <w:r w:rsidR="000735AC" w:rsidRPr="00EC03B5">
        <w:rPr>
          <w:rFonts w:ascii="Times New Roman" w:hAnsi="Times New Roman" w:cs="Times New Roman"/>
          <w:color w:val="000000" w:themeColor="text1"/>
          <w:szCs w:val="24"/>
        </w:rPr>
        <w:t>,</w:t>
      </w:r>
      <w:r w:rsidR="00931B0D" w:rsidRPr="00EC03B5">
        <w:rPr>
          <w:rFonts w:ascii="Times New Roman" w:hAnsi="Times New Roman" w:cs="Times New Roman"/>
          <w:color w:val="000000" w:themeColor="text1"/>
          <w:szCs w:val="24"/>
        </w:rPr>
        <w:t xml:space="preserve">1% en 2008 al </w:t>
      </w:r>
      <w:r w:rsidR="00B9430C">
        <w:rPr>
          <w:rFonts w:ascii="Times New Roman" w:hAnsi="Times New Roman" w:cs="Times New Roman"/>
          <w:color w:val="000000" w:themeColor="text1"/>
          <w:szCs w:val="24"/>
        </w:rPr>
        <w:t>49</w:t>
      </w:r>
      <w:r w:rsidR="000735AC" w:rsidRPr="00EC03B5">
        <w:rPr>
          <w:rFonts w:ascii="Times New Roman" w:hAnsi="Times New Roman" w:cs="Times New Roman"/>
          <w:color w:val="000000" w:themeColor="text1"/>
          <w:szCs w:val="24"/>
        </w:rPr>
        <w:t>,</w:t>
      </w:r>
      <w:r w:rsidR="00B9430C">
        <w:rPr>
          <w:rFonts w:ascii="Times New Roman" w:hAnsi="Times New Roman" w:cs="Times New Roman"/>
          <w:color w:val="000000" w:themeColor="text1"/>
          <w:szCs w:val="24"/>
        </w:rPr>
        <w:t>2% en 2017</w:t>
      </w:r>
      <w:r w:rsidR="00931B0D" w:rsidRPr="00EC03B5">
        <w:rPr>
          <w:rFonts w:ascii="Times New Roman" w:hAnsi="Times New Roman" w:cs="Times New Roman"/>
          <w:color w:val="000000" w:themeColor="text1"/>
          <w:szCs w:val="24"/>
        </w:rPr>
        <w:t xml:space="preserve">. </w:t>
      </w:r>
      <w:r w:rsidR="004E7C83">
        <w:rPr>
          <w:rFonts w:ascii="Times New Roman" w:hAnsi="Times New Roman" w:cs="Times New Roman"/>
          <w:color w:val="000000" w:themeColor="text1"/>
          <w:szCs w:val="24"/>
        </w:rPr>
        <w:t xml:space="preserve">Revisando la dinámica de ingresos y gastos, el primer resultado evidente </w:t>
      </w:r>
      <w:r w:rsidR="00193FAD">
        <w:rPr>
          <w:rFonts w:ascii="Times New Roman" w:hAnsi="Times New Roman" w:cs="Times New Roman"/>
          <w:color w:val="000000" w:themeColor="text1"/>
          <w:szCs w:val="24"/>
        </w:rPr>
        <w:t xml:space="preserve">es que </w:t>
      </w:r>
      <w:r w:rsidR="004E7C83">
        <w:rPr>
          <w:rFonts w:ascii="Times New Roman" w:hAnsi="Times New Roman" w:cs="Times New Roman"/>
          <w:color w:val="000000" w:themeColor="text1"/>
          <w:szCs w:val="24"/>
        </w:rPr>
        <w:t xml:space="preserve">la brecha creciente entre ingresos </w:t>
      </w:r>
      <w:r w:rsidR="00193FAD">
        <w:rPr>
          <w:rFonts w:ascii="Times New Roman" w:hAnsi="Times New Roman" w:cs="Times New Roman"/>
          <w:color w:val="000000" w:themeColor="text1"/>
          <w:szCs w:val="24"/>
        </w:rPr>
        <w:t xml:space="preserve">totales </w:t>
      </w:r>
      <w:r w:rsidR="004E7C83">
        <w:rPr>
          <w:rFonts w:ascii="Times New Roman" w:hAnsi="Times New Roman" w:cs="Times New Roman"/>
          <w:color w:val="000000" w:themeColor="text1"/>
          <w:szCs w:val="24"/>
        </w:rPr>
        <w:t>y gastos totales</w:t>
      </w:r>
      <w:r w:rsidR="00193FAD">
        <w:rPr>
          <w:rFonts w:ascii="Times New Roman" w:hAnsi="Times New Roman" w:cs="Times New Roman"/>
          <w:color w:val="000000" w:themeColor="text1"/>
          <w:szCs w:val="24"/>
        </w:rPr>
        <w:t xml:space="preserve"> se debe en gran medida a </w:t>
      </w:r>
      <w:r w:rsidR="00922235">
        <w:rPr>
          <w:rFonts w:ascii="Times New Roman" w:hAnsi="Times New Roman" w:cs="Times New Roman"/>
          <w:color w:val="000000" w:themeColor="text1"/>
          <w:szCs w:val="24"/>
        </w:rPr>
        <w:t>que</w:t>
      </w:r>
      <w:r w:rsidR="00B504B3">
        <w:rPr>
          <w:rFonts w:ascii="Times New Roman" w:hAnsi="Times New Roman" w:cs="Times New Roman"/>
          <w:color w:val="000000" w:themeColor="text1"/>
          <w:szCs w:val="24"/>
        </w:rPr>
        <w:t xml:space="preserve"> los ingresos </w:t>
      </w:r>
      <w:r w:rsidR="009E37C4">
        <w:rPr>
          <w:rFonts w:ascii="Times New Roman" w:hAnsi="Times New Roman" w:cs="Times New Roman"/>
          <w:color w:val="000000" w:themeColor="text1"/>
          <w:szCs w:val="24"/>
        </w:rPr>
        <w:t xml:space="preserve">como porcentaje </w:t>
      </w:r>
      <w:r w:rsidR="00B22FDC">
        <w:rPr>
          <w:rFonts w:ascii="Times New Roman" w:hAnsi="Times New Roman" w:cs="Times New Roman"/>
          <w:color w:val="000000" w:themeColor="text1"/>
          <w:szCs w:val="24"/>
        </w:rPr>
        <w:t xml:space="preserve">del PIB </w:t>
      </w:r>
      <w:r w:rsidR="002B3293">
        <w:rPr>
          <w:rFonts w:ascii="Times New Roman" w:hAnsi="Times New Roman" w:cs="Times New Roman"/>
          <w:color w:val="000000" w:themeColor="text1"/>
          <w:szCs w:val="24"/>
        </w:rPr>
        <w:t xml:space="preserve">se han mantenido en un nivel muy similar desde </w:t>
      </w:r>
      <w:r w:rsidR="006B55A9">
        <w:rPr>
          <w:rFonts w:ascii="Times New Roman" w:hAnsi="Times New Roman" w:cs="Times New Roman"/>
          <w:color w:val="000000" w:themeColor="text1"/>
          <w:szCs w:val="24"/>
        </w:rPr>
        <w:t>2009</w:t>
      </w:r>
      <w:r w:rsidR="006D22CB">
        <w:rPr>
          <w:rFonts w:ascii="Times New Roman" w:hAnsi="Times New Roman" w:cs="Times New Roman"/>
          <w:color w:val="000000" w:themeColor="text1"/>
          <w:szCs w:val="24"/>
        </w:rPr>
        <w:t xml:space="preserve">; y </w:t>
      </w:r>
      <w:r w:rsidR="00215E6C">
        <w:rPr>
          <w:rFonts w:ascii="Times New Roman" w:hAnsi="Times New Roman" w:cs="Times New Roman"/>
          <w:color w:val="000000" w:themeColor="text1"/>
          <w:szCs w:val="24"/>
        </w:rPr>
        <w:t>que</w:t>
      </w:r>
      <w:r w:rsidR="006D22CB">
        <w:rPr>
          <w:rFonts w:ascii="Times New Roman" w:hAnsi="Times New Roman" w:cs="Times New Roman"/>
          <w:color w:val="000000" w:themeColor="text1"/>
          <w:szCs w:val="24"/>
        </w:rPr>
        <w:t xml:space="preserve"> los gastos </w:t>
      </w:r>
      <w:r w:rsidR="00BD38A5">
        <w:rPr>
          <w:rFonts w:ascii="Times New Roman" w:hAnsi="Times New Roman" w:cs="Times New Roman"/>
          <w:color w:val="000000" w:themeColor="text1"/>
          <w:szCs w:val="24"/>
        </w:rPr>
        <w:t>como porcentaje del PIB han aumentado persistentemente</w:t>
      </w:r>
      <w:r w:rsidR="009570E8">
        <w:rPr>
          <w:rFonts w:ascii="Times New Roman" w:hAnsi="Times New Roman" w:cs="Times New Roman"/>
          <w:color w:val="000000" w:themeColor="text1"/>
          <w:szCs w:val="24"/>
        </w:rPr>
        <w:t xml:space="preserve"> (gráfico </w:t>
      </w:r>
      <w:r w:rsidR="00CC3553">
        <w:rPr>
          <w:rFonts w:ascii="Times New Roman" w:hAnsi="Times New Roman" w:cs="Times New Roman"/>
          <w:color w:val="000000" w:themeColor="text1"/>
          <w:szCs w:val="24"/>
        </w:rPr>
        <w:t>4</w:t>
      </w:r>
      <w:r w:rsidR="009570E8">
        <w:rPr>
          <w:rFonts w:ascii="Times New Roman" w:hAnsi="Times New Roman" w:cs="Times New Roman"/>
          <w:color w:val="000000" w:themeColor="text1"/>
          <w:szCs w:val="24"/>
        </w:rPr>
        <w:t>)</w:t>
      </w:r>
      <w:r w:rsidR="004E7C83">
        <w:rPr>
          <w:rFonts w:ascii="Times New Roman" w:hAnsi="Times New Roman" w:cs="Times New Roman"/>
          <w:color w:val="000000" w:themeColor="text1"/>
          <w:szCs w:val="24"/>
        </w:rPr>
        <w:t xml:space="preserve">. </w:t>
      </w:r>
      <w:r w:rsidR="0093616B">
        <w:rPr>
          <w:rFonts w:ascii="Times New Roman" w:hAnsi="Times New Roman" w:cs="Times New Roman"/>
          <w:color w:val="000000" w:themeColor="text1"/>
          <w:szCs w:val="24"/>
        </w:rPr>
        <w:t>Esta dinámica es claramente insostenible, pues el pago de intereses ya alcanza el 21</w:t>
      </w:r>
      <w:r w:rsidR="0093616B" w:rsidRPr="00EC03B5">
        <w:rPr>
          <w:rFonts w:ascii="Times New Roman" w:hAnsi="Times New Roman" w:cs="Times New Roman"/>
          <w:color w:val="000000" w:themeColor="text1"/>
          <w:szCs w:val="24"/>
        </w:rPr>
        <w:t>,</w:t>
      </w:r>
      <w:r w:rsidR="0093616B">
        <w:rPr>
          <w:rFonts w:ascii="Times New Roman" w:hAnsi="Times New Roman" w:cs="Times New Roman"/>
          <w:color w:val="000000" w:themeColor="text1"/>
          <w:szCs w:val="24"/>
        </w:rPr>
        <w:t>6</w:t>
      </w:r>
      <w:r w:rsidR="0093616B" w:rsidRPr="00EC03B5">
        <w:rPr>
          <w:rFonts w:ascii="Times New Roman" w:hAnsi="Times New Roman" w:cs="Times New Roman"/>
          <w:color w:val="000000" w:themeColor="text1"/>
          <w:szCs w:val="24"/>
        </w:rPr>
        <w:t xml:space="preserve">% de los ingresos corrientes </w:t>
      </w:r>
      <w:r w:rsidR="0093616B">
        <w:rPr>
          <w:rFonts w:ascii="Times New Roman" w:hAnsi="Times New Roman" w:cs="Times New Roman"/>
          <w:color w:val="000000" w:themeColor="text1"/>
          <w:szCs w:val="24"/>
        </w:rPr>
        <w:t>y el 3</w:t>
      </w:r>
      <w:r w:rsidR="0093616B" w:rsidRPr="00EC03B5">
        <w:rPr>
          <w:rFonts w:ascii="Times New Roman" w:hAnsi="Times New Roman" w:cs="Times New Roman"/>
          <w:color w:val="000000" w:themeColor="text1"/>
          <w:szCs w:val="24"/>
        </w:rPr>
        <w:t>,</w:t>
      </w:r>
      <w:r w:rsidR="0093616B">
        <w:rPr>
          <w:rFonts w:ascii="Times New Roman" w:hAnsi="Times New Roman" w:cs="Times New Roman"/>
          <w:color w:val="000000" w:themeColor="text1"/>
          <w:szCs w:val="24"/>
        </w:rPr>
        <w:t>1</w:t>
      </w:r>
      <w:r w:rsidR="0093616B" w:rsidRPr="00EC03B5">
        <w:rPr>
          <w:rFonts w:ascii="Times New Roman" w:hAnsi="Times New Roman" w:cs="Times New Roman"/>
          <w:color w:val="000000" w:themeColor="text1"/>
          <w:szCs w:val="24"/>
        </w:rPr>
        <w:t xml:space="preserve">% del PIB </w:t>
      </w:r>
      <w:r w:rsidR="0093616B" w:rsidRPr="00D51A9E">
        <w:rPr>
          <w:rFonts w:ascii="Times New Roman" w:hAnsi="Times New Roman" w:cs="Times New Roman"/>
          <w:color w:val="000000" w:themeColor="text1"/>
          <w:szCs w:val="24"/>
        </w:rPr>
        <w:t xml:space="preserve">(gráfico </w:t>
      </w:r>
      <w:r w:rsidR="0093616B">
        <w:rPr>
          <w:rFonts w:ascii="Times New Roman" w:hAnsi="Times New Roman" w:cs="Times New Roman"/>
          <w:color w:val="000000" w:themeColor="text1"/>
          <w:szCs w:val="24"/>
        </w:rPr>
        <w:t>5</w:t>
      </w:r>
      <w:r w:rsidR="0093616B" w:rsidRPr="00D51A9E">
        <w:rPr>
          <w:rFonts w:ascii="Times New Roman" w:hAnsi="Times New Roman" w:cs="Times New Roman"/>
          <w:color w:val="000000" w:themeColor="text1"/>
          <w:szCs w:val="24"/>
        </w:rPr>
        <w:t>)</w:t>
      </w:r>
      <w:r w:rsidR="0093616B" w:rsidRPr="00EC03B5">
        <w:rPr>
          <w:rFonts w:ascii="Times New Roman" w:hAnsi="Times New Roman" w:cs="Times New Roman"/>
          <w:color w:val="000000" w:themeColor="text1"/>
          <w:szCs w:val="24"/>
        </w:rPr>
        <w:t>.</w:t>
      </w:r>
    </w:p>
    <w:p w14:paraId="78FFCC56" w14:textId="77777777" w:rsidR="006D2A9D" w:rsidRDefault="006D2A9D" w:rsidP="0093616B">
      <w:pPr>
        <w:spacing w:after="0" w:line="360" w:lineRule="auto"/>
        <w:jc w:val="both"/>
        <w:rPr>
          <w:rFonts w:ascii="Times New Roman" w:hAnsi="Times New Roman" w:cs="Times New Roman"/>
          <w:color w:val="000000" w:themeColor="text1"/>
          <w:szCs w:val="24"/>
        </w:rPr>
      </w:pPr>
    </w:p>
    <w:p w14:paraId="084EF7F5" w14:textId="77777777" w:rsidR="006D2A9D" w:rsidRDefault="006D2A9D" w:rsidP="0093616B">
      <w:pPr>
        <w:spacing w:after="0" w:line="360" w:lineRule="auto"/>
        <w:jc w:val="both"/>
        <w:rPr>
          <w:rFonts w:ascii="Times New Roman" w:hAnsi="Times New Roman" w:cs="Times New Roman"/>
          <w:color w:val="000000" w:themeColor="text1"/>
          <w:szCs w:val="24"/>
        </w:rPr>
      </w:pPr>
    </w:p>
    <w:p w14:paraId="588B1718" w14:textId="77777777" w:rsidR="006D2A9D" w:rsidRDefault="006D2A9D" w:rsidP="0093616B">
      <w:pPr>
        <w:spacing w:after="0" w:line="360" w:lineRule="auto"/>
        <w:jc w:val="both"/>
        <w:rPr>
          <w:rFonts w:ascii="Times New Roman" w:hAnsi="Times New Roman" w:cs="Times New Roman"/>
          <w:color w:val="000000" w:themeColor="text1"/>
          <w:szCs w:val="24"/>
        </w:rPr>
      </w:pPr>
    </w:p>
    <w:p w14:paraId="6B01CA2F" w14:textId="77777777" w:rsidR="006D2A9D" w:rsidRDefault="006D2A9D" w:rsidP="0093616B">
      <w:pPr>
        <w:spacing w:after="0" w:line="360" w:lineRule="auto"/>
        <w:jc w:val="both"/>
        <w:rPr>
          <w:rFonts w:ascii="Times New Roman" w:hAnsi="Times New Roman" w:cs="Times New Roman"/>
          <w:color w:val="000000" w:themeColor="text1"/>
          <w:szCs w:val="24"/>
        </w:rPr>
      </w:pPr>
    </w:p>
    <w:p w14:paraId="3EB65E71" w14:textId="77777777" w:rsidR="006D2A9D" w:rsidRDefault="006D2A9D" w:rsidP="0093616B">
      <w:pPr>
        <w:spacing w:after="0" w:line="360" w:lineRule="auto"/>
        <w:jc w:val="both"/>
        <w:rPr>
          <w:rFonts w:ascii="Times New Roman" w:hAnsi="Times New Roman" w:cs="Times New Roman"/>
          <w:color w:val="000000" w:themeColor="text1"/>
          <w:szCs w:val="24"/>
        </w:rPr>
      </w:pPr>
    </w:p>
    <w:p w14:paraId="7551E825" w14:textId="77777777" w:rsidR="006D2A9D" w:rsidRDefault="006D2A9D" w:rsidP="0093616B">
      <w:pPr>
        <w:spacing w:after="0" w:line="360" w:lineRule="auto"/>
        <w:jc w:val="both"/>
        <w:rPr>
          <w:rFonts w:ascii="Times New Roman" w:hAnsi="Times New Roman" w:cs="Times New Roman"/>
          <w:color w:val="000000" w:themeColor="text1"/>
          <w:szCs w:val="24"/>
        </w:rPr>
      </w:pPr>
    </w:p>
    <w:p w14:paraId="1080D3CF" w14:textId="77777777" w:rsidR="006D2A9D" w:rsidRDefault="006D2A9D" w:rsidP="0093616B">
      <w:pPr>
        <w:spacing w:after="0" w:line="360" w:lineRule="auto"/>
        <w:jc w:val="both"/>
        <w:rPr>
          <w:rFonts w:ascii="Times New Roman" w:hAnsi="Times New Roman" w:cs="Times New Roman"/>
          <w:color w:val="000000" w:themeColor="text1"/>
          <w:szCs w:val="24"/>
        </w:rPr>
      </w:pPr>
    </w:p>
    <w:p w14:paraId="394A5BA1" w14:textId="77777777" w:rsidR="006D2A9D" w:rsidRDefault="006D2A9D" w:rsidP="0093616B">
      <w:pPr>
        <w:spacing w:after="0" w:line="360" w:lineRule="auto"/>
        <w:jc w:val="both"/>
        <w:rPr>
          <w:rFonts w:ascii="Times New Roman" w:hAnsi="Times New Roman" w:cs="Times New Roman"/>
          <w:color w:val="000000" w:themeColor="text1"/>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2"/>
        <w:gridCol w:w="4508"/>
      </w:tblGrid>
      <w:tr w:rsidR="00A70DB1" w:rsidRPr="00EC03B5" w14:paraId="22C3E11C" w14:textId="77777777" w:rsidTr="0093616B">
        <w:tc>
          <w:tcPr>
            <w:tcW w:w="4562" w:type="dxa"/>
          </w:tcPr>
          <w:p w14:paraId="54DE571B" w14:textId="73930C53" w:rsidR="00A70DB1" w:rsidRPr="00F74DFC" w:rsidRDefault="00F74DFC" w:rsidP="00F74DFC">
            <w:pPr>
              <w:pStyle w:val="Caption"/>
              <w:jc w:val="center"/>
              <w:rPr>
                <w:rFonts w:ascii="Times New Roman" w:hAnsi="Times New Roman" w:cs="Times New Roman"/>
                <w:b/>
                <w:i w:val="0"/>
                <w:sz w:val="22"/>
                <w:szCs w:val="22"/>
              </w:rPr>
            </w:pPr>
            <w:bookmarkStart w:id="6" w:name="_Toc518399411"/>
            <w:r w:rsidRPr="00F74DFC">
              <w:rPr>
                <w:rFonts w:ascii="Times New Roman" w:hAnsi="Times New Roman" w:cs="Times New Roman"/>
                <w:b/>
                <w:i w:val="0"/>
                <w:color w:val="auto"/>
                <w:sz w:val="22"/>
                <w:szCs w:val="22"/>
              </w:rPr>
              <w:t xml:space="preserve">Gráfico </w:t>
            </w:r>
            <w:r w:rsidRPr="00F74DFC">
              <w:rPr>
                <w:rFonts w:ascii="Times New Roman" w:hAnsi="Times New Roman" w:cs="Times New Roman"/>
                <w:b/>
                <w:i w:val="0"/>
                <w:color w:val="auto"/>
                <w:sz w:val="22"/>
                <w:szCs w:val="22"/>
              </w:rPr>
              <w:fldChar w:fldCharType="begin"/>
            </w:r>
            <w:r w:rsidRPr="00F74DFC">
              <w:rPr>
                <w:rFonts w:ascii="Times New Roman" w:hAnsi="Times New Roman" w:cs="Times New Roman"/>
                <w:b/>
                <w:i w:val="0"/>
                <w:color w:val="auto"/>
                <w:sz w:val="22"/>
                <w:szCs w:val="22"/>
              </w:rPr>
              <w:instrText xml:space="preserve"> SEQ Gráfico \* ARABIC </w:instrText>
            </w:r>
            <w:r w:rsidRPr="00F74DFC">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4</w:t>
            </w:r>
            <w:r w:rsidRPr="00F74DFC">
              <w:rPr>
                <w:rFonts w:ascii="Times New Roman" w:hAnsi="Times New Roman" w:cs="Times New Roman"/>
                <w:b/>
                <w:i w:val="0"/>
                <w:color w:val="auto"/>
                <w:sz w:val="22"/>
                <w:szCs w:val="22"/>
              </w:rPr>
              <w:fldChar w:fldCharType="end"/>
            </w:r>
            <w:r w:rsidR="00A70DB1" w:rsidRPr="00F74DFC">
              <w:rPr>
                <w:rFonts w:ascii="Times New Roman" w:eastAsia="Times New Roman" w:hAnsi="Times New Roman" w:cs="Times New Roman"/>
                <w:b/>
                <w:i w:val="0"/>
                <w:color w:val="auto"/>
                <w:sz w:val="22"/>
                <w:szCs w:val="22"/>
              </w:rPr>
              <w:t>. Ingresos, gastos y resultado financiero del Gobierno Central (% PIB)</w:t>
            </w:r>
            <w:bookmarkEnd w:id="6"/>
          </w:p>
        </w:tc>
        <w:tc>
          <w:tcPr>
            <w:tcW w:w="4508" w:type="dxa"/>
          </w:tcPr>
          <w:p w14:paraId="70C077E1" w14:textId="37E85466" w:rsidR="00A70DB1" w:rsidRPr="00F74DFC" w:rsidRDefault="00F74DFC" w:rsidP="00F74DFC">
            <w:pPr>
              <w:pStyle w:val="Caption"/>
              <w:jc w:val="center"/>
              <w:rPr>
                <w:rFonts w:ascii="Times New Roman" w:hAnsi="Times New Roman" w:cs="Times New Roman"/>
                <w:b/>
                <w:i w:val="0"/>
                <w:color w:val="000000" w:themeColor="text1"/>
                <w:sz w:val="22"/>
                <w:szCs w:val="22"/>
              </w:rPr>
            </w:pPr>
            <w:bookmarkStart w:id="7" w:name="_Toc518399412"/>
            <w:r w:rsidRPr="00F74DFC">
              <w:rPr>
                <w:rFonts w:ascii="Times New Roman" w:hAnsi="Times New Roman" w:cs="Times New Roman"/>
                <w:b/>
                <w:i w:val="0"/>
                <w:color w:val="auto"/>
                <w:sz w:val="22"/>
                <w:szCs w:val="22"/>
              </w:rPr>
              <w:t xml:space="preserve">Gráfico </w:t>
            </w:r>
            <w:r w:rsidRPr="00F74DFC">
              <w:rPr>
                <w:rFonts w:ascii="Times New Roman" w:hAnsi="Times New Roman" w:cs="Times New Roman"/>
                <w:b/>
                <w:i w:val="0"/>
                <w:color w:val="auto"/>
                <w:sz w:val="22"/>
                <w:szCs w:val="22"/>
              </w:rPr>
              <w:fldChar w:fldCharType="begin"/>
            </w:r>
            <w:r w:rsidRPr="00F74DFC">
              <w:rPr>
                <w:rFonts w:ascii="Times New Roman" w:hAnsi="Times New Roman" w:cs="Times New Roman"/>
                <w:b/>
                <w:i w:val="0"/>
                <w:color w:val="auto"/>
                <w:sz w:val="22"/>
                <w:szCs w:val="22"/>
              </w:rPr>
              <w:instrText xml:space="preserve"> SEQ Gráfico \* ARABIC </w:instrText>
            </w:r>
            <w:r w:rsidRPr="00F74DFC">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5</w:t>
            </w:r>
            <w:r w:rsidRPr="00F74DFC">
              <w:rPr>
                <w:rFonts w:ascii="Times New Roman" w:hAnsi="Times New Roman" w:cs="Times New Roman"/>
                <w:b/>
                <w:i w:val="0"/>
                <w:color w:val="auto"/>
                <w:sz w:val="22"/>
                <w:szCs w:val="22"/>
              </w:rPr>
              <w:fldChar w:fldCharType="end"/>
            </w:r>
            <w:r w:rsidR="00A70DB1" w:rsidRPr="00F74DFC">
              <w:rPr>
                <w:rFonts w:ascii="Times New Roman" w:eastAsia="Times New Roman" w:hAnsi="Times New Roman" w:cs="Times New Roman"/>
                <w:b/>
                <w:i w:val="0"/>
                <w:color w:val="auto"/>
                <w:sz w:val="22"/>
                <w:szCs w:val="22"/>
              </w:rPr>
              <w:t xml:space="preserve">. </w:t>
            </w:r>
            <w:r w:rsidR="00A70DB1" w:rsidRPr="00F74DFC">
              <w:rPr>
                <w:rFonts w:ascii="Times New Roman" w:hAnsi="Times New Roman" w:cs="Times New Roman"/>
                <w:b/>
                <w:i w:val="0"/>
                <w:color w:val="auto"/>
                <w:sz w:val="22"/>
                <w:szCs w:val="22"/>
              </w:rPr>
              <w:t>Servicio intereses de la deuda y deuda Gobierno Central</w:t>
            </w:r>
            <w:bookmarkEnd w:id="7"/>
          </w:p>
        </w:tc>
      </w:tr>
      <w:tr w:rsidR="00A70DB1" w:rsidRPr="00EC03B5" w14:paraId="7FC41BF0" w14:textId="77777777" w:rsidTr="0093616B">
        <w:tc>
          <w:tcPr>
            <w:tcW w:w="4562" w:type="dxa"/>
          </w:tcPr>
          <w:p w14:paraId="4F9FB814" w14:textId="77777777" w:rsidR="00A70DB1" w:rsidRPr="00EC03B5" w:rsidRDefault="009F7565" w:rsidP="001A39CB">
            <w:pPr>
              <w:spacing w:line="360" w:lineRule="auto"/>
              <w:ind w:right="51"/>
              <w:jc w:val="both"/>
              <w:rPr>
                <w:rFonts w:ascii="Times New Roman" w:hAnsi="Times New Roman" w:cs="Times New Roman"/>
                <w:color w:val="000000" w:themeColor="text1"/>
                <w:sz w:val="22"/>
              </w:rPr>
            </w:pPr>
            <w:r>
              <w:rPr>
                <w:noProof/>
                <w:lang w:val="es-CR" w:eastAsia="es-CR"/>
              </w:rPr>
              <w:drawing>
                <wp:inline distT="0" distB="0" distL="0" distR="0" wp14:anchorId="02613E40" wp14:editId="679DE135">
                  <wp:extent cx="2880360" cy="2534652"/>
                  <wp:effectExtent l="0" t="0" r="0" b="0"/>
                  <wp:docPr id="2" name="Chart 2">
                    <a:extLst xmlns:a="http://schemas.openxmlformats.org/drawingml/2006/main">
                      <a:ext uri="{FF2B5EF4-FFF2-40B4-BE49-F238E27FC236}">
                        <a16:creationId xmlns:a16="http://schemas.microsoft.com/office/drawing/2014/main" id="{4715B00F-B691-4598-9FEF-D3DAB6F0F2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508" w:type="dxa"/>
          </w:tcPr>
          <w:p w14:paraId="3D65A6FD" w14:textId="77777777" w:rsidR="00A70DB1" w:rsidRPr="00EC03B5" w:rsidRDefault="00F60AA6" w:rsidP="00F74DFC">
            <w:pPr>
              <w:keepNext/>
              <w:spacing w:line="360" w:lineRule="auto"/>
              <w:ind w:right="51"/>
              <w:jc w:val="both"/>
              <w:rPr>
                <w:rFonts w:ascii="Times New Roman" w:hAnsi="Times New Roman" w:cs="Times New Roman"/>
                <w:color w:val="000000" w:themeColor="text1"/>
                <w:sz w:val="22"/>
              </w:rPr>
            </w:pPr>
            <w:r>
              <w:rPr>
                <w:noProof/>
                <w:lang w:val="es-CR" w:eastAsia="es-CR"/>
              </w:rPr>
              <w:drawing>
                <wp:inline distT="0" distB="0" distL="0" distR="0" wp14:anchorId="2ED5A4CB" wp14:editId="551FD7DC">
                  <wp:extent cx="2843530" cy="2716463"/>
                  <wp:effectExtent l="0" t="0" r="0" b="8255"/>
                  <wp:docPr id="9" name="Chart 9">
                    <a:extLst xmlns:a="http://schemas.openxmlformats.org/drawingml/2006/main">
                      <a:ext uri="{FF2B5EF4-FFF2-40B4-BE49-F238E27FC236}">
                        <a16:creationId xmlns:a16="http://schemas.microsoft.com/office/drawing/2014/main" id="{241BEEBB-5DAA-4B1F-B38A-02C40EC5D0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14:paraId="2170B2D6" w14:textId="77777777" w:rsidR="00AA16E0" w:rsidRDefault="00931B0D" w:rsidP="001A39CB">
      <w:pPr>
        <w:spacing w:after="0" w:line="360" w:lineRule="auto"/>
        <w:jc w:val="center"/>
        <w:rPr>
          <w:rFonts w:ascii="Times New Roman" w:hAnsi="Times New Roman" w:cs="Times New Roman"/>
          <w:color w:val="000000" w:themeColor="text1"/>
          <w:sz w:val="18"/>
          <w:szCs w:val="24"/>
        </w:rPr>
      </w:pPr>
      <w:r w:rsidRPr="00EC03B5">
        <w:rPr>
          <w:rFonts w:ascii="Times New Roman" w:hAnsi="Times New Roman" w:cs="Times New Roman"/>
          <w:color w:val="000000" w:themeColor="text1"/>
          <w:sz w:val="18"/>
          <w:szCs w:val="24"/>
        </w:rPr>
        <w:t>Fuente: Ministerio de Hacienda</w:t>
      </w:r>
      <w:r w:rsidR="007A6DB4" w:rsidRPr="00EC03B5">
        <w:rPr>
          <w:rFonts w:ascii="Times New Roman" w:hAnsi="Times New Roman" w:cs="Times New Roman"/>
          <w:color w:val="000000" w:themeColor="text1"/>
          <w:sz w:val="18"/>
          <w:szCs w:val="24"/>
        </w:rPr>
        <w:t>.</w:t>
      </w:r>
    </w:p>
    <w:p w14:paraId="7B897DE7" w14:textId="77777777" w:rsidR="009C306A" w:rsidRDefault="00DD5F71" w:rsidP="00C81724">
      <w:pPr>
        <w:pStyle w:val="Estilo4"/>
        <w:numPr>
          <w:ilvl w:val="0"/>
          <w:numId w:val="0"/>
        </w:numPr>
        <w:tabs>
          <w:tab w:val="left" w:pos="0"/>
        </w:tabs>
        <w:spacing w:line="360" w:lineRule="auto"/>
        <w:contextualSpacing w:val="0"/>
        <w:rPr>
          <w:sz w:val="22"/>
        </w:rPr>
      </w:pPr>
      <w:r w:rsidRPr="00F147AB">
        <w:rPr>
          <w:b/>
          <w:sz w:val="22"/>
        </w:rPr>
        <w:t xml:space="preserve">Es importante subrayar que el grave empeoramiento de la situación fiscal no ha sido producto de una </w:t>
      </w:r>
      <w:r w:rsidR="00AF5C65" w:rsidRPr="00F147AB">
        <w:rPr>
          <w:b/>
          <w:sz w:val="22"/>
        </w:rPr>
        <w:t>baja</w:t>
      </w:r>
      <w:r w:rsidRPr="00F147AB">
        <w:rPr>
          <w:b/>
          <w:sz w:val="22"/>
        </w:rPr>
        <w:t xml:space="preserve"> </w:t>
      </w:r>
      <w:r w:rsidR="00AF5C65" w:rsidRPr="00F147AB">
        <w:rPr>
          <w:b/>
          <w:sz w:val="22"/>
        </w:rPr>
        <w:t>en</w:t>
      </w:r>
      <w:r w:rsidRPr="00F147AB">
        <w:rPr>
          <w:b/>
          <w:sz w:val="22"/>
        </w:rPr>
        <w:t xml:space="preserve"> la actividad productiva</w:t>
      </w:r>
      <w:r w:rsidRPr="00EC03B5">
        <w:rPr>
          <w:sz w:val="22"/>
        </w:rPr>
        <w:t>, ya que ésta se recuperó rápidamente de la caída de 2009</w:t>
      </w:r>
      <w:r w:rsidR="005D1A7B">
        <w:rPr>
          <w:sz w:val="22"/>
        </w:rPr>
        <w:t>.</w:t>
      </w:r>
      <w:r w:rsidR="002F70FC" w:rsidRPr="00EC03B5">
        <w:rPr>
          <w:sz w:val="22"/>
        </w:rPr>
        <w:t xml:space="preserve"> </w:t>
      </w:r>
      <w:r w:rsidR="00E83CB4">
        <w:rPr>
          <w:sz w:val="22"/>
        </w:rPr>
        <w:t>E</w:t>
      </w:r>
      <w:r w:rsidR="001A1D69">
        <w:rPr>
          <w:sz w:val="22"/>
        </w:rPr>
        <w:t xml:space="preserve">l promedio de crecimiento de Costa Rica en los últimos ocho años ha sido de </w:t>
      </w:r>
      <w:r w:rsidR="0078005E" w:rsidRPr="0078005E">
        <w:rPr>
          <w:sz w:val="22"/>
        </w:rPr>
        <w:t>4,1</w:t>
      </w:r>
      <w:r w:rsidR="001A1D69" w:rsidRPr="0078005E">
        <w:rPr>
          <w:sz w:val="22"/>
        </w:rPr>
        <w:t>%</w:t>
      </w:r>
      <w:r w:rsidR="001A1D69">
        <w:rPr>
          <w:sz w:val="22"/>
        </w:rPr>
        <w:t>, por encima del promedio de América Latina</w:t>
      </w:r>
      <w:r w:rsidR="00CF44F3">
        <w:rPr>
          <w:sz w:val="22"/>
        </w:rPr>
        <w:t xml:space="preserve"> (2,3%</w:t>
      </w:r>
      <w:r w:rsidR="00CF44F3">
        <w:rPr>
          <w:rStyle w:val="FootnoteReference"/>
          <w:sz w:val="22"/>
        </w:rPr>
        <w:footnoteReference w:id="10"/>
      </w:r>
      <w:r w:rsidR="00CF44F3">
        <w:rPr>
          <w:sz w:val="22"/>
        </w:rPr>
        <w:t>)</w:t>
      </w:r>
      <w:r w:rsidR="001A1D69">
        <w:rPr>
          <w:sz w:val="22"/>
        </w:rPr>
        <w:t>. Para 2018 l</w:t>
      </w:r>
      <w:r w:rsidR="006850E2">
        <w:rPr>
          <w:sz w:val="22"/>
        </w:rPr>
        <w:t>a perspectiva de crecimiento de</w:t>
      </w:r>
      <w:r w:rsidR="001A1D69">
        <w:rPr>
          <w:sz w:val="22"/>
        </w:rPr>
        <w:t>l Banc</w:t>
      </w:r>
      <w:r w:rsidR="006850E2">
        <w:rPr>
          <w:sz w:val="22"/>
        </w:rPr>
        <w:t xml:space="preserve">o Central de Costa Rica (BCCR) es de </w:t>
      </w:r>
      <w:r w:rsidR="004B1834">
        <w:rPr>
          <w:sz w:val="22"/>
        </w:rPr>
        <w:t>3,6</w:t>
      </w:r>
      <w:r w:rsidR="006850E2">
        <w:rPr>
          <w:sz w:val="22"/>
        </w:rPr>
        <w:t xml:space="preserve">% que, si bien se encuentra por debajo del promedio de los últimos años, </w:t>
      </w:r>
      <w:r w:rsidR="007F5DB5">
        <w:rPr>
          <w:sz w:val="22"/>
        </w:rPr>
        <w:t>puede considerarse elevada</w:t>
      </w:r>
      <w:r w:rsidR="006850E2">
        <w:rPr>
          <w:sz w:val="22"/>
        </w:rPr>
        <w:t xml:space="preserve">. </w:t>
      </w:r>
    </w:p>
    <w:p w14:paraId="64AFEFAA" w14:textId="5E10DDA6" w:rsidR="00DD5F71" w:rsidRPr="007364D6" w:rsidRDefault="007364D6" w:rsidP="007364D6">
      <w:pPr>
        <w:pStyle w:val="Caption"/>
        <w:spacing w:after="0"/>
        <w:jc w:val="center"/>
        <w:rPr>
          <w:rFonts w:ascii="Times New Roman" w:hAnsi="Times New Roman" w:cs="Times New Roman"/>
          <w:b/>
          <w:i w:val="0"/>
          <w:color w:val="auto"/>
          <w:sz w:val="22"/>
          <w:szCs w:val="22"/>
        </w:rPr>
      </w:pPr>
      <w:bookmarkStart w:id="8" w:name="_Toc518399413"/>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6</w:t>
      </w:r>
      <w:r w:rsidRPr="007364D6">
        <w:rPr>
          <w:rFonts w:ascii="Times New Roman" w:hAnsi="Times New Roman" w:cs="Times New Roman"/>
          <w:b/>
          <w:i w:val="0"/>
          <w:color w:val="auto"/>
          <w:sz w:val="22"/>
          <w:szCs w:val="22"/>
        </w:rPr>
        <w:fldChar w:fldCharType="end"/>
      </w:r>
      <w:r w:rsidR="002F70FC" w:rsidRPr="007364D6">
        <w:rPr>
          <w:rFonts w:ascii="Times New Roman" w:hAnsi="Times New Roman" w:cs="Times New Roman"/>
          <w:b/>
          <w:i w:val="0"/>
          <w:color w:val="auto"/>
          <w:sz w:val="22"/>
          <w:szCs w:val="22"/>
        </w:rPr>
        <w:t xml:space="preserve">. </w:t>
      </w:r>
      <w:r w:rsidR="00DD5F71" w:rsidRPr="007364D6">
        <w:rPr>
          <w:rFonts w:ascii="Times New Roman" w:hAnsi="Times New Roman" w:cs="Times New Roman"/>
          <w:b/>
          <w:i w:val="0"/>
          <w:color w:val="auto"/>
          <w:sz w:val="22"/>
          <w:szCs w:val="22"/>
        </w:rPr>
        <w:t>Resultado financiero del Gobierno Central (% PIB) y crecimiento del PIB</w:t>
      </w:r>
      <w:bookmarkEnd w:id="8"/>
    </w:p>
    <w:p w14:paraId="4C8A4A90" w14:textId="77777777" w:rsidR="00DD5F71" w:rsidRPr="00EC03B5" w:rsidRDefault="00666760" w:rsidP="001A39CB">
      <w:pPr>
        <w:spacing w:after="0" w:line="360" w:lineRule="auto"/>
        <w:jc w:val="center"/>
        <w:rPr>
          <w:rFonts w:ascii="Times New Roman" w:hAnsi="Times New Roman" w:cs="Times New Roman"/>
          <w:szCs w:val="24"/>
        </w:rPr>
      </w:pPr>
      <w:r>
        <w:rPr>
          <w:noProof/>
          <w:lang w:val="es-CR" w:eastAsia="es-CR"/>
        </w:rPr>
        <w:drawing>
          <wp:inline distT="0" distB="0" distL="0" distR="0" wp14:anchorId="41A90424" wp14:editId="0C109E2A">
            <wp:extent cx="4057650" cy="2213810"/>
            <wp:effectExtent l="0" t="0" r="0" b="0"/>
            <wp:docPr id="3" name="Chart 3">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05B4F2D" w14:textId="77777777" w:rsidR="00DD5F71" w:rsidRDefault="00DD5F71" w:rsidP="001A39CB">
      <w:pPr>
        <w:spacing w:line="360" w:lineRule="auto"/>
        <w:jc w:val="center"/>
        <w:rPr>
          <w:rFonts w:ascii="Times New Roman" w:hAnsi="Times New Roman" w:cs="Times New Roman"/>
          <w:color w:val="000000" w:themeColor="text1"/>
          <w:sz w:val="18"/>
          <w:szCs w:val="24"/>
        </w:rPr>
      </w:pPr>
      <w:r w:rsidRPr="00EC03B5">
        <w:rPr>
          <w:rFonts w:ascii="Times New Roman" w:hAnsi="Times New Roman" w:cs="Times New Roman"/>
          <w:color w:val="000000" w:themeColor="text1"/>
          <w:sz w:val="18"/>
          <w:szCs w:val="24"/>
        </w:rPr>
        <w:t>Fuente: Ministerio de Hacienda y B</w:t>
      </w:r>
      <w:r w:rsidR="007A6DB4" w:rsidRPr="00EC03B5">
        <w:rPr>
          <w:rFonts w:ascii="Times New Roman" w:hAnsi="Times New Roman" w:cs="Times New Roman"/>
          <w:color w:val="000000" w:themeColor="text1"/>
          <w:sz w:val="18"/>
          <w:szCs w:val="24"/>
        </w:rPr>
        <w:t>anco Central de Costa Rica.</w:t>
      </w:r>
    </w:p>
    <w:p w14:paraId="79F95B85" w14:textId="77777777" w:rsidR="00CB1019" w:rsidRPr="00C81724" w:rsidRDefault="00964671" w:rsidP="00C81724">
      <w:pPr>
        <w:spacing w:line="360" w:lineRule="auto"/>
        <w:jc w:val="both"/>
        <w:rPr>
          <w:rFonts w:ascii="Times New Roman" w:hAnsi="Times New Roman" w:cs="Times New Roman"/>
          <w:szCs w:val="24"/>
        </w:rPr>
      </w:pPr>
      <w:r w:rsidRPr="00C81724">
        <w:rPr>
          <w:rFonts w:ascii="Times New Roman" w:hAnsi="Times New Roman" w:cs="Times New Roman"/>
          <w:b/>
          <w:szCs w:val="24"/>
        </w:rPr>
        <w:lastRenderedPageBreak/>
        <w:t xml:space="preserve">Los problemas económicos podrían ser más </w:t>
      </w:r>
      <w:r w:rsidR="00C84CE1">
        <w:rPr>
          <w:rFonts w:ascii="Times New Roman" w:hAnsi="Times New Roman" w:cs="Times New Roman"/>
          <w:b/>
          <w:szCs w:val="24"/>
        </w:rPr>
        <w:t>severos</w:t>
      </w:r>
      <w:r w:rsidRPr="00C81724">
        <w:rPr>
          <w:rFonts w:ascii="Times New Roman" w:hAnsi="Times New Roman" w:cs="Times New Roman"/>
          <w:b/>
          <w:szCs w:val="24"/>
        </w:rPr>
        <w:t xml:space="preserve"> si </w:t>
      </w:r>
      <w:r w:rsidR="00C84CE1">
        <w:rPr>
          <w:rFonts w:ascii="Times New Roman" w:hAnsi="Times New Roman" w:cs="Times New Roman"/>
          <w:b/>
          <w:szCs w:val="24"/>
        </w:rPr>
        <w:t xml:space="preserve">empeora </w:t>
      </w:r>
      <w:r w:rsidR="000B1719">
        <w:rPr>
          <w:rFonts w:ascii="Times New Roman" w:hAnsi="Times New Roman" w:cs="Times New Roman"/>
          <w:b/>
          <w:szCs w:val="24"/>
        </w:rPr>
        <w:t xml:space="preserve">el déficit en cuenta corriente (déficits gemelos). </w:t>
      </w:r>
      <w:r w:rsidR="00EF4F4C">
        <w:rPr>
          <w:rFonts w:ascii="Times New Roman" w:hAnsi="Times New Roman" w:cs="Times New Roman"/>
          <w:szCs w:val="24"/>
        </w:rPr>
        <w:t xml:space="preserve">Si </w:t>
      </w:r>
      <w:r w:rsidR="000646FE">
        <w:rPr>
          <w:rFonts w:ascii="Times New Roman" w:hAnsi="Times New Roman" w:cs="Times New Roman"/>
          <w:szCs w:val="24"/>
        </w:rPr>
        <w:t xml:space="preserve">Costa Rica empieza a experimentar alzas en las tasas de interés por aumento de las necesidades </w:t>
      </w:r>
      <w:r w:rsidR="00A33EA5">
        <w:rPr>
          <w:rFonts w:ascii="Times New Roman" w:hAnsi="Times New Roman" w:cs="Times New Roman"/>
          <w:szCs w:val="24"/>
        </w:rPr>
        <w:t>de financiamiento del Gobierno Central</w:t>
      </w:r>
      <w:r w:rsidR="007D371A">
        <w:rPr>
          <w:rFonts w:ascii="Times New Roman" w:hAnsi="Times New Roman" w:cs="Times New Roman"/>
          <w:szCs w:val="24"/>
        </w:rPr>
        <w:t>,</w:t>
      </w:r>
      <w:r w:rsidR="002D214C">
        <w:rPr>
          <w:rFonts w:ascii="Times New Roman" w:hAnsi="Times New Roman" w:cs="Times New Roman"/>
          <w:szCs w:val="24"/>
        </w:rPr>
        <w:t xml:space="preserve"> </w:t>
      </w:r>
      <w:r w:rsidR="007D371A">
        <w:rPr>
          <w:rFonts w:ascii="Times New Roman" w:hAnsi="Times New Roman" w:cs="Times New Roman"/>
          <w:szCs w:val="24"/>
        </w:rPr>
        <w:t>e</w:t>
      </w:r>
      <w:r w:rsidR="002D214C">
        <w:rPr>
          <w:rFonts w:ascii="Times New Roman" w:hAnsi="Times New Roman" w:cs="Times New Roman"/>
          <w:szCs w:val="24"/>
        </w:rPr>
        <w:t xml:space="preserve">ste aumento de tasas </w:t>
      </w:r>
      <w:r w:rsidR="007D371A">
        <w:rPr>
          <w:rFonts w:ascii="Times New Roman" w:hAnsi="Times New Roman" w:cs="Times New Roman"/>
          <w:szCs w:val="24"/>
        </w:rPr>
        <w:t>podría</w:t>
      </w:r>
      <w:r w:rsidR="002D214C">
        <w:rPr>
          <w:rFonts w:ascii="Times New Roman" w:hAnsi="Times New Roman" w:cs="Times New Roman"/>
          <w:szCs w:val="24"/>
        </w:rPr>
        <w:t xml:space="preserve"> atraer inversiones extranjeras y apreciar el tipo de cambio, con un </w:t>
      </w:r>
      <w:r w:rsidR="00BB4095">
        <w:rPr>
          <w:rFonts w:ascii="Times New Roman" w:hAnsi="Times New Roman" w:cs="Times New Roman"/>
          <w:szCs w:val="24"/>
        </w:rPr>
        <w:t xml:space="preserve">deterioro de los términos de intercambio y </w:t>
      </w:r>
      <w:r w:rsidR="007D371A">
        <w:rPr>
          <w:rFonts w:ascii="Times New Roman" w:hAnsi="Times New Roman" w:cs="Times New Roman"/>
          <w:szCs w:val="24"/>
        </w:rPr>
        <w:t>empeorar</w:t>
      </w:r>
      <w:r w:rsidR="00367319">
        <w:rPr>
          <w:rFonts w:ascii="Times New Roman" w:hAnsi="Times New Roman" w:cs="Times New Roman"/>
          <w:szCs w:val="24"/>
        </w:rPr>
        <w:t xml:space="preserve"> el déficit de cuenta corriente. Por el momento, Costa Rica financia casi el 100% de su déficit con</w:t>
      </w:r>
      <w:r w:rsidR="00EC18EB">
        <w:rPr>
          <w:rFonts w:ascii="Times New Roman" w:hAnsi="Times New Roman" w:cs="Times New Roman"/>
          <w:szCs w:val="24"/>
        </w:rPr>
        <w:t xml:space="preserve"> una </w:t>
      </w:r>
      <w:r w:rsidR="001520D0">
        <w:rPr>
          <w:rFonts w:ascii="Times New Roman" w:hAnsi="Times New Roman" w:cs="Times New Roman"/>
          <w:szCs w:val="24"/>
        </w:rPr>
        <w:t>material y relat</w:t>
      </w:r>
      <w:r w:rsidR="00EC18EB">
        <w:rPr>
          <w:rFonts w:ascii="Times New Roman" w:hAnsi="Times New Roman" w:cs="Times New Roman"/>
          <w:szCs w:val="24"/>
        </w:rPr>
        <w:t xml:space="preserve">ivamente </w:t>
      </w:r>
      <w:r w:rsidR="001520D0">
        <w:rPr>
          <w:rFonts w:ascii="Times New Roman" w:hAnsi="Times New Roman" w:cs="Times New Roman"/>
          <w:szCs w:val="24"/>
        </w:rPr>
        <w:t>estable</w:t>
      </w:r>
      <w:r w:rsidR="00367319">
        <w:rPr>
          <w:rFonts w:ascii="Times New Roman" w:hAnsi="Times New Roman" w:cs="Times New Roman"/>
          <w:szCs w:val="24"/>
        </w:rPr>
        <w:t xml:space="preserve"> </w:t>
      </w:r>
      <w:r w:rsidR="00B4701E">
        <w:rPr>
          <w:rFonts w:ascii="Times New Roman" w:hAnsi="Times New Roman" w:cs="Times New Roman"/>
          <w:szCs w:val="24"/>
        </w:rPr>
        <w:t>I</w:t>
      </w:r>
      <w:r w:rsidR="00367319">
        <w:rPr>
          <w:rFonts w:ascii="Times New Roman" w:hAnsi="Times New Roman" w:cs="Times New Roman"/>
          <w:szCs w:val="24"/>
        </w:rPr>
        <w:t xml:space="preserve">nversión </w:t>
      </w:r>
      <w:r w:rsidR="00B4701E">
        <w:rPr>
          <w:rFonts w:ascii="Times New Roman" w:hAnsi="Times New Roman" w:cs="Times New Roman"/>
          <w:szCs w:val="24"/>
        </w:rPr>
        <w:t>E</w:t>
      </w:r>
      <w:r w:rsidR="00367319">
        <w:rPr>
          <w:rFonts w:ascii="Times New Roman" w:hAnsi="Times New Roman" w:cs="Times New Roman"/>
          <w:szCs w:val="24"/>
        </w:rPr>
        <w:t xml:space="preserve">xtranjera </w:t>
      </w:r>
      <w:r w:rsidR="00B4701E">
        <w:rPr>
          <w:rFonts w:ascii="Times New Roman" w:hAnsi="Times New Roman" w:cs="Times New Roman"/>
          <w:szCs w:val="24"/>
        </w:rPr>
        <w:t>Directa (IED)</w:t>
      </w:r>
      <w:r w:rsidR="007D371A">
        <w:rPr>
          <w:rFonts w:ascii="Times New Roman" w:hAnsi="Times New Roman" w:cs="Times New Roman"/>
          <w:szCs w:val="24"/>
        </w:rPr>
        <w:t>.</w:t>
      </w:r>
      <w:r w:rsidR="00B4701E">
        <w:rPr>
          <w:rFonts w:ascii="Times New Roman" w:hAnsi="Times New Roman" w:cs="Times New Roman"/>
          <w:szCs w:val="24"/>
        </w:rPr>
        <w:t xml:space="preserve"> </w:t>
      </w:r>
      <w:r w:rsidR="007D371A">
        <w:rPr>
          <w:rFonts w:ascii="Times New Roman" w:hAnsi="Times New Roman" w:cs="Times New Roman"/>
          <w:szCs w:val="24"/>
        </w:rPr>
        <w:t>S</w:t>
      </w:r>
      <w:r w:rsidR="00B4701E">
        <w:rPr>
          <w:rFonts w:ascii="Times New Roman" w:hAnsi="Times New Roman" w:cs="Times New Roman"/>
          <w:szCs w:val="24"/>
        </w:rPr>
        <w:t>in embargo, estos flujos se podrían revertir producto de la reforma fiscal llevada a cabo por la administración Trump.</w:t>
      </w:r>
      <w:r w:rsidR="00A945DE" w:rsidRPr="00A945DE">
        <w:rPr>
          <w:rFonts w:ascii="Times New Roman" w:hAnsi="Times New Roman" w:cs="Times New Roman"/>
          <w:szCs w:val="24"/>
        </w:rPr>
        <w:t xml:space="preserve"> Los efectos en los flujos de IED de esta reforma aún se están discutiendo, pero el riesgo en la economía de estos efectos se debe minimizar atendiendo pronto los problemas fiscales</w:t>
      </w:r>
      <w:r w:rsidR="00A945DE">
        <w:rPr>
          <w:rFonts w:ascii="Times New Roman" w:hAnsi="Times New Roman" w:cs="Times New Roman"/>
          <w:szCs w:val="24"/>
        </w:rPr>
        <w:t>.</w:t>
      </w:r>
      <w:r w:rsidR="008F0F4E">
        <w:rPr>
          <w:rFonts w:ascii="Times New Roman" w:hAnsi="Times New Roman" w:cs="Times New Roman"/>
          <w:szCs w:val="24"/>
        </w:rPr>
        <w:t xml:space="preserve"> En definitiva, un </w:t>
      </w:r>
      <w:r w:rsidR="008F0F4E" w:rsidRPr="00993DF9">
        <w:rPr>
          <w:rFonts w:ascii="Times New Roman" w:hAnsi="Times New Roman" w:cs="Times New Roman"/>
          <w:i/>
          <w:szCs w:val="24"/>
        </w:rPr>
        <w:t>crowd out</w:t>
      </w:r>
      <w:r w:rsidR="008F0F4E">
        <w:rPr>
          <w:rFonts w:ascii="Times New Roman" w:hAnsi="Times New Roman" w:cs="Times New Roman"/>
          <w:szCs w:val="24"/>
        </w:rPr>
        <w:t xml:space="preserve"> de crédito al sector privado para financiarse, en especial la inversión</w:t>
      </w:r>
      <w:r w:rsidR="00A4369C">
        <w:rPr>
          <w:rFonts w:ascii="Times New Roman" w:hAnsi="Times New Roman" w:cs="Times New Roman"/>
          <w:szCs w:val="24"/>
        </w:rPr>
        <w:t>, y a tasas mas altas y un posible efecto cambiario pueden generar una crisis.</w:t>
      </w:r>
    </w:p>
    <w:p w14:paraId="6E38E5FD" w14:textId="54A19DC4" w:rsidR="00D51644" w:rsidRPr="007364D6" w:rsidRDefault="007364D6" w:rsidP="007364D6">
      <w:pPr>
        <w:pStyle w:val="Caption"/>
        <w:spacing w:after="0"/>
        <w:jc w:val="center"/>
        <w:rPr>
          <w:rFonts w:ascii="Times New Roman" w:hAnsi="Times New Roman" w:cs="Times New Roman"/>
          <w:b/>
          <w:i w:val="0"/>
          <w:color w:val="auto"/>
          <w:sz w:val="22"/>
          <w:szCs w:val="22"/>
        </w:rPr>
      </w:pPr>
      <w:bookmarkStart w:id="9" w:name="_Toc518399414"/>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7</w:t>
      </w:r>
      <w:r w:rsidRPr="007364D6">
        <w:rPr>
          <w:rFonts w:ascii="Times New Roman" w:hAnsi="Times New Roman" w:cs="Times New Roman"/>
          <w:b/>
          <w:i w:val="0"/>
          <w:color w:val="auto"/>
          <w:sz w:val="22"/>
          <w:szCs w:val="22"/>
        </w:rPr>
        <w:fldChar w:fldCharType="end"/>
      </w:r>
      <w:r w:rsidR="00D51644" w:rsidRPr="007364D6">
        <w:rPr>
          <w:rFonts w:ascii="Times New Roman" w:hAnsi="Times New Roman" w:cs="Times New Roman"/>
          <w:b/>
          <w:i w:val="0"/>
          <w:color w:val="auto"/>
          <w:sz w:val="22"/>
          <w:szCs w:val="22"/>
        </w:rPr>
        <w:t xml:space="preserve">. </w:t>
      </w:r>
      <w:r w:rsidR="00FF075B" w:rsidRPr="007364D6">
        <w:rPr>
          <w:rFonts w:ascii="Times New Roman" w:hAnsi="Times New Roman" w:cs="Times New Roman"/>
          <w:b/>
          <w:i w:val="0"/>
          <w:color w:val="auto"/>
          <w:sz w:val="22"/>
          <w:szCs w:val="22"/>
        </w:rPr>
        <w:t>Déficit Fiscal</w:t>
      </w:r>
      <w:r w:rsidR="00A33EA5" w:rsidRPr="007364D6">
        <w:rPr>
          <w:rFonts w:ascii="Times New Roman" w:hAnsi="Times New Roman" w:cs="Times New Roman"/>
          <w:b/>
          <w:i w:val="0"/>
          <w:color w:val="auto"/>
          <w:sz w:val="22"/>
          <w:szCs w:val="22"/>
        </w:rPr>
        <w:t xml:space="preserve"> del Gobierno Central</w:t>
      </w:r>
      <w:r w:rsidR="00FF075B" w:rsidRPr="007364D6">
        <w:rPr>
          <w:rFonts w:ascii="Times New Roman" w:hAnsi="Times New Roman" w:cs="Times New Roman"/>
          <w:b/>
          <w:i w:val="0"/>
          <w:color w:val="auto"/>
          <w:sz w:val="22"/>
          <w:szCs w:val="22"/>
        </w:rPr>
        <w:t>, Déficit de Cuenta Corriente</w:t>
      </w:r>
      <w:r w:rsidR="00D51644" w:rsidRPr="007364D6">
        <w:rPr>
          <w:rFonts w:ascii="Times New Roman" w:hAnsi="Times New Roman" w:cs="Times New Roman"/>
          <w:b/>
          <w:i w:val="0"/>
          <w:color w:val="auto"/>
          <w:sz w:val="22"/>
          <w:szCs w:val="22"/>
        </w:rPr>
        <w:t xml:space="preserve"> (% PIB) y crecimiento del PIB</w:t>
      </w:r>
      <w:r w:rsidR="00E74D5E" w:rsidRPr="007364D6">
        <w:rPr>
          <w:rFonts w:ascii="Times New Roman" w:hAnsi="Times New Roman" w:cs="Times New Roman"/>
          <w:b/>
          <w:i w:val="0"/>
          <w:color w:val="auto"/>
          <w:sz w:val="22"/>
          <w:szCs w:val="22"/>
        </w:rPr>
        <w:t>, 2006-2017</w:t>
      </w:r>
      <w:bookmarkEnd w:id="9"/>
    </w:p>
    <w:p w14:paraId="17DC11AD" w14:textId="77777777" w:rsidR="00D51644" w:rsidRDefault="00D51644" w:rsidP="00C81724">
      <w:pPr>
        <w:spacing w:after="0" w:line="240" w:lineRule="auto"/>
        <w:jc w:val="center"/>
        <w:rPr>
          <w:rFonts w:ascii="Times New Roman" w:hAnsi="Times New Roman" w:cs="Times New Roman"/>
          <w:szCs w:val="24"/>
        </w:rPr>
      </w:pPr>
      <w:r>
        <w:rPr>
          <w:noProof/>
          <w:lang w:val="es-CR" w:eastAsia="es-CR"/>
        </w:rPr>
        <w:drawing>
          <wp:inline distT="0" distB="0" distL="0" distR="0" wp14:anchorId="749076DD" wp14:editId="652CF2AB">
            <wp:extent cx="3456709" cy="1974273"/>
            <wp:effectExtent l="0" t="0" r="0" b="0"/>
            <wp:docPr id="7" name="Chart 7">
              <a:extLst xmlns:a="http://schemas.openxmlformats.org/drawingml/2006/main">
                <a:ext uri="{FF2B5EF4-FFF2-40B4-BE49-F238E27FC236}">
                  <a16:creationId xmlns:a16="http://schemas.microsoft.com/office/drawing/2014/main" id="{F8FD457A-D65A-4799-984E-1C9E64A696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709EC993" w14:textId="77777777" w:rsidR="00D51644" w:rsidRDefault="00D51644" w:rsidP="00A945DE">
      <w:pPr>
        <w:spacing w:line="360" w:lineRule="auto"/>
        <w:jc w:val="center"/>
        <w:rPr>
          <w:rFonts w:ascii="Times New Roman" w:hAnsi="Times New Roman" w:cs="Times New Roman"/>
          <w:color w:val="000000" w:themeColor="text1"/>
          <w:sz w:val="18"/>
          <w:szCs w:val="24"/>
        </w:rPr>
      </w:pPr>
      <w:r w:rsidRPr="00C81724">
        <w:rPr>
          <w:rFonts w:ascii="Times New Roman" w:hAnsi="Times New Roman" w:cs="Times New Roman"/>
          <w:color w:val="000000" w:themeColor="text1"/>
          <w:sz w:val="18"/>
          <w:szCs w:val="24"/>
        </w:rPr>
        <w:t>Fuente: Banco Central de Costa Rica (BCCR).</w:t>
      </w:r>
    </w:p>
    <w:p w14:paraId="16A8014B" w14:textId="77777777" w:rsidR="00FA66BD" w:rsidRPr="0025115D" w:rsidRDefault="0025115D" w:rsidP="003A3FB0">
      <w:pPr>
        <w:spacing w:line="360" w:lineRule="auto"/>
        <w:jc w:val="both"/>
        <w:rPr>
          <w:rFonts w:ascii="Times New Roman" w:hAnsi="Times New Roman" w:cs="Times New Roman"/>
          <w:szCs w:val="24"/>
        </w:rPr>
      </w:pPr>
      <w:r w:rsidRPr="0025115D">
        <w:rPr>
          <w:rFonts w:ascii="Times New Roman" w:hAnsi="Times New Roman" w:cs="Times New Roman"/>
          <w:szCs w:val="24"/>
        </w:rPr>
        <w:t xml:space="preserve">Como luce en el gráfico </w:t>
      </w:r>
      <w:r w:rsidR="00CC3553">
        <w:rPr>
          <w:rFonts w:ascii="Times New Roman" w:hAnsi="Times New Roman" w:cs="Times New Roman"/>
          <w:szCs w:val="24"/>
        </w:rPr>
        <w:t>8</w:t>
      </w:r>
      <w:r w:rsidRPr="0025115D">
        <w:rPr>
          <w:rFonts w:ascii="Times New Roman" w:hAnsi="Times New Roman" w:cs="Times New Roman"/>
          <w:szCs w:val="24"/>
        </w:rPr>
        <w:t>, el sector público se ha convertido en un des</w:t>
      </w:r>
      <w:r w:rsidR="00853B62">
        <w:rPr>
          <w:rFonts w:ascii="Times New Roman" w:hAnsi="Times New Roman" w:cs="Times New Roman"/>
          <w:szCs w:val="24"/>
        </w:rPr>
        <w:t>-</w:t>
      </w:r>
      <w:r w:rsidRPr="0025115D">
        <w:rPr>
          <w:rFonts w:ascii="Times New Roman" w:hAnsi="Times New Roman" w:cs="Times New Roman"/>
          <w:szCs w:val="24"/>
        </w:rPr>
        <w:t>ahorrador de la econ</w:t>
      </w:r>
      <w:r w:rsidR="00853B62">
        <w:rPr>
          <w:rFonts w:ascii="Times New Roman" w:hAnsi="Times New Roman" w:cs="Times New Roman"/>
          <w:szCs w:val="24"/>
        </w:rPr>
        <w:t>o</w:t>
      </w:r>
      <w:r w:rsidRPr="0025115D">
        <w:rPr>
          <w:rFonts w:ascii="Times New Roman" w:hAnsi="Times New Roman" w:cs="Times New Roman"/>
          <w:szCs w:val="24"/>
        </w:rPr>
        <w:t>m</w:t>
      </w:r>
      <w:r w:rsidR="00853B62">
        <w:rPr>
          <w:rFonts w:ascii="Times New Roman" w:hAnsi="Times New Roman" w:cs="Times New Roman"/>
          <w:szCs w:val="24"/>
        </w:rPr>
        <w:t>í</w:t>
      </w:r>
      <w:r w:rsidRPr="0025115D">
        <w:rPr>
          <w:rFonts w:ascii="Times New Roman" w:hAnsi="Times New Roman" w:cs="Times New Roman"/>
          <w:szCs w:val="24"/>
        </w:rPr>
        <w:t>a costarricense y esto pone una fuerte presión en la captación de ahorro nacional que desplaza a la inversión privada doméstica ya que el déficit comercial se financia en buena parte con inversión extranjera directa y la deuda externa</w:t>
      </w:r>
      <w:r>
        <w:rPr>
          <w:rFonts w:ascii="Times New Roman" w:hAnsi="Times New Roman" w:cs="Times New Roman"/>
          <w:szCs w:val="24"/>
        </w:rPr>
        <w:t>, por los bonos del gobierno,</w:t>
      </w:r>
      <w:r w:rsidRPr="0025115D">
        <w:rPr>
          <w:rFonts w:ascii="Times New Roman" w:hAnsi="Times New Roman" w:cs="Times New Roman"/>
          <w:szCs w:val="24"/>
        </w:rPr>
        <w:t xml:space="preserve"> </w:t>
      </w:r>
      <w:r>
        <w:rPr>
          <w:rFonts w:ascii="Times New Roman" w:hAnsi="Times New Roman" w:cs="Times New Roman"/>
          <w:szCs w:val="24"/>
        </w:rPr>
        <w:t xml:space="preserve">también </w:t>
      </w:r>
      <w:r w:rsidR="00CC3553" w:rsidRPr="0025115D">
        <w:rPr>
          <w:rFonts w:ascii="Times New Roman" w:hAnsi="Times New Roman" w:cs="Times New Roman"/>
          <w:szCs w:val="24"/>
        </w:rPr>
        <w:t>crece,</w:t>
      </w:r>
      <w:r w:rsidRPr="0025115D">
        <w:rPr>
          <w:rFonts w:ascii="Times New Roman" w:hAnsi="Times New Roman" w:cs="Times New Roman"/>
          <w:szCs w:val="24"/>
        </w:rPr>
        <w:t xml:space="preserve"> pero </w:t>
      </w:r>
      <w:r>
        <w:rPr>
          <w:rFonts w:ascii="Times New Roman" w:hAnsi="Times New Roman" w:cs="Times New Roman"/>
          <w:szCs w:val="24"/>
        </w:rPr>
        <w:t xml:space="preserve">muy </w:t>
      </w:r>
      <w:r w:rsidRPr="0025115D">
        <w:rPr>
          <w:rFonts w:ascii="Times New Roman" w:hAnsi="Times New Roman" w:cs="Times New Roman"/>
          <w:szCs w:val="24"/>
        </w:rPr>
        <w:t>lentamente.</w:t>
      </w:r>
    </w:p>
    <w:p w14:paraId="46465B82" w14:textId="1C976E99" w:rsidR="003A3FB0" w:rsidRPr="007364D6" w:rsidRDefault="007364D6" w:rsidP="007364D6">
      <w:pPr>
        <w:pStyle w:val="Caption"/>
        <w:spacing w:after="0"/>
        <w:jc w:val="center"/>
        <w:rPr>
          <w:rFonts w:ascii="Times New Roman" w:hAnsi="Times New Roman" w:cs="Times New Roman"/>
          <w:b/>
          <w:i w:val="0"/>
          <w:color w:val="auto"/>
          <w:sz w:val="22"/>
          <w:szCs w:val="22"/>
        </w:rPr>
      </w:pPr>
      <w:bookmarkStart w:id="10" w:name="_Toc518399415"/>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8</w:t>
      </w:r>
      <w:r w:rsidRPr="007364D6">
        <w:rPr>
          <w:rFonts w:ascii="Times New Roman" w:hAnsi="Times New Roman" w:cs="Times New Roman"/>
          <w:b/>
          <w:i w:val="0"/>
          <w:color w:val="auto"/>
          <w:sz w:val="22"/>
          <w:szCs w:val="22"/>
        </w:rPr>
        <w:fldChar w:fldCharType="end"/>
      </w:r>
      <w:r w:rsidR="003A3FB0" w:rsidRPr="007364D6">
        <w:rPr>
          <w:rFonts w:ascii="Times New Roman" w:hAnsi="Times New Roman" w:cs="Times New Roman"/>
          <w:b/>
          <w:i w:val="0"/>
          <w:color w:val="auto"/>
          <w:sz w:val="22"/>
          <w:szCs w:val="22"/>
        </w:rPr>
        <w:t xml:space="preserve">. </w:t>
      </w:r>
      <w:r w:rsidR="00155AE1" w:rsidRPr="007364D6">
        <w:rPr>
          <w:rFonts w:ascii="Times New Roman" w:hAnsi="Times New Roman" w:cs="Times New Roman"/>
          <w:b/>
          <w:i w:val="0"/>
          <w:color w:val="auto"/>
          <w:sz w:val="22"/>
          <w:szCs w:val="22"/>
        </w:rPr>
        <w:t>Ahorro Nacional, Públi</w:t>
      </w:r>
      <w:r w:rsidR="00E74D5E" w:rsidRPr="007364D6">
        <w:rPr>
          <w:rFonts w:ascii="Times New Roman" w:hAnsi="Times New Roman" w:cs="Times New Roman"/>
          <w:b/>
          <w:i w:val="0"/>
          <w:color w:val="auto"/>
          <w:sz w:val="22"/>
          <w:szCs w:val="22"/>
        </w:rPr>
        <w:t>co y Privado brutos</w:t>
      </w:r>
      <w:r w:rsidR="003A3FB0" w:rsidRPr="007364D6">
        <w:rPr>
          <w:rFonts w:ascii="Times New Roman" w:hAnsi="Times New Roman" w:cs="Times New Roman"/>
          <w:b/>
          <w:i w:val="0"/>
          <w:color w:val="auto"/>
          <w:sz w:val="22"/>
          <w:szCs w:val="22"/>
        </w:rPr>
        <w:t xml:space="preserve"> (% PIB)</w:t>
      </w:r>
      <w:r w:rsidR="00E74D5E" w:rsidRPr="007364D6">
        <w:rPr>
          <w:rFonts w:ascii="Times New Roman" w:hAnsi="Times New Roman" w:cs="Times New Roman"/>
          <w:b/>
          <w:i w:val="0"/>
          <w:color w:val="auto"/>
          <w:sz w:val="22"/>
          <w:szCs w:val="22"/>
        </w:rPr>
        <w:t>, 2006-2017</w:t>
      </w:r>
      <w:bookmarkEnd w:id="10"/>
    </w:p>
    <w:p w14:paraId="14316C16" w14:textId="77777777" w:rsidR="003A3FB0" w:rsidRDefault="00155AE1" w:rsidP="00FA66BD">
      <w:pPr>
        <w:spacing w:after="0" w:line="240" w:lineRule="auto"/>
        <w:jc w:val="center"/>
        <w:rPr>
          <w:rFonts w:ascii="Times New Roman" w:hAnsi="Times New Roman" w:cs="Times New Roman"/>
          <w:b/>
          <w:szCs w:val="24"/>
        </w:rPr>
      </w:pPr>
      <w:r>
        <w:rPr>
          <w:noProof/>
          <w:lang w:val="es-CR" w:eastAsia="es-CR"/>
        </w:rPr>
        <w:drawing>
          <wp:inline distT="0" distB="0" distL="0" distR="0" wp14:anchorId="08668A07" wp14:editId="60C9E457">
            <wp:extent cx="3261360" cy="2051637"/>
            <wp:effectExtent l="0" t="0" r="0" b="6350"/>
            <wp:docPr id="16" name="Chart 16">
              <a:extLst xmlns:a="http://schemas.openxmlformats.org/drawingml/2006/main">
                <a:ext uri="{FF2B5EF4-FFF2-40B4-BE49-F238E27FC236}">
                  <a16:creationId xmlns:a16="http://schemas.microsoft.com/office/drawing/2014/main" id="{AE486025-8A61-40C9-B024-D4B0D8B006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70C4402" w14:textId="77777777" w:rsidR="00155AE1" w:rsidRPr="00500174" w:rsidRDefault="00155AE1" w:rsidP="008E467D">
      <w:pPr>
        <w:spacing w:line="360" w:lineRule="auto"/>
        <w:jc w:val="center"/>
        <w:rPr>
          <w:rFonts w:ascii="Times New Roman" w:hAnsi="Times New Roman" w:cs="Times New Roman"/>
          <w:color w:val="000000" w:themeColor="text1"/>
          <w:sz w:val="18"/>
          <w:szCs w:val="24"/>
          <w:lang w:val="en-US"/>
        </w:rPr>
      </w:pPr>
      <w:r w:rsidRPr="00500174">
        <w:rPr>
          <w:rFonts w:ascii="Times New Roman" w:hAnsi="Times New Roman" w:cs="Times New Roman"/>
          <w:color w:val="000000" w:themeColor="text1"/>
          <w:sz w:val="18"/>
          <w:szCs w:val="24"/>
          <w:lang w:val="en-US"/>
        </w:rPr>
        <w:t>Fuente: World Economic Outlook (</w:t>
      </w:r>
      <w:r w:rsidR="00CC3553">
        <w:rPr>
          <w:rFonts w:ascii="Times New Roman" w:hAnsi="Times New Roman" w:cs="Times New Roman"/>
          <w:color w:val="000000" w:themeColor="text1"/>
          <w:sz w:val="18"/>
          <w:szCs w:val="24"/>
          <w:lang w:val="en-US"/>
        </w:rPr>
        <w:t>A</w:t>
      </w:r>
      <w:r w:rsidRPr="00500174">
        <w:rPr>
          <w:rFonts w:ascii="Times New Roman" w:hAnsi="Times New Roman" w:cs="Times New Roman"/>
          <w:color w:val="000000" w:themeColor="text1"/>
          <w:sz w:val="18"/>
          <w:szCs w:val="24"/>
          <w:lang w:val="en-US"/>
        </w:rPr>
        <w:t>bril 2018).</w:t>
      </w:r>
    </w:p>
    <w:p w14:paraId="3C99ED86" w14:textId="77777777" w:rsidR="00605839" w:rsidRPr="0025115D" w:rsidRDefault="0025115D" w:rsidP="0025115D">
      <w:pPr>
        <w:spacing w:after="0" w:line="360" w:lineRule="auto"/>
        <w:jc w:val="both"/>
        <w:rPr>
          <w:rFonts w:ascii="Times New Roman" w:hAnsi="Times New Roman" w:cs="Times New Roman"/>
          <w:szCs w:val="24"/>
          <w:lang w:val="es-CR"/>
        </w:rPr>
      </w:pPr>
      <w:r w:rsidRPr="00D53AFA">
        <w:rPr>
          <w:rFonts w:ascii="Times New Roman" w:hAnsi="Times New Roman" w:cs="Times New Roman"/>
          <w:b/>
          <w:szCs w:val="24"/>
        </w:rPr>
        <w:lastRenderedPageBreak/>
        <w:t xml:space="preserve">Adicionalmente, </w:t>
      </w:r>
      <w:r w:rsidR="00680FC8" w:rsidRPr="00D53AFA">
        <w:rPr>
          <w:rFonts w:ascii="Times New Roman" w:hAnsi="Times New Roman" w:cs="Times New Roman"/>
          <w:b/>
          <w:szCs w:val="24"/>
        </w:rPr>
        <w:t xml:space="preserve">el dinamismo y la </w:t>
      </w:r>
      <w:r w:rsidR="00605839" w:rsidRPr="00D53AFA">
        <w:rPr>
          <w:rFonts w:ascii="Times New Roman" w:hAnsi="Times New Roman" w:cs="Times New Roman"/>
          <w:b/>
          <w:szCs w:val="24"/>
        </w:rPr>
        <w:t>diversificación</w:t>
      </w:r>
      <w:r w:rsidRPr="00D53AFA">
        <w:rPr>
          <w:rFonts w:ascii="Times New Roman" w:hAnsi="Times New Roman" w:cs="Times New Roman"/>
          <w:b/>
          <w:szCs w:val="24"/>
        </w:rPr>
        <w:t xml:space="preserve"> </w:t>
      </w:r>
      <w:r w:rsidR="00605839" w:rsidRPr="00D53AFA">
        <w:rPr>
          <w:rFonts w:ascii="Times New Roman" w:hAnsi="Times New Roman" w:cs="Times New Roman"/>
          <w:b/>
          <w:szCs w:val="24"/>
        </w:rPr>
        <w:t xml:space="preserve">de </w:t>
      </w:r>
      <w:r w:rsidRPr="00D53AFA">
        <w:rPr>
          <w:rFonts w:ascii="Times New Roman" w:hAnsi="Times New Roman" w:cs="Times New Roman"/>
          <w:b/>
          <w:szCs w:val="24"/>
        </w:rPr>
        <w:t xml:space="preserve">las </w:t>
      </w:r>
      <w:r w:rsidR="00605839" w:rsidRPr="00D53AFA">
        <w:rPr>
          <w:rFonts w:ascii="Times New Roman" w:hAnsi="Times New Roman" w:cs="Times New Roman"/>
          <w:b/>
          <w:szCs w:val="24"/>
        </w:rPr>
        <w:t>exportaciones de Costa Rica</w:t>
      </w:r>
      <w:r w:rsidRPr="00D53AFA">
        <w:rPr>
          <w:rFonts w:ascii="Times New Roman" w:hAnsi="Times New Roman" w:cs="Times New Roman"/>
          <w:b/>
          <w:szCs w:val="24"/>
        </w:rPr>
        <w:t xml:space="preserve"> ha</w:t>
      </w:r>
      <w:r w:rsidR="00D53AFA">
        <w:rPr>
          <w:rFonts w:ascii="Times New Roman" w:hAnsi="Times New Roman" w:cs="Times New Roman"/>
          <w:b/>
          <w:szCs w:val="24"/>
        </w:rPr>
        <w:t>n</w:t>
      </w:r>
      <w:r w:rsidRPr="00D53AFA">
        <w:rPr>
          <w:rFonts w:ascii="Times New Roman" w:hAnsi="Times New Roman" w:cs="Times New Roman"/>
          <w:b/>
          <w:szCs w:val="24"/>
        </w:rPr>
        <w:t xml:space="preserve"> sido notori</w:t>
      </w:r>
      <w:r w:rsidR="00D53AFA">
        <w:rPr>
          <w:rFonts w:ascii="Times New Roman" w:hAnsi="Times New Roman" w:cs="Times New Roman"/>
          <w:b/>
          <w:szCs w:val="24"/>
        </w:rPr>
        <w:t>os</w:t>
      </w:r>
      <w:r w:rsidRPr="0025115D">
        <w:rPr>
          <w:rFonts w:ascii="Times New Roman" w:hAnsi="Times New Roman" w:cs="Times New Roman"/>
          <w:szCs w:val="24"/>
        </w:rPr>
        <w:t>, como se muestra en la Tabla</w:t>
      </w:r>
      <w:r>
        <w:rPr>
          <w:rFonts w:ascii="Times New Roman" w:hAnsi="Times New Roman" w:cs="Times New Roman"/>
          <w:szCs w:val="24"/>
          <w:lang w:val="es-CR"/>
        </w:rPr>
        <w:t xml:space="preserve"> 2</w:t>
      </w:r>
      <w:r w:rsidR="00680FC8">
        <w:rPr>
          <w:rFonts w:ascii="Times New Roman" w:hAnsi="Times New Roman" w:cs="Times New Roman"/>
          <w:szCs w:val="24"/>
          <w:lang w:val="es-CR"/>
        </w:rPr>
        <w:t xml:space="preserve"> </w:t>
      </w:r>
      <w:r w:rsidR="00500174">
        <w:rPr>
          <w:rFonts w:ascii="Times New Roman" w:hAnsi="Times New Roman" w:cs="Times New Roman"/>
          <w:szCs w:val="24"/>
          <w:lang w:val="es-CR"/>
        </w:rPr>
        <w:t xml:space="preserve">y </w:t>
      </w:r>
      <w:r w:rsidR="00CC3553">
        <w:rPr>
          <w:rFonts w:ascii="Times New Roman" w:hAnsi="Times New Roman" w:cs="Times New Roman"/>
          <w:szCs w:val="24"/>
          <w:lang w:val="es-CR"/>
        </w:rPr>
        <w:t>el Gráfico 9</w:t>
      </w:r>
      <w:r w:rsidR="00500174">
        <w:rPr>
          <w:rFonts w:ascii="Times New Roman" w:hAnsi="Times New Roman" w:cs="Times New Roman"/>
          <w:szCs w:val="24"/>
          <w:lang w:val="es-CR"/>
        </w:rPr>
        <w:t xml:space="preserve"> </w:t>
      </w:r>
      <w:r w:rsidR="00680FC8">
        <w:rPr>
          <w:rFonts w:ascii="Times New Roman" w:hAnsi="Times New Roman" w:cs="Times New Roman"/>
          <w:szCs w:val="24"/>
          <w:lang w:val="es-CR"/>
        </w:rPr>
        <w:t>donde se puede observar el cambio de estructura de las ventas del país en</w:t>
      </w:r>
      <w:r w:rsidR="00674F11">
        <w:rPr>
          <w:rFonts w:ascii="Times New Roman" w:hAnsi="Times New Roman" w:cs="Times New Roman"/>
          <w:szCs w:val="24"/>
          <w:lang w:val="es-CR"/>
        </w:rPr>
        <w:t xml:space="preserve"> dos</w:t>
      </w:r>
      <w:r w:rsidR="00680FC8">
        <w:rPr>
          <w:rFonts w:ascii="Times New Roman" w:hAnsi="Times New Roman" w:cs="Times New Roman"/>
          <w:szCs w:val="24"/>
          <w:lang w:val="es-CR"/>
        </w:rPr>
        <w:t xml:space="preserve"> décadas.</w:t>
      </w:r>
      <w:r w:rsidR="00500174">
        <w:rPr>
          <w:rFonts w:ascii="Times New Roman" w:hAnsi="Times New Roman" w:cs="Times New Roman"/>
          <w:szCs w:val="24"/>
          <w:lang w:val="es-CR"/>
        </w:rPr>
        <w:t xml:space="preserve"> En particular</w:t>
      </w:r>
      <w:r w:rsidR="00674F11">
        <w:rPr>
          <w:rFonts w:ascii="Times New Roman" w:hAnsi="Times New Roman" w:cs="Times New Roman"/>
          <w:szCs w:val="24"/>
          <w:lang w:val="es-CR"/>
        </w:rPr>
        <w:t>,</w:t>
      </w:r>
      <w:r w:rsidR="00500174">
        <w:rPr>
          <w:rFonts w:ascii="Times New Roman" w:hAnsi="Times New Roman" w:cs="Times New Roman"/>
          <w:szCs w:val="24"/>
          <w:lang w:val="es-CR"/>
        </w:rPr>
        <w:t xml:space="preserve"> pueden observarse los aumentos en la diversidad en los bienes y servicios provistos y también los destinos de estos en la cual puede también observarse la diversificación de clientes más allá del peso de los Estados </w:t>
      </w:r>
      <w:r w:rsidR="00CC3553">
        <w:rPr>
          <w:rFonts w:ascii="Times New Roman" w:hAnsi="Times New Roman" w:cs="Times New Roman"/>
          <w:szCs w:val="24"/>
          <w:lang w:val="es-CR"/>
        </w:rPr>
        <w:t>Unidos,</w:t>
      </w:r>
      <w:r w:rsidR="00500174">
        <w:rPr>
          <w:rFonts w:ascii="Times New Roman" w:hAnsi="Times New Roman" w:cs="Times New Roman"/>
          <w:szCs w:val="24"/>
          <w:lang w:val="es-CR"/>
        </w:rPr>
        <w:t xml:space="preserve"> aunque en diferentes rubros, la continua presencia de Centroamérica y </w:t>
      </w:r>
      <w:r w:rsidR="00CC3553">
        <w:rPr>
          <w:rFonts w:ascii="Times New Roman" w:hAnsi="Times New Roman" w:cs="Times New Roman"/>
          <w:szCs w:val="24"/>
          <w:lang w:val="es-CR"/>
        </w:rPr>
        <w:t>la todavía muy incipiente tendencia</w:t>
      </w:r>
      <w:r w:rsidR="00500174">
        <w:rPr>
          <w:rFonts w:ascii="Times New Roman" w:hAnsi="Times New Roman" w:cs="Times New Roman"/>
          <w:szCs w:val="24"/>
          <w:lang w:val="es-CR"/>
        </w:rPr>
        <w:t xml:space="preserve"> de Asia como comprador del país.</w:t>
      </w:r>
    </w:p>
    <w:p w14:paraId="7839FDA0" w14:textId="558B60A4" w:rsidR="002C6093" w:rsidRPr="00505AF3" w:rsidRDefault="00505AF3" w:rsidP="00505AF3">
      <w:pPr>
        <w:pStyle w:val="Caption"/>
        <w:spacing w:after="0"/>
        <w:jc w:val="center"/>
        <w:rPr>
          <w:rFonts w:ascii="Times New Roman" w:hAnsi="Times New Roman" w:cs="Times New Roman"/>
          <w:b/>
          <w:i w:val="0"/>
          <w:color w:val="auto"/>
          <w:sz w:val="22"/>
          <w:szCs w:val="22"/>
        </w:rPr>
      </w:pPr>
      <w:bookmarkStart w:id="11" w:name="_Toc518399857"/>
      <w:r w:rsidRPr="00505AF3">
        <w:rPr>
          <w:rFonts w:ascii="Times New Roman" w:hAnsi="Times New Roman" w:cs="Times New Roman"/>
          <w:b/>
          <w:i w:val="0"/>
          <w:color w:val="auto"/>
          <w:sz w:val="22"/>
          <w:szCs w:val="22"/>
        </w:rPr>
        <w:t xml:space="preserve">Tabla </w:t>
      </w:r>
      <w:r w:rsidRPr="00505AF3">
        <w:rPr>
          <w:rFonts w:ascii="Times New Roman" w:hAnsi="Times New Roman" w:cs="Times New Roman"/>
          <w:b/>
          <w:i w:val="0"/>
          <w:color w:val="auto"/>
          <w:sz w:val="22"/>
          <w:szCs w:val="22"/>
        </w:rPr>
        <w:fldChar w:fldCharType="begin"/>
      </w:r>
      <w:r w:rsidRPr="00505AF3">
        <w:rPr>
          <w:rFonts w:ascii="Times New Roman" w:hAnsi="Times New Roman" w:cs="Times New Roman"/>
          <w:b/>
          <w:i w:val="0"/>
          <w:color w:val="auto"/>
          <w:sz w:val="22"/>
          <w:szCs w:val="22"/>
        </w:rPr>
        <w:instrText xml:space="preserve"> SEQ Tabla \* ARABIC </w:instrText>
      </w:r>
      <w:r w:rsidRPr="00505AF3">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2</w:t>
      </w:r>
      <w:r w:rsidRPr="00505AF3">
        <w:rPr>
          <w:rFonts w:ascii="Times New Roman" w:hAnsi="Times New Roman" w:cs="Times New Roman"/>
          <w:b/>
          <w:i w:val="0"/>
          <w:color w:val="auto"/>
          <w:sz w:val="22"/>
          <w:szCs w:val="22"/>
        </w:rPr>
        <w:fldChar w:fldCharType="end"/>
      </w:r>
      <w:r w:rsidR="0025115D" w:rsidRPr="00505AF3">
        <w:rPr>
          <w:rFonts w:ascii="Times New Roman" w:hAnsi="Times New Roman" w:cs="Times New Roman"/>
          <w:b/>
          <w:i w:val="0"/>
          <w:color w:val="auto"/>
          <w:sz w:val="22"/>
          <w:szCs w:val="22"/>
        </w:rPr>
        <w:t>. Mayores</w:t>
      </w:r>
      <w:r w:rsidR="002C6093" w:rsidRPr="00505AF3">
        <w:rPr>
          <w:rFonts w:ascii="Times New Roman" w:hAnsi="Times New Roman" w:cs="Times New Roman"/>
          <w:b/>
          <w:i w:val="0"/>
          <w:color w:val="auto"/>
          <w:sz w:val="22"/>
          <w:szCs w:val="22"/>
        </w:rPr>
        <w:t xml:space="preserve"> 5 </w:t>
      </w:r>
      <w:r w:rsidR="0025115D" w:rsidRPr="00505AF3">
        <w:rPr>
          <w:rFonts w:ascii="Times New Roman" w:hAnsi="Times New Roman" w:cs="Times New Roman"/>
          <w:b/>
          <w:i w:val="0"/>
          <w:color w:val="auto"/>
          <w:sz w:val="22"/>
          <w:szCs w:val="22"/>
        </w:rPr>
        <w:t xml:space="preserve">rubros </w:t>
      </w:r>
      <w:r w:rsidR="002C6093" w:rsidRPr="00505AF3">
        <w:rPr>
          <w:rFonts w:ascii="Times New Roman" w:hAnsi="Times New Roman" w:cs="Times New Roman"/>
          <w:b/>
          <w:i w:val="0"/>
          <w:color w:val="auto"/>
          <w:sz w:val="22"/>
          <w:szCs w:val="22"/>
        </w:rPr>
        <w:t>de exportaciones de bienes</w:t>
      </w:r>
      <w:r w:rsidR="009B0CA9" w:rsidRPr="00505AF3">
        <w:rPr>
          <w:rFonts w:ascii="Times New Roman" w:hAnsi="Times New Roman" w:cs="Times New Roman"/>
          <w:b/>
          <w:i w:val="0"/>
          <w:color w:val="auto"/>
          <w:sz w:val="22"/>
          <w:szCs w:val="22"/>
        </w:rPr>
        <w:t xml:space="preserve"> y </w:t>
      </w:r>
      <w:r w:rsidR="008C3FFA" w:rsidRPr="00505AF3">
        <w:rPr>
          <w:rFonts w:ascii="Times New Roman" w:hAnsi="Times New Roman" w:cs="Times New Roman"/>
          <w:b/>
          <w:i w:val="0"/>
          <w:color w:val="auto"/>
          <w:sz w:val="22"/>
          <w:szCs w:val="22"/>
        </w:rPr>
        <w:t xml:space="preserve">turismo como % del total </w:t>
      </w:r>
      <w:r w:rsidR="009B0CA9" w:rsidRPr="00505AF3">
        <w:rPr>
          <w:rFonts w:ascii="Times New Roman" w:hAnsi="Times New Roman" w:cs="Times New Roman"/>
          <w:b/>
          <w:i w:val="0"/>
          <w:color w:val="auto"/>
          <w:sz w:val="22"/>
          <w:szCs w:val="22"/>
        </w:rPr>
        <w:t>de exportaciones de bienes y turismo</w:t>
      </w:r>
      <w:r w:rsidR="00AF1C2D" w:rsidRPr="00505AF3">
        <w:rPr>
          <w:rFonts w:ascii="Times New Roman" w:hAnsi="Times New Roman" w:cs="Times New Roman"/>
          <w:b/>
          <w:i w:val="0"/>
          <w:color w:val="auto"/>
          <w:sz w:val="22"/>
          <w:szCs w:val="22"/>
        </w:rPr>
        <w:t>, 1995 vs 2015</w:t>
      </w:r>
      <w:bookmarkEnd w:id="11"/>
    </w:p>
    <w:tbl>
      <w:tblPr>
        <w:tblW w:w="9439" w:type="dxa"/>
        <w:jc w:val="center"/>
        <w:tblLook w:val="04A0" w:firstRow="1" w:lastRow="0" w:firstColumn="1" w:lastColumn="0" w:noHBand="0" w:noVBand="1"/>
      </w:tblPr>
      <w:tblGrid>
        <w:gridCol w:w="4410"/>
        <w:gridCol w:w="720"/>
        <w:gridCol w:w="3591"/>
        <w:gridCol w:w="718"/>
      </w:tblGrid>
      <w:tr w:rsidR="001C578E" w:rsidRPr="001356FE" w14:paraId="5BE477A1" w14:textId="77777777" w:rsidTr="001356FE">
        <w:trPr>
          <w:trHeight w:val="299"/>
          <w:jc w:val="center"/>
        </w:trPr>
        <w:tc>
          <w:tcPr>
            <w:tcW w:w="4410" w:type="dxa"/>
            <w:tcBorders>
              <w:top w:val="double" w:sz="4" w:space="0" w:color="auto"/>
              <w:left w:val="nil"/>
              <w:bottom w:val="double" w:sz="4" w:space="0" w:color="auto"/>
              <w:right w:val="nil"/>
            </w:tcBorders>
            <w:shd w:val="clear" w:color="auto" w:fill="auto"/>
            <w:noWrap/>
            <w:vAlign w:val="center"/>
            <w:hideMark/>
          </w:tcPr>
          <w:p w14:paraId="63C3DC0F" w14:textId="77777777" w:rsidR="005B2D62" w:rsidRPr="005B2D62" w:rsidRDefault="00A063ED" w:rsidP="001C578E">
            <w:pPr>
              <w:spacing w:after="0" w:line="240" w:lineRule="auto"/>
              <w:rPr>
                <w:rFonts w:ascii="Times New Roman" w:eastAsia="Times New Roman" w:hAnsi="Times New Roman" w:cs="Times New Roman"/>
                <w:b/>
                <w:sz w:val="18"/>
                <w:szCs w:val="18"/>
                <w:lang w:val="en-US" w:eastAsia="en-US"/>
              </w:rPr>
            </w:pPr>
            <w:r w:rsidRPr="001356FE">
              <w:rPr>
                <w:rFonts w:ascii="Times New Roman" w:eastAsia="Times New Roman" w:hAnsi="Times New Roman" w:cs="Times New Roman"/>
                <w:b/>
                <w:sz w:val="18"/>
                <w:szCs w:val="18"/>
                <w:lang w:val="en-US" w:eastAsia="en-US"/>
              </w:rPr>
              <w:t>1995</w:t>
            </w:r>
          </w:p>
        </w:tc>
        <w:tc>
          <w:tcPr>
            <w:tcW w:w="720" w:type="dxa"/>
            <w:tcBorders>
              <w:top w:val="double" w:sz="4" w:space="0" w:color="auto"/>
              <w:left w:val="nil"/>
              <w:bottom w:val="double" w:sz="4" w:space="0" w:color="auto"/>
              <w:right w:val="nil"/>
            </w:tcBorders>
            <w:shd w:val="clear" w:color="auto" w:fill="auto"/>
            <w:noWrap/>
            <w:vAlign w:val="center"/>
            <w:hideMark/>
          </w:tcPr>
          <w:p w14:paraId="6BDE0BE1" w14:textId="77777777" w:rsidR="005B2D62" w:rsidRPr="005B2D62" w:rsidRDefault="005B2D62" w:rsidP="0031256D">
            <w:pPr>
              <w:spacing w:after="0" w:line="240" w:lineRule="auto"/>
              <w:jc w:val="center"/>
              <w:rPr>
                <w:rFonts w:ascii="Times New Roman" w:eastAsia="Times New Roman" w:hAnsi="Times New Roman" w:cs="Times New Roman"/>
                <w:b/>
                <w:sz w:val="18"/>
                <w:szCs w:val="18"/>
                <w:lang w:val="en-US" w:eastAsia="en-US"/>
              </w:rPr>
            </w:pPr>
            <w:r w:rsidRPr="005B2D62">
              <w:rPr>
                <w:rFonts w:ascii="Times New Roman" w:eastAsia="Times New Roman" w:hAnsi="Times New Roman" w:cs="Times New Roman"/>
                <w:b/>
                <w:sz w:val="18"/>
                <w:szCs w:val="18"/>
                <w:lang w:val="en-US" w:eastAsia="en-US"/>
              </w:rPr>
              <w:t>%</w:t>
            </w:r>
          </w:p>
        </w:tc>
        <w:tc>
          <w:tcPr>
            <w:tcW w:w="3591" w:type="dxa"/>
            <w:tcBorders>
              <w:top w:val="double" w:sz="4" w:space="0" w:color="auto"/>
              <w:left w:val="nil"/>
              <w:bottom w:val="double" w:sz="4" w:space="0" w:color="auto"/>
              <w:right w:val="nil"/>
            </w:tcBorders>
            <w:shd w:val="clear" w:color="auto" w:fill="auto"/>
            <w:noWrap/>
            <w:vAlign w:val="center"/>
            <w:hideMark/>
          </w:tcPr>
          <w:p w14:paraId="407AAE2D" w14:textId="77777777" w:rsidR="005B2D62" w:rsidRPr="005B2D62" w:rsidRDefault="005B2D62" w:rsidP="001C578E">
            <w:pPr>
              <w:spacing w:after="0" w:line="240" w:lineRule="auto"/>
              <w:rPr>
                <w:rFonts w:ascii="Times New Roman" w:eastAsia="Times New Roman" w:hAnsi="Times New Roman" w:cs="Times New Roman"/>
                <w:b/>
                <w:color w:val="000000"/>
                <w:sz w:val="18"/>
                <w:szCs w:val="18"/>
                <w:lang w:val="en-US" w:eastAsia="en-US"/>
              </w:rPr>
            </w:pPr>
            <w:r w:rsidRPr="005B2D62">
              <w:rPr>
                <w:rFonts w:ascii="Times New Roman" w:eastAsia="Times New Roman" w:hAnsi="Times New Roman" w:cs="Times New Roman"/>
                <w:b/>
                <w:color w:val="000000"/>
                <w:sz w:val="18"/>
                <w:szCs w:val="18"/>
                <w:lang w:val="en-US" w:eastAsia="en-US"/>
              </w:rPr>
              <w:t>2015</w:t>
            </w:r>
            <w:r w:rsidR="00680FC8">
              <w:rPr>
                <w:rFonts w:ascii="Times New Roman" w:eastAsia="Times New Roman" w:hAnsi="Times New Roman" w:cs="Times New Roman"/>
                <w:b/>
                <w:color w:val="000000"/>
                <w:sz w:val="18"/>
                <w:szCs w:val="18"/>
                <w:lang w:val="en-US" w:eastAsia="en-US"/>
              </w:rPr>
              <w:t xml:space="preserve"> (incluye Zonas Francas)</w:t>
            </w:r>
          </w:p>
        </w:tc>
        <w:tc>
          <w:tcPr>
            <w:tcW w:w="718" w:type="dxa"/>
            <w:tcBorders>
              <w:top w:val="double" w:sz="4" w:space="0" w:color="auto"/>
              <w:left w:val="nil"/>
              <w:bottom w:val="double" w:sz="4" w:space="0" w:color="auto"/>
              <w:right w:val="nil"/>
            </w:tcBorders>
            <w:shd w:val="clear" w:color="auto" w:fill="auto"/>
            <w:noWrap/>
            <w:vAlign w:val="center"/>
            <w:hideMark/>
          </w:tcPr>
          <w:p w14:paraId="3D78BC81" w14:textId="77777777" w:rsidR="005B2D62" w:rsidRPr="005B2D62" w:rsidRDefault="005B2D62" w:rsidP="0031256D">
            <w:pPr>
              <w:spacing w:after="0" w:line="240" w:lineRule="auto"/>
              <w:jc w:val="center"/>
              <w:rPr>
                <w:rFonts w:ascii="Times New Roman" w:eastAsia="Times New Roman" w:hAnsi="Times New Roman" w:cs="Times New Roman"/>
                <w:b/>
                <w:sz w:val="18"/>
                <w:szCs w:val="18"/>
                <w:lang w:val="en-US" w:eastAsia="en-US"/>
              </w:rPr>
            </w:pPr>
            <w:r w:rsidRPr="005B2D62">
              <w:rPr>
                <w:rFonts w:ascii="Times New Roman" w:eastAsia="Times New Roman" w:hAnsi="Times New Roman" w:cs="Times New Roman"/>
                <w:b/>
                <w:sz w:val="18"/>
                <w:szCs w:val="18"/>
                <w:lang w:val="en-US" w:eastAsia="en-US"/>
              </w:rPr>
              <w:t>%</w:t>
            </w:r>
          </w:p>
        </w:tc>
      </w:tr>
      <w:tr w:rsidR="001C578E" w:rsidRPr="001356FE" w14:paraId="3BF5067B" w14:textId="77777777" w:rsidTr="001356FE">
        <w:trPr>
          <w:trHeight w:val="299"/>
          <w:jc w:val="center"/>
        </w:trPr>
        <w:tc>
          <w:tcPr>
            <w:tcW w:w="4410" w:type="dxa"/>
            <w:tcBorders>
              <w:top w:val="double" w:sz="4" w:space="0" w:color="auto"/>
              <w:left w:val="nil"/>
              <w:bottom w:val="nil"/>
              <w:right w:val="nil"/>
            </w:tcBorders>
            <w:shd w:val="clear" w:color="auto" w:fill="auto"/>
            <w:noWrap/>
            <w:vAlign w:val="center"/>
          </w:tcPr>
          <w:p w14:paraId="66CE425D" w14:textId="77777777" w:rsidR="005B2D62" w:rsidRPr="005B2D62" w:rsidRDefault="00CF2471" w:rsidP="001C578E">
            <w:pPr>
              <w:spacing w:after="0" w:line="240" w:lineRule="auto"/>
              <w:rPr>
                <w:rFonts w:ascii="Times New Roman" w:eastAsia="Times New Roman" w:hAnsi="Times New Roman" w:cs="Times New Roman"/>
                <w:sz w:val="18"/>
                <w:szCs w:val="18"/>
                <w:lang w:val="es-CR" w:eastAsia="en-US"/>
              </w:rPr>
            </w:pPr>
            <w:r w:rsidRPr="001356FE">
              <w:rPr>
                <w:rFonts w:ascii="Times New Roman" w:eastAsia="Times New Roman" w:hAnsi="Times New Roman" w:cs="Times New Roman"/>
                <w:sz w:val="18"/>
                <w:szCs w:val="18"/>
                <w:lang w:val="es-CR" w:eastAsia="en-US"/>
              </w:rPr>
              <w:t>Frutas</w:t>
            </w:r>
            <w:r w:rsidR="008061ED" w:rsidRPr="001356FE">
              <w:rPr>
                <w:rFonts w:ascii="Times New Roman" w:eastAsia="Times New Roman" w:hAnsi="Times New Roman" w:cs="Times New Roman"/>
                <w:sz w:val="18"/>
                <w:szCs w:val="18"/>
                <w:lang w:val="es-CR" w:eastAsia="en-US"/>
              </w:rPr>
              <w:t xml:space="preserve"> y</w:t>
            </w:r>
            <w:r w:rsidRPr="001356FE">
              <w:rPr>
                <w:rFonts w:ascii="Times New Roman" w:eastAsia="Times New Roman" w:hAnsi="Times New Roman" w:cs="Times New Roman"/>
                <w:sz w:val="18"/>
                <w:szCs w:val="18"/>
                <w:lang w:val="es-CR" w:eastAsia="en-US"/>
              </w:rPr>
              <w:t xml:space="preserve"> </w:t>
            </w:r>
            <w:r w:rsidR="00EA0265" w:rsidRPr="001356FE">
              <w:rPr>
                <w:rFonts w:ascii="Times New Roman" w:eastAsia="Times New Roman" w:hAnsi="Times New Roman" w:cs="Times New Roman"/>
                <w:sz w:val="18"/>
                <w:szCs w:val="18"/>
                <w:lang w:val="es-CR" w:eastAsia="en-US"/>
              </w:rPr>
              <w:t>nueces</w:t>
            </w:r>
          </w:p>
        </w:tc>
        <w:tc>
          <w:tcPr>
            <w:tcW w:w="720" w:type="dxa"/>
            <w:tcBorders>
              <w:top w:val="double" w:sz="4" w:space="0" w:color="auto"/>
              <w:left w:val="nil"/>
              <w:bottom w:val="nil"/>
              <w:right w:val="nil"/>
            </w:tcBorders>
            <w:shd w:val="clear" w:color="auto" w:fill="auto"/>
            <w:noWrap/>
            <w:vAlign w:val="center"/>
          </w:tcPr>
          <w:p w14:paraId="11D4D2B0" w14:textId="77777777" w:rsidR="005B2D62" w:rsidRPr="005B2D62" w:rsidRDefault="004F3286" w:rsidP="0031256D">
            <w:pPr>
              <w:spacing w:after="0" w:line="240" w:lineRule="auto"/>
              <w:jc w:val="center"/>
              <w:rPr>
                <w:rFonts w:ascii="Times New Roman" w:eastAsia="Times New Roman" w:hAnsi="Times New Roman" w:cs="Times New Roman"/>
                <w:color w:val="000000"/>
                <w:sz w:val="18"/>
                <w:szCs w:val="18"/>
                <w:lang w:val="es-CR" w:eastAsia="en-US"/>
              </w:rPr>
            </w:pPr>
            <w:r w:rsidRPr="001356FE">
              <w:rPr>
                <w:rFonts w:ascii="Times New Roman" w:eastAsia="Times New Roman" w:hAnsi="Times New Roman" w:cs="Times New Roman"/>
                <w:color w:val="000000"/>
                <w:sz w:val="18"/>
                <w:szCs w:val="18"/>
                <w:lang w:val="es-CR" w:eastAsia="en-US"/>
              </w:rPr>
              <w:t>25</w:t>
            </w:r>
          </w:p>
        </w:tc>
        <w:tc>
          <w:tcPr>
            <w:tcW w:w="3591" w:type="dxa"/>
            <w:tcBorders>
              <w:top w:val="double" w:sz="4" w:space="0" w:color="auto"/>
              <w:left w:val="nil"/>
              <w:bottom w:val="nil"/>
              <w:right w:val="nil"/>
            </w:tcBorders>
            <w:shd w:val="clear" w:color="auto" w:fill="auto"/>
            <w:noWrap/>
            <w:vAlign w:val="center"/>
            <w:hideMark/>
          </w:tcPr>
          <w:p w14:paraId="2CA368CE" w14:textId="77777777" w:rsidR="005B2D62" w:rsidRPr="005B2D62" w:rsidRDefault="001A27AB" w:rsidP="001C578E">
            <w:pPr>
              <w:spacing w:after="0" w:line="240" w:lineRule="auto"/>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sz w:val="18"/>
                <w:szCs w:val="18"/>
                <w:lang w:val="es-CR" w:eastAsia="en-US"/>
              </w:rPr>
              <w:t>Frutas y nueces</w:t>
            </w:r>
          </w:p>
        </w:tc>
        <w:tc>
          <w:tcPr>
            <w:tcW w:w="718" w:type="dxa"/>
            <w:tcBorders>
              <w:top w:val="double" w:sz="4" w:space="0" w:color="auto"/>
              <w:left w:val="nil"/>
              <w:bottom w:val="nil"/>
              <w:right w:val="nil"/>
            </w:tcBorders>
            <w:shd w:val="clear" w:color="auto" w:fill="auto"/>
            <w:noWrap/>
            <w:vAlign w:val="center"/>
            <w:hideMark/>
          </w:tcPr>
          <w:p w14:paraId="13F86986" w14:textId="77777777" w:rsidR="005B2D62" w:rsidRPr="005B2D62" w:rsidRDefault="00180BB6"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14</w:t>
            </w:r>
          </w:p>
        </w:tc>
      </w:tr>
      <w:tr w:rsidR="001356FE" w:rsidRPr="001356FE" w14:paraId="2D79396A" w14:textId="77777777" w:rsidTr="001356FE">
        <w:trPr>
          <w:trHeight w:val="299"/>
          <w:jc w:val="center"/>
        </w:trPr>
        <w:tc>
          <w:tcPr>
            <w:tcW w:w="4410" w:type="dxa"/>
            <w:tcBorders>
              <w:top w:val="nil"/>
              <w:left w:val="nil"/>
              <w:bottom w:val="nil"/>
              <w:right w:val="nil"/>
            </w:tcBorders>
            <w:shd w:val="clear" w:color="auto" w:fill="auto"/>
            <w:noWrap/>
            <w:vAlign w:val="center"/>
          </w:tcPr>
          <w:p w14:paraId="42067D7E" w14:textId="77777777" w:rsidR="00EC76FE" w:rsidRPr="005B2D62" w:rsidRDefault="008061ED" w:rsidP="001C578E">
            <w:pPr>
              <w:spacing w:after="0" w:line="240" w:lineRule="auto"/>
              <w:rPr>
                <w:rFonts w:ascii="Times New Roman" w:eastAsia="Times New Roman" w:hAnsi="Times New Roman" w:cs="Times New Roman"/>
                <w:sz w:val="18"/>
                <w:szCs w:val="18"/>
                <w:lang w:val="en-US" w:eastAsia="en-US"/>
              </w:rPr>
            </w:pPr>
            <w:r w:rsidRPr="001356FE">
              <w:rPr>
                <w:rFonts w:ascii="Times New Roman" w:eastAsia="Times New Roman" w:hAnsi="Times New Roman" w:cs="Times New Roman"/>
                <w:color w:val="000000"/>
                <w:sz w:val="18"/>
                <w:szCs w:val="18"/>
                <w:lang w:val="en-US" w:eastAsia="en-US"/>
              </w:rPr>
              <w:t>Café</w:t>
            </w:r>
          </w:p>
        </w:tc>
        <w:tc>
          <w:tcPr>
            <w:tcW w:w="720" w:type="dxa"/>
            <w:tcBorders>
              <w:top w:val="nil"/>
              <w:left w:val="nil"/>
              <w:bottom w:val="nil"/>
              <w:right w:val="nil"/>
            </w:tcBorders>
            <w:shd w:val="clear" w:color="auto" w:fill="auto"/>
            <w:noWrap/>
            <w:vAlign w:val="center"/>
          </w:tcPr>
          <w:p w14:paraId="0E091854" w14:textId="77777777" w:rsidR="00EC76FE" w:rsidRPr="005B2D62" w:rsidRDefault="004F3286"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13</w:t>
            </w:r>
          </w:p>
        </w:tc>
        <w:tc>
          <w:tcPr>
            <w:tcW w:w="3591" w:type="dxa"/>
            <w:tcBorders>
              <w:top w:val="nil"/>
              <w:left w:val="nil"/>
              <w:bottom w:val="nil"/>
              <w:right w:val="nil"/>
            </w:tcBorders>
            <w:shd w:val="clear" w:color="auto" w:fill="auto"/>
            <w:noWrap/>
            <w:vAlign w:val="center"/>
            <w:hideMark/>
          </w:tcPr>
          <w:p w14:paraId="0DF701EB" w14:textId="77777777" w:rsidR="00EC76FE" w:rsidRPr="005B2D62" w:rsidRDefault="001A27AB" w:rsidP="001C578E">
            <w:pPr>
              <w:spacing w:after="0" w:line="240" w:lineRule="auto"/>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Instrumentos medicos</w:t>
            </w:r>
          </w:p>
        </w:tc>
        <w:tc>
          <w:tcPr>
            <w:tcW w:w="718" w:type="dxa"/>
            <w:tcBorders>
              <w:top w:val="nil"/>
              <w:left w:val="nil"/>
              <w:bottom w:val="nil"/>
              <w:right w:val="nil"/>
            </w:tcBorders>
            <w:shd w:val="clear" w:color="auto" w:fill="auto"/>
            <w:noWrap/>
            <w:vAlign w:val="center"/>
            <w:hideMark/>
          </w:tcPr>
          <w:p w14:paraId="58115F13" w14:textId="77777777" w:rsidR="00EC76FE" w:rsidRPr="005B2D62" w:rsidRDefault="00EC76FE" w:rsidP="0031256D">
            <w:pPr>
              <w:spacing w:after="0" w:line="240" w:lineRule="auto"/>
              <w:jc w:val="center"/>
              <w:rPr>
                <w:rFonts w:ascii="Times New Roman" w:eastAsia="Times New Roman" w:hAnsi="Times New Roman" w:cs="Times New Roman"/>
                <w:color w:val="000000"/>
                <w:sz w:val="18"/>
                <w:szCs w:val="18"/>
                <w:lang w:val="en-US" w:eastAsia="en-US"/>
              </w:rPr>
            </w:pPr>
            <w:r w:rsidRPr="005B2D62">
              <w:rPr>
                <w:rFonts w:ascii="Times New Roman" w:eastAsia="Times New Roman" w:hAnsi="Times New Roman" w:cs="Times New Roman"/>
                <w:color w:val="000000"/>
                <w:sz w:val="18"/>
                <w:szCs w:val="18"/>
                <w:lang w:val="en-US" w:eastAsia="en-US"/>
              </w:rPr>
              <w:t>1</w:t>
            </w:r>
            <w:r w:rsidR="00180BB6" w:rsidRPr="001356FE">
              <w:rPr>
                <w:rFonts w:ascii="Times New Roman" w:eastAsia="Times New Roman" w:hAnsi="Times New Roman" w:cs="Times New Roman"/>
                <w:color w:val="000000"/>
                <w:sz w:val="18"/>
                <w:szCs w:val="18"/>
                <w:lang w:val="en-US" w:eastAsia="en-US"/>
              </w:rPr>
              <w:t>3</w:t>
            </w:r>
          </w:p>
        </w:tc>
      </w:tr>
      <w:tr w:rsidR="001356FE" w:rsidRPr="001356FE" w14:paraId="1AC3EC31" w14:textId="77777777" w:rsidTr="001356FE">
        <w:trPr>
          <w:trHeight w:val="299"/>
          <w:jc w:val="center"/>
        </w:trPr>
        <w:tc>
          <w:tcPr>
            <w:tcW w:w="4410" w:type="dxa"/>
            <w:tcBorders>
              <w:top w:val="nil"/>
              <w:left w:val="nil"/>
              <w:bottom w:val="nil"/>
              <w:right w:val="nil"/>
            </w:tcBorders>
            <w:shd w:val="clear" w:color="auto" w:fill="auto"/>
            <w:noWrap/>
            <w:vAlign w:val="center"/>
          </w:tcPr>
          <w:p w14:paraId="1E9C655C" w14:textId="77777777" w:rsidR="00EC76FE" w:rsidRPr="005B2D62" w:rsidRDefault="006D76E0" w:rsidP="001C578E">
            <w:pPr>
              <w:spacing w:after="0" w:line="240" w:lineRule="auto"/>
              <w:rPr>
                <w:rFonts w:ascii="Times New Roman" w:eastAsia="Times New Roman" w:hAnsi="Times New Roman" w:cs="Times New Roman"/>
                <w:sz w:val="18"/>
                <w:szCs w:val="18"/>
                <w:lang w:val="en-US" w:eastAsia="en-US"/>
              </w:rPr>
            </w:pPr>
            <w:r w:rsidRPr="001356FE">
              <w:rPr>
                <w:rFonts w:ascii="Times New Roman" w:eastAsia="Times New Roman" w:hAnsi="Times New Roman" w:cs="Times New Roman"/>
                <w:sz w:val="18"/>
                <w:szCs w:val="18"/>
                <w:lang w:val="en-US" w:eastAsia="en-US"/>
              </w:rPr>
              <w:t>Materiales vegetales crudos</w:t>
            </w:r>
          </w:p>
        </w:tc>
        <w:tc>
          <w:tcPr>
            <w:tcW w:w="720" w:type="dxa"/>
            <w:tcBorders>
              <w:top w:val="nil"/>
              <w:left w:val="nil"/>
              <w:bottom w:val="nil"/>
              <w:right w:val="nil"/>
            </w:tcBorders>
            <w:shd w:val="clear" w:color="auto" w:fill="auto"/>
            <w:noWrap/>
            <w:vAlign w:val="center"/>
          </w:tcPr>
          <w:p w14:paraId="70E949B1" w14:textId="77777777" w:rsidR="00EC76FE" w:rsidRPr="005B2D62" w:rsidRDefault="004F3286"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4</w:t>
            </w:r>
          </w:p>
        </w:tc>
        <w:tc>
          <w:tcPr>
            <w:tcW w:w="3591" w:type="dxa"/>
            <w:tcBorders>
              <w:top w:val="nil"/>
              <w:left w:val="nil"/>
              <w:bottom w:val="nil"/>
              <w:right w:val="nil"/>
            </w:tcBorders>
            <w:shd w:val="clear" w:color="auto" w:fill="auto"/>
            <w:noWrap/>
            <w:vAlign w:val="center"/>
            <w:hideMark/>
          </w:tcPr>
          <w:p w14:paraId="40BD123F" w14:textId="77777777" w:rsidR="00EC76FE" w:rsidRPr="005B2D62" w:rsidRDefault="00E40790" w:rsidP="001C578E">
            <w:pPr>
              <w:spacing w:after="0" w:line="240" w:lineRule="auto"/>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Productos y preparaciones comestibles</w:t>
            </w:r>
          </w:p>
        </w:tc>
        <w:tc>
          <w:tcPr>
            <w:tcW w:w="718" w:type="dxa"/>
            <w:tcBorders>
              <w:top w:val="nil"/>
              <w:left w:val="nil"/>
              <w:bottom w:val="nil"/>
              <w:right w:val="nil"/>
            </w:tcBorders>
            <w:shd w:val="clear" w:color="auto" w:fill="auto"/>
            <w:noWrap/>
            <w:vAlign w:val="center"/>
            <w:hideMark/>
          </w:tcPr>
          <w:p w14:paraId="3071D9F9" w14:textId="77777777" w:rsidR="00EC76FE" w:rsidRPr="005B2D62" w:rsidRDefault="00180BB6"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4</w:t>
            </w:r>
          </w:p>
        </w:tc>
      </w:tr>
      <w:tr w:rsidR="001356FE" w:rsidRPr="001356FE" w14:paraId="48167939" w14:textId="77777777" w:rsidTr="001356FE">
        <w:trPr>
          <w:trHeight w:val="299"/>
          <w:jc w:val="center"/>
        </w:trPr>
        <w:tc>
          <w:tcPr>
            <w:tcW w:w="4410" w:type="dxa"/>
            <w:tcBorders>
              <w:top w:val="nil"/>
              <w:left w:val="nil"/>
              <w:bottom w:val="nil"/>
              <w:right w:val="nil"/>
            </w:tcBorders>
            <w:shd w:val="clear" w:color="auto" w:fill="auto"/>
            <w:noWrap/>
            <w:vAlign w:val="center"/>
          </w:tcPr>
          <w:p w14:paraId="6948D942" w14:textId="77777777" w:rsidR="00EC76FE" w:rsidRPr="005B2D62" w:rsidRDefault="006D76E0" w:rsidP="001C578E">
            <w:pPr>
              <w:spacing w:after="0" w:line="240" w:lineRule="auto"/>
              <w:rPr>
                <w:rFonts w:ascii="Times New Roman" w:eastAsia="Times New Roman" w:hAnsi="Times New Roman" w:cs="Times New Roman"/>
                <w:sz w:val="18"/>
                <w:szCs w:val="18"/>
                <w:lang w:val="en-US" w:eastAsia="en-US"/>
              </w:rPr>
            </w:pPr>
            <w:r w:rsidRPr="001356FE">
              <w:rPr>
                <w:rFonts w:ascii="Times New Roman" w:eastAsia="Times New Roman" w:hAnsi="Times New Roman" w:cs="Times New Roman"/>
                <w:sz w:val="18"/>
                <w:szCs w:val="18"/>
                <w:lang w:val="en-US" w:eastAsia="en-US"/>
              </w:rPr>
              <w:t>Pescado (fresco y preservado)</w:t>
            </w:r>
          </w:p>
        </w:tc>
        <w:tc>
          <w:tcPr>
            <w:tcW w:w="720" w:type="dxa"/>
            <w:tcBorders>
              <w:top w:val="nil"/>
              <w:left w:val="nil"/>
              <w:bottom w:val="nil"/>
              <w:right w:val="nil"/>
            </w:tcBorders>
            <w:shd w:val="clear" w:color="auto" w:fill="auto"/>
            <w:noWrap/>
            <w:vAlign w:val="center"/>
          </w:tcPr>
          <w:p w14:paraId="2AC3A16E" w14:textId="77777777" w:rsidR="00EC76FE" w:rsidRPr="005B2D62" w:rsidRDefault="004F3286"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3</w:t>
            </w:r>
          </w:p>
        </w:tc>
        <w:tc>
          <w:tcPr>
            <w:tcW w:w="3591" w:type="dxa"/>
            <w:tcBorders>
              <w:top w:val="nil"/>
              <w:left w:val="nil"/>
              <w:bottom w:val="nil"/>
              <w:right w:val="nil"/>
            </w:tcBorders>
            <w:shd w:val="clear" w:color="auto" w:fill="auto"/>
            <w:noWrap/>
            <w:vAlign w:val="center"/>
            <w:hideMark/>
          </w:tcPr>
          <w:p w14:paraId="2E14B461" w14:textId="77777777" w:rsidR="00EC76FE" w:rsidRPr="005B2D62" w:rsidRDefault="00E40790" w:rsidP="001C578E">
            <w:pPr>
              <w:spacing w:after="0" w:line="240" w:lineRule="auto"/>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Bienes de Manufactura</w:t>
            </w:r>
          </w:p>
        </w:tc>
        <w:tc>
          <w:tcPr>
            <w:tcW w:w="718" w:type="dxa"/>
            <w:tcBorders>
              <w:top w:val="nil"/>
              <w:left w:val="nil"/>
              <w:bottom w:val="nil"/>
              <w:right w:val="nil"/>
            </w:tcBorders>
            <w:shd w:val="clear" w:color="auto" w:fill="auto"/>
            <w:noWrap/>
            <w:vAlign w:val="center"/>
            <w:hideMark/>
          </w:tcPr>
          <w:p w14:paraId="6B58C8A6" w14:textId="77777777" w:rsidR="00EC76FE" w:rsidRPr="005B2D62" w:rsidRDefault="00180BB6"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3</w:t>
            </w:r>
          </w:p>
        </w:tc>
      </w:tr>
      <w:tr w:rsidR="007A6898" w:rsidRPr="001356FE" w14:paraId="45F753D0" w14:textId="77777777" w:rsidTr="001356FE">
        <w:trPr>
          <w:trHeight w:val="299"/>
          <w:jc w:val="center"/>
        </w:trPr>
        <w:tc>
          <w:tcPr>
            <w:tcW w:w="4410" w:type="dxa"/>
            <w:tcBorders>
              <w:top w:val="nil"/>
              <w:left w:val="nil"/>
              <w:right w:val="nil"/>
            </w:tcBorders>
            <w:shd w:val="clear" w:color="auto" w:fill="auto"/>
            <w:noWrap/>
            <w:vAlign w:val="center"/>
          </w:tcPr>
          <w:p w14:paraId="21354F5C" w14:textId="77777777" w:rsidR="00EC76FE" w:rsidRPr="005B2D62" w:rsidRDefault="006D76E0" w:rsidP="001C578E">
            <w:pPr>
              <w:spacing w:after="0" w:line="240" w:lineRule="auto"/>
              <w:rPr>
                <w:rFonts w:ascii="Times New Roman" w:eastAsia="Times New Roman" w:hAnsi="Times New Roman" w:cs="Times New Roman"/>
                <w:sz w:val="18"/>
                <w:szCs w:val="18"/>
                <w:lang w:val="es-CR" w:eastAsia="en-US"/>
              </w:rPr>
            </w:pPr>
            <w:r w:rsidRPr="001356FE">
              <w:rPr>
                <w:rFonts w:ascii="Times New Roman" w:eastAsia="Times New Roman" w:hAnsi="Times New Roman" w:cs="Times New Roman"/>
                <w:sz w:val="18"/>
                <w:szCs w:val="18"/>
                <w:lang w:val="es-CR" w:eastAsia="en-US"/>
              </w:rPr>
              <w:t>Vegetales, raíces y tubérculoes (frescos o preservado</w:t>
            </w:r>
            <w:r w:rsidR="002C6093" w:rsidRPr="001356FE">
              <w:rPr>
                <w:rFonts w:ascii="Times New Roman" w:eastAsia="Times New Roman" w:hAnsi="Times New Roman" w:cs="Times New Roman"/>
                <w:sz w:val="18"/>
                <w:szCs w:val="18"/>
                <w:lang w:val="es-CR" w:eastAsia="en-US"/>
              </w:rPr>
              <w:t>s)</w:t>
            </w:r>
          </w:p>
        </w:tc>
        <w:tc>
          <w:tcPr>
            <w:tcW w:w="720" w:type="dxa"/>
            <w:tcBorders>
              <w:top w:val="nil"/>
              <w:left w:val="nil"/>
              <w:right w:val="nil"/>
            </w:tcBorders>
            <w:shd w:val="clear" w:color="auto" w:fill="auto"/>
            <w:noWrap/>
            <w:vAlign w:val="center"/>
          </w:tcPr>
          <w:p w14:paraId="1532331F" w14:textId="77777777" w:rsidR="00EC76FE" w:rsidRPr="005B2D62" w:rsidRDefault="004F3286" w:rsidP="0031256D">
            <w:pPr>
              <w:spacing w:after="0" w:line="240" w:lineRule="auto"/>
              <w:jc w:val="center"/>
              <w:rPr>
                <w:rFonts w:ascii="Times New Roman" w:eastAsia="Times New Roman" w:hAnsi="Times New Roman" w:cs="Times New Roman"/>
                <w:color w:val="000000"/>
                <w:sz w:val="18"/>
                <w:szCs w:val="18"/>
                <w:lang w:val="es-CR" w:eastAsia="en-US"/>
              </w:rPr>
            </w:pPr>
            <w:r w:rsidRPr="001356FE">
              <w:rPr>
                <w:rFonts w:ascii="Times New Roman" w:eastAsia="Times New Roman" w:hAnsi="Times New Roman" w:cs="Times New Roman"/>
                <w:color w:val="000000"/>
                <w:sz w:val="18"/>
                <w:szCs w:val="18"/>
                <w:lang w:val="es-CR" w:eastAsia="en-US"/>
              </w:rPr>
              <w:t>2</w:t>
            </w:r>
          </w:p>
        </w:tc>
        <w:tc>
          <w:tcPr>
            <w:tcW w:w="3591" w:type="dxa"/>
            <w:tcBorders>
              <w:top w:val="nil"/>
              <w:left w:val="nil"/>
              <w:right w:val="nil"/>
            </w:tcBorders>
            <w:shd w:val="clear" w:color="auto" w:fill="auto"/>
            <w:noWrap/>
            <w:vAlign w:val="center"/>
            <w:hideMark/>
          </w:tcPr>
          <w:p w14:paraId="41DFF6AA" w14:textId="77777777" w:rsidR="00EC76FE" w:rsidRPr="005B2D62" w:rsidRDefault="00275DB6" w:rsidP="001C578E">
            <w:pPr>
              <w:spacing w:after="0" w:line="240" w:lineRule="auto"/>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Café</w:t>
            </w:r>
          </w:p>
        </w:tc>
        <w:tc>
          <w:tcPr>
            <w:tcW w:w="718" w:type="dxa"/>
            <w:tcBorders>
              <w:top w:val="nil"/>
              <w:left w:val="nil"/>
              <w:right w:val="nil"/>
            </w:tcBorders>
            <w:shd w:val="clear" w:color="auto" w:fill="auto"/>
            <w:noWrap/>
            <w:vAlign w:val="center"/>
            <w:hideMark/>
          </w:tcPr>
          <w:p w14:paraId="4806BFC2" w14:textId="77777777" w:rsidR="00EC76FE" w:rsidRPr="005B2D62" w:rsidRDefault="00180BB6"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2</w:t>
            </w:r>
          </w:p>
        </w:tc>
      </w:tr>
      <w:tr w:rsidR="00180BB6" w:rsidRPr="001356FE" w14:paraId="33958D61" w14:textId="77777777" w:rsidTr="001356FE">
        <w:trPr>
          <w:trHeight w:val="299"/>
          <w:jc w:val="center"/>
        </w:trPr>
        <w:tc>
          <w:tcPr>
            <w:tcW w:w="4410" w:type="dxa"/>
            <w:tcBorders>
              <w:top w:val="nil"/>
              <w:left w:val="nil"/>
              <w:bottom w:val="single" w:sz="4" w:space="0" w:color="auto"/>
              <w:right w:val="nil"/>
            </w:tcBorders>
            <w:shd w:val="clear" w:color="auto" w:fill="auto"/>
            <w:noWrap/>
            <w:vAlign w:val="center"/>
          </w:tcPr>
          <w:p w14:paraId="3C572057" w14:textId="77777777" w:rsidR="00180BB6" w:rsidRPr="001356FE" w:rsidRDefault="00180BB6" w:rsidP="001C578E">
            <w:pPr>
              <w:spacing w:after="0" w:line="240" w:lineRule="auto"/>
              <w:rPr>
                <w:rFonts w:ascii="Times New Roman" w:eastAsia="Times New Roman" w:hAnsi="Times New Roman" w:cs="Times New Roman"/>
                <w:sz w:val="18"/>
                <w:szCs w:val="18"/>
                <w:lang w:val="es-CR" w:eastAsia="en-US"/>
              </w:rPr>
            </w:pPr>
            <w:r w:rsidRPr="001356FE">
              <w:rPr>
                <w:rFonts w:ascii="Times New Roman" w:eastAsia="Times New Roman" w:hAnsi="Times New Roman" w:cs="Times New Roman"/>
                <w:sz w:val="18"/>
                <w:szCs w:val="18"/>
                <w:lang w:val="es-CR" w:eastAsia="en-US"/>
              </w:rPr>
              <w:t>Turismo</w:t>
            </w:r>
          </w:p>
        </w:tc>
        <w:tc>
          <w:tcPr>
            <w:tcW w:w="720" w:type="dxa"/>
            <w:tcBorders>
              <w:top w:val="nil"/>
              <w:left w:val="nil"/>
              <w:bottom w:val="single" w:sz="4" w:space="0" w:color="auto"/>
              <w:right w:val="nil"/>
            </w:tcBorders>
            <w:shd w:val="clear" w:color="auto" w:fill="auto"/>
            <w:noWrap/>
            <w:vAlign w:val="center"/>
          </w:tcPr>
          <w:p w14:paraId="758071E9" w14:textId="77777777" w:rsidR="00180BB6" w:rsidRPr="001356FE" w:rsidRDefault="00180BB6" w:rsidP="0031256D">
            <w:pPr>
              <w:spacing w:after="0" w:line="240" w:lineRule="auto"/>
              <w:jc w:val="center"/>
              <w:rPr>
                <w:rFonts w:ascii="Times New Roman" w:eastAsia="Times New Roman" w:hAnsi="Times New Roman" w:cs="Times New Roman"/>
                <w:color w:val="000000"/>
                <w:sz w:val="18"/>
                <w:szCs w:val="18"/>
                <w:lang w:val="es-CR" w:eastAsia="en-US"/>
              </w:rPr>
            </w:pPr>
            <w:r w:rsidRPr="001356FE">
              <w:rPr>
                <w:rFonts w:ascii="Times New Roman" w:eastAsia="Times New Roman" w:hAnsi="Times New Roman" w:cs="Times New Roman"/>
                <w:color w:val="000000"/>
                <w:sz w:val="18"/>
                <w:szCs w:val="18"/>
                <w:lang w:val="es-CR" w:eastAsia="en-US"/>
              </w:rPr>
              <w:t>21</w:t>
            </w:r>
          </w:p>
        </w:tc>
        <w:tc>
          <w:tcPr>
            <w:tcW w:w="3591" w:type="dxa"/>
            <w:tcBorders>
              <w:top w:val="nil"/>
              <w:left w:val="nil"/>
              <w:bottom w:val="single" w:sz="4" w:space="0" w:color="auto"/>
              <w:right w:val="nil"/>
            </w:tcBorders>
            <w:shd w:val="clear" w:color="auto" w:fill="auto"/>
            <w:noWrap/>
            <w:vAlign w:val="center"/>
          </w:tcPr>
          <w:p w14:paraId="5B9EDC59" w14:textId="77777777" w:rsidR="00180BB6" w:rsidRPr="001356FE" w:rsidRDefault="0031256D" w:rsidP="001C578E">
            <w:pPr>
              <w:spacing w:after="0" w:line="240" w:lineRule="auto"/>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Turismo</w:t>
            </w:r>
          </w:p>
        </w:tc>
        <w:tc>
          <w:tcPr>
            <w:tcW w:w="718" w:type="dxa"/>
            <w:tcBorders>
              <w:top w:val="nil"/>
              <w:left w:val="nil"/>
              <w:bottom w:val="single" w:sz="4" w:space="0" w:color="auto"/>
              <w:right w:val="nil"/>
            </w:tcBorders>
            <w:shd w:val="clear" w:color="auto" w:fill="auto"/>
            <w:noWrap/>
            <w:vAlign w:val="center"/>
          </w:tcPr>
          <w:p w14:paraId="787820F7" w14:textId="77777777" w:rsidR="00180BB6" w:rsidRPr="001356FE" w:rsidRDefault="00180BB6"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26</w:t>
            </w:r>
            <w:r w:rsidR="00C8146A">
              <w:rPr>
                <w:rStyle w:val="FootnoteReference"/>
                <w:rFonts w:ascii="Times New Roman" w:eastAsia="Times New Roman" w:hAnsi="Times New Roman" w:cs="Times New Roman"/>
                <w:color w:val="000000"/>
                <w:sz w:val="18"/>
                <w:szCs w:val="18"/>
                <w:lang w:val="en-US" w:eastAsia="en-US"/>
              </w:rPr>
              <w:footnoteReference w:id="11"/>
            </w:r>
          </w:p>
        </w:tc>
      </w:tr>
      <w:tr w:rsidR="00F82C10" w:rsidRPr="001356FE" w14:paraId="0BBF412B" w14:textId="77777777" w:rsidTr="001356FE">
        <w:trPr>
          <w:trHeight w:val="299"/>
          <w:jc w:val="center"/>
        </w:trPr>
        <w:tc>
          <w:tcPr>
            <w:tcW w:w="4410" w:type="dxa"/>
            <w:tcBorders>
              <w:top w:val="single" w:sz="4" w:space="0" w:color="auto"/>
              <w:left w:val="nil"/>
              <w:right w:val="nil"/>
            </w:tcBorders>
            <w:shd w:val="clear" w:color="auto" w:fill="auto"/>
            <w:noWrap/>
            <w:vAlign w:val="center"/>
          </w:tcPr>
          <w:p w14:paraId="0B5DA094" w14:textId="77777777" w:rsidR="00F82C10" w:rsidRPr="001356FE" w:rsidRDefault="00F82C10" w:rsidP="001C578E">
            <w:pPr>
              <w:spacing w:after="0" w:line="240" w:lineRule="auto"/>
              <w:rPr>
                <w:rFonts w:ascii="Times New Roman" w:eastAsia="Times New Roman" w:hAnsi="Times New Roman" w:cs="Times New Roman"/>
                <w:sz w:val="18"/>
                <w:szCs w:val="18"/>
                <w:lang w:val="es-CR" w:eastAsia="en-US"/>
              </w:rPr>
            </w:pPr>
            <w:r w:rsidRPr="001356FE">
              <w:rPr>
                <w:rFonts w:ascii="Times New Roman" w:eastAsia="Times New Roman" w:hAnsi="Times New Roman" w:cs="Times New Roman"/>
                <w:sz w:val="18"/>
                <w:szCs w:val="18"/>
                <w:lang w:val="es-CR" w:eastAsia="en-US"/>
              </w:rPr>
              <w:t>Subtotal</w:t>
            </w:r>
          </w:p>
        </w:tc>
        <w:tc>
          <w:tcPr>
            <w:tcW w:w="720" w:type="dxa"/>
            <w:tcBorders>
              <w:top w:val="single" w:sz="4" w:space="0" w:color="auto"/>
              <w:left w:val="nil"/>
              <w:right w:val="nil"/>
            </w:tcBorders>
            <w:shd w:val="clear" w:color="auto" w:fill="auto"/>
            <w:noWrap/>
            <w:vAlign w:val="center"/>
          </w:tcPr>
          <w:p w14:paraId="21E5F52E" w14:textId="77777777" w:rsidR="00F82C10" w:rsidRPr="001356FE" w:rsidRDefault="00041B32" w:rsidP="0031256D">
            <w:pPr>
              <w:spacing w:after="0" w:line="240" w:lineRule="auto"/>
              <w:jc w:val="center"/>
              <w:rPr>
                <w:rFonts w:ascii="Times New Roman" w:eastAsia="Times New Roman" w:hAnsi="Times New Roman" w:cs="Times New Roman"/>
                <w:color w:val="000000"/>
                <w:sz w:val="18"/>
                <w:szCs w:val="18"/>
                <w:lang w:val="es-CR" w:eastAsia="en-US"/>
              </w:rPr>
            </w:pPr>
            <w:r w:rsidRPr="001356FE">
              <w:rPr>
                <w:rFonts w:ascii="Times New Roman" w:eastAsia="Times New Roman" w:hAnsi="Times New Roman" w:cs="Times New Roman"/>
                <w:color w:val="000000"/>
                <w:sz w:val="18"/>
                <w:szCs w:val="18"/>
                <w:lang w:val="es-CR" w:eastAsia="en-US"/>
              </w:rPr>
              <w:t>67</w:t>
            </w:r>
          </w:p>
        </w:tc>
        <w:tc>
          <w:tcPr>
            <w:tcW w:w="3591" w:type="dxa"/>
            <w:tcBorders>
              <w:top w:val="single" w:sz="4" w:space="0" w:color="auto"/>
              <w:left w:val="nil"/>
              <w:right w:val="nil"/>
            </w:tcBorders>
            <w:shd w:val="clear" w:color="auto" w:fill="auto"/>
            <w:noWrap/>
            <w:vAlign w:val="center"/>
          </w:tcPr>
          <w:p w14:paraId="0DFBAE05" w14:textId="77777777" w:rsidR="00F82C10" w:rsidRPr="001356FE" w:rsidRDefault="00F82C10" w:rsidP="001C578E">
            <w:pPr>
              <w:spacing w:after="0" w:line="240" w:lineRule="auto"/>
              <w:rPr>
                <w:rFonts w:ascii="Times New Roman" w:eastAsia="Times New Roman" w:hAnsi="Times New Roman" w:cs="Times New Roman"/>
                <w:color w:val="000000"/>
                <w:sz w:val="18"/>
                <w:szCs w:val="18"/>
                <w:lang w:val="en-US" w:eastAsia="en-US"/>
              </w:rPr>
            </w:pPr>
          </w:p>
        </w:tc>
        <w:tc>
          <w:tcPr>
            <w:tcW w:w="718" w:type="dxa"/>
            <w:tcBorders>
              <w:top w:val="single" w:sz="4" w:space="0" w:color="auto"/>
              <w:left w:val="nil"/>
              <w:right w:val="nil"/>
            </w:tcBorders>
            <w:shd w:val="clear" w:color="auto" w:fill="auto"/>
            <w:noWrap/>
            <w:vAlign w:val="center"/>
          </w:tcPr>
          <w:p w14:paraId="0B4FB429" w14:textId="77777777" w:rsidR="00F82C10" w:rsidRPr="001356FE" w:rsidRDefault="0021065D" w:rsidP="0031256D">
            <w:pPr>
              <w:spacing w:after="0" w:line="240" w:lineRule="auto"/>
              <w:jc w:val="center"/>
              <w:rPr>
                <w:rFonts w:ascii="Times New Roman" w:eastAsia="Times New Roman" w:hAnsi="Times New Roman" w:cs="Times New Roman"/>
                <w:color w:val="000000"/>
                <w:sz w:val="18"/>
                <w:szCs w:val="18"/>
                <w:lang w:val="en-US" w:eastAsia="en-US"/>
              </w:rPr>
            </w:pPr>
            <w:r w:rsidRPr="001356FE">
              <w:rPr>
                <w:rFonts w:ascii="Times New Roman" w:eastAsia="Times New Roman" w:hAnsi="Times New Roman" w:cs="Times New Roman"/>
                <w:color w:val="000000"/>
                <w:sz w:val="18"/>
                <w:szCs w:val="18"/>
                <w:lang w:val="en-US" w:eastAsia="en-US"/>
              </w:rPr>
              <w:t>62</w:t>
            </w:r>
          </w:p>
        </w:tc>
      </w:tr>
      <w:tr w:rsidR="00F82C10" w:rsidRPr="001356FE" w14:paraId="6EDF56F7" w14:textId="77777777" w:rsidTr="00992509">
        <w:trPr>
          <w:trHeight w:val="299"/>
          <w:jc w:val="center"/>
        </w:trPr>
        <w:tc>
          <w:tcPr>
            <w:tcW w:w="4410" w:type="dxa"/>
            <w:tcBorders>
              <w:left w:val="nil"/>
              <w:right w:val="nil"/>
            </w:tcBorders>
            <w:shd w:val="clear" w:color="auto" w:fill="auto"/>
            <w:noWrap/>
            <w:vAlign w:val="center"/>
          </w:tcPr>
          <w:p w14:paraId="4333D1E8" w14:textId="77777777" w:rsidR="00F82C10" w:rsidRPr="001356FE" w:rsidRDefault="00AF1C2D" w:rsidP="001C578E">
            <w:pPr>
              <w:spacing w:after="0" w:line="240" w:lineRule="auto"/>
              <w:rPr>
                <w:rFonts w:ascii="Times New Roman" w:eastAsia="Times New Roman" w:hAnsi="Times New Roman" w:cs="Times New Roman"/>
                <w:b/>
                <w:sz w:val="18"/>
                <w:szCs w:val="18"/>
                <w:lang w:val="es-CR" w:eastAsia="en-US"/>
              </w:rPr>
            </w:pPr>
            <w:r w:rsidRPr="001356FE">
              <w:rPr>
                <w:rFonts w:ascii="Times New Roman" w:eastAsia="Times New Roman" w:hAnsi="Times New Roman" w:cs="Times New Roman"/>
                <w:b/>
                <w:sz w:val="18"/>
                <w:szCs w:val="18"/>
                <w:lang w:val="es-CR" w:eastAsia="en-US"/>
              </w:rPr>
              <w:t>Total,</w:t>
            </w:r>
            <w:r w:rsidR="005C0339" w:rsidRPr="001356FE">
              <w:rPr>
                <w:rFonts w:ascii="Times New Roman" w:eastAsia="Times New Roman" w:hAnsi="Times New Roman" w:cs="Times New Roman"/>
                <w:b/>
                <w:sz w:val="18"/>
                <w:szCs w:val="18"/>
                <w:lang w:val="es-CR" w:eastAsia="en-US"/>
              </w:rPr>
              <w:t xml:space="preserve"> millones de US$</w:t>
            </w:r>
          </w:p>
        </w:tc>
        <w:tc>
          <w:tcPr>
            <w:tcW w:w="720" w:type="dxa"/>
            <w:tcBorders>
              <w:left w:val="nil"/>
              <w:right w:val="nil"/>
            </w:tcBorders>
            <w:shd w:val="clear" w:color="auto" w:fill="auto"/>
            <w:noWrap/>
            <w:vAlign w:val="center"/>
          </w:tcPr>
          <w:p w14:paraId="36088F78" w14:textId="77777777" w:rsidR="00F82C10" w:rsidRPr="001356FE" w:rsidRDefault="007A6898" w:rsidP="0031256D">
            <w:pPr>
              <w:spacing w:after="0" w:line="240" w:lineRule="auto"/>
              <w:jc w:val="center"/>
              <w:rPr>
                <w:rFonts w:ascii="Times New Roman" w:eastAsia="Times New Roman" w:hAnsi="Times New Roman" w:cs="Times New Roman"/>
                <w:b/>
                <w:color w:val="000000"/>
                <w:sz w:val="18"/>
                <w:szCs w:val="18"/>
                <w:lang w:val="es-CR" w:eastAsia="en-US"/>
              </w:rPr>
            </w:pPr>
            <w:r w:rsidRPr="001356FE">
              <w:rPr>
                <w:rFonts w:ascii="Times New Roman" w:eastAsia="Times New Roman" w:hAnsi="Times New Roman" w:cs="Times New Roman"/>
                <w:b/>
                <w:color w:val="000000"/>
                <w:sz w:val="18"/>
                <w:szCs w:val="18"/>
                <w:lang w:val="es-CR" w:eastAsia="en-US"/>
              </w:rPr>
              <w:t>3.255</w:t>
            </w:r>
          </w:p>
        </w:tc>
        <w:tc>
          <w:tcPr>
            <w:tcW w:w="3591" w:type="dxa"/>
            <w:tcBorders>
              <w:left w:val="nil"/>
              <w:right w:val="nil"/>
            </w:tcBorders>
            <w:shd w:val="clear" w:color="auto" w:fill="auto"/>
            <w:noWrap/>
            <w:vAlign w:val="center"/>
          </w:tcPr>
          <w:p w14:paraId="0174AE70" w14:textId="77777777" w:rsidR="00F82C10" w:rsidRPr="001356FE" w:rsidRDefault="00F82C10" w:rsidP="001C578E">
            <w:pPr>
              <w:spacing w:after="0" w:line="240" w:lineRule="auto"/>
              <w:rPr>
                <w:rFonts w:ascii="Times New Roman" w:eastAsia="Times New Roman" w:hAnsi="Times New Roman" w:cs="Times New Roman"/>
                <w:b/>
                <w:color w:val="000000"/>
                <w:sz w:val="18"/>
                <w:szCs w:val="18"/>
                <w:lang w:val="en-US" w:eastAsia="en-US"/>
              </w:rPr>
            </w:pPr>
          </w:p>
        </w:tc>
        <w:tc>
          <w:tcPr>
            <w:tcW w:w="718" w:type="dxa"/>
            <w:tcBorders>
              <w:left w:val="nil"/>
              <w:right w:val="nil"/>
            </w:tcBorders>
            <w:shd w:val="clear" w:color="auto" w:fill="auto"/>
            <w:noWrap/>
            <w:vAlign w:val="center"/>
          </w:tcPr>
          <w:p w14:paraId="7454A8DF" w14:textId="77777777" w:rsidR="00F82C10" w:rsidRPr="001356FE" w:rsidRDefault="0021065D" w:rsidP="0031256D">
            <w:pPr>
              <w:spacing w:after="0" w:line="240" w:lineRule="auto"/>
              <w:jc w:val="center"/>
              <w:rPr>
                <w:rFonts w:ascii="Times New Roman" w:eastAsia="Times New Roman" w:hAnsi="Times New Roman" w:cs="Times New Roman"/>
                <w:b/>
                <w:color w:val="000000"/>
                <w:sz w:val="18"/>
                <w:szCs w:val="18"/>
                <w:lang w:val="en-US" w:eastAsia="en-US"/>
              </w:rPr>
            </w:pPr>
            <w:r w:rsidRPr="001356FE">
              <w:rPr>
                <w:rFonts w:ascii="Times New Roman" w:eastAsia="Times New Roman" w:hAnsi="Times New Roman" w:cs="Times New Roman"/>
                <w:b/>
                <w:color w:val="000000"/>
                <w:sz w:val="18"/>
                <w:szCs w:val="18"/>
                <w:lang w:val="en-US" w:eastAsia="en-US"/>
              </w:rPr>
              <w:t>12.</w:t>
            </w:r>
            <w:r w:rsidR="009B0CA9" w:rsidRPr="001356FE">
              <w:rPr>
                <w:rFonts w:ascii="Times New Roman" w:eastAsia="Times New Roman" w:hAnsi="Times New Roman" w:cs="Times New Roman"/>
                <w:b/>
                <w:color w:val="000000"/>
                <w:sz w:val="18"/>
                <w:szCs w:val="18"/>
                <w:lang w:val="en-US" w:eastAsia="en-US"/>
              </w:rPr>
              <w:t>711</w:t>
            </w:r>
          </w:p>
        </w:tc>
      </w:tr>
    </w:tbl>
    <w:p w14:paraId="091832F3" w14:textId="77777777" w:rsidR="005B2D62" w:rsidRPr="0058649E" w:rsidRDefault="007D0523" w:rsidP="007D0523">
      <w:pPr>
        <w:spacing w:line="240" w:lineRule="auto"/>
        <w:jc w:val="center"/>
        <w:rPr>
          <w:rFonts w:ascii="Times New Roman" w:hAnsi="Times New Roman" w:cs="Times New Roman"/>
          <w:sz w:val="18"/>
          <w:szCs w:val="24"/>
          <w:lang w:val="en-US"/>
        </w:rPr>
      </w:pPr>
      <w:r w:rsidRPr="0058649E">
        <w:rPr>
          <w:rFonts w:ascii="Times New Roman" w:hAnsi="Times New Roman" w:cs="Times New Roman"/>
          <w:sz w:val="18"/>
          <w:szCs w:val="24"/>
          <w:lang w:val="en-US"/>
        </w:rPr>
        <w:t>Fuente: UN Comtrade</w:t>
      </w:r>
    </w:p>
    <w:p w14:paraId="00675971" w14:textId="23425437" w:rsidR="00B03F80" w:rsidRPr="00505AF3" w:rsidRDefault="00505AF3" w:rsidP="00505AF3">
      <w:pPr>
        <w:pStyle w:val="Caption"/>
        <w:spacing w:after="0"/>
        <w:jc w:val="center"/>
        <w:rPr>
          <w:rFonts w:ascii="Times New Roman" w:hAnsi="Times New Roman" w:cs="Times New Roman"/>
          <w:b/>
          <w:i w:val="0"/>
          <w:color w:val="auto"/>
          <w:sz w:val="22"/>
          <w:szCs w:val="22"/>
        </w:rPr>
      </w:pPr>
      <w:bookmarkStart w:id="12" w:name="_Toc518399858"/>
      <w:r w:rsidRPr="00505AF3">
        <w:rPr>
          <w:rFonts w:ascii="Times New Roman" w:hAnsi="Times New Roman" w:cs="Times New Roman"/>
          <w:b/>
          <w:i w:val="0"/>
          <w:color w:val="auto"/>
          <w:sz w:val="22"/>
          <w:szCs w:val="22"/>
        </w:rPr>
        <w:t xml:space="preserve">Tabla </w:t>
      </w:r>
      <w:r w:rsidRPr="00505AF3">
        <w:rPr>
          <w:rFonts w:ascii="Times New Roman" w:hAnsi="Times New Roman" w:cs="Times New Roman"/>
          <w:b/>
          <w:i w:val="0"/>
          <w:color w:val="auto"/>
          <w:sz w:val="22"/>
          <w:szCs w:val="22"/>
        </w:rPr>
        <w:fldChar w:fldCharType="begin"/>
      </w:r>
      <w:r w:rsidRPr="00505AF3">
        <w:rPr>
          <w:rFonts w:ascii="Times New Roman" w:hAnsi="Times New Roman" w:cs="Times New Roman"/>
          <w:b/>
          <w:i w:val="0"/>
          <w:color w:val="auto"/>
          <w:sz w:val="22"/>
          <w:szCs w:val="22"/>
        </w:rPr>
        <w:instrText xml:space="preserve"> SEQ Tabla \* ARABIC </w:instrText>
      </w:r>
      <w:r w:rsidRPr="00505AF3">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3</w:t>
      </w:r>
      <w:r w:rsidRPr="00505AF3">
        <w:rPr>
          <w:rFonts w:ascii="Times New Roman" w:hAnsi="Times New Roman" w:cs="Times New Roman"/>
          <w:b/>
          <w:i w:val="0"/>
          <w:color w:val="auto"/>
          <w:sz w:val="22"/>
          <w:szCs w:val="22"/>
        </w:rPr>
        <w:fldChar w:fldCharType="end"/>
      </w:r>
      <w:r w:rsidR="00B03F80" w:rsidRPr="00505AF3">
        <w:rPr>
          <w:rFonts w:ascii="Times New Roman" w:hAnsi="Times New Roman" w:cs="Times New Roman"/>
          <w:b/>
          <w:i w:val="0"/>
          <w:color w:val="auto"/>
          <w:sz w:val="22"/>
          <w:szCs w:val="22"/>
        </w:rPr>
        <w:t>. Valor agregado de la producción de bienes y servicios según régimen, 2015</w:t>
      </w:r>
      <w:bookmarkEnd w:id="12"/>
    </w:p>
    <w:p w14:paraId="17DEEA44" w14:textId="77777777" w:rsidR="00B03F80" w:rsidRDefault="00B03F80" w:rsidP="00B03F80">
      <w:pPr>
        <w:spacing w:after="0" w:line="240" w:lineRule="auto"/>
        <w:jc w:val="center"/>
        <w:rPr>
          <w:rFonts w:ascii="Times New Roman" w:hAnsi="Times New Roman" w:cs="Times New Roman"/>
          <w:b/>
          <w:szCs w:val="24"/>
        </w:rPr>
      </w:pPr>
      <w:r>
        <w:rPr>
          <w:rFonts w:ascii="Times New Roman" w:hAnsi="Times New Roman" w:cs="Times New Roman"/>
          <w:b/>
          <w:szCs w:val="24"/>
        </w:rPr>
        <w:t>Millones de colones</w:t>
      </w:r>
    </w:p>
    <w:tbl>
      <w:tblPr>
        <w:tblW w:w="5000" w:type="pct"/>
        <w:tblLook w:val="04A0" w:firstRow="1" w:lastRow="0" w:firstColumn="1" w:lastColumn="0" w:noHBand="0" w:noVBand="1"/>
      </w:tblPr>
      <w:tblGrid>
        <w:gridCol w:w="2233"/>
        <w:gridCol w:w="3307"/>
        <w:gridCol w:w="3530"/>
      </w:tblGrid>
      <w:tr w:rsidR="00B03F80" w:rsidRPr="00B03F80" w14:paraId="335D551B" w14:textId="77777777" w:rsidTr="00B03F80">
        <w:trPr>
          <w:trHeight w:val="288"/>
        </w:trPr>
        <w:tc>
          <w:tcPr>
            <w:tcW w:w="1231" w:type="pct"/>
            <w:tcBorders>
              <w:top w:val="double" w:sz="4" w:space="0" w:color="auto"/>
              <w:left w:val="nil"/>
              <w:bottom w:val="double" w:sz="4" w:space="0" w:color="auto"/>
              <w:right w:val="nil"/>
            </w:tcBorders>
            <w:shd w:val="clear" w:color="auto" w:fill="auto"/>
            <w:noWrap/>
            <w:vAlign w:val="center"/>
            <w:hideMark/>
          </w:tcPr>
          <w:p w14:paraId="5DCDFE9B" w14:textId="77777777" w:rsidR="00B03F80" w:rsidRPr="00B03F80" w:rsidRDefault="00B03F80" w:rsidP="00B03F80">
            <w:pPr>
              <w:spacing w:after="0" w:line="240" w:lineRule="auto"/>
              <w:jc w:val="center"/>
              <w:rPr>
                <w:rFonts w:ascii="Times New Roman" w:eastAsia="Times New Roman" w:hAnsi="Times New Roman" w:cs="Times New Roman"/>
                <w:b/>
                <w:sz w:val="18"/>
                <w:szCs w:val="24"/>
                <w:lang w:val="en-US" w:eastAsia="en-US"/>
              </w:rPr>
            </w:pPr>
          </w:p>
        </w:tc>
        <w:tc>
          <w:tcPr>
            <w:tcW w:w="1823" w:type="pct"/>
            <w:tcBorders>
              <w:top w:val="double" w:sz="4" w:space="0" w:color="auto"/>
              <w:left w:val="nil"/>
              <w:bottom w:val="double" w:sz="4" w:space="0" w:color="auto"/>
              <w:right w:val="nil"/>
            </w:tcBorders>
            <w:shd w:val="clear" w:color="auto" w:fill="auto"/>
            <w:noWrap/>
            <w:vAlign w:val="center"/>
            <w:hideMark/>
          </w:tcPr>
          <w:p w14:paraId="42AD6897" w14:textId="77777777" w:rsidR="00B03F80" w:rsidRPr="00B03F80" w:rsidRDefault="00B03F80" w:rsidP="00B03F80">
            <w:pPr>
              <w:spacing w:after="0" w:line="240" w:lineRule="auto"/>
              <w:jc w:val="center"/>
              <w:rPr>
                <w:rFonts w:ascii="Times New Roman" w:eastAsia="Times New Roman" w:hAnsi="Times New Roman" w:cs="Times New Roman"/>
                <w:b/>
                <w:color w:val="000000"/>
                <w:sz w:val="18"/>
                <w:lang w:val="en-US" w:eastAsia="en-US"/>
              </w:rPr>
            </w:pPr>
            <w:r w:rsidRPr="00B03F80">
              <w:rPr>
                <w:rFonts w:ascii="Times New Roman" w:eastAsia="Times New Roman" w:hAnsi="Times New Roman" w:cs="Times New Roman"/>
                <w:b/>
                <w:color w:val="000000"/>
                <w:sz w:val="18"/>
                <w:lang w:val="en-US" w:eastAsia="en-US"/>
              </w:rPr>
              <w:t>Zona Franca</w:t>
            </w:r>
          </w:p>
        </w:tc>
        <w:tc>
          <w:tcPr>
            <w:tcW w:w="1946" w:type="pct"/>
            <w:tcBorders>
              <w:top w:val="double" w:sz="4" w:space="0" w:color="auto"/>
              <w:left w:val="nil"/>
              <w:bottom w:val="double" w:sz="4" w:space="0" w:color="auto"/>
              <w:right w:val="nil"/>
            </w:tcBorders>
            <w:shd w:val="clear" w:color="auto" w:fill="auto"/>
            <w:noWrap/>
            <w:vAlign w:val="center"/>
            <w:hideMark/>
          </w:tcPr>
          <w:p w14:paraId="11924492" w14:textId="77777777" w:rsidR="00B03F80" w:rsidRPr="00B03F80" w:rsidRDefault="00B03F80" w:rsidP="00B03F80">
            <w:pPr>
              <w:spacing w:after="0" w:line="240" w:lineRule="auto"/>
              <w:jc w:val="center"/>
              <w:rPr>
                <w:rFonts w:ascii="Times New Roman" w:eastAsia="Times New Roman" w:hAnsi="Times New Roman" w:cs="Times New Roman"/>
                <w:b/>
                <w:color w:val="000000"/>
                <w:sz w:val="18"/>
                <w:lang w:val="en-US" w:eastAsia="en-US"/>
              </w:rPr>
            </w:pPr>
            <w:r w:rsidRPr="00B03F80">
              <w:rPr>
                <w:rFonts w:ascii="Times New Roman" w:eastAsia="Times New Roman" w:hAnsi="Times New Roman" w:cs="Times New Roman"/>
                <w:b/>
                <w:color w:val="000000"/>
                <w:sz w:val="18"/>
                <w:lang w:val="en-US" w:eastAsia="en-US"/>
              </w:rPr>
              <w:t>Régimen Definitivo</w:t>
            </w:r>
          </w:p>
        </w:tc>
      </w:tr>
      <w:tr w:rsidR="00B03F80" w:rsidRPr="00B03F80" w14:paraId="23B6F475" w14:textId="77777777" w:rsidTr="00B03F80">
        <w:trPr>
          <w:trHeight w:val="288"/>
        </w:trPr>
        <w:tc>
          <w:tcPr>
            <w:tcW w:w="1231" w:type="pct"/>
            <w:tcBorders>
              <w:top w:val="double" w:sz="4" w:space="0" w:color="auto"/>
              <w:left w:val="nil"/>
              <w:bottom w:val="nil"/>
              <w:right w:val="nil"/>
            </w:tcBorders>
            <w:shd w:val="clear" w:color="auto" w:fill="auto"/>
            <w:noWrap/>
            <w:vAlign w:val="center"/>
            <w:hideMark/>
          </w:tcPr>
          <w:p w14:paraId="1E96ABE7" w14:textId="77777777" w:rsidR="00B03F80" w:rsidRPr="00B03F80" w:rsidRDefault="00B03F80" w:rsidP="00B03F80">
            <w:pPr>
              <w:spacing w:after="0" w:line="240" w:lineRule="auto"/>
              <w:jc w:val="center"/>
              <w:rPr>
                <w:rFonts w:ascii="Times New Roman" w:eastAsia="Times New Roman" w:hAnsi="Times New Roman" w:cs="Times New Roman"/>
                <w:b/>
                <w:color w:val="000000"/>
                <w:sz w:val="18"/>
                <w:lang w:val="en-US" w:eastAsia="en-US"/>
              </w:rPr>
            </w:pPr>
            <w:r w:rsidRPr="00B03F80">
              <w:rPr>
                <w:rFonts w:ascii="Times New Roman" w:eastAsia="Times New Roman" w:hAnsi="Times New Roman" w:cs="Times New Roman"/>
                <w:b/>
                <w:color w:val="000000"/>
                <w:sz w:val="18"/>
                <w:lang w:val="en-US" w:eastAsia="en-US"/>
              </w:rPr>
              <w:t>Bienes</w:t>
            </w:r>
          </w:p>
        </w:tc>
        <w:tc>
          <w:tcPr>
            <w:tcW w:w="1823" w:type="pct"/>
            <w:tcBorders>
              <w:top w:val="double" w:sz="4" w:space="0" w:color="auto"/>
              <w:left w:val="nil"/>
              <w:bottom w:val="nil"/>
              <w:right w:val="nil"/>
            </w:tcBorders>
            <w:shd w:val="clear" w:color="auto" w:fill="auto"/>
            <w:noWrap/>
            <w:vAlign w:val="center"/>
            <w:hideMark/>
          </w:tcPr>
          <w:p w14:paraId="154D6E26" w14:textId="77777777" w:rsidR="00B03F80" w:rsidRPr="00B03F80" w:rsidRDefault="00B03F80" w:rsidP="00B03F80">
            <w:pPr>
              <w:spacing w:after="0" w:line="240" w:lineRule="auto"/>
              <w:jc w:val="center"/>
              <w:rPr>
                <w:rFonts w:ascii="Times New Roman" w:eastAsia="Times New Roman" w:hAnsi="Times New Roman" w:cs="Times New Roman"/>
                <w:color w:val="000000"/>
                <w:sz w:val="18"/>
                <w:lang w:val="en-US" w:eastAsia="en-US"/>
              </w:rPr>
            </w:pPr>
            <w:r w:rsidRPr="00B03F80">
              <w:rPr>
                <w:rFonts w:ascii="Times New Roman" w:eastAsia="Times New Roman" w:hAnsi="Times New Roman" w:cs="Times New Roman"/>
                <w:color w:val="000000"/>
                <w:sz w:val="18"/>
                <w:lang w:val="en-US" w:eastAsia="en-US"/>
              </w:rPr>
              <w:t xml:space="preserve"> 1</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159</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944</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8</w:t>
            </w:r>
          </w:p>
        </w:tc>
        <w:tc>
          <w:tcPr>
            <w:tcW w:w="1946" w:type="pct"/>
            <w:tcBorders>
              <w:top w:val="double" w:sz="4" w:space="0" w:color="auto"/>
              <w:left w:val="nil"/>
              <w:bottom w:val="nil"/>
              <w:right w:val="nil"/>
            </w:tcBorders>
            <w:shd w:val="clear" w:color="auto" w:fill="auto"/>
            <w:noWrap/>
            <w:vAlign w:val="center"/>
            <w:hideMark/>
          </w:tcPr>
          <w:p w14:paraId="5687683E" w14:textId="77777777" w:rsidR="00B03F80" w:rsidRPr="00B03F80" w:rsidRDefault="00B03F80" w:rsidP="00B03F80">
            <w:pPr>
              <w:spacing w:after="0" w:line="240" w:lineRule="auto"/>
              <w:jc w:val="center"/>
              <w:rPr>
                <w:rFonts w:ascii="Times New Roman" w:eastAsia="Times New Roman" w:hAnsi="Times New Roman" w:cs="Times New Roman"/>
                <w:color w:val="000000"/>
                <w:sz w:val="18"/>
                <w:lang w:val="en-US" w:eastAsia="en-US"/>
              </w:rPr>
            </w:pPr>
            <w:r w:rsidRPr="00B03F80">
              <w:rPr>
                <w:rFonts w:ascii="Times New Roman" w:eastAsia="Times New Roman" w:hAnsi="Times New Roman" w:cs="Times New Roman"/>
                <w:color w:val="000000"/>
                <w:sz w:val="18"/>
                <w:lang w:val="en-US" w:eastAsia="en-US"/>
              </w:rPr>
              <w:t>254</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551</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05</w:t>
            </w:r>
          </w:p>
        </w:tc>
      </w:tr>
      <w:tr w:rsidR="00B03F80" w:rsidRPr="00B03F80" w14:paraId="1FBF8D7A" w14:textId="77777777" w:rsidTr="00B03F80">
        <w:trPr>
          <w:trHeight w:val="288"/>
        </w:trPr>
        <w:tc>
          <w:tcPr>
            <w:tcW w:w="1231" w:type="pct"/>
            <w:tcBorders>
              <w:top w:val="nil"/>
              <w:left w:val="nil"/>
              <w:right w:val="nil"/>
            </w:tcBorders>
            <w:shd w:val="clear" w:color="auto" w:fill="auto"/>
            <w:noWrap/>
            <w:vAlign w:val="center"/>
            <w:hideMark/>
          </w:tcPr>
          <w:p w14:paraId="3CCCEF7E" w14:textId="77777777" w:rsidR="00B03F80" w:rsidRPr="00B03F80" w:rsidRDefault="00B03F80" w:rsidP="00B03F80">
            <w:pPr>
              <w:spacing w:after="0" w:line="240" w:lineRule="auto"/>
              <w:jc w:val="center"/>
              <w:rPr>
                <w:rFonts w:ascii="Times New Roman" w:eastAsia="Times New Roman" w:hAnsi="Times New Roman" w:cs="Times New Roman"/>
                <w:b/>
                <w:color w:val="000000"/>
                <w:sz w:val="18"/>
                <w:lang w:val="en-US" w:eastAsia="en-US"/>
              </w:rPr>
            </w:pPr>
            <w:r w:rsidRPr="00B03F80">
              <w:rPr>
                <w:rFonts w:ascii="Times New Roman" w:eastAsia="Times New Roman" w:hAnsi="Times New Roman" w:cs="Times New Roman"/>
                <w:b/>
                <w:color w:val="000000"/>
                <w:sz w:val="18"/>
                <w:lang w:val="en-US" w:eastAsia="en-US"/>
              </w:rPr>
              <w:t>Servicios</w:t>
            </w:r>
          </w:p>
        </w:tc>
        <w:tc>
          <w:tcPr>
            <w:tcW w:w="1823" w:type="pct"/>
            <w:tcBorders>
              <w:top w:val="nil"/>
              <w:left w:val="nil"/>
              <w:right w:val="nil"/>
            </w:tcBorders>
            <w:shd w:val="clear" w:color="auto" w:fill="auto"/>
            <w:noWrap/>
            <w:vAlign w:val="center"/>
            <w:hideMark/>
          </w:tcPr>
          <w:p w14:paraId="1D0C7716" w14:textId="77777777" w:rsidR="00B03F80" w:rsidRPr="00B03F80" w:rsidRDefault="00B03F80" w:rsidP="00B03F80">
            <w:pPr>
              <w:spacing w:after="0" w:line="240" w:lineRule="auto"/>
              <w:jc w:val="center"/>
              <w:rPr>
                <w:rFonts w:ascii="Times New Roman" w:eastAsia="Times New Roman" w:hAnsi="Times New Roman" w:cs="Times New Roman"/>
                <w:color w:val="000000"/>
                <w:sz w:val="18"/>
                <w:lang w:val="en-US" w:eastAsia="en-US"/>
              </w:rPr>
            </w:pPr>
            <w:r w:rsidRPr="00B03F80">
              <w:rPr>
                <w:rFonts w:ascii="Times New Roman" w:eastAsia="Times New Roman" w:hAnsi="Times New Roman" w:cs="Times New Roman"/>
                <w:color w:val="000000"/>
                <w:sz w:val="18"/>
                <w:lang w:val="en-US" w:eastAsia="en-US"/>
              </w:rPr>
              <w:t xml:space="preserve">    729</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543</w:t>
            </w:r>
            <w:r>
              <w:rPr>
                <w:rFonts w:ascii="Times New Roman" w:eastAsia="Times New Roman" w:hAnsi="Times New Roman" w:cs="Times New Roman"/>
                <w:color w:val="000000"/>
                <w:sz w:val="18"/>
                <w:lang w:val="en-US" w:eastAsia="en-US"/>
              </w:rPr>
              <w:t>,2</w:t>
            </w:r>
          </w:p>
        </w:tc>
        <w:tc>
          <w:tcPr>
            <w:tcW w:w="1946" w:type="pct"/>
            <w:tcBorders>
              <w:top w:val="nil"/>
              <w:left w:val="nil"/>
              <w:right w:val="nil"/>
            </w:tcBorders>
            <w:shd w:val="clear" w:color="auto" w:fill="auto"/>
            <w:noWrap/>
            <w:vAlign w:val="center"/>
            <w:hideMark/>
          </w:tcPr>
          <w:p w14:paraId="02415752" w14:textId="77777777" w:rsidR="00B03F80" w:rsidRPr="00B03F80" w:rsidRDefault="00B03F80" w:rsidP="00B03F80">
            <w:pPr>
              <w:spacing w:after="0" w:line="240" w:lineRule="auto"/>
              <w:jc w:val="center"/>
              <w:rPr>
                <w:rFonts w:ascii="Times New Roman" w:eastAsia="Times New Roman" w:hAnsi="Times New Roman" w:cs="Times New Roman"/>
                <w:color w:val="000000"/>
                <w:sz w:val="18"/>
                <w:lang w:val="en-US" w:eastAsia="en-US"/>
              </w:rPr>
            </w:pPr>
            <w:r w:rsidRPr="00B03F80">
              <w:rPr>
                <w:rFonts w:ascii="Times New Roman" w:eastAsia="Times New Roman" w:hAnsi="Times New Roman" w:cs="Times New Roman"/>
                <w:color w:val="000000"/>
                <w:sz w:val="18"/>
                <w:lang w:val="en-US" w:eastAsia="en-US"/>
              </w:rPr>
              <w:t>23</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699</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206</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92</w:t>
            </w:r>
          </w:p>
        </w:tc>
      </w:tr>
      <w:tr w:rsidR="00B03F80" w:rsidRPr="00B03F80" w14:paraId="307AD183" w14:textId="77777777" w:rsidTr="00B03F80">
        <w:trPr>
          <w:trHeight w:val="288"/>
        </w:trPr>
        <w:tc>
          <w:tcPr>
            <w:tcW w:w="1231" w:type="pct"/>
            <w:tcBorders>
              <w:top w:val="nil"/>
              <w:left w:val="nil"/>
              <w:bottom w:val="double" w:sz="4" w:space="0" w:color="auto"/>
              <w:right w:val="nil"/>
            </w:tcBorders>
            <w:shd w:val="clear" w:color="auto" w:fill="auto"/>
            <w:noWrap/>
            <w:vAlign w:val="center"/>
            <w:hideMark/>
          </w:tcPr>
          <w:p w14:paraId="12A34D01" w14:textId="77777777" w:rsidR="00B03F80" w:rsidRPr="00B03F80" w:rsidRDefault="00B03F80" w:rsidP="00B03F80">
            <w:pPr>
              <w:spacing w:after="0" w:line="240" w:lineRule="auto"/>
              <w:jc w:val="center"/>
              <w:rPr>
                <w:rFonts w:ascii="Times New Roman" w:eastAsia="Times New Roman" w:hAnsi="Times New Roman" w:cs="Times New Roman"/>
                <w:b/>
                <w:color w:val="000000"/>
                <w:sz w:val="18"/>
                <w:lang w:val="en-US" w:eastAsia="en-US"/>
              </w:rPr>
            </w:pPr>
            <w:r w:rsidRPr="00B03F80">
              <w:rPr>
                <w:rFonts w:ascii="Times New Roman" w:eastAsia="Times New Roman" w:hAnsi="Times New Roman" w:cs="Times New Roman"/>
                <w:b/>
                <w:color w:val="000000"/>
                <w:sz w:val="18"/>
                <w:lang w:val="en-US" w:eastAsia="en-US"/>
              </w:rPr>
              <w:t>Total</w:t>
            </w:r>
          </w:p>
        </w:tc>
        <w:tc>
          <w:tcPr>
            <w:tcW w:w="1823" w:type="pct"/>
            <w:tcBorders>
              <w:top w:val="nil"/>
              <w:left w:val="nil"/>
              <w:bottom w:val="double" w:sz="4" w:space="0" w:color="auto"/>
              <w:right w:val="nil"/>
            </w:tcBorders>
            <w:shd w:val="clear" w:color="auto" w:fill="auto"/>
            <w:noWrap/>
            <w:vAlign w:val="center"/>
            <w:hideMark/>
          </w:tcPr>
          <w:p w14:paraId="1DCDD504" w14:textId="77777777" w:rsidR="00B03F80" w:rsidRPr="00B03F80" w:rsidRDefault="00B03F80" w:rsidP="00B03F80">
            <w:pPr>
              <w:spacing w:after="0" w:line="240" w:lineRule="auto"/>
              <w:jc w:val="center"/>
              <w:rPr>
                <w:rFonts w:ascii="Times New Roman" w:eastAsia="Times New Roman" w:hAnsi="Times New Roman" w:cs="Times New Roman"/>
                <w:color w:val="000000"/>
                <w:sz w:val="18"/>
                <w:lang w:val="en-US" w:eastAsia="en-US"/>
              </w:rPr>
            </w:pPr>
            <w:r w:rsidRPr="00B03F80">
              <w:rPr>
                <w:rFonts w:ascii="Times New Roman" w:eastAsia="Times New Roman" w:hAnsi="Times New Roman" w:cs="Times New Roman"/>
                <w:color w:val="000000"/>
                <w:sz w:val="18"/>
                <w:lang w:val="en-US" w:eastAsia="en-US"/>
              </w:rPr>
              <w:t xml:space="preserve"> 2</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003</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662</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5</w:t>
            </w:r>
          </w:p>
        </w:tc>
        <w:tc>
          <w:tcPr>
            <w:tcW w:w="1946" w:type="pct"/>
            <w:tcBorders>
              <w:top w:val="nil"/>
              <w:left w:val="nil"/>
              <w:bottom w:val="double" w:sz="4" w:space="0" w:color="auto"/>
              <w:right w:val="nil"/>
            </w:tcBorders>
            <w:shd w:val="clear" w:color="auto" w:fill="auto"/>
            <w:noWrap/>
            <w:vAlign w:val="center"/>
            <w:hideMark/>
          </w:tcPr>
          <w:p w14:paraId="7C71B006" w14:textId="77777777" w:rsidR="00B03F80" w:rsidRPr="00B03F80" w:rsidRDefault="00B03F80" w:rsidP="00B03F80">
            <w:pPr>
              <w:spacing w:after="0" w:line="240" w:lineRule="auto"/>
              <w:jc w:val="center"/>
              <w:rPr>
                <w:rFonts w:ascii="Times New Roman" w:eastAsia="Times New Roman" w:hAnsi="Times New Roman" w:cs="Times New Roman"/>
                <w:color w:val="000000"/>
                <w:sz w:val="18"/>
                <w:lang w:val="en-US" w:eastAsia="en-US"/>
              </w:rPr>
            </w:pPr>
            <w:r w:rsidRPr="00B03F80">
              <w:rPr>
                <w:rFonts w:ascii="Times New Roman" w:eastAsia="Times New Roman" w:hAnsi="Times New Roman" w:cs="Times New Roman"/>
                <w:color w:val="000000"/>
                <w:sz w:val="18"/>
                <w:lang w:val="en-US" w:eastAsia="en-US"/>
              </w:rPr>
              <w:t>18</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928</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336</w:t>
            </w:r>
            <w:r>
              <w:rPr>
                <w:rFonts w:ascii="Times New Roman" w:eastAsia="Times New Roman" w:hAnsi="Times New Roman" w:cs="Times New Roman"/>
                <w:color w:val="000000"/>
                <w:sz w:val="18"/>
                <w:lang w:val="en-US" w:eastAsia="en-US"/>
              </w:rPr>
              <w:t>,</w:t>
            </w:r>
            <w:r w:rsidRPr="00B03F80">
              <w:rPr>
                <w:rFonts w:ascii="Times New Roman" w:eastAsia="Times New Roman" w:hAnsi="Times New Roman" w:cs="Times New Roman"/>
                <w:color w:val="000000"/>
                <w:sz w:val="18"/>
                <w:lang w:val="en-US" w:eastAsia="en-US"/>
              </w:rPr>
              <w:t>73</w:t>
            </w:r>
          </w:p>
        </w:tc>
      </w:tr>
    </w:tbl>
    <w:p w14:paraId="72C467D4" w14:textId="77777777" w:rsidR="00B03F80" w:rsidRPr="00B03F80" w:rsidRDefault="00B03F80" w:rsidP="00B03F80">
      <w:pPr>
        <w:spacing w:after="0" w:line="240" w:lineRule="auto"/>
        <w:jc w:val="center"/>
        <w:rPr>
          <w:rFonts w:ascii="Times New Roman" w:hAnsi="Times New Roman" w:cs="Times New Roman"/>
          <w:sz w:val="18"/>
          <w:szCs w:val="24"/>
        </w:rPr>
      </w:pPr>
      <w:r w:rsidRPr="00B03F80">
        <w:rPr>
          <w:rFonts w:ascii="Times New Roman" w:hAnsi="Times New Roman" w:cs="Times New Roman"/>
          <w:sz w:val="18"/>
          <w:szCs w:val="24"/>
        </w:rPr>
        <w:t>Fuente: Banco Central de Costa Rica</w:t>
      </w:r>
    </w:p>
    <w:p w14:paraId="73D016AA" w14:textId="77777777" w:rsidR="008E467D" w:rsidRDefault="008E467D" w:rsidP="008E467D">
      <w:pPr>
        <w:spacing w:after="0" w:line="240" w:lineRule="auto"/>
        <w:jc w:val="both"/>
        <w:rPr>
          <w:rFonts w:ascii="Times New Roman" w:hAnsi="Times New Roman" w:cs="Times New Roman"/>
          <w:b/>
          <w:szCs w:val="24"/>
        </w:rPr>
      </w:pPr>
    </w:p>
    <w:p w14:paraId="11027245" w14:textId="2E09A94D" w:rsidR="00C8146A" w:rsidRPr="007364D6" w:rsidRDefault="007364D6" w:rsidP="007364D6">
      <w:pPr>
        <w:pStyle w:val="Caption"/>
        <w:spacing w:after="0"/>
        <w:jc w:val="center"/>
        <w:rPr>
          <w:rFonts w:ascii="Times New Roman" w:hAnsi="Times New Roman" w:cs="Times New Roman"/>
          <w:b/>
          <w:i w:val="0"/>
          <w:color w:val="auto"/>
          <w:sz w:val="22"/>
          <w:szCs w:val="22"/>
        </w:rPr>
      </w:pPr>
      <w:bookmarkStart w:id="13" w:name="_Toc518399416"/>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9</w:t>
      </w:r>
      <w:r w:rsidRPr="007364D6">
        <w:rPr>
          <w:rFonts w:ascii="Times New Roman" w:hAnsi="Times New Roman" w:cs="Times New Roman"/>
          <w:b/>
          <w:i w:val="0"/>
          <w:color w:val="auto"/>
          <w:sz w:val="22"/>
          <w:szCs w:val="22"/>
        </w:rPr>
        <w:fldChar w:fldCharType="end"/>
      </w:r>
      <w:r w:rsidR="00C8146A" w:rsidRPr="007364D6">
        <w:rPr>
          <w:rFonts w:ascii="Times New Roman" w:hAnsi="Times New Roman" w:cs="Times New Roman"/>
          <w:b/>
          <w:i w:val="0"/>
          <w:color w:val="auto"/>
          <w:sz w:val="22"/>
          <w:szCs w:val="22"/>
        </w:rPr>
        <w:t>. Destino de las exportaciones de bienes y turismo como % del total de exportaciones de bienes y turismo, 1995 vs 2016</w:t>
      </w:r>
      <w:bookmarkEnd w:id="13"/>
    </w:p>
    <w:p w14:paraId="25E673F2" w14:textId="77777777" w:rsidR="00C8146A" w:rsidRPr="00C8146A" w:rsidRDefault="00992509" w:rsidP="007D0523">
      <w:pPr>
        <w:spacing w:line="240" w:lineRule="auto"/>
        <w:jc w:val="center"/>
        <w:rPr>
          <w:rFonts w:ascii="Times New Roman" w:hAnsi="Times New Roman" w:cs="Times New Roman"/>
          <w:szCs w:val="24"/>
          <w:lang w:val="es-ES_tradnl"/>
        </w:rPr>
      </w:pPr>
      <w:r>
        <w:rPr>
          <w:noProof/>
          <w:lang w:val="es-CR" w:eastAsia="es-CR"/>
        </w:rPr>
        <w:lastRenderedPageBreak/>
        <w:drawing>
          <wp:inline distT="0" distB="0" distL="0" distR="0" wp14:anchorId="3C49C77B" wp14:editId="75768668">
            <wp:extent cx="4572000" cy="2743200"/>
            <wp:effectExtent l="0" t="0" r="0" b="0"/>
            <wp:docPr id="24" name="Chart 24">
              <a:extLst xmlns:a="http://schemas.openxmlformats.org/drawingml/2006/main">
                <a:ext uri="{FF2B5EF4-FFF2-40B4-BE49-F238E27FC236}">
                  <a16:creationId xmlns:a16="http://schemas.microsoft.com/office/drawing/2014/main" id="{1C957492-5501-4EE2-8BC5-C87D51F762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14FACB35" w14:textId="77777777" w:rsidR="00C8146A" w:rsidRDefault="00C8146A" w:rsidP="007D2E92">
      <w:pPr>
        <w:spacing w:line="360" w:lineRule="auto"/>
        <w:jc w:val="center"/>
        <w:rPr>
          <w:rFonts w:ascii="Times New Roman" w:hAnsi="Times New Roman" w:cs="Times New Roman"/>
          <w:color w:val="000000" w:themeColor="text1"/>
          <w:sz w:val="18"/>
          <w:szCs w:val="24"/>
        </w:rPr>
      </w:pPr>
      <w:r w:rsidRPr="008E467D">
        <w:rPr>
          <w:rFonts w:ascii="Times New Roman" w:hAnsi="Times New Roman" w:cs="Times New Roman"/>
          <w:color w:val="000000" w:themeColor="text1"/>
          <w:sz w:val="18"/>
          <w:szCs w:val="24"/>
        </w:rPr>
        <w:t>Fuente: UN Comtrade y BCCR</w:t>
      </w:r>
    </w:p>
    <w:p w14:paraId="74525DE2" w14:textId="77777777" w:rsidR="00992509" w:rsidRPr="00325F05" w:rsidRDefault="00F5113B" w:rsidP="00B119EE">
      <w:pPr>
        <w:spacing w:line="360" w:lineRule="auto"/>
        <w:jc w:val="both"/>
        <w:rPr>
          <w:rFonts w:ascii="Times New Roman" w:hAnsi="Times New Roman" w:cs="Times New Roman"/>
          <w:color w:val="000000" w:themeColor="text1"/>
          <w:szCs w:val="24"/>
        </w:rPr>
      </w:pPr>
      <w:r w:rsidRPr="00F5113B">
        <w:rPr>
          <w:noProof/>
          <w:lang w:val="es-CR" w:eastAsia="es-CR"/>
        </w:rPr>
        <mc:AlternateContent>
          <mc:Choice Requires="wps">
            <w:drawing>
              <wp:anchor distT="0" distB="0" distL="114300" distR="114300" simplePos="0" relativeHeight="251658243" behindDoc="0" locked="0" layoutInCell="1" allowOverlap="1" wp14:anchorId="5F0F43FB" wp14:editId="67AFEC4B">
                <wp:simplePos x="0" y="0"/>
                <wp:positionH relativeFrom="column">
                  <wp:posOffset>2154555</wp:posOffset>
                </wp:positionH>
                <wp:positionV relativeFrom="paragraph">
                  <wp:posOffset>3292475</wp:posOffset>
                </wp:positionV>
                <wp:extent cx="582295" cy="367030"/>
                <wp:effectExtent l="0" t="0" r="27305" b="13970"/>
                <wp:wrapNone/>
                <wp:docPr id="22" name="TextBox 4"/>
                <wp:cNvGraphicFramePr/>
                <a:graphic xmlns:a="http://schemas.openxmlformats.org/drawingml/2006/main">
                  <a:graphicData uri="http://schemas.microsoft.com/office/word/2010/wordprocessingShape">
                    <wps:wsp>
                      <wps:cNvSpPr txBox="1"/>
                      <wps:spPr>
                        <a:xfrm>
                          <a:off x="0" y="0"/>
                          <a:ext cx="582295" cy="36703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7732B213" w14:textId="77777777" w:rsidR="005E060C" w:rsidRDefault="005E060C" w:rsidP="00F5113B">
                            <w:pPr>
                              <w:pStyle w:val="NormalWeb"/>
                              <w:spacing w:before="0" w:beforeAutospacing="0" w:after="0" w:afterAutospacing="0"/>
                              <w:jc w:val="center"/>
                            </w:pPr>
                            <w:r>
                              <w:rPr>
                                <w:color w:val="000000" w:themeColor="dark1"/>
                                <w:sz w:val="18"/>
                                <w:szCs w:val="18"/>
                              </w:rPr>
                              <w:t>28% del PIB</w:t>
                            </w:r>
                          </w:p>
                        </w:txbxContent>
                      </wps:txbx>
                      <wps:bodyPr vertOverflow="clip" horzOverflow="clip" wrap="square" rtlCol="0" anchor="t"/>
                    </wps:wsp>
                  </a:graphicData>
                </a:graphic>
              </wp:anchor>
            </w:drawing>
          </mc:Choice>
          <mc:Fallback xmlns:w16="http://schemas.microsoft.com/office/word/2018/wordml" xmlns:w16cex="http://schemas.microsoft.com/office/word/2018/wordml/cex">
            <w:pict>
              <v:shapetype w14:anchorId="5F0F43FB" id="_x0000_t202" coordsize="21600,21600" o:spt="202" path="m,l,21600r21600,l21600,xe">
                <v:stroke joinstyle="miter"/>
                <v:path gradientshapeok="t" o:connecttype="rect"/>
              </v:shapetype>
              <v:shape id="TextBox 4" o:spid="_x0000_s1026" type="#_x0000_t202" style="position:absolute;left:0;text-align:left;margin-left:169.65pt;margin-top:259.25pt;width:45.85pt;height:28.9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" fillcolor="white [3201]" strokecolor="#7f7f7f [1601]">
                <v:textbox>
                  <w:txbxContent>
                    <w:p w14:paraId="7732B213" w14:textId="77777777" w:rsidR="005E060C" w:rsidRDefault="005E060C" w:rsidP="00F5113B">
                      <w:pPr>
                        <w:pStyle w:val="NormalWeb"/>
                        <w:spacing w:before="0" w:beforeAutospacing="0" w:after="0" w:afterAutospacing="0"/>
                        <w:jc w:val="center"/>
                      </w:pPr>
                      <w:r>
                        <w:rPr>
                          <w:color w:val="000000" w:themeColor="dark1"/>
                          <w:sz w:val="18"/>
                          <w:szCs w:val="18"/>
                        </w:rPr>
                        <w:t>28% del PIB</w:t>
                      </w:r>
                    </w:p>
                  </w:txbxContent>
                </v:textbox>
              </v:shape>
            </w:pict>
          </mc:Fallback>
        </mc:AlternateContent>
      </w:r>
      <w:r w:rsidR="009F7121" w:rsidRPr="00325F05">
        <w:rPr>
          <w:rFonts w:ascii="Times New Roman" w:hAnsi="Times New Roman" w:cs="Times New Roman"/>
          <w:b/>
          <w:color w:val="000000" w:themeColor="text1"/>
          <w:szCs w:val="24"/>
        </w:rPr>
        <w:t xml:space="preserve">El sector público no representa un riesgo para el sistema financiero local, </w:t>
      </w:r>
      <w:r w:rsidR="001520D0">
        <w:rPr>
          <w:rFonts w:ascii="Times New Roman" w:hAnsi="Times New Roman" w:cs="Times New Roman"/>
          <w:b/>
          <w:color w:val="000000" w:themeColor="text1"/>
          <w:szCs w:val="24"/>
        </w:rPr>
        <w:t>s</w:t>
      </w:r>
      <w:r w:rsidR="009F7121" w:rsidRPr="00325F05">
        <w:rPr>
          <w:rFonts w:ascii="Times New Roman" w:hAnsi="Times New Roman" w:cs="Times New Roman"/>
          <w:b/>
          <w:color w:val="000000" w:themeColor="text1"/>
          <w:szCs w:val="24"/>
        </w:rPr>
        <w:t xml:space="preserve">on </w:t>
      </w:r>
      <w:r w:rsidR="00242038" w:rsidRPr="00325F05">
        <w:rPr>
          <w:rFonts w:ascii="Times New Roman" w:hAnsi="Times New Roman" w:cs="Times New Roman"/>
          <w:b/>
          <w:color w:val="000000" w:themeColor="text1"/>
          <w:szCs w:val="24"/>
        </w:rPr>
        <w:t xml:space="preserve">el 3% del total de </w:t>
      </w:r>
      <w:r w:rsidR="007D2E92" w:rsidRPr="00325F05">
        <w:rPr>
          <w:rFonts w:ascii="Times New Roman" w:hAnsi="Times New Roman" w:cs="Times New Roman"/>
          <w:b/>
          <w:color w:val="000000" w:themeColor="text1"/>
          <w:szCs w:val="24"/>
        </w:rPr>
        <w:t>depósitos,</w:t>
      </w:r>
      <w:r w:rsidR="00325F05">
        <w:rPr>
          <w:rFonts w:ascii="Times New Roman" w:hAnsi="Times New Roman" w:cs="Times New Roman"/>
          <w:b/>
          <w:color w:val="000000" w:themeColor="text1"/>
          <w:szCs w:val="24"/>
        </w:rPr>
        <w:t xml:space="preserve"> pero </w:t>
      </w:r>
      <w:r w:rsidR="001520D0">
        <w:rPr>
          <w:rFonts w:ascii="Times New Roman" w:hAnsi="Times New Roman" w:cs="Times New Roman"/>
          <w:b/>
          <w:color w:val="000000" w:themeColor="text1"/>
          <w:szCs w:val="24"/>
        </w:rPr>
        <w:t>s</w:t>
      </w:r>
      <w:r w:rsidR="00674F11">
        <w:rPr>
          <w:rFonts w:ascii="Times New Roman" w:hAnsi="Times New Roman" w:cs="Times New Roman"/>
          <w:b/>
          <w:color w:val="000000" w:themeColor="text1"/>
          <w:szCs w:val="24"/>
        </w:rPr>
        <w:t>í</w:t>
      </w:r>
      <w:r w:rsidR="001520D0">
        <w:rPr>
          <w:rFonts w:ascii="Times New Roman" w:hAnsi="Times New Roman" w:cs="Times New Roman"/>
          <w:b/>
          <w:color w:val="000000" w:themeColor="text1"/>
          <w:szCs w:val="24"/>
        </w:rPr>
        <w:t xml:space="preserve"> puede serlo si ocurriera </w:t>
      </w:r>
      <w:r w:rsidR="00325F05">
        <w:rPr>
          <w:rFonts w:ascii="Times New Roman" w:hAnsi="Times New Roman" w:cs="Times New Roman"/>
          <w:b/>
          <w:color w:val="000000" w:themeColor="text1"/>
          <w:szCs w:val="24"/>
        </w:rPr>
        <w:t xml:space="preserve">una devaluación </w:t>
      </w:r>
      <w:r w:rsidR="001520D0">
        <w:rPr>
          <w:rFonts w:ascii="Times New Roman" w:hAnsi="Times New Roman" w:cs="Times New Roman"/>
          <w:b/>
          <w:color w:val="000000" w:themeColor="text1"/>
          <w:szCs w:val="24"/>
        </w:rPr>
        <w:t>originada en iliquidez fiscal</w:t>
      </w:r>
      <w:r w:rsidR="00242038" w:rsidRPr="00325F05">
        <w:rPr>
          <w:rFonts w:ascii="Times New Roman" w:hAnsi="Times New Roman" w:cs="Times New Roman"/>
          <w:b/>
          <w:color w:val="000000" w:themeColor="text1"/>
          <w:szCs w:val="24"/>
        </w:rPr>
        <w:t xml:space="preserve">. </w:t>
      </w:r>
      <w:r w:rsidR="00242038" w:rsidRPr="00325F05">
        <w:rPr>
          <w:rFonts w:ascii="Times New Roman" w:hAnsi="Times New Roman" w:cs="Times New Roman"/>
          <w:color w:val="000000" w:themeColor="text1"/>
          <w:szCs w:val="24"/>
        </w:rPr>
        <w:t>En total, los depósitos del gobierno y otras sociedades públicas no financieras representan el 0,7% del PIB.</w:t>
      </w:r>
      <w:r w:rsidR="00242038" w:rsidRPr="00325F05">
        <w:rPr>
          <w:rFonts w:ascii="Times New Roman" w:hAnsi="Times New Roman" w:cs="Times New Roman"/>
          <w:b/>
          <w:color w:val="000000" w:themeColor="text1"/>
          <w:szCs w:val="24"/>
        </w:rPr>
        <w:t xml:space="preserve"> </w:t>
      </w:r>
      <w:r w:rsidR="00242038" w:rsidRPr="00325F05">
        <w:rPr>
          <w:rFonts w:ascii="Times New Roman" w:hAnsi="Times New Roman" w:cs="Times New Roman"/>
          <w:color w:val="000000" w:themeColor="text1"/>
          <w:szCs w:val="24"/>
        </w:rPr>
        <w:t xml:space="preserve">Además, </w:t>
      </w:r>
      <w:r w:rsidR="00254478">
        <w:rPr>
          <w:rFonts w:ascii="Times New Roman" w:hAnsi="Times New Roman" w:cs="Times New Roman"/>
          <w:color w:val="000000" w:themeColor="text1"/>
          <w:szCs w:val="24"/>
        </w:rPr>
        <w:t>l</w:t>
      </w:r>
      <w:r w:rsidR="009F7121" w:rsidRPr="00325F05">
        <w:rPr>
          <w:rFonts w:ascii="Times New Roman" w:hAnsi="Times New Roman" w:cs="Times New Roman"/>
          <w:color w:val="000000" w:themeColor="text1"/>
          <w:szCs w:val="24"/>
        </w:rPr>
        <w:t xml:space="preserve">os </w:t>
      </w:r>
      <w:r w:rsidR="00325F05" w:rsidRPr="008F3A52">
        <w:rPr>
          <w:rFonts w:ascii="Times New Roman" w:hAnsi="Times New Roman" w:cs="Times New Roman"/>
          <w:color w:val="000000" w:themeColor="text1"/>
          <w:szCs w:val="24"/>
        </w:rPr>
        <w:t xml:space="preserve">depósitos y valores en moneda nacional representan </w:t>
      </w:r>
      <w:r w:rsidR="00254478" w:rsidRPr="008F3A52">
        <w:rPr>
          <w:rFonts w:ascii="Times New Roman" w:hAnsi="Times New Roman" w:cs="Times New Roman"/>
          <w:color w:val="000000" w:themeColor="text1"/>
          <w:szCs w:val="24"/>
        </w:rPr>
        <w:t>dos</w:t>
      </w:r>
      <w:r w:rsidR="00325F05" w:rsidRPr="008F3A52">
        <w:rPr>
          <w:rFonts w:ascii="Times New Roman" w:hAnsi="Times New Roman" w:cs="Times New Roman"/>
          <w:color w:val="000000" w:themeColor="text1"/>
          <w:szCs w:val="24"/>
        </w:rPr>
        <w:t xml:space="preserve"> tercio</w:t>
      </w:r>
      <w:r w:rsidR="00254478" w:rsidRPr="008F3A52">
        <w:rPr>
          <w:rFonts w:ascii="Times New Roman" w:hAnsi="Times New Roman" w:cs="Times New Roman"/>
          <w:color w:val="000000" w:themeColor="text1"/>
          <w:szCs w:val="24"/>
        </w:rPr>
        <w:t>s</w:t>
      </w:r>
      <w:r w:rsidR="00325F05" w:rsidRPr="008F3A52">
        <w:rPr>
          <w:rFonts w:ascii="Times New Roman" w:hAnsi="Times New Roman" w:cs="Times New Roman"/>
          <w:color w:val="000000" w:themeColor="text1"/>
          <w:szCs w:val="24"/>
        </w:rPr>
        <w:t xml:space="preserve"> del total y </w:t>
      </w:r>
      <w:r w:rsidR="001474ED">
        <w:rPr>
          <w:rFonts w:ascii="Times New Roman" w:hAnsi="Times New Roman" w:cs="Times New Roman"/>
          <w:color w:val="000000" w:themeColor="text1"/>
          <w:szCs w:val="24"/>
        </w:rPr>
        <w:t>45</w:t>
      </w:r>
      <w:r w:rsidR="00CF29AB" w:rsidRPr="008F3A52">
        <w:rPr>
          <w:rFonts w:ascii="Times New Roman" w:hAnsi="Times New Roman" w:cs="Times New Roman"/>
          <w:color w:val="000000" w:themeColor="text1"/>
          <w:szCs w:val="24"/>
        </w:rPr>
        <w:t>,1</w:t>
      </w:r>
      <w:r w:rsidR="00B316E6" w:rsidRPr="008F3A52">
        <w:rPr>
          <w:rFonts w:ascii="Times New Roman" w:hAnsi="Times New Roman" w:cs="Times New Roman"/>
          <w:color w:val="000000" w:themeColor="text1"/>
          <w:szCs w:val="24"/>
        </w:rPr>
        <w:t>%</w:t>
      </w:r>
      <w:r w:rsidR="00325F05" w:rsidRPr="008F3A52">
        <w:rPr>
          <w:rFonts w:ascii="Times New Roman" w:hAnsi="Times New Roman" w:cs="Times New Roman"/>
          <w:color w:val="000000" w:themeColor="text1"/>
          <w:szCs w:val="24"/>
        </w:rPr>
        <w:t xml:space="preserve"> del PIB</w:t>
      </w:r>
      <w:r w:rsidR="002413D7" w:rsidRPr="008F3A52">
        <w:rPr>
          <w:rFonts w:ascii="Times New Roman" w:hAnsi="Times New Roman" w:cs="Times New Roman"/>
          <w:color w:val="000000" w:themeColor="text1"/>
          <w:szCs w:val="24"/>
        </w:rPr>
        <w:t xml:space="preserve"> (</w:t>
      </w:r>
      <w:r w:rsidR="00E202D0" w:rsidRPr="008F3A52">
        <w:rPr>
          <w:rFonts w:ascii="Times New Roman" w:hAnsi="Times New Roman" w:cs="Times New Roman"/>
          <w:color w:val="000000" w:themeColor="text1"/>
          <w:szCs w:val="24"/>
        </w:rPr>
        <w:t xml:space="preserve">US$ </w:t>
      </w:r>
      <w:r w:rsidR="008F3A52" w:rsidRPr="008F3A52">
        <w:rPr>
          <w:rFonts w:ascii="Times New Roman" w:hAnsi="Times New Roman" w:cs="Times New Roman"/>
          <w:color w:val="000000" w:themeColor="text1"/>
          <w:szCs w:val="24"/>
        </w:rPr>
        <w:t>25</w:t>
      </w:r>
      <w:r w:rsidR="00A12356">
        <w:rPr>
          <w:rFonts w:ascii="Times New Roman" w:hAnsi="Times New Roman" w:cs="Times New Roman"/>
          <w:color w:val="000000" w:themeColor="text1"/>
          <w:szCs w:val="24"/>
        </w:rPr>
        <w:t>,7</w:t>
      </w:r>
      <w:r w:rsidR="00607EC2" w:rsidRPr="008F3A52">
        <w:rPr>
          <w:rFonts w:ascii="Times New Roman" w:hAnsi="Times New Roman" w:cs="Times New Roman"/>
          <w:color w:val="000000" w:themeColor="text1"/>
          <w:szCs w:val="24"/>
        </w:rPr>
        <w:t xml:space="preserve"> millones)</w:t>
      </w:r>
      <w:r w:rsidR="00325F05" w:rsidRPr="008F3A52">
        <w:rPr>
          <w:rFonts w:ascii="Times New Roman" w:hAnsi="Times New Roman" w:cs="Times New Roman"/>
          <w:color w:val="000000" w:themeColor="text1"/>
          <w:szCs w:val="24"/>
        </w:rPr>
        <w:t xml:space="preserve">, por lo que un pasaje de depósitos en colones a dólares aparejaría una </w:t>
      </w:r>
      <w:r w:rsidR="00254478" w:rsidRPr="008F3A52">
        <w:rPr>
          <w:rFonts w:ascii="Times New Roman" w:hAnsi="Times New Roman" w:cs="Times New Roman"/>
          <w:color w:val="000000" w:themeColor="text1"/>
          <w:szCs w:val="24"/>
        </w:rPr>
        <w:t>fuerte</w:t>
      </w:r>
      <w:r w:rsidR="00325F05" w:rsidRPr="008F3A52">
        <w:rPr>
          <w:rFonts w:ascii="Times New Roman" w:hAnsi="Times New Roman" w:cs="Times New Roman"/>
          <w:color w:val="000000" w:themeColor="text1"/>
          <w:szCs w:val="24"/>
        </w:rPr>
        <w:t xml:space="preserve"> presión </w:t>
      </w:r>
      <w:r w:rsidR="00472AB2">
        <w:rPr>
          <w:rFonts w:ascii="Times New Roman" w:hAnsi="Times New Roman" w:cs="Times New Roman"/>
          <w:color w:val="000000" w:themeColor="text1"/>
          <w:szCs w:val="24"/>
        </w:rPr>
        <w:t>cambiaria</w:t>
      </w:r>
      <w:r w:rsidR="00325F05" w:rsidRPr="008F3A52">
        <w:rPr>
          <w:rFonts w:ascii="Times New Roman" w:hAnsi="Times New Roman" w:cs="Times New Roman"/>
          <w:color w:val="000000" w:themeColor="text1"/>
          <w:szCs w:val="24"/>
        </w:rPr>
        <w:t>.</w:t>
      </w:r>
    </w:p>
    <w:p w14:paraId="16E898B2" w14:textId="4DE4935B" w:rsidR="009F7121" w:rsidRPr="007364D6" w:rsidRDefault="007364D6" w:rsidP="007364D6">
      <w:pPr>
        <w:pStyle w:val="Caption"/>
        <w:spacing w:after="0"/>
        <w:jc w:val="center"/>
        <w:rPr>
          <w:rFonts w:ascii="Times New Roman" w:hAnsi="Times New Roman" w:cs="Times New Roman"/>
          <w:b/>
          <w:i w:val="0"/>
          <w:color w:val="auto"/>
          <w:sz w:val="22"/>
          <w:szCs w:val="22"/>
        </w:rPr>
      </w:pPr>
      <w:bookmarkStart w:id="14" w:name="_Toc518399417"/>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10</w:t>
      </w:r>
      <w:r w:rsidRPr="007364D6">
        <w:rPr>
          <w:rFonts w:ascii="Times New Roman" w:hAnsi="Times New Roman" w:cs="Times New Roman"/>
          <w:b/>
          <w:i w:val="0"/>
          <w:color w:val="auto"/>
          <w:sz w:val="22"/>
          <w:szCs w:val="22"/>
        </w:rPr>
        <w:fldChar w:fldCharType="end"/>
      </w:r>
      <w:r w:rsidR="009F7121" w:rsidRPr="007364D6">
        <w:rPr>
          <w:rFonts w:ascii="Times New Roman" w:hAnsi="Times New Roman" w:cs="Times New Roman"/>
          <w:b/>
          <w:i w:val="0"/>
          <w:color w:val="auto"/>
          <w:sz w:val="22"/>
          <w:szCs w:val="22"/>
        </w:rPr>
        <w:t>. Saldos de depósitos y valores en las sociedades financieras a diciembre 2017.</w:t>
      </w:r>
      <w:bookmarkEnd w:id="14"/>
    </w:p>
    <w:p w14:paraId="7436A639" w14:textId="77777777" w:rsidR="009F7121" w:rsidRPr="009F7121" w:rsidRDefault="00607EC2" w:rsidP="009F7121">
      <w:pPr>
        <w:spacing w:after="0" w:line="240" w:lineRule="auto"/>
        <w:jc w:val="center"/>
        <w:rPr>
          <w:rFonts w:ascii="Times New Roman" w:hAnsi="Times New Roman" w:cs="Times New Roman"/>
          <w:b/>
          <w:color w:val="000000" w:themeColor="text1"/>
          <w:szCs w:val="24"/>
        </w:rPr>
      </w:pPr>
      <w:r w:rsidRPr="0065344B">
        <w:rPr>
          <w:rFonts w:ascii="Times New Roman" w:hAnsi="Times New Roman" w:cs="Times New Roman"/>
          <w:b/>
          <w:color w:val="000000" w:themeColor="text1"/>
          <w:szCs w:val="24"/>
        </w:rPr>
        <w:t>(e</w:t>
      </w:r>
      <w:r w:rsidR="00325F05" w:rsidRPr="0065344B">
        <w:rPr>
          <w:rFonts w:ascii="Times New Roman" w:hAnsi="Times New Roman" w:cs="Times New Roman"/>
          <w:b/>
          <w:color w:val="000000" w:themeColor="text1"/>
          <w:szCs w:val="24"/>
        </w:rPr>
        <w:t xml:space="preserve">n porcentaje </w:t>
      </w:r>
      <w:r w:rsidRPr="0065344B">
        <w:rPr>
          <w:rFonts w:ascii="Times New Roman" w:hAnsi="Times New Roman" w:cs="Times New Roman"/>
          <w:b/>
          <w:color w:val="000000" w:themeColor="text1"/>
          <w:szCs w:val="24"/>
        </w:rPr>
        <w:t>de composición)</w:t>
      </w:r>
    </w:p>
    <w:p w14:paraId="6F93D66F" w14:textId="77777777" w:rsidR="009F7121" w:rsidRDefault="00F5113B" w:rsidP="009F7121">
      <w:pPr>
        <w:spacing w:after="0" w:line="240" w:lineRule="auto"/>
        <w:jc w:val="center"/>
        <w:rPr>
          <w:rFonts w:ascii="Times New Roman" w:hAnsi="Times New Roman" w:cs="Times New Roman"/>
          <w:color w:val="000000" w:themeColor="text1"/>
          <w:sz w:val="18"/>
          <w:szCs w:val="24"/>
        </w:rPr>
      </w:pPr>
      <w:r w:rsidRPr="00F5113B">
        <w:rPr>
          <w:noProof/>
          <w:lang w:val="es-CR" w:eastAsia="es-CR"/>
        </w:rPr>
        <mc:AlternateContent>
          <mc:Choice Requires="wps">
            <w:drawing>
              <wp:anchor distT="0" distB="0" distL="114300" distR="114300" simplePos="0" relativeHeight="251658244" behindDoc="0" locked="0" layoutInCell="1" allowOverlap="1" wp14:anchorId="6308D99A" wp14:editId="6590D969">
                <wp:simplePos x="0" y="0"/>
                <wp:positionH relativeFrom="column">
                  <wp:posOffset>3168650</wp:posOffset>
                </wp:positionH>
                <wp:positionV relativeFrom="paragraph">
                  <wp:posOffset>1290320</wp:posOffset>
                </wp:positionV>
                <wp:extent cx="582295" cy="367030"/>
                <wp:effectExtent l="0" t="0" r="12065" b="13970"/>
                <wp:wrapNone/>
                <wp:docPr id="23" name="TextBox 5"/>
                <wp:cNvGraphicFramePr/>
                <a:graphic xmlns:a="http://schemas.openxmlformats.org/drawingml/2006/main">
                  <a:graphicData uri="http://schemas.microsoft.com/office/word/2010/wordprocessingShape">
                    <wps:wsp>
                      <wps:cNvSpPr txBox="1"/>
                      <wps:spPr>
                        <a:xfrm>
                          <a:off x="0" y="0"/>
                          <a:ext cx="582295" cy="36703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19665568" w14:textId="77777777" w:rsidR="005E060C" w:rsidRDefault="005E060C" w:rsidP="00F5113B">
                            <w:pPr>
                              <w:pStyle w:val="NormalWeb"/>
                              <w:spacing w:before="0" w:beforeAutospacing="0" w:after="0" w:afterAutospacing="0"/>
                              <w:jc w:val="center"/>
                            </w:pPr>
                            <w:r>
                              <w:rPr>
                                <w:color w:val="000000" w:themeColor="dark1"/>
                                <w:sz w:val="18"/>
                                <w:szCs w:val="18"/>
                              </w:rPr>
                              <w:t>11% del PIB</w:t>
                            </w:r>
                          </w:p>
                        </w:txbxContent>
                      </wps:txbx>
                      <wps:bodyPr vertOverflow="clip" horzOverflow="clip" wrap="square" rtlCol="0" anchor="t"/>
                    </wps:wsp>
                  </a:graphicData>
                </a:graphic>
                <wp14:sizeRelH relativeFrom="margin">
                  <wp14:pctWidth>0</wp14:pctWidth>
                </wp14:sizeRelH>
              </wp:anchor>
            </w:drawing>
          </mc:Choice>
          <mc:Fallback xmlns:w16="http://schemas.microsoft.com/office/word/2018/wordml" xmlns:w16cex="http://schemas.microsoft.com/office/word/2018/wordml/cex">
            <w:pict>
              <v:shape w14:anchorId="6308D99A" id="TextBox 5" o:spid="_x0000_s1027" type="#_x0000_t202" style="position:absolute;left:0;text-align:left;margin-left:249.5pt;margin-top:101.6pt;width:45.85pt;height:28.9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" fillcolor="white [3201]" strokecolor="#7f7f7f [1601]">
                <v:textbox>
                  <w:txbxContent>
                    <w:p w14:paraId="19665568" w14:textId="77777777" w:rsidR="005E060C" w:rsidRDefault="005E060C" w:rsidP="00F5113B">
                      <w:pPr>
                        <w:pStyle w:val="NormalWeb"/>
                        <w:spacing w:before="0" w:beforeAutospacing="0" w:after="0" w:afterAutospacing="0"/>
                        <w:jc w:val="center"/>
                      </w:pPr>
                      <w:r>
                        <w:rPr>
                          <w:color w:val="000000" w:themeColor="dark1"/>
                          <w:sz w:val="18"/>
                          <w:szCs w:val="18"/>
                        </w:rPr>
                        <w:t>11% del PIB</w:t>
                      </w:r>
                    </w:p>
                  </w:txbxContent>
                </v:textbox>
              </v:shape>
            </w:pict>
          </mc:Fallback>
        </mc:AlternateContent>
      </w:r>
      <w:r w:rsidRPr="00F5113B">
        <w:rPr>
          <w:noProof/>
          <w:lang w:val="es-CR" w:eastAsia="es-CR"/>
        </w:rPr>
        <mc:AlternateContent>
          <mc:Choice Requires="wps">
            <w:drawing>
              <wp:anchor distT="0" distB="0" distL="114300" distR="114300" simplePos="0" relativeHeight="251658240" behindDoc="0" locked="0" layoutInCell="1" allowOverlap="1" wp14:anchorId="00F183A4" wp14:editId="4C53CCAC">
                <wp:simplePos x="0" y="0"/>
                <wp:positionH relativeFrom="column">
                  <wp:posOffset>3088005</wp:posOffset>
                </wp:positionH>
                <wp:positionV relativeFrom="paragraph">
                  <wp:posOffset>566420</wp:posOffset>
                </wp:positionV>
                <wp:extent cx="582295" cy="367030"/>
                <wp:effectExtent l="0" t="0" r="27305" b="13970"/>
                <wp:wrapNone/>
                <wp:docPr id="17" name="TextBox 2"/>
                <wp:cNvGraphicFramePr/>
                <a:graphic xmlns:a="http://schemas.openxmlformats.org/drawingml/2006/main">
                  <a:graphicData uri="http://schemas.microsoft.com/office/word/2010/wordprocessingShape">
                    <wps:wsp>
                      <wps:cNvSpPr txBox="1"/>
                      <wps:spPr>
                        <a:xfrm>
                          <a:off x="0" y="0"/>
                          <a:ext cx="582295" cy="36703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12ED9964" w14:textId="77777777" w:rsidR="005E060C" w:rsidRDefault="005E060C" w:rsidP="00F5113B">
                            <w:pPr>
                              <w:pStyle w:val="NormalWeb"/>
                              <w:spacing w:before="0" w:beforeAutospacing="0" w:after="0" w:afterAutospacing="0"/>
                              <w:jc w:val="center"/>
                            </w:pPr>
                            <w:r>
                              <w:rPr>
                                <w:color w:val="000000" w:themeColor="dark1"/>
                                <w:sz w:val="18"/>
                                <w:szCs w:val="18"/>
                              </w:rPr>
                              <w:t>17% del PIB</w:t>
                            </w:r>
                          </w:p>
                        </w:txbxContent>
                      </wps:txbx>
                      <wps:bodyPr vertOverflow="clip" horzOverflow="clip" wrap="square" rtlCol="0" anchor="t"/>
                    </wps:wsp>
                  </a:graphicData>
                </a:graphic>
              </wp:anchor>
            </w:drawing>
          </mc:Choice>
          <mc:Fallback xmlns:w16="http://schemas.microsoft.com/office/word/2018/wordml" xmlns:w16cex="http://schemas.microsoft.com/office/word/2018/wordml/cex">
            <w:pict>
              <v:shape w14:anchorId="00F183A4" id="TextBox 2" o:spid="_x0000_s1028" type="#_x0000_t202" style="position:absolute;left:0;text-align:left;margin-left:243.15pt;margin-top:44.6pt;width:45.85pt;height:28.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" fillcolor="white [3201]" strokecolor="#7f7f7f [1601]">
                <v:textbox>
                  <w:txbxContent>
                    <w:p w14:paraId="12ED9964" w14:textId="77777777" w:rsidR="005E060C" w:rsidRDefault="005E060C" w:rsidP="00F5113B">
                      <w:pPr>
                        <w:pStyle w:val="NormalWeb"/>
                        <w:spacing w:before="0" w:beforeAutospacing="0" w:after="0" w:afterAutospacing="0"/>
                        <w:jc w:val="center"/>
                      </w:pPr>
                      <w:r>
                        <w:rPr>
                          <w:color w:val="000000" w:themeColor="dark1"/>
                          <w:sz w:val="18"/>
                          <w:szCs w:val="18"/>
                        </w:rPr>
                        <w:t>17% del PIB</w:t>
                      </w:r>
                    </w:p>
                  </w:txbxContent>
                </v:textbox>
              </v:shape>
            </w:pict>
          </mc:Fallback>
        </mc:AlternateContent>
      </w:r>
      <w:r w:rsidRPr="00F5113B">
        <w:rPr>
          <w:noProof/>
          <w:lang w:val="es-CR" w:eastAsia="es-CR"/>
        </w:rPr>
        <mc:AlternateContent>
          <mc:Choice Requires="wps">
            <w:drawing>
              <wp:anchor distT="0" distB="0" distL="114300" distR="114300" simplePos="0" relativeHeight="251658241" behindDoc="0" locked="0" layoutInCell="1" allowOverlap="1" wp14:anchorId="45DFAEC3" wp14:editId="314050B3">
                <wp:simplePos x="0" y="0"/>
                <wp:positionH relativeFrom="column">
                  <wp:posOffset>2237105</wp:posOffset>
                </wp:positionH>
                <wp:positionV relativeFrom="paragraph">
                  <wp:posOffset>422910</wp:posOffset>
                </wp:positionV>
                <wp:extent cx="582295" cy="367030"/>
                <wp:effectExtent l="0" t="0" r="27305" b="13970"/>
                <wp:wrapNone/>
                <wp:docPr id="20" name="TextBox 3"/>
                <wp:cNvGraphicFramePr/>
                <a:graphic xmlns:a="http://schemas.openxmlformats.org/drawingml/2006/main">
                  <a:graphicData uri="http://schemas.microsoft.com/office/word/2010/wordprocessingShape">
                    <wps:wsp>
                      <wps:cNvSpPr txBox="1"/>
                      <wps:spPr>
                        <a:xfrm>
                          <a:off x="0" y="0"/>
                          <a:ext cx="582295" cy="36703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7CDBEE55" w14:textId="77777777" w:rsidR="005E060C" w:rsidRDefault="005E060C" w:rsidP="00F5113B">
                            <w:pPr>
                              <w:pStyle w:val="NormalWeb"/>
                              <w:spacing w:before="0" w:beforeAutospacing="0" w:after="0" w:afterAutospacing="0"/>
                              <w:jc w:val="center"/>
                            </w:pPr>
                            <w:r>
                              <w:rPr>
                                <w:color w:val="000000" w:themeColor="dark1"/>
                                <w:sz w:val="18"/>
                                <w:szCs w:val="18"/>
                              </w:rPr>
                              <w:t>12% del PIB</w:t>
                            </w:r>
                          </w:p>
                        </w:txbxContent>
                      </wps:txbx>
                      <wps:bodyPr vertOverflow="clip" horzOverflow="clip" wrap="square" rtlCol="0" anchor="t"/>
                    </wps:wsp>
                  </a:graphicData>
                </a:graphic>
              </wp:anchor>
            </w:drawing>
          </mc:Choice>
          <mc:Fallback xmlns:w16="http://schemas.microsoft.com/office/word/2018/wordml" xmlns:w16cex="http://schemas.microsoft.com/office/word/2018/wordml/cex">
            <w:pict>
              <v:shape w14:anchorId="45DFAEC3" id="TextBox 3" o:spid="_x0000_s1029" type="#_x0000_t202" style="position:absolute;left:0;text-align:left;margin-left:176.15pt;margin-top:33.3pt;width:45.85pt;height:28.9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" fillcolor="white [3201]" strokecolor="#7f7f7f [1601]">
                <v:textbox>
                  <w:txbxContent>
                    <w:p w14:paraId="7CDBEE55" w14:textId="77777777" w:rsidR="005E060C" w:rsidRDefault="005E060C" w:rsidP="00F5113B">
                      <w:pPr>
                        <w:pStyle w:val="NormalWeb"/>
                        <w:spacing w:before="0" w:beforeAutospacing="0" w:after="0" w:afterAutospacing="0"/>
                        <w:jc w:val="center"/>
                      </w:pPr>
                      <w:r>
                        <w:rPr>
                          <w:color w:val="000000" w:themeColor="dark1"/>
                          <w:sz w:val="18"/>
                          <w:szCs w:val="18"/>
                        </w:rPr>
                        <w:t>12% del PIB</w:t>
                      </w:r>
                    </w:p>
                  </w:txbxContent>
                </v:textbox>
              </v:shape>
            </w:pict>
          </mc:Fallback>
        </mc:AlternateContent>
      </w:r>
      <w:r w:rsidRPr="00F5113B">
        <w:rPr>
          <w:noProof/>
          <w:lang w:val="es-CR" w:eastAsia="es-CR"/>
        </w:rPr>
        <w:drawing>
          <wp:inline distT="0" distB="0" distL="0" distR="0" wp14:anchorId="0B649F0C" wp14:editId="2E3655CB">
            <wp:extent cx="4634753" cy="2689411"/>
            <wp:effectExtent l="0" t="0" r="0" b="0"/>
            <wp:docPr id="26" name="Chart 26">
              <a:extLst xmlns:a="http://schemas.openxmlformats.org/drawingml/2006/main">
                <a:ext uri="{FF2B5EF4-FFF2-40B4-BE49-F238E27FC236}">
                  <a16:creationId xmlns:a16="http://schemas.microsoft.com/office/drawing/2014/main" id="{C36A17A4-C05A-4981-95EB-C45985D5E3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59658BD" w14:textId="77777777" w:rsidR="009F7121" w:rsidRPr="008E467D" w:rsidRDefault="009F7121" w:rsidP="009F7121">
      <w:pPr>
        <w:spacing w:line="360" w:lineRule="auto"/>
        <w:jc w:val="center"/>
        <w:rPr>
          <w:rFonts w:ascii="Times New Roman" w:hAnsi="Times New Roman" w:cs="Times New Roman"/>
          <w:color w:val="000000" w:themeColor="text1"/>
          <w:sz w:val="18"/>
          <w:szCs w:val="24"/>
        </w:rPr>
      </w:pPr>
      <w:r>
        <w:rPr>
          <w:rFonts w:ascii="Times New Roman" w:hAnsi="Times New Roman" w:cs="Times New Roman"/>
          <w:color w:val="000000" w:themeColor="text1"/>
          <w:sz w:val="18"/>
          <w:szCs w:val="24"/>
        </w:rPr>
        <w:t>Fuente: Banco Central de Costa Rica</w:t>
      </w:r>
    </w:p>
    <w:p w14:paraId="43D6FA3D" w14:textId="77777777" w:rsidR="00A163F4" w:rsidRPr="001C7AD8" w:rsidRDefault="002E0764" w:rsidP="001C7AD8">
      <w:pPr>
        <w:pStyle w:val="Heading1"/>
        <w:numPr>
          <w:ilvl w:val="0"/>
          <w:numId w:val="0"/>
        </w:numPr>
        <w:ind w:left="-360"/>
        <w:jc w:val="left"/>
        <w:rPr>
          <w:rFonts w:eastAsiaTheme="minorEastAsia" w:cs="Times New Roman"/>
          <w:bCs w:val="0"/>
          <w:i/>
          <w:smallCaps w:val="0"/>
          <w:color w:val="000000" w:themeColor="text1"/>
          <w:kern w:val="0"/>
          <w:sz w:val="22"/>
          <w:szCs w:val="24"/>
          <w:lang w:val="es-ES"/>
        </w:rPr>
      </w:pPr>
      <w:bookmarkStart w:id="15" w:name="_Toc518397888"/>
      <w:r w:rsidRPr="001C7AD8">
        <w:rPr>
          <w:rFonts w:eastAsiaTheme="minorEastAsia" w:cs="Times New Roman"/>
          <w:bCs w:val="0"/>
          <w:i/>
          <w:smallCaps w:val="0"/>
          <w:color w:val="000000" w:themeColor="text1"/>
          <w:kern w:val="0"/>
          <w:sz w:val="22"/>
          <w:szCs w:val="24"/>
          <w:lang w:val="es-ES"/>
        </w:rPr>
        <w:t>Mejorar la estructura</w:t>
      </w:r>
      <w:r w:rsidR="008A7160" w:rsidRPr="001C7AD8">
        <w:rPr>
          <w:rFonts w:eastAsiaTheme="minorEastAsia" w:cs="Times New Roman"/>
          <w:bCs w:val="0"/>
          <w:i/>
          <w:smallCaps w:val="0"/>
          <w:color w:val="000000" w:themeColor="text1"/>
          <w:kern w:val="0"/>
          <w:sz w:val="22"/>
          <w:szCs w:val="24"/>
          <w:lang w:val="es-ES"/>
        </w:rPr>
        <w:t xml:space="preserve"> </w:t>
      </w:r>
      <w:r w:rsidR="00CF3418" w:rsidRPr="001C7AD8">
        <w:rPr>
          <w:rFonts w:eastAsiaTheme="minorEastAsia" w:cs="Times New Roman"/>
          <w:bCs w:val="0"/>
          <w:i/>
          <w:smallCaps w:val="0"/>
          <w:color w:val="000000" w:themeColor="text1"/>
          <w:kern w:val="0"/>
          <w:sz w:val="22"/>
          <w:szCs w:val="24"/>
          <w:lang w:val="es-ES"/>
        </w:rPr>
        <w:t xml:space="preserve">tributaria y </w:t>
      </w:r>
      <w:r w:rsidR="008A7160" w:rsidRPr="001C7AD8">
        <w:rPr>
          <w:rFonts w:eastAsiaTheme="minorEastAsia" w:cs="Times New Roman"/>
          <w:bCs w:val="0"/>
          <w:i/>
          <w:smallCaps w:val="0"/>
          <w:color w:val="000000" w:themeColor="text1"/>
          <w:kern w:val="0"/>
          <w:sz w:val="22"/>
          <w:szCs w:val="24"/>
          <w:lang w:val="es-ES"/>
        </w:rPr>
        <w:t>la recaudación fiscal</w:t>
      </w:r>
      <w:bookmarkEnd w:id="15"/>
    </w:p>
    <w:p w14:paraId="294ADD1D" w14:textId="77777777" w:rsidR="00BB64A1" w:rsidRDefault="00CD0F1D" w:rsidP="001A39CB">
      <w:pPr>
        <w:pStyle w:val="Estilo4"/>
        <w:numPr>
          <w:ilvl w:val="0"/>
          <w:numId w:val="0"/>
        </w:numPr>
        <w:tabs>
          <w:tab w:val="left" w:pos="0"/>
        </w:tabs>
        <w:spacing w:after="0" w:line="360" w:lineRule="auto"/>
        <w:contextualSpacing w:val="0"/>
        <w:rPr>
          <w:sz w:val="22"/>
          <w:lang w:val="es-ES"/>
        </w:rPr>
      </w:pPr>
      <w:r w:rsidRPr="009E4538">
        <w:rPr>
          <w:b/>
          <w:sz w:val="22"/>
          <w:lang w:val="es-ES"/>
        </w:rPr>
        <w:t>Los ingresos tributarios del Gobierno Central de Costa Rica están por debajo del promedio de América Latina y el Caribe (ALC).</w:t>
      </w:r>
      <w:r w:rsidR="00926C8F">
        <w:rPr>
          <w:sz w:val="22"/>
          <w:lang w:val="es-ES"/>
        </w:rPr>
        <w:t xml:space="preserve"> Al tomar el total de ingresos tributarios</w:t>
      </w:r>
      <w:r w:rsidR="0056553B">
        <w:rPr>
          <w:sz w:val="22"/>
          <w:lang w:val="es-ES"/>
        </w:rPr>
        <w:t xml:space="preserve"> del SPNF</w:t>
      </w:r>
      <w:r w:rsidR="00926C8F">
        <w:rPr>
          <w:sz w:val="22"/>
          <w:lang w:val="es-ES"/>
        </w:rPr>
        <w:t xml:space="preserve">, </w:t>
      </w:r>
      <w:r w:rsidR="002F70FC" w:rsidRPr="00EC03B5">
        <w:rPr>
          <w:sz w:val="22"/>
          <w:lang w:val="es-ES"/>
        </w:rPr>
        <w:t>C</w:t>
      </w:r>
      <w:r w:rsidR="006850E2">
        <w:rPr>
          <w:sz w:val="22"/>
          <w:lang w:val="es-ES"/>
        </w:rPr>
        <w:t xml:space="preserve">osta </w:t>
      </w:r>
      <w:r w:rsidR="002F70FC" w:rsidRPr="00EC03B5">
        <w:rPr>
          <w:sz w:val="22"/>
          <w:lang w:val="es-ES"/>
        </w:rPr>
        <w:t>R</w:t>
      </w:r>
      <w:r w:rsidR="006850E2">
        <w:rPr>
          <w:sz w:val="22"/>
          <w:lang w:val="es-ES"/>
        </w:rPr>
        <w:t>ica</w:t>
      </w:r>
      <w:r w:rsidR="002F70FC" w:rsidRPr="00EC03B5">
        <w:rPr>
          <w:sz w:val="22"/>
          <w:lang w:val="es-ES"/>
        </w:rPr>
        <w:t xml:space="preserve"> se </w:t>
      </w:r>
      <w:r w:rsidR="002F70FC" w:rsidRPr="00EC03B5">
        <w:rPr>
          <w:sz w:val="22"/>
          <w:lang w:val="es-ES"/>
        </w:rPr>
        <w:lastRenderedPageBreak/>
        <w:t xml:space="preserve">encuentra por encima del promedio </w:t>
      </w:r>
      <w:r w:rsidR="007F084D">
        <w:rPr>
          <w:sz w:val="22"/>
          <w:lang w:val="es-ES"/>
        </w:rPr>
        <w:t xml:space="preserve">de </w:t>
      </w:r>
      <w:r w:rsidR="00862BFA" w:rsidRPr="00EC03B5">
        <w:rPr>
          <w:sz w:val="22"/>
          <w:lang w:val="es-ES"/>
        </w:rPr>
        <w:t>AL</w:t>
      </w:r>
      <w:r w:rsidR="006850E2">
        <w:rPr>
          <w:sz w:val="22"/>
          <w:lang w:val="es-ES"/>
        </w:rPr>
        <w:t>C</w:t>
      </w:r>
      <w:r w:rsidR="00926C8F">
        <w:rPr>
          <w:sz w:val="22"/>
          <w:lang w:val="es-ES"/>
        </w:rPr>
        <w:t xml:space="preserve"> </w:t>
      </w:r>
      <w:r w:rsidR="002F70FC" w:rsidRPr="00EC03B5">
        <w:rPr>
          <w:sz w:val="22"/>
          <w:lang w:val="es-ES"/>
        </w:rPr>
        <w:t>(22</w:t>
      </w:r>
      <w:r w:rsidR="000226A4" w:rsidRPr="00EC03B5">
        <w:rPr>
          <w:sz w:val="22"/>
          <w:lang w:val="es-ES"/>
        </w:rPr>
        <w:t>,</w:t>
      </w:r>
      <w:r w:rsidR="002F70FC" w:rsidRPr="00EC03B5">
        <w:rPr>
          <w:sz w:val="22"/>
          <w:lang w:val="es-ES"/>
        </w:rPr>
        <w:t>1% del PIB y 21</w:t>
      </w:r>
      <w:r w:rsidR="000226A4" w:rsidRPr="00EC03B5">
        <w:rPr>
          <w:sz w:val="22"/>
          <w:lang w:val="es-ES"/>
        </w:rPr>
        <w:t>,</w:t>
      </w:r>
      <w:r w:rsidR="002F70FC" w:rsidRPr="00EC03B5">
        <w:rPr>
          <w:sz w:val="22"/>
          <w:lang w:val="es-ES"/>
        </w:rPr>
        <w:t xml:space="preserve">3%, respectivamente en </w:t>
      </w:r>
      <w:r w:rsidR="0004331C">
        <w:rPr>
          <w:sz w:val="22"/>
          <w:lang w:val="es-ES"/>
        </w:rPr>
        <w:t xml:space="preserve">promedio </w:t>
      </w:r>
      <w:r w:rsidR="002F70FC" w:rsidRPr="00EC03B5">
        <w:rPr>
          <w:sz w:val="22"/>
          <w:lang w:val="es-ES"/>
        </w:rPr>
        <w:t>201</w:t>
      </w:r>
      <w:r w:rsidR="00EF6AF6" w:rsidRPr="00EC03B5">
        <w:rPr>
          <w:sz w:val="22"/>
          <w:lang w:val="es-ES"/>
        </w:rPr>
        <w:t>3</w:t>
      </w:r>
      <w:r w:rsidR="0004331C">
        <w:rPr>
          <w:sz w:val="22"/>
          <w:lang w:val="es-ES"/>
        </w:rPr>
        <w:t>-</w:t>
      </w:r>
      <w:r w:rsidR="002F70FC" w:rsidRPr="00EC03B5">
        <w:rPr>
          <w:sz w:val="22"/>
          <w:lang w:val="es-ES"/>
        </w:rPr>
        <w:t>201</w:t>
      </w:r>
      <w:r w:rsidR="00EF6AF6" w:rsidRPr="00EC03B5">
        <w:rPr>
          <w:sz w:val="22"/>
          <w:lang w:val="es-ES"/>
        </w:rPr>
        <w:t>5</w:t>
      </w:r>
      <w:r w:rsidR="002F70FC" w:rsidRPr="00EC03B5">
        <w:rPr>
          <w:sz w:val="22"/>
          <w:lang w:val="es-ES"/>
        </w:rPr>
        <w:t>)</w:t>
      </w:r>
      <w:r w:rsidR="00926C8F">
        <w:rPr>
          <w:sz w:val="22"/>
          <w:lang w:val="es-ES"/>
        </w:rPr>
        <w:t>. No obstante</w:t>
      </w:r>
      <w:r w:rsidR="002F70FC" w:rsidRPr="00EC03B5">
        <w:rPr>
          <w:sz w:val="22"/>
          <w:lang w:val="es-ES"/>
        </w:rPr>
        <w:t>, ocurre lo contrario si se excluye</w:t>
      </w:r>
      <w:r w:rsidR="007F084D">
        <w:rPr>
          <w:sz w:val="22"/>
          <w:lang w:val="es-ES"/>
        </w:rPr>
        <w:t xml:space="preserve"> la seguridad social</w:t>
      </w:r>
      <w:r w:rsidR="00830B6A">
        <w:rPr>
          <w:rStyle w:val="FootnoteReference"/>
          <w:sz w:val="22"/>
          <w:lang w:val="es-ES"/>
        </w:rPr>
        <w:footnoteReference w:id="12"/>
      </w:r>
      <w:r w:rsidR="007F084D">
        <w:rPr>
          <w:sz w:val="22"/>
          <w:lang w:val="es-ES"/>
        </w:rPr>
        <w:t xml:space="preserve"> </w:t>
      </w:r>
      <w:r w:rsidR="002F70FC" w:rsidRPr="00EC03B5">
        <w:rPr>
          <w:sz w:val="22"/>
          <w:lang w:val="es-ES"/>
        </w:rPr>
        <w:t>(17</w:t>
      </w:r>
      <w:r w:rsidR="000226A4" w:rsidRPr="00EC03B5">
        <w:rPr>
          <w:sz w:val="22"/>
          <w:lang w:val="es-ES"/>
        </w:rPr>
        <w:t>,</w:t>
      </w:r>
      <w:r w:rsidR="002F70FC" w:rsidRPr="00EC03B5">
        <w:rPr>
          <w:sz w:val="22"/>
          <w:lang w:val="es-ES"/>
        </w:rPr>
        <w:t>2% en AL y 13</w:t>
      </w:r>
      <w:r w:rsidR="000226A4" w:rsidRPr="00EC03B5">
        <w:rPr>
          <w:sz w:val="22"/>
          <w:lang w:val="es-ES"/>
        </w:rPr>
        <w:t>,</w:t>
      </w:r>
      <w:r w:rsidR="002F70FC" w:rsidRPr="00EC03B5">
        <w:rPr>
          <w:sz w:val="22"/>
          <w:lang w:val="es-ES"/>
        </w:rPr>
        <w:t>9% en C</w:t>
      </w:r>
      <w:r w:rsidR="006850E2">
        <w:rPr>
          <w:sz w:val="22"/>
          <w:lang w:val="es-ES"/>
        </w:rPr>
        <w:t>osta Rica</w:t>
      </w:r>
      <w:r w:rsidR="002F70FC" w:rsidRPr="00EC03B5">
        <w:rPr>
          <w:sz w:val="22"/>
          <w:lang w:val="es-ES"/>
        </w:rPr>
        <w:t xml:space="preserve">). </w:t>
      </w:r>
      <w:r w:rsidR="00DD6205">
        <w:rPr>
          <w:sz w:val="22"/>
          <w:lang w:val="es-ES"/>
        </w:rPr>
        <w:t xml:space="preserve">En 2009, luego de la crisis internacional, </w:t>
      </w:r>
      <w:r w:rsidR="004B1EC8">
        <w:rPr>
          <w:sz w:val="22"/>
          <w:lang w:val="es-ES"/>
        </w:rPr>
        <w:t xml:space="preserve">la recaudación tributaria </w:t>
      </w:r>
      <w:r w:rsidR="002D5A9D">
        <w:rPr>
          <w:sz w:val="22"/>
          <w:lang w:val="es-ES"/>
        </w:rPr>
        <w:t xml:space="preserve">promedio </w:t>
      </w:r>
      <w:r w:rsidR="004B1EC8">
        <w:rPr>
          <w:sz w:val="22"/>
          <w:lang w:val="es-ES"/>
        </w:rPr>
        <w:t xml:space="preserve">sin </w:t>
      </w:r>
      <w:r w:rsidR="002D5A9D">
        <w:rPr>
          <w:sz w:val="22"/>
          <w:lang w:val="es-ES"/>
        </w:rPr>
        <w:t xml:space="preserve">seguridad social </w:t>
      </w:r>
      <w:r w:rsidR="004B1EC8">
        <w:rPr>
          <w:sz w:val="22"/>
          <w:lang w:val="es-ES"/>
        </w:rPr>
        <w:t xml:space="preserve">de ALC </w:t>
      </w:r>
      <w:r w:rsidR="002D5A9D">
        <w:rPr>
          <w:sz w:val="22"/>
          <w:lang w:val="es-ES"/>
        </w:rPr>
        <w:t xml:space="preserve">era de </w:t>
      </w:r>
      <w:r w:rsidR="009E6428">
        <w:rPr>
          <w:sz w:val="22"/>
          <w:lang w:val="es-ES"/>
        </w:rPr>
        <w:t xml:space="preserve">15,8% del PIB, escalando hasta el 17,4% en 2015; mientras que en Costa Rica el mismo indicador pasó de 14,0% a 14,1%. </w:t>
      </w:r>
      <w:r w:rsidR="008379C5">
        <w:rPr>
          <w:sz w:val="22"/>
          <w:lang w:val="es-ES"/>
        </w:rPr>
        <w:t xml:space="preserve">Es importante observar que en 2008 Costa Rica contaba con un nivel similar </w:t>
      </w:r>
      <w:r w:rsidR="00EF33C2">
        <w:rPr>
          <w:sz w:val="22"/>
          <w:lang w:val="es-ES"/>
        </w:rPr>
        <w:t xml:space="preserve">al promedio </w:t>
      </w:r>
      <w:r w:rsidR="009430D4">
        <w:rPr>
          <w:sz w:val="22"/>
          <w:lang w:val="es-ES"/>
        </w:rPr>
        <w:t xml:space="preserve">de América Latina, pero luego de la </w:t>
      </w:r>
      <w:r w:rsidR="009D2906">
        <w:rPr>
          <w:sz w:val="22"/>
          <w:lang w:val="es-ES"/>
        </w:rPr>
        <w:t>c</w:t>
      </w:r>
      <w:r w:rsidR="009430D4">
        <w:rPr>
          <w:sz w:val="22"/>
          <w:lang w:val="es-ES"/>
        </w:rPr>
        <w:t xml:space="preserve">risis </w:t>
      </w:r>
      <w:r w:rsidR="009D2906">
        <w:rPr>
          <w:sz w:val="22"/>
          <w:lang w:val="es-ES"/>
        </w:rPr>
        <w:t xml:space="preserve">internacional </w:t>
      </w:r>
      <w:r w:rsidR="009430D4" w:rsidRPr="00EC03B5">
        <w:rPr>
          <w:sz w:val="22"/>
          <w:lang w:val="es-ES"/>
        </w:rPr>
        <w:t>AL</w:t>
      </w:r>
      <w:r w:rsidR="009430D4">
        <w:rPr>
          <w:sz w:val="22"/>
          <w:lang w:val="es-ES"/>
        </w:rPr>
        <w:t>C</w:t>
      </w:r>
      <w:r w:rsidR="009430D4" w:rsidRPr="00EC03B5">
        <w:rPr>
          <w:sz w:val="22"/>
          <w:lang w:val="es-ES"/>
        </w:rPr>
        <w:t xml:space="preserve"> se recuperó rápidamente de la caída de ingresos </w:t>
      </w:r>
      <w:r w:rsidR="009430D4">
        <w:rPr>
          <w:sz w:val="22"/>
          <w:lang w:val="es-ES"/>
        </w:rPr>
        <w:t xml:space="preserve">tributarios </w:t>
      </w:r>
      <w:r w:rsidR="009430D4" w:rsidRPr="00EC03B5">
        <w:rPr>
          <w:sz w:val="22"/>
          <w:lang w:val="es-ES"/>
        </w:rPr>
        <w:t xml:space="preserve">en la crisis de 2009, </w:t>
      </w:r>
      <w:r w:rsidR="002C63C8">
        <w:rPr>
          <w:sz w:val="22"/>
          <w:lang w:val="es-ES"/>
        </w:rPr>
        <w:t xml:space="preserve">mientras que </w:t>
      </w:r>
      <w:r w:rsidR="009430D4" w:rsidRPr="00EC03B5">
        <w:rPr>
          <w:sz w:val="22"/>
          <w:lang w:val="es-ES"/>
        </w:rPr>
        <w:t>C</w:t>
      </w:r>
      <w:r w:rsidR="009430D4">
        <w:rPr>
          <w:sz w:val="22"/>
          <w:lang w:val="es-ES"/>
        </w:rPr>
        <w:t xml:space="preserve">osta </w:t>
      </w:r>
      <w:r w:rsidR="009430D4" w:rsidRPr="00EC03B5">
        <w:rPr>
          <w:sz w:val="22"/>
          <w:lang w:val="es-ES"/>
        </w:rPr>
        <w:t>R</w:t>
      </w:r>
      <w:r w:rsidR="009430D4">
        <w:rPr>
          <w:sz w:val="22"/>
          <w:lang w:val="es-ES"/>
        </w:rPr>
        <w:t>ica</w:t>
      </w:r>
      <w:r w:rsidR="009430D4" w:rsidRPr="00EC03B5">
        <w:rPr>
          <w:sz w:val="22"/>
          <w:lang w:val="es-ES"/>
        </w:rPr>
        <w:t xml:space="preserve"> aún no lo ha hecho</w:t>
      </w:r>
      <w:r w:rsidR="002C63C8">
        <w:rPr>
          <w:sz w:val="22"/>
          <w:lang w:val="es-ES"/>
        </w:rPr>
        <w:t xml:space="preserve">. </w:t>
      </w:r>
      <w:r w:rsidR="00BB64A1">
        <w:rPr>
          <w:sz w:val="22"/>
          <w:lang w:val="es-ES"/>
        </w:rPr>
        <w:t>De acuerdo con datos del Ministerio de Hacienda de Costa Rica, los ingresos corrientes del Gobierno Central cerraron 2017 en 14,5% del PIB</w:t>
      </w:r>
      <w:r w:rsidR="009D2906">
        <w:rPr>
          <w:sz w:val="22"/>
          <w:lang w:val="es-ES"/>
        </w:rPr>
        <w:t xml:space="preserve">, aún lejos </w:t>
      </w:r>
      <w:r w:rsidR="00EE0EFF">
        <w:rPr>
          <w:sz w:val="22"/>
          <w:lang w:val="es-ES"/>
        </w:rPr>
        <w:t xml:space="preserve">de recuperar sus niveles </w:t>
      </w:r>
      <w:r w:rsidR="00CC3553">
        <w:rPr>
          <w:sz w:val="22"/>
          <w:lang w:val="es-ES"/>
        </w:rPr>
        <w:t>precrisis</w:t>
      </w:r>
      <w:r w:rsidR="00C31138">
        <w:rPr>
          <w:sz w:val="22"/>
          <w:lang w:val="es-ES"/>
        </w:rPr>
        <w:t xml:space="preserve"> </w:t>
      </w:r>
      <w:r w:rsidR="00972C32">
        <w:rPr>
          <w:sz w:val="22"/>
          <w:lang w:val="es-ES"/>
        </w:rPr>
        <w:t>y presen</w:t>
      </w:r>
      <w:r w:rsidR="00C31138">
        <w:rPr>
          <w:sz w:val="22"/>
          <w:lang w:val="es-ES"/>
        </w:rPr>
        <w:t>tar una tendencia decreciente en los primeros meses de 2018</w:t>
      </w:r>
      <w:r w:rsidR="00BB64A1">
        <w:rPr>
          <w:sz w:val="22"/>
          <w:lang w:val="es-ES"/>
        </w:rPr>
        <w:t>.</w:t>
      </w:r>
    </w:p>
    <w:p w14:paraId="38116B0A" w14:textId="77777777" w:rsidR="0065344B" w:rsidRDefault="0065344B" w:rsidP="001A39CB">
      <w:pPr>
        <w:pStyle w:val="Estilo4"/>
        <w:numPr>
          <w:ilvl w:val="0"/>
          <w:numId w:val="0"/>
        </w:numPr>
        <w:tabs>
          <w:tab w:val="left" w:pos="0"/>
        </w:tabs>
        <w:spacing w:after="0" w:line="360" w:lineRule="auto"/>
        <w:contextualSpacing w:val="0"/>
        <w:rPr>
          <w:sz w:val="22"/>
          <w:lang w:val="es-ES"/>
        </w:rPr>
      </w:pPr>
    </w:p>
    <w:p w14:paraId="0F443FBE" w14:textId="77777777" w:rsidR="0065344B" w:rsidRDefault="0065344B" w:rsidP="001A39CB">
      <w:pPr>
        <w:pStyle w:val="Estilo4"/>
        <w:numPr>
          <w:ilvl w:val="0"/>
          <w:numId w:val="0"/>
        </w:numPr>
        <w:tabs>
          <w:tab w:val="left" w:pos="0"/>
        </w:tabs>
        <w:spacing w:after="0" w:line="360" w:lineRule="auto"/>
        <w:contextualSpacing w:val="0"/>
        <w:rPr>
          <w:sz w:val="22"/>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04331C" w:rsidRPr="00EC03B5" w14:paraId="664641A1" w14:textId="77777777" w:rsidTr="0003794E">
        <w:tc>
          <w:tcPr>
            <w:tcW w:w="4530" w:type="dxa"/>
          </w:tcPr>
          <w:p w14:paraId="484E1F16" w14:textId="2BABDE61" w:rsidR="0004331C" w:rsidRPr="007364D6" w:rsidRDefault="007364D6" w:rsidP="007364D6">
            <w:pPr>
              <w:pStyle w:val="Caption"/>
              <w:jc w:val="center"/>
              <w:rPr>
                <w:rFonts w:ascii="Times New Roman" w:hAnsi="Times New Roman" w:cs="Times New Roman"/>
                <w:b/>
                <w:i w:val="0"/>
                <w:color w:val="000000" w:themeColor="text1"/>
                <w:sz w:val="22"/>
                <w:szCs w:val="22"/>
              </w:rPr>
            </w:pPr>
            <w:bookmarkStart w:id="16" w:name="_Toc518399418"/>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11</w:t>
            </w:r>
            <w:r w:rsidRPr="007364D6">
              <w:rPr>
                <w:rFonts w:ascii="Times New Roman" w:hAnsi="Times New Roman" w:cs="Times New Roman"/>
                <w:b/>
                <w:i w:val="0"/>
                <w:color w:val="auto"/>
                <w:sz w:val="22"/>
                <w:szCs w:val="22"/>
              </w:rPr>
              <w:fldChar w:fldCharType="end"/>
            </w:r>
            <w:r w:rsidR="0004331C" w:rsidRPr="007364D6">
              <w:rPr>
                <w:rFonts w:ascii="Times New Roman" w:hAnsi="Times New Roman" w:cs="Times New Roman"/>
                <w:b/>
                <w:i w:val="0"/>
                <w:color w:val="auto"/>
                <w:sz w:val="22"/>
                <w:szCs w:val="22"/>
              </w:rPr>
              <w:t>. Ingresos tributarios. Costa Rica y promedio de América Latina</w:t>
            </w:r>
            <w:r w:rsidR="00EE0EFF" w:rsidRPr="007364D6">
              <w:rPr>
                <w:rFonts w:ascii="Times New Roman" w:hAnsi="Times New Roman" w:cs="Times New Roman"/>
                <w:b/>
                <w:i w:val="0"/>
                <w:color w:val="auto"/>
                <w:sz w:val="22"/>
                <w:szCs w:val="22"/>
              </w:rPr>
              <w:t xml:space="preserve"> </w:t>
            </w:r>
            <w:r w:rsidR="0004331C" w:rsidRPr="007364D6">
              <w:rPr>
                <w:rFonts w:ascii="Times New Roman" w:hAnsi="Times New Roman" w:cs="Times New Roman"/>
                <w:b/>
                <w:i w:val="0"/>
                <w:color w:val="auto"/>
                <w:sz w:val="22"/>
                <w:szCs w:val="22"/>
              </w:rPr>
              <w:t>(% PIB)</w:t>
            </w:r>
            <w:bookmarkEnd w:id="16"/>
          </w:p>
        </w:tc>
        <w:tc>
          <w:tcPr>
            <w:tcW w:w="4530" w:type="dxa"/>
          </w:tcPr>
          <w:p w14:paraId="780B5845" w14:textId="27AD02F7" w:rsidR="0004331C" w:rsidRPr="007364D6" w:rsidRDefault="007364D6" w:rsidP="007364D6">
            <w:pPr>
              <w:pStyle w:val="Caption"/>
              <w:jc w:val="center"/>
              <w:rPr>
                <w:rFonts w:ascii="Times New Roman" w:hAnsi="Times New Roman" w:cs="Times New Roman"/>
                <w:b/>
                <w:i w:val="0"/>
                <w:sz w:val="22"/>
                <w:szCs w:val="22"/>
              </w:rPr>
            </w:pPr>
            <w:bookmarkStart w:id="17" w:name="_Toc518399419"/>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12</w:t>
            </w:r>
            <w:r w:rsidRPr="007364D6">
              <w:rPr>
                <w:rFonts w:ascii="Times New Roman" w:hAnsi="Times New Roman" w:cs="Times New Roman"/>
                <w:b/>
                <w:i w:val="0"/>
                <w:color w:val="auto"/>
                <w:sz w:val="22"/>
                <w:szCs w:val="22"/>
              </w:rPr>
              <w:fldChar w:fldCharType="end"/>
            </w:r>
            <w:r w:rsidR="0004331C" w:rsidRPr="007364D6">
              <w:rPr>
                <w:rFonts w:ascii="Times New Roman" w:hAnsi="Times New Roman" w:cs="Times New Roman"/>
                <w:b/>
                <w:i w:val="0"/>
                <w:color w:val="auto"/>
                <w:sz w:val="22"/>
                <w:szCs w:val="22"/>
              </w:rPr>
              <w:t>. Crecimiento del PIB y variación ingresos tributarios (puntos PIB). 2008-2015</w:t>
            </w:r>
            <w:bookmarkEnd w:id="17"/>
          </w:p>
        </w:tc>
      </w:tr>
      <w:tr w:rsidR="0004331C" w:rsidRPr="00EC03B5" w14:paraId="6B5F14EF" w14:textId="77777777" w:rsidTr="00C752CB">
        <w:tc>
          <w:tcPr>
            <w:tcW w:w="4530" w:type="dxa"/>
          </w:tcPr>
          <w:p w14:paraId="3050B35A" w14:textId="77777777" w:rsidR="0004331C" w:rsidRPr="00EC03B5" w:rsidRDefault="00C752CB" w:rsidP="005C119C">
            <w:pPr>
              <w:jc w:val="center"/>
              <w:rPr>
                <w:rFonts w:ascii="Times New Roman" w:hAnsi="Times New Roman" w:cs="Times New Roman"/>
                <w:b/>
                <w:sz w:val="22"/>
              </w:rPr>
            </w:pPr>
            <w:r>
              <w:rPr>
                <w:noProof/>
                <w:lang w:val="es-CR" w:eastAsia="es-CR"/>
              </w:rPr>
              <w:drawing>
                <wp:inline distT="0" distB="0" distL="0" distR="0" wp14:anchorId="75861CB1" wp14:editId="3507AB3C">
                  <wp:extent cx="2706624" cy="2267712"/>
                  <wp:effectExtent l="0" t="0" r="0" b="0"/>
                  <wp:docPr id="8" name="Chart 8">
                    <a:extLst xmlns:a="http://schemas.openxmlformats.org/drawingml/2006/main">
                      <a:ext uri="{FF2B5EF4-FFF2-40B4-BE49-F238E27FC236}">
                        <a16:creationId xmlns:a16="http://schemas.microsoft.com/office/drawing/2014/main" id="{FEC230D8-9510-40C4-9CD0-AE77D729F5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530" w:type="dxa"/>
          </w:tcPr>
          <w:p w14:paraId="22FD52D2" w14:textId="77777777" w:rsidR="0004331C" w:rsidRPr="00EC03B5" w:rsidRDefault="0004331C" w:rsidP="007364D6">
            <w:pPr>
              <w:keepNext/>
              <w:jc w:val="center"/>
              <w:rPr>
                <w:rFonts w:ascii="Times New Roman" w:hAnsi="Times New Roman" w:cs="Times New Roman"/>
                <w:b/>
                <w:sz w:val="22"/>
              </w:rPr>
            </w:pPr>
            <w:r w:rsidRPr="00EC03B5">
              <w:rPr>
                <w:noProof/>
                <w:lang w:val="es-CR" w:eastAsia="es-CR"/>
              </w:rPr>
              <w:drawing>
                <wp:inline distT="0" distB="0" distL="0" distR="0" wp14:anchorId="0240FD3C" wp14:editId="123F9182">
                  <wp:extent cx="2706370" cy="2354580"/>
                  <wp:effectExtent l="0" t="0" r="0" b="762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14:paraId="39B2FC13" w14:textId="77777777" w:rsidR="0004331C" w:rsidRDefault="0004331C" w:rsidP="001A39CB">
      <w:pPr>
        <w:spacing w:line="360" w:lineRule="auto"/>
        <w:jc w:val="center"/>
        <w:rPr>
          <w:rFonts w:ascii="Times New Roman" w:hAnsi="Times New Roman" w:cs="Times New Roman"/>
          <w:color w:val="000000" w:themeColor="text1"/>
          <w:sz w:val="18"/>
          <w:szCs w:val="24"/>
        </w:rPr>
      </w:pPr>
      <w:r w:rsidRPr="00EC03B5">
        <w:rPr>
          <w:rFonts w:ascii="Times New Roman" w:hAnsi="Times New Roman" w:cs="Times New Roman"/>
          <w:color w:val="000000" w:themeColor="text1"/>
          <w:sz w:val="18"/>
          <w:szCs w:val="24"/>
        </w:rPr>
        <w:t>Fuente: Base de datos BID-CIAT</w:t>
      </w:r>
      <w:r w:rsidR="00121468">
        <w:rPr>
          <w:rFonts w:ascii="Times New Roman" w:hAnsi="Times New Roman" w:cs="Times New Roman"/>
          <w:color w:val="000000" w:themeColor="text1"/>
          <w:sz w:val="18"/>
          <w:szCs w:val="24"/>
        </w:rPr>
        <w:t>, OCDE</w:t>
      </w:r>
      <w:r w:rsidRPr="00EC03B5">
        <w:rPr>
          <w:rFonts w:ascii="Times New Roman" w:hAnsi="Times New Roman" w:cs="Times New Roman"/>
          <w:color w:val="000000" w:themeColor="text1"/>
          <w:sz w:val="18"/>
          <w:szCs w:val="24"/>
        </w:rPr>
        <w:t xml:space="preserve"> y Banco Mundial.</w:t>
      </w:r>
    </w:p>
    <w:p w14:paraId="227D4A6F" w14:textId="77777777" w:rsidR="00463658" w:rsidRDefault="00597658" w:rsidP="00A4219A">
      <w:pPr>
        <w:pStyle w:val="Estilo4"/>
        <w:numPr>
          <w:ilvl w:val="0"/>
          <w:numId w:val="0"/>
        </w:numPr>
        <w:tabs>
          <w:tab w:val="left" w:pos="0"/>
        </w:tabs>
        <w:spacing w:line="360" w:lineRule="auto"/>
        <w:contextualSpacing w:val="0"/>
        <w:rPr>
          <w:sz w:val="22"/>
          <w:lang w:val="es-ES"/>
        </w:rPr>
      </w:pPr>
      <w:r>
        <w:rPr>
          <w:b/>
          <w:sz w:val="22"/>
          <w:lang w:val="es-ES"/>
        </w:rPr>
        <w:t xml:space="preserve">Los ingresos </w:t>
      </w:r>
      <w:r w:rsidR="009638C7">
        <w:rPr>
          <w:b/>
          <w:sz w:val="22"/>
          <w:lang w:val="es-ES"/>
        </w:rPr>
        <w:t xml:space="preserve">por concepto de </w:t>
      </w:r>
      <w:r w:rsidR="00364C61" w:rsidRPr="004113DF">
        <w:rPr>
          <w:b/>
          <w:sz w:val="22"/>
          <w:lang w:val="es-ES"/>
        </w:rPr>
        <w:t>Impuesto General sobre las Ventas</w:t>
      </w:r>
      <w:r w:rsidR="0043525E" w:rsidRPr="004113DF">
        <w:rPr>
          <w:b/>
          <w:sz w:val="22"/>
          <w:lang w:val="es-ES"/>
        </w:rPr>
        <w:t xml:space="preserve"> </w:t>
      </w:r>
      <w:r w:rsidR="000B2C3C">
        <w:rPr>
          <w:b/>
          <w:sz w:val="22"/>
          <w:lang w:val="es-ES"/>
        </w:rPr>
        <w:t xml:space="preserve">(IGV) </w:t>
      </w:r>
      <w:r w:rsidR="009638C7">
        <w:rPr>
          <w:b/>
          <w:sz w:val="22"/>
          <w:lang w:val="es-ES"/>
        </w:rPr>
        <w:t xml:space="preserve">son comparativamente bajos y </w:t>
      </w:r>
      <w:r w:rsidR="00C351C0">
        <w:rPr>
          <w:b/>
          <w:sz w:val="22"/>
          <w:lang w:val="es-ES"/>
        </w:rPr>
        <w:t xml:space="preserve">el impuesto </w:t>
      </w:r>
      <w:r w:rsidR="0043525E" w:rsidRPr="004113DF">
        <w:rPr>
          <w:b/>
          <w:sz w:val="22"/>
          <w:lang w:val="es-ES"/>
        </w:rPr>
        <w:t>presenta graves problemas de diseño</w:t>
      </w:r>
      <w:r w:rsidR="009638C7">
        <w:rPr>
          <w:b/>
          <w:sz w:val="22"/>
          <w:lang w:val="es-ES"/>
        </w:rPr>
        <w:t xml:space="preserve">. </w:t>
      </w:r>
      <w:r w:rsidR="00866598" w:rsidRPr="00866598">
        <w:rPr>
          <w:sz w:val="22"/>
          <w:lang w:val="es-ES"/>
        </w:rPr>
        <w:t>De</w:t>
      </w:r>
      <w:r w:rsidR="00866598">
        <w:rPr>
          <w:b/>
          <w:sz w:val="22"/>
          <w:lang w:val="es-ES"/>
        </w:rPr>
        <w:t xml:space="preserve"> </w:t>
      </w:r>
      <w:r w:rsidR="00866598" w:rsidRPr="00866598">
        <w:rPr>
          <w:sz w:val="22"/>
          <w:lang w:val="es-ES"/>
        </w:rPr>
        <w:t>acuerdo con</w:t>
      </w:r>
      <w:r w:rsidR="00866598">
        <w:rPr>
          <w:sz w:val="22"/>
          <w:lang w:val="es-ES"/>
        </w:rPr>
        <w:t xml:space="preserve"> </w:t>
      </w:r>
      <w:r w:rsidR="00F52E56">
        <w:rPr>
          <w:sz w:val="22"/>
          <w:lang w:val="es-ES"/>
        </w:rPr>
        <w:t>Estadísticas Tributarias de América Latina y el Caribe</w:t>
      </w:r>
      <w:r w:rsidR="009A453D">
        <w:rPr>
          <w:rStyle w:val="FootnoteReference"/>
          <w:sz w:val="22"/>
          <w:lang w:val="es-ES"/>
        </w:rPr>
        <w:footnoteReference w:id="13"/>
      </w:r>
      <w:r w:rsidR="009961F2">
        <w:rPr>
          <w:sz w:val="22"/>
          <w:lang w:val="es-ES"/>
        </w:rPr>
        <w:t xml:space="preserve">, los ingresos por </w:t>
      </w:r>
      <w:r w:rsidR="002B458D">
        <w:rPr>
          <w:sz w:val="22"/>
          <w:lang w:val="es-ES"/>
        </w:rPr>
        <w:t>IGV en Costa Rica fueron de 4,7% del PIB para 2015</w:t>
      </w:r>
      <w:r w:rsidR="00A4219A">
        <w:rPr>
          <w:sz w:val="22"/>
          <w:lang w:val="es-ES"/>
        </w:rPr>
        <w:t>, mientras que el promedio de América Latina fue de 6%</w:t>
      </w:r>
      <w:r w:rsidR="00DB67D1">
        <w:rPr>
          <w:sz w:val="22"/>
          <w:lang w:val="es-ES"/>
        </w:rPr>
        <w:t xml:space="preserve"> y de 6,8% en la OCDE</w:t>
      </w:r>
      <w:r w:rsidR="00A4219A">
        <w:rPr>
          <w:sz w:val="22"/>
          <w:lang w:val="es-ES"/>
        </w:rPr>
        <w:t>.</w:t>
      </w:r>
      <w:r w:rsidR="00DA4D07">
        <w:rPr>
          <w:sz w:val="22"/>
          <w:lang w:val="es-ES"/>
        </w:rPr>
        <w:t xml:space="preserve"> </w:t>
      </w:r>
      <w:r w:rsidR="000B2C3C">
        <w:rPr>
          <w:sz w:val="22"/>
          <w:lang w:val="es-ES"/>
        </w:rPr>
        <w:t>Específicamente, el IGV</w:t>
      </w:r>
      <w:r w:rsidR="00E73F0F">
        <w:rPr>
          <w:sz w:val="22"/>
          <w:lang w:val="es-ES"/>
        </w:rPr>
        <w:t xml:space="preserve"> </w:t>
      </w:r>
      <w:r w:rsidR="004F1177">
        <w:rPr>
          <w:sz w:val="22"/>
          <w:lang w:val="es-ES"/>
        </w:rPr>
        <w:t xml:space="preserve">presenta tres problemas: </w:t>
      </w:r>
      <w:r w:rsidR="00BF345C">
        <w:rPr>
          <w:sz w:val="22"/>
          <w:lang w:val="es-ES"/>
        </w:rPr>
        <w:t xml:space="preserve">i) </w:t>
      </w:r>
      <w:r w:rsidR="004F1177">
        <w:rPr>
          <w:sz w:val="22"/>
          <w:lang w:val="es-ES"/>
        </w:rPr>
        <w:t>el tratamiento de tasa cero a los bienes exentos</w:t>
      </w:r>
      <w:r w:rsidR="00BF345C">
        <w:rPr>
          <w:sz w:val="22"/>
          <w:lang w:val="es-ES"/>
        </w:rPr>
        <w:t>; ii)</w:t>
      </w:r>
      <w:r w:rsidR="004F1177">
        <w:rPr>
          <w:sz w:val="22"/>
          <w:lang w:val="es-ES"/>
        </w:rPr>
        <w:t xml:space="preserve"> </w:t>
      </w:r>
      <w:r w:rsidR="0077691D">
        <w:rPr>
          <w:sz w:val="22"/>
          <w:lang w:val="es-ES"/>
        </w:rPr>
        <w:t>deducción física del impuesto pagado en las compras</w:t>
      </w:r>
      <w:r w:rsidR="00BF345C">
        <w:rPr>
          <w:sz w:val="22"/>
          <w:lang w:val="es-ES"/>
        </w:rPr>
        <w:t>;</w:t>
      </w:r>
      <w:r w:rsidR="0077691D">
        <w:rPr>
          <w:sz w:val="22"/>
          <w:lang w:val="es-ES"/>
        </w:rPr>
        <w:t xml:space="preserve"> y </w:t>
      </w:r>
      <w:r w:rsidR="00BF345C">
        <w:rPr>
          <w:sz w:val="22"/>
          <w:lang w:val="es-ES"/>
        </w:rPr>
        <w:t xml:space="preserve">iii) </w:t>
      </w:r>
      <w:r w:rsidR="0077691D">
        <w:rPr>
          <w:sz w:val="22"/>
          <w:lang w:val="es-ES"/>
        </w:rPr>
        <w:t>la exclusión de la mayor parte de los servicios.</w:t>
      </w:r>
      <w:r w:rsidR="005D4AD7">
        <w:rPr>
          <w:sz w:val="22"/>
          <w:lang w:val="es-ES"/>
        </w:rPr>
        <w:t xml:space="preserve"> Estos </w:t>
      </w:r>
      <w:r w:rsidR="00220ADF">
        <w:rPr>
          <w:sz w:val="22"/>
          <w:lang w:val="es-ES"/>
        </w:rPr>
        <w:t xml:space="preserve">problemas </w:t>
      </w:r>
      <w:r w:rsidR="00220ADF">
        <w:rPr>
          <w:sz w:val="22"/>
          <w:lang w:val="es-ES"/>
        </w:rPr>
        <w:lastRenderedPageBreak/>
        <w:t>no permiten que se cuente con características deseables de un IVA como lo son</w:t>
      </w:r>
      <w:r w:rsidR="00AD7280">
        <w:rPr>
          <w:sz w:val="22"/>
          <w:lang w:val="es-ES"/>
        </w:rPr>
        <w:t xml:space="preserve"> la simplicidad</w:t>
      </w:r>
      <w:r w:rsidR="00257AD6">
        <w:rPr>
          <w:rStyle w:val="FootnoteReference"/>
          <w:sz w:val="22"/>
          <w:lang w:val="es-ES"/>
        </w:rPr>
        <w:footnoteReference w:id="14"/>
      </w:r>
      <w:r w:rsidR="00AD7280">
        <w:rPr>
          <w:sz w:val="22"/>
          <w:lang w:val="es-ES"/>
        </w:rPr>
        <w:t>, neutralidad</w:t>
      </w:r>
      <w:r w:rsidR="00A52FC2">
        <w:rPr>
          <w:rStyle w:val="FootnoteReference"/>
          <w:sz w:val="22"/>
          <w:lang w:val="es-ES"/>
        </w:rPr>
        <w:footnoteReference w:id="15"/>
      </w:r>
      <w:r w:rsidR="00257AD6">
        <w:rPr>
          <w:sz w:val="22"/>
          <w:lang w:val="es-ES"/>
        </w:rPr>
        <w:t xml:space="preserve">, </w:t>
      </w:r>
      <w:r w:rsidR="009D06B8">
        <w:rPr>
          <w:sz w:val="22"/>
          <w:lang w:val="es-ES"/>
        </w:rPr>
        <w:t>mejorar la boyanza del sistema</w:t>
      </w:r>
      <w:r w:rsidR="002728D2">
        <w:rPr>
          <w:rStyle w:val="FootnoteReference"/>
          <w:sz w:val="22"/>
          <w:lang w:val="es-ES"/>
        </w:rPr>
        <w:footnoteReference w:id="16"/>
      </w:r>
      <w:r w:rsidR="009D06B8">
        <w:rPr>
          <w:sz w:val="22"/>
          <w:lang w:val="es-ES"/>
        </w:rPr>
        <w:t>,</w:t>
      </w:r>
      <w:r w:rsidR="009E579B">
        <w:rPr>
          <w:sz w:val="22"/>
          <w:lang w:val="es-ES"/>
        </w:rPr>
        <w:t xml:space="preserve"> competitividad</w:t>
      </w:r>
      <w:r w:rsidR="009E579B">
        <w:rPr>
          <w:rStyle w:val="FootnoteReference"/>
          <w:sz w:val="22"/>
          <w:lang w:val="es-ES"/>
        </w:rPr>
        <w:footnoteReference w:id="17"/>
      </w:r>
      <w:r w:rsidR="009E579B">
        <w:rPr>
          <w:sz w:val="22"/>
          <w:lang w:val="es-ES"/>
        </w:rPr>
        <w:t xml:space="preserve"> y equidad</w:t>
      </w:r>
      <w:r w:rsidR="003A68C8">
        <w:rPr>
          <w:sz w:val="22"/>
          <w:lang w:val="es-ES"/>
        </w:rPr>
        <w:t>.</w:t>
      </w:r>
      <w:r w:rsidR="00F01751">
        <w:rPr>
          <w:rStyle w:val="FootnoteReference"/>
          <w:sz w:val="22"/>
          <w:lang w:val="es-ES"/>
        </w:rPr>
        <w:footnoteReference w:id="18"/>
      </w:r>
    </w:p>
    <w:p w14:paraId="3B9D3C85" w14:textId="77777777" w:rsidR="00164EB4" w:rsidRDefault="00B70590" w:rsidP="001A39CB">
      <w:pPr>
        <w:pStyle w:val="Estilo4"/>
        <w:numPr>
          <w:ilvl w:val="0"/>
          <w:numId w:val="0"/>
        </w:numPr>
        <w:tabs>
          <w:tab w:val="left" w:pos="0"/>
        </w:tabs>
        <w:spacing w:line="360" w:lineRule="auto"/>
        <w:contextualSpacing w:val="0"/>
        <w:rPr>
          <w:sz w:val="22"/>
          <w:lang w:val="es-ES"/>
        </w:rPr>
      </w:pPr>
      <w:r>
        <w:rPr>
          <w:b/>
          <w:sz w:val="22"/>
          <w:lang w:val="es-ES"/>
        </w:rPr>
        <w:t xml:space="preserve">El </w:t>
      </w:r>
      <w:r w:rsidR="00CA0586" w:rsidRPr="0079332D">
        <w:rPr>
          <w:b/>
          <w:sz w:val="22"/>
          <w:lang w:val="es-ES"/>
        </w:rPr>
        <w:t xml:space="preserve">tratamiento de tasa cero es una </w:t>
      </w:r>
      <w:r w:rsidR="00F730A6" w:rsidRPr="0079332D">
        <w:rPr>
          <w:b/>
          <w:sz w:val="22"/>
          <w:lang w:val="es-ES"/>
        </w:rPr>
        <w:t>práctica ineficiente</w:t>
      </w:r>
      <w:r w:rsidR="0079332D">
        <w:rPr>
          <w:b/>
          <w:sz w:val="22"/>
          <w:lang w:val="es-ES"/>
        </w:rPr>
        <w:t xml:space="preserve"> que resta dinamismo a la economía y al mismo tiempo </w:t>
      </w:r>
      <w:r w:rsidR="00C746CD">
        <w:rPr>
          <w:b/>
          <w:sz w:val="22"/>
          <w:lang w:val="es-ES"/>
        </w:rPr>
        <w:t>no permite cerrar los eslabones de</w:t>
      </w:r>
      <w:r w:rsidR="0076058E">
        <w:rPr>
          <w:b/>
          <w:sz w:val="22"/>
          <w:lang w:val="es-ES"/>
        </w:rPr>
        <w:t>l</w:t>
      </w:r>
      <w:r w:rsidR="00C746CD">
        <w:rPr>
          <w:b/>
          <w:sz w:val="22"/>
          <w:lang w:val="es-ES"/>
        </w:rPr>
        <w:t xml:space="preserve"> IVA</w:t>
      </w:r>
      <w:r w:rsidR="00164EB4">
        <w:rPr>
          <w:b/>
          <w:sz w:val="22"/>
          <w:lang w:val="es-ES"/>
        </w:rPr>
        <w:t>.</w:t>
      </w:r>
      <w:r w:rsidR="00CA0586">
        <w:rPr>
          <w:sz w:val="22"/>
          <w:lang w:val="es-ES"/>
        </w:rPr>
        <w:t xml:space="preserve"> </w:t>
      </w:r>
      <w:r w:rsidR="00164EB4">
        <w:rPr>
          <w:sz w:val="22"/>
          <w:lang w:val="es-ES"/>
        </w:rPr>
        <w:t xml:space="preserve">Lo anterior porque </w:t>
      </w:r>
      <w:r w:rsidR="00702775">
        <w:rPr>
          <w:sz w:val="22"/>
          <w:lang w:val="es-ES"/>
        </w:rPr>
        <w:t xml:space="preserve">quienes </w:t>
      </w:r>
      <w:r w:rsidR="00745B91">
        <w:rPr>
          <w:sz w:val="22"/>
          <w:lang w:val="es-ES"/>
        </w:rPr>
        <w:t>venden en el mercado interno</w:t>
      </w:r>
      <w:r w:rsidR="000F44A5">
        <w:rPr>
          <w:rStyle w:val="FootnoteReference"/>
          <w:sz w:val="22"/>
          <w:lang w:val="es-ES"/>
        </w:rPr>
        <w:footnoteReference w:id="19"/>
      </w:r>
      <w:r w:rsidR="00745B91">
        <w:rPr>
          <w:sz w:val="22"/>
          <w:lang w:val="es-ES"/>
        </w:rPr>
        <w:t xml:space="preserve"> bienes y servicios exentos</w:t>
      </w:r>
      <w:r w:rsidR="001D5229">
        <w:rPr>
          <w:sz w:val="22"/>
          <w:lang w:val="es-ES"/>
        </w:rPr>
        <w:t>, no tienen derecho a crédito fiscal por el IVA</w:t>
      </w:r>
      <w:r w:rsidR="00E71D3A">
        <w:rPr>
          <w:sz w:val="22"/>
          <w:lang w:val="es-ES"/>
        </w:rPr>
        <w:t xml:space="preserve"> pagado en las compras </w:t>
      </w:r>
      <w:r w:rsidR="0087146A">
        <w:rPr>
          <w:sz w:val="22"/>
          <w:lang w:val="es-ES"/>
        </w:rPr>
        <w:t>de los insumos utilizados en la producción</w:t>
      </w:r>
      <w:r w:rsidR="001D5229">
        <w:rPr>
          <w:sz w:val="22"/>
          <w:lang w:val="es-ES"/>
        </w:rPr>
        <w:t>.</w:t>
      </w:r>
      <w:r w:rsidR="0087146A">
        <w:rPr>
          <w:sz w:val="22"/>
          <w:lang w:val="es-ES"/>
        </w:rPr>
        <w:t xml:space="preserve"> </w:t>
      </w:r>
      <w:r w:rsidR="00A836DF">
        <w:rPr>
          <w:sz w:val="22"/>
          <w:lang w:val="es-ES"/>
        </w:rPr>
        <w:t xml:space="preserve">El tratamiento de tasa cero se da </w:t>
      </w:r>
      <w:r w:rsidR="00E63E24">
        <w:rPr>
          <w:sz w:val="22"/>
          <w:lang w:val="es-ES"/>
        </w:rPr>
        <w:t xml:space="preserve">en los bienes que son parte de la canasta básica alimentaria, bienes esenciales para </w:t>
      </w:r>
      <w:r w:rsidR="00310B68">
        <w:rPr>
          <w:sz w:val="22"/>
          <w:lang w:val="es-ES"/>
        </w:rPr>
        <w:t>la educación, a los medicamento</w:t>
      </w:r>
      <w:r w:rsidR="00081BE9">
        <w:rPr>
          <w:sz w:val="22"/>
          <w:lang w:val="es-ES"/>
        </w:rPr>
        <w:t xml:space="preserve">s, </w:t>
      </w:r>
      <w:r w:rsidR="00310B68">
        <w:rPr>
          <w:sz w:val="22"/>
          <w:lang w:val="es-ES"/>
        </w:rPr>
        <w:t xml:space="preserve">los </w:t>
      </w:r>
      <w:r w:rsidR="00E45D8F">
        <w:rPr>
          <w:sz w:val="22"/>
          <w:lang w:val="es-ES"/>
        </w:rPr>
        <w:t xml:space="preserve">productos agrícolas, algunos bienes culturales, el queroseno y </w:t>
      </w:r>
      <w:r w:rsidR="00C04A41">
        <w:rPr>
          <w:sz w:val="22"/>
          <w:lang w:val="es-ES"/>
        </w:rPr>
        <w:t>el consumo de energía menor de 250 kW/h</w:t>
      </w:r>
      <w:r w:rsidR="00310B68">
        <w:rPr>
          <w:sz w:val="22"/>
          <w:lang w:val="es-ES"/>
        </w:rPr>
        <w:t xml:space="preserve">. Cómo se adelantó en el párrafo anterior, esto afecta directamente la </w:t>
      </w:r>
      <w:r w:rsidR="006465D1">
        <w:rPr>
          <w:sz w:val="22"/>
          <w:lang w:val="es-ES"/>
        </w:rPr>
        <w:t xml:space="preserve">competitividad con los productos importados. </w:t>
      </w:r>
      <w:r w:rsidR="00BE12CD">
        <w:rPr>
          <w:sz w:val="22"/>
          <w:lang w:val="es-ES"/>
        </w:rPr>
        <w:t xml:space="preserve">Además, </w:t>
      </w:r>
      <w:r w:rsidR="004024ED">
        <w:rPr>
          <w:sz w:val="22"/>
          <w:lang w:val="es-ES"/>
        </w:rPr>
        <w:t xml:space="preserve">la tasa cero </w:t>
      </w:r>
      <w:r w:rsidR="00B85887">
        <w:rPr>
          <w:sz w:val="22"/>
          <w:lang w:val="es-ES"/>
        </w:rPr>
        <w:t>provoca una renuncia fiscal</w:t>
      </w:r>
      <w:r w:rsidR="00443DAC">
        <w:rPr>
          <w:sz w:val="22"/>
          <w:lang w:val="es-ES"/>
        </w:rPr>
        <w:t xml:space="preserve"> </w:t>
      </w:r>
      <w:r w:rsidR="007D41DB">
        <w:rPr>
          <w:sz w:val="22"/>
          <w:lang w:val="es-ES"/>
        </w:rPr>
        <w:t xml:space="preserve">por cuanto se dejan de percibir recursos tributarios. </w:t>
      </w:r>
      <w:r w:rsidR="00C15A38">
        <w:rPr>
          <w:sz w:val="22"/>
          <w:lang w:val="es-ES"/>
        </w:rPr>
        <w:t xml:space="preserve">Por último, el simple hecho de utilizar un sistema de tasa cero, cualquiera que este sea, </w:t>
      </w:r>
      <w:r w:rsidR="00D62C48">
        <w:rPr>
          <w:sz w:val="22"/>
          <w:lang w:val="es-ES"/>
        </w:rPr>
        <w:t>será compleja su administración</w:t>
      </w:r>
      <w:r w:rsidR="00093628">
        <w:rPr>
          <w:sz w:val="22"/>
          <w:lang w:val="es-ES"/>
        </w:rPr>
        <w:t>.</w:t>
      </w:r>
      <w:r w:rsidR="00093628">
        <w:rPr>
          <w:rStyle w:val="FootnoteReference"/>
          <w:sz w:val="22"/>
          <w:lang w:val="es-ES"/>
        </w:rPr>
        <w:footnoteReference w:id="20"/>
      </w:r>
    </w:p>
    <w:p w14:paraId="1A279D00" w14:textId="77777777" w:rsidR="00164EB4" w:rsidRDefault="00587867" w:rsidP="001A39CB">
      <w:pPr>
        <w:pStyle w:val="Estilo4"/>
        <w:numPr>
          <w:ilvl w:val="0"/>
          <w:numId w:val="0"/>
        </w:numPr>
        <w:tabs>
          <w:tab w:val="left" w:pos="0"/>
        </w:tabs>
        <w:spacing w:line="360" w:lineRule="auto"/>
        <w:contextualSpacing w:val="0"/>
        <w:rPr>
          <w:sz w:val="22"/>
          <w:lang w:val="es-ES"/>
        </w:rPr>
      </w:pPr>
      <w:r w:rsidRPr="004765A7">
        <w:rPr>
          <w:b/>
          <w:sz w:val="22"/>
          <w:lang w:val="es-ES"/>
        </w:rPr>
        <w:t xml:space="preserve">La exoneración de los servicios </w:t>
      </w:r>
      <w:r w:rsidR="00D50626" w:rsidRPr="004765A7">
        <w:rPr>
          <w:b/>
          <w:sz w:val="22"/>
          <w:lang w:val="es-ES"/>
        </w:rPr>
        <w:t xml:space="preserve">provoca problemas de eficiencia importantes, principalmente porque </w:t>
      </w:r>
      <w:r w:rsidR="00555C67">
        <w:rPr>
          <w:b/>
          <w:sz w:val="22"/>
          <w:lang w:val="es-ES"/>
        </w:rPr>
        <w:t xml:space="preserve">estos </w:t>
      </w:r>
      <w:r w:rsidR="00E157EA" w:rsidRPr="004765A7">
        <w:rPr>
          <w:b/>
          <w:sz w:val="22"/>
          <w:lang w:val="es-ES"/>
        </w:rPr>
        <w:t>representan el 40%</w:t>
      </w:r>
      <w:r w:rsidR="00A43643">
        <w:rPr>
          <w:rStyle w:val="FootnoteReference"/>
          <w:b/>
          <w:sz w:val="22"/>
          <w:lang w:val="es-ES"/>
        </w:rPr>
        <w:footnoteReference w:id="21"/>
      </w:r>
      <w:r w:rsidR="00E157EA" w:rsidRPr="004765A7">
        <w:rPr>
          <w:b/>
          <w:sz w:val="22"/>
          <w:lang w:val="es-ES"/>
        </w:rPr>
        <w:t xml:space="preserve"> de </w:t>
      </w:r>
      <w:r w:rsidR="004765A7" w:rsidRPr="004765A7">
        <w:rPr>
          <w:b/>
          <w:sz w:val="22"/>
          <w:lang w:val="es-ES"/>
        </w:rPr>
        <w:t>la producción</w:t>
      </w:r>
      <w:r w:rsidR="004765A7">
        <w:rPr>
          <w:sz w:val="22"/>
          <w:lang w:val="es-ES"/>
        </w:rPr>
        <w:t>. En primer lugar</w:t>
      </w:r>
      <w:r w:rsidR="00642A00">
        <w:rPr>
          <w:sz w:val="22"/>
          <w:lang w:val="es-ES"/>
        </w:rPr>
        <w:t xml:space="preserve">, existe un problema de oportunidad y suficiencia </w:t>
      </w:r>
      <w:r w:rsidR="004F04E9">
        <w:rPr>
          <w:sz w:val="22"/>
          <w:lang w:val="es-ES"/>
        </w:rPr>
        <w:t>puesto que</w:t>
      </w:r>
      <w:r w:rsidR="003E5EDB">
        <w:rPr>
          <w:sz w:val="22"/>
          <w:lang w:val="es-ES"/>
        </w:rPr>
        <w:t>, tal</w:t>
      </w:r>
      <w:r w:rsidR="004F04E9">
        <w:rPr>
          <w:sz w:val="22"/>
          <w:lang w:val="es-ES"/>
        </w:rPr>
        <w:t xml:space="preserve"> como en el resto del </w:t>
      </w:r>
      <w:r w:rsidR="003E5EDB">
        <w:rPr>
          <w:sz w:val="22"/>
          <w:lang w:val="es-ES"/>
        </w:rPr>
        <w:t xml:space="preserve">mundo, los servicios han </w:t>
      </w:r>
      <w:r w:rsidR="00462569">
        <w:rPr>
          <w:sz w:val="22"/>
          <w:lang w:val="es-ES"/>
        </w:rPr>
        <w:t xml:space="preserve">incrementado su participación en la </w:t>
      </w:r>
      <w:r w:rsidR="008A2730">
        <w:rPr>
          <w:sz w:val="22"/>
          <w:lang w:val="es-ES"/>
        </w:rPr>
        <w:t xml:space="preserve">producción, </w:t>
      </w:r>
      <w:r w:rsidR="00956ECB">
        <w:rPr>
          <w:sz w:val="22"/>
          <w:lang w:val="es-ES"/>
        </w:rPr>
        <w:t>por lo que Costa Rica no puede seguir permitiéndose no gravar los mismos</w:t>
      </w:r>
      <w:r w:rsidR="00AD79D0">
        <w:rPr>
          <w:sz w:val="22"/>
          <w:lang w:val="es-ES"/>
        </w:rPr>
        <w:t>.</w:t>
      </w:r>
      <w:r w:rsidR="00AD79D0">
        <w:rPr>
          <w:rStyle w:val="FootnoteReference"/>
          <w:sz w:val="22"/>
          <w:lang w:val="es-ES"/>
        </w:rPr>
        <w:footnoteReference w:id="22"/>
      </w:r>
      <w:r w:rsidR="00AD79D0">
        <w:rPr>
          <w:sz w:val="22"/>
          <w:lang w:val="es-ES"/>
        </w:rPr>
        <w:t xml:space="preserve"> </w:t>
      </w:r>
      <w:r w:rsidR="00CE248B">
        <w:rPr>
          <w:sz w:val="22"/>
          <w:lang w:val="es-ES"/>
        </w:rPr>
        <w:t xml:space="preserve">Además, la exclusión de los servicios </w:t>
      </w:r>
      <w:r w:rsidR="00E861CD">
        <w:rPr>
          <w:sz w:val="22"/>
          <w:lang w:val="es-ES"/>
        </w:rPr>
        <w:t>hace que el IVA se</w:t>
      </w:r>
      <w:r w:rsidR="005C4C89">
        <w:rPr>
          <w:sz w:val="22"/>
          <w:lang w:val="es-ES"/>
        </w:rPr>
        <w:t xml:space="preserve">a </w:t>
      </w:r>
      <w:r w:rsidR="00E861CD">
        <w:rPr>
          <w:sz w:val="22"/>
          <w:lang w:val="es-ES"/>
        </w:rPr>
        <w:t xml:space="preserve">regresivo, pues </w:t>
      </w:r>
      <w:r w:rsidR="00740912">
        <w:rPr>
          <w:sz w:val="22"/>
          <w:lang w:val="es-ES"/>
        </w:rPr>
        <w:t xml:space="preserve">mientras que el primer decil </w:t>
      </w:r>
      <w:r w:rsidR="00FF58D6">
        <w:rPr>
          <w:sz w:val="22"/>
          <w:lang w:val="es-ES"/>
        </w:rPr>
        <w:t>paga por IVA un 5,9% de su ingreso</w:t>
      </w:r>
      <w:r w:rsidR="00F428DE">
        <w:rPr>
          <w:sz w:val="22"/>
          <w:lang w:val="es-ES"/>
        </w:rPr>
        <w:t xml:space="preserve"> </w:t>
      </w:r>
      <w:r w:rsidR="00FF58D6">
        <w:rPr>
          <w:sz w:val="22"/>
          <w:lang w:val="es-ES"/>
        </w:rPr>
        <w:t xml:space="preserve">el último decil </w:t>
      </w:r>
      <w:r w:rsidR="00946483">
        <w:rPr>
          <w:sz w:val="22"/>
          <w:lang w:val="es-ES"/>
        </w:rPr>
        <w:t>el pago de IVA representa el 4,6% de sus ingresos</w:t>
      </w:r>
      <w:r w:rsidR="00946483">
        <w:rPr>
          <w:rStyle w:val="FootnoteReference"/>
          <w:sz w:val="22"/>
          <w:lang w:val="es-ES"/>
        </w:rPr>
        <w:footnoteReference w:id="23"/>
      </w:r>
      <w:r w:rsidR="00946483">
        <w:rPr>
          <w:sz w:val="22"/>
          <w:lang w:val="es-ES"/>
        </w:rPr>
        <w:t xml:space="preserve">. </w:t>
      </w:r>
      <w:r w:rsidR="00C45437">
        <w:rPr>
          <w:sz w:val="22"/>
          <w:lang w:val="es-ES"/>
        </w:rPr>
        <w:t xml:space="preserve">Por último, hay un problema de competitividad pues los productores de </w:t>
      </w:r>
      <w:r w:rsidR="00EE6856">
        <w:rPr>
          <w:sz w:val="22"/>
          <w:lang w:val="es-ES"/>
        </w:rPr>
        <w:t xml:space="preserve">servicios exonerados no pueden deducir el IGV incluido en sus compras de insumos, lo cual aumenta sus costos y por </w:t>
      </w:r>
      <w:r w:rsidR="00BF0368">
        <w:rPr>
          <w:sz w:val="22"/>
          <w:lang w:val="es-ES"/>
        </w:rPr>
        <w:t xml:space="preserve">tanto pierden competitividad respecto a bienes sustitutos </w:t>
      </w:r>
      <w:r w:rsidR="00207226">
        <w:rPr>
          <w:sz w:val="22"/>
          <w:lang w:val="es-ES"/>
        </w:rPr>
        <w:t>importados</w:t>
      </w:r>
      <w:r w:rsidR="00BF0368">
        <w:rPr>
          <w:sz w:val="22"/>
          <w:lang w:val="es-ES"/>
        </w:rPr>
        <w:t xml:space="preserve">. </w:t>
      </w:r>
    </w:p>
    <w:p w14:paraId="7CBEC4F0" w14:textId="77777777" w:rsidR="00FF5A9A" w:rsidRDefault="002A22D0" w:rsidP="001A39CB">
      <w:pPr>
        <w:pStyle w:val="Estilo4"/>
        <w:numPr>
          <w:ilvl w:val="0"/>
          <w:numId w:val="0"/>
        </w:numPr>
        <w:tabs>
          <w:tab w:val="left" w:pos="0"/>
        </w:tabs>
        <w:spacing w:line="360" w:lineRule="auto"/>
        <w:contextualSpacing w:val="0"/>
        <w:rPr>
          <w:sz w:val="22"/>
          <w:lang w:val="es-ES"/>
        </w:rPr>
      </w:pPr>
      <w:r w:rsidRPr="00097C2C">
        <w:rPr>
          <w:b/>
          <w:sz w:val="22"/>
          <w:lang w:val="es-ES"/>
        </w:rPr>
        <w:t xml:space="preserve">Costa Rica solamente concede el crédito fiscal </w:t>
      </w:r>
      <w:r w:rsidR="00A165FB" w:rsidRPr="00097C2C">
        <w:rPr>
          <w:b/>
          <w:sz w:val="22"/>
          <w:lang w:val="es-ES"/>
        </w:rPr>
        <w:t xml:space="preserve">a aquellos insumos </w:t>
      </w:r>
      <w:r w:rsidR="004B4F75">
        <w:rPr>
          <w:b/>
          <w:sz w:val="22"/>
          <w:lang w:val="es-ES"/>
        </w:rPr>
        <w:t xml:space="preserve">sean utilizados de forma directa en la </w:t>
      </w:r>
      <w:r w:rsidR="00097C2C" w:rsidRPr="00097C2C">
        <w:rPr>
          <w:b/>
          <w:sz w:val="22"/>
          <w:lang w:val="es-ES"/>
        </w:rPr>
        <w:t>producción.</w:t>
      </w:r>
      <w:r w:rsidR="00097C2C">
        <w:rPr>
          <w:sz w:val="22"/>
          <w:lang w:val="es-ES"/>
        </w:rPr>
        <w:t xml:space="preserve"> </w:t>
      </w:r>
      <w:r w:rsidR="00500CB7">
        <w:rPr>
          <w:sz w:val="22"/>
          <w:lang w:val="es-ES"/>
        </w:rPr>
        <w:t xml:space="preserve">El hecho de tener deducción física tiene </w:t>
      </w:r>
      <w:r w:rsidR="009D40D9">
        <w:rPr>
          <w:sz w:val="22"/>
          <w:lang w:val="es-ES"/>
        </w:rPr>
        <w:t>dos problemas. El primero de ellos se refiere a la complejidad de control y costo administrativ</w:t>
      </w:r>
      <w:r w:rsidR="00723A85">
        <w:rPr>
          <w:sz w:val="22"/>
          <w:lang w:val="es-ES"/>
        </w:rPr>
        <w:t xml:space="preserve">o, pues la verificación de que el crédito fiscal </w:t>
      </w:r>
      <w:r w:rsidR="00723A85">
        <w:rPr>
          <w:sz w:val="22"/>
          <w:lang w:val="es-ES"/>
        </w:rPr>
        <w:lastRenderedPageBreak/>
        <w:t xml:space="preserve">corresponde a cada caso </w:t>
      </w:r>
      <w:r w:rsidR="00354FD1">
        <w:rPr>
          <w:sz w:val="22"/>
          <w:lang w:val="es-ES"/>
        </w:rPr>
        <w:t xml:space="preserve">es difícil y representa un costo para la administración. </w:t>
      </w:r>
      <w:r w:rsidR="0000373E">
        <w:rPr>
          <w:sz w:val="22"/>
          <w:lang w:val="es-ES"/>
        </w:rPr>
        <w:t xml:space="preserve">Las </w:t>
      </w:r>
      <w:r w:rsidR="00354FD1">
        <w:rPr>
          <w:sz w:val="22"/>
          <w:lang w:val="es-ES"/>
        </w:rPr>
        <w:t>dudas</w:t>
      </w:r>
      <w:r w:rsidR="0000373E">
        <w:rPr>
          <w:sz w:val="22"/>
          <w:lang w:val="es-ES"/>
        </w:rPr>
        <w:t xml:space="preserve"> en la determinación de si aplica o no el crédito fiscal puede llevar a litigios con los contribuyentes y por lo tanto a </w:t>
      </w:r>
      <w:r w:rsidR="0053292A">
        <w:rPr>
          <w:sz w:val="22"/>
          <w:lang w:val="es-ES"/>
        </w:rPr>
        <w:t>costos administrativos. En segundo lugar</w:t>
      </w:r>
      <w:r w:rsidR="00FF5BEF">
        <w:rPr>
          <w:sz w:val="22"/>
          <w:lang w:val="es-ES"/>
        </w:rPr>
        <w:t>,</w:t>
      </w:r>
      <w:r w:rsidR="0053292A">
        <w:rPr>
          <w:sz w:val="22"/>
          <w:lang w:val="es-ES"/>
        </w:rPr>
        <w:t xml:space="preserve"> hay pérdida de competitividad</w:t>
      </w:r>
      <w:r w:rsidR="00666030">
        <w:rPr>
          <w:sz w:val="22"/>
          <w:lang w:val="es-ES"/>
        </w:rPr>
        <w:t xml:space="preserve">, pues los proveedores de bienes y servicios exonerados no pueden deducir el IGV </w:t>
      </w:r>
      <w:r w:rsidR="00457DB4">
        <w:rPr>
          <w:sz w:val="22"/>
          <w:lang w:val="es-ES"/>
        </w:rPr>
        <w:t>incluido en las compras de insumos indirectamente incorporados</w:t>
      </w:r>
      <w:r w:rsidR="00C118F9">
        <w:rPr>
          <w:sz w:val="22"/>
          <w:lang w:val="es-ES"/>
        </w:rPr>
        <w:t xml:space="preserve">. Esto aumenta sus costos y por lo tanto una pérdida de competitividad frente a bienes sustitutos importados. </w:t>
      </w:r>
    </w:p>
    <w:p w14:paraId="3D963761" w14:textId="77777777" w:rsidR="00E90EB5" w:rsidRPr="002107EA" w:rsidRDefault="00E97FF3" w:rsidP="001A39CB">
      <w:pPr>
        <w:pStyle w:val="Estilo4"/>
        <w:numPr>
          <w:ilvl w:val="0"/>
          <w:numId w:val="0"/>
        </w:numPr>
        <w:tabs>
          <w:tab w:val="left" w:pos="0"/>
        </w:tabs>
        <w:spacing w:line="360" w:lineRule="auto"/>
        <w:contextualSpacing w:val="0"/>
        <w:rPr>
          <w:sz w:val="22"/>
          <w:lang w:val="es-ES"/>
        </w:rPr>
      </w:pPr>
      <w:r>
        <w:rPr>
          <w:b/>
          <w:sz w:val="22"/>
          <w:lang w:val="es-ES"/>
        </w:rPr>
        <w:t xml:space="preserve">El Impuesto </w:t>
      </w:r>
      <w:r w:rsidR="005F5461">
        <w:rPr>
          <w:b/>
          <w:sz w:val="22"/>
          <w:lang w:val="es-ES"/>
        </w:rPr>
        <w:t xml:space="preserve">de Renta </w:t>
      </w:r>
      <w:r w:rsidR="00FF58B9">
        <w:rPr>
          <w:b/>
          <w:sz w:val="22"/>
          <w:lang w:val="es-ES"/>
        </w:rPr>
        <w:t xml:space="preserve">Empresa (IRE) </w:t>
      </w:r>
      <w:r w:rsidR="003F26C5">
        <w:rPr>
          <w:b/>
          <w:sz w:val="22"/>
          <w:lang w:val="es-ES"/>
        </w:rPr>
        <w:t>presenta un diseño territorial</w:t>
      </w:r>
      <w:r w:rsidR="002107EA">
        <w:rPr>
          <w:b/>
          <w:sz w:val="22"/>
          <w:lang w:val="es-ES"/>
        </w:rPr>
        <w:t xml:space="preserve">. </w:t>
      </w:r>
      <w:r w:rsidR="002107EA">
        <w:rPr>
          <w:sz w:val="22"/>
          <w:lang w:val="es-ES"/>
        </w:rPr>
        <w:t xml:space="preserve">Esto </w:t>
      </w:r>
      <w:r w:rsidR="00F44589">
        <w:rPr>
          <w:sz w:val="22"/>
          <w:lang w:val="es-ES"/>
        </w:rPr>
        <w:t xml:space="preserve">quiere decir que las empresas que tengan fuente costarricense serán </w:t>
      </w:r>
      <w:r w:rsidR="009C7BA7">
        <w:rPr>
          <w:sz w:val="22"/>
          <w:lang w:val="es-ES"/>
        </w:rPr>
        <w:t xml:space="preserve">contribuyentes del </w:t>
      </w:r>
      <w:r w:rsidR="00FF58B9">
        <w:rPr>
          <w:sz w:val="22"/>
          <w:lang w:val="es-ES"/>
        </w:rPr>
        <w:t>IRE</w:t>
      </w:r>
      <w:r w:rsidR="002D38D1">
        <w:rPr>
          <w:sz w:val="22"/>
          <w:lang w:val="es-ES"/>
        </w:rPr>
        <w:t xml:space="preserve"> por sus ingresos</w:t>
      </w:r>
      <w:r w:rsidR="009C7BA7">
        <w:rPr>
          <w:sz w:val="22"/>
          <w:lang w:val="es-ES"/>
        </w:rPr>
        <w:t>, incluso sin ser residentes en Costa Rica.</w:t>
      </w:r>
      <w:r w:rsidR="002D38D1">
        <w:rPr>
          <w:sz w:val="22"/>
          <w:lang w:val="es-ES"/>
        </w:rPr>
        <w:t xml:space="preserve"> </w:t>
      </w:r>
      <w:r w:rsidR="007F265D">
        <w:rPr>
          <w:sz w:val="22"/>
          <w:lang w:val="es-ES"/>
        </w:rPr>
        <w:t xml:space="preserve">La otra cara de la moneda es que empresas que tengan fuente </w:t>
      </w:r>
      <w:r w:rsidR="003E3D15">
        <w:rPr>
          <w:sz w:val="22"/>
          <w:lang w:val="es-ES"/>
        </w:rPr>
        <w:t xml:space="preserve">extranjera no serán sujetas de contribución al IRE, a pesar de ser o no residentes en territorio costarricense. </w:t>
      </w:r>
    </w:p>
    <w:p w14:paraId="46D75862" w14:textId="77777777" w:rsidR="004D2E98" w:rsidRDefault="000615C2" w:rsidP="001A39CB">
      <w:pPr>
        <w:pStyle w:val="Estilo4"/>
        <w:numPr>
          <w:ilvl w:val="0"/>
          <w:numId w:val="0"/>
        </w:numPr>
        <w:tabs>
          <w:tab w:val="left" w:pos="0"/>
        </w:tabs>
        <w:spacing w:line="360" w:lineRule="auto"/>
        <w:contextualSpacing w:val="0"/>
        <w:rPr>
          <w:sz w:val="22"/>
          <w:lang w:val="es-ES"/>
        </w:rPr>
      </w:pPr>
      <w:r>
        <w:rPr>
          <w:b/>
          <w:sz w:val="22"/>
          <w:lang w:val="es-ES"/>
        </w:rPr>
        <w:t xml:space="preserve">La tarifa general </w:t>
      </w:r>
      <w:r w:rsidR="00A22604">
        <w:rPr>
          <w:b/>
          <w:sz w:val="22"/>
          <w:lang w:val="es-ES"/>
        </w:rPr>
        <w:t xml:space="preserve">del </w:t>
      </w:r>
      <w:r w:rsidR="00C42FAD">
        <w:rPr>
          <w:b/>
          <w:sz w:val="22"/>
          <w:lang w:val="es-ES"/>
        </w:rPr>
        <w:t>IRE</w:t>
      </w:r>
      <w:r w:rsidR="00A22604">
        <w:rPr>
          <w:b/>
          <w:sz w:val="22"/>
          <w:lang w:val="es-ES"/>
        </w:rPr>
        <w:t xml:space="preserve"> es comparativamente alta</w:t>
      </w:r>
      <w:r w:rsidR="00726434">
        <w:rPr>
          <w:b/>
          <w:sz w:val="22"/>
          <w:lang w:val="es-ES"/>
        </w:rPr>
        <w:t xml:space="preserve">. </w:t>
      </w:r>
      <w:r w:rsidR="004B62EC" w:rsidRPr="00B458D4">
        <w:rPr>
          <w:sz w:val="22"/>
          <w:lang w:val="es-ES"/>
        </w:rPr>
        <w:t>Actualmente</w:t>
      </w:r>
      <w:r w:rsidR="00B458D4">
        <w:rPr>
          <w:sz w:val="22"/>
          <w:lang w:val="es-ES"/>
        </w:rPr>
        <w:t xml:space="preserve">, la tarifa general del IRE se encuentra en el 30%, </w:t>
      </w:r>
      <w:r w:rsidR="006D37CD">
        <w:rPr>
          <w:sz w:val="22"/>
          <w:lang w:val="es-ES"/>
        </w:rPr>
        <w:t xml:space="preserve">mientras que el promedio de América Latina es de 26% y el </w:t>
      </w:r>
      <w:r w:rsidR="00C34D96">
        <w:rPr>
          <w:sz w:val="22"/>
          <w:lang w:val="es-ES"/>
        </w:rPr>
        <w:t xml:space="preserve">de la OCDE es de 24,7%. </w:t>
      </w:r>
      <w:r w:rsidR="00CD7BBA">
        <w:rPr>
          <w:sz w:val="22"/>
          <w:lang w:val="es-ES"/>
        </w:rPr>
        <w:t xml:space="preserve">Esto resta competitividad </w:t>
      </w:r>
      <w:r w:rsidR="00EB6A19">
        <w:rPr>
          <w:sz w:val="22"/>
          <w:lang w:val="es-ES"/>
        </w:rPr>
        <w:t xml:space="preserve">a los empresarios en relación </w:t>
      </w:r>
      <w:r w:rsidR="00602BD3">
        <w:rPr>
          <w:sz w:val="22"/>
          <w:lang w:val="es-ES"/>
        </w:rPr>
        <w:t>con</w:t>
      </w:r>
      <w:r w:rsidR="00EB6A19">
        <w:rPr>
          <w:sz w:val="22"/>
          <w:lang w:val="es-ES"/>
        </w:rPr>
        <w:t xml:space="preserve"> competidores extranjeros</w:t>
      </w:r>
      <w:r w:rsidR="00CD7BBA">
        <w:rPr>
          <w:sz w:val="22"/>
          <w:lang w:val="es-ES"/>
        </w:rPr>
        <w:t xml:space="preserve">, pero también pone en clara desventaja a las empresas </w:t>
      </w:r>
      <w:r w:rsidR="00897DC0">
        <w:rPr>
          <w:sz w:val="22"/>
          <w:lang w:val="es-ES"/>
        </w:rPr>
        <w:t xml:space="preserve">del régimen regular </w:t>
      </w:r>
      <w:r w:rsidR="00CD7BBA">
        <w:rPr>
          <w:sz w:val="22"/>
          <w:lang w:val="es-ES"/>
        </w:rPr>
        <w:t xml:space="preserve">en comparación </w:t>
      </w:r>
      <w:r w:rsidR="00897DC0">
        <w:rPr>
          <w:sz w:val="22"/>
          <w:lang w:val="es-ES"/>
        </w:rPr>
        <w:t xml:space="preserve">con </w:t>
      </w:r>
      <w:r w:rsidR="00CD7BBA">
        <w:rPr>
          <w:sz w:val="22"/>
          <w:lang w:val="es-ES"/>
        </w:rPr>
        <w:t xml:space="preserve">las que se encuentran instaladas en los regímenes de zona franca. </w:t>
      </w:r>
      <w:r w:rsidR="00234B10">
        <w:rPr>
          <w:sz w:val="22"/>
          <w:lang w:val="es-ES"/>
        </w:rPr>
        <w:t xml:space="preserve">Las elevadas cargas </w:t>
      </w:r>
      <w:r w:rsidR="00DE3286">
        <w:rPr>
          <w:sz w:val="22"/>
          <w:lang w:val="es-ES"/>
        </w:rPr>
        <w:t>hacen que las empresas busquen mecanismo</w:t>
      </w:r>
      <w:r w:rsidR="00DC559D">
        <w:rPr>
          <w:sz w:val="22"/>
          <w:lang w:val="es-ES"/>
        </w:rPr>
        <w:t>s</w:t>
      </w:r>
      <w:r w:rsidR="00DE3286">
        <w:rPr>
          <w:sz w:val="22"/>
          <w:lang w:val="es-ES"/>
        </w:rPr>
        <w:t xml:space="preserve"> de elusión y evasión</w:t>
      </w:r>
      <w:r w:rsidR="001673AB">
        <w:rPr>
          <w:sz w:val="22"/>
          <w:lang w:val="es-ES"/>
        </w:rPr>
        <w:t xml:space="preserve"> para sobrellevar </w:t>
      </w:r>
      <w:r w:rsidR="00133F88">
        <w:rPr>
          <w:sz w:val="22"/>
          <w:lang w:val="es-ES"/>
        </w:rPr>
        <w:t xml:space="preserve">altas </w:t>
      </w:r>
      <w:r w:rsidR="001673AB">
        <w:rPr>
          <w:sz w:val="22"/>
          <w:lang w:val="es-ES"/>
        </w:rPr>
        <w:t xml:space="preserve">cargas y mantenerse competitivos. </w:t>
      </w:r>
      <w:r w:rsidR="00220F6A">
        <w:rPr>
          <w:sz w:val="22"/>
          <w:lang w:val="es-ES"/>
        </w:rPr>
        <w:t>Se estima</w:t>
      </w:r>
      <w:r w:rsidR="008445A4">
        <w:rPr>
          <w:rStyle w:val="FootnoteReference"/>
          <w:sz w:val="22"/>
          <w:lang w:val="es-ES"/>
        </w:rPr>
        <w:footnoteReference w:id="24"/>
      </w:r>
      <w:r w:rsidR="00220F6A">
        <w:rPr>
          <w:sz w:val="22"/>
          <w:lang w:val="es-ES"/>
        </w:rPr>
        <w:t xml:space="preserve"> que </w:t>
      </w:r>
      <w:r w:rsidR="005A16E5">
        <w:rPr>
          <w:sz w:val="22"/>
          <w:lang w:val="es-ES"/>
        </w:rPr>
        <w:t xml:space="preserve">las empresas costarricenses </w:t>
      </w:r>
      <w:r w:rsidR="00B71ACB">
        <w:rPr>
          <w:sz w:val="22"/>
          <w:lang w:val="es-ES"/>
        </w:rPr>
        <w:t xml:space="preserve">evaden el 70% </w:t>
      </w:r>
      <w:r w:rsidR="00BE3649">
        <w:rPr>
          <w:sz w:val="22"/>
          <w:lang w:val="es-ES"/>
        </w:rPr>
        <w:t xml:space="preserve">cuando </w:t>
      </w:r>
      <w:r w:rsidR="00F917BD">
        <w:rPr>
          <w:sz w:val="22"/>
          <w:lang w:val="es-ES"/>
        </w:rPr>
        <w:t>enfrentan la tasa de 30%</w:t>
      </w:r>
      <w:r w:rsidR="002E43F6">
        <w:rPr>
          <w:sz w:val="22"/>
          <w:lang w:val="es-ES"/>
        </w:rPr>
        <w:t xml:space="preserve">, </w:t>
      </w:r>
      <w:r w:rsidR="00EC764A">
        <w:rPr>
          <w:sz w:val="22"/>
          <w:lang w:val="es-ES"/>
        </w:rPr>
        <w:t xml:space="preserve">reportando menores utilidades </w:t>
      </w:r>
      <w:r w:rsidR="00133F88">
        <w:rPr>
          <w:sz w:val="22"/>
          <w:lang w:val="es-ES"/>
        </w:rPr>
        <w:t xml:space="preserve">y </w:t>
      </w:r>
      <w:r w:rsidR="005B5CE6">
        <w:rPr>
          <w:sz w:val="22"/>
          <w:lang w:val="es-ES"/>
        </w:rPr>
        <w:t xml:space="preserve">que </w:t>
      </w:r>
      <w:r w:rsidR="006E54D1">
        <w:rPr>
          <w:sz w:val="22"/>
          <w:lang w:val="es-ES"/>
        </w:rPr>
        <w:t xml:space="preserve">a su vez </w:t>
      </w:r>
      <w:r w:rsidR="005B5CE6">
        <w:rPr>
          <w:sz w:val="22"/>
          <w:lang w:val="es-ES"/>
        </w:rPr>
        <w:t>provoca una erosión en la base</w:t>
      </w:r>
      <w:r w:rsidR="00F917BD">
        <w:rPr>
          <w:sz w:val="22"/>
          <w:lang w:val="es-ES"/>
        </w:rPr>
        <w:t>.</w:t>
      </w:r>
      <w:r w:rsidR="00E34D39">
        <w:rPr>
          <w:sz w:val="22"/>
          <w:lang w:val="es-ES"/>
        </w:rPr>
        <w:t xml:space="preserve"> Como resultado, </w:t>
      </w:r>
      <w:r w:rsidR="00147C93">
        <w:rPr>
          <w:sz w:val="22"/>
          <w:lang w:val="es-ES"/>
        </w:rPr>
        <w:t>los ingresos fiscales en Costa Rica por concepto de IRE son comparativamente bajos, a pesar de su alta tasa</w:t>
      </w:r>
      <w:r w:rsidR="006A5B95">
        <w:rPr>
          <w:sz w:val="22"/>
          <w:lang w:val="es-ES"/>
        </w:rPr>
        <w:t xml:space="preserve"> (</w:t>
      </w:r>
      <w:r w:rsidR="00D27036">
        <w:rPr>
          <w:sz w:val="22"/>
          <w:lang w:val="es-ES"/>
        </w:rPr>
        <w:t>2,3%</w:t>
      </w:r>
      <w:r w:rsidR="00560709">
        <w:rPr>
          <w:sz w:val="22"/>
          <w:lang w:val="es-ES"/>
        </w:rPr>
        <w:t xml:space="preserve"> del PIB en </w:t>
      </w:r>
      <w:r w:rsidR="00560709" w:rsidRPr="00933211">
        <w:rPr>
          <w:sz w:val="22"/>
          <w:lang w:val="es-ES"/>
        </w:rPr>
        <w:t>2016 contra 2,8% y 3% del PIB promedio OCDE y América Latina, respectivamente</w:t>
      </w:r>
      <w:r w:rsidR="00560709" w:rsidRPr="00933211">
        <w:rPr>
          <w:rStyle w:val="FootnoteReference"/>
          <w:sz w:val="22"/>
          <w:lang w:val="es-ES"/>
        </w:rPr>
        <w:footnoteReference w:id="25"/>
      </w:r>
      <w:r w:rsidR="00560709" w:rsidRPr="00933211">
        <w:rPr>
          <w:sz w:val="22"/>
          <w:lang w:val="es-ES"/>
        </w:rPr>
        <w:t>).</w:t>
      </w:r>
      <w:r w:rsidR="009D6AAA" w:rsidRPr="00933211">
        <w:rPr>
          <w:sz w:val="22"/>
          <w:lang w:val="es-ES"/>
        </w:rPr>
        <w:t xml:space="preserve"> </w:t>
      </w:r>
      <w:r w:rsidR="005556B9" w:rsidRPr="00933211">
        <w:rPr>
          <w:sz w:val="22"/>
          <w:lang w:val="es-ES"/>
        </w:rPr>
        <w:t>Por otro lado</w:t>
      </w:r>
      <w:r w:rsidR="009D6AAA" w:rsidRPr="00933211">
        <w:rPr>
          <w:sz w:val="22"/>
          <w:lang w:val="es-ES"/>
        </w:rPr>
        <w:t xml:space="preserve">, el régimen de </w:t>
      </w:r>
      <w:r w:rsidR="00D65D05">
        <w:rPr>
          <w:sz w:val="22"/>
          <w:lang w:val="es-ES"/>
        </w:rPr>
        <w:t>Z</w:t>
      </w:r>
      <w:r w:rsidR="009D6AAA" w:rsidRPr="00933211">
        <w:rPr>
          <w:sz w:val="22"/>
          <w:lang w:val="es-ES"/>
        </w:rPr>
        <w:t xml:space="preserve">ona </w:t>
      </w:r>
      <w:r w:rsidR="00D65D05">
        <w:rPr>
          <w:sz w:val="22"/>
          <w:lang w:val="es-ES"/>
        </w:rPr>
        <w:t>F</w:t>
      </w:r>
      <w:r w:rsidR="009D6AAA" w:rsidRPr="00933211">
        <w:rPr>
          <w:sz w:val="22"/>
          <w:lang w:val="es-ES"/>
        </w:rPr>
        <w:t xml:space="preserve">ranca </w:t>
      </w:r>
      <w:r w:rsidR="00BD25D5" w:rsidRPr="00933211">
        <w:rPr>
          <w:sz w:val="22"/>
          <w:lang w:val="es-ES"/>
        </w:rPr>
        <w:t xml:space="preserve">se presta para que empresas del régimen regular hagan arbitraje </w:t>
      </w:r>
      <w:r w:rsidR="005556B9" w:rsidRPr="00933211">
        <w:rPr>
          <w:sz w:val="22"/>
          <w:lang w:val="es-ES"/>
        </w:rPr>
        <w:t>y evadan el IRE</w:t>
      </w:r>
      <w:r w:rsidR="000B4790" w:rsidRPr="00933211">
        <w:rPr>
          <w:sz w:val="22"/>
          <w:lang w:val="es-ES"/>
        </w:rPr>
        <w:t>, ya que</w:t>
      </w:r>
      <w:r w:rsidR="00933211" w:rsidRPr="00933211">
        <w:rPr>
          <w:sz w:val="22"/>
          <w:lang w:val="es-ES"/>
        </w:rPr>
        <w:t xml:space="preserve"> la diferencia de tasa de impuesto es enormemente significativa (de un 8</w:t>
      </w:r>
      <w:r w:rsidR="00D65D05">
        <w:rPr>
          <w:sz w:val="22"/>
          <w:lang w:val="es-ES"/>
        </w:rPr>
        <w:t>%</w:t>
      </w:r>
      <w:r w:rsidR="00933211" w:rsidRPr="00933211">
        <w:rPr>
          <w:sz w:val="22"/>
          <w:lang w:val="es-ES"/>
        </w:rPr>
        <w:t xml:space="preserve"> a un 30% y sin pago de dividendos –15%</w:t>
      </w:r>
      <w:r w:rsidR="00C9118D" w:rsidRPr="00933211">
        <w:rPr>
          <w:sz w:val="22"/>
          <w:lang w:val="es-ES"/>
        </w:rPr>
        <w:t>–</w:t>
      </w:r>
      <w:r w:rsidR="00933211" w:rsidRPr="00933211">
        <w:rPr>
          <w:sz w:val="22"/>
          <w:lang w:val="es-ES"/>
        </w:rPr>
        <w:t xml:space="preserve">). Por lo que las empresas en régimen especial pueden vender servicios (por ej. computación, diseño, etc.) a las del mercado </w:t>
      </w:r>
      <w:r w:rsidR="00FF5B20" w:rsidRPr="00933211">
        <w:rPr>
          <w:sz w:val="22"/>
          <w:lang w:val="es-ES"/>
        </w:rPr>
        <w:t>doméstico</w:t>
      </w:r>
      <w:r w:rsidR="00933211" w:rsidRPr="00933211">
        <w:rPr>
          <w:sz w:val="22"/>
          <w:lang w:val="es-ES"/>
        </w:rPr>
        <w:t xml:space="preserve"> reduciendo su carga utilizando precios de transferencia internos que esta administración tributaria, y probablemente </w:t>
      </w:r>
      <w:r w:rsidR="00612ED2">
        <w:rPr>
          <w:sz w:val="22"/>
          <w:lang w:val="es-ES"/>
        </w:rPr>
        <w:t>tampoco</w:t>
      </w:r>
      <w:r w:rsidR="00933211" w:rsidRPr="00933211">
        <w:rPr>
          <w:sz w:val="22"/>
          <w:lang w:val="es-ES"/>
        </w:rPr>
        <w:t xml:space="preserve"> una de buen nivel, pueden detectar y combatir</w:t>
      </w:r>
      <w:r w:rsidR="000B4790" w:rsidRPr="00933211">
        <w:rPr>
          <w:sz w:val="22"/>
          <w:lang w:val="es-ES"/>
        </w:rPr>
        <w:t>.</w:t>
      </w:r>
    </w:p>
    <w:p w14:paraId="4E6680C4" w14:textId="77777777" w:rsidR="002C5D6A" w:rsidRDefault="004D2E98" w:rsidP="001A39CB">
      <w:pPr>
        <w:pStyle w:val="Estilo4"/>
        <w:numPr>
          <w:ilvl w:val="0"/>
          <w:numId w:val="0"/>
        </w:numPr>
        <w:tabs>
          <w:tab w:val="left" w:pos="0"/>
        </w:tabs>
        <w:spacing w:line="360" w:lineRule="auto"/>
        <w:contextualSpacing w:val="0"/>
        <w:rPr>
          <w:sz w:val="22"/>
          <w:lang w:val="es-ES"/>
        </w:rPr>
      </w:pPr>
      <w:r>
        <w:rPr>
          <w:b/>
          <w:sz w:val="22"/>
          <w:lang w:val="es-ES"/>
        </w:rPr>
        <w:t>Las tarifas reducidas que se aplican a las PYMEs pueden estar generando incentivos para evasión</w:t>
      </w:r>
      <w:r w:rsidR="00894609">
        <w:rPr>
          <w:b/>
          <w:sz w:val="22"/>
          <w:lang w:val="es-ES"/>
        </w:rPr>
        <w:t>.</w:t>
      </w:r>
      <w:r>
        <w:rPr>
          <w:sz w:val="22"/>
          <w:lang w:val="es-ES"/>
        </w:rPr>
        <w:t xml:space="preserve"> </w:t>
      </w:r>
      <w:r w:rsidR="00894609">
        <w:rPr>
          <w:sz w:val="22"/>
          <w:lang w:val="es-ES"/>
        </w:rPr>
        <w:t>E</w:t>
      </w:r>
      <w:r w:rsidR="00EF2FA3">
        <w:rPr>
          <w:sz w:val="22"/>
          <w:lang w:val="es-ES"/>
        </w:rPr>
        <w:t xml:space="preserve">n Costa Rica existen tarifas reducidas que se aplican a las PYMEs, </w:t>
      </w:r>
      <w:r w:rsidR="00BF43B8">
        <w:rPr>
          <w:sz w:val="22"/>
          <w:lang w:val="es-ES"/>
        </w:rPr>
        <w:t>de 10% y 20% de acuerdo con los ingresos brutos anuales que reporte la empresa</w:t>
      </w:r>
      <w:r w:rsidR="007E57DD">
        <w:rPr>
          <w:sz w:val="22"/>
          <w:lang w:val="es-ES"/>
        </w:rPr>
        <w:t>.</w:t>
      </w:r>
      <w:r w:rsidR="00BF43B8">
        <w:rPr>
          <w:rStyle w:val="FootnoteReference"/>
          <w:sz w:val="22"/>
          <w:lang w:val="es-ES"/>
        </w:rPr>
        <w:footnoteReference w:id="26"/>
      </w:r>
      <w:r w:rsidR="007E57DD">
        <w:rPr>
          <w:sz w:val="22"/>
          <w:lang w:val="es-ES"/>
        </w:rPr>
        <w:t xml:space="preserve"> </w:t>
      </w:r>
      <w:r w:rsidR="00867CF7">
        <w:rPr>
          <w:sz w:val="22"/>
          <w:lang w:val="es-ES"/>
        </w:rPr>
        <w:t xml:space="preserve">El </w:t>
      </w:r>
      <w:r w:rsidR="007E57DD">
        <w:rPr>
          <w:sz w:val="22"/>
          <w:lang w:val="es-ES"/>
        </w:rPr>
        <w:t xml:space="preserve">sistema </w:t>
      </w:r>
      <w:r w:rsidR="00867CF7">
        <w:rPr>
          <w:sz w:val="22"/>
          <w:lang w:val="es-ES"/>
        </w:rPr>
        <w:t xml:space="preserve">de una tasa reducida </w:t>
      </w:r>
      <w:r w:rsidR="005C1EE9">
        <w:rPr>
          <w:sz w:val="22"/>
          <w:lang w:val="es-ES"/>
        </w:rPr>
        <w:t>se utiliza en otros países</w:t>
      </w:r>
      <w:r w:rsidR="00867CF7">
        <w:rPr>
          <w:sz w:val="22"/>
          <w:lang w:val="es-ES"/>
        </w:rPr>
        <w:t xml:space="preserve">, pero lo que no es habitual en Costa Rica es la existencia de múltiples tramos. </w:t>
      </w:r>
      <w:r w:rsidR="00D90908">
        <w:rPr>
          <w:sz w:val="22"/>
          <w:lang w:val="es-ES"/>
        </w:rPr>
        <w:t>Se ha demostrado</w:t>
      </w:r>
      <w:r w:rsidR="00EF0E8D">
        <w:rPr>
          <w:sz w:val="22"/>
          <w:lang w:val="es-ES"/>
        </w:rPr>
        <w:t xml:space="preserve"> </w:t>
      </w:r>
      <w:r w:rsidR="00EF0E8D">
        <w:rPr>
          <w:sz w:val="22"/>
          <w:lang w:val="es-ES"/>
        </w:rPr>
        <w:lastRenderedPageBreak/>
        <w:t>empíricamente</w:t>
      </w:r>
      <w:r w:rsidR="00343BBB">
        <w:rPr>
          <w:rStyle w:val="FootnoteReference"/>
          <w:sz w:val="22"/>
          <w:lang w:val="es-ES"/>
        </w:rPr>
        <w:footnoteReference w:id="27"/>
      </w:r>
      <w:r w:rsidR="00D90908">
        <w:rPr>
          <w:sz w:val="22"/>
          <w:lang w:val="es-ES"/>
        </w:rPr>
        <w:t xml:space="preserve"> que </w:t>
      </w:r>
      <w:r w:rsidR="00814BA4">
        <w:rPr>
          <w:sz w:val="22"/>
          <w:lang w:val="es-ES"/>
        </w:rPr>
        <w:t xml:space="preserve">en Costa Rica este mecanismo ha permitido a </w:t>
      </w:r>
      <w:r w:rsidR="00EF0E8D">
        <w:rPr>
          <w:sz w:val="22"/>
          <w:lang w:val="es-ES"/>
        </w:rPr>
        <w:t>las empresas</w:t>
      </w:r>
      <w:r w:rsidR="0000346F">
        <w:rPr>
          <w:sz w:val="22"/>
          <w:lang w:val="es-ES"/>
        </w:rPr>
        <w:t xml:space="preserve"> pagar menos impuestos, pues </w:t>
      </w:r>
      <w:r w:rsidR="006D4008">
        <w:rPr>
          <w:sz w:val="22"/>
          <w:lang w:val="es-ES"/>
        </w:rPr>
        <w:t xml:space="preserve">estas reportan ingresos brutos menores para caer en </w:t>
      </w:r>
      <w:r w:rsidR="007D1DF7">
        <w:rPr>
          <w:sz w:val="22"/>
          <w:lang w:val="es-ES"/>
        </w:rPr>
        <w:t xml:space="preserve">un tramo </w:t>
      </w:r>
      <w:r w:rsidR="00CA4240">
        <w:rPr>
          <w:sz w:val="22"/>
          <w:lang w:val="es-ES"/>
        </w:rPr>
        <w:t>más bajo</w:t>
      </w:r>
      <w:r w:rsidR="007D1DF7">
        <w:rPr>
          <w:sz w:val="22"/>
          <w:lang w:val="es-ES"/>
        </w:rPr>
        <w:t xml:space="preserve"> del IRE. La evidencia muestra que existe </w:t>
      </w:r>
      <w:r w:rsidR="007D1DF7" w:rsidRPr="00566C63">
        <w:rPr>
          <w:i/>
          <w:sz w:val="22"/>
          <w:lang w:val="es-ES"/>
        </w:rPr>
        <w:t>bunchin</w:t>
      </w:r>
      <w:r w:rsidR="00510ED6" w:rsidRPr="00566C63">
        <w:rPr>
          <w:i/>
          <w:sz w:val="22"/>
          <w:lang w:val="es-ES"/>
        </w:rPr>
        <w:t>g</w:t>
      </w:r>
      <w:r w:rsidR="00510ED6">
        <w:rPr>
          <w:sz w:val="22"/>
          <w:lang w:val="es-ES"/>
        </w:rPr>
        <w:t xml:space="preserve"> </w:t>
      </w:r>
      <w:r w:rsidR="00566C63">
        <w:rPr>
          <w:sz w:val="22"/>
          <w:lang w:val="es-ES"/>
        </w:rPr>
        <w:t xml:space="preserve">justo antes de alcanzar los montos corte de los ingresos brutos </w:t>
      </w:r>
      <w:r w:rsidR="00623D9B">
        <w:rPr>
          <w:sz w:val="22"/>
          <w:lang w:val="es-ES"/>
        </w:rPr>
        <w:t xml:space="preserve">para pasar </w:t>
      </w:r>
      <w:r w:rsidR="00CA4240">
        <w:rPr>
          <w:sz w:val="22"/>
          <w:lang w:val="es-ES"/>
        </w:rPr>
        <w:t>a un nuevo tratamiento tributario</w:t>
      </w:r>
      <w:r w:rsidR="00623D9B">
        <w:rPr>
          <w:sz w:val="22"/>
          <w:lang w:val="es-ES"/>
        </w:rPr>
        <w:t>.</w:t>
      </w:r>
      <w:r w:rsidR="00CA4240">
        <w:rPr>
          <w:sz w:val="22"/>
          <w:lang w:val="es-ES"/>
        </w:rPr>
        <w:t xml:space="preserve"> </w:t>
      </w:r>
      <w:r w:rsidR="00222365">
        <w:rPr>
          <w:sz w:val="22"/>
          <w:lang w:val="es-ES"/>
        </w:rPr>
        <w:t xml:space="preserve">Esto es un comportamiento que </w:t>
      </w:r>
      <w:r w:rsidR="009B3107">
        <w:rPr>
          <w:sz w:val="22"/>
          <w:lang w:val="es-ES"/>
        </w:rPr>
        <w:t>un</w:t>
      </w:r>
      <w:r w:rsidR="007544F0">
        <w:rPr>
          <w:sz w:val="22"/>
          <w:lang w:val="es-ES"/>
        </w:rPr>
        <w:t xml:space="preserve"> sistema de incentivos a PYMEs </w:t>
      </w:r>
      <w:r w:rsidR="00A166FC">
        <w:rPr>
          <w:sz w:val="22"/>
          <w:lang w:val="es-ES"/>
        </w:rPr>
        <w:t xml:space="preserve">bien diseñado </w:t>
      </w:r>
      <w:r w:rsidR="007544F0">
        <w:rPr>
          <w:sz w:val="22"/>
          <w:lang w:val="es-ES"/>
        </w:rPr>
        <w:t>debe evitar</w:t>
      </w:r>
      <w:r w:rsidR="007544F0">
        <w:rPr>
          <w:rStyle w:val="FootnoteReference"/>
          <w:sz w:val="22"/>
          <w:lang w:val="es-ES"/>
        </w:rPr>
        <w:footnoteReference w:id="28"/>
      </w:r>
      <w:r w:rsidR="002C5D6A">
        <w:rPr>
          <w:sz w:val="22"/>
          <w:lang w:val="es-ES"/>
        </w:rPr>
        <w:t>, pues las empresas se ven desincentivadas a crecer</w:t>
      </w:r>
      <w:r w:rsidR="00840716">
        <w:rPr>
          <w:sz w:val="22"/>
          <w:lang w:val="es-ES"/>
        </w:rPr>
        <w:t>.</w:t>
      </w:r>
      <w:r w:rsidR="00CC6855">
        <w:rPr>
          <w:rStyle w:val="FootnoteReference"/>
          <w:sz w:val="22"/>
          <w:lang w:val="es-ES"/>
        </w:rPr>
        <w:footnoteReference w:id="29"/>
      </w:r>
      <w:r w:rsidR="00CC3553">
        <w:rPr>
          <w:sz w:val="22"/>
          <w:lang w:val="es-ES"/>
        </w:rPr>
        <w:t xml:space="preserve"> </w:t>
      </w:r>
    </w:p>
    <w:p w14:paraId="4D66BEE3" w14:textId="77777777" w:rsidR="008353CA" w:rsidRPr="00DD14A8" w:rsidRDefault="008353CA" w:rsidP="008353CA">
      <w:pPr>
        <w:pStyle w:val="Estilo4"/>
        <w:numPr>
          <w:ilvl w:val="0"/>
          <w:numId w:val="0"/>
        </w:numPr>
        <w:tabs>
          <w:tab w:val="left" w:pos="0"/>
        </w:tabs>
        <w:spacing w:line="360" w:lineRule="auto"/>
        <w:contextualSpacing w:val="0"/>
        <w:rPr>
          <w:sz w:val="22"/>
          <w:lang w:val="es-ES"/>
        </w:rPr>
      </w:pPr>
      <w:r w:rsidRPr="00DD14A8">
        <w:rPr>
          <w:b/>
          <w:sz w:val="22"/>
          <w:lang w:val="es-ES"/>
        </w:rPr>
        <w:t>El Impuesto de Renta (IR) es cedular e incompleto, gravando rentas de fuentes distintas a tasas distintas.</w:t>
      </w:r>
      <w:r>
        <w:rPr>
          <w:b/>
          <w:sz w:val="22"/>
          <w:lang w:val="es-ES"/>
        </w:rPr>
        <w:t xml:space="preserve"> </w:t>
      </w:r>
      <w:r>
        <w:rPr>
          <w:sz w:val="22"/>
          <w:lang w:val="es-ES"/>
        </w:rPr>
        <w:t>Esto provoca una pérdida de eficiencia y equidad del sistema, pues rentas que provengan de distinta fuente</w:t>
      </w:r>
      <w:r w:rsidR="002A7C03">
        <w:rPr>
          <w:sz w:val="22"/>
          <w:lang w:val="es-ES"/>
        </w:rPr>
        <w:t xml:space="preserve"> e inclusive forma jurídica,</w:t>
      </w:r>
      <w:r w:rsidR="002A7C03">
        <w:rPr>
          <w:rStyle w:val="FootnoteReference"/>
          <w:sz w:val="22"/>
          <w:lang w:val="es-ES"/>
        </w:rPr>
        <w:footnoteReference w:id="30"/>
      </w:r>
      <w:r>
        <w:rPr>
          <w:sz w:val="22"/>
          <w:lang w:val="es-ES"/>
        </w:rPr>
        <w:t xml:space="preserve"> van a recibir un tratamiento distinto, a pesar de que sean de la misma magnitud (problema de equidad horizontal). En efecto, </w:t>
      </w:r>
      <w:r w:rsidRPr="00DC35B7">
        <w:rPr>
          <w:sz w:val="22"/>
          <w:lang w:val="es-ES"/>
        </w:rPr>
        <w:t>existen numerosas tasas diferenciales</w:t>
      </w:r>
      <w:r w:rsidRPr="0095536D">
        <w:rPr>
          <w:sz w:val="22"/>
          <w:lang w:val="es-ES"/>
        </w:rPr>
        <w:t xml:space="preserve"> </w:t>
      </w:r>
      <w:r w:rsidRPr="00DC35B7">
        <w:rPr>
          <w:sz w:val="22"/>
          <w:lang w:val="es-ES"/>
        </w:rPr>
        <w:t>y exoneraciones</w:t>
      </w:r>
      <w:r>
        <w:rPr>
          <w:rStyle w:val="FootnoteReference"/>
          <w:sz w:val="22"/>
          <w:lang w:val="es-ES"/>
        </w:rPr>
        <w:t xml:space="preserve"> </w:t>
      </w:r>
      <w:r>
        <w:rPr>
          <w:rStyle w:val="FootnoteReference"/>
          <w:sz w:val="22"/>
          <w:lang w:val="es-ES"/>
        </w:rPr>
        <w:footnoteReference w:id="31"/>
      </w:r>
      <w:r w:rsidRPr="00DC35B7">
        <w:rPr>
          <w:sz w:val="22"/>
          <w:lang w:val="es-ES"/>
        </w:rPr>
        <w:t>. Estas generan “agujeros” y permiten arbitrajes por donde la evasión y la elusión filtran los ingresos gravables</w:t>
      </w:r>
      <w:r>
        <w:rPr>
          <w:sz w:val="22"/>
          <w:lang w:val="es-ES"/>
        </w:rPr>
        <w:t xml:space="preserve"> (pérdida de eficiencia)</w:t>
      </w:r>
      <w:r w:rsidRPr="00DC35B7">
        <w:rPr>
          <w:sz w:val="22"/>
          <w:lang w:val="es-ES"/>
        </w:rPr>
        <w:t xml:space="preserve"> y producen inequidades, por lo que se hace necesario completar el actual diseño del impuesto.</w:t>
      </w:r>
    </w:p>
    <w:p w14:paraId="79B5E294" w14:textId="66F45F82" w:rsidR="005B7043" w:rsidRDefault="004115B1" w:rsidP="001A39CB">
      <w:pPr>
        <w:pStyle w:val="Estilo4"/>
        <w:numPr>
          <w:ilvl w:val="0"/>
          <w:numId w:val="0"/>
        </w:numPr>
        <w:tabs>
          <w:tab w:val="left" w:pos="0"/>
        </w:tabs>
        <w:spacing w:line="360" w:lineRule="auto"/>
        <w:contextualSpacing w:val="0"/>
        <w:rPr>
          <w:sz w:val="22"/>
          <w:lang w:val="es-ES"/>
        </w:rPr>
      </w:pPr>
      <w:r w:rsidRPr="004547AC">
        <w:rPr>
          <w:b/>
          <w:sz w:val="22"/>
          <w:lang w:val="es-ES"/>
        </w:rPr>
        <w:t xml:space="preserve">Las tasas del </w:t>
      </w:r>
      <w:r w:rsidR="00DA39BE" w:rsidRPr="004547AC">
        <w:rPr>
          <w:b/>
          <w:sz w:val="22"/>
          <w:lang w:val="es-ES"/>
        </w:rPr>
        <w:t>I</w:t>
      </w:r>
      <w:r w:rsidRPr="004547AC">
        <w:rPr>
          <w:b/>
          <w:sz w:val="22"/>
          <w:lang w:val="es-ES"/>
        </w:rPr>
        <w:t xml:space="preserve">mpuesto </w:t>
      </w:r>
      <w:r w:rsidR="001101F2">
        <w:rPr>
          <w:b/>
          <w:sz w:val="22"/>
          <w:lang w:val="es-ES"/>
        </w:rPr>
        <w:t xml:space="preserve">de Renta </w:t>
      </w:r>
      <w:r w:rsidR="00DA39BE" w:rsidRPr="004547AC">
        <w:rPr>
          <w:b/>
          <w:sz w:val="22"/>
          <w:lang w:val="es-ES"/>
        </w:rPr>
        <w:t>a</w:t>
      </w:r>
      <w:r w:rsidR="002F1B6F">
        <w:rPr>
          <w:b/>
          <w:sz w:val="22"/>
          <w:lang w:val="es-ES"/>
        </w:rPr>
        <w:t>l S</w:t>
      </w:r>
      <w:r w:rsidR="007A5F8C">
        <w:rPr>
          <w:b/>
          <w:sz w:val="22"/>
          <w:lang w:val="es-ES"/>
        </w:rPr>
        <w:t xml:space="preserve">alario </w:t>
      </w:r>
      <w:r w:rsidR="002F1B6F">
        <w:rPr>
          <w:b/>
          <w:sz w:val="22"/>
          <w:lang w:val="es-ES"/>
        </w:rPr>
        <w:t>(I</w:t>
      </w:r>
      <w:r w:rsidR="00822FF8">
        <w:rPr>
          <w:b/>
          <w:sz w:val="22"/>
          <w:lang w:val="es-ES"/>
        </w:rPr>
        <w:t>R</w:t>
      </w:r>
      <w:r w:rsidR="002B337A">
        <w:rPr>
          <w:b/>
          <w:sz w:val="22"/>
          <w:lang w:val="es-ES"/>
        </w:rPr>
        <w:t>S</w:t>
      </w:r>
      <w:r w:rsidR="002F1B6F">
        <w:rPr>
          <w:b/>
          <w:sz w:val="22"/>
          <w:lang w:val="es-ES"/>
        </w:rPr>
        <w:t xml:space="preserve">) </w:t>
      </w:r>
      <w:r w:rsidR="00DA39BE" w:rsidRPr="004547AC">
        <w:rPr>
          <w:b/>
          <w:sz w:val="22"/>
          <w:lang w:val="es-ES"/>
        </w:rPr>
        <w:t xml:space="preserve">son bajas y </w:t>
      </w:r>
      <w:r w:rsidR="00E07029" w:rsidRPr="004547AC">
        <w:rPr>
          <w:b/>
          <w:sz w:val="22"/>
          <w:lang w:val="es-ES"/>
        </w:rPr>
        <w:t xml:space="preserve">la </w:t>
      </w:r>
      <w:r w:rsidR="002F1B6F">
        <w:rPr>
          <w:b/>
          <w:sz w:val="22"/>
          <w:lang w:val="es-ES"/>
        </w:rPr>
        <w:t xml:space="preserve">magnitud </w:t>
      </w:r>
      <w:r w:rsidR="00D30DA1">
        <w:rPr>
          <w:b/>
          <w:sz w:val="22"/>
          <w:lang w:val="es-ES"/>
        </w:rPr>
        <w:t xml:space="preserve">exenta </w:t>
      </w:r>
      <w:r w:rsidR="002F1B6F">
        <w:rPr>
          <w:b/>
          <w:sz w:val="22"/>
          <w:lang w:val="es-ES"/>
        </w:rPr>
        <w:t xml:space="preserve">de </w:t>
      </w:r>
      <w:r w:rsidR="00D30DA1">
        <w:rPr>
          <w:b/>
          <w:sz w:val="22"/>
          <w:lang w:val="es-ES"/>
        </w:rPr>
        <w:t>sueldos</w:t>
      </w:r>
      <w:r w:rsidR="00E07029" w:rsidRPr="004547AC">
        <w:rPr>
          <w:b/>
          <w:sz w:val="22"/>
          <w:lang w:val="es-ES"/>
        </w:rPr>
        <w:t xml:space="preserve"> </w:t>
      </w:r>
      <w:r w:rsidR="004547AC" w:rsidRPr="004547AC">
        <w:rPr>
          <w:b/>
          <w:sz w:val="22"/>
          <w:lang w:val="es-ES"/>
        </w:rPr>
        <w:t>es comparativamente grande</w:t>
      </w:r>
      <w:r w:rsidR="004547AC">
        <w:rPr>
          <w:sz w:val="22"/>
          <w:lang w:val="es-ES"/>
        </w:rPr>
        <w:t xml:space="preserve">. </w:t>
      </w:r>
      <w:r w:rsidR="000B0EAB">
        <w:rPr>
          <w:sz w:val="22"/>
          <w:lang w:val="es-ES"/>
        </w:rPr>
        <w:t xml:space="preserve">En Costa Rica </w:t>
      </w:r>
      <w:r w:rsidR="00B1668A">
        <w:rPr>
          <w:sz w:val="22"/>
          <w:lang w:val="es-ES"/>
        </w:rPr>
        <w:t>gran cantidad de salarios está exento de impuestos</w:t>
      </w:r>
      <w:r w:rsidR="000C0341">
        <w:rPr>
          <w:sz w:val="22"/>
          <w:lang w:val="es-ES"/>
        </w:rPr>
        <w:t xml:space="preserve">, luego se definen dos tramos más de 10% </w:t>
      </w:r>
      <w:r w:rsidR="00F97B22">
        <w:rPr>
          <w:sz w:val="22"/>
          <w:lang w:val="es-ES"/>
        </w:rPr>
        <w:t>y 15%</w:t>
      </w:r>
      <w:r w:rsidR="00081E88">
        <w:rPr>
          <w:sz w:val="22"/>
          <w:lang w:val="es-ES"/>
        </w:rPr>
        <w:t>.</w:t>
      </w:r>
      <w:r w:rsidR="00F31258">
        <w:rPr>
          <w:rStyle w:val="FootnoteReference"/>
          <w:sz w:val="22"/>
          <w:lang w:val="es-ES"/>
        </w:rPr>
        <w:footnoteReference w:id="32"/>
      </w:r>
      <w:r w:rsidR="00F31258">
        <w:rPr>
          <w:sz w:val="22"/>
          <w:lang w:val="es-ES"/>
        </w:rPr>
        <w:t xml:space="preserve"> </w:t>
      </w:r>
      <w:r w:rsidR="002C1CA9">
        <w:rPr>
          <w:sz w:val="22"/>
          <w:lang w:val="es-ES"/>
        </w:rPr>
        <w:t xml:space="preserve">Además, </w:t>
      </w:r>
      <w:r w:rsidR="00294E55">
        <w:rPr>
          <w:sz w:val="22"/>
          <w:lang w:val="es-ES"/>
        </w:rPr>
        <w:t>el umbral libre de impuestos e</w:t>
      </w:r>
      <w:r w:rsidR="00633FA1">
        <w:rPr>
          <w:sz w:val="22"/>
          <w:lang w:val="es-ES"/>
        </w:rPr>
        <w:t>s 150% el salario promedio, mientras que el promedio de América Latina es de 99%</w:t>
      </w:r>
      <w:r w:rsidR="00081E88">
        <w:rPr>
          <w:sz w:val="22"/>
          <w:lang w:val="es-ES"/>
        </w:rPr>
        <w:t>.</w:t>
      </w:r>
      <w:r w:rsidR="00951D72">
        <w:rPr>
          <w:rStyle w:val="FootnoteReference"/>
          <w:sz w:val="22"/>
          <w:lang w:val="es-ES"/>
        </w:rPr>
        <w:footnoteReference w:id="33"/>
      </w:r>
      <w:r w:rsidR="00592072">
        <w:rPr>
          <w:sz w:val="22"/>
          <w:lang w:val="es-ES"/>
        </w:rPr>
        <w:t xml:space="preserve"> Esto quiere decir que una persona en América Latina empieza a pagar impuestos </w:t>
      </w:r>
      <w:r w:rsidR="00680EC1">
        <w:rPr>
          <w:sz w:val="22"/>
          <w:lang w:val="es-ES"/>
        </w:rPr>
        <w:t xml:space="preserve">cuando alcanza el salario promedio, mientras que en Costa Rica lo hace hasta </w:t>
      </w:r>
      <w:r w:rsidR="00D85358">
        <w:rPr>
          <w:sz w:val="22"/>
          <w:lang w:val="es-ES"/>
        </w:rPr>
        <w:t xml:space="preserve">el momento en que alcanza 1,5 veces el salario promedio (gráfico </w:t>
      </w:r>
      <w:r w:rsidR="00A012A5">
        <w:rPr>
          <w:sz w:val="22"/>
          <w:lang w:val="es-ES"/>
        </w:rPr>
        <w:t>9</w:t>
      </w:r>
      <w:r w:rsidR="00D85358">
        <w:rPr>
          <w:sz w:val="22"/>
          <w:lang w:val="es-ES"/>
        </w:rPr>
        <w:t xml:space="preserve">). </w:t>
      </w:r>
      <w:r w:rsidR="00D801CE">
        <w:rPr>
          <w:sz w:val="22"/>
          <w:lang w:val="es-ES"/>
        </w:rPr>
        <w:t xml:space="preserve">Un tramo exento que incluya tantos salarios </w:t>
      </w:r>
      <w:r w:rsidR="00AC391A">
        <w:rPr>
          <w:sz w:val="22"/>
          <w:lang w:val="es-ES"/>
        </w:rPr>
        <w:t>deteriora la recaudación,</w:t>
      </w:r>
      <w:r w:rsidR="001403AF">
        <w:rPr>
          <w:sz w:val="22"/>
          <w:lang w:val="es-ES"/>
        </w:rPr>
        <w:t xml:space="preserve"> como muestra de ello </w:t>
      </w:r>
      <w:r w:rsidR="00B91847">
        <w:rPr>
          <w:sz w:val="22"/>
          <w:lang w:val="es-ES"/>
        </w:rPr>
        <w:t xml:space="preserve">solamente 88 684 personas tributaron en 2015 </w:t>
      </w:r>
      <w:r w:rsidR="005B7043">
        <w:rPr>
          <w:sz w:val="22"/>
          <w:lang w:val="es-ES"/>
        </w:rPr>
        <w:t>para el I</w:t>
      </w:r>
      <w:r w:rsidR="002B337A">
        <w:rPr>
          <w:sz w:val="22"/>
          <w:lang w:val="es-ES"/>
        </w:rPr>
        <w:t>RS</w:t>
      </w:r>
      <w:r w:rsidR="005B7043">
        <w:rPr>
          <w:sz w:val="22"/>
          <w:lang w:val="es-ES"/>
        </w:rPr>
        <w:t xml:space="preserve"> (2% de la población). </w:t>
      </w:r>
    </w:p>
    <w:p w14:paraId="4800FD14" w14:textId="3B4B8587" w:rsidR="00E03059" w:rsidRDefault="00E03059" w:rsidP="001A39CB">
      <w:pPr>
        <w:pStyle w:val="Estilo4"/>
        <w:numPr>
          <w:ilvl w:val="0"/>
          <w:numId w:val="0"/>
        </w:numPr>
        <w:tabs>
          <w:tab w:val="left" w:pos="0"/>
        </w:tabs>
        <w:spacing w:line="360" w:lineRule="auto"/>
        <w:contextualSpacing w:val="0"/>
        <w:rPr>
          <w:sz w:val="22"/>
          <w:lang w:val="es-ES"/>
        </w:rPr>
      </w:pPr>
    </w:p>
    <w:p w14:paraId="69713967" w14:textId="77777777" w:rsidR="00E03059" w:rsidRDefault="00E03059" w:rsidP="00505AF3">
      <w:pPr>
        <w:pStyle w:val="Caption"/>
        <w:spacing w:after="0"/>
        <w:jc w:val="center"/>
        <w:rPr>
          <w:rFonts w:ascii="Times New Roman" w:hAnsi="Times New Roman" w:cs="Times New Roman"/>
          <w:b/>
          <w:i w:val="0"/>
          <w:color w:val="auto"/>
          <w:sz w:val="22"/>
          <w:szCs w:val="22"/>
        </w:rPr>
      </w:pPr>
      <w:bookmarkStart w:id="18" w:name="_Toc518399420"/>
    </w:p>
    <w:p w14:paraId="51C238FB" w14:textId="430E7B4D" w:rsidR="00DC7B47" w:rsidRDefault="00505AF3" w:rsidP="00505AF3">
      <w:pPr>
        <w:pStyle w:val="Caption"/>
        <w:spacing w:after="0"/>
        <w:jc w:val="center"/>
        <w:rPr>
          <w:b/>
          <w:sz w:val="22"/>
          <w:lang w:val="es-ES"/>
        </w:rPr>
      </w:pPr>
      <w:r w:rsidRPr="007364D6">
        <w:rPr>
          <w:rFonts w:ascii="Times New Roman" w:hAnsi="Times New Roman" w:cs="Times New Roman"/>
          <w:b/>
          <w:i w:val="0"/>
          <w:color w:val="auto"/>
          <w:sz w:val="22"/>
          <w:szCs w:val="22"/>
        </w:rPr>
        <w:lastRenderedPageBreak/>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13</w:t>
      </w:r>
      <w:r w:rsidRPr="007364D6">
        <w:rPr>
          <w:rFonts w:ascii="Times New Roman" w:hAnsi="Times New Roman" w:cs="Times New Roman"/>
          <w:b/>
          <w:i w:val="0"/>
          <w:color w:val="auto"/>
          <w:sz w:val="22"/>
          <w:szCs w:val="22"/>
        </w:rPr>
        <w:fldChar w:fldCharType="end"/>
      </w:r>
      <w:r w:rsidRPr="007364D6">
        <w:rPr>
          <w:rFonts w:ascii="Times New Roman" w:hAnsi="Times New Roman" w:cs="Times New Roman"/>
          <w:b/>
          <w:i w:val="0"/>
          <w:color w:val="auto"/>
          <w:sz w:val="22"/>
          <w:szCs w:val="22"/>
          <w:lang w:val="es-ES"/>
        </w:rPr>
        <w:t>. Umbrales sobre los cuales los individuos empiezan a pagar el IRPF, medidos como múltiplo del salario promedio en USD en 2013</w:t>
      </w:r>
      <w:bookmarkEnd w:id="18"/>
    </w:p>
    <w:p w14:paraId="2310E0B5" w14:textId="77777777" w:rsidR="00505AF3" w:rsidRDefault="00505AF3" w:rsidP="00DD7750">
      <w:pPr>
        <w:pStyle w:val="Estilo4"/>
        <w:numPr>
          <w:ilvl w:val="0"/>
          <w:numId w:val="0"/>
        </w:numPr>
        <w:tabs>
          <w:tab w:val="left" w:pos="0"/>
        </w:tabs>
        <w:spacing w:line="240" w:lineRule="auto"/>
        <w:contextualSpacing w:val="0"/>
        <w:jc w:val="center"/>
        <w:rPr>
          <w:sz w:val="18"/>
          <w:lang w:val="es-ES"/>
        </w:rPr>
      </w:pPr>
      <w:r>
        <w:rPr>
          <w:noProof/>
          <w:lang w:val="es-CR" w:eastAsia="es-CR"/>
        </w:rPr>
        <w:drawing>
          <wp:inline distT="0" distB="0" distL="0" distR="0" wp14:anchorId="2BBDF03D" wp14:editId="30B60DA2">
            <wp:extent cx="5622290" cy="2965939"/>
            <wp:effectExtent l="0" t="0" r="0" b="0"/>
            <wp:docPr id="4" name="Chart 4">
              <a:extLst xmlns:a="http://schemas.openxmlformats.org/drawingml/2006/main">
                <a:ext uri="{FF2B5EF4-FFF2-40B4-BE49-F238E27FC236}">
                  <a16:creationId xmlns:a16="http://schemas.microsoft.com/office/drawing/2014/main" id="{00000000-0008-0000-0000-000005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9894C54" w14:textId="77777777" w:rsidR="00DC7B47" w:rsidRPr="0061217C" w:rsidRDefault="00DC7B47" w:rsidP="00DD7750">
      <w:pPr>
        <w:pStyle w:val="Estilo4"/>
        <w:numPr>
          <w:ilvl w:val="0"/>
          <w:numId w:val="0"/>
        </w:numPr>
        <w:tabs>
          <w:tab w:val="left" w:pos="0"/>
        </w:tabs>
        <w:spacing w:line="240" w:lineRule="auto"/>
        <w:contextualSpacing w:val="0"/>
        <w:jc w:val="center"/>
        <w:rPr>
          <w:sz w:val="18"/>
          <w:lang w:val="es-CR"/>
        </w:rPr>
      </w:pPr>
      <w:r w:rsidRPr="00824DBA">
        <w:rPr>
          <w:sz w:val="18"/>
          <w:lang w:val="es-ES"/>
        </w:rPr>
        <w:t xml:space="preserve">Fuente: Barreix, A., J. Benítez y M. Pecho. </w:t>
      </w:r>
      <w:r w:rsidRPr="00824DBA">
        <w:rPr>
          <w:sz w:val="18"/>
          <w:lang w:val="en-US"/>
        </w:rPr>
        <w:t xml:space="preserve">(2017). "Revisiting personal income tax in Latin America: Evolution and impact". </w:t>
      </w:r>
      <w:r w:rsidRPr="0061217C">
        <w:rPr>
          <w:sz w:val="18"/>
          <w:lang w:val="es-CR"/>
        </w:rPr>
        <w:t>OECD Development Centre Working Papers, No. 338, OECD Publishing, Paris.</w:t>
      </w:r>
    </w:p>
    <w:p w14:paraId="034224C9" w14:textId="77777777" w:rsidR="00AA010D" w:rsidRDefault="00591FF9" w:rsidP="00EA5138">
      <w:pPr>
        <w:pStyle w:val="Estilo4"/>
        <w:numPr>
          <w:ilvl w:val="0"/>
          <w:numId w:val="0"/>
        </w:numPr>
        <w:tabs>
          <w:tab w:val="left" w:pos="0"/>
        </w:tabs>
        <w:spacing w:line="360" w:lineRule="auto"/>
        <w:contextualSpacing w:val="0"/>
        <w:rPr>
          <w:rFonts w:cstheme="minorBidi"/>
          <w:bCs/>
          <w:iCs/>
          <w:sz w:val="22"/>
          <w:szCs w:val="22"/>
          <w:lang w:val="es-ES"/>
        </w:rPr>
      </w:pPr>
      <w:r w:rsidRPr="00F42D7B">
        <w:rPr>
          <w:rFonts w:cstheme="minorBidi"/>
          <w:b/>
          <w:bCs/>
          <w:iCs/>
          <w:sz w:val="22"/>
          <w:szCs w:val="22"/>
          <w:lang w:val="es-ES"/>
        </w:rPr>
        <w:t>Las</w:t>
      </w:r>
      <w:r w:rsidR="00F42D7B" w:rsidRPr="00F42D7B">
        <w:rPr>
          <w:rFonts w:cstheme="minorBidi"/>
          <w:b/>
          <w:bCs/>
          <w:iCs/>
          <w:sz w:val="22"/>
          <w:szCs w:val="22"/>
          <w:lang w:val="es-ES"/>
        </w:rPr>
        <w:t xml:space="preserve"> </w:t>
      </w:r>
      <w:r w:rsidR="007D0DDB">
        <w:rPr>
          <w:rFonts w:cstheme="minorBidi"/>
          <w:b/>
          <w:bCs/>
          <w:iCs/>
          <w:sz w:val="22"/>
          <w:szCs w:val="22"/>
          <w:lang w:val="es-ES"/>
        </w:rPr>
        <w:t xml:space="preserve">cargas por </w:t>
      </w:r>
      <w:r w:rsidR="00162E8B">
        <w:rPr>
          <w:rFonts w:cstheme="minorBidi"/>
          <w:b/>
          <w:bCs/>
          <w:iCs/>
          <w:sz w:val="22"/>
          <w:szCs w:val="22"/>
          <w:lang w:val="es-ES"/>
        </w:rPr>
        <w:t>C</w:t>
      </w:r>
      <w:r w:rsidR="00F42D7B" w:rsidRPr="00F42D7B">
        <w:rPr>
          <w:rFonts w:cstheme="minorBidi"/>
          <w:b/>
          <w:bCs/>
          <w:iCs/>
          <w:sz w:val="22"/>
          <w:szCs w:val="22"/>
          <w:lang w:val="es-ES"/>
        </w:rPr>
        <w:t xml:space="preserve">ontribuciones </w:t>
      </w:r>
      <w:r w:rsidR="00534409">
        <w:rPr>
          <w:rFonts w:cstheme="minorBidi"/>
          <w:b/>
          <w:bCs/>
          <w:iCs/>
          <w:sz w:val="22"/>
          <w:szCs w:val="22"/>
          <w:lang w:val="es-ES"/>
        </w:rPr>
        <w:t xml:space="preserve">a la </w:t>
      </w:r>
      <w:r w:rsidR="00162E8B">
        <w:rPr>
          <w:rFonts w:cstheme="minorBidi"/>
          <w:b/>
          <w:bCs/>
          <w:iCs/>
          <w:sz w:val="22"/>
          <w:szCs w:val="22"/>
          <w:lang w:val="es-ES"/>
        </w:rPr>
        <w:t>S</w:t>
      </w:r>
      <w:r w:rsidR="00534409">
        <w:rPr>
          <w:rFonts w:cstheme="minorBidi"/>
          <w:b/>
          <w:bCs/>
          <w:iCs/>
          <w:sz w:val="22"/>
          <w:szCs w:val="22"/>
          <w:lang w:val="es-ES"/>
        </w:rPr>
        <w:t xml:space="preserve">eguridad </w:t>
      </w:r>
      <w:r w:rsidR="00162E8B">
        <w:rPr>
          <w:rFonts w:cstheme="minorBidi"/>
          <w:b/>
          <w:bCs/>
          <w:iCs/>
          <w:sz w:val="22"/>
          <w:szCs w:val="22"/>
          <w:lang w:val="es-ES"/>
        </w:rPr>
        <w:t>S</w:t>
      </w:r>
      <w:r w:rsidR="00F42D7B" w:rsidRPr="00F42D7B">
        <w:rPr>
          <w:rFonts w:cstheme="minorBidi"/>
          <w:b/>
          <w:bCs/>
          <w:iCs/>
          <w:sz w:val="22"/>
          <w:szCs w:val="22"/>
          <w:lang w:val="es-ES"/>
        </w:rPr>
        <w:t xml:space="preserve">ocial </w:t>
      </w:r>
      <w:r w:rsidR="00162E8B">
        <w:rPr>
          <w:rFonts w:cstheme="minorBidi"/>
          <w:b/>
          <w:bCs/>
          <w:iCs/>
          <w:sz w:val="22"/>
          <w:szCs w:val="22"/>
          <w:lang w:val="es-ES"/>
        </w:rPr>
        <w:t xml:space="preserve">(CSS) </w:t>
      </w:r>
      <w:r w:rsidR="00A1154E">
        <w:rPr>
          <w:rFonts w:cstheme="minorBidi"/>
          <w:b/>
          <w:bCs/>
          <w:iCs/>
          <w:sz w:val="22"/>
          <w:szCs w:val="22"/>
          <w:lang w:val="es-ES"/>
        </w:rPr>
        <w:t>son elevadas</w:t>
      </w:r>
      <w:r w:rsidR="00534409">
        <w:rPr>
          <w:rFonts w:cstheme="minorBidi"/>
          <w:b/>
          <w:bCs/>
          <w:iCs/>
          <w:sz w:val="22"/>
          <w:szCs w:val="22"/>
          <w:lang w:val="es-ES"/>
        </w:rPr>
        <w:t>, por lo que representan un alto costo laboral</w:t>
      </w:r>
      <w:r w:rsidR="004141A8">
        <w:rPr>
          <w:rFonts w:cstheme="minorBidi"/>
          <w:b/>
          <w:bCs/>
          <w:iCs/>
          <w:sz w:val="22"/>
          <w:szCs w:val="22"/>
          <w:lang w:val="es-ES"/>
        </w:rPr>
        <w:t xml:space="preserve"> </w:t>
      </w:r>
      <w:r w:rsidR="009621B6">
        <w:rPr>
          <w:rFonts w:cstheme="minorBidi"/>
          <w:b/>
          <w:bCs/>
          <w:iCs/>
          <w:sz w:val="22"/>
          <w:szCs w:val="22"/>
          <w:lang w:val="es-ES"/>
        </w:rPr>
        <w:t>e incentivan la informalidad</w:t>
      </w:r>
      <w:r w:rsidR="00534409">
        <w:rPr>
          <w:rFonts w:cstheme="minorBidi"/>
          <w:b/>
          <w:bCs/>
          <w:iCs/>
          <w:sz w:val="22"/>
          <w:szCs w:val="22"/>
          <w:lang w:val="es-ES"/>
        </w:rPr>
        <w:t xml:space="preserve">. </w:t>
      </w:r>
      <w:r w:rsidR="00B17874">
        <w:rPr>
          <w:rFonts w:cstheme="minorBidi"/>
          <w:bCs/>
          <w:iCs/>
          <w:sz w:val="22"/>
          <w:szCs w:val="22"/>
          <w:lang w:val="es-ES"/>
        </w:rPr>
        <w:t xml:space="preserve">De hecho, </w:t>
      </w:r>
      <w:r w:rsidR="00AA010D">
        <w:rPr>
          <w:rFonts w:cstheme="minorBidi"/>
          <w:bCs/>
          <w:iCs/>
          <w:sz w:val="22"/>
          <w:szCs w:val="22"/>
          <w:lang w:val="es-ES"/>
        </w:rPr>
        <w:t xml:space="preserve">los ingresos por </w:t>
      </w:r>
      <w:r w:rsidR="00B17874">
        <w:rPr>
          <w:rFonts w:cstheme="minorBidi"/>
          <w:bCs/>
          <w:iCs/>
          <w:sz w:val="22"/>
          <w:szCs w:val="22"/>
          <w:lang w:val="es-ES"/>
        </w:rPr>
        <w:t>l</w:t>
      </w:r>
      <w:r w:rsidR="009E35F4">
        <w:rPr>
          <w:rFonts w:cstheme="minorBidi"/>
          <w:bCs/>
          <w:iCs/>
          <w:sz w:val="22"/>
          <w:szCs w:val="22"/>
          <w:lang w:val="es-ES"/>
        </w:rPr>
        <w:t xml:space="preserve">as </w:t>
      </w:r>
      <w:r w:rsidR="00AA010D">
        <w:rPr>
          <w:rFonts w:cstheme="minorBidi"/>
          <w:bCs/>
          <w:iCs/>
          <w:sz w:val="22"/>
          <w:szCs w:val="22"/>
          <w:lang w:val="es-ES"/>
        </w:rPr>
        <w:t xml:space="preserve">CSS en Costa Rica son las segundas, solo superadas por Uruguay, más altas de ALC y son cerca del 30% de todos los recursos (Gráfico </w:t>
      </w:r>
      <w:r w:rsidR="00C12411">
        <w:rPr>
          <w:rFonts w:cstheme="minorBidi"/>
          <w:bCs/>
          <w:iCs/>
          <w:sz w:val="22"/>
          <w:szCs w:val="22"/>
          <w:lang w:val="es-ES"/>
        </w:rPr>
        <w:t>14</w:t>
      </w:r>
      <w:r w:rsidR="00AA010D">
        <w:rPr>
          <w:rFonts w:cstheme="minorBidi"/>
          <w:bCs/>
          <w:iCs/>
          <w:sz w:val="22"/>
          <w:szCs w:val="22"/>
          <w:lang w:val="es-ES"/>
        </w:rPr>
        <w:t>). En efecto, a nivel micro, los</w:t>
      </w:r>
      <w:r w:rsidR="00BC7457">
        <w:rPr>
          <w:rFonts w:cstheme="minorBidi"/>
          <w:bCs/>
          <w:iCs/>
          <w:sz w:val="22"/>
          <w:szCs w:val="22"/>
          <w:lang w:val="es-ES"/>
        </w:rPr>
        <w:t xml:space="preserve"> empleados aportan un 9,34% de sus ingresos brutos mensuales </w:t>
      </w:r>
      <w:r w:rsidR="00357F0E">
        <w:rPr>
          <w:rFonts w:cstheme="minorBidi"/>
          <w:bCs/>
          <w:iCs/>
          <w:sz w:val="22"/>
          <w:szCs w:val="22"/>
          <w:lang w:val="es-ES"/>
        </w:rPr>
        <w:t>para las CSS</w:t>
      </w:r>
      <w:r w:rsidR="00F35217">
        <w:rPr>
          <w:rFonts w:cstheme="minorBidi"/>
          <w:bCs/>
          <w:iCs/>
          <w:sz w:val="22"/>
          <w:szCs w:val="22"/>
          <w:lang w:val="es-ES"/>
        </w:rPr>
        <w:t xml:space="preserve">, </w:t>
      </w:r>
      <w:r w:rsidR="00834FAF">
        <w:rPr>
          <w:rFonts w:cstheme="minorBidi"/>
          <w:bCs/>
          <w:iCs/>
          <w:sz w:val="22"/>
          <w:szCs w:val="22"/>
          <w:lang w:val="es-ES"/>
        </w:rPr>
        <w:t xml:space="preserve">pero estas no son deducibles de la base gravable del </w:t>
      </w:r>
      <w:r w:rsidR="001101F2">
        <w:rPr>
          <w:rFonts w:cstheme="minorBidi"/>
          <w:bCs/>
          <w:iCs/>
          <w:sz w:val="22"/>
          <w:szCs w:val="22"/>
          <w:lang w:val="es-ES"/>
        </w:rPr>
        <w:t>I</w:t>
      </w:r>
      <w:r w:rsidR="00D63B3A">
        <w:rPr>
          <w:rFonts w:cstheme="minorBidi"/>
          <w:bCs/>
          <w:iCs/>
          <w:sz w:val="22"/>
          <w:szCs w:val="22"/>
          <w:lang w:val="es-ES"/>
        </w:rPr>
        <w:t>R</w:t>
      </w:r>
      <w:r w:rsidR="001101F2">
        <w:rPr>
          <w:rFonts w:cstheme="minorBidi"/>
          <w:bCs/>
          <w:iCs/>
          <w:sz w:val="22"/>
          <w:szCs w:val="22"/>
          <w:lang w:val="es-ES"/>
        </w:rPr>
        <w:t>S</w:t>
      </w:r>
      <w:r w:rsidR="00F5758D">
        <w:rPr>
          <w:rFonts w:cstheme="minorBidi"/>
          <w:bCs/>
          <w:iCs/>
          <w:sz w:val="22"/>
          <w:szCs w:val="22"/>
          <w:lang w:val="es-ES"/>
        </w:rPr>
        <w:t>.</w:t>
      </w:r>
      <w:r w:rsidR="00C775B3">
        <w:rPr>
          <w:rStyle w:val="FootnoteReference"/>
          <w:rFonts w:cstheme="minorBidi"/>
          <w:bCs/>
          <w:iCs/>
          <w:sz w:val="22"/>
          <w:szCs w:val="22"/>
          <w:lang w:val="es-ES"/>
        </w:rPr>
        <w:footnoteReference w:id="34"/>
      </w:r>
      <w:r w:rsidR="00F5758D">
        <w:rPr>
          <w:rFonts w:cstheme="minorBidi"/>
          <w:bCs/>
          <w:iCs/>
          <w:sz w:val="22"/>
          <w:szCs w:val="22"/>
          <w:lang w:val="es-ES"/>
        </w:rPr>
        <w:t xml:space="preserve"> Esto genera </w:t>
      </w:r>
      <w:r w:rsidR="00537450">
        <w:rPr>
          <w:rFonts w:cstheme="minorBidi"/>
          <w:bCs/>
          <w:iCs/>
          <w:sz w:val="22"/>
          <w:szCs w:val="22"/>
          <w:lang w:val="es-ES"/>
        </w:rPr>
        <w:t xml:space="preserve">que la carga sea elevada </w:t>
      </w:r>
      <w:r w:rsidR="00631B19">
        <w:rPr>
          <w:rFonts w:cstheme="minorBidi"/>
          <w:bCs/>
          <w:iCs/>
          <w:sz w:val="22"/>
          <w:szCs w:val="22"/>
          <w:lang w:val="es-ES"/>
        </w:rPr>
        <w:t>para los asalariados</w:t>
      </w:r>
      <w:r w:rsidR="00392292">
        <w:rPr>
          <w:rFonts w:cstheme="minorBidi"/>
          <w:bCs/>
          <w:iCs/>
          <w:sz w:val="22"/>
          <w:szCs w:val="22"/>
          <w:lang w:val="es-ES"/>
        </w:rPr>
        <w:t xml:space="preserve"> y por lo tanto una disminución innecesaria de su ingreso disponible. </w:t>
      </w:r>
    </w:p>
    <w:p w14:paraId="1B89E693" w14:textId="77777777" w:rsidR="00591FF9" w:rsidRDefault="007A4F34" w:rsidP="00EA5138">
      <w:pPr>
        <w:pStyle w:val="Estilo4"/>
        <w:numPr>
          <w:ilvl w:val="0"/>
          <w:numId w:val="0"/>
        </w:numPr>
        <w:tabs>
          <w:tab w:val="left" w:pos="0"/>
        </w:tabs>
        <w:spacing w:line="360" w:lineRule="auto"/>
        <w:contextualSpacing w:val="0"/>
        <w:rPr>
          <w:rFonts w:cstheme="minorBidi"/>
          <w:bCs/>
          <w:iCs/>
          <w:sz w:val="22"/>
          <w:szCs w:val="22"/>
          <w:lang w:val="es-ES"/>
        </w:rPr>
      </w:pPr>
      <w:r w:rsidRPr="00D63B3A">
        <w:rPr>
          <w:rFonts w:cstheme="minorBidi"/>
          <w:b/>
          <w:bCs/>
          <w:iCs/>
          <w:sz w:val="22"/>
          <w:szCs w:val="22"/>
          <w:lang w:val="es-ES"/>
        </w:rPr>
        <w:t xml:space="preserve">El riesgo de tener costos laborales elevados </w:t>
      </w:r>
      <w:r w:rsidR="00CB6866" w:rsidRPr="00D63B3A">
        <w:rPr>
          <w:rFonts w:cstheme="minorBidi"/>
          <w:b/>
          <w:bCs/>
          <w:iCs/>
          <w:sz w:val="22"/>
          <w:szCs w:val="22"/>
          <w:lang w:val="es-ES"/>
        </w:rPr>
        <w:t xml:space="preserve">es que </w:t>
      </w:r>
      <w:r w:rsidR="000A0043" w:rsidRPr="00D63B3A">
        <w:rPr>
          <w:rFonts w:cstheme="minorBidi"/>
          <w:b/>
          <w:bCs/>
          <w:iCs/>
          <w:sz w:val="22"/>
          <w:szCs w:val="22"/>
          <w:lang w:val="es-ES"/>
        </w:rPr>
        <w:t xml:space="preserve">incentiva </w:t>
      </w:r>
      <w:r w:rsidR="009A1B7C" w:rsidRPr="00D63B3A">
        <w:rPr>
          <w:rFonts w:cstheme="minorBidi"/>
          <w:b/>
          <w:bCs/>
          <w:iCs/>
          <w:sz w:val="22"/>
          <w:szCs w:val="22"/>
          <w:lang w:val="es-ES"/>
        </w:rPr>
        <w:t>la economía informal</w:t>
      </w:r>
      <w:r w:rsidR="002C6DCD" w:rsidRPr="00D63B3A">
        <w:rPr>
          <w:rFonts w:cstheme="minorBidi"/>
          <w:b/>
          <w:bCs/>
          <w:iCs/>
          <w:sz w:val="22"/>
          <w:szCs w:val="22"/>
          <w:lang w:val="es-ES"/>
        </w:rPr>
        <w:t xml:space="preserve"> para trabajadores de baja productividad</w:t>
      </w:r>
      <w:r w:rsidR="00037E84">
        <w:rPr>
          <w:rFonts w:cstheme="minorBidi"/>
          <w:bCs/>
          <w:iCs/>
          <w:sz w:val="22"/>
          <w:szCs w:val="22"/>
          <w:lang w:val="es-ES"/>
        </w:rPr>
        <w:t xml:space="preserve">, quienes estarán dispuestos a la informalidad </w:t>
      </w:r>
      <w:r w:rsidR="001950ED">
        <w:rPr>
          <w:rFonts w:cstheme="minorBidi"/>
          <w:bCs/>
          <w:iCs/>
          <w:sz w:val="22"/>
          <w:szCs w:val="22"/>
          <w:lang w:val="es-ES"/>
        </w:rPr>
        <w:t xml:space="preserve">para </w:t>
      </w:r>
      <w:r w:rsidR="00D6623F">
        <w:rPr>
          <w:rFonts w:cstheme="minorBidi"/>
          <w:bCs/>
          <w:iCs/>
          <w:sz w:val="22"/>
          <w:szCs w:val="22"/>
          <w:lang w:val="es-ES"/>
        </w:rPr>
        <w:t>mejorar su ingreso disponible</w:t>
      </w:r>
      <w:r w:rsidR="009A1B7C">
        <w:rPr>
          <w:rFonts w:cstheme="minorBidi"/>
          <w:bCs/>
          <w:iCs/>
          <w:sz w:val="22"/>
          <w:szCs w:val="22"/>
          <w:lang w:val="es-ES"/>
        </w:rPr>
        <w:t xml:space="preserve">. </w:t>
      </w:r>
      <w:r w:rsidR="00A21338">
        <w:rPr>
          <w:rFonts w:cstheme="minorBidi"/>
          <w:bCs/>
          <w:iCs/>
          <w:sz w:val="22"/>
          <w:szCs w:val="22"/>
          <w:lang w:val="es-ES"/>
        </w:rPr>
        <w:t xml:space="preserve">En efecto, </w:t>
      </w:r>
      <w:r w:rsidR="00031666">
        <w:rPr>
          <w:rFonts w:cstheme="minorBidi"/>
          <w:bCs/>
          <w:iCs/>
          <w:sz w:val="22"/>
          <w:szCs w:val="22"/>
          <w:lang w:val="es-ES"/>
        </w:rPr>
        <w:t xml:space="preserve">de acuerdo con datos </w:t>
      </w:r>
      <w:r w:rsidR="00A24068">
        <w:rPr>
          <w:rFonts w:cstheme="minorBidi"/>
          <w:bCs/>
          <w:iCs/>
          <w:sz w:val="22"/>
          <w:szCs w:val="22"/>
          <w:lang w:val="es-ES"/>
        </w:rPr>
        <w:t xml:space="preserve">del primer trimestre de 2018 </w:t>
      </w:r>
      <w:r w:rsidR="00031666">
        <w:rPr>
          <w:rFonts w:cstheme="minorBidi"/>
          <w:bCs/>
          <w:iCs/>
          <w:sz w:val="22"/>
          <w:szCs w:val="22"/>
          <w:lang w:val="es-ES"/>
        </w:rPr>
        <w:t>de la Encuesta Continua de Empleo (ECE) del Instituto Nacional de Estadística y Censos (INEC)</w:t>
      </w:r>
      <w:r w:rsidR="00E05BA7">
        <w:rPr>
          <w:rFonts w:cstheme="minorBidi"/>
          <w:bCs/>
          <w:iCs/>
          <w:sz w:val="22"/>
          <w:szCs w:val="22"/>
          <w:lang w:val="es-ES"/>
        </w:rPr>
        <w:t>,</w:t>
      </w:r>
      <w:r w:rsidR="00031666">
        <w:rPr>
          <w:rStyle w:val="FootnoteReference"/>
          <w:rFonts w:cstheme="minorBidi"/>
          <w:bCs/>
          <w:iCs/>
          <w:sz w:val="22"/>
          <w:szCs w:val="22"/>
          <w:lang w:val="es-ES"/>
        </w:rPr>
        <w:footnoteReference w:id="35"/>
      </w:r>
      <w:r w:rsidR="00031666">
        <w:rPr>
          <w:rFonts w:cstheme="minorBidi"/>
          <w:bCs/>
          <w:iCs/>
          <w:sz w:val="22"/>
          <w:szCs w:val="22"/>
          <w:lang w:val="es-ES"/>
        </w:rPr>
        <w:t xml:space="preserve"> </w:t>
      </w:r>
      <w:r w:rsidR="00D47089">
        <w:rPr>
          <w:rFonts w:cstheme="minorBidi"/>
          <w:bCs/>
          <w:iCs/>
          <w:sz w:val="22"/>
          <w:szCs w:val="22"/>
          <w:lang w:val="es-ES"/>
        </w:rPr>
        <w:t>la informalidad</w:t>
      </w:r>
      <w:r w:rsidR="00D47089">
        <w:rPr>
          <w:rStyle w:val="FootnoteReference"/>
          <w:rFonts w:cstheme="minorBidi"/>
          <w:bCs/>
          <w:iCs/>
          <w:sz w:val="22"/>
          <w:szCs w:val="22"/>
          <w:lang w:val="es-ES"/>
        </w:rPr>
        <w:footnoteReference w:id="36"/>
      </w:r>
      <w:r w:rsidR="006D0211">
        <w:rPr>
          <w:rFonts w:cstheme="minorBidi"/>
          <w:bCs/>
          <w:iCs/>
          <w:sz w:val="22"/>
          <w:szCs w:val="22"/>
          <w:lang w:val="es-ES"/>
        </w:rPr>
        <w:t xml:space="preserve"> en Costa Rica </w:t>
      </w:r>
      <w:r w:rsidR="00E05BA7">
        <w:rPr>
          <w:rFonts w:cstheme="minorBidi"/>
          <w:bCs/>
          <w:iCs/>
          <w:sz w:val="22"/>
          <w:szCs w:val="22"/>
          <w:lang w:val="es-ES"/>
        </w:rPr>
        <w:t>representa el</w:t>
      </w:r>
      <w:r w:rsidR="006D0211">
        <w:rPr>
          <w:rFonts w:cstheme="minorBidi"/>
          <w:bCs/>
          <w:iCs/>
          <w:sz w:val="22"/>
          <w:szCs w:val="22"/>
          <w:lang w:val="es-ES"/>
        </w:rPr>
        <w:t xml:space="preserve"> 41% </w:t>
      </w:r>
      <w:r w:rsidR="00E05BA7">
        <w:rPr>
          <w:rFonts w:cstheme="minorBidi"/>
          <w:bCs/>
          <w:iCs/>
          <w:sz w:val="22"/>
          <w:szCs w:val="22"/>
          <w:lang w:val="es-ES"/>
        </w:rPr>
        <w:t>de</w:t>
      </w:r>
      <w:r w:rsidR="0082153F">
        <w:rPr>
          <w:rFonts w:cstheme="minorBidi"/>
          <w:bCs/>
          <w:iCs/>
          <w:sz w:val="22"/>
          <w:szCs w:val="22"/>
          <w:lang w:val="es-ES"/>
        </w:rPr>
        <w:t xml:space="preserve">l empleo total. </w:t>
      </w:r>
      <w:r w:rsidR="0046373C">
        <w:rPr>
          <w:rFonts w:cstheme="minorBidi"/>
          <w:bCs/>
          <w:iCs/>
          <w:sz w:val="22"/>
          <w:szCs w:val="22"/>
          <w:lang w:val="es-ES"/>
        </w:rPr>
        <w:t xml:space="preserve">Además, </w:t>
      </w:r>
      <w:r w:rsidR="007F5605">
        <w:rPr>
          <w:rFonts w:cstheme="minorBidi"/>
          <w:bCs/>
          <w:iCs/>
          <w:sz w:val="22"/>
          <w:szCs w:val="22"/>
          <w:lang w:val="es-ES"/>
        </w:rPr>
        <w:t xml:space="preserve">del total de ocupados, el 28% no cuenta con un seguro por trabajo. Por </w:t>
      </w:r>
      <w:r w:rsidR="00237C54">
        <w:rPr>
          <w:rFonts w:cstheme="minorBidi"/>
          <w:bCs/>
          <w:iCs/>
          <w:sz w:val="22"/>
          <w:szCs w:val="22"/>
          <w:lang w:val="es-ES"/>
        </w:rPr>
        <w:t>otro lado</w:t>
      </w:r>
      <w:r w:rsidR="007F5605">
        <w:rPr>
          <w:rFonts w:cstheme="minorBidi"/>
          <w:bCs/>
          <w:iCs/>
          <w:sz w:val="22"/>
          <w:szCs w:val="22"/>
          <w:lang w:val="es-ES"/>
        </w:rPr>
        <w:t xml:space="preserve">, vale la pena destacar </w:t>
      </w:r>
      <w:r w:rsidR="00E521C2">
        <w:rPr>
          <w:rFonts w:cstheme="minorBidi"/>
          <w:bCs/>
          <w:iCs/>
          <w:sz w:val="22"/>
          <w:szCs w:val="22"/>
          <w:lang w:val="es-ES"/>
        </w:rPr>
        <w:t xml:space="preserve">que </w:t>
      </w:r>
      <w:r w:rsidR="00C10FAC">
        <w:rPr>
          <w:rFonts w:cstheme="minorBidi"/>
          <w:bCs/>
          <w:iCs/>
          <w:sz w:val="22"/>
          <w:szCs w:val="22"/>
          <w:lang w:val="es-ES"/>
        </w:rPr>
        <w:t xml:space="preserve">Costa Rica </w:t>
      </w:r>
      <w:r w:rsidR="00190000">
        <w:rPr>
          <w:rFonts w:cstheme="minorBidi"/>
          <w:bCs/>
          <w:iCs/>
          <w:sz w:val="22"/>
          <w:szCs w:val="22"/>
          <w:lang w:val="es-ES"/>
        </w:rPr>
        <w:t>no ha logrado bajar su</w:t>
      </w:r>
      <w:r w:rsidR="00EB00BE">
        <w:rPr>
          <w:rFonts w:cstheme="minorBidi"/>
          <w:bCs/>
          <w:iCs/>
          <w:sz w:val="22"/>
          <w:szCs w:val="22"/>
          <w:lang w:val="es-ES"/>
        </w:rPr>
        <w:t xml:space="preserve"> alta tasa de desempleo, pues esta </w:t>
      </w:r>
      <w:r w:rsidR="00E521C2">
        <w:rPr>
          <w:rFonts w:cstheme="minorBidi"/>
          <w:bCs/>
          <w:iCs/>
          <w:sz w:val="22"/>
          <w:szCs w:val="22"/>
          <w:lang w:val="es-ES"/>
        </w:rPr>
        <w:t xml:space="preserve">se ha mantenido estancada en alrededor del 10% </w:t>
      </w:r>
      <w:r w:rsidR="00C10FAC">
        <w:rPr>
          <w:rFonts w:cstheme="minorBidi"/>
          <w:bCs/>
          <w:iCs/>
          <w:sz w:val="22"/>
          <w:szCs w:val="22"/>
          <w:lang w:val="es-ES"/>
        </w:rPr>
        <w:t>(10,3% para</w:t>
      </w:r>
      <w:r w:rsidR="00397ADC">
        <w:rPr>
          <w:rFonts w:cstheme="minorBidi"/>
          <w:bCs/>
          <w:iCs/>
          <w:sz w:val="22"/>
          <w:szCs w:val="22"/>
          <w:lang w:val="es-ES"/>
        </w:rPr>
        <w:t xml:space="preserve"> el primer trimestre de 2018</w:t>
      </w:r>
      <w:r w:rsidR="00C10FAC">
        <w:rPr>
          <w:rFonts w:cstheme="minorBidi"/>
          <w:bCs/>
          <w:iCs/>
          <w:sz w:val="22"/>
          <w:szCs w:val="22"/>
          <w:lang w:val="es-ES"/>
        </w:rPr>
        <w:t>)</w:t>
      </w:r>
      <w:r w:rsidR="00E521C2">
        <w:rPr>
          <w:rFonts w:cstheme="minorBidi"/>
          <w:bCs/>
          <w:iCs/>
          <w:sz w:val="22"/>
          <w:szCs w:val="22"/>
          <w:lang w:val="es-ES"/>
        </w:rPr>
        <w:t>.</w:t>
      </w:r>
      <w:r w:rsidR="0093312D">
        <w:rPr>
          <w:rStyle w:val="FootnoteReference"/>
          <w:rFonts w:cstheme="minorBidi"/>
          <w:bCs/>
          <w:iCs/>
          <w:sz w:val="22"/>
          <w:szCs w:val="22"/>
          <w:lang w:val="es-ES"/>
        </w:rPr>
        <w:footnoteReference w:id="37"/>
      </w:r>
      <w:r w:rsidR="00B35FB4">
        <w:rPr>
          <w:rFonts w:cstheme="minorBidi"/>
          <w:bCs/>
          <w:iCs/>
          <w:sz w:val="22"/>
          <w:szCs w:val="22"/>
          <w:lang w:val="es-ES"/>
        </w:rPr>
        <w:t xml:space="preserve"> E</w:t>
      </w:r>
      <w:r w:rsidR="00C749C4">
        <w:rPr>
          <w:rFonts w:cstheme="minorBidi"/>
          <w:bCs/>
          <w:iCs/>
          <w:sz w:val="22"/>
          <w:szCs w:val="22"/>
          <w:lang w:val="es-ES"/>
        </w:rPr>
        <w:t xml:space="preserve">s importante mencionar que </w:t>
      </w:r>
      <w:r w:rsidR="009509CF">
        <w:rPr>
          <w:rFonts w:cstheme="minorBidi"/>
          <w:bCs/>
          <w:iCs/>
          <w:sz w:val="22"/>
          <w:szCs w:val="22"/>
          <w:lang w:val="es-ES"/>
        </w:rPr>
        <w:t xml:space="preserve">las CSS que se recaudan en Costa Rica suman el 11,4% del </w:t>
      </w:r>
      <w:r w:rsidR="009509CF">
        <w:rPr>
          <w:rFonts w:cstheme="minorBidi"/>
          <w:bCs/>
          <w:iCs/>
          <w:sz w:val="22"/>
          <w:szCs w:val="22"/>
          <w:lang w:val="es-ES"/>
        </w:rPr>
        <w:lastRenderedPageBreak/>
        <w:t>PIB</w:t>
      </w:r>
      <w:r w:rsidR="009342FC">
        <w:rPr>
          <w:rFonts w:cstheme="minorBidi"/>
          <w:bCs/>
          <w:iCs/>
          <w:sz w:val="22"/>
          <w:szCs w:val="22"/>
          <w:lang w:val="es-ES"/>
        </w:rPr>
        <w:t xml:space="preserve">, mientras que el promedio de América Latina es de </w:t>
      </w:r>
      <w:r w:rsidR="00C26F0F">
        <w:rPr>
          <w:rFonts w:cstheme="minorBidi"/>
          <w:bCs/>
          <w:iCs/>
          <w:sz w:val="22"/>
          <w:szCs w:val="22"/>
          <w:lang w:val="es-ES"/>
        </w:rPr>
        <w:t>5,3</w:t>
      </w:r>
      <w:r w:rsidR="009342FC" w:rsidRPr="00780098">
        <w:rPr>
          <w:rFonts w:cstheme="minorBidi"/>
          <w:bCs/>
          <w:iCs/>
          <w:sz w:val="22"/>
          <w:szCs w:val="22"/>
          <w:lang w:val="es-ES"/>
        </w:rPr>
        <w:t xml:space="preserve">%. Por esto, tiene sentido rebajar un poco la recaudación por CSS para </w:t>
      </w:r>
      <w:r w:rsidR="0034624E" w:rsidRPr="00780098">
        <w:rPr>
          <w:rFonts w:cstheme="minorBidi"/>
          <w:bCs/>
          <w:iCs/>
          <w:sz w:val="22"/>
          <w:szCs w:val="22"/>
          <w:lang w:val="es-ES"/>
        </w:rPr>
        <w:t>incrementar la recaudación en otros tributos com</w:t>
      </w:r>
      <w:r w:rsidR="006C1FF9" w:rsidRPr="00780098">
        <w:rPr>
          <w:rFonts w:cstheme="minorBidi"/>
          <w:bCs/>
          <w:iCs/>
          <w:sz w:val="22"/>
          <w:szCs w:val="22"/>
          <w:lang w:val="es-ES"/>
        </w:rPr>
        <w:t xml:space="preserve">o aquellos sobre </w:t>
      </w:r>
      <w:r w:rsidR="0034624E" w:rsidRPr="00780098">
        <w:rPr>
          <w:rFonts w:cstheme="minorBidi"/>
          <w:bCs/>
          <w:iCs/>
          <w:sz w:val="22"/>
          <w:szCs w:val="22"/>
          <w:lang w:val="es-ES"/>
        </w:rPr>
        <w:t>consumo o renta.</w:t>
      </w:r>
      <w:r w:rsidR="0034624E">
        <w:rPr>
          <w:rFonts w:cstheme="minorBidi"/>
          <w:bCs/>
          <w:iCs/>
          <w:sz w:val="22"/>
          <w:szCs w:val="22"/>
          <w:lang w:val="es-ES"/>
        </w:rPr>
        <w:t xml:space="preserve"> </w:t>
      </w:r>
    </w:p>
    <w:p w14:paraId="145F47AF" w14:textId="1136746A" w:rsidR="00275FF5" w:rsidRPr="007364D6" w:rsidRDefault="007364D6" w:rsidP="007364D6">
      <w:pPr>
        <w:pStyle w:val="Caption"/>
        <w:spacing w:after="0"/>
        <w:jc w:val="center"/>
        <w:rPr>
          <w:rFonts w:ascii="Times New Roman" w:hAnsi="Times New Roman" w:cs="Times New Roman"/>
          <w:b/>
          <w:i w:val="0"/>
          <w:color w:val="auto"/>
          <w:sz w:val="22"/>
          <w:szCs w:val="22"/>
          <w:lang w:val="es-ES"/>
        </w:rPr>
      </w:pPr>
      <w:bookmarkStart w:id="19" w:name="_Toc518399421"/>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14</w:t>
      </w:r>
      <w:r w:rsidRPr="007364D6">
        <w:rPr>
          <w:rFonts w:ascii="Times New Roman" w:hAnsi="Times New Roman" w:cs="Times New Roman"/>
          <w:b/>
          <w:i w:val="0"/>
          <w:color w:val="auto"/>
          <w:sz w:val="22"/>
          <w:szCs w:val="22"/>
        </w:rPr>
        <w:fldChar w:fldCharType="end"/>
      </w:r>
      <w:r w:rsidR="00275FF5" w:rsidRPr="007364D6">
        <w:rPr>
          <w:rFonts w:ascii="Times New Roman" w:hAnsi="Times New Roman" w:cs="Times New Roman"/>
          <w:b/>
          <w:i w:val="0"/>
          <w:color w:val="auto"/>
          <w:sz w:val="22"/>
          <w:szCs w:val="22"/>
          <w:lang w:val="es-ES"/>
        </w:rPr>
        <w:t>. Cuñas fiscales promedio para un individuo soltero que percibe el salario promedio en países de la región de ALC en 2013</w:t>
      </w:r>
      <w:bookmarkEnd w:id="19"/>
    </w:p>
    <w:p w14:paraId="264DCA7C" w14:textId="77777777" w:rsidR="008C5608" w:rsidRDefault="008C5608" w:rsidP="008C5608">
      <w:pPr>
        <w:pStyle w:val="Estilo4"/>
        <w:numPr>
          <w:ilvl w:val="0"/>
          <w:numId w:val="0"/>
        </w:numPr>
        <w:tabs>
          <w:tab w:val="left" w:pos="0"/>
        </w:tabs>
        <w:spacing w:after="0" w:line="240" w:lineRule="auto"/>
        <w:contextualSpacing w:val="0"/>
        <w:jc w:val="center"/>
        <w:rPr>
          <w:b/>
          <w:sz w:val="22"/>
          <w:lang w:val="es-ES"/>
        </w:rPr>
      </w:pPr>
      <w:r>
        <w:rPr>
          <w:noProof/>
          <w:lang w:val="es-CR" w:eastAsia="es-CR"/>
        </w:rPr>
        <w:drawing>
          <wp:inline distT="0" distB="0" distL="0" distR="0" wp14:anchorId="5335BF8A" wp14:editId="5001FA1B">
            <wp:extent cx="5547360" cy="2225040"/>
            <wp:effectExtent l="0" t="0" r="0" b="3810"/>
            <wp:docPr id="6" name="Chart 6">
              <a:extLst xmlns:a="http://schemas.openxmlformats.org/drawingml/2006/main">
                <a:ext uri="{FF2B5EF4-FFF2-40B4-BE49-F238E27FC236}">
                  <a16:creationId xmlns:a16="http://schemas.microsoft.com/office/drawing/2014/main" id="{00000000-0008-0000-0000-000003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15DBC95" w14:textId="77777777" w:rsidR="0095396F" w:rsidRPr="0061217C" w:rsidRDefault="0095396F" w:rsidP="0095396F">
      <w:pPr>
        <w:pStyle w:val="Estilo4"/>
        <w:numPr>
          <w:ilvl w:val="0"/>
          <w:numId w:val="0"/>
        </w:numPr>
        <w:tabs>
          <w:tab w:val="left" w:pos="0"/>
        </w:tabs>
        <w:spacing w:line="240" w:lineRule="auto"/>
        <w:contextualSpacing w:val="0"/>
        <w:jc w:val="center"/>
        <w:rPr>
          <w:sz w:val="18"/>
          <w:lang w:val="en-US"/>
        </w:rPr>
      </w:pPr>
      <w:r w:rsidRPr="0061217C">
        <w:rPr>
          <w:sz w:val="18"/>
          <w:lang w:val="en-US"/>
        </w:rPr>
        <w:t>Fuente: OCDE/BID/CIAT. (2016). Taxing Wages in Latin America and the Caribbean 2016, OCDE Publishing, Paris.</w:t>
      </w:r>
    </w:p>
    <w:p w14:paraId="5418692F" w14:textId="77777777" w:rsidR="005B7043" w:rsidRPr="00591FF9" w:rsidRDefault="0001025B" w:rsidP="00604C71">
      <w:pPr>
        <w:pStyle w:val="Estilo4"/>
        <w:numPr>
          <w:ilvl w:val="0"/>
          <w:numId w:val="0"/>
        </w:numPr>
        <w:tabs>
          <w:tab w:val="left" w:pos="-180"/>
        </w:tabs>
        <w:spacing w:after="0" w:line="360" w:lineRule="auto"/>
        <w:ind w:left="-180"/>
        <w:contextualSpacing w:val="0"/>
        <w:rPr>
          <w:sz w:val="22"/>
          <w:u w:val="single"/>
          <w:lang w:val="es-CR"/>
        </w:rPr>
      </w:pPr>
      <w:r w:rsidRPr="00591FF9">
        <w:rPr>
          <w:sz w:val="22"/>
          <w:u w:val="single"/>
          <w:lang w:val="es-CR"/>
        </w:rPr>
        <w:t>Recomendaciones de Política</w:t>
      </w:r>
    </w:p>
    <w:p w14:paraId="47880DBC" w14:textId="77777777" w:rsidR="000B5857" w:rsidRDefault="009E6C8A" w:rsidP="003F5D7C">
      <w:pPr>
        <w:tabs>
          <w:tab w:val="left" w:pos="810"/>
          <w:tab w:val="left" w:pos="1531"/>
        </w:tabs>
        <w:autoSpaceDE w:val="0"/>
        <w:autoSpaceDN w:val="0"/>
        <w:adjustRightInd w:val="0"/>
        <w:spacing w:before="120" w:after="100" w:afterAutospacing="1" w:line="360" w:lineRule="auto"/>
        <w:jc w:val="both"/>
        <w:rPr>
          <w:rFonts w:ascii="Times New Roman" w:hAnsi="Times New Roman"/>
          <w:bCs/>
          <w:iCs/>
        </w:rPr>
      </w:pPr>
      <w:r>
        <w:rPr>
          <w:rFonts w:ascii="Times New Roman" w:hAnsi="Times New Roman"/>
          <w:b/>
          <w:bCs/>
          <w:iCs/>
        </w:rPr>
        <w:t>E</w:t>
      </w:r>
      <w:r w:rsidR="00CA0E87" w:rsidRPr="00CA0E87">
        <w:rPr>
          <w:rFonts w:ascii="Times New Roman" w:hAnsi="Times New Roman"/>
          <w:b/>
          <w:bCs/>
          <w:iCs/>
        </w:rPr>
        <w:t>s necesario eliminar el tratamiento de tasa cero.</w:t>
      </w:r>
      <w:r w:rsidR="00CA0E87">
        <w:rPr>
          <w:rFonts w:ascii="Times New Roman" w:hAnsi="Times New Roman"/>
          <w:bCs/>
          <w:i/>
          <w:iCs/>
        </w:rPr>
        <w:t xml:space="preserve"> </w:t>
      </w:r>
      <w:r w:rsidR="00E50B96">
        <w:rPr>
          <w:rFonts w:ascii="Times New Roman" w:hAnsi="Times New Roman"/>
          <w:bCs/>
          <w:iCs/>
        </w:rPr>
        <w:t xml:space="preserve">Los diseños actuales de IVA </w:t>
      </w:r>
      <w:r w:rsidR="00EA42D1">
        <w:rPr>
          <w:rFonts w:ascii="Times New Roman" w:hAnsi="Times New Roman"/>
          <w:bCs/>
          <w:iCs/>
        </w:rPr>
        <w:t>tienen este tratamiento exclusivamente para las exportaciones</w:t>
      </w:r>
      <w:r w:rsidR="003F5D7C">
        <w:rPr>
          <w:rFonts w:ascii="Times New Roman" w:hAnsi="Times New Roman"/>
          <w:bCs/>
          <w:iCs/>
        </w:rPr>
        <w:t>, lo cual permite una mejora en eficiencia en el sistema permitiendo que más contribuyentes puedan acceder a créditos fiscales</w:t>
      </w:r>
      <w:r w:rsidR="00A53C8F">
        <w:rPr>
          <w:rFonts w:ascii="Times New Roman" w:hAnsi="Times New Roman"/>
          <w:bCs/>
          <w:iCs/>
        </w:rPr>
        <w:t xml:space="preserve">, al mismo tiempo que mejora la información </w:t>
      </w:r>
      <w:r w:rsidR="00DF6094">
        <w:rPr>
          <w:rFonts w:ascii="Times New Roman" w:hAnsi="Times New Roman"/>
          <w:bCs/>
          <w:iCs/>
        </w:rPr>
        <w:t>con la que cuentan las autoridades en términos de control (se completa</w:t>
      </w:r>
      <w:r w:rsidR="00150AAA">
        <w:rPr>
          <w:rFonts w:ascii="Times New Roman" w:hAnsi="Times New Roman"/>
          <w:bCs/>
          <w:iCs/>
        </w:rPr>
        <w:t>n eslabones del IVA). Hay dos opciones para la eliminación de la tasa cero vigente</w:t>
      </w:r>
      <w:r w:rsidR="00504E3F">
        <w:rPr>
          <w:rFonts w:ascii="Times New Roman" w:hAnsi="Times New Roman"/>
          <w:bCs/>
          <w:iCs/>
        </w:rPr>
        <w:t>. La primera de ellas derogarla, pero mantener bienes exonerados</w:t>
      </w:r>
      <w:r w:rsidR="00570E80">
        <w:rPr>
          <w:rStyle w:val="FootnoteReference"/>
          <w:rFonts w:ascii="Times New Roman" w:hAnsi="Times New Roman"/>
          <w:bCs/>
          <w:iCs/>
        </w:rPr>
        <w:footnoteReference w:id="38"/>
      </w:r>
      <w:r w:rsidR="00504E3F">
        <w:rPr>
          <w:rFonts w:ascii="Times New Roman" w:hAnsi="Times New Roman"/>
          <w:bCs/>
          <w:iCs/>
        </w:rPr>
        <w:t xml:space="preserve"> (canasta básica), </w:t>
      </w:r>
      <w:r w:rsidR="006A62B5">
        <w:rPr>
          <w:rFonts w:ascii="Times New Roman" w:hAnsi="Times New Roman"/>
          <w:bCs/>
          <w:iCs/>
        </w:rPr>
        <w:t xml:space="preserve">mientras que todos los demás bienes tributan a la tasa general; </w:t>
      </w:r>
      <w:r w:rsidR="00AC0C38">
        <w:rPr>
          <w:rFonts w:ascii="Times New Roman" w:hAnsi="Times New Roman"/>
          <w:bCs/>
          <w:iCs/>
        </w:rPr>
        <w:t xml:space="preserve">la </w:t>
      </w:r>
      <w:r w:rsidR="006A62B5">
        <w:rPr>
          <w:rFonts w:ascii="Times New Roman" w:hAnsi="Times New Roman"/>
          <w:bCs/>
          <w:iCs/>
        </w:rPr>
        <w:t>segunda opción</w:t>
      </w:r>
      <w:r w:rsidR="00AC0C38">
        <w:rPr>
          <w:rFonts w:ascii="Times New Roman" w:hAnsi="Times New Roman"/>
          <w:bCs/>
          <w:iCs/>
        </w:rPr>
        <w:t xml:space="preserve"> es gravar todos los bienes </w:t>
      </w:r>
      <w:r w:rsidR="006A62B5">
        <w:rPr>
          <w:rFonts w:ascii="Times New Roman" w:hAnsi="Times New Roman"/>
          <w:bCs/>
          <w:iCs/>
        </w:rPr>
        <w:t>a tasa</w:t>
      </w:r>
      <w:r w:rsidR="00D775DD">
        <w:rPr>
          <w:rFonts w:ascii="Times New Roman" w:hAnsi="Times New Roman"/>
          <w:bCs/>
          <w:iCs/>
        </w:rPr>
        <w:t xml:space="preserve"> general</w:t>
      </w:r>
      <w:r w:rsidR="00FA1149">
        <w:rPr>
          <w:rFonts w:ascii="Times New Roman" w:hAnsi="Times New Roman"/>
          <w:bCs/>
          <w:iCs/>
        </w:rPr>
        <w:t xml:space="preserve"> y</w:t>
      </w:r>
      <w:r w:rsidR="002E6005">
        <w:rPr>
          <w:rFonts w:ascii="Times New Roman" w:hAnsi="Times New Roman"/>
          <w:bCs/>
          <w:iCs/>
        </w:rPr>
        <w:t>, si así se quisiese,</w:t>
      </w:r>
      <w:r w:rsidR="00FA1149">
        <w:rPr>
          <w:rFonts w:ascii="Times New Roman" w:hAnsi="Times New Roman"/>
          <w:bCs/>
          <w:iCs/>
        </w:rPr>
        <w:t xml:space="preserve"> definir una tasa diferenciada para bienes y/o servicios seleccionados (por </w:t>
      </w:r>
      <w:r w:rsidR="008170D6">
        <w:rPr>
          <w:rFonts w:ascii="Times New Roman" w:hAnsi="Times New Roman"/>
          <w:bCs/>
          <w:iCs/>
        </w:rPr>
        <w:t>ejemplo,</w:t>
      </w:r>
      <w:r w:rsidR="00FA1149">
        <w:rPr>
          <w:rFonts w:ascii="Times New Roman" w:hAnsi="Times New Roman"/>
          <w:bCs/>
          <w:iCs/>
        </w:rPr>
        <w:t xml:space="preserve"> educación, saludos, libros, etc</w:t>
      </w:r>
      <w:r w:rsidR="004D6B14">
        <w:rPr>
          <w:rFonts w:ascii="Times New Roman" w:hAnsi="Times New Roman"/>
          <w:bCs/>
          <w:iCs/>
        </w:rPr>
        <w:t>.</w:t>
      </w:r>
      <w:r w:rsidR="00FA1149">
        <w:rPr>
          <w:rFonts w:ascii="Times New Roman" w:hAnsi="Times New Roman"/>
          <w:bCs/>
          <w:iCs/>
        </w:rPr>
        <w:t>).</w:t>
      </w:r>
      <w:r w:rsidR="007B47FE">
        <w:rPr>
          <w:rStyle w:val="FootnoteReference"/>
          <w:rFonts w:ascii="Times New Roman" w:hAnsi="Times New Roman"/>
          <w:bCs/>
          <w:iCs/>
        </w:rPr>
        <w:footnoteReference w:id="39"/>
      </w:r>
      <w:r w:rsidR="007B47FE" w:rsidRPr="007B47FE">
        <w:t xml:space="preserve"> </w:t>
      </w:r>
    </w:p>
    <w:p w14:paraId="4983C115" w14:textId="77777777" w:rsidR="00FF60BF" w:rsidRDefault="00F13CEC" w:rsidP="005F1FA5">
      <w:pPr>
        <w:tabs>
          <w:tab w:val="left" w:pos="810"/>
          <w:tab w:val="left" w:pos="1531"/>
        </w:tabs>
        <w:autoSpaceDE w:val="0"/>
        <w:autoSpaceDN w:val="0"/>
        <w:adjustRightInd w:val="0"/>
        <w:spacing w:before="120" w:after="100" w:afterAutospacing="1" w:line="360" w:lineRule="auto"/>
        <w:jc w:val="both"/>
        <w:rPr>
          <w:rFonts w:ascii="Times New Roman" w:hAnsi="Times New Roman"/>
          <w:bCs/>
          <w:iCs/>
        </w:rPr>
      </w:pPr>
      <w:r w:rsidRPr="00972E70">
        <w:rPr>
          <w:rFonts w:ascii="Times New Roman" w:hAnsi="Times New Roman"/>
          <w:b/>
          <w:bCs/>
          <w:iCs/>
        </w:rPr>
        <w:t xml:space="preserve">Los servicios deberían gravarse de forma generalizada </w:t>
      </w:r>
      <w:r w:rsidR="0014078B">
        <w:rPr>
          <w:rFonts w:ascii="Times New Roman" w:hAnsi="Times New Roman"/>
          <w:b/>
          <w:bCs/>
          <w:iCs/>
        </w:rPr>
        <w:t xml:space="preserve">con </w:t>
      </w:r>
      <w:r w:rsidR="00E26493">
        <w:rPr>
          <w:rFonts w:ascii="Times New Roman" w:hAnsi="Times New Roman"/>
          <w:b/>
          <w:bCs/>
          <w:iCs/>
        </w:rPr>
        <w:t>tasas diferenciadas para educación y salud</w:t>
      </w:r>
      <w:r w:rsidR="00270BCA" w:rsidRPr="00972E70">
        <w:rPr>
          <w:rFonts w:ascii="Times New Roman" w:hAnsi="Times New Roman"/>
          <w:b/>
          <w:bCs/>
          <w:iCs/>
        </w:rPr>
        <w:t xml:space="preserve">. </w:t>
      </w:r>
      <w:r w:rsidR="00972E70">
        <w:rPr>
          <w:rFonts w:ascii="Times New Roman" w:hAnsi="Times New Roman"/>
          <w:bCs/>
          <w:iCs/>
        </w:rPr>
        <w:t>Los servicios deben incluirse en el pago de</w:t>
      </w:r>
      <w:r w:rsidR="008B23B2">
        <w:rPr>
          <w:rFonts w:ascii="Times New Roman" w:hAnsi="Times New Roman"/>
          <w:bCs/>
          <w:iCs/>
        </w:rPr>
        <w:t>l</w:t>
      </w:r>
      <w:r w:rsidR="00972E70">
        <w:rPr>
          <w:rFonts w:ascii="Times New Roman" w:hAnsi="Times New Roman"/>
          <w:bCs/>
          <w:iCs/>
        </w:rPr>
        <w:t xml:space="preserve"> </w:t>
      </w:r>
      <w:r w:rsidR="00D331B3">
        <w:rPr>
          <w:rFonts w:ascii="Times New Roman" w:hAnsi="Times New Roman"/>
          <w:bCs/>
          <w:iCs/>
        </w:rPr>
        <w:t>IVA</w:t>
      </w:r>
      <w:r w:rsidR="00C07F5E">
        <w:rPr>
          <w:rFonts w:ascii="Times New Roman" w:hAnsi="Times New Roman"/>
          <w:bCs/>
          <w:iCs/>
        </w:rPr>
        <w:t xml:space="preserve"> pues</w:t>
      </w:r>
      <w:r w:rsidR="00B10D26">
        <w:rPr>
          <w:rFonts w:ascii="Times New Roman" w:hAnsi="Times New Roman"/>
          <w:bCs/>
          <w:iCs/>
        </w:rPr>
        <w:t>,</w:t>
      </w:r>
      <w:r w:rsidR="00C07F5E">
        <w:rPr>
          <w:rFonts w:ascii="Times New Roman" w:hAnsi="Times New Roman"/>
          <w:bCs/>
          <w:iCs/>
        </w:rPr>
        <w:t xml:space="preserve"> como se adelantaba</w:t>
      </w:r>
      <w:r w:rsidR="00B10D26">
        <w:rPr>
          <w:rFonts w:ascii="Times New Roman" w:hAnsi="Times New Roman"/>
          <w:bCs/>
          <w:iCs/>
        </w:rPr>
        <w:t>,</w:t>
      </w:r>
      <w:r w:rsidR="00C07F5E">
        <w:rPr>
          <w:rFonts w:ascii="Times New Roman" w:hAnsi="Times New Roman"/>
          <w:bCs/>
          <w:iCs/>
        </w:rPr>
        <w:t xml:space="preserve"> representan cerca del 40% de la producción</w:t>
      </w:r>
      <w:r w:rsidR="00B10D26">
        <w:rPr>
          <w:rFonts w:ascii="Times New Roman" w:hAnsi="Times New Roman"/>
          <w:bCs/>
          <w:iCs/>
        </w:rPr>
        <w:t>. De manera que</w:t>
      </w:r>
      <w:r w:rsidR="00DF4E09">
        <w:rPr>
          <w:rFonts w:ascii="Times New Roman" w:hAnsi="Times New Roman"/>
          <w:bCs/>
          <w:iCs/>
        </w:rPr>
        <w:t xml:space="preserve"> es un tema de oportunidad de recursos. Además, </w:t>
      </w:r>
      <w:r w:rsidR="004460EE">
        <w:rPr>
          <w:rFonts w:ascii="Times New Roman" w:hAnsi="Times New Roman"/>
          <w:bCs/>
          <w:iCs/>
        </w:rPr>
        <w:t>disminuye la regresividad de</w:t>
      </w:r>
      <w:r w:rsidR="002121B3">
        <w:rPr>
          <w:rFonts w:ascii="Times New Roman" w:hAnsi="Times New Roman"/>
          <w:bCs/>
          <w:iCs/>
        </w:rPr>
        <w:t xml:space="preserve">l </w:t>
      </w:r>
      <w:r w:rsidR="004460EE">
        <w:rPr>
          <w:rFonts w:ascii="Times New Roman" w:hAnsi="Times New Roman"/>
          <w:bCs/>
          <w:iCs/>
        </w:rPr>
        <w:t>impuesto</w:t>
      </w:r>
      <w:r w:rsidR="007A0F86">
        <w:rPr>
          <w:rFonts w:ascii="Times New Roman" w:hAnsi="Times New Roman"/>
          <w:bCs/>
          <w:iCs/>
        </w:rPr>
        <w:t xml:space="preserve"> y </w:t>
      </w:r>
      <w:r w:rsidR="00D331B3">
        <w:rPr>
          <w:rFonts w:ascii="Times New Roman" w:hAnsi="Times New Roman"/>
          <w:bCs/>
          <w:iCs/>
        </w:rPr>
        <w:t>mejora la competitividad a los productores de servicios</w:t>
      </w:r>
      <w:r w:rsidR="00833072">
        <w:rPr>
          <w:rFonts w:ascii="Times New Roman" w:hAnsi="Times New Roman"/>
          <w:bCs/>
          <w:iCs/>
        </w:rPr>
        <w:t xml:space="preserve">. </w:t>
      </w:r>
      <w:r w:rsidR="0014078B">
        <w:rPr>
          <w:rFonts w:ascii="Times New Roman" w:hAnsi="Times New Roman"/>
          <w:bCs/>
          <w:iCs/>
        </w:rPr>
        <w:t xml:space="preserve">La recomendación de política es que se generalice el pago del IVA a todos los servicios, </w:t>
      </w:r>
      <w:r w:rsidR="00F31922">
        <w:rPr>
          <w:rFonts w:ascii="Times New Roman" w:hAnsi="Times New Roman"/>
          <w:bCs/>
          <w:iCs/>
        </w:rPr>
        <w:t xml:space="preserve">pero con una tasa diferenciada </w:t>
      </w:r>
      <w:r w:rsidR="00240426">
        <w:rPr>
          <w:rFonts w:ascii="Times New Roman" w:hAnsi="Times New Roman"/>
          <w:bCs/>
          <w:iCs/>
        </w:rPr>
        <w:t xml:space="preserve">(no exonerar) </w:t>
      </w:r>
      <w:r w:rsidR="00F31922">
        <w:rPr>
          <w:rFonts w:ascii="Times New Roman" w:hAnsi="Times New Roman"/>
          <w:bCs/>
          <w:iCs/>
        </w:rPr>
        <w:t xml:space="preserve">a </w:t>
      </w:r>
      <w:r w:rsidR="00240426">
        <w:rPr>
          <w:rFonts w:ascii="Times New Roman" w:hAnsi="Times New Roman"/>
          <w:bCs/>
          <w:iCs/>
        </w:rPr>
        <w:t>e</w:t>
      </w:r>
      <w:r w:rsidR="00F31922">
        <w:rPr>
          <w:rFonts w:ascii="Times New Roman" w:hAnsi="Times New Roman"/>
          <w:bCs/>
          <w:iCs/>
        </w:rPr>
        <w:t xml:space="preserve">ducación y </w:t>
      </w:r>
      <w:r w:rsidR="00240426">
        <w:rPr>
          <w:rFonts w:ascii="Times New Roman" w:hAnsi="Times New Roman"/>
          <w:bCs/>
          <w:iCs/>
        </w:rPr>
        <w:t>s</w:t>
      </w:r>
      <w:r w:rsidR="00F31922">
        <w:rPr>
          <w:rFonts w:ascii="Times New Roman" w:hAnsi="Times New Roman"/>
          <w:bCs/>
          <w:iCs/>
        </w:rPr>
        <w:t xml:space="preserve">alud. </w:t>
      </w:r>
      <w:r w:rsidR="00696D28">
        <w:rPr>
          <w:rFonts w:ascii="Times New Roman" w:hAnsi="Times New Roman"/>
          <w:bCs/>
          <w:iCs/>
        </w:rPr>
        <w:t>De esta manera un</w:t>
      </w:r>
      <w:r w:rsidR="006627EB">
        <w:rPr>
          <w:rFonts w:ascii="Times New Roman" w:hAnsi="Times New Roman"/>
          <w:bCs/>
          <w:iCs/>
        </w:rPr>
        <w:t xml:space="preserve">a tasa diferenciada </w:t>
      </w:r>
      <w:r w:rsidR="0044668F">
        <w:rPr>
          <w:rFonts w:ascii="Times New Roman" w:hAnsi="Times New Roman"/>
          <w:bCs/>
          <w:iCs/>
        </w:rPr>
        <w:t xml:space="preserve">da un trato preferencial a dos </w:t>
      </w:r>
      <w:r w:rsidR="0044668F">
        <w:rPr>
          <w:rFonts w:ascii="Times New Roman" w:hAnsi="Times New Roman"/>
          <w:bCs/>
          <w:iCs/>
        </w:rPr>
        <w:lastRenderedPageBreak/>
        <w:t xml:space="preserve">servicios que tienen claras externalidades positivas, pero además </w:t>
      </w:r>
      <w:r w:rsidR="00756E06">
        <w:rPr>
          <w:rFonts w:ascii="Times New Roman" w:hAnsi="Times New Roman"/>
          <w:bCs/>
          <w:iCs/>
        </w:rPr>
        <w:t xml:space="preserve">es una mejor opción </w:t>
      </w:r>
      <w:r w:rsidR="00D82D6B">
        <w:rPr>
          <w:rFonts w:ascii="Times New Roman" w:hAnsi="Times New Roman"/>
          <w:bCs/>
          <w:iCs/>
        </w:rPr>
        <w:t xml:space="preserve">que las exoneraciones pues </w:t>
      </w:r>
      <w:r w:rsidR="00272A11">
        <w:rPr>
          <w:rFonts w:ascii="Times New Roman" w:hAnsi="Times New Roman"/>
          <w:bCs/>
          <w:iCs/>
        </w:rPr>
        <w:t>e</w:t>
      </w:r>
      <w:r w:rsidR="000B5857" w:rsidRPr="005F1FA5">
        <w:rPr>
          <w:rFonts w:ascii="Times New Roman" w:hAnsi="Times New Roman"/>
          <w:bCs/>
          <w:iCs/>
        </w:rPr>
        <w:t xml:space="preserve">l gasto en </w:t>
      </w:r>
      <w:r w:rsidR="00D82D6B">
        <w:rPr>
          <w:rFonts w:ascii="Times New Roman" w:hAnsi="Times New Roman"/>
          <w:bCs/>
          <w:iCs/>
        </w:rPr>
        <w:t xml:space="preserve">estos </w:t>
      </w:r>
      <w:r w:rsidR="000B5857" w:rsidRPr="005F1FA5">
        <w:rPr>
          <w:rFonts w:ascii="Times New Roman" w:hAnsi="Times New Roman"/>
          <w:bCs/>
          <w:iCs/>
        </w:rPr>
        <w:t xml:space="preserve">servicios tiene una participación mayor en la canasta de consumo de los deciles de más altos ingresos, con lo cual la exoneración resulta regresiva. </w:t>
      </w:r>
      <w:r w:rsidR="00C54909">
        <w:rPr>
          <w:rFonts w:ascii="Times New Roman" w:hAnsi="Times New Roman"/>
          <w:bCs/>
          <w:iCs/>
        </w:rPr>
        <w:t xml:space="preserve">Es importante </w:t>
      </w:r>
      <w:r w:rsidR="005C6E72">
        <w:rPr>
          <w:rFonts w:ascii="Times New Roman" w:hAnsi="Times New Roman"/>
          <w:bCs/>
          <w:iCs/>
        </w:rPr>
        <w:t>agregar que se recomienda que para los servicios financieros y de arrendamiento de inmuebles se mantenga la exoneración por temas técnicos y administrativos.</w:t>
      </w:r>
      <w:r w:rsidR="005C6E72">
        <w:rPr>
          <w:rStyle w:val="FootnoteReference"/>
          <w:rFonts w:ascii="Times New Roman" w:hAnsi="Times New Roman"/>
          <w:bCs/>
          <w:iCs/>
        </w:rPr>
        <w:footnoteReference w:id="40"/>
      </w:r>
    </w:p>
    <w:p w14:paraId="5E933006" w14:textId="77777777" w:rsidR="00F93CC9" w:rsidRDefault="0089278A" w:rsidP="005F1FA5">
      <w:pPr>
        <w:tabs>
          <w:tab w:val="left" w:pos="810"/>
          <w:tab w:val="left" w:pos="1531"/>
        </w:tabs>
        <w:autoSpaceDE w:val="0"/>
        <w:autoSpaceDN w:val="0"/>
        <w:adjustRightInd w:val="0"/>
        <w:spacing w:before="120" w:after="100" w:afterAutospacing="1" w:line="360" w:lineRule="auto"/>
        <w:jc w:val="both"/>
        <w:rPr>
          <w:rFonts w:ascii="Times New Roman" w:hAnsi="Times New Roman"/>
          <w:bCs/>
          <w:iCs/>
        </w:rPr>
      </w:pPr>
      <w:r w:rsidRPr="007779BE">
        <w:rPr>
          <w:rFonts w:ascii="Times New Roman" w:hAnsi="Times New Roman"/>
          <w:b/>
          <w:bCs/>
          <w:iCs/>
        </w:rPr>
        <w:t xml:space="preserve">Es necesario </w:t>
      </w:r>
      <w:r w:rsidR="004A57A2" w:rsidRPr="007779BE">
        <w:rPr>
          <w:rFonts w:ascii="Times New Roman" w:hAnsi="Times New Roman"/>
          <w:b/>
          <w:bCs/>
          <w:iCs/>
        </w:rPr>
        <w:t>migrar de</w:t>
      </w:r>
      <w:r w:rsidRPr="007779BE">
        <w:rPr>
          <w:rFonts w:ascii="Times New Roman" w:hAnsi="Times New Roman"/>
          <w:b/>
          <w:bCs/>
          <w:iCs/>
        </w:rPr>
        <w:t xml:space="preserve"> deducción física </w:t>
      </w:r>
      <w:r w:rsidR="004A57A2" w:rsidRPr="007779BE">
        <w:rPr>
          <w:rFonts w:ascii="Times New Roman" w:hAnsi="Times New Roman"/>
          <w:b/>
          <w:bCs/>
          <w:iCs/>
        </w:rPr>
        <w:t>a</w:t>
      </w:r>
      <w:r w:rsidRPr="007779BE">
        <w:rPr>
          <w:rFonts w:ascii="Times New Roman" w:hAnsi="Times New Roman"/>
          <w:b/>
          <w:bCs/>
          <w:iCs/>
        </w:rPr>
        <w:t xml:space="preserve"> deducción financiera</w:t>
      </w:r>
      <w:r w:rsidR="007C6A30" w:rsidRPr="007779BE">
        <w:rPr>
          <w:rFonts w:ascii="Times New Roman" w:hAnsi="Times New Roman"/>
          <w:b/>
          <w:bCs/>
          <w:iCs/>
        </w:rPr>
        <w:t xml:space="preserve"> por eficiencia económica</w:t>
      </w:r>
      <w:r w:rsidR="00B675A0" w:rsidRPr="007779BE">
        <w:rPr>
          <w:rFonts w:ascii="Times New Roman" w:hAnsi="Times New Roman"/>
          <w:b/>
          <w:bCs/>
          <w:iCs/>
        </w:rPr>
        <w:t xml:space="preserve">. </w:t>
      </w:r>
      <w:r w:rsidR="000B572F" w:rsidRPr="00801247">
        <w:rPr>
          <w:rFonts w:ascii="Times New Roman" w:hAnsi="Times New Roman"/>
          <w:bCs/>
          <w:iCs/>
        </w:rPr>
        <w:t>La deducción fin</w:t>
      </w:r>
      <w:r w:rsidR="000B572F" w:rsidRPr="005607C6">
        <w:rPr>
          <w:rFonts w:ascii="Times New Roman" w:hAnsi="Times New Roman"/>
          <w:bCs/>
          <w:iCs/>
        </w:rPr>
        <w:t xml:space="preserve">anciera permite no solamente deducir el IVA pagado por </w:t>
      </w:r>
      <w:r w:rsidR="00801247" w:rsidRPr="005607C6">
        <w:rPr>
          <w:rFonts w:ascii="Times New Roman" w:hAnsi="Times New Roman"/>
          <w:bCs/>
          <w:iCs/>
        </w:rPr>
        <w:t>la compra de</w:t>
      </w:r>
      <w:r w:rsidR="000B572F" w:rsidRPr="005607C6">
        <w:rPr>
          <w:rFonts w:ascii="Times New Roman" w:hAnsi="Times New Roman"/>
          <w:bCs/>
          <w:iCs/>
        </w:rPr>
        <w:t xml:space="preserve"> insumos</w:t>
      </w:r>
      <w:r w:rsidR="00801247" w:rsidRPr="005607C6">
        <w:rPr>
          <w:rFonts w:ascii="Times New Roman" w:hAnsi="Times New Roman"/>
          <w:bCs/>
          <w:iCs/>
        </w:rPr>
        <w:t>,</w:t>
      </w:r>
      <w:r w:rsidR="000B572F" w:rsidRPr="005607C6">
        <w:rPr>
          <w:rFonts w:ascii="Times New Roman" w:hAnsi="Times New Roman"/>
          <w:bCs/>
          <w:iCs/>
        </w:rPr>
        <w:t xml:space="preserve"> </w:t>
      </w:r>
      <w:r w:rsidR="003444B6" w:rsidRPr="005607C6">
        <w:rPr>
          <w:rFonts w:ascii="Times New Roman" w:hAnsi="Times New Roman"/>
          <w:bCs/>
          <w:iCs/>
        </w:rPr>
        <w:t xml:space="preserve">sino que permite la deducción de todos los bienes y </w:t>
      </w:r>
      <w:r w:rsidR="000E6A7A" w:rsidRPr="005607C6">
        <w:rPr>
          <w:rFonts w:ascii="Times New Roman" w:hAnsi="Times New Roman"/>
          <w:bCs/>
          <w:iCs/>
        </w:rPr>
        <w:t xml:space="preserve">servicios </w:t>
      </w:r>
      <w:r w:rsidR="005607C6" w:rsidRPr="005607C6">
        <w:rPr>
          <w:rFonts w:ascii="Times New Roman" w:hAnsi="Times New Roman"/>
          <w:bCs/>
          <w:iCs/>
        </w:rPr>
        <w:t>tanto directa como indirectamente en la producción</w:t>
      </w:r>
      <w:r w:rsidR="005607C6">
        <w:rPr>
          <w:rFonts w:ascii="Times New Roman" w:hAnsi="Times New Roman"/>
          <w:bCs/>
          <w:iCs/>
        </w:rPr>
        <w:t xml:space="preserve"> del bien o servicio gravado</w:t>
      </w:r>
      <w:r w:rsidR="005607C6" w:rsidRPr="005607C6">
        <w:rPr>
          <w:rFonts w:ascii="Times New Roman" w:hAnsi="Times New Roman"/>
          <w:bCs/>
          <w:iCs/>
        </w:rPr>
        <w:t xml:space="preserve">. </w:t>
      </w:r>
      <w:r w:rsidR="00F93CC9">
        <w:rPr>
          <w:rFonts w:ascii="Times New Roman" w:hAnsi="Times New Roman"/>
          <w:bCs/>
          <w:iCs/>
        </w:rPr>
        <w:t>La introducción de la deducción financiera se recomienda</w:t>
      </w:r>
      <w:r w:rsidR="004D6B14">
        <w:rPr>
          <w:rFonts w:ascii="Times New Roman" w:hAnsi="Times New Roman"/>
          <w:bCs/>
          <w:iCs/>
        </w:rPr>
        <w:t>, principalmente, por un tema de eficiencia económica</w:t>
      </w:r>
      <w:r w:rsidR="0022265D">
        <w:rPr>
          <w:rFonts w:ascii="Times New Roman" w:hAnsi="Times New Roman"/>
          <w:bCs/>
          <w:iCs/>
        </w:rPr>
        <w:t>,</w:t>
      </w:r>
      <w:r w:rsidR="004D6B14">
        <w:rPr>
          <w:rFonts w:ascii="Times New Roman" w:hAnsi="Times New Roman"/>
          <w:bCs/>
          <w:iCs/>
        </w:rPr>
        <w:t xml:space="preserve"> </w:t>
      </w:r>
      <w:r w:rsidR="0022265D">
        <w:rPr>
          <w:rFonts w:ascii="Times New Roman" w:hAnsi="Times New Roman"/>
          <w:bCs/>
          <w:iCs/>
        </w:rPr>
        <w:t>ya que se</w:t>
      </w:r>
      <w:r w:rsidR="004D6B14">
        <w:rPr>
          <w:rFonts w:ascii="Times New Roman" w:hAnsi="Times New Roman"/>
          <w:bCs/>
          <w:iCs/>
        </w:rPr>
        <w:t xml:space="preserve"> </w:t>
      </w:r>
      <w:r w:rsidR="00C07462">
        <w:rPr>
          <w:rFonts w:ascii="Times New Roman" w:hAnsi="Times New Roman"/>
          <w:bCs/>
          <w:iCs/>
        </w:rPr>
        <w:t xml:space="preserve">minimizan las distorsiones que el </w:t>
      </w:r>
      <w:r w:rsidR="0022265D">
        <w:rPr>
          <w:rFonts w:ascii="Times New Roman" w:hAnsi="Times New Roman"/>
          <w:bCs/>
          <w:iCs/>
        </w:rPr>
        <w:t>impuesto pueda generar en l</w:t>
      </w:r>
      <w:r w:rsidR="00E367CF">
        <w:rPr>
          <w:rFonts w:ascii="Times New Roman" w:hAnsi="Times New Roman"/>
          <w:bCs/>
          <w:iCs/>
        </w:rPr>
        <w:t>os costos</w:t>
      </w:r>
      <w:r w:rsidR="0022265D">
        <w:rPr>
          <w:rFonts w:ascii="Times New Roman" w:hAnsi="Times New Roman"/>
          <w:bCs/>
          <w:iCs/>
        </w:rPr>
        <w:t xml:space="preserve"> producción</w:t>
      </w:r>
      <w:r w:rsidR="00E367CF">
        <w:rPr>
          <w:rFonts w:ascii="Times New Roman" w:hAnsi="Times New Roman"/>
          <w:bCs/>
          <w:iCs/>
        </w:rPr>
        <w:t xml:space="preserve"> y por ende en decisiones de inversión de las firmas</w:t>
      </w:r>
      <w:r w:rsidR="0022265D">
        <w:rPr>
          <w:rFonts w:ascii="Times New Roman" w:hAnsi="Times New Roman"/>
          <w:bCs/>
          <w:iCs/>
        </w:rPr>
        <w:t>.</w:t>
      </w:r>
      <w:r w:rsidR="00E367CF">
        <w:rPr>
          <w:rFonts w:ascii="Times New Roman" w:hAnsi="Times New Roman"/>
          <w:bCs/>
          <w:iCs/>
        </w:rPr>
        <w:t xml:space="preserve"> Por último, </w:t>
      </w:r>
      <w:r w:rsidR="00A06356">
        <w:rPr>
          <w:rFonts w:ascii="Times New Roman" w:hAnsi="Times New Roman"/>
          <w:bCs/>
          <w:iCs/>
        </w:rPr>
        <w:t>vale la pena</w:t>
      </w:r>
      <w:r w:rsidR="00E367CF">
        <w:rPr>
          <w:rFonts w:ascii="Times New Roman" w:hAnsi="Times New Roman"/>
          <w:bCs/>
          <w:iCs/>
        </w:rPr>
        <w:t xml:space="preserve"> mencionar que al </w:t>
      </w:r>
      <w:r w:rsidR="00A06356">
        <w:rPr>
          <w:rFonts w:ascii="Times New Roman" w:hAnsi="Times New Roman"/>
          <w:bCs/>
          <w:iCs/>
        </w:rPr>
        <w:t xml:space="preserve">permitir deducción financiera </w:t>
      </w:r>
      <w:r w:rsidR="006B4147">
        <w:rPr>
          <w:rFonts w:ascii="Times New Roman" w:hAnsi="Times New Roman"/>
          <w:bCs/>
          <w:iCs/>
        </w:rPr>
        <w:t>también aumentarían los incentivos a reportar</w:t>
      </w:r>
      <w:r w:rsidR="00FA66BD">
        <w:rPr>
          <w:rFonts w:ascii="Times New Roman" w:hAnsi="Times New Roman"/>
          <w:bCs/>
          <w:iCs/>
        </w:rPr>
        <w:t xml:space="preserve"> </w:t>
      </w:r>
      <w:r w:rsidR="006B4147">
        <w:rPr>
          <w:rFonts w:ascii="Times New Roman" w:hAnsi="Times New Roman"/>
          <w:bCs/>
          <w:iCs/>
        </w:rPr>
        <w:lastRenderedPageBreak/>
        <w:t xml:space="preserve">IVA de una gama más amplia de actividades económicas, y por lo tanto se esperaría una mejora de la </w:t>
      </w:r>
      <w:r w:rsidR="00B457AF" w:rsidRPr="00B457AF">
        <w:rPr>
          <w:bCs/>
          <w:iCs/>
          <w:noProof/>
          <w:sz w:val="20"/>
          <w:szCs w:val="20"/>
          <w:lang w:val="es-CR" w:eastAsia="es-CR"/>
        </w:rPr>
        <mc:AlternateContent>
          <mc:Choice Requires="wps">
            <w:drawing>
              <wp:anchor distT="45720" distB="45720" distL="114300" distR="114300" simplePos="0" relativeHeight="251658242" behindDoc="0" locked="0" layoutInCell="1" allowOverlap="1" wp14:anchorId="76E4CA01" wp14:editId="42266D4B">
                <wp:simplePos x="0" y="0"/>
                <wp:positionH relativeFrom="column">
                  <wp:posOffset>-31750</wp:posOffset>
                </wp:positionH>
                <wp:positionV relativeFrom="paragraph">
                  <wp:posOffset>530860</wp:posOffset>
                </wp:positionV>
                <wp:extent cx="5810250" cy="5494020"/>
                <wp:effectExtent l="0" t="0" r="1905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5494020"/>
                        </a:xfrm>
                        <a:prstGeom prst="rect">
                          <a:avLst/>
                        </a:prstGeom>
                        <a:solidFill>
                          <a:schemeClr val="bg1">
                            <a:lumMod val="95000"/>
                          </a:schemeClr>
                        </a:solidFill>
                        <a:ln w="9525">
                          <a:solidFill>
                            <a:srgbClr val="000000"/>
                          </a:solidFill>
                          <a:miter lim="800000"/>
                          <a:headEnd/>
                          <a:tailEnd/>
                        </a:ln>
                      </wps:spPr>
                      <wps:txbx>
                        <w:txbxContent>
                          <w:p w14:paraId="3FBBB44A" w14:textId="77777777" w:rsidR="005E060C" w:rsidRPr="00F152EB" w:rsidRDefault="005E060C" w:rsidP="00CF6E4C">
                            <w:pPr>
                              <w:tabs>
                                <w:tab w:val="left" w:pos="810"/>
                                <w:tab w:val="left" w:pos="1531"/>
                              </w:tabs>
                              <w:autoSpaceDE w:val="0"/>
                              <w:autoSpaceDN w:val="0"/>
                              <w:adjustRightInd w:val="0"/>
                              <w:spacing w:before="60" w:after="100" w:afterAutospacing="1" w:line="240" w:lineRule="auto"/>
                              <w:jc w:val="center"/>
                              <w:rPr>
                                <w:rFonts w:ascii="Times New Roman" w:hAnsi="Times New Roman"/>
                                <w:b/>
                                <w:bCs/>
                                <w:iCs/>
                                <w:sz w:val="20"/>
                              </w:rPr>
                            </w:pPr>
                            <w:r w:rsidRPr="00F152EB">
                              <w:rPr>
                                <w:rFonts w:ascii="Times New Roman" w:hAnsi="Times New Roman"/>
                                <w:b/>
                                <w:bCs/>
                                <w:iCs/>
                                <w:sz w:val="20"/>
                              </w:rPr>
                              <w:t>El IVA Personalizado</w:t>
                            </w:r>
                          </w:p>
                          <w:p w14:paraId="1F004CB5" w14:textId="77777777" w:rsidR="005E060C" w:rsidRPr="00F152EB" w:rsidRDefault="005E060C" w:rsidP="00266636">
                            <w:pPr>
                              <w:tabs>
                                <w:tab w:val="left" w:pos="810"/>
                                <w:tab w:val="left" w:pos="1531"/>
                              </w:tabs>
                              <w:autoSpaceDE w:val="0"/>
                              <w:autoSpaceDN w:val="0"/>
                              <w:adjustRightInd w:val="0"/>
                              <w:spacing w:before="120" w:after="0" w:line="240" w:lineRule="auto"/>
                              <w:jc w:val="both"/>
                              <w:rPr>
                                <w:rFonts w:ascii="Times New Roman" w:hAnsi="Times New Roman"/>
                                <w:bCs/>
                                <w:iCs/>
                                <w:sz w:val="20"/>
                              </w:rPr>
                            </w:pPr>
                            <w:r w:rsidRPr="00F152EB">
                              <w:rPr>
                                <w:rFonts w:ascii="Times New Roman" w:hAnsi="Times New Roman"/>
                                <w:bCs/>
                                <w:iCs/>
                                <w:sz w:val="20"/>
                              </w:rPr>
                              <w:t>El IVA personalizado (IVA-P), es una propuesta de Barreix, Bes y Roca (2011)</w:t>
                            </w:r>
                            <w:r w:rsidRPr="00F152EB">
                              <w:rPr>
                                <w:rFonts w:ascii="Times New Roman" w:hAnsi="Times New Roman"/>
                                <w:bCs/>
                                <w:iCs/>
                                <w:sz w:val="20"/>
                                <w:vertAlign w:val="superscript"/>
                              </w:rPr>
                              <w:t>a</w:t>
                            </w:r>
                            <w:r w:rsidRPr="00F152EB">
                              <w:rPr>
                                <w:rFonts w:ascii="Times New Roman" w:hAnsi="Times New Roman"/>
                                <w:bCs/>
                                <w:iCs/>
                                <w:sz w:val="20"/>
                              </w:rPr>
                              <w:t xml:space="preserve"> para resolver la trinidad imposible de los impuestos al consumo. La propuesta consta de tres componentes: (i) generalización de la base, (ii) uniformizar la tasa impositiva; y (iii) identificación y transferencia a los deciles más pobres de la población. Esta propuesta tiene varias ventajas. Primero, la generalización de la base imponible del IVA aumenta la recaudación pues todos los bienes pagan el impuesto. Esta generalización facilita la administración del tributo. Por otro lado, la determinación del monto de reintegro obedece a un criterio objetivo, como lo es </w:t>
                            </w:r>
                            <w:r w:rsidRPr="008E17BC">
                              <w:rPr>
                                <w:rFonts w:ascii="Times New Roman" w:hAnsi="Times New Roman"/>
                                <w:bCs/>
                                <w:iCs/>
                                <w:sz w:val="20"/>
                              </w:rPr>
                              <w:t>la incidencia</w:t>
                            </w:r>
                            <w:r w:rsidRPr="00F152EB">
                              <w:rPr>
                                <w:rFonts w:ascii="Times New Roman" w:hAnsi="Times New Roman"/>
                                <w:bCs/>
                                <w:iCs/>
                                <w:sz w:val="20"/>
                              </w:rPr>
                              <w:t xml:space="preserve"> del impuesto en la canasta de consumo del decil. Por último, ya existe experiencia en el mundo respecto a la tecnología necesaria para realizar transferencias de esta naturaleza. </w:t>
                            </w:r>
                          </w:p>
                          <w:p w14:paraId="698B7CB7" w14:textId="77777777" w:rsidR="005E060C" w:rsidRPr="00F152EB" w:rsidRDefault="005E060C" w:rsidP="00266636">
                            <w:pPr>
                              <w:tabs>
                                <w:tab w:val="left" w:pos="810"/>
                                <w:tab w:val="left" w:pos="1531"/>
                              </w:tabs>
                              <w:autoSpaceDE w:val="0"/>
                              <w:autoSpaceDN w:val="0"/>
                              <w:adjustRightInd w:val="0"/>
                              <w:spacing w:before="120" w:after="0" w:line="240" w:lineRule="auto"/>
                              <w:jc w:val="both"/>
                              <w:rPr>
                                <w:rFonts w:ascii="Times New Roman" w:hAnsi="Times New Roman"/>
                                <w:bCs/>
                                <w:iCs/>
                                <w:sz w:val="20"/>
                              </w:rPr>
                            </w:pPr>
                            <w:r w:rsidRPr="00F152EB">
                              <w:rPr>
                                <w:rFonts w:ascii="Times New Roman" w:hAnsi="Times New Roman"/>
                                <w:bCs/>
                                <w:iCs/>
                                <w:sz w:val="20"/>
                              </w:rPr>
                              <w:t>Parece viable que Costa Rica pueda aplicar un “IVA personalizado” como forma de compensar a los deciles más pobres por el aumento de la carga tributaria que supondría las opciones de reforma presentadas. Para efectuarlo se debe:</w:t>
                            </w:r>
                          </w:p>
                          <w:p w14:paraId="273C64D4" w14:textId="77777777" w:rsidR="005E060C" w:rsidRPr="00F152EB" w:rsidRDefault="005E060C" w:rsidP="00C0284B">
                            <w:pPr>
                              <w:pStyle w:val="ListParagraph"/>
                              <w:numPr>
                                <w:ilvl w:val="0"/>
                                <w:numId w:val="41"/>
                              </w:numPr>
                              <w:tabs>
                                <w:tab w:val="left" w:pos="810"/>
                                <w:tab w:val="left" w:pos="1531"/>
                              </w:tabs>
                              <w:autoSpaceDE w:val="0"/>
                              <w:autoSpaceDN w:val="0"/>
                              <w:adjustRightInd w:val="0"/>
                              <w:spacing w:before="120" w:after="100" w:afterAutospacing="1" w:line="240" w:lineRule="auto"/>
                              <w:jc w:val="both"/>
                              <w:rPr>
                                <w:bCs/>
                                <w:iCs/>
                                <w:sz w:val="20"/>
                                <w:szCs w:val="20"/>
                                <w:lang w:val="es-CR"/>
                              </w:rPr>
                            </w:pPr>
                            <w:r w:rsidRPr="00F152EB">
                              <w:rPr>
                                <w:bCs/>
                                <w:iCs/>
                                <w:sz w:val="20"/>
                                <w:szCs w:val="20"/>
                                <w:lang w:val="es-CR"/>
                              </w:rPr>
                              <w:t>Generalizar la base imponible: se eliminan las exoneraciones de bienes y servicios vigentes (que en muchos casos favorecen a los más altos ingresos), sólo tiene sentido mantener exoneraciones desde el punto de vista de la administración del impuesto (arrendamiento de inmuebles y servicios de intermediación financiera) y exoneraciones que aseguren consistencia en el tratamiento tributario de conceptos similares en nuestro caso.</w:t>
                            </w:r>
                          </w:p>
                          <w:p w14:paraId="52F4E584" w14:textId="77777777" w:rsidR="005E060C" w:rsidRPr="00F152EB" w:rsidRDefault="005E060C" w:rsidP="00C0284B">
                            <w:pPr>
                              <w:pStyle w:val="ListParagraph"/>
                              <w:numPr>
                                <w:ilvl w:val="0"/>
                                <w:numId w:val="41"/>
                              </w:numPr>
                              <w:tabs>
                                <w:tab w:val="left" w:pos="810"/>
                                <w:tab w:val="left" w:pos="1531"/>
                              </w:tabs>
                              <w:autoSpaceDE w:val="0"/>
                              <w:autoSpaceDN w:val="0"/>
                              <w:adjustRightInd w:val="0"/>
                              <w:spacing w:before="120" w:after="100" w:afterAutospacing="1" w:line="240" w:lineRule="auto"/>
                              <w:jc w:val="both"/>
                              <w:rPr>
                                <w:bCs/>
                                <w:iCs/>
                                <w:sz w:val="20"/>
                                <w:szCs w:val="20"/>
                                <w:lang w:val="es-CR"/>
                              </w:rPr>
                            </w:pPr>
                            <w:r w:rsidRPr="00F152EB">
                              <w:rPr>
                                <w:bCs/>
                                <w:iCs/>
                                <w:sz w:val="20"/>
                                <w:szCs w:val="20"/>
                                <w:lang w:val="es-CR"/>
                              </w:rPr>
                              <w:t>Uniformizar la tasa del impuesto: En el caso de Costa Rica, esto implica no introducir tasas diferenciales o tener una cantidad muy pequeña de bienes con diferenciación de tasas.</w:t>
                            </w:r>
                          </w:p>
                          <w:p w14:paraId="1815E441" w14:textId="77777777" w:rsidR="005E060C" w:rsidRDefault="005E060C" w:rsidP="00416CA3">
                            <w:pPr>
                              <w:pStyle w:val="ListParagraph"/>
                              <w:numPr>
                                <w:ilvl w:val="0"/>
                                <w:numId w:val="41"/>
                              </w:numPr>
                              <w:tabs>
                                <w:tab w:val="left" w:pos="810"/>
                                <w:tab w:val="left" w:pos="1531"/>
                              </w:tabs>
                              <w:autoSpaceDE w:val="0"/>
                              <w:autoSpaceDN w:val="0"/>
                              <w:adjustRightInd w:val="0"/>
                              <w:spacing w:before="120" w:after="100" w:afterAutospacing="1" w:line="240" w:lineRule="auto"/>
                              <w:jc w:val="both"/>
                              <w:rPr>
                                <w:bCs/>
                                <w:iCs/>
                                <w:sz w:val="20"/>
                                <w:szCs w:val="20"/>
                                <w:lang w:val="es-CR"/>
                              </w:rPr>
                            </w:pPr>
                            <w:r w:rsidRPr="00F152EB">
                              <w:rPr>
                                <w:bCs/>
                                <w:iCs/>
                                <w:sz w:val="20"/>
                                <w:szCs w:val="20"/>
                                <w:lang w:val="es-CR"/>
                              </w:rPr>
                              <w:t>Realizar una transferencia a los deciles más pobres de la población: Esto obliga a determinar el monto de la transferencia e identificar a los individuos que la recibirán. La identificación de los beneficiarios es similar a la de mecanismos de transferencias condicionadas de ingresos</w:t>
                            </w:r>
                            <w:r>
                              <w:rPr>
                                <w:bCs/>
                                <w:iCs/>
                                <w:sz w:val="20"/>
                                <w:szCs w:val="20"/>
                                <w:lang w:val="es-CR"/>
                              </w:rPr>
                              <w:t>, utilizando la base de datos SINIRUBE</w:t>
                            </w:r>
                            <w:r w:rsidRPr="00F152EB">
                              <w:rPr>
                                <w:bCs/>
                                <w:iCs/>
                                <w:sz w:val="20"/>
                                <w:szCs w:val="20"/>
                                <w:lang w:val="es-CR"/>
                              </w:rPr>
                              <w:t xml:space="preserve">. La tecnología para realizarlo está disponible y accesible, puede hacerse a través de una acreditación electrónica a una tarjeta de débito. </w:t>
                            </w:r>
                          </w:p>
                          <w:p w14:paraId="1AE2494A" w14:textId="77777777" w:rsidR="005E060C" w:rsidRPr="00C81724" w:rsidRDefault="005E060C" w:rsidP="00C81724">
                            <w:pPr>
                              <w:tabs>
                                <w:tab w:val="left" w:pos="810"/>
                                <w:tab w:val="left" w:pos="1531"/>
                              </w:tabs>
                              <w:autoSpaceDE w:val="0"/>
                              <w:autoSpaceDN w:val="0"/>
                              <w:adjustRightInd w:val="0"/>
                              <w:spacing w:before="120" w:after="100" w:afterAutospacing="1" w:line="240" w:lineRule="auto"/>
                              <w:jc w:val="both"/>
                              <w:rPr>
                                <w:bCs/>
                                <w:iCs/>
                                <w:sz w:val="20"/>
                                <w:szCs w:val="20"/>
                                <w:lang w:val="es-CR"/>
                              </w:rPr>
                            </w:pPr>
                            <w:r w:rsidRPr="00595DBA">
                              <w:rPr>
                                <w:rFonts w:ascii="Times New Roman" w:hAnsi="Times New Roman" w:cs="Times New Roman"/>
                                <w:bCs/>
                                <w:iCs/>
                                <w:sz w:val="20"/>
                                <w:szCs w:val="20"/>
                                <w:lang w:val="es-CR"/>
                              </w:rPr>
                              <w:t>En este respecto, es necesario señalar que los pagos del impuesto general sobre las ventas se vuelven regresivos luego del octavo decil. En efecto, como porcentaje de su consumo el primer decil paga el 5,9% en promedio, mientras que el último decil paga 4,6%.</w:t>
                            </w:r>
                            <w:r w:rsidRPr="00C81724">
                              <w:rPr>
                                <w:rFonts w:ascii="Times New Roman" w:hAnsi="Times New Roman" w:cs="Times New Roman"/>
                                <w:bCs/>
                                <w:iCs/>
                                <w:sz w:val="20"/>
                                <w:szCs w:val="20"/>
                                <w:vertAlign w:val="superscript"/>
                                <w:lang w:val="es-CR"/>
                              </w:rPr>
                              <w:t>b</w:t>
                            </w:r>
                          </w:p>
                          <w:p w14:paraId="76224DC8" w14:textId="77777777" w:rsidR="005E060C" w:rsidRPr="00064C3C" w:rsidRDefault="005E060C" w:rsidP="00C81724">
                            <w:pPr>
                              <w:tabs>
                                <w:tab w:val="left" w:pos="810"/>
                                <w:tab w:val="left" w:pos="1531"/>
                              </w:tabs>
                              <w:autoSpaceDE w:val="0"/>
                              <w:autoSpaceDN w:val="0"/>
                              <w:adjustRightInd w:val="0"/>
                              <w:spacing w:after="0" w:line="240" w:lineRule="auto"/>
                              <w:jc w:val="both"/>
                              <w:rPr>
                                <w:rFonts w:ascii="Times New Roman" w:hAnsi="Times New Roman" w:cs="Times New Roman"/>
                                <w:bCs/>
                                <w:iCs/>
                                <w:sz w:val="16"/>
                                <w:szCs w:val="20"/>
                                <w:lang w:val="es-CR"/>
                              </w:rPr>
                            </w:pPr>
                            <w:r w:rsidRPr="00F152EB">
                              <w:rPr>
                                <w:rFonts w:ascii="Times New Roman" w:hAnsi="Times New Roman" w:cs="Times New Roman"/>
                                <w:bCs/>
                                <w:iCs/>
                                <w:sz w:val="16"/>
                                <w:szCs w:val="20"/>
                                <w:vertAlign w:val="superscript"/>
                                <w:lang w:val="es-CR"/>
                              </w:rPr>
                              <w:t xml:space="preserve">a </w:t>
                            </w:r>
                            <w:r w:rsidRPr="00F152EB">
                              <w:rPr>
                                <w:rFonts w:ascii="Times New Roman" w:hAnsi="Times New Roman" w:cs="Times New Roman"/>
                                <w:bCs/>
                                <w:iCs/>
                                <w:sz w:val="16"/>
                                <w:szCs w:val="20"/>
                                <w:lang w:val="es-CR"/>
                              </w:rPr>
                              <w:t xml:space="preserve">Barreix, A., M. Bes y J. Roca. (2011). El IVA personalizado aumentando la recaudación y compensando a los más pobres. </w:t>
                            </w:r>
                            <w:r w:rsidRPr="00064C3C">
                              <w:rPr>
                                <w:rFonts w:ascii="Times New Roman" w:hAnsi="Times New Roman" w:cs="Times New Roman"/>
                                <w:bCs/>
                                <w:iCs/>
                                <w:sz w:val="16"/>
                                <w:szCs w:val="20"/>
                                <w:lang w:val="es-CR"/>
                              </w:rPr>
                              <w:t>Documentos-Instituto de Estudios Fiscales, (8), 1.</w:t>
                            </w:r>
                          </w:p>
                          <w:p w14:paraId="1D0EF0D0" w14:textId="77777777" w:rsidR="005E060C" w:rsidRPr="000818A4" w:rsidRDefault="005E060C" w:rsidP="00C81724">
                            <w:pPr>
                              <w:autoSpaceDE w:val="0"/>
                              <w:autoSpaceDN w:val="0"/>
                              <w:adjustRightInd w:val="0"/>
                              <w:spacing w:after="0" w:line="240" w:lineRule="auto"/>
                              <w:jc w:val="both"/>
                              <w:rPr>
                                <w:rFonts w:ascii="Times New Roman" w:hAnsi="Times New Roman" w:cs="Times New Roman"/>
                                <w:bCs/>
                                <w:iCs/>
                                <w:sz w:val="16"/>
                                <w:szCs w:val="20"/>
                                <w:lang w:val="es-CR"/>
                              </w:rPr>
                            </w:pPr>
                            <w:r w:rsidRPr="00064C3C">
                              <w:rPr>
                                <w:rFonts w:ascii="Times New Roman" w:hAnsi="Times New Roman" w:cs="Times New Roman"/>
                                <w:bCs/>
                                <w:iCs/>
                                <w:sz w:val="16"/>
                                <w:szCs w:val="20"/>
                                <w:vertAlign w:val="superscript"/>
                                <w:lang w:val="es-CR"/>
                              </w:rPr>
                              <w:t>a</w:t>
                            </w:r>
                            <w:r w:rsidRPr="00064C3C">
                              <w:rPr>
                                <w:rFonts w:ascii="Times New Roman" w:hAnsi="Times New Roman" w:cs="Times New Roman"/>
                                <w:bCs/>
                                <w:iCs/>
                                <w:sz w:val="16"/>
                                <w:szCs w:val="20"/>
                                <w:lang w:val="es-CR"/>
                              </w:rPr>
                              <w:t xml:space="preserve"> </w:t>
                            </w:r>
                            <w:r w:rsidRPr="00064C3C">
                              <w:rPr>
                                <w:rFonts w:ascii="Times New Roman" w:hAnsi="Times New Roman" w:cs="Times New Roman"/>
                                <w:bCs/>
                                <w:iCs/>
                                <w:sz w:val="16"/>
                                <w:szCs w:val="16"/>
                                <w:lang w:val="es-CR"/>
                              </w:rPr>
                              <w:t xml:space="preserve">Barreix, A., M. Bes y J. Roca. </w:t>
                            </w:r>
                            <w:r w:rsidRPr="00C81724">
                              <w:rPr>
                                <w:rFonts w:ascii="Times New Roman" w:hAnsi="Times New Roman" w:cs="Times New Roman"/>
                                <w:bCs/>
                                <w:iCs/>
                                <w:sz w:val="16"/>
                                <w:szCs w:val="16"/>
                                <w:lang w:val="en-US"/>
                              </w:rPr>
                              <w:t xml:space="preserve">(2010). </w:t>
                            </w:r>
                            <w:r w:rsidRPr="00C81724">
                              <w:rPr>
                                <w:rFonts w:ascii="Times New Roman" w:hAnsi="Times New Roman" w:cs="Times New Roman"/>
                                <w:bCs/>
                                <w:sz w:val="16"/>
                                <w:szCs w:val="16"/>
                                <w:lang w:val="en-US"/>
                              </w:rPr>
                              <w:t>Personalized VAT Increasing Revenue Collection and Compensating the Poor</w:t>
                            </w:r>
                            <w:r w:rsidRPr="00C81724">
                              <w:rPr>
                                <w:rFonts w:ascii="Times New Roman" w:hAnsi="Times New Roman" w:cs="Times New Roman"/>
                                <w:bCs/>
                                <w:iCs/>
                                <w:sz w:val="16"/>
                                <w:szCs w:val="16"/>
                                <w:lang w:val="en-US"/>
                              </w:rPr>
                              <w:t xml:space="preserve">. </w:t>
                            </w:r>
                            <w:r w:rsidRPr="00C81724">
                              <w:rPr>
                                <w:rFonts w:ascii="Times New Roman" w:hAnsi="Times New Roman" w:cs="Times New Roman"/>
                                <w:bCs/>
                                <w:iCs/>
                                <w:sz w:val="16"/>
                                <w:szCs w:val="16"/>
                                <w:lang w:val="es-CR"/>
                              </w:rPr>
                              <w:t>Working paper Duke University y BID.</w:t>
                            </w:r>
                          </w:p>
                          <w:p w14:paraId="6139187A" w14:textId="77777777" w:rsidR="005E060C" w:rsidRPr="00C81724" w:rsidRDefault="005E060C" w:rsidP="00CF6E4C">
                            <w:pPr>
                              <w:tabs>
                                <w:tab w:val="left" w:pos="810"/>
                                <w:tab w:val="left" w:pos="1531"/>
                              </w:tabs>
                              <w:autoSpaceDE w:val="0"/>
                              <w:autoSpaceDN w:val="0"/>
                              <w:adjustRightInd w:val="0"/>
                              <w:spacing w:line="240" w:lineRule="auto"/>
                              <w:jc w:val="both"/>
                              <w:rPr>
                                <w:rFonts w:ascii="Times New Roman" w:hAnsi="Times New Roman" w:cs="Times New Roman"/>
                                <w:sz w:val="18"/>
                                <w:lang w:val="es-ES_tradnl"/>
                              </w:rPr>
                            </w:pPr>
                            <w:r w:rsidRPr="00C81724">
                              <w:rPr>
                                <w:rFonts w:ascii="Times New Roman" w:hAnsi="Times New Roman" w:cs="Times New Roman"/>
                                <w:sz w:val="16"/>
                                <w:szCs w:val="18"/>
                                <w:vertAlign w:val="superscript"/>
                                <w:lang w:val="es-CR"/>
                              </w:rPr>
                              <w:t>b</w:t>
                            </w:r>
                            <w:r>
                              <w:rPr>
                                <w:rFonts w:ascii="Times New Roman" w:hAnsi="Times New Roman" w:cs="Times New Roman"/>
                                <w:sz w:val="16"/>
                                <w:szCs w:val="18"/>
                                <w:vertAlign w:val="superscript"/>
                                <w:lang w:val="es-CR"/>
                              </w:rPr>
                              <w:t xml:space="preserve"> </w:t>
                            </w:r>
                            <w:r w:rsidRPr="00C81724">
                              <w:rPr>
                                <w:rFonts w:ascii="Times New Roman" w:hAnsi="Times New Roman" w:cs="Times New Roman"/>
                                <w:sz w:val="16"/>
                                <w:szCs w:val="18"/>
                                <w:lang w:val="es-CR"/>
                              </w:rPr>
                              <w:t xml:space="preserve">OCDE. 2017. Análisis de políticas fiscales de la OCDE: Costa Rica 2017. OECD Publishing, Paris. </w:t>
                            </w:r>
                            <w:hyperlink r:id="rId34" w:history="1">
                              <w:r w:rsidRPr="00C81724">
                                <w:rPr>
                                  <w:rStyle w:val="Hyperlink"/>
                                  <w:rFonts w:ascii="Times New Roman" w:hAnsi="Times New Roman" w:cs="Times New Roman"/>
                                  <w:sz w:val="16"/>
                                  <w:szCs w:val="18"/>
                                  <w:lang w:val="es-CR"/>
                                </w:rPr>
                                <w:t>http://dx.doi.org/10.1787/9789264278608-es</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76E4CA01" id="Text Box 2" o:spid="_x0000_s1030" type="#_x0000_t202" style="position:absolute;left:0;text-align:left;margin-left:-2.5pt;margin-top:41.8pt;width:457.5pt;height:432.6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" fillcolor="#f2f2f2 [3052]">
                <v:textbox>
                  <w:txbxContent>
                    <w:p w14:paraId="3FBBB44A" w14:textId="77777777" w:rsidR="005E060C" w:rsidRPr="00F152EB" w:rsidRDefault="005E060C" w:rsidP="00CF6E4C">
                      <w:pPr>
                        <w:tabs>
                          <w:tab w:val="left" w:pos="810"/>
                          <w:tab w:val="left" w:pos="1531"/>
                        </w:tabs>
                        <w:autoSpaceDE w:val="0"/>
                        <w:autoSpaceDN w:val="0"/>
                        <w:adjustRightInd w:val="0"/>
                        <w:spacing w:before="60" w:after="100" w:afterAutospacing="1" w:line="240" w:lineRule="auto"/>
                        <w:jc w:val="center"/>
                        <w:rPr>
                          <w:rFonts w:ascii="Times New Roman" w:hAnsi="Times New Roman"/>
                          <w:b/>
                          <w:bCs/>
                          <w:iCs/>
                          <w:sz w:val="20"/>
                        </w:rPr>
                      </w:pPr>
                      <w:r w:rsidRPr="00F152EB">
                        <w:rPr>
                          <w:rFonts w:ascii="Times New Roman" w:hAnsi="Times New Roman"/>
                          <w:b/>
                          <w:bCs/>
                          <w:iCs/>
                          <w:sz w:val="20"/>
                        </w:rPr>
                        <w:t>El IVA Personalizado</w:t>
                      </w:r>
                    </w:p>
                    <w:p w14:paraId="1F004CB5" w14:textId="77777777" w:rsidR="005E060C" w:rsidRPr="00F152EB" w:rsidRDefault="005E060C" w:rsidP="00266636">
                      <w:pPr>
                        <w:tabs>
                          <w:tab w:val="left" w:pos="810"/>
                          <w:tab w:val="left" w:pos="1531"/>
                        </w:tabs>
                        <w:autoSpaceDE w:val="0"/>
                        <w:autoSpaceDN w:val="0"/>
                        <w:adjustRightInd w:val="0"/>
                        <w:spacing w:before="120" w:after="0" w:line="240" w:lineRule="auto"/>
                        <w:jc w:val="both"/>
                        <w:rPr>
                          <w:rFonts w:ascii="Times New Roman" w:hAnsi="Times New Roman"/>
                          <w:bCs/>
                          <w:iCs/>
                          <w:sz w:val="20"/>
                        </w:rPr>
                      </w:pPr>
                      <w:r w:rsidRPr="00F152EB">
                        <w:rPr>
                          <w:rFonts w:ascii="Times New Roman" w:hAnsi="Times New Roman"/>
                          <w:bCs/>
                          <w:iCs/>
                          <w:sz w:val="20"/>
                        </w:rPr>
                        <w:t>El IVA personalizado (IVA-P), es una propuesta de Barreix, Bes y Roca (2011)</w:t>
                      </w:r>
                      <w:r w:rsidRPr="00F152EB">
                        <w:rPr>
                          <w:rFonts w:ascii="Times New Roman" w:hAnsi="Times New Roman"/>
                          <w:bCs/>
                          <w:iCs/>
                          <w:sz w:val="20"/>
                          <w:vertAlign w:val="superscript"/>
                        </w:rPr>
                        <w:t>a</w:t>
                      </w:r>
                      <w:r w:rsidRPr="00F152EB">
                        <w:rPr>
                          <w:rFonts w:ascii="Times New Roman" w:hAnsi="Times New Roman"/>
                          <w:bCs/>
                          <w:iCs/>
                          <w:sz w:val="20"/>
                        </w:rPr>
                        <w:t xml:space="preserve"> para resolver la trinidad imposible de los impuestos al consumo. La propuesta consta de tres componentes: (i) generalización de la base, (ii) uniformizar la tasa impositiva; y (iii) identificación y transferencia a los deciles más pobres de la población. Esta propuesta tiene varias ventajas. Primero, la generalización de la base imponible del IVA aumenta la recaudación pues todos los bienes pagan el impuesto. Esta generalización facilita la administración del tributo. Por otro lado, la determinación del monto de reintegro obedece a un criterio objetivo, como lo es </w:t>
                      </w:r>
                      <w:r w:rsidRPr="008E17BC">
                        <w:rPr>
                          <w:rFonts w:ascii="Times New Roman" w:hAnsi="Times New Roman"/>
                          <w:bCs/>
                          <w:iCs/>
                          <w:sz w:val="20"/>
                        </w:rPr>
                        <w:t>la incidencia</w:t>
                      </w:r>
                      <w:r w:rsidRPr="00F152EB">
                        <w:rPr>
                          <w:rFonts w:ascii="Times New Roman" w:hAnsi="Times New Roman"/>
                          <w:bCs/>
                          <w:iCs/>
                          <w:sz w:val="20"/>
                        </w:rPr>
                        <w:t xml:space="preserve"> del impuesto en la canasta de consumo del decil. Por último, ya existe experiencia en el mundo respecto a la tecnología necesaria para realizar transferencias de esta naturaleza. </w:t>
                      </w:r>
                    </w:p>
                    <w:p w14:paraId="698B7CB7" w14:textId="77777777" w:rsidR="005E060C" w:rsidRPr="00F152EB" w:rsidRDefault="005E060C" w:rsidP="00266636">
                      <w:pPr>
                        <w:tabs>
                          <w:tab w:val="left" w:pos="810"/>
                          <w:tab w:val="left" w:pos="1531"/>
                        </w:tabs>
                        <w:autoSpaceDE w:val="0"/>
                        <w:autoSpaceDN w:val="0"/>
                        <w:adjustRightInd w:val="0"/>
                        <w:spacing w:before="120" w:after="0" w:line="240" w:lineRule="auto"/>
                        <w:jc w:val="both"/>
                        <w:rPr>
                          <w:rFonts w:ascii="Times New Roman" w:hAnsi="Times New Roman"/>
                          <w:bCs/>
                          <w:iCs/>
                          <w:sz w:val="20"/>
                        </w:rPr>
                      </w:pPr>
                      <w:r w:rsidRPr="00F152EB">
                        <w:rPr>
                          <w:rFonts w:ascii="Times New Roman" w:hAnsi="Times New Roman"/>
                          <w:bCs/>
                          <w:iCs/>
                          <w:sz w:val="20"/>
                        </w:rPr>
                        <w:t>Parece viable que Costa Rica pueda aplicar un “IVA personalizado” como forma de compensar a los deciles más pobres por el aumento de la carga tributaria que supondría las opciones de reforma presentadas. Para efectuarlo se debe:</w:t>
                      </w:r>
                    </w:p>
                    <w:p w14:paraId="273C64D4" w14:textId="77777777" w:rsidR="005E060C" w:rsidRPr="00F152EB" w:rsidRDefault="005E060C" w:rsidP="00C0284B">
                      <w:pPr>
                        <w:pStyle w:val="ListParagraph"/>
                        <w:numPr>
                          <w:ilvl w:val="0"/>
                          <w:numId w:val="41"/>
                        </w:numPr>
                        <w:tabs>
                          <w:tab w:val="left" w:pos="810"/>
                          <w:tab w:val="left" w:pos="1531"/>
                        </w:tabs>
                        <w:autoSpaceDE w:val="0"/>
                        <w:autoSpaceDN w:val="0"/>
                        <w:adjustRightInd w:val="0"/>
                        <w:spacing w:before="120" w:after="100" w:afterAutospacing="1" w:line="240" w:lineRule="auto"/>
                        <w:jc w:val="both"/>
                        <w:rPr>
                          <w:bCs/>
                          <w:iCs/>
                          <w:sz w:val="20"/>
                          <w:szCs w:val="20"/>
                          <w:lang w:val="es-CR"/>
                        </w:rPr>
                      </w:pPr>
                      <w:r w:rsidRPr="00F152EB">
                        <w:rPr>
                          <w:bCs/>
                          <w:iCs/>
                          <w:sz w:val="20"/>
                          <w:szCs w:val="20"/>
                          <w:lang w:val="es-CR"/>
                        </w:rPr>
                        <w:t>Generalizar la base imponible: se eliminan las exoneraciones de bienes y servicios vigentes (que en muchos casos favorecen a los más altos ingresos), sólo tiene sentido mantener exoneraciones desde el punto de vista de la administración del impuesto (arrendamiento de inmuebles y servicios de intermediación financiera) y exoneraciones que aseguren consistencia en el tratamiento tributario de conceptos similares en nuestro caso.</w:t>
                      </w:r>
                    </w:p>
                    <w:p w14:paraId="52F4E584" w14:textId="77777777" w:rsidR="005E060C" w:rsidRPr="00F152EB" w:rsidRDefault="005E060C" w:rsidP="00C0284B">
                      <w:pPr>
                        <w:pStyle w:val="ListParagraph"/>
                        <w:numPr>
                          <w:ilvl w:val="0"/>
                          <w:numId w:val="41"/>
                        </w:numPr>
                        <w:tabs>
                          <w:tab w:val="left" w:pos="810"/>
                          <w:tab w:val="left" w:pos="1531"/>
                        </w:tabs>
                        <w:autoSpaceDE w:val="0"/>
                        <w:autoSpaceDN w:val="0"/>
                        <w:adjustRightInd w:val="0"/>
                        <w:spacing w:before="120" w:after="100" w:afterAutospacing="1" w:line="240" w:lineRule="auto"/>
                        <w:jc w:val="both"/>
                        <w:rPr>
                          <w:bCs/>
                          <w:iCs/>
                          <w:sz w:val="20"/>
                          <w:szCs w:val="20"/>
                          <w:lang w:val="es-CR"/>
                        </w:rPr>
                      </w:pPr>
                      <w:r w:rsidRPr="00F152EB">
                        <w:rPr>
                          <w:bCs/>
                          <w:iCs/>
                          <w:sz w:val="20"/>
                          <w:szCs w:val="20"/>
                          <w:lang w:val="es-CR"/>
                        </w:rPr>
                        <w:t>Uniformizar la tasa del impuesto: En el caso de Costa Rica, esto implica no introducir tasas diferenciales o tener una cantidad muy pequeña de bienes con diferenciación de tasas.</w:t>
                      </w:r>
                    </w:p>
                    <w:p w14:paraId="1815E441" w14:textId="77777777" w:rsidR="005E060C" w:rsidRDefault="005E060C" w:rsidP="00416CA3">
                      <w:pPr>
                        <w:pStyle w:val="ListParagraph"/>
                        <w:numPr>
                          <w:ilvl w:val="0"/>
                          <w:numId w:val="41"/>
                        </w:numPr>
                        <w:tabs>
                          <w:tab w:val="left" w:pos="810"/>
                          <w:tab w:val="left" w:pos="1531"/>
                        </w:tabs>
                        <w:autoSpaceDE w:val="0"/>
                        <w:autoSpaceDN w:val="0"/>
                        <w:adjustRightInd w:val="0"/>
                        <w:spacing w:before="120" w:after="100" w:afterAutospacing="1" w:line="240" w:lineRule="auto"/>
                        <w:jc w:val="both"/>
                        <w:rPr>
                          <w:bCs/>
                          <w:iCs/>
                          <w:sz w:val="20"/>
                          <w:szCs w:val="20"/>
                          <w:lang w:val="es-CR"/>
                        </w:rPr>
                      </w:pPr>
                      <w:r w:rsidRPr="00F152EB">
                        <w:rPr>
                          <w:bCs/>
                          <w:iCs/>
                          <w:sz w:val="20"/>
                          <w:szCs w:val="20"/>
                          <w:lang w:val="es-CR"/>
                        </w:rPr>
                        <w:t>Realizar una transferencia a los deciles más pobres de la población: Esto obliga a determinar el monto de la transferencia e identificar a los individuos que la recibirán. La identificación de los beneficiarios es similar a la de mecanismos de transferencias condicionadas de ingresos</w:t>
                      </w:r>
                      <w:r>
                        <w:rPr>
                          <w:bCs/>
                          <w:iCs/>
                          <w:sz w:val="20"/>
                          <w:szCs w:val="20"/>
                          <w:lang w:val="es-CR"/>
                        </w:rPr>
                        <w:t>, utilizando la base de datos SINIRUBE</w:t>
                      </w:r>
                      <w:r w:rsidRPr="00F152EB">
                        <w:rPr>
                          <w:bCs/>
                          <w:iCs/>
                          <w:sz w:val="20"/>
                          <w:szCs w:val="20"/>
                          <w:lang w:val="es-CR"/>
                        </w:rPr>
                        <w:t xml:space="preserve">. La tecnología para realizarlo está disponible y accesible, puede hacerse a través de una acreditación electrónica a una tarjeta de débito. </w:t>
                      </w:r>
                    </w:p>
                    <w:p w14:paraId="1AE2494A" w14:textId="77777777" w:rsidR="005E060C" w:rsidRPr="00C81724" w:rsidRDefault="005E060C" w:rsidP="00C81724">
                      <w:pPr>
                        <w:tabs>
                          <w:tab w:val="left" w:pos="810"/>
                          <w:tab w:val="left" w:pos="1531"/>
                        </w:tabs>
                        <w:autoSpaceDE w:val="0"/>
                        <w:autoSpaceDN w:val="0"/>
                        <w:adjustRightInd w:val="0"/>
                        <w:spacing w:before="120" w:after="100" w:afterAutospacing="1" w:line="240" w:lineRule="auto"/>
                        <w:jc w:val="both"/>
                        <w:rPr>
                          <w:bCs/>
                          <w:iCs/>
                          <w:sz w:val="20"/>
                          <w:szCs w:val="20"/>
                          <w:lang w:val="es-CR"/>
                        </w:rPr>
                      </w:pPr>
                      <w:r w:rsidRPr="00595DBA">
                        <w:rPr>
                          <w:rFonts w:ascii="Times New Roman" w:hAnsi="Times New Roman" w:cs="Times New Roman"/>
                          <w:bCs/>
                          <w:iCs/>
                          <w:sz w:val="20"/>
                          <w:szCs w:val="20"/>
                          <w:lang w:val="es-CR"/>
                        </w:rPr>
                        <w:t>En este respecto, es necesario señalar que los pagos del impuesto general sobre las ventas se vuelven regresivos luego del octavo decil. En efecto, como porcentaje de su consumo el primer decil paga el 5,9% en promedio, mientras que el último decil paga 4,6%.</w:t>
                      </w:r>
                      <w:r w:rsidRPr="00C81724">
                        <w:rPr>
                          <w:rFonts w:ascii="Times New Roman" w:hAnsi="Times New Roman" w:cs="Times New Roman"/>
                          <w:bCs/>
                          <w:iCs/>
                          <w:sz w:val="20"/>
                          <w:szCs w:val="20"/>
                          <w:vertAlign w:val="superscript"/>
                          <w:lang w:val="es-CR"/>
                        </w:rPr>
                        <w:t>b</w:t>
                      </w:r>
                    </w:p>
                    <w:p w14:paraId="76224DC8" w14:textId="77777777" w:rsidR="005E060C" w:rsidRPr="00064C3C" w:rsidRDefault="005E060C" w:rsidP="00C81724">
                      <w:pPr>
                        <w:tabs>
                          <w:tab w:val="left" w:pos="810"/>
                          <w:tab w:val="left" w:pos="1531"/>
                        </w:tabs>
                        <w:autoSpaceDE w:val="0"/>
                        <w:autoSpaceDN w:val="0"/>
                        <w:adjustRightInd w:val="0"/>
                        <w:spacing w:after="0" w:line="240" w:lineRule="auto"/>
                        <w:jc w:val="both"/>
                        <w:rPr>
                          <w:rFonts w:ascii="Times New Roman" w:hAnsi="Times New Roman" w:cs="Times New Roman"/>
                          <w:bCs/>
                          <w:iCs/>
                          <w:sz w:val="16"/>
                          <w:szCs w:val="20"/>
                          <w:lang w:val="es-CR"/>
                        </w:rPr>
                      </w:pPr>
                      <w:r w:rsidRPr="00F152EB">
                        <w:rPr>
                          <w:rFonts w:ascii="Times New Roman" w:hAnsi="Times New Roman" w:cs="Times New Roman"/>
                          <w:bCs/>
                          <w:iCs/>
                          <w:sz w:val="16"/>
                          <w:szCs w:val="20"/>
                          <w:vertAlign w:val="superscript"/>
                          <w:lang w:val="es-CR"/>
                        </w:rPr>
                        <w:t xml:space="preserve">a </w:t>
                      </w:r>
                      <w:r w:rsidRPr="00F152EB">
                        <w:rPr>
                          <w:rFonts w:ascii="Times New Roman" w:hAnsi="Times New Roman" w:cs="Times New Roman"/>
                          <w:bCs/>
                          <w:iCs/>
                          <w:sz w:val="16"/>
                          <w:szCs w:val="20"/>
                          <w:lang w:val="es-CR"/>
                        </w:rPr>
                        <w:t xml:space="preserve">Barreix, A., M. Bes y J. Roca. (2011). El IVA personalizado aumentando la recaudación y compensando a los más pobres. </w:t>
                      </w:r>
                      <w:r w:rsidRPr="00064C3C">
                        <w:rPr>
                          <w:rFonts w:ascii="Times New Roman" w:hAnsi="Times New Roman" w:cs="Times New Roman"/>
                          <w:bCs/>
                          <w:iCs/>
                          <w:sz w:val="16"/>
                          <w:szCs w:val="20"/>
                          <w:lang w:val="es-CR"/>
                        </w:rPr>
                        <w:t>Documentos-Instituto de Estudios Fiscales, (8), 1.</w:t>
                      </w:r>
                    </w:p>
                    <w:p w14:paraId="1D0EF0D0" w14:textId="77777777" w:rsidR="005E060C" w:rsidRPr="000818A4" w:rsidRDefault="005E060C" w:rsidP="00C81724">
                      <w:pPr>
                        <w:autoSpaceDE w:val="0"/>
                        <w:autoSpaceDN w:val="0"/>
                        <w:adjustRightInd w:val="0"/>
                        <w:spacing w:after="0" w:line="240" w:lineRule="auto"/>
                        <w:jc w:val="both"/>
                        <w:rPr>
                          <w:rFonts w:ascii="Times New Roman" w:hAnsi="Times New Roman" w:cs="Times New Roman"/>
                          <w:bCs/>
                          <w:iCs/>
                          <w:sz w:val="16"/>
                          <w:szCs w:val="20"/>
                          <w:lang w:val="es-CR"/>
                        </w:rPr>
                      </w:pPr>
                      <w:r w:rsidRPr="00064C3C">
                        <w:rPr>
                          <w:rFonts w:ascii="Times New Roman" w:hAnsi="Times New Roman" w:cs="Times New Roman"/>
                          <w:bCs/>
                          <w:iCs/>
                          <w:sz w:val="16"/>
                          <w:szCs w:val="20"/>
                          <w:vertAlign w:val="superscript"/>
                          <w:lang w:val="es-CR"/>
                        </w:rPr>
                        <w:t>a</w:t>
                      </w:r>
                      <w:r w:rsidRPr="00064C3C">
                        <w:rPr>
                          <w:rFonts w:ascii="Times New Roman" w:hAnsi="Times New Roman" w:cs="Times New Roman"/>
                          <w:bCs/>
                          <w:iCs/>
                          <w:sz w:val="16"/>
                          <w:szCs w:val="20"/>
                          <w:lang w:val="es-CR"/>
                        </w:rPr>
                        <w:t xml:space="preserve"> </w:t>
                      </w:r>
                      <w:r w:rsidRPr="00064C3C">
                        <w:rPr>
                          <w:rFonts w:ascii="Times New Roman" w:hAnsi="Times New Roman" w:cs="Times New Roman"/>
                          <w:bCs/>
                          <w:iCs/>
                          <w:sz w:val="16"/>
                          <w:szCs w:val="16"/>
                          <w:lang w:val="es-CR"/>
                        </w:rPr>
                        <w:t xml:space="preserve">Barreix, A., M. Bes y J. Roca. </w:t>
                      </w:r>
                      <w:r w:rsidRPr="00C81724">
                        <w:rPr>
                          <w:rFonts w:ascii="Times New Roman" w:hAnsi="Times New Roman" w:cs="Times New Roman"/>
                          <w:bCs/>
                          <w:iCs/>
                          <w:sz w:val="16"/>
                          <w:szCs w:val="16"/>
                          <w:lang w:val="en-US"/>
                        </w:rPr>
                        <w:t xml:space="preserve">(2010). </w:t>
                      </w:r>
                      <w:r w:rsidRPr="00C81724">
                        <w:rPr>
                          <w:rFonts w:ascii="Times New Roman" w:hAnsi="Times New Roman" w:cs="Times New Roman"/>
                          <w:bCs/>
                          <w:sz w:val="16"/>
                          <w:szCs w:val="16"/>
                          <w:lang w:val="en-US"/>
                        </w:rPr>
                        <w:t>Personalized VAT Increasing Revenue Collection and Compensating the Poor</w:t>
                      </w:r>
                      <w:r w:rsidRPr="00C81724">
                        <w:rPr>
                          <w:rFonts w:ascii="Times New Roman" w:hAnsi="Times New Roman" w:cs="Times New Roman"/>
                          <w:bCs/>
                          <w:iCs/>
                          <w:sz w:val="16"/>
                          <w:szCs w:val="16"/>
                          <w:lang w:val="en-US"/>
                        </w:rPr>
                        <w:t xml:space="preserve">. </w:t>
                      </w:r>
                      <w:r w:rsidRPr="00C81724">
                        <w:rPr>
                          <w:rFonts w:ascii="Times New Roman" w:hAnsi="Times New Roman" w:cs="Times New Roman"/>
                          <w:bCs/>
                          <w:iCs/>
                          <w:sz w:val="16"/>
                          <w:szCs w:val="16"/>
                          <w:lang w:val="es-CR"/>
                        </w:rPr>
                        <w:t>Working paper Duke University y BID.</w:t>
                      </w:r>
                    </w:p>
                    <w:p w14:paraId="6139187A" w14:textId="77777777" w:rsidR="005E060C" w:rsidRPr="00C81724" w:rsidRDefault="005E060C" w:rsidP="00CF6E4C">
                      <w:pPr>
                        <w:tabs>
                          <w:tab w:val="left" w:pos="810"/>
                          <w:tab w:val="left" w:pos="1531"/>
                        </w:tabs>
                        <w:autoSpaceDE w:val="0"/>
                        <w:autoSpaceDN w:val="0"/>
                        <w:adjustRightInd w:val="0"/>
                        <w:spacing w:line="240" w:lineRule="auto"/>
                        <w:jc w:val="both"/>
                        <w:rPr>
                          <w:rFonts w:ascii="Times New Roman" w:hAnsi="Times New Roman" w:cs="Times New Roman"/>
                          <w:sz w:val="18"/>
                          <w:lang w:val="es-ES_tradnl"/>
                        </w:rPr>
                      </w:pPr>
                      <w:r w:rsidRPr="00C81724">
                        <w:rPr>
                          <w:rFonts w:ascii="Times New Roman" w:hAnsi="Times New Roman" w:cs="Times New Roman"/>
                          <w:sz w:val="16"/>
                          <w:szCs w:val="18"/>
                          <w:vertAlign w:val="superscript"/>
                          <w:lang w:val="es-CR"/>
                        </w:rPr>
                        <w:t>b</w:t>
                      </w:r>
                      <w:r>
                        <w:rPr>
                          <w:rFonts w:ascii="Times New Roman" w:hAnsi="Times New Roman" w:cs="Times New Roman"/>
                          <w:sz w:val="16"/>
                          <w:szCs w:val="18"/>
                          <w:vertAlign w:val="superscript"/>
                          <w:lang w:val="es-CR"/>
                        </w:rPr>
                        <w:t xml:space="preserve"> </w:t>
                      </w:r>
                      <w:r w:rsidRPr="00C81724">
                        <w:rPr>
                          <w:rFonts w:ascii="Times New Roman" w:hAnsi="Times New Roman" w:cs="Times New Roman"/>
                          <w:sz w:val="16"/>
                          <w:szCs w:val="18"/>
                          <w:lang w:val="es-CR"/>
                        </w:rPr>
                        <w:t xml:space="preserve">OCDE. 2017. Análisis de políticas fiscales de la OCDE: Costa Rica 2017. OECD Publishing, Paris. </w:t>
                      </w:r>
                      <w:hyperlink r:id="rId35" w:history="1">
                        <w:r w:rsidRPr="00C81724">
                          <w:rPr>
                            <w:rStyle w:val="Hyperlink"/>
                            <w:rFonts w:ascii="Times New Roman" w:hAnsi="Times New Roman" w:cs="Times New Roman"/>
                            <w:sz w:val="16"/>
                            <w:szCs w:val="18"/>
                            <w:lang w:val="es-CR"/>
                          </w:rPr>
                          <w:t>http://dx.doi.org/10.1787/9789264278608-es</w:t>
                        </w:r>
                      </w:hyperlink>
                    </w:p>
                  </w:txbxContent>
                </v:textbox>
                <w10:wrap type="square"/>
              </v:shape>
            </w:pict>
          </mc:Fallback>
        </mc:AlternateContent>
      </w:r>
      <w:r w:rsidR="006B4147">
        <w:rPr>
          <w:rFonts w:ascii="Times New Roman" w:hAnsi="Times New Roman"/>
          <w:bCs/>
          <w:iCs/>
        </w:rPr>
        <w:t xml:space="preserve">información para </w:t>
      </w:r>
      <w:r w:rsidR="00860038">
        <w:rPr>
          <w:rFonts w:ascii="Times New Roman" w:hAnsi="Times New Roman"/>
          <w:bCs/>
          <w:iCs/>
        </w:rPr>
        <w:t xml:space="preserve">el control tributario. </w:t>
      </w:r>
    </w:p>
    <w:p w14:paraId="4FA63783" w14:textId="77777777" w:rsidR="00C14EF5" w:rsidRDefault="00C14EF5" w:rsidP="005F1FA5">
      <w:pPr>
        <w:tabs>
          <w:tab w:val="left" w:pos="810"/>
          <w:tab w:val="left" w:pos="1531"/>
        </w:tabs>
        <w:autoSpaceDE w:val="0"/>
        <w:autoSpaceDN w:val="0"/>
        <w:adjustRightInd w:val="0"/>
        <w:spacing w:before="120" w:after="100" w:afterAutospacing="1" w:line="360" w:lineRule="auto"/>
        <w:jc w:val="both"/>
        <w:rPr>
          <w:rFonts w:ascii="Times New Roman" w:hAnsi="Times New Roman"/>
          <w:b/>
          <w:bCs/>
          <w:iCs/>
        </w:rPr>
      </w:pPr>
    </w:p>
    <w:p w14:paraId="36AC748E" w14:textId="77777777" w:rsidR="00C761CE" w:rsidRDefault="00B81015" w:rsidP="005F1FA5">
      <w:pPr>
        <w:tabs>
          <w:tab w:val="left" w:pos="810"/>
          <w:tab w:val="left" w:pos="1531"/>
        </w:tabs>
        <w:autoSpaceDE w:val="0"/>
        <w:autoSpaceDN w:val="0"/>
        <w:adjustRightInd w:val="0"/>
        <w:spacing w:before="120" w:after="100" w:afterAutospacing="1" w:line="360" w:lineRule="auto"/>
        <w:jc w:val="both"/>
        <w:rPr>
          <w:rFonts w:ascii="Times New Roman" w:hAnsi="Times New Roman"/>
          <w:bCs/>
          <w:iCs/>
        </w:rPr>
      </w:pPr>
      <w:r w:rsidRPr="00B81015">
        <w:rPr>
          <w:rFonts w:ascii="Times New Roman" w:hAnsi="Times New Roman"/>
          <w:b/>
          <w:bCs/>
          <w:iCs/>
        </w:rPr>
        <w:t>Reforzar la territorialidad.</w:t>
      </w:r>
      <w:r>
        <w:rPr>
          <w:rFonts w:ascii="Times New Roman" w:hAnsi="Times New Roman"/>
          <w:bCs/>
          <w:iCs/>
        </w:rPr>
        <w:t xml:space="preserve"> </w:t>
      </w:r>
      <w:r w:rsidR="00C761CE" w:rsidRPr="00C761CE">
        <w:rPr>
          <w:rFonts w:ascii="Times New Roman" w:hAnsi="Times New Roman"/>
          <w:bCs/>
          <w:iCs/>
        </w:rPr>
        <w:t xml:space="preserve">Como ya mencionamos, el Impuesto a la Renta en Costa Rica sigue el criterio de la fuente, o sea que grava solamente las rentas de fuente costarricense obtenidas por las personas jurídicas y físicas residentes. Lo habitual es pasar de este esquema a uno de renta mundial, pero el principal problema de este </w:t>
      </w:r>
      <w:r w:rsidRPr="00C761CE">
        <w:rPr>
          <w:rFonts w:ascii="Times New Roman" w:hAnsi="Times New Roman"/>
          <w:bCs/>
          <w:iCs/>
        </w:rPr>
        <w:t>esquema</w:t>
      </w:r>
      <w:r w:rsidR="00C761CE" w:rsidRPr="00C761CE">
        <w:rPr>
          <w:rFonts w:ascii="Times New Roman" w:hAnsi="Times New Roman"/>
          <w:bCs/>
          <w:iCs/>
        </w:rPr>
        <w:t xml:space="preserve"> es que es necesaria una Administración Tributaria de gran nivel para poder administrarlo eficientemente. Por esto, se considera más adecuado para Costa Rica un esquema de </w:t>
      </w:r>
      <w:r w:rsidR="00C761CE" w:rsidRPr="003B1E8F">
        <w:rPr>
          <w:rFonts w:ascii="Times New Roman" w:hAnsi="Times New Roman"/>
          <w:b/>
          <w:bCs/>
          <w:iCs/>
        </w:rPr>
        <w:t>renta territorial “reforzada”</w:t>
      </w:r>
      <w:r w:rsidR="00C761CE" w:rsidRPr="00C761CE">
        <w:rPr>
          <w:rFonts w:ascii="Times New Roman" w:hAnsi="Times New Roman"/>
          <w:bCs/>
          <w:iCs/>
        </w:rPr>
        <w:t>. En este esquema, y respecto a las rentas obtenidas por residentes en el exterior</w:t>
      </w:r>
      <w:r w:rsidR="00C761CE" w:rsidRPr="00D75E5C">
        <w:rPr>
          <w:rFonts w:ascii="Times New Roman" w:hAnsi="Times New Roman"/>
          <w:bCs/>
          <w:iCs/>
        </w:rPr>
        <w:t>, sólo las rentas pasivas (intereses, alquileres, dividendos, ganancias de capital) obtenidas por personas físicas están gravadas</w:t>
      </w:r>
      <w:r w:rsidR="00C761CE" w:rsidRPr="00C761CE">
        <w:rPr>
          <w:rFonts w:ascii="Times New Roman" w:hAnsi="Times New Roman"/>
          <w:bCs/>
          <w:iCs/>
        </w:rPr>
        <w:t>. Por el contrario, las rentas activas (del trabajo) obtenidas por personas naturales y todas las rentas (pasivas y activas) obtenidas en el exterior por empresas, están exonerada</w:t>
      </w:r>
      <w:r w:rsidR="003D0F10">
        <w:rPr>
          <w:rFonts w:ascii="Times New Roman" w:hAnsi="Times New Roman"/>
          <w:bCs/>
          <w:iCs/>
        </w:rPr>
        <w:t xml:space="preserve">s (aunque en el caso de las empresas si se gravan cuando se distribuyen dividendos o se </w:t>
      </w:r>
      <w:r w:rsidR="003D0F10">
        <w:rPr>
          <w:rFonts w:ascii="Times New Roman" w:hAnsi="Times New Roman"/>
          <w:bCs/>
          <w:iCs/>
        </w:rPr>
        <w:lastRenderedPageBreak/>
        <w:t xml:space="preserve">generan ganancias de capital). </w:t>
      </w:r>
      <w:r w:rsidR="003B1E8F">
        <w:rPr>
          <w:rFonts w:ascii="Times New Roman" w:hAnsi="Times New Roman"/>
          <w:bCs/>
          <w:iCs/>
        </w:rPr>
        <w:t>E</w:t>
      </w:r>
      <w:r w:rsidR="003D0F10">
        <w:rPr>
          <w:rFonts w:ascii="Times New Roman" w:hAnsi="Times New Roman"/>
          <w:bCs/>
          <w:iCs/>
        </w:rPr>
        <w:t xml:space="preserve">l no gravar las rentas de servicios personales </w:t>
      </w:r>
      <w:r w:rsidR="003B1E8F">
        <w:rPr>
          <w:rFonts w:ascii="Times New Roman" w:hAnsi="Times New Roman"/>
          <w:bCs/>
          <w:iCs/>
        </w:rPr>
        <w:t>se debe a que en el país de la fuente se suelen gravar los servicios personales (y la asistencia técnica) a tasas relevantes no solo para evitar la evasión (usando otro país para bajar la renta de la empresa) sino para proteger el mercado laboral con los profesionales nacionales. Esto lleva a que tengan un crédito alto por su actividad en el exterior que</w:t>
      </w:r>
      <w:r w:rsidR="003200C0">
        <w:rPr>
          <w:rFonts w:ascii="Times New Roman" w:hAnsi="Times New Roman"/>
          <w:bCs/>
          <w:iCs/>
        </w:rPr>
        <w:t>,</w:t>
      </w:r>
      <w:r w:rsidR="003B1E8F">
        <w:rPr>
          <w:rFonts w:ascii="Times New Roman" w:hAnsi="Times New Roman"/>
          <w:bCs/>
          <w:iCs/>
        </w:rPr>
        <w:t xml:space="preserve"> más los gastos para conservar la renta</w:t>
      </w:r>
      <w:r w:rsidR="003200C0">
        <w:rPr>
          <w:rFonts w:ascii="Times New Roman" w:hAnsi="Times New Roman"/>
          <w:bCs/>
          <w:iCs/>
        </w:rPr>
        <w:t>,</w:t>
      </w:r>
      <w:r w:rsidR="003B1E8F">
        <w:rPr>
          <w:rFonts w:ascii="Times New Roman" w:hAnsi="Times New Roman"/>
          <w:bCs/>
          <w:iCs/>
        </w:rPr>
        <w:t xml:space="preserve"> vuelven nulo el recaudo agregando complejidades administrativas. El </w:t>
      </w:r>
      <w:r w:rsidR="003B1E8F" w:rsidRPr="003D0F10">
        <w:rPr>
          <w:rFonts w:ascii="Times New Roman" w:hAnsi="Times New Roman"/>
          <w:bCs/>
          <w:i/>
          <w:iCs/>
        </w:rPr>
        <w:t>gravar las rentas de capital</w:t>
      </w:r>
      <w:r w:rsidR="003B1E8F">
        <w:rPr>
          <w:rFonts w:ascii="Times New Roman" w:hAnsi="Times New Roman"/>
          <w:bCs/>
          <w:iCs/>
        </w:rPr>
        <w:t xml:space="preserve"> </w:t>
      </w:r>
      <w:r w:rsidR="003D0F10">
        <w:rPr>
          <w:rFonts w:ascii="Times New Roman" w:hAnsi="Times New Roman"/>
          <w:bCs/>
          <w:iCs/>
        </w:rPr>
        <w:t xml:space="preserve">tiene su razón en </w:t>
      </w:r>
      <w:r w:rsidR="003B1E8F">
        <w:rPr>
          <w:rFonts w:ascii="Times New Roman" w:hAnsi="Times New Roman"/>
          <w:bCs/>
          <w:iCs/>
        </w:rPr>
        <w:t xml:space="preserve">que no están gravadas en varios países relevantes para </w:t>
      </w:r>
      <w:r w:rsidR="003D0F10">
        <w:rPr>
          <w:rFonts w:ascii="Times New Roman" w:hAnsi="Times New Roman"/>
          <w:bCs/>
          <w:iCs/>
        </w:rPr>
        <w:t xml:space="preserve">los </w:t>
      </w:r>
      <w:r w:rsidR="003B1E8F">
        <w:rPr>
          <w:rFonts w:ascii="Times New Roman" w:hAnsi="Times New Roman"/>
          <w:bCs/>
          <w:iCs/>
        </w:rPr>
        <w:t xml:space="preserve">no residentes (como </w:t>
      </w:r>
      <w:r w:rsidR="00B42B83">
        <w:rPr>
          <w:rFonts w:ascii="Times New Roman" w:hAnsi="Times New Roman"/>
          <w:bCs/>
          <w:iCs/>
        </w:rPr>
        <w:t>EE. UU.</w:t>
      </w:r>
      <w:r w:rsidR="003D0F10">
        <w:rPr>
          <w:rFonts w:ascii="Times New Roman" w:hAnsi="Times New Roman"/>
          <w:bCs/>
          <w:iCs/>
        </w:rPr>
        <w:t>)</w:t>
      </w:r>
      <w:r w:rsidR="003B1E8F">
        <w:rPr>
          <w:rFonts w:ascii="Times New Roman" w:hAnsi="Times New Roman"/>
          <w:bCs/>
          <w:iCs/>
        </w:rPr>
        <w:t xml:space="preserve"> o a tasas bajas</w:t>
      </w:r>
      <w:r w:rsidR="003200C0">
        <w:rPr>
          <w:rFonts w:ascii="Times New Roman" w:hAnsi="Times New Roman"/>
          <w:bCs/>
          <w:iCs/>
        </w:rPr>
        <w:t>,</w:t>
      </w:r>
      <w:r w:rsidR="003D0F10">
        <w:rPr>
          <w:rFonts w:ascii="Times New Roman" w:hAnsi="Times New Roman"/>
          <w:bCs/>
          <w:iCs/>
        </w:rPr>
        <w:t xml:space="preserve"> por lo que se</w:t>
      </w:r>
      <w:r w:rsidR="00B42B83">
        <w:rPr>
          <w:rFonts w:ascii="Times New Roman" w:hAnsi="Times New Roman"/>
          <w:bCs/>
          <w:iCs/>
        </w:rPr>
        <w:t xml:space="preserve"> hace recomendable que se graven para que no se </w:t>
      </w:r>
      <w:r w:rsidR="003D0F10">
        <w:rPr>
          <w:rFonts w:ascii="Times New Roman" w:hAnsi="Times New Roman"/>
          <w:bCs/>
          <w:iCs/>
        </w:rPr>
        <w:t>tribute más sobre e</w:t>
      </w:r>
      <w:r w:rsidR="00B42B83">
        <w:rPr>
          <w:rFonts w:ascii="Times New Roman" w:hAnsi="Times New Roman"/>
          <w:bCs/>
          <w:iCs/>
        </w:rPr>
        <w:t xml:space="preserve">l ahorro en el mercado doméstico que </w:t>
      </w:r>
      <w:r w:rsidR="003D0F10">
        <w:rPr>
          <w:rFonts w:ascii="Times New Roman" w:hAnsi="Times New Roman"/>
          <w:bCs/>
          <w:iCs/>
        </w:rPr>
        <w:t xml:space="preserve">llevando el mismo al </w:t>
      </w:r>
      <w:r w:rsidR="00B42B83">
        <w:rPr>
          <w:rFonts w:ascii="Times New Roman" w:hAnsi="Times New Roman"/>
          <w:bCs/>
          <w:iCs/>
        </w:rPr>
        <w:t xml:space="preserve">extranjero. </w:t>
      </w:r>
      <w:r w:rsidR="005750BE">
        <w:rPr>
          <w:rFonts w:ascii="Times New Roman" w:hAnsi="Times New Roman"/>
          <w:bCs/>
          <w:iCs/>
        </w:rPr>
        <w:t xml:space="preserve">Cuando madure el proceso de intercambio de información financiera </w:t>
      </w:r>
      <w:r w:rsidR="00C14EF5">
        <w:rPr>
          <w:rFonts w:ascii="Times New Roman" w:hAnsi="Times New Roman"/>
          <w:bCs/>
          <w:iCs/>
        </w:rPr>
        <w:t xml:space="preserve">en forma automática </w:t>
      </w:r>
      <w:r w:rsidR="003D0F10">
        <w:rPr>
          <w:rFonts w:ascii="Times New Roman" w:hAnsi="Times New Roman"/>
          <w:bCs/>
          <w:iCs/>
        </w:rPr>
        <w:t>(</w:t>
      </w:r>
      <w:r w:rsidR="00C14EF5">
        <w:rPr>
          <w:rFonts w:ascii="Times New Roman" w:hAnsi="Times New Roman"/>
          <w:bCs/>
          <w:iCs/>
        </w:rPr>
        <w:t xml:space="preserve">Costa Rica </w:t>
      </w:r>
      <w:r w:rsidR="003D0F10">
        <w:rPr>
          <w:rFonts w:ascii="Times New Roman" w:hAnsi="Times New Roman"/>
          <w:bCs/>
          <w:iCs/>
        </w:rPr>
        <w:t xml:space="preserve">y </w:t>
      </w:r>
      <w:r w:rsidR="00C14EF5">
        <w:rPr>
          <w:rFonts w:ascii="Times New Roman" w:hAnsi="Times New Roman"/>
          <w:bCs/>
          <w:iCs/>
        </w:rPr>
        <w:t xml:space="preserve">más de 100 países se comprometieron a intercambiar) </w:t>
      </w:r>
      <w:r w:rsidR="003D0F10">
        <w:rPr>
          <w:rFonts w:ascii="Times New Roman" w:hAnsi="Times New Roman"/>
          <w:bCs/>
          <w:iCs/>
        </w:rPr>
        <w:t xml:space="preserve">por acuerdos con </w:t>
      </w:r>
      <w:r w:rsidR="005750BE">
        <w:rPr>
          <w:rFonts w:ascii="Times New Roman" w:hAnsi="Times New Roman"/>
          <w:bCs/>
          <w:iCs/>
        </w:rPr>
        <w:t>el Foro Global de Transparencia e</w:t>
      </w:r>
      <w:r w:rsidR="00D55512">
        <w:rPr>
          <w:rFonts w:ascii="Times New Roman" w:hAnsi="Times New Roman"/>
          <w:bCs/>
          <w:iCs/>
        </w:rPr>
        <w:t xml:space="preserve"> Intercambio</w:t>
      </w:r>
      <w:r w:rsidR="005A3497">
        <w:rPr>
          <w:rFonts w:ascii="Times New Roman" w:hAnsi="Times New Roman"/>
          <w:bCs/>
          <w:iCs/>
        </w:rPr>
        <w:t>,</w:t>
      </w:r>
      <w:r w:rsidR="00D55512">
        <w:rPr>
          <w:rFonts w:ascii="Times New Roman" w:hAnsi="Times New Roman"/>
          <w:bCs/>
          <w:iCs/>
        </w:rPr>
        <w:t xml:space="preserve"> </w:t>
      </w:r>
      <w:r w:rsidR="003D0F10">
        <w:rPr>
          <w:rFonts w:ascii="Times New Roman" w:hAnsi="Times New Roman"/>
          <w:bCs/>
          <w:iCs/>
        </w:rPr>
        <w:t>d</w:t>
      </w:r>
      <w:r w:rsidR="002F79C1">
        <w:rPr>
          <w:rFonts w:ascii="Times New Roman" w:hAnsi="Times New Roman"/>
          <w:bCs/>
          <w:iCs/>
        </w:rPr>
        <w:t>ebería pasarse</w:t>
      </w:r>
      <w:r w:rsidR="003C50ED">
        <w:rPr>
          <w:rFonts w:ascii="Times New Roman" w:hAnsi="Times New Roman"/>
          <w:bCs/>
          <w:iCs/>
        </w:rPr>
        <w:t xml:space="preserve"> a renta mundial a nivel de la</w:t>
      </w:r>
      <w:r w:rsidR="003D0F10">
        <w:rPr>
          <w:rFonts w:ascii="Times New Roman" w:hAnsi="Times New Roman"/>
          <w:bCs/>
          <w:iCs/>
        </w:rPr>
        <w:t>s rentas de capital</w:t>
      </w:r>
      <w:r w:rsidR="003C50ED">
        <w:rPr>
          <w:rFonts w:ascii="Times New Roman" w:hAnsi="Times New Roman"/>
          <w:bCs/>
          <w:iCs/>
        </w:rPr>
        <w:t xml:space="preserve">. </w:t>
      </w:r>
    </w:p>
    <w:p w14:paraId="11004EDE" w14:textId="77777777" w:rsidR="008704E7" w:rsidRDefault="00143AB7" w:rsidP="00FA66BD">
      <w:pPr>
        <w:tabs>
          <w:tab w:val="left" w:pos="810"/>
          <w:tab w:val="left" w:pos="1531"/>
        </w:tabs>
        <w:autoSpaceDE w:val="0"/>
        <w:autoSpaceDN w:val="0"/>
        <w:adjustRightInd w:val="0"/>
        <w:spacing w:before="120" w:after="0" w:line="360" w:lineRule="auto"/>
        <w:jc w:val="both"/>
        <w:rPr>
          <w:rFonts w:ascii="Times New Roman" w:hAnsi="Times New Roman"/>
          <w:bCs/>
          <w:iCs/>
        </w:rPr>
      </w:pPr>
      <w:r w:rsidRPr="00571853">
        <w:rPr>
          <w:rFonts w:ascii="Times New Roman" w:hAnsi="Times New Roman"/>
          <w:b/>
          <w:bCs/>
          <w:iCs/>
        </w:rPr>
        <w:t xml:space="preserve">Se recomienda disminuir la tasa </w:t>
      </w:r>
      <w:r w:rsidR="003D0798" w:rsidRPr="00571853">
        <w:rPr>
          <w:rFonts w:ascii="Times New Roman" w:hAnsi="Times New Roman"/>
          <w:b/>
          <w:bCs/>
          <w:iCs/>
        </w:rPr>
        <w:t>del IRE</w:t>
      </w:r>
      <w:r w:rsidR="003D0F10">
        <w:rPr>
          <w:rFonts w:ascii="Times New Roman" w:hAnsi="Times New Roman"/>
          <w:b/>
          <w:bCs/>
          <w:iCs/>
        </w:rPr>
        <w:t>,</w:t>
      </w:r>
      <w:r w:rsidR="003D0798" w:rsidRPr="00571853">
        <w:rPr>
          <w:rFonts w:ascii="Times New Roman" w:hAnsi="Times New Roman"/>
          <w:b/>
          <w:bCs/>
          <w:iCs/>
        </w:rPr>
        <w:t xml:space="preserve"> </w:t>
      </w:r>
      <w:r w:rsidR="00023058">
        <w:rPr>
          <w:rFonts w:ascii="Times New Roman" w:hAnsi="Times New Roman"/>
          <w:b/>
          <w:bCs/>
          <w:iCs/>
        </w:rPr>
        <w:t>alrededor</w:t>
      </w:r>
      <w:r w:rsidR="003D0798" w:rsidRPr="00571853">
        <w:rPr>
          <w:rFonts w:ascii="Times New Roman" w:hAnsi="Times New Roman"/>
          <w:b/>
          <w:bCs/>
          <w:iCs/>
        </w:rPr>
        <w:t xml:space="preserve"> del 25%</w:t>
      </w:r>
      <w:r w:rsidR="003D0F10">
        <w:rPr>
          <w:rFonts w:ascii="Times New Roman" w:hAnsi="Times New Roman"/>
          <w:b/>
          <w:bCs/>
          <w:iCs/>
        </w:rPr>
        <w:t>,</w:t>
      </w:r>
      <w:r w:rsidR="00116A1A">
        <w:rPr>
          <w:rFonts w:ascii="Times New Roman" w:hAnsi="Times New Roman"/>
          <w:b/>
          <w:bCs/>
          <w:iCs/>
        </w:rPr>
        <w:t xml:space="preserve"> para incrementar la recaudación y mejorar la </w:t>
      </w:r>
      <w:r w:rsidR="00036327">
        <w:rPr>
          <w:rFonts w:ascii="Times New Roman" w:hAnsi="Times New Roman"/>
          <w:b/>
          <w:bCs/>
          <w:iCs/>
        </w:rPr>
        <w:t>competitividad,</w:t>
      </w:r>
      <w:r w:rsidR="003D0F10">
        <w:rPr>
          <w:rFonts w:ascii="Times New Roman" w:hAnsi="Times New Roman"/>
          <w:b/>
          <w:bCs/>
          <w:iCs/>
        </w:rPr>
        <w:t xml:space="preserve"> pero ampliar la base a todas las rentas sin distingo de </w:t>
      </w:r>
      <w:r w:rsidR="008704E7">
        <w:rPr>
          <w:rFonts w:ascii="Times New Roman" w:hAnsi="Times New Roman"/>
          <w:b/>
          <w:bCs/>
          <w:iCs/>
        </w:rPr>
        <w:t>actividad o naturaleza jurídica</w:t>
      </w:r>
      <w:r w:rsidR="003D0798" w:rsidRPr="00571853">
        <w:rPr>
          <w:rFonts w:ascii="Times New Roman" w:hAnsi="Times New Roman"/>
          <w:b/>
          <w:bCs/>
          <w:iCs/>
        </w:rPr>
        <w:t xml:space="preserve">. </w:t>
      </w:r>
      <w:r w:rsidR="00894F5C" w:rsidRPr="00894F5C">
        <w:rPr>
          <w:rFonts w:ascii="Times New Roman" w:hAnsi="Times New Roman"/>
          <w:bCs/>
          <w:iCs/>
        </w:rPr>
        <w:t>De acuerdo con Bachas y Soto (2015)</w:t>
      </w:r>
      <w:r w:rsidR="00894F5C" w:rsidRPr="00894F5C">
        <w:rPr>
          <w:rStyle w:val="FootnoteReference"/>
          <w:rFonts w:ascii="Times New Roman" w:hAnsi="Times New Roman"/>
          <w:bCs/>
          <w:iCs/>
        </w:rPr>
        <w:footnoteReference w:id="41"/>
      </w:r>
      <w:r w:rsidR="00FE0DB3">
        <w:rPr>
          <w:rFonts w:ascii="Times New Roman" w:hAnsi="Times New Roman"/>
          <w:bCs/>
          <w:iCs/>
        </w:rPr>
        <w:t xml:space="preserve"> la tasa del </w:t>
      </w:r>
      <w:r w:rsidR="00144F04">
        <w:rPr>
          <w:rFonts w:ascii="Times New Roman" w:hAnsi="Times New Roman"/>
          <w:bCs/>
          <w:iCs/>
        </w:rPr>
        <w:t xml:space="preserve">IRE </w:t>
      </w:r>
      <w:r w:rsidR="000C5DCC">
        <w:rPr>
          <w:rFonts w:ascii="Times New Roman" w:hAnsi="Times New Roman"/>
          <w:bCs/>
          <w:iCs/>
        </w:rPr>
        <w:t xml:space="preserve">que maximiza el ingreso por este concepto en </w:t>
      </w:r>
      <w:r w:rsidR="00144F04">
        <w:rPr>
          <w:rFonts w:ascii="Times New Roman" w:hAnsi="Times New Roman"/>
          <w:bCs/>
          <w:iCs/>
        </w:rPr>
        <w:t xml:space="preserve">Costa Rica </w:t>
      </w:r>
      <w:r w:rsidR="000C5DCC">
        <w:rPr>
          <w:rFonts w:ascii="Times New Roman" w:hAnsi="Times New Roman"/>
          <w:bCs/>
          <w:iCs/>
        </w:rPr>
        <w:t xml:space="preserve">debe estar por debajo de 25%. </w:t>
      </w:r>
      <w:r w:rsidR="00D2199F">
        <w:rPr>
          <w:rFonts w:ascii="Times New Roman" w:hAnsi="Times New Roman"/>
          <w:bCs/>
          <w:iCs/>
        </w:rPr>
        <w:t xml:space="preserve">Aunado a lo anterior, </w:t>
      </w:r>
      <w:r w:rsidR="000D5F98">
        <w:rPr>
          <w:rFonts w:ascii="Times New Roman" w:hAnsi="Times New Roman"/>
          <w:bCs/>
          <w:iCs/>
        </w:rPr>
        <w:t>la tasas de IRE en Costa Rica se encuentra por encima del promedio de Latino</w:t>
      </w:r>
      <w:r w:rsidR="00024EAC">
        <w:rPr>
          <w:rFonts w:ascii="Times New Roman" w:hAnsi="Times New Roman"/>
          <w:bCs/>
          <w:iCs/>
        </w:rPr>
        <w:t>américa, lo cual le restaría competitividad a las empresas que se encuentran instaladas al régimen regular en Costa Rica</w:t>
      </w:r>
      <w:r w:rsidR="003608EE">
        <w:rPr>
          <w:rFonts w:ascii="Times New Roman" w:hAnsi="Times New Roman"/>
          <w:bCs/>
          <w:iCs/>
        </w:rPr>
        <w:t xml:space="preserve"> </w:t>
      </w:r>
      <w:r w:rsidR="00985149">
        <w:rPr>
          <w:rFonts w:ascii="Times New Roman" w:hAnsi="Times New Roman"/>
          <w:bCs/>
          <w:iCs/>
        </w:rPr>
        <w:t xml:space="preserve">en relación </w:t>
      </w:r>
      <w:r w:rsidR="003608EE">
        <w:rPr>
          <w:rFonts w:ascii="Times New Roman" w:hAnsi="Times New Roman"/>
          <w:bCs/>
          <w:iCs/>
        </w:rPr>
        <w:t>con</w:t>
      </w:r>
      <w:r w:rsidR="00985149">
        <w:rPr>
          <w:rFonts w:ascii="Times New Roman" w:hAnsi="Times New Roman"/>
          <w:bCs/>
          <w:iCs/>
        </w:rPr>
        <w:t xml:space="preserve"> sus pares regionales</w:t>
      </w:r>
      <w:r w:rsidR="00024EAC">
        <w:rPr>
          <w:rFonts w:ascii="Times New Roman" w:hAnsi="Times New Roman"/>
          <w:bCs/>
          <w:iCs/>
        </w:rPr>
        <w:t>.</w:t>
      </w:r>
      <w:r w:rsidR="00024EAC">
        <w:rPr>
          <w:rStyle w:val="FootnoteReference"/>
          <w:rFonts w:ascii="Times New Roman" w:hAnsi="Times New Roman"/>
          <w:bCs/>
          <w:iCs/>
        </w:rPr>
        <w:footnoteReference w:id="42"/>
      </w:r>
    </w:p>
    <w:p w14:paraId="53DE67F9" w14:textId="77777777" w:rsidR="001C7E89" w:rsidRDefault="009612BF" w:rsidP="00FA66BD">
      <w:pPr>
        <w:tabs>
          <w:tab w:val="left" w:pos="810"/>
          <w:tab w:val="left" w:pos="1531"/>
        </w:tabs>
        <w:autoSpaceDE w:val="0"/>
        <w:autoSpaceDN w:val="0"/>
        <w:adjustRightInd w:val="0"/>
        <w:spacing w:before="120" w:after="0" w:line="360" w:lineRule="auto"/>
        <w:jc w:val="both"/>
        <w:rPr>
          <w:rFonts w:ascii="Times New Roman" w:hAnsi="Times New Roman"/>
          <w:bCs/>
          <w:iCs/>
        </w:rPr>
      </w:pPr>
      <w:r>
        <w:rPr>
          <w:rFonts w:ascii="Times New Roman" w:hAnsi="Times New Roman"/>
          <w:bCs/>
          <w:iCs/>
        </w:rPr>
        <w:t xml:space="preserve">Adicionalmente, Costa Rica </w:t>
      </w:r>
      <w:r w:rsidR="00EC12A8">
        <w:rPr>
          <w:rFonts w:ascii="Times New Roman" w:hAnsi="Times New Roman"/>
          <w:bCs/>
          <w:iCs/>
        </w:rPr>
        <w:t xml:space="preserve">será afectado por los cambios en política fiscal en los Estados Unidos, donde </w:t>
      </w:r>
      <w:r w:rsidR="00003E75">
        <w:rPr>
          <w:rFonts w:ascii="Times New Roman" w:hAnsi="Times New Roman"/>
          <w:bCs/>
          <w:iCs/>
        </w:rPr>
        <w:t>la tasa de IRE federal se redujo hasta el 21% (</w:t>
      </w:r>
      <w:r w:rsidR="00EE6203">
        <w:rPr>
          <w:rFonts w:ascii="Times New Roman" w:hAnsi="Times New Roman"/>
          <w:bCs/>
          <w:iCs/>
        </w:rPr>
        <w:t>a la que se le suma la tasa estadual</w:t>
      </w:r>
      <w:r w:rsidR="002B1582">
        <w:rPr>
          <w:rFonts w:ascii="Times New Roman" w:hAnsi="Times New Roman"/>
          <w:bCs/>
          <w:iCs/>
        </w:rPr>
        <w:t xml:space="preserve"> que tiene un </w:t>
      </w:r>
      <w:r w:rsidR="00BD4E10">
        <w:rPr>
          <w:rFonts w:ascii="Times New Roman" w:hAnsi="Times New Roman"/>
          <w:bCs/>
          <w:iCs/>
        </w:rPr>
        <w:t>promedio de 6% con tasas que varían de 0% a 6%</w:t>
      </w:r>
      <w:r w:rsidR="00EE6203">
        <w:rPr>
          <w:rFonts w:ascii="Times New Roman" w:hAnsi="Times New Roman"/>
          <w:bCs/>
          <w:iCs/>
        </w:rPr>
        <w:t xml:space="preserve">). </w:t>
      </w:r>
      <w:r w:rsidR="008704E7">
        <w:rPr>
          <w:rFonts w:ascii="Times New Roman" w:hAnsi="Times New Roman"/>
          <w:bCs/>
          <w:iCs/>
        </w:rPr>
        <w:t>De hecho, esta reforma tiene un tipo menor para las exportaciones de bienes y servicios de los EE. UU. por lo que Costa Rica podría aplicar el mismo criterio y ahorrarse la evasión (y también la elusión) de aquellas empresas con beneficios especiales como ser las Zonas Francas (cuyas ventas domésticas se gravarían a tasa regular) y otros incentivos en renta, incluyendo las cooperativas de alta facturación.</w:t>
      </w:r>
      <w:r w:rsidR="00851C08">
        <w:rPr>
          <w:rStyle w:val="FootnoteReference"/>
          <w:rFonts w:ascii="Times New Roman" w:hAnsi="Times New Roman"/>
          <w:bCs/>
          <w:iCs/>
        </w:rPr>
        <w:footnoteReference w:id="43"/>
      </w:r>
    </w:p>
    <w:p w14:paraId="1647A6AF" w14:textId="77777777" w:rsidR="003D13C6" w:rsidRDefault="003D13C6" w:rsidP="00FA66BD">
      <w:pPr>
        <w:tabs>
          <w:tab w:val="left" w:pos="810"/>
          <w:tab w:val="left" w:pos="1531"/>
        </w:tabs>
        <w:autoSpaceDE w:val="0"/>
        <w:autoSpaceDN w:val="0"/>
        <w:adjustRightInd w:val="0"/>
        <w:spacing w:before="120" w:after="0" w:line="360" w:lineRule="auto"/>
        <w:jc w:val="both"/>
        <w:rPr>
          <w:rFonts w:ascii="Times New Roman" w:hAnsi="Times New Roman"/>
          <w:bCs/>
          <w:iCs/>
        </w:rPr>
      </w:pPr>
    </w:p>
    <w:p w14:paraId="55D23847" w14:textId="77777777" w:rsidR="003D13C6" w:rsidRDefault="003D13C6" w:rsidP="00FA66BD">
      <w:pPr>
        <w:tabs>
          <w:tab w:val="left" w:pos="810"/>
          <w:tab w:val="left" w:pos="1531"/>
        </w:tabs>
        <w:autoSpaceDE w:val="0"/>
        <w:autoSpaceDN w:val="0"/>
        <w:adjustRightInd w:val="0"/>
        <w:spacing w:before="120" w:after="0" w:line="360" w:lineRule="auto"/>
        <w:jc w:val="both"/>
        <w:rPr>
          <w:rFonts w:ascii="Times New Roman" w:hAnsi="Times New Roman"/>
          <w:bCs/>
          <w:iCs/>
        </w:rPr>
      </w:pPr>
    </w:p>
    <w:p w14:paraId="7CC5D82D" w14:textId="77777777" w:rsidR="003D13C6" w:rsidRDefault="003D13C6" w:rsidP="00FA66BD">
      <w:pPr>
        <w:tabs>
          <w:tab w:val="left" w:pos="810"/>
          <w:tab w:val="left" w:pos="1531"/>
        </w:tabs>
        <w:autoSpaceDE w:val="0"/>
        <w:autoSpaceDN w:val="0"/>
        <w:adjustRightInd w:val="0"/>
        <w:spacing w:before="120" w:after="0" w:line="360" w:lineRule="auto"/>
        <w:jc w:val="both"/>
        <w:rPr>
          <w:rFonts w:ascii="Times New Roman" w:hAnsi="Times New Roman"/>
          <w:bCs/>
          <w:iCs/>
        </w:rPr>
      </w:pPr>
    </w:p>
    <w:p w14:paraId="4D033520" w14:textId="77777777" w:rsidR="003D13C6" w:rsidRDefault="003D13C6" w:rsidP="00FA66BD">
      <w:pPr>
        <w:tabs>
          <w:tab w:val="left" w:pos="810"/>
          <w:tab w:val="left" w:pos="1531"/>
        </w:tabs>
        <w:autoSpaceDE w:val="0"/>
        <w:autoSpaceDN w:val="0"/>
        <w:adjustRightInd w:val="0"/>
        <w:spacing w:before="120" w:after="0" w:line="360" w:lineRule="auto"/>
        <w:jc w:val="both"/>
        <w:rPr>
          <w:rFonts w:ascii="Times New Roman" w:hAnsi="Times New Roman"/>
          <w:bCs/>
          <w:iCs/>
        </w:rPr>
      </w:pPr>
    </w:p>
    <w:p w14:paraId="0F19F35B" w14:textId="77777777" w:rsidR="003D13C6" w:rsidRDefault="003D13C6" w:rsidP="00FA66BD">
      <w:pPr>
        <w:tabs>
          <w:tab w:val="left" w:pos="810"/>
          <w:tab w:val="left" w:pos="1531"/>
        </w:tabs>
        <w:autoSpaceDE w:val="0"/>
        <w:autoSpaceDN w:val="0"/>
        <w:adjustRightInd w:val="0"/>
        <w:spacing w:before="120" w:after="0" w:line="360" w:lineRule="auto"/>
        <w:jc w:val="both"/>
        <w:rPr>
          <w:rFonts w:ascii="Times New Roman" w:hAnsi="Times New Roman"/>
          <w:bCs/>
          <w:iCs/>
        </w:rPr>
      </w:pPr>
    </w:p>
    <w:p w14:paraId="71999EA8" w14:textId="77777777" w:rsidR="003D13C6" w:rsidRDefault="003D13C6" w:rsidP="001C6DAF">
      <w:pPr>
        <w:pStyle w:val="Estilo4"/>
        <w:numPr>
          <w:ilvl w:val="0"/>
          <w:numId w:val="0"/>
        </w:numPr>
        <w:tabs>
          <w:tab w:val="left" w:pos="0"/>
        </w:tabs>
        <w:spacing w:after="0" w:line="240" w:lineRule="auto"/>
        <w:contextualSpacing w:val="0"/>
        <w:jc w:val="center"/>
        <w:rPr>
          <w:b/>
          <w:sz w:val="22"/>
          <w:lang w:val="es-ES"/>
        </w:rPr>
      </w:pPr>
    </w:p>
    <w:p w14:paraId="2D688081" w14:textId="48B0A5B0" w:rsidR="001C6DAF" w:rsidRPr="007364D6" w:rsidRDefault="007364D6" w:rsidP="007364D6">
      <w:pPr>
        <w:pStyle w:val="Caption"/>
        <w:spacing w:after="0"/>
        <w:jc w:val="center"/>
        <w:rPr>
          <w:rFonts w:ascii="Times New Roman" w:hAnsi="Times New Roman" w:cs="Times New Roman"/>
          <w:b/>
          <w:i w:val="0"/>
          <w:color w:val="auto"/>
          <w:sz w:val="22"/>
          <w:szCs w:val="22"/>
          <w:lang w:val="es-ES"/>
        </w:rPr>
      </w:pPr>
      <w:bookmarkStart w:id="20" w:name="_Toc518399422"/>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15</w:t>
      </w:r>
      <w:r w:rsidRPr="007364D6">
        <w:rPr>
          <w:rFonts w:ascii="Times New Roman" w:hAnsi="Times New Roman" w:cs="Times New Roman"/>
          <w:b/>
          <w:i w:val="0"/>
          <w:color w:val="auto"/>
          <w:sz w:val="22"/>
          <w:szCs w:val="22"/>
        </w:rPr>
        <w:fldChar w:fldCharType="end"/>
      </w:r>
      <w:r w:rsidR="001C6DAF" w:rsidRPr="007364D6">
        <w:rPr>
          <w:rFonts w:ascii="Times New Roman" w:hAnsi="Times New Roman" w:cs="Times New Roman"/>
          <w:b/>
          <w:i w:val="0"/>
          <w:color w:val="auto"/>
          <w:sz w:val="22"/>
          <w:szCs w:val="22"/>
          <w:lang w:val="es-ES"/>
        </w:rPr>
        <w:t>. Tasa de IRE en países seleccionados, 2008</w:t>
      </w:r>
      <w:r w:rsidR="00DD0138" w:rsidRPr="007364D6">
        <w:rPr>
          <w:rFonts w:ascii="Times New Roman" w:hAnsi="Times New Roman" w:cs="Times New Roman"/>
          <w:b/>
          <w:i w:val="0"/>
          <w:color w:val="auto"/>
          <w:sz w:val="22"/>
          <w:szCs w:val="22"/>
          <w:lang w:val="es-ES"/>
        </w:rPr>
        <w:t>-2017</w:t>
      </w:r>
      <w:bookmarkEnd w:id="20"/>
    </w:p>
    <w:p w14:paraId="1D1696E1" w14:textId="77777777" w:rsidR="001C6DAF" w:rsidRDefault="00376A09" w:rsidP="00A66099">
      <w:pPr>
        <w:tabs>
          <w:tab w:val="left" w:pos="810"/>
          <w:tab w:val="left" w:pos="1531"/>
        </w:tabs>
        <w:autoSpaceDE w:val="0"/>
        <w:autoSpaceDN w:val="0"/>
        <w:adjustRightInd w:val="0"/>
        <w:spacing w:after="0" w:line="360" w:lineRule="auto"/>
        <w:jc w:val="center"/>
        <w:rPr>
          <w:rFonts w:ascii="Times New Roman" w:hAnsi="Times New Roman"/>
          <w:bCs/>
          <w:iCs/>
        </w:rPr>
      </w:pPr>
      <w:r>
        <w:rPr>
          <w:noProof/>
          <w:lang w:val="es-CR" w:eastAsia="es-CR"/>
        </w:rPr>
        <w:drawing>
          <wp:inline distT="0" distB="0" distL="0" distR="0" wp14:anchorId="573BA37F" wp14:editId="25FC2365">
            <wp:extent cx="4095590" cy="2036269"/>
            <wp:effectExtent l="0" t="0" r="635" b="2540"/>
            <wp:docPr id="10" name="Chart 10">
              <a:extLst xmlns:a="http://schemas.openxmlformats.org/drawingml/2006/main">
                <a:ext uri="{FF2B5EF4-FFF2-40B4-BE49-F238E27FC236}">
                  <a16:creationId xmlns:a16="http://schemas.microsoft.com/office/drawing/2014/main" id="{5A6210C0-A1D5-461C-8D6A-81BD58483E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06A6EA31" w14:textId="77777777" w:rsidR="00A66099" w:rsidRPr="00C81724" w:rsidRDefault="005B76F2" w:rsidP="00C81724">
      <w:pPr>
        <w:tabs>
          <w:tab w:val="left" w:pos="810"/>
          <w:tab w:val="left" w:pos="1531"/>
        </w:tabs>
        <w:autoSpaceDE w:val="0"/>
        <w:autoSpaceDN w:val="0"/>
        <w:adjustRightInd w:val="0"/>
        <w:spacing w:after="0" w:line="360" w:lineRule="auto"/>
        <w:jc w:val="center"/>
        <w:rPr>
          <w:rFonts w:ascii="Times New Roman" w:hAnsi="Times New Roman"/>
          <w:bCs/>
          <w:iCs/>
          <w:sz w:val="18"/>
        </w:rPr>
      </w:pPr>
      <w:r w:rsidRPr="00C81724">
        <w:rPr>
          <w:rFonts w:ascii="Times New Roman" w:hAnsi="Times New Roman"/>
          <w:bCs/>
          <w:iCs/>
          <w:sz w:val="18"/>
        </w:rPr>
        <w:t>Fuente: World Tax Database (Michigan University), CIAT, IBFD, Legislación de los países.</w:t>
      </w:r>
      <w:r w:rsidR="00A66099" w:rsidRPr="00C81724">
        <w:rPr>
          <w:rFonts w:ascii="Times New Roman" w:hAnsi="Times New Roman"/>
          <w:bCs/>
          <w:iCs/>
          <w:sz w:val="18"/>
        </w:rPr>
        <w:t xml:space="preserve"> </w:t>
      </w:r>
    </w:p>
    <w:p w14:paraId="4C7312F8" w14:textId="77777777" w:rsidR="00131778" w:rsidRPr="007632CD" w:rsidRDefault="009D20B7" w:rsidP="00131778">
      <w:pPr>
        <w:pStyle w:val="Estilo4"/>
        <w:numPr>
          <w:ilvl w:val="0"/>
          <w:numId w:val="0"/>
        </w:numPr>
        <w:tabs>
          <w:tab w:val="left" w:pos="0"/>
        </w:tabs>
        <w:spacing w:line="360" w:lineRule="auto"/>
        <w:contextualSpacing w:val="0"/>
        <w:rPr>
          <w:sz w:val="22"/>
          <w:szCs w:val="22"/>
          <w:lang w:val="es-ES"/>
        </w:rPr>
      </w:pPr>
      <w:r w:rsidRPr="007632CD">
        <w:rPr>
          <w:b/>
          <w:bCs/>
          <w:iCs/>
          <w:sz w:val="22"/>
          <w:szCs w:val="22"/>
        </w:rPr>
        <w:t>Se recomienda simplificar el tratamiento preferencia</w:t>
      </w:r>
      <w:r w:rsidR="00AB40E3" w:rsidRPr="007632CD">
        <w:rPr>
          <w:b/>
          <w:bCs/>
          <w:iCs/>
          <w:sz w:val="22"/>
          <w:szCs w:val="22"/>
        </w:rPr>
        <w:t>l</w:t>
      </w:r>
      <w:r w:rsidRPr="007632CD">
        <w:rPr>
          <w:b/>
          <w:bCs/>
          <w:iCs/>
          <w:sz w:val="22"/>
          <w:szCs w:val="22"/>
        </w:rPr>
        <w:t xml:space="preserve"> a las </w:t>
      </w:r>
      <w:r w:rsidR="00AB40E3" w:rsidRPr="007632CD">
        <w:rPr>
          <w:b/>
          <w:bCs/>
          <w:iCs/>
          <w:sz w:val="22"/>
          <w:szCs w:val="22"/>
        </w:rPr>
        <w:t>PYMEs, creando una única tasa</w:t>
      </w:r>
      <w:r w:rsidR="00A71A47" w:rsidRPr="007632CD">
        <w:rPr>
          <w:b/>
          <w:bCs/>
          <w:iCs/>
          <w:sz w:val="22"/>
          <w:szCs w:val="22"/>
        </w:rPr>
        <w:t xml:space="preserve"> de renta</w:t>
      </w:r>
      <w:r w:rsidR="00AB40E3" w:rsidRPr="007632CD">
        <w:rPr>
          <w:b/>
          <w:bCs/>
          <w:iCs/>
          <w:sz w:val="22"/>
          <w:szCs w:val="22"/>
        </w:rPr>
        <w:t xml:space="preserve">. </w:t>
      </w:r>
      <w:r w:rsidR="00AB40E3" w:rsidRPr="007632CD">
        <w:rPr>
          <w:bCs/>
          <w:iCs/>
          <w:sz w:val="22"/>
          <w:szCs w:val="22"/>
        </w:rPr>
        <w:t>Es habitual que los países den un tratamiento preferencial a las PYME para fomentar la pro</w:t>
      </w:r>
      <w:r w:rsidR="00C67BBB" w:rsidRPr="007632CD">
        <w:rPr>
          <w:bCs/>
          <w:iCs/>
          <w:sz w:val="22"/>
          <w:szCs w:val="22"/>
        </w:rPr>
        <w:t>ducción. Sin embargo, lo que</w:t>
      </w:r>
      <w:r w:rsidR="00C67BBB" w:rsidRPr="007632CD">
        <w:rPr>
          <w:b/>
          <w:bCs/>
          <w:iCs/>
          <w:sz w:val="22"/>
          <w:szCs w:val="22"/>
        </w:rPr>
        <w:t xml:space="preserve"> </w:t>
      </w:r>
      <w:r w:rsidR="00C67BBB" w:rsidRPr="007632CD">
        <w:rPr>
          <w:bCs/>
          <w:iCs/>
          <w:sz w:val="22"/>
          <w:szCs w:val="22"/>
        </w:rPr>
        <w:t xml:space="preserve">no usual </w:t>
      </w:r>
      <w:r w:rsidR="003523D3" w:rsidRPr="007632CD">
        <w:rPr>
          <w:bCs/>
          <w:iCs/>
          <w:sz w:val="22"/>
          <w:szCs w:val="22"/>
        </w:rPr>
        <w:t xml:space="preserve">es un sistema con múltiples tramos. </w:t>
      </w:r>
      <w:r w:rsidR="002165BD" w:rsidRPr="007632CD">
        <w:rPr>
          <w:bCs/>
          <w:iCs/>
          <w:sz w:val="22"/>
          <w:szCs w:val="22"/>
        </w:rPr>
        <w:t>Aproximadamente la mitad de los países de la OCDE imponen tarifas reducidas del I</w:t>
      </w:r>
      <w:r w:rsidR="00A71A47" w:rsidRPr="007632CD">
        <w:rPr>
          <w:bCs/>
          <w:iCs/>
          <w:sz w:val="22"/>
          <w:szCs w:val="22"/>
        </w:rPr>
        <w:t>RE</w:t>
      </w:r>
      <w:r w:rsidR="002165BD" w:rsidRPr="007632CD">
        <w:rPr>
          <w:bCs/>
          <w:iCs/>
          <w:sz w:val="22"/>
          <w:szCs w:val="22"/>
        </w:rPr>
        <w:t xml:space="preserve"> para las PYME, con una disminución media situada en torno a 4 puntos porcentua</w:t>
      </w:r>
      <w:r w:rsidR="007C3441" w:rsidRPr="007632CD">
        <w:rPr>
          <w:bCs/>
          <w:iCs/>
          <w:sz w:val="22"/>
          <w:szCs w:val="22"/>
        </w:rPr>
        <w:t>les</w:t>
      </w:r>
      <w:r w:rsidR="002165BD" w:rsidRPr="007632CD">
        <w:rPr>
          <w:bCs/>
          <w:iCs/>
          <w:sz w:val="22"/>
          <w:szCs w:val="22"/>
        </w:rPr>
        <w:t>.</w:t>
      </w:r>
      <w:r w:rsidR="007C3441" w:rsidRPr="007632CD">
        <w:rPr>
          <w:rStyle w:val="FootnoteReference"/>
          <w:bCs/>
          <w:iCs/>
          <w:sz w:val="22"/>
          <w:szCs w:val="22"/>
        </w:rPr>
        <w:footnoteReference w:id="44"/>
      </w:r>
      <w:r w:rsidR="00131778" w:rsidRPr="007632CD">
        <w:rPr>
          <w:bCs/>
          <w:iCs/>
          <w:sz w:val="22"/>
          <w:szCs w:val="22"/>
        </w:rPr>
        <w:t xml:space="preserve"> </w:t>
      </w:r>
      <w:r w:rsidR="002E2DFF" w:rsidRPr="007632CD">
        <w:rPr>
          <w:sz w:val="22"/>
          <w:szCs w:val="22"/>
          <w:lang w:val="es-ES"/>
        </w:rPr>
        <w:t>Además,</w:t>
      </w:r>
      <w:r w:rsidR="00131778" w:rsidRPr="007632CD">
        <w:rPr>
          <w:sz w:val="22"/>
          <w:szCs w:val="22"/>
          <w:lang w:val="es-ES"/>
        </w:rPr>
        <w:t xml:space="preserve"> </w:t>
      </w:r>
      <w:r w:rsidR="002E2DFF" w:rsidRPr="007632CD">
        <w:rPr>
          <w:sz w:val="22"/>
          <w:szCs w:val="22"/>
          <w:lang w:val="es-ES"/>
        </w:rPr>
        <w:t xml:space="preserve">pareciera </w:t>
      </w:r>
      <w:r w:rsidR="00131778" w:rsidRPr="007632CD">
        <w:rPr>
          <w:sz w:val="22"/>
          <w:szCs w:val="22"/>
          <w:lang w:val="es-ES"/>
        </w:rPr>
        <w:t>razonable aplicar esta misma estructura a las empresas cooperativas favoreciendo el espíritu de las mismas en coherencia con el tamaño de la firma y, de alguna manera, de la misión solidaria (y el valor económico de la misma por el beneficio de escala y seguro social) entre los socios que este movimiento representa.</w:t>
      </w:r>
    </w:p>
    <w:p w14:paraId="75ABA4A2" w14:textId="77777777" w:rsidR="00B902BE" w:rsidRDefault="00245B5D" w:rsidP="005F1FA5">
      <w:pPr>
        <w:tabs>
          <w:tab w:val="left" w:pos="810"/>
          <w:tab w:val="left" w:pos="1531"/>
        </w:tabs>
        <w:autoSpaceDE w:val="0"/>
        <w:autoSpaceDN w:val="0"/>
        <w:adjustRightInd w:val="0"/>
        <w:spacing w:before="120" w:after="100" w:afterAutospacing="1" w:line="360" w:lineRule="auto"/>
        <w:jc w:val="both"/>
        <w:rPr>
          <w:rFonts w:ascii="Times New Roman" w:hAnsi="Times New Roman"/>
          <w:bCs/>
          <w:iCs/>
        </w:rPr>
      </w:pPr>
      <w:r w:rsidRPr="00B90270">
        <w:rPr>
          <w:rFonts w:ascii="Times New Roman" w:hAnsi="Times New Roman"/>
          <w:b/>
          <w:bCs/>
          <w:iCs/>
        </w:rPr>
        <w:t xml:space="preserve">Se recomienda </w:t>
      </w:r>
      <w:r w:rsidR="004E71BE">
        <w:rPr>
          <w:rFonts w:ascii="Times New Roman" w:hAnsi="Times New Roman"/>
          <w:b/>
          <w:bCs/>
          <w:iCs/>
        </w:rPr>
        <w:t xml:space="preserve">perfeccionar la </w:t>
      </w:r>
      <w:r w:rsidR="004E71BE">
        <w:rPr>
          <w:rFonts w:ascii="Times New Roman" w:hAnsi="Times New Roman"/>
          <w:b/>
          <w:bCs/>
          <w:i/>
          <w:iCs/>
        </w:rPr>
        <w:t>dua</w:t>
      </w:r>
      <w:r w:rsidR="004E71BE" w:rsidRPr="00B90270">
        <w:rPr>
          <w:rFonts w:ascii="Times New Roman" w:hAnsi="Times New Roman"/>
          <w:b/>
          <w:bCs/>
          <w:i/>
          <w:iCs/>
        </w:rPr>
        <w:t>liz</w:t>
      </w:r>
      <w:r w:rsidR="004E71BE">
        <w:rPr>
          <w:rFonts w:ascii="Times New Roman" w:hAnsi="Times New Roman"/>
          <w:b/>
          <w:bCs/>
          <w:i/>
          <w:iCs/>
        </w:rPr>
        <w:t>ación</w:t>
      </w:r>
      <w:r w:rsidRPr="00B90270">
        <w:rPr>
          <w:rFonts w:ascii="Times New Roman" w:hAnsi="Times New Roman"/>
          <w:b/>
          <w:bCs/>
          <w:iCs/>
        </w:rPr>
        <w:t xml:space="preserve"> </w:t>
      </w:r>
      <w:r w:rsidR="00B90270" w:rsidRPr="00B90270">
        <w:rPr>
          <w:rFonts w:ascii="Times New Roman" w:hAnsi="Times New Roman"/>
          <w:b/>
          <w:bCs/>
          <w:iCs/>
        </w:rPr>
        <w:t>completa</w:t>
      </w:r>
      <w:r w:rsidR="004E71BE">
        <w:rPr>
          <w:rFonts w:ascii="Times New Roman" w:hAnsi="Times New Roman"/>
          <w:b/>
          <w:bCs/>
          <w:iCs/>
        </w:rPr>
        <w:t>ndo</w:t>
      </w:r>
      <w:r w:rsidR="00B90270" w:rsidRPr="00B90270">
        <w:rPr>
          <w:rFonts w:ascii="Times New Roman" w:hAnsi="Times New Roman"/>
          <w:b/>
          <w:bCs/>
          <w:iCs/>
        </w:rPr>
        <w:t xml:space="preserve"> el </w:t>
      </w:r>
      <w:r w:rsidRPr="00B90270">
        <w:rPr>
          <w:rFonts w:ascii="Times New Roman" w:hAnsi="Times New Roman"/>
          <w:b/>
          <w:bCs/>
          <w:iCs/>
        </w:rPr>
        <w:t xml:space="preserve">sistema </w:t>
      </w:r>
      <w:r w:rsidR="005502B2">
        <w:rPr>
          <w:rFonts w:ascii="Times New Roman" w:hAnsi="Times New Roman"/>
          <w:b/>
          <w:bCs/>
          <w:iCs/>
        </w:rPr>
        <w:t xml:space="preserve">para </w:t>
      </w:r>
      <w:r w:rsidR="00860FF5">
        <w:rPr>
          <w:rFonts w:ascii="Times New Roman" w:hAnsi="Times New Roman"/>
          <w:b/>
          <w:bCs/>
          <w:iCs/>
        </w:rPr>
        <w:t>ingresos generados en otras cédulas</w:t>
      </w:r>
      <w:r w:rsidR="00381E9B">
        <w:rPr>
          <w:rFonts w:ascii="Times New Roman" w:hAnsi="Times New Roman"/>
          <w:b/>
          <w:bCs/>
          <w:iCs/>
        </w:rPr>
        <w:t xml:space="preserve"> </w:t>
      </w:r>
      <w:r w:rsidR="00381E9B" w:rsidRPr="00B90270">
        <w:rPr>
          <w:rFonts w:ascii="Times New Roman" w:hAnsi="Times New Roman"/>
          <w:b/>
          <w:bCs/>
          <w:iCs/>
        </w:rPr>
        <w:t>del Impuesto de la Renta</w:t>
      </w:r>
      <w:r w:rsidR="004E71BE">
        <w:rPr>
          <w:rFonts w:ascii="Times New Roman" w:hAnsi="Times New Roman"/>
          <w:b/>
          <w:bCs/>
          <w:iCs/>
        </w:rPr>
        <w:t>.</w:t>
      </w:r>
      <w:r w:rsidR="00B90270" w:rsidRPr="00B90270">
        <w:rPr>
          <w:rFonts w:ascii="Times New Roman" w:hAnsi="Times New Roman"/>
          <w:b/>
          <w:bCs/>
          <w:iCs/>
        </w:rPr>
        <w:t xml:space="preserve"> </w:t>
      </w:r>
      <w:r w:rsidR="001D00FB" w:rsidRPr="001D00FB">
        <w:rPr>
          <w:rFonts w:ascii="Times New Roman" w:hAnsi="Times New Roman"/>
          <w:bCs/>
          <w:iCs/>
        </w:rPr>
        <w:t>Se recomienda</w:t>
      </w:r>
      <w:r w:rsidR="001D00FB">
        <w:rPr>
          <w:rFonts w:ascii="Times New Roman" w:hAnsi="Times New Roman"/>
          <w:b/>
          <w:bCs/>
          <w:iCs/>
        </w:rPr>
        <w:t xml:space="preserve"> </w:t>
      </w:r>
      <w:r w:rsidR="0050568A" w:rsidRPr="0050568A">
        <w:rPr>
          <w:rFonts w:ascii="Times New Roman" w:hAnsi="Times New Roman"/>
          <w:bCs/>
          <w:iCs/>
        </w:rPr>
        <w:t xml:space="preserve">que </w:t>
      </w:r>
      <w:r w:rsidR="00C916EE">
        <w:rPr>
          <w:rFonts w:ascii="Times New Roman" w:hAnsi="Times New Roman"/>
          <w:bCs/>
          <w:iCs/>
        </w:rPr>
        <w:t xml:space="preserve">se dualice </w:t>
      </w:r>
      <w:r w:rsidR="0050568A" w:rsidRPr="0050568A">
        <w:rPr>
          <w:rFonts w:ascii="Times New Roman" w:hAnsi="Times New Roman"/>
          <w:bCs/>
          <w:iCs/>
        </w:rPr>
        <w:t>el</w:t>
      </w:r>
      <w:r w:rsidR="0050568A">
        <w:rPr>
          <w:rFonts w:ascii="Times New Roman" w:hAnsi="Times New Roman"/>
          <w:bCs/>
          <w:iCs/>
        </w:rPr>
        <w:t xml:space="preserve"> impuesto </w:t>
      </w:r>
      <w:r w:rsidR="00C916EE" w:rsidRPr="00C916EE">
        <w:rPr>
          <w:rFonts w:ascii="Times New Roman" w:hAnsi="Times New Roman"/>
          <w:bCs/>
          <w:iCs/>
        </w:rPr>
        <w:t>a la renta,</w:t>
      </w:r>
      <w:r w:rsidR="00C916EE">
        <w:rPr>
          <w:rFonts w:ascii="Times New Roman" w:hAnsi="Times New Roman"/>
          <w:b/>
          <w:bCs/>
          <w:iCs/>
        </w:rPr>
        <w:t xml:space="preserve"> </w:t>
      </w:r>
      <w:r w:rsidR="00C916EE">
        <w:rPr>
          <w:rFonts w:ascii="Times New Roman" w:hAnsi="Times New Roman"/>
          <w:bCs/>
          <w:iCs/>
        </w:rPr>
        <w:t xml:space="preserve">que se </w:t>
      </w:r>
      <w:r w:rsidR="002D4031">
        <w:rPr>
          <w:rFonts w:ascii="Times New Roman" w:hAnsi="Times New Roman"/>
          <w:bCs/>
          <w:iCs/>
        </w:rPr>
        <w:t>graven las rentas del trabajo a tasas progresivas, pero que por otra se graven todas las rentas puras del capital a una tasa única de retención liberatoria</w:t>
      </w:r>
      <w:r w:rsidR="00AA1D45">
        <w:rPr>
          <w:rFonts w:ascii="Times New Roman" w:hAnsi="Times New Roman"/>
          <w:bCs/>
          <w:iCs/>
        </w:rPr>
        <w:t>, que podría ser del 15%</w:t>
      </w:r>
      <w:r w:rsidR="002D4031">
        <w:rPr>
          <w:rFonts w:ascii="Times New Roman" w:hAnsi="Times New Roman"/>
          <w:bCs/>
          <w:iCs/>
        </w:rPr>
        <w:t>.</w:t>
      </w:r>
      <w:r w:rsidR="00C629B3">
        <w:rPr>
          <w:rFonts w:ascii="Times New Roman" w:hAnsi="Times New Roman"/>
          <w:bCs/>
          <w:iCs/>
        </w:rPr>
        <w:t xml:space="preserve"> Dentro de las ventajas que se pueden enumerar del sistema podemos </w:t>
      </w:r>
      <w:r w:rsidR="000B7300">
        <w:rPr>
          <w:rFonts w:ascii="Times New Roman" w:hAnsi="Times New Roman"/>
          <w:bCs/>
          <w:iCs/>
        </w:rPr>
        <w:t>señalar</w:t>
      </w:r>
      <w:r w:rsidR="00BD3AEA">
        <w:rPr>
          <w:rFonts w:ascii="Times New Roman" w:hAnsi="Times New Roman"/>
          <w:bCs/>
          <w:iCs/>
        </w:rPr>
        <w:t>:</w:t>
      </w:r>
      <w:r w:rsidR="000B7300">
        <w:rPr>
          <w:rFonts w:ascii="Times New Roman" w:hAnsi="Times New Roman"/>
          <w:bCs/>
          <w:iCs/>
        </w:rPr>
        <w:t xml:space="preserve"> (i) su simplicidad porque al gravar a una misma tasa </w:t>
      </w:r>
      <w:r w:rsidR="00FE17F5">
        <w:rPr>
          <w:rFonts w:ascii="Times New Roman" w:hAnsi="Times New Roman"/>
          <w:bCs/>
          <w:iCs/>
        </w:rPr>
        <w:t xml:space="preserve">disminuye costos administrativos y de cumplimiento para las empresas; (ii) </w:t>
      </w:r>
      <w:r w:rsidR="004534C7">
        <w:rPr>
          <w:rFonts w:ascii="Times New Roman" w:hAnsi="Times New Roman"/>
          <w:bCs/>
          <w:iCs/>
        </w:rPr>
        <w:t xml:space="preserve">se evita la “deslocalización” del ahorro, pues </w:t>
      </w:r>
      <w:r w:rsidR="000D4ED7">
        <w:rPr>
          <w:rFonts w:ascii="Times New Roman" w:hAnsi="Times New Roman"/>
          <w:bCs/>
          <w:iCs/>
        </w:rPr>
        <w:t>si se grava a tasas muy altas el capital se puede desplazar hacia jurisdicciones de baja o nula tributación</w:t>
      </w:r>
      <w:r w:rsidR="00454FD0">
        <w:rPr>
          <w:rFonts w:ascii="Times New Roman" w:hAnsi="Times New Roman"/>
          <w:bCs/>
          <w:iCs/>
        </w:rPr>
        <w:t>, por su movilidad</w:t>
      </w:r>
      <w:r w:rsidR="0064666A">
        <w:rPr>
          <w:rFonts w:ascii="Times New Roman" w:hAnsi="Times New Roman"/>
          <w:bCs/>
          <w:iCs/>
        </w:rPr>
        <w:t xml:space="preserve">; </w:t>
      </w:r>
      <w:r w:rsidR="00077A1E">
        <w:rPr>
          <w:rFonts w:ascii="Times New Roman" w:hAnsi="Times New Roman"/>
          <w:bCs/>
          <w:iCs/>
        </w:rPr>
        <w:t xml:space="preserve">y </w:t>
      </w:r>
      <w:r w:rsidR="00604F4D">
        <w:rPr>
          <w:rFonts w:ascii="Times New Roman" w:hAnsi="Times New Roman"/>
          <w:bCs/>
          <w:iCs/>
        </w:rPr>
        <w:t xml:space="preserve">(iii) </w:t>
      </w:r>
      <w:r w:rsidR="00C8303A">
        <w:rPr>
          <w:rFonts w:ascii="Times New Roman" w:hAnsi="Times New Roman"/>
          <w:bCs/>
          <w:iCs/>
        </w:rPr>
        <w:t xml:space="preserve">por último, </w:t>
      </w:r>
      <w:r w:rsidR="001C7E89">
        <w:rPr>
          <w:rFonts w:ascii="Times New Roman" w:hAnsi="Times New Roman"/>
          <w:bCs/>
          <w:iCs/>
        </w:rPr>
        <w:t>una tasa única evita que se generan arbitrajes</w:t>
      </w:r>
      <w:r w:rsidR="008448BB">
        <w:rPr>
          <w:rFonts w:ascii="Times New Roman" w:hAnsi="Times New Roman"/>
          <w:bCs/>
          <w:iCs/>
        </w:rPr>
        <w:t xml:space="preserve"> entre las distintas fuentes.</w:t>
      </w:r>
      <w:r w:rsidR="00C14EF5">
        <w:rPr>
          <w:rFonts w:ascii="Times New Roman" w:hAnsi="Times New Roman"/>
          <w:bCs/>
          <w:iCs/>
        </w:rPr>
        <w:t xml:space="preserve"> </w:t>
      </w:r>
    </w:p>
    <w:p w14:paraId="54D7D44F" w14:textId="77777777" w:rsidR="008353CA" w:rsidRDefault="009D317E" w:rsidP="005F1FA5">
      <w:pPr>
        <w:tabs>
          <w:tab w:val="left" w:pos="810"/>
          <w:tab w:val="left" w:pos="1531"/>
        </w:tabs>
        <w:autoSpaceDE w:val="0"/>
        <w:autoSpaceDN w:val="0"/>
        <w:adjustRightInd w:val="0"/>
        <w:spacing w:before="120" w:after="100" w:afterAutospacing="1" w:line="360" w:lineRule="auto"/>
        <w:jc w:val="both"/>
        <w:rPr>
          <w:rFonts w:ascii="Times New Roman" w:hAnsi="Times New Roman"/>
          <w:bCs/>
          <w:iCs/>
        </w:rPr>
      </w:pPr>
      <w:r>
        <w:rPr>
          <w:rFonts w:ascii="Times New Roman" w:hAnsi="Times New Roman"/>
          <w:bCs/>
          <w:iCs/>
        </w:rPr>
        <w:t>Podría</w:t>
      </w:r>
      <w:r w:rsidR="00C14EF5">
        <w:rPr>
          <w:rFonts w:ascii="Times New Roman" w:hAnsi="Times New Roman"/>
          <w:bCs/>
          <w:iCs/>
        </w:rPr>
        <w:t xml:space="preserve"> haber </w:t>
      </w:r>
      <w:r>
        <w:rPr>
          <w:rFonts w:ascii="Times New Roman" w:hAnsi="Times New Roman"/>
          <w:bCs/>
          <w:iCs/>
        </w:rPr>
        <w:t xml:space="preserve">mínimas </w:t>
      </w:r>
      <w:r w:rsidR="00C14EF5">
        <w:rPr>
          <w:rFonts w:ascii="Times New Roman" w:hAnsi="Times New Roman"/>
          <w:bCs/>
          <w:iCs/>
        </w:rPr>
        <w:t xml:space="preserve">exoneraciones subjetivas como los bonos del gobierno, hoy también hay tasas diferenciales para cooperativas y ciertos depósitos, pero que es recomendable eliminar para todos los sujetos </w:t>
      </w:r>
      <w:r w:rsidR="00FB641B">
        <w:rPr>
          <w:rFonts w:ascii="Times New Roman" w:hAnsi="Times New Roman"/>
          <w:bCs/>
          <w:iCs/>
        </w:rPr>
        <w:t xml:space="preserve">inclusive </w:t>
      </w:r>
      <w:r w:rsidR="00C14EF5">
        <w:rPr>
          <w:rFonts w:ascii="Times New Roman" w:hAnsi="Times New Roman"/>
          <w:bCs/>
          <w:iCs/>
        </w:rPr>
        <w:t>cooperativas o bolsa</w:t>
      </w:r>
      <w:r w:rsidR="00FB641B">
        <w:rPr>
          <w:rFonts w:ascii="Times New Roman" w:hAnsi="Times New Roman"/>
          <w:bCs/>
          <w:iCs/>
        </w:rPr>
        <w:t>s</w:t>
      </w:r>
      <w:r w:rsidR="00C14EF5">
        <w:rPr>
          <w:rFonts w:ascii="Times New Roman" w:hAnsi="Times New Roman"/>
          <w:bCs/>
          <w:iCs/>
        </w:rPr>
        <w:t xml:space="preserve"> de inversión ya que constituyen una distorsión injustificada</w:t>
      </w:r>
      <w:r w:rsidR="00FB641B">
        <w:rPr>
          <w:rFonts w:ascii="Times New Roman" w:hAnsi="Times New Roman"/>
          <w:bCs/>
          <w:iCs/>
        </w:rPr>
        <w:t xml:space="preserve"> con alto costo fiscal</w:t>
      </w:r>
      <w:r w:rsidR="00D02863">
        <w:rPr>
          <w:rFonts w:ascii="Times New Roman" w:hAnsi="Times New Roman"/>
          <w:bCs/>
          <w:iCs/>
        </w:rPr>
        <w:t>. Además,</w:t>
      </w:r>
      <w:r w:rsidR="00C14EF5">
        <w:rPr>
          <w:rFonts w:ascii="Times New Roman" w:hAnsi="Times New Roman"/>
          <w:bCs/>
          <w:iCs/>
        </w:rPr>
        <w:t xml:space="preserve"> a nivel internacional </w:t>
      </w:r>
      <w:r w:rsidR="00D02863">
        <w:rPr>
          <w:rFonts w:ascii="Times New Roman" w:hAnsi="Times New Roman"/>
          <w:bCs/>
          <w:iCs/>
        </w:rPr>
        <w:t xml:space="preserve">estos privilegios </w:t>
      </w:r>
      <w:r w:rsidR="00C14EF5">
        <w:rPr>
          <w:rFonts w:ascii="Times New Roman" w:hAnsi="Times New Roman"/>
          <w:bCs/>
          <w:iCs/>
        </w:rPr>
        <w:t xml:space="preserve">no han dado resultado para favorecer ni </w:t>
      </w:r>
      <w:r w:rsidR="00D02863">
        <w:rPr>
          <w:rFonts w:ascii="Times New Roman" w:hAnsi="Times New Roman"/>
          <w:bCs/>
          <w:iCs/>
        </w:rPr>
        <w:t xml:space="preserve">para aumentar el </w:t>
      </w:r>
      <w:r w:rsidR="00C14EF5">
        <w:rPr>
          <w:rFonts w:ascii="Times New Roman" w:hAnsi="Times New Roman"/>
          <w:bCs/>
          <w:iCs/>
        </w:rPr>
        <w:t>ahorro</w:t>
      </w:r>
      <w:r w:rsidR="00D02863">
        <w:rPr>
          <w:rFonts w:ascii="Times New Roman" w:hAnsi="Times New Roman"/>
          <w:bCs/>
          <w:iCs/>
        </w:rPr>
        <w:t xml:space="preserve"> nacional </w:t>
      </w:r>
      <w:r w:rsidR="00C14EF5">
        <w:rPr>
          <w:rFonts w:ascii="Times New Roman" w:hAnsi="Times New Roman"/>
          <w:bCs/>
          <w:iCs/>
        </w:rPr>
        <w:t xml:space="preserve">ni </w:t>
      </w:r>
      <w:r w:rsidR="00D02863">
        <w:rPr>
          <w:rFonts w:ascii="Times New Roman" w:hAnsi="Times New Roman"/>
          <w:bCs/>
          <w:iCs/>
        </w:rPr>
        <w:t xml:space="preserve">para </w:t>
      </w:r>
      <w:r w:rsidR="00C14EF5">
        <w:rPr>
          <w:rFonts w:ascii="Times New Roman" w:hAnsi="Times New Roman"/>
          <w:bCs/>
          <w:iCs/>
        </w:rPr>
        <w:t>la formación del mercado de capitales</w:t>
      </w:r>
      <w:r w:rsidR="00AF7131">
        <w:rPr>
          <w:rFonts w:ascii="Times New Roman" w:hAnsi="Times New Roman"/>
          <w:bCs/>
          <w:iCs/>
        </w:rPr>
        <w:t xml:space="preserve"> que dependen en mucho mayor medida en otros factores (seguridad jurídica, estabilidad</w:t>
      </w:r>
      <w:r w:rsidR="00834A67">
        <w:rPr>
          <w:rFonts w:ascii="Times New Roman" w:hAnsi="Times New Roman"/>
          <w:bCs/>
          <w:iCs/>
        </w:rPr>
        <w:t xml:space="preserve"> </w:t>
      </w:r>
      <w:r w:rsidR="00AF7131">
        <w:rPr>
          <w:rFonts w:ascii="Times New Roman" w:hAnsi="Times New Roman"/>
          <w:bCs/>
          <w:iCs/>
        </w:rPr>
        <w:t>económica y</w:t>
      </w:r>
      <w:r w:rsidR="00176871">
        <w:rPr>
          <w:rFonts w:ascii="Times New Roman" w:hAnsi="Times New Roman"/>
          <w:bCs/>
          <w:iCs/>
        </w:rPr>
        <w:t xml:space="preserve"> libertad financiera</w:t>
      </w:r>
      <w:r w:rsidR="00AF7131">
        <w:rPr>
          <w:rFonts w:ascii="Times New Roman" w:hAnsi="Times New Roman"/>
          <w:bCs/>
          <w:iCs/>
        </w:rPr>
        <w:t>, estructura de la propiedad</w:t>
      </w:r>
      <w:r w:rsidR="0001426D">
        <w:rPr>
          <w:rFonts w:ascii="Times New Roman" w:hAnsi="Times New Roman"/>
          <w:bCs/>
          <w:iCs/>
        </w:rPr>
        <w:t xml:space="preserve"> y la producción</w:t>
      </w:r>
      <w:r w:rsidR="00AF7131">
        <w:rPr>
          <w:rFonts w:ascii="Times New Roman" w:hAnsi="Times New Roman"/>
          <w:bCs/>
          <w:iCs/>
        </w:rPr>
        <w:t>,</w:t>
      </w:r>
      <w:r w:rsidR="00834A67">
        <w:rPr>
          <w:rFonts w:ascii="Times New Roman" w:hAnsi="Times New Roman"/>
          <w:bCs/>
          <w:iCs/>
        </w:rPr>
        <w:t xml:space="preserve"> integración a mercados financieros internacionales,</w:t>
      </w:r>
      <w:r w:rsidR="00AF7131">
        <w:rPr>
          <w:rFonts w:ascii="Times New Roman" w:hAnsi="Times New Roman"/>
          <w:bCs/>
          <w:iCs/>
        </w:rPr>
        <w:t xml:space="preserve"> etc.)</w:t>
      </w:r>
      <w:r w:rsidR="00C14EF5">
        <w:rPr>
          <w:rFonts w:ascii="Times New Roman" w:hAnsi="Times New Roman"/>
          <w:bCs/>
          <w:iCs/>
        </w:rPr>
        <w:t>.</w:t>
      </w:r>
    </w:p>
    <w:p w14:paraId="76F8C578" w14:textId="77777777" w:rsidR="004C5E2F" w:rsidRDefault="004C5E2F" w:rsidP="004C5E2F">
      <w:pPr>
        <w:pStyle w:val="Estilo4"/>
        <w:numPr>
          <w:ilvl w:val="0"/>
          <w:numId w:val="0"/>
        </w:numPr>
        <w:tabs>
          <w:tab w:val="left" w:pos="0"/>
        </w:tabs>
        <w:spacing w:line="360" w:lineRule="auto"/>
        <w:contextualSpacing w:val="0"/>
        <w:rPr>
          <w:sz w:val="22"/>
          <w:lang w:val="es-ES"/>
        </w:rPr>
      </w:pPr>
      <w:r w:rsidRPr="000F3C02">
        <w:rPr>
          <w:b/>
          <w:sz w:val="22"/>
          <w:lang w:val="es-ES"/>
        </w:rPr>
        <w:t xml:space="preserve">Se recomienda crear más tramos para salarios más elevados </w:t>
      </w:r>
      <w:r>
        <w:rPr>
          <w:b/>
          <w:sz w:val="22"/>
          <w:lang w:val="es-ES"/>
        </w:rPr>
        <w:t>y</w:t>
      </w:r>
      <w:r w:rsidRPr="000F3C02">
        <w:rPr>
          <w:b/>
          <w:sz w:val="22"/>
          <w:lang w:val="es-ES"/>
        </w:rPr>
        <w:t xml:space="preserve"> disminuir el umbral mínimo a partir del cual se inicia el pago de I</w:t>
      </w:r>
      <w:r w:rsidR="00105D7B">
        <w:rPr>
          <w:b/>
          <w:sz w:val="22"/>
          <w:lang w:val="es-ES"/>
        </w:rPr>
        <w:t>R</w:t>
      </w:r>
      <w:r w:rsidR="00131778">
        <w:rPr>
          <w:b/>
          <w:sz w:val="22"/>
          <w:lang w:val="es-ES"/>
        </w:rPr>
        <w:t>S</w:t>
      </w:r>
      <w:r w:rsidRPr="000F3C02">
        <w:rPr>
          <w:b/>
          <w:sz w:val="22"/>
          <w:lang w:val="es-ES"/>
        </w:rPr>
        <w:t>.</w:t>
      </w:r>
      <w:r>
        <w:rPr>
          <w:b/>
          <w:sz w:val="22"/>
          <w:lang w:val="es-ES"/>
        </w:rPr>
        <w:t xml:space="preserve"> </w:t>
      </w:r>
      <w:r>
        <w:rPr>
          <w:sz w:val="22"/>
          <w:lang w:val="es-ES"/>
        </w:rPr>
        <w:t>Esta medida incluiría mayor cantidad de asalariados contribuyendo al IS</w:t>
      </w:r>
      <w:r w:rsidR="00105D7B">
        <w:rPr>
          <w:sz w:val="22"/>
          <w:lang w:val="es-ES"/>
        </w:rPr>
        <w:t>R</w:t>
      </w:r>
      <w:r>
        <w:rPr>
          <w:sz w:val="22"/>
          <w:lang w:val="es-ES"/>
        </w:rPr>
        <w:t xml:space="preserve">, es decir se amplía la base. Así mismo, crear tramos para salarios más elevados, no solamente aumentaría la recaudación, pero también mejora la progresividad del impuesto. </w:t>
      </w:r>
      <w:r w:rsidR="0076303A">
        <w:rPr>
          <w:sz w:val="22"/>
          <w:lang w:val="es-ES"/>
        </w:rPr>
        <w:t>Incrementar la base del IS</w:t>
      </w:r>
      <w:r w:rsidR="00105D7B">
        <w:rPr>
          <w:sz w:val="22"/>
          <w:lang w:val="es-ES"/>
        </w:rPr>
        <w:t>R</w:t>
      </w:r>
      <w:r w:rsidR="0076303A">
        <w:rPr>
          <w:sz w:val="22"/>
          <w:lang w:val="es-ES"/>
        </w:rPr>
        <w:t xml:space="preserve"> </w:t>
      </w:r>
      <w:r w:rsidR="00850750">
        <w:rPr>
          <w:sz w:val="22"/>
          <w:lang w:val="es-ES"/>
        </w:rPr>
        <w:t xml:space="preserve">e incluir más tramos para salarios más elevados </w:t>
      </w:r>
      <w:r w:rsidR="00ED507F">
        <w:rPr>
          <w:sz w:val="22"/>
          <w:lang w:val="es-ES"/>
        </w:rPr>
        <w:t xml:space="preserve">(al menos uno más sumando 5 puntos porcentuales) </w:t>
      </w:r>
      <w:r w:rsidR="00850750">
        <w:rPr>
          <w:sz w:val="22"/>
          <w:lang w:val="es-ES"/>
        </w:rPr>
        <w:t xml:space="preserve">es importante toda vez que </w:t>
      </w:r>
      <w:r w:rsidR="004A1301">
        <w:rPr>
          <w:sz w:val="22"/>
          <w:lang w:val="es-ES"/>
        </w:rPr>
        <w:t xml:space="preserve">por este concepto se recauda </w:t>
      </w:r>
      <w:r w:rsidR="00311BAE">
        <w:rPr>
          <w:sz w:val="22"/>
          <w:lang w:val="es-ES"/>
        </w:rPr>
        <w:t xml:space="preserve">5,8% </w:t>
      </w:r>
      <w:r w:rsidR="007C6642">
        <w:rPr>
          <w:sz w:val="22"/>
          <w:lang w:val="es-ES"/>
        </w:rPr>
        <w:t>del total de</w:t>
      </w:r>
      <w:r w:rsidR="001A4B0E">
        <w:rPr>
          <w:sz w:val="22"/>
          <w:lang w:val="es-ES"/>
        </w:rPr>
        <w:t xml:space="preserve"> la recaudación, mientras que </w:t>
      </w:r>
      <w:r w:rsidR="00C8565B">
        <w:rPr>
          <w:sz w:val="22"/>
          <w:lang w:val="es-ES"/>
        </w:rPr>
        <w:t>el promedio del latinoamericano es de 8,8%</w:t>
      </w:r>
      <w:r w:rsidR="00C8565B">
        <w:rPr>
          <w:rStyle w:val="FootnoteReference"/>
          <w:sz w:val="22"/>
          <w:lang w:val="es-ES"/>
        </w:rPr>
        <w:footnoteReference w:id="45"/>
      </w:r>
      <w:r w:rsidR="004A1D2F">
        <w:rPr>
          <w:sz w:val="22"/>
          <w:lang w:val="es-ES"/>
        </w:rPr>
        <w:t xml:space="preserve"> y el de los países miembros de la OCDE es de 24%.</w:t>
      </w:r>
    </w:p>
    <w:p w14:paraId="40BC8694" w14:textId="77777777" w:rsidR="0035763D" w:rsidRDefault="0010474F" w:rsidP="004C5E2F">
      <w:pPr>
        <w:pStyle w:val="Estilo4"/>
        <w:numPr>
          <w:ilvl w:val="0"/>
          <w:numId w:val="0"/>
        </w:numPr>
        <w:tabs>
          <w:tab w:val="left" w:pos="0"/>
        </w:tabs>
        <w:spacing w:line="360" w:lineRule="auto"/>
        <w:contextualSpacing w:val="0"/>
        <w:rPr>
          <w:sz w:val="22"/>
          <w:lang w:val="es-ES"/>
        </w:rPr>
      </w:pPr>
      <w:r w:rsidRPr="00451539">
        <w:rPr>
          <w:b/>
          <w:sz w:val="22"/>
          <w:lang w:val="es-ES"/>
        </w:rPr>
        <w:t xml:space="preserve">Es recomendable </w:t>
      </w:r>
      <w:r w:rsidR="00D333F0" w:rsidRPr="00451539">
        <w:rPr>
          <w:b/>
          <w:sz w:val="22"/>
          <w:lang w:val="es-ES"/>
        </w:rPr>
        <w:t xml:space="preserve">permitir la deducción de </w:t>
      </w:r>
      <w:r w:rsidR="00EC237E" w:rsidRPr="00451539">
        <w:rPr>
          <w:b/>
          <w:sz w:val="22"/>
          <w:lang w:val="es-ES"/>
        </w:rPr>
        <w:t>los aportes de la CSS</w:t>
      </w:r>
      <w:r w:rsidR="00AC26AF" w:rsidRPr="00451539">
        <w:rPr>
          <w:b/>
          <w:sz w:val="22"/>
          <w:lang w:val="es-ES"/>
        </w:rPr>
        <w:t xml:space="preserve"> </w:t>
      </w:r>
      <w:r w:rsidR="00376A20" w:rsidRPr="00451539">
        <w:rPr>
          <w:b/>
          <w:sz w:val="22"/>
          <w:lang w:val="es-ES"/>
        </w:rPr>
        <w:t>de la base gravable del IS</w:t>
      </w:r>
      <w:r w:rsidR="00105D7B">
        <w:rPr>
          <w:b/>
          <w:sz w:val="22"/>
          <w:lang w:val="es-ES"/>
        </w:rPr>
        <w:t>R</w:t>
      </w:r>
      <w:r w:rsidR="00F830C2">
        <w:rPr>
          <w:b/>
          <w:sz w:val="22"/>
          <w:lang w:val="es-ES"/>
        </w:rPr>
        <w:t xml:space="preserve">. </w:t>
      </w:r>
      <w:r w:rsidR="007E48DD">
        <w:rPr>
          <w:sz w:val="22"/>
          <w:lang w:val="es-ES"/>
        </w:rPr>
        <w:t>Permitir la deducción de l</w:t>
      </w:r>
      <w:r w:rsidR="00076C8C">
        <w:rPr>
          <w:sz w:val="22"/>
          <w:lang w:val="es-ES"/>
        </w:rPr>
        <w:t xml:space="preserve">as CSS </w:t>
      </w:r>
      <w:r w:rsidR="00C04C35">
        <w:rPr>
          <w:sz w:val="22"/>
          <w:lang w:val="es-ES"/>
        </w:rPr>
        <w:t>disminuye los costos que enfrentan los empleados</w:t>
      </w:r>
      <w:r w:rsidR="007D7E2C">
        <w:rPr>
          <w:sz w:val="22"/>
          <w:lang w:val="es-ES"/>
        </w:rPr>
        <w:t xml:space="preserve"> y por lo tanto su ingreso disponible después de impuestos</w:t>
      </w:r>
      <w:r w:rsidR="006C4255">
        <w:rPr>
          <w:sz w:val="22"/>
          <w:lang w:val="es-ES"/>
        </w:rPr>
        <w:t xml:space="preserve">, por lo </w:t>
      </w:r>
      <w:r w:rsidR="009F11CF">
        <w:rPr>
          <w:sz w:val="22"/>
          <w:lang w:val="es-ES"/>
        </w:rPr>
        <w:t>que</w:t>
      </w:r>
      <w:r w:rsidR="006C4255">
        <w:rPr>
          <w:sz w:val="22"/>
          <w:lang w:val="es-ES"/>
        </w:rPr>
        <w:t xml:space="preserve"> se esperaría </w:t>
      </w:r>
      <w:r w:rsidR="00B52351">
        <w:rPr>
          <w:sz w:val="22"/>
          <w:lang w:val="es-ES"/>
        </w:rPr>
        <w:t>un aumento en el consumo y el ahorro</w:t>
      </w:r>
      <w:r w:rsidR="006C4255">
        <w:rPr>
          <w:sz w:val="22"/>
          <w:lang w:val="es-ES"/>
        </w:rPr>
        <w:t xml:space="preserve">. </w:t>
      </w:r>
      <w:r w:rsidR="003007F9">
        <w:rPr>
          <w:sz w:val="22"/>
          <w:lang w:val="es-ES"/>
        </w:rPr>
        <w:t xml:space="preserve">Es importante recalcar, que esta es una práctica extendida en el mundo, y más bien no contar con esta deducción </w:t>
      </w:r>
      <w:r w:rsidR="00952D83">
        <w:rPr>
          <w:sz w:val="22"/>
          <w:lang w:val="es-ES"/>
        </w:rPr>
        <w:t>es algo poco usual.</w:t>
      </w:r>
    </w:p>
    <w:p w14:paraId="1B83AA85" w14:textId="77777777" w:rsidR="001F66A8" w:rsidRPr="001C7AD8" w:rsidRDefault="001F66A8" w:rsidP="001C7AD8">
      <w:pPr>
        <w:pStyle w:val="Heading1"/>
        <w:numPr>
          <w:ilvl w:val="0"/>
          <w:numId w:val="0"/>
        </w:numPr>
        <w:ind w:left="-360"/>
        <w:jc w:val="left"/>
        <w:rPr>
          <w:rFonts w:eastAsiaTheme="minorEastAsia" w:cs="Times New Roman"/>
          <w:bCs w:val="0"/>
          <w:i/>
          <w:smallCaps w:val="0"/>
          <w:color w:val="000000" w:themeColor="text1"/>
          <w:kern w:val="0"/>
          <w:sz w:val="22"/>
          <w:szCs w:val="24"/>
          <w:lang w:val="es-ES"/>
        </w:rPr>
      </w:pPr>
      <w:bookmarkStart w:id="21" w:name="_Toc518397889"/>
      <w:r w:rsidRPr="001C7AD8">
        <w:rPr>
          <w:rFonts w:eastAsiaTheme="minorEastAsia" w:cs="Times New Roman"/>
          <w:bCs w:val="0"/>
          <w:i/>
          <w:smallCaps w:val="0"/>
          <w:color w:val="000000" w:themeColor="text1"/>
          <w:kern w:val="0"/>
          <w:sz w:val="22"/>
          <w:szCs w:val="24"/>
          <w:lang w:val="es-ES"/>
        </w:rPr>
        <w:t>Mejoras a la Administración Tributaria</w:t>
      </w:r>
      <w:r w:rsidR="006D2B8C" w:rsidRPr="001C7AD8">
        <w:rPr>
          <w:rFonts w:eastAsiaTheme="minorEastAsia"/>
          <w:bCs w:val="0"/>
          <w:smallCaps w:val="0"/>
          <w:kern w:val="0"/>
          <w:sz w:val="22"/>
          <w:vertAlign w:val="superscript"/>
          <w:lang w:val="es-ES"/>
        </w:rPr>
        <w:footnoteReference w:id="46"/>
      </w:r>
      <w:r w:rsidR="00120E71" w:rsidRPr="001C7AD8">
        <w:rPr>
          <w:rFonts w:eastAsiaTheme="minorEastAsia" w:cs="Times New Roman"/>
          <w:bCs w:val="0"/>
          <w:i/>
          <w:smallCaps w:val="0"/>
          <w:color w:val="000000" w:themeColor="text1"/>
          <w:kern w:val="0"/>
          <w:sz w:val="22"/>
          <w:szCs w:val="24"/>
          <w:lang w:val="es-ES"/>
        </w:rPr>
        <w:t xml:space="preserve"> y </w:t>
      </w:r>
      <w:r w:rsidR="005E3D7F" w:rsidRPr="001C7AD8">
        <w:rPr>
          <w:rFonts w:eastAsiaTheme="minorEastAsia" w:cs="Times New Roman"/>
          <w:bCs w:val="0"/>
          <w:i/>
          <w:smallCaps w:val="0"/>
          <w:color w:val="000000" w:themeColor="text1"/>
          <w:kern w:val="0"/>
          <w:sz w:val="22"/>
          <w:szCs w:val="24"/>
          <w:lang w:val="es-ES"/>
        </w:rPr>
        <w:t xml:space="preserve">arreglos institucionales </w:t>
      </w:r>
      <w:r w:rsidR="00120E71" w:rsidRPr="001C7AD8">
        <w:rPr>
          <w:rFonts w:eastAsiaTheme="minorEastAsia" w:cs="Times New Roman"/>
          <w:bCs w:val="0"/>
          <w:i/>
          <w:smallCaps w:val="0"/>
          <w:color w:val="000000" w:themeColor="text1"/>
          <w:kern w:val="0"/>
          <w:sz w:val="22"/>
          <w:szCs w:val="24"/>
          <w:lang w:val="es-ES"/>
        </w:rPr>
        <w:t xml:space="preserve">de </w:t>
      </w:r>
      <w:r w:rsidR="00693810" w:rsidRPr="001C7AD8">
        <w:rPr>
          <w:rFonts w:eastAsiaTheme="minorEastAsia" w:cs="Times New Roman"/>
          <w:bCs w:val="0"/>
          <w:i/>
          <w:smallCaps w:val="0"/>
          <w:color w:val="000000" w:themeColor="text1"/>
          <w:kern w:val="0"/>
          <w:sz w:val="22"/>
          <w:szCs w:val="24"/>
          <w:lang w:val="es-ES"/>
        </w:rPr>
        <w:t>largo plazo</w:t>
      </w:r>
      <w:bookmarkEnd w:id="21"/>
    </w:p>
    <w:p w14:paraId="2531601F" w14:textId="77777777" w:rsidR="00BF21B9" w:rsidRDefault="004F281A" w:rsidP="00AF6E6D">
      <w:pPr>
        <w:spacing w:line="360" w:lineRule="auto"/>
        <w:jc w:val="both"/>
        <w:rPr>
          <w:rFonts w:ascii="Times New Roman" w:hAnsi="Times New Roman" w:cs="Times New Roman"/>
          <w:color w:val="000000" w:themeColor="text1"/>
          <w:szCs w:val="24"/>
        </w:rPr>
      </w:pPr>
      <w:r w:rsidRPr="00621F81">
        <w:rPr>
          <w:rFonts w:ascii="Times New Roman" w:hAnsi="Times New Roman" w:cs="Times New Roman"/>
          <w:b/>
          <w:color w:val="000000" w:themeColor="text1"/>
          <w:szCs w:val="24"/>
        </w:rPr>
        <w:t xml:space="preserve">Se han detectado </w:t>
      </w:r>
      <w:r w:rsidR="00FD5064" w:rsidRPr="00621F81">
        <w:rPr>
          <w:rFonts w:ascii="Times New Roman" w:hAnsi="Times New Roman" w:cs="Times New Roman"/>
          <w:b/>
          <w:color w:val="000000" w:themeColor="text1"/>
          <w:szCs w:val="24"/>
        </w:rPr>
        <w:t>varias debilidades</w:t>
      </w:r>
      <w:r w:rsidR="003D3C71" w:rsidRPr="00621F81">
        <w:rPr>
          <w:rFonts w:ascii="Times New Roman" w:hAnsi="Times New Roman" w:cs="Times New Roman"/>
          <w:b/>
          <w:color w:val="000000" w:themeColor="text1"/>
          <w:szCs w:val="24"/>
        </w:rPr>
        <w:t xml:space="preserve"> </w:t>
      </w:r>
      <w:r w:rsidR="00154CDC" w:rsidRPr="00621F81">
        <w:rPr>
          <w:rFonts w:ascii="Times New Roman" w:hAnsi="Times New Roman" w:cs="Times New Roman"/>
          <w:b/>
          <w:color w:val="000000" w:themeColor="text1"/>
          <w:szCs w:val="24"/>
        </w:rPr>
        <w:t>en la Administración Tributaria</w:t>
      </w:r>
      <w:r w:rsidR="00315134" w:rsidRPr="00621F81">
        <w:rPr>
          <w:rFonts w:ascii="Times New Roman" w:hAnsi="Times New Roman" w:cs="Times New Roman"/>
          <w:b/>
          <w:color w:val="000000" w:themeColor="text1"/>
          <w:szCs w:val="24"/>
        </w:rPr>
        <w:t xml:space="preserve"> que no permiten </w:t>
      </w:r>
      <w:r w:rsidR="00C819A3" w:rsidRPr="00621F81">
        <w:rPr>
          <w:rFonts w:ascii="Times New Roman" w:hAnsi="Times New Roman" w:cs="Times New Roman"/>
          <w:b/>
          <w:color w:val="000000" w:themeColor="text1"/>
          <w:szCs w:val="24"/>
        </w:rPr>
        <w:t>que el organis</w:t>
      </w:r>
      <w:r w:rsidR="00621F81" w:rsidRPr="00621F81">
        <w:rPr>
          <w:rFonts w:ascii="Times New Roman" w:hAnsi="Times New Roman" w:cs="Times New Roman"/>
          <w:b/>
          <w:color w:val="000000" w:themeColor="text1"/>
          <w:szCs w:val="24"/>
        </w:rPr>
        <w:t xml:space="preserve">mo funcione de manera </w:t>
      </w:r>
      <w:r w:rsidR="007137D9">
        <w:rPr>
          <w:rFonts w:ascii="Times New Roman" w:hAnsi="Times New Roman" w:cs="Times New Roman"/>
          <w:b/>
          <w:color w:val="000000" w:themeColor="text1"/>
          <w:szCs w:val="24"/>
        </w:rPr>
        <w:t>eficiente</w:t>
      </w:r>
      <w:r w:rsidR="00A56364">
        <w:rPr>
          <w:rFonts w:ascii="Times New Roman" w:hAnsi="Times New Roman" w:cs="Times New Roman"/>
          <w:b/>
          <w:color w:val="000000" w:themeColor="text1"/>
          <w:szCs w:val="24"/>
        </w:rPr>
        <w:t>,</w:t>
      </w:r>
      <w:r w:rsidR="00045882">
        <w:rPr>
          <w:rFonts w:ascii="Times New Roman" w:hAnsi="Times New Roman" w:cs="Times New Roman"/>
          <w:b/>
          <w:color w:val="000000" w:themeColor="text1"/>
          <w:szCs w:val="24"/>
        </w:rPr>
        <w:t xml:space="preserve"> </w:t>
      </w:r>
      <w:r w:rsidR="00045882">
        <w:rPr>
          <w:rFonts w:ascii="Times New Roman" w:hAnsi="Times New Roman" w:cs="Times New Roman"/>
          <w:color w:val="000000" w:themeColor="text1"/>
          <w:szCs w:val="24"/>
        </w:rPr>
        <w:t xml:space="preserve">que logre una mejor recaudación </w:t>
      </w:r>
      <w:r w:rsidR="00D37811">
        <w:rPr>
          <w:rFonts w:ascii="Times New Roman" w:hAnsi="Times New Roman" w:cs="Times New Roman"/>
          <w:color w:val="000000" w:themeColor="text1"/>
          <w:szCs w:val="24"/>
        </w:rPr>
        <w:t>de una reforma que aumenta bases y número de contribuyentes</w:t>
      </w:r>
      <w:r w:rsidR="00494F0E" w:rsidRPr="00621F81">
        <w:rPr>
          <w:rFonts w:ascii="Times New Roman" w:hAnsi="Times New Roman" w:cs="Times New Roman"/>
          <w:b/>
          <w:color w:val="000000" w:themeColor="text1"/>
          <w:szCs w:val="24"/>
        </w:rPr>
        <w:t xml:space="preserve">. </w:t>
      </w:r>
      <w:r w:rsidR="00ED4339" w:rsidRPr="00296B81">
        <w:rPr>
          <w:rFonts w:ascii="Times New Roman" w:hAnsi="Times New Roman" w:cs="Times New Roman"/>
          <w:color w:val="000000" w:themeColor="text1"/>
          <w:szCs w:val="24"/>
        </w:rPr>
        <w:t>En los últimos 5 años la D</w:t>
      </w:r>
      <w:r w:rsidR="00772EAE">
        <w:rPr>
          <w:rFonts w:ascii="Times New Roman" w:hAnsi="Times New Roman" w:cs="Times New Roman"/>
          <w:color w:val="000000" w:themeColor="text1"/>
          <w:szCs w:val="24"/>
        </w:rPr>
        <w:t xml:space="preserve">irección </w:t>
      </w:r>
      <w:r w:rsidR="00ED4339" w:rsidRPr="00296B81">
        <w:rPr>
          <w:rFonts w:ascii="Times New Roman" w:hAnsi="Times New Roman" w:cs="Times New Roman"/>
          <w:color w:val="000000" w:themeColor="text1"/>
          <w:szCs w:val="24"/>
        </w:rPr>
        <w:t>G</w:t>
      </w:r>
      <w:r w:rsidR="00772EAE">
        <w:rPr>
          <w:rFonts w:ascii="Times New Roman" w:hAnsi="Times New Roman" w:cs="Times New Roman"/>
          <w:color w:val="000000" w:themeColor="text1"/>
          <w:szCs w:val="24"/>
        </w:rPr>
        <w:t xml:space="preserve">eneral de </w:t>
      </w:r>
      <w:r w:rsidR="00ED4339" w:rsidRPr="00296B81">
        <w:rPr>
          <w:rFonts w:ascii="Times New Roman" w:hAnsi="Times New Roman" w:cs="Times New Roman"/>
          <w:color w:val="000000" w:themeColor="text1"/>
          <w:szCs w:val="24"/>
        </w:rPr>
        <w:t>T</w:t>
      </w:r>
      <w:r w:rsidR="00772EAE">
        <w:rPr>
          <w:rFonts w:ascii="Times New Roman" w:hAnsi="Times New Roman" w:cs="Times New Roman"/>
          <w:color w:val="000000" w:themeColor="text1"/>
          <w:szCs w:val="24"/>
        </w:rPr>
        <w:t>ributación</w:t>
      </w:r>
      <w:r w:rsidR="00ED4339" w:rsidRPr="00296B81">
        <w:rPr>
          <w:rFonts w:ascii="Times New Roman" w:hAnsi="Times New Roman" w:cs="Times New Roman"/>
          <w:color w:val="000000" w:themeColor="text1"/>
          <w:szCs w:val="24"/>
        </w:rPr>
        <w:t xml:space="preserve"> ha recibido numerosas asistencias de distintos organismos internacionales, los cuales realizaron diagnósticos y posteriormente sugirieron recomendaciones para mejorar el funcionamiento del organismo.</w:t>
      </w:r>
      <w:r w:rsidR="00296B81" w:rsidRPr="00296B81">
        <w:rPr>
          <w:rFonts w:ascii="Times New Roman" w:hAnsi="Times New Roman" w:cs="Times New Roman"/>
          <w:color w:val="000000" w:themeColor="text1"/>
          <w:szCs w:val="24"/>
        </w:rPr>
        <w:t xml:space="preserve"> </w:t>
      </w:r>
      <w:r w:rsidR="00ED4339" w:rsidRPr="00296B81">
        <w:rPr>
          <w:rFonts w:ascii="Times New Roman" w:hAnsi="Times New Roman" w:cs="Times New Roman"/>
          <w:color w:val="000000" w:themeColor="text1"/>
          <w:szCs w:val="24"/>
        </w:rPr>
        <w:t>En este contexto, en varios de los informes realizados se manifiestan puntualmente debilidades e inconsistencias en la estructura organizativa vigente a cada momento y una serie de sugerencias tendientes a mejorar la misma.</w:t>
      </w:r>
    </w:p>
    <w:p w14:paraId="72415AC1" w14:textId="77777777" w:rsidR="00235FBE" w:rsidRDefault="009A6768" w:rsidP="00EE5410">
      <w:pPr>
        <w:spacing w:line="360" w:lineRule="auto"/>
        <w:jc w:val="both"/>
        <w:rPr>
          <w:rFonts w:ascii="Times New Roman" w:hAnsi="Times New Roman"/>
        </w:rPr>
      </w:pPr>
      <w:r w:rsidRPr="00EE5410">
        <w:rPr>
          <w:rFonts w:ascii="Times New Roman" w:hAnsi="Times New Roman" w:cs="Times New Roman"/>
          <w:b/>
          <w:color w:val="000000" w:themeColor="text1"/>
          <w:szCs w:val="24"/>
          <w:lang w:val="es-CR"/>
        </w:rPr>
        <w:t xml:space="preserve">El área administrativa, así como las funciones de </w:t>
      </w:r>
      <w:r w:rsidR="00EE5410" w:rsidRPr="00EE5410">
        <w:rPr>
          <w:rFonts w:ascii="Times New Roman" w:hAnsi="Times New Roman" w:cs="Times New Roman"/>
          <w:b/>
          <w:color w:val="000000" w:themeColor="text1"/>
          <w:szCs w:val="24"/>
          <w:lang w:val="es-CR"/>
        </w:rPr>
        <w:t>cobranza y consultas, deben ser fortalecidas.</w:t>
      </w:r>
      <w:r w:rsidR="00EE5410">
        <w:rPr>
          <w:rFonts w:ascii="Times New Roman" w:hAnsi="Times New Roman" w:cs="Times New Roman"/>
          <w:color w:val="000000" w:themeColor="text1"/>
          <w:szCs w:val="24"/>
          <w:lang w:val="es-CR"/>
        </w:rPr>
        <w:t xml:space="preserve"> </w:t>
      </w:r>
      <w:r w:rsidR="00235FBE" w:rsidRPr="00653A92">
        <w:rPr>
          <w:rFonts w:ascii="Times New Roman" w:hAnsi="Times New Roman"/>
        </w:rPr>
        <w:t>Las áreas de recursos humanos, administrativas y financieras están centralizadas en el Ministerio de Hacienda, bajo un enfoque corporativo, reduciendo el nivel de autonomía que requiere este tipo de organización.</w:t>
      </w:r>
      <w:r w:rsidR="00EE5410">
        <w:rPr>
          <w:rFonts w:ascii="Times New Roman" w:hAnsi="Times New Roman"/>
        </w:rPr>
        <w:t xml:space="preserve"> </w:t>
      </w:r>
      <w:r w:rsidR="00235FBE" w:rsidRPr="00653A92">
        <w:rPr>
          <w:rFonts w:ascii="Times New Roman" w:hAnsi="Times New Roman"/>
        </w:rPr>
        <w:t>La función de cobranza no es completa, el fraccionamiento de esta función entre la Dirección General de Tributación y la Dirección General de Hacienda dificulta el cierre de ciclo del proceso integral de cobranza y en especial de la proveniente de procesos de fiscalización.</w:t>
      </w:r>
      <w:r w:rsidR="00EE5410">
        <w:rPr>
          <w:rFonts w:ascii="Times New Roman" w:hAnsi="Times New Roman"/>
        </w:rPr>
        <w:t xml:space="preserve"> </w:t>
      </w:r>
      <w:r w:rsidR="00B15887">
        <w:rPr>
          <w:rFonts w:ascii="Times New Roman" w:hAnsi="Times New Roman"/>
        </w:rPr>
        <w:t>Por último, l</w:t>
      </w:r>
      <w:r w:rsidR="00235FBE" w:rsidRPr="00653A92">
        <w:rPr>
          <w:rFonts w:ascii="Times New Roman" w:hAnsi="Times New Roman"/>
        </w:rPr>
        <w:t>as funciones de consultas, criterios tributarios institucionales y atención y seguimiento de recursos están fuera de la División Normativa y diseminadas en distintas áreas de la organización.</w:t>
      </w:r>
    </w:p>
    <w:p w14:paraId="5043819E" w14:textId="77777777" w:rsidR="007508EC" w:rsidRPr="00040A8B" w:rsidRDefault="00A525AC" w:rsidP="00EE5410">
      <w:pPr>
        <w:spacing w:line="360" w:lineRule="auto"/>
        <w:jc w:val="both"/>
        <w:rPr>
          <w:rFonts w:ascii="Times New Roman" w:hAnsi="Times New Roman"/>
        </w:rPr>
      </w:pPr>
      <w:r w:rsidRPr="0025115D">
        <w:rPr>
          <w:rFonts w:ascii="Times New Roman" w:hAnsi="Times New Roman"/>
          <w:b/>
        </w:rPr>
        <w:t xml:space="preserve">Fuera del Gobierno Central, cabe mencionar </w:t>
      </w:r>
      <w:r w:rsidR="00040A8B" w:rsidRPr="0025115D">
        <w:rPr>
          <w:rFonts w:ascii="Times New Roman" w:hAnsi="Times New Roman"/>
          <w:b/>
        </w:rPr>
        <w:t>que en Costa Rica existen arreglos institucionales poco habituales</w:t>
      </w:r>
      <w:r w:rsidR="0025115D">
        <w:rPr>
          <w:rFonts w:ascii="Times New Roman" w:hAnsi="Times New Roman"/>
          <w:b/>
        </w:rPr>
        <w:t xml:space="preserve"> a nivel internacional</w:t>
      </w:r>
      <w:r w:rsidR="00040A8B" w:rsidRPr="0025115D">
        <w:rPr>
          <w:rFonts w:ascii="Times New Roman" w:hAnsi="Times New Roman"/>
          <w:b/>
        </w:rPr>
        <w:t xml:space="preserve">. </w:t>
      </w:r>
      <w:r w:rsidR="00834D86" w:rsidRPr="0025115D">
        <w:rPr>
          <w:rFonts w:ascii="Times New Roman" w:hAnsi="Times New Roman"/>
        </w:rPr>
        <w:t>En primer lugar, la salud pública (atención primaria, 80% del gasto) está junto con los sistemas de pensiones en la CCSS.</w:t>
      </w:r>
      <w:r w:rsidR="00650107" w:rsidRPr="0025115D">
        <w:rPr>
          <w:rStyle w:val="FootnoteReference"/>
          <w:rFonts w:ascii="Times New Roman" w:hAnsi="Times New Roman"/>
        </w:rPr>
        <w:footnoteReference w:id="47"/>
      </w:r>
      <w:r w:rsidR="00834D86" w:rsidRPr="0025115D">
        <w:rPr>
          <w:rFonts w:ascii="Times New Roman" w:hAnsi="Times New Roman"/>
        </w:rPr>
        <w:t xml:space="preserve"> Esto es un arreglo diferente al resto del mundo, donde pensiones y sanidad están separadas y la facultad de fijar las contribuciones (tributos) es parlamentaria</w:t>
      </w:r>
      <w:r w:rsidR="00C15BAA" w:rsidRPr="0025115D">
        <w:rPr>
          <w:rFonts w:ascii="Times New Roman" w:hAnsi="Times New Roman"/>
        </w:rPr>
        <w:t>, mientras que esta decisi</w:t>
      </w:r>
      <w:r w:rsidR="00755502" w:rsidRPr="0025115D">
        <w:rPr>
          <w:rFonts w:ascii="Times New Roman" w:hAnsi="Times New Roman"/>
        </w:rPr>
        <w:t>ón</w:t>
      </w:r>
      <w:r w:rsidR="00C15BAA" w:rsidRPr="0025115D">
        <w:rPr>
          <w:rFonts w:ascii="Times New Roman" w:hAnsi="Times New Roman"/>
        </w:rPr>
        <w:t xml:space="preserve"> queda a discrecionalidad de la CCSS</w:t>
      </w:r>
      <w:r w:rsidR="00834D86" w:rsidRPr="0025115D">
        <w:rPr>
          <w:rFonts w:ascii="Times New Roman" w:hAnsi="Times New Roman"/>
        </w:rPr>
        <w:t xml:space="preserve">. </w:t>
      </w:r>
      <w:r w:rsidR="00AA34CA" w:rsidRPr="0025115D">
        <w:rPr>
          <w:rFonts w:ascii="Times New Roman" w:hAnsi="Times New Roman"/>
        </w:rPr>
        <w:t xml:space="preserve">Por otro lado, </w:t>
      </w:r>
      <w:r w:rsidR="009D2372" w:rsidRPr="0025115D">
        <w:rPr>
          <w:rFonts w:ascii="Times New Roman" w:hAnsi="Times New Roman"/>
        </w:rPr>
        <w:t>el ICE,</w:t>
      </w:r>
      <w:r w:rsidR="006C1AA3" w:rsidRPr="0025115D">
        <w:rPr>
          <w:rStyle w:val="FootnoteReference"/>
          <w:rFonts w:ascii="Times New Roman" w:hAnsi="Times New Roman"/>
        </w:rPr>
        <w:footnoteReference w:id="48"/>
      </w:r>
      <w:r w:rsidR="009D2372" w:rsidRPr="0025115D">
        <w:rPr>
          <w:rFonts w:ascii="Times New Roman" w:hAnsi="Times New Roman"/>
        </w:rPr>
        <w:t xml:space="preserve"> la mayor empresa costarricense, tiene todo el espectro de telecomunicaciones, todo el espectro de electricidad, y una empresa constructora, unificación atípica a nivel internacional </w:t>
      </w:r>
      <w:r w:rsidR="00981D56" w:rsidRPr="0025115D">
        <w:rPr>
          <w:rFonts w:ascii="Times New Roman" w:hAnsi="Times New Roman"/>
        </w:rPr>
        <w:t>de</w:t>
      </w:r>
      <w:r w:rsidR="009D2372" w:rsidRPr="0025115D">
        <w:rPr>
          <w:rFonts w:ascii="Times New Roman" w:hAnsi="Times New Roman"/>
        </w:rPr>
        <w:t xml:space="preserve"> sectores claves.</w:t>
      </w:r>
      <w:r w:rsidR="009C49B8" w:rsidRPr="0025115D">
        <w:rPr>
          <w:rFonts w:ascii="Times New Roman" w:hAnsi="Times New Roman"/>
        </w:rPr>
        <w:t xml:space="preserve"> Estos arreglos crean </w:t>
      </w:r>
      <w:r w:rsidR="005573B9" w:rsidRPr="0025115D">
        <w:rPr>
          <w:rFonts w:ascii="Times New Roman" w:hAnsi="Times New Roman"/>
        </w:rPr>
        <w:t>opacidad</w:t>
      </w:r>
      <w:r w:rsidR="00196E99">
        <w:rPr>
          <w:rFonts w:ascii="Times New Roman" w:hAnsi="Times New Roman"/>
        </w:rPr>
        <w:t>,</w:t>
      </w:r>
      <w:r w:rsidR="00BE3C80" w:rsidRPr="0025115D">
        <w:rPr>
          <w:rFonts w:ascii="Times New Roman" w:hAnsi="Times New Roman"/>
        </w:rPr>
        <w:t xml:space="preserve"> no solamente en las funciones de las instituciones</w:t>
      </w:r>
      <w:r w:rsidR="00196E99">
        <w:rPr>
          <w:rFonts w:ascii="Times New Roman" w:hAnsi="Times New Roman"/>
        </w:rPr>
        <w:t>,</w:t>
      </w:r>
      <w:r w:rsidR="00BE3C80" w:rsidRPr="0025115D">
        <w:rPr>
          <w:rFonts w:ascii="Times New Roman" w:hAnsi="Times New Roman"/>
        </w:rPr>
        <w:t xml:space="preserve"> sino también en términos contables</w:t>
      </w:r>
      <w:r w:rsidR="00D60288" w:rsidRPr="0025115D">
        <w:rPr>
          <w:rFonts w:ascii="Times New Roman" w:hAnsi="Times New Roman"/>
        </w:rPr>
        <w:t>, pues estas instituciones administran negocios completamente distintos</w:t>
      </w:r>
      <w:r w:rsidR="00BE3C80" w:rsidRPr="0025115D">
        <w:rPr>
          <w:rFonts w:ascii="Times New Roman" w:hAnsi="Times New Roman"/>
        </w:rPr>
        <w:t>.</w:t>
      </w:r>
      <w:r w:rsidR="00BE3C80">
        <w:rPr>
          <w:rFonts w:ascii="Times New Roman" w:hAnsi="Times New Roman"/>
        </w:rPr>
        <w:t xml:space="preserve"> </w:t>
      </w:r>
    </w:p>
    <w:p w14:paraId="48D06CA1" w14:textId="77777777" w:rsidR="001735A1" w:rsidRPr="00591FF9" w:rsidRDefault="001735A1" w:rsidP="001735A1">
      <w:pPr>
        <w:pStyle w:val="Estilo4"/>
        <w:numPr>
          <w:ilvl w:val="0"/>
          <w:numId w:val="0"/>
        </w:numPr>
        <w:tabs>
          <w:tab w:val="left" w:pos="-180"/>
        </w:tabs>
        <w:spacing w:after="0" w:line="360" w:lineRule="auto"/>
        <w:ind w:left="-180"/>
        <w:contextualSpacing w:val="0"/>
        <w:rPr>
          <w:sz w:val="22"/>
          <w:u w:val="single"/>
          <w:lang w:val="es-CR"/>
        </w:rPr>
      </w:pPr>
      <w:r w:rsidRPr="007C20B3">
        <w:rPr>
          <w:sz w:val="22"/>
          <w:u w:val="single"/>
          <w:lang w:val="es-CR"/>
        </w:rPr>
        <w:t>Recomendaciones de Política</w:t>
      </w:r>
    </w:p>
    <w:p w14:paraId="7EE43B58" w14:textId="77777777" w:rsidR="00C36B61" w:rsidRDefault="00925166" w:rsidP="00867DAA">
      <w:pPr>
        <w:autoSpaceDE w:val="0"/>
        <w:autoSpaceDN w:val="0"/>
        <w:adjustRightInd w:val="0"/>
        <w:spacing w:before="120" w:after="100" w:afterAutospacing="1" w:line="360" w:lineRule="auto"/>
        <w:jc w:val="both"/>
        <w:rPr>
          <w:rFonts w:ascii="Times New Roman" w:hAnsi="Times New Roman"/>
        </w:rPr>
      </w:pPr>
      <w:r w:rsidRPr="008F0BED">
        <w:rPr>
          <w:rFonts w:ascii="Times New Roman" w:hAnsi="Times New Roman"/>
          <w:b/>
        </w:rPr>
        <w:t xml:space="preserve">El análisis </w:t>
      </w:r>
      <w:r w:rsidR="00315CCA" w:rsidRPr="008F0BED">
        <w:rPr>
          <w:rFonts w:ascii="Times New Roman" w:hAnsi="Times New Roman"/>
          <w:b/>
          <w:i/>
        </w:rPr>
        <w:t xml:space="preserve">in situ </w:t>
      </w:r>
      <w:r w:rsidR="00804D9B" w:rsidRPr="008F0BED">
        <w:rPr>
          <w:rFonts w:ascii="Times New Roman" w:hAnsi="Times New Roman"/>
          <w:b/>
        </w:rPr>
        <w:t xml:space="preserve">identificó </w:t>
      </w:r>
      <w:r w:rsidR="008A11A1" w:rsidRPr="008F0BED">
        <w:rPr>
          <w:rFonts w:ascii="Times New Roman" w:hAnsi="Times New Roman"/>
          <w:b/>
        </w:rPr>
        <w:t>varias medidas puntuales para mejorar la administración tributaria</w:t>
      </w:r>
      <w:r w:rsidR="008F0BED" w:rsidRPr="008F0BED">
        <w:rPr>
          <w:rFonts w:ascii="Times New Roman" w:hAnsi="Times New Roman"/>
          <w:b/>
        </w:rPr>
        <w:t xml:space="preserve"> que se mencionan a continuación.</w:t>
      </w:r>
      <w:r w:rsidR="008F0BED" w:rsidRPr="006D1E44">
        <w:rPr>
          <w:rFonts w:ascii="Times New Roman" w:hAnsi="Times New Roman"/>
        </w:rPr>
        <w:t xml:space="preserve"> </w:t>
      </w:r>
      <w:r w:rsidR="006D1E44" w:rsidRPr="006D1E44">
        <w:rPr>
          <w:rFonts w:ascii="Times New Roman" w:hAnsi="Times New Roman"/>
        </w:rPr>
        <w:t xml:space="preserve">(i) </w:t>
      </w:r>
      <w:r w:rsidR="00C36B61" w:rsidRPr="00653A92">
        <w:rPr>
          <w:rFonts w:ascii="Times New Roman" w:hAnsi="Times New Roman"/>
        </w:rPr>
        <w:t>Otorgar mayor entidad a las funciones de apoyo, evaluando la posibilidad de otorgar autonomía a la gestión de recursos humanos y financieros en la Dirección General de Tributación.</w:t>
      </w:r>
      <w:r w:rsidR="008F0BED">
        <w:rPr>
          <w:rFonts w:ascii="Times New Roman" w:hAnsi="Times New Roman"/>
        </w:rPr>
        <w:t xml:space="preserve"> </w:t>
      </w:r>
      <w:r w:rsidR="006D1E44">
        <w:rPr>
          <w:rFonts w:ascii="Times New Roman" w:hAnsi="Times New Roman"/>
        </w:rPr>
        <w:t xml:space="preserve">(ii) </w:t>
      </w:r>
      <w:r w:rsidR="00C36B61" w:rsidRPr="00653A92">
        <w:rPr>
          <w:rFonts w:ascii="Times New Roman" w:hAnsi="Times New Roman"/>
        </w:rPr>
        <w:t>Dotar a la Subdirección de cobro de las funciones completas del proceso de cobranza.</w:t>
      </w:r>
      <w:r w:rsidR="006D1E44">
        <w:rPr>
          <w:rFonts w:ascii="Times New Roman" w:hAnsi="Times New Roman"/>
        </w:rPr>
        <w:t xml:space="preserve"> (iii) </w:t>
      </w:r>
      <w:r w:rsidR="00C36B61" w:rsidRPr="00653A92">
        <w:rPr>
          <w:rFonts w:ascii="Times New Roman" w:hAnsi="Times New Roman"/>
        </w:rPr>
        <w:t>Formalizar la dependencia de la Dirección de Inteligencia Tributaria en la Dirección de Fiscalización.</w:t>
      </w:r>
      <w:r w:rsidR="006D1E44">
        <w:rPr>
          <w:rFonts w:ascii="Times New Roman" w:hAnsi="Times New Roman"/>
        </w:rPr>
        <w:t xml:space="preserve"> </w:t>
      </w:r>
      <w:r w:rsidR="00CA5422">
        <w:rPr>
          <w:rFonts w:ascii="Times New Roman" w:hAnsi="Times New Roman"/>
        </w:rPr>
        <w:t xml:space="preserve">(iv) </w:t>
      </w:r>
      <w:r w:rsidR="00C36B61" w:rsidRPr="00653A92">
        <w:rPr>
          <w:rFonts w:ascii="Times New Roman" w:hAnsi="Times New Roman"/>
        </w:rPr>
        <w:t xml:space="preserve">Asignar la tarea de atender las consultas a la Dirección Normativa. </w:t>
      </w:r>
      <w:r w:rsidR="00CA5422">
        <w:rPr>
          <w:rFonts w:ascii="Times New Roman" w:hAnsi="Times New Roman"/>
        </w:rPr>
        <w:t xml:space="preserve">(v) </w:t>
      </w:r>
      <w:r w:rsidR="00C36B61" w:rsidRPr="00653A92">
        <w:rPr>
          <w:rFonts w:ascii="Times New Roman" w:hAnsi="Times New Roman"/>
        </w:rPr>
        <w:t>Eliminar las unidades Técnicos Jurídicas dependientes de cada una de las Direcciones centrales y concentrarlas en un área con nivel de Dirección.</w:t>
      </w:r>
      <w:r w:rsidR="00CA5422">
        <w:rPr>
          <w:rFonts w:ascii="Times New Roman" w:hAnsi="Times New Roman"/>
        </w:rPr>
        <w:t xml:space="preserve"> (vi) </w:t>
      </w:r>
      <w:r w:rsidR="00C36B61" w:rsidRPr="00653A92">
        <w:rPr>
          <w:rFonts w:ascii="Times New Roman" w:hAnsi="Times New Roman"/>
        </w:rPr>
        <w:t>Traspasar las unidades de Coordinación y Actualización de Normas y Procedimientos y Consultas Tributarias al ámbito de la Dirección de Normativa.</w:t>
      </w:r>
      <w:r w:rsidR="00CA5422">
        <w:rPr>
          <w:rFonts w:ascii="Times New Roman" w:hAnsi="Times New Roman"/>
        </w:rPr>
        <w:t xml:space="preserve"> (vii) </w:t>
      </w:r>
      <w:r w:rsidR="00C36B61" w:rsidRPr="00653A92">
        <w:rPr>
          <w:rFonts w:ascii="Times New Roman" w:hAnsi="Times New Roman"/>
        </w:rPr>
        <w:t>Traspasar el área de Investigación de Estudios Económicos y Tributarios a la Dirección de Gestión Integral.</w:t>
      </w:r>
      <w:r w:rsidR="00CA5422">
        <w:rPr>
          <w:rFonts w:ascii="Times New Roman" w:hAnsi="Times New Roman"/>
        </w:rPr>
        <w:t xml:space="preserve"> </w:t>
      </w:r>
      <w:r w:rsidR="00B75D18">
        <w:rPr>
          <w:rFonts w:ascii="Times New Roman" w:hAnsi="Times New Roman"/>
        </w:rPr>
        <w:t xml:space="preserve">(viii) </w:t>
      </w:r>
      <w:r w:rsidR="00C36B61" w:rsidRPr="00653A92">
        <w:rPr>
          <w:rFonts w:ascii="Times New Roman" w:hAnsi="Times New Roman"/>
        </w:rPr>
        <w:t>Analizar la conveniencia de posibles reorganizaciones funcionales en las áreas de control.</w:t>
      </w:r>
      <w:r w:rsidR="00D57253">
        <w:rPr>
          <w:rFonts w:ascii="Times New Roman" w:hAnsi="Times New Roman"/>
        </w:rPr>
        <w:t xml:space="preserve"> (ix) </w:t>
      </w:r>
      <w:r w:rsidR="00A31FCB">
        <w:rPr>
          <w:rFonts w:ascii="Times New Roman" w:hAnsi="Times New Roman"/>
        </w:rPr>
        <w:t xml:space="preserve">Eliminar los cargos en propiedad favoreciendo la integridad. </w:t>
      </w:r>
      <w:r w:rsidR="0057783D">
        <w:rPr>
          <w:rFonts w:ascii="Times New Roman" w:hAnsi="Times New Roman"/>
        </w:rPr>
        <w:t>Por último,</w:t>
      </w:r>
      <w:r w:rsidR="002351FE">
        <w:rPr>
          <w:rFonts w:ascii="Times New Roman" w:hAnsi="Times New Roman"/>
        </w:rPr>
        <w:t xml:space="preserve"> </w:t>
      </w:r>
      <w:r w:rsidR="00A31FCB">
        <w:rPr>
          <w:rFonts w:ascii="Times New Roman" w:hAnsi="Times New Roman"/>
        </w:rPr>
        <w:t xml:space="preserve">(x) </w:t>
      </w:r>
      <w:r w:rsidR="008D45DC">
        <w:rPr>
          <w:rFonts w:ascii="Times New Roman" w:hAnsi="Times New Roman"/>
        </w:rPr>
        <w:t xml:space="preserve">consolidar los procesos informáticos con un centro de computación propio. </w:t>
      </w:r>
    </w:p>
    <w:p w14:paraId="14C59D87" w14:textId="77777777" w:rsidR="00981D56" w:rsidRDefault="00981D56" w:rsidP="00FA66BD">
      <w:pPr>
        <w:autoSpaceDE w:val="0"/>
        <w:autoSpaceDN w:val="0"/>
        <w:adjustRightInd w:val="0"/>
        <w:spacing w:before="120" w:after="0" w:line="360" w:lineRule="auto"/>
        <w:jc w:val="both"/>
        <w:rPr>
          <w:rFonts w:ascii="Times New Roman" w:hAnsi="Times New Roman"/>
        </w:rPr>
      </w:pPr>
      <w:r w:rsidRPr="00C81724">
        <w:rPr>
          <w:rFonts w:ascii="Times New Roman" w:hAnsi="Times New Roman"/>
          <w:b/>
        </w:rPr>
        <w:t xml:space="preserve">Es recomendable realizar </w:t>
      </w:r>
      <w:r w:rsidR="007C48C0" w:rsidRPr="00C81724">
        <w:rPr>
          <w:rFonts w:ascii="Times New Roman" w:hAnsi="Times New Roman"/>
          <w:b/>
        </w:rPr>
        <w:t xml:space="preserve">reacomodos en dos de las más importantes </w:t>
      </w:r>
      <w:r w:rsidR="004F5123" w:rsidRPr="00C81724">
        <w:rPr>
          <w:rFonts w:ascii="Times New Roman" w:hAnsi="Times New Roman"/>
          <w:b/>
        </w:rPr>
        <w:t>instituciones costarricenses</w:t>
      </w:r>
      <w:r w:rsidR="009C49B8">
        <w:rPr>
          <w:rFonts w:ascii="Times New Roman" w:hAnsi="Times New Roman"/>
          <w:b/>
        </w:rPr>
        <w:t xml:space="preserve"> por temas organizacionales</w:t>
      </w:r>
      <w:r w:rsidR="004F5123" w:rsidRPr="00C81724">
        <w:rPr>
          <w:rFonts w:ascii="Times New Roman" w:hAnsi="Times New Roman"/>
          <w:b/>
        </w:rPr>
        <w:t xml:space="preserve">. </w:t>
      </w:r>
      <w:r w:rsidR="004F5123">
        <w:rPr>
          <w:rFonts w:ascii="Times New Roman" w:hAnsi="Times New Roman"/>
        </w:rPr>
        <w:t xml:space="preserve">En primer lugar, parece razonable separar </w:t>
      </w:r>
      <w:r w:rsidR="00A30383">
        <w:rPr>
          <w:rFonts w:ascii="Times New Roman" w:hAnsi="Times New Roman"/>
        </w:rPr>
        <w:t>la salud pública y el sistema de pensiones del IVM en dos instituciones separadas, pues la naturaleza de las actividades es distinta</w:t>
      </w:r>
      <w:r w:rsidR="00733E06">
        <w:rPr>
          <w:rFonts w:ascii="Times New Roman" w:hAnsi="Times New Roman"/>
        </w:rPr>
        <w:t xml:space="preserve"> y por lo tanto </w:t>
      </w:r>
      <w:r w:rsidR="0054259E">
        <w:rPr>
          <w:rFonts w:ascii="Times New Roman" w:hAnsi="Times New Roman"/>
        </w:rPr>
        <w:t>su estructura organizacional, presupuestos e incluso supervisión</w:t>
      </w:r>
      <w:r w:rsidR="0045627A">
        <w:rPr>
          <w:rFonts w:ascii="Times New Roman" w:hAnsi="Times New Roman"/>
        </w:rPr>
        <w:t xml:space="preserve"> también debe quedar claramente separada. </w:t>
      </w:r>
      <w:r w:rsidR="00AA0E64">
        <w:rPr>
          <w:rFonts w:ascii="Times New Roman" w:hAnsi="Times New Roman"/>
        </w:rPr>
        <w:t>Lo mismo para las actividades de construcción y telecomunicaciones en el ICE</w:t>
      </w:r>
      <w:r w:rsidR="00B45CAB">
        <w:rPr>
          <w:rFonts w:ascii="Times New Roman" w:hAnsi="Times New Roman"/>
        </w:rPr>
        <w:t xml:space="preserve">, que tiene naturaleza distinta. Esta recomendación </w:t>
      </w:r>
      <w:r w:rsidR="00A657D0">
        <w:rPr>
          <w:rFonts w:ascii="Times New Roman" w:hAnsi="Times New Roman"/>
        </w:rPr>
        <w:t xml:space="preserve">es para mejorar la transparencia </w:t>
      </w:r>
      <w:r w:rsidR="00D42271">
        <w:rPr>
          <w:rFonts w:ascii="Times New Roman" w:hAnsi="Times New Roman"/>
        </w:rPr>
        <w:t xml:space="preserve">contable, administrativa y operativa </w:t>
      </w:r>
      <w:r w:rsidR="00A657D0">
        <w:rPr>
          <w:rFonts w:ascii="Times New Roman" w:hAnsi="Times New Roman"/>
        </w:rPr>
        <w:t xml:space="preserve">de las instituciones </w:t>
      </w:r>
      <w:r w:rsidR="00D42271">
        <w:rPr>
          <w:rFonts w:ascii="Times New Roman" w:hAnsi="Times New Roman"/>
        </w:rPr>
        <w:t>emblema de Costa Rica.</w:t>
      </w:r>
    </w:p>
    <w:p w14:paraId="7C38EF93" w14:textId="77777777" w:rsidR="00D63925" w:rsidRDefault="00D63925" w:rsidP="00162E8B">
      <w:pPr>
        <w:spacing w:after="0" w:line="360" w:lineRule="auto"/>
        <w:ind w:left="-180"/>
        <w:rPr>
          <w:rFonts w:ascii="Times New Roman" w:hAnsi="Times New Roman" w:cs="Times New Roman"/>
          <w:b/>
          <w:i/>
          <w:color w:val="000000" w:themeColor="text1"/>
          <w:szCs w:val="24"/>
        </w:rPr>
      </w:pPr>
    </w:p>
    <w:p w14:paraId="2F4BC8B3" w14:textId="77777777" w:rsidR="00162E8B" w:rsidRPr="001C7AD8" w:rsidRDefault="00A24D65" w:rsidP="001C7AD8">
      <w:pPr>
        <w:pStyle w:val="Heading1"/>
        <w:numPr>
          <w:ilvl w:val="0"/>
          <w:numId w:val="0"/>
        </w:numPr>
        <w:ind w:left="-360"/>
        <w:jc w:val="left"/>
        <w:rPr>
          <w:rFonts w:eastAsiaTheme="minorEastAsia" w:cs="Times New Roman"/>
          <w:bCs w:val="0"/>
          <w:i/>
          <w:smallCaps w:val="0"/>
          <w:color w:val="000000" w:themeColor="text1"/>
          <w:kern w:val="0"/>
          <w:sz w:val="22"/>
          <w:szCs w:val="24"/>
          <w:lang w:val="es-ES"/>
        </w:rPr>
      </w:pPr>
      <w:bookmarkStart w:id="22" w:name="_Toc518397890"/>
      <w:r w:rsidRPr="001C7AD8">
        <w:rPr>
          <w:rFonts w:eastAsiaTheme="minorEastAsia" w:cs="Times New Roman"/>
          <w:bCs w:val="0"/>
          <w:i/>
          <w:smallCaps w:val="0"/>
          <w:color w:val="000000" w:themeColor="text1"/>
          <w:kern w:val="0"/>
          <w:sz w:val="22"/>
          <w:szCs w:val="24"/>
          <w:lang w:val="es-ES"/>
        </w:rPr>
        <w:t>Incrementar la eficiencia y control del gasto público</w:t>
      </w:r>
      <w:bookmarkEnd w:id="22"/>
      <w:r w:rsidRPr="001C7AD8">
        <w:rPr>
          <w:rFonts w:eastAsiaTheme="minorEastAsia" w:cs="Times New Roman"/>
          <w:bCs w:val="0"/>
          <w:i/>
          <w:smallCaps w:val="0"/>
          <w:color w:val="000000" w:themeColor="text1"/>
          <w:kern w:val="0"/>
          <w:sz w:val="22"/>
          <w:szCs w:val="24"/>
          <w:lang w:val="es-ES"/>
        </w:rPr>
        <w:t xml:space="preserve"> </w:t>
      </w:r>
    </w:p>
    <w:p w14:paraId="095F3CE5" w14:textId="77777777" w:rsidR="003C6DCD" w:rsidRPr="00EC03B5" w:rsidRDefault="003C6DCD" w:rsidP="00321228">
      <w:pPr>
        <w:spacing w:after="0" w:line="360" w:lineRule="auto"/>
        <w:jc w:val="both"/>
        <w:rPr>
          <w:rFonts w:ascii="Times New Roman" w:hAnsi="Times New Roman" w:cs="Times New Roman"/>
          <w:szCs w:val="24"/>
        </w:rPr>
      </w:pPr>
      <w:r w:rsidRPr="00A55AA6">
        <w:rPr>
          <w:rFonts w:ascii="Times New Roman" w:hAnsi="Times New Roman" w:cs="Times New Roman"/>
          <w:b/>
          <w:color w:val="000000" w:themeColor="text1"/>
          <w:szCs w:val="24"/>
        </w:rPr>
        <w:t>La situación fiscal de CR no se debe solo a problemas de ingresos, sino también de gastos</w:t>
      </w:r>
      <w:r w:rsidRPr="00EC03B5">
        <w:rPr>
          <w:rFonts w:ascii="Times New Roman" w:hAnsi="Times New Roman" w:cs="Times New Roman"/>
          <w:color w:val="000000" w:themeColor="text1"/>
          <w:szCs w:val="24"/>
        </w:rPr>
        <w:t>. En particular, a</w:t>
      </w:r>
      <w:r w:rsidRPr="00EC03B5">
        <w:rPr>
          <w:rFonts w:ascii="Times New Roman" w:hAnsi="Times New Roman" w:cs="Times New Roman"/>
          <w:szCs w:val="24"/>
        </w:rPr>
        <w:t xml:space="preserve"> raíz de la crisis de 2008 el llamado Plan Escudo “Protección social y estímulo económico frente a la crisis internacional” supuso un fuerte aumento del gasto como medida de estímulo, principalmente de gasto corriente</w:t>
      </w:r>
      <w:r w:rsidR="00834D6A">
        <w:rPr>
          <w:rFonts w:ascii="Times New Roman" w:hAnsi="Times New Roman" w:cs="Times New Roman"/>
          <w:szCs w:val="24"/>
        </w:rPr>
        <w:t>,</w:t>
      </w:r>
      <w:r w:rsidRPr="00EC03B5">
        <w:rPr>
          <w:rFonts w:ascii="Times New Roman" w:hAnsi="Times New Roman" w:cs="Times New Roman"/>
          <w:szCs w:val="24"/>
        </w:rPr>
        <w:t xml:space="preserve"> mediante la creación de nuevas plazas y aumentos salariales en la administración. </w:t>
      </w:r>
      <w:r w:rsidR="008765C7" w:rsidRPr="00244AAE">
        <w:rPr>
          <w:rFonts w:ascii="Times New Roman" w:hAnsi="Times New Roman" w:cs="Times New Roman"/>
          <w:color w:val="000000" w:themeColor="text1"/>
          <w:szCs w:val="24"/>
        </w:rPr>
        <w:t>Así, el gasto</w:t>
      </w:r>
      <w:r w:rsidR="002B03F8" w:rsidRPr="00244AAE">
        <w:rPr>
          <w:rFonts w:ascii="Times New Roman" w:hAnsi="Times New Roman" w:cs="Times New Roman"/>
          <w:color w:val="000000" w:themeColor="text1"/>
          <w:szCs w:val="24"/>
        </w:rPr>
        <w:t xml:space="preserve"> total</w:t>
      </w:r>
      <w:r w:rsidR="00E34C4A" w:rsidRPr="00244AAE">
        <w:rPr>
          <w:rFonts w:ascii="Times New Roman" w:hAnsi="Times New Roman" w:cs="Times New Roman"/>
          <w:color w:val="000000" w:themeColor="text1"/>
          <w:szCs w:val="24"/>
        </w:rPr>
        <w:t xml:space="preserve"> </w:t>
      </w:r>
      <w:r w:rsidR="008765C7" w:rsidRPr="00244AAE">
        <w:rPr>
          <w:rFonts w:ascii="Times New Roman" w:hAnsi="Times New Roman" w:cs="Times New Roman"/>
          <w:color w:val="000000" w:themeColor="text1"/>
          <w:szCs w:val="24"/>
        </w:rPr>
        <w:t>del Gobierno Central ha pasado del 14,7% del PIB en 2007 al 20,7% en 2017</w:t>
      </w:r>
      <w:r w:rsidR="00055A95" w:rsidRPr="00244AAE">
        <w:rPr>
          <w:rFonts w:ascii="Times New Roman" w:hAnsi="Times New Roman" w:cs="Times New Roman"/>
          <w:color w:val="000000" w:themeColor="text1"/>
          <w:szCs w:val="24"/>
        </w:rPr>
        <w:t xml:space="preserve">, mientras que en el caso del </w:t>
      </w:r>
      <w:r w:rsidR="00DC0443" w:rsidRPr="00244AAE">
        <w:rPr>
          <w:rFonts w:ascii="Times New Roman" w:hAnsi="Times New Roman" w:cs="Times New Roman"/>
          <w:szCs w:val="24"/>
        </w:rPr>
        <w:t>S</w:t>
      </w:r>
      <w:r w:rsidR="00A0002A" w:rsidRPr="00244AAE">
        <w:rPr>
          <w:rFonts w:ascii="Times New Roman" w:hAnsi="Times New Roman" w:cs="Times New Roman"/>
          <w:szCs w:val="24"/>
        </w:rPr>
        <w:t>PNF</w:t>
      </w:r>
      <w:r w:rsidR="00055A95" w:rsidRPr="00244AAE">
        <w:rPr>
          <w:rFonts w:ascii="Times New Roman" w:hAnsi="Times New Roman" w:cs="Times New Roman"/>
          <w:szCs w:val="24"/>
        </w:rPr>
        <w:t>, el gasto p</w:t>
      </w:r>
      <w:r w:rsidR="00A0002A" w:rsidRPr="00244AAE">
        <w:rPr>
          <w:rFonts w:ascii="Times New Roman" w:hAnsi="Times New Roman" w:cs="Times New Roman"/>
          <w:szCs w:val="24"/>
        </w:rPr>
        <w:t xml:space="preserve">asó de </w:t>
      </w:r>
      <w:r w:rsidR="00200596" w:rsidRPr="00244AAE">
        <w:rPr>
          <w:rFonts w:ascii="Times New Roman" w:hAnsi="Times New Roman" w:cs="Times New Roman"/>
          <w:szCs w:val="24"/>
        </w:rPr>
        <w:t>24</w:t>
      </w:r>
      <w:r w:rsidR="009E5DF7" w:rsidRPr="00244AAE">
        <w:rPr>
          <w:rFonts w:ascii="Times New Roman" w:hAnsi="Times New Roman" w:cs="Times New Roman"/>
          <w:szCs w:val="24"/>
        </w:rPr>
        <w:t>,0</w:t>
      </w:r>
      <w:r w:rsidR="00200596" w:rsidRPr="00244AAE">
        <w:rPr>
          <w:rFonts w:ascii="Times New Roman" w:hAnsi="Times New Roman" w:cs="Times New Roman"/>
          <w:szCs w:val="24"/>
        </w:rPr>
        <w:t>%</w:t>
      </w:r>
      <w:r w:rsidR="00D220A6" w:rsidRPr="00244AAE">
        <w:rPr>
          <w:rFonts w:ascii="Times New Roman" w:hAnsi="Times New Roman" w:cs="Times New Roman"/>
          <w:szCs w:val="24"/>
        </w:rPr>
        <w:t xml:space="preserve"> del PIB a </w:t>
      </w:r>
      <w:r w:rsidR="009442F3" w:rsidRPr="00244AAE">
        <w:rPr>
          <w:rFonts w:ascii="Times New Roman" w:hAnsi="Times New Roman" w:cs="Times New Roman"/>
          <w:szCs w:val="24"/>
        </w:rPr>
        <w:t>30,</w:t>
      </w:r>
      <w:r w:rsidR="009E5DF7" w:rsidRPr="00244AAE">
        <w:rPr>
          <w:rFonts w:ascii="Times New Roman" w:hAnsi="Times New Roman" w:cs="Times New Roman"/>
          <w:szCs w:val="24"/>
        </w:rPr>
        <w:t>3</w:t>
      </w:r>
      <w:r w:rsidR="009442F3" w:rsidRPr="00244AAE">
        <w:rPr>
          <w:rFonts w:ascii="Times New Roman" w:hAnsi="Times New Roman" w:cs="Times New Roman"/>
          <w:szCs w:val="24"/>
        </w:rPr>
        <w:t>% entre 2007 y 2016.</w:t>
      </w:r>
      <w:r w:rsidR="009442F3">
        <w:rPr>
          <w:rFonts w:ascii="Times New Roman" w:hAnsi="Times New Roman" w:cs="Times New Roman"/>
          <w:szCs w:val="24"/>
        </w:rPr>
        <w:t xml:space="preserve"> </w:t>
      </w:r>
    </w:p>
    <w:p w14:paraId="25AFC3B5" w14:textId="77777777" w:rsidR="00E019F2" w:rsidRDefault="00E019F2" w:rsidP="00E019F2">
      <w:pPr>
        <w:spacing w:before="240" w:after="0" w:line="360" w:lineRule="auto"/>
        <w:ind w:right="51"/>
        <w:jc w:val="both"/>
        <w:rPr>
          <w:rFonts w:ascii="Times New Roman" w:hAnsi="Times New Roman" w:cs="Times New Roman"/>
          <w:szCs w:val="24"/>
        </w:rPr>
      </w:pPr>
      <w:r w:rsidRPr="00B578B6">
        <w:rPr>
          <w:rFonts w:ascii="Times New Roman" w:hAnsi="Times New Roman" w:cs="Times New Roman"/>
          <w:b/>
          <w:color w:val="000000" w:themeColor="text1"/>
          <w:szCs w:val="24"/>
        </w:rPr>
        <w:t>Buena parte del aumento del gasto corriente se debe, a su vez, al crecimiento de las remuneraciones.</w:t>
      </w:r>
      <w:r w:rsidRPr="00EC03B5">
        <w:rPr>
          <w:rFonts w:ascii="Times New Roman" w:hAnsi="Times New Roman" w:cs="Times New Roman"/>
          <w:color w:val="000000" w:themeColor="text1"/>
          <w:szCs w:val="24"/>
        </w:rPr>
        <w:t xml:space="preserve"> </w:t>
      </w:r>
      <w:r w:rsidR="007F2E4F" w:rsidRPr="007F2E4F">
        <w:rPr>
          <w:rFonts w:ascii="Times New Roman" w:hAnsi="Times New Roman" w:cs="Times New Roman"/>
          <w:szCs w:val="24"/>
        </w:rPr>
        <w:t xml:space="preserve">Costa Rica es uno de los países con el mayor gasto en masa salarial del </w:t>
      </w:r>
      <w:r w:rsidR="00B978B8">
        <w:rPr>
          <w:rFonts w:ascii="Times New Roman" w:hAnsi="Times New Roman" w:cs="Times New Roman"/>
          <w:szCs w:val="24"/>
        </w:rPr>
        <w:t>G</w:t>
      </w:r>
      <w:r w:rsidR="007F2E4F" w:rsidRPr="007F2E4F">
        <w:rPr>
          <w:rFonts w:ascii="Times New Roman" w:hAnsi="Times New Roman" w:cs="Times New Roman"/>
          <w:szCs w:val="24"/>
        </w:rPr>
        <w:t xml:space="preserve">obierno </w:t>
      </w:r>
      <w:r w:rsidR="00B978B8">
        <w:rPr>
          <w:rFonts w:ascii="Times New Roman" w:hAnsi="Times New Roman" w:cs="Times New Roman"/>
          <w:szCs w:val="24"/>
        </w:rPr>
        <w:t>C</w:t>
      </w:r>
      <w:r w:rsidR="007F2E4F" w:rsidRPr="007F2E4F">
        <w:rPr>
          <w:rFonts w:ascii="Times New Roman" w:hAnsi="Times New Roman" w:cs="Times New Roman"/>
          <w:szCs w:val="24"/>
        </w:rPr>
        <w:t xml:space="preserve">entral en América Latina, midiéndolo como porcentaje del PIB, del gasto total o de los ingresos tributarios (7%, 36% y 45%, respectivamente). </w:t>
      </w:r>
      <w:r w:rsidRPr="00EC03B5">
        <w:rPr>
          <w:rFonts w:ascii="Times New Roman" w:hAnsi="Times New Roman" w:cs="Times New Roman"/>
          <w:color w:val="000000" w:themeColor="text1"/>
          <w:szCs w:val="24"/>
        </w:rPr>
        <w:t>Según Espinoza (2016)</w:t>
      </w:r>
      <w:r w:rsidR="00B578B6">
        <w:rPr>
          <w:rStyle w:val="FootnoteReference"/>
          <w:rFonts w:ascii="Times New Roman" w:hAnsi="Times New Roman" w:cs="Times New Roman"/>
          <w:color w:val="000000" w:themeColor="text1"/>
          <w:szCs w:val="24"/>
        </w:rPr>
        <w:footnoteReference w:id="49"/>
      </w:r>
      <w:r w:rsidRPr="00EC03B5">
        <w:rPr>
          <w:rFonts w:ascii="Times New Roman" w:hAnsi="Times New Roman" w:cs="Times New Roman"/>
          <w:color w:val="000000" w:themeColor="text1"/>
          <w:szCs w:val="24"/>
        </w:rPr>
        <w:t xml:space="preserve">, entre </w:t>
      </w:r>
      <w:r w:rsidRPr="00EC03B5">
        <w:rPr>
          <w:rFonts w:ascii="Times New Roman" w:hAnsi="Times New Roman" w:cs="Times New Roman"/>
          <w:szCs w:val="24"/>
        </w:rPr>
        <w:t>2007 y 201</w:t>
      </w:r>
      <w:r w:rsidR="00E30F62">
        <w:rPr>
          <w:rFonts w:ascii="Times New Roman" w:hAnsi="Times New Roman" w:cs="Times New Roman"/>
          <w:szCs w:val="24"/>
        </w:rPr>
        <w:t>0</w:t>
      </w:r>
      <w:r w:rsidRPr="00EC03B5">
        <w:rPr>
          <w:rFonts w:ascii="Times New Roman" w:hAnsi="Times New Roman" w:cs="Times New Roman"/>
          <w:szCs w:val="24"/>
        </w:rPr>
        <w:t xml:space="preserve"> las </w:t>
      </w:r>
      <w:r w:rsidR="00786480">
        <w:rPr>
          <w:rFonts w:ascii="Times New Roman" w:hAnsi="Times New Roman" w:cs="Times New Roman"/>
          <w:szCs w:val="24"/>
        </w:rPr>
        <w:t xml:space="preserve">erogaciones por concepto de </w:t>
      </w:r>
      <w:r w:rsidR="008D00F5">
        <w:rPr>
          <w:rFonts w:ascii="Times New Roman" w:hAnsi="Times New Roman" w:cs="Times New Roman"/>
          <w:szCs w:val="24"/>
        </w:rPr>
        <w:t xml:space="preserve">remuneraciones </w:t>
      </w:r>
      <w:r w:rsidRPr="00EC03B5">
        <w:rPr>
          <w:rFonts w:ascii="Times New Roman" w:hAnsi="Times New Roman" w:cs="Times New Roman"/>
          <w:szCs w:val="24"/>
        </w:rPr>
        <w:t xml:space="preserve">del Gobierno Central crecieron </w:t>
      </w:r>
      <w:r w:rsidR="00E30F62">
        <w:rPr>
          <w:rFonts w:ascii="Times New Roman" w:hAnsi="Times New Roman" w:cs="Times New Roman"/>
          <w:szCs w:val="24"/>
        </w:rPr>
        <w:t xml:space="preserve">1,7 puntos </w:t>
      </w:r>
      <w:r w:rsidRPr="00EC03B5">
        <w:rPr>
          <w:rFonts w:ascii="Times New Roman" w:hAnsi="Times New Roman" w:cs="Times New Roman"/>
          <w:szCs w:val="24"/>
        </w:rPr>
        <w:t>del PIB, tanto debido al aumento de plazas (un 21,4% entre 2007 y 2009) como a la política salarial del percentil 50, que pretendía equiparar las remuneraciones del Gobierno Central con las del sector autónomo estatal</w:t>
      </w:r>
      <w:r w:rsidR="00E30F62">
        <w:rPr>
          <w:rFonts w:ascii="Times New Roman" w:hAnsi="Times New Roman" w:cs="Times New Roman"/>
          <w:szCs w:val="24"/>
        </w:rPr>
        <w:t>.</w:t>
      </w:r>
      <w:r w:rsidRPr="00EC03B5">
        <w:rPr>
          <w:rStyle w:val="FootnoteReference"/>
          <w:rFonts w:ascii="Times New Roman" w:hAnsi="Times New Roman" w:cs="Times New Roman"/>
          <w:szCs w:val="24"/>
        </w:rPr>
        <w:footnoteReference w:id="50"/>
      </w:r>
      <w:r w:rsidRPr="00EC03B5">
        <w:rPr>
          <w:rFonts w:ascii="Times New Roman" w:hAnsi="Times New Roman" w:cs="Times New Roman"/>
          <w:szCs w:val="24"/>
        </w:rPr>
        <w:t xml:space="preserve"> Sin embargo, lo que en principio afectaría a unos 6,000 empleados alcanzó a más de 45.000. </w:t>
      </w:r>
    </w:p>
    <w:p w14:paraId="62F3B82A" w14:textId="5B891139" w:rsidR="001F415F" w:rsidRPr="00354C66" w:rsidRDefault="00354C66" w:rsidP="00354C66">
      <w:pPr>
        <w:pStyle w:val="Caption"/>
        <w:spacing w:after="0"/>
        <w:jc w:val="center"/>
        <w:rPr>
          <w:rFonts w:ascii="Times New Roman" w:hAnsi="Times New Roman" w:cs="Times New Roman"/>
          <w:b/>
          <w:i w:val="0"/>
          <w:color w:val="auto"/>
          <w:sz w:val="22"/>
          <w:szCs w:val="22"/>
        </w:rPr>
      </w:pPr>
      <w:bookmarkStart w:id="23" w:name="_Toc518399859"/>
      <w:r w:rsidRPr="00354C66">
        <w:rPr>
          <w:rFonts w:ascii="Times New Roman" w:hAnsi="Times New Roman" w:cs="Times New Roman"/>
          <w:b/>
          <w:i w:val="0"/>
          <w:color w:val="auto"/>
          <w:sz w:val="22"/>
          <w:szCs w:val="22"/>
        </w:rPr>
        <w:t xml:space="preserve">Tabla </w:t>
      </w:r>
      <w:r w:rsidRPr="00354C66">
        <w:rPr>
          <w:rFonts w:ascii="Times New Roman" w:hAnsi="Times New Roman" w:cs="Times New Roman"/>
          <w:b/>
          <w:i w:val="0"/>
          <w:color w:val="auto"/>
          <w:sz w:val="22"/>
          <w:szCs w:val="22"/>
        </w:rPr>
        <w:fldChar w:fldCharType="begin"/>
      </w:r>
      <w:r w:rsidRPr="00354C66">
        <w:rPr>
          <w:rFonts w:ascii="Times New Roman" w:hAnsi="Times New Roman" w:cs="Times New Roman"/>
          <w:b/>
          <w:i w:val="0"/>
          <w:color w:val="auto"/>
          <w:sz w:val="22"/>
          <w:szCs w:val="22"/>
        </w:rPr>
        <w:instrText xml:space="preserve"> SEQ Tabla \* ARABIC </w:instrText>
      </w:r>
      <w:r w:rsidRPr="00354C6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4</w:t>
      </w:r>
      <w:r w:rsidRPr="00354C66">
        <w:rPr>
          <w:rFonts w:ascii="Times New Roman" w:hAnsi="Times New Roman" w:cs="Times New Roman"/>
          <w:b/>
          <w:i w:val="0"/>
          <w:color w:val="auto"/>
          <w:sz w:val="22"/>
          <w:szCs w:val="22"/>
        </w:rPr>
        <w:fldChar w:fldCharType="end"/>
      </w:r>
      <w:r w:rsidR="00FE4D27" w:rsidRPr="00354C66">
        <w:rPr>
          <w:rFonts w:ascii="Times New Roman" w:hAnsi="Times New Roman" w:cs="Times New Roman"/>
          <w:b/>
          <w:i w:val="0"/>
          <w:color w:val="auto"/>
          <w:sz w:val="22"/>
          <w:szCs w:val="22"/>
        </w:rPr>
        <w:t xml:space="preserve">. </w:t>
      </w:r>
      <w:r w:rsidR="00A92474" w:rsidRPr="00354C66">
        <w:rPr>
          <w:rFonts w:ascii="Times New Roman" w:hAnsi="Times New Roman" w:cs="Times New Roman"/>
          <w:b/>
          <w:i w:val="0"/>
          <w:color w:val="auto"/>
          <w:sz w:val="22"/>
          <w:szCs w:val="22"/>
        </w:rPr>
        <w:t>Remuneraciones</w:t>
      </w:r>
      <w:r w:rsidR="00B65C1B" w:rsidRPr="00354C66">
        <w:rPr>
          <w:rFonts w:ascii="Times New Roman" w:hAnsi="Times New Roman" w:cs="Times New Roman"/>
          <w:b/>
          <w:i w:val="0"/>
          <w:color w:val="auto"/>
          <w:sz w:val="22"/>
          <w:szCs w:val="22"/>
        </w:rPr>
        <w:t xml:space="preserve"> y Gasto Corriente</w:t>
      </w:r>
      <w:r w:rsidR="00A92474" w:rsidRPr="00354C66">
        <w:rPr>
          <w:rFonts w:ascii="Times New Roman" w:hAnsi="Times New Roman" w:cs="Times New Roman"/>
          <w:b/>
          <w:i w:val="0"/>
          <w:color w:val="auto"/>
          <w:sz w:val="22"/>
          <w:szCs w:val="22"/>
        </w:rPr>
        <w:t xml:space="preserve"> del </w:t>
      </w:r>
      <w:r w:rsidR="004A507A" w:rsidRPr="00354C66">
        <w:rPr>
          <w:rFonts w:ascii="Times New Roman" w:hAnsi="Times New Roman" w:cs="Times New Roman"/>
          <w:b/>
          <w:i w:val="0"/>
          <w:color w:val="auto"/>
          <w:sz w:val="22"/>
          <w:szCs w:val="22"/>
        </w:rPr>
        <w:t xml:space="preserve">SPNF </w:t>
      </w:r>
      <w:r w:rsidR="00A92474" w:rsidRPr="00354C66">
        <w:rPr>
          <w:rFonts w:ascii="Times New Roman" w:hAnsi="Times New Roman" w:cs="Times New Roman"/>
          <w:b/>
          <w:i w:val="0"/>
          <w:color w:val="auto"/>
          <w:sz w:val="22"/>
          <w:szCs w:val="22"/>
        </w:rPr>
        <w:t>como % de</w:t>
      </w:r>
      <w:r w:rsidR="008950DD" w:rsidRPr="00354C66">
        <w:rPr>
          <w:rFonts w:ascii="Times New Roman" w:hAnsi="Times New Roman" w:cs="Times New Roman"/>
          <w:b/>
          <w:i w:val="0"/>
          <w:color w:val="auto"/>
          <w:sz w:val="22"/>
          <w:szCs w:val="22"/>
        </w:rPr>
        <w:t>l PIB</w:t>
      </w:r>
      <w:r w:rsidR="00A92474" w:rsidRPr="00354C66">
        <w:rPr>
          <w:rFonts w:ascii="Times New Roman" w:hAnsi="Times New Roman" w:cs="Times New Roman"/>
          <w:b/>
          <w:i w:val="0"/>
          <w:color w:val="auto"/>
          <w:sz w:val="22"/>
          <w:szCs w:val="22"/>
        </w:rPr>
        <w:t>,</w:t>
      </w:r>
      <w:bookmarkEnd w:id="23"/>
    </w:p>
    <w:p w14:paraId="3AED130D" w14:textId="4A31CF2D" w:rsidR="006B663E" w:rsidRDefault="00A92474">
      <w:pPr>
        <w:spacing w:after="0" w:line="240" w:lineRule="auto"/>
        <w:ind w:right="51"/>
        <w:jc w:val="center"/>
        <w:rPr>
          <w:rFonts w:ascii="Times New Roman" w:hAnsi="Times New Roman" w:cs="Times New Roman"/>
          <w:szCs w:val="24"/>
        </w:rPr>
      </w:pPr>
      <w:r w:rsidRPr="005E1C4A">
        <w:rPr>
          <w:rFonts w:ascii="Times New Roman" w:hAnsi="Times New Roman" w:cs="Times New Roman"/>
          <w:b/>
          <w:szCs w:val="24"/>
        </w:rPr>
        <w:t>200</w:t>
      </w:r>
      <w:r w:rsidR="00646D0F">
        <w:rPr>
          <w:rFonts w:ascii="Times New Roman" w:hAnsi="Times New Roman" w:cs="Times New Roman"/>
          <w:b/>
          <w:szCs w:val="24"/>
        </w:rPr>
        <w:t>7</w:t>
      </w:r>
      <w:r w:rsidRPr="005E1C4A">
        <w:rPr>
          <w:rFonts w:ascii="Times New Roman" w:hAnsi="Times New Roman" w:cs="Times New Roman"/>
          <w:b/>
          <w:szCs w:val="24"/>
        </w:rPr>
        <w:t>-2017</w:t>
      </w:r>
      <w:r w:rsidR="00B65C1B" w:rsidRPr="00B65C1B">
        <w:rPr>
          <w:noProof/>
        </w:rPr>
        <w:t xml:space="preserve"> </w:t>
      </w:r>
    </w:p>
    <w:tbl>
      <w:tblPr>
        <w:tblW w:w="8536" w:type="dxa"/>
        <w:jc w:val="center"/>
        <w:tblLook w:val="04A0" w:firstRow="1" w:lastRow="0" w:firstColumn="1" w:lastColumn="0" w:noHBand="0" w:noVBand="1"/>
      </w:tblPr>
      <w:tblGrid>
        <w:gridCol w:w="1760"/>
        <w:gridCol w:w="616"/>
        <w:gridCol w:w="616"/>
        <w:gridCol w:w="616"/>
        <w:gridCol w:w="616"/>
        <w:gridCol w:w="616"/>
        <w:gridCol w:w="616"/>
        <w:gridCol w:w="616"/>
        <w:gridCol w:w="616"/>
        <w:gridCol w:w="616"/>
        <w:gridCol w:w="581"/>
        <w:gridCol w:w="651"/>
      </w:tblGrid>
      <w:tr w:rsidR="006B3453" w:rsidRPr="000C52CA" w14:paraId="05AC0514" w14:textId="461CADFF" w:rsidTr="006B3453">
        <w:trPr>
          <w:trHeight w:val="276"/>
          <w:jc w:val="center"/>
        </w:trPr>
        <w:tc>
          <w:tcPr>
            <w:tcW w:w="1760" w:type="dxa"/>
            <w:tcBorders>
              <w:top w:val="double" w:sz="4" w:space="0" w:color="auto"/>
              <w:left w:val="nil"/>
              <w:bottom w:val="single" w:sz="4" w:space="0" w:color="auto"/>
              <w:right w:val="nil"/>
            </w:tcBorders>
            <w:shd w:val="clear" w:color="auto" w:fill="auto"/>
            <w:noWrap/>
            <w:vAlign w:val="center"/>
            <w:hideMark/>
          </w:tcPr>
          <w:p w14:paraId="3400B3DD"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Gasto Corriente</w:t>
            </w:r>
          </w:p>
        </w:tc>
        <w:tc>
          <w:tcPr>
            <w:tcW w:w="616" w:type="dxa"/>
            <w:tcBorders>
              <w:top w:val="double" w:sz="4" w:space="0" w:color="auto"/>
              <w:left w:val="nil"/>
              <w:bottom w:val="single" w:sz="4" w:space="0" w:color="auto"/>
              <w:right w:val="nil"/>
            </w:tcBorders>
            <w:shd w:val="clear" w:color="auto" w:fill="auto"/>
            <w:noWrap/>
            <w:vAlign w:val="center"/>
            <w:hideMark/>
          </w:tcPr>
          <w:p w14:paraId="1A00EC78"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2007</w:t>
            </w:r>
          </w:p>
        </w:tc>
        <w:tc>
          <w:tcPr>
            <w:tcW w:w="616" w:type="dxa"/>
            <w:tcBorders>
              <w:top w:val="double" w:sz="4" w:space="0" w:color="auto"/>
              <w:left w:val="nil"/>
              <w:bottom w:val="single" w:sz="4" w:space="0" w:color="auto"/>
              <w:right w:val="nil"/>
            </w:tcBorders>
            <w:shd w:val="clear" w:color="auto" w:fill="auto"/>
            <w:noWrap/>
            <w:vAlign w:val="center"/>
            <w:hideMark/>
          </w:tcPr>
          <w:p w14:paraId="307C8080"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2008</w:t>
            </w:r>
          </w:p>
        </w:tc>
        <w:tc>
          <w:tcPr>
            <w:tcW w:w="616" w:type="dxa"/>
            <w:tcBorders>
              <w:top w:val="double" w:sz="4" w:space="0" w:color="auto"/>
              <w:left w:val="nil"/>
              <w:bottom w:val="single" w:sz="4" w:space="0" w:color="auto"/>
              <w:right w:val="nil"/>
            </w:tcBorders>
            <w:shd w:val="clear" w:color="auto" w:fill="auto"/>
            <w:noWrap/>
            <w:vAlign w:val="center"/>
            <w:hideMark/>
          </w:tcPr>
          <w:p w14:paraId="335A7E3A"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2009</w:t>
            </w:r>
          </w:p>
        </w:tc>
        <w:tc>
          <w:tcPr>
            <w:tcW w:w="616" w:type="dxa"/>
            <w:tcBorders>
              <w:top w:val="double" w:sz="4" w:space="0" w:color="auto"/>
              <w:left w:val="nil"/>
              <w:bottom w:val="single" w:sz="4" w:space="0" w:color="auto"/>
              <w:right w:val="nil"/>
            </w:tcBorders>
            <w:shd w:val="clear" w:color="auto" w:fill="auto"/>
            <w:noWrap/>
            <w:vAlign w:val="center"/>
            <w:hideMark/>
          </w:tcPr>
          <w:p w14:paraId="31A934BD"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2010</w:t>
            </w:r>
          </w:p>
        </w:tc>
        <w:tc>
          <w:tcPr>
            <w:tcW w:w="616" w:type="dxa"/>
            <w:tcBorders>
              <w:top w:val="double" w:sz="4" w:space="0" w:color="auto"/>
              <w:left w:val="nil"/>
              <w:bottom w:val="single" w:sz="4" w:space="0" w:color="auto"/>
              <w:right w:val="nil"/>
            </w:tcBorders>
            <w:shd w:val="clear" w:color="auto" w:fill="auto"/>
            <w:noWrap/>
            <w:vAlign w:val="center"/>
            <w:hideMark/>
          </w:tcPr>
          <w:p w14:paraId="4358FCF1"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2011</w:t>
            </w:r>
          </w:p>
        </w:tc>
        <w:tc>
          <w:tcPr>
            <w:tcW w:w="616" w:type="dxa"/>
            <w:tcBorders>
              <w:top w:val="double" w:sz="4" w:space="0" w:color="auto"/>
              <w:left w:val="nil"/>
              <w:bottom w:val="single" w:sz="4" w:space="0" w:color="auto"/>
              <w:right w:val="nil"/>
            </w:tcBorders>
            <w:shd w:val="clear" w:color="auto" w:fill="auto"/>
            <w:noWrap/>
            <w:vAlign w:val="center"/>
            <w:hideMark/>
          </w:tcPr>
          <w:p w14:paraId="47EC91ED"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2012</w:t>
            </w:r>
          </w:p>
        </w:tc>
        <w:tc>
          <w:tcPr>
            <w:tcW w:w="616" w:type="dxa"/>
            <w:tcBorders>
              <w:top w:val="double" w:sz="4" w:space="0" w:color="auto"/>
              <w:left w:val="nil"/>
              <w:bottom w:val="single" w:sz="4" w:space="0" w:color="auto"/>
              <w:right w:val="nil"/>
            </w:tcBorders>
            <w:shd w:val="clear" w:color="auto" w:fill="auto"/>
            <w:noWrap/>
            <w:vAlign w:val="center"/>
            <w:hideMark/>
          </w:tcPr>
          <w:p w14:paraId="59A70BE9"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2013</w:t>
            </w:r>
          </w:p>
        </w:tc>
        <w:tc>
          <w:tcPr>
            <w:tcW w:w="616" w:type="dxa"/>
            <w:tcBorders>
              <w:top w:val="double" w:sz="4" w:space="0" w:color="auto"/>
              <w:left w:val="nil"/>
              <w:bottom w:val="single" w:sz="4" w:space="0" w:color="auto"/>
              <w:right w:val="nil"/>
            </w:tcBorders>
            <w:shd w:val="clear" w:color="auto" w:fill="auto"/>
            <w:noWrap/>
            <w:vAlign w:val="center"/>
            <w:hideMark/>
          </w:tcPr>
          <w:p w14:paraId="7880C92D"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2014</w:t>
            </w:r>
          </w:p>
        </w:tc>
        <w:tc>
          <w:tcPr>
            <w:tcW w:w="616" w:type="dxa"/>
            <w:tcBorders>
              <w:top w:val="double" w:sz="4" w:space="0" w:color="auto"/>
              <w:left w:val="nil"/>
              <w:bottom w:val="single" w:sz="4" w:space="0" w:color="auto"/>
              <w:right w:val="nil"/>
            </w:tcBorders>
            <w:shd w:val="clear" w:color="auto" w:fill="auto"/>
            <w:noWrap/>
            <w:vAlign w:val="center"/>
            <w:hideMark/>
          </w:tcPr>
          <w:p w14:paraId="7FB2B3E3" w14:textId="77777777"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2015</w:t>
            </w:r>
          </w:p>
        </w:tc>
        <w:tc>
          <w:tcPr>
            <w:tcW w:w="581" w:type="dxa"/>
            <w:tcBorders>
              <w:top w:val="double" w:sz="4" w:space="0" w:color="auto"/>
              <w:left w:val="nil"/>
              <w:bottom w:val="single" w:sz="4" w:space="0" w:color="auto"/>
              <w:right w:val="nil"/>
            </w:tcBorders>
            <w:vAlign w:val="center"/>
          </w:tcPr>
          <w:p w14:paraId="2CFF8FC6" w14:textId="067EA219"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2016</w:t>
            </w:r>
          </w:p>
        </w:tc>
        <w:tc>
          <w:tcPr>
            <w:tcW w:w="651" w:type="dxa"/>
            <w:tcBorders>
              <w:top w:val="double" w:sz="4" w:space="0" w:color="auto"/>
              <w:left w:val="nil"/>
              <w:bottom w:val="single" w:sz="4" w:space="0" w:color="auto"/>
              <w:right w:val="nil"/>
            </w:tcBorders>
            <w:vAlign w:val="center"/>
          </w:tcPr>
          <w:p w14:paraId="554BEF18" w14:textId="1F5B1EF3" w:rsidR="008F0060" w:rsidRPr="000C52CA" w:rsidRDefault="008F0060" w:rsidP="0069315B">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2017</w:t>
            </w:r>
          </w:p>
        </w:tc>
      </w:tr>
      <w:tr w:rsidR="005C2927" w:rsidRPr="000C52CA" w14:paraId="211B6D72" w14:textId="6DF99A30" w:rsidTr="006B3453">
        <w:trPr>
          <w:trHeight w:val="264"/>
          <w:jc w:val="center"/>
        </w:trPr>
        <w:tc>
          <w:tcPr>
            <w:tcW w:w="1760" w:type="dxa"/>
            <w:tcBorders>
              <w:top w:val="single" w:sz="4" w:space="0" w:color="auto"/>
              <w:left w:val="nil"/>
              <w:bottom w:val="nil"/>
              <w:right w:val="nil"/>
            </w:tcBorders>
            <w:shd w:val="clear" w:color="auto" w:fill="auto"/>
            <w:noWrap/>
            <w:vAlign w:val="center"/>
            <w:hideMark/>
          </w:tcPr>
          <w:p w14:paraId="334B7C40" w14:textId="77777777" w:rsidR="00A224B7" w:rsidRPr="000C52CA" w:rsidRDefault="00A224B7" w:rsidP="00A224B7">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Gobierno Central</w:t>
            </w:r>
          </w:p>
        </w:tc>
        <w:tc>
          <w:tcPr>
            <w:tcW w:w="616" w:type="dxa"/>
            <w:tcBorders>
              <w:top w:val="nil"/>
              <w:left w:val="nil"/>
              <w:bottom w:val="nil"/>
              <w:right w:val="nil"/>
            </w:tcBorders>
            <w:shd w:val="clear" w:color="auto" w:fill="auto"/>
            <w:noWrap/>
            <w:vAlign w:val="bottom"/>
          </w:tcPr>
          <w:p w14:paraId="71EA6EA0" w14:textId="66901971"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8</w:t>
            </w:r>
          </w:p>
        </w:tc>
        <w:tc>
          <w:tcPr>
            <w:tcW w:w="616" w:type="dxa"/>
            <w:tcBorders>
              <w:top w:val="nil"/>
              <w:left w:val="nil"/>
              <w:bottom w:val="nil"/>
              <w:right w:val="nil"/>
            </w:tcBorders>
            <w:shd w:val="clear" w:color="auto" w:fill="auto"/>
            <w:noWrap/>
            <w:vAlign w:val="bottom"/>
          </w:tcPr>
          <w:p w14:paraId="49A2E5FD" w14:textId="766AEA65"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nil"/>
              <w:left w:val="nil"/>
              <w:bottom w:val="nil"/>
              <w:right w:val="nil"/>
            </w:tcBorders>
            <w:shd w:val="clear" w:color="auto" w:fill="auto"/>
            <w:noWrap/>
            <w:vAlign w:val="bottom"/>
          </w:tcPr>
          <w:p w14:paraId="095DEA1D" w14:textId="1F8EDDDF"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12</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6</w:t>
            </w:r>
          </w:p>
        </w:tc>
        <w:tc>
          <w:tcPr>
            <w:tcW w:w="616" w:type="dxa"/>
            <w:tcBorders>
              <w:top w:val="nil"/>
              <w:left w:val="nil"/>
              <w:bottom w:val="nil"/>
              <w:right w:val="nil"/>
            </w:tcBorders>
            <w:shd w:val="clear" w:color="auto" w:fill="auto"/>
            <w:noWrap/>
            <w:vAlign w:val="bottom"/>
          </w:tcPr>
          <w:p w14:paraId="72EB0DC9" w14:textId="76EDF4FA"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13</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c>
          <w:tcPr>
            <w:tcW w:w="616" w:type="dxa"/>
            <w:tcBorders>
              <w:top w:val="nil"/>
              <w:left w:val="nil"/>
              <w:bottom w:val="nil"/>
              <w:right w:val="nil"/>
            </w:tcBorders>
            <w:shd w:val="clear" w:color="auto" w:fill="auto"/>
            <w:noWrap/>
            <w:vAlign w:val="bottom"/>
          </w:tcPr>
          <w:p w14:paraId="3E7CBB26" w14:textId="10A16DFC"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13</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4</w:t>
            </w:r>
          </w:p>
        </w:tc>
        <w:tc>
          <w:tcPr>
            <w:tcW w:w="616" w:type="dxa"/>
            <w:tcBorders>
              <w:top w:val="nil"/>
              <w:left w:val="nil"/>
              <w:bottom w:val="nil"/>
              <w:right w:val="nil"/>
            </w:tcBorders>
            <w:shd w:val="clear" w:color="auto" w:fill="auto"/>
            <w:noWrap/>
            <w:vAlign w:val="bottom"/>
          </w:tcPr>
          <w:p w14:paraId="522486A2" w14:textId="0CC83F60"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13</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8</w:t>
            </w:r>
          </w:p>
        </w:tc>
        <w:tc>
          <w:tcPr>
            <w:tcW w:w="616" w:type="dxa"/>
            <w:tcBorders>
              <w:top w:val="nil"/>
              <w:left w:val="nil"/>
              <w:bottom w:val="nil"/>
              <w:right w:val="nil"/>
            </w:tcBorders>
            <w:shd w:val="clear" w:color="auto" w:fill="auto"/>
            <w:noWrap/>
            <w:vAlign w:val="bottom"/>
          </w:tcPr>
          <w:p w14:paraId="5E4DC8EB" w14:textId="5C0B4B2F"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6</w:t>
            </w:r>
          </w:p>
        </w:tc>
        <w:tc>
          <w:tcPr>
            <w:tcW w:w="616" w:type="dxa"/>
            <w:tcBorders>
              <w:top w:val="nil"/>
              <w:left w:val="nil"/>
              <w:bottom w:val="nil"/>
              <w:right w:val="nil"/>
            </w:tcBorders>
            <w:shd w:val="clear" w:color="auto" w:fill="auto"/>
            <w:noWrap/>
            <w:vAlign w:val="bottom"/>
          </w:tcPr>
          <w:p w14:paraId="6921D7EE" w14:textId="74EEE025"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4</w:t>
            </w:r>
          </w:p>
        </w:tc>
        <w:tc>
          <w:tcPr>
            <w:tcW w:w="616" w:type="dxa"/>
            <w:tcBorders>
              <w:top w:val="nil"/>
              <w:left w:val="nil"/>
              <w:bottom w:val="nil"/>
              <w:right w:val="nil"/>
            </w:tcBorders>
            <w:shd w:val="clear" w:color="auto" w:fill="auto"/>
            <w:noWrap/>
            <w:vAlign w:val="bottom"/>
          </w:tcPr>
          <w:p w14:paraId="5265A944" w14:textId="78C3151B"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7</w:t>
            </w:r>
          </w:p>
        </w:tc>
        <w:tc>
          <w:tcPr>
            <w:tcW w:w="581" w:type="dxa"/>
            <w:tcBorders>
              <w:top w:val="nil"/>
              <w:left w:val="nil"/>
              <w:bottom w:val="nil"/>
              <w:right w:val="nil"/>
            </w:tcBorders>
            <w:shd w:val="clear" w:color="auto" w:fill="auto"/>
            <w:vAlign w:val="bottom"/>
          </w:tcPr>
          <w:p w14:paraId="05BB97D2" w14:textId="7746655A"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6</w:t>
            </w:r>
          </w:p>
        </w:tc>
        <w:tc>
          <w:tcPr>
            <w:tcW w:w="651" w:type="dxa"/>
            <w:tcBorders>
              <w:top w:val="nil"/>
              <w:left w:val="nil"/>
              <w:bottom w:val="nil"/>
              <w:right w:val="nil"/>
            </w:tcBorders>
            <w:shd w:val="clear" w:color="auto" w:fill="auto"/>
            <w:vAlign w:val="bottom"/>
          </w:tcPr>
          <w:p w14:paraId="1B9D19FA" w14:textId="5CB91A8A" w:rsidR="00A224B7" w:rsidRPr="000C52CA" w:rsidRDefault="00A224B7"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15</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r>
      <w:tr w:rsidR="000C52CA" w:rsidRPr="000C52CA" w14:paraId="39193B0A" w14:textId="675B7793" w:rsidTr="006B3453">
        <w:trPr>
          <w:trHeight w:val="264"/>
          <w:jc w:val="center"/>
        </w:trPr>
        <w:tc>
          <w:tcPr>
            <w:tcW w:w="1760" w:type="dxa"/>
            <w:tcBorders>
              <w:top w:val="nil"/>
              <w:left w:val="nil"/>
              <w:bottom w:val="nil"/>
              <w:right w:val="nil"/>
            </w:tcBorders>
            <w:shd w:val="clear" w:color="auto" w:fill="auto"/>
            <w:noWrap/>
            <w:vAlign w:val="center"/>
            <w:hideMark/>
          </w:tcPr>
          <w:p w14:paraId="34427CCA" w14:textId="77777777" w:rsidR="006552EA" w:rsidRPr="000C52CA" w:rsidRDefault="006552EA" w:rsidP="006552EA">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Gobierno Locales</w:t>
            </w:r>
          </w:p>
        </w:tc>
        <w:tc>
          <w:tcPr>
            <w:tcW w:w="616" w:type="dxa"/>
            <w:tcBorders>
              <w:top w:val="nil"/>
              <w:left w:val="nil"/>
              <w:bottom w:val="nil"/>
              <w:right w:val="nil"/>
            </w:tcBorders>
            <w:shd w:val="clear" w:color="auto" w:fill="auto"/>
            <w:noWrap/>
            <w:vAlign w:val="bottom"/>
          </w:tcPr>
          <w:p w14:paraId="75BA2B12" w14:textId="501C0726"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0</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7</w:t>
            </w:r>
          </w:p>
        </w:tc>
        <w:tc>
          <w:tcPr>
            <w:tcW w:w="616" w:type="dxa"/>
            <w:tcBorders>
              <w:top w:val="nil"/>
              <w:left w:val="nil"/>
              <w:bottom w:val="nil"/>
              <w:right w:val="nil"/>
            </w:tcBorders>
            <w:shd w:val="clear" w:color="auto" w:fill="auto"/>
            <w:noWrap/>
            <w:vAlign w:val="bottom"/>
          </w:tcPr>
          <w:p w14:paraId="02133BA4" w14:textId="0276E0B2"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0</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8</w:t>
            </w:r>
          </w:p>
        </w:tc>
        <w:tc>
          <w:tcPr>
            <w:tcW w:w="616" w:type="dxa"/>
            <w:tcBorders>
              <w:top w:val="nil"/>
              <w:left w:val="nil"/>
              <w:bottom w:val="nil"/>
              <w:right w:val="nil"/>
            </w:tcBorders>
            <w:shd w:val="clear" w:color="auto" w:fill="auto"/>
            <w:noWrap/>
            <w:vAlign w:val="bottom"/>
          </w:tcPr>
          <w:p w14:paraId="36E3BDD9" w14:textId="20E632D1"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0</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9</w:t>
            </w:r>
          </w:p>
        </w:tc>
        <w:tc>
          <w:tcPr>
            <w:tcW w:w="616" w:type="dxa"/>
            <w:tcBorders>
              <w:top w:val="nil"/>
              <w:left w:val="nil"/>
              <w:bottom w:val="nil"/>
              <w:right w:val="nil"/>
            </w:tcBorders>
            <w:shd w:val="clear" w:color="auto" w:fill="auto"/>
            <w:noWrap/>
            <w:vAlign w:val="bottom"/>
          </w:tcPr>
          <w:p w14:paraId="59F6FB4F" w14:textId="1DA9989A"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0</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9</w:t>
            </w:r>
          </w:p>
        </w:tc>
        <w:tc>
          <w:tcPr>
            <w:tcW w:w="616" w:type="dxa"/>
            <w:tcBorders>
              <w:top w:val="nil"/>
              <w:left w:val="nil"/>
              <w:bottom w:val="nil"/>
              <w:right w:val="nil"/>
            </w:tcBorders>
            <w:shd w:val="clear" w:color="auto" w:fill="auto"/>
            <w:noWrap/>
            <w:vAlign w:val="bottom"/>
          </w:tcPr>
          <w:p w14:paraId="7313EF7F" w14:textId="3153BDE3"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0</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9</w:t>
            </w:r>
          </w:p>
        </w:tc>
        <w:tc>
          <w:tcPr>
            <w:tcW w:w="616" w:type="dxa"/>
            <w:tcBorders>
              <w:top w:val="nil"/>
              <w:left w:val="nil"/>
              <w:bottom w:val="nil"/>
              <w:right w:val="nil"/>
            </w:tcBorders>
            <w:shd w:val="clear" w:color="auto" w:fill="auto"/>
            <w:noWrap/>
            <w:vAlign w:val="bottom"/>
          </w:tcPr>
          <w:p w14:paraId="5ED7C742" w14:textId="7CF1B452"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c>
          <w:tcPr>
            <w:tcW w:w="616" w:type="dxa"/>
            <w:tcBorders>
              <w:top w:val="nil"/>
              <w:left w:val="nil"/>
              <w:bottom w:val="nil"/>
              <w:right w:val="nil"/>
            </w:tcBorders>
            <w:shd w:val="clear" w:color="auto" w:fill="auto"/>
            <w:noWrap/>
            <w:vAlign w:val="bottom"/>
          </w:tcPr>
          <w:p w14:paraId="17040D04" w14:textId="09DD524D"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c>
          <w:tcPr>
            <w:tcW w:w="616" w:type="dxa"/>
            <w:tcBorders>
              <w:top w:val="nil"/>
              <w:left w:val="nil"/>
              <w:bottom w:val="nil"/>
              <w:right w:val="nil"/>
            </w:tcBorders>
            <w:shd w:val="clear" w:color="auto" w:fill="auto"/>
            <w:noWrap/>
            <w:vAlign w:val="bottom"/>
          </w:tcPr>
          <w:p w14:paraId="1174045C" w14:textId="613216F4"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c>
          <w:tcPr>
            <w:tcW w:w="616" w:type="dxa"/>
            <w:tcBorders>
              <w:top w:val="nil"/>
              <w:left w:val="nil"/>
              <w:bottom w:val="nil"/>
              <w:right w:val="nil"/>
            </w:tcBorders>
            <w:shd w:val="clear" w:color="auto" w:fill="auto"/>
            <w:noWrap/>
            <w:vAlign w:val="bottom"/>
          </w:tcPr>
          <w:p w14:paraId="2AD7EFDA" w14:textId="07545D5E"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c>
          <w:tcPr>
            <w:tcW w:w="581" w:type="dxa"/>
            <w:tcBorders>
              <w:top w:val="nil"/>
              <w:left w:val="nil"/>
              <w:bottom w:val="nil"/>
              <w:right w:val="nil"/>
            </w:tcBorders>
            <w:shd w:val="clear" w:color="auto" w:fill="auto"/>
            <w:vAlign w:val="bottom"/>
          </w:tcPr>
          <w:p w14:paraId="29E30CDC" w14:textId="59C9FF3D"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c>
          <w:tcPr>
            <w:tcW w:w="651" w:type="dxa"/>
            <w:tcBorders>
              <w:top w:val="nil"/>
              <w:left w:val="nil"/>
              <w:bottom w:val="nil"/>
              <w:right w:val="nil"/>
            </w:tcBorders>
            <w:shd w:val="clear" w:color="auto" w:fill="auto"/>
            <w:vAlign w:val="bottom"/>
          </w:tcPr>
          <w:p w14:paraId="3B073D23" w14:textId="16A039ED" w:rsidR="006552EA" w:rsidRPr="000C52CA" w:rsidRDefault="006552EA"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r>
      <w:tr w:rsidR="009E211D" w:rsidRPr="000C52CA" w14:paraId="6A00281E" w14:textId="6258C1D3" w:rsidTr="006B3453">
        <w:trPr>
          <w:trHeight w:val="264"/>
          <w:jc w:val="center"/>
        </w:trPr>
        <w:tc>
          <w:tcPr>
            <w:tcW w:w="1760" w:type="dxa"/>
            <w:tcBorders>
              <w:top w:val="nil"/>
              <w:left w:val="nil"/>
              <w:right w:val="nil"/>
            </w:tcBorders>
            <w:shd w:val="clear" w:color="auto" w:fill="auto"/>
            <w:noWrap/>
            <w:vAlign w:val="center"/>
            <w:hideMark/>
          </w:tcPr>
          <w:p w14:paraId="17FAB4FE" w14:textId="77777777" w:rsidR="009F05A6" w:rsidRPr="000C52CA" w:rsidRDefault="009F05A6" w:rsidP="009F05A6">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Descentralizadas</w:t>
            </w:r>
          </w:p>
        </w:tc>
        <w:tc>
          <w:tcPr>
            <w:tcW w:w="616" w:type="dxa"/>
            <w:tcBorders>
              <w:top w:val="nil"/>
              <w:left w:val="nil"/>
              <w:right w:val="nil"/>
            </w:tcBorders>
            <w:shd w:val="clear" w:color="auto" w:fill="auto"/>
            <w:noWrap/>
            <w:vAlign w:val="bottom"/>
          </w:tcPr>
          <w:p w14:paraId="07FE3D42" w14:textId="3A9E1EF6"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6</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2</w:t>
            </w:r>
          </w:p>
        </w:tc>
        <w:tc>
          <w:tcPr>
            <w:tcW w:w="616" w:type="dxa"/>
            <w:tcBorders>
              <w:top w:val="nil"/>
              <w:left w:val="nil"/>
              <w:right w:val="nil"/>
            </w:tcBorders>
            <w:shd w:val="clear" w:color="auto" w:fill="auto"/>
            <w:noWrap/>
            <w:vAlign w:val="bottom"/>
          </w:tcPr>
          <w:p w14:paraId="3F80BD4E" w14:textId="7F694524"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6</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8</w:t>
            </w:r>
          </w:p>
        </w:tc>
        <w:tc>
          <w:tcPr>
            <w:tcW w:w="616" w:type="dxa"/>
            <w:tcBorders>
              <w:top w:val="nil"/>
              <w:left w:val="nil"/>
              <w:right w:val="nil"/>
            </w:tcBorders>
            <w:shd w:val="clear" w:color="auto" w:fill="auto"/>
            <w:noWrap/>
            <w:vAlign w:val="bottom"/>
          </w:tcPr>
          <w:p w14:paraId="48EB393E" w14:textId="67FD9E3E"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7</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9</w:t>
            </w:r>
          </w:p>
        </w:tc>
        <w:tc>
          <w:tcPr>
            <w:tcW w:w="616" w:type="dxa"/>
            <w:tcBorders>
              <w:top w:val="nil"/>
              <w:left w:val="nil"/>
              <w:right w:val="nil"/>
            </w:tcBorders>
            <w:shd w:val="clear" w:color="auto" w:fill="auto"/>
            <w:noWrap/>
            <w:vAlign w:val="bottom"/>
          </w:tcPr>
          <w:p w14:paraId="02FFEC8C" w14:textId="066C481A"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nil"/>
              <w:left w:val="nil"/>
              <w:right w:val="nil"/>
            </w:tcBorders>
            <w:shd w:val="clear" w:color="auto" w:fill="auto"/>
            <w:noWrap/>
            <w:vAlign w:val="bottom"/>
          </w:tcPr>
          <w:p w14:paraId="2F22755A" w14:textId="191F647D"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2</w:t>
            </w:r>
          </w:p>
        </w:tc>
        <w:tc>
          <w:tcPr>
            <w:tcW w:w="616" w:type="dxa"/>
            <w:tcBorders>
              <w:top w:val="nil"/>
              <w:left w:val="nil"/>
              <w:right w:val="nil"/>
            </w:tcBorders>
            <w:shd w:val="clear" w:color="auto" w:fill="auto"/>
            <w:noWrap/>
            <w:vAlign w:val="bottom"/>
          </w:tcPr>
          <w:p w14:paraId="57FCC3E8" w14:textId="2544662A"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2</w:t>
            </w:r>
          </w:p>
        </w:tc>
        <w:tc>
          <w:tcPr>
            <w:tcW w:w="616" w:type="dxa"/>
            <w:tcBorders>
              <w:top w:val="nil"/>
              <w:left w:val="nil"/>
              <w:right w:val="nil"/>
            </w:tcBorders>
            <w:shd w:val="clear" w:color="auto" w:fill="auto"/>
            <w:noWrap/>
            <w:vAlign w:val="bottom"/>
          </w:tcPr>
          <w:p w14:paraId="16F46D55" w14:textId="20D6422D"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c>
          <w:tcPr>
            <w:tcW w:w="616" w:type="dxa"/>
            <w:tcBorders>
              <w:top w:val="nil"/>
              <w:left w:val="nil"/>
              <w:right w:val="nil"/>
            </w:tcBorders>
            <w:shd w:val="clear" w:color="auto" w:fill="auto"/>
            <w:noWrap/>
            <w:vAlign w:val="bottom"/>
          </w:tcPr>
          <w:p w14:paraId="3A130562" w14:textId="0A3E0096"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nil"/>
              <w:left w:val="nil"/>
              <w:right w:val="nil"/>
            </w:tcBorders>
            <w:shd w:val="clear" w:color="auto" w:fill="auto"/>
            <w:noWrap/>
            <w:vAlign w:val="bottom"/>
          </w:tcPr>
          <w:p w14:paraId="06C26097" w14:textId="7ED9E5D5"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c>
          <w:tcPr>
            <w:tcW w:w="581" w:type="dxa"/>
            <w:tcBorders>
              <w:top w:val="nil"/>
              <w:left w:val="nil"/>
              <w:right w:val="nil"/>
            </w:tcBorders>
            <w:shd w:val="clear" w:color="auto" w:fill="auto"/>
            <w:vAlign w:val="bottom"/>
          </w:tcPr>
          <w:p w14:paraId="4FF0EA90" w14:textId="787386C0"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c>
          <w:tcPr>
            <w:tcW w:w="651" w:type="dxa"/>
            <w:tcBorders>
              <w:top w:val="nil"/>
              <w:left w:val="nil"/>
              <w:right w:val="nil"/>
            </w:tcBorders>
            <w:shd w:val="clear" w:color="auto" w:fill="auto"/>
            <w:vAlign w:val="bottom"/>
          </w:tcPr>
          <w:p w14:paraId="0210A24F" w14:textId="02D98DD8" w:rsidR="009F05A6" w:rsidRPr="000C52CA" w:rsidRDefault="009F05A6"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r>
      <w:tr w:rsidR="009E211D" w:rsidRPr="000C52CA" w14:paraId="6DFEAFDC" w14:textId="77777777" w:rsidTr="006B3453">
        <w:trPr>
          <w:trHeight w:val="264"/>
          <w:jc w:val="center"/>
        </w:trPr>
        <w:tc>
          <w:tcPr>
            <w:tcW w:w="1760" w:type="dxa"/>
            <w:tcBorders>
              <w:top w:val="nil"/>
              <w:left w:val="nil"/>
              <w:bottom w:val="single" w:sz="4" w:space="0" w:color="auto"/>
              <w:right w:val="nil"/>
            </w:tcBorders>
            <w:shd w:val="clear" w:color="auto" w:fill="auto"/>
            <w:noWrap/>
            <w:vAlign w:val="center"/>
          </w:tcPr>
          <w:p w14:paraId="6AB3B252" w14:textId="322E01F1" w:rsidR="00550E4F" w:rsidRPr="000C52CA" w:rsidRDefault="00550E4F" w:rsidP="00550E4F">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Desconcentradas</w:t>
            </w:r>
          </w:p>
        </w:tc>
        <w:tc>
          <w:tcPr>
            <w:tcW w:w="616" w:type="dxa"/>
            <w:tcBorders>
              <w:top w:val="nil"/>
              <w:left w:val="nil"/>
              <w:bottom w:val="single" w:sz="4" w:space="0" w:color="auto"/>
              <w:right w:val="nil"/>
            </w:tcBorders>
            <w:shd w:val="clear" w:color="auto" w:fill="auto"/>
            <w:noWrap/>
            <w:vAlign w:val="bottom"/>
          </w:tcPr>
          <w:p w14:paraId="0ACCDB58" w14:textId="368C3F45"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c>
          <w:tcPr>
            <w:tcW w:w="616" w:type="dxa"/>
            <w:tcBorders>
              <w:top w:val="nil"/>
              <w:left w:val="nil"/>
              <w:bottom w:val="single" w:sz="4" w:space="0" w:color="auto"/>
              <w:right w:val="nil"/>
            </w:tcBorders>
            <w:shd w:val="clear" w:color="auto" w:fill="auto"/>
            <w:noWrap/>
            <w:vAlign w:val="bottom"/>
          </w:tcPr>
          <w:p w14:paraId="7007737E" w14:textId="3FFE23C0"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c>
          <w:tcPr>
            <w:tcW w:w="616" w:type="dxa"/>
            <w:tcBorders>
              <w:top w:val="nil"/>
              <w:left w:val="nil"/>
              <w:bottom w:val="single" w:sz="4" w:space="0" w:color="auto"/>
              <w:right w:val="nil"/>
            </w:tcBorders>
            <w:shd w:val="clear" w:color="auto" w:fill="auto"/>
            <w:noWrap/>
            <w:vAlign w:val="bottom"/>
          </w:tcPr>
          <w:p w14:paraId="68E68F46" w14:textId="2378E24E"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4</w:t>
            </w:r>
          </w:p>
        </w:tc>
        <w:tc>
          <w:tcPr>
            <w:tcW w:w="616" w:type="dxa"/>
            <w:tcBorders>
              <w:top w:val="nil"/>
              <w:left w:val="nil"/>
              <w:bottom w:val="single" w:sz="4" w:space="0" w:color="auto"/>
              <w:right w:val="nil"/>
            </w:tcBorders>
            <w:shd w:val="clear" w:color="auto" w:fill="auto"/>
            <w:noWrap/>
            <w:vAlign w:val="bottom"/>
          </w:tcPr>
          <w:p w14:paraId="70135CD9" w14:textId="497A5ADA"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c>
          <w:tcPr>
            <w:tcW w:w="616" w:type="dxa"/>
            <w:tcBorders>
              <w:top w:val="nil"/>
              <w:left w:val="nil"/>
              <w:bottom w:val="single" w:sz="4" w:space="0" w:color="auto"/>
              <w:right w:val="nil"/>
            </w:tcBorders>
            <w:shd w:val="clear" w:color="auto" w:fill="auto"/>
            <w:noWrap/>
            <w:vAlign w:val="bottom"/>
          </w:tcPr>
          <w:p w14:paraId="31DDEAAB" w14:textId="6AF1823F"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c>
          <w:tcPr>
            <w:tcW w:w="616" w:type="dxa"/>
            <w:tcBorders>
              <w:top w:val="nil"/>
              <w:left w:val="nil"/>
              <w:bottom w:val="single" w:sz="4" w:space="0" w:color="auto"/>
              <w:right w:val="nil"/>
            </w:tcBorders>
            <w:shd w:val="clear" w:color="auto" w:fill="auto"/>
            <w:noWrap/>
            <w:vAlign w:val="bottom"/>
          </w:tcPr>
          <w:p w14:paraId="29806316" w14:textId="05D08E8F"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c>
          <w:tcPr>
            <w:tcW w:w="616" w:type="dxa"/>
            <w:tcBorders>
              <w:top w:val="nil"/>
              <w:left w:val="nil"/>
              <w:bottom w:val="single" w:sz="4" w:space="0" w:color="auto"/>
              <w:right w:val="nil"/>
            </w:tcBorders>
            <w:shd w:val="clear" w:color="auto" w:fill="auto"/>
            <w:noWrap/>
            <w:vAlign w:val="bottom"/>
          </w:tcPr>
          <w:p w14:paraId="3D6608FA" w14:textId="0482B0D1"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c>
          <w:tcPr>
            <w:tcW w:w="616" w:type="dxa"/>
            <w:tcBorders>
              <w:top w:val="nil"/>
              <w:left w:val="nil"/>
              <w:bottom w:val="single" w:sz="4" w:space="0" w:color="auto"/>
              <w:right w:val="nil"/>
            </w:tcBorders>
            <w:shd w:val="clear" w:color="auto" w:fill="auto"/>
            <w:noWrap/>
            <w:vAlign w:val="bottom"/>
          </w:tcPr>
          <w:p w14:paraId="0E732B53" w14:textId="5670441A"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6</w:t>
            </w:r>
          </w:p>
        </w:tc>
        <w:tc>
          <w:tcPr>
            <w:tcW w:w="616" w:type="dxa"/>
            <w:tcBorders>
              <w:top w:val="nil"/>
              <w:left w:val="nil"/>
              <w:bottom w:val="single" w:sz="4" w:space="0" w:color="auto"/>
              <w:right w:val="nil"/>
            </w:tcBorders>
            <w:shd w:val="clear" w:color="auto" w:fill="auto"/>
            <w:noWrap/>
            <w:vAlign w:val="bottom"/>
          </w:tcPr>
          <w:p w14:paraId="7351D415" w14:textId="6A421948"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c>
          <w:tcPr>
            <w:tcW w:w="581" w:type="dxa"/>
            <w:tcBorders>
              <w:top w:val="nil"/>
              <w:left w:val="nil"/>
              <w:bottom w:val="single" w:sz="4" w:space="0" w:color="auto"/>
              <w:right w:val="nil"/>
            </w:tcBorders>
            <w:shd w:val="clear" w:color="auto" w:fill="auto"/>
            <w:vAlign w:val="bottom"/>
          </w:tcPr>
          <w:p w14:paraId="25422E07" w14:textId="5ACB0CF7"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c>
          <w:tcPr>
            <w:tcW w:w="651" w:type="dxa"/>
            <w:tcBorders>
              <w:top w:val="nil"/>
              <w:left w:val="nil"/>
              <w:bottom w:val="single" w:sz="4" w:space="0" w:color="auto"/>
              <w:right w:val="nil"/>
            </w:tcBorders>
            <w:shd w:val="clear" w:color="auto" w:fill="auto"/>
            <w:vAlign w:val="bottom"/>
          </w:tcPr>
          <w:p w14:paraId="76EC9AE1" w14:textId="0A4D7115" w:rsidR="00550E4F" w:rsidRPr="000C52CA" w:rsidRDefault="00550E4F"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r>
      <w:tr w:rsidR="000C52CA" w:rsidRPr="000C52CA" w14:paraId="006330D4" w14:textId="77777777" w:rsidTr="006B3453">
        <w:trPr>
          <w:trHeight w:val="264"/>
          <w:jc w:val="center"/>
        </w:trPr>
        <w:tc>
          <w:tcPr>
            <w:tcW w:w="1760" w:type="dxa"/>
            <w:tcBorders>
              <w:top w:val="single" w:sz="4" w:space="0" w:color="auto"/>
              <w:left w:val="nil"/>
              <w:bottom w:val="single" w:sz="4" w:space="0" w:color="auto"/>
              <w:right w:val="nil"/>
            </w:tcBorders>
            <w:shd w:val="clear" w:color="auto" w:fill="auto"/>
            <w:noWrap/>
            <w:vAlign w:val="center"/>
          </w:tcPr>
          <w:p w14:paraId="65A3307D" w14:textId="07D722C3" w:rsidR="00CB1E11" w:rsidRPr="000C52CA" w:rsidRDefault="00CB1E11" w:rsidP="00CB1E11">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Subtotal</w:t>
            </w:r>
          </w:p>
        </w:tc>
        <w:tc>
          <w:tcPr>
            <w:tcW w:w="616" w:type="dxa"/>
            <w:tcBorders>
              <w:top w:val="single" w:sz="4" w:space="0" w:color="auto"/>
              <w:left w:val="nil"/>
              <w:bottom w:val="single" w:sz="4" w:space="0" w:color="auto"/>
              <w:right w:val="nil"/>
            </w:tcBorders>
            <w:shd w:val="clear" w:color="auto" w:fill="auto"/>
            <w:noWrap/>
            <w:vAlign w:val="bottom"/>
          </w:tcPr>
          <w:p w14:paraId="4088246B" w14:textId="5D5A3EEF"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19</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8</w:t>
            </w:r>
          </w:p>
        </w:tc>
        <w:tc>
          <w:tcPr>
            <w:tcW w:w="616" w:type="dxa"/>
            <w:tcBorders>
              <w:top w:val="single" w:sz="4" w:space="0" w:color="auto"/>
              <w:left w:val="nil"/>
              <w:bottom w:val="single" w:sz="4" w:space="0" w:color="auto"/>
              <w:right w:val="nil"/>
            </w:tcBorders>
            <w:shd w:val="clear" w:color="auto" w:fill="auto"/>
            <w:noWrap/>
            <w:vAlign w:val="bottom"/>
          </w:tcPr>
          <w:p w14:paraId="41EA041F" w14:textId="65F535CB"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20</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single" w:sz="4" w:space="0" w:color="auto"/>
              <w:left w:val="nil"/>
              <w:bottom w:val="single" w:sz="4" w:space="0" w:color="auto"/>
              <w:right w:val="nil"/>
            </w:tcBorders>
            <w:shd w:val="clear" w:color="auto" w:fill="auto"/>
            <w:noWrap/>
            <w:vAlign w:val="bottom"/>
          </w:tcPr>
          <w:p w14:paraId="49ACFEA4" w14:textId="0AF129EE"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22</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8</w:t>
            </w:r>
          </w:p>
        </w:tc>
        <w:tc>
          <w:tcPr>
            <w:tcW w:w="616" w:type="dxa"/>
            <w:tcBorders>
              <w:top w:val="single" w:sz="4" w:space="0" w:color="auto"/>
              <w:left w:val="nil"/>
              <w:bottom w:val="single" w:sz="4" w:space="0" w:color="auto"/>
              <w:right w:val="nil"/>
            </w:tcBorders>
            <w:shd w:val="clear" w:color="auto" w:fill="auto"/>
            <w:noWrap/>
            <w:vAlign w:val="bottom"/>
          </w:tcPr>
          <w:p w14:paraId="0CB1AA34" w14:textId="62B8E829"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23</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8</w:t>
            </w:r>
          </w:p>
        </w:tc>
        <w:tc>
          <w:tcPr>
            <w:tcW w:w="616" w:type="dxa"/>
            <w:tcBorders>
              <w:top w:val="single" w:sz="4" w:space="0" w:color="auto"/>
              <w:left w:val="nil"/>
              <w:bottom w:val="single" w:sz="4" w:space="0" w:color="auto"/>
              <w:right w:val="nil"/>
            </w:tcBorders>
            <w:shd w:val="clear" w:color="auto" w:fill="auto"/>
            <w:noWrap/>
            <w:vAlign w:val="bottom"/>
          </w:tcPr>
          <w:p w14:paraId="16DB5174" w14:textId="637B31F9"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single" w:sz="4" w:space="0" w:color="auto"/>
              <w:left w:val="nil"/>
              <w:bottom w:val="single" w:sz="4" w:space="0" w:color="auto"/>
              <w:right w:val="nil"/>
            </w:tcBorders>
            <w:shd w:val="clear" w:color="auto" w:fill="auto"/>
            <w:noWrap/>
            <w:vAlign w:val="bottom"/>
          </w:tcPr>
          <w:p w14:paraId="76D08A55" w14:textId="0EBB7608"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4</w:t>
            </w:r>
          </w:p>
        </w:tc>
        <w:tc>
          <w:tcPr>
            <w:tcW w:w="616" w:type="dxa"/>
            <w:tcBorders>
              <w:top w:val="single" w:sz="4" w:space="0" w:color="auto"/>
              <w:left w:val="nil"/>
              <w:bottom w:val="single" w:sz="4" w:space="0" w:color="auto"/>
              <w:right w:val="nil"/>
            </w:tcBorders>
            <w:shd w:val="clear" w:color="auto" w:fill="auto"/>
            <w:noWrap/>
            <w:vAlign w:val="bottom"/>
          </w:tcPr>
          <w:p w14:paraId="3957CBC0" w14:textId="01A50940"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25</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4</w:t>
            </w:r>
          </w:p>
        </w:tc>
        <w:tc>
          <w:tcPr>
            <w:tcW w:w="616" w:type="dxa"/>
            <w:tcBorders>
              <w:top w:val="single" w:sz="4" w:space="0" w:color="auto"/>
              <w:left w:val="nil"/>
              <w:bottom w:val="single" w:sz="4" w:space="0" w:color="auto"/>
              <w:right w:val="nil"/>
            </w:tcBorders>
            <w:shd w:val="clear" w:color="auto" w:fill="auto"/>
            <w:noWrap/>
            <w:vAlign w:val="bottom"/>
          </w:tcPr>
          <w:p w14:paraId="78305BBD" w14:textId="1A73C460"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25</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single" w:sz="4" w:space="0" w:color="auto"/>
              <w:left w:val="nil"/>
              <w:bottom w:val="single" w:sz="4" w:space="0" w:color="auto"/>
              <w:right w:val="nil"/>
            </w:tcBorders>
            <w:shd w:val="clear" w:color="auto" w:fill="auto"/>
            <w:noWrap/>
            <w:vAlign w:val="bottom"/>
          </w:tcPr>
          <w:p w14:paraId="723C5D70" w14:textId="7414462D"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25</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4</w:t>
            </w:r>
          </w:p>
        </w:tc>
        <w:tc>
          <w:tcPr>
            <w:tcW w:w="581" w:type="dxa"/>
            <w:tcBorders>
              <w:top w:val="single" w:sz="4" w:space="0" w:color="auto"/>
              <w:left w:val="nil"/>
              <w:bottom w:val="single" w:sz="4" w:space="0" w:color="auto"/>
              <w:right w:val="nil"/>
            </w:tcBorders>
            <w:shd w:val="clear" w:color="auto" w:fill="auto"/>
            <w:vAlign w:val="bottom"/>
          </w:tcPr>
          <w:p w14:paraId="10D99497" w14:textId="3396E05B"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25</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c>
          <w:tcPr>
            <w:tcW w:w="651" w:type="dxa"/>
            <w:tcBorders>
              <w:top w:val="single" w:sz="4" w:space="0" w:color="auto"/>
              <w:left w:val="nil"/>
              <w:bottom w:val="single" w:sz="4" w:space="0" w:color="auto"/>
              <w:right w:val="nil"/>
            </w:tcBorders>
            <w:shd w:val="clear" w:color="auto" w:fill="auto"/>
            <w:vAlign w:val="bottom"/>
          </w:tcPr>
          <w:p w14:paraId="062624EC" w14:textId="641DF6FB" w:rsidR="00CB1E11" w:rsidRPr="000C52CA" w:rsidRDefault="00CB1E11" w:rsidP="00CB1E11">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25</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8</w:t>
            </w:r>
          </w:p>
        </w:tc>
      </w:tr>
      <w:tr w:rsidR="007E0D6C" w:rsidRPr="000C52CA" w14:paraId="2B2C682D" w14:textId="77777777" w:rsidTr="006B3453">
        <w:trPr>
          <w:trHeight w:val="264"/>
          <w:jc w:val="center"/>
        </w:trPr>
        <w:tc>
          <w:tcPr>
            <w:tcW w:w="1760" w:type="dxa"/>
            <w:tcBorders>
              <w:top w:val="single" w:sz="4" w:space="0" w:color="auto"/>
              <w:left w:val="nil"/>
              <w:bottom w:val="single" w:sz="4" w:space="0" w:color="auto"/>
              <w:right w:val="nil"/>
            </w:tcBorders>
            <w:shd w:val="clear" w:color="auto" w:fill="auto"/>
            <w:noWrap/>
            <w:vAlign w:val="center"/>
          </w:tcPr>
          <w:p w14:paraId="4A55E81F" w14:textId="543A2238" w:rsidR="00FF17EE" w:rsidRPr="000C52CA" w:rsidRDefault="00FF17EE" w:rsidP="00FF17EE">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Empresas Púb</w:t>
            </w:r>
            <w:r w:rsidR="000C52CA" w:rsidRPr="000C52CA">
              <w:rPr>
                <w:rFonts w:ascii="Times New Roman" w:eastAsia="Times New Roman" w:hAnsi="Times New Roman" w:cs="Times New Roman"/>
                <w:color w:val="000000"/>
                <w:sz w:val="18"/>
                <w:szCs w:val="20"/>
                <w:lang w:val="en-US" w:eastAsia="en-US"/>
              </w:rPr>
              <w:t>.</w:t>
            </w:r>
          </w:p>
        </w:tc>
        <w:tc>
          <w:tcPr>
            <w:tcW w:w="616" w:type="dxa"/>
            <w:tcBorders>
              <w:top w:val="single" w:sz="4" w:space="0" w:color="auto"/>
              <w:left w:val="nil"/>
              <w:bottom w:val="single" w:sz="4" w:space="0" w:color="auto"/>
              <w:right w:val="nil"/>
            </w:tcBorders>
            <w:shd w:val="clear" w:color="auto" w:fill="auto"/>
            <w:noWrap/>
            <w:vAlign w:val="bottom"/>
          </w:tcPr>
          <w:p w14:paraId="5CB6BA5D" w14:textId="3E56772C"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single" w:sz="4" w:space="0" w:color="auto"/>
              <w:left w:val="nil"/>
              <w:bottom w:val="single" w:sz="4" w:space="0" w:color="auto"/>
              <w:right w:val="nil"/>
            </w:tcBorders>
            <w:shd w:val="clear" w:color="auto" w:fill="auto"/>
            <w:noWrap/>
            <w:vAlign w:val="bottom"/>
          </w:tcPr>
          <w:p w14:paraId="6918581A" w14:textId="626B0739"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single" w:sz="4" w:space="0" w:color="auto"/>
              <w:left w:val="nil"/>
              <w:bottom w:val="single" w:sz="4" w:space="0" w:color="auto"/>
              <w:right w:val="nil"/>
            </w:tcBorders>
            <w:shd w:val="clear" w:color="auto" w:fill="auto"/>
            <w:noWrap/>
            <w:vAlign w:val="bottom"/>
          </w:tcPr>
          <w:p w14:paraId="65F8C0E0" w14:textId="23DB498C"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c>
          <w:tcPr>
            <w:tcW w:w="616" w:type="dxa"/>
            <w:tcBorders>
              <w:top w:val="single" w:sz="4" w:space="0" w:color="auto"/>
              <w:left w:val="nil"/>
              <w:bottom w:val="single" w:sz="4" w:space="0" w:color="auto"/>
              <w:right w:val="nil"/>
            </w:tcBorders>
            <w:shd w:val="clear" w:color="auto" w:fill="auto"/>
            <w:noWrap/>
            <w:vAlign w:val="bottom"/>
          </w:tcPr>
          <w:p w14:paraId="130C2CA4" w14:textId="7D688BCD"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6</w:t>
            </w:r>
          </w:p>
        </w:tc>
        <w:tc>
          <w:tcPr>
            <w:tcW w:w="616" w:type="dxa"/>
            <w:tcBorders>
              <w:top w:val="single" w:sz="4" w:space="0" w:color="auto"/>
              <w:left w:val="nil"/>
              <w:bottom w:val="single" w:sz="4" w:space="0" w:color="auto"/>
              <w:right w:val="nil"/>
            </w:tcBorders>
            <w:shd w:val="clear" w:color="auto" w:fill="auto"/>
            <w:noWrap/>
            <w:vAlign w:val="bottom"/>
          </w:tcPr>
          <w:p w14:paraId="55194C32" w14:textId="5234F7C8"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12</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616" w:type="dxa"/>
            <w:tcBorders>
              <w:top w:val="single" w:sz="4" w:space="0" w:color="auto"/>
              <w:left w:val="nil"/>
              <w:bottom w:val="single" w:sz="4" w:space="0" w:color="auto"/>
              <w:right w:val="nil"/>
            </w:tcBorders>
            <w:shd w:val="clear" w:color="auto" w:fill="auto"/>
            <w:noWrap/>
            <w:vAlign w:val="bottom"/>
          </w:tcPr>
          <w:p w14:paraId="468CF1FB" w14:textId="479F46B5"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c>
          <w:tcPr>
            <w:tcW w:w="616" w:type="dxa"/>
            <w:tcBorders>
              <w:top w:val="single" w:sz="4" w:space="0" w:color="auto"/>
              <w:left w:val="nil"/>
              <w:bottom w:val="single" w:sz="4" w:space="0" w:color="auto"/>
              <w:right w:val="nil"/>
            </w:tcBorders>
            <w:shd w:val="clear" w:color="auto" w:fill="auto"/>
            <w:noWrap/>
            <w:vAlign w:val="bottom"/>
          </w:tcPr>
          <w:p w14:paraId="282BFF87" w14:textId="76690C39"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6</w:t>
            </w:r>
          </w:p>
        </w:tc>
        <w:tc>
          <w:tcPr>
            <w:tcW w:w="616" w:type="dxa"/>
            <w:tcBorders>
              <w:top w:val="single" w:sz="4" w:space="0" w:color="auto"/>
              <w:left w:val="nil"/>
              <w:bottom w:val="single" w:sz="4" w:space="0" w:color="auto"/>
              <w:right w:val="nil"/>
            </w:tcBorders>
            <w:shd w:val="clear" w:color="auto" w:fill="auto"/>
            <w:noWrap/>
            <w:vAlign w:val="bottom"/>
          </w:tcPr>
          <w:p w14:paraId="3AF6B39D" w14:textId="1AFB56AD"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11</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single" w:sz="4" w:space="0" w:color="auto"/>
              <w:right w:val="nil"/>
            </w:tcBorders>
            <w:shd w:val="clear" w:color="auto" w:fill="auto"/>
            <w:noWrap/>
            <w:vAlign w:val="bottom"/>
          </w:tcPr>
          <w:p w14:paraId="25555226" w14:textId="2081509B"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7</w:t>
            </w:r>
          </w:p>
        </w:tc>
        <w:tc>
          <w:tcPr>
            <w:tcW w:w="581" w:type="dxa"/>
            <w:tcBorders>
              <w:top w:val="single" w:sz="4" w:space="0" w:color="auto"/>
              <w:left w:val="nil"/>
              <w:bottom w:val="single" w:sz="4" w:space="0" w:color="auto"/>
              <w:right w:val="nil"/>
            </w:tcBorders>
            <w:shd w:val="clear" w:color="auto" w:fill="auto"/>
            <w:vAlign w:val="bottom"/>
          </w:tcPr>
          <w:p w14:paraId="553D338D" w14:textId="7AAD31CD"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2</w:t>
            </w:r>
          </w:p>
        </w:tc>
        <w:tc>
          <w:tcPr>
            <w:tcW w:w="651" w:type="dxa"/>
            <w:tcBorders>
              <w:top w:val="single" w:sz="4" w:space="0" w:color="auto"/>
              <w:left w:val="nil"/>
              <w:bottom w:val="single" w:sz="4" w:space="0" w:color="auto"/>
              <w:right w:val="nil"/>
            </w:tcBorders>
            <w:shd w:val="clear" w:color="auto" w:fill="auto"/>
            <w:vAlign w:val="bottom"/>
          </w:tcPr>
          <w:p w14:paraId="27EF8775" w14:textId="3242550C" w:rsidR="00FF17EE" w:rsidRPr="000C52CA" w:rsidRDefault="00FF17EE" w:rsidP="00FF17EE">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8</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5</w:t>
            </w:r>
          </w:p>
        </w:tc>
      </w:tr>
      <w:tr w:rsidR="009E211D" w:rsidRPr="000C52CA" w14:paraId="4DD3767F" w14:textId="26C91AE0" w:rsidTr="006B3453">
        <w:trPr>
          <w:trHeight w:val="276"/>
          <w:jc w:val="center"/>
        </w:trPr>
        <w:tc>
          <w:tcPr>
            <w:tcW w:w="1760" w:type="dxa"/>
            <w:tcBorders>
              <w:top w:val="single" w:sz="4" w:space="0" w:color="auto"/>
              <w:left w:val="nil"/>
              <w:bottom w:val="double" w:sz="6" w:space="0" w:color="auto"/>
              <w:right w:val="nil"/>
            </w:tcBorders>
            <w:shd w:val="clear" w:color="auto" w:fill="auto"/>
            <w:noWrap/>
            <w:vAlign w:val="center"/>
          </w:tcPr>
          <w:p w14:paraId="3172BEDB" w14:textId="6D76EE74"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Total</w:t>
            </w:r>
          </w:p>
        </w:tc>
        <w:tc>
          <w:tcPr>
            <w:tcW w:w="616" w:type="dxa"/>
            <w:tcBorders>
              <w:top w:val="single" w:sz="4" w:space="0" w:color="auto"/>
              <w:left w:val="nil"/>
              <w:bottom w:val="double" w:sz="4" w:space="0" w:color="auto"/>
              <w:right w:val="nil"/>
            </w:tcBorders>
            <w:shd w:val="clear" w:color="auto" w:fill="auto"/>
            <w:noWrap/>
            <w:vAlign w:val="bottom"/>
          </w:tcPr>
          <w:p w14:paraId="1A10B466" w14:textId="72684928"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30</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9</w:t>
            </w:r>
          </w:p>
        </w:tc>
        <w:tc>
          <w:tcPr>
            <w:tcW w:w="616" w:type="dxa"/>
            <w:tcBorders>
              <w:top w:val="single" w:sz="4" w:space="0" w:color="auto"/>
              <w:left w:val="nil"/>
              <w:bottom w:val="double" w:sz="4" w:space="0" w:color="auto"/>
              <w:right w:val="nil"/>
            </w:tcBorders>
            <w:shd w:val="clear" w:color="auto" w:fill="auto"/>
            <w:noWrap/>
            <w:vAlign w:val="bottom"/>
          </w:tcPr>
          <w:p w14:paraId="0DE5628F" w14:textId="0C94E8F2"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double" w:sz="4" w:space="0" w:color="auto"/>
              <w:right w:val="nil"/>
            </w:tcBorders>
            <w:shd w:val="clear" w:color="auto" w:fill="auto"/>
            <w:noWrap/>
            <w:vAlign w:val="bottom"/>
          </w:tcPr>
          <w:p w14:paraId="3402AF96" w14:textId="28BED122"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c>
          <w:tcPr>
            <w:tcW w:w="616" w:type="dxa"/>
            <w:tcBorders>
              <w:top w:val="single" w:sz="4" w:space="0" w:color="auto"/>
              <w:left w:val="nil"/>
              <w:bottom w:val="double" w:sz="4" w:space="0" w:color="auto"/>
              <w:right w:val="nil"/>
            </w:tcBorders>
            <w:shd w:val="clear" w:color="auto" w:fill="auto"/>
            <w:noWrap/>
            <w:vAlign w:val="bottom"/>
          </w:tcPr>
          <w:p w14:paraId="6616EAB3" w14:textId="62714859"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35</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c>
          <w:tcPr>
            <w:tcW w:w="616" w:type="dxa"/>
            <w:tcBorders>
              <w:top w:val="single" w:sz="4" w:space="0" w:color="auto"/>
              <w:left w:val="nil"/>
              <w:bottom w:val="double" w:sz="4" w:space="0" w:color="auto"/>
              <w:right w:val="nil"/>
            </w:tcBorders>
            <w:shd w:val="clear" w:color="auto" w:fill="auto"/>
            <w:noWrap/>
            <w:vAlign w:val="bottom"/>
          </w:tcPr>
          <w:p w14:paraId="1836D3BC" w14:textId="7FFAD1AC"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36</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double" w:sz="4" w:space="0" w:color="auto"/>
              <w:right w:val="nil"/>
            </w:tcBorders>
            <w:shd w:val="clear" w:color="auto" w:fill="auto"/>
            <w:noWrap/>
            <w:vAlign w:val="bottom"/>
          </w:tcPr>
          <w:p w14:paraId="0A658CB2" w14:textId="51A28FAF"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35</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9</w:t>
            </w:r>
          </w:p>
        </w:tc>
        <w:tc>
          <w:tcPr>
            <w:tcW w:w="616" w:type="dxa"/>
            <w:tcBorders>
              <w:top w:val="single" w:sz="4" w:space="0" w:color="auto"/>
              <w:left w:val="nil"/>
              <w:bottom w:val="double" w:sz="4" w:space="0" w:color="auto"/>
              <w:right w:val="nil"/>
            </w:tcBorders>
            <w:shd w:val="clear" w:color="auto" w:fill="auto"/>
            <w:noWrap/>
            <w:vAlign w:val="bottom"/>
          </w:tcPr>
          <w:p w14:paraId="74D34162" w14:textId="15A5DC08"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37</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0</w:t>
            </w:r>
          </w:p>
        </w:tc>
        <w:tc>
          <w:tcPr>
            <w:tcW w:w="616" w:type="dxa"/>
            <w:tcBorders>
              <w:top w:val="single" w:sz="4" w:space="0" w:color="auto"/>
              <w:left w:val="nil"/>
              <w:bottom w:val="double" w:sz="4" w:space="0" w:color="auto"/>
              <w:right w:val="nil"/>
            </w:tcBorders>
            <w:shd w:val="clear" w:color="auto" w:fill="auto"/>
            <w:noWrap/>
            <w:vAlign w:val="bottom"/>
          </w:tcPr>
          <w:p w14:paraId="678039B2" w14:textId="17A9977D"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36</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c>
          <w:tcPr>
            <w:tcW w:w="616" w:type="dxa"/>
            <w:tcBorders>
              <w:top w:val="single" w:sz="4" w:space="0" w:color="auto"/>
              <w:left w:val="nil"/>
              <w:bottom w:val="double" w:sz="4" w:space="0" w:color="auto"/>
              <w:right w:val="nil"/>
            </w:tcBorders>
            <w:shd w:val="clear" w:color="auto" w:fill="auto"/>
            <w:noWrap/>
            <w:vAlign w:val="bottom"/>
          </w:tcPr>
          <w:p w14:paraId="3D324D7D" w14:textId="14BDD68A"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1</w:t>
            </w:r>
          </w:p>
        </w:tc>
        <w:tc>
          <w:tcPr>
            <w:tcW w:w="581" w:type="dxa"/>
            <w:tcBorders>
              <w:top w:val="single" w:sz="4" w:space="0" w:color="auto"/>
              <w:left w:val="nil"/>
              <w:bottom w:val="double" w:sz="4" w:space="0" w:color="auto"/>
              <w:right w:val="nil"/>
            </w:tcBorders>
            <w:shd w:val="clear" w:color="auto" w:fill="auto"/>
            <w:vAlign w:val="bottom"/>
          </w:tcPr>
          <w:p w14:paraId="7D8B4B6B" w14:textId="0816AE6C"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33</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7</w:t>
            </w:r>
          </w:p>
        </w:tc>
        <w:tc>
          <w:tcPr>
            <w:tcW w:w="651" w:type="dxa"/>
            <w:tcBorders>
              <w:top w:val="single" w:sz="4" w:space="0" w:color="auto"/>
              <w:left w:val="nil"/>
              <w:bottom w:val="double" w:sz="4" w:space="0" w:color="auto"/>
              <w:right w:val="nil"/>
            </w:tcBorders>
            <w:shd w:val="clear" w:color="auto" w:fill="auto"/>
            <w:vAlign w:val="bottom"/>
          </w:tcPr>
          <w:p w14:paraId="0C18D460" w14:textId="267A06AE"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34</w:t>
            </w:r>
            <w:r w:rsidR="009319F3">
              <w:rPr>
                <w:rFonts w:ascii="Times New Roman" w:eastAsia="Times New Roman" w:hAnsi="Times New Roman" w:cs="Times New Roman"/>
                <w:color w:val="000000"/>
                <w:sz w:val="18"/>
                <w:szCs w:val="20"/>
                <w:lang w:val="en-US" w:eastAsia="en-US"/>
              </w:rPr>
              <w:t>,</w:t>
            </w:r>
            <w:r w:rsidRPr="000C52CA">
              <w:rPr>
                <w:rFonts w:ascii="Times New Roman" w:eastAsia="Times New Roman" w:hAnsi="Times New Roman" w:cs="Times New Roman"/>
                <w:color w:val="000000"/>
                <w:sz w:val="18"/>
                <w:szCs w:val="20"/>
                <w:lang w:val="en-US" w:eastAsia="en-US"/>
              </w:rPr>
              <w:t>3</w:t>
            </w:r>
          </w:p>
        </w:tc>
      </w:tr>
      <w:tr w:rsidR="006B3453" w:rsidRPr="000C52CA" w14:paraId="6DFECDA7" w14:textId="62A48DBF" w:rsidTr="006B3453">
        <w:trPr>
          <w:trHeight w:val="137"/>
          <w:jc w:val="center"/>
        </w:trPr>
        <w:tc>
          <w:tcPr>
            <w:tcW w:w="1760" w:type="dxa"/>
            <w:tcBorders>
              <w:top w:val="nil"/>
              <w:left w:val="nil"/>
              <w:bottom w:val="double" w:sz="6" w:space="0" w:color="auto"/>
              <w:right w:val="nil"/>
            </w:tcBorders>
            <w:shd w:val="clear" w:color="auto" w:fill="auto"/>
            <w:noWrap/>
            <w:vAlign w:val="center"/>
            <w:hideMark/>
          </w:tcPr>
          <w:p w14:paraId="4475C7EB" w14:textId="0B670FB9" w:rsidR="00FD4856" w:rsidRPr="000C52CA" w:rsidRDefault="00FD4856" w:rsidP="00FD4856">
            <w:pPr>
              <w:spacing w:after="0" w:line="240" w:lineRule="auto"/>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75835DC8" w14:textId="0BD2D545"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4BB1B293" w14:textId="324C8039"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7B1C810C" w14:textId="3BDFE179"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0F8FACC9" w14:textId="16D9C5D6"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15E46593" w14:textId="3B876547"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761987F9" w14:textId="54453A05"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4C8257EA" w14:textId="7ECFBADD"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3F737A9C" w14:textId="0240A374"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16" w:type="dxa"/>
            <w:tcBorders>
              <w:top w:val="double" w:sz="4" w:space="0" w:color="auto"/>
              <w:left w:val="nil"/>
              <w:bottom w:val="double" w:sz="6" w:space="0" w:color="auto"/>
              <w:right w:val="nil"/>
            </w:tcBorders>
            <w:shd w:val="clear" w:color="auto" w:fill="auto"/>
            <w:noWrap/>
            <w:vAlign w:val="center"/>
            <w:hideMark/>
          </w:tcPr>
          <w:p w14:paraId="4C337AE7" w14:textId="04CB53AA"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581" w:type="dxa"/>
            <w:tcBorders>
              <w:top w:val="double" w:sz="4" w:space="0" w:color="auto"/>
              <w:left w:val="nil"/>
              <w:bottom w:val="double" w:sz="6" w:space="0" w:color="auto"/>
              <w:right w:val="nil"/>
            </w:tcBorders>
            <w:vAlign w:val="center"/>
          </w:tcPr>
          <w:p w14:paraId="23EAC8EF" w14:textId="77777777"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c>
          <w:tcPr>
            <w:tcW w:w="651" w:type="dxa"/>
            <w:tcBorders>
              <w:top w:val="double" w:sz="4" w:space="0" w:color="auto"/>
              <w:left w:val="nil"/>
              <w:bottom w:val="double" w:sz="6" w:space="0" w:color="auto"/>
              <w:right w:val="nil"/>
            </w:tcBorders>
            <w:vAlign w:val="center"/>
          </w:tcPr>
          <w:p w14:paraId="5DDEC435" w14:textId="77777777" w:rsidR="00FD4856" w:rsidRPr="000C52CA" w:rsidRDefault="00FD4856" w:rsidP="00FD4856">
            <w:pPr>
              <w:spacing w:after="0" w:line="240" w:lineRule="auto"/>
              <w:jc w:val="right"/>
              <w:rPr>
                <w:rFonts w:ascii="Times New Roman" w:eastAsia="Times New Roman" w:hAnsi="Times New Roman" w:cs="Times New Roman"/>
                <w:color w:val="000000"/>
                <w:sz w:val="18"/>
                <w:szCs w:val="20"/>
                <w:lang w:val="en-US" w:eastAsia="en-US"/>
              </w:rPr>
            </w:pPr>
          </w:p>
        </w:tc>
      </w:tr>
      <w:tr w:rsidR="006B3453" w:rsidRPr="000C52CA" w14:paraId="21E93736" w14:textId="5C1D3765" w:rsidTr="006B3453">
        <w:trPr>
          <w:trHeight w:val="276"/>
          <w:jc w:val="center"/>
        </w:trPr>
        <w:tc>
          <w:tcPr>
            <w:tcW w:w="1760" w:type="dxa"/>
            <w:tcBorders>
              <w:top w:val="nil"/>
              <w:left w:val="nil"/>
              <w:bottom w:val="nil"/>
              <w:right w:val="nil"/>
            </w:tcBorders>
            <w:shd w:val="clear" w:color="auto" w:fill="auto"/>
            <w:noWrap/>
            <w:vAlign w:val="center"/>
            <w:hideMark/>
          </w:tcPr>
          <w:p w14:paraId="6324626C"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Remuneraciones</w:t>
            </w:r>
          </w:p>
        </w:tc>
        <w:tc>
          <w:tcPr>
            <w:tcW w:w="616" w:type="dxa"/>
            <w:tcBorders>
              <w:top w:val="double" w:sz="6" w:space="0" w:color="auto"/>
              <w:left w:val="nil"/>
              <w:bottom w:val="single" w:sz="4" w:space="0" w:color="auto"/>
              <w:right w:val="nil"/>
            </w:tcBorders>
            <w:shd w:val="clear" w:color="auto" w:fill="auto"/>
            <w:noWrap/>
            <w:vAlign w:val="center"/>
            <w:hideMark/>
          </w:tcPr>
          <w:p w14:paraId="05E0B2AA"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2007</w:t>
            </w:r>
          </w:p>
        </w:tc>
        <w:tc>
          <w:tcPr>
            <w:tcW w:w="616" w:type="dxa"/>
            <w:tcBorders>
              <w:top w:val="double" w:sz="6" w:space="0" w:color="auto"/>
              <w:left w:val="nil"/>
              <w:bottom w:val="single" w:sz="4" w:space="0" w:color="auto"/>
              <w:right w:val="nil"/>
            </w:tcBorders>
            <w:shd w:val="clear" w:color="auto" w:fill="auto"/>
            <w:noWrap/>
            <w:vAlign w:val="center"/>
            <w:hideMark/>
          </w:tcPr>
          <w:p w14:paraId="1832C6AD"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2008</w:t>
            </w:r>
          </w:p>
        </w:tc>
        <w:tc>
          <w:tcPr>
            <w:tcW w:w="616" w:type="dxa"/>
            <w:tcBorders>
              <w:top w:val="double" w:sz="6" w:space="0" w:color="auto"/>
              <w:left w:val="nil"/>
              <w:bottom w:val="single" w:sz="4" w:space="0" w:color="auto"/>
              <w:right w:val="nil"/>
            </w:tcBorders>
            <w:shd w:val="clear" w:color="auto" w:fill="auto"/>
            <w:noWrap/>
            <w:vAlign w:val="center"/>
            <w:hideMark/>
          </w:tcPr>
          <w:p w14:paraId="6EFCA70C"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2009</w:t>
            </w:r>
          </w:p>
        </w:tc>
        <w:tc>
          <w:tcPr>
            <w:tcW w:w="616" w:type="dxa"/>
            <w:tcBorders>
              <w:top w:val="double" w:sz="6" w:space="0" w:color="auto"/>
              <w:left w:val="nil"/>
              <w:bottom w:val="single" w:sz="4" w:space="0" w:color="auto"/>
              <w:right w:val="nil"/>
            </w:tcBorders>
            <w:shd w:val="clear" w:color="auto" w:fill="auto"/>
            <w:noWrap/>
            <w:vAlign w:val="center"/>
            <w:hideMark/>
          </w:tcPr>
          <w:p w14:paraId="6DA16D25"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2010</w:t>
            </w:r>
          </w:p>
        </w:tc>
        <w:tc>
          <w:tcPr>
            <w:tcW w:w="616" w:type="dxa"/>
            <w:tcBorders>
              <w:top w:val="double" w:sz="6" w:space="0" w:color="auto"/>
              <w:left w:val="nil"/>
              <w:bottom w:val="single" w:sz="4" w:space="0" w:color="auto"/>
              <w:right w:val="nil"/>
            </w:tcBorders>
            <w:shd w:val="clear" w:color="auto" w:fill="auto"/>
            <w:noWrap/>
            <w:vAlign w:val="center"/>
            <w:hideMark/>
          </w:tcPr>
          <w:p w14:paraId="64E512F5"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2011</w:t>
            </w:r>
          </w:p>
        </w:tc>
        <w:tc>
          <w:tcPr>
            <w:tcW w:w="616" w:type="dxa"/>
            <w:tcBorders>
              <w:top w:val="double" w:sz="6" w:space="0" w:color="auto"/>
              <w:left w:val="nil"/>
              <w:bottom w:val="single" w:sz="4" w:space="0" w:color="auto"/>
              <w:right w:val="nil"/>
            </w:tcBorders>
            <w:shd w:val="clear" w:color="auto" w:fill="auto"/>
            <w:noWrap/>
            <w:vAlign w:val="center"/>
            <w:hideMark/>
          </w:tcPr>
          <w:p w14:paraId="43153E36"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2012</w:t>
            </w:r>
          </w:p>
        </w:tc>
        <w:tc>
          <w:tcPr>
            <w:tcW w:w="616" w:type="dxa"/>
            <w:tcBorders>
              <w:top w:val="double" w:sz="6" w:space="0" w:color="auto"/>
              <w:left w:val="nil"/>
              <w:bottom w:val="single" w:sz="4" w:space="0" w:color="auto"/>
              <w:right w:val="nil"/>
            </w:tcBorders>
            <w:shd w:val="clear" w:color="auto" w:fill="auto"/>
            <w:noWrap/>
            <w:vAlign w:val="center"/>
            <w:hideMark/>
          </w:tcPr>
          <w:p w14:paraId="2100651A"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2013</w:t>
            </w:r>
          </w:p>
        </w:tc>
        <w:tc>
          <w:tcPr>
            <w:tcW w:w="616" w:type="dxa"/>
            <w:tcBorders>
              <w:top w:val="double" w:sz="6" w:space="0" w:color="auto"/>
              <w:left w:val="nil"/>
              <w:bottom w:val="single" w:sz="4" w:space="0" w:color="auto"/>
              <w:right w:val="nil"/>
            </w:tcBorders>
            <w:shd w:val="clear" w:color="auto" w:fill="auto"/>
            <w:noWrap/>
            <w:vAlign w:val="center"/>
            <w:hideMark/>
          </w:tcPr>
          <w:p w14:paraId="273354DD"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2014</w:t>
            </w:r>
          </w:p>
        </w:tc>
        <w:tc>
          <w:tcPr>
            <w:tcW w:w="616" w:type="dxa"/>
            <w:tcBorders>
              <w:top w:val="double" w:sz="6" w:space="0" w:color="auto"/>
              <w:left w:val="nil"/>
              <w:bottom w:val="single" w:sz="4" w:space="0" w:color="auto"/>
              <w:right w:val="nil"/>
            </w:tcBorders>
            <w:shd w:val="clear" w:color="auto" w:fill="auto"/>
            <w:noWrap/>
            <w:vAlign w:val="center"/>
            <w:hideMark/>
          </w:tcPr>
          <w:p w14:paraId="774B6186" w14:textId="77777777"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2015</w:t>
            </w:r>
          </w:p>
        </w:tc>
        <w:tc>
          <w:tcPr>
            <w:tcW w:w="581" w:type="dxa"/>
            <w:tcBorders>
              <w:top w:val="double" w:sz="6" w:space="0" w:color="auto"/>
              <w:left w:val="nil"/>
              <w:bottom w:val="single" w:sz="4" w:space="0" w:color="auto"/>
              <w:right w:val="nil"/>
            </w:tcBorders>
            <w:vAlign w:val="center"/>
          </w:tcPr>
          <w:p w14:paraId="4695DDA8" w14:textId="186D1A72"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2016</w:t>
            </w:r>
          </w:p>
        </w:tc>
        <w:tc>
          <w:tcPr>
            <w:tcW w:w="651" w:type="dxa"/>
            <w:tcBorders>
              <w:top w:val="double" w:sz="6" w:space="0" w:color="auto"/>
              <w:left w:val="nil"/>
              <w:bottom w:val="single" w:sz="4" w:space="0" w:color="auto"/>
              <w:right w:val="nil"/>
            </w:tcBorders>
            <w:vAlign w:val="center"/>
          </w:tcPr>
          <w:p w14:paraId="67E30E9B" w14:textId="1553EAA1" w:rsidR="00FD4856" w:rsidRPr="000C52CA" w:rsidRDefault="00FD4856" w:rsidP="00FD4856">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2017</w:t>
            </w:r>
          </w:p>
        </w:tc>
      </w:tr>
      <w:tr w:rsidR="006B3453" w:rsidRPr="000C52CA" w14:paraId="2DA441D0" w14:textId="0BE6CFB6" w:rsidTr="00DF1E01">
        <w:trPr>
          <w:trHeight w:val="264"/>
          <w:jc w:val="center"/>
        </w:trPr>
        <w:tc>
          <w:tcPr>
            <w:tcW w:w="1760" w:type="dxa"/>
            <w:tcBorders>
              <w:top w:val="single" w:sz="4" w:space="0" w:color="auto"/>
              <w:left w:val="nil"/>
              <w:bottom w:val="nil"/>
              <w:right w:val="nil"/>
            </w:tcBorders>
            <w:shd w:val="clear" w:color="auto" w:fill="auto"/>
            <w:noWrap/>
            <w:vAlign w:val="center"/>
            <w:hideMark/>
          </w:tcPr>
          <w:p w14:paraId="0AF7CAE4" w14:textId="77777777" w:rsidR="006B3453" w:rsidRPr="000C52CA" w:rsidRDefault="006B3453" w:rsidP="006B3453">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Gobierno Central</w:t>
            </w:r>
          </w:p>
        </w:tc>
        <w:tc>
          <w:tcPr>
            <w:tcW w:w="616" w:type="dxa"/>
            <w:tcBorders>
              <w:top w:val="single" w:sz="4" w:space="0" w:color="auto"/>
            </w:tcBorders>
            <w:noWrap/>
          </w:tcPr>
          <w:p w14:paraId="5F2F501D" w14:textId="451148CD"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5,2</w:t>
            </w:r>
          </w:p>
        </w:tc>
        <w:tc>
          <w:tcPr>
            <w:tcW w:w="616" w:type="dxa"/>
            <w:tcBorders>
              <w:top w:val="single" w:sz="4" w:space="0" w:color="auto"/>
            </w:tcBorders>
            <w:noWrap/>
          </w:tcPr>
          <w:p w14:paraId="352146B9" w14:textId="4322B5BE"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5,3</w:t>
            </w:r>
          </w:p>
        </w:tc>
        <w:tc>
          <w:tcPr>
            <w:tcW w:w="616" w:type="dxa"/>
            <w:tcBorders>
              <w:top w:val="single" w:sz="4" w:space="0" w:color="auto"/>
            </w:tcBorders>
            <w:noWrap/>
          </w:tcPr>
          <w:p w14:paraId="58A2E70B" w14:textId="25A308A0"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6,4</w:t>
            </w:r>
          </w:p>
        </w:tc>
        <w:tc>
          <w:tcPr>
            <w:tcW w:w="616" w:type="dxa"/>
            <w:tcBorders>
              <w:top w:val="single" w:sz="4" w:space="0" w:color="auto"/>
            </w:tcBorders>
            <w:noWrap/>
          </w:tcPr>
          <w:p w14:paraId="7C8687E7" w14:textId="7A8EAA5A"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6,9</w:t>
            </w:r>
          </w:p>
        </w:tc>
        <w:tc>
          <w:tcPr>
            <w:tcW w:w="616" w:type="dxa"/>
            <w:tcBorders>
              <w:top w:val="single" w:sz="4" w:space="0" w:color="auto"/>
            </w:tcBorders>
            <w:noWrap/>
          </w:tcPr>
          <w:p w14:paraId="5018B33C" w14:textId="4E2A42CB"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7,1</w:t>
            </w:r>
          </w:p>
        </w:tc>
        <w:tc>
          <w:tcPr>
            <w:tcW w:w="616" w:type="dxa"/>
            <w:tcBorders>
              <w:top w:val="single" w:sz="4" w:space="0" w:color="auto"/>
            </w:tcBorders>
            <w:noWrap/>
          </w:tcPr>
          <w:p w14:paraId="5EA0EA9F" w14:textId="46514894"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7,0</w:t>
            </w:r>
          </w:p>
        </w:tc>
        <w:tc>
          <w:tcPr>
            <w:tcW w:w="616" w:type="dxa"/>
            <w:tcBorders>
              <w:top w:val="single" w:sz="4" w:space="0" w:color="auto"/>
            </w:tcBorders>
            <w:noWrap/>
          </w:tcPr>
          <w:p w14:paraId="5E55D031" w14:textId="375A1FA5"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7,3</w:t>
            </w:r>
          </w:p>
        </w:tc>
        <w:tc>
          <w:tcPr>
            <w:tcW w:w="616" w:type="dxa"/>
            <w:tcBorders>
              <w:top w:val="single" w:sz="4" w:space="0" w:color="auto"/>
            </w:tcBorders>
            <w:noWrap/>
          </w:tcPr>
          <w:p w14:paraId="1D20E05D" w14:textId="177CDA88"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7,2</w:t>
            </w:r>
          </w:p>
        </w:tc>
        <w:tc>
          <w:tcPr>
            <w:tcW w:w="616" w:type="dxa"/>
            <w:tcBorders>
              <w:top w:val="single" w:sz="4" w:space="0" w:color="auto"/>
            </w:tcBorders>
            <w:noWrap/>
          </w:tcPr>
          <w:p w14:paraId="114C0D3B" w14:textId="2BD841DD"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7,2</w:t>
            </w:r>
          </w:p>
        </w:tc>
        <w:tc>
          <w:tcPr>
            <w:tcW w:w="581" w:type="dxa"/>
            <w:tcBorders>
              <w:top w:val="single" w:sz="4" w:space="0" w:color="auto"/>
            </w:tcBorders>
          </w:tcPr>
          <w:p w14:paraId="34B96209" w14:textId="22638671"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7,0</w:t>
            </w:r>
          </w:p>
        </w:tc>
        <w:tc>
          <w:tcPr>
            <w:tcW w:w="651" w:type="dxa"/>
            <w:tcBorders>
              <w:top w:val="single" w:sz="4" w:space="0" w:color="auto"/>
            </w:tcBorders>
          </w:tcPr>
          <w:p w14:paraId="30BB3A62" w14:textId="5F2957A5" w:rsidR="006B3453" w:rsidRPr="000C52CA" w:rsidRDefault="006B3453" w:rsidP="006B3453">
            <w:pPr>
              <w:spacing w:after="0" w:line="240" w:lineRule="auto"/>
              <w:jc w:val="right"/>
              <w:rPr>
                <w:rFonts w:ascii="Times New Roman" w:eastAsia="Times New Roman" w:hAnsi="Times New Roman" w:cs="Times New Roman"/>
                <w:color w:val="000000"/>
                <w:sz w:val="18"/>
                <w:szCs w:val="20"/>
                <w:lang w:val="en-US" w:eastAsia="en-US"/>
              </w:rPr>
            </w:pPr>
            <w:r w:rsidRPr="006B3453">
              <w:rPr>
                <w:rFonts w:ascii="Times New Roman" w:eastAsia="Times New Roman" w:hAnsi="Times New Roman" w:cs="Times New Roman"/>
                <w:color w:val="000000"/>
                <w:sz w:val="18"/>
                <w:szCs w:val="20"/>
                <w:lang w:val="en-US" w:eastAsia="en-US"/>
              </w:rPr>
              <w:t>7,0</w:t>
            </w:r>
          </w:p>
        </w:tc>
      </w:tr>
      <w:tr w:rsidR="00DF1E01" w:rsidRPr="000C52CA" w14:paraId="6ACA7A24" w14:textId="44CD7FE1" w:rsidTr="00DF1E01">
        <w:trPr>
          <w:trHeight w:val="264"/>
          <w:jc w:val="center"/>
        </w:trPr>
        <w:tc>
          <w:tcPr>
            <w:tcW w:w="1760" w:type="dxa"/>
            <w:tcBorders>
              <w:top w:val="nil"/>
              <w:left w:val="nil"/>
              <w:bottom w:val="nil"/>
              <w:right w:val="nil"/>
            </w:tcBorders>
            <w:shd w:val="clear" w:color="auto" w:fill="auto"/>
            <w:noWrap/>
            <w:vAlign w:val="center"/>
            <w:hideMark/>
          </w:tcPr>
          <w:p w14:paraId="117D96F1" w14:textId="77777777" w:rsidR="00DF1E01" w:rsidRPr="000C52CA" w:rsidRDefault="00DF1E01" w:rsidP="00DF1E01">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Gobierno Locales</w:t>
            </w:r>
          </w:p>
        </w:tc>
        <w:tc>
          <w:tcPr>
            <w:tcW w:w="616" w:type="dxa"/>
            <w:noWrap/>
          </w:tcPr>
          <w:p w14:paraId="1A144EE1" w14:textId="725BABF7"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0,4</w:t>
            </w:r>
          </w:p>
        </w:tc>
        <w:tc>
          <w:tcPr>
            <w:tcW w:w="616" w:type="dxa"/>
            <w:noWrap/>
          </w:tcPr>
          <w:p w14:paraId="1822D17A" w14:textId="41E12974"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0,4</w:t>
            </w:r>
          </w:p>
        </w:tc>
        <w:tc>
          <w:tcPr>
            <w:tcW w:w="616" w:type="dxa"/>
            <w:noWrap/>
          </w:tcPr>
          <w:p w14:paraId="0ACAF098" w14:textId="76001164"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0,4</w:t>
            </w:r>
          </w:p>
        </w:tc>
        <w:tc>
          <w:tcPr>
            <w:tcW w:w="616" w:type="dxa"/>
            <w:noWrap/>
          </w:tcPr>
          <w:p w14:paraId="267C9E55" w14:textId="7BA829C0"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0,5</w:t>
            </w:r>
          </w:p>
        </w:tc>
        <w:tc>
          <w:tcPr>
            <w:tcW w:w="616" w:type="dxa"/>
            <w:noWrap/>
          </w:tcPr>
          <w:p w14:paraId="15D2F5AD" w14:textId="7D56B7D6"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0,5</w:t>
            </w:r>
          </w:p>
        </w:tc>
        <w:tc>
          <w:tcPr>
            <w:tcW w:w="616" w:type="dxa"/>
            <w:noWrap/>
          </w:tcPr>
          <w:p w14:paraId="5927BCAC" w14:textId="02D78E26"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0,5</w:t>
            </w:r>
          </w:p>
        </w:tc>
        <w:tc>
          <w:tcPr>
            <w:tcW w:w="616" w:type="dxa"/>
            <w:noWrap/>
          </w:tcPr>
          <w:p w14:paraId="647DEF9E" w14:textId="2274EF98"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0,5</w:t>
            </w:r>
          </w:p>
        </w:tc>
        <w:tc>
          <w:tcPr>
            <w:tcW w:w="616" w:type="dxa"/>
            <w:noWrap/>
          </w:tcPr>
          <w:p w14:paraId="4E5E7822" w14:textId="7B185F01"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0,5</w:t>
            </w:r>
          </w:p>
        </w:tc>
        <w:tc>
          <w:tcPr>
            <w:tcW w:w="616" w:type="dxa"/>
            <w:noWrap/>
          </w:tcPr>
          <w:p w14:paraId="1933943C" w14:textId="71019076"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0,5</w:t>
            </w:r>
          </w:p>
        </w:tc>
        <w:tc>
          <w:tcPr>
            <w:tcW w:w="581" w:type="dxa"/>
          </w:tcPr>
          <w:p w14:paraId="686377D6" w14:textId="640FFCAB"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0,5</w:t>
            </w:r>
          </w:p>
        </w:tc>
        <w:tc>
          <w:tcPr>
            <w:tcW w:w="651" w:type="dxa"/>
          </w:tcPr>
          <w:p w14:paraId="1AAFAAB0" w14:textId="545D2B6C" w:rsidR="00DF1E01" w:rsidRPr="000C52CA" w:rsidRDefault="00DF1E01" w:rsidP="00DF1E01">
            <w:pPr>
              <w:spacing w:after="0" w:line="240" w:lineRule="auto"/>
              <w:jc w:val="right"/>
              <w:rPr>
                <w:rFonts w:ascii="Times New Roman" w:eastAsia="Times New Roman" w:hAnsi="Times New Roman" w:cs="Times New Roman"/>
                <w:color w:val="000000"/>
                <w:sz w:val="18"/>
                <w:szCs w:val="20"/>
                <w:lang w:val="en-US" w:eastAsia="en-US"/>
              </w:rPr>
            </w:pPr>
            <w:r w:rsidRPr="00DF1E01">
              <w:rPr>
                <w:rFonts w:ascii="Times New Roman" w:eastAsia="Times New Roman" w:hAnsi="Times New Roman" w:cs="Times New Roman"/>
                <w:color w:val="000000"/>
                <w:sz w:val="18"/>
                <w:szCs w:val="20"/>
                <w:lang w:val="en-US" w:eastAsia="en-US"/>
              </w:rPr>
              <w:t>0,5</w:t>
            </w:r>
          </w:p>
        </w:tc>
      </w:tr>
      <w:tr w:rsidR="005859DC" w:rsidRPr="000C52CA" w14:paraId="0D44305E" w14:textId="335207BA" w:rsidTr="009E211D">
        <w:trPr>
          <w:trHeight w:val="264"/>
          <w:jc w:val="center"/>
        </w:trPr>
        <w:tc>
          <w:tcPr>
            <w:tcW w:w="1760" w:type="dxa"/>
            <w:tcBorders>
              <w:top w:val="nil"/>
              <w:left w:val="nil"/>
              <w:right w:val="nil"/>
            </w:tcBorders>
            <w:shd w:val="clear" w:color="auto" w:fill="auto"/>
            <w:noWrap/>
            <w:vAlign w:val="center"/>
            <w:hideMark/>
          </w:tcPr>
          <w:p w14:paraId="74BCA7B1" w14:textId="77777777" w:rsidR="005859DC" w:rsidRPr="000C52CA" w:rsidRDefault="005859DC" w:rsidP="005859DC">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Descentralizadas</w:t>
            </w:r>
          </w:p>
        </w:tc>
        <w:tc>
          <w:tcPr>
            <w:tcW w:w="616" w:type="dxa"/>
            <w:noWrap/>
          </w:tcPr>
          <w:p w14:paraId="047A31CF" w14:textId="5F31E56A"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3,6</w:t>
            </w:r>
          </w:p>
        </w:tc>
        <w:tc>
          <w:tcPr>
            <w:tcW w:w="616" w:type="dxa"/>
            <w:noWrap/>
          </w:tcPr>
          <w:p w14:paraId="5ED57317" w14:textId="183B094C"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4,0</w:t>
            </w:r>
          </w:p>
        </w:tc>
        <w:tc>
          <w:tcPr>
            <w:tcW w:w="616" w:type="dxa"/>
            <w:noWrap/>
          </w:tcPr>
          <w:p w14:paraId="3DAD2F98" w14:textId="2BE070C4"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4,6</w:t>
            </w:r>
          </w:p>
        </w:tc>
        <w:tc>
          <w:tcPr>
            <w:tcW w:w="616" w:type="dxa"/>
            <w:noWrap/>
          </w:tcPr>
          <w:p w14:paraId="3807A5D2" w14:textId="5C52E5F8"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5,0</w:t>
            </w:r>
          </w:p>
        </w:tc>
        <w:tc>
          <w:tcPr>
            <w:tcW w:w="616" w:type="dxa"/>
            <w:noWrap/>
          </w:tcPr>
          <w:p w14:paraId="18714DB2" w14:textId="734D41F8"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5,0</w:t>
            </w:r>
          </w:p>
        </w:tc>
        <w:tc>
          <w:tcPr>
            <w:tcW w:w="616" w:type="dxa"/>
            <w:noWrap/>
          </w:tcPr>
          <w:p w14:paraId="4DBE686D" w14:textId="75E8AFFE"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4,9</w:t>
            </w:r>
          </w:p>
        </w:tc>
        <w:tc>
          <w:tcPr>
            <w:tcW w:w="616" w:type="dxa"/>
            <w:noWrap/>
          </w:tcPr>
          <w:p w14:paraId="1CB8F15F" w14:textId="7AB48880"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5,0</w:t>
            </w:r>
          </w:p>
        </w:tc>
        <w:tc>
          <w:tcPr>
            <w:tcW w:w="616" w:type="dxa"/>
            <w:noWrap/>
          </w:tcPr>
          <w:p w14:paraId="7E107FD5" w14:textId="7AE57F9F"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4,9</w:t>
            </w:r>
          </w:p>
        </w:tc>
        <w:tc>
          <w:tcPr>
            <w:tcW w:w="616" w:type="dxa"/>
            <w:noWrap/>
          </w:tcPr>
          <w:p w14:paraId="5A0502AB" w14:textId="515DF0F8"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4,9</w:t>
            </w:r>
          </w:p>
        </w:tc>
        <w:tc>
          <w:tcPr>
            <w:tcW w:w="581" w:type="dxa"/>
          </w:tcPr>
          <w:p w14:paraId="2FE25ADA" w14:textId="1BF23DD3"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4,8</w:t>
            </w:r>
          </w:p>
        </w:tc>
        <w:tc>
          <w:tcPr>
            <w:tcW w:w="651" w:type="dxa"/>
          </w:tcPr>
          <w:p w14:paraId="6CFF3AD1" w14:textId="2C44EA87" w:rsidR="005859DC" w:rsidRPr="000C52CA" w:rsidRDefault="005859DC" w:rsidP="005859DC">
            <w:pPr>
              <w:spacing w:after="0" w:line="240" w:lineRule="auto"/>
              <w:jc w:val="right"/>
              <w:rPr>
                <w:rFonts w:ascii="Times New Roman" w:eastAsia="Times New Roman" w:hAnsi="Times New Roman" w:cs="Times New Roman"/>
                <w:color w:val="000000"/>
                <w:sz w:val="18"/>
                <w:szCs w:val="20"/>
                <w:lang w:val="en-US" w:eastAsia="en-US"/>
              </w:rPr>
            </w:pPr>
            <w:r w:rsidRPr="005859DC">
              <w:rPr>
                <w:rFonts w:ascii="Times New Roman" w:eastAsia="Times New Roman" w:hAnsi="Times New Roman" w:cs="Times New Roman"/>
                <w:color w:val="000000"/>
                <w:sz w:val="18"/>
                <w:szCs w:val="20"/>
                <w:lang w:val="en-US" w:eastAsia="en-US"/>
              </w:rPr>
              <w:t>4,8</w:t>
            </w:r>
          </w:p>
        </w:tc>
      </w:tr>
      <w:tr w:rsidR="007E0D6C" w:rsidRPr="007E0D6C" w14:paraId="15AF9154" w14:textId="77777777" w:rsidTr="009E211D">
        <w:trPr>
          <w:trHeight w:val="264"/>
          <w:jc w:val="center"/>
        </w:trPr>
        <w:tc>
          <w:tcPr>
            <w:tcW w:w="1760" w:type="dxa"/>
            <w:tcBorders>
              <w:top w:val="nil"/>
              <w:left w:val="nil"/>
              <w:bottom w:val="single" w:sz="4" w:space="0" w:color="auto"/>
              <w:right w:val="nil"/>
            </w:tcBorders>
            <w:shd w:val="clear" w:color="auto" w:fill="auto"/>
            <w:noWrap/>
            <w:vAlign w:val="center"/>
          </w:tcPr>
          <w:p w14:paraId="65313DE0" w14:textId="49A01382" w:rsidR="007E0D6C" w:rsidRPr="000C52CA" w:rsidRDefault="007E0D6C" w:rsidP="007E0D6C">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Desconcentradas</w:t>
            </w:r>
          </w:p>
        </w:tc>
        <w:tc>
          <w:tcPr>
            <w:tcW w:w="616" w:type="dxa"/>
            <w:tcBorders>
              <w:bottom w:val="single" w:sz="4" w:space="0" w:color="auto"/>
            </w:tcBorders>
            <w:noWrap/>
          </w:tcPr>
          <w:p w14:paraId="2D1F9CFB" w14:textId="3ED6FD3C"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0,2</w:t>
            </w:r>
          </w:p>
        </w:tc>
        <w:tc>
          <w:tcPr>
            <w:tcW w:w="616" w:type="dxa"/>
            <w:tcBorders>
              <w:bottom w:val="single" w:sz="4" w:space="0" w:color="auto"/>
            </w:tcBorders>
            <w:noWrap/>
          </w:tcPr>
          <w:p w14:paraId="30D62486" w14:textId="58BDAD9A"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0,3</w:t>
            </w:r>
          </w:p>
        </w:tc>
        <w:tc>
          <w:tcPr>
            <w:tcW w:w="616" w:type="dxa"/>
            <w:tcBorders>
              <w:bottom w:val="single" w:sz="4" w:space="0" w:color="auto"/>
            </w:tcBorders>
            <w:noWrap/>
          </w:tcPr>
          <w:p w14:paraId="2243EC44" w14:textId="7FB9DFBB"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c>
          <w:tcPr>
            <w:tcW w:w="616" w:type="dxa"/>
            <w:tcBorders>
              <w:bottom w:val="single" w:sz="4" w:space="0" w:color="auto"/>
            </w:tcBorders>
            <w:noWrap/>
          </w:tcPr>
          <w:p w14:paraId="22CBC066" w14:textId="18C913A1"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c>
          <w:tcPr>
            <w:tcW w:w="616" w:type="dxa"/>
            <w:tcBorders>
              <w:bottom w:val="single" w:sz="4" w:space="0" w:color="auto"/>
            </w:tcBorders>
            <w:noWrap/>
          </w:tcPr>
          <w:p w14:paraId="7DA0DEC5" w14:textId="7502C35A"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c>
          <w:tcPr>
            <w:tcW w:w="616" w:type="dxa"/>
            <w:tcBorders>
              <w:bottom w:val="single" w:sz="4" w:space="0" w:color="auto"/>
            </w:tcBorders>
            <w:noWrap/>
          </w:tcPr>
          <w:p w14:paraId="1F8F23FA" w14:textId="060D58EC"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c>
          <w:tcPr>
            <w:tcW w:w="616" w:type="dxa"/>
            <w:tcBorders>
              <w:bottom w:val="single" w:sz="4" w:space="0" w:color="auto"/>
            </w:tcBorders>
            <w:noWrap/>
          </w:tcPr>
          <w:p w14:paraId="516403C3" w14:textId="491907B6"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c>
          <w:tcPr>
            <w:tcW w:w="616" w:type="dxa"/>
            <w:tcBorders>
              <w:bottom w:val="single" w:sz="4" w:space="0" w:color="auto"/>
            </w:tcBorders>
            <w:noWrap/>
          </w:tcPr>
          <w:p w14:paraId="04F136CC" w14:textId="6049B0E0"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c>
          <w:tcPr>
            <w:tcW w:w="616" w:type="dxa"/>
            <w:tcBorders>
              <w:bottom w:val="single" w:sz="4" w:space="0" w:color="auto"/>
            </w:tcBorders>
            <w:noWrap/>
          </w:tcPr>
          <w:p w14:paraId="34CFD340" w14:textId="06136076"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c>
          <w:tcPr>
            <w:tcW w:w="581" w:type="dxa"/>
            <w:tcBorders>
              <w:bottom w:val="single" w:sz="4" w:space="0" w:color="auto"/>
            </w:tcBorders>
          </w:tcPr>
          <w:p w14:paraId="23E81F5C" w14:textId="3068559A"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c>
          <w:tcPr>
            <w:tcW w:w="651" w:type="dxa"/>
            <w:tcBorders>
              <w:bottom w:val="single" w:sz="4" w:space="0" w:color="auto"/>
            </w:tcBorders>
          </w:tcPr>
          <w:p w14:paraId="1B07CF7C" w14:textId="769C165F" w:rsidR="007E0D6C" w:rsidRPr="000C52CA" w:rsidRDefault="007E0D6C" w:rsidP="007E0D6C">
            <w:pPr>
              <w:spacing w:after="0" w:line="240" w:lineRule="auto"/>
              <w:jc w:val="right"/>
              <w:rPr>
                <w:rFonts w:ascii="Times New Roman" w:eastAsia="Times New Roman" w:hAnsi="Times New Roman" w:cs="Times New Roman"/>
                <w:color w:val="000000"/>
                <w:sz w:val="18"/>
                <w:szCs w:val="20"/>
                <w:lang w:val="en-US" w:eastAsia="en-US"/>
              </w:rPr>
            </w:pPr>
            <w:r w:rsidRPr="007E0D6C">
              <w:rPr>
                <w:rFonts w:ascii="Times New Roman" w:eastAsia="Times New Roman" w:hAnsi="Times New Roman" w:cs="Times New Roman"/>
                <w:color w:val="000000"/>
                <w:sz w:val="18"/>
                <w:szCs w:val="20"/>
                <w:lang w:val="en-US" w:eastAsia="en-US"/>
              </w:rPr>
              <w:t>0,4</w:t>
            </w:r>
          </w:p>
        </w:tc>
      </w:tr>
      <w:tr w:rsidR="009E211D" w:rsidRPr="009E211D" w14:paraId="4339A036" w14:textId="77777777" w:rsidTr="009E211D">
        <w:trPr>
          <w:trHeight w:val="264"/>
          <w:jc w:val="center"/>
        </w:trPr>
        <w:tc>
          <w:tcPr>
            <w:tcW w:w="1760" w:type="dxa"/>
            <w:tcBorders>
              <w:top w:val="single" w:sz="4" w:space="0" w:color="auto"/>
              <w:left w:val="nil"/>
              <w:bottom w:val="single" w:sz="4" w:space="0" w:color="auto"/>
              <w:right w:val="nil"/>
            </w:tcBorders>
            <w:shd w:val="clear" w:color="auto" w:fill="auto"/>
            <w:noWrap/>
            <w:vAlign w:val="center"/>
          </w:tcPr>
          <w:p w14:paraId="601E8BFC" w14:textId="1CF48F1F" w:rsidR="009E211D" w:rsidRPr="000C52CA" w:rsidRDefault="009E211D" w:rsidP="009E211D">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 xml:space="preserve">Subtotal </w:t>
            </w:r>
          </w:p>
        </w:tc>
        <w:tc>
          <w:tcPr>
            <w:tcW w:w="616" w:type="dxa"/>
            <w:tcBorders>
              <w:top w:val="single" w:sz="4" w:space="0" w:color="auto"/>
              <w:left w:val="nil"/>
              <w:bottom w:val="nil"/>
              <w:right w:val="nil"/>
            </w:tcBorders>
            <w:shd w:val="clear" w:color="auto" w:fill="auto"/>
            <w:noWrap/>
            <w:vAlign w:val="bottom"/>
          </w:tcPr>
          <w:p w14:paraId="0EED1978" w14:textId="680918F8"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9</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4</w:t>
            </w:r>
          </w:p>
        </w:tc>
        <w:tc>
          <w:tcPr>
            <w:tcW w:w="616" w:type="dxa"/>
            <w:tcBorders>
              <w:top w:val="single" w:sz="4" w:space="0" w:color="auto"/>
              <w:left w:val="nil"/>
              <w:bottom w:val="nil"/>
              <w:right w:val="nil"/>
            </w:tcBorders>
            <w:shd w:val="clear" w:color="auto" w:fill="auto"/>
            <w:noWrap/>
            <w:vAlign w:val="bottom"/>
          </w:tcPr>
          <w:p w14:paraId="38F6B8AE" w14:textId="37BAA536"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10</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0</w:t>
            </w:r>
          </w:p>
        </w:tc>
        <w:tc>
          <w:tcPr>
            <w:tcW w:w="616" w:type="dxa"/>
            <w:tcBorders>
              <w:top w:val="single" w:sz="4" w:space="0" w:color="auto"/>
              <w:left w:val="nil"/>
              <w:bottom w:val="nil"/>
              <w:right w:val="nil"/>
            </w:tcBorders>
            <w:shd w:val="clear" w:color="auto" w:fill="auto"/>
            <w:noWrap/>
            <w:vAlign w:val="bottom"/>
          </w:tcPr>
          <w:p w14:paraId="6C17CBDE" w14:textId="349D6288"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11</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8</w:t>
            </w:r>
          </w:p>
        </w:tc>
        <w:tc>
          <w:tcPr>
            <w:tcW w:w="616" w:type="dxa"/>
            <w:tcBorders>
              <w:top w:val="single" w:sz="4" w:space="0" w:color="auto"/>
              <w:left w:val="nil"/>
              <w:bottom w:val="nil"/>
              <w:right w:val="nil"/>
            </w:tcBorders>
            <w:shd w:val="clear" w:color="auto" w:fill="auto"/>
            <w:noWrap/>
            <w:vAlign w:val="bottom"/>
          </w:tcPr>
          <w:p w14:paraId="67F4E9A0" w14:textId="03554962"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12</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8</w:t>
            </w:r>
          </w:p>
        </w:tc>
        <w:tc>
          <w:tcPr>
            <w:tcW w:w="616" w:type="dxa"/>
            <w:tcBorders>
              <w:top w:val="single" w:sz="4" w:space="0" w:color="auto"/>
              <w:left w:val="nil"/>
              <w:bottom w:val="nil"/>
              <w:right w:val="nil"/>
            </w:tcBorders>
            <w:shd w:val="clear" w:color="auto" w:fill="auto"/>
            <w:noWrap/>
            <w:vAlign w:val="bottom"/>
          </w:tcPr>
          <w:p w14:paraId="39B38135" w14:textId="0F8A84B6"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13</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0</w:t>
            </w:r>
          </w:p>
        </w:tc>
        <w:tc>
          <w:tcPr>
            <w:tcW w:w="616" w:type="dxa"/>
            <w:tcBorders>
              <w:top w:val="single" w:sz="4" w:space="0" w:color="auto"/>
              <w:left w:val="nil"/>
              <w:bottom w:val="nil"/>
              <w:right w:val="nil"/>
            </w:tcBorders>
            <w:shd w:val="clear" w:color="auto" w:fill="auto"/>
            <w:noWrap/>
            <w:vAlign w:val="bottom"/>
          </w:tcPr>
          <w:p w14:paraId="36709F2D" w14:textId="5CEB59D6"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12</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8</w:t>
            </w:r>
          </w:p>
        </w:tc>
        <w:tc>
          <w:tcPr>
            <w:tcW w:w="616" w:type="dxa"/>
            <w:tcBorders>
              <w:top w:val="single" w:sz="4" w:space="0" w:color="auto"/>
              <w:left w:val="nil"/>
              <w:bottom w:val="nil"/>
              <w:right w:val="nil"/>
            </w:tcBorders>
            <w:shd w:val="clear" w:color="auto" w:fill="auto"/>
            <w:noWrap/>
            <w:vAlign w:val="bottom"/>
          </w:tcPr>
          <w:p w14:paraId="199761C8" w14:textId="41DFE549"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13</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nil"/>
              <w:right w:val="nil"/>
            </w:tcBorders>
            <w:shd w:val="clear" w:color="auto" w:fill="auto"/>
            <w:noWrap/>
            <w:vAlign w:val="bottom"/>
          </w:tcPr>
          <w:p w14:paraId="5F8F06BA" w14:textId="580D2752"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13</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0</w:t>
            </w:r>
          </w:p>
        </w:tc>
        <w:tc>
          <w:tcPr>
            <w:tcW w:w="616" w:type="dxa"/>
            <w:tcBorders>
              <w:top w:val="single" w:sz="4" w:space="0" w:color="auto"/>
              <w:left w:val="nil"/>
              <w:bottom w:val="nil"/>
              <w:right w:val="nil"/>
            </w:tcBorders>
            <w:shd w:val="clear" w:color="auto" w:fill="auto"/>
            <w:noWrap/>
            <w:vAlign w:val="bottom"/>
          </w:tcPr>
          <w:p w14:paraId="0D01FBF1" w14:textId="211E3693"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13</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0</w:t>
            </w:r>
          </w:p>
        </w:tc>
        <w:tc>
          <w:tcPr>
            <w:tcW w:w="581" w:type="dxa"/>
            <w:tcBorders>
              <w:top w:val="single" w:sz="4" w:space="0" w:color="auto"/>
              <w:left w:val="nil"/>
              <w:bottom w:val="nil"/>
              <w:right w:val="nil"/>
            </w:tcBorders>
            <w:shd w:val="clear" w:color="auto" w:fill="auto"/>
            <w:vAlign w:val="bottom"/>
          </w:tcPr>
          <w:p w14:paraId="202B1562" w14:textId="392C2852"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12</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7</w:t>
            </w:r>
          </w:p>
        </w:tc>
        <w:tc>
          <w:tcPr>
            <w:tcW w:w="651" w:type="dxa"/>
            <w:tcBorders>
              <w:top w:val="single" w:sz="4" w:space="0" w:color="auto"/>
              <w:left w:val="nil"/>
              <w:bottom w:val="nil"/>
              <w:right w:val="nil"/>
            </w:tcBorders>
            <w:shd w:val="clear" w:color="auto" w:fill="auto"/>
            <w:vAlign w:val="bottom"/>
          </w:tcPr>
          <w:p w14:paraId="2FE0195C" w14:textId="04868756"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9E211D">
              <w:rPr>
                <w:rFonts w:ascii="Times New Roman" w:eastAsia="Times New Roman" w:hAnsi="Times New Roman" w:cs="Times New Roman"/>
                <w:color w:val="000000"/>
                <w:sz w:val="18"/>
                <w:szCs w:val="20"/>
                <w:lang w:val="en-US" w:eastAsia="en-US"/>
              </w:rPr>
              <w:t>12</w:t>
            </w:r>
            <w:r>
              <w:rPr>
                <w:rFonts w:ascii="Times New Roman" w:eastAsia="Times New Roman" w:hAnsi="Times New Roman" w:cs="Times New Roman"/>
                <w:color w:val="000000"/>
                <w:sz w:val="18"/>
                <w:szCs w:val="20"/>
                <w:lang w:val="en-US" w:eastAsia="en-US"/>
              </w:rPr>
              <w:t>,</w:t>
            </w:r>
            <w:r w:rsidRPr="009E211D">
              <w:rPr>
                <w:rFonts w:ascii="Times New Roman" w:eastAsia="Times New Roman" w:hAnsi="Times New Roman" w:cs="Times New Roman"/>
                <w:color w:val="000000"/>
                <w:sz w:val="18"/>
                <w:szCs w:val="20"/>
                <w:lang w:val="en-US" w:eastAsia="en-US"/>
              </w:rPr>
              <w:t>7</w:t>
            </w:r>
          </w:p>
        </w:tc>
      </w:tr>
      <w:tr w:rsidR="009E211D" w:rsidRPr="000C52CA" w14:paraId="69F6CD21" w14:textId="77777777" w:rsidTr="005C2927">
        <w:trPr>
          <w:trHeight w:val="264"/>
          <w:jc w:val="center"/>
        </w:trPr>
        <w:tc>
          <w:tcPr>
            <w:tcW w:w="1760" w:type="dxa"/>
            <w:tcBorders>
              <w:top w:val="single" w:sz="4" w:space="0" w:color="auto"/>
              <w:left w:val="nil"/>
              <w:bottom w:val="single" w:sz="4" w:space="0" w:color="auto"/>
              <w:right w:val="nil"/>
            </w:tcBorders>
            <w:shd w:val="clear" w:color="auto" w:fill="auto"/>
            <w:noWrap/>
            <w:vAlign w:val="center"/>
          </w:tcPr>
          <w:p w14:paraId="55DF9AE7" w14:textId="6689548D" w:rsidR="009E211D" w:rsidRPr="000C52CA" w:rsidRDefault="009E211D" w:rsidP="009E211D">
            <w:pPr>
              <w:spacing w:after="0" w:line="240" w:lineRule="auto"/>
              <w:rPr>
                <w:rFonts w:ascii="Times New Roman" w:eastAsia="Times New Roman" w:hAnsi="Times New Roman" w:cs="Times New Roman"/>
                <w:color w:val="000000"/>
                <w:sz w:val="18"/>
                <w:szCs w:val="20"/>
                <w:lang w:val="en-US" w:eastAsia="en-US"/>
              </w:rPr>
            </w:pPr>
            <w:r w:rsidRPr="000C52CA">
              <w:rPr>
                <w:rFonts w:ascii="Times New Roman" w:eastAsia="Times New Roman" w:hAnsi="Times New Roman" w:cs="Times New Roman"/>
                <w:color w:val="000000"/>
                <w:sz w:val="18"/>
                <w:szCs w:val="20"/>
                <w:lang w:val="en-US" w:eastAsia="en-US"/>
              </w:rPr>
              <w:t>Empresas Púb.</w:t>
            </w:r>
          </w:p>
        </w:tc>
        <w:tc>
          <w:tcPr>
            <w:tcW w:w="616" w:type="dxa"/>
            <w:tcBorders>
              <w:top w:val="single" w:sz="4" w:space="0" w:color="auto"/>
              <w:left w:val="nil"/>
              <w:bottom w:val="single" w:sz="4" w:space="0" w:color="auto"/>
              <w:right w:val="nil"/>
            </w:tcBorders>
            <w:shd w:val="clear" w:color="auto" w:fill="auto"/>
            <w:noWrap/>
            <w:vAlign w:val="bottom"/>
          </w:tcPr>
          <w:p w14:paraId="7E4662DC" w14:textId="05A07345"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0</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9</w:t>
            </w:r>
          </w:p>
        </w:tc>
        <w:tc>
          <w:tcPr>
            <w:tcW w:w="616" w:type="dxa"/>
            <w:tcBorders>
              <w:top w:val="single" w:sz="4" w:space="0" w:color="auto"/>
              <w:left w:val="nil"/>
              <w:bottom w:val="single" w:sz="4" w:space="0" w:color="auto"/>
              <w:right w:val="nil"/>
            </w:tcBorders>
            <w:shd w:val="clear" w:color="auto" w:fill="auto"/>
            <w:noWrap/>
            <w:vAlign w:val="bottom"/>
          </w:tcPr>
          <w:p w14:paraId="6D4B950B" w14:textId="0A2E3B0F"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1</w:t>
            </w:r>
          </w:p>
        </w:tc>
        <w:tc>
          <w:tcPr>
            <w:tcW w:w="616" w:type="dxa"/>
            <w:tcBorders>
              <w:top w:val="single" w:sz="4" w:space="0" w:color="auto"/>
              <w:left w:val="nil"/>
              <w:bottom w:val="single" w:sz="4" w:space="0" w:color="auto"/>
              <w:right w:val="nil"/>
            </w:tcBorders>
            <w:shd w:val="clear" w:color="auto" w:fill="auto"/>
            <w:noWrap/>
            <w:vAlign w:val="bottom"/>
          </w:tcPr>
          <w:p w14:paraId="07A1C268" w14:textId="4F84AED1"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single" w:sz="4" w:space="0" w:color="auto"/>
              <w:right w:val="nil"/>
            </w:tcBorders>
            <w:shd w:val="clear" w:color="auto" w:fill="auto"/>
            <w:noWrap/>
            <w:vAlign w:val="bottom"/>
          </w:tcPr>
          <w:p w14:paraId="63ABC98D" w14:textId="3EF26599"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single" w:sz="4" w:space="0" w:color="auto"/>
              <w:right w:val="nil"/>
            </w:tcBorders>
            <w:shd w:val="clear" w:color="auto" w:fill="auto"/>
            <w:noWrap/>
            <w:vAlign w:val="bottom"/>
          </w:tcPr>
          <w:p w14:paraId="506001C9" w14:textId="032F5169"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single" w:sz="4" w:space="0" w:color="auto"/>
              <w:right w:val="nil"/>
            </w:tcBorders>
            <w:shd w:val="clear" w:color="auto" w:fill="auto"/>
            <w:noWrap/>
            <w:vAlign w:val="bottom"/>
          </w:tcPr>
          <w:p w14:paraId="0E315483" w14:textId="0982217A"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single" w:sz="4" w:space="0" w:color="auto"/>
              <w:right w:val="nil"/>
            </w:tcBorders>
            <w:shd w:val="clear" w:color="auto" w:fill="auto"/>
            <w:noWrap/>
            <w:vAlign w:val="bottom"/>
          </w:tcPr>
          <w:p w14:paraId="1583ECED" w14:textId="36B061DC"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single" w:sz="4" w:space="0" w:color="auto"/>
              <w:right w:val="nil"/>
            </w:tcBorders>
            <w:shd w:val="clear" w:color="auto" w:fill="auto"/>
            <w:noWrap/>
            <w:vAlign w:val="bottom"/>
          </w:tcPr>
          <w:p w14:paraId="0124F095" w14:textId="4F24BE0E"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2</w:t>
            </w:r>
          </w:p>
        </w:tc>
        <w:tc>
          <w:tcPr>
            <w:tcW w:w="616" w:type="dxa"/>
            <w:tcBorders>
              <w:top w:val="single" w:sz="4" w:space="0" w:color="auto"/>
              <w:left w:val="nil"/>
              <w:bottom w:val="single" w:sz="4" w:space="0" w:color="auto"/>
              <w:right w:val="nil"/>
            </w:tcBorders>
            <w:shd w:val="clear" w:color="auto" w:fill="auto"/>
            <w:noWrap/>
            <w:vAlign w:val="bottom"/>
          </w:tcPr>
          <w:p w14:paraId="012E2540" w14:textId="2D5BD143"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2</w:t>
            </w:r>
          </w:p>
        </w:tc>
        <w:tc>
          <w:tcPr>
            <w:tcW w:w="581" w:type="dxa"/>
            <w:tcBorders>
              <w:top w:val="single" w:sz="4" w:space="0" w:color="auto"/>
              <w:left w:val="nil"/>
              <w:bottom w:val="single" w:sz="4" w:space="0" w:color="auto"/>
              <w:right w:val="nil"/>
            </w:tcBorders>
            <w:shd w:val="clear" w:color="auto" w:fill="auto"/>
            <w:vAlign w:val="bottom"/>
          </w:tcPr>
          <w:p w14:paraId="6257C6AA" w14:textId="2CFCCAC1"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1</w:t>
            </w:r>
          </w:p>
        </w:tc>
        <w:tc>
          <w:tcPr>
            <w:tcW w:w="651" w:type="dxa"/>
            <w:tcBorders>
              <w:top w:val="single" w:sz="4" w:space="0" w:color="auto"/>
              <w:left w:val="nil"/>
              <w:bottom w:val="single" w:sz="4" w:space="0" w:color="auto"/>
              <w:right w:val="nil"/>
            </w:tcBorders>
            <w:shd w:val="clear" w:color="auto" w:fill="auto"/>
            <w:vAlign w:val="bottom"/>
          </w:tcPr>
          <w:p w14:paraId="5C6D58DC" w14:textId="56DC65F1"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3C54C8">
              <w:rPr>
                <w:rFonts w:ascii="Times New Roman" w:eastAsia="Times New Roman" w:hAnsi="Times New Roman" w:cs="Times New Roman"/>
                <w:color w:val="000000"/>
                <w:sz w:val="18"/>
                <w:szCs w:val="20"/>
                <w:lang w:val="en-US" w:eastAsia="en-US"/>
              </w:rPr>
              <w:t>1</w:t>
            </w:r>
            <w:r>
              <w:rPr>
                <w:rFonts w:ascii="Times New Roman" w:eastAsia="Times New Roman" w:hAnsi="Times New Roman" w:cs="Times New Roman"/>
                <w:color w:val="000000"/>
                <w:sz w:val="18"/>
                <w:szCs w:val="20"/>
                <w:lang w:val="en-US" w:eastAsia="en-US"/>
              </w:rPr>
              <w:t>,</w:t>
            </w:r>
            <w:r w:rsidRPr="003C54C8">
              <w:rPr>
                <w:rFonts w:ascii="Times New Roman" w:eastAsia="Times New Roman" w:hAnsi="Times New Roman" w:cs="Times New Roman"/>
                <w:color w:val="000000"/>
                <w:sz w:val="18"/>
                <w:szCs w:val="20"/>
                <w:lang w:val="en-US" w:eastAsia="en-US"/>
              </w:rPr>
              <w:t>1</w:t>
            </w:r>
          </w:p>
        </w:tc>
      </w:tr>
      <w:tr w:rsidR="009E211D" w:rsidRPr="000C52CA" w14:paraId="23B1F7A8" w14:textId="1F7340AD" w:rsidTr="005C2927">
        <w:trPr>
          <w:trHeight w:val="276"/>
          <w:jc w:val="center"/>
        </w:trPr>
        <w:tc>
          <w:tcPr>
            <w:tcW w:w="1760" w:type="dxa"/>
            <w:tcBorders>
              <w:top w:val="single" w:sz="4" w:space="0" w:color="auto"/>
              <w:left w:val="nil"/>
              <w:bottom w:val="double" w:sz="6" w:space="0" w:color="auto"/>
              <w:right w:val="nil"/>
            </w:tcBorders>
            <w:shd w:val="clear" w:color="auto" w:fill="auto"/>
            <w:noWrap/>
            <w:vAlign w:val="center"/>
          </w:tcPr>
          <w:p w14:paraId="538C8262" w14:textId="13E58A47" w:rsidR="009E211D" w:rsidRPr="000C52CA" w:rsidRDefault="009E211D" w:rsidP="009E211D">
            <w:pPr>
              <w:spacing w:after="0" w:line="240" w:lineRule="auto"/>
              <w:rPr>
                <w:rFonts w:ascii="Times New Roman" w:eastAsia="Times New Roman" w:hAnsi="Times New Roman" w:cs="Times New Roman"/>
                <w:b/>
                <w:bCs/>
                <w:color w:val="000000"/>
                <w:sz w:val="18"/>
                <w:szCs w:val="20"/>
                <w:lang w:val="en-US" w:eastAsia="en-US"/>
              </w:rPr>
            </w:pPr>
            <w:r w:rsidRPr="000C52CA">
              <w:rPr>
                <w:rFonts w:ascii="Times New Roman" w:eastAsia="Times New Roman" w:hAnsi="Times New Roman" w:cs="Times New Roman"/>
                <w:b/>
                <w:bCs/>
                <w:color w:val="000000"/>
                <w:sz w:val="18"/>
                <w:szCs w:val="20"/>
                <w:lang w:val="en-US" w:eastAsia="en-US"/>
              </w:rPr>
              <w:t>Total</w:t>
            </w:r>
          </w:p>
        </w:tc>
        <w:tc>
          <w:tcPr>
            <w:tcW w:w="616" w:type="dxa"/>
            <w:tcBorders>
              <w:top w:val="single" w:sz="4" w:space="0" w:color="auto"/>
              <w:bottom w:val="double" w:sz="4" w:space="0" w:color="auto"/>
            </w:tcBorders>
            <w:noWrap/>
          </w:tcPr>
          <w:p w14:paraId="5072BB59" w14:textId="59C8F38B"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10,3</w:t>
            </w:r>
          </w:p>
        </w:tc>
        <w:tc>
          <w:tcPr>
            <w:tcW w:w="616" w:type="dxa"/>
            <w:tcBorders>
              <w:top w:val="single" w:sz="4" w:space="0" w:color="auto"/>
              <w:bottom w:val="double" w:sz="4" w:space="0" w:color="auto"/>
            </w:tcBorders>
            <w:noWrap/>
          </w:tcPr>
          <w:p w14:paraId="5C8A25B0" w14:textId="0D340F44"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11,0</w:t>
            </w:r>
          </w:p>
        </w:tc>
        <w:tc>
          <w:tcPr>
            <w:tcW w:w="616" w:type="dxa"/>
            <w:tcBorders>
              <w:top w:val="single" w:sz="4" w:space="0" w:color="auto"/>
              <w:bottom w:val="double" w:sz="4" w:space="0" w:color="auto"/>
            </w:tcBorders>
            <w:noWrap/>
          </w:tcPr>
          <w:p w14:paraId="3AD4C168" w14:textId="213A492B"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13,0</w:t>
            </w:r>
          </w:p>
        </w:tc>
        <w:tc>
          <w:tcPr>
            <w:tcW w:w="616" w:type="dxa"/>
            <w:tcBorders>
              <w:top w:val="single" w:sz="4" w:space="0" w:color="auto"/>
              <w:bottom w:val="double" w:sz="4" w:space="0" w:color="auto"/>
            </w:tcBorders>
            <w:noWrap/>
          </w:tcPr>
          <w:p w14:paraId="0F0C7EE9" w14:textId="5415C991"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14,1</w:t>
            </w:r>
          </w:p>
        </w:tc>
        <w:tc>
          <w:tcPr>
            <w:tcW w:w="616" w:type="dxa"/>
            <w:tcBorders>
              <w:top w:val="single" w:sz="4" w:space="0" w:color="auto"/>
              <w:bottom w:val="double" w:sz="4" w:space="0" w:color="auto"/>
            </w:tcBorders>
            <w:noWrap/>
          </w:tcPr>
          <w:p w14:paraId="6D6D7919" w14:textId="62E29C6F"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14,3</w:t>
            </w:r>
          </w:p>
        </w:tc>
        <w:tc>
          <w:tcPr>
            <w:tcW w:w="616" w:type="dxa"/>
            <w:tcBorders>
              <w:top w:val="single" w:sz="4" w:space="0" w:color="auto"/>
              <w:bottom w:val="double" w:sz="4" w:space="0" w:color="auto"/>
            </w:tcBorders>
            <w:noWrap/>
          </w:tcPr>
          <w:p w14:paraId="1BCBA6BA" w14:textId="2A984995"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14,1</w:t>
            </w:r>
          </w:p>
        </w:tc>
        <w:tc>
          <w:tcPr>
            <w:tcW w:w="616" w:type="dxa"/>
            <w:tcBorders>
              <w:top w:val="single" w:sz="4" w:space="0" w:color="auto"/>
              <w:bottom w:val="double" w:sz="4" w:space="0" w:color="auto"/>
            </w:tcBorders>
            <w:noWrap/>
          </w:tcPr>
          <w:p w14:paraId="6EC7DDBF" w14:textId="2F4BAB40"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14,5</w:t>
            </w:r>
          </w:p>
        </w:tc>
        <w:tc>
          <w:tcPr>
            <w:tcW w:w="616" w:type="dxa"/>
            <w:tcBorders>
              <w:top w:val="single" w:sz="4" w:space="0" w:color="auto"/>
              <w:bottom w:val="double" w:sz="4" w:space="0" w:color="auto"/>
            </w:tcBorders>
            <w:noWrap/>
          </w:tcPr>
          <w:p w14:paraId="0492E0BA" w14:textId="226C8C2A"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14,2</w:t>
            </w:r>
          </w:p>
        </w:tc>
        <w:tc>
          <w:tcPr>
            <w:tcW w:w="616" w:type="dxa"/>
            <w:tcBorders>
              <w:top w:val="single" w:sz="4" w:space="0" w:color="auto"/>
              <w:bottom w:val="double" w:sz="4" w:space="0" w:color="auto"/>
            </w:tcBorders>
            <w:noWrap/>
          </w:tcPr>
          <w:p w14:paraId="11C3E842" w14:textId="3949D93C"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14,2</w:t>
            </w:r>
          </w:p>
        </w:tc>
        <w:tc>
          <w:tcPr>
            <w:tcW w:w="581" w:type="dxa"/>
            <w:tcBorders>
              <w:top w:val="single" w:sz="4" w:space="0" w:color="auto"/>
              <w:bottom w:val="double" w:sz="4" w:space="0" w:color="auto"/>
            </w:tcBorders>
          </w:tcPr>
          <w:p w14:paraId="2A7F46EA" w14:textId="611FB28E"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13,9</w:t>
            </w:r>
          </w:p>
        </w:tc>
        <w:tc>
          <w:tcPr>
            <w:tcW w:w="651" w:type="dxa"/>
            <w:tcBorders>
              <w:top w:val="single" w:sz="4" w:space="0" w:color="auto"/>
              <w:bottom w:val="double" w:sz="4" w:space="0" w:color="auto"/>
            </w:tcBorders>
          </w:tcPr>
          <w:p w14:paraId="2384FCCC" w14:textId="1811D0AC" w:rsidR="009E211D" w:rsidRPr="000C52CA" w:rsidRDefault="009E211D" w:rsidP="009E211D">
            <w:pPr>
              <w:spacing w:after="0" w:line="240" w:lineRule="auto"/>
              <w:jc w:val="right"/>
              <w:rPr>
                <w:rFonts w:ascii="Times New Roman" w:eastAsia="Times New Roman" w:hAnsi="Times New Roman" w:cs="Times New Roman"/>
                <w:color w:val="000000"/>
                <w:sz w:val="18"/>
                <w:szCs w:val="20"/>
                <w:lang w:val="en-US" w:eastAsia="en-US"/>
              </w:rPr>
            </w:pPr>
            <w:r w:rsidRPr="005C2927">
              <w:rPr>
                <w:rFonts w:ascii="Times New Roman" w:eastAsia="Times New Roman" w:hAnsi="Times New Roman" w:cs="Times New Roman"/>
                <w:color w:val="000000"/>
                <w:sz w:val="18"/>
                <w:szCs w:val="20"/>
                <w:lang w:val="en-US" w:eastAsia="en-US"/>
              </w:rPr>
              <w:t>13,8</w:t>
            </w:r>
          </w:p>
        </w:tc>
      </w:tr>
    </w:tbl>
    <w:p w14:paraId="7D76AD09" w14:textId="77777777" w:rsidR="00DF2157" w:rsidRPr="00DF2157" w:rsidRDefault="00DF2157" w:rsidP="005E1C4A">
      <w:pPr>
        <w:spacing w:after="0" w:line="360" w:lineRule="auto"/>
        <w:ind w:right="51"/>
        <w:jc w:val="center"/>
        <w:rPr>
          <w:rFonts w:ascii="Times New Roman" w:hAnsi="Times New Roman" w:cs="Times New Roman"/>
          <w:sz w:val="18"/>
          <w:szCs w:val="18"/>
        </w:rPr>
      </w:pPr>
      <w:r w:rsidRPr="00DF2157">
        <w:rPr>
          <w:rFonts w:ascii="Times New Roman" w:hAnsi="Times New Roman" w:cs="Times New Roman"/>
          <w:sz w:val="18"/>
          <w:szCs w:val="18"/>
        </w:rPr>
        <w:t>Fuente: Elaboración propia con datos de Ministerio de Hacienda.</w:t>
      </w:r>
    </w:p>
    <w:p w14:paraId="4CD93DA3" w14:textId="77777777" w:rsidR="00254B3A" w:rsidRDefault="00254B3A" w:rsidP="00E04919">
      <w:pPr>
        <w:tabs>
          <w:tab w:val="left" w:pos="810"/>
          <w:tab w:val="left" w:pos="1531"/>
        </w:tabs>
        <w:autoSpaceDE w:val="0"/>
        <w:autoSpaceDN w:val="0"/>
        <w:adjustRightInd w:val="0"/>
        <w:spacing w:before="120" w:after="0" w:line="360" w:lineRule="auto"/>
        <w:jc w:val="both"/>
        <w:rPr>
          <w:rFonts w:ascii="Times New Roman" w:hAnsi="Times New Roman"/>
          <w:b/>
          <w:bCs/>
          <w:iCs/>
        </w:rPr>
      </w:pPr>
    </w:p>
    <w:p w14:paraId="67F09334" w14:textId="77777777" w:rsidR="009E211D" w:rsidRDefault="009E211D" w:rsidP="0039059C">
      <w:pPr>
        <w:pStyle w:val="Caption"/>
        <w:spacing w:after="0"/>
        <w:jc w:val="center"/>
        <w:rPr>
          <w:rFonts w:ascii="Times New Roman" w:hAnsi="Times New Roman" w:cs="Times New Roman"/>
          <w:b/>
          <w:i w:val="0"/>
          <w:color w:val="auto"/>
          <w:sz w:val="22"/>
          <w:szCs w:val="22"/>
        </w:rPr>
      </w:pPr>
      <w:bookmarkStart w:id="24" w:name="_Toc518399423"/>
    </w:p>
    <w:p w14:paraId="36FF6E2D" w14:textId="7C4215D0" w:rsidR="00254B3A" w:rsidRPr="0039059C" w:rsidRDefault="007364D6" w:rsidP="0039059C">
      <w:pPr>
        <w:pStyle w:val="Caption"/>
        <w:spacing w:after="0"/>
        <w:jc w:val="center"/>
        <w:rPr>
          <w:rFonts w:ascii="Times New Roman" w:hAnsi="Times New Roman" w:cs="Times New Roman"/>
          <w:b/>
          <w:bCs/>
          <w:i w:val="0"/>
          <w:iCs w:val="0"/>
          <w:color w:val="auto"/>
          <w:sz w:val="22"/>
          <w:szCs w:val="22"/>
        </w:rPr>
      </w:pPr>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16</w:t>
      </w:r>
      <w:r w:rsidRPr="007364D6">
        <w:rPr>
          <w:rFonts w:ascii="Times New Roman" w:hAnsi="Times New Roman" w:cs="Times New Roman"/>
          <w:b/>
          <w:i w:val="0"/>
          <w:color w:val="auto"/>
          <w:sz w:val="22"/>
          <w:szCs w:val="22"/>
        </w:rPr>
        <w:fldChar w:fldCharType="end"/>
      </w:r>
      <w:r w:rsidR="00AD7D53" w:rsidRPr="007364D6">
        <w:rPr>
          <w:rFonts w:ascii="Times New Roman" w:hAnsi="Times New Roman" w:cs="Times New Roman"/>
          <w:b/>
          <w:bCs/>
          <w:i w:val="0"/>
          <w:iCs w:val="0"/>
          <w:color w:val="auto"/>
          <w:sz w:val="22"/>
          <w:szCs w:val="22"/>
        </w:rPr>
        <w:t>.</w:t>
      </w:r>
      <w:r w:rsidR="00254B3A" w:rsidRPr="007364D6">
        <w:rPr>
          <w:rFonts w:ascii="Times New Roman" w:hAnsi="Times New Roman" w:cs="Times New Roman"/>
          <w:b/>
          <w:bCs/>
          <w:i w:val="0"/>
          <w:iCs w:val="0"/>
          <w:color w:val="auto"/>
          <w:sz w:val="22"/>
          <w:szCs w:val="22"/>
        </w:rPr>
        <w:t xml:space="preserve"> </w:t>
      </w:r>
      <w:bookmarkEnd w:id="24"/>
      <w:r w:rsidR="0039059C" w:rsidRPr="0039059C">
        <w:rPr>
          <w:rFonts w:ascii="Times New Roman" w:hAnsi="Times New Roman" w:cs="Times New Roman"/>
          <w:b/>
          <w:bCs/>
          <w:i w:val="0"/>
          <w:iCs w:val="0"/>
          <w:color w:val="auto"/>
          <w:sz w:val="22"/>
          <w:szCs w:val="22"/>
        </w:rPr>
        <w:t>SPNF sin empresas: Gasto Total y Corriente Reales</w:t>
      </w:r>
      <w:r w:rsidR="0039059C">
        <w:rPr>
          <w:rFonts w:ascii="Times New Roman" w:hAnsi="Times New Roman" w:cs="Times New Roman"/>
          <w:b/>
          <w:bCs/>
          <w:i w:val="0"/>
          <w:iCs w:val="0"/>
          <w:color w:val="auto"/>
          <w:sz w:val="22"/>
          <w:szCs w:val="22"/>
        </w:rPr>
        <w:t xml:space="preserve">, </w:t>
      </w:r>
      <w:r w:rsidR="0039059C" w:rsidRPr="0039059C">
        <w:rPr>
          <w:rFonts w:ascii="Times New Roman" w:hAnsi="Times New Roman" w:cs="Times New Roman"/>
          <w:b/>
          <w:bCs/>
          <w:i w:val="0"/>
          <w:iCs w:val="0"/>
          <w:color w:val="auto"/>
          <w:sz w:val="22"/>
          <w:szCs w:val="22"/>
          <w:lang w:val="es-ES"/>
        </w:rPr>
        <w:t>2006-2015</w:t>
      </w:r>
    </w:p>
    <w:p w14:paraId="00328C78" w14:textId="77777777" w:rsidR="00254B3A" w:rsidRDefault="0039059C" w:rsidP="00254B3A">
      <w:pPr>
        <w:tabs>
          <w:tab w:val="left" w:pos="810"/>
          <w:tab w:val="left" w:pos="1531"/>
        </w:tabs>
        <w:autoSpaceDE w:val="0"/>
        <w:autoSpaceDN w:val="0"/>
        <w:adjustRightInd w:val="0"/>
        <w:spacing w:before="120" w:after="0" w:line="240" w:lineRule="auto"/>
        <w:jc w:val="center"/>
        <w:rPr>
          <w:rFonts w:ascii="Times New Roman" w:hAnsi="Times New Roman"/>
          <w:b/>
          <w:bCs/>
          <w:iCs/>
        </w:rPr>
      </w:pPr>
      <w:r>
        <w:rPr>
          <w:noProof/>
          <w:lang w:val="es-CR" w:eastAsia="es-CR"/>
        </w:rPr>
        <w:drawing>
          <wp:inline distT="0" distB="0" distL="0" distR="0" wp14:anchorId="54E68E84" wp14:editId="2BF639F7">
            <wp:extent cx="5612130" cy="3270250"/>
            <wp:effectExtent l="0" t="0" r="7620" b="6350"/>
            <wp:docPr id="25"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2E437C16" w14:textId="77777777" w:rsidR="00254B3A" w:rsidRDefault="00254B3A" w:rsidP="00254B3A">
      <w:pPr>
        <w:spacing w:after="0" w:line="360" w:lineRule="auto"/>
        <w:jc w:val="center"/>
        <w:rPr>
          <w:rFonts w:ascii="Times New Roman" w:hAnsi="Times New Roman" w:cs="Times New Roman"/>
          <w:sz w:val="18"/>
          <w:szCs w:val="24"/>
        </w:rPr>
      </w:pPr>
      <w:r w:rsidRPr="00EC03B5">
        <w:rPr>
          <w:rFonts w:ascii="Times New Roman" w:hAnsi="Times New Roman" w:cs="Times New Roman"/>
          <w:sz w:val="18"/>
          <w:szCs w:val="24"/>
        </w:rPr>
        <w:t>Fuente: Espinoza (2016).</w:t>
      </w:r>
      <w:r>
        <w:rPr>
          <w:rStyle w:val="FootnoteReference"/>
          <w:rFonts w:ascii="Times New Roman" w:hAnsi="Times New Roman" w:cs="Times New Roman"/>
          <w:sz w:val="18"/>
          <w:szCs w:val="24"/>
        </w:rPr>
        <w:footnoteReference w:id="51"/>
      </w:r>
    </w:p>
    <w:p w14:paraId="6DFC1D13" w14:textId="77777777" w:rsidR="00E04919" w:rsidRDefault="00380E49" w:rsidP="00E04919">
      <w:pPr>
        <w:tabs>
          <w:tab w:val="left" w:pos="810"/>
          <w:tab w:val="left" w:pos="1531"/>
        </w:tabs>
        <w:autoSpaceDE w:val="0"/>
        <w:autoSpaceDN w:val="0"/>
        <w:adjustRightInd w:val="0"/>
        <w:spacing w:before="120" w:after="0" w:line="360" w:lineRule="auto"/>
        <w:jc w:val="both"/>
        <w:rPr>
          <w:rFonts w:ascii="Times New Roman" w:hAnsi="Times New Roman"/>
          <w:bCs/>
          <w:iCs/>
        </w:rPr>
      </w:pPr>
      <w:r>
        <w:rPr>
          <w:rFonts w:ascii="Times New Roman" w:hAnsi="Times New Roman"/>
          <w:b/>
          <w:bCs/>
          <w:iCs/>
        </w:rPr>
        <w:t>Es necesario e</w:t>
      </w:r>
      <w:r w:rsidR="00E04919" w:rsidRPr="00E13B14">
        <w:rPr>
          <w:rFonts w:ascii="Times New Roman" w:hAnsi="Times New Roman"/>
          <w:b/>
          <w:bCs/>
          <w:iCs/>
        </w:rPr>
        <w:t xml:space="preserve">l reemplazo del sistema de empleo público </w:t>
      </w:r>
      <w:r>
        <w:rPr>
          <w:rFonts w:ascii="Times New Roman" w:hAnsi="Times New Roman"/>
          <w:b/>
          <w:bCs/>
          <w:iCs/>
        </w:rPr>
        <w:t xml:space="preserve">vigente, pues </w:t>
      </w:r>
      <w:r w:rsidR="00B71674">
        <w:rPr>
          <w:rFonts w:ascii="Times New Roman" w:hAnsi="Times New Roman"/>
          <w:b/>
          <w:bCs/>
          <w:iCs/>
        </w:rPr>
        <w:t>genera una dinámica desfavorable en la</w:t>
      </w:r>
      <w:r w:rsidR="006C4868">
        <w:rPr>
          <w:rFonts w:ascii="Times New Roman" w:hAnsi="Times New Roman"/>
          <w:b/>
          <w:bCs/>
          <w:iCs/>
        </w:rPr>
        <w:t>s</w:t>
      </w:r>
      <w:r w:rsidR="00B71674">
        <w:rPr>
          <w:rFonts w:ascii="Times New Roman" w:hAnsi="Times New Roman"/>
          <w:b/>
          <w:bCs/>
          <w:iCs/>
        </w:rPr>
        <w:t xml:space="preserve"> finanzas y no logra alinear los incentivos de los empleados</w:t>
      </w:r>
      <w:r w:rsidR="00E04919" w:rsidRPr="00E13B14">
        <w:rPr>
          <w:rFonts w:ascii="Times New Roman" w:hAnsi="Times New Roman"/>
          <w:b/>
          <w:bCs/>
          <w:iCs/>
        </w:rPr>
        <w:t xml:space="preserve">. </w:t>
      </w:r>
      <w:r w:rsidR="00E04919" w:rsidRPr="00E13B14">
        <w:rPr>
          <w:rFonts w:ascii="Times New Roman" w:hAnsi="Times New Roman"/>
          <w:bCs/>
          <w:iCs/>
        </w:rPr>
        <w:t>Las actuales reglas de la política salarial, legalmente vinculantes, llevan a una masa salarial que crecerá continuamente en términos reales</w:t>
      </w:r>
      <w:r w:rsidR="00D85951">
        <w:rPr>
          <w:rFonts w:ascii="Times New Roman" w:hAnsi="Times New Roman"/>
          <w:bCs/>
          <w:iCs/>
        </w:rPr>
        <w:t>,</w:t>
      </w:r>
      <w:r w:rsidR="008D6899">
        <w:rPr>
          <w:rStyle w:val="FootnoteReference"/>
          <w:rFonts w:ascii="Times New Roman" w:hAnsi="Times New Roman"/>
          <w:bCs/>
          <w:iCs/>
        </w:rPr>
        <w:footnoteReference w:id="52"/>
      </w:r>
      <w:r w:rsidR="00E04919" w:rsidRPr="00E13B14">
        <w:rPr>
          <w:rFonts w:ascii="Times New Roman" w:hAnsi="Times New Roman"/>
          <w:bCs/>
          <w:iCs/>
        </w:rPr>
        <w:t xml:space="preserve"> dado que el sistema de remuneración por desempeño no funciona</w:t>
      </w:r>
      <w:r w:rsidR="006C4868">
        <w:rPr>
          <w:rFonts w:ascii="Times New Roman" w:hAnsi="Times New Roman"/>
          <w:bCs/>
          <w:iCs/>
        </w:rPr>
        <w:t xml:space="preserve"> de manera adecuada</w:t>
      </w:r>
      <w:r w:rsidR="00E04919" w:rsidRPr="00E13B14">
        <w:rPr>
          <w:rFonts w:ascii="Times New Roman" w:hAnsi="Times New Roman"/>
          <w:bCs/>
          <w:iCs/>
        </w:rPr>
        <w:t>. La falta de una edad de retiro obligatoria</w:t>
      </w:r>
      <w:r w:rsidR="002B4EFA">
        <w:rPr>
          <w:rStyle w:val="FootnoteReference"/>
          <w:rFonts w:ascii="Times New Roman" w:hAnsi="Times New Roman"/>
          <w:bCs/>
          <w:iCs/>
        </w:rPr>
        <w:footnoteReference w:id="53"/>
      </w:r>
      <w:r w:rsidR="00E04919" w:rsidRPr="00E13B14">
        <w:rPr>
          <w:rFonts w:ascii="Times New Roman" w:hAnsi="Times New Roman"/>
          <w:bCs/>
          <w:iCs/>
        </w:rPr>
        <w:t xml:space="preserve"> combinada con un sistema que premia por antigüedad</w:t>
      </w:r>
      <w:r w:rsidR="00B71039">
        <w:rPr>
          <w:rFonts w:ascii="Times New Roman" w:hAnsi="Times New Roman"/>
          <w:bCs/>
          <w:iCs/>
        </w:rPr>
        <w:t xml:space="preserve"> indiscriminadamente y no la productividad</w:t>
      </w:r>
      <w:r w:rsidR="005434D3">
        <w:rPr>
          <w:rFonts w:ascii="Times New Roman" w:hAnsi="Times New Roman"/>
          <w:bCs/>
          <w:iCs/>
        </w:rPr>
        <w:t>,</w:t>
      </w:r>
      <w:r w:rsidR="00E04919" w:rsidRPr="00E13B14">
        <w:rPr>
          <w:rFonts w:ascii="Times New Roman" w:hAnsi="Times New Roman"/>
          <w:bCs/>
          <w:iCs/>
        </w:rPr>
        <w:t xml:space="preserve"> genera incentivos perversos para los servidores públicos. Existen controles inadecuados para evitar que las instituciones descentralizadas acuerden aumentos salariales por encima de lo que puede pagar el Estado. La alta complejidad del sistema hace que sea difícil y costoso de administrar y controlar. Por último, debido a que las remuneraciones complementarias (bonos, anualidades</w:t>
      </w:r>
      <w:r w:rsidR="00301B53">
        <w:rPr>
          <w:rFonts w:ascii="Times New Roman" w:hAnsi="Times New Roman"/>
          <w:bCs/>
          <w:iCs/>
        </w:rPr>
        <w:t xml:space="preserve"> y otros beneficios</w:t>
      </w:r>
      <w:r w:rsidR="00E04919" w:rsidRPr="00E13B14">
        <w:rPr>
          <w:rFonts w:ascii="Times New Roman" w:hAnsi="Times New Roman"/>
          <w:bCs/>
          <w:iCs/>
        </w:rPr>
        <w:t>) representan la mayor parte de las remuneraciones en los deciles de ingresos más altos, los salarios a nivel de ingreso al Estado no son competitivos, lo que impacta negativamente en la atracción y retención de personal idóneo</w:t>
      </w:r>
      <w:r w:rsidR="00E04919">
        <w:rPr>
          <w:rFonts w:ascii="Times New Roman" w:hAnsi="Times New Roman"/>
          <w:bCs/>
          <w:iCs/>
        </w:rPr>
        <w:t>.</w:t>
      </w:r>
      <w:r w:rsidR="006C4868">
        <w:rPr>
          <w:rStyle w:val="FootnoteReference"/>
          <w:rFonts w:ascii="Times New Roman" w:hAnsi="Times New Roman"/>
          <w:bCs/>
          <w:iCs/>
        </w:rPr>
        <w:footnoteReference w:id="54"/>
      </w:r>
    </w:p>
    <w:p w14:paraId="7BF45C42" w14:textId="77777777" w:rsidR="005B0508" w:rsidRPr="00BE7E85" w:rsidRDefault="005B0508" w:rsidP="00E04919">
      <w:pPr>
        <w:tabs>
          <w:tab w:val="left" w:pos="810"/>
          <w:tab w:val="left" w:pos="1531"/>
        </w:tabs>
        <w:autoSpaceDE w:val="0"/>
        <w:autoSpaceDN w:val="0"/>
        <w:adjustRightInd w:val="0"/>
        <w:spacing w:before="120" w:after="0" w:line="360" w:lineRule="auto"/>
        <w:jc w:val="both"/>
        <w:rPr>
          <w:rFonts w:ascii="Times New Roman" w:hAnsi="Times New Roman"/>
          <w:bCs/>
          <w:iCs/>
        </w:rPr>
      </w:pPr>
      <w:r w:rsidRPr="00BE7E85">
        <w:rPr>
          <w:rFonts w:ascii="Times New Roman" w:hAnsi="Times New Roman"/>
          <w:bCs/>
          <w:iCs/>
        </w:rPr>
        <w:t>Un ejemplo de temas a resolver es el control de las llamadas “anualidades”, la</w:t>
      </w:r>
      <w:r w:rsidR="00F83672" w:rsidRPr="00BE7E85">
        <w:rPr>
          <w:rFonts w:ascii="Times New Roman" w:hAnsi="Times New Roman"/>
          <w:bCs/>
          <w:iCs/>
        </w:rPr>
        <w:t>s</w:t>
      </w:r>
      <w:r w:rsidRPr="00BE7E85">
        <w:rPr>
          <w:rFonts w:ascii="Times New Roman" w:hAnsi="Times New Roman"/>
          <w:bCs/>
          <w:iCs/>
        </w:rPr>
        <w:t xml:space="preserve"> que además de ser discutibles ya que se dan a más del 99</w:t>
      </w:r>
      <w:r w:rsidR="00F83672" w:rsidRPr="00BE7E85">
        <w:rPr>
          <w:rFonts w:ascii="Times New Roman" w:hAnsi="Times New Roman"/>
          <w:bCs/>
          <w:iCs/>
        </w:rPr>
        <w:t>,</w:t>
      </w:r>
      <w:r w:rsidRPr="00BE7E85">
        <w:rPr>
          <w:rFonts w:ascii="Times New Roman" w:hAnsi="Times New Roman"/>
          <w:bCs/>
          <w:iCs/>
        </w:rPr>
        <w:t>5% de los empleados públicos sobre el salario base (aprox. 45% de la nómina), sin medir su desempeño, tienen un rango muy amplio, dependiendo de qu</w:t>
      </w:r>
      <w:r w:rsidR="00F83672" w:rsidRPr="00BE7E85">
        <w:rPr>
          <w:rFonts w:ascii="Times New Roman" w:hAnsi="Times New Roman"/>
          <w:bCs/>
          <w:iCs/>
        </w:rPr>
        <w:t>é</w:t>
      </w:r>
      <w:r w:rsidRPr="00BE7E85">
        <w:rPr>
          <w:rFonts w:ascii="Times New Roman" w:hAnsi="Times New Roman"/>
          <w:bCs/>
          <w:iCs/>
        </w:rPr>
        <w:t xml:space="preserve"> entidad sea (de 1</w:t>
      </w:r>
      <w:r w:rsidR="00F83672" w:rsidRPr="00BE7E85">
        <w:rPr>
          <w:rFonts w:ascii="Times New Roman" w:hAnsi="Times New Roman"/>
          <w:bCs/>
          <w:iCs/>
        </w:rPr>
        <w:t>,</w:t>
      </w:r>
      <w:r w:rsidRPr="00BE7E85">
        <w:rPr>
          <w:rFonts w:ascii="Times New Roman" w:hAnsi="Times New Roman"/>
          <w:bCs/>
          <w:iCs/>
        </w:rPr>
        <w:t>94% a 6%) sin obedecer a un criterio técnico de productividad. El siguiente cuadro muestra dinámica de ahorro fiscal controlando por el limite sobre el salario base y la proporción de personal premiado en cada entidad.</w:t>
      </w:r>
    </w:p>
    <w:p w14:paraId="688441A4" w14:textId="77777777" w:rsidR="00EF6DBB" w:rsidRDefault="00EF6DBB" w:rsidP="00EF6DBB">
      <w:pPr>
        <w:tabs>
          <w:tab w:val="left" w:pos="810"/>
          <w:tab w:val="left" w:pos="1531"/>
        </w:tabs>
        <w:autoSpaceDE w:val="0"/>
        <w:autoSpaceDN w:val="0"/>
        <w:adjustRightInd w:val="0"/>
        <w:spacing w:before="120" w:after="0" w:line="240" w:lineRule="auto"/>
        <w:jc w:val="center"/>
        <w:rPr>
          <w:rFonts w:ascii="Times New Roman" w:hAnsi="Times New Roman"/>
          <w:b/>
          <w:bCs/>
          <w:iCs/>
        </w:rPr>
      </w:pPr>
    </w:p>
    <w:p w14:paraId="34D71F8C" w14:textId="06C26312" w:rsidR="000D386E" w:rsidRPr="00354C66" w:rsidRDefault="00354C66" w:rsidP="00354C66">
      <w:pPr>
        <w:pStyle w:val="Caption"/>
        <w:spacing w:after="0"/>
        <w:jc w:val="center"/>
        <w:rPr>
          <w:rFonts w:ascii="Times New Roman" w:hAnsi="Times New Roman" w:cs="Times New Roman"/>
          <w:b/>
          <w:bCs/>
          <w:i w:val="0"/>
          <w:iCs w:val="0"/>
          <w:color w:val="auto"/>
          <w:sz w:val="22"/>
          <w:szCs w:val="22"/>
        </w:rPr>
      </w:pPr>
      <w:bookmarkStart w:id="25" w:name="_Toc518399860"/>
      <w:r w:rsidRPr="00354C66">
        <w:rPr>
          <w:rFonts w:ascii="Times New Roman" w:hAnsi="Times New Roman" w:cs="Times New Roman"/>
          <w:b/>
          <w:i w:val="0"/>
          <w:color w:val="auto"/>
          <w:sz w:val="22"/>
          <w:szCs w:val="22"/>
        </w:rPr>
        <w:t xml:space="preserve">Tabla </w:t>
      </w:r>
      <w:r w:rsidRPr="00354C66">
        <w:rPr>
          <w:rFonts w:ascii="Times New Roman" w:hAnsi="Times New Roman" w:cs="Times New Roman"/>
          <w:b/>
          <w:i w:val="0"/>
          <w:color w:val="auto"/>
          <w:sz w:val="22"/>
          <w:szCs w:val="22"/>
        </w:rPr>
        <w:fldChar w:fldCharType="begin"/>
      </w:r>
      <w:r w:rsidRPr="00354C66">
        <w:rPr>
          <w:rFonts w:ascii="Times New Roman" w:hAnsi="Times New Roman" w:cs="Times New Roman"/>
          <w:b/>
          <w:i w:val="0"/>
          <w:color w:val="auto"/>
          <w:sz w:val="22"/>
          <w:szCs w:val="22"/>
        </w:rPr>
        <w:instrText xml:space="preserve"> SEQ Tabla \* ARABIC </w:instrText>
      </w:r>
      <w:r w:rsidRPr="00354C6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5</w:t>
      </w:r>
      <w:r w:rsidRPr="00354C66">
        <w:rPr>
          <w:rFonts w:ascii="Times New Roman" w:hAnsi="Times New Roman" w:cs="Times New Roman"/>
          <w:b/>
          <w:i w:val="0"/>
          <w:color w:val="auto"/>
          <w:sz w:val="22"/>
          <w:szCs w:val="22"/>
        </w:rPr>
        <w:fldChar w:fldCharType="end"/>
      </w:r>
      <w:r w:rsidR="000D386E" w:rsidRPr="00354C66">
        <w:rPr>
          <w:rFonts w:ascii="Times New Roman" w:hAnsi="Times New Roman" w:cs="Times New Roman"/>
          <w:b/>
          <w:bCs/>
          <w:i w:val="0"/>
          <w:iCs w:val="0"/>
          <w:color w:val="auto"/>
          <w:sz w:val="22"/>
          <w:szCs w:val="22"/>
        </w:rPr>
        <w:t xml:space="preserve">. </w:t>
      </w:r>
      <w:r w:rsidR="00EF6DBB" w:rsidRPr="00354C66">
        <w:rPr>
          <w:rFonts w:ascii="Times New Roman" w:hAnsi="Times New Roman" w:cs="Times New Roman"/>
          <w:b/>
          <w:bCs/>
          <w:i w:val="0"/>
          <w:iCs w:val="0"/>
          <w:color w:val="auto"/>
          <w:sz w:val="22"/>
          <w:szCs w:val="22"/>
        </w:rPr>
        <w:t>Sensibilización de la aplicación del límite al Incremento de las anualidades</w:t>
      </w:r>
      <w:bookmarkEnd w:id="25"/>
    </w:p>
    <w:p w14:paraId="3BE21813" w14:textId="77777777" w:rsidR="005B0508" w:rsidRDefault="000D386E" w:rsidP="00BE7E85">
      <w:pPr>
        <w:tabs>
          <w:tab w:val="left" w:pos="810"/>
          <w:tab w:val="left" w:pos="1531"/>
        </w:tabs>
        <w:autoSpaceDE w:val="0"/>
        <w:autoSpaceDN w:val="0"/>
        <w:adjustRightInd w:val="0"/>
        <w:spacing w:after="0" w:line="240" w:lineRule="auto"/>
        <w:jc w:val="center"/>
        <w:rPr>
          <w:rFonts w:ascii="Times New Roman" w:hAnsi="Times New Roman"/>
          <w:bCs/>
          <w:iCs/>
        </w:rPr>
      </w:pPr>
      <w:r>
        <w:rPr>
          <w:rFonts w:ascii="Times New Roman" w:hAnsi="Times New Roman"/>
          <w:bCs/>
          <w:iCs/>
          <w:noProof/>
          <w:lang w:val="es-CR" w:eastAsia="es-CR"/>
        </w:rPr>
        <w:drawing>
          <wp:inline distT="0" distB="0" distL="0" distR="0" wp14:anchorId="201A94AB" wp14:editId="36C63917">
            <wp:extent cx="4628515" cy="2035161"/>
            <wp:effectExtent l="0" t="0" r="63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t="23271"/>
                    <a:stretch/>
                  </pic:blipFill>
                  <pic:spPr bwMode="auto">
                    <a:xfrm>
                      <a:off x="0" y="0"/>
                      <a:ext cx="4631252" cy="2036364"/>
                    </a:xfrm>
                    <a:prstGeom prst="rect">
                      <a:avLst/>
                    </a:prstGeom>
                    <a:noFill/>
                    <a:ln>
                      <a:noFill/>
                    </a:ln>
                    <a:extLst>
                      <a:ext uri="{53640926-AAD7-44D8-BBD7-CCE9431645EC}">
                        <a14:shadowObscured xmlns:a14="http://schemas.microsoft.com/office/drawing/2010/main"/>
                      </a:ext>
                    </a:extLst>
                  </pic:spPr>
                </pic:pic>
              </a:graphicData>
            </a:graphic>
          </wp:inline>
        </w:drawing>
      </w:r>
    </w:p>
    <w:p w14:paraId="6BC25F0D" w14:textId="77777777" w:rsidR="00BE7E85" w:rsidRPr="00BE7E85" w:rsidRDefault="00BE7E85" w:rsidP="00BE7E85">
      <w:pPr>
        <w:tabs>
          <w:tab w:val="left" w:pos="810"/>
          <w:tab w:val="left" w:pos="1531"/>
        </w:tabs>
        <w:autoSpaceDE w:val="0"/>
        <w:autoSpaceDN w:val="0"/>
        <w:adjustRightInd w:val="0"/>
        <w:spacing w:after="0" w:line="240" w:lineRule="auto"/>
        <w:jc w:val="center"/>
        <w:rPr>
          <w:rFonts w:ascii="Times New Roman" w:hAnsi="Times New Roman"/>
          <w:bCs/>
          <w:iCs/>
          <w:sz w:val="18"/>
          <w:lang w:val="es-CR"/>
        </w:rPr>
      </w:pPr>
      <w:r w:rsidRPr="00BE7E85">
        <w:rPr>
          <w:rFonts w:ascii="Times New Roman" w:hAnsi="Times New Roman"/>
          <w:bCs/>
          <w:iCs/>
          <w:sz w:val="18"/>
        </w:rPr>
        <w:t>Fuente: Espinoza (2016)</w:t>
      </w:r>
    </w:p>
    <w:p w14:paraId="1AC560DF" w14:textId="77777777" w:rsidR="00867DAA" w:rsidRDefault="00855420" w:rsidP="005C119C">
      <w:pPr>
        <w:tabs>
          <w:tab w:val="left" w:pos="810"/>
          <w:tab w:val="left" w:pos="1531"/>
        </w:tabs>
        <w:autoSpaceDE w:val="0"/>
        <w:autoSpaceDN w:val="0"/>
        <w:adjustRightInd w:val="0"/>
        <w:spacing w:before="120" w:after="0" w:line="360" w:lineRule="auto"/>
        <w:jc w:val="both"/>
        <w:rPr>
          <w:rFonts w:ascii="Times New Roman" w:hAnsi="Times New Roman"/>
          <w:bCs/>
          <w:iCs/>
        </w:rPr>
      </w:pPr>
      <w:r w:rsidRPr="00EF25CD">
        <w:rPr>
          <w:rFonts w:ascii="Times New Roman" w:hAnsi="Times New Roman"/>
          <w:b/>
          <w:bCs/>
          <w:iCs/>
        </w:rPr>
        <w:t xml:space="preserve">Los destinos </w:t>
      </w:r>
      <w:r>
        <w:rPr>
          <w:rFonts w:ascii="Times New Roman" w:hAnsi="Times New Roman"/>
          <w:b/>
          <w:bCs/>
          <w:iCs/>
        </w:rPr>
        <w:t>legales y constitucionales</w:t>
      </w:r>
      <w:r w:rsidRPr="00EF25CD">
        <w:rPr>
          <w:rFonts w:ascii="Times New Roman" w:hAnsi="Times New Roman"/>
          <w:b/>
          <w:bCs/>
          <w:iCs/>
        </w:rPr>
        <w:t xml:space="preserve"> generan ineficiencia en el proceso presupuestario.</w:t>
      </w:r>
      <w:r w:rsidR="00CE303C">
        <w:rPr>
          <w:rFonts w:ascii="Times New Roman" w:hAnsi="Times New Roman"/>
          <w:b/>
          <w:bCs/>
          <w:iCs/>
        </w:rPr>
        <w:t xml:space="preserve"> </w:t>
      </w:r>
      <w:r w:rsidR="00012D93" w:rsidRPr="00707AF0">
        <w:rPr>
          <w:rFonts w:ascii="Times New Roman" w:hAnsi="Times New Roman"/>
          <w:bCs/>
          <w:iCs/>
        </w:rPr>
        <w:t>A</w:t>
      </w:r>
      <w:r w:rsidR="00012D93" w:rsidRPr="00012D93">
        <w:rPr>
          <w:rFonts w:ascii="Times New Roman" w:hAnsi="Times New Roman"/>
          <w:bCs/>
          <w:iCs/>
        </w:rPr>
        <w:t>una</w:t>
      </w:r>
      <w:r w:rsidR="00012D93">
        <w:rPr>
          <w:rFonts w:ascii="Times New Roman" w:hAnsi="Times New Roman"/>
          <w:bCs/>
          <w:iCs/>
        </w:rPr>
        <w:t xml:space="preserve">do al crecimiento de las </w:t>
      </w:r>
      <w:r w:rsidR="00272C27">
        <w:rPr>
          <w:rFonts w:ascii="Times New Roman" w:hAnsi="Times New Roman"/>
          <w:bCs/>
          <w:iCs/>
        </w:rPr>
        <w:t>remuneraciones</w:t>
      </w:r>
      <w:r w:rsidR="00833524">
        <w:rPr>
          <w:rFonts w:ascii="Times New Roman" w:hAnsi="Times New Roman"/>
          <w:bCs/>
          <w:iCs/>
        </w:rPr>
        <w:t xml:space="preserve"> se suma una dinámica creciente en las transferencias del Gobierno Central. Estas transferencias t</w:t>
      </w:r>
      <w:r w:rsidR="00837C3A">
        <w:rPr>
          <w:rFonts w:ascii="Times New Roman" w:hAnsi="Times New Roman"/>
          <w:bCs/>
          <w:iCs/>
        </w:rPr>
        <w:t xml:space="preserve">ienen como </w:t>
      </w:r>
      <w:r w:rsidR="00DA0C9F">
        <w:rPr>
          <w:rFonts w:ascii="Times New Roman" w:hAnsi="Times New Roman"/>
          <w:bCs/>
          <w:iCs/>
        </w:rPr>
        <w:t>principal destino el resto del sector público</w:t>
      </w:r>
      <w:r w:rsidR="00C42859">
        <w:rPr>
          <w:rFonts w:ascii="Times New Roman" w:hAnsi="Times New Roman"/>
          <w:bCs/>
          <w:iCs/>
        </w:rPr>
        <w:t xml:space="preserve">, en su mayoría por destinos específicos </w:t>
      </w:r>
      <w:r w:rsidR="006462B6">
        <w:rPr>
          <w:rFonts w:ascii="Times New Roman" w:hAnsi="Times New Roman"/>
          <w:bCs/>
          <w:iCs/>
        </w:rPr>
        <w:t xml:space="preserve">creados por ley. </w:t>
      </w:r>
      <w:r w:rsidR="004F38FB">
        <w:rPr>
          <w:rFonts w:ascii="Times New Roman" w:hAnsi="Times New Roman"/>
          <w:bCs/>
          <w:iCs/>
        </w:rPr>
        <w:t>En efecto, la Contraloría General de la República</w:t>
      </w:r>
      <w:r w:rsidR="004F38FB">
        <w:rPr>
          <w:rStyle w:val="FootnoteReference"/>
          <w:rFonts w:ascii="Times New Roman" w:hAnsi="Times New Roman"/>
          <w:bCs/>
          <w:iCs/>
        </w:rPr>
        <w:footnoteReference w:id="55"/>
      </w:r>
      <w:r w:rsidR="00B42848">
        <w:rPr>
          <w:rFonts w:ascii="Times New Roman" w:hAnsi="Times New Roman"/>
          <w:bCs/>
          <w:iCs/>
        </w:rPr>
        <w:t xml:space="preserve"> señala que </w:t>
      </w:r>
      <w:r w:rsidR="007616FC">
        <w:rPr>
          <w:rFonts w:ascii="Times New Roman" w:hAnsi="Times New Roman"/>
          <w:bCs/>
          <w:iCs/>
        </w:rPr>
        <w:t xml:space="preserve">los destinos específicos deben ser revisados, </w:t>
      </w:r>
      <w:r w:rsidR="006A1A1B">
        <w:rPr>
          <w:rFonts w:ascii="Times New Roman" w:hAnsi="Times New Roman"/>
          <w:bCs/>
          <w:iCs/>
        </w:rPr>
        <w:t>debido a</w:t>
      </w:r>
      <w:r w:rsidR="007616FC">
        <w:rPr>
          <w:rFonts w:ascii="Times New Roman" w:hAnsi="Times New Roman"/>
          <w:bCs/>
          <w:iCs/>
        </w:rPr>
        <w:t xml:space="preserve"> que </w:t>
      </w:r>
      <w:r w:rsidR="006A1A1B">
        <w:rPr>
          <w:rFonts w:ascii="Times New Roman" w:hAnsi="Times New Roman"/>
          <w:bCs/>
          <w:iCs/>
        </w:rPr>
        <w:t>hay</w:t>
      </w:r>
      <w:r w:rsidR="007616FC">
        <w:rPr>
          <w:rFonts w:ascii="Times New Roman" w:hAnsi="Times New Roman"/>
          <w:bCs/>
          <w:iCs/>
        </w:rPr>
        <w:t xml:space="preserve"> instituciones </w:t>
      </w:r>
      <w:r w:rsidR="006A1A1B">
        <w:rPr>
          <w:rFonts w:ascii="Times New Roman" w:hAnsi="Times New Roman"/>
          <w:bCs/>
          <w:iCs/>
        </w:rPr>
        <w:t xml:space="preserve">que </w:t>
      </w:r>
      <w:r w:rsidR="007616FC">
        <w:rPr>
          <w:rFonts w:ascii="Times New Roman" w:hAnsi="Times New Roman"/>
          <w:bCs/>
          <w:iCs/>
        </w:rPr>
        <w:t xml:space="preserve">no ejecutan todo el presupuesto que se les asigna por ley </w:t>
      </w:r>
      <w:r w:rsidR="008A70B3">
        <w:rPr>
          <w:rFonts w:ascii="Times New Roman" w:hAnsi="Times New Roman"/>
          <w:bCs/>
          <w:iCs/>
        </w:rPr>
        <w:t>y/</w:t>
      </w:r>
      <w:r w:rsidR="007616FC">
        <w:rPr>
          <w:rFonts w:ascii="Times New Roman" w:hAnsi="Times New Roman"/>
          <w:bCs/>
          <w:iCs/>
        </w:rPr>
        <w:t xml:space="preserve">o no se controla </w:t>
      </w:r>
      <w:r w:rsidR="00862F01">
        <w:rPr>
          <w:rFonts w:ascii="Times New Roman" w:hAnsi="Times New Roman"/>
          <w:bCs/>
          <w:iCs/>
        </w:rPr>
        <w:t xml:space="preserve">adecuadamente </w:t>
      </w:r>
      <w:r w:rsidR="007616FC">
        <w:rPr>
          <w:rFonts w:ascii="Times New Roman" w:hAnsi="Times New Roman"/>
          <w:bCs/>
          <w:iCs/>
        </w:rPr>
        <w:t xml:space="preserve">la efectividad de </w:t>
      </w:r>
      <w:r w:rsidR="0056226A">
        <w:rPr>
          <w:rFonts w:ascii="Times New Roman" w:hAnsi="Times New Roman"/>
          <w:bCs/>
          <w:iCs/>
        </w:rPr>
        <w:t>dicho</w:t>
      </w:r>
      <w:r w:rsidR="007616FC">
        <w:rPr>
          <w:rFonts w:ascii="Times New Roman" w:hAnsi="Times New Roman"/>
          <w:bCs/>
          <w:iCs/>
        </w:rPr>
        <w:t xml:space="preserve"> gasto.</w:t>
      </w:r>
      <w:r w:rsidR="00E54A6E">
        <w:rPr>
          <w:rFonts w:ascii="Times New Roman" w:hAnsi="Times New Roman"/>
          <w:bCs/>
          <w:iCs/>
        </w:rPr>
        <w:t xml:space="preserve"> </w:t>
      </w:r>
      <w:r w:rsidR="00E54A6E" w:rsidRPr="00D00DB1">
        <w:rPr>
          <w:rFonts w:ascii="Times New Roman" w:hAnsi="Times New Roman"/>
          <w:bCs/>
          <w:iCs/>
        </w:rPr>
        <w:t>Dentro de</w:t>
      </w:r>
      <w:r w:rsidR="00E54A6E">
        <w:rPr>
          <w:rFonts w:ascii="Times New Roman" w:hAnsi="Times New Roman"/>
          <w:b/>
          <w:bCs/>
          <w:iCs/>
        </w:rPr>
        <w:t xml:space="preserve"> </w:t>
      </w:r>
      <w:r w:rsidR="00E54A6E">
        <w:rPr>
          <w:rFonts w:ascii="Times New Roman" w:hAnsi="Times New Roman"/>
          <w:bCs/>
          <w:iCs/>
        </w:rPr>
        <w:t>las principales instituciones que reciben transferencias del Gobierno Central</w:t>
      </w:r>
      <w:r w:rsidR="008A70B3">
        <w:rPr>
          <w:rFonts w:ascii="Times New Roman" w:hAnsi="Times New Roman"/>
          <w:bCs/>
          <w:iCs/>
        </w:rPr>
        <w:t xml:space="preserve"> se encuentran</w:t>
      </w:r>
      <w:r w:rsidR="009D255E">
        <w:rPr>
          <w:rFonts w:ascii="Times New Roman" w:hAnsi="Times New Roman"/>
          <w:bCs/>
          <w:iCs/>
        </w:rPr>
        <w:t xml:space="preserve"> los montos asignados a los regímenes de pensiones, al FEES</w:t>
      </w:r>
      <w:r w:rsidR="00AC7335">
        <w:rPr>
          <w:rStyle w:val="FootnoteReference"/>
          <w:rFonts w:ascii="Times New Roman" w:hAnsi="Times New Roman"/>
          <w:bCs/>
          <w:iCs/>
        </w:rPr>
        <w:footnoteReference w:id="56"/>
      </w:r>
      <w:r w:rsidR="009D255E">
        <w:rPr>
          <w:rFonts w:ascii="Times New Roman" w:hAnsi="Times New Roman"/>
          <w:bCs/>
          <w:iCs/>
        </w:rPr>
        <w:t>, a la CCSS</w:t>
      </w:r>
      <w:r w:rsidR="008D7006">
        <w:rPr>
          <w:rStyle w:val="FootnoteReference"/>
          <w:rFonts w:ascii="Times New Roman" w:hAnsi="Times New Roman"/>
          <w:bCs/>
          <w:iCs/>
        </w:rPr>
        <w:footnoteReference w:id="57"/>
      </w:r>
      <w:r w:rsidR="00AC7335">
        <w:rPr>
          <w:rFonts w:ascii="Times New Roman" w:hAnsi="Times New Roman"/>
          <w:bCs/>
          <w:iCs/>
        </w:rPr>
        <w:t>, Juntas de Educación y Administrativas, FODESAF</w:t>
      </w:r>
      <w:r w:rsidR="00561954">
        <w:rPr>
          <w:rStyle w:val="FootnoteReference"/>
          <w:rFonts w:ascii="Times New Roman" w:hAnsi="Times New Roman"/>
          <w:bCs/>
          <w:iCs/>
        </w:rPr>
        <w:footnoteReference w:id="58"/>
      </w:r>
      <w:r w:rsidR="00653907">
        <w:rPr>
          <w:rFonts w:ascii="Times New Roman" w:hAnsi="Times New Roman"/>
          <w:bCs/>
          <w:iCs/>
        </w:rPr>
        <w:t xml:space="preserve"> y CONAVI</w:t>
      </w:r>
      <w:r w:rsidR="000B7493">
        <w:rPr>
          <w:rFonts w:ascii="Times New Roman" w:hAnsi="Times New Roman"/>
          <w:bCs/>
          <w:iCs/>
        </w:rPr>
        <w:t>.</w:t>
      </w:r>
      <w:r w:rsidR="00653907">
        <w:rPr>
          <w:rStyle w:val="FootnoteReference"/>
          <w:rFonts w:ascii="Times New Roman" w:hAnsi="Times New Roman"/>
          <w:bCs/>
          <w:iCs/>
        </w:rPr>
        <w:footnoteReference w:id="59"/>
      </w:r>
      <w:r w:rsidR="00384492">
        <w:rPr>
          <w:rFonts w:ascii="Times New Roman" w:hAnsi="Times New Roman"/>
          <w:bCs/>
          <w:iCs/>
        </w:rPr>
        <w:t xml:space="preserve"> Las transferencias al sector público crecieron de 2,8% del PIB en 2008 a </w:t>
      </w:r>
      <w:r w:rsidR="008940B2">
        <w:rPr>
          <w:rFonts w:ascii="Times New Roman" w:hAnsi="Times New Roman"/>
          <w:bCs/>
          <w:iCs/>
        </w:rPr>
        <w:t xml:space="preserve">5,3% en 2017. </w:t>
      </w:r>
      <w:r w:rsidR="00D16DCC">
        <w:rPr>
          <w:rFonts w:ascii="Times New Roman" w:hAnsi="Times New Roman"/>
          <w:bCs/>
          <w:iCs/>
        </w:rPr>
        <w:t>Adicionalmente, los destinos específicos tienen como parámetro de referencia la producción, la recaudación de un impuesto particular, los salarios base del poder judicial, entre otros. Esta práctica no es recomendable, pues no toma en cuenta la capacidad ejecutora de la institución.</w:t>
      </w:r>
    </w:p>
    <w:p w14:paraId="21221B43" w14:textId="77777777" w:rsidR="00CB5463" w:rsidRDefault="00CB5463" w:rsidP="006B49B7">
      <w:pPr>
        <w:spacing w:after="0" w:line="240" w:lineRule="auto"/>
        <w:ind w:right="51"/>
        <w:jc w:val="center"/>
        <w:rPr>
          <w:rFonts w:ascii="Times New Roman" w:hAnsi="Times New Roman" w:cs="Times New Roman"/>
          <w:b/>
          <w:szCs w:val="24"/>
        </w:rPr>
      </w:pPr>
    </w:p>
    <w:p w14:paraId="347CA16C" w14:textId="77777777" w:rsidR="00BE7E85" w:rsidRDefault="00BE7E85" w:rsidP="006B49B7">
      <w:pPr>
        <w:spacing w:after="0" w:line="240" w:lineRule="auto"/>
        <w:ind w:right="51"/>
        <w:jc w:val="center"/>
        <w:rPr>
          <w:rFonts w:ascii="Times New Roman" w:hAnsi="Times New Roman" w:cs="Times New Roman"/>
          <w:b/>
          <w:szCs w:val="24"/>
        </w:rPr>
      </w:pPr>
    </w:p>
    <w:p w14:paraId="2C497C09" w14:textId="77777777" w:rsidR="00BE7E85" w:rsidRDefault="00BE7E85" w:rsidP="006B49B7">
      <w:pPr>
        <w:spacing w:after="0" w:line="240" w:lineRule="auto"/>
        <w:ind w:right="51"/>
        <w:jc w:val="center"/>
        <w:rPr>
          <w:rFonts w:ascii="Times New Roman" w:hAnsi="Times New Roman" w:cs="Times New Roman"/>
          <w:b/>
          <w:szCs w:val="24"/>
        </w:rPr>
      </w:pPr>
    </w:p>
    <w:p w14:paraId="1A2829E8" w14:textId="77777777" w:rsidR="00BE7E85" w:rsidRDefault="00BE7E85" w:rsidP="006B49B7">
      <w:pPr>
        <w:spacing w:after="0" w:line="240" w:lineRule="auto"/>
        <w:ind w:right="51"/>
        <w:jc w:val="center"/>
        <w:rPr>
          <w:rFonts w:ascii="Times New Roman" w:hAnsi="Times New Roman" w:cs="Times New Roman"/>
          <w:b/>
          <w:szCs w:val="24"/>
        </w:rPr>
      </w:pPr>
    </w:p>
    <w:p w14:paraId="11DC6B72" w14:textId="77777777" w:rsidR="00BE7E85" w:rsidRDefault="00BE7E85" w:rsidP="006B49B7">
      <w:pPr>
        <w:spacing w:after="0" w:line="240" w:lineRule="auto"/>
        <w:ind w:right="51"/>
        <w:jc w:val="center"/>
        <w:rPr>
          <w:rFonts w:ascii="Times New Roman" w:hAnsi="Times New Roman" w:cs="Times New Roman"/>
          <w:b/>
          <w:szCs w:val="24"/>
        </w:rPr>
      </w:pPr>
    </w:p>
    <w:p w14:paraId="5012B6CD" w14:textId="77777777" w:rsidR="00BE7E85" w:rsidRDefault="00BE7E85" w:rsidP="006B49B7">
      <w:pPr>
        <w:spacing w:after="0" w:line="240" w:lineRule="auto"/>
        <w:ind w:right="51"/>
        <w:jc w:val="center"/>
        <w:rPr>
          <w:rFonts w:ascii="Times New Roman" w:hAnsi="Times New Roman" w:cs="Times New Roman"/>
          <w:b/>
          <w:szCs w:val="24"/>
        </w:rPr>
      </w:pPr>
    </w:p>
    <w:p w14:paraId="78FBADC3" w14:textId="77777777" w:rsidR="00BE7E85" w:rsidRDefault="00BE7E85" w:rsidP="006B49B7">
      <w:pPr>
        <w:spacing w:after="0" w:line="240" w:lineRule="auto"/>
        <w:ind w:right="51"/>
        <w:jc w:val="center"/>
        <w:rPr>
          <w:rFonts w:ascii="Times New Roman" w:hAnsi="Times New Roman" w:cs="Times New Roman"/>
          <w:b/>
          <w:szCs w:val="24"/>
        </w:rPr>
      </w:pPr>
    </w:p>
    <w:p w14:paraId="6A460321" w14:textId="77777777" w:rsidR="00E56B67" w:rsidRDefault="00E56B67" w:rsidP="006B49B7">
      <w:pPr>
        <w:spacing w:after="0" w:line="240" w:lineRule="auto"/>
        <w:ind w:right="51"/>
        <w:jc w:val="center"/>
        <w:rPr>
          <w:rFonts w:ascii="Times New Roman" w:hAnsi="Times New Roman" w:cs="Times New Roman"/>
          <w:b/>
          <w:szCs w:val="24"/>
        </w:rPr>
      </w:pPr>
    </w:p>
    <w:p w14:paraId="1AF2FB68" w14:textId="77777777" w:rsidR="00BE7E85" w:rsidRDefault="00BE7E85" w:rsidP="006B49B7">
      <w:pPr>
        <w:spacing w:after="0" w:line="240" w:lineRule="auto"/>
        <w:ind w:right="51"/>
        <w:jc w:val="center"/>
        <w:rPr>
          <w:rFonts w:ascii="Times New Roman" w:hAnsi="Times New Roman" w:cs="Times New Roman"/>
          <w:b/>
          <w:szCs w:val="24"/>
        </w:rPr>
      </w:pPr>
    </w:p>
    <w:p w14:paraId="76A38644" w14:textId="77777777" w:rsidR="00BE7E85" w:rsidRDefault="00BE7E85" w:rsidP="006B49B7">
      <w:pPr>
        <w:spacing w:after="0" w:line="240" w:lineRule="auto"/>
        <w:ind w:right="51"/>
        <w:jc w:val="center"/>
        <w:rPr>
          <w:rFonts w:ascii="Times New Roman" w:hAnsi="Times New Roman" w:cs="Times New Roman"/>
          <w:b/>
          <w:szCs w:val="24"/>
        </w:rPr>
      </w:pPr>
    </w:p>
    <w:p w14:paraId="7A62D576" w14:textId="596CEC46" w:rsidR="00F44443" w:rsidRPr="007364D6" w:rsidRDefault="007364D6" w:rsidP="007364D6">
      <w:pPr>
        <w:pStyle w:val="Caption"/>
        <w:spacing w:after="0"/>
        <w:jc w:val="center"/>
        <w:rPr>
          <w:rFonts w:ascii="Times New Roman" w:hAnsi="Times New Roman" w:cs="Times New Roman"/>
          <w:b/>
          <w:i w:val="0"/>
          <w:color w:val="auto"/>
          <w:sz w:val="22"/>
          <w:szCs w:val="22"/>
        </w:rPr>
      </w:pPr>
      <w:bookmarkStart w:id="27" w:name="_Toc518399424"/>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17</w:t>
      </w:r>
      <w:r w:rsidRPr="007364D6">
        <w:rPr>
          <w:rFonts w:ascii="Times New Roman" w:hAnsi="Times New Roman" w:cs="Times New Roman"/>
          <w:b/>
          <w:i w:val="0"/>
          <w:color w:val="auto"/>
          <w:sz w:val="22"/>
          <w:szCs w:val="22"/>
        </w:rPr>
        <w:fldChar w:fldCharType="end"/>
      </w:r>
      <w:r w:rsidR="0062645F" w:rsidRPr="007364D6">
        <w:rPr>
          <w:rFonts w:ascii="Times New Roman" w:hAnsi="Times New Roman" w:cs="Times New Roman"/>
          <w:b/>
          <w:i w:val="0"/>
          <w:color w:val="auto"/>
          <w:sz w:val="22"/>
          <w:szCs w:val="22"/>
        </w:rPr>
        <w:t xml:space="preserve">. </w:t>
      </w:r>
      <w:r w:rsidR="0006741E" w:rsidRPr="007364D6">
        <w:rPr>
          <w:rFonts w:ascii="Times New Roman" w:hAnsi="Times New Roman" w:cs="Times New Roman"/>
          <w:b/>
          <w:i w:val="0"/>
          <w:color w:val="auto"/>
          <w:sz w:val="22"/>
          <w:szCs w:val="22"/>
        </w:rPr>
        <w:t>Transferencias del Gobierno Central como % del PIB, 2006-2017</w:t>
      </w:r>
      <w:bookmarkEnd w:id="27"/>
    </w:p>
    <w:p w14:paraId="3CA40C53" w14:textId="77777777" w:rsidR="00F44443" w:rsidRDefault="001E5CCE" w:rsidP="00B94688">
      <w:pPr>
        <w:tabs>
          <w:tab w:val="left" w:pos="810"/>
          <w:tab w:val="left" w:pos="1531"/>
        </w:tabs>
        <w:autoSpaceDE w:val="0"/>
        <w:autoSpaceDN w:val="0"/>
        <w:adjustRightInd w:val="0"/>
        <w:spacing w:after="0" w:line="240" w:lineRule="auto"/>
        <w:jc w:val="center"/>
        <w:rPr>
          <w:rFonts w:ascii="Times New Roman" w:hAnsi="Times New Roman"/>
          <w:b/>
          <w:bCs/>
          <w:iCs/>
        </w:rPr>
      </w:pPr>
      <w:r w:rsidRPr="001E5CCE">
        <w:rPr>
          <w:noProof/>
        </w:rPr>
        <w:t xml:space="preserve"> </w:t>
      </w:r>
      <w:r>
        <w:rPr>
          <w:noProof/>
          <w:lang w:val="es-CR" w:eastAsia="es-CR"/>
        </w:rPr>
        <w:drawing>
          <wp:inline distT="0" distB="0" distL="0" distR="0" wp14:anchorId="6D890071" wp14:editId="3BE2EE21">
            <wp:extent cx="4407408" cy="2157984"/>
            <wp:effectExtent l="0" t="0" r="0" b="0"/>
            <wp:docPr id="14" name="Chart 14">
              <a:extLst xmlns:a="http://schemas.openxmlformats.org/drawingml/2006/main">
                <a:ext uri="{FF2B5EF4-FFF2-40B4-BE49-F238E27FC236}">
                  <a16:creationId xmlns:a16="http://schemas.microsoft.com/office/drawing/2014/main" id="{21640E7A-1FC4-49D3-896F-2C8BCC983F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7C799AC0" w14:textId="77777777" w:rsidR="00105338" w:rsidRPr="00DF2157" w:rsidRDefault="00105338" w:rsidP="00105338">
      <w:pPr>
        <w:spacing w:after="0" w:line="360" w:lineRule="auto"/>
        <w:ind w:right="51"/>
        <w:jc w:val="center"/>
        <w:rPr>
          <w:rFonts w:ascii="Times New Roman" w:hAnsi="Times New Roman" w:cs="Times New Roman"/>
          <w:sz w:val="18"/>
          <w:szCs w:val="18"/>
        </w:rPr>
      </w:pPr>
      <w:r w:rsidRPr="00DF2157">
        <w:rPr>
          <w:rFonts w:ascii="Times New Roman" w:hAnsi="Times New Roman" w:cs="Times New Roman"/>
          <w:sz w:val="18"/>
          <w:szCs w:val="18"/>
        </w:rPr>
        <w:t>Fuente: Elaboración propia con datos de Ministerio de Hacienda.</w:t>
      </w:r>
    </w:p>
    <w:p w14:paraId="6032A658" w14:textId="77777777" w:rsidR="0017600D" w:rsidRPr="00445DC7" w:rsidRDefault="0017600D" w:rsidP="0017600D">
      <w:pPr>
        <w:tabs>
          <w:tab w:val="left" w:pos="810"/>
          <w:tab w:val="left" w:pos="1531"/>
        </w:tabs>
        <w:autoSpaceDE w:val="0"/>
        <w:autoSpaceDN w:val="0"/>
        <w:adjustRightInd w:val="0"/>
        <w:spacing w:before="120" w:line="360" w:lineRule="auto"/>
        <w:jc w:val="both"/>
        <w:rPr>
          <w:rFonts w:ascii="Times New Roman" w:hAnsi="Times New Roman"/>
          <w:bCs/>
          <w:iCs/>
        </w:rPr>
      </w:pPr>
      <w:bookmarkStart w:id="28" w:name="_Hlk518049160"/>
      <w:r>
        <w:rPr>
          <w:rFonts w:ascii="Times New Roman" w:hAnsi="Times New Roman"/>
          <w:b/>
          <w:bCs/>
          <w:iCs/>
        </w:rPr>
        <w:t xml:space="preserve">Parece necesario hacer una revisión de las instituciones públicas y sus funciones en Costa Rica. </w:t>
      </w:r>
      <w:r>
        <w:rPr>
          <w:rFonts w:ascii="Times New Roman" w:hAnsi="Times New Roman"/>
          <w:bCs/>
          <w:iCs/>
        </w:rPr>
        <w:t xml:space="preserve">De acuerdo con Solera </w:t>
      </w:r>
      <w:r>
        <w:rPr>
          <w:rFonts w:ascii="Times New Roman" w:hAnsi="Times New Roman"/>
          <w:bCs/>
          <w:i/>
          <w:iCs/>
        </w:rPr>
        <w:t>et al.</w:t>
      </w:r>
      <w:r>
        <w:rPr>
          <w:rFonts w:ascii="Times New Roman" w:hAnsi="Times New Roman"/>
          <w:bCs/>
          <w:iCs/>
        </w:rPr>
        <w:t xml:space="preserve"> (2016),</w:t>
      </w:r>
      <w:r>
        <w:rPr>
          <w:rStyle w:val="FootnoteReference"/>
          <w:rFonts w:ascii="Times New Roman" w:hAnsi="Times New Roman"/>
          <w:bCs/>
          <w:iCs/>
        </w:rPr>
        <w:footnoteReference w:id="60"/>
      </w:r>
      <w:r>
        <w:rPr>
          <w:rFonts w:ascii="Times New Roman" w:hAnsi="Times New Roman"/>
          <w:bCs/>
          <w:iCs/>
        </w:rPr>
        <w:t xml:space="preserve"> no parece haber una relación simple y directa entre el tamaño de la población, la economía y el desarrollo económico de los países en Centroamérica con la cantidad de instituciones públicas. Por ejemplo, Costa Rica tiene muchas </w:t>
      </w:r>
      <w:r w:rsidR="007936D7">
        <w:rPr>
          <w:rFonts w:ascii="Times New Roman" w:hAnsi="Times New Roman"/>
          <w:bCs/>
          <w:iCs/>
        </w:rPr>
        <w:t>más instituciones públicas que P</w:t>
      </w:r>
      <w:r>
        <w:rPr>
          <w:rFonts w:ascii="Times New Roman" w:hAnsi="Times New Roman"/>
          <w:bCs/>
          <w:iCs/>
        </w:rPr>
        <w:t>anamá (330</w:t>
      </w:r>
      <w:r>
        <w:rPr>
          <w:rStyle w:val="FootnoteReference"/>
          <w:rFonts w:ascii="Times New Roman" w:hAnsi="Times New Roman"/>
          <w:bCs/>
          <w:iCs/>
        </w:rPr>
        <w:footnoteReference w:id="61"/>
      </w:r>
      <w:r>
        <w:rPr>
          <w:rFonts w:ascii="Times New Roman" w:hAnsi="Times New Roman"/>
          <w:bCs/>
          <w:iCs/>
        </w:rPr>
        <w:t xml:space="preserve"> </w:t>
      </w:r>
      <w:r w:rsidRPr="00445DC7">
        <w:rPr>
          <w:rFonts w:ascii="Times New Roman" w:hAnsi="Times New Roman"/>
          <w:bCs/>
          <w:iCs/>
        </w:rPr>
        <w:t>versus</w:t>
      </w:r>
      <w:r>
        <w:rPr>
          <w:rFonts w:ascii="Times New Roman" w:hAnsi="Times New Roman"/>
          <w:bCs/>
          <w:iCs/>
        </w:rPr>
        <w:t xml:space="preserve"> 130), pero el PIB y desarrollo humanos son muy similares, incluso Panamá cuenta con un PIB per cápita mayor.</w:t>
      </w:r>
      <w:r>
        <w:rPr>
          <w:rStyle w:val="FootnoteReference"/>
          <w:rFonts w:ascii="Times New Roman" w:hAnsi="Times New Roman"/>
          <w:bCs/>
          <w:iCs/>
        </w:rPr>
        <w:footnoteReference w:id="62"/>
      </w:r>
      <w:r>
        <w:rPr>
          <w:rFonts w:ascii="Times New Roman" w:hAnsi="Times New Roman"/>
          <w:bCs/>
          <w:iCs/>
        </w:rPr>
        <w:t xml:space="preserve"> Además, El Salvador es el segundo país centroamericano con más instituciones (168), luego de Costa Rica, pero con un desarrollo similar a los países más rezagados de la región (Nicaragua y Honduras). Dicho lo anterior, es necesario revisar la relevancia de las instituciones públicas en Costa Rica, para eliminar duplicidades e instituciones y funciones innecesarias, dada la realidad actual del país. </w:t>
      </w:r>
    </w:p>
    <w:bookmarkEnd w:id="28"/>
    <w:p w14:paraId="12245BB5" w14:textId="77777777" w:rsidR="00BD1DE4" w:rsidRPr="00445DC7" w:rsidRDefault="00BD1DE4" w:rsidP="00BD1DE4">
      <w:pPr>
        <w:tabs>
          <w:tab w:val="left" w:pos="810"/>
          <w:tab w:val="left" w:pos="1531"/>
        </w:tabs>
        <w:autoSpaceDE w:val="0"/>
        <w:autoSpaceDN w:val="0"/>
        <w:adjustRightInd w:val="0"/>
        <w:spacing w:before="120" w:line="360" w:lineRule="auto"/>
        <w:jc w:val="both"/>
        <w:rPr>
          <w:rFonts w:ascii="Times New Roman" w:hAnsi="Times New Roman"/>
          <w:bCs/>
          <w:iCs/>
        </w:rPr>
      </w:pPr>
      <w:r>
        <w:rPr>
          <w:rFonts w:ascii="Times New Roman" w:hAnsi="Times New Roman"/>
          <w:b/>
          <w:bCs/>
          <w:iCs/>
        </w:rPr>
        <w:t xml:space="preserve">Parece necesario hacer una revisión de las instituciones públicas y sus funciones en Costa Rica. </w:t>
      </w:r>
      <w:r>
        <w:rPr>
          <w:rFonts w:ascii="Times New Roman" w:hAnsi="Times New Roman"/>
          <w:bCs/>
          <w:iCs/>
        </w:rPr>
        <w:t xml:space="preserve">De acuerdo con Solera </w:t>
      </w:r>
      <w:r>
        <w:rPr>
          <w:rFonts w:ascii="Times New Roman" w:hAnsi="Times New Roman"/>
          <w:bCs/>
          <w:i/>
          <w:iCs/>
        </w:rPr>
        <w:t>et al.</w:t>
      </w:r>
      <w:r>
        <w:rPr>
          <w:rFonts w:ascii="Times New Roman" w:hAnsi="Times New Roman"/>
          <w:bCs/>
          <w:iCs/>
        </w:rPr>
        <w:t xml:space="preserve"> (2016),</w:t>
      </w:r>
      <w:r>
        <w:rPr>
          <w:rStyle w:val="FootnoteReference"/>
          <w:rFonts w:ascii="Times New Roman" w:hAnsi="Times New Roman"/>
          <w:bCs/>
          <w:iCs/>
        </w:rPr>
        <w:footnoteReference w:id="63"/>
      </w:r>
      <w:r>
        <w:rPr>
          <w:rFonts w:ascii="Times New Roman" w:hAnsi="Times New Roman"/>
          <w:bCs/>
          <w:iCs/>
        </w:rPr>
        <w:t xml:space="preserve"> no parece haber una relación simple y directa entre el tamaño de la población, la economía y el desarrollo económico de los países en Centroamérica con la cantidad de instituciones públicas. Por ejemplo, Costa Rica tiene muchas más instituciones públicas que </w:t>
      </w:r>
      <w:r w:rsidR="007936D7">
        <w:rPr>
          <w:rFonts w:ascii="Times New Roman" w:hAnsi="Times New Roman"/>
          <w:bCs/>
          <w:iCs/>
        </w:rPr>
        <w:t>P</w:t>
      </w:r>
      <w:r>
        <w:rPr>
          <w:rFonts w:ascii="Times New Roman" w:hAnsi="Times New Roman"/>
          <w:bCs/>
          <w:iCs/>
        </w:rPr>
        <w:t>anamá (330</w:t>
      </w:r>
      <w:r>
        <w:rPr>
          <w:rStyle w:val="FootnoteReference"/>
          <w:rFonts w:ascii="Times New Roman" w:hAnsi="Times New Roman"/>
          <w:bCs/>
          <w:iCs/>
        </w:rPr>
        <w:footnoteReference w:id="64"/>
      </w:r>
      <w:r>
        <w:rPr>
          <w:rFonts w:ascii="Times New Roman" w:hAnsi="Times New Roman"/>
          <w:bCs/>
          <w:iCs/>
        </w:rPr>
        <w:t xml:space="preserve"> </w:t>
      </w:r>
      <w:r w:rsidRPr="00445DC7">
        <w:rPr>
          <w:rFonts w:ascii="Times New Roman" w:hAnsi="Times New Roman"/>
          <w:bCs/>
          <w:iCs/>
        </w:rPr>
        <w:t>versus</w:t>
      </w:r>
      <w:r>
        <w:rPr>
          <w:rFonts w:ascii="Times New Roman" w:hAnsi="Times New Roman"/>
          <w:bCs/>
          <w:iCs/>
        </w:rPr>
        <w:t xml:space="preserve"> 130), pero el PIB y desarrollo humanos son muy similares, incluso Panamá cuenta con un PIB per cápita mayor.</w:t>
      </w:r>
      <w:r>
        <w:rPr>
          <w:rStyle w:val="FootnoteReference"/>
          <w:rFonts w:ascii="Times New Roman" w:hAnsi="Times New Roman"/>
          <w:bCs/>
          <w:iCs/>
        </w:rPr>
        <w:footnoteReference w:id="65"/>
      </w:r>
      <w:r>
        <w:rPr>
          <w:rFonts w:ascii="Times New Roman" w:hAnsi="Times New Roman"/>
          <w:bCs/>
          <w:iCs/>
        </w:rPr>
        <w:t xml:space="preserve"> Además, El Salvador es el segundo país centroamericano con más instituciones (168), luego de Costa Rica, pero con un desarrollo similar a los países más rezagados de la región (Nicaragua y Honduras). Dicho lo anterior, es necesario revisar la relevancia de las instituciones públicas en Costa Rica, para eliminar duplicidades e instituciones y funciones innecesarias, dada la realidad actual del país. </w:t>
      </w:r>
    </w:p>
    <w:p w14:paraId="17DEEB26" w14:textId="77777777" w:rsidR="002D392A" w:rsidRDefault="00A30DC0" w:rsidP="00FD2CD4">
      <w:pPr>
        <w:tabs>
          <w:tab w:val="left" w:pos="810"/>
          <w:tab w:val="left" w:pos="1531"/>
        </w:tabs>
        <w:autoSpaceDE w:val="0"/>
        <w:autoSpaceDN w:val="0"/>
        <w:adjustRightInd w:val="0"/>
        <w:spacing w:before="120" w:line="360" w:lineRule="auto"/>
        <w:jc w:val="both"/>
        <w:rPr>
          <w:rFonts w:ascii="Times New Roman" w:hAnsi="Times New Roman"/>
          <w:b/>
          <w:bCs/>
          <w:iCs/>
        </w:rPr>
      </w:pPr>
      <w:r>
        <w:rPr>
          <w:rFonts w:ascii="Times New Roman" w:hAnsi="Times New Roman"/>
          <w:b/>
          <w:bCs/>
          <w:iCs/>
        </w:rPr>
        <w:t>S</w:t>
      </w:r>
      <w:r w:rsidR="00844A5C" w:rsidRPr="00844A5C">
        <w:rPr>
          <w:rFonts w:ascii="Times New Roman" w:hAnsi="Times New Roman"/>
          <w:b/>
          <w:bCs/>
          <w:iCs/>
        </w:rPr>
        <w:t xml:space="preserve">e observa que el gasto en salud per cápita ha crecido a un ritmo mayor que </w:t>
      </w:r>
      <w:r w:rsidR="005D306A">
        <w:rPr>
          <w:rFonts w:ascii="Times New Roman" w:hAnsi="Times New Roman"/>
          <w:b/>
          <w:bCs/>
          <w:iCs/>
        </w:rPr>
        <w:t>los ingresos</w:t>
      </w:r>
      <w:r w:rsidR="00844A5C" w:rsidRPr="00844A5C">
        <w:rPr>
          <w:rFonts w:ascii="Times New Roman" w:hAnsi="Times New Roman"/>
          <w:b/>
          <w:bCs/>
          <w:iCs/>
        </w:rPr>
        <w:t>, haciendo cuestionable la sostenibilidad de este gasto</w:t>
      </w:r>
      <w:r w:rsidR="000A72E1">
        <w:rPr>
          <w:rFonts w:ascii="Times New Roman" w:hAnsi="Times New Roman"/>
          <w:b/>
          <w:bCs/>
          <w:iCs/>
        </w:rPr>
        <w:t xml:space="preserve">. </w:t>
      </w:r>
      <w:r w:rsidR="005D306A" w:rsidRPr="005D306A">
        <w:rPr>
          <w:rFonts w:ascii="Times New Roman" w:hAnsi="Times New Roman"/>
          <w:bCs/>
          <w:iCs/>
        </w:rPr>
        <w:t>La CCSS administra los tres seguros sociales obligatorios</w:t>
      </w:r>
      <w:r w:rsidR="003473F0">
        <w:rPr>
          <w:rFonts w:ascii="Times New Roman" w:hAnsi="Times New Roman"/>
          <w:bCs/>
          <w:iCs/>
        </w:rPr>
        <w:t>,</w:t>
      </w:r>
      <w:r w:rsidR="005D306A">
        <w:rPr>
          <w:rStyle w:val="FootnoteReference"/>
          <w:rFonts w:ascii="Times New Roman" w:hAnsi="Times New Roman"/>
          <w:bCs/>
          <w:iCs/>
        </w:rPr>
        <w:footnoteReference w:id="66"/>
      </w:r>
      <w:r w:rsidR="003473F0">
        <w:rPr>
          <w:rFonts w:ascii="Times New Roman" w:hAnsi="Times New Roman"/>
          <w:bCs/>
          <w:iCs/>
        </w:rPr>
        <w:t xml:space="preserve"> entre ellos el Seguro por </w:t>
      </w:r>
      <w:r w:rsidR="00AB6070">
        <w:rPr>
          <w:rFonts w:ascii="Times New Roman" w:hAnsi="Times New Roman"/>
          <w:bCs/>
          <w:iCs/>
        </w:rPr>
        <w:t xml:space="preserve">Enfermedad y </w:t>
      </w:r>
      <w:r w:rsidR="003473F0">
        <w:rPr>
          <w:rFonts w:ascii="Times New Roman" w:hAnsi="Times New Roman"/>
          <w:bCs/>
          <w:iCs/>
        </w:rPr>
        <w:t xml:space="preserve">Maternidad (SEM). </w:t>
      </w:r>
      <w:r w:rsidR="006208CF" w:rsidRPr="00A30DC0">
        <w:rPr>
          <w:rFonts w:ascii="Times New Roman" w:hAnsi="Times New Roman"/>
          <w:bCs/>
          <w:iCs/>
        </w:rPr>
        <w:t>En 2014 se situó entre los países con mejores indicadores de salud de la región de América Latina. Por ejemplo, la esperanza de vida al nacer es la misma que en países OECD, y cinco años superior</w:t>
      </w:r>
      <w:r w:rsidR="00FF1785">
        <w:rPr>
          <w:rFonts w:ascii="Times New Roman" w:hAnsi="Times New Roman"/>
          <w:bCs/>
          <w:iCs/>
        </w:rPr>
        <w:t xml:space="preserve"> a</w:t>
      </w:r>
      <w:r w:rsidR="006208CF" w:rsidRPr="00A30DC0">
        <w:rPr>
          <w:rFonts w:ascii="Times New Roman" w:hAnsi="Times New Roman"/>
          <w:bCs/>
          <w:iCs/>
        </w:rPr>
        <w:t>l</w:t>
      </w:r>
      <w:r w:rsidR="00FF1785">
        <w:rPr>
          <w:rFonts w:ascii="Times New Roman" w:hAnsi="Times New Roman"/>
          <w:bCs/>
          <w:iCs/>
        </w:rPr>
        <w:t xml:space="preserve"> pro</w:t>
      </w:r>
      <w:r w:rsidR="006208CF" w:rsidRPr="00A30DC0">
        <w:rPr>
          <w:rFonts w:ascii="Times New Roman" w:hAnsi="Times New Roman"/>
          <w:bCs/>
          <w:iCs/>
        </w:rPr>
        <w:t>medi</w:t>
      </w:r>
      <w:r w:rsidR="00FF1785">
        <w:rPr>
          <w:rFonts w:ascii="Times New Roman" w:hAnsi="Times New Roman"/>
          <w:bCs/>
          <w:iCs/>
        </w:rPr>
        <w:t>o</w:t>
      </w:r>
      <w:r w:rsidR="006208CF" w:rsidRPr="00A30DC0">
        <w:rPr>
          <w:rFonts w:ascii="Times New Roman" w:hAnsi="Times New Roman"/>
          <w:bCs/>
          <w:iCs/>
        </w:rPr>
        <w:t xml:space="preserve"> </w:t>
      </w:r>
      <w:r w:rsidR="00FF1785">
        <w:rPr>
          <w:rFonts w:ascii="Times New Roman" w:hAnsi="Times New Roman"/>
          <w:bCs/>
          <w:iCs/>
        </w:rPr>
        <w:t>de</w:t>
      </w:r>
      <w:r w:rsidR="006208CF" w:rsidRPr="00A30DC0">
        <w:rPr>
          <w:rFonts w:ascii="Times New Roman" w:hAnsi="Times New Roman"/>
          <w:bCs/>
          <w:iCs/>
        </w:rPr>
        <w:t xml:space="preserve"> ALC (Tabla </w:t>
      </w:r>
      <w:r w:rsidR="00174973">
        <w:rPr>
          <w:rFonts w:ascii="Times New Roman" w:hAnsi="Times New Roman"/>
          <w:bCs/>
          <w:iCs/>
        </w:rPr>
        <w:t>6</w:t>
      </w:r>
      <w:r w:rsidR="006208CF" w:rsidRPr="00A30DC0">
        <w:rPr>
          <w:rFonts w:ascii="Times New Roman" w:hAnsi="Times New Roman"/>
          <w:bCs/>
          <w:iCs/>
        </w:rPr>
        <w:t>). Tanto en mortalidad materna como infantil, Costa Rica muestra cifras menores que la media regional.</w:t>
      </w:r>
      <w:r w:rsidR="00AA0873">
        <w:rPr>
          <w:rFonts w:ascii="Times New Roman" w:hAnsi="Times New Roman"/>
          <w:bCs/>
          <w:iCs/>
        </w:rPr>
        <w:t xml:space="preserve"> Sin embargo,</w:t>
      </w:r>
      <w:r w:rsidR="006208CF">
        <w:rPr>
          <w:rFonts w:ascii="Times New Roman" w:hAnsi="Times New Roman"/>
          <w:bCs/>
          <w:iCs/>
        </w:rPr>
        <w:t xml:space="preserve"> </w:t>
      </w:r>
      <w:r w:rsidR="00AA0873">
        <w:rPr>
          <w:rFonts w:ascii="Times New Roman" w:hAnsi="Times New Roman"/>
          <w:bCs/>
          <w:iCs/>
        </w:rPr>
        <w:t>l</w:t>
      </w:r>
      <w:r w:rsidR="008B552D">
        <w:rPr>
          <w:rFonts w:ascii="Times New Roman" w:hAnsi="Times New Roman"/>
          <w:bCs/>
          <w:iCs/>
        </w:rPr>
        <w:t xml:space="preserve">a </w:t>
      </w:r>
      <w:r w:rsidR="009246E7">
        <w:rPr>
          <w:rFonts w:ascii="Times New Roman" w:hAnsi="Times New Roman"/>
          <w:bCs/>
          <w:iCs/>
        </w:rPr>
        <w:t>CGR</w:t>
      </w:r>
      <w:r w:rsidR="008B552D">
        <w:rPr>
          <w:rStyle w:val="FootnoteReference"/>
          <w:rFonts w:ascii="Times New Roman" w:hAnsi="Times New Roman"/>
          <w:bCs/>
          <w:iCs/>
        </w:rPr>
        <w:footnoteReference w:id="67"/>
      </w:r>
      <w:r w:rsidR="00A90DA0">
        <w:rPr>
          <w:rFonts w:ascii="Times New Roman" w:hAnsi="Times New Roman"/>
          <w:bCs/>
          <w:iCs/>
        </w:rPr>
        <w:t xml:space="preserve"> señaló su preocupación en 2017 sobre </w:t>
      </w:r>
      <w:r w:rsidR="00EC4151">
        <w:rPr>
          <w:rFonts w:ascii="Times New Roman" w:hAnsi="Times New Roman"/>
          <w:bCs/>
          <w:iCs/>
        </w:rPr>
        <w:t xml:space="preserve">la dinámica que estaban mostrando los ingresos y gastos del </w:t>
      </w:r>
      <w:r w:rsidR="00583F93">
        <w:rPr>
          <w:rFonts w:ascii="Times New Roman" w:hAnsi="Times New Roman"/>
          <w:bCs/>
          <w:iCs/>
        </w:rPr>
        <w:t xml:space="preserve">SEM de la CCSS. Específicamente, </w:t>
      </w:r>
      <w:r w:rsidR="00715BFB">
        <w:rPr>
          <w:rFonts w:ascii="Times New Roman" w:hAnsi="Times New Roman"/>
          <w:bCs/>
          <w:iCs/>
        </w:rPr>
        <w:t xml:space="preserve">los gastos presupuestados en 2017 experimentaron un crecimiento del 18,6% mientras que los ingresos crecieron </w:t>
      </w:r>
      <w:r w:rsidR="005678B3">
        <w:rPr>
          <w:rFonts w:ascii="Times New Roman" w:hAnsi="Times New Roman"/>
          <w:bCs/>
          <w:iCs/>
        </w:rPr>
        <w:t xml:space="preserve">solamente 6,4%. </w:t>
      </w:r>
      <w:r w:rsidR="00B65E2B">
        <w:rPr>
          <w:rFonts w:ascii="Times New Roman" w:hAnsi="Times New Roman"/>
          <w:bCs/>
          <w:iCs/>
        </w:rPr>
        <w:t xml:space="preserve">Por </w:t>
      </w:r>
      <w:r w:rsidR="00EB1B9D">
        <w:rPr>
          <w:rFonts w:ascii="Times New Roman" w:hAnsi="Times New Roman"/>
          <w:bCs/>
          <w:iCs/>
        </w:rPr>
        <w:t xml:space="preserve">esto, la </w:t>
      </w:r>
      <w:r w:rsidR="009246E7">
        <w:rPr>
          <w:rFonts w:ascii="Times New Roman" w:hAnsi="Times New Roman"/>
          <w:bCs/>
          <w:iCs/>
        </w:rPr>
        <w:t xml:space="preserve">CGR </w:t>
      </w:r>
      <w:r w:rsidR="00F5591A">
        <w:rPr>
          <w:rFonts w:ascii="Times New Roman" w:hAnsi="Times New Roman"/>
          <w:bCs/>
          <w:iCs/>
        </w:rPr>
        <w:t>insta a realizar</w:t>
      </w:r>
      <w:r w:rsidR="009246E7">
        <w:rPr>
          <w:rFonts w:ascii="Times New Roman" w:hAnsi="Times New Roman"/>
          <w:bCs/>
          <w:iCs/>
        </w:rPr>
        <w:t xml:space="preserve"> cambios que </w:t>
      </w:r>
      <w:r w:rsidR="00F91FEA">
        <w:rPr>
          <w:rFonts w:ascii="Times New Roman" w:hAnsi="Times New Roman"/>
          <w:bCs/>
          <w:iCs/>
        </w:rPr>
        <w:t xml:space="preserve">tornen el uso de recursos más eficiente, y evitar riesgo de insolvencia en </w:t>
      </w:r>
      <w:r w:rsidR="006208CF">
        <w:rPr>
          <w:rFonts w:ascii="Times New Roman" w:hAnsi="Times New Roman"/>
          <w:bCs/>
          <w:iCs/>
        </w:rPr>
        <w:t>el largo plazo</w:t>
      </w:r>
      <w:r w:rsidR="00F91FEA">
        <w:rPr>
          <w:rFonts w:ascii="Times New Roman" w:hAnsi="Times New Roman"/>
          <w:bCs/>
          <w:iCs/>
        </w:rPr>
        <w:t xml:space="preserve">. </w:t>
      </w:r>
    </w:p>
    <w:p w14:paraId="5DEFD3B7" w14:textId="174F7B5E" w:rsidR="000042A7" w:rsidRPr="00354C66" w:rsidRDefault="00354C66" w:rsidP="00354C66">
      <w:pPr>
        <w:pStyle w:val="Caption"/>
        <w:spacing w:after="0"/>
        <w:rPr>
          <w:rFonts w:ascii="Times New Roman" w:hAnsi="Times New Roman" w:cs="Times New Roman"/>
          <w:b/>
          <w:bCs/>
          <w:i w:val="0"/>
          <w:iCs w:val="0"/>
          <w:color w:val="auto"/>
          <w:sz w:val="22"/>
          <w:szCs w:val="22"/>
        </w:rPr>
      </w:pPr>
      <w:bookmarkStart w:id="29" w:name="_Toc518399861"/>
      <w:r w:rsidRPr="00354C66">
        <w:rPr>
          <w:rFonts w:ascii="Times New Roman" w:hAnsi="Times New Roman" w:cs="Times New Roman"/>
          <w:b/>
          <w:i w:val="0"/>
          <w:color w:val="auto"/>
          <w:sz w:val="22"/>
          <w:szCs w:val="22"/>
        </w:rPr>
        <w:t xml:space="preserve">Tabla </w:t>
      </w:r>
      <w:r w:rsidRPr="00354C66">
        <w:rPr>
          <w:rFonts w:ascii="Times New Roman" w:hAnsi="Times New Roman" w:cs="Times New Roman"/>
          <w:b/>
          <w:i w:val="0"/>
          <w:color w:val="auto"/>
          <w:sz w:val="22"/>
          <w:szCs w:val="22"/>
        </w:rPr>
        <w:fldChar w:fldCharType="begin"/>
      </w:r>
      <w:r w:rsidRPr="00354C66">
        <w:rPr>
          <w:rFonts w:ascii="Times New Roman" w:hAnsi="Times New Roman" w:cs="Times New Roman"/>
          <w:b/>
          <w:i w:val="0"/>
          <w:color w:val="auto"/>
          <w:sz w:val="22"/>
          <w:szCs w:val="22"/>
        </w:rPr>
        <w:instrText xml:space="preserve"> SEQ Tabla \* ARABIC </w:instrText>
      </w:r>
      <w:r w:rsidRPr="00354C6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6</w:t>
      </w:r>
      <w:r w:rsidRPr="00354C66">
        <w:rPr>
          <w:rFonts w:ascii="Times New Roman" w:hAnsi="Times New Roman" w:cs="Times New Roman"/>
          <w:b/>
          <w:i w:val="0"/>
          <w:color w:val="auto"/>
          <w:sz w:val="22"/>
          <w:szCs w:val="22"/>
        </w:rPr>
        <w:fldChar w:fldCharType="end"/>
      </w:r>
      <w:r w:rsidR="008D22EA" w:rsidRPr="00354C66">
        <w:rPr>
          <w:rFonts w:ascii="Times New Roman" w:hAnsi="Times New Roman" w:cs="Times New Roman"/>
          <w:b/>
          <w:bCs/>
          <w:i w:val="0"/>
          <w:iCs w:val="0"/>
          <w:color w:val="auto"/>
          <w:sz w:val="22"/>
          <w:szCs w:val="22"/>
        </w:rPr>
        <w:t xml:space="preserve">. </w:t>
      </w:r>
      <w:r w:rsidR="000042A7" w:rsidRPr="00354C66">
        <w:rPr>
          <w:rFonts w:ascii="Times New Roman" w:hAnsi="Times New Roman" w:cs="Times New Roman"/>
          <w:b/>
          <w:bCs/>
          <w:i w:val="0"/>
          <w:iCs w:val="0"/>
          <w:color w:val="auto"/>
          <w:sz w:val="22"/>
          <w:szCs w:val="22"/>
        </w:rPr>
        <w:t>Selección de indicadores de gasto y desempeño en salud, Costa Rica y otros países</w:t>
      </w:r>
      <w:r w:rsidR="00533114" w:rsidRPr="00354C66">
        <w:rPr>
          <w:rFonts w:ascii="Times New Roman" w:hAnsi="Times New Roman" w:cs="Times New Roman"/>
          <w:b/>
          <w:bCs/>
          <w:i w:val="0"/>
          <w:iCs w:val="0"/>
          <w:color w:val="auto"/>
          <w:sz w:val="22"/>
          <w:szCs w:val="22"/>
        </w:rPr>
        <w:t xml:space="preserve">, </w:t>
      </w:r>
      <w:r w:rsidR="000042A7" w:rsidRPr="00354C66">
        <w:rPr>
          <w:rFonts w:ascii="Times New Roman" w:hAnsi="Times New Roman" w:cs="Times New Roman"/>
          <w:b/>
          <w:bCs/>
          <w:i w:val="0"/>
          <w:iCs w:val="0"/>
          <w:color w:val="auto"/>
          <w:sz w:val="22"/>
          <w:szCs w:val="22"/>
        </w:rPr>
        <w:t>2014</w:t>
      </w:r>
      <w:bookmarkEnd w:id="29"/>
    </w:p>
    <w:p w14:paraId="5499F530" w14:textId="77777777" w:rsidR="00582131" w:rsidRDefault="002B45F3" w:rsidP="007C23DD">
      <w:pPr>
        <w:spacing w:after="0"/>
        <w:jc w:val="center"/>
        <w:rPr>
          <w:lang w:val="es-ES_tradnl"/>
        </w:rPr>
      </w:pPr>
      <w:r w:rsidRPr="002B45F3">
        <w:rPr>
          <w:noProof/>
          <w:lang w:val="es-CR" w:eastAsia="es-CR"/>
        </w:rPr>
        <w:drawing>
          <wp:inline distT="0" distB="0" distL="0" distR="0" wp14:anchorId="0BD6443B" wp14:editId="36042F8D">
            <wp:extent cx="5759450" cy="1365706"/>
            <wp:effectExtent l="0" t="0" r="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59450" cy="1365706"/>
                    </a:xfrm>
                    <a:prstGeom prst="rect">
                      <a:avLst/>
                    </a:prstGeom>
                    <a:noFill/>
                    <a:ln>
                      <a:noFill/>
                    </a:ln>
                  </pic:spPr>
                </pic:pic>
              </a:graphicData>
            </a:graphic>
          </wp:inline>
        </w:drawing>
      </w:r>
    </w:p>
    <w:p w14:paraId="316006E2" w14:textId="77777777" w:rsidR="000042A7" w:rsidRPr="007C23DD" w:rsidRDefault="000042A7" w:rsidP="005A1210">
      <w:pPr>
        <w:jc w:val="center"/>
        <w:rPr>
          <w:rFonts w:ascii="Times New Roman" w:hAnsi="Times New Roman" w:cs="Times New Roman"/>
          <w:sz w:val="18"/>
          <w:lang w:val="es-ES_tradnl"/>
        </w:rPr>
      </w:pPr>
      <w:r w:rsidRPr="007C23DD">
        <w:rPr>
          <w:rFonts w:ascii="Times New Roman" w:hAnsi="Times New Roman" w:cs="Times New Roman"/>
          <w:sz w:val="18"/>
          <w:lang w:val="es-ES_tradnl"/>
        </w:rPr>
        <w:t>Fuente:</w:t>
      </w:r>
      <w:r w:rsidR="007C23DD">
        <w:rPr>
          <w:rFonts w:ascii="Times New Roman" w:hAnsi="Times New Roman" w:cs="Times New Roman"/>
          <w:sz w:val="18"/>
          <w:lang w:val="es-ES_tradnl"/>
        </w:rPr>
        <w:t xml:space="preserve"> </w:t>
      </w:r>
      <w:r w:rsidRPr="007C23DD">
        <w:rPr>
          <w:rFonts w:ascii="Times New Roman" w:hAnsi="Times New Roman" w:cs="Times New Roman"/>
          <w:sz w:val="18"/>
          <w:lang w:val="es-ES_tradnl"/>
        </w:rPr>
        <w:t xml:space="preserve">cálculos propios con datos de </w:t>
      </w:r>
      <w:hyperlink r:id="rId41" w:history="1">
        <w:r w:rsidRPr="007C23DD">
          <w:rPr>
            <w:rStyle w:val="Hyperlink"/>
            <w:rFonts w:ascii="Times New Roman" w:hAnsi="Times New Roman" w:cs="Times New Roman"/>
            <w:sz w:val="18"/>
            <w:lang w:val="es-ES_tradnl"/>
          </w:rPr>
          <w:t>https://data.worldbank.org/</w:t>
        </w:r>
      </w:hyperlink>
    </w:p>
    <w:p w14:paraId="4BF4DAC7" w14:textId="77777777" w:rsidR="00B40E7A" w:rsidRDefault="00FC336E" w:rsidP="00485737">
      <w:pPr>
        <w:tabs>
          <w:tab w:val="left" w:pos="810"/>
          <w:tab w:val="left" w:pos="1531"/>
        </w:tabs>
        <w:autoSpaceDE w:val="0"/>
        <w:autoSpaceDN w:val="0"/>
        <w:adjustRightInd w:val="0"/>
        <w:spacing w:before="120" w:line="360" w:lineRule="auto"/>
        <w:jc w:val="both"/>
        <w:rPr>
          <w:rFonts w:ascii="Times New Roman" w:hAnsi="Times New Roman"/>
          <w:bCs/>
          <w:iCs/>
          <w:lang w:val="es-ES_tradnl"/>
        </w:rPr>
      </w:pPr>
      <w:r>
        <w:rPr>
          <w:rFonts w:ascii="Times New Roman" w:hAnsi="Times New Roman"/>
          <w:b/>
          <w:bCs/>
          <w:iCs/>
          <w:lang w:val="es-ES_tradnl"/>
        </w:rPr>
        <w:t>Además</w:t>
      </w:r>
      <w:r w:rsidR="00485737">
        <w:rPr>
          <w:rFonts w:ascii="Times New Roman" w:hAnsi="Times New Roman"/>
          <w:b/>
          <w:bCs/>
          <w:iCs/>
          <w:lang w:val="es-ES_tradnl"/>
        </w:rPr>
        <w:t>, h</w:t>
      </w:r>
      <w:r w:rsidR="00C322AD" w:rsidRPr="00C322AD">
        <w:rPr>
          <w:rFonts w:ascii="Times New Roman" w:hAnsi="Times New Roman"/>
          <w:b/>
          <w:bCs/>
          <w:iCs/>
          <w:lang w:val="es-ES_tradnl"/>
        </w:rPr>
        <w:t xml:space="preserve">ay indicios de que el sistema de atención primaria no está siendo resolutivo. </w:t>
      </w:r>
      <w:r w:rsidR="00C322AD" w:rsidRPr="00485737">
        <w:rPr>
          <w:rFonts w:ascii="Times New Roman" w:hAnsi="Times New Roman"/>
          <w:bCs/>
          <w:iCs/>
          <w:lang w:val="es-ES_tradnl"/>
        </w:rPr>
        <w:t>Por ejemplo, los horarios de atención son limitados y los tiempos de espera para consulta especializada que pueden sobrepasar el año, lo que se refleja en la saturación de salas de emergencia con consultas que no corresponden a este nivel, y que se llevan a cabo a un costo más elevado.</w:t>
      </w:r>
      <w:r w:rsidR="008475B7">
        <w:rPr>
          <w:rFonts w:ascii="Times New Roman" w:hAnsi="Times New Roman"/>
          <w:bCs/>
          <w:iCs/>
          <w:lang w:val="es-ES_tradnl"/>
        </w:rPr>
        <w:t xml:space="preserve"> E</w:t>
      </w:r>
      <w:r w:rsidR="008475B7" w:rsidRPr="008475B7">
        <w:rPr>
          <w:rFonts w:ascii="Times New Roman" w:hAnsi="Times New Roman"/>
          <w:bCs/>
          <w:iCs/>
          <w:lang w:val="es-ES_tradnl"/>
        </w:rPr>
        <w:t>s importante mantener los niveles de cobertura y calidad en los servicios, lo cual amerita considerar medidas de política dirigidas a mejorar la eficiencia del gasto</w:t>
      </w:r>
      <w:r w:rsidR="008475B7">
        <w:rPr>
          <w:rFonts w:ascii="Times New Roman" w:hAnsi="Times New Roman"/>
          <w:bCs/>
          <w:iCs/>
          <w:lang w:val="es-ES_tradnl"/>
        </w:rPr>
        <w:t xml:space="preserve"> en salud.</w:t>
      </w:r>
    </w:p>
    <w:p w14:paraId="0B79D37F" w14:textId="77777777" w:rsidR="0064410D" w:rsidRPr="00CF2321" w:rsidRDefault="0064410D" w:rsidP="00485737">
      <w:pPr>
        <w:tabs>
          <w:tab w:val="left" w:pos="810"/>
          <w:tab w:val="left" w:pos="1531"/>
        </w:tabs>
        <w:autoSpaceDE w:val="0"/>
        <w:autoSpaceDN w:val="0"/>
        <w:adjustRightInd w:val="0"/>
        <w:spacing w:before="120" w:line="360" w:lineRule="auto"/>
        <w:jc w:val="both"/>
        <w:rPr>
          <w:rFonts w:ascii="Times New Roman" w:hAnsi="Times New Roman"/>
          <w:bCs/>
          <w:iCs/>
          <w:lang w:val="es-ES_tradnl"/>
        </w:rPr>
      </w:pPr>
      <w:r w:rsidRPr="00CF2321">
        <w:rPr>
          <w:rFonts w:ascii="Times New Roman" w:hAnsi="Times New Roman"/>
          <w:b/>
          <w:bCs/>
          <w:iCs/>
          <w:lang w:val="es-ES_tradnl"/>
        </w:rPr>
        <w:t xml:space="preserve">La inversión pública ha sido históricamente baja en Costa Rica, principalmente en el Gobierno Central. </w:t>
      </w:r>
      <w:r w:rsidR="00D23330" w:rsidRPr="00D23330">
        <w:rPr>
          <w:rFonts w:ascii="Times New Roman" w:hAnsi="Times New Roman"/>
          <w:bCs/>
          <w:iCs/>
          <w:lang w:val="es-ES_tradnl"/>
        </w:rPr>
        <w:t xml:space="preserve">La inversión pública en infraestructura en Costa Rica </w:t>
      </w:r>
      <w:r w:rsidR="007F5C6D">
        <w:rPr>
          <w:rFonts w:ascii="Times New Roman" w:hAnsi="Times New Roman"/>
          <w:bCs/>
          <w:iCs/>
          <w:lang w:val="es-ES_tradnl"/>
        </w:rPr>
        <w:t>está</w:t>
      </w:r>
      <w:r w:rsidR="00D23330" w:rsidRPr="00D23330">
        <w:rPr>
          <w:rFonts w:ascii="Times New Roman" w:hAnsi="Times New Roman"/>
          <w:bCs/>
          <w:iCs/>
          <w:lang w:val="es-ES_tradnl"/>
        </w:rPr>
        <w:t xml:space="preserve"> rezagada desde décadas atrás</w:t>
      </w:r>
      <w:r w:rsidR="00082EDF">
        <w:rPr>
          <w:rFonts w:ascii="Times New Roman" w:hAnsi="Times New Roman"/>
          <w:bCs/>
          <w:iCs/>
          <w:lang w:val="es-ES_tradnl"/>
        </w:rPr>
        <w:t>,</w:t>
      </w:r>
      <w:r w:rsidR="009620CA">
        <w:rPr>
          <w:rStyle w:val="FootnoteReference"/>
          <w:rFonts w:ascii="Times New Roman" w:hAnsi="Times New Roman"/>
          <w:bCs/>
          <w:iCs/>
          <w:lang w:val="es-ES_tradnl"/>
        </w:rPr>
        <w:footnoteReference w:id="68"/>
      </w:r>
      <w:r w:rsidR="00D23330" w:rsidRPr="00D23330">
        <w:rPr>
          <w:rFonts w:ascii="Times New Roman" w:hAnsi="Times New Roman"/>
          <w:bCs/>
          <w:iCs/>
          <w:lang w:val="es-ES_tradnl"/>
        </w:rPr>
        <w:t xml:space="preserve"> no solo de nuevas obras que demanda el crecimiento</w:t>
      </w:r>
      <w:r w:rsidR="007F5C6D">
        <w:rPr>
          <w:rFonts w:ascii="Times New Roman" w:hAnsi="Times New Roman"/>
          <w:bCs/>
          <w:iCs/>
          <w:lang w:val="es-ES_tradnl"/>
        </w:rPr>
        <w:t xml:space="preserve"> y el aumento en productividad</w:t>
      </w:r>
      <w:r w:rsidR="00D23330" w:rsidRPr="00D23330">
        <w:rPr>
          <w:rFonts w:ascii="Times New Roman" w:hAnsi="Times New Roman"/>
          <w:bCs/>
          <w:iCs/>
          <w:lang w:val="es-ES_tradnl"/>
        </w:rPr>
        <w:t>, sino también por el deterioro del stock de los activos existentes por los bajos niveles de mantenimiento, principalmente en la red vial, educación, salud y saneamiento. Estos tres primeros sectores dependen del presupuesto nacional y las transferencias del G</w:t>
      </w:r>
      <w:r w:rsidR="007F5C6D">
        <w:rPr>
          <w:rFonts w:ascii="Times New Roman" w:hAnsi="Times New Roman"/>
          <w:bCs/>
          <w:iCs/>
          <w:lang w:val="es-ES_tradnl"/>
        </w:rPr>
        <w:t xml:space="preserve">obierno </w:t>
      </w:r>
      <w:r w:rsidR="00D23330" w:rsidRPr="00D23330">
        <w:rPr>
          <w:rFonts w:ascii="Times New Roman" w:hAnsi="Times New Roman"/>
          <w:bCs/>
          <w:iCs/>
          <w:lang w:val="es-ES_tradnl"/>
        </w:rPr>
        <w:t>C</w:t>
      </w:r>
      <w:r w:rsidR="007F5C6D">
        <w:rPr>
          <w:rFonts w:ascii="Times New Roman" w:hAnsi="Times New Roman"/>
          <w:bCs/>
          <w:iCs/>
          <w:lang w:val="es-ES_tradnl"/>
        </w:rPr>
        <w:t>entral</w:t>
      </w:r>
      <w:r w:rsidR="00D23330" w:rsidRPr="00D23330">
        <w:rPr>
          <w:rFonts w:ascii="Times New Roman" w:hAnsi="Times New Roman"/>
          <w:bCs/>
          <w:iCs/>
          <w:lang w:val="es-ES_tradnl"/>
        </w:rPr>
        <w:t xml:space="preserve"> y por ende de </w:t>
      </w:r>
      <w:r w:rsidR="000E4E9A">
        <w:rPr>
          <w:rFonts w:ascii="Times New Roman" w:hAnsi="Times New Roman"/>
          <w:bCs/>
          <w:iCs/>
          <w:lang w:val="es-ES_tradnl"/>
        </w:rPr>
        <w:t>sus finanzas</w:t>
      </w:r>
      <w:r w:rsidR="00D23330" w:rsidRPr="00D23330">
        <w:rPr>
          <w:rFonts w:ascii="Times New Roman" w:hAnsi="Times New Roman"/>
          <w:bCs/>
          <w:iCs/>
          <w:lang w:val="es-ES_tradnl"/>
        </w:rPr>
        <w:t>,</w:t>
      </w:r>
      <w:r w:rsidR="001C5042">
        <w:rPr>
          <w:rFonts w:ascii="Times New Roman" w:hAnsi="Times New Roman"/>
          <w:bCs/>
          <w:iCs/>
          <w:lang w:val="es-ES_tradnl"/>
        </w:rPr>
        <w:t xml:space="preserve"> por lo que la coyuntura </w:t>
      </w:r>
      <w:r w:rsidR="000E4E9A">
        <w:rPr>
          <w:rFonts w:ascii="Times New Roman" w:hAnsi="Times New Roman"/>
          <w:bCs/>
          <w:iCs/>
          <w:lang w:val="es-ES_tradnl"/>
        </w:rPr>
        <w:t>actual es una restricción activa a la inversión y por lo tanto a mejoras en productividad</w:t>
      </w:r>
      <w:r w:rsidR="00D23330" w:rsidRPr="00D23330">
        <w:rPr>
          <w:rFonts w:ascii="Times New Roman" w:hAnsi="Times New Roman"/>
          <w:bCs/>
          <w:iCs/>
          <w:lang w:val="es-ES_tradnl"/>
        </w:rPr>
        <w:t>.</w:t>
      </w:r>
    </w:p>
    <w:p w14:paraId="5BB36263" w14:textId="145C55D1" w:rsidR="00751B34" w:rsidRPr="007364D6" w:rsidRDefault="007364D6" w:rsidP="007364D6">
      <w:pPr>
        <w:pStyle w:val="Caption"/>
        <w:spacing w:after="0"/>
        <w:jc w:val="center"/>
        <w:rPr>
          <w:rFonts w:ascii="Times New Roman" w:hAnsi="Times New Roman" w:cs="Times New Roman"/>
          <w:b/>
          <w:bCs/>
          <w:i w:val="0"/>
          <w:iCs w:val="0"/>
          <w:color w:val="auto"/>
          <w:sz w:val="22"/>
          <w:szCs w:val="22"/>
        </w:rPr>
      </w:pPr>
      <w:bookmarkStart w:id="30" w:name="_Toc518399425"/>
      <w:r w:rsidRPr="007364D6">
        <w:rPr>
          <w:rFonts w:ascii="Times New Roman" w:hAnsi="Times New Roman" w:cs="Times New Roman"/>
          <w:b/>
          <w:i w:val="0"/>
          <w:color w:val="auto"/>
          <w:sz w:val="22"/>
          <w:szCs w:val="22"/>
        </w:rPr>
        <w:t xml:space="preserve">Gráfico </w:t>
      </w:r>
      <w:r w:rsidRPr="007364D6">
        <w:rPr>
          <w:rFonts w:ascii="Times New Roman" w:hAnsi="Times New Roman" w:cs="Times New Roman"/>
          <w:b/>
          <w:i w:val="0"/>
          <w:color w:val="auto"/>
          <w:sz w:val="22"/>
          <w:szCs w:val="22"/>
        </w:rPr>
        <w:fldChar w:fldCharType="begin"/>
      </w:r>
      <w:r w:rsidRPr="007364D6">
        <w:rPr>
          <w:rFonts w:ascii="Times New Roman" w:hAnsi="Times New Roman" w:cs="Times New Roman"/>
          <w:b/>
          <w:i w:val="0"/>
          <w:color w:val="auto"/>
          <w:sz w:val="22"/>
          <w:szCs w:val="22"/>
        </w:rPr>
        <w:instrText xml:space="preserve"> SEQ Gráfico \* ARABIC </w:instrText>
      </w:r>
      <w:r w:rsidRPr="007364D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18</w:t>
      </w:r>
      <w:r w:rsidRPr="007364D6">
        <w:rPr>
          <w:rFonts w:ascii="Times New Roman" w:hAnsi="Times New Roman" w:cs="Times New Roman"/>
          <w:b/>
          <w:i w:val="0"/>
          <w:color w:val="auto"/>
          <w:sz w:val="22"/>
          <w:szCs w:val="22"/>
        </w:rPr>
        <w:fldChar w:fldCharType="end"/>
      </w:r>
      <w:r w:rsidR="00F20190" w:rsidRPr="007364D6">
        <w:rPr>
          <w:rFonts w:ascii="Times New Roman" w:hAnsi="Times New Roman" w:cs="Times New Roman"/>
          <w:b/>
          <w:bCs/>
          <w:i w:val="0"/>
          <w:iCs w:val="0"/>
          <w:color w:val="auto"/>
          <w:sz w:val="22"/>
          <w:szCs w:val="22"/>
        </w:rPr>
        <w:t xml:space="preserve">. </w:t>
      </w:r>
      <w:r w:rsidR="00751B34" w:rsidRPr="007364D6">
        <w:rPr>
          <w:rFonts w:ascii="Times New Roman" w:hAnsi="Times New Roman" w:cs="Times New Roman"/>
          <w:b/>
          <w:bCs/>
          <w:i w:val="0"/>
          <w:iCs w:val="0"/>
          <w:color w:val="auto"/>
          <w:sz w:val="22"/>
          <w:szCs w:val="22"/>
        </w:rPr>
        <w:t>Inversión de Gobierno Central por componentes para el período 2000-2016</w:t>
      </w:r>
      <w:r w:rsidR="00ED5317" w:rsidRPr="007364D6">
        <w:rPr>
          <w:rFonts w:ascii="Times New Roman" w:hAnsi="Times New Roman" w:cs="Times New Roman"/>
          <w:b/>
          <w:bCs/>
          <w:i w:val="0"/>
          <w:iCs w:val="0"/>
          <w:color w:val="auto"/>
          <w:sz w:val="22"/>
          <w:szCs w:val="22"/>
        </w:rPr>
        <w:t>, % PIB</w:t>
      </w:r>
      <w:bookmarkEnd w:id="30"/>
    </w:p>
    <w:p w14:paraId="0BD25319" w14:textId="77777777" w:rsidR="00751B34" w:rsidRDefault="00751B34" w:rsidP="00F31B66">
      <w:pPr>
        <w:tabs>
          <w:tab w:val="left" w:pos="810"/>
          <w:tab w:val="left" w:pos="1531"/>
        </w:tabs>
        <w:autoSpaceDE w:val="0"/>
        <w:autoSpaceDN w:val="0"/>
        <w:adjustRightInd w:val="0"/>
        <w:spacing w:after="0" w:line="240" w:lineRule="auto"/>
        <w:jc w:val="center"/>
        <w:rPr>
          <w:rFonts w:ascii="Times New Roman" w:hAnsi="Times New Roman"/>
          <w:bCs/>
          <w:iCs/>
          <w:lang w:val="es-ES_tradnl"/>
        </w:rPr>
      </w:pPr>
      <w:r w:rsidRPr="00802BBB">
        <w:rPr>
          <w:rFonts w:ascii="Times New Roman" w:hAnsi="Times New Roman" w:cs="Times New Roman"/>
          <w:noProof/>
          <w:lang w:val="es-CR" w:eastAsia="es-CR"/>
        </w:rPr>
        <w:drawing>
          <wp:inline distT="0" distB="0" distL="0" distR="0" wp14:anchorId="59A0FCD4" wp14:editId="10102B3C">
            <wp:extent cx="5036820" cy="2293620"/>
            <wp:effectExtent l="0" t="0" r="0" b="0"/>
            <wp:docPr id="1"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1ECAA579" w14:textId="77777777" w:rsidR="00E8791B" w:rsidRPr="00EB0A69" w:rsidRDefault="00E8791B" w:rsidP="00302B86">
      <w:pPr>
        <w:tabs>
          <w:tab w:val="left" w:pos="810"/>
          <w:tab w:val="left" w:pos="1531"/>
        </w:tabs>
        <w:autoSpaceDE w:val="0"/>
        <w:autoSpaceDN w:val="0"/>
        <w:adjustRightInd w:val="0"/>
        <w:spacing w:after="0" w:line="360" w:lineRule="auto"/>
        <w:jc w:val="center"/>
        <w:rPr>
          <w:rFonts w:ascii="Times New Roman" w:hAnsi="Times New Roman" w:cs="Times New Roman"/>
          <w:bCs/>
          <w:iCs/>
          <w:sz w:val="20"/>
          <w:lang w:val="es-ES_tradnl"/>
        </w:rPr>
      </w:pPr>
      <w:r w:rsidRPr="00EB0A69">
        <w:rPr>
          <w:rFonts w:ascii="Times New Roman" w:hAnsi="Times New Roman" w:cs="Times New Roman"/>
          <w:sz w:val="18"/>
          <w:szCs w:val="24"/>
        </w:rPr>
        <w:t>Fuente: elaboración propia con datos del Ministerio de Hacienda.</w:t>
      </w:r>
    </w:p>
    <w:p w14:paraId="5F3AE00F" w14:textId="77777777" w:rsidR="00DB3B60" w:rsidRPr="00701596" w:rsidRDefault="00701596" w:rsidP="00153B22">
      <w:pPr>
        <w:tabs>
          <w:tab w:val="left" w:pos="810"/>
          <w:tab w:val="left" w:pos="1531"/>
        </w:tabs>
        <w:autoSpaceDE w:val="0"/>
        <w:autoSpaceDN w:val="0"/>
        <w:adjustRightInd w:val="0"/>
        <w:spacing w:before="120" w:line="360" w:lineRule="auto"/>
        <w:jc w:val="both"/>
        <w:rPr>
          <w:rFonts w:ascii="Times New Roman" w:hAnsi="Times New Roman"/>
          <w:bCs/>
          <w:iCs/>
        </w:rPr>
      </w:pPr>
      <w:r w:rsidRPr="00F66088">
        <w:rPr>
          <w:rFonts w:ascii="Times New Roman" w:hAnsi="Times New Roman"/>
          <w:b/>
          <w:bCs/>
          <w:iCs/>
        </w:rPr>
        <w:t xml:space="preserve">Es necesaria la modernización del proceso presupuestario por el escaso margen para el control del déficit. </w:t>
      </w:r>
      <w:r w:rsidRPr="00F66088">
        <w:rPr>
          <w:rFonts w:ascii="Times New Roman" w:hAnsi="Times New Roman"/>
          <w:bCs/>
          <w:iCs/>
        </w:rPr>
        <w:t>En efecto, la normativa vigente limita la flexibilidad de la gestión presupuestaria, por la existencia de destinos específicos de recursos (</w:t>
      </w:r>
      <w:r w:rsidR="00822527" w:rsidRPr="00F66088">
        <w:rPr>
          <w:rFonts w:ascii="Times New Roman" w:hAnsi="Times New Roman"/>
          <w:bCs/>
          <w:iCs/>
        </w:rPr>
        <w:t>antes mencionados</w:t>
      </w:r>
      <w:r w:rsidRPr="00F66088">
        <w:rPr>
          <w:rFonts w:ascii="Times New Roman" w:hAnsi="Times New Roman"/>
          <w:bCs/>
          <w:iCs/>
        </w:rPr>
        <w:t>), y un elevado volumen de egresos rígidos (remuneración de funcionarios, servicio de la deuda entre otros).</w:t>
      </w:r>
      <w:r w:rsidR="00153B22" w:rsidRPr="00F66088">
        <w:t xml:space="preserve"> </w:t>
      </w:r>
      <w:r w:rsidR="0017670E" w:rsidRPr="00F66088">
        <w:rPr>
          <w:rFonts w:ascii="Times New Roman" w:hAnsi="Times New Roman"/>
          <w:bCs/>
          <w:iCs/>
        </w:rPr>
        <w:t>E</w:t>
      </w:r>
      <w:r w:rsidR="00153B22" w:rsidRPr="00F66088">
        <w:rPr>
          <w:rFonts w:ascii="Times New Roman" w:hAnsi="Times New Roman"/>
          <w:bCs/>
          <w:iCs/>
        </w:rPr>
        <w:t>n seguimiento a las recomendaciones de la OCDE</w:t>
      </w:r>
      <w:r w:rsidR="00BC0E8B" w:rsidRPr="00F66088">
        <w:rPr>
          <w:rStyle w:val="FootnoteReference"/>
          <w:rFonts w:ascii="Times New Roman" w:hAnsi="Times New Roman"/>
          <w:bCs/>
          <w:iCs/>
        </w:rPr>
        <w:footnoteReference w:id="69"/>
      </w:r>
      <w:r w:rsidR="00153B22" w:rsidRPr="00F66088">
        <w:rPr>
          <w:rFonts w:ascii="Times New Roman" w:hAnsi="Times New Roman"/>
          <w:bCs/>
          <w:iCs/>
        </w:rPr>
        <w:t xml:space="preserve"> sobre gobernanza presupuestaria para mejorar el alineamiento del presupuesto con prioridades, resultados y evaluación, Costa Rica ha venido aplicando incipientemente metodologías G</w:t>
      </w:r>
      <w:r w:rsidR="009942BE" w:rsidRPr="00F66088">
        <w:rPr>
          <w:rFonts w:ascii="Times New Roman" w:hAnsi="Times New Roman"/>
          <w:bCs/>
          <w:iCs/>
        </w:rPr>
        <w:t xml:space="preserve">estión por </w:t>
      </w:r>
      <w:r w:rsidR="00153B22" w:rsidRPr="00F66088">
        <w:rPr>
          <w:rFonts w:ascii="Times New Roman" w:hAnsi="Times New Roman"/>
          <w:bCs/>
          <w:iCs/>
        </w:rPr>
        <w:t>R</w:t>
      </w:r>
      <w:r w:rsidR="009942BE" w:rsidRPr="00F66088">
        <w:rPr>
          <w:rFonts w:ascii="Times New Roman" w:hAnsi="Times New Roman"/>
          <w:bCs/>
          <w:iCs/>
        </w:rPr>
        <w:t>esultados</w:t>
      </w:r>
      <w:r w:rsidR="00153B22" w:rsidRPr="00F66088">
        <w:rPr>
          <w:rFonts w:ascii="Times New Roman" w:hAnsi="Times New Roman"/>
          <w:bCs/>
          <w:iCs/>
        </w:rPr>
        <w:t xml:space="preserve"> en el proceso presupuestal. Para ello, ya se cuenta con un marco legal, conceptual e institucional adecuado.</w:t>
      </w:r>
      <w:r w:rsidR="00FE5894" w:rsidRPr="00F66088">
        <w:rPr>
          <w:rFonts w:ascii="Times New Roman" w:hAnsi="Times New Roman"/>
          <w:bCs/>
          <w:iCs/>
        </w:rPr>
        <w:t xml:space="preserve"> Sin embargo, es necesario su fortalecimiento.</w:t>
      </w:r>
      <w:r w:rsidR="00FE5894" w:rsidRPr="00F66088">
        <w:rPr>
          <w:rStyle w:val="FootnoteReference"/>
          <w:rFonts w:ascii="Times New Roman" w:hAnsi="Times New Roman"/>
          <w:bCs/>
          <w:iCs/>
        </w:rPr>
        <w:footnoteReference w:id="70"/>
      </w:r>
    </w:p>
    <w:p w14:paraId="70B275C4" w14:textId="77777777" w:rsidR="00D06B31" w:rsidRPr="003A7002" w:rsidRDefault="00B94F1B" w:rsidP="00DD3824">
      <w:pPr>
        <w:tabs>
          <w:tab w:val="left" w:pos="810"/>
          <w:tab w:val="left" w:pos="1531"/>
        </w:tabs>
        <w:autoSpaceDE w:val="0"/>
        <w:autoSpaceDN w:val="0"/>
        <w:adjustRightInd w:val="0"/>
        <w:spacing w:before="120" w:line="360" w:lineRule="auto"/>
        <w:jc w:val="both"/>
        <w:rPr>
          <w:rFonts w:ascii="Times New Roman" w:hAnsi="Times New Roman"/>
          <w:bCs/>
          <w:iCs/>
        </w:rPr>
      </w:pPr>
      <w:r>
        <w:rPr>
          <w:rFonts w:ascii="Times New Roman" w:hAnsi="Times New Roman"/>
          <w:b/>
          <w:bCs/>
          <w:iCs/>
        </w:rPr>
        <w:t xml:space="preserve">El gasto en Costa Rica no tiene lineamientos </w:t>
      </w:r>
      <w:r w:rsidR="00335784">
        <w:rPr>
          <w:rFonts w:ascii="Times New Roman" w:hAnsi="Times New Roman"/>
          <w:b/>
          <w:bCs/>
          <w:iCs/>
        </w:rPr>
        <w:t xml:space="preserve">claros que </w:t>
      </w:r>
      <w:r w:rsidR="003A7002">
        <w:rPr>
          <w:rFonts w:ascii="Times New Roman" w:hAnsi="Times New Roman"/>
          <w:b/>
          <w:bCs/>
          <w:iCs/>
        </w:rPr>
        <w:t xml:space="preserve">aseguren la sostenibilidad de las finanzas públicas. </w:t>
      </w:r>
      <w:r w:rsidR="00ED2FD0" w:rsidRPr="00ED2FD0">
        <w:rPr>
          <w:rFonts w:ascii="Times New Roman" w:hAnsi="Times New Roman"/>
          <w:bCs/>
          <w:iCs/>
        </w:rPr>
        <w:t>E</w:t>
      </w:r>
      <w:r w:rsidR="003A7002" w:rsidRPr="003A7002">
        <w:rPr>
          <w:rFonts w:ascii="Times New Roman" w:hAnsi="Times New Roman"/>
          <w:bCs/>
          <w:iCs/>
        </w:rPr>
        <w:t>xisten reglas fiscales que en la práctica no están</w:t>
      </w:r>
      <w:r w:rsidR="00B925F9">
        <w:rPr>
          <w:rFonts w:ascii="Times New Roman" w:hAnsi="Times New Roman"/>
          <w:bCs/>
          <w:iCs/>
        </w:rPr>
        <w:t xml:space="preserve"> cumpliend</w:t>
      </w:r>
      <w:r w:rsidR="003676E8">
        <w:rPr>
          <w:rFonts w:ascii="Times New Roman" w:hAnsi="Times New Roman"/>
          <w:bCs/>
          <w:iCs/>
        </w:rPr>
        <w:t>o</w:t>
      </w:r>
      <w:r w:rsidR="00B925F9">
        <w:rPr>
          <w:rFonts w:ascii="Times New Roman" w:hAnsi="Times New Roman"/>
          <w:bCs/>
          <w:iCs/>
        </w:rPr>
        <w:t>. En particular</w:t>
      </w:r>
      <w:r w:rsidR="001442CF">
        <w:rPr>
          <w:rFonts w:ascii="Times New Roman" w:hAnsi="Times New Roman"/>
          <w:bCs/>
          <w:iCs/>
        </w:rPr>
        <w:t xml:space="preserve">, según </w:t>
      </w:r>
      <w:r w:rsidR="007405AA">
        <w:rPr>
          <w:rFonts w:ascii="Times New Roman" w:hAnsi="Times New Roman"/>
          <w:bCs/>
          <w:iCs/>
        </w:rPr>
        <w:t xml:space="preserve">el artículo 176 de </w:t>
      </w:r>
      <w:r w:rsidR="001442CF">
        <w:rPr>
          <w:rFonts w:ascii="Times New Roman" w:hAnsi="Times New Roman"/>
          <w:bCs/>
          <w:iCs/>
        </w:rPr>
        <w:t>la Constitución Política</w:t>
      </w:r>
      <w:r w:rsidR="00053882">
        <w:rPr>
          <w:rFonts w:ascii="Times New Roman" w:hAnsi="Times New Roman"/>
          <w:bCs/>
          <w:iCs/>
        </w:rPr>
        <w:t xml:space="preserve"> </w:t>
      </w:r>
      <w:r w:rsidR="007405AA">
        <w:rPr>
          <w:rFonts w:ascii="Times New Roman" w:hAnsi="Times New Roman"/>
          <w:bCs/>
          <w:iCs/>
        </w:rPr>
        <w:t xml:space="preserve">en ningún caso </w:t>
      </w:r>
      <w:r w:rsidR="00370863">
        <w:rPr>
          <w:rFonts w:ascii="Times New Roman" w:hAnsi="Times New Roman"/>
          <w:bCs/>
          <w:iCs/>
        </w:rPr>
        <w:t xml:space="preserve">el monto de los gastos presupuestados podrá exceder el de los ingresos probables. </w:t>
      </w:r>
      <w:r w:rsidR="00B05631">
        <w:rPr>
          <w:rFonts w:ascii="Times New Roman" w:hAnsi="Times New Roman"/>
          <w:bCs/>
          <w:iCs/>
        </w:rPr>
        <w:t xml:space="preserve">Mientras que el artículo 179 menciona que </w:t>
      </w:r>
      <w:r w:rsidR="002D518C">
        <w:rPr>
          <w:rFonts w:ascii="Times New Roman" w:hAnsi="Times New Roman"/>
          <w:bCs/>
          <w:iCs/>
        </w:rPr>
        <w:t>la Asamblea Legislativa no podrá aumentar gastos en el presupuesto si no son se</w:t>
      </w:r>
      <w:r w:rsidR="00825BFB">
        <w:rPr>
          <w:rFonts w:ascii="Times New Roman" w:hAnsi="Times New Roman"/>
          <w:bCs/>
          <w:iCs/>
        </w:rPr>
        <w:t>ñalados los nuevos ingresos para cubrirlos. Adicionalmente, l</w:t>
      </w:r>
      <w:r w:rsidR="00186CEF">
        <w:rPr>
          <w:rFonts w:ascii="Times New Roman" w:hAnsi="Times New Roman"/>
          <w:bCs/>
          <w:iCs/>
        </w:rPr>
        <w:t>a Ley de Administración Financiera de la República</w:t>
      </w:r>
      <w:r w:rsidR="00890D0A">
        <w:rPr>
          <w:rFonts w:ascii="Times New Roman" w:hAnsi="Times New Roman"/>
          <w:bCs/>
          <w:iCs/>
        </w:rPr>
        <w:t xml:space="preserve"> y de Presupuestos Públicos </w:t>
      </w:r>
      <w:r w:rsidR="00DD46A6">
        <w:rPr>
          <w:rFonts w:ascii="Times New Roman" w:hAnsi="Times New Roman"/>
          <w:bCs/>
          <w:iCs/>
        </w:rPr>
        <w:t xml:space="preserve">establece reglas para el control de gasto. En efecto, el artículo 6 de esta Ley </w:t>
      </w:r>
      <w:r w:rsidR="00960280">
        <w:rPr>
          <w:rFonts w:ascii="Times New Roman" w:hAnsi="Times New Roman"/>
          <w:bCs/>
          <w:iCs/>
        </w:rPr>
        <w:t xml:space="preserve">menciona que no podrán financiarse gastos corrientes con ingresos de capital, mientras que el artículo 44 indica que </w:t>
      </w:r>
      <w:r w:rsidR="006E4B46">
        <w:rPr>
          <w:rFonts w:ascii="Times New Roman" w:hAnsi="Times New Roman"/>
          <w:bCs/>
          <w:iCs/>
        </w:rPr>
        <w:t>toda ley ordinaria que tenga efectos en el Presupuesto Nacional</w:t>
      </w:r>
      <w:r w:rsidR="00DD3824">
        <w:rPr>
          <w:rFonts w:ascii="Times New Roman" w:hAnsi="Times New Roman"/>
          <w:bCs/>
          <w:iCs/>
        </w:rPr>
        <w:t xml:space="preserve"> deberá indicar explícitamente de qué manera se efectuarán los ajustes presupuestarios para mantener el principio de equilibrio</w:t>
      </w:r>
      <w:r w:rsidR="00BF730E">
        <w:rPr>
          <w:rFonts w:ascii="Times New Roman" w:hAnsi="Times New Roman"/>
          <w:bCs/>
          <w:iCs/>
        </w:rPr>
        <w:t xml:space="preserve">. Como es evidente, </w:t>
      </w:r>
      <w:r w:rsidR="00BD3714">
        <w:rPr>
          <w:rFonts w:ascii="Times New Roman" w:hAnsi="Times New Roman"/>
          <w:bCs/>
          <w:iCs/>
        </w:rPr>
        <w:t xml:space="preserve">estos principios no están siendo cumplidos toda vez que el Gobierno Central presenta un déficit fiscal. </w:t>
      </w:r>
      <w:r w:rsidR="008C40D7">
        <w:rPr>
          <w:rFonts w:ascii="Times New Roman" w:hAnsi="Times New Roman"/>
          <w:bCs/>
          <w:iCs/>
        </w:rPr>
        <w:t xml:space="preserve">Esto podría deberse a los múltiples destinos legales y constitucionales antes mencionados, que </w:t>
      </w:r>
      <w:r w:rsidR="00ED2FD0">
        <w:rPr>
          <w:rFonts w:ascii="Times New Roman" w:hAnsi="Times New Roman"/>
          <w:bCs/>
          <w:iCs/>
        </w:rPr>
        <w:t>generan que el presupuesto discrecional del cual dispone el gobierno sea limitado,</w:t>
      </w:r>
      <w:r w:rsidR="00FC701A">
        <w:rPr>
          <w:rFonts w:ascii="Times New Roman" w:hAnsi="Times New Roman"/>
          <w:bCs/>
          <w:iCs/>
        </w:rPr>
        <w:t xml:space="preserve"> lo que se combina con la </w:t>
      </w:r>
      <w:r w:rsidR="00D06B31">
        <w:rPr>
          <w:rFonts w:ascii="Times New Roman" w:hAnsi="Times New Roman"/>
          <w:bCs/>
          <w:iCs/>
        </w:rPr>
        <w:t>alta inflexibilidad del gasto pues la mayoría del presupuesto es para salarios y pensiones.</w:t>
      </w:r>
    </w:p>
    <w:p w14:paraId="095CC3A3" w14:textId="77777777" w:rsidR="00532966" w:rsidRPr="00E43C1F" w:rsidRDefault="00C71809" w:rsidP="00E43C1F">
      <w:pPr>
        <w:pStyle w:val="Estilo4"/>
        <w:numPr>
          <w:ilvl w:val="0"/>
          <w:numId w:val="0"/>
        </w:numPr>
        <w:tabs>
          <w:tab w:val="left" w:pos="-180"/>
        </w:tabs>
        <w:spacing w:after="0" w:line="360" w:lineRule="auto"/>
        <w:ind w:left="-180"/>
        <w:contextualSpacing w:val="0"/>
        <w:rPr>
          <w:sz w:val="22"/>
          <w:u w:val="single"/>
          <w:lang w:val="es-CR"/>
        </w:rPr>
      </w:pPr>
      <w:r w:rsidRPr="00591FF9">
        <w:rPr>
          <w:sz w:val="22"/>
          <w:u w:val="single"/>
          <w:lang w:val="es-CR"/>
        </w:rPr>
        <w:t>Recomendaciones de Política</w:t>
      </w:r>
    </w:p>
    <w:p w14:paraId="46C9F930" w14:textId="77777777" w:rsidR="003C6DCD" w:rsidRDefault="00927308" w:rsidP="00927308">
      <w:pPr>
        <w:tabs>
          <w:tab w:val="left" w:pos="810"/>
          <w:tab w:val="left" w:pos="1531"/>
        </w:tabs>
        <w:autoSpaceDE w:val="0"/>
        <w:autoSpaceDN w:val="0"/>
        <w:adjustRightInd w:val="0"/>
        <w:spacing w:before="120" w:after="0" w:line="360" w:lineRule="auto"/>
        <w:jc w:val="both"/>
        <w:rPr>
          <w:rFonts w:ascii="Times New Roman" w:hAnsi="Times New Roman"/>
          <w:bCs/>
          <w:iCs/>
        </w:rPr>
      </w:pPr>
      <w:r w:rsidRPr="001E380B">
        <w:rPr>
          <w:rFonts w:ascii="Times New Roman" w:hAnsi="Times New Roman"/>
          <w:b/>
          <w:bCs/>
          <w:iCs/>
        </w:rPr>
        <w:t>Se recomienda</w:t>
      </w:r>
      <w:r w:rsidR="00E43C1F" w:rsidRPr="001E380B">
        <w:rPr>
          <w:rFonts w:ascii="Times New Roman" w:hAnsi="Times New Roman"/>
          <w:b/>
          <w:bCs/>
          <w:iCs/>
        </w:rPr>
        <w:t xml:space="preserve"> abandonar el sistema actual </w:t>
      </w:r>
      <w:r w:rsidR="005415F9">
        <w:rPr>
          <w:rFonts w:ascii="Times New Roman" w:hAnsi="Times New Roman"/>
          <w:b/>
          <w:bCs/>
          <w:iCs/>
        </w:rPr>
        <w:t xml:space="preserve">de empleo público </w:t>
      </w:r>
      <w:r w:rsidR="001E380B">
        <w:rPr>
          <w:rFonts w:ascii="Times New Roman" w:hAnsi="Times New Roman"/>
          <w:b/>
          <w:bCs/>
          <w:iCs/>
        </w:rPr>
        <w:t xml:space="preserve">(o sistemas) </w:t>
      </w:r>
      <w:r w:rsidR="00E43C1F" w:rsidRPr="001E380B">
        <w:rPr>
          <w:rFonts w:ascii="Times New Roman" w:hAnsi="Times New Roman"/>
          <w:b/>
          <w:bCs/>
          <w:iCs/>
        </w:rPr>
        <w:t xml:space="preserve">y reemplazarlo por </w:t>
      </w:r>
      <w:r w:rsidR="001E380B">
        <w:rPr>
          <w:rFonts w:ascii="Times New Roman" w:hAnsi="Times New Roman"/>
          <w:b/>
          <w:bCs/>
          <w:iCs/>
        </w:rPr>
        <w:t>la alternativa de</w:t>
      </w:r>
      <w:r w:rsidR="001E380B" w:rsidRPr="001E380B">
        <w:rPr>
          <w:rFonts w:ascii="Times New Roman" w:hAnsi="Times New Roman"/>
          <w:b/>
          <w:bCs/>
          <w:iCs/>
        </w:rPr>
        <w:t xml:space="preserve"> salario único</w:t>
      </w:r>
      <w:r w:rsidR="00E43C1F" w:rsidRPr="001E380B">
        <w:rPr>
          <w:rFonts w:ascii="Times New Roman" w:hAnsi="Times New Roman"/>
          <w:b/>
          <w:bCs/>
          <w:iCs/>
        </w:rPr>
        <w:t>.</w:t>
      </w:r>
      <w:r w:rsidR="00E43C1F" w:rsidRPr="00E43C1F">
        <w:rPr>
          <w:rFonts w:ascii="Times New Roman" w:hAnsi="Times New Roman"/>
          <w:bCs/>
          <w:iCs/>
        </w:rPr>
        <w:t xml:space="preserve"> En todos los casos</w:t>
      </w:r>
      <w:r w:rsidR="001E380B">
        <w:rPr>
          <w:rFonts w:ascii="Times New Roman" w:hAnsi="Times New Roman"/>
          <w:bCs/>
          <w:iCs/>
        </w:rPr>
        <w:t xml:space="preserve"> particulares de los trabajadores</w:t>
      </w:r>
      <w:r w:rsidR="00E43C1F" w:rsidRPr="00E43C1F">
        <w:rPr>
          <w:rFonts w:ascii="Times New Roman" w:hAnsi="Times New Roman"/>
          <w:bCs/>
          <w:iCs/>
        </w:rPr>
        <w:t>, se deberá respetar los derechos adquiridos de los servidores públicos bajo el régimen actual, y aplicar el nuevo sistema a los nuevos servidores públicos y a aquellos que quieran pasarse voluntariamente.</w:t>
      </w:r>
      <w:r w:rsidR="00511266">
        <w:rPr>
          <w:rFonts w:ascii="Times New Roman" w:hAnsi="Times New Roman"/>
          <w:bCs/>
          <w:iCs/>
        </w:rPr>
        <w:t xml:space="preserve"> I</w:t>
      </w:r>
      <w:r w:rsidR="00511266" w:rsidRPr="00E43C1F">
        <w:rPr>
          <w:rFonts w:ascii="Times New Roman" w:hAnsi="Times New Roman"/>
          <w:bCs/>
          <w:iCs/>
        </w:rPr>
        <w:t>mplementar</w:t>
      </w:r>
      <w:r w:rsidR="00E43C1F" w:rsidRPr="00E43C1F">
        <w:rPr>
          <w:rFonts w:ascii="Times New Roman" w:hAnsi="Times New Roman"/>
          <w:bCs/>
          <w:iCs/>
        </w:rPr>
        <w:t xml:space="preserve"> </w:t>
      </w:r>
      <w:r w:rsidR="00511266" w:rsidRPr="00E43C1F">
        <w:rPr>
          <w:rFonts w:ascii="Times New Roman" w:hAnsi="Times New Roman"/>
          <w:bCs/>
          <w:iCs/>
        </w:rPr>
        <w:t xml:space="preserve">un nuevo sistema </w:t>
      </w:r>
      <w:r w:rsidR="00511266">
        <w:rPr>
          <w:rFonts w:ascii="Times New Roman" w:hAnsi="Times New Roman"/>
          <w:bCs/>
          <w:iCs/>
        </w:rPr>
        <w:t>l</w:t>
      </w:r>
      <w:r w:rsidR="00E43C1F" w:rsidRPr="00E43C1F">
        <w:rPr>
          <w:rFonts w:ascii="Times New Roman" w:hAnsi="Times New Roman"/>
          <w:bCs/>
          <w:iCs/>
        </w:rPr>
        <w:t>levará varios años</w:t>
      </w:r>
      <w:r w:rsidR="00511266">
        <w:rPr>
          <w:rFonts w:ascii="Times New Roman" w:hAnsi="Times New Roman"/>
          <w:bCs/>
          <w:iCs/>
        </w:rPr>
        <w:t>,</w:t>
      </w:r>
      <w:r w:rsidR="00E43C1F" w:rsidRPr="00E43C1F">
        <w:rPr>
          <w:rFonts w:ascii="Times New Roman" w:hAnsi="Times New Roman"/>
          <w:bCs/>
          <w:iCs/>
        </w:rPr>
        <w:t xml:space="preserve"> considerando la complejidad jurídica y política de esta reforma.</w:t>
      </w:r>
      <w:r w:rsidR="00E43C1F">
        <w:rPr>
          <w:rFonts w:ascii="Times New Roman" w:hAnsi="Times New Roman"/>
          <w:bCs/>
          <w:iCs/>
        </w:rPr>
        <w:t xml:space="preserve"> </w:t>
      </w:r>
      <w:r w:rsidR="001C0339">
        <w:rPr>
          <w:rFonts w:ascii="Times New Roman" w:hAnsi="Times New Roman"/>
          <w:bCs/>
          <w:iCs/>
        </w:rPr>
        <w:t xml:space="preserve">Además, se recomienda que el sistema trascienda el Gobierno Central </w:t>
      </w:r>
      <w:r w:rsidR="00F5445B">
        <w:rPr>
          <w:rFonts w:ascii="Times New Roman" w:hAnsi="Times New Roman"/>
          <w:bCs/>
          <w:iCs/>
        </w:rPr>
        <w:t xml:space="preserve">y </w:t>
      </w:r>
      <w:r w:rsidR="006027AA">
        <w:rPr>
          <w:rFonts w:ascii="Times New Roman" w:hAnsi="Times New Roman"/>
          <w:bCs/>
          <w:iCs/>
        </w:rPr>
        <w:t xml:space="preserve">se aplique en </w:t>
      </w:r>
      <w:r w:rsidR="002F4644">
        <w:rPr>
          <w:rFonts w:ascii="Times New Roman" w:hAnsi="Times New Roman"/>
          <w:bCs/>
          <w:iCs/>
        </w:rPr>
        <w:t>entidades</w:t>
      </w:r>
      <w:r w:rsidR="006027AA">
        <w:rPr>
          <w:rFonts w:ascii="Times New Roman" w:hAnsi="Times New Roman"/>
          <w:bCs/>
          <w:iCs/>
        </w:rPr>
        <w:t xml:space="preserve"> autónomas. </w:t>
      </w:r>
      <w:r w:rsidR="00532966" w:rsidRPr="00E43C1F">
        <w:rPr>
          <w:rFonts w:ascii="Times New Roman" w:hAnsi="Times New Roman"/>
          <w:bCs/>
          <w:iCs/>
        </w:rPr>
        <w:t>El avance en esquemas en los que el salario base es el 100% de la remuneración</w:t>
      </w:r>
      <w:r w:rsidR="00A50484">
        <w:rPr>
          <w:rStyle w:val="FootnoteReference"/>
          <w:rFonts w:ascii="Times New Roman" w:hAnsi="Times New Roman"/>
          <w:bCs/>
          <w:iCs/>
        </w:rPr>
        <w:footnoteReference w:id="71"/>
      </w:r>
      <w:r w:rsidR="00532966" w:rsidRPr="00E43C1F">
        <w:rPr>
          <w:rFonts w:ascii="Times New Roman" w:hAnsi="Times New Roman"/>
          <w:bCs/>
          <w:iCs/>
        </w:rPr>
        <w:t xml:space="preserve"> es la mejor opción dado que permite una mejor remuneración para empleados altamente calificados en las etapas iniciales de sus carreras</w:t>
      </w:r>
      <w:r w:rsidR="00F02A68">
        <w:rPr>
          <w:rFonts w:ascii="Times New Roman" w:hAnsi="Times New Roman"/>
          <w:bCs/>
          <w:iCs/>
        </w:rPr>
        <w:t>.</w:t>
      </w:r>
      <w:r w:rsidR="001E0FF1">
        <w:rPr>
          <w:rStyle w:val="FootnoteReference"/>
          <w:rFonts w:ascii="Times New Roman" w:hAnsi="Times New Roman"/>
          <w:bCs/>
          <w:iCs/>
        </w:rPr>
        <w:footnoteReference w:id="72"/>
      </w:r>
      <w:r w:rsidR="00532966" w:rsidRPr="00E43C1F">
        <w:rPr>
          <w:rFonts w:ascii="Times New Roman" w:hAnsi="Times New Roman"/>
          <w:bCs/>
          <w:iCs/>
        </w:rPr>
        <w:t xml:space="preserve"> </w:t>
      </w:r>
    </w:p>
    <w:p w14:paraId="4D699063" w14:textId="77777777" w:rsidR="00D751C3" w:rsidRDefault="00D751C3" w:rsidP="00A57A3D">
      <w:pPr>
        <w:tabs>
          <w:tab w:val="left" w:pos="810"/>
          <w:tab w:val="left" w:pos="1531"/>
        </w:tabs>
        <w:autoSpaceDE w:val="0"/>
        <w:autoSpaceDN w:val="0"/>
        <w:adjustRightInd w:val="0"/>
        <w:spacing w:before="120" w:line="360" w:lineRule="auto"/>
        <w:jc w:val="both"/>
        <w:rPr>
          <w:rFonts w:ascii="Times New Roman" w:hAnsi="Times New Roman"/>
          <w:bCs/>
          <w:iCs/>
        </w:rPr>
      </w:pPr>
      <w:r w:rsidRPr="0054693F">
        <w:rPr>
          <w:rFonts w:ascii="Times New Roman" w:hAnsi="Times New Roman"/>
          <w:b/>
          <w:bCs/>
          <w:iCs/>
        </w:rPr>
        <w:t>En el marco del ingreso de Costa Rica a la OCDE, el nuevo sistema debería ser construido siguiendo los principios que practica la mayoría de dichos países</w:t>
      </w:r>
      <w:r w:rsidR="00B529B9">
        <w:rPr>
          <w:rFonts w:ascii="Times New Roman" w:hAnsi="Times New Roman"/>
          <w:b/>
          <w:bCs/>
          <w:iCs/>
        </w:rPr>
        <w:t>:</w:t>
      </w:r>
      <w:r w:rsidRPr="00D751C3">
        <w:rPr>
          <w:rFonts w:ascii="Times New Roman" w:hAnsi="Times New Roman"/>
          <w:bCs/>
          <w:iCs/>
        </w:rPr>
        <w:t xml:space="preserve"> (i) una masa salarial sostenible, predecible y en línea con la capacidad fiscal del Estado; (ii) un régimen unificado para la gran mayoría de los servidores públicos; (iii) las entidades descentralizadas, en especial aquellas que no se autofinancian, gozan de autonomía pero operan dentro de claros marcos de gestión de desempeño y financiera establecidos por el gobierno central;</w:t>
      </w:r>
      <w:r w:rsidR="00456690">
        <w:rPr>
          <w:rFonts w:ascii="Times New Roman" w:hAnsi="Times New Roman"/>
          <w:bCs/>
          <w:iCs/>
        </w:rPr>
        <w:t xml:space="preserve"> </w:t>
      </w:r>
      <w:r w:rsidRPr="00D751C3">
        <w:rPr>
          <w:rFonts w:ascii="Times New Roman" w:hAnsi="Times New Roman"/>
          <w:bCs/>
          <w:iCs/>
        </w:rPr>
        <w:t xml:space="preserve">(iv) todos los puestos se clasifican de acuerdo al contenido del trabajo y las estructuras siguen a los requerimientos organizacionales; (v) la remuneración se define en una estructura salarial única; (vi) el salario base es el 100% de la remuneración, y se aplica el principio de igual remuneración por igual trabajo; (vii) contar con un ente rector empoderado; y (viii) la política salarial es publicada de una forma sencilla de entender para </w:t>
      </w:r>
      <w:r w:rsidR="00412B06">
        <w:rPr>
          <w:rFonts w:ascii="Times New Roman" w:hAnsi="Times New Roman"/>
          <w:bCs/>
          <w:iCs/>
        </w:rPr>
        <w:t>la sociedad en su conjunto</w:t>
      </w:r>
      <w:r w:rsidRPr="00D751C3">
        <w:rPr>
          <w:rFonts w:ascii="Times New Roman" w:hAnsi="Times New Roman"/>
          <w:bCs/>
          <w:iCs/>
        </w:rPr>
        <w:t>.</w:t>
      </w:r>
    </w:p>
    <w:p w14:paraId="65D4F9A8" w14:textId="77777777" w:rsidR="00456690" w:rsidRDefault="00C60499" w:rsidP="00D16DCC">
      <w:pPr>
        <w:tabs>
          <w:tab w:val="left" w:pos="810"/>
          <w:tab w:val="left" w:pos="1531"/>
        </w:tabs>
        <w:autoSpaceDE w:val="0"/>
        <w:autoSpaceDN w:val="0"/>
        <w:adjustRightInd w:val="0"/>
        <w:spacing w:before="120" w:line="360" w:lineRule="auto"/>
        <w:jc w:val="both"/>
        <w:rPr>
          <w:rFonts w:ascii="Times New Roman" w:hAnsi="Times New Roman"/>
          <w:bCs/>
          <w:iCs/>
        </w:rPr>
      </w:pPr>
      <w:r w:rsidRPr="00834450">
        <w:rPr>
          <w:rFonts w:ascii="Times New Roman" w:hAnsi="Times New Roman"/>
          <w:b/>
          <w:bCs/>
          <w:iCs/>
        </w:rPr>
        <w:t xml:space="preserve">Es recomendable eliminar los destinos legales de gasto para </w:t>
      </w:r>
      <w:r w:rsidR="00834450" w:rsidRPr="00834450">
        <w:rPr>
          <w:rFonts w:ascii="Times New Roman" w:hAnsi="Times New Roman"/>
          <w:b/>
          <w:bCs/>
          <w:iCs/>
        </w:rPr>
        <w:t xml:space="preserve">mejorar la eficiencia del proceso presupuestario del Gobierno Central. </w:t>
      </w:r>
      <w:r w:rsidR="00834450">
        <w:rPr>
          <w:rFonts w:ascii="Times New Roman" w:hAnsi="Times New Roman"/>
          <w:bCs/>
          <w:iCs/>
        </w:rPr>
        <w:t xml:space="preserve">La </w:t>
      </w:r>
      <w:r w:rsidR="00781820">
        <w:rPr>
          <w:rFonts w:ascii="Times New Roman" w:hAnsi="Times New Roman"/>
          <w:bCs/>
          <w:iCs/>
        </w:rPr>
        <w:t>C</w:t>
      </w:r>
      <w:r w:rsidR="00834450">
        <w:rPr>
          <w:rFonts w:ascii="Times New Roman" w:hAnsi="Times New Roman"/>
          <w:bCs/>
          <w:iCs/>
        </w:rPr>
        <w:t>ontraloría General de la República</w:t>
      </w:r>
      <w:r w:rsidR="00DE3520">
        <w:rPr>
          <w:rStyle w:val="FootnoteReference"/>
          <w:rFonts w:ascii="Times New Roman" w:hAnsi="Times New Roman"/>
          <w:bCs/>
          <w:iCs/>
        </w:rPr>
        <w:footnoteReference w:id="73"/>
      </w:r>
      <w:r w:rsidR="00834450">
        <w:rPr>
          <w:rFonts w:ascii="Times New Roman" w:hAnsi="Times New Roman"/>
          <w:bCs/>
          <w:iCs/>
        </w:rPr>
        <w:t xml:space="preserve"> </w:t>
      </w:r>
      <w:r w:rsidR="006E4595">
        <w:rPr>
          <w:rFonts w:ascii="Times New Roman" w:hAnsi="Times New Roman"/>
          <w:bCs/>
          <w:iCs/>
        </w:rPr>
        <w:t>recomienda la revisión de l</w:t>
      </w:r>
      <w:r w:rsidR="00193389">
        <w:rPr>
          <w:rFonts w:ascii="Times New Roman" w:hAnsi="Times New Roman"/>
          <w:bCs/>
          <w:iCs/>
        </w:rPr>
        <w:t>a normativa que regula las transferencias que están a cargo del presupuesto nacional</w:t>
      </w:r>
      <w:r w:rsidR="0035475A">
        <w:rPr>
          <w:rFonts w:ascii="Times New Roman" w:hAnsi="Times New Roman"/>
          <w:bCs/>
          <w:iCs/>
        </w:rPr>
        <w:t xml:space="preserve">, </w:t>
      </w:r>
      <w:r w:rsidR="00A40AD1">
        <w:rPr>
          <w:rFonts w:ascii="Times New Roman" w:hAnsi="Times New Roman"/>
          <w:bCs/>
          <w:iCs/>
        </w:rPr>
        <w:t>p</w:t>
      </w:r>
      <w:r w:rsidR="003D39A7">
        <w:rPr>
          <w:rFonts w:ascii="Times New Roman" w:hAnsi="Times New Roman"/>
          <w:bCs/>
          <w:iCs/>
        </w:rPr>
        <w:t xml:space="preserve">ues los destinos específicos se otorgaron en circunstancias fiscales y contexto histórico distinto. </w:t>
      </w:r>
      <w:r w:rsidR="00DD6F7A">
        <w:rPr>
          <w:rFonts w:ascii="Times New Roman" w:hAnsi="Times New Roman"/>
          <w:bCs/>
          <w:iCs/>
        </w:rPr>
        <w:t xml:space="preserve">Esta institución </w:t>
      </w:r>
      <w:r w:rsidR="00597899">
        <w:rPr>
          <w:rFonts w:ascii="Times New Roman" w:hAnsi="Times New Roman"/>
          <w:bCs/>
          <w:iCs/>
        </w:rPr>
        <w:t>alega</w:t>
      </w:r>
      <w:r w:rsidR="00DD6F7A">
        <w:rPr>
          <w:rFonts w:ascii="Times New Roman" w:hAnsi="Times New Roman"/>
          <w:bCs/>
          <w:iCs/>
        </w:rPr>
        <w:t xml:space="preserve"> que </w:t>
      </w:r>
      <w:r w:rsidR="00DE6406">
        <w:rPr>
          <w:rFonts w:ascii="Times New Roman" w:hAnsi="Times New Roman"/>
          <w:bCs/>
          <w:iCs/>
        </w:rPr>
        <w:t xml:space="preserve">el Gobierno Central no da total cumplimiento a las mismas y </w:t>
      </w:r>
      <w:r w:rsidR="00AD4D46">
        <w:rPr>
          <w:rFonts w:ascii="Times New Roman" w:hAnsi="Times New Roman"/>
          <w:bCs/>
          <w:iCs/>
        </w:rPr>
        <w:t>además</w:t>
      </w:r>
      <w:r w:rsidR="00184103">
        <w:rPr>
          <w:rFonts w:ascii="Times New Roman" w:hAnsi="Times New Roman"/>
          <w:bCs/>
          <w:iCs/>
        </w:rPr>
        <w:t xml:space="preserve"> </w:t>
      </w:r>
      <w:r w:rsidR="00597899">
        <w:rPr>
          <w:rFonts w:ascii="Times New Roman" w:hAnsi="Times New Roman"/>
          <w:bCs/>
          <w:iCs/>
        </w:rPr>
        <w:t xml:space="preserve">las transferencias </w:t>
      </w:r>
      <w:r w:rsidR="00184103">
        <w:rPr>
          <w:rFonts w:ascii="Times New Roman" w:hAnsi="Times New Roman"/>
          <w:bCs/>
          <w:iCs/>
        </w:rPr>
        <w:t>ya representan</w:t>
      </w:r>
      <w:r w:rsidR="00597899">
        <w:rPr>
          <w:rFonts w:ascii="Times New Roman" w:hAnsi="Times New Roman"/>
          <w:bCs/>
          <w:iCs/>
        </w:rPr>
        <w:t xml:space="preserve"> un monto considerable de</w:t>
      </w:r>
      <w:r w:rsidR="00B94756">
        <w:rPr>
          <w:rFonts w:ascii="Times New Roman" w:hAnsi="Times New Roman"/>
          <w:bCs/>
          <w:iCs/>
        </w:rPr>
        <w:t xml:space="preserve">l presupuesto del gobierno. </w:t>
      </w:r>
      <w:r w:rsidR="003C5EC9">
        <w:rPr>
          <w:rFonts w:ascii="Times New Roman" w:hAnsi="Times New Roman"/>
          <w:bCs/>
          <w:iCs/>
        </w:rPr>
        <w:t>Es por esto recomendable que el presupuesto no dependa tanto de destinos específicos, sino más bien de la capacidad ejecutora de la institución</w:t>
      </w:r>
      <w:r w:rsidR="003F5EBF">
        <w:rPr>
          <w:rFonts w:ascii="Times New Roman" w:hAnsi="Times New Roman"/>
          <w:bCs/>
          <w:iCs/>
        </w:rPr>
        <w:t xml:space="preserve"> y sus resultados</w:t>
      </w:r>
      <w:r w:rsidR="003C5EC9">
        <w:rPr>
          <w:rFonts w:ascii="Times New Roman" w:hAnsi="Times New Roman"/>
          <w:bCs/>
          <w:iCs/>
        </w:rPr>
        <w:t xml:space="preserve">. </w:t>
      </w:r>
      <w:r w:rsidR="001F1F37">
        <w:rPr>
          <w:rFonts w:ascii="Times New Roman" w:hAnsi="Times New Roman"/>
          <w:bCs/>
          <w:iCs/>
        </w:rPr>
        <w:t xml:space="preserve">Por último, es importante mencionar el </w:t>
      </w:r>
      <w:r w:rsidR="00307560">
        <w:rPr>
          <w:rFonts w:ascii="Times New Roman" w:hAnsi="Times New Roman"/>
          <w:bCs/>
          <w:iCs/>
        </w:rPr>
        <w:t>gasto en educación, es cual es un destino específico determinado en la constitución</w:t>
      </w:r>
      <w:r w:rsidR="00D937AB">
        <w:rPr>
          <w:rFonts w:ascii="Times New Roman" w:hAnsi="Times New Roman"/>
          <w:bCs/>
          <w:iCs/>
        </w:rPr>
        <w:t>.</w:t>
      </w:r>
      <w:r w:rsidR="002876AF">
        <w:rPr>
          <w:rStyle w:val="FootnoteReference"/>
          <w:rFonts w:ascii="Times New Roman" w:hAnsi="Times New Roman"/>
          <w:bCs/>
          <w:iCs/>
        </w:rPr>
        <w:footnoteReference w:id="74"/>
      </w:r>
      <w:r w:rsidR="00D937AB">
        <w:rPr>
          <w:rFonts w:ascii="Times New Roman" w:hAnsi="Times New Roman"/>
          <w:bCs/>
          <w:iCs/>
        </w:rPr>
        <w:t xml:space="preserve"> </w:t>
      </w:r>
      <w:r w:rsidR="007B4980">
        <w:rPr>
          <w:rFonts w:ascii="Times New Roman" w:hAnsi="Times New Roman"/>
          <w:bCs/>
          <w:iCs/>
        </w:rPr>
        <w:t>D</w:t>
      </w:r>
      <w:r w:rsidR="00D937AB">
        <w:rPr>
          <w:rFonts w:ascii="Times New Roman" w:hAnsi="Times New Roman"/>
          <w:bCs/>
          <w:iCs/>
        </w:rPr>
        <w:t>e acuerdo con la OCDE (2018)</w:t>
      </w:r>
      <w:r w:rsidR="007B4980">
        <w:rPr>
          <w:rFonts w:ascii="Times New Roman" w:hAnsi="Times New Roman"/>
          <w:bCs/>
          <w:iCs/>
        </w:rPr>
        <w:t>,</w:t>
      </w:r>
      <w:r w:rsidR="00D937AB">
        <w:rPr>
          <w:rStyle w:val="FootnoteReference"/>
          <w:rFonts w:ascii="Times New Roman" w:hAnsi="Times New Roman"/>
          <w:bCs/>
          <w:iCs/>
        </w:rPr>
        <w:footnoteReference w:id="75"/>
      </w:r>
      <w:r w:rsidR="007B4980">
        <w:rPr>
          <w:rFonts w:ascii="Times New Roman" w:hAnsi="Times New Roman"/>
          <w:bCs/>
          <w:iCs/>
        </w:rPr>
        <w:t xml:space="preserve"> es recomendable que se incluya el g</w:t>
      </w:r>
      <w:r w:rsidR="00B67AF3">
        <w:rPr>
          <w:rFonts w:ascii="Times New Roman" w:hAnsi="Times New Roman"/>
          <w:bCs/>
          <w:iCs/>
        </w:rPr>
        <w:t xml:space="preserve">asto </w:t>
      </w:r>
      <w:r w:rsidR="005B5CD8">
        <w:rPr>
          <w:rFonts w:ascii="Times New Roman" w:hAnsi="Times New Roman"/>
          <w:bCs/>
          <w:iCs/>
        </w:rPr>
        <w:t>en educación temprana (maternal) y el gasto del INA</w:t>
      </w:r>
      <w:r w:rsidR="00643DE5">
        <w:rPr>
          <w:rFonts w:ascii="Times New Roman" w:hAnsi="Times New Roman"/>
          <w:bCs/>
          <w:iCs/>
        </w:rPr>
        <w:t>,</w:t>
      </w:r>
      <w:r w:rsidR="009A6FA6">
        <w:rPr>
          <w:rStyle w:val="FootnoteReference"/>
          <w:rFonts w:ascii="Times New Roman" w:hAnsi="Times New Roman"/>
          <w:bCs/>
          <w:iCs/>
        </w:rPr>
        <w:footnoteReference w:id="76"/>
      </w:r>
      <w:r w:rsidR="00643DE5">
        <w:rPr>
          <w:rFonts w:ascii="Times New Roman" w:hAnsi="Times New Roman"/>
          <w:bCs/>
          <w:iCs/>
        </w:rPr>
        <w:t xml:space="preserve"> de esta manera se cumpliría el mandato constitucional y además se incluirían gastos que </w:t>
      </w:r>
      <w:r w:rsidR="009D1B36">
        <w:rPr>
          <w:rFonts w:ascii="Times New Roman" w:hAnsi="Times New Roman"/>
          <w:bCs/>
          <w:iCs/>
        </w:rPr>
        <w:t>se deberían contabilizar en las partidas de educación.</w:t>
      </w:r>
    </w:p>
    <w:p w14:paraId="367A9E1D" w14:textId="77777777" w:rsidR="00FE30A8" w:rsidRPr="00CE225D" w:rsidRDefault="00FE30A8" w:rsidP="00FE30A8">
      <w:pPr>
        <w:tabs>
          <w:tab w:val="left" w:pos="810"/>
          <w:tab w:val="left" w:pos="1531"/>
        </w:tabs>
        <w:autoSpaceDE w:val="0"/>
        <w:autoSpaceDN w:val="0"/>
        <w:adjustRightInd w:val="0"/>
        <w:spacing w:before="120" w:line="360" w:lineRule="auto"/>
        <w:jc w:val="both"/>
        <w:rPr>
          <w:rFonts w:ascii="Times New Roman" w:hAnsi="Times New Roman"/>
          <w:bCs/>
          <w:iCs/>
        </w:rPr>
      </w:pPr>
      <w:bookmarkStart w:id="31" w:name="_Hlk518049083"/>
      <w:r w:rsidRPr="00445DC7">
        <w:rPr>
          <w:rFonts w:ascii="Times New Roman" w:hAnsi="Times New Roman"/>
          <w:b/>
          <w:bCs/>
          <w:iCs/>
        </w:rPr>
        <w:t xml:space="preserve">Es recomendable </w:t>
      </w:r>
      <w:r>
        <w:rPr>
          <w:rFonts w:ascii="Times New Roman" w:hAnsi="Times New Roman"/>
          <w:b/>
          <w:bCs/>
          <w:iCs/>
        </w:rPr>
        <w:t xml:space="preserve">realizar un proceso de reingeniería del gasto público en Costa Rica para mejorar la eficiencia del sector público. </w:t>
      </w:r>
      <w:r w:rsidRPr="00445DC7">
        <w:rPr>
          <w:rFonts w:ascii="Times New Roman" w:hAnsi="Times New Roman"/>
          <w:bCs/>
          <w:iCs/>
        </w:rPr>
        <w:t>Para esto, es recomendable seguir una metodología como la utilizada en México</w:t>
      </w:r>
      <w:r>
        <w:rPr>
          <w:rFonts w:ascii="Times New Roman" w:hAnsi="Times New Roman"/>
          <w:bCs/>
          <w:iCs/>
        </w:rPr>
        <w:t xml:space="preserve">, donde se </w:t>
      </w:r>
      <w:r w:rsidRPr="002472C9">
        <w:rPr>
          <w:rFonts w:ascii="Times New Roman" w:hAnsi="Times New Roman"/>
          <w:bCs/>
          <w:iCs/>
        </w:rPr>
        <w:t xml:space="preserve">implementó una presupuestación de base cero con una nueva metodología para la revisión exhaustiva sectorial del gasto público. El proceso de reingeniería del gasto público consiste en una revisión profunda de los programas presupuestarios a fin de identificar complementariedades y/o duplicidades en los objetivos y beneficiarios, y puede realizarse por funciones presupuestales o grupos de programas. Este esfuerzo permite reducir el número de programas, vía fusiones, eliminaciones y re-sectorización. También incluye un análisis de las estructuras de gasto corriente de las unidades ejecutoras, buscando una contención en servicios no personales y de operación e identificar posibles reducciones en los mismos. Las conclusiones y lecciones aprendidas más importantes se documentan </w:t>
      </w:r>
      <w:r>
        <w:rPr>
          <w:rFonts w:ascii="Times New Roman" w:hAnsi="Times New Roman"/>
          <w:bCs/>
          <w:iCs/>
        </w:rPr>
        <w:t xml:space="preserve">en Durán </w:t>
      </w:r>
      <w:r>
        <w:rPr>
          <w:rFonts w:ascii="Times New Roman" w:hAnsi="Times New Roman"/>
          <w:bCs/>
          <w:i/>
          <w:iCs/>
        </w:rPr>
        <w:t xml:space="preserve">et al. </w:t>
      </w:r>
      <w:r>
        <w:rPr>
          <w:rFonts w:ascii="Times New Roman" w:hAnsi="Times New Roman"/>
          <w:bCs/>
          <w:iCs/>
        </w:rPr>
        <w:t>(2018)</w:t>
      </w:r>
      <w:r w:rsidRPr="002472C9">
        <w:rPr>
          <w:rFonts w:ascii="Times New Roman" w:hAnsi="Times New Roman"/>
          <w:bCs/>
          <w:iCs/>
        </w:rPr>
        <w:t>.</w:t>
      </w:r>
      <w:r>
        <w:rPr>
          <w:rStyle w:val="FootnoteReference"/>
          <w:rFonts w:ascii="Times New Roman" w:hAnsi="Times New Roman"/>
          <w:bCs/>
          <w:iCs/>
        </w:rPr>
        <w:footnoteReference w:id="77"/>
      </w:r>
    </w:p>
    <w:bookmarkEnd w:id="31"/>
    <w:p w14:paraId="19109096" w14:textId="77777777" w:rsidR="006F2452" w:rsidRDefault="00BF6175" w:rsidP="00BF6175">
      <w:pPr>
        <w:tabs>
          <w:tab w:val="left" w:pos="810"/>
          <w:tab w:val="left" w:pos="1531"/>
        </w:tabs>
        <w:autoSpaceDE w:val="0"/>
        <w:autoSpaceDN w:val="0"/>
        <w:adjustRightInd w:val="0"/>
        <w:spacing w:before="120" w:line="360" w:lineRule="auto"/>
        <w:jc w:val="both"/>
        <w:rPr>
          <w:rFonts w:ascii="Times New Roman" w:hAnsi="Times New Roman"/>
          <w:bCs/>
          <w:iCs/>
          <w:lang w:val="es-419"/>
        </w:rPr>
      </w:pPr>
      <w:r w:rsidRPr="000A08A4">
        <w:rPr>
          <w:rFonts w:ascii="Times New Roman" w:hAnsi="Times New Roman"/>
          <w:b/>
          <w:bCs/>
          <w:iCs/>
          <w:lang w:val="es-419"/>
        </w:rPr>
        <w:t>El desarrollo y uso de una plataforma para la selección de hogares pobres para la entrega de beneficios del Estado</w:t>
      </w:r>
      <w:r w:rsidR="000A08A4" w:rsidRPr="000A08A4">
        <w:rPr>
          <w:rFonts w:ascii="Times New Roman" w:hAnsi="Times New Roman"/>
          <w:b/>
          <w:bCs/>
          <w:iCs/>
          <w:lang w:val="es-419"/>
        </w:rPr>
        <w:t xml:space="preserve"> es clave para mejorar la eficiencia del gasto social.</w:t>
      </w:r>
      <w:r w:rsidR="000A08A4">
        <w:rPr>
          <w:rFonts w:ascii="Times New Roman" w:hAnsi="Times New Roman"/>
          <w:b/>
          <w:bCs/>
          <w:iCs/>
          <w:lang w:val="es-419"/>
        </w:rPr>
        <w:t xml:space="preserve"> </w:t>
      </w:r>
      <w:r w:rsidR="00736A9C" w:rsidRPr="00E80155">
        <w:rPr>
          <w:rFonts w:ascii="Times New Roman" w:hAnsi="Times New Roman"/>
          <w:bCs/>
          <w:iCs/>
          <w:lang w:val="es-419"/>
        </w:rPr>
        <w:t xml:space="preserve">Desde 2014 el Banco </w:t>
      </w:r>
      <w:r w:rsidR="00E80155" w:rsidRPr="00E80155">
        <w:rPr>
          <w:rFonts w:ascii="Times New Roman" w:hAnsi="Times New Roman"/>
          <w:bCs/>
          <w:iCs/>
          <w:lang w:val="es-419"/>
        </w:rPr>
        <w:t>ha apoyado</w:t>
      </w:r>
      <w:r w:rsidR="00E80155">
        <w:rPr>
          <w:rFonts w:ascii="Times New Roman" w:hAnsi="Times New Roman"/>
          <w:bCs/>
          <w:iCs/>
          <w:lang w:val="es-419"/>
        </w:rPr>
        <w:t xml:space="preserve"> la creación de </w:t>
      </w:r>
      <w:r w:rsidR="001973EE">
        <w:rPr>
          <w:rFonts w:ascii="Times New Roman" w:hAnsi="Times New Roman"/>
          <w:bCs/>
          <w:iCs/>
          <w:lang w:val="es-419"/>
        </w:rPr>
        <w:t xml:space="preserve">una plataforma de este tipo en Costa Rica. </w:t>
      </w:r>
      <w:r w:rsidRPr="00BF6175">
        <w:rPr>
          <w:rFonts w:ascii="Times New Roman" w:hAnsi="Times New Roman"/>
          <w:bCs/>
          <w:iCs/>
          <w:lang w:val="es-419"/>
        </w:rPr>
        <w:t xml:space="preserve">El Sistema Nacional de Información y Registro Único de Beneficiarios del Estado o SINIRUBE fue creado en 2013 a través del decreto No. 40650 como una institución adscrita al Instituto Mixto de Ayuda Social (IMAS). </w:t>
      </w:r>
      <w:r w:rsidR="00D57331" w:rsidRPr="00D57331">
        <w:rPr>
          <w:rFonts w:ascii="Times New Roman" w:hAnsi="Times New Roman"/>
          <w:bCs/>
          <w:iCs/>
          <w:lang w:val="es-419"/>
        </w:rPr>
        <w:t>Este tipo de plataformas han sido utilizadas en otros países con el propósito de mejorar la eficiencia del gasto público</w:t>
      </w:r>
      <w:r w:rsidR="00D57331">
        <w:rPr>
          <w:rFonts w:ascii="Times New Roman" w:hAnsi="Times New Roman"/>
          <w:bCs/>
          <w:iCs/>
          <w:lang w:val="es-419"/>
        </w:rPr>
        <w:t>.</w:t>
      </w:r>
      <w:r w:rsidR="00D57331" w:rsidRPr="00D57331">
        <w:rPr>
          <w:rFonts w:ascii="Times New Roman" w:hAnsi="Times New Roman"/>
          <w:bCs/>
          <w:iCs/>
          <w:lang w:val="es-419"/>
        </w:rPr>
        <w:t xml:space="preserve"> </w:t>
      </w:r>
      <w:r w:rsidR="00D57331">
        <w:rPr>
          <w:rFonts w:ascii="Times New Roman" w:hAnsi="Times New Roman"/>
          <w:bCs/>
          <w:iCs/>
          <w:lang w:val="es-419"/>
        </w:rPr>
        <w:t>P</w:t>
      </w:r>
      <w:r w:rsidR="00D57331" w:rsidRPr="00D57331">
        <w:rPr>
          <w:rFonts w:ascii="Times New Roman" w:hAnsi="Times New Roman"/>
          <w:bCs/>
          <w:iCs/>
          <w:lang w:val="es-419"/>
        </w:rPr>
        <w:t>or ejemplo</w:t>
      </w:r>
      <w:r w:rsidR="00D57331">
        <w:rPr>
          <w:rFonts w:ascii="Times New Roman" w:hAnsi="Times New Roman"/>
          <w:bCs/>
          <w:iCs/>
          <w:lang w:val="es-419"/>
        </w:rPr>
        <w:t>,</w:t>
      </w:r>
      <w:r w:rsidR="00D57331" w:rsidRPr="00D57331">
        <w:rPr>
          <w:rFonts w:ascii="Times New Roman" w:hAnsi="Times New Roman"/>
          <w:bCs/>
          <w:iCs/>
          <w:lang w:val="es-419"/>
        </w:rPr>
        <w:t xml:space="preserve"> </w:t>
      </w:r>
      <w:r w:rsidR="00CE4FA4">
        <w:rPr>
          <w:rFonts w:ascii="Times New Roman" w:hAnsi="Times New Roman"/>
          <w:bCs/>
          <w:iCs/>
          <w:lang w:val="es-419"/>
        </w:rPr>
        <w:t>p</w:t>
      </w:r>
      <w:r w:rsidR="00D57331" w:rsidRPr="00D57331">
        <w:rPr>
          <w:rFonts w:ascii="Times New Roman" w:hAnsi="Times New Roman"/>
          <w:bCs/>
          <w:iCs/>
          <w:lang w:val="es-419"/>
        </w:rPr>
        <w:t>ara la focalización de subsidios generalizados (República Dominicana) o para enfrentar situaciones de desastres naturales (Bahamas, Ecuador). En Costa Rica el instrumento tiene el potencial de ser utilizado para determinar compensación a hogares en caso de ajustes fiscales o crisis macroeconómicas</w:t>
      </w:r>
      <w:r w:rsidR="00CE4FA4">
        <w:rPr>
          <w:rFonts w:ascii="Times New Roman" w:hAnsi="Times New Roman"/>
          <w:bCs/>
          <w:iCs/>
          <w:lang w:val="es-419"/>
        </w:rPr>
        <w:t xml:space="preserve">, pero principalmente para </w:t>
      </w:r>
      <w:r w:rsidR="00F14C37">
        <w:rPr>
          <w:rFonts w:ascii="Times New Roman" w:hAnsi="Times New Roman"/>
          <w:bCs/>
          <w:iCs/>
          <w:lang w:val="es-419"/>
        </w:rPr>
        <w:t>focalizar mejor las transferencias que hace el Estado</w:t>
      </w:r>
      <w:r w:rsidR="00D57331" w:rsidRPr="00D57331">
        <w:rPr>
          <w:rFonts w:ascii="Times New Roman" w:hAnsi="Times New Roman"/>
          <w:bCs/>
          <w:iCs/>
          <w:lang w:val="es-419"/>
        </w:rPr>
        <w:t>.</w:t>
      </w:r>
    </w:p>
    <w:p w14:paraId="2B877A00" w14:textId="77777777" w:rsidR="00B7790B" w:rsidRDefault="00E243D0" w:rsidP="00A92D9D">
      <w:pPr>
        <w:tabs>
          <w:tab w:val="left" w:pos="810"/>
          <w:tab w:val="left" w:pos="1531"/>
        </w:tabs>
        <w:autoSpaceDE w:val="0"/>
        <w:autoSpaceDN w:val="0"/>
        <w:adjustRightInd w:val="0"/>
        <w:spacing w:before="120" w:line="360" w:lineRule="auto"/>
        <w:jc w:val="both"/>
        <w:rPr>
          <w:rFonts w:ascii="Times New Roman" w:hAnsi="Times New Roman"/>
          <w:bCs/>
          <w:iCs/>
        </w:rPr>
      </w:pPr>
      <w:r w:rsidRPr="002F2D2A">
        <w:rPr>
          <w:rFonts w:ascii="Times New Roman" w:hAnsi="Times New Roman"/>
          <w:b/>
          <w:bCs/>
          <w:iCs/>
          <w:lang w:val="es-ES_tradnl"/>
        </w:rPr>
        <w:t xml:space="preserve">Una reconfiguración del modelo de prestación de servicios de salud </w:t>
      </w:r>
      <w:r w:rsidR="002F2D2A" w:rsidRPr="002F2D2A">
        <w:rPr>
          <w:rFonts w:ascii="Times New Roman" w:hAnsi="Times New Roman"/>
          <w:b/>
          <w:bCs/>
          <w:iCs/>
          <w:lang w:val="es-ES_tradnl"/>
        </w:rPr>
        <w:t xml:space="preserve">existente </w:t>
      </w:r>
      <w:r w:rsidRPr="002F2D2A">
        <w:rPr>
          <w:rFonts w:ascii="Times New Roman" w:hAnsi="Times New Roman"/>
          <w:b/>
          <w:bCs/>
          <w:iCs/>
          <w:lang w:val="es-ES_tradnl"/>
        </w:rPr>
        <w:t xml:space="preserve">es recomendable </w:t>
      </w:r>
      <w:r w:rsidR="001F1F37" w:rsidRPr="002F2D2A">
        <w:rPr>
          <w:rFonts w:ascii="Times New Roman" w:hAnsi="Times New Roman"/>
          <w:b/>
          <w:bCs/>
          <w:iCs/>
          <w:lang w:val="es-ES_tradnl"/>
        </w:rPr>
        <w:t xml:space="preserve">para </w:t>
      </w:r>
      <w:r w:rsidRPr="002F2D2A">
        <w:rPr>
          <w:rFonts w:ascii="Times New Roman" w:hAnsi="Times New Roman"/>
          <w:b/>
          <w:bCs/>
          <w:iCs/>
          <w:lang w:val="es-ES_tradnl"/>
        </w:rPr>
        <w:t>incrementar</w:t>
      </w:r>
      <w:r w:rsidR="001F1F37" w:rsidRPr="002F2D2A">
        <w:rPr>
          <w:rFonts w:ascii="Times New Roman" w:hAnsi="Times New Roman"/>
          <w:b/>
          <w:bCs/>
          <w:iCs/>
          <w:lang w:val="es-ES_tradnl"/>
        </w:rPr>
        <w:t xml:space="preserve"> la eficiencia del gasto público</w:t>
      </w:r>
      <w:r w:rsidR="00B7790B">
        <w:rPr>
          <w:rFonts w:ascii="Times New Roman" w:hAnsi="Times New Roman"/>
          <w:b/>
          <w:bCs/>
          <w:iCs/>
          <w:lang w:val="es-ES_tradnl"/>
        </w:rPr>
        <w:t xml:space="preserve"> en salud</w:t>
      </w:r>
      <w:r w:rsidRPr="002F2D2A">
        <w:rPr>
          <w:rFonts w:ascii="Times New Roman" w:hAnsi="Times New Roman"/>
          <w:b/>
          <w:bCs/>
          <w:iCs/>
          <w:lang w:val="es-ES_tradnl"/>
        </w:rPr>
        <w:t>.</w:t>
      </w:r>
      <w:r w:rsidR="001F1F37" w:rsidRPr="001F1F37">
        <w:rPr>
          <w:rFonts w:ascii="Times New Roman" w:hAnsi="Times New Roman"/>
          <w:bCs/>
          <w:iCs/>
          <w:lang w:val="es-ES_tradnl"/>
        </w:rPr>
        <w:t xml:space="preserve"> Se recomienda dirigir esfuerzos a reforzar el enfoque en la promoción de la salud y la atención preventiva para lo cual el país ya tiene una plataforma de redes de servicios con orientación a la atención primaria en salud.</w:t>
      </w:r>
      <w:r w:rsidR="007156C7">
        <w:rPr>
          <w:rFonts w:ascii="Times New Roman" w:hAnsi="Times New Roman"/>
          <w:bCs/>
          <w:iCs/>
          <w:lang w:val="es-ES_tradnl"/>
        </w:rPr>
        <w:t xml:space="preserve"> Además, l</w:t>
      </w:r>
      <w:r w:rsidR="00A92D9D" w:rsidRPr="00A92D9D">
        <w:rPr>
          <w:rFonts w:ascii="Times New Roman" w:hAnsi="Times New Roman"/>
          <w:bCs/>
          <w:iCs/>
        </w:rPr>
        <w:t>a reconfiguración de la prestación de servicios de salud en CR podría acelerarse mediante la implementación de sistemas y servicios basados en e-Salud</w:t>
      </w:r>
      <w:r w:rsidR="004D6484">
        <w:rPr>
          <w:rFonts w:ascii="Times New Roman" w:hAnsi="Times New Roman"/>
          <w:bCs/>
          <w:iCs/>
        </w:rPr>
        <w:t>.</w:t>
      </w:r>
      <w:r w:rsidR="00B13C18">
        <w:rPr>
          <w:rStyle w:val="FootnoteReference"/>
          <w:rFonts w:ascii="Times New Roman" w:hAnsi="Times New Roman"/>
          <w:bCs/>
          <w:iCs/>
        </w:rPr>
        <w:footnoteReference w:id="78"/>
      </w:r>
      <w:r w:rsidR="00A92D9D" w:rsidRPr="00A92D9D">
        <w:rPr>
          <w:rFonts w:ascii="Times New Roman" w:hAnsi="Times New Roman"/>
          <w:bCs/>
          <w:iCs/>
        </w:rPr>
        <w:t xml:space="preserve"> </w:t>
      </w:r>
      <w:r w:rsidR="00462E40">
        <w:rPr>
          <w:rFonts w:ascii="Times New Roman" w:hAnsi="Times New Roman"/>
          <w:bCs/>
          <w:iCs/>
        </w:rPr>
        <w:t xml:space="preserve">Además, </w:t>
      </w:r>
      <w:r w:rsidR="00462E40" w:rsidRPr="00C81724">
        <w:rPr>
          <w:rFonts w:ascii="Times New Roman" w:hAnsi="Times New Roman"/>
          <w:bCs/>
          <w:iCs/>
        </w:rPr>
        <w:t>p</w:t>
      </w:r>
      <w:r w:rsidR="002C7E7D" w:rsidRPr="00C81724">
        <w:rPr>
          <w:rFonts w:ascii="Times New Roman" w:hAnsi="Times New Roman"/>
          <w:bCs/>
          <w:iCs/>
        </w:rPr>
        <w:t>romover la utilización sistemática de la evidencia sobre la efectividad y costo de tecnologías sanitarias ayuda a mejorar la eficiencia de asignación del gasto y contener costos farmacéuticos.</w:t>
      </w:r>
      <w:r w:rsidR="002C7E7D">
        <w:rPr>
          <w:rFonts w:ascii="Times New Roman" w:hAnsi="Times New Roman"/>
          <w:bCs/>
          <w:iCs/>
        </w:rPr>
        <w:t xml:space="preserve"> </w:t>
      </w:r>
      <w:r w:rsidR="00581FDB" w:rsidRPr="00581FDB">
        <w:rPr>
          <w:rFonts w:ascii="Times New Roman" w:hAnsi="Times New Roman"/>
          <w:bCs/>
          <w:iCs/>
        </w:rPr>
        <w:t xml:space="preserve">Un número creciente de países, en especial aquellos miembros de la </w:t>
      </w:r>
      <w:r w:rsidR="002C7E7D" w:rsidRPr="00581FDB">
        <w:rPr>
          <w:rFonts w:ascii="Times New Roman" w:hAnsi="Times New Roman"/>
          <w:bCs/>
          <w:iCs/>
        </w:rPr>
        <w:t>OCDE</w:t>
      </w:r>
      <w:r w:rsidR="00581FDB" w:rsidRPr="00581FDB">
        <w:rPr>
          <w:rFonts w:ascii="Times New Roman" w:hAnsi="Times New Roman"/>
          <w:bCs/>
          <w:iCs/>
        </w:rPr>
        <w:t xml:space="preserve"> consideran que el desarrollo de un sistema de priorización del gasto basado en evaluación de tecnologías (ETS) es un elemento crucial para hacer frente a la presión creciente del gasto farmacéutico observada en estos países.</w:t>
      </w:r>
      <w:r w:rsidR="0079299E">
        <w:rPr>
          <w:rStyle w:val="FootnoteReference"/>
          <w:rFonts w:ascii="Times New Roman" w:hAnsi="Times New Roman"/>
          <w:bCs/>
          <w:iCs/>
        </w:rPr>
        <w:footnoteReference w:id="79"/>
      </w:r>
      <w:r w:rsidR="00581FDB" w:rsidRPr="00581FDB">
        <w:rPr>
          <w:rFonts w:ascii="Times New Roman" w:hAnsi="Times New Roman"/>
          <w:bCs/>
          <w:iCs/>
        </w:rPr>
        <w:t xml:space="preserve"> </w:t>
      </w:r>
    </w:p>
    <w:p w14:paraId="07600BA0" w14:textId="77777777" w:rsidR="000F59CC" w:rsidRDefault="0050494B" w:rsidP="00A92D9D">
      <w:pPr>
        <w:tabs>
          <w:tab w:val="left" w:pos="810"/>
          <w:tab w:val="left" w:pos="1531"/>
        </w:tabs>
        <w:autoSpaceDE w:val="0"/>
        <w:autoSpaceDN w:val="0"/>
        <w:adjustRightInd w:val="0"/>
        <w:spacing w:before="120" w:line="360" w:lineRule="auto"/>
        <w:jc w:val="both"/>
        <w:rPr>
          <w:rFonts w:ascii="Times New Roman" w:hAnsi="Times New Roman"/>
          <w:bCs/>
          <w:iCs/>
          <w:lang w:val="es-419"/>
        </w:rPr>
      </w:pPr>
      <w:r w:rsidRPr="004201F2">
        <w:rPr>
          <w:rFonts w:ascii="Times New Roman" w:hAnsi="Times New Roman"/>
          <w:b/>
          <w:bCs/>
          <w:iCs/>
        </w:rPr>
        <w:t xml:space="preserve">Es necesario generar espacio fiscal para </w:t>
      </w:r>
      <w:r w:rsidR="004D367C" w:rsidRPr="004201F2">
        <w:rPr>
          <w:rFonts w:ascii="Times New Roman" w:hAnsi="Times New Roman"/>
          <w:b/>
          <w:bCs/>
          <w:iCs/>
        </w:rPr>
        <w:t>incrementar la inversión en infraestructura y utilizar más la figura de alianzas público</w:t>
      </w:r>
      <w:r w:rsidR="004201F2" w:rsidRPr="004201F2">
        <w:rPr>
          <w:rFonts w:ascii="Times New Roman" w:hAnsi="Times New Roman"/>
          <w:b/>
          <w:bCs/>
          <w:iCs/>
        </w:rPr>
        <w:t>-</w:t>
      </w:r>
      <w:r w:rsidR="004D367C" w:rsidRPr="004201F2">
        <w:rPr>
          <w:rFonts w:ascii="Times New Roman" w:hAnsi="Times New Roman"/>
          <w:b/>
          <w:bCs/>
          <w:iCs/>
        </w:rPr>
        <w:t>privadas</w:t>
      </w:r>
      <w:r w:rsidR="00EC2F62">
        <w:rPr>
          <w:rFonts w:ascii="Times New Roman" w:hAnsi="Times New Roman"/>
          <w:b/>
          <w:bCs/>
          <w:iCs/>
        </w:rPr>
        <w:t xml:space="preserve"> (APP)</w:t>
      </w:r>
      <w:r w:rsidR="004D367C" w:rsidRPr="004201F2">
        <w:rPr>
          <w:rFonts w:ascii="Times New Roman" w:hAnsi="Times New Roman"/>
          <w:b/>
          <w:bCs/>
          <w:iCs/>
        </w:rPr>
        <w:t>.</w:t>
      </w:r>
      <w:r w:rsidR="004D367C">
        <w:rPr>
          <w:rFonts w:ascii="Times New Roman" w:hAnsi="Times New Roman"/>
          <w:bCs/>
          <w:iCs/>
        </w:rPr>
        <w:t xml:space="preserve"> </w:t>
      </w:r>
      <w:r w:rsidR="000F59CC" w:rsidRPr="000F59CC">
        <w:rPr>
          <w:rFonts w:ascii="Times New Roman" w:hAnsi="Times New Roman"/>
          <w:bCs/>
          <w:iCs/>
          <w:lang w:val="es-419"/>
        </w:rPr>
        <w:t>Las necesidades de financiamiento</w:t>
      </w:r>
      <w:r w:rsidR="004201F2">
        <w:rPr>
          <w:rFonts w:ascii="Times New Roman" w:hAnsi="Times New Roman"/>
          <w:bCs/>
          <w:iCs/>
          <w:lang w:val="es-419"/>
        </w:rPr>
        <w:t xml:space="preserve"> para obras de infraestructura</w:t>
      </w:r>
      <w:r w:rsidR="000F59CC" w:rsidRPr="000F59CC">
        <w:rPr>
          <w:rFonts w:ascii="Times New Roman" w:hAnsi="Times New Roman"/>
          <w:bCs/>
          <w:iCs/>
          <w:lang w:val="es-419"/>
        </w:rPr>
        <w:t xml:space="preserve"> son crecientes</w:t>
      </w:r>
      <w:r w:rsidR="00630BDB">
        <w:rPr>
          <w:rFonts w:ascii="Times New Roman" w:hAnsi="Times New Roman"/>
          <w:bCs/>
          <w:iCs/>
          <w:lang w:val="es-419"/>
        </w:rPr>
        <w:t>,</w:t>
      </w:r>
      <w:r w:rsidR="000F59CC" w:rsidRPr="000F59CC">
        <w:rPr>
          <w:rFonts w:ascii="Times New Roman" w:hAnsi="Times New Roman"/>
          <w:bCs/>
          <w:iCs/>
          <w:lang w:val="es-419"/>
        </w:rPr>
        <w:t xml:space="preserve"> por lo que resolver el problema fiscal </w:t>
      </w:r>
      <w:r w:rsidR="00630BDB">
        <w:rPr>
          <w:rFonts w:ascii="Times New Roman" w:hAnsi="Times New Roman"/>
          <w:bCs/>
          <w:iCs/>
          <w:lang w:val="es-419"/>
        </w:rPr>
        <w:t xml:space="preserve">para generar espacio presupuestario </w:t>
      </w:r>
      <w:r w:rsidR="000F59CC" w:rsidRPr="000F59CC">
        <w:rPr>
          <w:rFonts w:ascii="Times New Roman" w:hAnsi="Times New Roman"/>
          <w:bCs/>
          <w:iCs/>
          <w:lang w:val="es-419"/>
        </w:rPr>
        <w:t xml:space="preserve">es fundamental </w:t>
      </w:r>
      <w:r w:rsidR="00630BDB">
        <w:rPr>
          <w:rFonts w:ascii="Times New Roman" w:hAnsi="Times New Roman"/>
          <w:bCs/>
          <w:iCs/>
          <w:lang w:val="es-419"/>
        </w:rPr>
        <w:t>para incrementar la</w:t>
      </w:r>
      <w:r w:rsidR="00EC2F62">
        <w:rPr>
          <w:rFonts w:ascii="Times New Roman" w:hAnsi="Times New Roman"/>
          <w:bCs/>
          <w:iCs/>
          <w:lang w:val="es-419"/>
        </w:rPr>
        <w:t xml:space="preserve">s inversiones de capital. Además, </w:t>
      </w:r>
      <w:r w:rsidR="000F59CC" w:rsidRPr="000F59CC">
        <w:rPr>
          <w:rFonts w:ascii="Times New Roman" w:hAnsi="Times New Roman"/>
          <w:bCs/>
          <w:iCs/>
          <w:lang w:val="es-419"/>
        </w:rPr>
        <w:t>se requiere for</w:t>
      </w:r>
      <w:r w:rsidR="00EC2F62">
        <w:rPr>
          <w:rFonts w:ascii="Times New Roman" w:hAnsi="Times New Roman"/>
          <w:bCs/>
          <w:iCs/>
          <w:lang w:val="es-419"/>
        </w:rPr>
        <w:t>t</w:t>
      </w:r>
      <w:r w:rsidR="000F59CC" w:rsidRPr="000F59CC">
        <w:rPr>
          <w:rFonts w:ascii="Times New Roman" w:hAnsi="Times New Roman"/>
          <w:bCs/>
          <w:iCs/>
          <w:lang w:val="es-419"/>
        </w:rPr>
        <w:t>alecer otras modalidades de financiamiento como las APP. Para ello es necesario hacer cambios en su ley</w:t>
      </w:r>
      <w:r w:rsidR="00AA591D">
        <w:rPr>
          <w:rStyle w:val="FootnoteReference"/>
          <w:rFonts w:ascii="Times New Roman" w:hAnsi="Times New Roman"/>
          <w:bCs/>
          <w:iCs/>
          <w:lang w:val="es-419"/>
        </w:rPr>
        <w:footnoteReference w:id="80"/>
      </w:r>
      <w:r w:rsidR="000F59CC" w:rsidRPr="000F59CC">
        <w:rPr>
          <w:rFonts w:ascii="Times New Roman" w:hAnsi="Times New Roman"/>
          <w:bCs/>
          <w:iCs/>
          <w:lang w:val="es-419"/>
        </w:rPr>
        <w:t xml:space="preserve"> y mayor asignación de </w:t>
      </w:r>
      <w:r w:rsidR="00C60AC5" w:rsidRPr="000F59CC">
        <w:rPr>
          <w:rFonts w:ascii="Times New Roman" w:hAnsi="Times New Roman"/>
          <w:bCs/>
          <w:iCs/>
          <w:lang w:val="es-419"/>
        </w:rPr>
        <w:t>recursos,</w:t>
      </w:r>
      <w:r w:rsidR="000F59CC" w:rsidRPr="000F59CC">
        <w:rPr>
          <w:rFonts w:ascii="Times New Roman" w:hAnsi="Times New Roman"/>
          <w:bCs/>
          <w:iCs/>
          <w:lang w:val="es-419"/>
        </w:rPr>
        <w:t xml:space="preserve"> as</w:t>
      </w:r>
      <w:r w:rsidR="00AA591D">
        <w:rPr>
          <w:rFonts w:ascii="Times New Roman" w:hAnsi="Times New Roman"/>
          <w:bCs/>
          <w:iCs/>
          <w:lang w:val="es-419"/>
        </w:rPr>
        <w:t>í</w:t>
      </w:r>
      <w:r w:rsidR="000F59CC" w:rsidRPr="000F59CC">
        <w:rPr>
          <w:rFonts w:ascii="Times New Roman" w:hAnsi="Times New Roman"/>
          <w:bCs/>
          <w:iCs/>
          <w:lang w:val="es-419"/>
        </w:rPr>
        <w:t xml:space="preserve"> como una </w:t>
      </w:r>
      <w:r w:rsidR="00C60AC5">
        <w:rPr>
          <w:rFonts w:ascii="Times New Roman" w:hAnsi="Times New Roman"/>
          <w:bCs/>
          <w:iCs/>
          <w:lang w:val="es-419"/>
        </w:rPr>
        <w:t xml:space="preserve">mejor </w:t>
      </w:r>
      <w:r w:rsidR="000F59CC" w:rsidRPr="000F59CC">
        <w:rPr>
          <w:rFonts w:ascii="Times New Roman" w:hAnsi="Times New Roman"/>
          <w:bCs/>
          <w:iCs/>
          <w:lang w:val="es-419"/>
        </w:rPr>
        <w:t>definición de sus alcances y responsabilidades para darle mayor flexibilidad gerencial al CNC y agilidad de decisión a su Junta Directiva.</w:t>
      </w:r>
    </w:p>
    <w:p w14:paraId="0AAAA064" w14:textId="77777777" w:rsidR="00941461" w:rsidRPr="000F59CC" w:rsidRDefault="00967C32" w:rsidP="00A92D9D">
      <w:pPr>
        <w:tabs>
          <w:tab w:val="left" w:pos="810"/>
          <w:tab w:val="left" w:pos="1531"/>
        </w:tabs>
        <w:autoSpaceDE w:val="0"/>
        <w:autoSpaceDN w:val="0"/>
        <w:adjustRightInd w:val="0"/>
        <w:spacing w:before="120" w:line="360" w:lineRule="auto"/>
        <w:jc w:val="both"/>
        <w:rPr>
          <w:rFonts w:ascii="Times New Roman" w:hAnsi="Times New Roman"/>
          <w:bCs/>
          <w:iCs/>
          <w:lang w:val="es-419"/>
        </w:rPr>
      </w:pPr>
      <w:r w:rsidRPr="007E5EE6">
        <w:rPr>
          <w:rFonts w:ascii="Times New Roman" w:hAnsi="Times New Roman"/>
          <w:b/>
          <w:bCs/>
          <w:iCs/>
          <w:lang w:val="es-419"/>
        </w:rPr>
        <w:t>El</w:t>
      </w:r>
      <w:r w:rsidR="00941461" w:rsidRPr="007E5EE6">
        <w:rPr>
          <w:rFonts w:ascii="Times New Roman" w:hAnsi="Times New Roman"/>
          <w:b/>
          <w:bCs/>
          <w:iCs/>
          <w:lang w:val="es-419"/>
        </w:rPr>
        <w:t xml:space="preserve"> fortalec</w:t>
      </w:r>
      <w:r w:rsidRPr="007E5EE6">
        <w:rPr>
          <w:rFonts w:ascii="Times New Roman" w:hAnsi="Times New Roman"/>
          <w:b/>
          <w:bCs/>
          <w:iCs/>
          <w:lang w:val="es-419"/>
        </w:rPr>
        <w:t>imiento de</w:t>
      </w:r>
      <w:r w:rsidR="00941461" w:rsidRPr="007E5EE6">
        <w:rPr>
          <w:rFonts w:ascii="Times New Roman" w:hAnsi="Times New Roman"/>
          <w:b/>
          <w:bCs/>
          <w:iCs/>
          <w:lang w:val="es-419"/>
        </w:rPr>
        <w:t xml:space="preserve"> la </w:t>
      </w:r>
      <w:r w:rsidR="00BF1E3E" w:rsidRPr="007E5EE6">
        <w:rPr>
          <w:rFonts w:ascii="Times New Roman" w:hAnsi="Times New Roman"/>
          <w:b/>
          <w:bCs/>
          <w:iCs/>
          <w:lang w:val="es-419"/>
        </w:rPr>
        <w:t>G</w:t>
      </w:r>
      <w:r w:rsidR="00941461" w:rsidRPr="007E5EE6">
        <w:rPr>
          <w:rFonts w:ascii="Times New Roman" w:hAnsi="Times New Roman"/>
          <w:b/>
          <w:bCs/>
          <w:iCs/>
          <w:lang w:val="es-419"/>
        </w:rPr>
        <w:t xml:space="preserve">estión por </w:t>
      </w:r>
      <w:r w:rsidR="00BF1E3E" w:rsidRPr="007E5EE6">
        <w:rPr>
          <w:rFonts w:ascii="Times New Roman" w:hAnsi="Times New Roman"/>
          <w:b/>
          <w:bCs/>
          <w:iCs/>
          <w:lang w:val="es-419"/>
        </w:rPr>
        <w:t>R</w:t>
      </w:r>
      <w:r w:rsidR="00941461" w:rsidRPr="007E5EE6">
        <w:rPr>
          <w:rFonts w:ascii="Times New Roman" w:hAnsi="Times New Roman"/>
          <w:b/>
          <w:bCs/>
          <w:iCs/>
          <w:lang w:val="es-419"/>
        </w:rPr>
        <w:t xml:space="preserve">esultados </w:t>
      </w:r>
      <w:r w:rsidR="00BF1E3E" w:rsidRPr="007E5EE6">
        <w:rPr>
          <w:rFonts w:ascii="Times New Roman" w:hAnsi="Times New Roman"/>
          <w:b/>
          <w:bCs/>
          <w:iCs/>
          <w:lang w:val="es-419"/>
        </w:rPr>
        <w:t>(GPR) en el Gobierno Central</w:t>
      </w:r>
      <w:r w:rsidR="009622B9" w:rsidRPr="007E5EE6">
        <w:rPr>
          <w:rFonts w:ascii="Times New Roman" w:hAnsi="Times New Roman"/>
          <w:b/>
          <w:bCs/>
          <w:iCs/>
          <w:lang w:val="es-419"/>
        </w:rPr>
        <w:t xml:space="preserve"> es fundamental para mejorar la</w:t>
      </w:r>
      <w:r w:rsidR="003621F5" w:rsidRPr="007E5EE6">
        <w:rPr>
          <w:rFonts w:ascii="Times New Roman" w:hAnsi="Times New Roman"/>
          <w:b/>
          <w:bCs/>
          <w:iCs/>
          <w:lang w:val="es-419"/>
        </w:rPr>
        <w:t xml:space="preserve"> sostenibilidad </w:t>
      </w:r>
      <w:r w:rsidR="009622B9" w:rsidRPr="007E5EE6">
        <w:rPr>
          <w:rFonts w:ascii="Times New Roman" w:hAnsi="Times New Roman"/>
          <w:b/>
          <w:bCs/>
          <w:iCs/>
          <w:lang w:val="es-419"/>
        </w:rPr>
        <w:t>fiscal</w:t>
      </w:r>
      <w:r w:rsidR="006A4D05" w:rsidRPr="007E5EE6">
        <w:rPr>
          <w:rFonts w:ascii="Times New Roman" w:hAnsi="Times New Roman"/>
          <w:b/>
          <w:bCs/>
          <w:iCs/>
          <w:lang w:val="es-419"/>
        </w:rPr>
        <w:t xml:space="preserve"> y</w:t>
      </w:r>
      <w:r w:rsidR="003621F5" w:rsidRPr="007E5EE6">
        <w:rPr>
          <w:rFonts w:ascii="Times New Roman" w:hAnsi="Times New Roman"/>
          <w:b/>
          <w:bCs/>
          <w:iCs/>
          <w:lang w:val="es-419"/>
        </w:rPr>
        <w:t xml:space="preserve"> </w:t>
      </w:r>
      <w:r w:rsidR="006A4D05" w:rsidRPr="007E5EE6">
        <w:rPr>
          <w:rFonts w:ascii="Times New Roman" w:hAnsi="Times New Roman"/>
          <w:b/>
          <w:bCs/>
          <w:iCs/>
          <w:lang w:val="es-419"/>
        </w:rPr>
        <w:t>eficiencia del gasto</w:t>
      </w:r>
      <w:r w:rsidR="00D401BB" w:rsidRPr="007E5EE6">
        <w:rPr>
          <w:rFonts w:ascii="Times New Roman" w:hAnsi="Times New Roman"/>
          <w:b/>
          <w:bCs/>
          <w:iCs/>
          <w:lang w:val="es-419"/>
        </w:rPr>
        <w:t>.</w:t>
      </w:r>
      <w:r w:rsidR="0019415F" w:rsidRPr="007E5EE6">
        <w:rPr>
          <w:rFonts w:ascii="Times New Roman" w:hAnsi="Times New Roman"/>
          <w:bCs/>
          <w:iCs/>
          <w:lang w:val="es-419"/>
        </w:rPr>
        <w:t xml:space="preserve"> </w:t>
      </w:r>
      <w:r w:rsidR="00FB71FD" w:rsidRPr="007E5EE6">
        <w:rPr>
          <w:rFonts w:ascii="Times New Roman" w:hAnsi="Times New Roman"/>
          <w:bCs/>
          <w:iCs/>
          <w:lang w:val="es-419"/>
        </w:rPr>
        <w:t xml:space="preserve">Es necesario </w:t>
      </w:r>
      <w:r w:rsidR="009622B9" w:rsidRPr="007E5EE6">
        <w:rPr>
          <w:rFonts w:ascii="Times New Roman" w:hAnsi="Times New Roman"/>
          <w:bCs/>
          <w:iCs/>
          <w:lang w:val="es-419"/>
        </w:rPr>
        <w:t xml:space="preserve">continuar con </w:t>
      </w:r>
      <w:r w:rsidR="00FB71FD" w:rsidRPr="007E5EE6">
        <w:rPr>
          <w:rFonts w:ascii="Times New Roman" w:hAnsi="Times New Roman"/>
          <w:bCs/>
          <w:iCs/>
          <w:lang w:val="es-419"/>
        </w:rPr>
        <w:t>el desarrollo de metodologías de planificación y formulación presupuestar</w:t>
      </w:r>
      <w:r w:rsidR="00D7170E" w:rsidRPr="007E5EE6">
        <w:rPr>
          <w:rFonts w:ascii="Times New Roman" w:hAnsi="Times New Roman"/>
          <w:bCs/>
          <w:iCs/>
          <w:lang w:val="es-419"/>
        </w:rPr>
        <w:t>i</w:t>
      </w:r>
      <w:r w:rsidR="00FB71FD" w:rsidRPr="007E5EE6">
        <w:rPr>
          <w:rFonts w:ascii="Times New Roman" w:hAnsi="Times New Roman"/>
          <w:bCs/>
          <w:iCs/>
          <w:lang w:val="es-419"/>
        </w:rPr>
        <w:t xml:space="preserve">a para hacerlas acorde </w:t>
      </w:r>
      <w:r w:rsidR="0007077A" w:rsidRPr="007E5EE6">
        <w:rPr>
          <w:rFonts w:ascii="Times New Roman" w:hAnsi="Times New Roman"/>
          <w:bCs/>
          <w:iCs/>
          <w:lang w:val="es-419"/>
        </w:rPr>
        <w:t xml:space="preserve">con el modelo de GPR. </w:t>
      </w:r>
      <w:r w:rsidR="00C90AE9" w:rsidRPr="007E5EE6">
        <w:rPr>
          <w:rFonts w:ascii="Times New Roman" w:hAnsi="Times New Roman"/>
          <w:bCs/>
          <w:iCs/>
          <w:lang w:val="es-419"/>
        </w:rPr>
        <w:t xml:space="preserve">Para esto </w:t>
      </w:r>
      <w:r w:rsidR="00033BD1" w:rsidRPr="007E5EE6">
        <w:rPr>
          <w:rFonts w:ascii="Times New Roman" w:hAnsi="Times New Roman"/>
          <w:bCs/>
          <w:iCs/>
          <w:lang w:val="es-419"/>
        </w:rPr>
        <w:t xml:space="preserve">es </w:t>
      </w:r>
      <w:r w:rsidR="00E3275F" w:rsidRPr="007E5EE6">
        <w:rPr>
          <w:rFonts w:ascii="Times New Roman" w:hAnsi="Times New Roman"/>
          <w:bCs/>
          <w:iCs/>
          <w:lang w:val="es-419"/>
        </w:rPr>
        <w:t>prioritario co</w:t>
      </w:r>
      <w:r w:rsidR="00E3275F">
        <w:rPr>
          <w:rFonts w:ascii="Times New Roman" w:hAnsi="Times New Roman"/>
          <w:bCs/>
          <w:iCs/>
          <w:lang w:val="es-419"/>
        </w:rPr>
        <w:t xml:space="preserve">nsolidar las metodologías incipientes que ya están </w:t>
      </w:r>
      <w:r w:rsidR="00423489">
        <w:rPr>
          <w:rFonts w:ascii="Times New Roman" w:hAnsi="Times New Roman"/>
          <w:bCs/>
          <w:iCs/>
          <w:lang w:val="es-419"/>
        </w:rPr>
        <w:t>puestas en marcha</w:t>
      </w:r>
      <w:r w:rsidR="007A461E">
        <w:rPr>
          <w:rFonts w:ascii="Times New Roman" w:hAnsi="Times New Roman"/>
          <w:bCs/>
          <w:iCs/>
          <w:lang w:val="es-419"/>
        </w:rPr>
        <w:t xml:space="preserve"> </w:t>
      </w:r>
      <w:r w:rsidR="00F87E85">
        <w:rPr>
          <w:rFonts w:ascii="Times New Roman" w:hAnsi="Times New Roman"/>
          <w:bCs/>
          <w:iCs/>
          <w:lang w:val="es-419"/>
        </w:rPr>
        <w:t xml:space="preserve">e iniciar un despliegue de la metodología de Gestión por Resultados en </w:t>
      </w:r>
      <w:r w:rsidR="00A73794">
        <w:rPr>
          <w:rFonts w:ascii="Times New Roman" w:hAnsi="Times New Roman"/>
          <w:bCs/>
          <w:iCs/>
          <w:lang w:val="es-419"/>
        </w:rPr>
        <w:t xml:space="preserve">una muestra de instituciones del Gobierno Central, para posteriormente </w:t>
      </w:r>
      <w:r w:rsidR="006E4138">
        <w:rPr>
          <w:rFonts w:ascii="Times New Roman" w:hAnsi="Times New Roman"/>
          <w:bCs/>
          <w:iCs/>
          <w:lang w:val="es-419"/>
        </w:rPr>
        <w:t>contar un con uso extensivo de</w:t>
      </w:r>
      <w:r w:rsidR="008C6977">
        <w:rPr>
          <w:rFonts w:ascii="Times New Roman" w:hAnsi="Times New Roman"/>
          <w:bCs/>
          <w:iCs/>
          <w:lang w:val="es-419"/>
        </w:rPr>
        <w:t xml:space="preserve"> la metodología.</w:t>
      </w:r>
      <w:r w:rsidR="008C6977">
        <w:rPr>
          <w:rStyle w:val="FootnoteReference"/>
          <w:rFonts w:ascii="Times New Roman" w:hAnsi="Times New Roman"/>
          <w:bCs/>
          <w:iCs/>
          <w:lang w:val="es-419"/>
        </w:rPr>
        <w:footnoteReference w:id="81"/>
      </w:r>
    </w:p>
    <w:p w14:paraId="4ED7D6B2" w14:textId="77777777" w:rsidR="00AE194F" w:rsidRDefault="00556FA7" w:rsidP="00A92D9D">
      <w:pPr>
        <w:tabs>
          <w:tab w:val="left" w:pos="810"/>
          <w:tab w:val="left" w:pos="1531"/>
        </w:tabs>
        <w:autoSpaceDE w:val="0"/>
        <w:autoSpaceDN w:val="0"/>
        <w:adjustRightInd w:val="0"/>
        <w:spacing w:before="120" w:line="360" w:lineRule="auto"/>
        <w:jc w:val="both"/>
        <w:rPr>
          <w:rFonts w:ascii="Times New Roman" w:hAnsi="Times New Roman"/>
          <w:bCs/>
          <w:iCs/>
        </w:rPr>
      </w:pPr>
      <w:r>
        <w:rPr>
          <w:rFonts w:ascii="Times New Roman" w:hAnsi="Times New Roman"/>
          <w:b/>
          <w:bCs/>
          <w:iCs/>
        </w:rPr>
        <w:t>E</w:t>
      </w:r>
      <w:r w:rsidR="000A0413" w:rsidRPr="007E21A5">
        <w:rPr>
          <w:rFonts w:ascii="Times New Roman" w:hAnsi="Times New Roman"/>
          <w:b/>
          <w:bCs/>
          <w:iCs/>
        </w:rPr>
        <w:t xml:space="preserve">s </w:t>
      </w:r>
      <w:r w:rsidR="007E21A5" w:rsidRPr="007E21A5">
        <w:rPr>
          <w:rFonts w:ascii="Times New Roman" w:hAnsi="Times New Roman"/>
          <w:b/>
          <w:bCs/>
          <w:iCs/>
        </w:rPr>
        <w:t xml:space="preserve">altamente recomendada la implantación de una regla fiscal de gasto </w:t>
      </w:r>
      <w:r w:rsidR="00721905" w:rsidRPr="007E21A5">
        <w:rPr>
          <w:rFonts w:ascii="Times New Roman" w:hAnsi="Times New Roman"/>
          <w:b/>
          <w:bCs/>
          <w:iCs/>
        </w:rPr>
        <w:t xml:space="preserve">para operativizar los </w:t>
      </w:r>
      <w:r w:rsidR="000A0413" w:rsidRPr="007E21A5">
        <w:rPr>
          <w:rFonts w:ascii="Times New Roman" w:hAnsi="Times New Roman"/>
          <w:b/>
          <w:bCs/>
          <w:iCs/>
        </w:rPr>
        <w:t xml:space="preserve">preceptos legales y constitucionales </w:t>
      </w:r>
      <w:r w:rsidR="00381471">
        <w:rPr>
          <w:rFonts w:ascii="Times New Roman" w:hAnsi="Times New Roman"/>
          <w:b/>
          <w:bCs/>
          <w:iCs/>
        </w:rPr>
        <w:t xml:space="preserve">ya </w:t>
      </w:r>
      <w:r w:rsidR="000A0413" w:rsidRPr="007E21A5">
        <w:rPr>
          <w:rFonts w:ascii="Times New Roman" w:hAnsi="Times New Roman"/>
          <w:b/>
          <w:bCs/>
          <w:iCs/>
        </w:rPr>
        <w:t>existentes.</w:t>
      </w:r>
      <w:r w:rsidR="007E21A5">
        <w:rPr>
          <w:rFonts w:ascii="Times New Roman" w:hAnsi="Times New Roman"/>
          <w:b/>
          <w:bCs/>
          <w:iCs/>
        </w:rPr>
        <w:t xml:space="preserve"> </w:t>
      </w:r>
      <w:r w:rsidR="00911431" w:rsidRPr="00911431">
        <w:rPr>
          <w:rFonts w:ascii="Times New Roman" w:hAnsi="Times New Roman"/>
          <w:bCs/>
          <w:iCs/>
        </w:rPr>
        <w:t>Como resultado de la crisis del 2008, se han empezado a implantar reglas fiscales de mayor complejidad</w:t>
      </w:r>
      <w:r w:rsidR="00911431">
        <w:rPr>
          <w:rFonts w:ascii="Times New Roman" w:hAnsi="Times New Roman"/>
          <w:bCs/>
          <w:iCs/>
        </w:rPr>
        <w:t xml:space="preserve"> en los países,</w:t>
      </w:r>
      <w:r w:rsidR="00911431" w:rsidRPr="00911431">
        <w:rPr>
          <w:rFonts w:ascii="Times New Roman" w:hAnsi="Times New Roman"/>
          <w:bCs/>
          <w:iCs/>
        </w:rPr>
        <w:t xml:space="preserve"> para mejorar la efectividad y la flexibilidad, pero sobre</w:t>
      </w:r>
      <w:r w:rsidR="00911431">
        <w:rPr>
          <w:rFonts w:ascii="Times New Roman" w:hAnsi="Times New Roman"/>
          <w:bCs/>
          <w:iCs/>
        </w:rPr>
        <w:t xml:space="preserve"> </w:t>
      </w:r>
      <w:r w:rsidR="00911431" w:rsidRPr="00911431">
        <w:rPr>
          <w:rFonts w:ascii="Times New Roman" w:hAnsi="Times New Roman"/>
          <w:bCs/>
          <w:iCs/>
        </w:rPr>
        <w:t>todo adaptándolas al ciclo económico y reforzando la supervisión para garantizar la disciplina fiscal de largo plazo</w:t>
      </w:r>
      <w:r w:rsidR="002A2949">
        <w:rPr>
          <w:rFonts w:ascii="Times New Roman" w:hAnsi="Times New Roman"/>
          <w:bCs/>
          <w:iCs/>
        </w:rPr>
        <w:t>.</w:t>
      </w:r>
      <w:r w:rsidR="007E7F26">
        <w:rPr>
          <w:rStyle w:val="FootnoteReference"/>
          <w:rFonts w:ascii="Times New Roman" w:hAnsi="Times New Roman"/>
          <w:bCs/>
          <w:iCs/>
        </w:rPr>
        <w:footnoteReference w:id="82"/>
      </w:r>
      <w:r w:rsidR="00911431" w:rsidRPr="00911431">
        <w:rPr>
          <w:rFonts w:ascii="Times New Roman" w:hAnsi="Times New Roman"/>
          <w:bCs/>
          <w:iCs/>
        </w:rPr>
        <w:t xml:space="preserve"> </w:t>
      </w:r>
      <w:r w:rsidR="004C47D7" w:rsidRPr="004C47D7">
        <w:rPr>
          <w:rFonts w:ascii="Times New Roman" w:hAnsi="Times New Roman"/>
          <w:bCs/>
          <w:iCs/>
        </w:rPr>
        <w:t>Las reglas fiscales han mostrado ser efectivas para mejorar los balances fiscales y para reducir los diferenciales de tasas de interés en los bonos gubernamentales.</w:t>
      </w:r>
      <w:r w:rsidR="00C46703">
        <w:rPr>
          <w:rStyle w:val="FootnoteReference"/>
          <w:rFonts w:ascii="Times New Roman" w:hAnsi="Times New Roman"/>
          <w:bCs/>
          <w:iCs/>
        </w:rPr>
        <w:footnoteReference w:id="83"/>
      </w:r>
      <w:r w:rsidR="00792CEB">
        <w:rPr>
          <w:rFonts w:ascii="Times New Roman" w:hAnsi="Times New Roman"/>
          <w:bCs/>
          <w:iCs/>
        </w:rPr>
        <w:t xml:space="preserve"> En particular, </w:t>
      </w:r>
      <w:r w:rsidR="00E826B1">
        <w:rPr>
          <w:rFonts w:ascii="Times New Roman" w:hAnsi="Times New Roman"/>
          <w:bCs/>
          <w:iCs/>
        </w:rPr>
        <w:t>y como lo ha he</w:t>
      </w:r>
      <w:r w:rsidR="00D115CE">
        <w:rPr>
          <w:rFonts w:ascii="Times New Roman" w:hAnsi="Times New Roman"/>
          <w:bCs/>
          <w:iCs/>
        </w:rPr>
        <w:t>cho Perú desde 2008</w:t>
      </w:r>
      <w:r w:rsidR="00E826B1">
        <w:rPr>
          <w:rFonts w:ascii="Times New Roman" w:hAnsi="Times New Roman"/>
          <w:bCs/>
          <w:iCs/>
        </w:rPr>
        <w:t xml:space="preserve">, </w:t>
      </w:r>
      <w:r w:rsidR="002C297E">
        <w:rPr>
          <w:rFonts w:ascii="Times New Roman" w:hAnsi="Times New Roman"/>
          <w:bCs/>
          <w:iCs/>
        </w:rPr>
        <w:t>es adecuado implantar una regla fiscal de gasto</w:t>
      </w:r>
      <w:r w:rsidR="00C20D19">
        <w:rPr>
          <w:rFonts w:ascii="Times New Roman" w:hAnsi="Times New Roman"/>
          <w:bCs/>
          <w:iCs/>
        </w:rPr>
        <w:t xml:space="preserve"> </w:t>
      </w:r>
      <w:r w:rsidR="00890809">
        <w:rPr>
          <w:rFonts w:ascii="Times New Roman" w:hAnsi="Times New Roman"/>
          <w:bCs/>
          <w:iCs/>
        </w:rPr>
        <w:t>(</w:t>
      </w:r>
      <w:r w:rsidR="00C20D19">
        <w:rPr>
          <w:rFonts w:ascii="Times New Roman" w:hAnsi="Times New Roman"/>
          <w:bCs/>
          <w:iCs/>
        </w:rPr>
        <w:t>corriente</w:t>
      </w:r>
      <w:r w:rsidR="00890809">
        <w:rPr>
          <w:rFonts w:ascii="Times New Roman" w:hAnsi="Times New Roman"/>
          <w:bCs/>
          <w:iCs/>
        </w:rPr>
        <w:t>)</w:t>
      </w:r>
      <w:r w:rsidR="002C297E">
        <w:rPr>
          <w:rFonts w:ascii="Times New Roman" w:hAnsi="Times New Roman"/>
          <w:bCs/>
          <w:iCs/>
        </w:rPr>
        <w:t xml:space="preserve"> pues </w:t>
      </w:r>
      <w:r w:rsidR="00D46809">
        <w:rPr>
          <w:rFonts w:ascii="Times New Roman" w:hAnsi="Times New Roman"/>
          <w:bCs/>
          <w:iCs/>
        </w:rPr>
        <w:t xml:space="preserve">estas son </w:t>
      </w:r>
      <w:r w:rsidR="00280B56">
        <w:rPr>
          <w:rFonts w:ascii="Times New Roman" w:hAnsi="Times New Roman"/>
          <w:bCs/>
          <w:iCs/>
        </w:rPr>
        <w:t xml:space="preserve">muy </w:t>
      </w:r>
      <w:r w:rsidR="00D46809">
        <w:rPr>
          <w:rFonts w:ascii="Times New Roman" w:hAnsi="Times New Roman"/>
          <w:bCs/>
          <w:iCs/>
        </w:rPr>
        <w:t xml:space="preserve">utilizadas para consolidaciones fiscales, </w:t>
      </w:r>
      <w:r w:rsidR="007C205C">
        <w:rPr>
          <w:rFonts w:ascii="Times New Roman" w:hAnsi="Times New Roman"/>
          <w:bCs/>
          <w:iCs/>
        </w:rPr>
        <w:t>además, se han logrado balances primarios</w:t>
      </w:r>
      <w:r w:rsidR="005A6883">
        <w:rPr>
          <w:rFonts w:ascii="Times New Roman" w:hAnsi="Times New Roman"/>
          <w:bCs/>
          <w:iCs/>
        </w:rPr>
        <w:t xml:space="preserve"> </w:t>
      </w:r>
      <w:r w:rsidR="00F05EB7">
        <w:rPr>
          <w:rFonts w:ascii="Times New Roman" w:hAnsi="Times New Roman"/>
          <w:bCs/>
          <w:iCs/>
        </w:rPr>
        <w:t xml:space="preserve">más altos en los países que las han implementado, así como una </w:t>
      </w:r>
      <w:r w:rsidR="007E0342">
        <w:rPr>
          <w:rFonts w:ascii="Times New Roman" w:hAnsi="Times New Roman"/>
          <w:bCs/>
          <w:iCs/>
        </w:rPr>
        <w:t xml:space="preserve">mayor </w:t>
      </w:r>
      <w:r w:rsidR="00F05EB7">
        <w:rPr>
          <w:rFonts w:ascii="Times New Roman" w:hAnsi="Times New Roman"/>
          <w:bCs/>
          <w:iCs/>
        </w:rPr>
        <w:t>disminución del gasto primario.</w:t>
      </w:r>
      <w:r w:rsidR="00F05EB7">
        <w:rPr>
          <w:rStyle w:val="FootnoteReference"/>
          <w:rFonts w:ascii="Times New Roman" w:hAnsi="Times New Roman"/>
          <w:bCs/>
          <w:iCs/>
        </w:rPr>
        <w:footnoteReference w:id="84"/>
      </w:r>
      <w:r w:rsidR="00F05EB7">
        <w:rPr>
          <w:rFonts w:ascii="Times New Roman" w:hAnsi="Times New Roman"/>
          <w:bCs/>
          <w:iCs/>
        </w:rPr>
        <w:t xml:space="preserve"> </w:t>
      </w:r>
      <w:r w:rsidR="00063981">
        <w:rPr>
          <w:rFonts w:ascii="Times New Roman" w:hAnsi="Times New Roman"/>
          <w:bCs/>
          <w:iCs/>
        </w:rPr>
        <w:t>No obstante lo anterior, es importante mencionar que en los países que se ha implementado una regla fiscal de gasto</w:t>
      </w:r>
      <w:r w:rsidR="00331BD6">
        <w:rPr>
          <w:rFonts w:ascii="Times New Roman" w:hAnsi="Times New Roman"/>
          <w:bCs/>
          <w:iCs/>
        </w:rPr>
        <w:t xml:space="preserve"> se ha experimentado una disminución promedio significativa </w:t>
      </w:r>
      <w:r w:rsidR="007143DB">
        <w:rPr>
          <w:rFonts w:ascii="Times New Roman" w:hAnsi="Times New Roman"/>
          <w:bCs/>
          <w:iCs/>
        </w:rPr>
        <w:t>del gasto en inversión, lo cual es un punto crítico a considerar para Costa Rica</w:t>
      </w:r>
      <w:r w:rsidR="00280B56">
        <w:rPr>
          <w:rFonts w:ascii="Times New Roman" w:hAnsi="Times New Roman"/>
          <w:bCs/>
          <w:iCs/>
        </w:rPr>
        <w:t xml:space="preserve"> por su </w:t>
      </w:r>
      <w:r w:rsidR="006A22F6">
        <w:rPr>
          <w:rFonts w:ascii="Times New Roman" w:hAnsi="Times New Roman"/>
          <w:bCs/>
          <w:iCs/>
        </w:rPr>
        <w:t>crítico rezago en infraestructura</w:t>
      </w:r>
      <w:r w:rsidR="007143DB">
        <w:rPr>
          <w:rFonts w:ascii="Times New Roman" w:hAnsi="Times New Roman"/>
          <w:bCs/>
          <w:iCs/>
        </w:rPr>
        <w:t>.</w:t>
      </w:r>
      <w:r w:rsidR="00E76F5E" w:rsidRPr="00E76F5E">
        <w:rPr>
          <w:rStyle w:val="FootnoteReference"/>
          <w:rFonts w:ascii="Times New Roman" w:hAnsi="Times New Roman"/>
          <w:bCs/>
          <w:iCs/>
        </w:rPr>
        <w:t xml:space="preserve"> </w:t>
      </w:r>
      <w:r w:rsidR="00E76F5E">
        <w:rPr>
          <w:rStyle w:val="FootnoteReference"/>
          <w:rFonts w:ascii="Times New Roman" w:hAnsi="Times New Roman"/>
          <w:bCs/>
          <w:iCs/>
        </w:rPr>
        <w:footnoteReference w:id="85"/>
      </w:r>
    </w:p>
    <w:p w14:paraId="4954579C" w14:textId="77777777" w:rsidR="007143DB" w:rsidRDefault="00B17FD3" w:rsidP="00DB5307">
      <w:pPr>
        <w:tabs>
          <w:tab w:val="left" w:pos="810"/>
          <w:tab w:val="left" w:pos="1531"/>
        </w:tabs>
        <w:autoSpaceDE w:val="0"/>
        <w:autoSpaceDN w:val="0"/>
        <w:adjustRightInd w:val="0"/>
        <w:spacing w:before="120" w:after="0" w:line="360" w:lineRule="auto"/>
        <w:jc w:val="both"/>
        <w:rPr>
          <w:rFonts w:ascii="Times New Roman" w:hAnsi="Times New Roman"/>
          <w:bCs/>
          <w:iCs/>
        </w:rPr>
      </w:pPr>
      <w:r w:rsidRPr="006A22F6">
        <w:rPr>
          <w:rFonts w:ascii="Times New Roman" w:hAnsi="Times New Roman"/>
          <w:b/>
          <w:bCs/>
          <w:iCs/>
        </w:rPr>
        <w:t>Actualmente, existe una propuesta de</w:t>
      </w:r>
      <w:r w:rsidR="006A22F6" w:rsidRPr="006A22F6">
        <w:rPr>
          <w:rFonts w:ascii="Times New Roman" w:hAnsi="Times New Roman"/>
          <w:b/>
          <w:bCs/>
          <w:iCs/>
        </w:rPr>
        <w:t xml:space="preserve"> regla fiscal de gasto presentada en la Asamblea Legislativa. </w:t>
      </w:r>
      <w:r w:rsidR="006A22F6">
        <w:rPr>
          <w:rFonts w:ascii="Times New Roman" w:hAnsi="Times New Roman"/>
          <w:bCs/>
          <w:iCs/>
        </w:rPr>
        <w:t xml:space="preserve">Esta propuesta </w:t>
      </w:r>
      <w:r w:rsidR="008310F6">
        <w:rPr>
          <w:rFonts w:ascii="Times New Roman" w:hAnsi="Times New Roman"/>
          <w:bCs/>
          <w:iCs/>
        </w:rPr>
        <w:t>define una regla fiscal de gasto de doble condición</w:t>
      </w:r>
      <w:r w:rsidR="00855BA7">
        <w:rPr>
          <w:rFonts w:ascii="Times New Roman" w:hAnsi="Times New Roman"/>
          <w:bCs/>
          <w:iCs/>
        </w:rPr>
        <w:t xml:space="preserve">, o sea define límites </w:t>
      </w:r>
      <w:r w:rsidR="00980B88">
        <w:rPr>
          <w:rFonts w:ascii="Times New Roman" w:hAnsi="Times New Roman"/>
          <w:bCs/>
          <w:iCs/>
        </w:rPr>
        <w:t>al crecimiento del gasto dependiendo del nivel de deuda a PIB y del crecimiento económico.</w:t>
      </w:r>
      <w:r w:rsidR="00036CA3">
        <w:rPr>
          <w:rStyle w:val="FootnoteReference"/>
          <w:rFonts w:ascii="Times New Roman" w:hAnsi="Times New Roman"/>
          <w:bCs/>
          <w:iCs/>
        </w:rPr>
        <w:footnoteReference w:id="86"/>
      </w:r>
      <w:r w:rsidR="00980B88">
        <w:rPr>
          <w:rFonts w:ascii="Times New Roman" w:hAnsi="Times New Roman"/>
          <w:bCs/>
          <w:iCs/>
        </w:rPr>
        <w:t xml:space="preserve"> Específicamente</w:t>
      </w:r>
      <w:r w:rsidR="00866466">
        <w:rPr>
          <w:rFonts w:ascii="Times New Roman" w:hAnsi="Times New Roman"/>
          <w:bCs/>
          <w:iCs/>
        </w:rPr>
        <w:t>,</w:t>
      </w:r>
      <w:r w:rsidR="00980B88">
        <w:rPr>
          <w:rFonts w:ascii="Times New Roman" w:hAnsi="Times New Roman"/>
          <w:bCs/>
          <w:iCs/>
        </w:rPr>
        <w:t xml:space="preserve"> </w:t>
      </w:r>
      <w:r w:rsidR="00773827">
        <w:rPr>
          <w:rFonts w:ascii="Times New Roman" w:hAnsi="Times New Roman"/>
          <w:bCs/>
          <w:iCs/>
        </w:rPr>
        <w:t>e</w:t>
      </w:r>
      <w:r w:rsidR="005D04BB" w:rsidRPr="005D04BB">
        <w:rPr>
          <w:rFonts w:ascii="Times New Roman" w:hAnsi="Times New Roman"/>
          <w:bCs/>
          <w:iCs/>
        </w:rPr>
        <w:t xml:space="preserve">l aumento anual del gasto corriente tiene como </w:t>
      </w:r>
      <w:r w:rsidR="00B57E43">
        <w:rPr>
          <w:rFonts w:ascii="Times New Roman" w:hAnsi="Times New Roman"/>
          <w:bCs/>
          <w:iCs/>
        </w:rPr>
        <w:t>referenci</w:t>
      </w:r>
      <w:r w:rsidR="003070C8">
        <w:rPr>
          <w:rFonts w:ascii="Times New Roman" w:hAnsi="Times New Roman"/>
          <w:bCs/>
          <w:iCs/>
        </w:rPr>
        <w:t>a</w:t>
      </w:r>
      <w:r w:rsidR="005D04BB" w:rsidRPr="005D04BB">
        <w:rPr>
          <w:rFonts w:ascii="Times New Roman" w:hAnsi="Times New Roman"/>
          <w:bCs/>
          <w:iCs/>
        </w:rPr>
        <w:t xml:space="preserve"> el promedio del crecimiento del PIB en los cuatro años anteriores multiplicado por un coeficiente que depende del nivel de deuda del Gobierno </w:t>
      </w:r>
      <w:r w:rsidR="00BE3365">
        <w:rPr>
          <w:rFonts w:ascii="Times New Roman" w:hAnsi="Times New Roman"/>
          <w:bCs/>
          <w:iCs/>
        </w:rPr>
        <w:t>C</w:t>
      </w:r>
      <w:r w:rsidR="005D04BB" w:rsidRPr="005D04BB">
        <w:rPr>
          <w:rFonts w:ascii="Times New Roman" w:hAnsi="Times New Roman"/>
          <w:bCs/>
          <w:iCs/>
        </w:rPr>
        <w:t xml:space="preserve">entral: </w:t>
      </w:r>
      <w:r w:rsidR="00866466">
        <w:rPr>
          <w:rFonts w:ascii="Times New Roman" w:hAnsi="Times New Roman"/>
          <w:bCs/>
          <w:iCs/>
        </w:rPr>
        <w:t xml:space="preserve">coeficiente de 1 </w:t>
      </w:r>
      <w:r w:rsidR="005D04BB" w:rsidRPr="005D04BB">
        <w:rPr>
          <w:rFonts w:ascii="Times New Roman" w:hAnsi="Times New Roman"/>
          <w:bCs/>
          <w:iCs/>
        </w:rPr>
        <w:t xml:space="preserve">cuando la deuda del ejercicio anterior sea inferior al 30% del PIB o </w:t>
      </w:r>
      <w:r w:rsidR="00A8669D">
        <w:rPr>
          <w:rFonts w:ascii="Times New Roman" w:hAnsi="Times New Roman"/>
          <w:bCs/>
          <w:iCs/>
        </w:rPr>
        <w:t xml:space="preserve">cuando </w:t>
      </w:r>
      <w:r w:rsidR="005D04BB" w:rsidRPr="005D04BB">
        <w:rPr>
          <w:rFonts w:ascii="Times New Roman" w:hAnsi="Times New Roman"/>
          <w:bCs/>
          <w:iCs/>
        </w:rPr>
        <w:t>la relación gasto corriente/PIB del Gobierno central sea del 17%; 0,85 cuando la deuda sea igual o mayor al 30% pero menor del 45% del PIB; 0,75 cuando la deuda sea igual o mayor al 45% pero menor del 60% del PIB; y 0,65 cuando la deuda sea igual o mayor al 60% del PIB.</w:t>
      </w:r>
      <w:r w:rsidR="00B07EE4">
        <w:rPr>
          <w:rFonts w:ascii="Times New Roman" w:hAnsi="Times New Roman"/>
          <w:bCs/>
          <w:iCs/>
        </w:rPr>
        <w:t xml:space="preserve"> Por último, s</w:t>
      </w:r>
      <w:r w:rsidR="005D04BB" w:rsidRPr="005D04BB">
        <w:rPr>
          <w:rFonts w:ascii="Times New Roman" w:hAnsi="Times New Roman"/>
          <w:bCs/>
          <w:iCs/>
        </w:rPr>
        <w:t>e fijan cláusulas de escape en caso de emergencia nacional o recesión económica.</w:t>
      </w:r>
      <w:r w:rsidR="00B31F27">
        <w:rPr>
          <w:rFonts w:ascii="Times New Roman" w:hAnsi="Times New Roman"/>
          <w:bCs/>
          <w:iCs/>
        </w:rPr>
        <w:t xml:space="preserve"> Se aplica </w:t>
      </w:r>
      <w:r w:rsidR="005D2AAD">
        <w:rPr>
          <w:rFonts w:ascii="Times New Roman" w:hAnsi="Times New Roman"/>
          <w:bCs/>
          <w:iCs/>
        </w:rPr>
        <w:t>a las empresas públicas</w:t>
      </w:r>
      <w:r w:rsidR="00B31F27">
        <w:rPr>
          <w:rFonts w:ascii="Times New Roman" w:hAnsi="Times New Roman"/>
          <w:bCs/>
          <w:iCs/>
        </w:rPr>
        <w:t xml:space="preserve"> con ciertas excepciones</w:t>
      </w:r>
      <w:r w:rsidR="005D2AAD">
        <w:rPr>
          <w:rFonts w:ascii="Times New Roman" w:hAnsi="Times New Roman"/>
          <w:bCs/>
          <w:iCs/>
        </w:rPr>
        <w:t xml:space="preserve"> si es que su razón deuda a activos </w:t>
      </w:r>
      <w:r w:rsidR="008D5709">
        <w:rPr>
          <w:rFonts w:ascii="Times New Roman" w:hAnsi="Times New Roman"/>
          <w:bCs/>
          <w:iCs/>
        </w:rPr>
        <w:t>constituye un riesgo fiscal (soberano)</w:t>
      </w:r>
      <w:r w:rsidR="00B31F27">
        <w:rPr>
          <w:rFonts w:ascii="Times New Roman" w:hAnsi="Times New Roman"/>
          <w:bCs/>
          <w:iCs/>
        </w:rPr>
        <w:t>.</w:t>
      </w:r>
      <w:r w:rsidR="00B31F27">
        <w:rPr>
          <w:rStyle w:val="FootnoteReference"/>
          <w:rFonts w:ascii="Times New Roman" w:hAnsi="Times New Roman"/>
          <w:bCs/>
          <w:iCs/>
        </w:rPr>
        <w:footnoteReference w:id="87"/>
      </w:r>
    </w:p>
    <w:p w14:paraId="43B1D98F" w14:textId="77777777" w:rsidR="00E77BB9" w:rsidRDefault="00547286" w:rsidP="00230EE7">
      <w:pPr>
        <w:tabs>
          <w:tab w:val="left" w:pos="810"/>
          <w:tab w:val="left" w:pos="1531"/>
        </w:tabs>
        <w:autoSpaceDE w:val="0"/>
        <w:autoSpaceDN w:val="0"/>
        <w:adjustRightInd w:val="0"/>
        <w:spacing w:before="120" w:after="0" w:line="360" w:lineRule="auto"/>
        <w:jc w:val="both"/>
        <w:rPr>
          <w:rFonts w:ascii="Times New Roman" w:hAnsi="Times New Roman" w:cs="Times New Roman"/>
          <w:szCs w:val="24"/>
        </w:rPr>
      </w:pPr>
      <w:r w:rsidRPr="006152C2">
        <w:rPr>
          <w:rFonts w:ascii="Times New Roman" w:hAnsi="Times New Roman"/>
          <w:b/>
          <w:bCs/>
          <w:iCs/>
        </w:rPr>
        <w:t>En análisis retrospectivo, se estima que la regla fiscal</w:t>
      </w:r>
      <w:r w:rsidR="00C56B72" w:rsidRPr="006152C2">
        <w:rPr>
          <w:rFonts w:ascii="Times New Roman" w:hAnsi="Times New Roman"/>
          <w:b/>
          <w:bCs/>
          <w:iCs/>
        </w:rPr>
        <w:t xml:space="preserve"> hubiese generado </w:t>
      </w:r>
      <w:r w:rsidRPr="006152C2">
        <w:rPr>
          <w:rFonts w:ascii="Times New Roman" w:hAnsi="Times New Roman"/>
          <w:b/>
          <w:bCs/>
          <w:iCs/>
        </w:rPr>
        <w:t xml:space="preserve">un ahorro </w:t>
      </w:r>
      <w:r w:rsidR="00575D37" w:rsidRPr="006152C2">
        <w:rPr>
          <w:rFonts w:ascii="Times New Roman" w:hAnsi="Times New Roman"/>
          <w:b/>
          <w:bCs/>
          <w:iCs/>
        </w:rPr>
        <w:t xml:space="preserve">acumulado </w:t>
      </w:r>
      <w:r w:rsidRPr="006152C2">
        <w:rPr>
          <w:rFonts w:ascii="Times New Roman" w:hAnsi="Times New Roman"/>
          <w:b/>
          <w:bCs/>
          <w:iCs/>
        </w:rPr>
        <w:t xml:space="preserve">de </w:t>
      </w:r>
      <w:r w:rsidR="00052F4C" w:rsidRPr="006152C2">
        <w:rPr>
          <w:rFonts w:ascii="Times New Roman" w:hAnsi="Times New Roman"/>
          <w:b/>
          <w:bCs/>
          <w:iCs/>
        </w:rPr>
        <w:t>6,18%</w:t>
      </w:r>
      <w:r w:rsidR="00575D37" w:rsidRPr="006152C2">
        <w:rPr>
          <w:rFonts w:ascii="Times New Roman" w:hAnsi="Times New Roman"/>
          <w:b/>
          <w:bCs/>
          <w:iCs/>
        </w:rPr>
        <w:t xml:space="preserve"> del PIB.</w:t>
      </w:r>
      <w:r w:rsidR="006152C2">
        <w:rPr>
          <w:rFonts w:ascii="Times New Roman" w:hAnsi="Times New Roman"/>
          <w:b/>
          <w:bCs/>
          <w:iCs/>
        </w:rPr>
        <w:t xml:space="preserve"> </w:t>
      </w:r>
      <w:r w:rsidR="006152C2" w:rsidRPr="00230EE7">
        <w:rPr>
          <w:rFonts w:ascii="Times New Roman" w:hAnsi="Times New Roman"/>
          <w:bCs/>
          <w:iCs/>
        </w:rPr>
        <w:t xml:space="preserve">Se estima que </w:t>
      </w:r>
      <w:r w:rsidR="002545DE" w:rsidRPr="00EC03B5">
        <w:rPr>
          <w:rFonts w:ascii="Times New Roman" w:hAnsi="Times New Roman" w:cs="Times New Roman"/>
          <w:szCs w:val="24"/>
        </w:rPr>
        <w:t>los efectos de esta regla aplicándola de manera retrospectiva desde 2007 a 2015</w:t>
      </w:r>
      <w:r w:rsidR="00062B9D">
        <w:rPr>
          <w:rFonts w:ascii="Times New Roman" w:hAnsi="Times New Roman" w:cs="Times New Roman"/>
          <w:szCs w:val="24"/>
        </w:rPr>
        <w:t>,</w:t>
      </w:r>
      <w:r w:rsidR="002545DE" w:rsidRPr="00EC03B5">
        <w:rPr>
          <w:rFonts w:ascii="Times New Roman" w:hAnsi="Times New Roman" w:cs="Times New Roman"/>
          <w:szCs w:val="24"/>
        </w:rPr>
        <w:t xml:space="preserve"> el ahorro acumulado en 2015 sería del 6,18% del PIB (0,68 puntos anuales) y la deuda sería 4,16 puntos inferior</w:t>
      </w:r>
      <w:r w:rsidR="00F37903">
        <w:rPr>
          <w:rFonts w:ascii="Times New Roman" w:hAnsi="Times New Roman" w:cs="Times New Roman"/>
          <w:szCs w:val="24"/>
        </w:rPr>
        <w:t xml:space="preserve">, además se </w:t>
      </w:r>
      <w:r w:rsidR="00830668">
        <w:rPr>
          <w:rFonts w:ascii="Times New Roman" w:hAnsi="Times New Roman" w:cs="Times New Roman"/>
          <w:szCs w:val="24"/>
        </w:rPr>
        <w:t>controlaría el crecimiento de salarios uno de los componentes más importantes del gasto corriente (ver gráficos 1</w:t>
      </w:r>
      <w:r w:rsidR="00912731">
        <w:rPr>
          <w:rFonts w:ascii="Times New Roman" w:hAnsi="Times New Roman" w:cs="Times New Roman"/>
          <w:szCs w:val="24"/>
        </w:rPr>
        <w:t>9</w:t>
      </w:r>
      <w:r w:rsidR="00830668">
        <w:rPr>
          <w:rFonts w:ascii="Times New Roman" w:hAnsi="Times New Roman" w:cs="Times New Roman"/>
          <w:szCs w:val="24"/>
        </w:rPr>
        <w:t xml:space="preserve"> y </w:t>
      </w:r>
      <w:r w:rsidR="00912731">
        <w:rPr>
          <w:rFonts w:ascii="Times New Roman" w:hAnsi="Times New Roman" w:cs="Times New Roman"/>
          <w:szCs w:val="24"/>
        </w:rPr>
        <w:t>20</w:t>
      </w:r>
      <w:r w:rsidR="00830668">
        <w:rPr>
          <w:rFonts w:ascii="Times New Roman" w:hAnsi="Times New Roman" w:cs="Times New Roman"/>
          <w:szCs w:val="24"/>
        </w:rPr>
        <w:t>)</w:t>
      </w:r>
      <w:r w:rsidR="002545DE" w:rsidRPr="00EC03B5">
        <w:rPr>
          <w:rFonts w:ascii="Times New Roman" w:hAnsi="Times New Roman" w:cs="Times New Roman"/>
          <w:szCs w:val="24"/>
        </w:rPr>
        <w:t xml:space="preserve">. Por otro lado, son las instituciones descentralizadas no empresariales las que con el tiempo más contribuyen a este ahorro; en particular, las </w:t>
      </w:r>
      <w:r w:rsidR="00912731">
        <w:rPr>
          <w:rFonts w:ascii="Times New Roman" w:hAnsi="Times New Roman" w:cs="Times New Roman"/>
          <w:szCs w:val="24"/>
        </w:rPr>
        <w:t>u</w:t>
      </w:r>
      <w:r w:rsidR="002545DE" w:rsidRPr="00EC03B5">
        <w:rPr>
          <w:rFonts w:ascii="Times New Roman" w:hAnsi="Times New Roman" w:cs="Times New Roman"/>
          <w:szCs w:val="24"/>
        </w:rPr>
        <w:t xml:space="preserve">niversidades </w:t>
      </w:r>
      <w:r w:rsidR="00912731">
        <w:rPr>
          <w:rFonts w:ascii="Times New Roman" w:hAnsi="Times New Roman" w:cs="Times New Roman"/>
          <w:szCs w:val="24"/>
        </w:rPr>
        <w:t>e</w:t>
      </w:r>
      <w:r w:rsidR="002545DE" w:rsidRPr="00EC03B5">
        <w:rPr>
          <w:rFonts w:ascii="Times New Roman" w:hAnsi="Times New Roman" w:cs="Times New Roman"/>
          <w:szCs w:val="24"/>
        </w:rPr>
        <w:t>stales.</w:t>
      </w:r>
      <w:r w:rsidR="00530662">
        <w:rPr>
          <w:rFonts w:ascii="Times New Roman" w:hAnsi="Times New Roman" w:cs="Times New Roman"/>
          <w:szCs w:val="24"/>
        </w:rPr>
        <w:t xml:space="preserve"> </w:t>
      </w:r>
    </w:p>
    <w:p w14:paraId="18F40D48" w14:textId="77777777" w:rsidR="002545DE" w:rsidRDefault="00F37903" w:rsidP="00230EE7">
      <w:pPr>
        <w:tabs>
          <w:tab w:val="left" w:pos="810"/>
          <w:tab w:val="left" w:pos="1531"/>
        </w:tabs>
        <w:autoSpaceDE w:val="0"/>
        <w:autoSpaceDN w:val="0"/>
        <w:adjustRightInd w:val="0"/>
        <w:spacing w:before="120" w:after="0" w:line="360" w:lineRule="auto"/>
        <w:jc w:val="both"/>
        <w:rPr>
          <w:rFonts w:ascii="Times New Roman" w:hAnsi="Times New Roman" w:cs="Times New Roman"/>
          <w:szCs w:val="24"/>
        </w:rPr>
      </w:pPr>
      <w:r w:rsidRPr="004F0FF1">
        <w:rPr>
          <w:rFonts w:ascii="Times New Roman" w:hAnsi="Times New Roman" w:cs="Times New Roman"/>
          <w:b/>
          <w:szCs w:val="24"/>
        </w:rPr>
        <w:t>Esta regla fiscal tiene importantes ventajas.</w:t>
      </w:r>
      <w:r w:rsidRPr="00F37903">
        <w:rPr>
          <w:rFonts w:ascii="Times New Roman" w:hAnsi="Times New Roman" w:cs="Times New Roman"/>
          <w:szCs w:val="24"/>
        </w:rPr>
        <w:t xml:space="preserve"> La primera es el ahorro</w:t>
      </w:r>
      <w:r w:rsidR="008D5709">
        <w:rPr>
          <w:rFonts w:ascii="Times New Roman" w:hAnsi="Times New Roman" w:cs="Times New Roman"/>
          <w:szCs w:val="24"/>
        </w:rPr>
        <w:t xml:space="preserve"> público</w:t>
      </w:r>
      <w:r w:rsidRPr="00F37903">
        <w:rPr>
          <w:rFonts w:ascii="Times New Roman" w:hAnsi="Times New Roman" w:cs="Times New Roman"/>
          <w:szCs w:val="24"/>
        </w:rPr>
        <w:t xml:space="preserve"> que genera. La segunda, que incide en los gastos corrientes y protege los gastos de capital. En tercer lugar, es una regla sencilla, lo cual es importante en países con poca o nula experiencia en el tema. En cuarto lugar, se liga a la deuda, al establecer una doble condición, lo cual vincula la dinámica del gasto con la sostenibilidad fiscal. Finalmente, es una medida de responsabilidad fiscal, por la que cualquier aumento de gasto tributario se acompaña de medidas compensatorias. No obstante, quedan cosas por detallar: 1) la cláusula de escape de emergencia nacional fija un gasto del 0,3% del PIB para poder suspender la regla, es un límite bajo, a nuestro juicio; 2) la recesión se define como crecimiento inferior al 1%, lo cual es alto; y 3) las sanciones deberían detallarse más</w:t>
      </w:r>
      <w:r w:rsidR="008D540C">
        <w:rPr>
          <w:rFonts w:ascii="Times New Roman" w:hAnsi="Times New Roman" w:cs="Times New Roman"/>
          <w:szCs w:val="24"/>
        </w:rPr>
        <w:t xml:space="preserve"> claramente</w:t>
      </w:r>
      <w:r w:rsidRPr="00F37903">
        <w:rPr>
          <w:rFonts w:ascii="Times New Roman" w:hAnsi="Times New Roman" w:cs="Times New Roman"/>
          <w:szCs w:val="24"/>
        </w:rPr>
        <w:t>.</w:t>
      </w:r>
    </w:p>
    <w:tbl>
      <w:tblPr>
        <w:tblStyle w:val="TableGrid"/>
        <w:tblW w:w="9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9"/>
        <w:gridCol w:w="4579"/>
      </w:tblGrid>
      <w:tr w:rsidR="00044426" w14:paraId="1138C193" w14:textId="77777777" w:rsidTr="00337473">
        <w:trPr>
          <w:trHeight w:val="20"/>
        </w:trPr>
        <w:tc>
          <w:tcPr>
            <w:tcW w:w="4579" w:type="dxa"/>
          </w:tcPr>
          <w:p w14:paraId="65AE3DD3" w14:textId="70AD9E8E" w:rsidR="00044426" w:rsidRPr="00584AEE" w:rsidRDefault="007364D6" w:rsidP="007364D6">
            <w:pPr>
              <w:pStyle w:val="Caption"/>
              <w:jc w:val="center"/>
              <w:rPr>
                <w:rFonts w:ascii="Times New Roman" w:hAnsi="Times New Roman" w:cs="Times New Roman"/>
                <w:b/>
                <w:i w:val="0"/>
                <w:sz w:val="22"/>
                <w:szCs w:val="22"/>
              </w:rPr>
            </w:pPr>
            <w:bookmarkStart w:id="32" w:name="_Toc518399426"/>
            <w:r w:rsidRPr="00584AEE">
              <w:rPr>
                <w:rFonts w:ascii="Times New Roman" w:hAnsi="Times New Roman" w:cs="Times New Roman"/>
                <w:b/>
                <w:i w:val="0"/>
                <w:color w:val="auto"/>
                <w:sz w:val="22"/>
                <w:szCs w:val="22"/>
              </w:rPr>
              <w:t xml:space="preserve">Gráfico </w:t>
            </w:r>
            <w:r w:rsidRPr="00584AEE">
              <w:rPr>
                <w:rFonts w:ascii="Times New Roman" w:hAnsi="Times New Roman" w:cs="Times New Roman"/>
                <w:b/>
                <w:i w:val="0"/>
                <w:color w:val="auto"/>
                <w:sz w:val="22"/>
                <w:szCs w:val="22"/>
              </w:rPr>
              <w:fldChar w:fldCharType="begin"/>
            </w:r>
            <w:r w:rsidRPr="00584AEE">
              <w:rPr>
                <w:rFonts w:ascii="Times New Roman" w:hAnsi="Times New Roman" w:cs="Times New Roman"/>
                <w:b/>
                <w:i w:val="0"/>
                <w:color w:val="auto"/>
                <w:sz w:val="22"/>
                <w:szCs w:val="22"/>
              </w:rPr>
              <w:instrText xml:space="preserve"> SEQ Gráfico \* ARABIC </w:instrText>
            </w:r>
            <w:r w:rsidRPr="00584AEE">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19</w:t>
            </w:r>
            <w:r w:rsidRPr="00584AEE">
              <w:rPr>
                <w:rFonts w:ascii="Times New Roman" w:hAnsi="Times New Roman" w:cs="Times New Roman"/>
                <w:b/>
                <w:i w:val="0"/>
                <w:color w:val="auto"/>
                <w:sz w:val="22"/>
                <w:szCs w:val="22"/>
              </w:rPr>
              <w:fldChar w:fldCharType="end"/>
            </w:r>
            <w:r w:rsidR="00071905" w:rsidRPr="00584AEE">
              <w:rPr>
                <w:rFonts w:ascii="Times New Roman" w:hAnsi="Times New Roman" w:cs="Times New Roman"/>
                <w:b/>
                <w:bCs/>
                <w:i w:val="0"/>
                <w:iCs w:val="0"/>
                <w:color w:val="auto"/>
                <w:sz w:val="22"/>
                <w:szCs w:val="22"/>
              </w:rPr>
              <w:t xml:space="preserve">. </w:t>
            </w:r>
            <w:r w:rsidR="0003580E" w:rsidRPr="00584AEE">
              <w:rPr>
                <w:rFonts w:ascii="Times New Roman" w:hAnsi="Times New Roman" w:cs="Times New Roman"/>
                <w:b/>
                <w:bCs/>
                <w:i w:val="0"/>
                <w:iCs w:val="0"/>
                <w:color w:val="auto"/>
                <w:sz w:val="22"/>
                <w:szCs w:val="22"/>
              </w:rPr>
              <w:t>SPNF sin empresas: Crecimiento Gasto Corriente</w:t>
            </w:r>
            <w:r w:rsidR="00410FE1" w:rsidRPr="00584AEE">
              <w:rPr>
                <w:rFonts w:ascii="Times New Roman" w:hAnsi="Times New Roman" w:cs="Times New Roman"/>
                <w:b/>
                <w:bCs/>
                <w:i w:val="0"/>
                <w:iCs w:val="0"/>
                <w:color w:val="auto"/>
                <w:sz w:val="22"/>
                <w:szCs w:val="22"/>
              </w:rPr>
              <w:t xml:space="preserve"> </w:t>
            </w:r>
            <w:r w:rsidR="0003580E" w:rsidRPr="00584AEE">
              <w:rPr>
                <w:rFonts w:ascii="Times New Roman" w:hAnsi="Times New Roman" w:cs="Times New Roman"/>
                <w:b/>
                <w:bCs/>
                <w:i w:val="0"/>
                <w:iCs w:val="0"/>
                <w:color w:val="auto"/>
                <w:sz w:val="22"/>
                <w:szCs w:val="22"/>
              </w:rPr>
              <w:t>y Salario Reales 2006-2015</w:t>
            </w:r>
            <w:bookmarkEnd w:id="32"/>
          </w:p>
        </w:tc>
        <w:tc>
          <w:tcPr>
            <w:tcW w:w="4579" w:type="dxa"/>
          </w:tcPr>
          <w:p w14:paraId="6886AA1B" w14:textId="35629D8F" w:rsidR="00044426" w:rsidRPr="00584AEE" w:rsidRDefault="00584AEE" w:rsidP="00584AEE">
            <w:pPr>
              <w:pStyle w:val="Caption"/>
              <w:jc w:val="center"/>
              <w:rPr>
                <w:rFonts w:ascii="Times New Roman" w:hAnsi="Times New Roman" w:cs="Times New Roman"/>
                <w:b/>
                <w:i w:val="0"/>
                <w:sz w:val="22"/>
                <w:szCs w:val="22"/>
              </w:rPr>
            </w:pPr>
            <w:bookmarkStart w:id="33" w:name="_Toc518399427"/>
            <w:r w:rsidRPr="00584AEE">
              <w:rPr>
                <w:rFonts w:ascii="Times New Roman" w:hAnsi="Times New Roman" w:cs="Times New Roman"/>
                <w:b/>
                <w:i w:val="0"/>
                <w:color w:val="auto"/>
                <w:sz w:val="22"/>
                <w:szCs w:val="22"/>
              </w:rPr>
              <w:t xml:space="preserve">Gráfico </w:t>
            </w:r>
            <w:r w:rsidRPr="00584AEE">
              <w:rPr>
                <w:rFonts w:ascii="Times New Roman" w:hAnsi="Times New Roman" w:cs="Times New Roman"/>
                <w:b/>
                <w:i w:val="0"/>
                <w:color w:val="auto"/>
                <w:sz w:val="22"/>
                <w:szCs w:val="22"/>
              </w:rPr>
              <w:fldChar w:fldCharType="begin"/>
            </w:r>
            <w:r w:rsidRPr="00584AEE">
              <w:rPr>
                <w:rFonts w:ascii="Times New Roman" w:hAnsi="Times New Roman" w:cs="Times New Roman"/>
                <w:b/>
                <w:i w:val="0"/>
                <w:color w:val="auto"/>
                <w:sz w:val="22"/>
                <w:szCs w:val="22"/>
              </w:rPr>
              <w:instrText xml:space="preserve"> SEQ Gráfico \* ARABIC </w:instrText>
            </w:r>
            <w:r w:rsidRPr="00584AEE">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20</w:t>
            </w:r>
            <w:r w:rsidRPr="00584AEE">
              <w:rPr>
                <w:rFonts w:ascii="Times New Roman" w:hAnsi="Times New Roman" w:cs="Times New Roman"/>
                <w:b/>
                <w:i w:val="0"/>
                <w:color w:val="auto"/>
                <w:sz w:val="22"/>
                <w:szCs w:val="22"/>
              </w:rPr>
              <w:fldChar w:fldCharType="end"/>
            </w:r>
            <w:r w:rsidR="00133013" w:rsidRPr="00584AEE">
              <w:rPr>
                <w:rFonts w:ascii="Times New Roman" w:hAnsi="Times New Roman" w:cs="Times New Roman"/>
                <w:b/>
                <w:bCs/>
                <w:i w:val="0"/>
                <w:iCs w:val="0"/>
                <w:color w:val="auto"/>
                <w:sz w:val="22"/>
                <w:szCs w:val="22"/>
              </w:rPr>
              <w:t xml:space="preserve">. Efecto </w:t>
            </w:r>
            <w:r w:rsidR="00074941" w:rsidRPr="00584AEE">
              <w:rPr>
                <w:rFonts w:ascii="Times New Roman" w:hAnsi="Times New Roman" w:cs="Times New Roman"/>
                <w:b/>
                <w:bCs/>
                <w:i w:val="0"/>
                <w:iCs w:val="0"/>
                <w:color w:val="auto"/>
                <w:sz w:val="22"/>
                <w:szCs w:val="22"/>
              </w:rPr>
              <w:t xml:space="preserve">de </w:t>
            </w:r>
            <w:r w:rsidR="00133013" w:rsidRPr="00584AEE">
              <w:rPr>
                <w:rFonts w:ascii="Times New Roman" w:hAnsi="Times New Roman" w:cs="Times New Roman"/>
                <w:b/>
                <w:bCs/>
                <w:i w:val="0"/>
                <w:iCs w:val="0"/>
                <w:color w:val="auto"/>
                <w:sz w:val="22"/>
                <w:szCs w:val="22"/>
              </w:rPr>
              <w:t xml:space="preserve">la Regla </w:t>
            </w:r>
            <w:r w:rsidR="00074941" w:rsidRPr="00584AEE">
              <w:rPr>
                <w:rFonts w:ascii="Times New Roman" w:hAnsi="Times New Roman" w:cs="Times New Roman"/>
                <w:b/>
                <w:bCs/>
                <w:i w:val="0"/>
                <w:iCs w:val="0"/>
                <w:color w:val="auto"/>
                <w:sz w:val="22"/>
                <w:szCs w:val="22"/>
              </w:rPr>
              <w:t xml:space="preserve">Fiscal </w:t>
            </w:r>
            <w:r w:rsidR="00F93404" w:rsidRPr="00584AEE">
              <w:rPr>
                <w:rFonts w:ascii="Times New Roman" w:hAnsi="Times New Roman" w:cs="Times New Roman"/>
                <w:b/>
                <w:bCs/>
                <w:i w:val="0"/>
                <w:iCs w:val="0"/>
                <w:color w:val="auto"/>
                <w:sz w:val="22"/>
                <w:szCs w:val="22"/>
              </w:rPr>
              <w:t>en la deuda del Gobierno Central</w:t>
            </w:r>
            <w:r w:rsidR="00133013" w:rsidRPr="00584AEE">
              <w:rPr>
                <w:rFonts w:ascii="Times New Roman" w:hAnsi="Times New Roman" w:cs="Times New Roman"/>
                <w:b/>
                <w:bCs/>
                <w:i w:val="0"/>
                <w:iCs w:val="0"/>
                <w:color w:val="auto"/>
                <w:sz w:val="22"/>
                <w:szCs w:val="22"/>
              </w:rPr>
              <w:t>, 2006-2015</w:t>
            </w:r>
            <w:bookmarkEnd w:id="33"/>
          </w:p>
        </w:tc>
      </w:tr>
      <w:tr w:rsidR="00044426" w14:paraId="5A389800" w14:textId="77777777" w:rsidTr="00337473">
        <w:trPr>
          <w:trHeight w:val="20"/>
        </w:trPr>
        <w:tc>
          <w:tcPr>
            <w:tcW w:w="4579" w:type="dxa"/>
          </w:tcPr>
          <w:p w14:paraId="4966F03B" w14:textId="77777777" w:rsidR="00044426" w:rsidRPr="00CF7FEE" w:rsidRDefault="000D630E" w:rsidP="006A6A17">
            <w:pPr>
              <w:tabs>
                <w:tab w:val="left" w:pos="810"/>
                <w:tab w:val="left" w:pos="1531"/>
              </w:tabs>
              <w:autoSpaceDE w:val="0"/>
              <w:autoSpaceDN w:val="0"/>
              <w:adjustRightInd w:val="0"/>
              <w:spacing w:before="120"/>
              <w:jc w:val="both"/>
              <w:rPr>
                <w:rFonts w:ascii="Times New Roman" w:hAnsi="Times New Roman"/>
                <w:bCs/>
                <w:iCs/>
              </w:rPr>
            </w:pPr>
            <w:r w:rsidRPr="00CF7FEE">
              <w:rPr>
                <w:rFonts w:ascii="Arial" w:hAnsi="Arial" w:cs="Arial"/>
                <w:noProof/>
                <w:lang w:val="es-CR" w:eastAsia="es-CR"/>
              </w:rPr>
              <w:drawing>
                <wp:inline distT="0" distB="0" distL="0" distR="0" wp14:anchorId="57574495" wp14:editId="49EEF347">
                  <wp:extent cx="2687320" cy="1960418"/>
                  <wp:effectExtent l="0" t="0" r="0" b="1905"/>
                  <wp:docPr id="18"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c>
          <w:tcPr>
            <w:tcW w:w="4579" w:type="dxa"/>
          </w:tcPr>
          <w:p w14:paraId="0D1ADA62" w14:textId="77777777" w:rsidR="00044426" w:rsidRDefault="004A27A2" w:rsidP="00584AEE">
            <w:pPr>
              <w:keepNext/>
              <w:tabs>
                <w:tab w:val="left" w:pos="810"/>
                <w:tab w:val="left" w:pos="1531"/>
              </w:tabs>
              <w:autoSpaceDE w:val="0"/>
              <w:autoSpaceDN w:val="0"/>
              <w:adjustRightInd w:val="0"/>
              <w:spacing w:before="120"/>
              <w:jc w:val="both"/>
              <w:rPr>
                <w:rFonts w:ascii="Times New Roman" w:hAnsi="Times New Roman"/>
                <w:bCs/>
                <w:iCs/>
              </w:rPr>
            </w:pPr>
            <w:r>
              <w:rPr>
                <w:noProof/>
                <w:lang w:val="es-CR" w:eastAsia="es-CR"/>
              </w:rPr>
              <w:drawing>
                <wp:inline distT="0" distB="0" distL="0" distR="0" wp14:anchorId="6EF7BAE4" wp14:editId="30C99D56">
                  <wp:extent cx="2687955" cy="1960245"/>
                  <wp:effectExtent l="0" t="0" r="0" b="1905"/>
                  <wp:docPr id="2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bl>
    <w:p w14:paraId="482C0CE5" w14:textId="77777777" w:rsidR="00B91800" w:rsidRDefault="008816E8" w:rsidP="00337473">
      <w:pPr>
        <w:spacing w:after="0" w:line="360" w:lineRule="auto"/>
        <w:jc w:val="center"/>
        <w:rPr>
          <w:rFonts w:ascii="Times New Roman" w:hAnsi="Times New Roman" w:cs="Times New Roman"/>
          <w:sz w:val="18"/>
          <w:szCs w:val="24"/>
        </w:rPr>
      </w:pPr>
      <w:r w:rsidRPr="00EC03B5">
        <w:rPr>
          <w:rFonts w:ascii="Times New Roman" w:hAnsi="Times New Roman" w:cs="Times New Roman"/>
          <w:sz w:val="18"/>
          <w:szCs w:val="24"/>
        </w:rPr>
        <w:t>Fuente: Espinoza (2016).</w:t>
      </w:r>
      <w:r w:rsidR="00936EF3">
        <w:rPr>
          <w:rStyle w:val="FootnoteReference"/>
          <w:rFonts w:ascii="Times New Roman" w:hAnsi="Times New Roman" w:cs="Times New Roman"/>
          <w:sz w:val="18"/>
          <w:szCs w:val="24"/>
        </w:rPr>
        <w:footnoteReference w:id="88"/>
      </w:r>
    </w:p>
    <w:p w14:paraId="5CF77F50" w14:textId="77777777" w:rsidR="00E77BB9" w:rsidRPr="00E77BB9" w:rsidRDefault="00E77BB9" w:rsidP="00E77BB9">
      <w:pPr>
        <w:spacing w:after="120" w:line="360" w:lineRule="auto"/>
        <w:jc w:val="both"/>
        <w:rPr>
          <w:rFonts w:ascii="Times New Roman" w:hAnsi="Times New Roman" w:cs="Times New Roman"/>
          <w:sz w:val="18"/>
          <w:szCs w:val="24"/>
          <w:lang w:val="es-ES_tradnl"/>
        </w:rPr>
      </w:pPr>
      <w:r w:rsidRPr="00E5200B">
        <w:rPr>
          <w:rFonts w:ascii="Times New Roman" w:hAnsi="Times New Roman" w:cs="Times New Roman"/>
          <w:bCs/>
          <w:lang w:val="es-ES_tradnl"/>
        </w:rPr>
        <w:t xml:space="preserve">El siglo XXI pide un Estado fuerte que asegure la provisión, no necesariamente la gestión, de servicios caros, salud, educación e infraestructura, pero como la austeridad es un valor individual hay que protegerla, y aplicarla rigurosamente con una regla fiscal dura. </w:t>
      </w:r>
      <w:r>
        <w:rPr>
          <w:rFonts w:ascii="Times New Roman" w:hAnsi="Times New Roman" w:cs="Times New Roman"/>
          <w:bCs/>
          <w:lang w:val="es-ES_tradnl"/>
        </w:rPr>
        <w:t>U</w:t>
      </w:r>
      <w:r w:rsidRPr="00E5200B">
        <w:rPr>
          <w:rFonts w:ascii="Times New Roman" w:hAnsi="Times New Roman" w:cs="Times New Roman"/>
          <w:bCs/>
          <w:lang w:val="es-ES_tradnl"/>
        </w:rPr>
        <w:t xml:space="preserve">na regla fiscal que limite el crecimiento gasto corriente </w:t>
      </w:r>
      <w:r w:rsidRPr="0046306C">
        <w:rPr>
          <w:rFonts w:ascii="Times New Roman" w:hAnsi="Times New Roman" w:cs="Times New Roman"/>
          <w:bCs/>
          <w:i/>
          <w:lang w:val="es-ES_tradnl"/>
        </w:rPr>
        <w:t>pari passu</w:t>
      </w:r>
      <w:r>
        <w:rPr>
          <w:rFonts w:ascii="Times New Roman" w:hAnsi="Times New Roman" w:cs="Times New Roman"/>
          <w:bCs/>
          <w:i/>
          <w:lang w:val="es-ES_tradnl"/>
        </w:rPr>
        <w:t xml:space="preserve">, </w:t>
      </w:r>
      <w:r>
        <w:rPr>
          <w:rFonts w:ascii="Times New Roman" w:hAnsi="Times New Roman" w:cs="Times New Roman"/>
          <w:bCs/>
          <w:lang w:val="es-ES_tradnl"/>
        </w:rPr>
        <w:t>o menos,</w:t>
      </w:r>
      <w:r w:rsidRPr="00E5200B">
        <w:rPr>
          <w:rFonts w:ascii="Times New Roman" w:hAnsi="Times New Roman" w:cs="Times New Roman"/>
          <w:bCs/>
          <w:lang w:val="es-ES_tradnl"/>
        </w:rPr>
        <w:t xml:space="preserve"> al crecimiento del producto potencial ser</w:t>
      </w:r>
      <w:r w:rsidR="00EA6EE4">
        <w:rPr>
          <w:rFonts w:ascii="Times New Roman" w:hAnsi="Times New Roman" w:cs="Times New Roman"/>
          <w:bCs/>
          <w:lang w:val="es-ES_tradnl"/>
        </w:rPr>
        <w:t>í</w:t>
      </w:r>
      <w:r w:rsidRPr="00E5200B">
        <w:rPr>
          <w:rFonts w:ascii="Times New Roman" w:hAnsi="Times New Roman" w:cs="Times New Roman"/>
          <w:bCs/>
          <w:lang w:val="es-ES_tradnl"/>
        </w:rPr>
        <w:t xml:space="preserve">a de medida para el país. Inclusive, para hacer una corrección fiscal de manera que no se afecte </w:t>
      </w:r>
      <w:r w:rsidR="00375CB2">
        <w:rPr>
          <w:rFonts w:ascii="Times New Roman" w:hAnsi="Times New Roman" w:cs="Times New Roman"/>
          <w:bCs/>
          <w:lang w:val="es-ES_tradnl"/>
        </w:rPr>
        <w:t xml:space="preserve">la producción, </w:t>
      </w:r>
      <w:r w:rsidRPr="00E5200B">
        <w:rPr>
          <w:rFonts w:ascii="Times New Roman" w:hAnsi="Times New Roman" w:cs="Times New Roman"/>
          <w:bCs/>
          <w:lang w:val="es-ES_tradnl"/>
        </w:rPr>
        <w:t xml:space="preserve">podría limitarse </w:t>
      </w:r>
      <w:r w:rsidR="00375CB2">
        <w:rPr>
          <w:rFonts w:ascii="Times New Roman" w:hAnsi="Times New Roman" w:cs="Times New Roman"/>
          <w:bCs/>
          <w:lang w:val="es-ES_tradnl"/>
        </w:rPr>
        <w:t>el</w:t>
      </w:r>
      <w:r w:rsidRPr="00E5200B">
        <w:rPr>
          <w:rFonts w:ascii="Times New Roman" w:hAnsi="Times New Roman" w:cs="Times New Roman"/>
          <w:bCs/>
          <w:lang w:val="es-ES_tradnl"/>
        </w:rPr>
        <w:t xml:space="preserve"> crecimiento a algo menos que el producto potencial. Adicionalmente, esto libera espacio fiscal, y tampoco pone tope, a la inversión pública que es tan necesaria. </w:t>
      </w:r>
      <w:r w:rsidR="00227AA8">
        <w:rPr>
          <w:rFonts w:ascii="Times New Roman" w:hAnsi="Times New Roman" w:cs="Times New Roman"/>
          <w:bCs/>
          <w:lang w:val="es-ES_tradnl"/>
        </w:rPr>
        <w:t>E</w:t>
      </w:r>
      <w:r w:rsidRPr="00227AA8">
        <w:rPr>
          <w:rFonts w:ascii="Times New Roman" w:hAnsi="Times New Roman" w:cs="Times New Roman"/>
          <w:bCs/>
          <w:lang w:val="es-ES_tradnl"/>
        </w:rPr>
        <w:t>l Estado es un patrón injusto, no remunera bien al que rinde y paga de más al que no rinde</w:t>
      </w:r>
      <w:r w:rsidR="00227AA8">
        <w:rPr>
          <w:rFonts w:ascii="Times New Roman" w:hAnsi="Times New Roman" w:cs="Times New Roman"/>
          <w:bCs/>
          <w:lang w:val="es-ES_tradnl"/>
        </w:rPr>
        <w:t>.</w:t>
      </w:r>
      <w:r w:rsidRPr="00227AA8">
        <w:rPr>
          <w:rFonts w:ascii="Times New Roman" w:hAnsi="Times New Roman" w:cs="Times New Roman"/>
          <w:bCs/>
          <w:lang w:val="es-ES_tradnl"/>
        </w:rPr>
        <w:t xml:space="preserve"> </w:t>
      </w:r>
      <w:r w:rsidR="00227AA8">
        <w:rPr>
          <w:rFonts w:ascii="Times New Roman" w:hAnsi="Times New Roman" w:cs="Times New Roman"/>
          <w:bCs/>
          <w:lang w:val="es-ES_tradnl"/>
        </w:rPr>
        <w:t>C</w:t>
      </w:r>
      <w:r w:rsidRPr="00227AA8">
        <w:rPr>
          <w:rFonts w:ascii="Times New Roman" w:hAnsi="Times New Roman" w:cs="Times New Roman"/>
          <w:bCs/>
          <w:lang w:val="es-ES_tradnl"/>
        </w:rPr>
        <w:t>omo no hay una verdadera oposición de intereses</w:t>
      </w:r>
      <w:r w:rsidR="00227AA8">
        <w:rPr>
          <w:rFonts w:ascii="Times New Roman" w:hAnsi="Times New Roman" w:cs="Times New Roman"/>
          <w:bCs/>
          <w:lang w:val="es-ES_tradnl"/>
        </w:rPr>
        <w:t>,</w:t>
      </w:r>
      <w:r w:rsidRPr="00227AA8">
        <w:rPr>
          <w:rFonts w:ascii="Times New Roman" w:hAnsi="Times New Roman" w:cs="Times New Roman"/>
          <w:bCs/>
          <w:lang w:val="es-ES_tradnl"/>
        </w:rPr>
        <w:t xml:space="preserve"> es un patrón indolente para determinar salarios y un pésimo contralor de gastos, sobre todo </w:t>
      </w:r>
      <w:r w:rsidR="00227AA8">
        <w:rPr>
          <w:rFonts w:ascii="Times New Roman" w:hAnsi="Times New Roman" w:cs="Times New Roman"/>
          <w:bCs/>
          <w:lang w:val="es-ES_tradnl"/>
        </w:rPr>
        <w:t xml:space="preserve">en </w:t>
      </w:r>
      <w:r w:rsidRPr="00227AA8">
        <w:rPr>
          <w:rFonts w:ascii="Times New Roman" w:hAnsi="Times New Roman" w:cs="Times New Roman"/>
          <w:bCs/>
          <w:lang w:val="es-ES_tradnl"/>
        </w:rPr>
        <w:t>periodos de bonanza.</w:t>
      </w:r>
      <w:r w:rsidRPr="00E5200B">
        <w:rPr>
          <w:rFonts w:ascii="Times New Roman" w:hAnsi="Times New Roman" w:cs="Times New Roman"/>
          <w:bCs/>
          <w:lang w:val="es-ES_tradnl"/>
        </w:rPr>
        <w:t xml:space="preserve"> La regla fiscal puede ser un buen sustituto del valor cultural de la austeridad. </w:t>
      </w:r>
    </w:p>
    <w:p w14:paraId="1DDBFCE7" w14:textId="77777777" w:rsidR="00B17002" w:rsidRPr="001C7AD8" w:rsidRDefault="00387AD9" w:rsidP="001C7AD8">
      <w:pPr>
        <w:pStyle w:val="Heading1"/>
        <w:numPr>
          <w:ilvl w:val="0"/>
          <w:numId w:val="0"/>
        </w:numPr>
        <w:ind w:left="-360"/>
        <w:jc w:val="left"/>
        <w:rPr>
          <w:rFonts w:eastAsiaTheme="minorEastAsia" w:cs="Times New Roman"/>
          <w:bCs w:val="0"/>
          <w:i/>
          <w:smallCaps w:val="0"/>
          <w:color w:val="000000" w:themeColor="text1"/>
          <w:kern w:val="0"/>
          <w:sz w:val="22"/>
          <w:szCs w:val="24"/>
          <w:lang w:val="es-ES"/>
        </w:rPr>
      </w:pPr>
      <w:bookmarkStart w:id="34" w:name="_Toc518397891"/>
      <w:r w:rsidRPr="001C7AD8">
        <w:rPr>
          <w:rFonts w:eastAsiaTheme="minorEastAsia" w:cs="Times New Roman"/>
          <w:bCs w:val="0"/>
          <w:i/>
          <w:smallCaps w:val="0"/>
          <w:color w:val="000000" w:themeColor="text1"/>
          <w:kern w:val="0"/>
          <w:sz w:val="22"/>
          <w:szCs w:val="24"/>
          <w:lang w:val="es-ES"/>
        </w:rPr>
        <w:t>Contribuyendo a la sostenibilidad de las Pensiones</w:t>
      </w:r>
      <w:bookmarkEnd w:id="34"/>
      <w:r w:rsidR="00916B35" w:rsidRPr="001C7AD8">
        <w:rPr>
          <w:rFonts w:eastAsiaTheme="minorEastAsia" w:cs="Times New Roman"/>
          <w:bCs w:val="0"/>
          <w:i/>
          <w:smallCaps w:val="0"/>
          <w:color w:val="000000" w:themeColor="text1"/>
          <w:kern w:val="0"/>
          <w:sz w:val="22"/>
          <w:szCs w:val="24"/>
          <w:lang w:val="es-ES"/>
        </w:rPr>
        <w:t xml:space="preserve"> </w:t>
      </w:r>
    </w:p>
    <w:p w14:paraId="1B81DF6B" w14:textId="77777777" w:rsidR="00354C66" w:rsidRPr="00354C66" w:rsidRDefault="00D836F9" w:rsidP="00354C66">
      <w:pPr>
        <w:spacing w:after="120" w:line="360" w:lineRule="auto"/>
        <w:jc w:val="both"/>
        <w:rPr>
          <w:rFonts w:ascii="Times New Roman" w:hAnsi="Times New Roman" w:cs="Times New Roman"/>
          <w:lang w:val="es-ES_tradnl"/>
        </w:rPr>
      </w:pPr>
      <w:r w:rsidRPr="00A33512">
        <w:rPr>
          <w:rFonts w:ascii="Times New Roman" w:hAnsi="Times New Roman" w:cs="Times New Roman"/>
          <w:b/>
          <w:lang w:val="es-ES_tradnl"/>
        </w:rPr>
        <w:t>Sistema de pensiones presenta una alta fragmentación normativa</w:t>
      </w:r>
      <w:r w:rsidRPr="00A33512">
        <w:rPr>
          <w:rFonts w:ascii="Times New Roman" w:hAnsi="Times New Roman" w:cs="Times New Roman"/>
          <w:lang w:val="es-ES_tradnl"/>
        </w:rPr>
        <w:t xml:space="preserve">. El sistema nacional de pensiones de Costa Rica está representado por un sistema mixto conformado por la suma de cuatro pilares (ver </w:t>
      </w:r>
      <w:r w:rsidR="00FE0F80">
        <w:rPr>
          <w:rFonts w:ascii="Times New Roman" w:hAnsi="Times New Roman" w:cs="Times New Roman"/>
          <w:lang w:val="es-ES_tradnl"/>
        </w:rPr>
        <w:t>Tabla</w:t>
      </w:r>
      <w:r w:rsidRPr="00A33512">
        <w:rPr>
          <w:rFonts w:ascii="Times New Roman" w:hAnsi="Times New Roman" w:cs="Times New Roman"/>
          <w:lang w:val="es-ES_tradnl"/>
        </w:rPr>
        <w:t xml:space="preserve"> </w:t>
      </w:r>
      <w:r w:rsidR="0028067E">
        <w:rPr>
          <w:rFonts w:ascii="Times New Roman" w:hAnsi="Times New Roman" w:cs="Times New Roman"/>
          <w:lang w:val="es-ES_tradnl"/>
        </w:rPr>
        <w:t>7</w:t>
      </w:r>
      <w:r w:rsidRPr="00A33512">
        <w:rPr>
          <w:rFonts w:ascii="Times New Roman" w:hAnsi="Times New Roman" w:cs="Times New Roman"/>
          <w:lang w:val="es-ES_tradnl"/>
        </w:rPr>
        <w:t>). Un pilar no contributivo dirigido a la población en condición de pobreza y financiado por presupuesto nacional; un pilar contributivo obligatorio de beneficio definido de carácter general denominado Régimen de Invalidez, Vejez y Muerte (IVM) administrado por la Caja Costarricense de Seguridad Social (CCSS) financiado por contribuciones tripartitas de un 10</w:t>
      </w:r>
      <w:r w:rsidR="00FE0F80">
        <w:rPr>
          <w:rFonts w:ascii="Times New Roman" w:hAnsi="Times New Roman" w:cs="Times New Roman"/>
          <w:lang w:val="es-ES_tradnl"/>
        </w:rPr>
        <w:t>,</w:t>
      </w:r>
      <w:r w:rsidRPr="00A33512">
        <w:rPr>
          <w:rFonts w:ascii="Times New Roman" w:hAnsi="Times New Roman" w:cs="Times New Roman"/>
          <w:lang w:val="es-ES_tradnl"/>
        </w:rPr>
        <w:t>16%; un tercer pilar de capitalización individual obligatorio financiado por cotizaciones de trabajadores y empleadores de un 4</w:t>
      </w:r>
      <w:r w:rsidR="009D7393">
        <w:rPr>
          <w:rFonts w:ascii="Times New Roman" w:hAnsi="Times New Roman" w:cs="Times New Roman"/>
          <w:lang w:val="es-ES_tradnl"/>
        </w:rPr>
        <w:t>,</w:t>
      </w:r>
      <w:r w:rsidRPr="00A33512">
        <w:rPr>
          <w:rFonts w:ascii="Times New Roman" w:hAnsi="Times New Roman" w:cs="Times New Roman"/>
          <w:lang w:val="es-ES_tradnl"/>
        </w:rPr>
        <w:t xml:space="preserve">25%; y un cuarto pilar de capitalización individual voluntario con incentivos fiscales. Adicionalmente, existen regímenes -sustitutivos del IVM- para los empleados del </w:t>
      </w:r>
      <w:r w:rsidR="00781820">
        <w:rPr>
          <w:rFonts w:ascii="Times New Roman" w:hAnsi="Times New Roman" w:cs="Times New Roman"/>
          <w:lang w:val="es-ES_tradnl"/>
        </w:rPr>
        <w:t>P</w:t>
      </w:r>
      <w:r w:rsidRPr="00A33512">
        <w:rPr>
          <w:rFonts w:ascii="Times New Roman" w:hAnsi="Times New Roman" w:cs="Times New Roman"/>
          <w:lang w:val="es-ES_tradnl"/>
        </w:rPr>
        <w:t xml:space="preserve">oder </w:t>
      </w:r>
      <w:r w:rsidR="00781820">
        <w:rPr>
          <w:rFonts w:ascii="Times New Roman" w:hAnsi="Times New Roman" w:cs="Times New Roman"/>
          <w:lang w:val="es-ES_tradnl"/>
        </w:rPr>
        <w:t>J</w:t>
      </w:r>
      <w:r w:rsidRPr="00A33512">
        <w:rPr>
          <w:rFonts w:ascii="Times New Roman" w:hAnsi="Times New Roman" w:cs="Times New Roman"/>
          <w:lang w:val="es-ES_tradnl"/>
        </w:rPr>
        <w:t xml:space="preserve">udicial y del </w:t>
      </w:r>
      <w:r w:rsidR="00781820">
        <w:rPr>
          <w:rFonts w:ascii="Times New Roman" w:hAnsi="Times New Roman" w:cs="Times New Roman"/>
          <w:lang w:val="es-ES_tradnl"/>
        </w:rPr>
        <w:t>M</w:t>
      </w:r>
      <w:r w:rsidRPr="00A33512">
        <w:rPr>
          <w:rFonts w:ascii="Times New Roman" w:hAnsi="Times New Roman" w:cs="Times New Roman"/>
          <w:lang w:val="es-ES_tradnl"/>
        </w:rPr>
        <w:t xml:space="preserve">agisterio </w:t>
      </w:r>
      <w:r w:rsidR="00781820">
        <w:rPr>
          <w:rFonts w:ascii="Times New Roman" w:hAnsi="Times New Roman" w:cs="Times New Roman"/>
          <w:lang w:val="es-ES_tradnl"/>
        </w:rPr>
        <w:t xml:space="preserve">(toda la educación) </w:t>
      </w:r>
      <w:r w:rsidRPr="00A33512">
        <w:rPr>
          <w:rFonts w:ascii="Times New Roman" w:hAnsi="Times New Roman" w:cs="Times New Roman"/>
          <w:lang w:val="es-ES_tradnl"/>
        </w:rPr>
        <w:t>financiados por cotizaciones tripartitas. Finalmente, existen regímenes especiales -sustitutivos del pilar de cuentas individuales- para categorías específicas del sector público que son financiadas con el presupuesto de las instituciones públicas en las que laboran estos empleados (Bancos Públicos, Instituto Costarricense de Electricidad y empleados de la Caja del Seguro Social).</w:t>
      </w:r>
      <w:r w:rsidRPr="00A33512">
        <w:rPr>
          <w:rStyle w:val="FootnoteReference"/>
          <w:rFonts w:ascii="Times New Roman" w:hAnsi="Times New Roman" w:cs="Times New Roman"/>
          <w:lang w:val="es-ES_tradnl"/>
        </w:rPr>
        <w:footnoteReference w:id="89"/>
      </w:r>
    </w:p>
    <w:tbl>
      <w:tblPr>
        <w:tblStyle w:val="TableGrid"/>
        <w:tblpPr w:leftFromText="180" w:rightFromText="180" w:vertAnchor="text" w:tblpY="191"/>
        <w:tblW w:w="9217" w:type="dxa"/>
        <w:tblLayout w:type="fixed"/>
        <w:tblLook w:val="04A0" w:firstRow="1" w:lastRow="0" w:firstColumn="1" w:lastColumn="0" w:noHBand="0" w:noVBand="1"/>
      </w:tblPr>
      <w:tblGrid>
        <w:gridCol w:w="1890"/>
        <w:gridCol w:w="1080"/>
        <w:gridCol w:w="900"/>
        <w:gridCol w:w="900"/>
        <w:gridCol w:w="2250"/>
        <w:gridCol w:w="2197"/>
      </w:tblGrid>
      <w:tr w:rsidR="00A82606" w:rsidRPr="00017CDE" w14:paraId="18071D3A" w14:textId="77777777" w:rsidTr="00A82606">
        <w:tc>
          <w:tcPr>
            <w:tcW w:w="9217" w:type="dxa"/>
            <w:gridSpan w:val="6"/>
            <w:tcBorders>
              <w:top w:val="nil"/>
              <w:left w:val="nil"/>
              <w:right w:val="nil"/>
            </w:tcBorders>
            <w:vAlign w:val="center"/>
          </w:tcPr>
          <w:p w14:paraId="6064D9DF" w14:textId="2587F821" w:rsidR="00A82606" w:rsidRPr="00354C66" w:rsidRDefault="00354C66" w:rsidP="00A82606">
            <w:pPr>
              <w:jc w:val="center"/>
              <w:rPr>
                <w:rFonts w:ascii="Times New Roman" w:hAnsi="Times New Roman" w:cs="Times New Roman"/>
                <w:b/>
                <w:sz w:val="22"/>
                <w:szCs w:val="22"/>
                <w:lang w:val="es-ES"/>
              </w:rPr>
            </w:pPr>
            <w:bookmarkStart w:id="35" w:name="_Toc518399862"/>
            <w:r w:rsidRPr="005A045C">
              <w:rPr>
                <w:rFonts w:ascii="Times New Roman" w:hAnsi="Times New Roman" w:cs="Times New Roman"/>
                <w:b/>
                <w:sz w:val="22"/>
                <w:szCs w:val="22"/>
                <w:lang w:val="es-CR"/>
              </w:rPr>
              <w:t xml:space="preserve">Tabla </w:t>
            </w:r>
            <w:r w:rsidRPr="00354C66">
              <w:rPr>
                <w:rFonts w:ascii="Times New Roman" w:hAnsi="Times New Roman" w:cs="Times New Roman"/>
                <w:b/>
              </w:rPr>
              <w:fldChar w:fldCharType="begin"/>
            </w:r>
            <w:r w:rsidRPr="005A045C">
              <w:rPr>
                <w:rFonts w:ascii="Times New Roman" w:hAnsi="Times New Roman" w:cs="Times New Roman"/>
                <w:b/>
                <w:sz w:val="22"/>
                <w:szCs w:val="22"/>
                <w:lang w:val="es-CR"/>
              </w:rPr>
              <w:instrText xml:space="preserve"> SEQ Tabla \* ARABIC </w:instrText>
            </w:r>
            <w:r w:rsidRPr="00354C66">
              <w:rPr>
                <w:rFonts w:ascii="Times New Roman" w:hAnsi="Times New Roman" w:cs="Times New Roman"/>
                <w:b/>
              </w:rPr>
              <w:fldChar w:fldCharType="separate"/>
            </w:r>
            <w:r w:rsidR="002E140B">
              <w:rPr>
                <w:rFonts w:ascii="Times New Roman" w:hAnsi="Times New Roman" w:cs="Times New Roman"/>
                <w:b/>
                <w:noProof/>
                <w:sz w:val="22"/>
                <w:szCs w:val="22"/>
                <w:lang w:val="es-CR"/>
              </w:rPr>
              <w:t>7</w:t>
            </w:r>
            <w:r w:rsidRPr="00354C66">
              <w:rPr>
                <w:rFonts w:ascii="Times New Roman" w:hAnsi="Times New Roman" w:cs="Times New Roman"/>
                <w:b/>
              </w:rPr>
              <w:fldChar w:fldCharType="end"/>
            </w:r>
            <w:r w:rsidR="00CE6CF5" w:rsidRPr="00354C66">
              <w:rPr>
                <w:rFonts w:ascii="Times New Roman" w:hAnsi="Times New Roman" w:cs="Times New Roman"/>
                <w:b/>
                <w:sz w:val="22"/>
                <w:szCs w:val="22"/>
                <w:lang w:val="es-ES"/>
              </w:rPr>
              <w:t>.</w:t>
            </w:r>
            <w:r w:rsidR="00A82606" w:rsidRPr="00354C66">
              <w:rPr>
                <w:rFonts w:ascii="Times New Roman" w:hAnsi="Times New Roman" w:cs="Times New Roman"/>
                <w:b/>
                <w:sz w:val="22"/>
                <w:szCs w:val="22"/>
                <w:lang w:val="es-ES"/>
              </w:rPr>
              <w:t xml:space="preserve"> Principales características de los regímenes básicos de pensiones</w:t>
            </w:r>
            <w:bookmarkEnd w:id="35"/>
          </w:p>
        </w:tc>
      </w:tr>
      <w:tr w:rsidR="00A82606" w:rsidRPr="00017CDE" w14:paraId="7910BE9D" w14:textId="77777777" w:rsidTr="00A82606">
        <w:tc>
          <w:tcPr>
            <w:tcW w:w="1890" w:type="dxa"/>
            <w:vMerge w:val="restart"/>
            <w:vAlign w:val="center"/>
          </w:tcPr>
          <w:p w14:paraId="63F8EC0C" w14:textId="77777777" w:rsidR="00A82606" w:rsidRPr="00017CDE" w:rsidRDefault="00A82606" w:rsidP="00A82606">
            <w:pPr>
              <w:jc w:val="center"/>
              <w:rPr>
                <w:rFonts w:ascii="Times New Roman" w:hAnsi="Times New Roman" w:cs="Times New Roman"/>
                <w:b/>
                <w:sz w:val="18"/>
                <w:szCs w:val="18"/>
                <w:lang w:val="es-ES"/>
              </w:rPr>
            </w:pPr>
            <w:r w:rsidRPr="00017CDE">
              <w:rPr>
                <w:rFonts w:ascii="Times New Roman" w:hAnsi="Times New Roman" w:cs="Times New Roman"/>
                <w:b/>
                <w:sz w:val="18"/>
                <w:szCs w:val="18"/>
                <w:lang w:val="es-ES"/>
              </w:rPr>
              <w:t>Régimen</w:t>
            </w:r>
          </w:p>
        </w:tc>
        <w:tc>
          <w:tcPr>
            <w:tcW w:w="2880" w:type="dxa"/>
            <w:gridSpan w:val="3"/>
            <w:vAlign w:val="center"/>
          </w:tcPr>
          <w:p w14:paraId="5F84681E" w14:textId="77777777" w:rsidR="00A82606" w:rsidRPr="00017CDE" w:rsidRDefault="00A82606" w:rsidP="00A82606">
            <w:pPr>
              <w:jc w:val="center"/>
              <w:rPr>
                <w:rFonts w:ascii="Times New Roman" w:hAnsi="Times New Roman" w:cs="Times New Roman"/>
                <w:b/>
                <w:sz w:val="18"/>
                <w:szCs w:val="18"/>
                <w:lang w:val="es-ES"/>
              </w:rPr>
            </w:pPr>
            <w:r w:rsidRPr="00017CDE">
              <w:rPr>
                <w:rFonts w:ascii="Times New Roman" w:hAnsi="Times New Roman" w:cs="Times New Roman"/>
                <w:b/>
                <w:sz w:val="18"/>
                <w:szCs w:val="18"/>
                <w:lang w:val="es-ES"/>
              </w:rPr>
              <w:t>Tasa de Contribución</w:t>
            </w:r>
          </w:p>
        </w:tc>
        <w:tc>
          <w:tcPr>
            <w:tcW w:w="2250" w:type="dxa"/>
            <w:vMerge w:val="restart"/>
            <w:vAlign w:val="center"/>
          </w:tcPr>
          <w:p w14:paraId="759B25FB" w14:textId="77777777" w:rsidR="00A82606" w:rsidRPr="00017CDE" w:rsidRDefault="00A82606" w:rsidP="00A82606">
            <w:pPr>
              <w:jc w:val="center"/>
              <w:rPr>
                <w:rFonts w:ascii="Times New Roman" w:hAnsi="Times New Roman" w:cs="Times New Roman"/>
                <w:b/>
                <w:sz w:val="18"/>
                <w:szCs w:val="18"/>
                <w:lang w:val="es-ES"/>
              </w:rPr>
            </w:pPr>
            <w:r w:rsidRPr="00017CDE">
              <w:rPr>
                <w:rFonts w:ascii="Times New Roman" w:hAnsi="Times New Roman" w:cs="Times New Roman"/>
                <w:b/>
                <w:sz w:val="18"/>
                <w:szCs w:val="18"/>
                <w:lang w:val="es-ES"/>
              </w:rPr>
              <w:t>Requisitos de jubilación</w:t>
            </w:r>
          </w:p>
        </w:tc>
        <w:tc>
          <w:tcPr>
            <w:tcW w:w="2197" w:type="dxa"/>
            <w:vMerge w:val="restart"/>
            <w:vAlign w:val="center"/>
          </w:tcPr>
          <w:p w14:paraId="5C0CFB47" w14:textId="77777777" w:rsidR="00A82606" w:rsidRPr="00017CDE" w:rsidRDefault="00A82606" w:rsidP="00A82606">
            <w:pPr>
              <w:jc w:val="center"/>
              <w:rPr>
                <w:rFonts w:ascii="Times New Roman" w:hAnsi="Times New Roman" w:cs="Times New Roman"/>
                <w:b/>
                <w:sz w:val="18"/>
                <w:szCs w:val="18"/>
                <w:lang w:val="es-ES"/>
              </w:rPr>
            </w:pPr>
            <w:r w:rsidRPr="00017CDE">
              <w:rPr>
                <w:rFonts w:ascii="Times New Roman" w:hAnsi="Times New Roman" w:cs="Times New Roman"/>
                <w:b/>
                <w:sz w:val="18"/>
                <w:szCs w:val="18"/>
                <w:lang w:val="es-ES"/>
              </w:rPr>
              <w:t>Salario de referencia/beneficios</w:t>
            </w:r>
          </w:p>
        </w:tc>
      </w:tr>
      <w:tr w:rsidR="00A82606" w:rsidRPr="00017CDE" w14:paraId="2012F80E" w14:textId="77777777" w:rsidTr="00A82606">
        <w:tc>
          <w:tcPr>
            <w:tcW w:w="1890" w:type="dxa"/>
            <w:vMerge/>
            <w:vAlign w:val="center"/>
          </w:tcPr>
          <w:p w14:paraId="126D757D" w14:textId="77777777" w:rsidR="00A82606" w:rsidRPr="00017CDE" w:rsidRDefault="00A82606" w:rsidP="00A82606">
            <w:pPr>
              <w:jc w:val="center"/>
              <w:rPr>
                <w:rFonts w:ascii="Times New Roman" w:hAnsi="Times New Roman" w:cs="Times New Roman"/>
                <w:sz w:val="18"/>
                <w:szCs w:val="18"/>
                <w:lang w:val="es-ES"/>
              </w:rPr>
            </w:pPr>
          </w:p>
        </w:tc>
        <w:tc>
          <w:tcPr>
            <w:tcW w:w="1080" w:type="dxa"/>
            <w:vAlign w:val="center"/>
          </w:tcPr>
          <w:p w14:paraId="0C40F7FB"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Trabajador</w:t>
            </w:r>
          </w:p>
        </w:tc>
        <w:tc>
          <w:tcPr>
            <w:tcW w:w="900" w:type="dxa"/>
            <w:vAlign w:val="center"/>
          </w:tcPr>
          <w:p w14:paraId="33761B2C"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Patrono</w:t>
            </w:r>
          </w:p>
        </w:tc>
        <w:tc>
          <w:tcPr>
            <w:tcW w:w="900" w:type="dxa"/>
            <w:vAlign w:val="center"/>
          </w:tcPr>
          <w:p w14:paraId="54FD294C"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Estado</w:t>
            </w:r>
          </w:p>
        </w:tc>
        <w:tc>
          <w:tcPr>
            <w:tcW w:w="2250" w:type="dxa"/>
            <w:vMerge/>
          </w:tcPr>
          <w:p w14:paraId="0F2618F0" w14:textId="77777777" w:rsidR="00A82606" w:rsidRPr="00017CDE" w:rsidRDefault="00A82606" w:rsidP="00A82606">
            <w:pPr>
              <w:jc w:val="center"/>
              <w:rPr>
                <w:rFonts w:ascii="Times New Roman" w:hAnsi="Times New Roman" w:cs="Times New Roman"/>
                <w:sz w:val="18"/>
                <w:szCs w:val="18"/>
                <w:lang w:val="es-ES"/>
              </w:rPr>
            </w:pPr>
          </w:p>
        </w:tc>
        <w:tc>
          <w:tcPr>
            <w:tcW w:w="2197" w:type="dxa"/>
            <w:vMerge/>
          </w:tcPr>
          <w:p w14:paraId="439757E0" w14:textId="77777777" w:rsidR="00A82606" w:rsidRPr="00017CDE" w:rsidRDefault="00A82606" w:rsidP="00A82606">
            <w:pPr>
              <w:jc w:val="center"/>
              <w:rPr>
                <w:rFonts w:ascii="Times New Roman" w:hAnsi="Times New Roman" w:cs="Times New Roman"/>
                <w:sz w:val="18"/>
                <w:szCs w:val="18"/>
                <w:lang w:val="es-ES"/>
              </w:rPr>
            </w:pPr>
          </w:p>
        </w:tc>
      </w:tr>
      <w:tr w:rsidR="00A82606" w:rsidRPr="00017CDE" w14:paraId="5A57FE73" w14:textId="77777777" w:rsidTr="00A82606">
        <w:tc>
          <w:tcPr>
            <w:tcW w:w="1890" w:type="dxa"/>
            <w:vAlign w:val="center"/>
          </w:tcPr>
          <w:p w14:paraId="12C2F619" w14:textId="77777777" w:rsidR="00A82606" w:rsidRPr="00017CDE" w:rsidRDefault="00A82606" w:rsidP="00A82606">
            <w:pPr>
              <w:rPr>
                <w:rFonts w:ascii="Times New Roman" w:hAnsi="Times New Roman" w:cs="Times New Roman"/>
                <w:sz w:val="18"/>
                <w:szCs w:val="18"/>
                <w:lang w:val="es-ES"/>
              </w:rPr>
            </w:pPr>
            <w:r w:rsidRPr="00017CDE">
              <w:rPr>
                <w:rFonts w:ascii="Times New Roman" w:hAnsi="Times New Roman" w:cs="Times New Roman"/>
                <w:sz w:val="18"/>
                <w:szCs w:val="18"/>
                <w:lang w:val="es-ES"/>
              </w:rPr>
              <w:t xml:space="preserve">Invalidez, Vejez y Muerte (IVM) </w:t>
            </w:r>
            <w:r w:rsidRPr="00017CDE">
              <w:rPr>
                <w:rFonts w:ascii="Times New Roman" w:hAnsi="Times New Roman" w:cs="Times New Roman"/>
                <w:sz w:val="18"/>
                <w:szCs w:val="18"/>
                <w:vertAlign w:val="superscript"/>
                <w:lang w:val="es-ES"/>
              </w:rPr>
              <w:t>(1)</w:t>
            </w:r>
          </w:p>
        </w:tc>
        <w:tc>
          <w:tcPr>
            <w:tcW w:w="1080" w:type="dxa"/>
            <w:vAlign w:val="center"/>
          </w:tcPr>
          <w:p w14:paraId="5C67DBB8"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3,84%</w:t>
            </w:r>
          </w:p>
        </w:tc>
        <w:tc>
          <w:tcPr>
            <w:tcW w:w="900" w:type="dxa"/>
            <w:vAlign w:val="center"/>
          </w:tcPr>
          <w:p w14:paraId="17651C5B"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5,08%</w:t>
            </w:r>
          </w:p>
        </w:tc>
        <w:tc>
          <w:tcPr>
            <w:tcW w:w="900" w:type="dxa"/>
            <w:vAlign w:val="center"/>
          </w:tcPr>
          <w:p w14:paraId="1CFD81DD"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1,24%</w:t>
            </w:r>
          </w:p>
        </w:tc>
        <w:tc>
          <w:tcPr>
            <w:tcW w:w="2250" w:type="dxa"/>
            <w:vAlign w:val="center"/>
          </w:tcPr>
          <w:p w14:paraId="446BB49B"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65 años y 300 cotizaciones</w:t>
            </w:r>
          </w:p>
        </w:tc>
        <w:tc>
          <w:tcPr>
            <w:tcW w:w="2197" w:type="dxa"/>
            <w:vAlign w:val="center"/>
          </w:tcPr>
          <w:p w14:paraId="72FC766C"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Promedio real de los últimos 20 años/entre 43%-52</w:t>
            </w:r>
            <w:r w:rsidR="00C67845">
              <w:rPr>
                <w:rFonts w:ascii="Times New Roman" w:hAnsi="Times New Roman" w:cs="Times New Roman"/>
                <w:sz w:val="18"/>
                <w:szCs w:val="18"/>
                <w:lang w:val="es-ES"/>
              </w:rPr>
              <w:t>,</w:t>
            </w:r>
            <w:r w:rsidRPr="00017CDE">
              <w:rPr>
                <w:rFonts w:ascii="Times New Roman" w:hAnsi="Times New Roman" w:cs="Times New Roman"/>
                <w:sz w:val="18"/>
                <w:szCs w:val="18"/>
                <w:lang w:val="es-ES"/>
              </w:rPr>
              <w:t>5% del salario de referencia + 1% por cada año cotizado por encima de 20</w:t>
            </w:r>
          </w:p>
        </w:tc>
      </w:tr>
      <w:tr w:rsidR="00A82606" w:rsidRPr="00017CDE" w14:paraId="7B662DDD" w14:textId="77777777" w:rsidTr="00A82606">
        <w:tc>
          <w:tcPr>
            <w:tcW w:w="1890" w:type="dxa"/>
            <w:vAlign w:val="center"/>
          </w:tcPr>
          <w:p w14:paraId="7CC96D4C" w14:textId="77777777" w:rsidR="00A82606" w:rsidRPr="00017CDE" w:rsidRDefault="00A82606" w:rsidP="00A82606">
            <w:pPr>
              <w:rPr>
                <w:rFonts w:ascii="Times New Roman" w:hAnsi="Times New Roman" w:cs="Times New Roman"/>
                <w:sz w:val="18"/>
                <w:szCs w:val="18"/>
                <w:lang w:val="es-ES"/>
              </w:rPr>
            </w:pPr>
            <w:r w:rsidRPr="00017CDE">
              <w:rPr>
                <w:rFonts w:ascii="Times New Roman" w:hAnsi="Times New Roman" w:cs="Times New Roman"/>
                <w:sz w:val="18"/>
                <w:szCs w:val="18"/>
                <w:lang w:val="es-ES"/>
              </w:rPr>
              <w:t>Poder Judicial</w:t>
            </w:r>
          </w:p>
        </w:tc>
        <w:tc>
          <w:tcPr>
            <w:tcW w:w="1080" w:type="dxa"/>
            <w:vAlign w:val="center"/>
          </w:tcPr>
          <w:p w14:paraId="5672EF8C"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11,0%</w:t>
            </w:r>
          </w:p>
        </w:tc>
        <w:tc>
          <w:tcPr>
            <w:tcW w:w="900" w:type="dxa"/>
            <w:vAlign w:val="center"/>
          </w:tcPr>
          <w:p w14:paraId="125CC047"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14,36%</w:t>
            </w:r>
          </w:p>
        </w:tc>
        <w:tc>
          <w:tcPr>
            <w:tcW w:w="900" w:type="dxa"/>
            <w:vAlign w:val="center"/>
          </w:tcPr>
          <w:p w14:paraId="0B492549"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1,24%</w:t>
            </w:r>
          </w:p>
        </w:tc>
        <w:tc>
          <w:tcPr>
            <w:tcW w:w="2250" w:type="dxa"/>
            <w:vAlign w:val="center"/>
          </w:tcPr>
          <w:p w14:paraId="10280B8F"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60 años y 30 de servicio en la administración pública. Con los últimos 5 años al servicio del poder judicial</w:t>
            </w:r>
          </w:p>
        </w:tc>
        <w:tc>
          <w:tcPr>
            <w:tcW w:w="2197" w:type="dxa"/>
            <w:vAlign w:val="center"/>
          </w:tcPr>
          <w:p w14:paraId="6B501C9A"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Promedio de los últimos 24 salarios</w:t>
            </w:r>
            <w:r w:rsidRPr="00017CDE" w:rsidDel="00384A43">
              <w:rPr>
                <w:rFonts w:ascii="Times New Roman" w:hAnsi="Times New Roman" w:cs="Times New Roman"/>
                <w:sz w:val="18"/>
                <w:szCs w:val="18"/>
                <w:lang w:val="es-ES"/>
              </w:rPr>
              <w:t xml:space="preserve"> </w:t>
            </w:r>
            <w:r w:rsidRPr="00017CDE">
              <w:rPr>
                <w:rFonts w:ascii="Times New Roman" w:hAnsi="Times New Roman" w:cs="Times New Roman"/>
                <w:sz w:val="18"/>
                <w:szCs w:val="18"/>
                <w:lang w:val="es-ES"/>
              </w:rPr>
              <w:t>/100% del salario de referencia</w:t>
            </w:r>
          </w:p>
        </w:tc>
      </w:tr>
      <w:tr w:rsidR="00A82606" w:rsidRPr="00017CDE" w14:paraId="68A95C6B" w14:textId="77777777" w:rsidTr="00A82606">
        <w:tc>
          <w:tcPr>
            <w:tcW w:w="1890" w:type="dxa"/>
            <w:vAlign w:val="center"/>
          </w:tcPr>
          <w:p w14:paraId="19FA631C" w14:textId="77777777" w:rsidR="00A82606" w:rsidRPr="00017CDE" w:rsidRDefault="00A82606" w:rsidP="00A82606">
            <w:pPr>
              <w:rPr>
                <w:rFonts w:ascii="Times New Roman" w:hAnsi="Times New Roman" w:cs="Times New Roman"/>
                <w:sz w:val="18"/>
                <w:szCs w:val="18"/>
                <w:lang w:val="es-ES"/>
              </w:rPr>
            </w:pPr>
            <w:r w:rsidRPr="00017CDE">
              <w:rPr>
                <w:rFonts w:ascii="Times New Roman" w:hAnsi="Times New Roman" w:cs="Times New Roman"/>
                <w:sz w:val="18"/>
                <w:szCs w:val="18"/>
                <w:lang w:val="es-ES"/>
              </w:rPr>
              <w:t>Capitalización Colectiva Magisterio</w:t>
            </w:r>
          </w:p>
        </w:tc>
        <w:tc>
          <w:tcPr>
            <w:tcW w:w="1080" w:type="dxa"/>
            <w:vAlign w:val="center"/>
          </w:tcPr>
          <w:p w14:paraId="35B8EB56"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8,0%</w:t>
            </w:r>
          </w:p>
        </w:tc>
        <w:tc>
          <w:tcPr>
            <w:tcW w:w="900" w:type="dxa"/>
            <w:vAlign w:val="center"/>
          </w:tcPr>
          <w:p w14:paraId="122904A2"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6,75%</w:t>
            </w:r>
          </w:p>
        </w:tc>
        <w:tc>
          <w:tcPr>
            <w:tcW w:w="900" w:type="dxa"/>
            <w:vAlign w:val="center"/>
          </w:tcPr>
          <w:p w14:paraId="4AA36BC8"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1,24%</w:t>
            </w:r>
          </w:p>
        </w:tc>
        <w:tc>
          <w:tcPr>
            <w:tcW w:w="2250" w:type="dxa"/>
            <w:vAlign w:val="center"/>
          </w:tcPr>
          <w:p w14:paraId="7A6AA295"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Desde 55 años y 1 mes con 395 cotizaciones, hasta 65 años con 180 cotizaciones</w:t>
            </w:r>
          </w:p>
        </w:tc>
        <w:tc>
          <w:tcPr>
            <w:tcW w:w="2197" w:type="dxa"/>
            <w:vAlign w:val="center"/>
          </w:tcPr>
          <w:p w14:paraId="67EC208B"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Promedio real de todos los salarios cotizados/60% del salario de referencia</w:t>
            </w:r>
          </w:p>
        </w:tc>
      </w:tr>
      <w:tr w:rsidR="00A82606" w:rsidRPr="00017CDE" w14:paraId="3F832201" w14:textId="77777777" w:rsidTr="00A82606">
        <w:tc>
          <w:tcPr>
            <w:tcW w:w="1890" w:type="dxa"/>
            <w:vAlign w:val="center"/>
          </w:tcPr>
          <w:p w14:paraId="444B729A" w14:textId="77777777" w:rsidR="00A82606" w:rsidRPr="00017CDE" w:rsidRDefault="00A82606" w:rsidP="00A82606">
            <w:pPr>
              <w:rPr>
                <w:rFonts w:ascii="Times New Roman" w:hAnsi="Times New Roman" w:cs="Times New Roman"/>
                <w:sz w:val="18"/>
                <w:szCs w:val="18"/>
                <w:lang w:val="es-ES"/>
              </w:rPr>
            </w:pPr>
            <w:r w:rsidRPr="00017CDE">
              <w:rPr>
                <w:rFonts w:ascii="Times New Roman" w:hAnsi="Times New Roman" w:cs="Times New Roman"/>
                <w:sz w:val="18"/>
                <w:szCs w:val="18"/>
                <w:lang w:val="es-ES"/>
              </w:rPr>
              <w:t>Bomberos</w:t>
            </w:r>
          </w:p>
        </w:tc>
        <w:tc>
          <w:tcPr>
            <w:tcW w:w="1080" w:type="dxa"/>
            <w:vAlign w:val="center"/>
          </w:tcPr>
          <w:p w14:paraId="1D784FD8"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12,5%</w:t>
            </w:r>
          </w:p>
        </w:tc>
        <w:tc>
          <w:tcPr>
            <w:tcW w:w="900" w:type="dxa"/>
            <w:vAlign w:val="center"/>
          </w:tcPr>
          <w:p w14:paraId="2B9BD967"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37,5%</w:t>
            </w:r>
          </w:p>
        </w:tc>
        <w:tc>
          <w:tcPr>
            <w:tcW w:w="900" w:type="dxa"/>
            <w:vAlign w:val="center"/>
          </w:tcPr>
          <w:p w14:paraId="14F00648"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w:t>
            </w:r>
          </w:p>
        </w:tc>
        <w:tc>
          <w:tcPr>
            <w:tcW w:w="2250" w:type="dxa"/>
            <w:vAlign w:val="center"/>
          </w:tcPr>
          <w:p w14:paraId="572DC508"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50 años y 20 años de servicio o cualquier edad con 25 años de servicio</w:t>
            </w:r>
          </w:p>
        </w:tc>
        <w:tc>
          <w:tcPr>
            <w:tcW w:w="2197" w:type="dxa"/>
            <w:vAlign w:val="center"/>
          </w:tcPr>
          <w:p w14:paraId="11ECABAF"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Promedio de los mejores 24 salarios devengados en los últimos 5 años.</w:t>
            </w:r>
          </w:p>
        </w:tc>
      </w:tr>
      <w:tr w:rsidR="00A82606" w:rsidRPr="00017CDE" w14:paraId="1778535E" w14:textId="77777777" w:rsidTr="00A82606">
        <w:tc>
          <w:tcPr>
            <w:tcW w:w="1890" w:type="dxa"/>
            <w:vAlign w:val="center"/>
          </w:tcPr>
          <w:p w14:paraId="24BC5A81" w14:textId="77777777" w:rsidR="00A82606" w:rsidRPr="00017CDE" w:rsidRDefault="00A82606" w:rsidP="00A82606">
            <w:pPr>
              <w:rPr>
                <w:rFonts w:ascii="Times New Roman" w:hAnsi="Times New Roman" w:cs="Times New Roman"/>
                <w:sz w:val="18"/>
                <w:szCs w:val="18"/>
                <w:lang w:val="es-ES"/>
              </w:rPr>
            </w:pPr>
            <w:r w:rsidRPr="00017CDE">
              <w:rPr>
                <w:rFonts w:ascii="Times New Roman" w:hAnsi="Times New Roman" w:cs="Times New Roman"/>
                <w:sz w:val="18"/>
                <w:szCs w:val="18"/>
                <w:lang w:val="es-ES"/>
              </w:rPr>
              <w:t>Con carga al presupuesto nacional</w:t>
            </w:r>
          </w:p>
          <w:p w14:paraId="68E8CE0B" w14:textId="77777777" w:rsidR="00A82606" w:rsidRPr="00017CDE" w:rsidRDefault="00A82606" w:rsidP="00A82606">
            <w:pPr>
              <w:rPr>
                <w:rFonts w:ascii="Times New Roman" w:hAnsi="Times New Roman" w:cs="Times New Roman"/>
                <w:sz w:val="18"/>
                <w:szCs w:val="18"/>
                <w:lang w:val="es-ES"/>
              </w:rPr>
            </w:pPr>
            <w:r w:rsidRPr="00017CDE">
              <w:rPr>
                <w:rFonts w:ascii="Times New Roman" w:hAnsi="Times New Roman" w:cs="Times New Roman"/>
                <w:sz w:val="18"/>
                <w:szCs w:val="18"/>
                <w:lang w:val="es-ES"/>
              </w:rPr>
              <w:t>(Hacienda, Obras Públicas, Registro Nacional y Comunicaciones)</w:t>
            </w:r>
          </w:p>
        </w:tc>
        <w:tc>
          <w:tcPr>
            <w:tcW w:w="1080" w:type="dxa"/>
            <w:vAlign w:val="center"/>
          </w:tcPr>
          <w:p w14:paraId="46356B44"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9%</w:t>
            </w:r>
          </w:p>
        </w:tc>
        <w:tc>
          <w:tcPr>
            <w:tcW w:w="900" w:type="dxa"/>
            <w:vAlign w:val="center"/>
          </w:tcPr>
          <w:p w14:paraId="0A60DF6E"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w:t>
            </w:r>
          </w:p>
        </w:tc>
        <w:tc>
          <w:tcPr>
            <w:tcW w:w="900" w:type="dxa"/>
            <w:vAlign w:val="center"/>
          </w:tcPr>
          <w:p w14:paraId="41683CA1"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9%</w:t>
            </w:r>
            <w:r>
              <w:rPr>
                <w:rFonts w:ascii="Times New Roman" w:hAnsi="Times New Roman" w:cs="Times New Roman"/>
                <w:sz w:val="18"/>
                <w:szCs w:val="18"/>
                <w:lang w:val="es-ES"/>
              </w:rPr>
              <w:t xml:space="preserve"> </w:t>
            </w:r>
            <w:r w:rsidRPr="00017CDE">
              <w:rPr>
                <w:rFonts w:ascii="Times New Roman" w:hAnsi="Times New Roman" w:cs="Times New Roman"/>
                <w:sz w:val="18"/>
                <w:szCs w:val="18"/>
                <w:lang w:val="es-ES"/>
              </w:rPr>
              <w:t>(2)</w:t>
            </w:r>
          </w:p>
        </w:tc>
        <w:tc>
          <w:tcPr>
            <w:tcW w:w="2250" w:type="dxa"/>
            <w:vAlign w:val="center"/>
          </w:tcPr>
          <w:p w14:paraId="56EAB2C5"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60 años y 30 de cotizaciones al régimen que pertenezca o 65 años y 20 de cotizaciones al régimen que pertenezca</w:t>
            </w:r>
          </w:p>
        </w:tc>
        <w:tc>
          <w:tcPr>
            <w:tcW w:w="2197" w:type="dxa"/>
            <w:vAlign w:val="center"/>
          </w:tcPr>
          <w:p w14:paraId="04D917F2" w14:textId="77777777" w:rsidR="00A82606" w:rsidRPr="00017CDE" w:rsidRDefault="00A82606" w:rsidP="00A82606">
            <w:pPr>
              <w:jc w:val="center"/>
              <w:rPr>
                <w:rFonts w:ascii="Times New Roman" w:hAnsi="Times New Roman" w:cs="Times New Roman"/>
                <w:sz w:val="18"/>
                <w:szCs w:val="18"/>
                <w:lang w:val="es-ES"/>
              </w:rPr>
            </w:pPr>
            <w:r w:rsidRPr="00017CDE">
              <w:rPr>
                <w:rFonts w:ascii="Times New Roman" w:hAnsi="Times New Roman" w:cs="Times New Roman"/>
                <w:sz w:val="18"/>
                <w:szCs w:val="18"/>
                <w:lang w:val="es-ES"/>
              </w:rPr>
              <w:t>Promedio de los mejores 12 salarios de los últimos 24 percibidos/100% salario de referencia</w:t>
            </w:r>
          </w:p>
        </w:tc>
      </w:tr>
      <w:tr w:rsidR="00A82606" w:rsidRPr="00017CDE" w14:paraId="1E5071F8" w14:textId="77777777" w:rsidTr="00A82606">
        <w:trPr>
          <w:trHeight w:val="413"/>
        </w:trPr>
        <w:tc>
          <w:tcPr>
            <w:tcW w:w="9217" w:type="dxa"/>
            <w:gridSpan w:val="6"/>
            <w:tcBorders>
              <w:top w:val="single" w:sz="4" w:space="0" w:color="auto"/>
              <w:left w:val="nil"/>
              <w:bottom w:val="nil"/>
              <w:right w:val="nil"/>
            </w:tcBorders>
            <w:vAlign w:val="center"/>
          </w:tcPr>
          <w:p w14:paraId="7E22F651" w14:textId="77777777" w:rsidR="00A82606" w:rsidRPr="00017CDE" w:rsidRDefault="00A82606" w:rsidP="00A82606">
            <w:pPr>
              <w:spacing w:after="120"/>
              <w:jc w:val="center"/>
              <w:rPr>
                <w:rFonts w:ascii="Times New Roman" w:hAnsi="Times New Roman" w:cs="Times New Roman"/>
                <w:sz w:val="18"/>
                <w:szCs w:val="18"/>
                <w:highlight w:val="yellow"/>
                <w:lang w:val="es-ES"/>
              </w:rPr>
            </w:pPr>
            <w:r w:rsidRPr="00683BAC">
              <w:rPr>
                <w:rFonts w:ascii="Times New Roman" w:hAnsi="Times New Roman" w:cs="Times New Roman"/>
                <w:sz w:val="18"/>
                <w:szCs w:val="18"/>
                <w:lang w:val="es-ES"/>
              </w:rPr>
              <w:t>Fuente: Elaboración propia con base en normativa y leyes costarricenses.</w:t>
            </w:r>
          </w:p>
        </w:tc>
      </w:tr>
    </w:tbl>
    <w:p w14:paraId="0F310A58" w14:textId="77777777" w:rsidR="00D836F9" w:rsidRPr="001136A4" w:rsidRDefault="00D836F9" w:rsidP="001B39E1">
      <w:pPr>
        <w:spacing w:after="120" w:line="360" w:lineRule="auto"/>
        <w:jc w:val="both"/>
        <w:textAlignment w:val="top"/>
        <w:rPr>
          <w:rFonts w:ascii="Times New Roman" w:eastAsia="Times New Roman" w:hAnsi="Times New Roman" w:cs="Times New Roman"/>
          <w:b/>
        </w:rPr>
      </w:pPr>
      <w:r w:rsidRPr="001136A4">
        <w:rPr>
          <w:rFonts w:ascii="Times New Roman" w:eastAsia="Times New Roman" w:hAnsi="Times New Roman" w:cs="Times New Roman"/>
          <w:b/>
        </w:rPr>
        <w:t>Cambios demográficos generará</w:t>
      </w:r>
      <w:r w:rsidR="00653968">
        <w:rPr>
          <w:rFonts w:ascii="Times New Roman" w:eastAsia="Times New Roman" w:hAnsi="Times New Roman" w:cs="Times New Roman"/>
          <w:b/>
        </w:rPr>
        <w:t>n</w:t>
      </w:r>
      <w:r w:rsidRPr="001136A4">
        <w:rPr>
          <w:rFonts w:ascii="Times New Roman" w:eastAsia="Times New Roman" w:hAnsi="Times New Roman" w:cs="Times New Roman"/>
          <w:b/>
        </w:rPr>
        <w:t xml:space="preserve"> demandas sobre el sistema de pensiones. </w:t>
      </w:r>
      <w:r w:rsidRPr="001136A4">
        <w:rPr>
          <w:rFonts w:ascii="Times New Roman" w:hAnsi="Times New Roman" w:cs="Times New Roman"/>
          <w:bCs/>
        </w:rPr>
        <w:t>A pesar de que el actual contexto demográfico de Costa Rica es favorable, la dinámica de los próximos años planteará un importante conjunto de desafíos. De acuerdo con proyecciones, la población mayor de 65 años aumentará de 7,5% en el 2015 a 13,8% en el 2030 y 22,2% en el 2050.</w:t>
      </w:r>
      <w:r w:rsidR="00FD078D">
        <w:rPr>
          <w:rStyle w:val="FootnoteReference"/>
          <w:rFonts w:ascii="Times New Roman" w:hAnsi="Times New Roman" w:cs="Times New Roman"/>
          <w:bCs/>
        </w:rPr>
        <w:footnoteReference w:id="90"/>
      </w:r>
      <w:r w:rsidRPr="001136A4">
        <w:rPr>
          <w:rFonts w:ascii="Times New Roman" w:hAnsi="Times New Roman" w:cs="Times New Roman"/>
          <w:bCs/>
        </w:rPr>
        <w:t xml:space="preserve"> Asimismo, la disminución en el número de trabajadores activos en relación con los pensionados dificultará cada vez más la continuidad del esquema de transferencia y solidaridad intergeneracional común en los sistemas de reparto</w:t>
      </w:r>
      <w:r w:rsidRPr="00062F1F">
        <w:rPr>
          <w:rFonts w:ascii="Times New Roman" w:hAnsi="Times New Roman" w:cs="Times New Roman"/>
          <w:bCs/>
        </w:rPr>
        <w:t>. La existencia de un bono demográfico ofrece una enorme oportunidad para fortalecer el sistema de pensiones</w:t>
      </w:r>
      <w:r w:rsidR="00A74266" w:rsidRPr="00062F1F">
        <w:rPr>
          <w:rFonts w:ascii="Times New Roman" w:hAnsi="Times New Roman" w:cs="Times New Roman"/>
          <w:bCs/>
        </w:rPr>
        <w:t>. S</w:t>
      </w:r>
      <w:r w:rsidRPr="00062F1F">
        <w:rPr>
          <w:rFonts w:ascii="Times New Roman" w:hAnsi="Times New Roman" w:cs="Times New Roman"/>
          <w:bCs/>
        </w:rPr>
        <w:t>in embargo, se requiere del impulso de políticas públicas que permitan aprovecharlo. Particularmente, se requiere la implementación de reformas orientadas a establecer un sistema de pensiones fiscalmente sostenible, y consistente con la generación de empleo formal. De no hacerse las modificaciones necesarias en el sistema de pensiones, la deuda previsional sería insostenible y el cierre eventual de la “ventana de oportunidad” demográfica haría más difícil y costosa la implementación de reformas.</w:t>
      </w:r>
    </w:p>
    <w:p w14:paraId="67667DE0" w14:textId="77777777" w:rsidR="00D836F9" w:rsidRPr="001136A4" w:rsidRDefault="00D836F9" w:rsidP="001B39E1">
      <w:pPr>
        <w:spacing w:before="120" w:after="120" w:line="360" w:lineRule="auto"/>
        <w:jc w:val="both"/>
        <w:textAlignment w:val="top"/>
        <w:rPr>
          <w:rFonts w:ascii="Times New Roman" w:eastAsia="Times New Roman" w:hAnsi="Times New Roman" w:cs="Times New Roman"/>
        </w:rPr>
      </w:pPr>
      <w:r w:rsidRPr="001136A4">
        <w:rPr>
          <w:rFonts w:ascii="Times New Roman" w:eastAsia="Times New Roman" w:hAnsi="Times New Roman" w:cs="Times New Roman"/>
          <w:b/>
        </w:rPr>
        <w:t>Desde el año 2005, Costa Rica ha realizado modificaciones que han tenido impacto tanto en la sostenibilidad como en la cobertura del sistema.</w:t>
      </w:r>
      <w:r w:rsidRPr="001136A4">
        <w:rPr>
          <w:rFonts w:ascii="Times New Roman" w:eastAsia="Times New Roman" w:hAnsi="Times New Roman" w:cs="Times New Roman"/>
        </w:rPr>
        <w:t xml:space="preserve">  El principal avance fue la reforma de la CCSS que se realizó en el año 2005. Con esta reforma se introdujeron numerosas modificaciones paramétricas tendientes a reducir la crisis financiera que se iba a presentar en los siguientes años.</w:t>
      </w:r>
      <w:r w:rsidRPr="001136A4">
        <w:rPr>
          <w:rFonts w:ascii="Times New Roman" w:hAnsi="Times New Roman" w:cs="Times New Roman"/>
          <w:vertAlign w:val="superscript"/>
        </w:rPr>
        <w:footnoteReference w:id="91"/>
      </w:r>
      <w:r w:rsidRPr="001136A4">
        <w:rPr>
          <w:rFonts w:ascii="Times New Roman" w:eastAsia="Times New Roman" w:hAnsi="Times New Roman" w:cs="Times New Roman"/>
        </w:rPr>
        <w:t xml:space="preserve"> Entre los años 2006 y 2009, existieron varias modificaciones en el programa de pensiones no contributivas, entre ellas el aumento en el monto de los beneficios en más de cuatro veces.</w:t>
      </w:r>
      <w:r w:rsidRPr="001136A4">
        <w:rPr>
          <w:rFonts w:ascii="Times New Roman" w:hAnsi="Times New Roman" w:cs="Times New Roman"/>
          <w:vertAlign w:val="superscript"/>
        </w:rPr>
        <w:footnoteReference w:id="92"/>
      </w:r>
      <w:r w:rsidRPr="001136A4">
        <w:rPr>
          <w:rFonts w:ascii="Times New Roman" w:eastAsia="Times New Roman" w:hAnsi="Times New Roman" w:cs="Times New Roman"/>
        </w:rPr>
        <w:t xml:space="preserve"> En el año 2016, se adoptaron varias medidas tendientes a reducir el impacto sobre las finanzas públicas de los regímenes especiales a cargo del presupuesto público.</w:t>
      </w:r>
      <w:r w:rsidRPr="001136A4">
        <w:rPr>
          <w:rStyle w:val="FootnoteReference"/>
          <w:rFonts w:ascii="Times New Roman" w:eastAsia="Times New Roman" w:hAnsi="Times New Roman" w:cs="Times New Roman"/>
        </w:rPr>
        <w:footnoteReference w:id="93"/>
      </w:r>
      <w:r w:rsidRPr="001136A4">
        <w:rPr>
          <w:rFonts w:ascii="Times New Roman" w:eastAsia="Times New Roman" w:hAnsi="Times New Roman" w:cs="Times New Roman"/>
        </w:rPr>
        <w:t xml:space="preserve"> Por otra parte, a partir de septiembre de 2016, la Junta Directiva de la CCSS aprobó como parte de las medidas de corto plazo para aumentar la recaudación, un aumento en el aporte del Estado desde un 0,58% a un 1,24%. Asimismo, también se aprobó el aumento de 1% en la tasa de cotización del trabajador de 0,5% a partir del 1 de julio de 2017 y otro 0</w:t>
      </w:r>
      <w:r w:rsidR="00151802">
        <w:rPr>
          <w:rFonts w:ascii="Times New Roman" w:eastAsia="Times New Roman" w:hAnsi="Times New Roman" w:cs="Times New Roman"/>
        </w:rPr>
        <w:t>,</w:t>
      </w:r>
      <w:r w:rsidRPr="001136A4">
        <w:rPr>
          <w:rFonts w:ascii="Times New Roman" w:eastAsia="Times New Roman" w:hAnsi="Times New Roman" w:cs="Times New Roman"/>
        </w:rPr>
        <w:t xml:space="preserve">5% a partir del 1 de enero 2018 llegado a una contribución total del trabajador de 3,84%. </w:t>
      </w:r>
    </w:p>
    <w:p w14:paraId="61F7E525" w14:textId="77777777" w:rsidR="00D836F9" w:rsidRPr="002573FA" w:rsidRDefault="004B7406" w:rsidP="007124CA">
      <w:pPr>
        <w:spacing w:after="120" w:line="360" w:lineRule="auto"/>
        <w:jc w:val="both"/>
        <w:textAlignment w:val="top"/>
        <w:rPr>
          <w:rFonts w:ascii="Times New Roman" w:hAnsi="Times New Roman" w:cs="Times New Roman"/>
          <w:b/>
          <w:bCs/>
          <w:lang w:val="es-ES_tradnl"/>
        </w:rPr>
      </w:pPr>
      <w:r>
        <w:rPr>
          <w:rFonts w:ascii="Times New Roman" w:eastAsia="Times New Roman" w:hAnsi="Times New Roman" w:cs="Times New Roman"/>
          <w:b/>
        </w:rPr>
        <w:t>Las p</w:t>
      </w:r>
      <w:r w:rsidR="00D836F9" w:rsidRPr="002573FA">
        <w:rPr>
          <w:rFonts w:ascii="Times New Roman" w:eastAsia="Times New Roman" w:hAnsi="Times New Roman" w:cs="Times New Roman"/>
          <w:b/>
        </w:rPr>
        <w:t>ensiones no contributivas</w:t>
      </w:r>
      <w:r w:rsidR="00337A62">
        <w:rPr>
          <w:rFonts w:ascii="Times New Roman" w:eastAsia="Times New Roman" w:hAnsi="Times New Roman" w:cs="Times New Roman"/>
          <w:b/>
        </w:rPr>
        <w:t xml:space="preserve"> (PNC)</w:t>
      </w:r>
      <w:r w:rsidRPr="004B7406">
        <w:rPr>
          <w:rStyle w:val="FootnoteReference"/>
          <w:rFonts w:ascii="Times New Roman" w:hAnsi="Times New Roman" w:cs="Times New Roman"/>
          <w:b/>
          <w:lang w:val="es-ES_tradnl"/>
        </w:rPr>
        <w:footnoteReference w:id="94"/>
      </w:r>
      <w:r w:rsidR="00D836F9" w:rsidRPr="002573FA">
        <w:rPr>
          <w:rFonts w:ascii="Times New Roman" w:eastAsia="Times New Roman" w:hAnsi="Times New Roman" w:cs="Times New Roman"/>
          <w:b/>
        </w:rPr>
        <w:t xml:space="preserve"> suponen una deuda implícita del sistema de pensiones.</w:t>
      </w:r>
      <w:r w:rsidR="00D836F9" w:rsidRPr="002573FA">
        <w:rPr>
          <w:rFonts w:ascii="Times New Roman" w:eastAsia="Times New Roman" w:hAnsi="Times New Roman" w:cs="Times New Roman"/>
        </w:rPr>
        <w:t xml:space="preserve"> </w:t>
      </w:r>
      <w:r w:rsidR="00D836F9" w:rsidRPr="002573FA">
        <w:rPr>
          <w:rFonts w:ascii="Times New Roman" w:hAnsi="Times New Roman" w:cs="Times New Roman"/>
          <w:bCs/>
          <w:lang w:val="es-ES_tradnl"/>
        </w:rPr>
        <w:t xml:space="preserve">Costa Rica pertenece al grupo de países dentro de América Latina con la mayor cobertura de su sistema de pensiones. Aproximadamente el 65% de la población mayor de 65 años recibe una pensión, sin embargo, el 20% corresponde a una </w:t>
      </w:r>
      <w:r w:rsidR="00337A62">
        <w:rPr>
          <w:rFonts w:ascii="Times New Roman" w:hAnsi="Times New Roman" w:cs="Times New Roman"/>
          <w:bCs/>
          <w:lang w:val="es-ES_tradnl"/>
        </w:rPr>
        <w:t>PNC</w:t>
      </w:r>
      <w:r w:rsidR="009755EA">
        <w:rPr>
          <w:rFonts w:ascii="Times New Roman" w:hAnsi="Times New Roman" w:cs="Times New Roman"/>
          <w:bCs/>
          <w:lang w:val="es-ES_tradnl"/>
        </w:rPr>
        <w:t>.</w:t>
      </w:r>
      <w:r w:rsidR="00986516">
        <w:rPr>
          <w:rStyle w:val="FootnoteReference"/>
          <w:rFonts w:ascii="Times New Roman" w:hAnsi="Times New Roman" w:cs="Times New Roman"/>
          <w:bCs/>
          <w:lang w:val="es-ES_tradnl"/>
        </w:rPr>
        <w:footnoteReference w:id="95"/>
      </w:r>
      <w:r w:rsidR="00D836F9" w:rsidRPr="002573FA">
        <w:rPr>
          <w:rFonts w:ascii="Times New Roman" w:hAnsi="Times New Roman" w:cs="Times New Roman"/>
          <w:lang w:val="es-ES_tradnl"/>
        </w:rPr>
        <w:t xml:space="preserve"> El creciente número de </w:t>
      </w:r>
      <w:r w:rsidR="00337A62">
        <w:rPr>
          <w:rFonts w:ascii="Times New Roman" w:hAnsi="Times New Roman" w:cs="Times New Roman"/>
          <w:lang w:val="es-ES_tradnl"/>
        </w:rPr>
        <w:t>PNC</w:t>
      </w:r>
      <w:r w:rsidR="00D836F9" w:rsidRPr="002573FA">
        <w:rPr>
          <w:rFonts w:ascii="Times New Roman" w:hAnsi="Times New Roman" w:cs="Times New Roman"/>
          <w:lang w:val="es-ES_tradnl"/>
        </w:rPr>
        <w:t xml:space="preserve"> supone una deuda implícita para el país, dado que, en los próximos años</w:t>
      </w:r>
      <w:r w:rsidR="00D836F9" w:rsidRPr="002573FA">
        <w:rPr>
          <w:rFonts w:ascii="Times New Roman" w:hAnsi="Times New Roman" w:cs="Times New Roman"/>
          <w:bCs/>
          <w:lang w:val="es-ES_tradnl"/>
        </w:rPr>
        <w:t>, el Estado no va a poder ignorar las demandas de un creciente porcentaje de la población sin cobertura. Esta situación conlleva a presiones financieras que perjudican su sostenibilidad y dificultan acciones tendientes a mejorar la cobertura y equidad del sistema. De hecho, este costo latente se está comenzando a materializar dado el creciente monto de recursos que se está destinado para el pago de PNC para a adultos mayores en situación de pobreza, que en 2016 representó el 0</w:t>
      </w:r>
      <w:r w:rsidR="00337A62">
        <w:rPr>
          <w:rFonts w:ascii="Times New Roman" w:hAnsi="Times New Roman" w:cs="Times New Roman"/>
          <w:bCs/>
          <w:lang w:val="es-ES_tradnl"/>
        </w:rPr>
        <w:t>,</w:t>
      </w:r>
      <w:r w:rsidR="00D836F9" w:rsidRPr="002573FA">
        <w:rPr>
          <w:rFonts w:ascii="Times New Roman" w:hAnsi="Times New Roman" w:cs="Times New Roman"/>
          <w:bCs/>
          <w:lang w:val="es-ES_tradnl"/>
        </w:rPr>
        <w:t>4% del PIB.</w:t>
      </w:r>
      <w:r w:rsidR="00D836F9" w:rsidRPr="002573FA">
        <w:rPr>
          <w:rFonts w:ascii="Times New Roman" w:hAnsi="Times New Roman" w:cs="Times New Roman"/>
          <w:highlight w:val="yellow"/>
          <w:lang w:val="es-ES_tradnl"/>
        </w:rPr>
        <w:t xml:space="preserve"> </w:t>
      </w:r>
    </w:p>
    <w:p w14:paraId="7E1EB66C" w14:textId="77777777" w:rsidR="00354C66" w:rsidRPr="002573FA" w:rsidRDefault="00D836F9" w:rsidP="00354C66">
      <w:pPr>
        <w:spacing w:after="120" w:line="360" w:lineRule="auto"/>
        <w:jc w:val="both"/>
        <w:rPr>
          <w:rFonts w:ascii="Times New Roman" w:hAnsi="Times New Roman" w:cs="Times New Roman"/>
          <w:bCs/>
          <w:lang w:val="es-ES_tradnl"/>
        </w:rPr>
      </w:pPr>
      <w:r w:rsidRPr="002573FA">
        <w:rPr>
          <w:rFonts w:ascii="Times New Roman" w:hAnsi="Times New Roman" w:cs="Times New Roman"/>
          <w:b/>
          <w:bCs/>
          <w:lang w:val="es-ES_tradnl"/>
        </w:rPr>
        <w:t>Déficit financiero de la CCSS se volverá insostenible en los próximos años</w:t>
      </w:r>
      <w:r w:rsidRPr="002573FA">
        <w:rPr>
          <w:rFonts w:ascii="Times New Roman" w:hAnsi="Times New Roman" w:cs="Times New Roman"/>
          <w:bCs/>
          <w:lang w:val="es-ES_tradnl"/>
        </w:rPr>
        <w:t xml:space="preserve">. </w:t>
      </w:r>
      <w:bookmarkStart w:id="36" w:name="_Hlk499282419"/>
      <w:r w:rsidRPr="002573FA">
        <w:rPr>
          <w:rFonts w:ascii="Times New Roman" w:hAnsi="Times New Roman" w:cs="Times New Roman"/>
          <w:bCs/>
          <w:lang w:val="es-ES_tradnl"/>
        </w:rPr>
        <w:t>De acuerdo con un estudio</w:t>
      </w:r>
      <w:r w:rsidR="006A6469">
        <w:rPr>
          <w:rFonts w:ascii="Times New Roman" w:hAnsi="Times New Roman" w:cs="Times New Roman"/>
          <w:bCs/>
          <w:lang w:val="es-ES_tradnl"/>
        </w:rPr>
        <w:t xml:space="preserve"> actuarial de la Escuela de Matemática de la UCR</w:t>
      </w:r>
      <w:r w:rsidRPr="002573FA">
        <w:rPr>
          <w:rFonts w:ascii="Times New Roman" w:hAnsi="Times New Roman" w:cs="Times New Roman"/>
          <w:bCs/>
          <w:lang w:val="es-ES_tradnl"/>
        </w:rPr>
        <w:t>,</w:t>
      </w:r>
      <w:r w:rsidR="009A6165">
        <w:rPr>
          <w:rStyle w:val="FootnoteReference"/>
          <w:rFonts w:ascii="Times New Roman" w:hAnsi="Times New Roman" w:cs="Times New Roman"/>
          <w:bCs/>
          <w:lang w:val="es-ES_tradnl"/>
        </w:rPr>
        <w:footnoteReference w:id="96"/>
      </w:r>
      <w:r w:rsidRPr="002573FA">
        <w:rPr>
          <w:rFonts w:ascii="Times New Roman" w:hAnsi="Times New Roman" w:cs="Times New Roman"/>
          <w:bCs/>
          <w:lang w:val="es-ES_tradnl"/>
        </w:rPr>
        <w:t xml:space="preserve"> el régimen de IVM de la CCSS presenta una delicada situación actuarial</w:t>
      </w:r>
      <w:r w:rsidR="00A05872">
        <w:rPr>
          <w:rFonts w:ascii="Times New Roman" w:hAnsi="Times New Roman" w:cs="Times New Roman"/>
          <w:bCs/>
          <w:lang w:val="es-ES_tradnl"/>
        </w:rPr>
        <w:t xml:space="preserve"> pues se tiene un déficit actuarial de 103,9% del PIB</w:t>
      </w:r>
      <w:r w:rsidR="00EB4CD1">
        <w:rPr>
          <w:rFonts w:ascii="Times New Roman" w:hAnsi="Times New Roman" w:cs="Times New Roman"/>
          <w:bCs/>
          <w:lang w:val="es-ES_tradnl"/>
        </w:rPr>
        <w:t>,</w:t>
      </w:r>
      <w:r w:rsidR="00705F0A">
        <w:rPr>
          <w:rStyle w:val="FootnoteReference"/>
          <w:rFonts w:ascii="Times New Roman" w:hAnsi="Times New Roman" w:cs="Times New Roman"/>
          <w:bCs/>
          <w:lang w:val="es-ES_tradnl"/>
        </w:rPr>
        <w:footnoteReference w:id="97"/>
      </w:r>
      <w:r w:rsidRPr="002573FA">
        <w:rPr>
          <w:rFonts w:ascii="Times New Roman" w:hAnsi="Times New Roman" w:cs="Times New Roman"/>
          <w:bCs/>
          <w:lang w:val="es-ES_tradnl"/>
        </w:rPr>
        <w:t xml:space="preserve"> que se agravará a partir del año 2024 cuando los aportes más los ingresos de las inversiones (es decir, todos los ingresos) resultarán insuficientes para hacer frente al total de gastos y se deberá comenzar a utilizar las reservas para el pago de las pensiones. El estudio señala que, en caso de no hacer reformas, el fondo de reservas se agotará en el año 2030 con lo que el régimen se convertiría en un fondo de reparto puro, esto quiere decir que todos los ingresos que entren al sistema se usarán para pagar pensiones (ver </w:t>
      </w:r>
      <w:r w:rsidR="000549CD">
        <w:rPr>
          <w:rFonts w:ascii="Times New Roman" w:hAnsi="Times New Roman" w:cs="Times New Roman"/>
          <w:bCs/>
          <w:lang w:val="es-ES_tradnl"/>
        </w:rPr>
        <w:t xml:space="preserve">tabla </w:t>
      </w:r>
      <w:r w:rsidR="0028067E">
        <w:rPr>
          <w:rFonts w:ascii="Times New Roman" w:hAnsi="Times New Roman" w:cs="Times New Roman"/>
          <w:bCs/>
          <w:lang w:val="es-ES_tradnl"/>
        </w:rPr>
        <w:t>8</w:t>
      </w:r>
      <w:r w:rsidRPr="002573FA">
        <w:rPr>
          <w:rFonts w:ascii="Times New Roman" w:hAnsi="Times New Roman" w:cs="Times New Roman"/>
          <w:bCs/>
          <w:lang w:val="es-ES_tradnl"/>
        </w:rPr>
        <w:t xml:space="preserve">). Esta situación representa una amenaza para la sostenibilidad de mediano y largo plazo </w:t>
      </w:r>
      <w:r w:rsidR="000549CD" w:rsidRPr="002573FA">
        <w:rPr>
          <w:rFonts w:ascii="Times New Roman" w:hAnsi="Times New Roman" w:cs="Times New Roman"/>
          <w:bCs/>
          <w:lang w:val="es-ES_tradnl"/>
        </w:rPr>
        <w:t>ya que,</w:t>
      </w:r>
      <w:r w:rsidRPr="002573FA">
        <w:rPr>
          <w:rFonts w:ascii="Times New Roman" w:hAnsi="Times New Roman" w:cs="Times New Roman"/>
          <w:bCs/>
          <w:lang w:val="es-ES_tradnl"/>
        </w:rPr>
        <w:t xml:space="preserve"> </w:t>
      </w:r>
      <w:r w:rsidR="000549CD">
        <w:rPr>
          <w:rFonts w:ascii="Times New Roman" w:hAnsi="Times New Roman" w:cs="Times New Roman"/>
          <w:bCs/>
          <w:lang w:val="es-ES_tradnl"/>
        </w:rPr>
        <w:t xml:space="preserve">a </w:t>
      </w:r>
      <w:r w:rsidRPr="002573FA">
        <w:rPr>
          <w:rFonts w:ascii="Times New Roman" w:hAnsi="Times New Roman" w:cs="Times New Roman"/>
          <w:bCs/>
          <w:lang w:val="es-ES_tradnl"/>
        </w:rPr>
        <w:t>partir de ese año, el Gobierno tendrá que hacer aportes fiscales adicionales al IVM por la garantía estatal. Bajo esta situación, estudios técnicos independientes, así como el FMI apuntan a una reforma paramétrica en donde se incremente la edad de jubilación a 70 años, reducir la tasa de reemplazo en 20% e incrementar las contribuciones a 26% para 2055</w:t>
      </w:r>
      <w:r w:rsidR="000549CD">
        <w:rPr>
          <w:rFonts w:ascii="Times New Roman" w:hAnsi="Times New Roman" w:cs="Times New Roman"/>
          <w:bCs/>
          <w:lang w:val="es-ES_tradnl"/>
        </w:rPr>
        <w:t>.</w:t>
      </w:r>
      <w:r w:rsidRPr="002573FA">
        <w:rPr>
          <w:rFonts w:ascii="Times New Roman" w:hAnsi="Times New Roman" w:cs="Times New Roman"/>
          <w:bCs/>
          <w:vertAlign w:val="superscript"/>
          <w:lang w:val="es-ES_tradnl"/>
        </w:rPr>
        <w:footnoteReference w:id="98"/>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4"/>
        <w:gridCol w:w="2525"/>
        <w:gridCol w:w="2782"/>
        <w:gridCol w:w="2249"/>
      </w:tblGrid>
      <w:tr w:rsidR="00D836F9" w:rsidRPr="007B2D4C" w14:paraId="44832693" w14:textId="77777777" w:rsidTr="00026D6F">
        <w:tc>
          <w:tcPr>
            <w:tcW w:w="8710" w:type="dxa"/>
            <w:gridSpan w:val="4"/>
            <w:tcBorders>
              <w:bottom w:val="single" w:sz="4" w:space="0" w:color="auto"/>
            </w:tcBorders>
            <w:vAlign w:val="center"/>
          </w:tcPr>
          <w:p w14:paraId="7B494258" w14:textId="1F065BAB" w:rsidR="00D836F9" w:rsidRPr="00354C66" w:rsidRDefault="00354C66" w:rsidP="00354C66">
            <w:pPr>
              <w:jc w:val="center"/>
              <w:rPr>
                <w:rFonts w:ascii="Times New Roman" w:hAnsi="Times New Roman" w:cs="Times New Roman"/>
                <w:b/>
                <w:bCs/>
                <w:sz w:val="22"/>
                <w:szCs w:val="22"/>
                <w:lang w:val="es-ES_tradnl"/>
              </w:rPr>
            </w:pPr>
            <w:bookmarkStart w:id="37" w:name="_Toc518399863"/>
            <w:r w:rsidRPr="005A045C">
              <w:rPr>
                <w:rFonts w:ascii="Times New Roman" w:hAnsi="Times New Roman" w:cs="Times New Roman"/>
                <w:b/>
                <w:sz w:val="22"/>
                <w:szCs w:val="22"/>
                <w:lang w:val="es-CR"/>
              </w:rPr>
              <w:t xml:space="preserve">Tabla </w:t>
            </w:r>
            <w:r w:rsidRPr="00354C66">
              <w:rPr>
                <w:rFonts w:ascii="Times New Roman" w:hAnsi="Times New Roman" w:cs="Times New Roman"/>
                <w:b/>
              </w:rPr>
              <w:fldChar w:fldCharType="begin"/>
            </w:r>
            <w:r w:rsidRPr="005A045C">
              <w:rPr>
                <w:rFonts w:ascii="Times New Roman" w:hAnsi="Times New Roman" w:cs="Times New Roman"/>
                <w:b/>
                <w:sz w:val="22"/>
                <w:szCs w:val="22"/>
                <w:lang w:val="es-CR"/>
              </w:rPr>
              <w:instrText xml:space="preserve"> SEQ Tabla \* ARABIC </w:instrText>
            </w:r>
            <w:r w:rsidRPr="00354C66">
              <w:rPr>
                <w:rFonts w:ascii="Times New Roman" w:hAnsi="Times New Roman" w:cs="Times New Roman"/>
                <w:b/>
              </w:rPr>
              <w:fldChar w:fldCharType="separate"/>
            </w:r>
            <w:r w:rsidR="002E140B">
              <w:rPr>
                <w:rFonts w:ascii="Times New Roman" w:hAnsi="Times New Roman" w:cs="Times New Roman"/>
                <w:b/>
                <w:noProof/>
                <w:sz w:val="22"/>
                <w:szCs w:val="22"/>
                <w:lang w:val="es-CR"/>
              </w:rPr>
              <w:t>8</w:t>
            </w:r>
            <w:r w:rsidRPr="00354C66">
              <w:rPr>
                <w:rFonts w:ascii="Times New Roman" w:hAnsi="Times New Roman" w:cs="Times New Roman"/>
                <w:b/>
              </w:rPr>
              <w:fldChar w:fldCharType="end"/>
            </w:r>
            <w:r w:rsidR="008979B7" w:rsidRPr="00354C66">
              <w:rPr>
                <w:rFonts w:ascii="Times New Roman" w:hAnsi="Times New Roman" w:cs="Times New Roman"/>
                <w:b/>
                <w:bCs/>
                <w:sz w:val="22"/>
                <w:szCs w:val="22"/>
                <w:lang w:val="es-ES_tradnl"/>
              </w:rPr>
              <w:t>.</w:t>
            </w:r>
            <w:r w:rsidR="00D836F9" w:rsidRPr="00354C66">
              <w:rPr>
                <w:rFonts w:ascii="Times New Roman" w:hAnsi="Times New Roman" w:cs="Times New Roman"/>
                <w:b/>
                <w:bCs/>
                <w:sz w:val="22"/>
                <w:szCs w:val="22"/>
                <w:lang w:val="es-ES_tradnl"/>
              </w:rPr>
              <w:t xml:space="preserve"> Momentos críticos para la sostenibilidad del régimen IVM de la CCSS</w:t>
            </w:r>
            <w:bookmarkEnd w:id="37"/>
          </w:p>
        </w:tc>
      </w:tr>
      <w:tr w:rsidR="00D836F9" w:rsidRPr="007B2D4C" w14:paraId="43AB6F61" w14:textId="77777777" w:rsidTr="00026D6F">
        <w:tc>
          <w:tcPr>
            <w:tcW w:w="1154" w:type="dxa"/>
            <w:tcBorders>
              <w:top w:val="single" w:sz="4" w:space="0" w:color="auto"/>
              <w:left w:val="single" w:sz="4" w:space="0" w:color="auto"/>
              <w:bottom w:val="single" w:sz="4" w:space="0" w:color="auto"/>
              <w:right w:val="single" w:sz="4" w:space="0" w:color="auto"/>
            </w:tcBorders>
            <w:vAlign w:val="center"/>
          </w:tcPr>
          <w:p w14:paraId="766BB1F0" w14:textId="77777777" w:rsidR="00D836F9" w:rsidRPr="007B2D4C" w:rsidRDefault="00D836F9" w:rsidP="0003794E">
            <w:pPr>
              <w:spacing w:after="120"/>
              <w:jc w:val="center"/>
              <w:rPr>
                <w:rFonts w:ascii="Times New Roman" w:hAnsi="Times New Roman" w:cs="Times New Roman"/>
                <w:b/>
                <w:bCs/>
                <w:sz w:val="18"/>
                <w:szCs w:val="22"/>
                <w:lang w:val="es-ES_tradnl"/>
              </w:rPr>
            </w:pPr>
            <w:r w:rsidRPr="007B2D4C">
              <w:rPr>
                <w:rFonts w:ascii="Times New Roman" w:hAnsi="Times New Roman" w:cs="Times New Roman"/>
                <w:b/>
                <w:bCs/>
                <w:sz w:val="18"/>
                <w:szCs w:val="22"/>
                <w:lang w:val="es-ES_tradnl"/>
              </w:rPr>
              <w:t>Escenario</w:t>
            </w:r>
          </w:p>
        </w:tc>
        <w:tc>
          <w:tcPr>
            <w:tcW w:w="2525" w:type="dxa"/>
            <w:tcBorders>
              <w:top w:val="single" w:sz="4" w:space="0" w:color="auto"/>
              <w:left w:val="single" w:sz="4" w:space="0" w:color="auto"/>
              <w:bottom w:val="single" w:sz="4" w:space="0" w:color="auto"/>
              <w:right w:val="single" w:sz="4" w:space="0" w:color="auto"/>
            </w:tcBorders>
            <w:vAlign w:val="center"/>
          </w:tcPr>
          <w:p w14:paraId="1C962A8B" w14:textId="77777777" w:rsidR="00D836F9" w:rsidRPr="007B2D4C" w:rsidRDefault="00D836F9" w:rsidP="0003794E">
            <w:pPr>
              <w:autoSpaceDE w:val="0"/>
              <w:autoSpaceDN w:val="0"/>
              <w:adjustRightInd w:val="0"/>
              <w:jc w:val="center"/>
              <w:rPr>
                <w:rFonts w:ascii="Times New Roman" w:hAnsi="Times New Roman" w:cs="Times New Roman"/>
                <w:b/>
                <w:bCs/>
                <w:sz w:val="18"/>
                <w:szCs w:val="22"/>
                <w:lang w:val="es-ES_tradnl"/>
              </w:rPr>
            </w:pPr>
            <w:r w:rsidRPr="007B2D4C">
              <w:rPr>
                <w:rFonts w:ascii="Times New Roman" w:hAnsi="Times New Roman" w:cs="Times New Roman"/>
                <w:b/>
                <w:bCs/>
                <w:sz w:val="18"/>
                <w:szCs w:val="22"/>
                <w:lang w:val="es-ES_tradnl"/>
              </w:rPr>
              <w:t>Año en que existe insuficiencia de los aportes para hacer frente al pago de beneficios</w:t>
            </w:r>
          </w:p>
        </w:tc>
        <w:tc>
          <w:tcPr>
            <w:tcW w:w="2782" w:type="dxa"/>
            <w:tcBorders>
              <w:top w:val="single" w:sz="4" w:space="0" w:color="auto"/>
              <w:left w:val="single" w:sz="4" w:space="0" w:color="auto"/>
              <w:bottom w:val="single" w:sz="4" w:space="0" w:color="auto"/>
              <w:right w:val="single" w:sz="4" w:space="0" w:color="auto"/>
            </w:tcBorders>
            <w:vAlign w:val="center"/>
          </w:tcPr>
          <w:p w14:paraId="47EACEC4" w14:textId="77777777" w:rsidR="00D836F9" w:rsidRPr="007B2D4C" w:rsidRDefault="00D836F9" w:rsidP="0003794E">
            <w:pPr>
              <w:autoSpaceDE w:val="0"/>
              <w:autoSpaceDN w:val="0"/>
              <w:adjustRightInd w:val="0"/>
              <w:jc w:val="center"/>
              <w:rPr>
                <w:rFonts w:ascii="Times New Roman" w:hAnsi="Times New Roman" w:cs="Times New Roman"/>
                <w:b/>
                <w:bCs/>
                <w:sz w:val="18"/>
                <w:szCs w:val="22"/>
                <w:lang w:val="es-ES_tradnl"/>
              </w:rPr>
            </w:pPr>
            <w:r w:rsidRPr="007B2D4C">
              <w:rPr>
                <w:rFonts w:ascii="Times New Roman" w:hAnsi="Times New Roman" w:cs="Times New Roman"/>
                <w:b/>
                <w:bCs/>
                <w:sz w:val="18"/>
                <w:szCs w:val="22"/>
                <w:lang w:val="es-ES_tradnl"/>
              </w:rPr>
              <w:t>Año en que los ingresos son insuficientes para hacer frente a los gastos y se debe utilizar parte de la reserva</w:t>
            </w:r>
          </w:p>
        </w:tc>
        <w:tc>
          <w:tcPr>
            <w:tcW w:w="2249" w:type="dxa"/>
            <w:tcBorders>
              <w:top w:val="single" w:sz="4" w:space="0" w:color="auto"/>
              <w:left w:val="single" w:sz="4" w:space="0" w:color="auto"/>
              <w:bottom w:val="single" w:sz="4" w:space="0" w:color="auto"/>
              <w:right w:val="single" w:sz="4" w:space="0" w:color="auto"/>
            </w:tcBorders>
            <w:vAlign w:val="center"/>
          </w:tcPr>
          <w:p w14:paraId="160B1EDB" w14:textId="77777777" w:rsidR="00D836F9" w:rsidRPr="007B2D4C" w:rsidRDefault="00D836F9" w:rsidP="0003794E">
            <w:pPr>
              <w:spacing w:after="120"/>
              <w:jc w:val="center"/>
              <w:rPr>
                <w:rFonts w:ascii="Times New Roman" w:hAnsi="Times New Roman" w:cs="Times New Roman"/>
                <w:b/>
                <w:bCs/>
                <w:sz w:val="18"/>
                <w:szCs w:val="22"/>
                <w:lang w:val="es-ES_tradnl"/>
              </w:rPr>
            </w:pPr>
            <w:r w:rsidRPr="007B2D4C">
              <w:rPr>
                <w:rFonts w:ascii="Times New Roman" w:hAnsi="Times New Roman" w:cs="Times New Roman"/>
                <w:b/>
                <w:bCs/>
                <w:sz w:val="18"/>
                <w:szCs w:val="22"/>
                <w:lang w:val="es-ES_tradnl"/>
              </w:rPr>
              <w:t>Año en que se acaban las reservas</w:t>
            </w:r>
          </w:p>
        </w:tc>
      </w:tr>
      <w:tr w:rsidR="00D836F9" w:rsidRPr="007B2D4C" w14:paraId="55F1D0FC" w14:textId="77777777" w:rsidTr="00026D6F">
        <w:tc>
          <w:tcPr>
            <w:tcW w:w="1154" w:type="dxa"/>
            <w:tcBorders>
              <w:top w:val="single" w:sz="4" w:space="0" w:color="auto"/>
              <w:left w:val="single" w:sz="4" w:space="0" w:color="auto"/>
              <w:bottom w:val="single" w:sz="4" w:space="0" w:color="auto"/>
              <w:right w:val="single" w:sz="4" w:space="0" w:color="auto"/>
            </w:tcBorders>
          </w:tcPr>
          <w:p w14:paraId="22DCC271" w14:textId="77777777" w:rsidR="00D836F9" w:rsidRPr="007B2D4C" w:rsidRDefault="00D836F9" w:rsidP="0003794E">
            <w:pPr>
              <w:spacing w:after="120"/>
              <w:jc w:val="both"/>
              <w:rPr>
                <w:rFonts w:ascii="Times New Roman" w:hAnsi="Times New Roman" w:cs="Times New Roman"/>
                <w:b/>
                <w:bCs/>
                <w:sz w:val="18"/>
                <w:szCs w:val="22"/>
                <w:lang w:val="es-ES_tradnl"/>
              </w:rPr>
            </w:pPr>
            <w:r w:rsidRPr="007B2D4C">
              <w:rPr>
                <w:rFonts w:ascii="Times New Roman" w:hAnsi="Times New Roman" w:cs="Times New Roman"/>
                <w:b/>
                <w:bCs/>
                <w:sz w:val="18"/>
                <w:szCs w:val="22"/>
                <w:lang w:val="es-ES_tradnl"/>
              </w:rPr>
              <w:t>Bajo</w:t>
            </w:r>
          </w:p>
        </w:tc>
        <w:tc>
          <w:tcPr>
            <w:tcW w:w="2525" w:type="dxa"/>
            <w:tcBorders>
              <w:top w:val="single" w:sz="4" w:space="0" w:color="auto"/>
              <w:left w:val="single" w:sz="4" w:space="0" w:color="auto"/>
              <w:bottom w:val="single" w:sz="4" w:space="0" w:color="auto"/>
              <w:right w:val="single" w:sz="4" w:space="0" w:color="auto"/>
            </w:tcBorders>
            <w:vAlign w:val="center"/>
          </w:tcPr>
          <w:p w14:paraId="0A1C399A"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2012</w:t>
            </w:r>
          </w:p>
        </w:tc>
        <w:tc>
          <w:tcPr>
            <w:tcW w:w="2782" w:type="dxa"/>
            <w:tcBorders>
              <w:top w:val="single" w:sz="4" w:space="0" w:color="auto"/>
              <w:left w:val="single" w:sz="4" w:space="0" w:color="auto"/>
              <w:bottom w:val="single" w:sz="4" w:space="0" w:color="auto"/>
              <w:right w:val="single" w:sz="4" w:space="0" w:color="auto"/>
            </w:tcBorders>
            <w:vAlign w:val="center"/>
          </w:tcPr>
          <w:p w14:paraId="77DA8689"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2022</w:t>
            </w:r>
          </w:p>
        </w:tc>
        <w:tc>
          <w:tcPr>
            <w:tcW w:w="2249" w:type="dxa"/>
            <w:tcBorders>
              <w:top w:val="single" w:sz="4" w:space="0" w:color="auto"/>
              <w:left w:val="single" w:sz="4" w:space="0" w:color="auto"/>
              <w:bottom w:val="single" w:sz="4" w:space="0" w:color="auto"/>
              <w:right w:val="single" w:sz="4" w:space="0" w:color="auto"/>
            </w:tcBorders>
            <w:vAlign w:val="center"/>
          </w:tcPr>
          <w:p w14:paraId="15681B73"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2027</w:t>
            </w:r>
          </w:p>
        </w:tc>
      </w:tr>
      <w:tr w:rsidR="00D836F9" w:rsidRPr="007B2D4C" w14:paraId="7AEC29DD" w14:textId="77777777" w:rsidTr="00026D6F">
        <w:tc>
          <w:tcPr>
            <w:tcW w:w="1154" w:type="dxa"/>
            <w:tcBorders>
              <w:top w:val="single" w:sz="4" w:space="0" w:color="auto"/>
              <w:left w:val="single" w:sz="4" w:space="0" w:color="auto"/>
              <w:bottom w:val="single" w:sz="4" w:space="0" w:color="auto"/>
              <w:right w:val="single" w:sz="4" w:space="0" w:color="auto"/>
            </w:tcBorders>
          </w:tcPr>
          <w:p w14:paraId="38EB34F4" w14:textId="77777777" w:rsidR="00D836F9" w:rsidRPr="007B2D4C" w:rsidRDefault="00D836F9" w:rsidP="0003794E">
            <w:pPr>
              <w:spacing w:after="120"/>
              <w:jc w:val="both"/>
              <w:rPr>
                <w:rFonts w:ascii="Times New Roman" w:hAnsi="Times New Roman" w:cs="Times New Roman"/>
                <w:b/>
                <w:bCs/>
                <w:sz w:val="18"/>
                <w:szCs w:val="22"/>
                <w:lang w:val="es-ES_tradnl"/>
              </w:rPr>
            </w:pPr>
            <w:r w:rsidRPr="007B2D4C">
              <w:rPr>
                <w:rFonts w:ascii="Times New Roman" w:hAnsi="Times New Roman" w:cs="Times New Roman"/>
                <w:b/>
                <w:bCs/>
                <w:sz w:val="18"/>
                <w:szCs w:val="22"/>
                <w:lang w:val="es-ES_tradnl"/>
              </w:rPr>
              <w:t>Base</w:t>
            </w:r>
          </w:p>
        </w:tc>
        <w:tc>
          <w:tcPr>
            <w:tcW w:w="2525" w:type="dxa"/>
            <w:tcBorders>
              <w:top w:val="single" w:sz="4" w:space="0" w:color="auto"/>
              <w:left w:val="single" w:sz="4" w:space="0" w:color="auto"/>
              <w:bottom w:val="single" w:sz="4" w:space="0" w:color="auto"/>
              <w:right w:val="single" w:sz="4" w:space="0" w:color="auto"/>
            </w:tcBorders>
            <w:vAlign w:val="center"/>
          </w:tcPr>
          <w:p w14:paraId="325B5393"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2012</w:t>
            </w:r>
          </w:p>
        </w:tc>
        <w:tc>
          <w:tcPr>
            <w:tcW w:w="2782" w:type="dxa"/>
            <w:tcBorders>
              <w:top w:val="single" w:sz="4" w:space="0" w:color="auto"/>
              <w:left w:val="single" w:sz="4" w:space="0" w:color="auto"/>
              <w:bottom w:val="single" w:sz="4" w:space="0" w:color="auto"/>
              <w:right w:val="single" w:sz="4" w:space="0" w:color="auto"/>
            </w:tcBorders>
            <w:vAlign w:val="center"/>
          </w:tcPr>
          <w:p w14:paraId="74A20D8F"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2024</w:t>
            </w:r>
          </w:p>
        </w:tc>
        <w:tc>
          <w:tcPr>
            <w:tcW w:w="2249" w:type="dxa"/>
            <w:tcBorders>
              <w:top w:val="single" w:sz="4" w:space="0" w:color="auto"/>
              <w:left w:val="single" w:sz="4" w:space="0" w:color="auto"/>
              <w:bottom w:val="single" w:sz="4" w:space="0" w:color="auto"/>
              <w:right w:val="single" w:sz="4" w:space="0" w:color="auto"/>
            </w:tcBorders>
            <w:vAlign w:val="center"/>
          </w:tcPr>
          <w:p w14:paraId="07EF1B04"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2030</w:t>
            </w:r>
          </w:p>
        </w:tc>
      </w:tr>
      <w:tr w:rsidR="00D836F9" w:rsidRPr="007B2D4C" w14:paraId="128534F1" w14:textId="77777777" w:rsidTr="00026D6F">
        <w:tc>
          <w:tcPr>
            <w:tcW w:w="1154" w:type="dxa"/>
            <w:tcBorders>
              <w:top w:val="single" w:sz="4" w:space="0" w:color="auto"/>
              <w:left w:val="single" w:sz="4" w:space="0" w:color="auto"/>
              <w:bottom w:val="single" w:sz="4" w:space="0" w:color="auto"/>
              <w:right w:val="single" w:sz="4" w:space="0" w:color="auto"/>
            </w:tcBorders>
          </w:tcPr>
          <w:p w14:paraId="510EF314" w14:textId="77777777" w:rsidR="00D836F9" w:rsidRPr="007B2D4C" w:rsidRDefault="00D836F9" w:rsidP="0003794E">
            <w:pPr>
              <w:spacing w:after="120"/>
              <w:jc w:val="both"/>
              <w:rPr>
                <w:rFonts w:ascii="Times New Roman" w:hAnsi="Times New Roman" w:cs="Times New Roman"/>
                <w:b/>
                <w:bCs/>
                <w:sz w:val="18"/>
                <w:szCs w:val="22"/>
                <w:lang w:val="es-ES_tradnl"/>
              </w:rPr>
            </w:pPr>
            <w:r w:rsidRPr="007B2D4C">
              <w:rPr>
                <w:rFonts w:ascii="Times New Roman" w:hAnsi="Times New Roman" w:cs="Times New Roman"/>
                <w:b/>
                <w:bCs/>
                <w:sz w:val="18"/>
                <w:szCs w:val="22"/>
                <w:lang w:val="es-ES_tradnl"/>
              </w:rPr>
              <w:t>Alto</w:t>
            </w:r>
          </w:p>
        </w:tc>
        <w:tc>
          <w:tcPr>
            <w:tcW w:w="2525" w:type="dxa"/>
            <w:tcBorders>
              <w:top w:val="single" w:sz="4" w:space="0" w:color="auto"/>
              <w:left w:val="single" w:sz="4" w:space="0" w:color="auto"/>
              <w:bottom w:val="single" w:sz="4" w:space="0" w:color="auto"/>
              <w:right w:val="single" w:sz="4" w:space="0" w:color="auto"/>
            </w:tcBorders>
            <w:vAlign w:val="center"/>
          </w:tcPr>
          <w:p w14:paraId="45902068"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2012</w:t>
            </w:r>
          </w:p>
        </w:tc>
        <w:tc>
          <w:tcPr>
            <w:tcW w:w="2782" w:type="dxa"/>
            <w:tcBorders>
              <w:top w:val="single" w:sz="4" w:space="0" w:color="auto"/>
              <w:left w:val="single" w:sz="4" w:space="0" w:color="auto"/>
              <w:bottom w:val="single" w:sz="4" w:space="0" w:color="auto"/>
              <w:right w:val="single" w:sz="4" w:space="0" w:color="auto"/>
            </w:tcBorders>
            <w:vAlign w:val="center"/>
          </w:tcPr>
          <w:p w14:paraId="4537FCF7"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2028</w:t>
            </w:r>
          </w:p>
        </w:tc>
        <w:tc>
          <w:tcPr>
            <w:tcW w:w="2249" w:type="dxa"/>
            <w:tcBorders>
              <w:top w:val="single" w:sz="4" w:space="0" w:color="auto"/>
              <w:left w:val="single" w:sz="4" w:space="0" w:color="auto"/>
              <w:bottom w:val="single" w:sz="4" w:space="0" w:color="auto"/>
              <w:right w:val="single" w:sz="4" w:space="0" w:color="auto"/>
            </w:tcBorders>
            <w:vAlign w:val="center"/>
          </w:tcPr>
          <w:p w14:paraId="0FF058A4" w14:textId="77777777" w:rsidR="00D836F9" w:rsidRPr="007B2D4C" w:rsidRDefault="00D836F9" w:rsidP="0003794E">
            <w:pPr>
              <w:spacing w:after="120"/>
              <w:jc w:val="center"/>
              <w:rPr>
                <w:rFonts w:ascii="Times New Roman" w:hAnsi="Times New Roman" w:cs="Times New Roman"/>
                <w:bCs/>
                <w:sz w:val="18"/>
                <w:szCs w:val="22"/>
                <w:lang w:val="es-ES_tradnl"/>
              </w:rPr>
            </w:pPr>
            <w:r w:rsidRPr="007B2D4C">
              <w:rPr>
                <w:rFonts w:ascii="Times New Roman" w:hAnsi="Times New Roman" w:cs="Times New Roman"/>
                <w:bCs/>
                <w:sz w:val="18"/>
                <w:szCs w:val="22"/>
                <w:lang w:val="es-ES_tradnl"/>
              </w:rPr>
              <w:t>2034</w:t>
            </w:r>
          </w:p>
        </w:tc>
      </w:tr>
      <w:tr w:rsidR="00026D6F" w:rsidRPr="007B2D4C" w14:paraId="2F561B80" w14:textId="77777777" w:rsidTr="0076533B">
        <w:trPr>
          <w:trHeight w:val="307"/>
        </w:trPr>
        <w:tc>
          <w:tcPr>
            <w:tcW w:w="3679" w:type="dxa"/>
            <w:gridSpan w:val="2"/>
            <w:tcBorders>
              <w:top w:val="single" w:sz="4" w:space="0" w:color="auto"/>
              <w:left w:val="single" w:sz="4" w:space="0" w:color="auto"/>
              <w:bottom w:val="single" w:sz="4" w:space="0" w:color="auto"/>
              <w:right w:val="single" w:sz="4" w:space="0" w:color="auto"/>
            </w:tcBorders>
            <w:vAlign w:val="center"/>
          </w:tcPr>
          <w:p w14:paraId="1B4CBF38" w14:textId="77777777" w:rsidR="00026D6F" w:rsidRPr="00026D6F" w:rsidRDefault="00026D6F" w:rsidP="00026D6F">
            <w:pPr>
              <w:jc w:val="center"/>
              <w:rPr>
                <w:rFonts w:ascii="Times New Roman" w:hAnsi="Times New Roman" w:cs="Times New Roman"/>
                <w:b/>
                <w:bCs/>
                <w:sz w:val="18"/>
                <w:lang w:val="es-ES_tradnl"/>
              </w:rPr>
            </w:pPr>
            <w:r w:rsidRPr="00026D6F">
              <w:rPr>
                <w:rFonts w:ascii="Times New Roman" w:hAnsi="Times New Roman" w:cs="Times New Roman"/>
                <w:b/>
                <w:bCs/>
                <w:sz w:val="18"/>
                <w:lang w:val="es-ES_tradnl"/>
              </w:rPr>
              <w:t>Déficit Actuarial</w:t>
            </w:r>
          </w:p>
        </w:tc>
        <w:tc>
          <w:tcPr>
            <w:tcW w:w="5031" w:type="dxa"/>
            <w:gridSpan w:val="2"/>
            <w:tcBorders>
              <w:top w:val="single" w:sz="4" w:space="0" w:color="auto"/>
              <w:left w:val="single" w:sz="4" w:space="0" w:color="auto"/>
              <w:bottom w:val="single" w:sz="4" w:space="0" w:color="auto"/>
              <w:right w:val="single" w:sz="4" w:space="0" w:color="auto"/>
            </w:tcBorders>
            <w:vAlign w:val="center"/>
          </w:tcPr>
          <w:p w14:paraId="6A508DA0" w14:textId="77777777" w:rsidR="00026D6F" w:rsidRPr="007B2D4C" w:rsidRDefault="00026D6F" w:rsidP="00026D6F">
            <w:pPr>
              <w:jc w:val="center"/>
              <w:rPr>
                <w:rFonts w:ascii="Times New Roman" w:hAnsi="Times New Roman" w:cs="Times New Roman"/>
                <w:bCs/>
                <w:sz w:val="18"/>
                <w:lang w:val="es-ES_tradnl"/>
              </w:rPr>
            </w:pPr>
            <w:r w:rsidRPr="00026D6F">
              <w:rPr>
                <w:rFonts w:ascii="Times New Roman" w:hAnsi="Times New Roman" w:cs="Times New Roman"/>
                <w:bCs/>
                <w:sz w:val="18"/>
                <w:lang w:val="es-ES_tradnl"/>
              </w:rPr>
              <w:t>103,9% del PIB</w:t>
            </w:r>
          </w:p>
        </w:tc>
      </w:tr>
      <w:tr w:rsidR="00D836F9" w:rsidRPr="007B2D4C" w14:paraId="40663BC3" w14:textId="77777777" w:rsidTr="00026D6F">
        <w:tc>
          <w:tcPr>
            <w:tcW w:w="8710" w:type="dxa"/>
            <w:gridSpan w:val="4"/>
            <w:tcBorders>
              <w:top w:val="single" w:sz="4" w:space="0" w:color="auto"/>
            </w:tcBorders>
          </w:tcPr>
          <w:p w14:paraId="1569D851" w14:textId="77777777" w:rsidR="00D836F9" w:rsidRPr="007B2D4C" w:rsidRDefault="00D836F9" w:rsidP="0003794E">
            <w:pPr>
              <w:jc w:val="both"/>
              <w:rPr>
                <w:rFonts w:ascii="Times New Roman" w:hAnsi="Times New Roman" w:cs="Times New Roman"/>
                <w:bCs/>
                <w:sz w:val="18"/>
                <w:szCs w:val="18"/>
                <w:lang w:val="es-ES_tradnl"/>
              </w:rPr>
            </w:pPr>
            <w:r w:rsidRPr="007B2D4C">
              <w:rPr>
                <w:rFonts w:ascii="Times New Roman" w:hAnsi="Times New Roman" w:cs="Times New Roman"/>
                <w:bCs/>
                <w:sz w:val="18"/>
                <w:szCs w:val="18"/>
                <w:lang w:val="es-ES_tradnl"/>
              </w:rPr>
              <w:t>Fuente: Arias, Borboza y Ramírez, 2017.</w:t>
            </w:r>
            <w:r w:rsidR="0095422F">
              <w:rPr>
                <w:rStyle w:val="FootnoteReference"/>
                <w:rFonts w:ascii="Times New Roman" w:hAnsi="Times New Roman" w:cs="Times New Roman"/>
                <w:bCs/>
                <w:sz w:val="18"/>
                <w:szCs w:val="18"/>
                <w:lang w:val="es-ES_tradnl"/>
              </w:rPr>
              <w:footnoteReference w:id="99"/>
            </w:r>
          </w:p>
          <w:p w14:paraId="189C5499" w14:textId="77777777" w:rsidR="00D836F9" w:rsidRPr="007B2D4C" w:rsidRDefault="00D836F9" w:rsidP="0074016C">
            <w:pPr>
              <w:autoSpaceDE w:val="0"/>
              <w:autoSpaceDN w:val="0"/>
              <w:adjustRightInd w:val="0"/>
              <w:jc w:val="both"/>
              <w:rPr>
                <w:rFonts w:ascii="Times New Roman" w:hAnsi="Times New Roman" w:cs="Times New Roman"/>
                <w:bCs/>
                <w:sz w:val="22"/>
                <w:szCs w:val="22"/>
                <w:lang w:val="es-ES_tradnl"/>
              </w:rPr>
            </w:pPr>
            <w:r w:rsidRPr="007B2D4C">
              <w:rPr>
                <w:rFonts w:ascii="Times New Roman" w:hAnsi="Times New Roman" w:cs="Times New Roman"/>
                <w:bCs/>
                <w:sz w:val="18"/>
                <w:szCs w:val="18"/>
                <w:lang w:val="es-ES_tradnl"/>
              </w:rPr>
              <w:t>Nota: La evaluación actuarial de IVM se realizó con corte al 31/12/2015 usando tres</w:t>
            </w:r>
            <w:r w:rsidR="0074016C">
              <w:rPr>
                <w:rFonts w:ascii="Times New Roman" w:hAnsi="Times New Roman" w:cs="Times New Roman"/>
                <w:bCs/>
                <w:sz w:val="18"/>
                <w:szCs w:val="18"/>
                <w:lang w:val="es-ES_tradnl"/>
              </w:rPr>
              <w:t xml:space="preserve"> </w:t>
            </w:r>
            <w:r w:rsidRPr="007B2D4C">
              <w:rPr>
                <w:rFonts w:ascii="Times New Roman" w:hAnsi="Times New Roman" w:cs="Times New Roman"/>
                <w:bCs/>
                <w:sz w:val="18"/>
                <w:szCs w:val="18"/>
                <w:lang w:val="es-ES_tradnl"/>
              </w:rPr>
              <w:t xml:space="preserve">escenarios: bajo o poco </w:t>
            </w:r>
            <w:r w:rsidR="0074016C">
              <w:rPr>
                <w:rFonts w:ascii="Times New Roman" w:hAnsi="Times New Roman" w:cs="Times New Roman"/>
                <w:bCs/>
                <w:sz w:val="18"/>
                <w:szCs w:val="18"/>
                <w:lang w:val="es-ES_tradnl"/>
              </w:rPr>
              <w:t>o</w:t>
            </w:r>
            <w:r w:rsidRPr="007B2D4C">
              <w:rPr>
                <w:rFonts w:ascii="Times New Roman" w:hAnsi="Times New Roman" w:cs="Times New Roman"/>
                <w:bCs/>
                <w:sz w:val="18"/>
                <w:szCs w:val="18"/>
                <w:lang w:val="es-ES_tradnl"/>
              </w:rPr>
              <w:t>ptimista, base o promedio y optimista o alto. Las hipótesis varían en cuanto a la cobertura, crecimiento real de los salarios y rendimiento de las inversiones.</w:t>
            </w:r>
          </w:p>
        </w:tc>
      </w:tr>
    </w:tbl>
    <w:p w14:paraId="2D0F7AF0" w14:textId="77777777" w:rsidR="00D836F9" w:rsidRPr="00523A48" w:rsidRDefault="00D836F9" w:rsidP="00001962">
      <w:pPr>
        <w:spacing w:before="240" w:after="120" w:line="360" w:lineRule="auto"/>
        <w:jc w:val="both"/>
        <w:rPr>
          <w:rFonts w:ascii="Times New Roman" w:hAnsi="Times New Roman" w:cs="Times New Roman"/>
          <w:bCs/>
          <w:lang w:val="es-ES_tradnl"/>
        </w:rPr>
      </w:pPr>
      <w:r w:rsidRPr="00523A48">
        <w:rPr>
          <w:rFonts w:ascii="Times New Roman" w:hAnsi="Times New Roman" w:cs="Times New Roman"/>
          <w:b/>
          <w:bCs/>
          <w:lang w:val="es-ES_tradnl"/>
        </w:rPr>
        <w:t>Los beneficios que entrega la CCSS resultan generosos en relación con los aportes realizados.</w:t>
      </w:r>
      <w:r w:rsidRPr="00523A48">
        <w:rPr>
          <w:rFonts w:ascii="Times New Roman" w:hAnsi="Times New Roman" w:cs="Times New Roman"/>
          <w:bCs/>
          <w:lang w:val="es-ES_tradnl"/>
        </w:rPr>
        <w:t xml:space="preserve"> La frágil situación financiera que enfrenta la CCSS es el resultado de beneficios generosos y de la incorporación de modalidades de pensiones que permiten el retiro anticipado. BID (2015)</w:t>
      </w:r>
      <w:r w:rsidR="00733690">
        <w:rPr>
          <w:rStyle w:val="FootnoteReference"/>
          <w:rFonts w:ascii="Times New Roman" w:hAnsi="Times New Roman" w:cs="Times New Roman"/>
          <w:bCs/>
          <w:lang w:val="es-ES_tradnl"/>
        </w:rPr>
        <w:footnoteReference w:id="100"/>
      </w:r>
      <w:r w:rsidRPr="00523A48">
        <w:rPr>
          <w:rFonts w:ascii="Times New Roman" w:hAnsi="Times New Roman" w:cs="Times New Roman"/>
          <w:bCs/>
          <w:lang w:val="es-ES_tradnl"/>
        </w:rPr>
        <w:t xml:space="preserve"> señala que la CCSS entrega beneficios que en promedio alcanzan entre el 65% y 70% del salario final, cifra muy superior a lo que el sistema podría financiar de manera sostenible, que es cercana al 30%. De hecho, un participante promedio al obtener su pensión en el sistema de reparto de la CCSS genera un subsidio implícito que puede alcanzar los US</w:t>
      </w:r>
      <w:r w:rsidR="000E3DF5">
        <w:rPr>
          <w:rFonts w:ascii="Times New Roman" w:hAnsi="Times New Roman" w:cs="Times New Roman"/>
          <w:bCs/>
          <w:lang w:val="es-ES_tradnl"/>
        </w:rPr>
        <w:t>$</w:t>
      </w:r>
      <w:r w:rsidRPr="00523A48">
        <w:rPr>
          <w:rFonts w:ascii="Times New Roman" w:hAnsi="Times New Roman" w:cs="Times New Roman"/>
          <w:bCs/>
          <w:lang w:val="es-ES_tradnl"/>
        </w:rPr>
        <w:t>150</w:t>
      </w:r>
      <w:r w:rsidR="000E3DF5">
        <w:rPr>
          <w:rFonts w:ascii="Times New Roman" w:hAnsi="Times New Roman" w:cs="Times New Roman"/>
          <w:bCs/>
          <w:lang w:val="es-ES_tradnl"/>
        </w:rPr>
        <w:t>.</w:t>
      </w:r>
      <w:r w:rsidRPr="00523A48">
        <w:rPr>
          <w:rFonts w:ascii="Times New Roman" w:hAnsi="Times New Roman" w:cs="Times New Roman"/>
          <w:bCs/>
          <w:lang w:val="es-ES_tradnl"/>
        </w:rPr>
        <w:t>000. Si no existen ajustes que permitirían restablecer el equilibrio entre los aportes y los beneficios otorgados, en las próximas décadas la sostenibilidad del sistema empeorar</w:t>
      </w:r>
      <w:r w:rsidR="000E3DF5">
        <w:rPr>
          <w:rFonts w:ascii="Times New Roman" w:hAnsi="Times New Roman" w:cs="Times New Roman"/>
          <w:bCs/>
          <w:lang w:val="es-ES_tradnl"/>
        </w:rPr>
        <w:t>á</w:t>
      </w:r>
      <w:r w:rsidRPr="00523A48">
        <w:rPr>
          <w:rFonts w:ascii="Times New Roman" w:hAnsi="Times New Roman" w:cs="Times New Roman"/>
          <w:bCs/>
          <w:lang w:val="es-ES_tradnl"/>
        </w:rPr>
        <w:t xml:space="preserve">, generando presiones financieras que se agravarán a medida que la población envejece. </w:t>
      </w:r>
    </w:p>
    <w:p w14:paraId="45EC0D86" w14:textId="77777777" w:rsidR="00D836F9" w:rsidRPr="00523A48" w:rsidRDefault="000E3DF5" w:rsidP="000246A3">
      <w:pPr>
        <w:spacing w:after="120" w:line="360" w:lineRule="auto"/>
        <w:jc w:val="both"/>
        <w:rPr>
          <w:rFonts w:ascii="Times New Roman" w:hAnsi="Times New Roman" w:cs="Times New Roman"/>
          <w:bCs/>
          <w:lang w:val="es-ES_tradnl"/>
        </w:rPr>
      </w:pPr>
      <w:r>
        <w:rPr>
          <w:rFonts w:ascii="Times New Roman" w:hAnsi="Times New Roman" w:cs="Times New Roman"/>
          <w:b/>
          <w:bCs/>
          <w:lang w:val="es-ES_tradnl"/>
        </w:rPr>
        <w:t xml:space="preserve">Débil </w:t>
      </w:r>
      <w:r w:rsidR="00D836F9" w:rsidRPr="00523A48">
        <w:rPr>
          <w:rFonts w:ascii="Times New Roman" w:hAnsi="Times New Roman" w:cs="Times New Roman"/>
          <w:b/>
          <w:bCs/>
          <w:lang w:val="es-ES_tradnl"/>
        </w:rPr>
        <w:t>institucional</w:t>
      </w:r>
      <w:r>
        <w:rPr>
          <w:rFonts w:ascii="Times New Roman" w:hAnsi="Times New Roman" w:cs="Times New Roman"/>
          <w:b/>
          <w:bCs/>
          <w:lang w:val="es-ES_tradnl"/>
        </w:rPr>
        <w:t>idad</w:t>
      </w:r>
      <w:r w:rsidR="00D836F9" w:rsidRPr="00523A48">
        <w:rPr>
          <w:rFonts w:ascii="Times New Roman" w:hAnsi="Times New Roman" w:cs="Times New Roman"/>
          <w:b/>
          <w:bCs/>
          <w:lang w:val="es-ES_tradnl"/>
        </w:rPr>
        <w:t xml:space="preserve"> de la CCSS refuerza aún más los problemas financieros. </w:t>
      </w:r>
      <w:r w:rsidR="00D836F9" w:rsidRPr="00523A48">
        <w:rPr>
          <w:rFonts w:ascii="Times New Roman" w:hAnsi="Times New Roman" w:cs="Times New Roman"/>
          <w:bCs/>
          <w:lang w:val="es-ES_tradnl"/>
        </w:rPr>
        <w:t>La débil gobernanza de la CCSS ha favorecido que las decisiones que se adoptan en el nivel interno de la institución no estén orientadas en fortalecer la situación financiera de mediano y largo plazo. Por una parte, las decisiones de gestión de los regímenes de pensiones y salud se encuentran unificadas, siendo que requieren conceptos de administración totalmente distintos. Por otra parte, no existe un marco regulatorio</w:t>
      </w:r>
      <w:r w:rsidR="000747CC">
        <w:rPr>
          <w:rFonts w:ascii="Times New Roman" w:hAnsi="Times New Roman" w:cs="Times New Roman"/>
          <w:bCs/>
          <w:lang w:val="es-ES_tradnl"/>
        </w:rPr>
        <w:t xml:space="preserve"> de</w:t>
      </w:r>
      <w:r w:rsidR="00D836F9" w:rsidRPr="00523A48">
        <w:rPr>
          <w:rFonts w:ascii="Times New Roman" w:hAnsi="Times New Roman" w:cs="Times New Roman"/>
          <w:bCs/>
          <w:lang w:val="es-ES_tradnl"/>
        </w:rPr>
        <w:t xml:space="preserve"> inversiones y de toma de decisiones adecuada que asegure la correcta inversión de las reservas y la gestión de los riesgos propios de esta actividad. En la actualidad, la regulación de las inversiones se reduce a unos pocos artículos que no contienen los elementos mínimos de gestión de riesgos incluidos en las mejores prácticas y en los estándares internacionales. Por otra parte, la creciente dependencia del sistema de pensiones para financiar el déficit fiscal se ha traducido en un creciente porcentaje de los activos de la CCSS invertidos en instrumentos de emisores públicos (Ministerio de Hacienda y Banco Central), llegando a representar sobre el 95% a en el 2016 (el resto se encuentra invertido en el sector privado). </w:t>
      </w:r>
      <w:r w:rsidR="00953F2F">
        <w:rPr>
          <w:rFonts w:ascii="Times New Roman" w:hAnsi="Times New Roman" w:cs="Times New Roman"/>
          <w:bCs/>
          <w:lang w:val="es-ES_tradnl"/>
        </w:rPr>
        <w:t xml:space="preserve">Esto </w:t>
      </w:r>
      <w:r w:rsidR="00761434">
        <w:rPr>
          <w:rFonts w:ascii="Times New Roman" w:hAnsi="Times New Roman" w:cs="Times New Roman"/>
          <w:bCs/>
          <w:lang w:val="es-ES_tradnl"/>
        </w:rPr>
        <w:t xml:space="preserve">significa un riesgo para el sistema de pensiones en caso de una crisis fiscal. </w:t>
      </w:r>
      <w:r w:rsidR="00D836F9" w:rsidRPr="00523A48">
        <w:rPr>
          <w:rFonts w:ascii="Times New Roman" w:hAnsi="Times New Roman" w:cs="Times New Roman"/>
          <w:bCs/>
          <w:lang w:val="es-ES_tradnl"/>
        </w:rPr>
        <w:t xml:space="preserve"> </w:t>
      </w:r>
    </w:p>
    <w:bookmarkEnd w:id="36"/>
    <w:p w14:paraId="0BCF9A56" w14:textId="77777777" w:rsidR="00D836F9" w:rsidRDefault="00D836F9" w:rsidP="000246A3">
      <w:pPr>
        <w:spacing w:after="120" w:line="360" w:lineRule="auto"/>
        <w:jc w:val="both"/>
        <w:rPr>
          <w:rFonts w:ascii="Times New Roman" w:hAnsi="Times New Roman" w:cs="Times New Roman"/>
          <w:bCs/>
          <w:lang w:val="es-ES_tradnl"/>
        </w:rPr>
      </w:pPr>
      <w:r w:rsidRPr="00523A48">
        <w:rPr>
          <w:rFonts w:ascii="Times New Roman" w:hAnsi="Times New Roman" w:cs="Times New Roman"/>
          <w:b/>
          <w:bCs/>
          <w:lang w:val="es-ES_tradnl"/>
        </w:rPr>
        <w:t>El régimen del Poder Judicial es insostenible y requiere reformas urgentes.</w:t>
      </w:r>
      <w:r w:rsidRPr="00523A48">
        <w:rPr>
          <w:rFonts w:ascii="Times New Roman" w:hAnsi="Times New Roman" w:cs="Times New Roman"/>
          <w:bCs/>
          <w:lang w:val="es-ES_tradnl"/>
        </w:rPr>
        <w:t xml:space="preserve"> Este es un régimen sustituto del IVM, de capitalización colectiva (beneficio definido) y carácter obligatorio para todos los servidores judiciales y cubre las contingencias de vejez, invalidez y muerte.</w:t>
      </w:r>
      <w:r w:rsidRPr="00523A48">
        <w:rPr>
          <w:rStyle w:val="FootnoteReference"/>
          <w:rFonts w:ascii="Times New Roman" w:hAnsi="Times New Roman" w:cs="Times New Roman"/>
          <w:lang w:val="es-ES_tradnl"/>
        </w:rPr>
        <w:footnoteReference w:id="101"/>
      </w:r>
      <w:r w:rsidRPr="00523A48">
        <w:rPr>
          <w:rFonts w:ascii="Times New Roman" w:hAnsi="Times New Roman" w:cs="Times New Roman"/>
          <w:bCs/>
          <w:lang w:val="es-ES_tradnl"/>
        </w:rPr>
        <w:t xml:space="preserve"> Un reciente estudio actuarial elaborado por la Universidad de Costa Rica</w:t>
      </w:r>
      <w:r w:rsidR="00400D71">
        <w:rPr>
          <w:rStyle w:val="FootnoteReference"/>
          <w:rFonts w:ascii="Times New Roman" w:hAnsi="Times New Roman" w:cs="Times New Roman"/>
          <w:bCs/>
          <w:lang w:val="es-ES_tradnl"/>
        </w:rPr>
        <w:footnoteReference w:id="102"/>
      </w:r>
      <w:r w:rsidRPr="00523A48">
        <w:rPr>
          <w:rFonts w:ascii="Times New Roman" w:hAnsi="Times New Roman" w:cs="Times New Roman"/>
          <w:bCs/>
          <w:lang w:val="es-ES_tradnl"/>
        </w:rPr>
        <w:t xml:space="preserve"> </w:t>
      </w:r>
      <w:r w:rsidR="00824CF5">
        <w:rPr>
          <w:rFonts w:ascii="Times New Roman" w:hAnsi="Times New Roman" w:cs="Times New Roman"/>
          <w:bCs/>
          <w:lang w:val="es-ES_tradnl"/>
        </w:rPr>
        <w:t xml:space="preserve">estima un déficit actuarial de 19,5% del PIB y </w:t>
      </w:r>
      <w:r w:rsidRPr="00523A48">
        <w:rPr>
          <w:rFonts w:ascii="Times New Roman" w:hAnsi="Times New Roman" w:cs="Times New Roman"/>
          <w:bCs/>
          <w:lang w:val="es-ES_tradnl"/>
        </w:rPr>
        <w:t>prevé que en el año 2029 las contribuciones al régimen serán insuficientes para pagar las pensiones y se tomarán los intereses generados por las inversiones de la reserva para hacerle frente al pago mensual de jubilaciones. El estudio señala que, en caso de no implementar reformas, las reservas comenzarán a disminuir en el 2040 y se agotarán en el 2048. El</w:t>
      </w:r>
      <w:r w:rsidR="00713CBE">
        <w:rPr>
          <w:rFonts w:ascii="Times New Roman" w:hAnsi="Times New Roman" w:cs="Times New Roman"/>
          <w:bCs/>
          <w:lang w:val="es-ES_tradnl"/>
        </w:rPr>
        <w:t xml:space="preserve"> </w:t>
      </w:r>
      <w:r w:rsidRPr="00523A48">
        <w:rPr>
          <w:rFonts w:ascii="Times New Roman" w:hAnsi="Times New Roman" w:cs="Times New Roman"/>
          <w:bCs/>
          <w:lang w:val="es-ES_tradnl"/>
        </w:rPr>
        <w:t>futuro de este régimen es relevante porque dicho fondo tiene garantía estatal. Esto significa que si en algún momento carece de recursos para pagar pensiones el Gobierno deberá asumir el pago. El régimen además es altamente inequitativo y bajo el actual marco de pago de beneficios resulta insostenible a futuro.</w:t>
      </w:r>
      <w:r w:rsidR="00A205EC">
        <w:rPr>
          <w:rStyle w:val="FootnoteReference"/>
          <w:rFonts w:ascii="Times New Roman" w:hAnsi="Times New Roman" w:cs="Times New Roman"/>
          <w:bCs/>
          <w:lang w:val="es-ES_tradnl"/>
        </w:rPr>
        <w:footnoteReference w:id="103"/>
      </w:r>
      <w:r w:rsidRPr="00523A48">
        <w:rPr>
          <w:rFonts w:ascii="Times New Roman" w:hAnsi="Times New Roman" w:cs="Times New Roman"/>
          <w:bCs/>
          <w:lang w:val="es-ES_tradnl"/>
        </w:rPr>
        <w:t xml:space="preserve"> </w:t>
      </w:r>
      <w:r w:rsidR="00EB4AEA">
        <w:rPr>
          <w:rFonts w:ascii="Times New Roman" w:hAnsi="Times New Roman" w:cs="Times New Roman"/>
          <w:bCs/>
          <w:lang w:val="es-ES_tradnl"/>
        </w:rPr>
        <w:t>Es importante mencionar que Costa Rica ya ha logrado aprobar una reforma a este régimen de pensiones</w:t>
      </w:r>
      <w:r w:rsidR="00A205EC">
        <w:rPr>
          <w:rFonts w:ascii="Times New Roman" w:hAnsi="Times New Roman" w:cs="Times New Roman"/>
          <w:bCs/>
          <w:lang w:val="es-ES_tradnl"/>
        </w:rPr>
        <w:t xml:space="preserve">, donde </w:t>
      </w:r>
      <w:r w:rsidR="00C81724">
        <w:rPr>
          <w:rFonts w:ascii="Times New Roman" w:hAnsi="Times New Roman" w:cs="Times New Roman"/>
          <w:bCs/>
          <w:lang w:val="es-ES_tradnl"/>
        </w:rPr>
        <w:t>los principales cambios</w:t>
      </w:r>
      <w:r w:rsidR="00A205EC">
        <w:rPr>
          <w:rFonts w:ascii="Times New Roman" w:hAnsi="Times New Roman" w:cs="Times New Roman"/>
          <w:bCs/>
          <w:lang w:val="es-ES_tradnl"/>
        </w:rPr>
        <w:t xml:space="preserve"> se muestran en el siguiente cuadro comparativo.</w:t>
      </w:r>
    </w:p>
    <w:p w14:paraId="366081C0" w14:textId="77777777" w:rsidR="00354C66" w:rsidRDefault="00354C66" w:rsidP="000246A3">
      <w:pPr>
        <w:spacing w:after="120" w:line="360" w:lineRule="auto"/>
        <w:jc w:val="both"/>
        <w:rPr>
          <w:rFonts w:ascii="Times New Roman" w:hAnsi="Times New Roman" w:cs="Times New Roman"/>
          <w:bCs/>
          <w:lang w:val="es-ES_tradnl"/>
        </w:rPr>
      </w:pPr>
    </w:p>
    <w:p w14:paraId="2F5E788B" w14:textId="77777777" w:rsidR="00354C66" w:rsidRDefault="00354C66" w:rsidP="000246A3">
      <w:pPr>
        <w:spacing w:after="120" w:line="360" w:lineRule="auto"/>
        <w:jc w:val="both"/>
        <w:rPr>
          <w:rFonts w:ascii="Times New Roman" w:hAnsi="Times New Roman" w:cs="Times New Roman"/>
          <w:bCs/>
          <w:lang w:val="es-ES_tradnl"/>
        </w:rPr>
      </w:pPr>
    </w:p>
    <w:p w14:paraId="56434583" w14:textId="20AE1CB0" w:rsidR="00113D6B" w:rsidRPr="00354C66" w:rsidRDefault="00354C66" w:rsidP="00354C66">
      <w:pPr>
        <w:pStyle w:val="Caption"/>
        <w:spacing w:after="0"/>
        <w:jc w:val="center"/>
        <w:rPr>
          <w:rFonts w:ascii="Times New Roman" w:hAnsi="Times New Roman" w:cs="Times New Roman"/>
          <w:b/>
          <w:bCs/>
          <w:i w:val="0"/>
          <w:color w:val="auto"/>
          <w:sz w:val="22"/>
          <w:szCs w:val="22"/>
          <w:lang w:val="es-ES_tradnl"/>
        </w:rPr>
      </w:pPr>
      <w:bookmarkStart w:id="38" w:name="_Toc518399864"/>
      <w:r w:rsidRPr="00354C66">
        <w:rPr>
          <w:rFonts w:ascii="Times New Roman" w:hAnsi="Times New Roman" w:cs="Times New Roman"/>
          <w:b/>
          <w:i w:val="0"/>
          <w:color w:val="auto"/>
          <w:sz w:val="22"/>
          <w:szCs w:val="22"/>
        </w:rPr>
        <w:t xml:space="preserve">Tabla </w:t>
      </w:r>
      <w:r w:rsidRPr="00354C66">
        <w:rPr>
          <w:rFonts w:ascii="Times New Roman" w:hAnsi="Times New Roman" w:cs="Times New Roman"/>
          <w:b/>
          <w:i w:val="0"/>
          <w:color w:val="auto"/>
          <w:sz w:val="22"/>
          <w:szCs w:val="22"/>
        </w:rPr>
        <w:fldChar w:fldCharType="begin"/>
      </w:r>
      <w:r w:rsidRPr="00354C66">
        <w:rPr>
          <w:rFonts w:ascii="Times New Roman" w:hAnsi="Times New Roman" w:cs="Times New Roman"/>
          <w:b/>
          <w:i w:val="0"/>
          <w:color w:val="auto"/>
          <w:sz w:val="22"/>
          <w:szCs w:val="22"/>
        </w:rPr>
        <w:instrText xml:space="preserve"> SEQ Tabla \* ARABIC </w:instrText>
      </w:r>
      <w:r w:rsidRPr="00354C66">
        <w:rPr>
          <w:rFonts w:ascii="Times New Roman" w:hAnsi="Times New Roman" w:cs="Times New Roman"/>
          <w:b/>
          <w:i w:val="0"/>
          <w:color w:val="auto"/>
          <w:sz w:val="22"/>
          <w:szCs w:val="22"/>
        </w:rPr>
        <w:fldChar w:fldCharType="separate"/>
      </w:r>
      <w:r w:rsidR="002E140B">
        <w:rPr>
          <w:rFonts w:ascii="Times New Roman" w:hAnsi="Times New Roman" w:cs="Times New Roman"/>
          <w:b/>
          <w:i w:val="0"/>
          <w:noProof/>
          <w:color w:val="auto"/>
          <w:sz w:val="22"/>
          <w:szCs w:val="22"/>
        </w:rPr>
        <w:t>9</w:t>
      </w:r>
      <w:r w:rsidRPr="00354C66">
        <w:rPr>
          <w:rFonts w:ascii="Times New Roman" w:hAnsi="Times New Roman" w:cs="Times New Roman"/>
          <w:b/>
          <w:i w:val="0"/>
          <w:color w:val="auto"/>
          <w:sz w:val="22"/>
          <w:szCs w:val="22"/>
        </w:rPr>
        <w:fldChar w:fldCharType="end"/>
      </w:r>
      <w:r w:rsidR="00113D6B" w:rsidRPr="00354C66">
        <w:rPr>
          <w:rFonts w:ascii="Times New Roman" w:hAnsi="Times New Roman" w:cs="Times New Roman"/>
          <w:b/>
          <w:bCs/>
          <w:i w:val="0"/>
          <w:color w:val="auto"/>
          <w:sz w:val="22"/>
          <w:szCs w:val="22"/>
          <w:lang w:val="es-ES_tradnl"/>
        </w:rPr>
        <w:t xml:space="preserve">. </w:t>
      </w:r>
      <w:r w:rsidR="00281ECA" w:rsidRPr="00354C66">
        <w:rPr>
          <w:rFonts w:ascii="Times New Roman" w:hAnsi="Times New Roman" w:cs="Times New Roman"/>
          <w:b/>
          <w:bCs/>
          <w:i w:val="0"/>
          <w:color w:val="auto"/>
          <w:sz w:val="22"/>
          <w:szCs w:val="22"/>
          <w:lang w:val="es-ES_tradnl"/>
        </w:rPr>
        <w:t>Cuadro Comparativo de Regímenes de Pensiones</w:t>
      </w:r>
      <w:bookmarkEnd w:id="3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2265"/>
        <w:gridCol w:w="2265"/>
        <w:gridCol w:w="2265"/>
      </w:tblGrid>
      <w:tr w:rsidR="00744DFE" w:rsidRPr="001D192E" w14:paraId="05E72E96" w14:textId="77777777" w:rsidTr="00C81724">
        <w:trPr>
          <w:trHeight w:val="262"/>
        </w:trPr>
        <w:tc>
          <w:tcPr>
            <w:tcW w:w="2265" w:type="dxa"/>
            <w:tcBorders>
              <w:top w:val="double" w:sz="4" w:space="0" w:color="auto"/>
              <w:bottom w:val="single" w:sz="4" w:space="0" w:color="auto"/>
            </w:tcBorders>
          </w:tcPr>
          <w:p w14:paraId="6DCE8456" w14:textId="77777777" w:rsidR="00744DFE" w:rsidRPr="00C81724" w:rsidRDefault="00744DFE" w:rsidP="00C81724">
            <w:pPr>
              <w:spacing w:line="360" w:lineRule="auto"/>
              <w:jc w:val="center"/>
              <w:rPr>
                <w:rFonts w:ascii="Times New Roman" w:hAnsi="Times New Roman" w:cs="Times New Roman"/>
                <w:b/>
                <w:bCs/>
                <w:sz w:val="18"/>
                <w:szCs w:val="22"/>
                <w:lang w:val="es-ES_tradnl"/>
              </w:rPr>
            </w:pPr>
            <w:r w:rsidRPr="00C81724">
              <w:rPr>
                <w:rFonts w:ascii="Times New Roman" w:hAnsi="Times New Roman" w:cs="Times New Roman"/>
                <w:b/>
                <w:bCs/>
                <w:sz w:val="18"/>
                <w:lang w:val="es-ES_tradnl"/>
              </w:rPr>
              <w:t>Variable</w:t>
            </w:r>
          </w:p>
        </w:tc>
        <w:tc>
          <w:tcPr>
            <w:tcW w:w="2265" w:type="dxa"/>
            <w:tcBorders>
              <w:top w:val="double" w:sz="4" w:space="0" w:color="auto"/>
              <w:bottom w:val="single" w:sz="4" w:space="0" w:color="auto"/>
            </w:tcBorders>
          </w:tcPr>
          <w:p w14:paraId="26B7B79A" w14:textId="77777777" w:rsidR="00744DFE" w:rsidRPr="00C81724" w:rsidRDefault="00744DFE" w:rsidP="00C81724">
            <w:pPr>
              <w:spacing w:line="360" w:lineRule="auto"/>
              <w:jc w:val="center"/>
              <w:rPr>
                <w:rFonts w:ascii="Times New Roman" w:hAnsi="Times New Roman" w:cs="Times New Roman"/>
                <w:b/>
                <w:bCs/>
                <w:sz w:val="18"/>
                <w:szCs w:val="22"/>
                <w:lang w:val="es-ES_tradnl"/>
              </w:rPr>
            </w:pPr>
            <w:r w:rsidRPr="00C81724">
              <w:rPr>
                <w:rFonts w:ascii="Times New Roman" w:hAnsi="Times New Roman" w:cs="Times New Roman"/>
                <w:b/>
                <w:bCs/>
                <w:sz w:val="18"/>
                <w:lang w:val="es-ES_tradnl"/>
              </w:rPr>
              <w:t>Situación Actual</w:t>
            </w:r>
          </w:p>
        </w:tc>
        <w:tc>
          <w:tcPr>
            <w:tcW w:w="2265" w:type="dxa"/>
            <w:tcBorders>
              <w:top w:val="double" w:sz="4" w:space="0" w:color="auto"/>
              <w:bottom w:val="single" w:sz="4" w:space="0" w:color="auto"/>
            </w:tcBorders>
          </w:tcPr>
          <w:p w14:paraId="710B5932" w14:textId="77777777" w:rsidR="00744DFE" w:rsidRPr="00C81724" w:rsidRDefault="00744DFE" w:rsidP="00C81724">
            <w:pPr>
              <w:spacing w:line="360" w:lineRule="auto"/>
              <w:jc w:val="center"/>
              <w:rPr>
                <w:rFonts w:ascii="Times New Roman" w:hAnsi="Times New Roman" w:cs="Times New Roman"/>
                <w:b/>
                <w:bCs/>
                <w:sz w:val="18"/>
                <w:szCs w:val="22"/>
                <w:lang w:val="es-ES_tradnl"/>
              </w:rPr>
            </w:pPr>
            <w:r w:rsidRPr="00C81724">
              <w:rPr>
                <w:rFonts w:ascii="Times New Roman" w:hAnsi="Times New Roman" w:cs="Times New Roman"/>
                <w:b/>
                <w:bCs/>
                <w:sz w:val="18"/>
                <w:lang w:val="es-ES_tradnl"/>
              </w:rPr>
              <w:t>Reforma Aprobada</w:t>
            </w:r>
          </w:p>
        </w:tc>
        <w:tc>
          <w:tcPr>
            <w:tcW w:w="2265" w:type="dxa"/>
            <w:tcBorders>
              <w:top w:val="double" w:sz="4" w:space="0" w:color="auto"/>
              <w:bottom w:val="single" w:sz="4" w:space="0" w:color="auto"/>
            </w:tcBorders>
          </w:tcPr>
          <w:p w14:paraId="5B69D397" w14:textId="77777777" w:rsidR="00744DFE" w:rsidRPr="00C81724" w:rsidRDefault="00914BDD" w:rsidP="00C81724">
            <w:pPr>
              <w:spacing w:line="360" w:lineRule="auto"/>
              <w:jc w:val="center"/>
              <w:rPr>
                <w:rFonts w:ascii="Times New Roman" w:hAnsi="Times New Roman" w:cs="Times New Roman"/>
                <w:b/>
                <w:bCs/>
                <w:sz w:val="18"/>
                <w:szCs w:val="22"/>
                <w:lang w:val="es-ES_tradnl"/>
              </w:rPr>
            </w:pPr>
            <w:r w:rsidRPr="00C81724">
              <w:rPr>
                <w:rFonts w:ascii="Times New Roman" w:hAnsi="Times New Roman" w:cs="Times New Roman"/>
                <w:b/>
                <w:bCs/>
                <w:sz w:val="18"/>
                <w:lang w:val="es-ES_tradnl"/>
              </w:rPr>
              <w:t>IVM</w:t>
            </w:r>
          </w:p>
        </w:tc>
      </w:tr>
      <w:tr w:rsidR="00744DFE" w:rsidRPr="001D192E" w14:paraId="4EC5D2B3" w14:textId="77777777" w:rsidTr="00C81724">
        <w:tc>
          <w:tcPr>
            <w:tcW w:w="2265" w:type="dxa"/>
            <w:tcBorders>
              <w:top w:val="single" w:sz="4" w:space="0" w:color="auto"/>
            </w:tcBorders>
          </w:tcPr>
          <w:p w14:paraId="10F2E518" w14:textId="77777777" w:rsidR="00744DFE" w:rsidRPr="00C81724" w:rsidRDefault="003E00CE" w:rsidP="00C81724">
            <w:pPr>
              <w:rPr>
                <w:rFonts w:ascii="Times New Roman" w:hAnsi="Times New Roman" w:cs="Times New Roman"/>
                <w:bCs/>
                <w:sz w:val="18"/>
                <w:szCs w:val="22"/>
                <w:lang w:val="es-ES_tradnl"/>
              </w:rPr>
            </w:pPr>
            <w:r w:rsidRPr="00C81724">
              <w:rPr>
                <w:rFonts w:ascii="Times New Roman" w:hAnsi="Times New Roman" w:cs="Times New Roman"/>
                <w:bCs/>
                <w:sz w:val="18"/>
                <w:lang w:val="es-ES_tradnl"/>
              </w:rPr>
              <w:t>Cálculo de la pensión</w:t>
            </w:r>
          </w:p>
        </w:tc>
        <w:tc>
          <w:tcPr>
            <w:tcW w:w="2265" w:type="dxa"/>
            <w:tcBorders>
              <w:top w:val="single" w:sz="4" w:space="0" w:color="auto"/>
            </w:tcBorders>
          </w:tcPr>
          <w:p w14:paraId="514B90D3" w14:textId="77777777" w:rsidR="00744DFE" w:rsidRPr="00C81724" w:rsidRDefault="00F879BC"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100% del promedio de los últimos 24 salarios</w:t>
            </w:r>
          </w:p>
        </w:tc>
        <w:tc>
          <w:tcPr>
            <w:tcW w:w="2265" w:type="dxa"/>
            <w:tcBorders>
              <w:top w:val="single" w:sz="4" w:space="0" w:color="auto"/>
            </w:tcBorders>
          </w:tcPr>
          <w:p w14:paraId="5AFFD6F4" w14:textId="77777777" w:rsidR="00744DFE" w:rsidRPr="00C81724" w:rsidRDefault="00F879BC"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83% del promedio de los últimos 240 salarios</w:t>
            </w:r>
          </w:p>
        </w:tc>
        <w:tc>
          <w:tcPr>
            <w:tcW w:w="2265" w:type="dxa"/>
            <w:tcBorders>
              <w:top w:val="single" w:sz="4" w:space="0" w:color="auto"/>
            </w:tcBorders>
          </w:tcPr>
          <w:p w14:paraId="23E6227D" w14:textId="77777777" w:rsidR="00744DFE" w:rsidRPr="00C81724" w:rsidRDefault="00F879BC"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60% del promedio de los últimos 240 salarios</w:t>
            </w:r>
          </w:p>
        </w:tc>
      </w:tr>
      <w:tr w:rsidR="00744DFE" w:rsidRPr="001D192E" w14:paraId="439EBFC6" w14:textId="77777777" w:rsidTr="00C81724">
        <w:tc>
          <w:tcPr>
            <w:tcW w:w="2265" w:type="dxa"/>
          </w:tcPr>
          <w:p w14:paraId="16310D33" w14:textId="77777777" w:rsidR="00744DFE" w:rsidRPr="00C81724" w:rsidRDefault="003E00CE" w:rsidP="00C81724">
            <w:pPr>
              <w:rPr>
                <w:rFonts w:ascii="Times New Roman" w:hAnsi="Times New Roman" w:cs="Times New Roman"/>
                <w:bCs/>
                <w:sz w:val="18"/>
                <w:szCs w:val="22"/>
                <w:lang w:val="es-ES_tradnl"/>
              </w:rPr>
            </w:pPr>
            <w:r w:rsidRPr="00C81724">
              <w:rPr>
                <w:rFonts w:ascii="Times New Roman" w:hAnsi="Times New Roman" w:cs="Times New Roman"/>
                <w:bCs/>
                <w:sz w:val="18"/>
                <w:lang w:val="es-ES_tradnl"/>
              </w:rPr>
              <w:t>Edad de jubilación ordinaria</w:t>
            </w:r>
          </w:p>
        </w:tc>
        <w:tc>
          <w:tcPr>
            <w:tcW w:w="2265" w:type="dxa"/>
          </w:tcPr>
          <w:p w14:paraId="72D40DC7" w14:textId="77777777" w:rsidR="00744DFE" w:rsidRPr="00C81724" w:rsidRDefault="00F879BC"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60 años</w:t>
            </w:r>
          </w:p>
        </w:tc>
        <w:tc>
          <w:tcPr>
            <w:tcW w:w="2265" w:type="dxa"/>
          </w:tcPr>
          <w:p w14:paraId="4C218A99" w14:textId="77777777" w:rsidR="00744DFE" w:rsidRPr="00C81724" w:rsidRDefault="00F879BC"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65 años</w:t>
            </w:r>
          </w:p>
        </w:tc>
        <w:tc>
          <w:tcPr>
            <w:tcW w:w="2265" w:type="dxa"/>
          </w:tcPr>
          <w:p w14:paraId="3DCEDA70" w14:textId="77777777" w:rsidR="00744DFE" w:rsidRPr="00C81724" w:rsidRDefault="00F879BC"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65 años</w:t>
            </w:r>
          </w:p>
        </w:tc>
      </w:tr>
      <w:tr w:rsidR="00744DFE" w:rsidRPr="001D192E" w14:paraId="7F9574E6" w14:textId="77777777" w:rsidTr="00C81724">
        <w:tc>
          <w:tcPr>
            <w:tcW w:w="2265" w:type="dxa"/>
          </w:tcPr>
          <w:p w14:paraId="3C2FD48A" w14:textId="77777777" w:rsidR="00744DFE" w:rsidRPr="00C81724" w:rsidRDefault="008F108A" w:rsidP="00C81724">
            <w:pPr>
              <w:rPr>
                <w:rFonts w:ascii="Times New Roman" w:hAnsi="Times New Roman" w:cs="Times New Roman"/>
                <w:bCs/>
                <w:sz w:val="18"/>
                <w:szCs w:val="22"/>
                <w:lang w:val="es-ES_tradnl"/>
              </w:rPr>
            </w:pPr>
            <w:r w:rsidRPr="00C81724">
              <w:rPr>
                <w:rFonts w:ascii="Times New Roman" w:hAnsi="Times New Roman" w:cs="Times New Roman"/>
                <w:bCs/>
                <w:sz w:val="18"/>
                <w:lang w:val="es-ES_tradnl"/>
              </w:rPr>
              <w:t>Años de servicio para jubilarse</w:t>
            </w:r>
          </w:p>
        </w:tc>
        <w:tc>
          <w:tcPr>
            <w:tcW w:w="2265" w:type="dxa"/>
          </w:tcPr>
          <w:p w14:paraId="11F98229" w14:textId="77777777" w:rsidR="00744DFE" w:rsidRPr="00C81724" w:rsidRDefault="00177A24"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30 años</w:t>
            </w:r>
          </w:p>
        </w:tc>
        <w:tc>
          <w:tcPr>
            <w:tcW w:w="2265" w:type="dxa"/>
          </w:tcPr>
          <w:p w14:paraId="2C031212" w14:textId="77777777" w:rsidR="00744DFE" w:rsidRPr="00C81724" w:rsidRDefault="00177A24"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35 años</w:t>
            </w:r>
          </w:p>
        </w:tc>
        <w:tc>
          <w:tcPr>
            <w:tcW w:w="2265" w:type="dxa"/>
          </w:tcPr>
          <w:p w14:paraId="0CD918B4" w14:textId="77777777" w:rsidR="00744DFE" w:rsidRPr="00C81724" w:rsidRDefault="00177A24"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38,5 para hombres y 37,5 para mujeres</w:t>
            </w:r>
          </w:p>
        </w:tc>
      </w:tr>
      <w:tr w:rsidR="00744DFE" w:rsidRPr="001D192E" w14:paraId="231D4C82" w14:textId="77777777" w:rsidTr="00C81724">
        <w:tc>
          <w:tcPr>
            <w:tcW w:w="2265" w:type="dxa"/>
          </w:tcPr>
          <w:p w14:paraId="23B28EA6" w14:textId="77777777" w:rsidR="00744DFE" w:rsidRPr="00C81724" w:rsidRDefault="008F108A" w:rsidP="00C81724">
            <w:pPr>
              <w:rPr>
                <w:rFonts w:ascii="Times New Roman" w:hAnsi="Times New Roman" w:cs="Times New Roman"/>
                <w:bCs/>
                <w:sz w:val="18"/>
                <w:szCs w:val="22"/>
                <w:lang w:val="es-ES_tradnl"/>
              </w:rPr>
            </w:pPr>
            <w:r w:rsidRPr="00C81724">
              <w:rPr>
                <w:rFonts w:ascii="Times New Roman" w:hAnsi="Times New Roman" w:cs="Times New Roman"/>
                <w:bCs/>
                <w:sz w:val="18"/>
                <w:lang w:val="es-ES_tradnl"/>
              </w:rPr>
              <w:t>Edad mínima para acogeré a la pensión anticipada</w:t>
            </w:r>
          </w:p>
        </w:tc>
        <w:tc>
          <w:tcPr>
            <w:tcW w:w="2265" w:type="dxa"/>
          </w:tcPr>
          <w:p w14:paraId="141729C9" w14:textId="77777777" w:rsidR="00744DFE" w:rsidRPr="00C81724" w:rsidRDefault="00177A24"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55 años</w:t>
            </w:r>
          </w:p>
        </w:tc>
        <w:tc>
          <w:tcPr>
            <w:tcW w:w="2265" w:type="dxa"/>
          </w:tcPr>
          <w:p w14:paraId="57AAAF54" w14:textId="77777777" w:rsidR="00744DFE" w:rsidRPr="00C81724" w:rsidRDefault="00177A24"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62 años los hombres y 60 las mujeres</w:t>
            </w:r>
          </w:p>
        </w:tc>
        <w:tc>
          <w:tcPr>
            <w:tcW w:w="2265" w:type="dxa"/>
          </w:tcPr>
          <w:p w14:paraId="4A1502E8" w14:textId="77777777" w:rsidR="00744DFE" w:rsidRPr="00C81724" w:rsidRDefault="00177A24"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61 años y 11 meses los hombres y 59 años y 11 meses las mujeres</w:t>
            </w:r>
          </w:p>
        </w:tc>
      </w:tr>
      <w:tr w:rsidR="00744DFE" w:rsidRPr="001D192E" w14:paraId="5A64CB34" w14:textId="77777777" w:rsidTr="00C81724">
        <w:tc>
          <w:tcPr>
            <w:tcW w:w="2265" w:type="dxa"/>
          </w:tcPr>
          <w:p w14:paraId="360CE2FB" w14:textId="77777777" w:rsidR="00744DFE" w:rsidRPr="00C81724" w:rsidRDefault="00E41DD5" w:rsidP="00C81724">
            <w:pPr>
              <w:rPr>
                <w:rFonts w:ascii="Times New Roman" w:hAnsi="Times New Roman" w:cs="Times New Roman"/>
                <w:bCs/>
                <w:sz w:val="18"/>
                <w:szCs w:val="22"/>
                <w:lang w:val="es-ES_tradnl"/>
              </w:rPr>
            </w:pPr>
            <w:r w:rsidRPr="00C81724">
              <w:rPr>
                <w:rFonts w:ascii="Times New Roman" w:hAnsi="Times New Roman" w:cs="Times New Roman"/>
                <w:bCs/>
                <w:sz w:val="18"/>
                <w:lang w:val="es-ES_tradnl"/>
              </w:rPr>
              <w:t>Pensión máxima</w:t>
            </w:r>
          </w:p>
        </w:tc>
        <w:tc>
          <w:tcPr>
            <w:tcW w:w="2265" w:type="dxa"/>
          </w:tcPr>
          <w:p w14:paraId="276C832A" w14:textId="77777777" w:rsidR="00744DFE" w:rsidRPr="00C81724" w:rsidRDefault="006C597D"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No existe tope</w:t>
            </w:r>
          </w:p>
        </w:tc>
        <w:tc>
          <w:tcPr>
            <w:tcW w:w="2265" w:type="dxa"/>
          </w:tcPr>
          <w:p w14:paraId="08F09CC8" w14:textId="77777777" w:rsidR="00744DFE" w:rsidRPr="00C81724" w:rsidRDefault="006C597D"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 4</w:t>
            </w:r>
            <w:r w:rsidR="000A19A8" w:rsidRPr="00C81724">
              <w:rPr>
                <w:rFonts w:ascii="Times New Roman" w:hAnsi="Times New Roman" w:cs="Times New Roman"/>
                <w:bCs/>
                <w:sz w:val="18"/>
                <w:lang w:val="es-ES_tradnl"/>
              </w:rPr>
              <w:t xml:space="preserve"> millones (El equivalente a 10 salarios base del salario más bajo del poder judicial)</w:t>
            </w:r>
          </w:p>
        </w:tc>
        <w:tc>
          <w:tcPr>
            <w:tcW w:w="2265" w:type="dxa"/>
          </w:tcPr>
          <w:p w14:paraId="11BB52D1" w14:textId="77777777" w:rsidR="00744DFE" w:rsidRPr="00C81724" w:rsidRDefault="000A19A8"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₡1,5 millones y ₡</w:t>
            </w:r>
            <w:r w:rsidR="000C33B9" w:rsidRPr="00C81724">
              <w:rPr>
                <w:rFonts w:ascii="Times New Roman" w:hAnsi="Times New Roman" w:cs="Times New Roman"/>
                <w:bCs/>
                <w:sz w:val="18"/>
                <w:lang w:val="es-ES_tradnl"/>
              </w:rPr>
              <w:t>2,3 millones con postergación</w:t>
            </w:r>
          </w:p>
        </w:tc>
      </w:tr>
      <w:tr w:rsidR="00744DFE" w:rsidRPr="001D192E" w14:paraId="5DA2F899" w14:textId="77777777" w:rsidTr="00C81724">
        <w:tc>
          <w:tcPr>
            <w:tcW w:w="2265" w:type="dxa"/>
          </w:tcPr>
          <w:p w14:paraId="67D47B54" w14:textId="77777777" w:rsidR="00744DFE" w:rsidRPr="00C81724" w:rsidRDefault="00670392" w:rsidP="00C81724">
            <w:pPr>
              <w:rPr>
                <w:rFonts w:ascii="Times New Roman" w:hAnsi="Times New Roman" w:cs="Times New Roman"/>
                <w:bCs/>
                <w:sz w:val="18"/>
                <w:szCs w:val="22"/>
                <w:lang w:val="es-ES_tradnl"/>
              </w:rPr>
            </w:pPr>
            <w:r w:rsidRPr="00C81724">
              <w:rPr>
                <w:rFonts w:ascii="Times New Roman" w:hAnsi="Times New Roman" w:cs="Times New Roman"/>
                <w:bCs/>
                <w:sz w:val="18"/>
                <w:lang w:val="es-ES_tradnl"/>
              </w:rPr>
              <w:t>Aporte solidario de pensionados actuales</w:t>
            </w:r>
          </w:p>
        </w:tc>
        <w:tc>
          <w:tcPr>
            <w:tcW w:w="2265" w:type="dxa"/>
          </w:tcPr>
          <w:p w14:paraId="5D8C45DE" w14:textId="77777777" w:rsidR="00744DFE" w:rsidRPr="00C81724" w:rsidRDefault="000C33B9"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No existe</w:t>
            </w:r>
          </w:p>
        </w:tc>
        <w:tc>
          <w:tcPr>
            <w:tcW w:w="2265" w:type="dxa"/>
          </w:tcPr>
          <w:p w14:paraId="69613541" w14:textId="77777777" w:rsidR="00744DFE" w:rsidRPr="00C81724" w:rsidRDefault="000C33B9"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Entre un 35% y un 55% del monto que se exceda sobre el tope de ₡4 millones. La suma de este aporte y el de la cuota obrera no podrá superar el 55% de la pensión</w:t>
            </w:r>
          </w:p>
        </w:tc>
        <w:tc>
          <w:tcPr>
            <w:tcW w:w="2265" w:type="dxa"/>
          </w:tcPr>
          <w:p w14:paraId="5144F620" w14:textId="77777777" w:rsidR="00744DFE" w:rsidRPr="00C81724" w:rsidRDefault="000C33B9"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No existe</w:t>
            </w:r>
          </w:p>
        </w:tc>
      </w:tr>
      <w:tr w:rsidR="00744DFE" w:rsidRPr="001D192E" w14:paraId="53C7A8BD" w14:textId="77777777" w:rsidTr="00C81724">
        <w:tc>
          <w:tcPr>
            <w:tcW w:w="2265" w:type="dxa"/>
          </w:tcPr>
          <w:p w14:paraId="5027F0A7" w14:textId="77777777" w:rsidR="00744DFE" w:rsidRPr="00C81724" w:rsidRDefault="00670392" w:rsidP="00C81724">
            <w:pPr>
              <w:rPr>
                <w:rFonts w:ascii="Times New Roman" w:hAnsi="Times New Roman" w:cs="Times New Roman"/>
                <w:bCs/>
                <w:sz w:val="18"/>
                <w:szCs w:val="22"/>
                <w:lang w:val="es-ES_tradnl"/>
              </w:rPr>
            </w:pPr>
            <w:r w:rsidRPr="00C81724">
              <w:rPr>
                <w:rFonts w:ascii="Times New Roman" w:hAnsi="Times New Roman" w:cs="Times New Roman"/>
                <w:bCs/>
                <w:sz w:val="18"/>
                <w:lang w:val="es-ES_tradnl"/>
              </w:rPr>
              <w:t>Porcentaje del salario que debe cotizar cada funcionario</w:t>
            </w:r>
          </w:p>
        </w:tc>
        <w:tc>
          <w:tcPr>
            <w:tcW w:w="2265" w:type="dxa"/>
          </w:tcPr>
          <w:p w14:paraId="2748262A" w14:textId="77777777" w:rsidR="00744DFE" w:rsidRPr="00C81724" w:rsidRDefault="000C33B9"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11%</w:t>
            </w:r>
          </w:p>
        </w:tc>
        <w:tc>
          <w:tcPr>
            <w:tcW w:w="2265" w:type="dxa"/>
          </w:tcPr>
          <w:p w14:paraId="15ECD787" w14:textId="77777777" w:rsidR="00744DFE" w:rsidRPr="00C81724" w:rsidRDefault="00F07905"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13%</w:t>
            </w:r>
          </w:p>
        </w:tc>
        <w:tc>
          <w:tcPr>
            <w:tcW w:w="2265" w:type="dxa"/>
          </w:tcPr>
          <w:p w14:paraId="3A150759" w14:textId="77777777" w:rsidR="00744DFE" w:rsidRPr="00C81724" w:rsidRDefault="00F07905"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3,34%</w:t>
            </w:r>
          </w:p>
        </w:tc>
      </w:tr>
      <w:tr w:rsidR="00744DFE" w:rsidRPr="001D192E" w14:paraId="6C5C41C1" w14:textId="77777777" w:rsidTr="00C81724">
        <w:tc>
          <w:tcPr>
            <w:tcW w:w="2265" w:type="dxa"/>
            <w:tcBorders>
              <w:bottom w:val="double" w:sz="4" w:space="0" w:color="auto"/>
            </w:tcBorders>
          </w:tcPr>
          <w:p w14:paraId="2DA13879" w14:textId="77777777" w:rsidR="00744DFE" w:rsidRPr="00C81724" w:rsidRDefault="00670392" w:rsidP="00C81724">
            <w:pPr>
              <w:rPr>
                <w:rFonts w:ascii="Times New Roman" w:hAnsi="Times New Roman" w:cs="Times New Roman"/>
                <w:bCs/>
                <w:sz w:val="18"/>
                <w:szCs w:val="22"/>
                <w:lang w:val="es-ES_tradnl"/>
              </w:rPr>
            </w:pPr>
            <w:r w:rsidRPr="00C81724">
              <w:rPr>
                <w:rFonts w:ascii="Times New Roman" w:hAnsi="Times New Roman" w:cs="Times New Roman"/>
                <w:bCs/>
                <w:sz w:val="18"/>
                <w:lang w:val="es-ES_tradnl"/>
              </w:rPr>
              <w:t>Cotización Patrono</w:t>
            </w:r>
            <w:r w:rsidR="00F879BC" w:rsidRPr="00C81724">
              <w:rPr>
                <w:rFonts w:ascii="Times New Roman" w:hAnsi="Times New Roman" w:cs="Times New Roman"/>
                <w:bCs/>
                <w:sz w:val="18"/>
                <w:lang w:val="es-ES_tradnl"/>
              </w:rPr>
              <w:t>-Estado</w:t>
            </w:r>
          </w:p>
        </w:tc>
        <w:tc>
          <w:tcPr>
            <w:tcW w:w="2265" w:type="dxa"/>
            <w:tcBorders>
              <w:bottom w:val="double" w:sz="4" w:space="0" w:color="auto"/>
            </w:tcBorders>
          </w:tcPr>
          <w:p w14:paraId="1D003D52" w14:textId="77777777" w:rsidR="00744DFE" w:rsidRPr="00C81724" w:rsidRDefault="00F07905"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15,6% (el Estado desembolsa un 1,24% y el Poder Judicial un 14,36%)</w:t>
            </w:r>
          </w:p>
        </w:tc>
        <w:tc>
          <w:tcPr>
            <w:tcW w:w="2265" w:type="dxa"/>
            <w:tcBorders>
              <w:bottom w:val="double" w:sz="4" w:space="0" w:color="auto"/>
            </w:tcBorders>
          </w:tcPr>
          <w:p w14:paraId="2D3D3195" w14:textId="77777777" w:rsidR="00744DFE" w:rsidRPr="00C81724" w:rsidRDefault="00F07905"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 xml:space="preserve">15,6% (el Estado desembolsa un 1,24% y el </w:t>
            </w:r>
            <w:r w:rsidR="00586132" w:rsidRPr="00C81724">
              <w:rPr>
                <w:rFonts w:ascii="Times New Roman" w:hAnsi="Times New Roman" w:cs="Times New Roman"/>
                <w:bCs/>
                <w:sz w:val="18"/>
                <w:lang w:val="es-ES_tradnl"/>
              </w:rPr>
              <w:t>P</w:t>
            </w:r>
            <w:r w:rsidRPr="00C81724">
              <w:rPr>
                <w:rFonts w:ascii="Times New Roman" w:hAnsi="Times New Roman" w:cs="Times New Roman"/>
                <w:bCs/>
                <w:sz w:val="18"/>
                <w:lang w:val="es-ES_tradnl"/>
              </w:rPr>
              <w:t xml:space="preserve">oder </w:t>
            </w:r>
            <w:r w:rsidR="00586132" w:rsidRPr="00C81724">
              <w:rPr>
                <w:rFonts w:ascii="Times New Roman" w:hAnsi="Times New Roman" w:cs="Times New Roman"/>
                <w:bCs/>
                <w:sz w:val="18"/>
                <w:lang w:val="es-ES_tradnl"/>
              </w:rPr>
              <w:t>Judicial un 14,36%)</w:t>
            </w:r>
          </w:p>
        </w:tc>
        <w:tc>
          <w:tcPr>
            <w:tcW w:w="2265" w:type="dxa"/>
            <w:tcBorders>
              <w:bottom w:val="double" w:sz="4" w:space="0" w:color="auto"/>
            </w:tcBorders>
          </w:tcPr>
          <w:p w14:paraId="1FA3DCD9" w14:textId="77777777" w:rsidR="00744DFE" w:rsidRPr="00C81724" w:rsidRDefault="00586132" w:rsidP="00C81724">
            <w:pPr>
              <w:jc w:val="both"/>
              <w:rPr>
                <w:rFonts w:ascii="Times New Roman" w:hAnsi="Times New Roman" w:cs="Times New Roman"/>
                <w:bCs/>
                <w:sz w:val="18"/>
                <w:szCs w:val="22"/>
                <w:lang w:val="es-ES_tradnl"/>
              </w:rPr>
            </w:pPr>
            <w:r w:rsidRPr="00C81724">
              <w:rPr>
                <w:rFonts w:ascii="Times New Roman" w:hAnsi="Times New Roman" w:cs="Times New Roman"/>
                <w:bCs/>
                <w:sz w:val="18"/>
                <w:lang w:val="es-ES_tradnl"/>
              </w:rPr>
              <w:t>6,32% (5,08% el patrono y el 1,24%</w:t>
            </w:r>
            <w:r w:rsidR="001D192E" w:rsidRPr="00C81724">
              <w:rPr>
                <w:rFonts w:ascii="Times New Roman" w:hAnsi="Times New Roman" w:cs="Times New Roman"/>
                <w:bCs/>
                <w:sz w:val="18"/>
                <w:lang w:val="es-ES_tradnl"/>
              </w:rPr>
              <w:t xml:space="preserve"> el Estado)</w:t>
            </w:r>
          </w:p>
        </w:tc>
      </w:tr>
    </w:tbl>
    <w:p w14:paraId="2A53698C" w14:textId="77777777" w:rsidR="004726B3" w:rsidRPr="00C81724" w:rsidRDefault="00065EC1" w:rsidP="00C81724">
      <w:pPr>
        <w:spacing w:after="120" w:line="360" w:lineRule="auto"/>
        <w:jc w:val="center"/>
        <w:rPr>
          <w:rFonts w:ascii="Times New Roman" w:hAnsi="Times New Roman" w:cs="Times New Roman"/>
          <w:bCs/>
          <w:sz w:val="18"/>
          <w:lang w:val="es-ES_tradnl"/>
        </w:rPr>
      </w:pPr>
      <w:r w:rsidRPr="00C81724">
        <w:rPr>
          <w:rFonts w:ascii="Times New Roman" w:hAnsi="Times New Roman" w:cs="Times New Roman"/>
          <w:bCs/>
          <w:sz w:val="18"/>
          <w:lang w:val="es-ES_tradnl"/>
        </w:rPr>
        <w:t>Fuente:</w:t>
      </w:r>
      <w:r>
        <w:rPr>
          <w:rFonts w:ascii="Times New Roman" w:hAnsi="Times New Roman" w:cs="Times New Roman"/>
          <w:bCs/>
          <w:sz w:val="18"/>
          <w:lang w:val="es-ES_tradnl"/>
        </w:rPr>
        <w:t xml:space="preserve"> </w:t>
      </w:r>
      <w:r w:rsidR="00054952">
        <w:rPr>
          <w:rFonts w:ascii="Times New Roman" w:hAnsi="Times New Roman" w:cs="Times New Roman"/>
          <w:bCs/>
          <w:sz w:val="18"/>
          <w:lang w:val="es-ES_tradnl"/>
        </w:rPr>
        <w:t>Proyecto de ley 19.922</w:t>
      </w:r>
      <w:r w:rsidR="00997F77">
        <w:rPr>
          <w:rFonts w:ascii="Times New Roman" w:hAnsi="Times New Roman" w:cs="Times New Roman"/>
          <w:bCs/>
          <w:sz w:val="18"/>
          <w:lang w:val="es-ES_tradnl"/>
        </w:rPr>
        <w:t xml:space="preserve"> y CCSS.</w:t>
      </w:r>
    </w:p>
    <w:p w14:paraId="5D04F101" w14:textId="77777777" w:rsidR="00D836F9" w:rsidRDefault="00D836F9" w:rsidP="000246A3">
      <w:pPr>
        <w:spacing w:after="120" w:line="360" w:lineRule="auto"/>
        <w:jc w:val="both"/>
        <w:rPr>
          <w:rFonts w:ascii="Times New Roman" w:hAnsi="Times New Roman" w:cs="Times New Roman"/>
          <w:bCs/>
          <w:lang w:val="es-ES_tradnl"/>
        </w:rPr>
      </w:pPr>
      <w:r w:rsidRPr="00523A48">
        <w:rPr>
          <w:rFonts w:ascii="Times New Roman" w:hAnsi="Times New Roman" w:cs="Times New Roman"/>
          <w:b/>
          <w:bCs/>
          <w:lang w:val="es-ES_tradnl"/>
        </w:rPr>
        <w:t xml:space="preserve">Las labores de regulación y supervisión del sistema de pensiones son insuficientes. </w:t>
      </w:r>
      <w:r w:rsidRPr="00523A48">
        <w:rPr>
          <w:rFonts w:ascii="Times New Roman" w:hAnsi="Times New Roman" w:cs="Times New Roman"/>
          <w:bCs/>
          <w:lang w:val="es-ES_tradnl"/>
        </w:rPr>
        <w:t>La Superintendencia de Pensiones (SUPEN) es la entidad encarga de la supervisión y la regulación del sistema nacional de pensiones. Sin embargo, la autonomía de gobierno que le otorga la Constitución Política a la CCSS, impide que cualquier organismo externo pueda intervenir en la regulación de los seguros sociales y en particular, del Régimen del IVM. En ese contexto, las normas prudenciales que emite la SUPEN aplican a todos los regímenes con excepción del IVM de la CCSS. En el caso de la CCSS, el ámbito de acción de la SUPEN se limita sólo a recomendaciones no vinculantes y a acciones de supervisión sobre normas que la propia CCSS emite. Por lo tanto, la falta de una regulación efectiva a la CCSS tiene el potencial de impactar negativamente el sector de pensiones como un todo. Esta situación, no sólo, representa una amenaza a la sostenibilidad del sistema, sino que también puede llegar a comprometer la gestión de las finanzas públicas.</w:t>
      </w:r>
    </w:p>
    <w:p w14:paraId="219EA8B4" w14:textId="77777777" w:rsidR="00062F1F" w:rsidRPr="00E43C1F" w:rsidRDefault="00062F1F" w:rsidP="00062F1F">
      <w:pPr>
        <w:pStyle w:val="Estilo4"/>
        <w:numPr>
          <w:ilvl w:val="0"/>
          <w:numId w:val="0"/>
        </w:numPr>
        <w:tabs>
          <w:tab w:val="left" w:pos="-180"/>
        </w:tabs>
        <w:spacing w:after="0" w:line="360" w:lineRule="auto"/>
        <w:ind w:left="-180"/>
        <w:contextualSpacing w:val="0"/>
        <w:rPr>
          <w:sz w:val="22"/>
          <w:u w:val="single"/>
          <w:lang w:val="es-CR"/>
        </w:rPr>
      </w:pPr>
      <w:r w:rsidRPr="00591FF9">
        <w:rPr>
          <w:sz w:val="22"/>
          <w:u w:val="single"/>
          <w:lang w:val="es-CR"/>
        </w:rPr>
        <w:t>Recomendaciones de Política</w:t>
      </w:r>
    </w:p>
    <w:p w14:paraId="5EBAC619" w14:textId="77777777" w:rsidR="00D836F9" w:rsidRPr="00523A48" w:rsidRDefault="00D836F9" w:rsidP="000246A3">
      <w:pPr>
        <w:spacing w:after="120" w:line="360" w:lineRule="auto"/>
        <w:jc w:val="both"/>
        <w:rPr>
          <w:rFonts w:ascii="Times New Roman" w:hAnsi="Times New Roman" w:cs="Times New Roman"/>
          <w:bCs/>
          <w:lang w:val="es-ES_tradnl"/>
        </w:rPr>
      </w:pPr>
      <w:r w:rsidRPr="00523A48">
        <w:rPr>
          <w:rFonts w:ascii="Times New Roman" w:hAnsi="Times New Roman" w:cs="Times New Roman"/>
          <w:b/>
          <w:bCs/>
          <w:lang w:val="es-ES_tradnl"/>
        </w:rPr>
        <w:t>Acciones para ampliar cobertura</w:t>
      </w:r>
      <w:r w:rsidRPr="00523A48">
        <w:rPr>
          <w:rFonts w:ascii="Times New Roman" w:hAnsi="Times New Roman" w:cs="Times New Roman"/>
          <w:bCs/>
          <w:lang w:val="es-ES_tradnl"/>
        </w:rPr>
        <w:t>. Dentro de las acciones para ampliar cobertura, se recomienda: i) enfocarse en el ciudadano y no únicamente en el trabajador como eje central de la protección social; (ii) integrar y atraer a todos los trabajadores al sistema contributivo para incrementar el número de aportaciones y asegurar el nivel de las pensiones en el futuro; iii) regular y evaluar los alcances del esquema de PNCs para asegurar que cumpla su rol como componente para erradicar la pobreza en la vejez, sin generar distorsiones en el mercado laboral, y que sea sostenibles financieramente; iv) incorporar a los colectivos de trabajadores no asalariados que tradicionalmente han sido excluidos del sistema de pensiones; y v) fortalecer la fiscalización del mercado de trabajo, y acceso a información y educación financiera</w:t>
      </w:r>
      <w:r w:rsidR="00A91851">
        <w:rPr>
          <w:rFonts w:ascii="Times New Roman" w:hAnsi="Times New Roman" w:cs="Times New Roman"/>
          <w:bCs/>
          <w:lang w:val="es-ES_tradnl"/>
        </w:rPr>
        <w:t>, en particular avanzar a  la nómina electrónica</w:t>
      </w:r>
      <w:r w:rsidRPr="00523A48">
        <w:rPr>
          <w:rFonts w:ascii="Times New Roman" w:hAnsi="Times New Roman" w:cs="Times New Roman"/>
          <w:bCs/>
          <w:lang w:val="es-ES_tradnl"/>
        </w:rPr>
        <w:t>.</w:t>
      </w:r>
      <w:r w:rsidR="00A91851">
        <w:rPr>
          <w:rStyle w:val="FootnoteReference"/>
          <w:rFonts w:ascii="Times New Roman" w:hAnsi="Times New Roman" w:cs="Times New Roman"/>
          <w:bCs/>
          <w:lang w:val="es-ES_tradnl"/>
        </w:rPr>
        <w:footnoteReference w:id="104"/>
      </w:r>
    </w:p>
    <w:p w14:paraId="3E4E9C93" w14:textId="77777777" w:rsidR="00D836F9" w:rsidRPr="00523A48" w:rsidRDefault="00D836F9" w:rsidP="000246A3">
      <w:pPr>
        <w:spacing w:after="120" w:line="360" w:lineRule="auto"/>
        <w:jc w:val="both"/>
        <w:rPr>
          <w:rFonts w:ascii="Times New Roman" w:hAnsi="Times New Roman" w:cs="Times New Roman"/>
          <w:bCs/>
          <w:lang w:val="es-ES_tradnl"/>
        </w:rPr>
      </w:pPr>
      <w:r w:rsidRPr="00523A48">
        <w:rPr>
          <w:rFonts w:ascii="Times New Roman" w:hAnsi="Times New Roman" w:cs="Times New Roman"/>
          <w:b/>
          <w:bCs/>
          <w:lang w:val="es-ES_tradnl"/>
        </w:rPr>
        <w:t>Acciones para fortalecer la sostenibilidad</w:t>
      </w:r>
      <w:r w:rsidRPr="00523A48">
        <w:rPr>
          <w:rFonts w:ascii="Times New Roman" w:hAnsi="Times New Roman" w:cs="Times New Roman"/>
          <w:bCs/>
          <w:lang w:val="es-ES_tradnl"/>
        </w:rPr>
        <w:t>. Dentro de las acciones para fortalecer la sostenibilidad, se incluyen: i) implementar reformas que garanticen la viabilidad de la CCSS y del régimen del Poder Judicial; (ii) dotar a la SUPEN de los recursos presupuestarios y humanos apropiados para cumplir de manera eficiente sus labores de regulación y supervisión integral del sistema; (iv) desarrollar las herramientas de supervisión adecuadas para monitorear los riesgos a los que se ven expuestos los fondos de pensiones, evitar contagios financieros y riesgos reputacionales; y, (v) actualizar el reglamento de inversiones y gobierno corporativo de los fondos de pensiones para asegurar  la correcta inversión de las reservas y la gestión de los riesgos propios de esta actividad. (vi) Aprobar una reforma para que el IVM de la CCSS esté regulado por la SUPEN.</w:t>
      </w:r>
    </w:p>
    <w:p w14:paraId="68D99807" w14:textId="77777777" w:rsidR="00C84AC6" w:rsidRDefault="00D836F9" w:rsidP="007C1B2C">
      <w:pPr>
        <w:spacing w:after="120" w:line="360" w:lineRule="auto"/>
        <w:jc w:val="both"/>
        <w:rPr>
          <w:rFonts w:ascii="Times New Roman" w:hAnsi="Times New Roman" w:cs="Times New Roman"/>
          <w:bCs/>
          <w:lang w:val="es-ES_tradnl"/>
        </w:rPr>
      </w:pPr>
      <w:r w:rsidRPr="00523A48">
        <w:rPr>
          <w:rFonts w:ascii="Times New Roman" w:hAnsi="Times New Roman" w:cs="Times New Roman"/>
          <w:b/>
          <w:bCs/>
          <w:lang w:val="es-ES_tradnl"/>
        </w:rPr>
        <w:t>IVM y régimen del Poder Judicial requieren reformas de largo plazo</w:t>
      </w:r>
      <w:r w:rsidRPr="00523A48">
        <w:rPr>
          <w:rFonts w:ascii="Times New Roman" w:hAnsi="Times New Roman" w:cs="Times New Roman"/>
          <w:bCs/>
          <w:lang w:val="es-ES_tradnl"/>
        </w:rPr>
        <w:t>. Si bien en la actualidad existe</w:t>
      </w:r>
      <w:r w:rsidR="003B65C8">
        <w:rPr>
          <w:rFonts w:ascii="Times New Roman" w:hAnsi="Times New Roman" w:cs="Times New Roman"/>
          <w:bCs/>
          <w:lang w:val="es-ES_tradnl"/>
        </w:rPr>
        <w:t xml:space="preserve"> un proyecto </w:t>
      </w:r>
      <w:r w:rsidR="006507BF">
        <w:rPr>
          <w:rFonts w:ascii="Times New Roman" w:hAnsi="Times New Roman" w:cs="Times New Roman"/>
          <w:bCs/>
          <w:lang w:val="es-ES_tradnl"/>
        </w:rPr>
        <w:t xml:space="preserve">aprobado </w:t>
      </w:r>
      <w:r w:rsidRPr="00523A48">
        <w:rPr>
          <w:rFonts w:ascii="Times New Roman" w:hAnsi="Times New Roman" w:cs="Times New Roman"/>
          <w:bCs/>
          <w:lang w:val="es-ES_tradnl"/>
        </w:rPr>
        <w:t xml:space="preserve">para implementar reformas orientadas a mejorar la situación actuarial </w:t>
      </w:r>
      <w:r w:rsidR="008D3894">
        <w:rPr>
          <w:rFonts w:ascii="Times New Roman" w:hAnsi="Times New Roman" w:cs="Times New Roman"/>
          <w:bCs/>
          <w:lang w:val="es-ES_tradnl"/>
        </w:rPr>
        <w:t>del Poder Judicial</w:t>
      </w:r>
      <w:r w:rsidRPr="00523A48">
        <w:rPr>
          <w:rFonts w:ascii="Times New Roman" w:hAnsi="Times New Roman" w:cs="Times New Roman"/>
          <w:bCs/>
          <w:lang w:val="es-ES_tradnl"/>
        </w:rPr>
        <w:t>, de no adoptarse más medidas, se produciría un agotamiento de las reservas en el mediano plazo</w:t>
      </w:r>
      <w:r w:rsidR="001B772B">
        <w:rPr>
          <w:rFonts w:ascii="Times New Roman" w:hAnsi="Times New Roman" w:cs="Times New Roman"/>
          <w:bCs/>
          <w:lang w:val="es-ES_tradnl"/>
        </w:rPr>
        <w:t xml:space="preserve"> de sendos regímenes</w:t>
      </w:r>
      <w:r w:rsidRPr="00523A48">
        <w:rPr>
          <w:rFonts w:ascii="Times New Roman" w:hAnsi="Times New Roman" w:cs="Times New Roman"/>
          <w:bCs/>
          <w:lang w:val="es-ES_tradnl"/>
        </w:rPr>
        <w:t xml:space="preserve">. La sostenibilidad de ambos programas requiere de nuevas reformas para garantizar prestaciones suficientes a sus participantes. </w:t>
      </w:r>
      <w:r w:rsidR="00742342">
        <w:rPr>
          <w:rFonts w:ascii="Times New Roman" w:hAnsi="Times New Roman" w:cs="Times New Roman"/>
          <w:bCs/>
          <w:lang w:val="es-ES_tradnl"/>
        </w:rPr>
        <w:t xml:space="preserve">Por ello, se ha aprobado una contribución progresiva en términos de ingreso de jubilación a las pasividades mayores de cierto monto en el Poder Judicial que permiten reducir el déficit actuarial de su fondo (el mismo alcanzaba según las estimaciones de la Universidad de Costa Rica a 12% del PIB en el escenario medio sin reforma). </w:t>
      </w:r>
    </w:p>
    <w:p w14:paraId="7EAA4292" w14:textId="46FED8F2" w:rsidR="006D1AE2" w:rsidRPr="001C7AD8" w:rsidRDefault="00CE73F1" w:rsidP="001C7AD8">
      <w:pPr>
        <w:pStyle w:val="Heading1"/>
        <w:numPr>
          <w:ilvl w:val="0"/>
          <w:numId w:val="0"/>
        </w:numPr>
        <w:ind w:left="-360"/>
        <w:jc w:val="left"/>
        <w:rPr>
          <w:rFonts w:eastAsiaTheme="minorEastAsia" w:cs="Times New Roman"/>
          <w:bCs w:val="0"/>
          <w:i/>
          <w:smallCaps w:val="0"/>
          <w:color w:val="000000" w:themeColor="text1"/>
          <w:kern w:val="0"/>
          <w:sz w:val="22"/>
          <w:szCs w:val="24"/>
          <w:lang w:val="es-ES"/>
        </w:rPr>
      </w:pPr>
      <w:bookmarkStart w:id="39" w:name="_Toc518397892"/>
      <w:r w:rsidRPr="001C7AD8">
        <w:rPr>
          <w:rFonts w:eastAsiaTheme="minorEastAsia" w:cs="Times New Roman"/>
          <w:bCs w:val="0"/>
          <w:i/>
          <w:smallCaps w:val="0"/>
          <w:color w:val="000000" w:themeColor="text1"/>
          <w:kern w:val="0"/>
          <w:sz w:val="22"/>
          <w:szCs w:val="24"/>
          <w:lang w:val="es-ES"/>
        </w:rPr>
        <w:t>Amenaza fiscal</w:t>
      </w:r>
      <w:r w:rsidR="009D2B49" w:rsidRPr="001C7AD8">
        <w:rPr>
          <w:rFonts w:eastAsiaTheme="minorEastAsia" w:cs="Times New Roman"/>
          <w:bCs w:val="0"/>
          <w:i/>
          <w:smallCaps w:val="0"/>
          <w:color w:val="000000" w:themeColor="text1"/>
          <w:kern w:val="0"/>
          <w:sz w:val="22"/>
          <w:szCs w:val="24"/>
          <w:lang w:val="es-ES"/>
        </w:rPr>
        <w:t xml:space="preserve"> de mediano plazo ligado al </w:t>
      </w:r>
      <w:r w:rsidR="00C4123D" w:rsidRPr="001C7AD8">
        <w:rPr>
          <w:rFonts w:eastAsiaTheme="minorEastAsia" w:cs="Times New Roman"/>
          <w:bCs w:val="0"/>
          <w:i/>
          <w:smallCaps w:val="0"/>
          <w:color w:val="000000" w:themeColor="text1"/>
          <w:kern w:val="0"/>
          <w:sz w:val="22"/>
          <w:szCs w:val="24"/>
          <w:lang w:val="es-ES"/>
        </w:rPr>
        <w:t>financiero</w:t>
      </w:r>
      <w:r w:rsidR="00C23547" w:rsidRPr="001C7AD8">
        <w:rPr>
          <w:rFonts w:eastAsiaTheme="minorEastAsia" w:cs="Times New Roman"/>
          <w:bCs w:val="0"/>
          <w:i/>
          <w:smallCaps w:val="0"/>
          <w:color w:val="000000" w:themeColor="text1"/>
          <w:kern w:val="0"/>
          <w:sz w:val="22"/>
          <w:szCs w:val="24"/>
          <w:lang w:val="es-ES"/>
        </w:rPr>
        <w:t xml:space="preserve"> de </w:t>
      </w:r>
      <w:r w:rsidR="009D2B49" w:rsidRPr="001C7AD8">
        <w:rPr>
          <w:rFonts w:eastAsiaTheme="minorEastAsia" w:cs="Times New Roman"/>
          <w:bCs w:val="0"/>
          <w:i/>
          <w:smallCaps w:val="0"/>
          <w:color w:val="000000" w:themeColor="text1"/>
          <w:kern w:val="0"/>
          <w:sz w:val="22"/>
          <w:szCs w:val="24"/>
          <w:lang w:val="es-ES"/>
        </w:rPr>
        <w:t>c</w:t>
      </w:r>
      <w:r w:rsidR="00C23547" w:rsidRPr="001C7AD8">
        <w:rPr>
          <w:rFonts w:eastAsiaTheme="minorEastAsia" w:cs="Times New Roman"/>
          <w:bCs w:val="0"/>
          <w:i/>
          <w:smallCaps w:val="0"/>
          <w:color w:val="000000" w:themeColor="text1"/>
          <w:kern w:val="0"/>
          <w:sz w:val="22"/>
          <w:szCs w:val="24"/>
          <w:lang w:val="es-ES"/>
        </w:rPr>
        <w:t>orto</w:t>
      </w:r>
      <w:r w:rsidR="009D2B49" w:rsidRPr="001C7AD8">
        <w:rPr>
          <w:rFonts w:eastAsiaTheme="minorEastAsia" w:cs="Times New Roman"/>
          <w:bCs w:val="0"/>
          <w:i/>
          <w:smallCaps w:val="0"/>
          <w:color w:val="000000" w:themeColor="text1"/>
          <w:kern w:val="0"/>
          <w:sz w:val="22"/>
          <w:szCs w:val="24"/>
          <w:lang w:val="es-ES"/>
        </w:rPr>
        <w:t xml:space="preserve"> p</w:t>
      </w:r>
      <w:r w:rsidR="00C23547" w:rsidRPr="001C7AD8">
        <w:rPr>
          <w:rFonts w:eastAsiaTheme="minorEastAsia" w:cs="Times New Roman"/>
          <w:bCs w:val="0"/>
          <w:i/>
          <w:smallCaps w:val="0"/>
          <w:color w:val="000000" w:themeColor="text1"/>
          <w:kern w:val="0"/>
          <w:sz w:val="22"/>
          <w:szCs w:val="24"/>
          <w:lang w:val="es-ES"/>
        </w:rPr>
        <w:t>lazo</w:t>
      </w:r>
      <w:r w:rsidR="00D56389" w:rsidRPr="001C7AD8">
        <w:rPr>
          <w:rFonts w:eastAsiaTheme="minorEastAsia" w:cs="Times New Roman"/>
          <w:bCs w:val="0"/>
          <w:i/>
          <w:smallCaps w:val="0"/>
          <w:color w:val="000000" w:themeColor="text1"/>
          <w:kern w:val="0"/>
          <w:sz w:val="22"/>
          <w:szCs w:val="24"/>
          <w:lang w:val="es-ES"/>
        </w:rPr>
        <w:t xml:space="preserve"> </w:t>
      </w:r>
      <w:r w:rsidRPr="001C7AD8">
        <w:rPr>
          <w:rFonts w:eastAsiaTheme="minorEastAsia" w:cs="Times New Roman"/>
          <w:bCs w:val="0"/>
          <w:i/>
          <w:smallCaps w:val="0"/>
          <w:color w:val="000000" w:themeColor="text1"/>
          <w:kern w:val="0"/>
          <w:sz w:val="22"/>
          <w:szCs w:val="24"/>
          <w:lang w:val="es-ES"/>
        </w:rPr>
        <w:t xml:space="preserve">pero </w:t>
      </w:r>
      <w:r w:rsidR="00D56389" w:rsidRPr="001C7AD8">
        <w:rPr>
          <w:rFonts w:eastAsiaTheme="minorEastAsia" w:cs="Times New Roman"/>
          <w:bCs w:val="0"/>
          <w:i/>
          <w:smallCaps w:val="0"/>
          <w:color w:val="000000" w:themeColor="text1"/>
          <w:kern w:val="0"/>
          <w:sz w:val="22"/>
          <w:szCs w:val="24"/>
          <w:lang w:val="es-ES"/>
        </w:rPr>
        <w:t>el….</w:t>
      </w:r>
      <w:bookmarkEnd w:id="39"/>
    </w:p>
    <w:p w14:paraId="64C8C8CF" w14:textId="77777777" w:rsidR="001B10B6" w:rsidRDefault="001B10B6" w:rsidP="007C1B2C">
      <w:pPr>
        <w:spacing w:after="120" w:line="360" w:lineRule="auto"/>
        <w:jc w:val="both"/>
        <w:rPr>
          <w:rFonts w:ascii="Times New Roman" w:hAnsi="Times New Roman" w:cs="Times New Roman"/>
          <w:bCs/>
          <w:lang w:val="es-ES_tradnl"/>
        </w:rPr>
      </w:pPr>
      <w:r w:rsidRPr="00E87697">
        <w:rPr>
          <w:rFonts w:ascii="Times New Roman" w:hAnsi="Times New Roman" w:cs="Times New Roman"/>
          <w:b/>
          <w:bCs/>
          <w:lang w:val="es-ES_tradnl"/>
        </w:rPr>
        <w:t>Para lograr un crecimiento sostenible</w:t>
      </w:r>
      <w:r w:rsidR="00611627" w:rsidRPr="00E87697">
        <w:rPr>
          <w:rFonts w:ascii="Times New Roman" w:hAnsi="Times New Roman" w:cs="Times New Roman"/>
          <w:b/>
          <w:bCs/>
          <w:lang w:val="es-ES_tradnl"/>
        </w:rPr>
        <w:t>,</w:t>
      </w:r>
      <w:r w:rsidRPr="00E87697">
        <w:rPr>
          <w:rFonts w:ascii="Times New Roman" w:hAnsi="Times New Roman" w:cs="Times New Roman"/>
          <w:b/>
          <w:bCs/>
          <w:lang w:val="es-ES_tradnl"/>
        </w:rPr>
        <w:t xml:space="preserve"> inclusivo</w:t>
      </w:r>
      <w:r w:rsidR="00611627" w:rsidRPr="00E87697">
        <w:rPr>
          <w:rFonts w:ascii="Times New Roman" w:hAnsi="Times New Roman" w:cs="Times New Roman"/>
          <w:b/>
          <w:bCs/>
          <w:lang w:val="es-ES_tradnl"/>
        </w:rPr>
        <w:t xml:space="preserve"> y equitativo</w:t>
      </w:r>
      <w:r w:rsidRPr="00E87697">
        <w:rPr>
          <w:rFonts w:ascii="Times New Roman" w:hAnsi="Times New Roman" w:cs="Times New Roman"/>
          <w:b/>
          <w:bCs/>
          <w:lang w:val="es-ES_tradnl"/>
        </w:rPr>
        <w:t xml:space="preserve">, </w:t>
      </w:r>
      <w:r w:rsidR="00611627" w:rsidRPr="00E87697">
        <w:rPr>
          <w:rFonts w:ascii="Times New Roman" w:hAnsi="Times New Roman" w:cs="Times New Roman"/>
          <w:b/>
          <w:bCs/>
          <w:lang w:val="es-ES_tradnl"/>
        </w:rPr>
        <w:t>el país</w:t>
      </w:r>
      <w:r w:rsidRPr="00E87697">
        <w:rPr>
          <w:rFonts w:ascii="Times New Roman" w:hAnsi="Times New Roman" w:cs="Times New Roman"/>
          <w:b/>
          <w:bCs/>
          <w:lang w:val="es-ES_tradnl"/>
        </w:rPr>
        <w:t xml:space="preserve"> requiere </w:t>
      </w:r>
      <w:r w:rsidR="00611627" w:rsidRPr="00E87697">
        <w:rPr>
          <w:rFonts w:ascii="Times New Roman" w:hAnsi="Times New Roman" w:cs="Times New Roman"/>
          <w:b/>
          <w:bCs/>
          <w:lang w:val="es-ES_tradnl"/>
        </w:rPr>
        <w:t xml:space="preserve">recuperara la solvencia fiscal que asegure </w:t>
      </w:r>
      <w:r w:rsidR="00A049AE" w:rsidRPr="00E87697">
        <w:rPr>
          <w:rFonts w:ascii="Times New Roman" w:hAnsi="Times New Roman" w:cs="Times New Roman"/>
          <w:b/>
          <w:bCs/>
          <w:lang w:val="es-ES_tradnl"/>
        </w:rPr>
        <w:t>que el ahorro nacional financie</w:t>
      </w:r>
      <w:r w:rsidRPr="00E87697">
        <w:rPr>
          <w:rFonts w:ascii="Times New Roman" w:hAnsi="Times New Roman" w:cs="Times New Roman"/>
          <w:b/>
          <w:bCs/>
          <w:lang w:val="es-ES_tradnl"/>
        </w:rPr>
        <w:t xml:space="preserve"> una serie de inversiones, públicas y privadas</w:t>
      </w:r>
      <w:r w:rsidR="00A049AE">
        <w:rPr>
          <w:rFonts w:ascii="Times New Roman" w:hAnsi="Times New Roman" w:cs="Times New Roman"/>
          <w:bCs/>
          <w:lang w:val="es-ES_tradnl"/>
        </w:rPr>
        <w:t>,</w:t>
      </w:r>
      <w:r w:rsidR="001122B9">
        <w:rPr>
          <w:rFonts w:ascii="Times New Roman" w:hAnsi="Times New Roman" w:cs="Times New Roman"/>
          <w:bCs/>
          <w:lang w:val="es-ES_tradnl"/>
        </w:rPr>
        <w:t xml:space="preserve"> </w:t>
      </w:r>
      <w:r w:rsidR="00E87697">
        <w:rPr>
          <w:rFonts w:ascii="Times New Roman" w:hAnsi="Times New Roman" w:cs="Times New Roman"/>
          <w:bCs/>
          <w:lang w:val="es-ES_tradnl"/>
        </w:rPr>
        <w:t xml:space="preserve">sin poner </w:t>
      </w:r>
      <w:r w:rsidR="001122B9">
        <w:rPr>
          <w:rFonts w:ascii="Times New Roman" w:hAnsi="Times New Roman" w:cs="Times New Roman"/>
          <w:bCs/>
          <w:lang w:val="es-ES_tradnl"/>
        </w:rPr>
        <w:t xml:space="preserve">en riesgo el buen crecimiento </w:t>
      </w:r>
      <w:r w:rsidR="00A049AE">
        <w:rPr>
          <w:rFonts w:ascii="Times New Roman" w:hAnsi="Times New Roman" w:cs="Times New Roman"/>
          <w:bCs/>
          <w:lang w:val="es-ES_tradnl"/>
        </w:rPr>
        <w:t>en diversificación de actividades logrado en las últimas tres décadas</w:t>
      </w:r>
      <w:r w:rsidR="00611627">
        <w:rPr>
          <w:rFonts w:ascii="Times New Roman" w:hAnsi="Times New Roman" w:cs="Times New Roman"/>
          <w:bCs/>
          <w:lang w:val="es-ES_tradnl"/>
        </w:rPr>
        <w:t>. Por lo anterior, la condición necesaria es</w:t>
      </w:r>
      <w:r w:rsidRPr="001B10B6">
        <w:rPr>
          <w:rFonts w:ascii="Times New Roman" w:hAnsi="Times New Roman" w:cs="Times New Roman"/>
          <w:bCs/>
          <w:lang w:val="es-ES_tradnl"/>
        </w:rPr>
        <w:t xml:space="preserve"> reducir la brecha existente entre ingresos y gastos, así como mejorar la </w:t>
      </w:r>
      <w:r w:rsidR="00A049AE">
        <w:rPr>
          <w:rFonts w:ascii="Times New Roman" w:hAnsi="Times New Roman" w:cs="Times New Roman"/>
          <w:bCs/>
          <w:lang w:val="es-ES_tradnl"/>
        </w:rPr>
        <w:t xml:space="preserve">calidad de los tributos y la </w:t>
      </w:r>
      <w:r w:rsidRPr="001B10B6">
        <w:rPr>
          <w:rFonts w:ascii="Times New Roman" w:hAnsi="Times New Roman" w:cs="Times New Roman"/>
          <w:bCs/>
          <w:lang w:val="es-ES_tradnl"/>
        </w:rPr>
        <w:t xml:space="preserve">eficiencia del gasto </w:t>
      </w:r>
      <w:r w:rsidR="00DD209E" w:rsidRPr="001B10B6">
        <w:rPr>
          <w:rFonts w:ascii="Times New Roman" w:hAnsi="Times New Roman" w:cs="Times New Roman"/>
          <w:bCs/>
          <w:lang w:val="es-ES_tradnl"/>
        </w:rPr>
        <w:t>público</w:t>
      </w:r>
      <w:r w:rsidR="00A049AE">
        <w:rPr>
          <w:rFonts w:ascii="Times New Roman" w:hAnsi="Times New Roman" w:cs="Times New Roman"/>
          <w:bCs/>
          <w:lang w:val="es-ES_tradnl"/>
        </w:rPr>
        <w:t>. Sin embargo</w:t>
      </w:r>
      <w:r w:rsidR="00DD209E" w:rsidRPr="001B10B6">
        <w:rPr>
          <w:rFonts w:ascii="Times New Roman" w:hAnsi="Times New Roman" w:cs="Times New Roman"/>
          <w:bCs/>
          <w:lang w:val="es-ES_tradnl"/>
        </w:rPr>
        <w:t>,</w:t>
      </w:r>
      <w:r w:rsidR="00611627">
        <w:rPr>
          <w:rFonts w:ascii="Times New Roman" w:hAnsi="Times New Roman" w:cs="Times New Roman"/>
          <w:bCs/>
          <w:lang w:val="es-ES_tradnl"/>
        </w:rPr>
        <w:t xml:space="preserve"> </w:t>
      </w:r>
      <w:r w:rsidR="00A049AE">
        <w:rPr>
          <w:rFonts w:ascii="Times New Roman" w:hAnsi="Times New Roman" w:cs="Times New Roman"/>
          <w:bCs/>
          <w:lang w:val="es-ES_tradnl"/>
        </w:rPr>
        <w:t xml:space="preserve">esto </w:t>
      </w:r>
      <w:r w:rsidR="00611627">
        <w:rPr>
          <w:rFonts w:ascii="Times New Roman" w:hAnsi="Times New Roman" w:cs="Times New Roman"/>
          <w:bCs/>
          <w:lang w:val="es-ES_tradnl"/>
        </w:rPr>
        <w:t xml:space="preserve">no es suficiente ya que </w:t>
      </w:r>
      <w:r w:rsidR="00A049AE">
        <w:rPr>
          <w:rFonts w:ascii="Times New Roman" w:hAnsi="Times New Roman" w:cs="Times New Roman"/>
          <w:bCs/>
          <w:lang w:val="es-ES_tradnl"/>
        </w:rPr>
        <w:t>es imperioso</w:t>
      </w:r>
      <w:r w:rsidR="00611627">
        <w:rPr>
          <w:rFonts w:ascii="Times New Roman" w:hAnsi="Times New Roman" w:cs="Times New Roman"/>
          <w:bCs/>
          <w:lang w:val="es-ES_tradnl"/>
        </w:rPr>
        <w:t xml:space="preserve"> una </w:t>
      </w:r>
      <w:r w:rsidR="00A049AE">
        <w:rPr>
          <w:rFonts w:ascii="Times New Roman" w:hAnsi="Times New Roman" w:cs="Times New Roman"/>
          <w:bCs/>
          <w:lang w:val="es-ES_tradnl"/>
        </w:rPr>
        <w:t>actual</w:t>
      </w:r>
      <w:r w:rsidR="00611627">
        <w:rPr>
          <w:rFonts w:ascii="Times New Roman" w:hAnsi="Times New Roman" w:cs="Times New Roman"/>
          <w:bCs/>
          <w:lang w:val="es-ES_tradnl"/>
        </w:rPr>
        <w:t>ización de la institucionalidad fiscal de la Segunda República, que sin duda fue muy exitosa, que se adapta los desarrollos de contexto económico mundial</w:t>
      </w:r>
      <w:r w:rsidRPr="001B10B6">
        <w:rPr>
          <w:rFonts w:ascii="Times New Roman" w:hAnsi="Times New Roman" w:cs="Times New Roman"/>
          <w:bCs/>
          <w:lang w:val="es-ES_tradnl"/>
        </w:rPr>
        <w:t>.</w:t>
      </w:r>
    </w:p>
    <w:p w14:paraId="05CC8B17" w14:textId="77777777" w:rsidR="00D56389" w:rsidRDefault="006923F4" w:rsidP="007C1B2C">
      <w:pPr>
        <w:spacing w:after="120" w:line="360" w:lineRule="auto"/>
        <w:jc w:val="both"/>
        <w:rPr>
          <w:rFonts w:ascii="Times New Roman" w:hAnsi="Times New Roman" w:cs="Times New Roman"/>
          <w:bCs/>
          <w:lang w:val="es-ES_tradnl"/>
        </w:rPr>
      </w:pPr>
      <w:r w:rsidRPr="000650C0">
        <w:rPr>
          <w:rFonts w:ascii="Times New Roman" w:hAnsi="Times New Roman" w:cs="Times New Roman"/>
          <w:b/>
          <w:bCs/>
          <w:lang w:val="es-ES_tradnl"/>
        </w:rPr>
        <w:t xml:space="preserve">Ante la situación fiscal complicada, el Gobierno ha iniciado </w:t>
      </w:r>
      <w:r w:rsidR="004D2378" w:rsidRPr="000650C0">
        <w:rPr>
          <w:rFonts w:ascii="Times New Roman" w:hAnsi="Times New Roman" w:cs="Times New Roman"/>
          <w:b/>
          <w:bCs/>
          <w:lang w:val="es-ES_tradnl"/>
        </w:rPr>
        <w:t xml:space="preserve">un plan de control del gasto </w:t>
      </w:r>
      <w:r w:rsidR="003449F5" w:rsidRPr="000650C0">
        <w:rPr>
          <w:rFonts w:ascii="Times New Roman" w:hAnsi="Times New Roman" w:cs="Times New Roman"/>
          <w:b/>
          <w:bCs/>
          <w:lang w:val="es-ES_tradnl"/>
        </w:rPr>
        <w:t xml:space="preserve">para complementar </w:t>
      </w:r>
      <w:r w:rsidR="000650C0" w:rsidRPr="000650C0">
        <w:rPr>
          <w:rFonts w:ascii="Times New Roman" w:hAnsi="Times New Roman" w:cs="Times New Roman"/>
          <w:b/>
          <w:bCs/>
          <w:lang w:val="es-ES_tradnl"/>
        </w:rPr>
        <w:t>la discusión de la reforma fiscal.</w:t>
      </w:r>
      <w:r w:rsidR="000650C0">
        <w:rPr>
          <w:rFonts w:ascii="Times New Roman" w:hAnsi="Times New Roman" w:cs="Times New Roman"/>
          <w:b/>
          <w:bCs/>
          <w:lang w:val="es-ES_tradnl"/>
        </w:rPr>
        <w:t xml:space="preserve"> </w:t>
      </w:r>
      <w:r w:rsidR="009500D1" w:rsidRPr="009500D1">
        <w:rPr>
          <w:rFonts w:ascii="Times New Roman" w:hAnsi="Times New Roman" w:cs="Times New Roman"/>
          <w:bCs/>
          <w:lang w:val="es-ES_tradnl"/>
        </w:rPr>
        <w:t>Se ha</w:t>
      </w:r>
      <w:r w:rsidR="00FC65B7">
        <w:rPr>
          <w:rFonts w:ascii="Times New Roman" w:hAnsi="Times New Roman" w:cs="Times New Roman"/>
          <w:bCs/>
          <w:lang w:val="es-ES_tradnl"/>
        </w:rPr>
        <w:t>n</w:t>
      </w:r>
      <w:r w:rsidR="009500D1" w:rsidRPr="009500D1">
        <w:rPr>
          <w:rFonts w:ascii="Times New Roman" w:hAnsi="Times New Roman" w:cs="Times New Roman"/>
          <w:bCs/>
          <w:lang w:val="es-ES_tradnl"/>
        </w:rPr>
        <w:t xml:space="preserve"> tomado</w:t>
      </w:r>
      <w:r w:rsidR="009500D1">
        <w:rPr>
          <w:rFonts w:ascii="Times New Roman" w:hAnsi="Times New Roman" w:cs="Times New Roman"/>
          <w:b/>
          <w:bCs/>
          <w:lang w:val="es-ES_tradnl"/>
        </w:rPr>
        <w:t xml:space="preserve"> </w:t>
      </w:r>
      <w:r w:rsidR="004D2378" w:rsidRPr="004D2378">
        <w:rPr>
          <w:rFonts w:ascii="Times New Roman" w:hAnsi="Times New Roman" w:cs="Times New Roman"/>
          <w:bCs/>
          <w:lang w:val="es-ES_tradnl"/>
        </w:rPr>
        <w:t>medidas relevantes en servicio civil, en especial beneficios en remuneraciones y limitando las rentas afectadas. Esto se complementa con</w:t>
      </w:r>
      <w:r w:rsidR="000E351D">
        <w:rPr>
          <w:rFonts w:ascii="Times New Roman" w:hAnsi="Times New Roman" w:cs="Times New Roman"/>
          <w:bCs/>
          <w:lang w:val="es-ES_tradnl"/>
        </w:rPr>
        <w:t xml:space="preserve"> cambios: i)</w:t>
      </w:r>
      <w:r w:rsidR="004D2378" w:rsidRPr="004D2378">
        <w:rPr>
          <w:rFonts w:ascii="Times New Roman" w:hAnsi="Times New Roman" w:cs="Times New Roman"/>
          <w:bCs/>
          <w:lang w:val="es-ES_tradnl"/>
        </w:rPr>
        <w:t xml:space="preserve"> </w:t>
      </w:r>
      <w:r w:rsidR="000E351D">
        <w:rPr>
          <w:rFonts w:ascii="Times New Roman" w:hAnsi="Times New Roman" w:cs="Times New Roman"/>
          <w:bCs/>
          <w:lang w:val="es-ES_tradnl"/>
        </w:rPr>
        <w:t>al</w:t>
      </w:r>
      <w:r w:rsidR="004D2378" w:rsidRPr="004D2378">
        <w:rPr>
          <w:rFonts w:ascii="Times New Roman" w:hAnsi="Times New Roman" w:cs="Times New Roman"/>
          <w:bCs/>
          <w:lang w:val="es-ES_tradnl"/>
        </w:rPr>
        <w:t xml:space="preserve"> impuesto de venta</w:t>
      </w:r>
      <w:r w:rsidR="000E351D">
        <w:rPr>
          <w:rFonts w:ascii="Times New Roman" w:hAnsi="Times New Roman" w:cs="Times New Roman"/>
          <w:bCs/>
          <w:lang w:val="es-ES_tradnl"/>
        </w:rPr>
        <w:t>, sustituido</w:t>
      </w:r>
      <w:r w:rsidR="004D2378" w:rsidRPr="004D2378">
        <w:rPr>
          <w:rFonts w:ascii="Times New Roman" w:hAnsi="Times New Roman" w:cs="Times New Roman"/>
          <w:bCs/>
          <w:lang w:val="es-ES_tradnl"/>
        </w:rPr>
        <w:t xml:space="preserve"> por un IVA moderno</w:t>
      </w:r>
      <w:r w:rsidR="000E351D">
        <w:rPr>
          <w:rFonts w:ascii="Times New Roman" w:hAnsi="Times New Roman" w:cs="Times New Roman"/>
          <w:bCs/>
          <w:lang w:val="es-ES_tradnl"/>
        </w:rPr>
        <w:t xml:space="preserve">; ii) a la imposición a la renta (generalizando la tasa a </w:t>
      </w:r>
      <w:r w:rsidR="00424DB1">
        <w:rPr>
          <w:rFonts w:ascii="Times New Roman" w:hAnsi="Times New Roman" w:cs="Times New Roman"/>
          <w:bCs/>
          <w:lang w:val="es-ES_tradnl"/>
        </w:rPr>
        <w:t xml:space="preserve">todas </w:t>
      </w:r>
      <w:r w:rsidR="000E351D">
        <w:rPr>
          <w:rFonts w:ascii="Times New Roman" w:hAnsi="Times New Roman" w:cs="Times New Roman"/>
          <w:bCs/>
          <w:lang w:val="es-ES_tradnl"/>
        </w:rPr>
        <w:t>las rentas de capital y aumentando la progresividad del gravamen personal); iii) con</w:t>
      </w:r>
      <w:r w:rsidR="004D2378" w:rsidRPr="004D2378">
        <w:rPr>
          <w:rFonts w:ascii="Times New Roman" w:hAnsi="Times New Roman" w:cs="Times New Roman"/>
          <w:bCs/>
          <w:lang w:val="es-ES_tradnl"/>
        </w:rPr>
        <w:t xml:space="preserve"> una regla fiscal de segunda generación, que no solo controla el déficit a lo largo del ciclo económico sino también el gasto corriente para poder incrementar la inversión</w:t>
      </w:r>
      <w:r w:rsidR="000E351D">
        <w:rPr>
          <w:rFonts w:ascii="Times New Roman" w:hAnsi="Times New Roman" w:cs="Times New Roman"/>
          <w:bCs/>
          <w:lang w:val="es-ES_tradnl"/>
        </w:rPr>
        <w:t xml:space="preserve">; iv) medidas de gasto </w:t>
      </w:r>
      <w:r w:rsidR="00D56389">
        <w:rPr>
          <w:rFonts w:ascii="Times New Roman" w:hAnsi="Times New Roman" w:cs="Times New Roman"/>
          <w:bCs/>
          <w:lang w:val="es-ES_tradnl"/>
        </w:rPr>
        <w:t>público</w:t>
      </w:r>
      <w:r w:rsidR="000E351D">
        <w:rPr>
          <w:rFonts w:ascii="Times New Roman" w:hAnsi="Times New Roman" w:cs="Times New Roman"/>
          <w:bCs/>
          <w:lang w:val="es-ES_tradnl"/>
        </w:rPr>
        <w:t>, en especial, remuneraciones con medidas varias como la racionalización de beneficios (anualidades, cesantías, etc.); y v) compromisos de presentar proyectos de salario único y reingeniería del gasto (fusión y eliminación de entidades públicas redundantes).</w:t>
      </w:r>
      <w:r w:rsidR="00716004">
        <w:rPr>
          <w:rFonts w:ascii="Times New Roman" w:hAnsi="Times New Roman" w:cs="Times New Roman"/>
          <w:bCs/>
          <w:lang w:val="es-ES_tradnl"/>
        </w:rPr>
        <w:t xml:space="preserve"> </w:t>
      </w:r>
      <w:r w:rsidR="004D2378" w:rsidRPr="004D2378">
        <w:rPr>
          <w:rFonts w:ascii="Times New Roman" w:hAnsi="Times New Roman" w:cs="Times New Roman"/>
          <w:bCs/>
          <w:lang w:val="es-ES_tradnl"/>
        </w:rPr>
        <w:t xml:space="preserve">Esta promisoria reforma fiscal integral, </w:t>
      </w:r>
      <w:r w:rsidR="00961030">
        <w:rPr>
          <w:rFonts w:ascii="Times New Roman" w:hAnsi="Times New Roman" w:cs="Times New Roman"/>
          <w:bCs/>
          <w:lang w:val="es-ES_tradnl"/>
        </w:rPr>
        <w:t xml:space="preserve">podrá </w:t>
      </w:r>
      <w:r w:rsidR="004D2378" w:rsidRPr="004D2378">
        <w:rPr>
          <w:rFonts w:ascii="Times New Roman" w:hAnsi="Times New Roman" w:cs="Times New Roman"/>
          <w:bCs/>
          <w:lang w:val="es-ES_tradnl"/>
        </w:rPr>
        <w:t xml:space="preserve">estimarse </w:t>
      </w:r>
      <w:r w:rsidR="00961030">
        <w:rPr>
          <w:rFonts w:ascii="Times New Roman" w:hAnsi="Times New Roman" w:cs="Times New Roman"/>
          <w:bCs/>
          <w:lang w:val="es-ES_tradnl"/>
        </w:rPr>
        <w:t xml:space="preserve">cuando finalicen </w:t>
      </w:r>
      <w:r w:rsidR="004D2378" w:rsidRPr="004D2378">
        <w:rPr>
          <w:rFonts w:ascii="Times New Roman" w:hAnsi="Times New Roman" w:cs="Times New Roman"/>
          <w:bCs/>
          <w:lang w:val="es-ES_tradnl"/>
        </w:rPr>
        <w:t xml:space="preserve">los acuerdos </w:t>
      </w:r>
      <w:r w:rsidR="00961030">
        <w:rPr>
          <w:rFonts w:ascii="Times New Roman" w:hAnsi="Times New Roman" w:cs="Times New Roman"/>
          <w:bCs/>
          <w:lang w:val="es-ES_tradnl"/>
        </w:rPr>
        <w:t>de aprobación en la Asamblea. Esto</w:t>
      </w:r>
      <w:r w:rsidR="004D2378" w:rsidRPr="004D2378">
        <w:rPr>
          <w:rFonts w:ascii="Times New Roman" w:hAnsi="Times New Roman" w:cs="Times New Roman"/>
          <w:bCs/>
          <w:lang w:val="es-ES_tradnl"/>
        </w:rPr>
        <w:t xml:space="preserve"> sería un primer paso para </w:t>
      </w:r>
      <w:r w:rsidR="00AB0747">
        <w:rPr>
          <w:rFonts w:ascii="Times New Roman" w:hAnsi="Times New Roman" w:cs="Times New Roman"/>
          <w:bCs/>
          <w:lang w:val="es-ES_tradnl"/>
        </w:rPr>
        <w:t>mejorar</w:t>
      </w:r>
      <w:r w:rsidR="004D2378" w:rsidRPr="004D2378">
        <w:rPr>
          <w:rFonts w:ascii="Times New Roman" w:hAnsi="Times New Roman" w:cs="Times New Roman"/>
          <w:bCs/>
          <w:lang w:val="es-ES_tradnl"/>
        </w:rPr>
        <w:t xml:space="preserve"> el balance primario y con ello estabilidad de la deuda, dado el crecimiento potencial </w:t>
      </w:r>
      <w:r w:rsidR="00961030">
        <w:rPr>
          <w:rFonts w:ascii="Times New Roman" w:hAnsi="Times New Roman" w:cs="Times New Roman"/>
          <w:bCs/>
          <w:lang w:val="es-ES_tradnl"/>
        </w:rPr>
        <w:t xml:space="preserve">del PIB </w:t>
      </w:r>
      <w:r w:rsidR="004D2378" w:rsidRPr="004D2378">
        <w:rPr>
          <w:rFonts w:ascii="Times New Roman" w:hAnsi="Times New Roman" w:cs="Times New Roman"/>
          <w:bCs/>
          <w:lang w:val="es-ES_tradnl"/>
        </w:rPr>
        <w:t>costarricense (</w:t>
      </w:r>
      <w:r w:rsidR="000F3303">
        <w:rPr>
          <w:rFonts w:ascii="Times New Roman" w:hAnsi="Times New Roman" w:cs="Times New Roman"/>
          <w:bCs/>
          <w:lang w:val="es-ES_tradnl"/>
        </w:rPr>
        <w:t xml:space="preserve">calculado entre </w:t>
      </w:r>
      <w:r w:rsidR="004D2378" w:rsidRPr="004D2378">
        <w:rPr>
          <w:rFonts w:ascii="Times New Roman" w:hAnsi="Times New Roman" w:cs="Times New Roman"/>
          <w:bCs/>
          <w:lang w:val="es-ES_tradnl"/>
        </w:rPr>
        <w:t>3</w:t>
      </w:r>
      <w:r w:rsidR="000F3303">
        <w:rPr>
          <w:rFonts w:ascii="Times New Roman" w:hAnsi="Times New Roman" w:cs="Times New Roman"/>
          <w:bCs/>
          <w:lang w:val="es-ES_tradnl"/>
        </w:rPr>
        <w:t>,</w:t>
      </w:r>
      <w:r w:rsidR="004D2378" w:rsidRPr="004D2378">
        <w:rPr>
          <w:rFonts w:ascii="Times New Roman" w:hAnsi="Times New Roman" w:cs="Times New Roman"/>
          <w:bCs/>
          <w:lang w:val="es-ES_tradnl"/>
        </w:rPr>
        <w:t>5</w:t>
      </w:r>
      <w:r w:rsidR="000F3303">
        <w:rPr>
          <w:rFonts w:ascii="Times New Roman" w:hAnsi="Times New Roman" w:cs="Times New Roman"/>
          <w:bCs/>
          <w:lang w:val="es-ES_tradnl"/>
        </w:rPr>
        <w:t>%</w:t>
      </w:r>
      <w:r w:rsidR="000E351D">
        <w:rPr>
          <w:rFonts w:ascii="Times New Roman" w:hAnsi="Times New Roman" w:cs="Times New Roman"/>
          <w:bCs/>
          <w:lang w:val="es-ES_tradnl"/>
        </w:rPr>
        <w:t>-4</w:t>
      </w:r>
      <w:r w:rsidR="004D2378" w:rsidRPr="004D2378">
        <w:rPr>
          <w:rFonts w:ascii="Times New Roman" w:hAnsi="Times New Roman" w:cs="Times New Roman"/>
          <w:bCs/>
          <w:lang w:val="es-ES_tradnl"/>
        </w:rPr>
        <w:t xml:space="preserve">%). </w:t>
      </w:r>
    </w:p>
    <w:p w14:paraId="13009553" w14:textId="77777777" w:rsidR="004D2378" w:rsidRDefault="00D56389" w:rsidP="007C1B2C">
      <w:pPr>
        <w:spacing w:after="120" w:line="360" w:lineRule="auto"/>
        <w:jc w:val="both"/>
        <w:rPr>
          <w:rFonts w:ascii="Times New Roman" w:hAnsi="Times New Roman" w:cs="Times New Roman"/>
          <w:bCs/>
          <w:lang w:val="es-ES_tradnl"/>
        </w:rPr>
      </w:pPr>
      <w:r w:rsidRPr="00716004">
        <w:rPr>
          <w:rFonts w:ascii="Times New Roman" w:hAnsi="Times New Roman" w:cs="Times New Roman"/>
          <w:b/>
          <w:bCs/>
          <w:lang w:val="es-ES_tradnl"/>
        </w:rPr>
        <w:t>Dado que e</w:t>
      </w:r>
      <w:r w:rsidR="00961030" w:rsidRPr="00716004">
        <w:rPr>
          <w:rFonts w:ascii="Times New Roman" w:hAnsi="Times New Roman" w:cs="Times New Roman"/>
          <w:b/>
          <w:bCs/>
          <w:lang w:val="es-ES_tradnl"/>
        </w:rPr>
        <w:t>s probable que el ajuste no sea suficiente en esta primera etapa si será una modernización fiscal</w:t>
      </w:r>
      <w:r w:rsidRPr="00716004">
        <w:rPr>
          <w:rFonts w:ascii="Times New Roman" w:hAnsi="Times New Roman" w:cs="Times New Roman"/>
          <w:b/>
          <w:bCs/>
          <w:lang w:val="es-ES_tradnl"/>
        </w:rPr>
        <w:t xml:space="preserve"> que inicia un proceso de ajuste y sienta las bases para cambios que permitan alcanzar el ajuste </w:t>
      </w:r>
      <w:r w:rsidRPr="005844B6">
        <w:rPr>
          <w:rFonts w:ascii="Times New Roman" w:hAnsi="Times New Roman" w:cs="Times New Roman"/>
          <w:b/>
          <w:bCs/>
          <w:lang w:val="es-ES_tradnl"/>
        </w:rPr>
        <w:t>necesario</w:t>
      </w:r>
      <w:r w:rsidRPr="005844B6">
        <w:rPr>
          <w:rFonts w:ascii="Times New Roman" w:hAnsi="Times New Roman" w:cs="Times New Roman"/>
          <w:bCs/>
          <w:lang w:val="es-ES_tradnl"/>
        </w:rPr>
        <w:t>.</w:t>
      </w:r>
      <w:r w:rsidR="00961030" w:rsidRPr="005844B6">
        <w:rPr>
          <w:rStyle w:val="FootnoteReference"/>
          <w:rFonts w:ascii="Times New Roman" w:hAnsi="Times New Roman" w:cs="Times New Roman"/>
          <w:bCs/>
          <w:lang w:val="es-ES_tradnl"/>
        </w:rPr>
        <w:footnoteReference w:id="105"/>
      </w:r>
      <w:r w:rsidRPr="005844B6">
        <w:rPr>
          <w:rFonts w:ascii="Times New Roman" w:hAnsi="Times New Roman" w:cs="Times New Roman"/>
          <w:bCs/>
          <w:lang w:val="es-ES_tradnl"/>
        </w:rPr>
        <w:t xml:space="preserve"> </w:t>
      </w:r>
      <w:r w:rsidR="00961030" w:rsidRPr="005844B6">
        <w:rPr>
          <w:rFonts w:ascii="Times New Roman" w:hAnsi="Times New Roman" w:cs="Times New Roman"/>
          <w:bCs/>
          <w:lang w:val="es-ES_tradnl"/>
        </w:rPr>
        <w:t>Más aún</w:t>
      </w:r>
      <w:r w:rsidR="00961030" w:rsidRPr="004D2378">
        <w:rPr>
          <w:rFonts w:ascii="Times New Roman" w:hAnsi="Times New Roman" w:cs="Times New Roman"/>
          <w:bCs/>
          <w:lang w:val="es-ES_tradnl"/>
        </w:rPr>
        <w:t>, de ser necesario, existe espacio tributario ya que la presión fiscal (equivalente) de Costa Rica es levemente inferior al promedio de ALC, pero casi un 25% inferior al de los países de ingreso similar (medio alto). La diferencia radica en que la carga impositiva (14</w:t>
      </w:r>
      <w:r w:rsidR="00BE542E">
        <w:rPr>
          <w:rFonts w:ascii="Times New Roman" w:hAnsi="Times New Roman" w:cs="Times New Roman"/>
          <w:bCs/>
          <w:lang w:val="es-ES_tradnl"/>
        </w:rPr>
        <w:t>,</w:t>
      </w:r>
      <w:r w:rsidR="00961030" w:rsidRPr="004D2378">
        <w:rPr>
          <w:rFonts w:ascii="Times New Roman" w:hAnsi="Times New Roman" w:cs="Times New Roman"/>
          <w:bCs/>
          <w:lang w:val="es-ES_tradnl"/>
        </w:rPr>
        <w:t xml:space="preserve">2%) es un 10% menor que el promedio regional y 30% inferior a sus pares de renta, debido a la menor recaudación en IVA y renta personal. </w:t>
      </w:r>
      <w:r w:rsidR="00961030">
        <w:rPr>
          <w:rFonts w:ascii="Times New Roman" w:hAnsi="Times New Roman" w:cs="Times New Roman"/>
          <w:bCs/>
          <w:lang w:val="es-ES_tradnl"/>
        </w:rPr>
        <w:t xml:space="preserve">En forma similar, la regla fiscal que </w:t>
      </w:r>
      <w:r w:rsidR="00DB480A">
        <w:rPr>
          <w:rFonts w:ascii="Times New Roman" w:hAnsi="Times New Roman" w:cs="Times New Roman"/>
          <w:bCs/>
          <w:lang w:val="es-ES_tradnl"/>
        </w:rPr>
        <w:t xml:space="preserve">se propone que será de pleno valor cuando el país llegue a déficits cercanos al crecimiento potencial será un instrumento </w:t>
      </w:r>
      <w:r w:rsidR="00424DB1">
        <w:rPr>
          <w:rFonts w:ascii="Times New Roman" w:hAnsi="Times New Roman" w:cs="Times New Roman"/>
          <w:bCs/>
          <w:lang w:val="es-ES_tradnl"/>
        </w:rPr>
        <w:t>clave,</w:t>
      </w:r>
      <w:r w:rsidR="00DB480A">
        <w:rPr>
          <w:rFonts w:ascii="Times New Roman" w:hAnsi="Times New Roman" w:cs="Times New Roman"/>
          <w:bCs/>
          <w:lang w:val="es-ES_tradnl"/>
        </w:rPr>
        <w:t xml:space="preserve"> así como la implementación del salario único y la reingeniería del gasto (duplicidades y racionalización institucional). Estas medidas en conjunto con la serie de correcciones al gasto corriente y a los incentivos salariales podrán evitar ajustes futuros generales más duros y conflictivos que afecten el empleo y las </w:t>
      </w:r>
      <w:r w:rsidR="00F569C0">
        <w:rPr>
          <w:rFonts w:ascii="Times New Roman" w:hAnsi="Times New Roman" w:cs="Times New Roman"/>
          <w:bCs/>
          <w:lang w:val="es-ES_tradnl"/>
        </w:rPr>
        <w:t>remuneraciones al</w:t>
      </w:r>
      <w:r w:rsidR="00DB480A">
        <w:rPr>
          <w:rFonts w:ascii="Times New Roman" w:hAnsi="Times New Roman" w:cs="Times New Roman"/>
          <w:bCs/>
          <w:lang w:val="es-ES_tradnl"/>
        </w:rPr>
        <w:t xml:space="preserve"> igual que el aumento en los ingresos (tasas de tributos).</w:t>
      </w:r>
      <w:r w:rsidR="00F569C0">
        <w:rPr>
          <w:rFonts w:ascii="Times New Roman" w:hAnsi="Times New Roman" w:cs="Times New Roman"/>
          <w:bCs/>
          <w:lang w:val="es-ES_tradnl"/>
        </w:rPr>
        <w:t xml:space="preserve"> </w:t>
      </w:r>
      <w:r w:rsidR="004D2378" w:rsidRPr="004D2378">
        <w:rPr>
          <w:rFonts w:ascii="Times New Roman" w:hAnsi="Times New Roman" w:cs="Times New Roman"/>
          <w:bCs/>
          <w:lang w:val="es-ES_tradnl"/>
        </w:rPr>
        <w:t xml:space="preserve">Finalmente, pero no menos relevante, Costa Rica necesita una modernización de calado de su institucionalidad fiscal, complementando de las medidas descritas. </w:t>
      </w:r>
    </w:p>
    <w:p w14:paraId="186D4BD3" w14:textId="77777777" w:rsidR="000C6D97" w:rsidRPr="001C7AD8" w:rsidRDefault="00D56389" w:rsidP="001C7AD8">
      <w:pPr>
        <w:pStyle w:val="Heading1"/>
        <w:numPr>
          <w:ilvl w:val="0"/>
          <w:numId w:val="0"/>
        </w:numPr>
        <w:ind w:left="-360"/>
        <w:jc w:val="left"/>
        <w:rPr>
          <w:rFonts w:eastAsiaTheme="minorEastAsia" w:cs="Times New Roman"/>
          <w:bCs w:val="0"/>
          <w:i/>
          <w:smallCaps w:val="0"/>
          <w:color w:val="000000" w:themeColor="text1"/>
          <w:kern w:val="0"/>
          <w:sz w:val="22"/>
          <w:szCs w:val="24"/>
          <w:lang w:val="es-ES"/>
        </w:rPr>
      </w:pPr>
      <w:bookmarkStart w:id="40" w:name="_Toc518397893"/>
      <w:r w:rsidRPr="001C7AD8">
        <w:rPr>
          <w:rFonts w:eastAsiaTheme="minorEastAsia" w:cs="Times New Roman"/>
          <w:bCs w:val="0"/>
          <w:i/>
          <w:smallCaps w:val="0"/>
          <w:color w:val="000000" w:themeColor="text1"/>
          <w:kern w:val="0"/>
          <w:sz w:val="22"/>
          <w:szCs w:val="24"/>
          <w:lang w:val="es-ES"/>
        </w:rPr>
        <w:t>…</w:t>
      </w:r>
      <w:r w:rsidR="00281323" w:rsidRPr="001C7AD8">
        <w:rPr>
          <w:rFonts w:eastAsiaTheme="minorEastAsia" w:cs="Times New Roman"/>
          <w:bCs w:val="0"/>
          <w:i/>
          <w:smallCaps w:val="0"/>
          <w:color w:val="000000" w:themeColor="text1"/>
          <w:kern w:val="0"/>
          <w:sz w:val="22"/>
          <w:szCs w:val="24"/>
          <w:lang w:val="es-ES"/>
        </w:rPr>
        <w:t>r</w:t>
      </w:r>
      <w:r w:rsidR="000C6D97" w:rsidRPr="001C7AD8">
        <w:rPr>
          <w:rFonts w:eastAsiaTheme="minorEastAsia" w:cs="Times New Roman"/>
          <w:bCs w:val="0"/>
          <w:i/>
          <w:smallCaps w:val="0"/>
          <w:color w:val="000000" w:themeColor="text1"/>
          <w:kern w:val="0"/>
          <w:sz w:val="22"/>
          <w:szCs w:val="24"/>
          <w:lang w:val="es-ES"/>
        </w:rPr>
        <w:t xml:space="preserve">eto </w:t>
      </w:r>
      <w:r w:rsidR="00CE73F1" w:rsidRPr="001C7AD8">
        <w:rPr>
          <w:rFonts w:eastAsiaTheme="minorEastAsia" w:cs="Times New Roman"/>
          <w:bCs w:val="0"/>
          <w:i/>
          <w:smallCaps w:val="0"/>
          <w:color w:val="000000" w:themeColor="text1"/>
          <w:kern w:val="0"/>
          <w:sz w:val="22"/>
          <w:szCs w:val="24"/>
          <w:lang w:val="es-ES"/>
        </w:rPr>
        <w:t xml:space="preserve">mayor es la </w:t>
      </w:r>
      <w:r w:rsidR="000C6D97" w:rsidRPr="001C7AD8">
        <w:rPr>
          <w:rFonts w:eastAsiaTheme="minorEastAsia" w:cs="Times New Roman"/>
          <w:bCs w:val="0"/>
          <w:i/>
          <w:smallCaps w:val="0"/>
          <w:color w:val="000000" w:themeColor="text1"/>
          <w:kern w:val="0"/>
          <w:sz w:val="22"/>
          <w:szCs w:val="24"/>
          <w:lang w:val="es-ES"/>
        </w:rPr>
        <w:t>institucional</w:t>
      </w:r>
      <w:r w:rsidR="00CE73F1" w:rsidRPr="001C7AD8">
        <w:rPr>
          <w:rFonts w:eastAsiaTheme="minorEastAsia" w:cs="Times New Roman"/>
          <w:bCs w:val="0"/>
          <w:i/>
          <w:smallCaps w:val="0"/>
          <w:color w:val="000000" w:themeColor="text1"/>
          <w:kern w:val="0"/>
          <w:sz w:val="22"/>
          <w:szCs w:val="24"/>
          <w:lang w:val="es-ES"/>
        </w:rPr>
        <w:t xml:space="preserve">idad fiscal en el </w:t>
      </w:r>
      <w:r w:rsidR="000C6D97" w:rsidRPr="001C7AD8">
        <w:rPr>
          <w:rFonts w:eastAsiaTheme="minorEastAsia" w:cs="Times New Roman"/>
          <w:bCs w:val="0"/>
          <w:i/>
          <w:smallCaps w:val="0"/>
          <w:color w:val="000000" w:themeColor="text1"/>
          <w:kern w:val="0"/>
          <w:sz w:val="22"/>
          <w:szCs w:val="24"/>
          <w:lang w:val="es-ES"/>
        </w:rPr>
        <w:t>largo plazo</w:t>
      </w:r>
      <w:r w:rsidR="00946E4D" w:rsidRPr="001C7AD8">
        <w:rPr>
          <w:rFonts w:eastAsiaTheme="minorEastAsia" w:cs="Times New Roman"/>
          <w:i/>
          <w:smallCaps w:val="0"/>
          <w:color w:val="000000" w:themeColor="text1"/>
          <w:kern w:val="0"/>
          <w:sz w:val="22"/>
          <w:szCs w:val="24"/>
          <w:vertAlign w:val="superscript"/>
          <w:lang w:val="es-ES"/>
        </w:rPr>
        <w:footnoteReference w:id="106"/>
      </w:r>
      <w:bookmarkEnd w:id="40"/>
    </w:p>
    <w:p w14:paraId="340299BF" w14:textId="77777777" w:rsidR="00A67D56" w:rsidRDefault="00424B3A" w:rsidP="00E5200B">
      <w:pPr>
        <w:spacing w:after="120" w:line="360" w:lineRule="auto"/>
        <w:jc w:val="both"/>
        <w:rPr>
          <w:rFonts w:ascii="Times New Roman" w:hAnsi="Times New Roman" w:cs="Times New Roman"/>
          <w:bCs/>
          <w:lang w:val="es-ES_tradnl"/>
        </w:rPr>
      </w:pPr>
      <w:r w:rsidRPr="00C91034">
        <w:rPr>
          <w:rFonts w:ascii="Times New Roman" w:hAnsi="Times New Roman" w:cs="Times New Roman"/>
          <w:b/>
          <w:bCs/>
          <w:lang w:val="es-ES_tradnl"/>
        </w:rPr>
        <w:t>La segunda rep</w:t>
      </w:r>
      <w:r w:rsidR="009D07E9" w:rsidRPr="00C91034">
        <w:rPr>
          <w:rFonts w:ascii="Times New Roman" w:hAnsi="Times New Roman" w:cs="Times New Roman"/>
          <w:b/>
          <w:bCs/>
          <w:lang w:val="es-ES_tradnl"/>
        </w:rPr>
        <w:t>ú</w:t>
      </w:r>
      <w:r w:rsidRPr="00C91034">
        <w:rPr>
          <w:rFonts w:ascii="Times New Roman" w:hAnsi="Times New Roman" w:cs="Times New Roman"/>
          <w:b/>
          <w:bCs/>
          <w:lang w:val="es-ES_tradnl"/>
        </w:rPr>
        <w:t xml:space="preserve">blica tuvo una serie de instrumentos institucionales tan exitosos como </w:t>
      </w:r>
      <w:r w:rsidR="009D07E9" w:rsidRPr="00C91034">
        <w:rPr>
          <w:rFonts w:ascii="Times New Roman" w:hAnsi="Times New Roman" w:cs="Times New Roman"/>
          <w:b/>
          <w:bCs/>
          <w:lang w:val="es-ES_tradnl"/>
        </w:rPr>
        <w:t>peculiares,</w:t>
      </w:r>
      <w:r w:rsidRPr="00C91034">
        <w:rPr>
          <w:rFonts w:ascii="Times New Roman" w:hAnsi="Times New Roman" w:cs="Times New Roman"/>
          <w:b/>
          <w:bCs/>
          <w:lang w:val="es-ES_tradnl"/>
        </w:rPr>
        <w:t xml:space="preserve"> pero hoy necesitan un </w:t>
      </w:r>
      <w:r w:rsidRPr="00C91034">
        <w:rPr>
          <w:rFonts w:ascii="Times New Roman" w:hAnsi="Times New Roman" w:cs="Times New Roman"/>
          <w:b/>
          <w:bCs/>
          <w:i/>
          <w:lang w:val="es-ES_tradnl"/>
        </w:rPr>
        <w:t>aggiornamento</w:t>
      </w:r>
      <w:r w:rsidRPr="00C91034">
        <w:rPr>
          <w:rFonts w:ascii="Times New Roman" w:hAnsi="Times New Roman" w:cs="Times New Roman"/>
          <w:b/>
          <w:bCs/>
          <w:lang w:val="es-ES_tradnl"/>
        </w:rPr>
        <w:t>.</w:t>
      </w:r>
      <w:r>
        <w:rPr>
          <w:rFonts w:ascii="Times New Roman" w:hAnsi="Times New Roman" w:cs="Times New Roman"/>
          <w:bCs/>
          <w:lang w:val="es-ES_tradnl"/>
        </w:rPr>
        <w:t xml:space="preserve"> </w:t>
      </w:r>
      <w:r w:rsidR="00D831F8">
        <w:rPr>
          <w:rFonts w:ascii="Times New Roman" w:hAnsi="Times New Roman" w:cs="Times New Roman"/>
          <w:bCs/>
          <w:lang w:val="es-ES_tradnl"/>
        </w:rPr>
        <w:t>Se describen a continuación algunos de esos puntos que son relevantes examinar.</w:t>
      </w:r>
      <w:r w:rsidR="00C91034">
        <w:rPr>
          <w:rFonts w:ascii="Times New Roman" w:hAnsi="Times New Roman" w:cs="Times New Roman"/>
          <w:bCs/>
          <w:lang w:val="es-ES_tradnl"/>
        </w:rPr>
        <w:t xml:space="preserve"> </w:t>
      </w:r>
      <w:r w:rsidR="00A67D56">
        <w:rPr>
          <w:rFonts w:ascii="Times New Roman" w:hAnsi="Times New Roman" w:cs="Times New Roman"/>
          <w:bCs/>
          <w:lang w:val="es-ES_tradnl"/>
        </w:rPr>
        <w:t>P</w:t>
      </w:r>
      <w:r w:rsidR="00A67D56" w:rsidRPr="00E5200B">
        <w:rPr>
          <w:rFonts w:ascii="Times New Roman" w:hAnsi="Times New Roman" w:cs="Times New Roman"/>
          <w:bCs/>
          <w:lang w:val="es-ES_tradnl"/>
        </w:rPr>
        <w:t xml:space="preserve">odría afirmarse que los padres refundadores de la </w:t>
      </w:r>
      <w:r w:rsidR="00D831F8">
        <w:rPr>
          <w:rFonts w:ascii="Times New Roman" w:hAnsi="Times New Roman" w:cs="Times New Roman"/>
          <w:bCs/>
          <w:lang w:val="es-ES_tradnl"/>
        </w:rPr>
        <w:t>Segunda R</w:t>
      </w:r>
      <w:r w:rsidR="00A67D56" w:rsidRPr="00E5200B">
        <w:rPr>
          <w:rFonts w:ascii="Times New Roman" w:hAnsi="Times New Roman" w:cs="Times New Roman"/>
          <w:bCs/>
          <w:lang w:val="es-ES_tradnl"/>
        </w:rPr>
        <w:t>ep</w:t>
      </w:r>
      <w:r w:rsidR="00D831F8">
        <w:rPr>
          <w:rFonts w:ascii="Times New Roman" w:hAnsi="Times New Roman" w:cs="Times New Roman"/>
          <w:bCs/>
          <w:lang w:val="es-ES_tradnl"/>
        </w:rPr>
        <w:t>ú</w:t>
      </w:r>
      <w:r w:rsidR="00A67D56" w:rsidRPr="00E5200B">
        <w:rPr>
          <w:rFonts w:ascii="Times New Roman" w:hAnsi="Times New Roman" w:cs="Times New Roman"/>
          <w:bCs/>
          <w:lang w:val="es-ES_tradnl"/>
        </w:rPr>
        <w:t>blica de mediados del siglo pasado comprendi</w:t>
      </w:r>
      <w:r w:rsidR="00A67D56">
        <w:rPr>
          <w:rFonts w:ascii="Times New Roman" w:hAnsi="Times New Roman" w:cs="Times New Roman"/>
          <w:bCs/>
          <w:lang w:val="es-ES_tradnl"/>
        </w:rPr>
        <w:t>eron</w:t>
      </w:r>
      <w:r w:rsidR="00A67D56" w:rsidRPr="00E5200B">
        <w:rPr>
          <w:rFonts w:ascii="Times New Roman" w:hAnsi="Times New Roman" w:cs="Times New Roman"/>
          <w:bCs/>
          <w:lang w:val="es-ES_tradnl"/>
        </w:rPr>
        <w:t xml:space="preserve"> que ciertas funciones del Estado eran fundamentales para el desarrollo y se le debía dotar recursos mediante las rentas afectadas que lo hacen políticamente aceptables por los fines sociales perseguidos. Esa era </w:t>
      </w:r>
      <w:r w:rsidR="0086240E">
        <w:rPr>
          <w:rFonts w:ascii="Times New Roman" w:hAnsi="Times New Roman" w:cs="Times New Roman"/>
          <w:bCs/>
          <w:lang w:val="es-ES_tradnl"/>
        </w:rPr>
        <w:t xml:space="preserve">una adaptación (vernácula) de la buena </w:t>
      </w:r>
      <w:r w:rsidR="00A67D56" w:rsidRPr="00E5200B">
        <w:rPr>
          <w:rFonts w:ascii="Times New Roman" w:hAnsi="Times New Roman" w:cs="Times New Roman"/>
          <w:bCs/>
          <w:lang w:val="es-ES_tradnl"/>
        </w:rPr>
        <w:t>experiencia internacional de la época. Pero también se percataron que no debían crear centros de poder y dividieron la gestión. Así como se eliminó el ejército y se crearon 7 entidades de policías que poco se coordinaban para evitar una posible tiranía pero que fuera suficiente para mantener el orden, optaron con sabiduría por dividir el poder (económico)</w:t>
      </w:r>
      <w:r w:rsidR="00B14B64">
        <w:rPr>
          <w:rFonts w:ascii="Times New Roman" w:hAnsi="Times New Roman" w:cs="Times New Roman"/>
          <w:bCs/>
          <w:lang w:val="es-ES_tradnl"/>
        </w:rPr>
        <w:t xml:space="preserve"> fiscal</w:t>
      </w:r>
      <w:r w:rsidR="00A67D56">
        <w:rPr>
          <w:rFonts w:ascii="Times New Roman" w:hAnsi="Times New Roman" w:cs="Times New Roman"/>
          <w:bCs/>
          <w:lang w:val="es-ES_tradnl"/>
        </w:rPr>
        <w:t>, “</w:t>
      </w:r>
      <w:r w:rsidR="00A67D56" w:rsidRPr="00E5200B">
        <w:rPr>
          <w:rFonts w:ascii="Times New Roman" w:hAnsi="Times New Roman" w:cs="Times New Roman"/>
          <w:bCs/>
          <w:lang w:val="es-ES_tradnl"/>
        </w:rPr>
        <w:t>de</w:t>
      </w:r>
      <w:r w:rsidR="00A67D56">
        <w:rPr>
          <w:rFonts w:ascii="Times New Roman" w:hAnsi="Times New Roman" w:cs="Times New Roman"/>
          <w:bCs/>
          <w:lang w:val="es-ES_tradnl"/>
        </w:rPr>
        <w:t>s</w:t>
      </w:r>
      <w:r w:rsidR="00A67D56" w:rsidRPr="00E5200B">
        <w:rPr>
          <w:rFonts w:ascii="Times New Roman" w:hAnsi="Times New Roman" w:cs="Times New Roman"/>
          <w:bCs/>
          <w:lang w:val="es-ES_tradnl"/>
        </w:rPr>
        <w:t>concentrar</w:t>
      </w:r>
      <w:r w:rsidR="00A67D56">
        <w:rPr>
          <w:rFonts w:ascii="Times New Roman" w:hAnsi="Times New Roman" w:cs="Times New Roman"/>
          <w:bCs/>
          <w:lang w:val="es-ES_tradnl"/>
        </w:rPr>
        <w:t>”</w:t>
      </w:r>
      <w:r w:rsidR="00A67D56" w:rsidRPr="00E5200B">
        <w:rPr>
          <w:rFonts w:ascii="Times New Roman" w:hAnsi="Times New Roman" w:cs="Times New Roman"/>
          <w:bCs/>
          <w:lang w:val="es-ES_tradnl"/>
        </w:rPr>
        <w:t xml:space="preserve"> el </w:t>
      </w:r>
      <w:r w:rsidR="00B14B64">
        <w:rPr>
          <w:rFonts w:ascii="Times New Roman" w:hAnsi="Times New Roman" w:cs="Times New Roman"/>
          <w:bCs/>
          <w:lang w:val="es-ES_tradnl"/>
        </w:rPr>
        <w:t xml:space="preserve">poder de imperio hacendario y el </w:t>
      </w:r>
      <w:r w:rsidR="00A67D56" w:rsidRPr="00E5200B">
        <w:rPr>
          <w:rFonts w:ascii="Times New Roman" w:hAnsi="Times New Roman" w:cs="Times New Roman"/>
          <w:bCs/>
          <w:lang w:val="es-ES_tradnl"/>
        </w:rPr>
        <w:t>gasto</w:t>
      </w:r>
      <w:r w:rsidR="00B14B64">
        <w:rPr>
          <w:rFonts w:ascii="Times New Roman" w:hAnsi="Times New Roman" w:cs="Times New Roman"/>
          <w:bCs/>
          <w:lang w:val="es-ES_tradnl"/>
        </w:rPr>
        <w:t xml:space="preserve"> público</w:t>
      </w:r>
      <w:r w:rsidR="00A67D56" w:rsidRPr="00E5200B">
        <w:rPr>
          <w:rFonts w:ascii="Times New Roman" w:hAnsi="Times New Roman" w:cs="Times New Roman"/>
          <w:bCs/>
          <w:lang w:val="es-ES_tradnl"/>
        </w:rPr>
        <w:t xml:space="preserve"> para confinar un posible populismo. Sin embargo, hoy la situación es otra, y se hace necesario una coordinación del </w:t>
      </w:r>
      <w:r w:rsidR="00B14B64">
        <w:rPr>
          <w:rFonts w:ascii="Times New Roman" w:hAnsi="Times New Roman" w:cs="Times New Roman"/>
          <w:bCs/>
          <w:lang w:val="es-ES_tradnl"/>
        </w:rPr>
        <w:t xml:space="preserve">impuesto y el </w:t>
      </w:r>
      <w:r w:rsidR="00A67D56" w:rsidRPr="00E5200B">
        <w:rPr>
          <w:rFonts w:ascii="Times New Roman" w:hAnsi="Times New Roman" w:cs="Times New Roman"/>
          <w:bCs/>
          <w:lang w:val="es-ES_tradnl"/>
        </w:rPr>
        <w:t>gasto en su conjunto para dirigir</w:t>
      </w:r>
      <w:r w:rsidR="00A67D56">
        <w:rPr>
          <w:rFonts w:ascii="Times New Roman" w:hAnsi="Times New Roman" w:cs="Times New Roman"/>
          <w:bCs/>
          <w:lang w:val="es-ES_tradnl"/>
        </w:rPr>
        <w:t xml:space="preserve"> </w:t>
      </w:r>
      <w:r w:rsidR="00A67D56" w:rsidRPr="00E5200B">
        <w:rPr>
          <w:rFonts w:ascii="Times New Roman" w:hAnsi="Times New Roman" w:cs="Times New Roman"/>
          <w:bCs/>
          <w:lang w:val="es-ES_tradnl"/>
        </w:rPr>
        <w:t>eficientemente la economía en un mundo cambiante, pero aplicando otras formas de control de austeridad como la regla fiscal y de eficiencia como el proceso presupuestario y la evaluación de la gestión por resultados.</w:t>
      </w:r>
    </w:p>
    <w:p w14:paraId="62D101C9" w14:textId="77777777" w:rsidR="009D07E9" w:rsidRDefault="00453F24" w:rsidP="00E5200B">
      <w:pPr>
        <w:spacing w:after="120" w:line="360" w:lineRule="auto"/>
        <w:jc w:val="both"/>
        <w:rPr>
          <w:rFonts w:ascii="Times New Roman" w:hAnsi="Times New Roman" w:cs="Times New Roman"/>
          <w:bCs/>
          <w:lang w:val="es-ES_tradnl"/>
        </w:rPr>
      </w:pPr>
      <w:r>
        <w:rPr>
          <w:rFonts w:ascii="Times New Roman" w:hAnsi="Times New Roman" w:cs="Times New Roman"/>
          <w:b/>
          <w:bCs/>
          <w:lang w:val="es-ES_tradnl"/>
        </w:rPr>
        <w:t xml:space="preserve">1. </w:t>
      </w:r>
      <w:r w:rsidR="0008573B" w:rsidRPr="0008573B">
        <w:rPr>
          <w:rFonts w:ascii="Times New Roman" w:hAnsi="Times New Roman" w:cs="Times New Roman"/>
          <w:b/>
          <w:bCs/>
          <w:lang w:val="es-ES_tradnl"/>
        </w:rPr>
        <w:t>E</w:t>
      </w:r>
      <w:r w:rsidR="00E5200B" w:rsidRPr="0008573B">
        <w:rPr>
          <w:rFonts w:ascii="Times New Roman" w:hAnsi="Times New Roman" w:cs="Times New Roman"/>
          <w:b/>
          <w:bCs/>
          <w:lang w:val="es-ES_tradnl"/>
        </w:rPr>
        <w:t xml:space="preserve">l Ministro de Hacienda, ordenador por excelencia del corto plazo, aquí </w:t>
      </w:r>
      <w:r w:rsidR="00E5200B" w:rsidRPr="0008573B">
        <w:rPr>
          <w:rFonts w:ascii="Times New Roman" w:hAnsi="Times New Roman" w:cs="Times New Roman"/>
          <w:b/>
          <w:bCs/>
          <w:i/>
          <w:lang w:val="es-ES_tradnl"/>
        </w:rPr>
        <w:t>controla poco más de un tercio del presupuesto</w:t>
      </w:r>
      <w:r w:rsidR="00300793" w:rsidRPr="0008573B">
        <w:rPr>
          <w:rFonts w:ascii="Times New Roman" w:hAnsi="Times New Roman" w:cs="Times New Roman"/>
          <w:b/>
          <w:bCs/>
          <w:lang w:val="es-ES_tradnl"/>
        </w:rPr>
        <w:t>.</w:t>
      </w:r>
      <w:r w:rsidR="00300793">
        <w:rPr>
          <w:rFonts w:ascii="Times New Roman" w:hAnsi="Times New Roman" w:cs="Times New Roman"/>
          <w:bCs/>
          <w:lang w:val="es-ES_tradnl"/>
        </w:rPr>
        <w:t xml:space="preserve"> </w:t>
      </w:r>
      <w:r w:rsidR="009D07E9">
        <w:rPr>
          <w:rFonts w:ascii="Times New Roman" w:hAnsi="Times New Roman" w:cs="Times New Roman"/>
          <w:bCs/>
          <w:lang w:val="es-ES_tradnl"/>
        </w:rPr>
        <w:t>Inclusive, e</w:t>
      </w:r>
      <w:r w:rsidR="009D07E9" w:rsidRPr="00E5200B">
        <w:rPr>
          <w:rFonts w:ascii="Times New Roman" w:hAnsi="Times New Roman" w:cs="Times New Roman"/>
          <w:bCs/>
          <w:lang w:val="es-ES_tradnl"/>
        </w:rPr>
        <w:t>xisten una serie de organismos de Derecho Público: instituciones descentralizadas no empresariales y órganos desconcentrados, cuyo presupuesto es aprobado por la Contraloría General de la Republica en casi todos los casos y empresas públicas no financieras, esto en casi todo el mundo se hace por la vía del Congreso. Y similar</w:t>
      </w:r>
      <w:r w:rsidR="009D07E9">
        <w:rPr>
          <w:rFonts w:ascii="Times New Roman" w:hAnsi="Times New Roman" w:cs="Times New Roman"/>
          <w:bCs/>
          <w:lang w:val="es-ES_tradnl"/>
        </w:rPr>
        <w:t>mente</w:t>
      </w:r>
      <w:r w:rsidR="009D07E9" w:rsidRPr="00E5200B">
        <w:rPr>
          <w:rFonts w:ascii="Times New Roman" w:hAnsi="Times New Roman" w:cs="Times New Roman"/>
          <w:bCs/>
          <w:lang w:val="es-ES_tradnl"/>
        </w:rPr>
        <w:t xml:space="preserve">, tampoco se controla parte del gasto en educación porque las </w:t>
      </w:r>
      <w:r w:rsidR="00943457">
        <w:rPr>
          <w:rFonts w:ascii="Times New Roman" w:hAnsi="Times New Roman" w:cs="Times New Roman"/>
          <w:bCs/>
          <w:lang w:val="es-ES_tradnl"/>
        </w:rPr>
        <w:t>u</w:t>
      </w:r>
      <w:r w:rsidR="009D07E9" w:rsidRPr="00E5200B">
        <w:rPr>
          <w:rFonts w:ascii="Times New Roman" w:hAnsi="Times New Roman" w:cs="Times New Roman"/>
          <w:bCs/>
          <w:lang w:val="es-ES_tradnl"/>
        </w:rPr>
        <w:t xml:space="preserve">niversidades </w:t>
      </w:r>
      <w:r w:rsidR="00A67D56">
        <w:rPr>
          <w:rFonts w:ascii="Times New Roman" w:hAnsi="Times New Roman" w:cs="Times New Roman"/>
          <w:bCs/>
          <w:lang w:val="es-ES_tradnl"/>
        </w:rPr>
        <w:t xml:space="preserve">públicas </w:t>
      </w:r>
      <w:r w:rsidR="009D07E9" w:rsidRPr="00E5200B">
        <w:rPr>
          <w:rFonts w:ascii="Times New Roman" w:hAnsi="Times New Roman" w:cs="Times New Roman"/>
          <w:bCs/>
          <w:lang w:val="es-ES_tradnl"/>
        </w:rPr>
        <w:t xml:space="preserve">son autónomas y tiene un porcentaje de renta afectada, un </w:t>
      </w:r>
      <w:r w:rsidR="009D07E9">
        <w:rPr>
          <w:rFonts w:ascii="Times New Roman" w:hAnsi="Times New Roman" w:cs="Times New Roman"/>
          <w:bCs/>
          <w:lang w:val="es-ES_tradnl"/>
        </w:rPr>
        <w:t>1</w:t>
      </w:r>
      <w:r w:rsidR="00943457">
        <w:rPr>
          <w:rFonts w:ascii="Times New Roman" w:hAnsi="Times New Roman" w:cs="Times New Roman"/>
          <w:bCs/>
          <w:lang w:val="es-ES_tradnl"/>
        </w:rPr>
        <w:t>,</w:t>
      </w:r>
      <w:r w:rsidR="009D07E9">
        <w:rPr>
          <w:rFonts w:ascii="Times New Roman" w:hAnsi="Times New Roman" w:cs="Times New Roman"/>
          <w:bCs/>
          <w:lang w:val="es-ES_tradnl"/>
        </w:rPr>
        <w:t>5</w:t>
      </w:r>
      <w:r w:rsidR="009D07E9" w:rsidRPr="00E5200B">
        <w:rPr>
          <w:rFonts w:ascii="Times New Roman" w:hAnsi="Times New Roman" w:cs="Times New Roman"/>
          <w:bCs/>
          <w:lang w:val="es-ES_tradnl"/>
        </w:rPr>
        <w:t xml:space="preserve">% del </w:t>
      </w:r>
      <w:r w:rsidR="009D07E9">
        <w:rPr>
          <w:rFonts w:ascii="Times New Roman" w:hAnsi="Times New Roman" w:cs="Times New Roman"/>
          <w:bCs/>
          <w:lang w:val="es-ES_tradnl"/>
        </w:rPr>
        <w:t>PIB</w:t>
      </w:r>
      <w:r w:rsidR="00943457">
        <w:rPr>
          <w:rFonts w:ascii="Times New Roman" w:hAnsi="Times New Roman" w:cs="Times New Roman"/>
          <w:bCs/>
          <w:lang w:val="es-ES_tradnl"/>
        </w:rPr>
        <w:t>,</w:t>
      </w:r>
      <w:r w:rsidR="00A67D56">
        <w:rPr>
          <w:rStyle w:val="FootnoteReference"/>
          <w:rFonts w:ascii="Times New Roman" w:hAnsi="Times New Roman" w:cs="Times New Roman"/>
          <w:bCs/>
          <w:lang w:val="es-ES_tradnl"/>
        </w:rPr>
        <w:footnoteReference w:id="107"/>
      </w:r>
      <w:r w:rsidR="009D07E9" w:rsidRPr="00E5200B">
        <w:rPr>
          <w:rFonts w:ascii="Times New Roman" w:hAnsi="Times New Roman" w:cs="Times New Roman"/>
          <w:bCs/>
          <w:lang w:val="es-ES_tradnl"/>
        </w:rPr>
        <w:t xml:space="preserve"> y </w:t>
      </w:r>
      <w:r w:rsidR="009D07E9">
        <w:rPr>
          <w:rFonts w:ascii="Times New Roman" w:hAnsi="Times New Roman" w:cs="Times New Roman"/>
          <w:bCs/>
          <w:lang w:val="es-ES_tradnl"/>
        </w:rPr>
        <w:t xml:space="preserve">se </w:t>
      </w:r>
      <w:r w:rsidR="009D07E9" w:rsidRPr="00E5200B">
        <w:rPr>
          <w:rFonts w:ascii="Times New Roman" w:hAnsi="Times New Roman" w:cs="Times New Roman"/>
          <w:bCs/>
          <w:lang w:val="es-ES_tradnl"/>
        </w:rPr>
        <w:t>negocia el incremento global de recursos sin discriminar las partidas presupuestales ante el Congreso.</w:t>
      </w:r>
      <w:r w:rsidR="009D07E9">
        <w:rPr>
          <w:rStyle w:val="FootnoteReference"/>
          <w:rFonts w:ascii="Times New Roman" w:hAnsi="Times New Roman" w:cs="Times New Roman"/>
          <w:bCs/>
          <w:lang w:val="es-ES_tradnl"/>
        </w:rPr>
        <w:footnoteReference w:id="108"/>
      </w:r>
      <w:r w:rsidR="00A67D56">
        <w:rPr>
          <w:rFonts w:ascii="Times New Roman" w:hAnsi="Times New Roman" w:cs="Times New Roman"/>
          <w:bCs/>
          <w:lang w:val="es-ES_tradnl"/>
        </w:rPr>
        <w:t xml:space="preserve"> </w:t>
      </w:r>
      <w:r w:rsidR="00A67D56" w:rsidRPr="00E5200B">
        <w:rPr>
          <w:rFonts w:ascii="Times New Roman" w:hAnsi="Times New Roman" w:cs="Times New Roman"/>
          <w:bCs/>
          <w:lang w:val="es-ES_tradnl"/>
        </w:rPr>
        <w:t>Las rentas afectadas funcionaron muy bien en los años 70</w:t>
      </w:r>
      <w:r w:rsidR="00B14B64">
        <w:rPr>
          <w:rFonts w:ascii="Times New Roman" w:hAnsi="Times New Roman" w:cs="Times New Roman"/>
          <w:bCs/>
          <w:lang w:val="es-ES_tradnl"/>
        </w:rPr>
        <w:t>s</w:t>
      </w:r>
      <w:r w:rsidR="00A67D56">
        <w:rPr>
          <w:rFonts w:ascii="Times New Roman" w:hAnsi="Times New Roman" w:cs="Times New Roman"/>
          <w:bCs/>
          <w:lang w:val="es-ES_tradnl"/>
        </w:rPr>
        <w:t xml:space="preserve"> y 80</w:t>
      </w:r>
      <w:r w:rsidR="00B14B64">
        <w:rPr>
          <w:rFonts w:ascii="Times New Roman" w:hAnsi="Times New Roman" w:cs="Times New Roman"/>
          <w:bCs/>
          <w:lang w:val="es-ES_tradnl"/>
        </w:rPr>
        <w:t>s</w:t>
      </w:r>
      <w:r w:rsidR="00A67D56" w:rsidRPr="00E5200B">
        <w:rPr>
          <w:rFonts w:ascii="Times New Roman" w:hAnsi="Times New Roman" w:cs="Times New Roman"/>
          <w:bCs/>
          <w:lang w:val="es-ES_tradnl"/>
        </w:rPr>
        <w:t xml:space="preserve">, </w:t>
      </w:r>
      <w:r w:rsidR="00A67D56">
        <w:rPr>
          <w:rFonts w:ascii="Times New Roman" w:hAnsi="Times New Roman" w:cs="Times New Roman"/>
          <w:bCs/>
          <w:lang w:val="es-ES_tradnl"/>
        </w:rPr>
        <w:t>y</w:t>
      </w:r>
      <w:r w:rsidR="00A67D56" w:rsidRPr="00E5200B">
        <w:rPr>
          <w:rFonts w:ascii="Times New Roman" w:hAnsi="Times New Roman" w:cs="Times New Roman"/>
          <w:bCs/>
          <w:lang w:val="es-ES_tradnl"/>
        </w:rPr>
        <w:t xml:space="preserve"> crearon cierta calidad de educación e infraestructura, pero </w:t>
      </w:r>
      <w:r w:rsidR="00A67D56">
        <w:rPr>
          <w:rFonts w:ascii="Times New Roman" w:hAnsi="Times New Roman" w:cs="Times New Roman"/>
          <w:bCs/>
          <w:lang w:val="es-ES_tradnl"/>
        </w:rPr>
        <w:t>cincuenta años después</w:t>
      </w:r>
      <w:r w:rsidR="00A67D56" w:rsidRPr="00E5200B">
        <w:rPr>
          <w:rFonts w:ascii="Times New Roman" w:hAnsi="Times New Roman" w:cs="Times New Roman"/>
          <w:bCs/>
          <w:lang w:val="es-ES_tradnl"/>
        </w:rPr>
        <w:t xml:space="preserve"> no son el instrumento adecuado.</w:t>
      </w:r>
      <w:r w:rsidR="00915E27">
        <w:rPr>
          <w:rStyle w:val="FootnoteReference"/>
          <w:rFonts w:ascii="Times New Roman" w:hAnsi="Times New Roman" w:cs="Times New Roman"/>
          <w:bCs/>
          <w:lang w:val="es-ES_tradnl"/>
        </w:rPr>
        <w:footnoteReference w:id="109"/>
      </w:r>
    </w:p>
    <w:p w14:paraId="073E6E37" w14:textId="77777777" w:rsidR="00300793" w:rsidRDefault="00300793" w:rsidP="00E5200B">
      <w:pPr>
        <w:spacing w:after="120" w:line="360" w:lineRule="auto"/>
        <w:jc w:val="both"/>
        <w:rPr>
          <w:rFonts w:ascii="Times New Roman" w:hAnsi="Times New Roman" w:cs="Times New Roman"/>
          <w:bCs/>
          <w:lang w:val="es-ES_tradnl"/>
        </w:rPr>
      </w:pPr>
      <w:r w:rsidRPr="00D12C16">
        <w:rPr>
          <w:rFonts w:ascii="Times New Roman" w:hAnsi="Times New Roman" w:cs="Times New Roman"/>
          <w:b/>
          <w:bCs/>
          <w:lang w:val="es-ES_tradnl"/>
        </w:rPr>
        <w:t xml:space="preserve">2. </w:t>
      </w:r>
      <w:r w:rsidR="00453F24" w:rsidRPr="00D12C16">
        <w:rPr>
          <w:rFonts w:ascii="Times New Roman" w:hAnsi="Times New Roman" w:cs="Times New Roman"/>
          <w:b/>
          <w:bCs/>
          <w:lang w:val="es-ES_tradnl"/>
        </w:rPr>
        <w:t xml:space="preserve">El Ministerio de Salud </w:t>
      </w:r>
      <w:r w:rsidR="009E7BE7" w:rsidRPr="00D12C16">
        <w:rPr>
          <w:rFonts w:ascii="Times New Roman" w:hAnsi="Times New Roman" w:cs="Times New Roman"/>
          <w:b/>
          <w:bCs/>
          <w:lang w:val="es-ES_tradnl"/>
        </w:rPr>
        <w:t>y la CCSS operan de manera separada.</w:t>
      </w:r>
      <w:r w:rsidR="009E7BE7">
        <w:rPr>
          <w:rFonts w:ascii="Times New Roman" w:hAnsi="Times New Roman" w:cs="Times New Roman"/>
          <w:bCs/>
          <w:lang w:val="es-ES_tradnl"/>
        </w:rPr>
        <w:t xml:space="preserve"> </w:t>
      </w:r>
      <w:r>
        <w:rPr>
          <w:rFonts w:ascii="Times New Roman" w:hAnsi="Times New Roman" w:cs="Times New Roman"/>
          <w:bCs/>
          <w:lang w:val="es-ES_tradnl"/>
        </w:rPr>
        <w:t xml:space="preserve">Como continuación, </w:t>
      </w:r>
      <w:r w:rsidR="00E5200B" w:rsidRPr="00E5200B">
        <w:rPr>
          <w:rFonts w:ascii="Times New Roman" w:hAnsi="Times New Roman" w:cs="Times New Roman"/>
          <w:bCs/>
          <w:lang w:val="es-ES_tradnl"/>
        </w:rPr>
        <w:t xml:space="preserve">el Ministerio de Salud, importantísimo </w:t>
      </w:r>
      <w:r>
        <w:rPr>
          <w:rFonts w:ascii="Times New Roman" w:hAnsi="Times New Roman" w:cs="Times New Roman"/>
          <w:bCs/>
          <w:lang w:val="es-ES_tradnl"/>
        </w:rPr>
        <w:t xml:space="preserve">en la cantidad y calidad del gasto </w:t>
      </w:r>
      <w:r w:rsidR="00E5200B" w:rsidRPr="00E5200B">
        <w:rPr>
          <w:rFonts w:ascii="Times New Roman" w:hAnsi="Times New Roman" w:cs="Times New Roman"/>
          <w:bCs/>
          <w:lang w:val="es-ES_tradnl"/>
        </w:rPr>
        <w:t>en todos los países del mundo desarrollado</w:t>
      </w:r>
      <w:r>
        <w:rPr>
          <w:rFonts w:ascii="Times New Roman" w:hAnsi="Times New Roman" w:cs="Times New Roman"/>
          <w:bCs/>
          <w:lang w:val="es-ES_tradnl"/>
        </w:rPr>
        <w:t xml:space="preserve"> por la cobertura universal</w:t>
      </w:r>
      <w:r w:rsidR="00E5200B" w:rsidRPr="00E5200B">
        <w:rPr>
          <w:rFonts w:ascii="Times New Roman" w:hAnsi="Times New Roman" w:cs="Times New Roman"/>
          <w:bCs/>
          <w:lang w:val="es-ES_tradnl"/>
        </w:rPr>
        <w:t xml:space="preserve">, están dentro del presupuesto. Pero en Costa Rica no: </w:t>
      </w:r>
      <w:r w:rsidR="00E5200B" w:rsidRPr="009D07E9">
        <w:rPr>
          <w:rFonts w:ascii="Times New Roman" w:hAnsi="Times New Roman" w:cs="Times New Roman"/>
          <w:bCs/>
          <w:i/>
          <w:lang w:val="es-ES_tradnl"/>
        </w:rPr>
        <w:t>la C</w:t>
      </w:r>
      <w:r w:rsidR="009D07E9" w:rsidRPr="009D07E9">
        <w:rPr>
          <w:rFonts w:ascii="Times New Roman" w:hAnsi="Times New Roman" w:cs="Times New Roman"/>
          <w:bCs/>
          <w:i/>
          <w:lang w:val="es-ES_tradnl"/>
        </w:rPr>
        <w:t xml:space="preserve">CSS </w:t>
      </w:r>
      <w:r w:rsidR="00E5200B" w:rsidRPr="009D07E9">
        <w:rPr>
          <w:rFonts w:ascii="Times New Roman" w:hAnsi="Times New Roman" w:cs="Times New Roman"/>
          <w:bCs/>
          <w:i/>
          <w:lang w:val="es-ES_tradnl"/>
        </w:rPr>
        <w:t>está fuera del Presupuesto</w:t>
      </w:r>
      <w:r w:rsidR="00E5200B" w:rsidRPr="00E5200B">
        <w:rPr>
          <w:rFonts w:ascii="Times New Roman" w:hAnsi="Times New Roman" w:cs="Times New Roman"/>
          <w:bCs/>
          <w:lang w:val="es-ES_tradnl"/>
        </w:rPr>
        <w:t xml:space="preserve"> y, cosa casi insólita, </w:t>
      </w:r>
      <w:r w:rsidR="00E5200B" w:rsidRPr="009D07E9">
        <w:rPr>
          <w:rFonts w:ascii="Times New Roman" w:hAnsi="Times New Roman" w:cs="Times New Roman"/>
          <w:bCs/>
          <w:i/>
          <w:lang w:val="es-ES_tradnl"/>
        </w:rPr>
        <w:t>puede fijar sus propias tasas de aporte</w:t>
      </w:r>
      <w:r w:rsidRPr="009D07E9">
        <w:rPr>
          <w:rFonts w:ascii="Times New Roman" w:hAnsi="Times New Roman" w:cs="Times New Roman"/>
          <w:bCs/>
          <w:i/>
          <w:lang w:val="es-ES_tradnl"/>
        </w:rPr>
        <w:t xml:space="preserve"> a las contribuciones a la salud y pensiones</w:t>
      </w:r>
      <w:r w:rsidR="00E5200B" w:rsidRPr="00E5200B">
        <w:rPr>
          <w:rFonts w:ascii="Times New Roman" w:hAnsi="Times New Roman" w:cs="Times New Roman"/>
          <w:bCs/>
          <w:lang w:val="es-ES_tradnl"/>
        </w:rPr>
        <w:t xml:space="preserve">. </w:t>
      </w:r>
      <w:r>
        <w:rPr>
          <w:rFonts w:ascii="Times New Roman" w:hAnsi="Times New Roman" w:cs="Times New Roman"/>
          <w:bCs/>
          <w:lang w:val="es-ES_tradnl"/>
        </w:rPr>
        <w:t>Es decir, están fuera del alcance del Poder Legislativo (</w:t>
      </w:r>
      <w:r w:rsidRPr="00300793">
        <w:rPr>
          <w:rFonts w:ascii="Times New Roman" w:hAnsi="Times New Roman" w:cs="Times New Roman"/>
          <w:bCs/>
          <w:i/>
          <w:lang w:val="es-ES_tradnl"/>
        </w:rPr>
        <w:t>no taxation without representatio</w:t>
      </w:r>
      <w:r>
        <w:rPr>
          <w:rFonts w:ascii="Times New Roman" w:hAnsi="Times New Roman" w:cs="Times New Roman"/>
          <w:bCs/>
          <w:i/>
          <w:lang w:val="es-ES_tradnl"/>
        </w:rPr>
        <w:t>n principle</w:t>
      </w:r>
      <w:r>
        <w:rPr>
          <w:rFonts w:ascii="Times New Roman" w:hAnsi="Times New Roman" w:cs="Times New Roman"/>
          <w:bCs/>
          <w:lang w:val="es-ES_tradnl"/>
        </w:rPr>
        <w:t>) y</w:t>
      </w:r>
      <w:r w:rsidR="004119BF">
        <w:rPr>
          <w:rFonts w:ascii="Times New Roman" w:hAnsi="Times New Roman" w:cs="Times New Roman"/>
          <w:bCs/>
          <w:lang w:val="es-ES_tradnl"/>
        </w:rPr>
        <w:t>,</w:t>
      </w:r>
      <w:r>
        <w:rPr>
          <w:rFonts w:ascii="Times New Roman" w:hAnsi="Times New Roman" w:cs="Times New Roman"/>
          <w:bCs/>
          <w:lang w:val="es-ES_tradnl"/>
        </w:rPr>
        <w:t xml:space="preserve"> como se </w:t>
      </w:r>
      <w:r w:rsidR="00FD5F0F">
        <w:rPr>
          <w:rFonts w:ascii="Times New Roman" w:hAnsi="Times New Roman" w:cs="Times New Roman"/>
          <w:bCs/>
          <w:lang w:val="es-ES_tradnl"/>
        </w:rPr>
        <w:t>mostró</w:t>
      </w:r>
      <w:r w:rsidR="004119BF">
        <w:rPr>
          <w:rFonts w:ascii="Times New Roman" w:hAnsi="Times New Roman" w:cs="Times New Roman"/>
          <w:bCs/>
          <w:lang w:val="es-ES_tradnl"/>
        </w:rPr>
        <w:t>,</w:t>
      </w:r>
      <w:r>
        <w:rPr>
          <w:rFonts w:ascii="Times New Roman" w:hAnsi="Times New Roman" w:cs="Times New Roman"/>
          <w:bCs/>
          <w:lang w:val="es-ES_tradnl"/>
        </w:rPr>
        <w:t xml:space="preserve"> son de las cargas m</w:t>
      </w:r>
      <w:r w:rsidR="003B61F6">
        <w:rPr>
          <w:rFonts w:ascii="Times New Roman" w:hAnsi="Times New Roman" w:cs="Times New Roman"/>
          <w:bCs/>
          <w:lang w:val="es-ES_tradnl"/>
        </w:rPr>
        <w:t>á</w:t>
      </w:r>
      <w:r>
        <w:rPr>
          <w:rFonts w:ascii="Times New Roman" w:hAnsi="Times New Roman" w:cs="Times New Roman"/>
          <w:bCs/>
          <w:lang w:val="es-ES_tradnl"/>
        </w:rPr>
        <w:t>s altas de América Latina y con importantes impactos</w:t>
      </w:r>
      <w:r w:rsidR="004119BF">
        <w:rPr>
          <w:rFonts w:ascii="Times New Roman" w:hAnsi="Times New Roman" w:cs="Times New Roman"/>
          <w:bCs/>
          <w:lang w:val="es-ES_tradnl"/>
        </w:rPr>
        <w:t xml:space="preserve"> (</w:t>
      </w:r>
      <w:r>
        <w:rPr>
          <w:rFonts w:ascii="Times New Roman" w:hAnsi="Times New Roman" w:cs="Times New Roman"/>
          <w:bCs/>
          <w:lang w:val="es-ES_tradnl"/>
        </w:rPr>
        <w:t>cuñas salariales</w:t>
      </w:r>
      <w:r w:rsidR="004119BF">
        <w:rPr>
          <w:rFonts w:ascii="Times New Roman" w:hAnsi="Times New Roman" w:cs="Times New Roman"/>
          <w:bCs/>
          <w:lang w:val="es-ES_tradnl"/>
        </w:rPr>
        <w:t>)</w:t>
      </w:r>
      <w:r>
        <w:rPr>
          <w:rFonts w:ascii="Times New Roman" w:hAnsi="Times New Roman" w:cs="Times New Roman"/>
          <w:bCs/>
          <w:lang w:val="es-ES_tradnl"/>
        </w:rPr>
        <w:t xml:space="preserve">, como visto y en la persistencia del desempleo.  </w:t>
      </w:r>
    </w:p>
    <w:p w14:paraId="0116E091" w14:textId="77777777" w:rsidR="00300793" w:rsidRDefault="004119BF" w:rsidP="00E5200B">
      <w:pPr>
        <w:spacing w:after="120" w:line="360" w:lineRule="auto"/>
        <w:jc w:val="both"/>
        <w:rPr>
          <w:rFonts w:ascii="Times New Roman" w:hAnsi="Times New Roman" w:cs="Times New Roman"/>
          <w:bCs/>
          <w:lang w:val="es-ES_tradnl"/>
        </w:rPr>
      </w:pPr>
      <w:r w:rsidRPr="001B494A">
        <w:rPr>
          <w:rFonts w:ascii="Times New Roman" w:hAnsi="Times New Roman" w:cs="Times New Roman"/>
          <w:b/>
          <w:bCs/>
          <w:lang w:val="es-ES_tradnl"/>
        </w:rPr>
        <w:t>3</w:t>
      </w:r>
      <w:r w:rsidR="00300793" w:rsidRPr="001B494A">
        <w:rPr>
          <w:rFonts w:ascii="Times New Roman" w:hAnsi="Times New Roman" w:cs="Times New Roman"/>
          <w:b/>
          <w:bCs/>
          <w:lang w:val="es-ES_tradnl"/>
        </w:rPr>
        <w:t xml:space="preserve">. </w:t>
      </w:r>
      <w:r w:rsidR="00E5200B" w:rsidRPr="001B494A">
        <w:rPr>
          <w:rFonts w:ascii="Times New Roman" w:hAnsi="Times New Roman" w:cs="Times New Roman"/>
          <w:b/>
          <w:bCs/>
          <w:lang w:val="es-ES_tradnl"/>
        </w:rPr>
        <w:t>Además,</w:t>
      </w:r>
      <w:r w:rsidR="00300793" w:rsidRPr="001B494A">
        <w:rPr>
          <w:rFonts w:ascii="Times New Roman" w:hAnsi="Times New Roman" w:cs="Times New Roman"/>
          <w:b/>
          <w:bCs/>
          <w:lang w:val="es-ES_tradnl"/>
        </w:rPr>
        <w:t xml:space="preserve"> para </w:t>
      </w:r>
      <w:r w:rsidR="00E17743" w:rsidRPr="001B494A">
        <w:rPr>
          <w:rFonts w:ascii="Times New Roman" w:hAnsi="Times New Roman" w:cs="Times New Roman"/>
          <w:b/>
          <w:bCs/>
          <w:lang w:val="es-ES_tradnl"/>
        </w:rPr>
        <w:t xml:space="preserve">para financiar de bienes públicos (meritorios) en el proceso de negociación con los grupos de interés se </w:t>
      </w:r>
      <w:r w:rsidR="004D0F1C" w:rsidRPr="001B494A">
        <w:rPr>
          <w:rFonts w:ascii="Times New Roman" w:hAnsi="Times New Roman" w:cs="Times New Roman"/>
          <w:b/>
          <w:bCs/>
          <w:lang w:val="es-ES_tradnl"/>
        </w:rPr>
        <w:t>aprobaron</w:t>
      </w:r>
      <w:r w:rsidR="00E17743" w:rsidRPr="001B494A">
        <w:rPr>
          <w:rFonts w:ascii="Times New Roman" w:hAnsi="Times New Roman" w:cs="Times New Roman"/>
          <w:b/>
          <w:bCs/>
          <w:lang w:val="es-ES_tradnl"/>
        </w:rPr>
        <w:t xml:space="preserve"> l</w:t>
      </w:r>
      <w:r w:rsidR="004D0F1C" w:rsidRPr="001B494A">
        <w:rPr>
          <w:rFonts w:ascii="Times New Roman" w:hAnsi="Times New Roman" w:cs="Times New Roman"/>
          <w:b/>
          <w:bCs/>
          <w:lang w:val="es-ES_tradnl"/>
        </w:rPr>
        <w:t>o</w:t>
      </w:r>
      <w:r w:rsidR="00E17743" w:rsidRPr="001B494A">
        <w:rPr>
          <w:rFonts w:ascii="Times New Roman" w:hAnsi="Times New Roman" w:cs="Times New Roman"/>
          <w:b/>
          <w:bCs/>
          <w:lang w:val="es-ES_tradnl"/>
        </w:rPr>
        <w:t xml:space="preserve">s </w:t>
      </w:r>
      <w:r w:rsidR="004D0F1C" w:rsidRPr="001B494A">
        <w:rPr>
          <w:rFonts w:ascii="Times New Roman" w:hAnsi="Times New Roman" w:cs="Times New Roman"/>
          <w:b/>
          <w:bCs/>
          <w:lang w:val="es-ES_tradnl"/>
        </w:rPr>
        <w:t>“</w:t>
      </w:r>
      <w:r w:rsidR="008467B7" w:rsidRPr="001B494A">
        <w:rPr>
          <w:rFonts w:ascii="Times New Roman" w:hAnsi="Times New Roman" w:cs="Times New Roman"/>
          <w:b/>
          <w:bCs/>
          <w:lang w:val="es-ES_tradnl"/>
        </w:rPr>
        <w:t>destinos específicos</w:t>
      </w:r>
      <w:r w:rsidR="004D0F1C" w:rsidRPr="001B494A">
        <w:rPr>
          <w:rFonts w:ascii="Times New Roman" w:hAnsi="Times New Roman" w:cs="Times New Roman"/>
          <w:b/>
          <w:bCs/>
          <w:lang w:val="es-ES_tradnl"/>
        </w:rPr>
        <w:t>”</w:t>
      </w:r>
      <w:r w:rsidR="008467B7">
        <w:rPr>
          <w:rFonts w:ascii="Times New Roman" w:hAnsi="Times New Roman" w:cs="Times New Roman"/>
          <w:bCs/>
          <w:lang w:val="es-ES_tradnl"/>
        </w:rPr>
        <w:t xml:space="preserve"> (</w:t>
      </w:r>
      <w:r w:rsidR="00E17743">
        <w:rPr>
          <w:rFonts w:ascii="Times New Roman" w:hAnsi="Times New Roman" w:cs="Times New Roman"/>
          <w:bCs/>
          <w:lang w:val="es-ES_tradnl"/>
        </w:rPr>
        <w:t>rentas afectadas</w:t>
      </w:r>
      <w:r w:rsidR="008467B7">
        <w:rPr>
          <w:rFonts w:ascii="Times New Roman" w:hAnsi="Times New Roman" w:cs="Times New Roman"/>
          <w:bCs/>
          <w:lang w:val="es-ES_tradnl"/>
        </w:rPr>
        <w:t>)</w:t>
      </w:r>
      <w:r w:rsidR="00E17743">
        <w:rPr>
          <w:rFonts w:ascii="Times New Roman" w:hAnsi="Times New Roman" w:cs="Times New Roman"/>
          <w:bCs/>
          <w:lang w:val="es-ES_tradnl"/>
        </w:rPr>
        <w:t xml:space="preserve"> </w:t>
      </w:r>
      <w:r w:rsidR="00E17743" w:rsidRPr="009D07E9">
        <w:rPr>
          <w:rFonts w:ascii="Times New Roman" w:hAnsi="Times New Roman" w:cs="Times New Roman"/>
          <w:bCs/>
          <w:i/>
          <w:lang w:val="es-ES_tradnl"/>
        </w:rPr>
        <w:t>que atan más del</w:t>
      </w:r>
      <w:r w:rsidR="00E5200B" w:rsidRPr="009D07E9">
        <w:rPr>
          <w:rFonts w:ascii="Times New Roman" w:hAnsi="Times New Roman" w:cs="Times New Roman"/>
          <w:bCs/>
          <w:i/>
          <w:lang w:val="es-ES_tradnl"/>
        </w:rPr>
        <w:t xml:space="preserve"> 40% de las recaudaciones embargadas por rentas afectadas</w:t>
      </w:r>
      <w:r w:rsidR="00E17743">
        <w:rPr>
          <w:rFonts w:ascii="Times New Roman" w:hAnsi="Times New Roman" w:cs="Times New Roman"/>
          <w:bCs/>
          <w:lang w:val="es-ES_tradnl"/>
        </w:rPr>
        <w:t>. En efecto,</w:t>
      </w:r>
      <w:r w:rsidR="00300793">
        <w:rPr>
          <w:rFonts w:ascii="Times New Roman" w:hAnsi="Times New Roman" w:cs="Times New Roman"/>
          <w:bCs/>
          <w:lang w:val="es-ES_tradnl"/>
        </w:rPr>
        <w:t xml:space="preserve"> </w:t>
      </w:r>
      <w:r w:rsidR="00E17743">
        <w:rPr>
          <w:rFonts w:ascii="Times New Roman" w:hAnsi="Times New Roman" w:cs="Times New Roman"/>
          <w:bCs/>
          <w:lang w:val="es-ES_tradnl"/>
        </w:rPr>
        <w:t xml:space="preserve">se llega a esa cifra </w:t>
      </w:r>
      <w:r w:rsidR="00300793">
        <w:rPr>
          <w:rFonts w:ascii="Times New Roman" w:hAnsi="Times New Roman" w:cs="Times New Roman"/>
          <w:bCs/>
          <w:lang w:val="es-ES_tradnl"/>
        </w:rPr>
        <w:t xml:space="preserve">considerando el 8% </w:t>
      </w:r>
      <w:r w:rsidR="00E17743">
        <w:rPr>
          <w:rFonts w:ascii="Times New Roman" w:hAnsi="Times New Roman" w:cs="Times New Roman"/>
          <w:bCs/>
          <w:lang w:val="es-ES_tradnl"/>
        </w:rPr>
        <w:t xml:space="preserve">del PIB </w:t>
      </w:r>
      <w:r w:rsidR="00300793">
        <w:rPr>
          <w:rFonts w:ascii="Times New Roman" w:hAnsi="Times New Roman" w:cs="Times New Roman"/>
          <w:bCs/>
          <w:lang w:val="es-ES_tradnl"/>
        </w:rPr>
        <w:t>para educación</w:t>
      </w:r>
      <w:r w:rsidR="00E17743">
        <w:rPr>
          <w:rFonts w:ascii="Times New Roman" w:hAnsi="Times New Roman" w:cs="Times New Roman"/>
          <w:bCs/>
          <w:lang w:val="es-ES_tradnl"/>
        </w:rPr>
        <w:t xml:space="preserve">, para las entidades judiciales y electorales, el cuidado a la niñez y las </w:t>
      </w:r>
      <w:r w:rsidR="009D07E9">
        <w:rPr>
          <w:rFonts w:ascii="Times New Roman" w:hAnsi="Times New Roman" w:cs="Times New Roman"/>
          <w:bCs/>
          <w:lang w:val="es-ES_tradnl"/>
        </w:rPr>
        <w:t>municipalidades,</w:t>
      </w:r>
      <w:r w:rsidR="00E17743">
        <w:rPr>
          <w:rFonts w:ascii="Times New Roman" w:hAnsi="Times New Roman" w:cs="Times New Roman"/>
          <w:bCs/>
          <w:lang w:val="es-ES_tradnl"/>
        </w:rPr>
        <w:t xml:space="preserve"> </w:t>
      </w:r>
      <w:r w:rsidR="00E17743" w:rsidRPr="009D07E9">
        <w:rPr>
          <w:rFonts w:ascii="Times New Roman" w:hAnsi="Times New Roman" w:cs="Times New Roman"/>
          <w:bCs/>
          <w:i/>
          <w:lang w:val="es-ES_tradnl"/>
        </w:rPr>
        <w:t xml:space="preserve">pero </w:t>
      </w:r>
      <w:r w:rsidR="00300793" w:rsidRPr="009D07E9">
        <w:rPr>
          <w:rFonts w:ascii="Times New Roman" w:hAnsi="Times New Roman" w:cs="Times New Roman"/>
          <w:bCs/>
          <w:i/>
          <w:lang w:val="es-ES_tradnl"/>
        </w:rPr>
        <w:t>sin contar las pensiones</w:t>
      </w:r>
      <w:r w:rsidR="00E17743" w:rsidRPr="009D07E9">
        <w:rPr>
          <w:rFonts w:ascii="Times New Roman" w:hAnsi="Times New Roman" w:cs="Times New Roman"/>
          <w:bCs/>
          <w:i/>
          <w:lang w:val="es-ES_tradnl"/>
        </w:rPr>
        <w:t xml:space="preserve"> y los salarios públicos</w:t>
      </w:r>
      <w:r w:rsidR="00E5200B" w:rsidRPr="00E5200B">
        <w:rPr>
          <w:rFonts w:ascii="Times New Roman" w:hAnsi="Times New Roman" w:cs="Times New Roman"/>
          <w:bCs/>
          <w:lang w:val="es-ES_tradnl"/>
        </w:rPr>
        <w:t xml:space="preserve">. </w:t>
      </w:r>
    </w:p>
    <w:p w14:paraId="65B1D112" w14:textId="77777777" w:rsidR="00E17743" w:rsidRPr="00E17743" w:rsidRDefault="004119BF" w:rsidP="00E5200B">
      <w:pPr>
        <w:spacing w:after="120" w:line="360" w:lineRule="auto"/>
        <w:jc w:val="both"/>
        <w:rPr>
          <w:rFonts w:ascii="Times New Roman" w:hAnsi="Times New Roman" w:cs="Times New Roman"/>
          <w:bCs/>
          <w:lang w:val="es-ES_tradnl"/>
        </w:rPr>
      </w:pPr>
      <w:r w:rsidRPr="004119BF">
        <w:rPr>
          <w:rFonts w:ascii="Times New Roman" w:hAnsi="Times New Roman" w:cs="Times New Roman"/>
          <w:b/>
          <w:bCs/>
          <w:lang w:val="es-ES_tradnl"/>
        </w:rPr>
        <w:t>4</w:t>
      </w:r>
      <w:r w:rsidR="00E17743" w:rsidRPr="004119BF">
        <w:rPr>
          <w:rFonts w:ascii="Times New Roman" w:hAnsi="Times New Roman" w:cs="Times New Roman"/>
          <w:b/>
          <w:bCs/>
          <w:lang w:val="es-ES_tradnl"/>
        </w:rPr>
        <w:t>.</w:t>
      </w:r>
      <w:r w:rsidR="00E17743" w:rsidRPr="00E17743">
        <w:rPr>
          <w:rFonts w:ascii="Times New Roman" w:hAnsi="Times New Roman" w:cs="Times New Roman"/>
          <w:bCs/>
          <w:lang w:val="es-ES_tradnl"/>
        </w:rPr>
        <w:t xml:space="preserve"> </w:t>
      </w:r>
      <w:r w:rsidR="00E17743" w:rsidRPr="004119BF">
        <w:rPr>
          <w:rFonts w:ascii="Times New Roman" w:hAnsi="Times New Roman" w:cs="Times New Roman"/>
          <w:b/>
          <w:bCs/>
          <w:lang w:val="es-ES_tradnl"/>
        </w:rPr>
        <w:t>M</w:t>
      </w:r>
      <w:r w:rsidR="005544E8" w:rsidRPr="004119BF">
        <w:rPr>
          <w:rFonts w:ascii="Times New Roman" w:hAnsi="Times New Roman" w:cs="Times New Roman"/>
          <w:b/>
          <w:bCs/>
          <w:lang w:val="es-ES_tradnl"/>
        </w:rPr>
        <w:t>á</w:t>
      </w:r>
      <w:r w:rsidR="00E17743" w:rsidRPr="004119BF">
        <w:rPr>
          <w:rFonts w:ascii="Times New Roman" w:hAnsi="Times New Roman" w:cs="Times New Roman"/>
          <w:b/>
          <w:bCs/>
          <w:lang w:val="es-ES_tradnl"/>
        </w:rPr>
        <w:t>s a</w:t>
      </w:r>
      <w:r w:rsidR="005544E8" w:rsidRPr="004119BF">
        <w:rPr>
          <w:rFonts w:ascii="Times New Roman" w:hAnsi="Times New Roman" w:cs="Times New Roman"/>
          <w:b/>
          <w:bCs/>
          <w:lang w:val="es-ES_tradnl"/>
        </w:rPr>
        <w:t>ú</w:t>
      </w:r>
      <w:r w:rsidR="00E17743" w:rsidRPr="004119BF">
        <w:rPr>
          <w:rFonts w:ascii="Times New Roman" w:hAnsi="Times New Roman" w:cs="Times New Roman"/>
          <w:b/>
          <w:bCs/>
          <w:lang w:val="es-ES_tradnl"/>
        </w:rPr>
        <w:t>n</w:t>
      </w:r>
      <w:r w:rsidRPr="004119BF">
        <w:rPr>
          <w:rFonts w:ascii="Times New Roman" w:hAnsi="Times New Roman" w:cs="Times New Roman"/>
          <w:b/>
          <w:bCs/>
          <w:lang w:val="es-ES_tradnl"/>
        </w:rPr>
        <w:t>,</w:t>
      </w:r>
      <w:r w:rsidR="00E17743" w:rsidRPr="004119BF">
        <w:rPr>
          <w:rFonts w:ascii="Times New Roman" w:hAnsi="Times New Roman" w:cs="Times New Roman"/>
          <w:b/>
          <w:bCs/>
          <w:lang w:val="es-ES_tradnl"/>
        </w:rPr>
        <w:t xml:space="preserve"> para administrar </w:t>
      </w:r>
      <w:r w:rsidR="005544E8" w:rsidRPr="004119BF">
        <w:rPr>
          <w:rFonts w:ascii="Times New Roman" w:hAnsi="Times New Roman" w:cs="Times New Roman"/>
          <w:b/>
          <w:bCs/>
          <w:lang w:val="es-ES_tradnl"/>
        </w:rPr>
        <w:t>los</w:t>
      </w:r>
      <w:r w:rsidR="00E17743" w:rsidRPr="004119BF">
        <w:rPr>
          <w:rFonts w:ascii="Times New Roman" w:hAnsi="Times New Roman" w:cs="Times New Roman"/>
          <w:b/>
          <w:bCs/>
          <w:lang w:val="es-ES_tradnl"/>
        </w:rPr>
        <w:t xml:space="preserve"> bienes públicos y muchas otras actividades especificas se fueron creando organismos para atención de actividades específicas</w:t>
      </w:r>
      <w:r w:rsidR="00E17743">
        <w:rPr>
          <w:rFonts w:ascii="Times New Roman" w:hAnsi="Times New Roman" w:cs="Times New Roman"/>
          <w:bCs/>
          <w:lang w:val="es-ES_tradnl"/>
        </w:rPr>
        <w:t>, unas para necesidades sociales y otras para atender a grupos de sectores de producción o consumo específicos</w:t>
      </w:r>
      <w:r w:rsidR="004623C3">
        <w:rPr>
          <w:rFonts w:ascii="Times New Roman" w:hAnsi="Times New Roman" w:cs="Times New Roman"/>
          <w:bCs/>
          <w:lang w:val="es-ES_tradnl"/>
        </w:rPr>
        <w:t xml:space="preserve">. </w:t>
      </w:r>
      <w:r w:rsidR="00F05987">
        <w:rPr>
          <w:rFonts w:ascii="Times New Roman" w:hAnsi="Times New Roman" w:cs="Times New Roman"/>
          <w:bCs/>
          <w:lang w:val="es-ES_tradnl"/>
        </w:rPr>
        <w:t>A la fecha se han creado</w:t>
      </w:r>
      <w:r w:rsidR="00591C2C">
        <w:rPr>
          <w:rFonts w:ascii="Times New Roman" w:hAnsi="Times New Roman" w:cs="Times New Roman"/>
          <w:bCs/>
          <w:lang w:val="es-ES_tradnl"/>
        </w:rPr>
        <w:t>,</w:t>
      </w:r>
      <w:r w:rsidR="00E17743">
        <w:rPr>
          <w:rFonts w:ascii="Times New Roman" w:hAnsi="Times New Roman" w:cs="Times New Roman"/>
          <w:bCs/>
          <w:lang w:val="es-ES_tradnl"/>
        </w:rPr>
        <w:t xml:space="preserve"> </w:t>
      </w:r>
      <w:r w:rsidR="00E17743" w:rsidRPr="009D07E9">
        <w:rPr>
          <w:rFonts w:ascii="Times New Roman" w:hAnsi="Times New Roman" w:cs="Times New Roman"/>
          <w:bCs/>
          <w:i/>
          <w:lang w:val="es-ES_tradnl"/>
        </w:rPr>
        <w:t>un “estado archipiélago” de más de 330 organismo</w:t>
      </w:r>
      <w:r w:rsidR="009D07E9">
        <w:rPr>
          <w:rFonts w:ascii="Times New Roman" w:hAnsi="Times New Roman" w:cs="Times New Roman"/>
          <w:bCs/>
          <w:i/>
          <w:lang w:val="es-ES_tradnl"/>
        </w:rPr>
        <w:t>s y creciente desde hace década</w:t>
      </w:r>
      <w:r w:rsidR="009D07E9" w:rsidRPr="009D07E9">
        <w:rPr>
          <w:rFonts w:ascii="Times New Roman" w:hAnsi="Times New Roman" w:cs="Times New Roman"/>
          <w:bCs/>
          <w:i/>
          <w:lang w:val="es-ES_tradnl"/>
        </w:rPr>
        <w:t>s</w:t>
      </w:r>
      <w:r w:rsidR="00E17743">
        <w:rPr>
          <w:rFonts w:ascii="Times New Roman" w:hAnsi="Times New Roman" w:cs="Times New Roman"/>
          <w:bCs/>
          <w:lang w:val="es-ES_tradnl"/>
        </w:rPr>
        <w:t>.</w:t>
      </w:r>
    </w:p>
    <w:p w14:paraId="71AE9ACB" w14:textId="77777777" w:rsidR="00A67D56" w:rsidRDefault="004119BF" w:rsidP="00E5200B">
      <w:pPr>
        <w:spacing w:after="120" w:line="360" w:lineRule="auto"/>
        <w:jc w:val="both"/>
        <w:rPr>
          <w:rFonts w:ascii="Times New Roman" w:hAnsi="Times New Roman" w:cs="Times New Roman"/>
          <w:bCs/>
          <w:lang w:val="es-ES_tradnl"/>
        </w:rPr>
      </w:pPr>
      <w:r w:rsidRPr="00C2332A">
        <w:rPr>
          <w:rFonts w:ascii="Times New Roman" w:hAnsi="Times New Roman" w:cs="Times New Roman"/>
          <w:b/>
          <w:bCs/>
          <w:lang w:val="es-ES_tradnl"/>
        </w:rPr>
        <w:t>5</w:t>
      </w:r>
      <w:r w:rsidR="009D07E9" w:rsidRPr="00C2332A">
        <w:rPr>
          <w:rFonts w:ascii="Times New Roman" w:hAnsi="Times New Roman" w:cs="Times New Roman"/>
          <w:b/>
          <w:bCs/>
          <w:lang w:val="es-ES_tradnl"/>
        </w:rPr>
        <w:t>.</w:t>
      </w:r>
      <w:r w:rsidR="00E5200B" w:rsidRPr="00E5200B">
        <w:rPr>
          <w:rFonts w:ascii="Times New Roman" w:hAnsi="Times New Roman" w:cs="Times New Roman"/>
          <w:bCs/>
          <w:lang w:val="es-ES_tradnl"/>
        </w:rPr>
        <w:t xml:space="preserve"> </w:t>
      </w:r>
      <w:r w:rsidR="009D07E9" w:rsidRPr="00C2332A">
        <w:rPr>
          <w:rFonts w:ascii="Times New Roman" w:hAnsi="Times New Roman" w:cs="Times New Roman"/>
          <w:b/>
          <w:bCs/>
          <w:lang w:val="es-ES_tradnl"/>
        </w:rPr>
        <w:t>Complementariamente</w:t>
      </w:r>
      <w:r w:rsidR="00E5200B" w:rsidRPr="00C2332A">
        <w:rPr>
          <w:rFonts w:ascii="Times New Roman" w:hAnsi="Times New Roman" w:cs="Times New Roman"/>
          <w:b/>
          <w:bCs/>
          <w:lang w:val="es-ES_tradnl"/>
        </w:rPr>
        <w:t xml:space="preserve">, </w:t>
      </w:r>
      <w:r w:rsidR="009D07E9" w:rsidRPr="00C2332A">
        <w:rPr>
          <w:rFonts w:ascii="Times New Roman" w:hAnsi="Times New Roman" w:cs="Times New Roman"/>
          <w:b/>
          <w:bCs/>
          <w:lang w:val="es-ES_tradnl"/>
        </w:rPr>
        <w:t xml:space="preserve">dos de los tres </w:t>
      </w:r>
      <w:r w:rsidR="00E5200B" w:rsidRPr="00C2332A">
        <w:rPr>
          <w:rFonts w:ascii="Times New Roman" w:hAnsi="Times New Roman" w:cs="Times New Roman"/>
          <w:b/>
          <w:bCs/>
          <w:lang w:val="es-ES_tradnl"/>
        </w:rPr>
        <w:t>regímenes pensionales (</w:t>
      </w:r>
      <w:r w:rsidR="00D83A6D" w:rsidRPr="00C2332A">
        <w:rPr>
          <w:rFonts w:ascii="Times New Roman" w:hAnsi="Times New Roman" w:cs="Times New Roman"/>
          <w:b/>
          <w:bCs/>
          <w:lang w:val="es-ES_tradnl"/>
        </w:rPr>
        <w:t>Capitalización Individual</w:t>
      </w:r>
      <w:r w:rsidR="00E5200B" w:rsidRPr="00C2332A">
        <w:rPr>
          <w:rFonts w:ascii="Times New Roman" w:hAnsi="Times New Roman" w:cs="Times New Roman"/>
          <w:b/>
          <w:bCs/>
          <w:lang w:val="es-ES_tradnl"/>
        </w:rPr>
        <w:t xml:space="preserve"> –IVM</w:t>
      </w:r>
      <w:r w:rsidR="009D07E9" w:rsidRPr="00C2332A">
        <w:rPr>
          <w:rFonts w:ascii="Times New Roman" w:hAnsi="Times New Roman" w:cs="Times New Roman"/>
          <w:b/>
          <w:bCs/>
          <w:lang w:val="es-ES_tradnl"/>
        </w:rPr>
        <w:t xml:space="preserve">—y </w:t>
      </w:r>
      <w:r w:rsidR="00E5200B" w:rsidRPr="00C2332A">
        <w:rPr>
          <w:rFonts w:ascii="Times New Roman" w:hAnsi="Times New Roman" w:cs="Times New Roman"/>
          <w:b/>
          <w:bCs/>
          <w:lang w:val="es-ES_tradnl"/>
        </w:rPr>
        <w:t>judicial) están en rojo</w:t>
      </w:r>
      <w:r w:rsidR="00E5200B" w:rsidRPr="00E5200B">
        <w:rPr>
          <w:rFonts w:ascii="Times New Roman" w:hAnsi="Times New Roman" w:cs="Times New Roman"/>
          <w:bCs/>
          <w:lang w:val="es-ES_tradnl"/>
        </w:rPr>
        <w:t>, con déficit actuariales que pagar</w:t>
      </w:r>
      <w:r w:rsidR="00C2332A">
        <w:rPr>
          <w:rFonts w:ascii="Times New Roman" w:hAnsi="Times New Roman" w:cs="Times New Roman"/>
          <w:bCs/>
          <w:lang w:val="es-ES_tradnl"/>
        </w:rPr>
        <w:t>á</w:t>
      </w:r>
      <w:r w:rsidR="00E5200B" w:rsidRPr="00E5200B">
        <w:rPr>
          <w:rFonts w:ascii="Times New Roman" w:hAnsi="Times New Roman" w:cs="Times New Roman"/>
          <w:bCs/>
          <w:lang w:val="es-ES_tradnl"/>
        </w:rPr>
        <w:t>n las próximas generaciones</w:t>
      </w:r>
      <w:r w:rsidR="009D07E9">
        <w:rPr>
          <w:rFonts w:ascii="Times New Roman" w:hAnsi="Times New Roman" w:cs="Times New Roman"/>
          <w:bCs/>
          <w:lang w:val="es-ES_tradnl"/>
        </w:rPr>
        <w:t xml:space="preserve">, aproximadamente 112% del </w:t>
      </w:r>
      <w:r w:rsidR="00C2332A">
        <w:rPr>
          <w:rFonts w:ascii="Times New Roman" w:hAnsi="Times New Roman" w:cs="Times New Roman"/>
          <w:bCs/>
          <w:lang w:val="es-ES_tradnl"/>
        </w:rPr>
        <w:t>PIB,</w:t>
      </w:r>
      <w:r w:rsidR="009D07E9">
        <w:rPr>
          <w:rFonts w:ascii="Times New Roman" w:hAnsi="Times New Roman" w:cs="Times New Roman"/>
          <w:bCs/>
          <w:lang w:val="es-ES_tradnl"/>
        </w:rPr>
        <w:t xml:space="preserve"> aunque han tenido una reducción por el ajuste a las judiciales</w:t>
      </w:r>
      <w:r w:rsidR="00E5200B" w:rsidRPr="00E5200B">
        <w:rPr>
          <w:rFonts w:ascii="Times New Roman" w:hAnsi="Times New Roman" w:cs="Times New Roman"/>
          <w:bCs/>
          <w:lang w:val="es-ES_tradnl"/>
        </w:rPr>
        <w:t xml:space="preserve">. </w:t>
      </w:r>
    </w:p>
    <w:p w14:paraId="527561B2" w14:textId="77777777" w:rsidR="00946E4D" w:rsidRDefault="004119BF" w:rsidP="00E03D16">
      <w:pPr>
        <w:spacing w:after="120" w:line="360" w:lineRule="auto"/>
        <w:jc w:val="both"/>
        <w:rPr>
          <w:rFonts w:ascii="Times New Roman" w:hAnsi="Times New Roman" w:cs="Times New Roman"/>
          <w:bCs/>
          <w:lang w:val="es-ES_tradnl"/>
        </w:rPr>
      </w:pPr>
      <w:r w:rsidRPr="00C2332A">
        <w:rPr>
          <w:rFonts w:ascii="Times New Roman" w:hAnsi="Times New Roman" w:cs="Times New Roman"/>
          <w:b/>
          <w:bCs/>
          <w:lang w:val="es-ES_tradnl"/>
        </w:rPr>
        <w:t>6</w:t>
      </w:r>
      <w:r w:rsidR="00A67D56" w:rsidRPr="00C2332A">
        <w:rPr>
          <w:rFonts w:ascii="Times New Roman" w:hAnsi="Times New Roman" w:cs="Times New Roman"/>
          <w:b/>
          <w:bCs/>
          <w:lang w:val="es-ES_tradnl"/>
        </w:rPr>
        <w:t xml:space="preserve">. </w:t>
      </w:r>
      <w:r w:rsidR="00C2332A" w:rsidRPr="00C2332A">
        <w:rPr>
          <w:rFonts w:ascii="Times New Roman" w:hAnsi="Times New Roman" w:cs="Times New Roman"/>
          <w:b/>
          <w:bCs/>
          <w:lang w:val="es-ES_tradnl"/>
        </w:rPr>
        <w:t>E</w:t>
      </w:r>
      <w:r w:rsidR="00E5200B" w:rsidRPr="00C2332A">
        <w:rPr>
          <w:rFonts w:ascii="Times New Roman" w:hAnsi="Times New Roman" w:cs="Times New Roman"/>
          <w:b/>
          <w:bCs/>
          <w:lang w:val="es-ES_tradnl"/>
        </w:rPr>
        <w:t>l sistema de los cargos en propiedad en el sector público no puede funcionar eficientemente en el siglo XXI.</w:t>
      </w:r>
      <w:r w:rsidR="00E5200B" w:rsidRPr="00E5200B">
        <w:rPr>
          <w:rFonts w:ascii="Times New Roman" w:hAnsi="Times New Roman" w:cs="Times New Roman"/>
          <w:bCs/>
          <w:lang w:val="es-ES_tradnl"/>
        </w:rPr>
        <w:t xml:space="preserve"> </w:t>
      </w:r>
      <w:r w:rsidR="007C2EDB">
        <w:rPr>
          <w:rFonts w:ascii="Times New Roman" w:hAnsi="Times New Roman" w:cs="Times New Roman"/>
          <w:bCs/>
          <w:lang w:val="es-ES_tradnl"/>
        </w:rPr>
        <w:t xml:space="preserve">El contexto </w:t>
      </w:r>
      <w:r w:rsidR="003907FE">
        <w:rPr>
          <w:rFonts w:ascii="Times New Roman" w:hAnsi="Times New Roman" w:cs="Times New Roman"/>
          <w:bCs/>
          <w:lang w:val="es-ES_tradnl"/>
        </w:rPr>
        <w:t>político y económico está cambiando constantemente, por lo que es fundamental que los puestos de la alta gerencia del sector público</w:t>
      </w:r>
      <w:r w:rsidR="000D327E">
        <w:rPr>
          <w:rFonts w:ascii="Times New Roman" w:hAnsi="Times New Roman" w:cs="Times New Roman"/>
          <w:bCs/>
          <w:lang w:val="es-ES_tradnl"/>
        </w:rPr>
        <w:t xml:space="preserve"> </w:t>
      </w:r>
      <w:r w:rsidR="00EF4CFB">
        <w:rPr>
          <w:rFonts w:ascii="Times New Roman" w:hAnsi="Times New Roman" w:cs="Times New Roman"/>
          <w:bCs/>
          <w:lang w:val="es-ES_tradnl"/>
        </w:rPr>
        <w:t xml:space="preserve">se adapte a </w:t>
      </w:r>
      <w:r w:rsidR="0075240A">
        <w:rPr>
          <w:rFonts w:ascii="Times New Roman" w:hAnsi="Times New Roman" w:cs="Times New Roman"/>
          <w:bCs/>
          <w:lang w:val="es-ES_tradnl"/>
        </w:rPr>
        <w:t xml:space="preserve">los nuevos lineamientos de las autoridades. </w:t>
      </w:r>
      <w:r w:rsidR="00BF2A03">
        <w:rPr>
          <w:rFonts w:ascii="Times New Roman" w:hAnsi="Times New Roman" w:cs="Times New Roman"/>
          <w:bCs/>
          <w:lang w:val="es-ES_tradnl"/>
        </w:rPr>
        <w:t>Cargos vitalicios de la alta gerencia (puestos en propiedad), son un riesgo latente para l</w:t>
      </w:r>
      <w:r w:rsidR="00AE1348">
        <w:rPr>
          <w:rFonts w:ascii="Times New Roman" w:hAnsi="Times New Roman" w:cs="Times New Roman"/>
          <w:bCs/>
          <w:lang w:val="es-ES_tradnl"/>
        </w:rPr>
        <w:t>os departamentos de la administración</w:t>
      </w:r>
      <w:r w:rsidR="00A80845">
        <w:rPr>
          <w:rFonts w:ascii="Times New Roman" w:hAnsi="Times New Roman" w:cs="Times New Roman"/>
          <w:bCs/>
          <w:lang w:val="es-ES_tradnl"/>
        </w:rPr>
        <w:t xml:space="preserve">, ya que cambios en de política </w:t>
      </w:r>
      <w:r w:rsidR="000039FD">
        <w:rPr>
          <w:rFonts w:ascii="Times New Roman" w:hAnsi="Times New Roman" w:cs="Times New Roman"/>
          <w:bCs/>
          <w:lang w:val="es-ES_tradnl"/>
        </w:rPr>
        <w:t>supone</w:t>
      </w:r>
      <w:r w:rsidR="00A80845">
        <w:rPr>
          <w:rFonts w:ascii="Times New Roman" w:hAnsi="Times New Roman" w:cs="Times New Roman"/>
          <w:bCs/>
          <w:lang w:val="es-ES_tradnl"/>
        </w:rPr>
        <w:t>n</w:t>
      </w:r>
      <w:r w:rsidR="000039FD">
        <w:rPr>
          <w:rFonts w:ascii="Times New Roman" w:hAnsi="Times New Roman" w:cs="Times New Roman"/>
          <w:bCs/>
          <w:lang w:val="es-ES_tradnl"/>
        </w:rPr>
        <w:t xml:space="preserve"> un cambio en la </w:t>
      </w:r>
      <w:r w:rsidR="00E5200B" w:rsidRPr="00E5200B">
        <w:rPr>
          <w:rFonts w:ascii="Times New Roman" w:hAnsi="Times New Roman" w:cs="Times New Roman"/>
          <w:bCs/>
          <w:lang w:val="es-ES_tradnl"/>
        </w:rPr>
        <w:t>gestión</w:t>
      </w:r>
      <w:r w:rsidR="007A38D3">
        <w:rPr>
          <w:rFonts w:ascii="Times New Roman" w:hAnsi="Times New Roman" w:cs="Times New Roman"/>
          <w:bCs/>
          <w:lang w:val="es-ES_tradnl"/>
        </w:rPr>
        <w:t xml:space="preserve"> y</w:t>
      </w:r>
      <w:r w:rsidR="00A80845">
        <w:rPr>
          <w:rFonts w:ascii="Times New Roman" w:hAnsi="Times New Roman" w:cs="Times New Roman"/>
          <w:bCs/>
          <w:lang w:val="es-ES_tradnl"/>
        </w:rPr>
        <w:t>,</w:t>
      </w:r>
      <w:r w:rsidR="007A38D3">
        <w:rPr>
          <w:rFonts w:ascii="Times New Roman" w:hAnsi="Times New Roman" w:cs="Times New Roman"/>
          <w:bCs/>
          <w:lang w:val="es-ES_tradnl"/>
        </w:rPr>
        <w:t xml:space="preserve"> </w:t>
      </w:r>
      <w:r w:rsidR="00A80845">
        <w:rPr>
          <w:rFonts w:ascii="Times New Roman" w:hAnsi="Times New Roman" w:cs="Times New Roman"/>
          <w:bCs/>
          <w:lang w:val="es-ES_tradnl"/>
        </w:rPr>
        <w:t xml:space="preserve">por lo tanto, en </w:t>
      </w:r>
      <w:r w:rsidR="007A38D3">
        <w:rPr>
          <w:rFonts w:ascii="Times New Roman" w:hAnsi="Times New Roman" w:cs="Times New Roman"/>
          <w:bCs/>
          <w:lang w:val="es-ES_tradnl"/>
        </w:rPr>
        <w:t>las personas</w:t>
      </w:r>
      <w:r w:rsidR="00E5200B" w:rsidRPr="00E5200B">
        <w:rPr>
          <w:rFonts w:ascii="Times New Roman" w:hAnsi="Times New Roman" w:cs="Times New Roman"/>
          <w:bCs/>
          <w:lang w:val="es-ES_tradnl"/>
        </w:rPr>
        <w:t xml:space="preserve">. </w:t>
      </w:r>
      <w:r w:rsidR="00453EE1">
        <w:rPr>
          <w:rFonts w:ascii="Times New Roman" w:hAnsi="Times New Roman" w:cs="Times New Roman"/>
          <w:bCs/>
          <w:lang w:val="es-ES_tradnl"/>
        </w:rPr>
        <w:t>Es importante e</w:t>
      </w:r>
      <w:r w:rsidR="00E5200B" w:rsidRPr="00E5200B">
        <w:rPr>
          <w:rFonts w:ascii="Times New Roman" w:hAnsi="Times New Roman" w:cs="Times New Roman"/>
          <w:bCs/>
          <w:lang w:val="es-ES_tradnl"/>
        </w:rPr>
        <w:t>ntonces,</w:t>
      </w:r>
      <w:r w:rsidR="00995FA7">
        <w:rPr>
          <w:rFonts w:ascii="Times New Roman" w:hAnsi="Times New Roman" w:cs="Times New Roman"/>
          <w:bCs/>
          <w:lang w:val="es-ES_tradnl"/>
        </w:rPr>
        <w:t xml:space="preserve"> eliminar la figura de propiedad o, por lo menos, </w:t>
      </w:r>
      <w:r w:rsidR="00E5200B" w:rsidRPr="00E5200B">
        <w:rPr>
          <w:rFonts w:ascii="Times New Roman" w:hAnsi="Times New Roman" w:cs="Times New Roman"/>
          <w:bCs/>
          <w:lang w:val="es-ES_tradnl"/>
        </w:rPr>
        <w:t xml:space="preserve">se debería permitir que se </w:t>
      </w:r>
      <w:r w:rsidR="0034184F">
        <w:rPr>
          <w:rFonts w:ascii="Times New Roman" w:hAnsi="Times New Roman" w:cs="Times New Roman"/>
          <w:bCs/>
          <w:lang w:val="es-ES_tradnl"/>
        </w:rPr>
        <w:t>sustituyan en la función</w:t>
      </w:r>
      <w:r w:rsidR="00E5200B" w:rsidRPr="00E5200B">
        <w:rPr>
          <w:rFonts w:ascii="Times New Roman" w:hAnsi="Times New Roman" w:cs="Times New Roman"/>
          <w:bCs/>
          <w:lang w:val="es-ES_tradnl"/>
        </w:rPr>
        <w:t xml:space="preserve">, sin afectar sus remuneraciones, y </w:t>
      </w:r>
      <w:r w:rsidR="007C0E83">
        <w:rPr>
          <w:rFonts w:ascii="Times New Roman" w:hAnsi="Times New Roman" w:cs="Times New Roman"/>
          <w:bCs/>
          <w:lang w:val="es-ES_tradnl"/>
        </w:rPr>
        <w:t>que a n</w:t>
      </w:r>
      <w:r w:rsidR="00E5200B" w:rsidRPr="00E5200B">
        <w:rPr>
          <w:rFonts w:ascii="Times New Roman" w:hAnsi="Times New Roman" w:cs="Times New Roman"/>
          <w:bCs/>
          <w:lang w:val="es-ES_tradnl"/>
        </w:rPr>
        <w:t>ivel</w:t>
      </w:r>
      <w:r w:rsidR="007B03F3">
        <w:rPr>
          <w:rFonts w:ascii="Times New Roman" w:hAnsi="Times New Roman" w:cs="Times New Roman"/>
          <w:bCs/>
          <w:lang w:val="es-ES_tradnl"/>
        </w:rPr>
        <w:t>es</w:t>
      </w:r>
      <w:r w:rsidR="00E5200B" w:rsidRPr="00E5200B">
        <w:rPr>
          <w:rFonts w:ascii="Times New Roman" w:hAnsi="Times New Roman" w:cs="Times New Roman"/>
          <w:bCs/>
          <w:lang w:val="es-ES_tradnl"/>
        </w:rPr>
        <w:t xml:space="preserve"> inferior</w:t>
      </w:r>
      <w:r w:rsidR="007C0E83">
        <w:rPr>
          <w:rFonts w:ascii="Times New Roman" w:hAnsi="Times New Roman" w:cs="Times New Roman"/>
          <w:bCs/>
          <w:lang w:val="es-ES_tradnl"/>
        </w:rPr>
        <w:t xml:space="preserve">es de la jerarquía </w:t>
      </w:r>
      <w:r w:rsidR="00E5200B" w:rsidRPr="00E5200B">
        <w:rPr>
          <w:rFonts w:ascii="Times New Roman" w:hAnsi="Times New Roman" w:cs="Times New Roman"/>
          <w:bCs/>
          <w:lang w:val="es-ES_tradnl"/>
        </w:rPr>
        <w:t>se coopte</w:t>
      </w:r>
      <w:r w:rsidR="007C0E83">
        <w:rPr>
          <w:rFonts w:ascii="Times New Roman" w:hAnsi="Times New Roman" w:cs="Times New Roman"/>
          <w:bCs/>
          <w:lang w:val="es-ES_tradnl"/>
        </w:rPr>
        <w:t xml:space="preserve"> entre rango de grados</w:t>
      </w:r>
      <w:r w:rsidR="00E5200B" w:rsidRPr="00E5200B">
        <w:rPr>
          <w:rFonts w:ascii="Times New Roman" w:hAnsi="Times New Roman" w:cs="Times New Roman"/>
          <w:bCs/>
          <w:lang w:val="es-ES_tradnl"/>
        </w:rPr>
        <w:t xml:space="preserve">, pero </w:t>
      </w:r>
      <w:r w:rsidR="007B03F3">
        <w:rPr>
          <w:rFonts w:ascii="Times New Roman" w:hAnsi="Times New Roman" w:cs="Times New Roman"/>
          <w:bCs/>
          <w:lang w:val="es-ES_tradnl"/>
        </w:rPr>
        <w:t>permitiendo</w:t>
      </w:r>
      <w:r w:rsidR="00E5200B" w:rsidRPr="00E5200B">
        <w:rPr>
          <w:rFonts w:ascii="Times New Roman" w:hAnsi="Times New Roman" w:cs="Times New Roman"/>
          <w:bCs/>
          <w:lang w:val="es-ES_tradnl"/>
        </w:rPr>
        <w:t xml:space="preserve"> cambiar a los puestos de gerencia y jefatura. </w:t>
      </w:r>
    </w:p>
    <w:p w14:paraId="7C31BE8E" w14:textId="77777777" w:rsidR="00E5200B" w:rsidRPr="00E5200B" w:rsidRDefault="004119BF" w:rsidP="00E5200B">
      <w:pPr>
        <w:spacing w:after="120" w:line="360" w:lineRule="auto"/>
        <w:jc w:val="both"/>
        <w:rPr>
          <w:rFonts w:ascii="Times New Roman" w:hAnsi="Times New Roman" w:cs="Times New Roman"/>
          <w:bCs/>
          <w:lang w:val="es-ES_tradnl"/>
        </w:rPr>
      </w:pPr>
      <w:r w:rsidRPr="006C6446">
        <w:rPr>
          <w:rFonts w:ascii="Times New Roman" w:hAnsi="Times New Roman" w:cs="Times New Roman"/>
          <w:b/>
          <w:bCs/>
          <w:lang w:val="es-ES_tradnl"/>
        </w:rPr>
        <w:t>7</w:t>
      </w:r>
      <w:r w:rsidR="00946E4D" w:rsidRPr="006C6446">
        <w:rPr>
          <w:rFonts w:ascii="Times New Roman" w:hAnsi="Times New Roman" w:cs="Times New Roman"/>
          <w:b/>
          <w:bCs/>
          <w:lang w:val="es-ES_tradnl"/>
        </w:rPr>
        <w:t xml:space="preserve">. </w:t>
      </w:r>
      <w:r w:rsidR="007272E5" w:rsidRPr="006C6446">
        <w:rPr>
          <w:rFonts w:ascii="Times New Roman" w:hAnsi="Times New Roman" w:cs="Times New Roman"/>
          <w:b/>
          <w:bCs/>
          <w:lang w:val="es-ES_tradnl"/>
        </w:rPr>
        <w:t xml:space="preserve">Es importante que Costa Rica </w:t>
      </w:r>
      <w:r w:rsidR="00E970D8" w:rsidRPr="006C6446">
        <w:rPr>
          <w:rFonts w:ascii="Times New Roman" w:hAnsi="Times New Roman" w:cs="Times New Roman"/>
          <w:b/>
          <w:bCs/>
          <w:lang w:val="es-ES_tradnl"/>
        </w:rPr>
        <w:t>refuerce</w:t>
      </w:r>
      <w:r w:rsidR="007272E5" w:rsidRPr="006C6446">
        <w:rPr>
          <w:rFonts w:ascii="Times New Roman" w:hAnsi="Times New Roman" w:cs="Times New Roman"/>
          <w:b/>
          <w:bCs/>
          <w:lang w:val="es-ES_tradnl"/>
        </w:rPr>
        <w:t xml:space="preserve"> </w:t>
      </w:r>
      <w:r w:rsidR="00966E8E" w:rsidRPr="006C6446">
        <w:rPr>
          <w:rFonts w:ascii="Times New Roman" w:hAnsi="Times New Roman" w:cs="Times New Roman"/>
          <w:b/>
          <w:bCs/>
          <w:lang w:val="es-ES_tradnl"/>
        </w:rPr>
        <w:t>la recaudación del impuesto a la propiedad</w:t>
      </w:r>
      <w:r w:rsidR="006C6446" w:rsidRPr="006C6446">
        <w:rPr>
          <w:rFonts w:ascii="Times New Roman" w:hAnsi="Times New Roman" w:cs="Times New Roman"/>
          <w:b/>
          <w:bCs/>
          <w:lang w:val="es-ES_tradnl"/>
        </w:rPr>
        <w:t xml:space="preserve"> para fortalecer el proceso de descentralización.</w:t>
      </w:r>
      <w:r w:rsidR="006C6446">
        <w:rPr>
          <w:rFonts w:ascii="Times New Roman" w:hAnsi="Times New Roman" w:cs="Times New Roman"/>
          <w:bCs/>
          <w:lang w:val="es-ES_tradnl"/>
        </w:rPr>
        <w:t xml:space="preserve"> Costa Rica</w:t>
      </w:r>
      <w:r w:rsidR="00E5200B" w:rsidRPr="00E5200B">
        <w:rPr>
          <w:rFonts w:ascii="Times New Roman" w:hAnsi="Times New Roman" w:cs="Times New Roman"/>
          <w:bCs/>
          <w:lang w:val="es-ES_tradnl"/>
        </w:rPr>
        <w:t>, quizás el país mejor balanceado</w:t>
      </w:r>
      <w:r w:rsidR="00331B18">
        <w:rPr>
          <w:rFonts w:ascii="Times New Roman" w:hAnsi="Times New Roman" w:cs="Times New Roman"/>
          <w:bCs/>
          <w:lang w:val="es-ES_tradnl"/>
        </w:rPr>
        <w:t xml:space="preserve"> de la región</w:t>
      </w:r>
      <w:r w:rsidR="00E5200B" w:rsidRPr="00E5200B">
        <w:rPr>
          <w:rFonts w:ascii="Times New Roman" w:hAnsi="Times New Roman" w:cs="Times New Roman"/>
          <w:bCs/>
          <w:lang w:val="es-ES_tradnl"/>
        </w:rPr>
        <w:t xml:space="preserve"> en términos demográficos y geográficos (</w:t>
      </w:r>
      <w:r w:rsidR="00E5200B" w:rsidRPr="00946E4D">
        <w:rPr>
          <w:rFonts w:ascii="Times New Roman" w:hAnsi="Times New Roman" w:cs="Times New Roman"/>
          <w:bCs/>
          <w:i/>
          <w:lang w:val="es-ES_tradnl"/>
        </w:rPr>
        <w:t>malgré</w:t>
      </w:r>
      <w:r w:rsidR="00E5200B" w:rsidRPr="00E5200B">
        <w:rPr>
          <w:rFonts w:ascii="Times New Roman" w:hAnsi="Times New Roman" w:cs="Times New Roman"/>
          <w:bCs/>
          <w:lang w:val="es-ES_tradnl"/>
        </w:rPr>
        <w:t xml:space="preserve"> </w:t>
      </w:r>
      <w:r w:rsidR="00946E4D">
        <w:rPr>
          <w:rFonts w:ascii="Times New Roman" w:hAnsi="Times New Roman" w:cs="Times New Roman"/>
          <w:bCs/>
          <w:lang w:val="es-ES_tradnl"/>
        </w:rPr>
        <w:t>e</w:t>
      </w:r>
      <w:r w:rsidR="00E5200B" w:rsidRPr="00E5200B">
        <w:rPr>
          <w:rFonts w:ascii="Times New Roman" w:hAnsi="Times New Roman" w:cs="Times New Roman"/>
          <w:bCs/>
          <w:lang w:val="es-ES_tradnl"/>
        </w:rPr>
        <w:t xml:space="preserve">l peso del Valle Central), prácticamente </w:t>
      </w:r>
      <w:r w:rsidR="00E5200B" w:rsidRPr="0068402D">
        <w:rPr>
          <w:rFonts w:ascii="Times New Roman" w:hAnsi="Times New Roman" w:cs="Times New Roman"/>
          <w:bCs/>
          <w:u w:val="single"/>
          <w:lang w:val="es-ES_tradnl"/>
        </w:rPr>
        <w:t>no cobra impuestos a la propiedad inmueble</w:t>
      </w:r>
      <w:r w:rsidR="006C6446">
        <w:rPr>
          <w:rFonts w:ascii="Times New Roman" w:hAnsi="Times New Roman" w:cs="Times New Roman"/>
          <w:bCs/>
          <w:u w:val="single"/>
          <w:lang w:val="es-ES_tradnl"/>
        </w:rPr>
        <w:t>,</w:t>
      </w:r>
      <w:r w:rsidR="00A83471">
        <w:rPr>
          <w:rFonts w:ascii="Times New Roman" w:hAnsi="Times New Roman" w:cs="Times New Roman"/>
          <w:bCs/>
          <w:lang w:val="es-ES_tradnl"/>
        </w:rPr>
        <w:t xml:space="preserve"> principal pilar de la descentralización. El cobrarlo</w:t>
      </w:r>
      <w:r w:rsidR="00E5200B" w:rsidRPr="00E5200B">
        <w:rPr>
          <w:rFonts w:ascii="Times New Roman" w:hAnsi="Times New Roman" w:cs="Times New Roman"/>
          <w:bCs/>
          <w:lang w:val="es-ES_tradnl"/>
        </w:rPr>
        <w:t xml:space="preserve"> ayudar</w:t>
      </w:r>
      <w:r w:rsidR="00946E4D">
        <w:rPr>
          <w:rFonts w:ascii="Times New Roman" w:hAnsi="Times New Roman" w:cs="Times New Roman"/>
          <w:bCs/>
          <w:lang w:val="es-ES_tradnl"/>
        </w:rPr>
        <w:t xml:space="preserve">á </w:t>
      </w:r>
      <w:r w:rsidR="00E5200B" w:rsidRPr="00E5200B">
        <w:rPr>
          <w:rFonts w:ascii="Times New Roman" w:hAnsi="Times New Roman" w:cs="Times New Roman"/>
          <w:bCs/>
          <w:lang w:val="es-ES_tradnl"/>
        </w:rPr>
        <w:t xml:space="preserve">también a la equidad </w:t>
      </w:r>
      <w:r w:rsidR="00A83471">
        <w:rPr>
          <w:rFonts w:ascii="Times New Roman" w:hAnsi="Times New Roman" w:cs="Times New Roman"/>
          <w:bCs/>
          <w:lang w:val="es-ES_tradnl"/>
        </w:rPr>
        <w:t>ver</w:t>
      </w:r>
      <w:r w:rsidR="00017A09">
        <w:rPr>
          <w:rFonts w:ascii="Times New Roman" w:hAnsi="Times New Roman" w:cs="Times New Roman"/>
          <w:bCs/>
          <w:lang w:val="es-ES_tradnl"/>
        </w:rPr>
        <w:t>tical</w:t>
      </w:r>
      <w:r w:rsidR="00E15CF3">
        <w:rPr>
          <w:rFonts w:ascii="Times New Roman" w:hAnsi="Times New Roman" w:cs="Times New Roman"/>
          <w:bCs/>
          <w:lang w:val="es-ES_tradnl"/>
        </w:rPr>
        <w:t>,</w:t>
      </w:r>
      <w:r w:rsidR="00017A09">
        <w:rPr>
          <w:rFonts w:ascii="Times New Roman" w:hAnsi="Times New Roman" w:cs="Times New Roman"/>
          <w:bCs/>
          <w:lang w:val="es-ES_tradnl"/>
        </w:rPr>
        <w:t xml:space="preserve"> </w:t>
      </w:r>
      <w:r w:rsidR="00E5200B" w:rsidRPr="00E5200B">
        <w:rPr>
          <w:rFonts w:ascii="Times New Roman" w:hAnsi="Times New Roman" w:cs="Times New Roman"/>
          <w:bCs/>
          <w:lang w:val="es-ES_tradnl"/>
        </w:rPr>
        <w:t>y con e</w:t>
      </w:r>
      <w:r w:rsidR="00017A09">
        <w:rPr>
          <w:rFonts w:ascii="Times New Roman" w:hAnsi="Times New Roman" w:cs="Times New Roman"/>
          <w:bCs/>
          <w:lang w:val="es-ES_tradnl"/>
        </w:rPr>
        <w:t>stos recursos</w:t>
      </w:r>
      <w:r w:rsidR="00E5200B" w:rsidRPr="00E5200B">
        <w:rPr>
          <w:rFonts w:ascii="Times New Roman" w:hAnsi="Times New Roman" w:cs="Times New Roman"/>
          <w:bCs/>
          <w:lang w:val="es-ES_tradnl"/>
        </w:rPr>
        <w:t xml:space="preserve"> se </w:t>
      </w:r>
      <w:r w:rsidR="00E15CF3">
        <w:rPr>
          <w:rFonts w:ascii="Times New Roman" w:hAnsi="Times New Roman" w:cs="Times New Roman"/>
          <w:bCs/>
          <w:lang w:val="es-ES_tradnl"/>
        </w:rPr>
        <w:t xml:space="preserve">puede crear más especio fiscal para financiar </w:t>
      </w:r>
      <w:r w:rsidR="00E5200B" w:rsidRPr="00E5200B">
        <w:rPr>
          <w:rFonts w:ascii="Times New Roman" w:hAnsi="Times New Roman" w:cs="Times New Roman"/>
          <w:bCs/>
          <w:lang w:val="es-ES_tradnl"/>
        </w:rPr>
        <w:t xml:space="preserve">infraestructura pública (vial, educacional, deportivas, etc.). </w:t>
      </w:r>
      <w:r w:rsidR="00DC1844">
        <w:rPr>
          <w:rFonts w:ascii="Times New Roman" w:hAnsi="Times New Roman" w:cs="Times New Roman"/>
          <w:bCs/>
          <w:lang w:val="es-ES_tradnl"/>
        </w:rPr>
        <w:t>Actualmente, ya</w:t>
      </w:r>
      <w:r w:rsidR="00E5200B" w:rsidRPr="00E5200B">
        <w:rPr>
          <w:rFonts w:ascii="Times New Roman" w:hAnsi="Times New Roman" w:cs="Times New Roman"/>
          <w:bCs/>
          <w:lang w:val="es-ES_tradnl"/>
        </w:rPr>
        <w:t xml:space="preserve"> se cobra en vehículos</w:t>
      </w:r>
      <w:r w:rsidR="00946E4D">
        <w:rPr>
          <w:rFonts w:ascii="Times New Roman" w:hAnsi="Times New Roman" w:cs="Times New Roman"/>
          <w:bCs/>
          <w:lang w:val="es-ES_tradnl"/>
        </w:rPr>
        <w:t xml:space="preserve"> (</w:t>
      </w:r>
      <w:r w:rsidR="00DC1844">
        <w:rPr>
          <w:rFonts w:ascii="Times New Roman" w:hAnsi="Times New Roman" w:cs="Times New Roman"/>
          <w:bCs/>
          <w:lang w:val="es-ES_tradnl"/>
        </w:rPr>
        <w:t>“</w:t>
      </w:r>
      <w:r w:rsidR="00E5200B" w:rsidRPr="00E5200B">
        <w:rPr>
          <w:rFonts w:ascii="Times New Roman" w:hAnsi="Times New Roman" w:cs="Times New Roman"/>
          <w:bCs/>
          <w:lang w:val="es-ES_tradnl"/>
        </w:rPr>
        <w:t>Marchamo</w:t>
      </w:r>
      <w:r w:rsidR="00DC1844">
        <w:rPr>
          <w:rFonts w:ascii="Times New Roman" w:hAnsi="Times New Roman" w:cs="Times New Roman"/>
          <w:bCs/>
          <w:lang w:val="es-ES_tradnl"/>
        </w:rPr>
        <w:t>”</w:t>
      </w:r>
      <w:r w:rsidR="00946E4D">
        <w:rPr>
          <w:rFonts w:ascii="Times New Roman" w:hAnsi="Times New Roman" w:cs="Times New Roman"/>
          <w:bCs/>
          <w:lang w:val="es-ES_tradnl"/>
        </w:rPr>
        <w:t>)</w:t>
      </w:r>
      <w:r w:rsidR="00E5200B" w:rsidRPr="00E5200B">
        <w:rPr>
          <w:rFonts w:ascii="Times New Roman" w:hAnsi="Times New Roman" w:cs="Times New Roman"/>
          <w:bCs/>
          <w:lang w:val="es-ES_tradnl"/>
        </w:rPr>
        <w:t xml:space="preserve"> pero </w:t>
      </w:r>
      <w:r w:rsidR="001E17DE">
        <w:rPr>
          <w:rFonts w:ascii="Times New Roman" w:hAnsi="Times New Roman" w:cs="Times New Roman"/>
          <w:bCs/>
          <w:lang w:val="es-ES_tradnl"/>
        </w:rPr>
        <w:t>no así para</w:t>
      </w:r>
      <w:r w:rsidR="00E5200B" w:rsidRPr="00E5200B">
        <w:rPr>
          <w:rFonts w:ascii="Times New Roman" w:hAnsi="Times New Roman" w:cs="Times New Roman"/>
          <w:bCs/>
          <w:lang w:val="es-ES_tradnl"/>
        </w:rPr>
        <w:t xml:space="preserve"> la propiedad inmueble</w:t>
      </w:r>
      <w:r w:rsidR="00946E4D">
        <w:rPr>
          <w:rFonts w:ascii="Times New Roman" w:hAnsi="Times New Roman" w:cs="Times New Roman"/>
          <w:bCs/>
          <w:lang w:val="es-ES_tradnl"/>
        </w:rPr>
        <w:t xml:space="preserve">, siendo que </w:t>
      </w:r>
      <w:r w:rsidR="00E5200B" w:rsidRPr="00E5200B">
        <w:rPr>
          <w:rFonts w:ascii="Times New Roman" w:hAnsi="Times New Roman" w:cs="Times New Roman"/>
          <w:bCs/>
          <w:lang w:val="es-ES_tradnl"/>
        </w:rPr>
        <w:t xml:space="preserve">además </w:t>
      </w:r>
      <w:r w:rsidR="00946E4D">
        <w:rPr>
          <w:rFonts w:ascii="Times New Roman" w:hAnsi="Times New Roman" w:cs="Times New Roman"/>
          <w:bCs/>
          <w:lang w:val="es-ES_tradnl"/>
        </w:rPr>
        <w:t xml:space="preserve">ésta </w:t>
      </w:r>
      <w:r w:rsidR="00E5200B" w:rsidRPr="00E5200B">
        <w:rPr>
          <w:rFonts w:ascii="Times New Roman" w:hAnsi="Times New Roman" w:cs="Times New Roman"/>
          <w:bCs/>
          <w:lang w:val="es-ES_tradnl"/>
        </w:rPr>
        <w:t>absorbe casi todos los beneficios de las obras públicas en su precio. Si a esto se suma a la “</w:t>
      </w:r>
      <w:r w:rsidR="00E5200B" w:rsidRPr="00946E4D">
        <w:rPr>
          <w:rFonts w:ascii="Times New Roman" w:hAnsi="Times New Roman" w:cs="Times New Roman"/>
          <w:bCs/>
          <w:i/>
          <w:lang w:val="es-ES_tradnl"/>
        </w:rPr>
        <w:t>municipalitis</w:t>
      </w:r>
      <w:r w:rsidR="00E5200B" w:rsidRPr="00E5200B">
        <w:rPr>
          <w:rFonts w:ascii="Times New Roman" w:hAnsi="Times New Roman" w:cs="Times New Roman"/>
          <w:bCs/>
          <w:lang w:val="es-ES_tradnl"/>
        </w:rPr>
        <w:t>” latinoamericana (demasiados municipios sin escala económico</w:t>
      </w:r>
      <w:r w:rsidR="00946E4D">
        <w:rPr>
          <w:rFonts w:ascii="Times New Roman" w:hAnsi="Times New Roman" w:cs="Times New Roman"/>
          <w:bCs/>
          <w:lang w:val="es-ES_tradnl"/>
        </w:rPr>
        <w:t>,</w:t>
      </w:r>
      <w:r w:rsidR="00E5200B" w:rsidRPr="00E5200B">
        <w:rPr>
          <w:rFonts w:ascii="Times New Roman" w:hAnsi="Times New Roman" w:cs="Times New Roman"/>
          <w:bCs/>
          <w:lang w:val="es-ES_tradnl"/>
        </w:rPr>
        <w:t xml:space="preserve"> social</w:t>
      </w:r>
      <w:r w:rsidR="00946E4D">
        <w:rPr>
          <w:rFonts w:ascii="Times New Roman" w:hAnsi="Times New Roman" w:cs="Times New Roman"/>
          <w:bCs/>
          <w:lang w:val="es-ES_tradnl"/>
        </w:rPr>
        <w:t xml:space="preserve"> y administrativa</w:t>
      </w:r>
      <w:r w:rsidR="00E5200B" w:rsidRPr="00E5200B">
        <w:rPr>
          <w:rFonts w:ascii="Times New Roman" w:hAnsi="Times New Roman" w:cs="Times New Roman"/>
          <w:bCs/>
          <w:lang w:val="es-ES_tradnl"/>
        </w:rPr>
        <w:t xml:space="preserve">) redunda en que la mayoría de las alcaldías sean mendicantes del </w:t>
      </w:r>
      <w:r w:rsidR="00FA12BD">
        <w:rPr>
          <w:rFonts w:ascii="Times New Roman" w:hAnsi="Times New Roman" w:cs="Times New Roman"/>
          <w:bCs/>
          <w:lang w:val="es-ES_tradnl"/>
        </w:rPr>
        <w:t>G</w:t>
      </w:r>
      <w:r w:rsidR="00E5200B" w:rsidRPr="00E5200B">
        <w:rPr>
          <w:rFonts w:ascii="Times New Roman" w:hAnsi="Times New Roman" w:cs="Times New Roman"/>
          <w:bCs/>
          <w:lang w:val="es-ES_tradnl"/>
        </w:rPr>
        <w:t xml:space="preserve">obierno </w:t>
      </w:r>
      <w:r w:rsidR="00FA12BD">
        <w:rPr>
          <w:rFonts w:ascii="Times New Roman" w:hAnsi="Times New Roman" w:cs="Times New Roman"/>
          <w:bCs/>
          <w:lang w:val="es-ES_tradnl"/>
        </w:rPr>
        <w:t>C</w:t>
      </w:r>
      <w:r w:rsidR="00E5200B" w:rsidRPr="00E5200B">
        <w:rPr>
          <w:rFonts w:ascii="Times New Roman" w:hAnsi="Times New Roman" w:cs="Times New Roman"/>
          <w:bCs/>
          <w:lang w:val="es-ES_tradnl"/>
        </w:rPr>
        <w:t>entral y</w:t>
      </w:r>
      <w:r w:rsidR="00156C14">
        <w:rPr>
          <w:rFonts w:ascii="Times New Roman" w:hAnsi="Times New Roman" w:cs="Times New Roman"/>
          <w:bCs/>
          <w:lang w:val="es-ES_tradnl"/>
        </w:rPr>
        <w:t xml:space="preserve"> </w:t>
      </w:r>
      <w:r w:rsidR="00E5200B" w:rsidRPr="00E5200B">
        <w:rPr>
          <w:rFonts w:ascii="Times New Roman" w:hAnsi="Times New Roman" w:cs="Times New Roman"/>
          <w:bCs/>
          <w:lang w:val="es-ES_tradnl"/>
        </w:rPr>
        <w:t xml:space="preserve">descoordinados en un país integrado socialmente pero </w:t>
      </w:r>
      <w:r w:rsidR="00946E4D">
        <w:rPr>
          <w:rFonts w:ascii="Times New Roman" w:hAnsi="Times New Roman" w:cs="Times New Roman"/>
          <w:bCs/>
          <w:lang w:val="es-ES_tradnl"/>
        </w:rPr>
        <w:t>no</w:t>
      </w:r>
      <w:r w:rsidR="00E5200B" w:rsidRPr="00E5200B">
        <w:rPr>
          <w:rFonts w:ascii="Times New Roman" w:hAnsi="Times New Roman" w:cs="Times New Roman"/>
          <w:bCs/>
          <w:lang w:val="es-ES_tradnl"/>
        </w:rPr>
        <w:t xml:space="preserve"> físicamente, perjudicando su potencial de crecimiento productivo y desarrollo social.</w:t>
      </w:r>
    </w:p>
    <w:p w14:paraId="1B684613" w14:textId="77777777" w:rsidR="00E5200B" w:rsidRPr="00E5200B" w:rsidRDefault="00B67401" w:rsidP="00E5200B">
      <w:pPr>
        <w:spacing w:after="120" w:line="360" w:lineRule="auto"/>
        <w:jc w:val="both"/>
        <w:rPr>
          <w:rFonts w:ascii="Times New Roman" w:hAnsi="Times New Roman" w:cs="Times New Roman"/>
          <w:bCs/>
          <w:lang w:val="es-ES_tradnl"/>
        </w:rPr>
      </w:pPr>
      <w:r w:rsidRPr="000A2DD2">
        <w:rPr>
          <w:rFonts w:ascii="Times New Roman" w:hAnsi="Times New Roman" w:cs="Times New Roman"/>
          <w:b/>
          <w:bCs/>
          <w:lang w:val="es-ES_tradnl"/>
        </w:rPr>
        <w:t>M</w:t>
      </w:r>
      <w:r w:rsidR="00E5200B" w:rsidRPr="000A2DD2">
        <w:rPr>
          <w:rFonts w:ascii="Times New Roman" w:hAnsi="Times New Roman" w:cs="Times New Roman"/>
          <w:b/>
          <w:bCs/>
          <w:lang w:val="es-ES_tradnl"/>
        </w:rPr>
        <w:t xml:space="preserve">ás allá de los ajustes fiscales que tenga que hacer en el corto plazo y que son casi inevitables, Costa Rica debe repensar </w:t>
      </w:r>
      <w:r w:rsidR="00946E4D" w:rsidRPr="000A2DD2">
        <w:rPr>
          <w:rFonts w:ascii="Times New Roman" w:hAnsi="Times New Roman" w:cs="Times New Roman"/>
          <w:b/>
          <w:bCs/>
          <w:lang w:val="es-ES_tradnl"/>
        </w:rPr>
        <w:t xml:space="preserve">y cambiar </w:t>
      </w:r>
      <w:r w:rsidR="00E5200B" w:rsidRPr="000A2DD2">
        <w:rPr>
          <w:rFonts w:ascii="Times New Roman" w:hAnsi="Times New Roman" w:cs="Times New Roman"/>
          <w:b/>
          <w:bCs/>
          <w:lang w:val="es-ES_tradnl"/>
        </w:rPr>
        <w:t>su institucionalidad fiscal</w:t>
      </w:r>
      <w:r w:rsidR="00E5200B" w:rsidRPr="00E5200B">
        <w:rPr>
          <w:rFonts w:ascii="Times New Roman" w:hAnsi="Times New Roman" w:cs="Times New Roman"/>
          <w:bCs/>
          <w:lang w:val="es-ES_tradnl"/>
        </w:rPr>
        <w:t xml:space="preserve"> porque la </w:t>
      </w:r>
      <w:r w:rsidR="00946E4D">
        <w:rPr>
          <w:rFonts w:ascii="Times New Roman" w:hAnsi="Times New Roman" w:cs="Times New Roman"/>
          <w:bCs/>
          <w:lang w:val="es-ES_tradnl"/>
        </w:rPr>
        <w:t>vigente</w:t>
      </w:r>
      <w:r w:rsidR="00E5200B" w:rsidRPr="00E5200B">
        <w:rPr>
          <w:rFonts w:ascii="Times New Roman" w:hAnsi="Times New Roman" w:cs="Times New Roman"/>
          <w:bCs/>
          <w:lang w:val="es-ES_tradnl"/>
        </w:rPr>
        <w:t xml:space="preserve"> es anacrónica y no se adapta a l</w:t>
      </w:r>
      <w:r w:rsidR="00946E4D">
        <w:rPr>
          <w:rFonts w:ascii="Times New Roman" w:hAnsi="Times New Roman" w:cs="Times New Roman"/>
          <w:bCs/>
          <w:lang w:val="es-ES_tradnl"/>
        </w:rPr>
        <w:t>a de una economía</w:t>
      </w:r>
      <w:r w:rsidR="00E5200B" w:rsidRPr="00E5200B">
        <w:rPr>
          <w:rFonts w:ascii="Times New Roman" w:hAnsi="Times New Roman" w:cs="Times New Roman"/>
          <w:bCs/>
          <w:lang w:val="es-ES_tradnl"/>
        </w:rPr>
        <w:t xml:space="preserve"> modern</w:t>
      </w:r>
      <w:r w:rsidR="00946E4D">
        <w:rPr>
          <w:rFonts w:ascii="Times New Roman" w:hAnsi="Times New Roman" w:cs="Times New Roman"/>
          <w:bCs/>
          <w:lang w:val="es-ES_tradnl"/>
        </w:rPr>
        <w:t>a</w:t>
      </w:r>
      <w:r w:rsidR="00E5200B" w:rsidRPr="00E5200B">
        <w:rPr>
          <w:rFonts w:ascii="Times New Roman" w:hAnsi="Times New Roman" w:cs="Times New Roman"/>
          <w:bCs/>
          <w:lang w:val="es-ES_tradnl"/>
        </w:rPr>
        <w:t xml:space="preserve">. </w:t>
      </w:r>
      <w:r>
        <w:rPr>
          <w:rFonts w:ascii="Times New Roman" w:hAnsi="Times New Roman" w:cs="Times New Roman"/>
          <w:bCs/>
          <w:lang w:val="es-ES_tradnl"/>
        </w:rPr>
        <w:t>Justo es r</w:t>
      </w:r>
      <w:r w:rsidR="00E5200B" w:rsidRPr="00E5200B">
        <w:rPr>
          <w:rFonts w:ascii="Times New Roman" w:hAnsi="Times New Roman" w:cs="Times New Roman"/>
          <w:bCs/>
          <w:lang w:val="es-ES_tradnl"/>
        </w:rPr>
        <w:t>econo</w:t>
      </w:r>
      <w:r>
        <w:rPr>
          <w:rFonts w:ascii="Times New Roman" w:hAnsi="Times New Roman" w:cs="Times New Roman"/>
          <w:bCs/>
          <w:lang w:val="es-ES_tradnl"/>
        </w:rPr>
        <w:t>cer</w:t>
      </w:r>
      <w:r w:rsidR="00E5200B" w:rsidRPr="00E5200B">
        <w:rPr>
          <w:rFonts w:ascii="Times New Roman" w:hAnsi="Times New Roman" w:cs="Times New Roman"/>
          <w:bCs/>
          <w:lang w:val="es-ES_tradnl"/>
        </w:rPr>
        <w:t xml:space="preserve"> que se hace difícil cambiarlo, porque </w:t>
      </w:r>
      <w:r w:rsidR="00946E4D">
        <w:rPr>
          <w:rFonts w:ascii="Times New Roman" w:hAnsi="Times New Roman" w:cs="Times New Roman"/>
          <w:bCs/>
          <w:lang w:val="es-ES_tradnl"/>
        </w:rPr>
        <w:t xml:space="preserve">muchos de sus instrumentos </w:t>
      </w:r>
      <w:r w:rsidR="00E5200B" w:rsidRPr="00E5200B">
        <w:rPr>
          <w:rFonts w:ascii="Times New Roman" w:hAnsi="Times New Roman" w:cs="Times New Roman"/>
          <w:bCs/>
          <w:lang w:val="es-ES_tradnl"/>
        </w:rPr>
        <w:t xml:space="preserve">fueron </w:t>
      </w:r>
      <w:r w:rsidR="00946E4D" w:rsidRPr="00E5200B">
        <w:rPr>
          <w:rFonts w:ascii="Times New Roman" w:hAnsi="Times New Roman" w:cs="Times New Roman"/>
          <w:bCs/>
          <w:lang w:val="es-ES_tradnl"/>
        </w:rPr>
        <w:t>exitosos,</w:t>
      </w:r>
      <w:r w:rsidR="00E5200B" w:rsidRPr="00E5200B">
        <w:rPr>
          <w:rFonts w:ascii="Times New Roman" w:hAnsi="Times New Roman" w:cs="Times New Roman"/>
          <w:bCs/>
          <w:lang w:val="es-ES_tradnl"/>
        </w:rPr>
        <w:t xml:space="preserve"> pero </w:t>
      </w:r>
      <w:r>
        <w:rPr>
          <w:rFonts w:ascii="Times New Roman" w:hAnsi="Times New Roman" w:cs="Times New Roman"/>
          <w:bCs/>
          <w:lang w:val="es-ES_tradnl"/>
        </w:rPr>
        <w:t xml:space="preserve">se deben actualizar </w:t>
      </w:r>
      <w:r w:rsidR="00E5200B" w:rsidRPr="00E5200B">
        <w:rPr>
          <w:rFonts w:ascii="Times New Roman" w:hAnsi="Times New Roman" w:cs="Times New Roman"/>
          <w:bCs/>
          <w:lang w:val="es-ES_tradnl"/>
        </w:rPr>
        <w:t>porque el mundo se transforma a gran velocidad y no podemos esperar los mismos resultados de las mismas políticas cuando las condiciones tecnológicas, económicas y culturales son diferentes.</w:t>
      </w:r>
    </w:p>
    <w:p w14:paraId="0A54FD61" w14:textId="77777777" w:rsidR="00E5200B" w:rsidRPr="00E5200B" w:rsidRDefault="000A2DD2" w:rsidP="00E5200B">
      <w:pPr>
        <w:spacing w:after="120" w:line="360" w:lineRule="auto"/>
        <w:jc w:val="both"/>
        <w:rPr>
          <w:rFonts w:ascii="Times New Roman" w:hAnsi="Times New Roman" w:cs="Times New Roman"/>
          <w:bCs/>
          <w:lang w:val="es-ES_tradnl"/>
        </w:rPr>
      </w:pPr>
      <w:r w:rsidRPr="000A2DD2">
        <w:rPr>
          <w:rFonts w:ascii="Times New Roman" w:hAnsi="Times New Roman" w:cs="Times New Roman"/>
          <w:b/>
          <w:bCs/>
          <w:lang w:val="es-ES_tradnl"/>
        </w:rPr>
        <w:t>S</w:t>
      </w:r>
      <w:r w:rsidR="00E5200B" w:rsidRPr="000A2DD2">
        <w:rPr>
          <w:rFonts w:ascii="Times New Roman" w:hAnsi="Times New Roman" w:cs="Times New Roman"/>
          <w:b/>
          <w:bCs/>
          <w:lang w:val="es-ES_tradnl"/>
        </w:rPr>
        <w:t xml:space="preserve">i no evolucionan esas estructuras que son palanca del desarrollo, el pilar fiscal desencajado </w:t>
      </w:r>
      <w:r w:rsidR="001710F9" w:rsidRPr="000A2DD2">
        <w:rPr>
          <w:rFonts w:ascii="Times New Roman" w:hAnsi="Times New Roman" w:cs="Times New Roman"/>
          <w:b/>
          <w:bCs/>
          <w:lang w:val="es-ES_tradnl"/>
        </w:rPr>
        <w:t xml:space="preserve">va a ir </w:t>
      </w:r>
      <w:r w:rsidR="00E5200B" w:rsidRPr="000A2DD2">
        <w:rPr>
          <w:rFonts w:ascii="Times New Roman" w:hAnsi="Times New Roman" w:cs="Times New Roman"/>
          <w:b/>
          <w:bCs/>
          <w:lang w:val="es-ES_tradnl"/>
        </w:rPr>
        <w:t>agujerea</w:t>
      </w:r>
      <w:r w:rsidR="001710F9" w:rsidRPr="000A2DD2">
        <w:rPr>
          <w:rFonts w:ascii="Times New Roman" w:hAnsi="Times New Roman" w:cs="Times New Roman"/>
          <w:b/>
          <w:bCs/>
          <w:lang w:val="es-ES_tradnl"/>
        </w:rPr>
        <w:t xml:space="preserve">ndo su </w:t>
      </w:r>
      <w:r w:rsidR="00E5200B" w:rsidRPr="000A2DD2">
        <w:rPr>
          <w:rFonts w:ascii="Times New Roman" w:hAnsi="Times New Roman" w:cs="Times New Roman"/>
          <w:b/>
          <w:bCs/>
          <w:lang w:val="es-ES_tradnl"/>
        </w:rPr>
        <w:t>trama social y productiva.</w:t>
      </w:r>
      <w:r w:rsidR="00E5200B" w:rsidRPr="00E5200B">
        <w:rPr>
          <w:rFonts w:ascii="Times New Roman" w:hAnsi="Times New Roman" w:cs="Times New Roman"/>
          <w:bCs/>
          <w:lang w:val="es-ES_tradnl"/>
        </w:rPr>
        <w:t xml:space="preserve"> E inclusive puede colapsar el “</w:t>
      </w:r>
      <w:r w:rsidR="00E5200B" w:rsidRPr="007D2AF6">
        <w:rPr>
          <w:rFonts w:ascii="Times New Roman" w:hAnsi="Times New Roman" w:cs="Times New Roman"/>
          <w:bCs/>
          <w:i/>
          <w:lang w:val="es-ES_tradnl"/>
        </w:rPr>
        <w:t>tico’s way</w:t>
      </w:r>
      <w:r w:rsidR="00E5200B" w:rsidRPr="00E5200B">
        <w:rPr>
          <w:rFonts w:ascii="Times New Roman" w:hAnsi="Times New Roman" w:cs="Times New Roman"/>
          <w:bCs/>
          <w:lang w:val="es-ES_tradnl"/>
        </w:rPr>
        <w:t xml:space="preserve">”: un conjunto de </w:t>
      </w:r>
      <w:r w:rsidR="001710F9">
        <w:rPr>
          <w:rFonts w:ascii="Times New Roman" w:hAnsi="Times New Roman" w:cs="Times New Roman"/>
          <w:bCs/>
          <w:lang w:val="es-ES_tradnl"/>
        </w:rPr>
        <w:t>valores</w:t>
      </w:r>
      <w:r w:rsidR="00E5200B" w:rsidRPr="00E5200B">
        <w:rPr>
          <w:rFonts w:ascii="Times New Roman" w:hAnsi="Times New Roman" w:cs="Times New Roman"/>
          <w:bCs/>
          <w:lang w:val="es-ES_tradnl"/>
        </w:rPr>
        <w:t xml:space="preserve"> por el cual </w:t>
      </w:r>
      <w:r>
        <w:rPr>
          <w:rFonts w:ascii="Times New Roman" w:hAnsi="Times New Roman" w:cs="Times New Roman"/>
          <w:bCs/>
          <w:lang w:val="es-ES_tradnl"/>
        </w:rPr>
        <w:t xml:space="preserve">la </w:t>
      </w:r>
      <w:r w:rsidR="00E5200B" w:rsidRPr="00E5200B">
        <w:rPr>
          <w:rFonts w:ascii="Times New Roman" w:hAnsi="Times New Roman" w:cs="Times New Roman"/>
          <w:bCs/>
          <w:lang w:val="es-ES_tradnl"/>
        </w:rPr>
        <w:t xml:space="preserve">protección de la calidad de vida para todos privó sobre las diferencias ideológicas; </w:t>
      </w:r>
      <w:r w:rsidR="001710F9">
        <w:rPr>
          <w:rFonts w:ascii="Times New Roman" w:hAnsi="Times New Roman" w:cs="Times New Roman"/>
          <w:bCs/>
          <w:lang w:val="es-ES_tradnl"/>
        </w:rPr>
        <w:t>por los que</w:t>
      </w:r>
      <w:r w:rsidR="00E5200B" w:rsidRPr="00E5200B">
        <w:rPr>
          <w:rFonts w:ascii="Times New Roman" w:hAnsi="Times New Roman" w:cs="Times New Roman"/>
          <w:bCs/>
          <w:lang w:val="es-ES_tradnl"/>
        </w:rPr>
        <w:t xml:space="preserve"> la libertad imperó </w:t>
      </w:r>
      <w:r w:rsidR="007D2AF6">
        <w:rPr>
          <w:rFonts w:ascii="Times New Roman" w:hAnsi="Times New Roman" w:cs="Times New Roman"/>
          <w:bCs/>
          <w:lang w:val="es-ES_tradnl"/>
        </w:rPr>
        <w:t>sobre</w:t>
      </w:r>
      <w:r w:rsidR="00E5200B" w:rsidRPr="00E5200B">
        <w:rPr>
          <w:rFonts w:ascii="Times New Roman" w:hAnsi="Times New Roman" w:cs="Times New Roman"/>
          <w:bCs/>
          <w:lang w:val="es-ES_tradnl"/>
        </w:rPr>
        <w:t xml:space="preserve"> las armas, aún las de los victoriosos, </w:t>
      </w:r>
      <w:r w:rsidR="007D2AF6">
        <w:rPr>
          <w:rFonts w:ascii="Times New Roman" w:hAnsi="Times New Roman" w:cs="Times New Roman"/>
          <w:bCs/>
          <w:lang w:val="es-ES_tradnl"/>
        </w:rPr>
        <w:t>y</w:t>
      </w:r>
      <w:r w:rsidR="00E5200B" w:rsidRPr="00E5200B">
        <w:rPr>
          <w:rFonts w:ascii="Times New Roman" w:hAnsi="Times New Roman" w:cs="Times New Roman"/>
          <w:bCs/>
          <w:lang w:val="es-ES_tradnl"/>
        </w:rPr>
        <w:t xml:space="preserve"> rendían ante las urnas cuando la Guerra Fría congelaba la democracia</w:t>
      </w:r>
      <w:r w:rsidR="001710F9">
        <w:rPr>
          <w:rFonts w:ascii="Times New Roman" w:hAnsi="Times New Roman" w:cs="Times New Roman"/>
          <w:bCs/>
          <w:lang w:val="es-ES_tradnl"/>
        </w:rPr>
        <w:t>. A</w:t>
      </w:r>
      <w:r w:rsidR="00E5200B" w:rsidRPr="00E5200B">
        <w:rPr>
          <w:rFonts w:ascii="Times New Roman" w:hAnsi="Times New Roman" w:cs="Times New Roman"/>
          <w:bCs/>
          <w:lang w:val="es-ES_tradnl"/>
        </w:rPr>
        <w:t>sí se logró el civismo que armoniza tractores con violines cuando alrededor rechinaba la violencia fratricida.</w:t>
      </w:r>
    </w:p>
    <w:p w14:paraId="798927BC" w14:textId="77777777" w:rsidR="00C4123D" w:rsidRPr="00C4123D" w:rsidRDefault="00E5200B" w:rsidP="00E5200B">
      <w:pPr>
        <w:spacing w:after="120" w:line="360" w:lineRule="auto"/>
        <w:jc w:val="both"/>
        <w:rPr>
          <w:rFonts w:ascii="Times New Roman" w:hAnsi="Times New Roman" w:cs="Times New Roman"/>
          <w:bCs/>
        </w:rPr>
      </w:pPr>
      <w:r w:rsidRPr="002841DB">
        <w:rPr>
          <w:rFonts w:ascii="Times New Roman" w:hAnsi="Times New Roman" w:cs="Times New Roman"/>
          <w:b/>
          <w:bCs/>
          <w:lang w:val="es-ES_tradnl"/>
        </w:rPr>
        <w:t xml:space="preserve">Entonces, Costa Rica no debe dejar corroer los cimientos su </w:t>
      </w:r>
      <w:r w:rsidR="001710F9" w:rsidRPr="002841DB">
        <w:rPr>
          <w:rFonts w:ascii="Times New Roman" w:hAnsi="Times New Roman" w:cs="Times New Roman"/>
          <w:b/>
          <w:bCs/>
          <w:lang w:val="es-ES_tradnl"/>
        </w:rPr>
        <w:t>acción</w:t>
      </w:r>
      <w:r w:rsidRPr="002841DB">
        <w:rPr>
          <w:rFonts w:ascii="Times New Roman" w:hAnsi="Times New Roman" w:cs="Times New Roman"/>
          <w:b/>
          <w:bCs/>
          <w:lang w:val="es-ES_tradnl"/>
        </w:rPr>
        <w:t xml:space="preserve"> pública, que son más relevantes y arraigados que l</w:t>
      </w:r>
      <w:r w:rsidR="00946E4D" w:rsidRPr="002841DB">
        <w:rPr>
          <w:rFonts w:ascii="Times New Roman" w:hAnsi="Times New Roman" w:cs="Times New Roman"/>
          <w:b/>
          <w:bCs/>
          <w:lang w:val="es-ES_tradnl"/>
        </w:rPr>
        <w:t xml:space="preserve">as medidas </w:t>
      </w:r>
      <w:r w:rsidRPr="002841DB">
        <w:rPr>
          <w:rFonts w:ascii="Times New Roman" w:hAnsi="Times New Roman" w:cs="Times New Roman"/>
          <w:b/>
          <w:bCs/>
          <w:lang w:val="es-ES_tradnl"/>
        </w:rPr>
        <w:t xml:space="preserve">de política </w:t>
      </w:r>
      <w:r w:rsidR="001710F9" w:rsidRPr="002841DB">
        <w:rPr>
          <w:rFonts w:ascii="Times New Roman" w:hAnsi="Times New Roman" w:cs="Times New Roman"/>
          <w:b/>
          <w:bCs/>
          <w:lang w:val="es-ES_tradnl"/>
        </w:rPr>
        <w:t>pública</w:t>
      </w:r>
      <w:r w:rsidRPr="002841DB">
        <w:rPr>
          <w:rFonts w:ascii="Times New Roman" w:hAnsi="Times New Roman" w:cs="Times New Roman"/>
          <w:b/>
          <w:bCs/>
          <w:lang w:val="es-ES_tradnl"/>
        </w:rPr>
        <w:t xml:space="preserve"> </w:t>
      </w:r>
      <w:r w:rsidR="001710F9" w:rsidRPr="002841DB">
        <w:rPr>
          <w:rFonts w:ascii="Times New Roman" w:hAnsi="Times New Roman" w:cs="Times New Roman"/>
          <w:b/>
          <w:bCs/>
          <w:lang w:val="es-ES_tradnl"/>
        </w:rPr>
        <w:t>generalmente aceptadas</w:t>
      </w:r>
      <w:r w:rsidR="001710F9">
        <w:rPr>
          <w:rFonts w:ascii="Times New Roman" w:hAnsi="Times New Roman" w:cs="Times New Roman"/>
          <w:bCs/>
          <w:lang w:val="es-ES_tradnl"/>
        </w:rPr>
        <w:t>,</w:t>
      </w:r>
      <w:r w:rsidR="00946E4D">
        <w:rPr>
          <w:rFonts w:ascii="Times New Roman" w:hAnsi="Times New Roman" w:cs="Times New Roman"/>
          <w:bCs/>
          <w:lang w:val="es-ES_tradnl"/>
        </w:rPr>
        <w:t xml:space="preserve"> </w:t>
      </w:r>
      <w:r w:rsidRPr="00E5200B">
        <w:rPr>
          <w:rFonts w:ascii="Times New Roman" w:hAnsi="Times New Roman" w:cs="Times New Roman"/>
          <w:bCs/>
          <w:lang w:val="es-ES_tradnl"/>
        </w:rPr>
        <w:t>porque no hacerlo vuelve mucho más complejas y de mucha menor calidad las propias reformas</w:t>
      </w:r>
      <w:r w:rsidR="001710F9">
        <w:rPr>
          <w:rFonts w:ascii="Times New Roman" w:hAnsi="Times New Roman" w:cs="Times New Roman"/>
          <w:bCs/>
          <w:lang w:val="es-ES_tradnl"/>
        </w:rPr>
        <w:t xml:space="preserve"> puntuales</w:t>
      </w:r>
      <w:r w:rsidRPr="00E5200B">
        <w:rPr>
          <w:rFonts w:ascii="Times New Roman" w:hAnsi="Times New Roman" w:cs="Times New Roman"/>
          <w:bCs/>
          <w:lang w:val="es-ES_tradnl"/>
        </w:rPr>
        <w:t xml:space="preserve">, sean tanto de ingreso como de gasto. </w:t>
      </w:r>
      <w:r w:rsidR="00946E4D">
        <w:rPr>
          <w:rFonts w:ascii="Times New Roman" w:hAnsi="Times New Roman" w:cs="Times New Roman"/>
          <w:bCs/>
          <w:lang w:val="es-ES_tradnl"/>
        </w:rPr>
        <w:t>La</w:t>
      </w:r>
      <w:r w:rsidRPr="00E5200B">
        <w:rPr>
          <w:rFonts w:ascii="Times New Roman" w:hAnsi="Times New Roman" w:cs="Times New Roman"/>
          <w:bCs/>
          <w:lang w:val="es-ES_tradnl"/>
        </w:rPr>
        <w:t>s re</w:t>
      </w:r>
      <w:r w:rsidR="001710F9">
        <w:rPr>
          <w:rFonts w:ascii="Times New Roman" w:hAnsi="Times New Roman" w:cs="Times New Roman"/>
          <w:bCs/>
          <w:lang w:val="es-ES_tradnl"/>
        </w:rPr>
        <w:t>structura de los</w:t>
      </w:r>
      <w:r w:rsidRPr="00E5200B">
        <w:rPr>
          <w:rFonts w:ascii="Times New Roman" w:hAnsi="Times New Roman" w:cs="Times New Roman"/>
          <w:bCs/>
          <w:lang w:val="es-ES_tradnl"/>
        </w:rPr>
        <w:t xml:space="preserve"> institutos fiscales </w:t>
      </w:r>
      <w:r w:rsidR="00946E4D">
        <w:rPr>
          <w:rFonts w:ascii="Times New Roman" w:hAnsi="Times New Roman" w:cs="Times New Roman"/>
          <w:bCs/>
          <w:lang w:val="es-ES_tradnl"/>
        </w:rPr>
        <w:t>son</w:t>
      </w:r>
      <w:r w:rsidRPr="00E5200B">
        <w:rPr>
          <w:rFonts w:ascii="Times New Roman" w:hAnsi="Times New Roman" w:cs="Times New Roman"/>
          <w:bCs/>
          <w:lang w:val="es-ES_tradnl"/>
        </w:rPr>
        <w:t xml:space="preserve"> </w:t>
      </w:r>
      <w:r w:rsidR="001710F9">
        <w:rPr>
          <w:rFonts w:ascii="Times New Roman" w:hAnsi="Times New Roman" w:cs="Times New Roman"/>
          <w:bCs/>
          <w:lang w:val="es-ES_tradnl"/>
        </w:rPr>
        <w:t xml:space="preserve">esencialmente </w:t>
      </w:r>
      <w:r w:rsidRPr="00E5200B">
        <w:rPr>
          <w:rFonts w:ascii="Times New Roman" w:hAnsi="Times New Roman" w:cs="Times New Roman"/>
          <w:bCs/>
          <w:lang w:val="es-ES_tradnl"/>
        </w:rPr>
        <w:t>convicciones sobre las reglas del juego y el código de conducta. El esfuerzo cultural y político que conlleva modernizar estas instituciones</w:t>
      </w:r>
      <w:r w:rsidR="001710F9">
        <w:rPr>
          <w:rFonts w:ascii="Times New Roman" w:hAnsi="Times New Roman" w:cs="Times New Roman"/>
          <w:bCs/>
          <w:lang w:val="es-ES_tradnl"/>
        </w:rPr>
        <w:t xml:space="preserve"> </w:t>
      </w:r>
      <w:r w:rsidRPr="00E5200B">
        <w:rPr>
          <w:rFonts w:ascii="Times New Roman" w:hAnsi="Times New Roman" w:cs="Times New Roman"/>
          <w:bCs/>
          <w:lang w:val="es-ES_tradnl"/>
        </w:rPr>
        <w:t xml:space="preserve">para que funcionen acorde con las exigencias de </w:t>
      </w:r>
      <w:r w:rsidR="002841DB">
        <w:rPr>
          <w:rFonts w:ascii="Times New Roman" w:hAnsi="Times New Roman" w:cs="Times New Roman"/>
          <w:bCs/>
          <w:lang w:val="es-ES_tradnl"/>
        </w:rPr>
        <w:t>la</w:t>
      </w:r>
      <w:r w:rsidRPr="00E5200B">
        <w:rPr>
          <w:rFonts w:ascii="Times New Roman" w:hAnsi="Times New Roman" w:cs="Times New Roman"/>
          <w:bCs/>
          <w:lang w:val="es-ES_tradnl"/>
        </w:rPr>
        <w:t xml:space="preserve"> época debe emprenderse pronto. Uno no debe confundirse porque la lucidez y el coraje no son hereditarios, pero es bueno recordar que otros </w:t>
      </w:r>
      <w:r w:rsidR="00946E4D">
        <w:rPr>
          <w:rFonts w:ascii="Times New Roman" w:hAnsi="Times New Roman" w:cs="Times New Roman"/>
          <w:bCs/>
          <w:lang w:val="es-ES_tradnl"/>
        </w:rPr>
        <w:t>costarricenses</w:t>
      </w:r>
      <w:r w:rsidRPr="00E5200B">
        <w:rPr>
          <w:rFonts w:ascii="Times New Roman" w:hAnsi="Times New Roman" w:cs="Times New Roman"/>
          <w:bCs/>
          <w:lang w:val="es-ES_tradnl"/>
        </w:rPr>
        <w:t xml:space="preserve"> sí supieron hacerlo. </w:t>
      </w:r>
    </w:p>
    <w:sectPr w:rsidR="00C4123D" w:rsidRPr="00C4123D" w:rsidSect="00540BD6">
      <w:headerReference w:type="even" r:id="rId45"/>
      <w:headerReference w:type="default" r:id="rId46"/>
      <w:footerReference w:type="default" r:id="rId47"/>
      <w:headerReference w:type="first" r:id="rId48"/>
      <w:pgSz w:w="11906" w:h="16838"/>
      <w:pgMar w:top="127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43439" w14:textId="77777777" w:rsidR="00F6712E" w:rsidRDefault="00F6712E" w:rsidP="006E6427">
      <w:pPr>
        <w:spacing w:after="0" w:line="240" w:lineRule="auto"/>
      </w:pPr>
      <w:r>
        <w:separator/>
      </w:r>
    </w:p>
  </w:endnote>
  <w:endnote w:type="continuationSeparator" w:id="0">
    <w:p w14:paraId="5984B743" w14:textId="77777777" w:rsidR="00F6712E" w:rsidRDefault="00F6712E" w:rsidP="006E6427">
      <w:pPr>
        <w:spacing w:after="0" w:line="240" w:lineRule="auto"/>
      </w:pPr>
      <w:r>
        <w:continuationSeparator/>
      </w:r>
    </w:p>
  </w:endnote>
  <w:endnote w:type="continuationNotice" w:id="1">
    <w:p w14:paraId="27F25DB5" w14:textId="77777777" w:rsidR="00F6712E" w:rsidRDefault="00F671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CE7A3" w14:textId="77777777" w:rsidR="005E060C" w:rsidRDefault="005E0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19365"/>
      <w:docPartObj>
        <w:docPartGallery w:val="Page Numbers (Bottom of Page)"/>
        <w:docPartUnique/>
      </w:docPartObj>
    </w:sdtPr>
    <w:sdtEndPr/>
    <w:sdtContent>
      <w:p w14:paraId="518B8E3D" w14:textId="77777777" w:rsidR="005E060C" w:rsidRDefault="00F6712E">
        <w:pPr>
          <w:pStyle w:val="Footer"/>
          <w:jc w:val="center"/>
        </w:pPr>
      </w:p>
    </w:sdtContent>
  </w:sdt>
  <w:p w14:paraId="71DC9CFD" w14:textId="77777777" w:rsidR="005E060C" w:rsidRDefault="005E06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6EAC2" w14:textId="77777777" w:rsidR="005E060C" w:rsidRDefault="005E06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F85E5" w14:textId="77777777" w:rsidR="005E060C" w:rsidRPr="00A86B49" w:rsidRDefault="005E060C">
    <w:pPr>
      <w:pStyle w:val="Footer"/>
      <w:jc w:val="center"/>
      <w:rPr>
        <w:rFonts w:ascii="Times New Roman" w:hAnsi="Times New Roman" w:cs="Times New Roman"/>
      </w:rPr>
    </w:pPr>
    <w:r w:rsidRPr="00A86B49">
      <w:rPr>
        <w:rFonts w:ascii="Times New Roman" w:hAnsi="Times New Roman" w:cs="Times New Roman"/>
      </w:rPr>
      <w:fldChar w:fldCharType="begin"/>
    </w:r>
    <w:r w:rsidRPr="00A86B49">
      <w:rPr>
        <w:rFonts w:ascii="Times New Roman" w:hAnsi="Times New Roman" w:cs="Times New Roman"/>
      </w:rPr>
      <w:instrText xml:space="preserve"> PAGE   \* MERGEFORMAT </w:instrText>
    </w:r>
    <w:r w:rsidRPr="00A86B49">
      <w:rPr>
        <w:rFonts w:ascii="Times New Roman" w:hAnsi="Times New Roman" w:cs="Times New Roman"/>
      </w:rPr>
      <w:fldChar w:fldCharType="separate"/>
    </w:r>
    <w:r w:rsidR="0029562D">
      <w:rPr>
        <w:rFonts w:ascii="Times New Roman" w:hAnsi="Times New Roman" w:cs="Times New Roman"/>
        <w:noProof/>
      </w:rPr>
      <w:t>14</w:t>
    </w:r>
    <w:r w:rsidRPr="00A86B49">
      <w:rPr>
        <w:rFonts w:ascii="Times New Roman" w:hAnsi="Times New Roman" w:cs="Times New Roman"/>
        <w:noProof/>
      </w:rPr>
      <w:fldChar w:fldCharType="end"/>
    </w:r>
  </w:p>
  <w:p w14:paraId="1950622F" w14:textId="77777777" w:rsidR="005E060C" w:rsidRDefault="005E0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BDF38" w14:textId="77777777" w:rsidR="00F6712E" w:rsidRDefault="00F6712E" w:rsidP="006E6427">
      <w:pPr>
        <w:spacing w:after="0" w:line="240" w:lineRule="auto"/>
      </w:pPr>
      <w:r>
        <w:separator/>
      </w:r>
    </w:p>
  </w:footnote>
  <w:footnote w:type="continuationSeparator" w:id="0">
    <w:p w14:paraId="4E94AFA8" w14:textId="77777777" w:rsidR="00F6712E" w:rsidRDefault="00F6712E" w:rsidP="006E6427">
      <w:pPr>
        <w:spacing w:after="0" w:line="240" w:lineRule="auto"/>
      </w:pPr>
      <w:r>
        <w:continuationSeparator/>
      </w:r>
    </w:p>
  </w:footnote>
  <w:footnote w:type="continuationNotice" w:id="1">
    <w:p w14:paraId="2953A956" w14:textId="77777777" w:rsidR="00F6712E" w:rsidRDefault="00F6712E">
      <w:pPr>
        <w:spacing w:after="0" w:line="240" w:lineRule="auto"/>
      </w:pPr>
    </w:p>
  </w:footnote>
  <w:footnote w:id="2">
    <w:p w14:paraId="5A02E8BC" w14:textId="77777777" w:rsidR="005E060C" w:rsidRPr="00BF4E05" w:rsidRDefault="005E060C" w:rsidP="00AA40B4">
      <w:pPr>
        <w:pStyle w:val="FootnoteText"/>
        <w:spacing w:after="0" w:line="240" w:lineRule="auto"/>
        <w:jc w:val="both"/>
        <w:rPr>
          <w:sz w:val="18"/>
          <w:lang w:val="es-CR"/>
        </w:rPr>
      </w:pPr>
      <w:r w:rsidRPr="00BF4E05">
        <w:rPr>
          <w:rStyle w:val="FootnoteReference"/>
          <w:sz w:val="18"/>
        </w:rPr>
        <w:footnoteRef/>
      </w:r>
      <w:r w:rsidRPr="00BF4E05">
        <w:rPr>
          <w:sz w:val="18"/>
          <w:lang w:val="es-CR"/>
        </w:rPr>
        <w:t xml:space="preserve"> Esta nota fue elaborada </w:t>
      </w:r>
      <w:r>
        <w:rPr>
          <w:sz w:val="18"/>
          <w:lang w:val="es-CR"/>
        </w:rPr>
        <w:t xml:space="preserve">por Alberto Barreix (IFD/FMM) y Luis Fernando Corrales (FMM/CCR) </w:t>
      </w:r>
      <w:r w:rsidRPr="00BF4E05">
        <w:rPr>
          <w:sz w:val="18"/>
          <w:lang w:val="es-CR"/>
        </w:rPr>
        <w:t xml:space="preserve">con la colaboración de </w:t>
      </w:r>
      <w:r>
        <w:rPr>
          <w:sz w:val="18"/>
          <w:lang w:val="es-CR"/>
        </w:rPr>
        <w:t>Beatriz Abizanda (IFD/ICS), Pablo Ibarrarán (SCL/SPH), Mariano Lafuente (IFD/ICS)</w:t>
      </w:r>
      <w:r w:rsidRPr="00BF4E05">
        <w:rPr>
          <w:sz w:val="18"/>
          <w:lang w:val="es-CR"/>
        </w:rPr>
        <w:t>,</w:t>
      </w:r>
      <w:r>
        <w:rPr>
          <w:sz w:val="18"/>
          <w:lang w:val="es-CR"/>
        </w:rPr>
        <w:t xml:space="preserve"> Waldo Tapia (SCL/LMK), Luis Tejerina (SCL/SPH), Diana Pinto (SCL/SPH) y Claudio Ansorena (Consultor).</w:t>
      </w:r>
    </w:p>
  </w:footnote>
  <w:footnote w:id="3">
    <w:p w14:paraId="3CA7636B" w14:textId="77777777" w:rsidR="005E060C" w:rsidRPr="00625A57" w:rsidRDefault="005E060C" w:rsidP="007A2AA9">
      <w:pPr>
        <w:pStyle w:val="FootnoteText"/>
        <w:spacing w:after="0"/>
        <w:rPr>
          <w:sz w:val="18"/>
          <w:lang w:val="es-CR"/>
        </w:rPr>
      </w:pPr>
      <w:r w:rsidRPr="00625A57">
        <w:rPr>
          <w:rStyle w:val="FootnoteReference"/>
          <w:sz w:val="18"/>
        </w:rPr>
        <w:footnoteRef/>
      </w:r>
      <w:r w:rsidRPr="00625A57">
        <w:rPr>
          <w:sz w:val="18"/>
          <w:lang w:val="es-CR"/>
        </w:rPr>
        <w:t xml:space="preserve"> No incluye Banco Central ni Instituciones Públicas Financieras.</w:t>
      </w:r>
    </w:p>
  </w:footnote>
  <w:footnote w:id="4">
    <w:p w14:paraId="7C9DC1A8" w14:textId="77777777" w:rsidR="005E060C" w:rsidRPr="00625A57" w:rsidRDefault="005E060C" w:rsidP="007B4649">
      <w:pPr>
        <w:pStyle w:val="FootnoteText"/>
        <w:spacing w:after="0"/>
        <w:rPr>
          <w:sz w:val="18"/>
          <w:lang w:val="es-CR"/>
        </w:rPr>
      </w:pPr>
      <w:r w:rsidRPr="00625A57">
        <w:rPr>
          <w:rStyle w:val="FootnoteReference"/>
          <w:sz w:val="18"/>
        </w:rPr>
        <w:footnoteRef/>
      </w:r>
      <w:r w:rsidRPr="00625A57">
        <w:rPr>
          <w:sz w:val="18"/>
          <w:lang w:val="es-CR"/>
        </w:rPr>
        <w:t xml:space="preserve"> Principalmente por transferencias definidas por mandatos constitucionales</w:t>
      </w:r>
      <w:r>
        <w:rPr>
          <w:sz w:val="18"/>
          <w:lang w:val="es-CR"/>
        </w:rPr>
        <w:t xml:space="preserve"> del Gobierno Central hacia el SPNF</w:t>
      </w:r>
      <w:r w:rsidRPr="00625A57">
        <w:rPr>
          <w:sz w:val="18"/>
          <w:lang w:val="es-CR"/>
        </w:rPr>
        <w:t xml:space="preserve">, que se detallarán más adelante. </w:t>
      </w:r>
    </w:p>
  </w:footnote>
  <w:footnote w:id="5">
    <w:p w14:paraId="4B1B364D" w14:textId="77777777" w:rsidR="005E060C" w:rsidRPr="00625A57" w:rsidRDefault="005E060C" w:rsidP="005A3F8C">
      <w:pPr>
        <w:pStyle w:val="FootnoteText"/>
        <w:spacing w:after="0"/>
        <w:rPr>
          <w:sz w:val="18"/>
          <w:lang w:val="es-CR"/>
        </w:rPr>
      </w:pPr>
      <w:r w:rsidRPr="00625A57">
        <w:rPr>
          <w:rStyle w:val="FootnoteReference"/>
          <w:sz w:val="18"/>
        </w:rPr>
        <w:footnoteRef/>
      </w:r>
      <w:r w:rsidRPr="00625A57">
        <w:rPr>
          <w:sz w:val="18"/>
          <w:lang w:val="es-CR"/>
        </w:rPr>
        <w:t xml:space="preserve"> Último año con datos disponibles. </w:t>
      </w:r>
    </w:p>
  </w:footnote>
  <w:footnote w:id="6">
    <w:p w14:paraId="6DFF13F1" w14:textId="77777777" w:rsidR="005E060C" w:rsidRPr="00625A57" w:rsidRDefault="005E060C" w:rsidP="0063192D">
      <w:pPr>
        <w:pStyle w:val="FootnoteText"/>
        <w:spacing w:after="0"/>
        <w:rPr>
          <w:sz w:val="18"/>
          <w:lang w:val="es-CR"/>
        </w:rPr>
      </w:pPr>
      <w:r w:rsidRPr="00625A57">
        <w:rPr>
          <w:rStyle w:val="FootnoteReference"/>
          <w:sz w:val="18"/>
        </w:rPr>
        <w:footnoteRef/>
      </w:r>
      <w:r w:rsidRPr="00625A57">
        <w:rPr>
          <w:sz w:val="18"/>
          <w:lang w:val="es-CR"/>
        </w:rPr>
        <w:t xml:space="preserve"> </w:t>
      </w:r>
      <w:r w:rsidRPr="00625A57">
        <w:rPr>
          <w:color w:val="000000" w:themeColor="text1"/>
          <w:sz w:val="18"/>
          <w:szCs w:val="22"/>
          <w:lang w:val="es-ES"/>
        </w:rPr>
        <w:t>Caja Costarricense del Seguro Social (CCSS), Fondo de Desarrollo Social y Asignaciones Familiares (Fodesaf), etc.</w:t>
      </w:r>
    </w:p>
  </w:footnote>
  <w:footnote w:id="7">
    <w:p w14:paraId="6DACFAEF" w14:textId="77777777" w:rsidR="005E060C" w:rsidRPr="00090D27" w:rsidRDefault="005E060C" w:rsidP="0093616B">
      <w:pPr>
        <w:pStyle w:val="FootnoteText"/>
        <w:spacing w:after="0"/>
        <w:rPr>
          <w:sz w:val="18"/>
          <w:lang w:val="es-CR"/>
        </w:rPr>
      </w:pPr>
      <w:r w:rsidRPr="00090D27">
        <w:rPr>
          <w:rStyle w:val="FootnoteReference"/>
          <w:sz w:val="18"/>
        </w:rPr>
        <w:footnoteRef/>
      </w:r>
      <w:r w:rsidRPr="00090D27">
        <w:rPr>
          <w:lang w:val="es-ES_tradnl"/>
        </w:rPr>
        <w:t xml:space="preserve"> </w:t>
      </w:r>
      <w:r w:rsidRPr="00090D27">
        <w:rPr>
          <w:sz w:val="18"/>
          <w:lang w:val="es-CR"/>
        </w:rPr>
        <w:t xml:space="preserve">La deuda tiene un promedio de </w:t>
      </w:r>
      <w:r>
        <w:rPr>
          <w:sz w:val="18"/>
          <w:lang w:val="es-CR"/>
        </w:rPr>
        <w:t xml:space="preserve">plazo de vencimiento </w:t>
      </w:r>
      <w:r w:rsidRPr="00090D27">
        <w:rPr>
          <w:sz w:val="18"/>
          <w:lang w:val="es-CR"/>
        </w:rPr>
        <w:t>de 7</w:t>
      </w:r>
      <w:r>
        <w:rPr>
          <w:sz w:val="18"/>
          <w:lang w:val="es-CR"/>
        </w:rPr>
        <w:t>,</w:t>
      </w:r>
      <w:r w:rsidRPr="00090D27">
        <w:rPr>
          <w:sz w:val="18"/>
          <w:lang w:val="es-CR"/>
        </w:rPr>
        <w:t>5 a</w:t>
      </w:r>
      <w:r>
        <w:rPr>
          <w:sz w:val="18"/>
          <w:lang w:val="es-CR"/>
        </w:rPr>
        <w:t>ños</w:t>
      </w:r>
      <w:r w:rsidRPr="00090D27">
        <w:rPr>
          <w:sz w:val="18"/>
          <w:lang w:val="es-CR"/>
        </w:rPr>
        <w:t>.</w:t>
      </w:r>
    </w:p>
  </w:footnote>
  <w:footnote w:id="8">
    <w:p w14:paraId="0DA91B0C" w14:textId="718BB607" w:rsidR="0066611D" w:rsidRPr="0066611D" w:rsidRDefault="0066611D" w:rsidP="0066611D">
      <w:pPr>
        <w:pStyle w:val="FootnoteText"/>
        <w:spacing w:after="0"/>
        <w:rPr>
          <w:lang w:val="es-CR"/>
        </w:rPr>
      </w:pPr>
      <w:r w:rsidRPr="0066611D">
        <w:rPr>
          <w:rStyle w:val="FootnoteReference"/>
          <w:sz w:val="18"/>
        </w:rPr>
        <w:footnoteRef/>
      </w:r>
      <w:r w:rsidRPr="0066611D">
        <w:rPr>
          <w:sz w:val="18"/>
          <w:lang w:val="es-CR"/>
        </w:rPr>
        <w:t xml:space="preserve"> Fuente: BCCR y SUGEF.</w:t>
      </w:r>
    </w:p>
  </w:footnote>
  <w:footnote w:id="9">
    <w:p w14:paraId="2023A2BB" w14:textId="77777777" w:rsidR="005E060C" w:rsidRPr="00C81724" w:rsidRDefault="005E060C" w:rsidP="00C81724">
      <w:pPr>
        <w:pStyle w:val="FootnoteText"/>
        <w:spacing w:after="0"/>
        <w:rPr>
          <w:sz w:val="18"/>
          <w:lang w:val="es-CR"/>
        </w:rPr>
      </w:pPr>
      <w:r w:rsidRPr="00C81724">
        <w:rPr>
          <w:rStyle w:val="FootnoteReference"/>
          <w:sz w:val="18"/>
        </w:rPr>
        <w:footnoteRef/>
      </w:r>
      <w:r w:rsidRPr="00C81724">
        <w:rPr>
          <w:sz w:val="18"/>
          <w:lang w:val="es-CR"/>
        </w:rPr>
        <w:t xml:space="preserve"> 6,6% </w:t>
      </w:r>
      <w:r>
        <w:rPr>
          <w:sz w:val="18"/>
          <w:lang w:val="es-CR"/>
        </w:rPr>
        <w:t xml:space="preserve">del PIB </w:t>
      </w:r>
      <w:r w:rsidRPr="00C81724">
        <w:rPr>
          <w:sz w:val="18"/>
          <w:lang w:val="es-CR"/>
        </w:rPr>
        <w:t>si se consideran los impactos de cierre de Bancrédito.</w:t>
      </w:r>
    </w:p>
  </w:footnote>
  <w:footnote w:id="10">
    <w:p w14:paraId="122695CF" w14:textId="77777777" w:rsidR="005E060C" w:rsidRPr="00625A57" w:rsidRDefault="005E060C">
      <w:pPr>
        <w:pStyle w:val="FootnoteText"/>
        <w:rPr>
          <w:sz w:val="18"/>
          <w:lang w:val="es-CR"/>
        </w:rPr>
      </w:pPr>
      <w:r w:rsidRPr="00625A57">
        <w:rPr>
          <w:rStyle w:val="FootnoteReference"/>
          <w:sz w:val="18"/>
        </w:rPr>
        <w:footnoteRef/>
      </w:r>
      <w:r w:rsidRPr="00625A57">
        <w:rPr>
          <w:sz w:val="18"/>
          <w:lang w:val="es-CR"/>
        </w:rPr>
        <w:t xml:space="preserve"> Fondo Monetario Internacional (FMI). 2018. Base de Datos de Perspectivas Económicas Mundiales.</w:t>
      </w:r>
    </w:p>
  </w:footnote>
  <w:footnote w:id="11">
    <w:p w14:paraId="6D4DF0AD" w14:textId="77777777" w:rsidR="005E060C" w:rsidRPr="0058649E" w:rsidRDefault="005E060C" w:rsidP="0058649E">
      <w:pPr>
        <w:pStyle w:val="FootnoteText"/>
        <w:spacing w:after="0"/>
        <w:rPr>
          <w:sz w:val="18"/>
          <w:szCs w:val="18"/>
          <w:lang w:val="es-CR"/>
        </w:rPr>
      </w:pPr>
      <w:r w:rsidRPr="0058649E">
        <w:rPr>
          <w:rStyle w:val="FootnoteReference"/>
          <w:sz w:val="18"/>
          <w:szCs w:val="18"/>
        </w:rPr>
        <w:footnoteRef/>
      </w:r>
      <w:r w:rsidRPr="0058649E">
        <w:rPr>
          <w:sz w:val="18"/>
          <w:szCs w:val="18"/>
          <w:lang w:val="es-ES_tradnl"/>
        </w:rPr>
        <w:t xml:space="preserve"> </w:t>
      </w:r>
      <w:r w:rsidRPr="00205F77">
        <w:rPr>
          <w:sz w:val="18"/>
          <w:szCs w:val="18"/>
          <w:lang w:val="es-CR"/>
        </w:rPr>
        <w:t>Los principales orígenes de turismo en 2015 han sido: 51% Norteamérica, 16% Europa y Asia Central, 31% América Latina y el Caribe y 2% el resto del mundo, según datos del Instituto Costarricense de Turismo.</w:t>
      </w:r>
      <w:r w:rsidRPr="00014BA7">
        <w:rPr>
          <w:sz w:val="18"/>
          <w:szCs w:val="18"/>
          <w:lang w:val="es-CR"/>
        </w:rPr>
        <w:t xml:space="preserve"> </w:t>
      </w:r>
    </w:p>
  </w:footnote>
  <w:footnote w:id="12">
    <w:p w14:paraId="62170BD1" w14:textId="77777777" w:rsidR="005E060C" w:rsidRPr="00EE236F" w:rsidRDefault="005E060C" w:rsidP="00FE7A21">
      <w:pPr>
        <w:pStyle w:val="FootnoteText"/>
        <w:spacing w:after="0"/>
        <w:rPr>
          <w:sz w:val="18"/>
          <w:lang w:val="es-CR"/>
        </w:rPr>
      </w:pPr>
      <w:r w:rsidRPr="00EE236F">
        <w:rPr>
          <w:rStyle w:val="FootnoteReference"/>
          <w:sz w:val="18"/>
        </w:rPr>
        <w:footnoteRef/>
      </w:r>
      <w:r w:rsidRPr="00EE236F">
        <w:rPr>
          <w:sz w:val="18"/>
          <w:lang w:val="es-CR"/>
        </w:rPr>
        <w:t xml:space="preserve"> Ingresos que no van para el Gobierno Central, sino para la CCSS que es parte del resto del SPNF.</w:t>
      </w:r>
    </w:p>
  </w:footnote>
  <w:footnote w:id="13">
    <w:p w14:paraId="292D2B37" w14:textId="77777777" w:rsidR="005E060C" w:rsidRPr="00F10F38" w:rsidRDefault="005E060C" w:rsidP="00CB1DF7">
      <w:pPr>
        <w:pStyle w:val="FootnoteText"/>
        <w:spacing w:after="0"/>
        <w:jc w:val="both"/>
        <w:rPr>
          <w:sz w:val="18"/>
          <w:szCs w:val="18"/>
          <w:lang w:val="es-CR"/>
        </w:rPr>
      </w:pPr>
      <w:r w:rsidRPr="00F10F38">
        <w:rPr>
          <w:rStyle w:val="FootnoteReference"/>
          <w:sz w:val="18"/>
          <w:szCs w:val="18"/>
        </w:rPr>
        <w:footnoteRef/>
      </w:r>
      <w:r w:rsidRPr="004620BB">
        <w:rPr>
          <w:sz w:val="18"/>
          <w:szCs w:val="18"/>
          <w:lang w:val="es-CR"/>
        </w:rPr>
        <w:t xml:space="preserve"> OCDE, BID, CIAT y CEPAL. 2017. </w:t>
      </w:r>
      <w:r w:rsidRPr="00F10F38">
        <w:rPr>
          <w:sz w:val="18"/>
          <w:szCs w:val="18"/>
          <w:lang w:val="es-CR"/>
        </w:rPr>
        <w:t>Estadísticas Tributarias en América Latina y el Caribe 1990-2015. OECD Publishing, Paris.</w:t>
      </w:r>
    </w:p>
  </w:footnote>
  <w:footnote w:id="14">
    <w:p w14:paraId="44DFB219" w14:textId="77777777" w:rsidR="005E060C" w:rsidRPr="00F10F38" w:rsidRDefault="005E060C" w:rsidP="00CB1DF7">
      <w:pPr>
        <w:pStyle w:val="FootnoteText"/>
        <w:spacing w:after="0"/>
        <w:contextualSpacing/>
        <w:jc w:val="both"/>
        <w:rPr>
          <w:sz w:val="18"/>
          <w:szCs w:val="18"/>
          <w:lang w:val="es-CR"/>
        </w:rPr>
      </w:pPr>
      <w:r w:rsidRPr="00F10F38">
        <w:rPr>
          <w:rStyle w:val="FootnoteReference"/>
          <w:sz w:val="18"/>
          <w:szCs w:val="18"/>
        </w:rPr>
        <w:footnoteRef/>
      </w:r>
      <w:r w:rsidRPr="00F10F38">
        <w:rPr>
          <w:sz w:val="18"/>
          <w:szCs w:val="18"/>
          <w:lang w:val="es-CR"/>
        </w:rPr>
        <w:t xml:space="preserve"> Disminución de costos de cumplimiento y control.</w:t>
      </w:r>
    </w:p>
  </w:footnote>
  <w:footnote w:id="15">
    <w:p w14:paraId="54C0501C" w14:textId="77777777" w:rsidR="005E060C" w:rsidRPr="00F10F38" w:rsidRDefault="005E060C" w:rsidP="00CB1DF7">
      <w:pPr>
        <w:pStyle w:val="FootnoteText"/>
        <w:spacing w:after="0"/>
        <w:contextualSpacing/>
        <w:jc w:val="both"/>
        <w:rPr>
          <w:sz w:val="18"/>
          <w:szCs w:val="18"/>
          <w:lang w:val="es-CR"/>
        </w:rPr>
      </w:pPr>
      <w:r w:rsidRPr="00F10F38">
        <w:rPr>
          <w:rStyle w:val="FootnoteReference"/>
          <w:sz w:val="18"/>
          <w:szCs w:val="18"/>
        </w:rPr>
        <w:footnoteRef/>
      </w:r>
      <w:r w:rsidRPr="00F10F38">
        <w:rPr>
          <w:sz w:val="18"/>
          <w:szCs w:val="18"/>
          <w:lang w:val="es-CR"/>
        </w:rPr>
        <w:t xml:space="preserve"> Tratamiento igualitario para todos los bienes y servicios.</w:t>
      </w:r>
    </w:p>
  </w:footnote>
  <w:footnote w:id="16">
    <w:p w14:paraId="70CE12A4" w14:textId="77777777" w:rsidR="005E060C" w:rsidRPr="00F10F38" w:rsidRDefault="005E060C" w:rsidP="00CB1DF7">
      <w:pPr>
        <w:pStyle w:val="FootnoteText"/>
        <w:spacing w:after="0"/>
        <w:contextualSpacing/>
        <w:jc w:val="both"/>
        <w:rPr>
          <w:sz w:val="18"/>
          <w:szCs w:val="18"/>
          <w:lang w:val="es-CR"/>
        </w:rPr>
      </w:pPr>
      <w:r w:rsidRPr="00F10F38">
        <w:rPr>
          <w:rStyle w:val="FootnoteReference"/>
          <w:sz w:val="18"/>
          <w:szCs w:val="18"/>
        </w:rPr>
        <w:footnoteRef/>
      </w:r>
      <w:r w:rsidRPr="00F10F38">
        <w:rPr>
          <w:sz w:val="18"/>
          <w:szCs w:val="18"/>
          <w:lang w:val="es-CR"/>
        </w:rPr>
        <w:t xml:space="preserve"> Lo que implicaría mayor recaudación en la parte alta del ciclo. </w:t>
      </w:r>
    </w:p>
  </w:footnote>
  <w:footnote w:id="17">
    <w:p w14:paraId="2CAE20EE" w14:textId="77777777" w:rsidR="005E060C" w:rsidRPr="00F10F38" w:rsidRDefault="005E060C" w:rsidP="00CB1DF7">
      <w:pPr>
        <w:pStyle w:val="FootnoteText"/>
        <w:spacing w:after="0"/>
        <w:contextualSpacing/>
        <w:jc w:val="both"/>
        <w:rPr>
          <w:sz w:val="18"/>
          <w:szCs w:val="18"/>
          <w:lang w:val="es-CR"/>
        </w:rPr>
      </w:pPr>
      <w:r w:rsidRPr="00F10F38">
        <w:rPr>
          <w:rStyle w:val="FootnoteReference"/>
          <w:sz w:val="18"/>
          <w:szCs w:val="18"/>
        </w:rPr>
        <w:footnoteRef/>
      </w:r>
      <w:r w:rsidRPr="00F10F38">
        <w:rPr>
          <w:sz w:val="18"/>
          <w:szCs w:val="18"/>
          <w:lang w:val="es-CR"/>
        </w:rPr>
        <w:t xml:space="preserve"> Entre productores domésticos y extranjeros.</w:t>
      </w:r>
    </w:p>
  </w:footnote>
  <w:footnote w:id="18">
    <w:p w14:paraId="2F320DF9" w14:textId="77777777" w:rsidR="005E060C" w:rsidRPr="00F10F38" w:rsidRDefault="005E060C" w:rsidP="00CB1DF7">
      <w:pPr>
        <w:pStyle w:val="FootnoteText"/>
        <w:spacing w:after="0"/>
        <w:contextualSpacing/>
        <w:jc w:val="both"/>
        <w:rPr>
          <w:sz w:val="18"/>
          <w:szCs w:val="18"/>
          <w:lang w:val="es-CR"/>
        </w:rPr>
      </w:pPr>
      <w:r w:rsidRPr="00F10F38">
        <w:rPr>
          <w:rStyle w:val="FootnoteReference"/>
          <w:sz w:val="18"/>
          <w:szCs w:val="18"/>
        </w:rPr>
        <w:footnoteRef/>
      </w:r>
      <w:r w:rsidRPr="00F10F38">
        <w:rPr>
          <w:sz w:val="18"/>
          <w:szCs w:val="18"/>
          <w:lang w:val="es-CR"/>
        </w:rPr>
        <w:t xml:space="preserve"> Las exoneraciones en general favorecen más a los deciles más ricos que a los más pobres. </w:t>
      </w:r>
    </w:p>
  </w:footnote>
  <w:footnote w:id="19">
    <w:p w14:paraId="2E4ED62F" w14:textId="77777777" w:rsidR="005E060C" w:rsidRPr="00F10F38" w:rsidRDefault="005E060C" w:rsidP="00CB1DF7">
      <w:pPr>
        <w:pStyle w:val="FootnoteText"/>
        <w:spacing w:after="0"/>
        <w:contextualSpacing/>
        <w:jc w:val="both"/>
        <w:rPr>
          <w:sz w:val="18"/>
          <w:szCs w:val="18"/>
          <w:lang w:val="es-CR"/>
        </w:rPr>
      </w:pPr>
      <w:r w:rsidRPr="00F10F38">
        <w:rPr>
          <w:rStyle w:val="FootnoteReference"/>
          <w:sz w:val="18"/>
          <w:szCs w:val="18"/>
        </w:rPr>
        <w:footnoteRef/>
      </w:r>
      <w:r w:rsidRPr="00F10F38">
        <w:rPr>
          <w:sz w:val="18"/>
          <w:szCs w:val="18"/>
          <w:lang w:val="es-CR"/>
        </w:rPr>
        <w:t xml:space="preserve"> La práctica habitual es que el tratamiento de tasa cero se utilice solamente para exportaciones. </w:t>
      </w:r>
    </w:p>
  </w:footnote>
  <w:footnote w:id="20">
    <w:p w14:paraId="217BA2EA" w14:textId="77777777" w:rsidR="005E060C" w:rsidRPr="00F10F38" w:rsidRDefault="005E060C" w:rsidP="00CB1DF7">
      <w:pPr>
        <w:pStyle w:val="FootnoteText"/>
        <w:contextualSpacing/>
        <w:jc w:val="both"/>
        <w:rPr>
          <w:sz w:val="18"/>
          <w:szCs w:val="18"/>
          <w:lang w:val="es-CR"/>
        </w:rPr>
      </w:pPr>
      <w:r w:rsidRPr="00F10F38">
        <w:rPr>
          <w:rStyle w:val="FootnoteReference"/>
          <w:sz w:val="18"/>
          <w:szCs w:val="18"/>
        </w:rPr>
        <w:footnoteRef/>
      </w:r>
      <w:r w:rsidRPr="00F10F38">
        <w:rPr>
          <w:sz w:val="18"/>
          <w:szCs w:val="18"/>
          <w:lang w:val="es-CR"/>
        </w:rPr>
        <w:t xml:space="preserve"> Existen dos mecanismos para administrar la tasa cero, el primero es obligar al beneficiario a pagar el IVA y luego solicitar su devolución, y el otro es por medio de uso de talonarios de compra exenta de los insumos afectados (usado en Costa Rica y México). Este último genera complejidades (determinación de montos), de litigios con los contribuyentes, posibilidad de corrupción (talonarios alterados) y evasión (arbitraje para contribuyentes que tengan ventas gravadas y a tasa cero).  </w:t>
      </w:r>
    </w:p>
  </w:footnote>
  <w:footnote w:id="21">
    <w:p w14:paraId="1F25BCAF" w14:textId="77777777" w:rsidR="005E060C" w:rsidRPr="00BE2B5D" w:rsidRDefault="005E060C" w:rsidP="00CB1DF7">
      <w:pPr>
        <w:pStyle w:val="FootnoteText"/>
        <w:spacing w:after="0"/>
        <w:jc w:val="both"/>
        <w:rPr>
          <w:sz w:val="18"/>
          <w:szCs w:val="18"/>
        </w:rPr>
      </w:pPr>
      <w:r w:rsidRPr="00F10F38">
        <w:rPr>
          <w:rStyle w:val="FootnoteReference"/>
          <w:sz w:val="18"/>
          <w:szCs w:val="18"/>
        </w:rPr>
        <w:footnoteRef/>
      </w:r>
      <w:r w:rsidRPr="00F10F38">
        <w:rPr>
          <w:sz w:val="18"/>
          <w:szCs w:val="18"/>
          <w:lang w:val="es-CR"/>
        </w:rPr>
        <w:t xml:space="preserve"> De acuerdo con la última medición del año base para el PIB en Costa Rica llevada a cabo por el Banco Central de Costa Rica (BCCR). </w:t>
      </w:r>
      <w:hyperlink r:id="rId1" w:history="1">
        <w:r w:rsidRPr="00BE2B5D">
          <w:rPr>
            <w:rStyle w:val="Hyperlink"/>
            <w:sz w:val="18"/>
            <w:szCs w:val="18"/>
          </w:rPr>
          <w:t>http://www.bccr.fi.cr/estadisticas_macro_2012/documentoscnadocpresentaciones/Presentacion_CAB.pdf</w:t>
        </w:r>
      </w:hyperlink>
      <w:r w:rsidRPr="00BE2B5D">
        <w:rPr>
          <w:sz w:val="18"/>
          <w:szCs w:val="18"/>
        </w:rPr>
        <w:t xml:space="preserve"> </w:t>
      </w:r>
    </w:p>
  </w:footnote>
  <w:footnote w:id="22">
    <w:p w14:paraId="05C4389B" w14:textId="77777777" w:rsidR="005E060C" w:rsidRPr="00F10F38" w:rsidRDefault="005E060C" w:rsidP="00CB1DF7">
      <w:pPr>
        <w:pStyle w:val="FootnoteText"/>
        <w:spacing w:after="0"/>
        <w:jc w:val="both"/>
        <w:rPr>
          <w:sz w:val="18"/>
          <w:szCs w:val="18"/>
          <w:lang w:val="es-CR"/>
        </w:rPr>
      </w:pPr>
      <w:r w:rsidRPr="00F10F38">
        <w:rPr>
          <w:rStyle w:val="FootnoteReference"/>
          <w:sz w:val="18"/>
          <w:szCs w:val="18"/>
        </w:rPr>
        <w:footnoteRef/>
      </w:r>
      <w:r w:rsidRPr="00F10F38">
        <w:rPr>
          <w:sz w:val="18"/>
          <w:szCs w:val="18"/>
          <w:lang w:val="es-CR"/>
        </w:rPr>
        <w:t xml:space="preserve"> Entre los servicios que sí se gravan se encuentran restaurantes, hoteles, Internet, telecomunicaciones, cine, mantenimiento y reparación de vehículos. Los servicios no mencionados expresamente por la ley no están sujetos al impuesto general sobre las ventas, por ejemplo, servicios médicos, educación, servicios profesionales y construcción. </w:t>
      </w:r>
    </w:p>
  </w:footnote>
  <w:footnote w:id="23">
    <w:p w14:paraId="53BC3A2B" w14:textId="77777777" w:rsidR="005E060C" w:rsidRPr="00E03059" w:rsidRDefault="005E060C" w:rsidP="0070197E">
      <w:pPr>
        <w:pStyle w:val="FootnoteText"/>
        <w:spacing w:after="0"/>
        <w:jc w:val="both"/>
        <w:rPr>
          <w:sz w:val="18"/>
          <w:szCs w:val="18"/>
        </w:rPr>
      </w:pPr>
      <w:r w:rsidRPr="00F10F38">
        <w:rPr>
          <w:rStyle w:val="FootnoteReference"/>
          <w:sz w:val="18"/>
          <w:szCs w:val="18"/>
        </w:rPr>
        <w:footnoteRef/>
      </w:r>
      <w:r w:rsidRPr="00C83633">
        <w:rPr>
          <w:sz w:val="18"/>
          <w:szCs w:val="18"/>
          <w:lang w:val="es-CR"/>
        </w:rPr>
        <w:t>OCD</w:t>
      </w:r>
      <w:r>
        <w:rPr>
          <w:sz w:val="18"/>
          <w:szCs w:val="18"/>
          <w:lang w:val="es-CR"/>
        </w:rPr>
        <w:t xml:space="preserve">E. </w:t>
      </w:r>
      <w:r w:rsidRPr="00C83633">
        <w:rPr>
          <w:sz w:val="18"/>
          <w:szCs w:val="18"/>
          <w:lang w:val="es-CR"/>
        </w:rPr>
        <w:t>2017</w:t>
      </w:r>
      <w:r>
        <w:rPr>
          <w:sz w:val="18"/>
          <w:szCs w:val="18"/>
          <w:lang w:val="es-CR"/>
        </w:rPr>
        <w:t>.</w:t>
      </w:r>
      <w:r w:rsidRPr="00C83633">
        <w:rPr>
          <w:sz w:val="18"/>
          <w:szCs w:val="18"/>
          <w:lang w:val="es-CR"/>
        </w:rPr>
        <w:t xml:space="preserve"> Análisis de políticas fiscales de la OCDE: Costa Rica 2017</w:t>
      </w:r>
      <w:r>
        <w:rPr>
          <w:sz w:val="18"/>
          <w:szCs w:val="18"/>
          <w:lang w:val="es-CR"/>
        </w:rPr>
        <w:t>.</w:t>
      </w:r>
      <w:r w:rsidRPr="00C83633">
        <w:rPr>
          <w:sz w:val="18"/>
          <w:szCs w:val="18"/>
          <w:lang w:val="es-CR"/>
        </w:rPr>
        <w:t xml:space="preserve"> </w:t>
      </w:r>
      <w:r w:rsidRPr="00E03059">
        <w:rPr>
          <w:sz w:val="18"/>
          <w:szCs w:val="18"/>
        </w:rPr>
        <w:t xml:space="preserve">OECD Publishing, Paris. </w:t>
      </w:r>
      <w:hyperlink r:id="rId2" w:history="1">
        <w:r w:rsidRPr="00E03059">
          <w:rPr>
            <w:rStyle w:val="Hyperlink"/>
            <w:sz w:val="18"/>
            <w:szCs w:val="18"/>
          </w:rPr>
          <w:t>http://dx.doi.org/10.1787/9789264278608-es</w:t>
        </w:r>
      </w:hyperlink>
    </w:p>
  </w:footnote>
  <w:footnote w:id="24">
    <w:p w14:paraId="771075BC" w14:textId="77777777" w:rsidR="005E060C" w:rsidRPr="008445A4" w:rsidRDefault="005E060C" w:rsidP="005A16E5">
      <w:pPr>
        <w:pStyle w:val="FootnoteText"/>
        <w:spacing w:after="0"/>
        <w:rPr>
          <w:lang w:val="es-CR"/>
        </w:rPr>
      </w:pPr>
      <w:r w:rsidRPr="005A16E5">
        <w:rPr>
          <w:rStyle w:val="FootnoteReference"/>
          <w:sz w:val="18"/>
        </w:rPr>
        <w:footnoteRef/>
      </w:r>
      <w:r w:rsidRPr="00E03059">
        <w:rPr>
          <w:sz w:val="18"/>
        </w:rPr>
        <w:t xml:space="preserve"> Bachas, P., y Soto, M. (2015). </w:t>
      </w:r>
      <w:r w:rsidRPr="005A16E5">
        <w:rPr>
          <w:sz w:val="18"/>
        </w:rPr>
        <w:t xml:space="preserve">Not (ch) your average tax system: corporate taxation under weak enforcement. </w:t>
      </w:r>
      <w:r w:rsidRPr="005A16E5">
        <w:rPr>
          <w:sz w:val="18"/>
          <w:lang w:val="es-CR"/>
        </w:rPr>
        <w:t>Unpublished manuscript</w:t>
      </w:r>
      <w:r>
        <w:rPr>
          <w:sz w:val="18"/>
          <w:lang w:val="es-CR"/>
        </w:rPr>
        <w:t>.</w:t>
      </w:r>
    </w:p>
  </w:footnote>
  <w:footnote w:id="25">
    <w:p w14:paraId="4D819FA3" w14:textId="77777777" w:rsidR="005E060C" w:rsidRPr="00291A91" w:rsidRDefault="005E060C" w:rsidP="002B5724">
      <w:pPr>
        <w:pStyle w:val="FootnoteText"/>
        <w:spacing w:after="0"/>
        <w:rPr>
          <w:sz w:val="18"/>
          <w:lang w:val="es-CR"/>
        </w:rPr>
      </w:pPr>
      <w:r w:rsidRPr="00291A91">
        <w:rPr>
          <w:rStyle w:val="FootnoteReference"/>
          <w:sz w:val="18"/>
        </w:rPr>
        <w:footnoteRef/>
      </w:r>
      <w:r w:rsidRPr="00291A91">
        <w:rPr>
          <w:sz w:val="18"/>
          <w:lang w:val="es-CR"/>
        </w:rPr>
        <w:t xml:space="preserve"> OCDE, et al. (2018), Estadísticas tributarias en América Latina y el Caribe 2018, OECD Publishing, Paris. </w:t>
      </w:r>
      <w:hyperlink r:id="rId3" w:history="1">
        <w:r w:rsidRPr="00291A91">
          <w:rPr>
            <w:rStyle w:val="Hyperlink"/>
            <w:sz w:val="18"/>
            <w:lang w:val="es-CR"/>
          </w:rPr>
          <w:t>http://dx.doi.org/10.1787/rev_lat_car-2018-en-fr</w:t>
        </w:r>
      </w:hyperlink>
      <w:r w:rsidRPr="00291A91">
        <w:rPr>
          <w:sz w:val="18"/>
          <w:lang w:val="es-CR"/>
        </w:rPr>
        <w:t xml:space="preserve"> </w:t>
      </w:r>
    </w:p>
  </w:footnote>
  <w:footnote w:id="26">
    <w:p w14:paraId="00D61140" w14:textId="77777777" w:rsidR="005E060C" w:rsidRPr="00BF43B8" w:rsidRDefault="005E060C" w:rsidP="0070197E">
      <w:pPr>
        <w:pStyle w:val="FootnoteText"/>
        <w:spacing w:after="0"/>
        <w:jc w:val="both"/>
        <w:rPr>
          <w:lang w:val="es-CR"/>
        </w:rPr>
      </w:pPr>
      <w:r w:rsidRPr="00602BD3">
        <w:rPr>
          <w:rStyle w:val="FootnoteReference"/>
          <w:sz w:val="18"/>
        </w:rPr>
        <w:footnoteRef/>
      </w:r>
      <w:r w:rsidRPr="00602BD3">
        <w:rPr>
          <w:sz w:val="18"/>
          <w:lang w:val="es-CR"/>
        </w:rPr>
        <w:t xml:space="preserve"> 10% para las empresas que reporten 5</w:t>
      </w:r>
      <w:r>
        <w:rPr>
          <w:sz w:val="18"/>
          <w:lang w:val="es-CR"/>
        </w:rPr>
        <w:t>3</w:t>
      </w:r>
      <w:r w:rsidRPr="00602BD3">
        <w:rPr>
          <w:sz w:val="18"/>
          <w:lang w:val="es-CR"/>
        </w:rPr>
        <w:t>,</w:t>
      </w:r>
      <w:r>
        <w:rPr>
          <w:sz w:val="18"/>
          <w:lang w:val="es-CR"/>
        </w:rPr>
        <w:t>1</w:t>
      </w:r>
      <w:r w:rsidRPr="00602BD3">
        <w:rPr>
          <w:sz w:val="18"/>
          <w:lang w:val="es-CR"/>
        </w:rPr>
        <w:t xml:space="preserve"> millones de colones y 20% para las que reporten 10</w:t>
      </w:r>
      <w:r>
        <w:rPr>
          <w:sz w:val="18"/>
          <w:lang w:val="es-CR"/>
        </w:rPr>
        <w:t>6</w:t>
      </w:r>
      <w:r w:rsidRPr="00602BD3">
        <w:rPr>
          <w:sz w:val="18"/>
          <w:lang w:val="es-CR"/>
        </w:rPr>
        <w:t>,</w:t>
      </w:r>
      <w:r>
        <w:rPr>
          <w:sz w:val="18"/>
          <w:lang w:val="es-CR"/>
        </w:rPr>
        <w:t>9</w:t>
      </w:r>
      <w:r w:rsidRPr="00602BD3">
        <w:rPr>
          <w:sz w:val="18"/>
          <w:lang w:val="es-CR"/>
        </w:rPr>
        <w:t xml:space="preserve"> millones de colones en ingresos brutos anuales</w:t>
      </w:r>
      <w:r>
        <w:rPr>
          <w:sz w:val="18"/>
          <w:lang w:val="es-CR"/>
        </w:rPr>
        <w:t xml:space="preserve"> para 2018</w:t>
      </w:r>
      <w:r w:rsidRPr="00602BD3">
        <w:rPr>
          <w:sz w:val="18"/>
          <w:lang w:val="es-CR"/>
        </w:rPr>
        <w:t xml:space="preserve">. </w:t>
      </w:r>
    </w:p>
  </w:footnote>
  <w:footnote w:id="27">
    <w:p w14:paraId="2F608058" w14:textId="77777777" w:rsidR="005E060C" w:rsidRPr="009E6C8A" w:rsidRDefault="005E060C" w:rsidP="00EE236F">
      <w:pPr>
        <w:pStyle w:val="FootnoteText"/>
        <w:spacing w:after="0"/>
        <w:jc w:val="both"/>
      </w:pPr>
      <w:r w:rsidRPr="0070197E">
        <w:rPr>
          <w:rStyle w:val="FootnoteReference"/>
          <w:sz w:val="18"/>
        </w:rPr>
        <w:footnoteRef/>
      </w:r>
      <w:r w:rsidRPr="0070197E">
        <w:rPr>
          <w:sz w:val="18"/>
          <w:lang w:val="es-CR"/>
        </w:rPr>
        <w:t xml:space="preserve"> </w:t>
      </w:r>
      <w:r w:rsidRPr="0070197E">
        <w:rPr>
          <w:sz w:val="18"/>
          <w:szCs w:val="18"/>
          <w:lang w:val="es-CR"/>
        </w:rPr>
        <w:t xml:space="preserve">Bachas, P., </w:t>
      </w:r>
      <w:r>
        <w:rPr>
          <w:sz w:val="18"/>
          <w:szCs w:val="18"/>
          <w:lang w:val="es-CR"/>
        </w:rPr>
        <w:t>y</w:t>
      </w:r>
      <w:r w:rsidRPr="0070197E">
        <w:rPr>
          <w:sz w:val="18"/>
          <w:szCs w:val="18"/>
          <w:lang w:val="es-CR"/>
        </w:rPr>
        <w:t xml:space="preserve"> Soto, M. (2015). </w:t>
      </w:r>
      <w:r w:rsidRPr="009E6C8A">
        <w:rPr>
          <w:sz w:val="18"/>
          <w:szCs w:val="18"/>
        </w:rPr>
        <w:t>Not your average tax system: corporate taxation under weak enforcement. Unpublished manuscript.</w:t>
      </w:r>
    </w:p>
  </w:footnote>
  <w:footnote w:id="28">
    <w:p w14:paraId="24287D5F" w14:textId="77777777" w:rsidR="005E060C" w:rsidRPr="00CC6855" w:rsidRDefault="005E060C" w:rsidP="00747A79">
      <w:pPr>
        <w:pStyle w:val="FootnoteText"/>
        <w:spacing w:after="0"/>
        <w:rPr>
          <w:lang w:val="es-CR"/>
        </w:rPr>
      </w:pPr>
      <w:r w:rsidRPr="007544F0">
        <w:rPr>
          <w:rStyle w:val="FootnoteReference"/>
          <w:sz w:val="18"/>
        </w:rPr>
        <w:footnoteRef/>
      </w:r>
      <w:r w:rsidRPr="007544F0">
        <w:rPr>
          <w:sz w:val="18"/>
        </w:rPr>
        <w:t xml:space="preserve"> OCD</w:t>
      </w:r>
      <w:r>
        <w:rPr>
          <w:sz w:val="18"/>
        </w:rPr>
        <w:t>E.</w:t>
      </w:r>
      <w:r w:rsidRPr="007544F0">
        <w:rPr>
          <w:sz w:val="18"/>
        </w:rPr>
        <w:t xml:space="preserve"> (2015), Taxation of SMEs in OECD and G20 Countries</w:t>
      </w:r>
      <w:r>
        <w:rPr>
          <w:sz w:val="18"/>
        </w:rPr>
        <w:t>.</w:t>
      </w:r>
      <w:r w:rsidRPr="007544F0">
        <w:rPr>
          <w:sz w:val="18"/>
        </w:rPr>
        <w:t xml:space="preserve"> OECD Tax Policy Studies, No. 23</w:t>
      </w:r>
      <w:r>
        <w:rPr>
          <w:sz w:val="18"/>
        </w:rPr>
        <w:t>.</w:t>
      </w:r>
      <w:r w:rsidRPr="007544F0">
        <w:rPr>
          <w:sz w:val="18"/>
        </w:rPr>
        <w:t xml:space="preserve"> </w:t>
      </w:r>
      <w:r w:rsidRPr="00CC6855">
        <w:rPr>
          <w:sz w:val="18"/>
          <w:lang w:val="es-CR"/>
        </w:rPr>
        <w:t xml:space="preserve">OECD Publishing, Paris, </w:t>
      </w:r>
      <w:hyperlink r:id="rId4" w:history="1">
        <w:r w:rsidRPr="00CC6855">
          <w:rPr>
            <w:rStyle w:val="Hyperlink"/>
            <w:sz w:val="18"/>
            <w:lang w:val="es-CR"/>
          </w:rPr>
          <w:t>http://dx.doi.org/10.1787/9789264243507-en</w:t>
        </w:r>
      </w:hyperlink>
      <w:r w:rsidRPr="00CC6855">
        <w:rPr>
          <w:sz w:val="18"/>
          <w:lang w:val="es-CR"/>
        </w:rPr>
        <w:t>.</w:t>
      </w:r>
    </w:p>
  </w:footnote>
  <w:footnote w:id="29">
    <w:p w14:paraId="405E7CD7" w14:textId="77777777" w:rsidR="005E060C" w:rsidRPr="00CC6855" w:rsidRDefault="005E060C" w:rsidP="00F31258">
      <w:pPr>
        <w:pStyle w:val="FootnoteText"/>
        <w:spacing w:after="0"/>
        <w:jc w:val="both"/>
        <w:rPr>
          <w:sz w:val="18"/>
          <w:lang w:val="es-ES"/>
        </w:rPr>
      </w:pPr>
      <w:r w:rsidRPr="00CC6855">
        <w:rPr>
          <w:rStyle w:val="FootnoteReference"/>
          <w:sz w:val="18"/>
        </w:rPr>
        <w:footnoteRef/>
      </w:r>
      <w:r w:rsidRPr="00CC6855">
        <w:rPr>
          <w:sz w:val="18"/>
          <w:lang w:val="es-CR"/>
        </w:rPr>
        <w:t xml:space="preserve"> </w:t>
      </w:r>
      <w:r>
        <w:rPr>
          <w:sz w:val="18"/>
          <w:lang w:val="es-CR"/>
        </w:rPr>
        <w:t xml:space="preserve">La práctica habitual es que las empresas dividan </w:t>
      </w:r>
      <w:r w:rsidRPr="00CC6855">
        <w:rPr>
          <w:sz w:val="18"/>
          <w:lang w:val="es-CR"/>
        </w:rPr>
        <w:t>sus operaciones</w:t>
      </w:r>
      <w:r>
        <w:rPr>
          <w:sz w:val="18"/>
          <w:lang w:val="es-CR"/>
        </w:rPr>
        <w:t xml:space="preserve"> en varias sociedades anónimas para reportar menores utilidades, disminuyendo los costos de cumplimiento. Los recursos adicionales es poco probable que se utilicen en inversión, por el mismo desincentivo al crecimiento que genera el sistema. </w:t>
      </w:r>
    </w:p>
  </w:footnote>
  <w:footnote w:id="30">
    <w:p w14:paraId="03E825B4" w14:textId="77777777" w:rsidR="005E060C" w:rsidRPr="00C81724" w:rsidRDefault="005E060C" w:rsidP="00C81724">
      <w:pPr>
        <w:pStyle w:val="FootnoteText"/>
        <w:spacing w:after="0"/>
        <w:jc w:val="both"/>
        <w:rPr>
          <w:lang w:val="es-CR"/>
        </w:rPr>
      </w:pPr>
      <w:r w:rsidRPr="00C81724">
        <w:rPr>
          <w:rStyle w:val="FootnoteReference"/>
          <w:sz w:val="18"/>
        </w:rPr>
        <w:footnoteRef/>
      </w:r>
      <w:r w:rsidRPr="00C81724">
        <w:rPr>
          <w:sz w:val="18"/>
          <w:lang w:val="es-CR"/>
        </w:rPr>
        <w:t xml:space="preserve"> </w:t>
      </w:r>
      <w:r>
        <w:rPr>
          <w:sz w:val="18"/>
          <w:lang w:val="es-CR"/>
        </w:rPr>
        <w:t xml:space="preserve">Por ejemplo, las entidades solidaristas y las cooperativas, aunque sean grandes empresas, tienen tasas mucho más bajas que la general. Una solución a esto, en comparativa internacional, sería tener una tasa menor para aquellas cooperativas con cierto nivel de ingresos y criterios para reconocer el beneficio de la solidaridad de sus integrantes que libra de ciertos costos al estado en cuestiones adversas. </w:t>
      </w:r>
    </w:p>
  </w:footnote>
  <w:footnote w:id="31">
    <w:p w14:paraId="7BFB213C" w14:textId="77777777" w:rsidR="005E060C" w:rsidRPr="0095536D" w:rsidRDefault="005E060C" w:rsidP="008353CA">
      <w:pPr>
        <w:pStyle w:val="FootnoteText"/>
        <w:spacing w:after="0"/>
        <w:jc w:val="both"/>
        <w:rPr>
          <w:lang w:val="es-CR"/>
        </w:rPr>
      </w:pPr>
      <w:r w:rsidRPr="002B449D">
        <w:rPr>
          <w:rStyle w:val="FootnoteReference"/>
          <w:sz w:val="18"/>
          <w:lang w:val="es-CR"/>
        </w:rPr>
        <w:footnoteRef/>
      </w:r>
      <w:r w:rsidRPr="0095536D">
        <w:rPr>
          <w:sz w:val="18"/>
          <w:lang w:val="es-CR"/>
        </w:rPr>
        <w:t xml:space="preserve"> En particular, existen tasas diferenciales para las siguientes cédulas: (i) utilidades personas jurídicas y físicas con actividades lucrativas; (ii) remuneraciones salariales y pensiones; (iii) dividendos e intereses de títulos valores; (iv) remesas al exterior; (v) zonas francas que se encuen</w:t>
      </w:r>
      <w:r>
        <w:rPr>
          <w:sz w:val="18"/>
          <w:lang w:val="es-CR"/>
        </w:rPr>
        <w:t>tran exoneradas</w:t>
      </w:r>
      <w:r w:rsidRPr="0095536D">
        <w:rPr>
          <w:sz w:val="18"/>
          <w:lang w:val="es-CR"/>
        </w:rPr>
        <w:t xml:space="preserve">. </w:t>
      </w:r>
    </w:p>
  </w:footnote>
  <w:footnote w:id="32">
    <w:p w14:paraId="6C36F980" w14:textId="77777777" w:rsidR="005E060C" w:rsidRPr="00F97B22" w:rsidRDefault="005E060C" w:rsidP="00F31258">
      <w:pPr>
        <w:pStyle w:val="FootnoteText"/>
        <w:spacing w:after="0"/>
        <w:rPr>
          <w:sz w:val="18"/>
          <w:lang w:val="es-CR"/>
        </w:rPr>
      </w:pPr>
      <w:r w:rsidRPr="00197CE7">
        <w:rPr>
          <w:rStyle w:val="FootnoteReference"/>
          <w:sz w:val="18"/>
        </w:rPr>
        <w:footnoteRef/>
      </w:r>
      <w:r w:rsidRPr="00F97B22">
        <w:rPr>
          <w:lang w:val="es-CR"/>
        </w:rPr>
        <w:t xml:space="preserve"> </w:t>
      </w:r>
      <w:r w:rsidRPr="00197CE7">
        <w:rPr>
          <w:sz w:val="18"/>
          <w:lang w:val="es-CR"/>
        </w:rPr>
        <w:t>De acuerdo con el</w:t>
      </w:r>
      <w:r>
        <w:rPr>
          <w:sz w:val="18"/>
          <w:lang w:val="es-CR"/>
        </w:rPr>
        <w:t xml:space="preserve"> Ministerio de Hacienda de Costa Rica,</w:t>
      </w:r>
      <w:r w:rsidRPr="00197CE7">
        <w:rPr>
          <w:sz w:val="18"/>
          <w:lang w:val="es-CR"/>
        </w:rPr>
        <w:t xml:space="preserve"> </w:t>
      </w:r>
      <w:r>
        <w:rPr>
          <w:sz w:val="18"/>
          <w:lang w:val="es-CR"/>
        </w:rPr>
        <w:t>s</w:t>
      </w:r>
      <w:r w:rsidRPr="00F97B22">
        <w:rPr>
          <w:sz w:val="18"/>
          <w:lang w:val="es-CR"/>
        </w:rPr>
        <w:t xml:space="preserve">alarios de 799 mil colones para abajo están exentos, entre 799 mil hasta un millón 199 mil colones enfrentan una tasa de 10% y de un millón 199 mil colones en adelante enfrentan una tasa de 15%. </w:t>
      </w:r>
      <w:r>
        <w:rPr>
          <w:sz w:val="18"/>
          <w:lang w:val="es-CR"/>
        </w:rPr>
        <w:t>(</w:t>
      </w:r>
      <w:hyperlink r:id="rId5" w:history="1">
        <w:r w:rsidRPr="00C32C96">
          <w:rPr>
            <w:rStyle w:val="Hyperlink"/>
            <w:sz w:val="18"/>
            <w:lang w:val="es-CR"/>
          </w:rPr>
          <w:t>http://www.hacienda.go.cr/contenido/12994-impuesto-sobre-la-renta-regimen-tradicional</w:t>
        </w:r>
      </w:hyperlink>
      <w:r>
        <w:rPr>
          <w:sz w:val="18"/>
          <w:lang w:val="es-CR"/>
        </w:rPr>
        <w:t>)</w:t>
      </w:r>
    </w:p>
  </w:footnote>
  <w:footnote w:id="33">
    <w:p w14:paraId="140E8356" w14:textId="77777777" w:rsidR="005E060C" w:rsidRPr="007B47FE" w:rsidRDefault="005E060C">
      <w:pPr>
        <w:pStyle w:val="FootnoteText"/>
        <w:rPr>
          <w:lang w:val="es-CR"/>
        </w:rPr>
      </w:pPr>
      <w:r w:rsidRPr="00951D72">
        <w:rPr>
          <w:rStyle w:val="FootnoteReference"/>
          <w:sz w:val="18"/>
        </w:rPr>
        <w:footnoteRef/>
      </w:r>
      <w:r w:rsidRPr="00D32FC7">
        <w:rPr>
          <w:sz w:val="18"/>
          <w:lang w:val="es-CR"/>
        </w:rPr>
        <w:t xml:space="preserve"> Barreix, A., J. Benítez y M. Pecho. </w:t>
      </w:r>
      <w:r w:rsidRPr="00951D72">
        <w:rPr>
          <w:sz w:val="18"/>
        </w:rPr>
        <w:t>(2017)</w:t>
      </w:r>
      <w:r>
        <w:rPr>
          <w:sz w:val="18"/>
        </w:rPr>
        <w:t>.</w:t>
      </w:r>
      <w:r w:rsidRPr="00951D72">
        <w:rPr>
          <w:sz w:val="18"/>
        </w:rPr>
        <w:t xml:space="preserve"> </w:t>
      </w:r>
      <w:r w:rsidRPr="00D32FC7">
        <w:rPr>
          <w:i/>
          <w:sz w:val="18"/>
        </w:rPr>
        <w:t>"Revisiting personal income tax in Latin America: Evolution and impact"</w:t>
      </w:r>
      <w:r>
        <w:rPr>
          <w:sz w:val="18"/>
        </w:rPr>
        <w:t xml:space="preserve">. </w:t>
      </w:r>
      <w:r w:rsidRPr="007B47FE">
        <w:rPr>
          <w:sz w:val="18"/>
          <w:lang w:val="es-CR"/>
        </w:rPr>
        <w:t>OECD Development Centre Working Papers, No. 338, OECD Publishing, Paris.</w:t>
      </w:r>
    </w:p>
  </w:footnote>
  <w:footnote w:id="34">
    <w:p w14:paraId="0BD13A02" w14:textId="77777777" w:rsidR="005E060C" w:rsidRPr="00C775B3" w:rsidRDefault="005E060C" w:rsidP="008E6178">
      <w:pPr>
        <w:pStyle w:val="FootnoteText"/>
        <w:spacing w:after="0"/>
        <w:jc w:val="both"/>
        <w:rPr>
          <w:lang w:val="es-CR"/>
        </w:rPr>
      </w:pPr>
      <w:r w:rsidRPr="008E6178">
        <w:rPr>
          <w:rStyle w:val="FootnoteReference"/>
          <w:sz w:val="18"/>
        </w:rPr>
        <w:footnoteRef/>
      </w:r>
      <w:r w:rsidRPr="008E6178">
        <w:rPr>
          <w:sz w:val="18"/>
          <w:lang w:val="es-CR"/>
        </w:rPr>
        <w:t xml:space="preserve"> En la mayoría de los países miembros de la OCDE sí es posible deducir las CSS de la base gravable del IS </w:t>
      </w:r>
      <w:r>
        <w:rPr>
          <w:sz w:val="18"/>
          <w:lang w:val="es-CR"/>
        </w:rPr>
        <w:t>y del</w:t>
      </w:r>
      <w:r w:rsidRPr="008E6178">
        <w:rPr>
          <w:sz w:val="18"/>
          <w:lang w:val="es-CR"/>
        </w:rPr>
        <w:t xml:space="preserve"> Impuesto de Renta a Personas Físicas con </w:t>
      </w:r>
      <w:r>
        <w:rPr>
          <w:sz w:val="18"/>
          <w:lang w:val="es-CR"/>
        </w:rPr>
        <w:t>actividad lucrativa</w:t>
      </w:r>
      <w:r w:rsidRPr="008E6178">
        <w:rPr>
          <w:sz w:val="18"/>
          <w:lang w:val="es-CR"/>
        </w:rPr>
        <w:t>.</w:t>
      </w:r>
    </w:p>
  </w:footnote>
  <w:footnote w:id="35">
    <w:p w14:paraId="74AB284E" w14:textId="77777777" w:rsidR="005E060C" w:rsidRPr="00C81724" w:rsidRDefault="005E060C" w:rsidP="00C81724">
      <w:pPr>
        <w:pStyle w:val="FootnoteText"/>
        <w:spacing w:after="0"/>
        <w:jc w:val="both"/>
        <w:rPr>
          <w:lang w:val="es-CR"/>
        </w:rPr>
      </w:pPr>
      <w:r w:rsidRPr="00C81724">
        <w:rPr>
          <w:rStyle w:val="FootnoteReference"/>
          <w:sz w:val="18"/>
        </w:rPr>
        <w:footnoteRef/>
      </w:r>
      <w:r w:rsidRPr="00C81724">
        <w:rPr>
          <w:sz w:val="18"/>
          <w:lang w:val="es-CR"/>
        </w:rPr>
        <w:t xml:space="preserve"> Disponibles en: </w:t>
      </w:r>
      <w:hyperlink r:id="rId6" w:history="1">
        <w:r w:rsidRPr="00C81724">
          <w:rPr>
            <w:rStyle w:val="Hyperlink"/>
            <w:sz w:val="18"/>
            <w:lang w:val="es-CR"/>
          </w:rPr>
          <w:t>http://www.inec.go.cr/empleo/temas-especiales-de-empleo</w:t>
        </w:r>
      </w:hyperlink>
      <w:r w:rsidRPr="00C81724">
        <w:rPr>
          <w:sz w:val="18"/>
          <w:lang w:val="es-CR"/>
        </w:rPr>
        <w:t xml:space="preserve"> </w:t>
      </w:r>
    </w:p>
  </w:footnote>
  <w:footnote w:id="36">
    <w:p w14:paraId="65362069" w14:textId="77777777" w:rsidR="005E060C" w:rsidRPr="00C81724" w:rsidRDefault="005E060C" w:rsidP="00C81724">
      <w:pPr>
        <w:pStyle w:val="FootnoteText"/>
        <w:spacing w:after="0"/>
        <w:jc w:val="both"/>
        <w:rPr>
          <w:lang w:val="es-CR"/>
        </w:rPr>
      </w:pPr>
      <w:r w:rsidRPr="00C81724">
        <w:rPr>
          <w:rStyle w:val="FootnoteReference"/>
          <w:sz w:val="18"/>
        </w:rPr>
        <w:footnoteRef/>
      </w:r>
      <w:r w:rsidRPr="00C81724">
        <w:rPr>
          <w:sz w:val="18"/>
          <w:lang w:val="es-CR"/>
        </w:rPr>
        <w:t xml:space="preserve"> Entendida como los asalariados no inscritos en la seguridad social, ayudantes no remunerados y a los trabajadores por cuenta propia en empresas no constituidas en sociedad.</w:t>
      </w:r>
    </w:p>
  </w:footnote>
  <w:footnote w:id="37">
    <w:p w14:paraId="68864185" w14:textId="77777777" w:rsidR="005E060C" w:rsidRPr="00C81724" w:rsidRDefault="005E060C" w:rsidP="00CB2C52">
      <w:pPr>
        <w:pStyle w:val="FootnoteText"/>
        <w:spacing w:after="0"/>
        <w:jc w:val="both"/>
        <w:rPr>
          <w:lang w:val="es-ES"/>
        </w:rPr>
      </w:pPr>
      <w:r w:rsidRPr="00C81724">
        <w:rPr>
          <w:rStyle w:val="FootnoteReference"/>
          <w:sz w:val="18"/>
        </w:rPr>
        <w:footnoteRef/>
      </w:r>
      <w:r w:rsidRPr="00C81724">
        <w:rPr>
          <w:sz w:val="18"/>
          <w:lang w:val="es-CR"/>
        </w:rPr>
        <w:t xml:space="preserve"> Se debe mencionar el riesgo por flujos migratorios provenientes de Nicaragua hacia Costa Rica, incentivados por diferencias sustanciales en ingresos en ambos países (USD$11.685 vs USD$ 2206, PIB per cápita)</w:t>
      </w:r>
      <w:r>
        <w:rPr>
          <w:sz w:val="18"/>
          <w:lang w:val="es-CR"/>
        </w:rPr>
        <w:t xml:space="preserve"> y por mejores servicios públicos con el muy buen desempeño de la economía nicaragüense</w:t>
      </w:r>
      <w:r w:rsidRPr="00C81724">
        <w:rPr>
          <w:sz w:val="18"/>
          <w:lang w:val="es-CR"/>
        </w:rPr>
        <w:t>. Estos flujos migratorios incrementan las presiones sobre desempleo</w:t>
      </w:r>
      <w:r>
        <w:rPr>
          <w:sz w:val="18"/>
          <w:lang w:val="es-CR"/>
        </w:rPr>
        <w:t>, y probablemente niveles de pobreza, natural a los procesos iniciales de inmigración</w:t>
      </w:r>
      <w:r w:rsidRPr="00C81724">
        <w:rPr>
          <w:sz w:val="18"/>
          <w:lang w:val="es-CR"/>
        </w:rPr>
        <w:t>.</w:t>
      </w:r>
    </w:p>
  </w:footnote>
  <w:footnote w:id="38">
    <w:p w14:paraId="018C824F" w14:textId="77777777" w:rsidR="005E060C" w:rsidRPr="00C81724" w:rsidRDefault="005E060C" w:rsidP="00C81724">
      <w:pPr>
        <w:pStyle w:val="FootnoteText"/>
        <w:spacing w:after="0"/>
        <w:rPr>
          <w:sz w:val="18"/>
          <w:lang w:val="es-CR"/>
        </w:rPr>
      </w:pPr>
      <w:r w:rsidRPr="00C81724">
        <w:rPr>
          <w:rStyle w:val="FootnoteReference"/>
          <w:sz w:val="18"/>
        </w:rPr>
        <w:footnoteRef/>
      </w:r>
      <w:r w:rsidRPr="00C81724">
        <w:rPr>
          <w:sz w:val="18"/>
          <w:lang w:val="es-CR"/>
        </w:rPr>
        <w:t xml:space="preserve"> El tratamiento de exoneración es distinto del de tasa cero. </w:t>
      </w:r>
    </w:p>
  </w:footnote>
  <w:footnote w:id="39">
    <w:p w14:paraId="066FAEE6" w14:textId="77777777" w:rsidR="005E060C" w:rsidRPr="007B47FE" w:rsidRDefault="005E060C" w:rsidP="00404F4B">
      <w:pPr>
        <w:pStyle w:val="FootnoteText"/>
        <w:spacing w:after="0" w:line="240" w:lineRule="auto"/>
        <w:jc w:val="both"/>
        <w:rPr>
          <w:lang w:val="es-CR"/>
        </w:rPr>
      </w:pPr>
      <w:r w:rsidRPr="007B47FE">
        <w:rPr>
          <w:rStyle w:val="FootnoteReference"/>
          <w:sz w:val="18"/>
        </w:rPr>
        <w:footnoteRef/>
      </w:r>
      <w:r w:rsidRPr="007B47FE">
        <w:rPr>
          <w:sz w:val="18"/>
          <w:lang w:val="es-CR"/>
        </w:rPr>
        <w:t xml:space="preserve"> Es importante destacar, que con la eliminación de la tasa 0 debería replantearse el régimen de devolución de IVA que se mantendrá para los exportadores y para casos especiales (maquilas, diplomáticos, etc.). Dados los inconvenientes que genera el régimen de órdenes de compra exenta, sería conveniente obligar al pago del impuesto y devolverlo posteriormente, e instrumentar tarjetas de débito en casos como los de diplomáticos.</w:t>
      </w:r>
    </w:p>
  </w:footnote>
  <w:footnote w:id="40">
    <w:p w14:paraId="059568C1" w14:textId="77777777" w:rsidR="005E060C" w:rsidRDefault="005E060C" w:rsidP="004E6FFE">
      <w:pPr>
        <w:pStyle w:val="FootnoteText"/>
        <w:spacing w:after="0"/>
        <w:jc w:val="both"/>
        <w:rPr>
          <w:sz w:val="18"/>
          <w:lang w:val="es-CR"/>
        </w:rPr>
      </w:pPr>
      <w:r w:rsidRPr="005C6E72">
        <w:rPr>
          <w:rStyle w:val="FootnoteReference"/>
          <w:sz w:val="18"/>
        </w:rPr>
        <w:footnoteRef/>
      </w:r>
      <w:r w:rsidRPr="005C6E72">
        <w:rPr>
          <w:sz w:val="18"/>
          <w:lang w:val="es-CR"/>
        </w:rPr>
        <w:t xml:space="preserve"> </w:t>
      </w:r>
      <w:r w:rsidRPr="004E6FFE">
        <w:rPr>
          <w:b/>
          <w:sz w:val="18"/>
          <w:u w:val="single"/>
          <w:lang w:val="es-CR"/>
        </w:rPr>
        <w:t>Servicios Financieros</w:t>
      </w:r>
      <w:r w:rsidRPr="005C6E72">
        <w:rPr>
          <w:sz w:val="18"/>
          <w:lang w:val="es-CR"/>
        </w:rPr>
        <w:t>: Plantean un problema técnico tributario. El IVA es un impuesto sencillo cuando la cadena de valor añadido es unidireccional, pero se complica cuando ésta es multidireccional como en caso de los bancos, que prestan servicios a ahorristas y prestatarios a la vez. No existe a la fecha solución a este dilema: o se grava con cascada o se exonera perdiendo base. En Costa Rica se podrían gravar solamente los intereses de los créditos al consumidor final.</w:t>
      </w:r>
      <w:r>
        <w:rPr>
          <w:sz w:val="18"/>
          <w:lang w:val="es-CR"/>
        </w:rPr>
        <w:t xml:space="preserve"> Lo que es recomendable dada la experiencia en estos países. </w:t>
      </w:r>
    </w:p>
    <w:p w14:paraId="4FE05FC1" w14:textId="77777777" w:rsidR="005E060C" w:rsidRPr="005C6E72" w:rsidRDefault="005E060C" w:rsidP="004E6FFE">
      <w:pPr>
        <w:pStyle w:val="FootnoteText"/>
        <w:spacing w:after="0"/>
        <w:jc w:val="both"/>
        <w:rPr>
          <w:lang w:val="es-CR"/>
        </w:rPr>
      </w:pPr>
      <w:r w:rsidRPr="004E6FFE">
        <w:rPr>
          <w:b/>
          <w:sz w:val="18"/>
          <w:u w:val="single"/>
          <w:lang w:val="es-CR"/>
        </w:rPr>
        <w:t>Arrendamiento de inmuebles</w:t>
      </w:r>
      <w:r w:rsidRPr="004E6FFE">
        <w:rPr>
          <w:sz w:val="18"/>
          <w:lang w:val="es-CR"/>
        </w:rPr>
        <w:t>: Debido a la complejidad administrativa, ya que se sumaría una importante cantidad de nuevos contribuyentes, en su mayor parte personas físicas, es preferible mantener la exoneración. Además, el gasto en arrendamiento de inmuebles suele concentrarse en los deciles más pobres, con lo que el impuesto resultaría regresivo.</w:t>
      </w:r>
    </w:p>
  </w:footnote>
  <w:footnote w:id="41">
    <w:p w14:paraId="6DC64D0C" w14:textId="77777777" w:rsidR="005E060C" w:rsidRPr="00894F5C" w:rsidRDefault="005E060C" w:rsidP="00C81724">
      <w:pPr>
        <w:pStyle w:val="FootnoteText"/>
        <w:spacing w:after="0"/>
        <w:jc w:val="both"/>
        <w:rPr>
          <w:lang w:val="es-CR"/>
        </w:rPr>
      </w:pPr>
      <w:r w:rsidRPr="00894F5C">
        <w:rPr>
          <w:rStyle w:val="FootnoteReference"/>
          <w:sz w:val="18"/>
        </w:rPr>
        <w:footnoteRef/>
      </w:r>
      <w:r w:rsidRPr="00894F5C">
        <w:rPr>
          <w:lang w:val="es-CR"/>
        </w:rPr>
        <w:t xml:space="preserve"> </w:t>
      </w:r>
      <w:r w:rsidRPr="00307FA1">
        <w:rPr>
          <w:sz w:val="18"/>
          <w:lang w:val="es-CR"/>
        </w:rPr>
        <w:t xml:space="preserve">Bachas, P., y Soto, M. (2015). </w:t>
      </w:r>
      <w:r w:rsidRPr="005A16E5">
        <w:rPr>
          <w:sz w:val="18"/>
        </w:rPr>
        <w:t xml:space="preserve">Not (ch) your average tax system: corporate taxation under weak enforcement. </w:t>
      </w:r>
      <w:r w:rsidRPr="005A16E5">
        <w:rPr>
          <w:sz w:val="18"/>
          <w:lang w:val="es-CR"/>
        </w:rPr>
        <w:t>Unpublished manuscript</w:t>
      </w:r>
      <w:r>
        <w:rPr>
          <w:sz w:val="18"/>
          <w:lang w:val="es-CR"/>
        </w:rPr>
        <w:t>.</w:t>
      </w:r>
    </w:p>
  </w:footnote>
  <w:footnote w:id="42">
    <w:p w14:paraId="6B86BD3E" w14:textId="77777777" w:rsidR="005E060C" w:rsidRPr="00024EAC" w:rsidRDefault="005E060C" w:rsidP="00C81724">
      <w:pPr>
        <w:pStyle w:val="FootnoteText"/>
        <w:spacing w:after="0"/>
        <w:jc w:val="both"/>
        <w:rPr>
          <w:lang w:val="es-CR"/>
        </w:rPr>
      </w:pPr>
      <w:r w:rsidRPr="00116A1A">
        <w:rPr>
          <w:rStyle w:val="FootnoteReference"/>
          <w:sz w:val="18"/>
        </w:rPr>
        <w:footnoteRef/>
      </w:r>
      <w:r w:rsidRPr="00116A1A">
        <w:rPr>
          <w:sz w:val="18"/>
          <w:lang w:val="es-CR"/>
        </w:rPr>
        <w:t xml:space="preserve"> Se debe recordar que existe un régimen de Zona Franca </w:t>
      </w:r>
      <w:r>
        <w:rPr>
          <w:sz w:val="18"/>
          <w:lang w:val="es-CR"/>
        </w:rPr>
        <w:t>que tiene tasas preferenciales muy reducidas del</w:t>
      </w:r>
      <w:r w:rsidRPr="00116A1A">
        <w:rPr>
          <w:sz w:val="18"/>
          <w:lang w:val="es-CR"/>
        </w:rPr>
        <w:t xml:space="preserve"> impuesto de la Renta</w:t>
      </w:r>
      <w:r>
        <w:rPr>
          <w:sz w:val="18"/>
          <w:lang w:val="es-CR"/>
        </w:rPr>
        <w:t>, y no se les grava dividendos ni ganancias de capital</w:t>
      </w:r>
      <w:r w:rsidRPr="00116A1A">
        <w:rPr>
          <w:sz w:val="18"/>
          <w:lang w:val="es-CR"/>
        </w:rPr>
        <w:t xml:space="preserve">. </w:t>
      </w:r>
    </w:p>
  </w:footnote>
  <w:footnote w:id="43">
    <w:p w14:paraId="2B16E557" w14:textId="77777777" w:rsidR="005E060C" w:rsidRPr="00C81724" w:rsidRDefault="005E060C" w:rsidP="00C81724">
      <w:pPr>
        <w:pStyle w:val="FootnoteText"/>
        <w:spacing w:after="0"/>
        <w:jc w:val="both"/>
        <w:rPr>
          <w:sz w:val="22"/>
        </w:rPr>
      </w:pPr>
      <w:r w:rsidRPr="00C81724">
        <w:rPr>
          <w:rStyle w:val="FootnoteReference"/>
          <w:sz w:val="18"/>
        </w:rPr>
        <w:footnoteRef/>
      </w:r>
      <w:r w:rsidRPr="00064C3C">
        <w:rPr>
          <w:sz w:val="18"/>
        </w:rPr>
        <w:t xml:space="preserve"> Aviyonah, R., Barreix, A.D. &amp; Diaz, S. (2018). </w:t>
      </w:r>
      <w:r w:rsidRPr="00C81724">
        <w:rPr>
          <w:sz w:val="18"/>
        </w:rPr>
        <w:t>Tax Reform (TRA17) in the United States. Work in progress.</w:t>
      </w:r>
    </w:p>
  </w:footnote>
  <w:footnote w:id="44">
    <w:p w14:paraId="28691126" w14:textId="77777777" w:rsidR="005E060C" w:rsidRPr="006C3BF4" w:rsidRDefault="005E060C" w:rsidP="00C81724">
      <w:pPr>
        <w:pStyle w:val="FootnoteText"/>
        <w:spacing w:after="0"/>
        <w:jc w:val="both"/>
        <w:rPr>
          <w:sz w:val="18"/>
        </w:rPr>
      </w:pPr>
      <w:r w:rsidRPr="006C3BF4">
        <w:rPr>
          <w:rStyle w:val="FootnoteReference"/>
          <w:sz w:val="18"/>
        </w:rPr>
        <w:footnoteRef/>
      </w:r>
      <w:r w:rsidRPr="006C3BF4">
        <w:rPr>
          <w:sz w:val="18"/>
        </w:rPr>
        <w:t xml:space="preserve"> OCDE (2015), Taxation of SMEs in OECD and G20 Countries, OECD Publishing, Paris,</w:t>
      </w:r>
    </w:p>
    <w:p w14:paraId="61C3B0C6" w14:textId="77777777" w:rsidR="005E060C" w:rsidRPr="007C3441" w:rsidRDefault="00F6712E" w:rsidP="00C81724">
      <w:pPr>
        <w:pStyle w:val="FootnoteText"/>
        <w:spacing w:after="0"/>
        <w:jc w:val="both"/>
      </w:pPr>
      <w:hyperlink r:id="rId7" w:history="1">
        <w:r w:rsidR="005E060C" w:rsidRPr="006C3BF4">
          <w:rPr>
            <w:rStyle w:val="Hyperlink"/>
            <w:sz w:val="18"/>
          </w:rPr>
          <w:t>http://dx.doi.org/10.1787/9789264243507-en</w:t>
        </w:r>
      </w:hyperlink>
      <w:r w:rsidR="005E060C" w:rsidRPr="006C3BF4">
        <w:rPr>
          <w:sz w:val="18"/>
        </w:rPr>
        <w:t xml:space="preserve">. </w:t>
      </w:r>
    </w:p>
  </w:footnote>
  <w:footnote w:id="45">
    <w:p w14:paraId="2B619132" w14:textId="77777777" w:rsidR="005E060C" w:rsidRPr="00BD4105" w:rsidRDefault="005E060C" w:rsidP="00FE0787">
      <w:pPr>
        <w:pStyle w:val="FootnoteText"/>
        <w:spacing w:after="0"/>
        <w:jc w:val="both"/>
        <w:rPr>
          <w:sz w:val="18"/>
          <w:lang w:val="es-CR"/>
        </w:rPr>
      </w:pPr>
      <w:r w:rsidRPr="00BD4105">
        <w:rPr>
          <w:rStyle w:val="FootnoteReference"/>
          <w:sz w:val="18"/>
        </w:rPr>
        <w:footnoteRef/>
      </w:r>
      <w:r w:rsidRPr="00BD4105">
        <w:rPr>
          <w:sz w:val="18"/>
          <w:lang w:val="es-CR"/>
        </w:rPr>
        <w:t xml:space="preserve"> No se dispone de datos referidos a Bahamas, Ecuador, Jamaica, México, Nicaragua, Panamá, Paraguay ni Venezuela.</w:t>
      </w:r>
    </w:p>
  </w:footnote>
  <w:footnote w:id="46">
    <w:p w14:paraId="590BE8E7" w14:textId="77777777" w:rsidR="005E060C" w:rsidRPr="006D2B8C" w:rsidRDefault="005E060C" w:rsidP="00345158">
      <w:pPr>
        <w:pStyle w:val="FootnoteText"/>
        <w:spacing w:after="0"/>
        <w:jc w:val="both"/>
        <w:rPr>
          <w:lang w:val="es-CR"/>
        </w:rPr>
      </w:pPr>
      <w:r w:rsidRPr="00C47A07">
        <w:rPr>
          <w:rStyle w:val="FootnoteReference"/>
          <w:sz w:val="18"/>
        </w:rPr>
        <w:footnoteRef/>
      </w:r>
      <w:r w:rsidRPr="00C47A07">
        <w:rPr>
          <w:sz w:val="18"/>
          <w:lang w:val="es-CR"/>
        </w:rPr>
        <w:t xml:space="preserve"> La referencia de esta sección es la Nota de Política Fiscal de diciembre de 2013: Propuestas para la Agenda Fiscal en Costa Rica. </w:t>
      </w:r>
      <w:r>
        <w:rPr>
          <w:sz w:val="18"/>
          <w:lang w:val="es-CR"/>
        </w:rPr>
        <w:t xml:space="preserve">Para esta nota </w:t>
      </w:r>
      <w:r w:rsidRPr="00C47A07">
        <w:rPr>
          <w:sz w:val="18"/>
          <w:lang w:val="es-CR"/>
        </w:rPr>
        <w:t xml:space="preserve">se mantuvieron reuniones con distintas autoridades del gobierno y expertos del país, compartiendo la misión realizada in situ - entre los días 15 y 19 de octubre </w:t>
      </w:r>
      <w:r>
        <w:rPr>
          <w:sz w:val="18"/>
          <w:lang w:val="es-CR"/>
        </w:rPr>
        <w:t>de 2013</w:t>
      </w:r>
      <w:r w:rsidRPr="00C47A07">
        <w:rPr>
          <w:sz w:val="18"/>
          <w:lang w:val="es-CR"/>
        </w:rPr>
        <w:t xml:space="preserve"> - con los Sres. Enrique Rojas (IMF/FAD) y Oscar Vázquez (Experto residente de CAPTAC-RD), lo que ha permitido realizar en forma conjunta un análisis de los antecedentes originados en distintas misiones y visitas anteriores y conformar así </w:t>
      </w:r>
      <w:r>
        <w:rPr>
          <w:sz w:val="18"/>
          <w:lang w:val="es-CR"/>
        </w:rPr>
        <w:t>la sección de Administración Tributaria de la Nota de Política Fiscal</w:t>
      </w:r>
      <w:r w:rsidRPr="00C47A07">
        <w:rPr>
          <w:sz w:val="18"/>
          <w:lang w:val="es-CR"/>
        </w:rPr>
        <w:t>.</w:t>
      </w:r>
    </w:p>
  </w:footnote>
  <w:footnote w:id="47">
    <w:p w14:paraId="38F2D988" w14:textId="77777777" w:rsidR="005E060C" w:rsidRPr="00C81724" w:rsidRDefault="005E060C" w:rsidP="00C81724">
      <w:pPr>
        <w:pStyle w:val="FootnoteText"/>
        <w:spacing w:after="0"/>
        <w:jc w:val="both"/>
        <w:rPr>
          <w:lang w:val="es-CR"/>
        </w:rPr>
      </w:pPr>
      <w:r w:rsidRPr="00C81724">
        <w:rPr>
          <w:rStyle w:val="FootnoteReference"/>
          <w:sz w:val="18"/>
        </w:rPr>
        <w:footnoteRef/>
      </w:r>
      <w:r w:rsidRPr="00C81724">
        <w:rPr>
          <w:sz w:val="18"/>
          <w:lang w:val="es-CR"/>
        </w:rPr>
        <w:t xml:space="preserve"> Caja Costarricense del Seguro Social.</w:t>
      </w:r>
    </w:p>
  </w:footnote>
  <w:footnote w:id="48">
    <w:p w14:paraId="57901AA9" w14:textId="77777777" w:rsidR="005E060C" w:rsidRPr="00C81724" w:rsidRDefault="005E060C" w:rsidP="00C81724">
      <w:pPr>
        <w:pStyle w:val="FootnoteText"/>
        <w:spacing w:after="0"/>
        <w:rPr>
          <w:lang w:val="es-CR"/>
        </w:rPr>
      </w:pPr>
      <w:r w:rsidRPr="00C81724">
        <w:rPr>
          <w:rStyle w:val="FootnoteReference"/>
          <w:sz w:val="18"/>
        </w:rPr>
        <w:footnoteRef/>
      </w:r>
      <w:r w:rsidRPr="00C81724">
        <w:rPr>
          <w:sz w:val="18"/>
          <w:lang w:val="es-CR"/>
        </w:rPr>
        <w:t xml:space="preserve"> Instituto Costarricense de Electricidad.</w:t>
      </w:r>
    </w:p>
  </w:footnote>
  <w:footnote w:id="49">
    <w:p w14:paraId="4E5BA095" w14:textId="77777777" w:rsidR="005E060C" w:rsidRPr="000802C3" w:rsidRDefault="005E060C" w:rsidP="003F0166">
      <w:pPr>
        <w:pStyle w:val="FootnoteText"/>
        <w:spacing w:after="0"/>
        <w:jc w:val="both"/>
        <w:rPr>
          <w:lang w:val="es-CR"/>
        </w:rPr>
      </w:pPr>
      <w:r w:rsidRPr="00606E3C">
        <w:rPr>
          <w:rStyle w:val="FootnoteReference"/>
          <w:sz w:val="18"/>
        </w:rPr>
        <w:footnoteRef/>
      </w:r>
      <w:r w:rsidRPr="00977990">
        <w:rPr>
          <w:sz w:val="18"/>
          <w:lang w:val="es-CR"/>
        </w:rPr>
        <w:t xml:space="preserve"> Espinoza, J. (2016). </w:t>
      </w:r>
      <w:r w:rsidRPr="00606E3C">
        <w:rPr>
          <w:sz w:val="18"/>
          <w:lang w:val="es-CR"/>
        </w:rPr>
        <w:t xml:space="preserve">Cálculo de los impactos de las reformas fiscales del lado del gasto en Costa Rica. Consultoría financiada por el Banco Interamericano de Desarrollo (BID). </w:t>
      </w:r>
    </w:p>
  </w:footnote>
  <w:footnote w:id="50">
    <w:p w14:paraId="2C2C5024" w14:textId="77777777" w:rsidR="005E060C" w:rsidRPr="00B578B6" w:rsidRDefault="005E060C" w:rsidP="00E019F2">
      <w:pPr>
        <w:pStyle w:val="FootnoteText"/>
        <w:spacing w:after="0" w:line="240" w:lineRule="auto"/>
        <w:jc w:val="both"/>
        <w:rPr>
          <w:sz w:val="18"/>
          <w:lang w:val="es-ES"/>
        </w:rPr>
      </w:pPr>
      <w:r w:rsidRPr="00B578B6">
        <w:rPr>
          <w:rStyle w:val="FootnoteReference"/>
          <w:sz w:val="18"/>
        </w:rPr>
        <w:footnoteRef/>
      </w:r>
      <w:r w:rsidRPr="00B578B6">
        <w:rPr>
          <w:sz w:val="18"/>
          <w:lang w:val="es-ES"/>
        </w:rPr>
        <w:t xml:space="preserve"> Según el diagnóstico realizado por el Servicio Civil en 2006, los salarios de los profesionales del Gobierno Central estaban muy por debajo de los pagados por las demás entidades estatales, situándose en el percentil 25. Por tanto, el 75% de las instituciones ofrecía sueldos de contratación superiores a los de los Ministerios, dando como resultado la fuga de profesionales de los Ministerios a esas instituciones. </w:t>
      </w:r>
    </w:p>
  </w:footnote>
  <w:footnote w:id="51">
    <w:p w14:paraId="3B0B5104" w14:textId="77777777" w:rsidR="005E060C" w:rsidRPr="006152C2" w:rsidRDefault="005E060C" w:rsidP="00254B3A">
      <w:pPr>
        <w:pStyle w:val="FootnoteText"/>
        <w:spacing w:after="0"/>
        <w:jc w:val="both"/>
        <w:rPr>
          <w:sz w:val="18"/>
          <w:szCs w:val="18"/>
          <w:lang w:val="es-CR"/>
        </w:rPr>
      </w:pPr>
      <w:r w:rsidRPr="006152C2">
        <w:rPr>
          <w:rStyle w:val="FootnoteReference"/>
          <w:sz w:val="18"/>
          <w:szCs w:val="18"/>
        </w:rPr>
        <w:footnoteRef/>
      </w:r>
      <w:r w:rsidRPr="006152C2">
        <w:rPr>
          <w:sz w:val="18"/>
          <w:szCs w:val="18"/>
          <w:lang w:val="es-CR"/>
        </w:rPr>
        <w:t xml:space="preserve"> Espinoza, J. (2016). Cálculo de los impactos de las reformas fiscales del lado del gasto en Costa Rica. Consultoría financiada por el Banco Interamericano de Desarrollo (BID).</w:t>
      </w:r>
    </w:p>
  </w:footnote>
  <w:footnote w:id="52">
    <w:p w14:paraId="3C2FDB6C" w14:textId="77777777" w:rsidR="005E060C" w:rsidRPr="008D6899" w:rsidRDefault="005E060C" w:rsidP="00D6336C">
      <w:pPr>
        <w:pStyle w:val="FootnoteText"/>
        <w:spacing w:after="0"/>
        <w:jc w:val="both"/>
        <w:rPr>
          <w:lang w:val="es-CR"/>
        </w:rPr>
      </w:pPr>
      <w:r w:rsidRPr="008D6899">
        <w:rPr>
          <w:rStyle w:val="FootnoteReference"/>
          <w:sz w:val="18"/>
        </w:rPr>
        <w:footnoteRef/>
      </w:r>
      <w:r w:rsidRPr="008D6899">
        <w:rPr>
          <w:sz w:val="18"/>
          <w:lang w:val="es-CR"/>
        </w:rPr>
        <w:t xml:space="preserve"> </w:t>
      </w:r>
      <w:r>
        <w:rPr>
          <w:sz w:val="18"/>
          <w:lang w:val="es-CR"/>
        </w:rPr>
        <w:t>S</w:t>
      </w:r>
      <w:r w:rsidRPr="008D6899">
        <w:rPr>
          <w:sz w:val="18"/>
          <w:lang w:val="es-CR"/>
        </w:rPr>
        <w:t>in asumir ningún cambio en el número actual de empleados ni tampoco garantizando una mayor productividad del sector público</w:t>
      </w:r>
      <w:r>
        <w:rPr>
          <w:sz w:val="18"/>
          <w:lang w:val="es-CR"/>
        </w:rPr>
        <w:t>.</w:t>
      </w:r>
    </w:p>
  </w:footnote>
  <w:footnote w:id="53">
    <w:p w14:paraId="13019754" w14:textId="77777777" w:rsidR="005E060C" w:rsidRPr="002B4EFA" w:rsidRDefault="005E060C" w:rsidP="00D6336C">
      <w:pPr>
        <w:pStyle w:val="FootnoteText"/>
        <w:spacing w:after="0"/>
        <w:jc w:val="both"/>
        <w:rPr>
          <w:sz w:val="18"/>
          <w:lang w:val="es-CR"/>
        </w:rPr>
      </w:pPr>
      <w:r w:rsidRPr="002B4EFA">
        <w:rPr>
          <w:rStyle w:val="FootnoteReference"/>
          <w:sz w:val="18"/>
        </w:rPr>
        <w:footnoteRef/>
      </w:r>
      <w:r w:rsidRPr="002B4EFA">
        <w:rPr>
          <w:sz w:val="18"/>
          <w:lang w:val="es-CR"/>
        </w:rPr>
        <w:t xml:space="preserve"> Una práctica que sólo existe en cinco países en la OCDE.</w:t>
      </w:r>
    </w:p>
  </w:footnote>
  <w:footnote w:id="54">
    <w:p w14:paraId="3F1723DE" w14:textId="77777777" w:rsidR="005E060C" w:rsidRPr="006C4868" w:rsidRDefault="005E060C" w:rsidP="00D6336C">
      <w:pPr>
        <w:pStyle w:val="FootnoteText"/>
        <w:spacing w:after="0"/>
        <w:jc w:val="both"/>
        <w:rPr>
          <w:lang w:val="es-CR"/>
        </w:rPr>
      </w:pPr>
      <w:r w:rsidRPr="00FC7113">
        <w:rPr>
          <w:rStyle w:val="FootnoteReference"/>
          <w:sz w:val="18"/>
        </w:rPr>
        <w:footnoteRef/>
      </w:r>
      <w:r w:rsidRPr="00FC7113">
        <w:rPr>
          <w:sz w:val="18"/>
          <w:lang w:val="es-CR"/>
        </w:rPr>
        <w:t xml:space="preserve"> Green, M. y M. Lafuente. (2013). </w:t>
      </w:r>
      <w:r>
        <w:rPr>
          <w:sz w:val="18"/>
          <w:lang w:val="es-CR"/>
        </w:rPr>
        <w:t xml:space="preserve">Costa Rica: </w:t>
      </w:r>
      <w:r w:rsidRPr="00FC7113">
        <w:rPr>
          <w:sz w:val="18"/>
          <w:lang w:val="es-CR"/>
        </w:rPr>
        <w:t xml:space="preserve">Estudio de Empleo Público y Política Salarial. Banco Interamericano de Desarrollo. </w:t>
      </w:r>
    </w:p>
  </w:footnote>
  <w:footnote w:id="55">
    <w:p w14:paraId="75C7D7E2" w14:textId="77777777" w:rsidR="005E060C" w:rsidRPr="00170F4D" w:rsidRDefault="005E060C" w:rsidP="00B42848">
      <w:pPr>
        <w:pStyle w:val="FootnoteText"/>
        <w:spacing w:after="0"/>
        <w:rPr>
          <w:sz w:val="18"/>
          <w:lang w:val="es-CR"/>
        </w:rPr>
      </w:pPr>
      <w:r w:rsidRPr="00170F4D">
        <w:rPr>
          <w:rStyle w:val="FootnoteReference"/>
          <w:sz w:val="18"/>
        </w:rPr>
        <w:footnoteRef/>
      </w:r>
      <w:r w:rsidRPr="00170F4D">
        <w:rPr>
          <w:sz w:val="18"/>
          <w:lang w:val="es-CR"/>
        </w:rPr>
        <w:t xml:space="preserve"> </w:t>
      </w:r>
      <w:bookmarkStart w:id="26" w:name="_Hlk512259348"/>
      <w:r w:rsidRPr="00170F4D">
        <w:rPr>
          <w:sz w:val="18"/>
          <w:lang w:val="es-CR"/>
        </w:rPr>
        <w:t xml:space="preserve">Contraloría General de la República. (2018). Presupuestos Públicos 2018: Situación y Perspectivas. </w:t>
      </w:r>
      <w:r>
        <w:rPr>
          <w:sz w:val="18"/>
          <w:lang w:val="es-CR"/>
        </w:rPr>
        <w:t xml:space="preserve">Disponible en: </w:t>
      </w:r>
      <w:hyperlink r:id="rId8" w:history="1">
        <w:r w:rsidRPr="00C24BA4">
          <w:rPr>
            <w:rStyle w:val="Hyperlink"/>
            <w:sz w:val="18"/>
            <w:lang w:val="es-CR"/>
          </w:rPr>
          <w:t>https://cgrfiles.cgr.go.cr/publico/docsweb/rev_dig/presup_pub/2018/presup-pub-2018.pdf</w:t>
        </w:r>
      </w:hyperlink>
      <w:r>
        <w:rPr>
          <w:sz w:val="18"/>
          <w:lang w:val="es-CR"/>
        </w:rPr>
        <w:t xml:space="preserve"> </w:t>
      </w:r>
      <w:bookmarkEnd w:id="26"/>
    </w:p>
  </w:footnote>
  <w:footnote w:id="56">
    <w:p w14:paraId="0EB1E9F2" w14:textId="77777777" w:rsidR="005E060C" w:rsidRPr="00AC7335" w:rsidRDefault="005E060C" w:rsidP="00561954">
      <w:pPr>
        <w:pStyle w:val="FootnoteText"/>
        <w:spacing w:after="0"/>
        <w:rPr>
          <w:lang w:val="es-ES"/>
        </w:rPr>
      </w:pPr>
      <w:r w:rsidRPr="00AC7335">
        <w:rPr>
          <w:rStyle w:val="FootnoteReference"/>
          <w:sz w:val="18"/>
        </w:rPr>
        <w:footnoteRef/>
      </w:r>
      <w:r w:rsidRPr="00AC7335">
        <w:rPr>
          <w:sz w:val="18"/>
          <w:lang w:val="es-CR"/>
        </w:rPr>
        <w:t xml:space="preserve"> Fondo Especial para la Educación Superior. </w:t>
      </w:r>
    </w:p>
  </w:footnote>
  <w:footnote w:id="57">
    <w:p w14:paraId="5A68B1AB" w14:textId="77777777" w:rsidR="005E060C" w:rsidRPr="008D7006" w:rsidRDefault="005E060C" w:rsidP="00D7515D">
      <w:pPr>
        <w:pStyle w:val="FootnoteText"/>
        <w:spacing w:after="0"/>
        <w:rPr>
          <w:lang w:val="es-CR"/>
        </w:rPr>
      </w:pPr>
      <w:r w:rsidRPr="008D7006">
        <w:rPr>
          <w:rStyle w:val="FootnoteReference"/>
          <w:sz w:val="18"/>
        </w:rPr>
        <w:footnoteRef/>
      </w:r>
      <w:r w:rsidRPr="008D7006">
        <w:rPr>
          <w:sz w:val="18"/>
          <w:lang w:val="es-CR"/>
        </w:rPr>
        <w:t xml:space="preserve"> Caja Costarricense del Seguro Social. </w:t>
      </w:r>
    </w:p>
  </w:footnote>
  <w:footnote w:id="58">
    <w:p w14:paraId="7D74D545" w14:textId="77777777" w:rsidR="005E060C" w:rsidRPr="00561954" w:rsidRDefault="005E060C" w:rsidP="008F3BD9">
      <w:pPr>
        <w:pStyle w:val="FootnoteText"/>
        <w:spacing w:after="0"/>
        <w:rPr>
          <w:lang w:val="es-CR"/>
        </w:rPr>
      </w:pPr>
      <w:r w:rsidRPr="00125D7F">
        <w:rPr>
          <w:rStyle w:val="FootnoteReference"/>
          <w:sz w:val="18"/>
        </w:rPr>
        <w:footnoteRef/>
      </w:r>
      <w:r w:rsidRPr="00125D7F">
        <w:rPr>
          <w:sz w:val="18"/>
          <w:lang w:val="es-CR"/>
        </w:rPr>
        <w:t xml:space="preserve"> Fondo de Desarrollo Social y Asignaciones Familiares. </w:t>
      </w:r>
    </w:p>
  </w:footnote>
  <w:footnote w:id="59">
    <w:p w14:paraId="0626A457" w14:textId="77777777" w:rsidR="005E060C" w:rsidRPr="00653907" w:rsidRDefault="005E060C" w:rsidP="00A40804">
      <w:pPr>
        <w:pStyle w:val="FootnoteText"/>
        <w:spacing w:after="0"/>
        <w:rPr>
          <w:lang w:val="es-CR"/>
        </w:rPr>
      </w:pPr>
      <w:r w:rsidRPr="00653907">
        <w:rPr>
          <w:rStyle w:val="FootnoteReference"/>
          <w:sz w:val="18"/>
        </w:rPr>
        <w:footnoteRef/>
      </w:r>
      <w:r w:rsidRPr="00653907">
        <w:rPr>
          <w:sz w:val="18"/>
          <w:lang w:val="es-CR"/>
        </w:rPr>
        <w:t xml:space="preserve"> Consejo Nacional de Vialidad.</w:t>
      </w:r>
    </w:p>
  </w:footnote>
  <w:footnote w:id="60">
    <w:p w14:paraId="137B6338" w14:textId="77777777" w:rsidR="005E060C" w:rsidRPr="00445DC7" w:rsidRDefault="005E060C" w:rsidP="0017600D">
      <w:pPr>
        <w:pStyle w:val="FootnoteText"/>
        <w:spacing w:after="0" w:line="240" w:lineRule="auto"/>
        <w:jc w:val="both"/>
        <w:rPr>
          <w:sz w:val="18"/>
          <w:lang w:val="es-CR"/>
        </w:rPr>
      </w:pPr>
      <w:r w:rsidRPr="00445DC7">
        <w:rPr>
          <w:rStyle w:val="FootnoteReference"/>
          <w:sz w:val="18"/>
        </w:rPr>
        <w:footnoteRef/>
      </w:r>
      <w:r w:rsidRPr="00445DC7">
        <w:rPr>
          <w:sz w:val="18"/>
          <w:lang w:val="es-CR"/>
        </w:rPr>
        <w:t xml:space="preserve"> Solera, M., Durán, E., Prat, J., Dumas, V., Lafuente, M., Ardanaz, M.,</w:t>
      </w:r>
      <w:r>
        <w:rPr>
          <w:sz w:val="18"/>
          <w:lang w:val="es-CR"/>
        </w:rPr>
        <w:t xml:space="preserve"> Gutierrez, P., Vargas, J.</w:t>
      </w:r>
      <w:r w:rsidRPr="00445DC7">
        <w:rPr>
          <w:sz w:val="18"/>
          <w:lang w:val="es-CR"/>
        </w:rPr>
        <w:t xml:space="preserve"> &amp; Beverinotti, J. (2016). Una mirada al gasto social en Centroamérica, Panamá y República Dominicana: 2007-2013.</w:t>
      </w:r>
    </w:p>
  </w:footnote>
  <w:footnote w:id="61">
    <w:p w14:paraId="7F9A0500" w14:textId="77777777" w:rsidR="005E060C" w:rsidRPr="00445DC7" w:rsidRDefault="005E060C" w:rsidP="0017600D">
      <w:pPr>
        <w:pStyle w:val="FootnoteText"/>
        <w:spacing w:after="0"/>
        <w:jc w:val="both"/>
        <w:rPr>
          <w:lang w:val="es-CR"/>
        </w:rPr>
      </w:pPr>
      <w:r w:rsidRPr="00445DC7">
        <w:rPr>
          <w:rStyle w:val="FootnoteReference"/>
          <w:sz w:val="18"/>
        </w:rPr>
        <w:footnoteRef/>
      </w:r>
      <w:r w:rsidRPr="00445DC7">
        <w:rPr>
          <w:sz w:val="18"/>
          <w:lang w:val="es-CR"/>
        </w:rPr>
        <w:t xml:space="preserve"> Dato actualizado a 2018 según el Ministerio de Planificación Nacional y Política Económica: </w:t>
      </w:r>
      <w:hyperlink r:id="rId9" w:history="1">
        <w:r w:rsidRPr="00445DC7">
          <w:rPr>
            <w:rStyle w:val="Hyperlink"/>
            <w:sz w:val="18"/>
            <w:lang w:val="es-CR"/>
          </w:rPr>
          <w:t>https://mideplan.go.cr/89-modernizacion/organizacion-del-sector-publico/832-listado-de-instituciones-publicas</w:t>
        </w:r>
      </w:hyperlink>
      <w:r w:rsidRPr="00445DC7">
        <w:rPr>
          <w:sz w:val="18"/>
          <w:lang w:val="es-CR"/>
        </w:rPr>
        <w:t xml:space="preserve"> </w:t>
      </w:r>
    </w:p>
  </w:footnote>
  <w:footnote w:id="62">
    <w:p w14:paraId="52BED0E7" w14:textId="77777777" w:rsidR="005E060C" w:rsidRPr="00445DC7" w:rsidRDefault="005E060C" w:rsidP="0017600D">
      <w:pPr>
        <w:pStyle w:val="FootnoteText"/>
        <w:spacing w:after="0"/>
        <w:jc w:val="both"/>
        <w:rPr>
          <w:lang w:val="es-CR"/>
        </w:rPr>
      </w:pPr>
      <w:r w:rsidRPr="00445DC7">
        <w:rPr>
          <w:rStyle w:val="FootnoteReference"/>
          <w:sz w:val="18"/>
        </w:rPr>
        <w:footnoteRef/>
      </w:r>
      <w:r w:rsidRPr="00445DC7">
        <w:rPr>
          <w:sz w:val="18"/>
          <w:lang w:val="es-CR"/>
        </w:rPr>
        <w:t xml:space="preserve"> US$15668 de Panamá contra US$11.630 de Costa Rica.</w:t>
      </w:r>
    </w:p>
  </w:footnote>
  <w:footnote w:id="63">
    <w:p w14:paraId="7D610A27" w14:textId="77777777" w:rsidR="005E060C" w:rsidRPr="00445DC7" w:rsidRDefault="005E060C" w:rsidP="0017600D">
      <w:pPr>
        <w:pStyle w:val="FootnoteText"/>
        <w:spacing w:after="0" w:line="240" w:lineRule="auto"/>
        <w:jc w:val="both"/>
        <w:rPr>
          <w:sz w:val="18"/>
          <w:lang w:val="es-CR"/>
        </w:rPr>
      </w:pPr>
      <w:r w:rsidRPr="00445DC7">
        <w:rPr>
          <w:rStyle w:val="FootnoteReference"/>
          <w:sz w:val="18"/>
        </w:rPr>
        <w:footnoteRef/>
      </w:r>
      <w:r w:rsidRPr="00445DC7">
        <w:rPr>
          <w:sz w:val="18"/>
          <w:lang w:val="es-CR"/>
        </w:rPr>
        <w:t xml:space="preserve"> Solera, M., Durán, E., Prat, J., Dumas, V., Lafuente, M., Ardanaz, M.,</w:t>
      </w:r>
      <w:r>
        <w:rPr>
          <w:sz w:val="18"/>
          <w:lang w:val="es-CR"/>
        </w:rPr>
        <w:t xml:space="preserve"> Gutierrez, P., Vargas, J.</w:t>
      </w:r>
      <w:r w:rsidRPr="00445DC7">
        <w:rPr>
          <w:sz w:val="18"/>
          <w:lang w:val="es-CR"/>
        </w:rPr>
        <w:t xml:space="preserve"> &amp; Beverinotti, J. (2016). Una mirada al gasto social en Centroamérica, Panamá y República Dominicana: 2007-2013.</w:t>
      </w:r>
    </w:p>
  </w:footnote>
  <w:footnote w:id="64">
    <w:p w14:paraId="0ECF6B03" w14:textId="77777777" w:rsidR="005E060C" w:rsidRPr="00445DC7" w:rsidRDefault="005E060C" w:rsidP="0017600D">
      <w:pPr>
        <w:pStyle w:val="FootnoteText"/>
        <w:spacing w:after="0"/>
        <w:jc w:val="both"/>
        <w:rPr>
          <w:lang w:val="es-CR"/>
        </w:rPr>
      </w:pPr>
      <w:r w:rsidRPr="00445DC7">
        <w:rPr>
          <w:rStyle w:val="FootnoteReference"/>
          <w:sz w:val="18"/>
        </w:rPr>
        <w:footnoteRef/>
      </w:r>
      <w:r w:rsidRPr="00445DC7">
        <w:rPr>
          <w:sz w:val="18"/>
          <w:lang w:val="es-CR"/>
        </w:rPr>
        <w:t xml:space="preserve"> Dato actualizado a 2018 según el Ministerio de Planificación Nacional y Política Económica: </w:t>
      </w:r>
      <w:hyperlink r:id="rId10" w:history="1">
        <w:r w:rsidRPr="00445DC7">
          <w:rPr>
            <w:rStyle w:val="Hyperlink"/>
            <w:sz w:val="18"/>
            <w:lang w:val="es-CR"/>
          </w:rPr>
          <w:t>https://mideplan.go.cr/89-modernizacion/organizacion-del-sector-publico/832-listado-de-instituciones-publicas</w:t>
        </w:r>
      </w:hyperlink>
      <w:r w:rsidRPr="00445DC7">
        <w:rPr>
          <w:sz w:val="18"/>
          <w:lang w:val="es-CR"/>
        </w:rPr>
        <w:t xml:space="preserve"> </w:t>
      </w:r>
    </w:p>
  </w:footnote>
  <w:footnote w:id="65">
    <w:p w14:paraId="46491AD8" w14:textId="77777777" w:rsidR="005E060C" w:rsidRPr="00445DC7" w:rsidRDefault="005E060C" w:rsidP="0017600D">
      <w:pPr>
        <w:pStyle w:val="FootnoteText"/>
        <w:spacing w:after="0"/>
        <w:jc w:val="both"/>
        <w:rPr>
          <w:lang w:val="es-CR"/>
        </w:rPr>
      </w:pPr>
      <w:r w:rsidRPr="00445DC7">
        <w:rPr>
          <w:rStyle w:val="FootnoteReference"/>
          <w:sz w:val="18"/>
        </w:rPr>
        <w:footnoteRef/>
      </w:r>
      <w:r w:rsidRPr="00445DC7">
        <w:rPr>
          <w:sz w:val="18"/>
          <w:lang w:val="es-CR"/>
        </w:rPr>
        <w:t xml:space="preserve"> US$15668 de Panamá contra US$11.630 de Costa Rica.</w:t>
      </w:r>
    </w:p>
  </w:footnote>
  <w:footnote w:id="66">
    <w:p w14:paraId="7D97B89E" w14:textId="77777777" w:rsidR="005E060C" w:rsidRPr="00A90DA0" w:rsidRDefault="005E060C" w:rsidP="0017600D">
      <w:pPr>
        <w:pStyle w:val="FootnoteText"/>
        <w:spacing w:after="0"/>
        <w:jc w:val="both"/>
        <w:rPr>
          <w:sz w:val="18"/>
          <w:szCs w:val="18"/>
          <w:lang w:val="es-CR"/>
        </w:rPr>
      </w:pPr>
      <w:r w:rsidRPr="00A90DA0">
        <w:rPr>
          <w:rStyle w:val="FootnoteReference"/>
          <w:sz w:val="18"/>
          <w:szCs w:val="18"/>
        </w:rPr>
        <w:footnoteRef/>
      </w:r>
      <w:r w:rsidRPr="00A90DA0">
        <w:rPr>
          <w:sz w:val="18"/>
          <w:szCs w:val="18"/>
          <w:lang w:val="es-CR"/>
        </w:rPr>
        <w:t xml:space="preserve"> </w:t>
      </w:r>
      <w:r w:rsidRPr="00A90DA0">
        <w:rPr>
          <w:bCs/>
          <w:iCs/>
          <w:sz w:val="18"/>
          <w:szCs w:val="18"/>
          <w:lang w:val="es-CR"/>
        </w:rPr>
        <w:t>El Seguro de Enfermedad y Maternidad (SEM), que se encarga de suministrar los servicios médicos; el régimen de pensiones de Invalidez, Vejez y Muerte (IVM) y el Régimen No Contributivo de Pensiones, que es para dar este subsidio a quienes no cotizaron debido a situaciones especiales.</w:t>
      </w:r>
    </w:p>
  </w:footnote>
  <w:footnote w:id="67">
    <w:p w14:paraId="409271AC" w14:textId="77777777" w:rsidR="005E060C" w:rsidRPr="008B552D" w:rsidRDefault="005E060C" w:rsidP="0017600D">
      <w:pPr>
        <w:pStyle w:val="FootnoteText"/>
        <w:spacing w:after="0"/>
        <w:jc w:val="both"/>
        <w:rPr>
          <w:lang w:val="es-CR"/>
        </w:rPr>
      </w:pPr>
      <w:r w:rsidRPr="00A90DA0">
        <w:rPr>
          <w:rStyle w:val="FootnoteReference"/>
          <w:sz w:val="18"/>
          <w:szCs w:val="18"/>
        </w:rPr>
        <w:footnoteRef/>
      </w:r>
      <w:r w:rsidRPr="00A90DA0">
        <w:rPr>
          <w:sz w:val="18"/>
          <w:szCs w:val="18"/>
          <w:lang w:val="es-CR"/>
        </w:rPr>
        <w:t xml:space="preserve"> Contraloría General de la República. (2017). Presupuestos Públicos 2017: Situación y Perspectivas. Disponible en: </w:t>
      </w:r>
      <w:hyperlink r:id="rId11" w:history="1">
        <w:r w:rsidRPr="00A90DA0">
          <w:rPr>
            <w:rStyle w:val="Hyperlink"/>
            <w:sz w:val="18"/>
            <w:szCs w:val="18"/>
            <w:lang w:val="es-CR"/>
          </w:rPr>
          <w:t>https://cgrfiles.cgr.go.cr/publico/docsweb/rev_dig/presup_pub/2017/files/assets/downloads/publicacion.pdf</w:t>
        </w:r>
      </w:hyperlink>
      <w:r>
        <w:rPr>
          <w:lang w:val="es-CR"/>
        </w:rPr>
        <w:t xml:space="preserve"> </w:t>
      </w:r>
    </w:p>
  </w:footnote>
  <w:footnote w:id="68">
    <w:p w14:paraId="4D1F9918" w14:textId="77777777" w:rsidR="005E060C" w:rsidRPr="003C28F4" w:rsidRDefault="005E060C" w:rsidP="00B94F1B">
      <w:pPr>
        <w:pStyle w:val="FootnoteText"/>
        <w:spacing w:after="0"/>
        <w:jc w:val="both"/>
        <w:rPr>
          <w:sz w:val="18"/>
          <w:szCs w:val="18"/>
          <w:lang w:val="es-CR"/>
        </w:rPr>
      </w:pPr>
      <w:r w:rsidRPr="003C28F4">
        <w:rPr>
          <w:rStyle w:val="FootnoteReference"/>
          <w:sz w:val="18"/>
          <w:szCs w:val="18"/>
        </w:rPr>
        <w:footnoteRef/>
      </w:r>
      <w:r w:rsidRPr="003C28F4">
        <w:rPr>
          <w:sz w:val="18"/>
          <w:szCs w:val="18"/>
          <w:lang w:val="es-CR"/>
        </w:rPr>
        <w:t xml:space="preserve"> Ansorena, C. (2018). Un Análisis Económico-Institucional de la inversión pública en Costa Rica: Desafíos y Oportunidades. Informe de consultoría</w:t>
      </w:r>
      <w:r>
        <w:rPr>
          <w:sz w:val="18"/>
          <w:szCs w:val="18"/>
          <w:lang w:val="es-CR"/>
        </w:rPr>
        <w:t xml:space="preserve">. BID Mimeo. No publicado. </w:t>
      </w:r>
    </w:p>
  </w:footnote>
  <w:footnote w:id="69">
    <w:p w14:paraId="5040FDBE" w14:textId="77777777" w:rsidR="005E060C" w:rsidRPr="00BC0E8B" w:rsidRDefault="005E060C" w:rsidP="00331C7E">
      <w:pPr>
        <w:pStyle w:val="FootnoteText"/>
        <w:spacing w:after="0"/>
        <w:jc w:val="both"/>
        <w:rPr>
          <w:lang w:val="es-CR"/>
        </w:rPr>
      </w:pPr>
      <w:r w:rsidRPr="00300AC3">
        <w:rPr>
          <w:rStyle w:val="FootnoteReference"/>
          <w:sz w:val="18"/>
        </w:rPr>
        <w:footnoteRef/>
      </w:r>
      <w:r w:rsidRPr="00300AC3">
        <w:rPr>
          <w:sz w:val="18"/>
          <w:lang w:val="es-CR"/>
        </w:rPr>
        <w:t xml:space="preserve"> OCDE. (2015). Estudio de Gobernanza Pública Costa Rica. Disponible en: </w:t>
      </w:r>
      <w:hyperlink r:id="rId12" w:history="1">
        <w:r w:rsidRPr="00300AC3">
          <w:rPr>
            <w:rStyle w:val="Hyperlink"/>
            <w:sz w:val="18"/>
            <w:lang w:val="es-CR"/>
          </w:rPr>
          <w:t>http://www.comex.go.cr/media/5228/estudio-sobre-gobernanza-p%C3%BAblica-2015.pdf</w:t>
        </w:r>
      </w:hyperlink>
      <w:r w:rsidRPr="00300AC3">
        <w:rPr>
          <w:sz w:val="18"/>
          <w:lang w:val="es-CR"/>
        </w:rPr>
        <w:t xml:space="preserve"> </w:t>
      </w:r>
    </w:p>
  </w:footnote>
  <w:footnote w:id="70">
    <w:p w14:paraId="68533B90" w14:textId="77777777" w:rsidR="005E060C" w:rsidRPr="00FE5894" w:rsidRDefault="005E060C" w:rsidP="001B0D7E">
      <w:pPr>
        <w:pStyle w:val="FootnoteText"/>
        <w:spacing w:after="0"/>
        <w:jc w:val="both"/>
        <w:rPr>
          <w:lang w:val="es-CR"/>
        </w:rPr>
      </w:pPr>
      <w:r w:rsidRPr="000224B7">
        <w:rPr>
          <w:rStyle w:val="FootnoteReference"/>
          <w:sz w:val="18"/>
        </w:rPr>
        <w:footnoteRef/>
      </w:r>
      <w:r w:rsidRPr="000224B7">
        <w:rPr>
          <w:sz w:val="18"/>
          <w:lang w:val="es-CR"/>
        </w:rPr>
        <w:t xml:space="preserve"> Es importante mencionar que el Banco ya ha estado trabajando en este respecto, </w:t>
      </w:r>
      <w:r>
        <w:rPr>
          <w:sz w:val="18"/>
          <w:lang w:val="es-CR"/>
        </w:rPr>
        <w:t xml:space="preserve">mediante la Cooperación Técnica número </w:t>
      </w:r>
      <w:r w:rsidRPr="002433BD">
        <w:rPr>
          <w:sz w:val="18"/>
          <w:lang w:val="es-CR"/>
        </w:rPr>
        <w:t>CR-T1127</w:t>
      </w:r>
      <w:r>
        <w:rPr>
          <w:sz w:val="18"/>
          <w:lang w:val="es-CR"/>
        </w:rPr>
        <w:t xml:space="preserve"> (actualmente en ejecución) y la RG-T2745.</w:t>
      </w:r>
    </w:p>
  </w:footnote>
  <w:footnote w:id="71">
    <w:p w14:paraId="5C20DF79" w14:textId="77777777" w:rsidR="005E060C" w:rsidRPr="00A50484" w:rsidRDefault="005E060C" w:rsidP="00D6336C">
      <w:pPr>
        <w:pStyle w:val="FootnoteText"/>
        <w:spacing w:after="0"/>
        <w:jc w:val="both"/>
        <w:rPr>
          <w:lang w:val="es-CR"/>
        </w:rPr>
      </w:pPr>
      <w:r w:rsidRPr="006A7E3D">
        <w:rPr>
          <w:rStyle w:val="FootnoteReference"/>
          <w:sz w:val="18"/>
        </w:rPr>
        <w:footnoteRef/>
      </w:r>
      <w:r w:rsidRPr="006A7E3D">
        <w:rPr>
          <w:sz w:val="18"/>
          <w:lang w:val="es-CR"/>
        </w:rPr>
        <w:t xml:space="preserve"> Como los que adoptaron el Banco Central y la Contraloría General de la República desde hace ya varios años.</w:t>
      </w:r>
      <w:r w:rsidRPr="00D6336C">
        <w:rPr>
          <w:lang w:val="es-CR"/>
        </w:rPr>
        <w:t xml:space="preserve"> </w:t>
      </w:r>
      <w:r w:rsidRPr="00D6336C">
        <w:rPr>
          <w:sz w:val="18"/>
          <w:lang w:val="es-CR"/>
        </w:rPr>
        <w:t>Estas experiencias de salario único muestran, además, importantes ahorros para el Estado en el mediano plazo.</w:t>
      </w:r>
    </w:p>
  </w:footnote>
  <w:footnote w:id="72">
    <w:p w14:paraId="742A0ED4" w14:textId="77777777" w:rsidR="005E060C" w:rsidRPr="001E0FF1" w:rsidRDefault="005E060C" w:rsidP="00F1013B">
      <w:pPr>
        <w:pStyle w:val="FootnoteText"/>
        <w:spacing w:after="0"/>
        <w:rPr>
          <w:lang w:val="es-CR"/>
        </w:rPr>
      </w:pPr>
      <w:r w:rsidRPr="001E0FF1">
        <w:rPr>
          <w:rStyle w:val="FootnoteReference"/>
          <w:sz w:val="18"/>
        </w:rPr>
        <w:footnoteRef/>
      </w:r>
      <w:r w:rsidRPr="001E0FF1">
        <w:rPr>
          <w:sz w:val="18"/>
          <w:lang w:val="es-CR"/>
        </w:rPr>
        <w:t xml:space="preserve"> </w:t>
      </w:r>
      <w:r>
        <w:rPr>
          <w:sz w:val="18"/>
          <w:lang w:val="es-CR"/>
        </w:rPr>
        <w:t>Q</w:t>
      </w:r>
      <w:r w:rsidRPr="001E0FF1">
        <w:rPr>
          <w:sz w:val="18"/>
          <w:lang w:val="es-CR"/>
        </w:rPr>
        <w:t>ue de otra forma tendrían que permanecer en el sector público por muchos años para alcanzar un salario competitivo con el sector privado.</w:t>
      </w:r>
    </w:p>
  </w:footnote>
  <w:footnote w:id="73">
    <w:p w14:paraId="0C87CE1C" w14:textId="77777777" w:rsidR="005E060C" w:rsidRPr="00DE3520" w:rsidRDefault="005E060C" w:rsidP="003D19C5">
      <w:pPr>
        <w:pStyle w:val="FootnoteText"/>
        <w:spacing w:after="0"/>
        <w:jc w:val="both"/>
        <w:rPr>
          <w:lang w:val="es-CR"/>
        </w:rPr>
      </w:pPr>
      <w:r w:rsidRPr="003D19C5">
        <w:rPr>
          <w:rStyle w:val="FootnoteReference"/>
          <w:sz w:val="18"/>
        </w:rPr>
        <w:footnoteRef/>
      </w:r>
      <w:r w:rsidRPr="003D19C5">
        <w:rPr>
          <w:sz w:val="18"/>
          <w:lang w:val="es-CR"/>
        </w:rPr>
        <w:t xml:space="preserve"> Contraloría General de la República. (2018). Presupuestos Públicos 2018: Situación y Perspectivas. Disponible en: </w:t>
      </w:r>
      <w:hyperlink r:id="rId13" w:history="1">
        <w:r w:rsidRPr="003D19C5">
          <w:rPr>
            <w:rStyle w:val="Hyperlink"/>
            <w:sz w:val="18"/>
            <w:lang w:val="es-CR"/>
          </w:rPr>
          <w:t>https://cgrfiles.cgr.go.cr/publico/docsweb/rev_dig/presup_pub/2018/presup-pub-2018.pdf</w:t>
        </w:r>
      </w:hyperlink>
      <w:r w:rsidRPr="003D19C5">
        <w:rPr>
          <w:sz w:val="18"/>
          <w:lang w:val="es-CR"/>
        </w:rPr>
        <w:t xml:space="preserve"> </w:t>
      </w:r>
    </w:p>
  </w:footnote>
  <w:footnote w:id="74">
    <w:p w14:paraId="50FABBA6" w14:textId="77777777" w:rsidR="005E060C" w:rsidRPr="002876AF" w:rsidRDefault="005E060C" w:rsidP="00D937AB">
      <w:pPr>
        <w:pStyle w:val="FootnoteText"/>
        <w:spacing w:after="0"/>
        <w:rPr>
          <w:lang w:val="es-CR"/>
        </w:rPr>
      </w:pPr>
      <w:r w:rsidRPr="00CB1D3E">
        <w:rPr>
          <w:rStyle w:val="FootnoteReference"/>
          <w:sz w:val="18"/>
        </w:rPr>
        <w:footnoteRef/>
      </w:r>
      <w:r w:rsidRPr="00CB1D3E">
        <w:rPr>
          <w:sz w:val="18"/>
          <w:lang w:val="es-CR"/>
        </w:rPr>
        <w:t xml:space="preserve"> El artículo 78 de la constitución política determina que el gasto en educación no puede ser menor al 8% del PIB.</w:t>
      </w:r>
    </w:p>
  </w:footnote>
  <w:footnote w:id="75">
    <w:p w14:paraId="3DFDA0FA" w14:textId="77777777" w:rsidR="005E060C" w:rsidRPr="00BD1DE4" w:rsidRDefault="005E060C" w:rsidP="007B4980">
      <w:pPr>
        <w:pStyle w:val="FootnoteText"/>
        <w:spacing w:after="0"/>
        <w:jc w:val="both"/>
        <w:rPr>
          <w:sz w:val="18"/>
        </w:rPr>
      </w:pPr>
      <w:r>
        <w:rPr>
          <w:rStyle w:val="FootnoteReference"/>
        </w:rPr>
        <w:footnoteRef/>
      </w:r>
      <w:r w:rsidRPr="002D392A">
        <w:t xml:space="preserve"> </w:t>
      </w:r>
      <w:r w:rsidRPr="00BD1DE4">
        <w:rPr>
          <w:sz w:val="18"/>
        </w:rPr>
        <w:t>OCDE. (2018). OECD Economic Surveys: Costa Rica 2018. OECD Publishing, Paris.</w:t>
      </w:r>
      <w:r>
        <w:rPr>
          <w:sz w:val="18"/>
        </w:rPr>
        <w:t xml:space="preserve"> </w:t>
      </w:r>
    </w:p>
    <w:p w14:paraId="46157036" w14:textId="77777777" w:rsidR="005E060C" w:rsidRPr="00BD1DE4" w:rsidRDefault="00F6712E" w:rsidP="007B4980">
      <w:pPr>
        <w:pStyle w:val="FootnoteText"/>
        <w:spacing w:after="0"/>
        <w:jc w:val="both"/>
        <w:rPr>
          <w:sz w:val="18"/>
        </w:rPr>
      </w:pPr>
      <w:hyperlink r:id="rId14" w:history="1">
        <w:r w:rsidR="005E060C" w:rsidRPr="00BD1DE4">
          <w:rPr>
            <w:sz w:val="18"/>
          </w:rPr>
          <w:t>http://dx.doi.org/10.1787/eco_surveys-cri-2018-en</w:t>
        </w:r>
      </w:hyperlink>
      <w:r w:rsidR="005E060C" w:rsidRPr="00BD1DE4">
        <w:rPr>
          <w:sz w:val="18"/>
        </w:rPr>
        <w:t xml:space="preserve"> </w:t>
      </w:r>
    </w:p>
  </w:footnote>
  <w:footnote w:id="76">
    <w:p w14:paraId="3F7E95D8" w14:textId="77777777" w:rsidR="005E060C" w:rsidRPr="004205FD" w:rsidRDefault="005E060C" w:rsidP="00643DE5">
      <w:pPr>
        <w:pStyle w:val="FootnoteText"/>
        <w:spacing w:after="0"/>
        <w:rPr>
          <w:sz w:val="18"/>
          <w:szCs w:val="18"/>
          <w:lang w:val="es-ES_tradnl"/>
        </w:rPr>
      </w:pPr>
      <w:r w:rsidRPr="00643DE5">
        <w:rPr>
          <w:rStyle w:val="FootnoteReference"/>
          <w:sz w:val="18"/>
          <w:szCs w:val="18"/>
        </w:rPr>
        <w:footnoteRef/>
      </w:r>
      <w:r w:rsidRPr="004205FD">
        <w:rPr>
          <w:sz w:val="18"/>
          <w:szCs w:val="18"/>
          <w:lang w:val="es-ES_tradnl"/>
        </w:rPr>
        <w:t xml:space="preserve"> Instituto Nacional de Aprendizaje.</w:t>
      </w:r>
    </w:p>
  </w:footnote>
  <w:footnote w:id="77">
    <w:p w14:paraId="76474B38" w14:textId="77777777" w:rsidR="005E060C" w:rsidRPr="005C33A2" w:rsidRDefault="005E060C" w:rsidP="00FE30A8">
      <w:pPr>
        <w:pStyle w:val="FootnoteText"/>
        <w:spacing w:after="0"/>
        <w:rPr>
          <w:lang w:val="es-ES_tradnl"/>
        </w:rPr>
      </w:pPr>
      <w:r w:rsidRPr="00445DC7">
        <w:rPr>
          <w:rStyle w:val="FootnoteReference"/>
          <w:sz w:val="18"/>
        </w:rPr>
        <w:footnoteRef/>
      </w:r>
      <w:r w:rsidRPr="00445DC7">
        <w:rPr>
          <w:sz w:val="18"/>
          <w:lang w:val="es-CR"/>
        </w:rPr>
        <w:t xml:space="preserve"> Durán, R., Barreix, A., Corrales, L. y Rasteletti A. (2018). Reingeniería del Presupuesto de Egresos de la Federación en México: La Experiencia de un Presupuesto Base Cero Moderno. </w:t>
      </w:r>
      <w:r w:rsidRPr="005C33A2">
        <w:rPr>
          <w:sz w:val="18"/>
          <w:lang w:val="es-ES_tradnl"/>
        </w:rPr>
        <w:t xml:space="preserve">Discussion Paper. Banco Interamericano de Desarrollo. </w:t>
      </w:r>
    </w:p>
  </w:footnote>
  <w:footnote w:id="78">
    <w:p w14:paraId="281D95B0" w14:textId="77777777" w:rsidR="005E060C" w:rsidRPr="004205FD" w:rsidRDefault="005E060C" w:rsidP="00CD62F7">
      <w:pPr>
        <w:pStyle w:val="FootnoteText"/>
        <w:spacing w:after="0"/>
        <w:jc w:val="both"/>
        <w:rPr>
          <w:lang w:val="es-ES_tradnl"/>
        </w:rPr>
      </w:pPr>
      <w:r w:rsidRPr="00B13C18">
        <w:rPr>
          <w:rStyle w:val="FootnoteReference"/>
          <w:sz w:val="18"/>
        </w:rPr>
        <w:footnoteRef/>
      </w:r>
      <w:r w:rsidRPr="004205FD">
        <w:rPr>
          <w:sz w:val="18"/>
          <w:lang w:val="es-CR"/>
        </w:rPr>
        <w:t xml:space="preserve"> D’Agostino, M., Al-Shorbaji, N., Abbott, P., Bernardo, T., Ho, K., Sinha, C., &amp; Novillo-Ortiz, D. (2014). </w:t>
      </w:r>
      <w:r w:rsidRPr="00B13C18">
        <w:rPr>
          <w:sz w:val="18"/>
        </w:rPr>
        <w:t xml:space="preserve">Health initiatives to transform health in the Region of the Americas. </w:t>
      </w:r>
      <w:r w:rsidRPr="004205FD">
        <w:rPr>
          <w:sz w:val="18"/>
          <w:lang w:val="es-ES_tradnl"/>
        </w:rPr>
        <w:t>Revista Panamericana de Salud Publica, 35(5/6), 326-8.</w:t>
      </w:r>
    </w:p>
  </w:footnote>
  <w:footnote w:id="79">
    <w:p w14:paraId="12043B9C" w14:textId="77777777" w:rsidR="005E060C" w:rsidRPr="00064C3C" w:rsidRDefault="005E060C" w:rsidP="00CD62F7">
      <w:pPr>
        <w:pStyle w:val="FootnoteText"/>
        <w:spacing w:after="0"/>
        <w:jc w:val="both"/>
        <w:rPr>
          <w:sz w:val="18"/>
          <w:lang w:val="es-CR"/>
        </w:rPr>
      </w:pPr>
      <w:r w:rsidRPr="0079299E">
        <w:rPr>
          <w:rStyle w:val="FootnoteReference"/>
          <w:sz w:val="18"/>
        </w:rPr>
        <w:footnoteRef/>
      </w:r>
      <w:r w:rsidRPr="004205FD">
        <w:rPr>
          <w:sz w:val="18"/>
          <w:lang w:val="es-ES_tradnl"/>
        </w:rPr>
        <w:t xml:space="preserve"> Sorenson, C., Drummond, M., &amp; Khan, B. B. (2013). </w:t>
      </w:r>
      <w:r w:rsidRPr="0079299E">
        <w:rPr>
          <w:sz w:val="18"/>
        </w:rPr>
        <w:t xml:space="preserve">Medical technology as a key driver of rising health expenditure: disentangling the relationship. </w:t>
      </w:r>
      <w:r w:rsidRPr="00064C3C">
        <w:rPr>
          <w:sz w:val="18"/>
          <w:lang w:val="es-CR"/>
        </w:rPr>
        <w:t>Clinico-Economics and outcomes research: CEOR, 5, 223.</w:t>
      </w:r>
    </w:p>
    <w:p w14:paraId="476F8BC4" w14:textId="77777777" w:rsidR="005E060C" w:rsidRPr="0079299E" w:rsidRDefault="005E060C" w:rsidP="00CD62F7">
      <w:pPr>
        <w:pStyle w:val="FootnoteText"/>
        <w:spacing w:after="0"/>
        <w:jc w:val="both"/>
        <w:rPr>
          <w:lang w:val="es-CR"/>
        </w:rPr>
      </w:pPr>
      <w:r w:rsidRPr="00064C3C">
        <w:rPr>
          <w:sz w:val="18"/>
          <w:lang w:val="es-CR"/>
        </w:rPr>
        <w:t xml:space="preserve">Gutiérrez, C., Giedion, U., Muñoz, A., &amp; Ávila, A. (2012). </w:t>
      </w:r>
      <w:r w:rsidRPr="00A90B5C">
        <w:rPr>
          <w:sz w:val="18"/>
          <w:lang w:val="es-CR"/>
        </w:rPr>
        <w:t>Series de notas técnicas sobre procesos de priorización de salud. Procesos de priorización explícita en salud: un enfoque sistémico. Bogotá: Banco Interamericano de Desarrollo.</w:t>
      </w:r>
    </w:p>
  </w:footnote>
  <w:footnote w:id="80">
    <w:p w14:paraId="1D51AB9B" w14:textId="77777777" w:rsidR="005E060C" w:rsidRPr="00AA591D" w:rsidRDefault="005E060C" w:rsidP="00CD62F7">
      <w:pPr>
        <w:pStyle w:val="FootnoteText"/>
        <w:spacing w:after="0"/>
        <w:jc w:val="both"/>
        <w:rPr>
          <w:lang w:val="es-CR"/>
        </w:rPr>
      </w:pPr>
      <w:r w:rsidRPr="00326BE9">
        <w:rPr>
          <w:rStyle w:val="FootnoteReference"/>
          <w:sz w:val="18"/>
        </w:rPr>
        <w:footnoteRef/>
      </w:r>
      <w:r w:rsidRPr="00326BE9">
        <w:rPr>
          <w:sz w:val="18"/>
          <w:lang w:val="es-CR"/>
        </w:rPr>
        <w:t xml:space="preserve"> Como, por ejemplo, cambios al artículo 7 de la Ley 7762 Ley General de Concesión de Obras Públicas con Servicios</w:t>
      </w:r>
      <w:r>
        <w:rPr>
          <w:sz w:val="18"/>
          <w:lang w:val="es-CR"/>
        </w:rPr>
        <w:t xml:space="preserve"> </w:t>
      </w:r>
      <w:r w:rsidRPr="00326BE9">
        <w:rPr>
          <w:sz w:val="18"/>
          <w:lang w:val="es-CR"/>
        </w:rPr>
        <w:t>Públicos</w:t>
      </w:r>
      <w:r>
        <w:rPr>
          <w:sz w:val="18"/>
          <w:lang w:val="es-CR"/>
        </w:rPr>
        <w:t>, que limita la posibilidad de contratación de personal externo para proyectos.</w:t>
      </w:r>
    </w:p>
  </w:footnote>
  <w:footnote w:id="81">
    <w:p w14:paraId="61312522" w14:textId="77777777" w:rsidR="005E060C" w:rsidRPr="008C6977" w:rsidRDefault="005E060C" w:rsidP="00CD62F7">
      <w:pPr>
        <w:pStyle w:val="FootnoteText"/>
        <w:spacing w:after="0"/>
        <w:jc w:val="both"/>
        <w:rPr>
          <w:lang w:val="es-CR"/>
        </w:rPr>
      </w:pPr>
      <w:r w:rsidRPr="00160036">
        <w:rPr>
          <w:rStyle w:val="FootnoteReference"/>
          <w:sz w:val="18"/>
        </w:rPr>
        <w:footnoteRef/>
      </w:r>
      <w:r w:rsidRPr="00160036">
        <w:rPr>
          <w:sz w:val="18"/>
          <w:lang w:val="es-CR"/>
        </w:rPr>
        <w:t xml:space="preserve"> Es importante mencionar que ya existe apoyo del Banco en la implementación de la metodología de GPR, mediante las Cooperaciones Técnicas RG-T2745 y la CR-T1127.</w:t>
      </w:r>
    </w:p>
  </w:footnote>
  <w:footnote w:id="82">
    <w:p w14:paraId="356A82A9" w14:textId="77777777" w:rsidR="005E060C" w:rsidRPr="007E7F26" w:rsidRDefault="005E060C" w:rsidP="002A2949">
      <w:pPr>
        <w:pStyle w:val="FootnoteText"/>
        <w:spacing w:after="0"/>
        <w:jc w:val="both"/>
      </w:pPr>
      <w:r w:rsidRPr="007E7F26">
        <w:rPr>
          <w:rStyle w:val="FootnoteReference"/>
          <w:sz w:val="18"/>
        </w:rPr>
        <w:footnoteRef/>
      </w:r>
      <w:r w:rsidRPr="007E7F26">
        <w:rPr>
          <w:sz w:val="18"/>
        </w:rPr>
        <w:t xml:space="preserve"> Schaechter A., T. Kinda, N. Budina and A. Weber (2012), Fiscal Rules in Response to the Crisis-Toward the «Next-Generation» Rules. A New Dataset, IMF staff paper, </w:t>
      </w:r>
      <w:hyperlink r:id="rId15" w:history="1">
        <w:r w:rsidRPr="007E7F26">
          <w:rPr>
            <w:rStyle w:val="Hyperlink"/>
            <w:sz w:val="18"/>
          </w:rPr>
          <w:t>http://www.imf.org/external/pubs/ft/wp/2012/wp12187.pdf</w:t>
        </w:r>
      </w:hyperlink>
      <w:r w:rsidRPr="007E7F26">
        <w:rPr>
          <w:sz w:val="18"/>
        </w:rPr>
        <w:t xml:space="preserve"> (Washington, DC: International Monetary Fund). </w:t>
      </w:r>
    </w:p>
  </w:footnote>
  <w:footnote w:id="83">
    <w:p w14:paraId="52236A28" w14:textId="77777777" w:rsidR="005E060C" w:rsidRPr="00DB3B60" w:rsidRDefault="005E060C" w:rsidP="0030673D">
      <w:pPr>
        <w:pStyle w:val="FootnoteText"/>
        <w:spacing w:after="0"/>
      </w:pPr>
      <w:r w:rsidRPr="0030673D">
        <w:rPr>
          <w:rStyle w:val="FootnoteReference"/>
          <w:sz w:val="18"/>
        </w:rPr>
        <w:footnoteRef/>
      </w:r>
      <w:r w:rsidRPr="0030673D">
        <w:rPr>
          <w:sz w:val="18"/>
        </w:rPr>
        <w:t xml:space="preserve"> Badinger, H., &amp; Reuter, W. H. (2017). The case for fiscal rules. </w:t>
      </w:r>
      <w:r w:rsidRPr="00DB3B60">
        <w:rPr>
          <w:sz w:val="18"/>
        </w:rPr>
        <w:t>Economic Modelling, 60, 334-343.</w:t>
      </w:r>
    </w:p>
  </w:footnote>
  <w:footnote w:id="84">
    <w:p w14:paraId="33AC556D" w14:textId="77777777" w:rsidR="005E060C" w:rsidRPr="00031666" w:rsidRDefault="005E060C" w:rsidP="00A50FE4">
      <w:pPr>
        <w:pStyle w:val="FootnoteText"/>
        <w:spacing w:after="0"/>
        <w:jc w:val="both"/>
      </w:pPr>
      <w:r w:rsidRPr="00A50FE4">
        <w:rPr>
          <w:rStyle w:val="FootnoteReference"/>
          <w:sz w:val="18"/>
        </w:rPr>
        <w:footnoteRef/>
      </w:r>
      <w:r w:rsidRPr="00A50FE4">
        <w:rPr>
          <w:sz w:val="18"/>
        </w:rPr>
        <w:t xml:space="preserve"> Cordes, T., Kinda, M. T., Muthoora, M. P. S., &amp; Weber, A. (2015). Expenditure rules: effective tools for sound fiscal policy? </w:t>
      </w:r>
      <w:r w:rsidRPr="00031666">
        <w:rPr>
          <w:sz w:val="18"/>
        </w:rPr>
        <w:t>(No. 15-29). International Monetary Fund.</w:t>
      </w:r>
    </w:p>
  </w:footnote>
  <w:footnote w:id="85">
    <w:p w14:paraId="755608B7" w14:textId="77777777" w:rsidR="005E060C" w:rsidRPr="00D16A6D" w:rsidRDefault="005E060C" w:rsidP="00E76F5E">
      <w:pPr>
        <w:pStyle w:val="FootnoteText"/>
        <w:spacing w:after="0"/>
        <w:jc w:val="both"/>
        <w:rPr>
          <w:lang w:val="es-CR"/>
        </w:rPr>
      </w:pPr>
      <w:r w:rsidRPr="00D16A6D">
        <w:rPr>
          <w:rStyle w:val="FootnoteReference"/>
          <w:sz w:val="18"/>
        </w:rPr>
        <w:footnoteRef/>
      </w:r>
      <w:r w:rsidRPr="00D16A6D">
        <w:rPr>
          <w:sz w:val="18"/>
          <w:lang w:val="es-CR"/>
        </w:rPr>
        <w:t xml:space="preserve"> Carranza, L. (2015). Política fiscal y reglas para el crecimiento sostenido de Costa Rica. Consultoría financiada por el BID.</w:t>
      </w:r>
    </w:p>
  </w:footnote>
  <w:footnote w:id="86">
    <w:p w14:paraId="009957AF" w14:textId="77777777" w:rsidR="005E060C" w:rsidRPr="00C81724" w:rsidRDefault="005E060C" w:rsidP="00C81724">
      <w:pPr>
        <w:pStyle w:val="FootnoteText"/>
        <w:spacing w:after="0"/>
        <w:jc w:val="both"/>
        <w:rPr>
          <w:lang w:val="es-CR"/>
        </w:rPr>
      </w:pPr>
      <w:r w:rsidRPr="00C81724">
        <w:rPr>
          <w:rStyle w:val="FootnoteReference"/>
          <w:sz w:val="18"/>
        </w:rPr>
        <w:footnoteRef/>
      </w:r>
      <w:r w:rsidRPr="00C81724">
        <w:rPr>
          <w:sz w:val="18"/>
          <w:lang w:val="es-CR"/>
        </w:rPr>
        <w:t xml:space="preserve"> Carranza, L. (2015). Política fiscal y reglas para el crecimiento sostenido de Costa Rica. Consultoría financiada por el BID.</w:t>
      </w:r>
    </w:p>
  </w:footnote>
  <w:footnote w:id="87">
    <w:p w14:paraId="15C58A27" w14:textId="77777777" w:rsidR="005E060C" w:rsidRPr="00046766" w:rsidRDefault="005E060C" w:rsidP="00B31F27">
      <w:pPr>
        <w:pStyle w:val="FootnoteText"/>
        <w:spacing w:after="0"/>
        <w:jc w:val="both"/>
        <w:rPr>
          <w:lang w:val="es-CR"/>
        </w:rPr>
      </w:pPr>
      <w:r w:rsidRPr="008A422F">
        <w:rPr>
          <w:rStyle w:val="FootnoteReference"/>
          <w:sz w:val="18"/>
        </w:rPr>
        <w:footnoteRef/>
      </w:r>
      <w:r w:rsidRPr="008A422F">
        <w:rPr>
          <w:sz w:val="18"/>
          <w:lang w:val="es-CR"/>
        </w:rPr>
        <w:t xml:space="preserve"> Régimen de Invalidez, Vejez y Muerte y empresas públicas en régimen de competencia para dicha actividad, aunque se aplicará si la empresa solicita un rescate financiero al Poder Ejecutivo o su deuda supera el 50% de los activos.</w:t>
      </w:r>
    </w:p>
  </w:footnote>
  <w:footnote w:id="88">
    <w:p w14:paraId="5651A8C6" w14:textId="77777777" w:rsidR="005E060C" w:rsidRPr="006152C2" w:rsidRDefault="005E060C" w:rsidP="00DB2B2D">
      <w:pPr>
        <w:pStyle w:val="FootnoteText"/>
        <w:spacing w:after="0"/>
        <w:jc w:val="both"/>
        <w:rPr>
          <w:sz w:val="18"/>
          <w:szCs w:val="18"/>
          <w:lang w:val="es-CR"/>
        </w:rPr>
      </w:pPr>
      <w:r w:rsidRPr="006152C2">
        <w:rPr>
          <w:rStyle w:val="FootnoteReference"/>
          <w:sz w:val="18"/>
          <w:szCs w:val="18"/>
        </w:rPr>
        <w:footnoteRef/>
      </w:r>
      <w:r w:rsidRPr="006152C2">
        <w:rPr>
          <w:sz w:val="18"/>
          <w:szCs w:val="18"/>
          <w:lang w:val="es-CR"/>
        </w:rPr>
        <w:t xml:space="preserve"> Espinoza, J. (2016). Cálculo de los impactos de las reformas fiscales del lado del gasto en Costa Rica. Consultoría financiada por el Banco Interamericano de Desarrollo (BID).</w:t>
      </w:r>
    </w:p>
  </w:footnote>
  <w:footnote w:id="89">
    <w:p w14:paraId="15C49886" w14:textId="77777777" w:rsidR="005E060C" w:rsidRPr="003D19C5" w:rsidRDefault="005E060C" w:rsidP="00080F5D">
      <w:pPr>
        <w:pStyle w:val="FootnoteText"/>
        <w:spacing w:after="0"/>
        <w:jc w:val="both"/>
        <w:rPr>
          <w:sz w:val="18"/>
          <w:szCs w:val="18"/>
          <w:lang w:val="es-CR"/>
        </w:rPr>
      </w:pPr>
      <w:r w:rsidRPr="003D19C5">
        <w:rPr>
          <w:rStyle w:val="FootnoteReference"/>
          <w:sz w:val="18"/>
          <w:szCs w:val="18"/>
        </w:rPr>
        <w:footnoteRef/>
      </w:r>
      <w:r w:rsidRPr="003D19C5">
        <w:rPr>
          <w:sz w:val="18"/>
          <w:szCs w:val="18"/>
          <w:lang w:val="es-CR"/>
        </w:rPr>
        <w:t xml:space="preserve"> </w:t>
      </w:r>
      <w:r w:rsidRPr="003D19C5">
        <w:rPr>
          <w:sz w:val="18"/>
          <w:szCs w:val="18"/>
          <w:lang w:val="es-ES_tradnl"/>
        </w:rPr>
        <w:t>La Ley Marco (Ley 7302) de 1992 unificó los regímenes especiales con cargo al presupuesto nacional. Asimismo, la misma Ley creó regímenes especiales de capitalización colectiva para los trabajadores del magisterio y poder judicial.</w:t>
      </w:r>
    </w:p>
  </w:footnote>
  <w:footnote w:id="90">
    <w:p w14:paraId="321C0DB8" w14:textId="77777777" w:rsidR="005E060C" w:rsidRPr="00C72C2A" w:rsidRDefault="005E060C" w:rsidP="009434CB">
      <w:pPr>
        <w:pStyle w:val="FootnoteText"/>
        <w:spacing w:after="0"/>
        <w:jc w:val="both"/>
        <w:rPr>
          <w:lang w:val="es-CR"/>
        </w:rPr>
      </w:pPr>
      <w:r w:rsidRPr="00C72C2A">
        <w:rPr>
          <w:rStyle w:val="FootnoteReference"/>
          <w:sz w:val="18"/>
        </w:rPr>
        <w:footnoteRef/>
      </w:r>
      <w:r w:rsidRPr="00C72C2A">
        <w:rPr>
          <w:sz w:val="18"/>
          <w:lang w:val="es-CR"/>
        </w:rPr>
        <w:t xml:space="preserve"> Centro Latinoamericano y Caribeño de Demografía (CELADE). (2015). Estimaciones y Proyecciones de Población a Largo Plazo 1950-2100. Disponible en: </w:t>
      </w:r>
      <w:hyperlink r:id="rId16" w:history="1">
        <w:r w:rsidRPr="00C72C2A">
          <w:rPr>
            <w:rStyle w:val="Hyperlink"/>
            <w:sz w:val="18"/>
            <w:lang w:val="es-CR"/>
          </w:rPr>
          <w:t>https://www.cepal.org/celade/proyecciones/basedatos_bd.htm</w:t>
        </w:r>
      </w:hyperlink>
      <w:r w:rsidRPr="00C72C2A">
        <w:rPr>
          <w:sz w:val="18"/>
          <w:lang w:val="es-CR"/>
        </w:rPr>
        <w:t xml:space="preserve"> </w:t>
      </w:r>
    </w:p>
  </w:footnote>
  <w:footnote w:id="91">
    <w:p w14:paraId="794718CB" w14:textId="77777777" w:rsidR="005E060C" w:rsidRPr="008D298A" w:rsidRDefault="005E060C" w:rsidP="008D298A">
      <w:pPr>
        <w:autoSpaceDE w:val="0"/>
        <w:autoSpaceDN w:val="0"/>
        <w:adjustRightInd w:val="0"/>
        <w:spacing w:after="0" w:line="240" w:lineRule="auto"/>
        <w:jc w:val="both"/>
        <w:rPr>
          <w:rFonts w:ascii="Times New Roman" w:hAnsi="Times New Roman" w:cs="Times New Roman"/>
          <w:sz w:val="18"/>
          <w:szCs w:val="18"/>
        </w:rPr>
      </w:pPr>
      <w:r w:rsidRPr="008D298A">
        <w:rPr>
          <w:rStyle w:val="FootnoteReference"/>
          <w:rFonts w:ascii="Times New Roman" w:hAnsi="Times New Roman" w:cs="Times New Roman"/>
          <w:sz w:val="18"/>
          <w:szCs w:val="18"/>
        </w:rPr>
        <w:footnoteRef/>
      </w:r>
      <w:r w:rsidRPr="008D298A">
        <w:rPr>
          <w:rFonts w:ascii="Times New Roman" w:hAnsi="Times New Roman" w:cs="Times New Roman"/>
          <w:sz w:val="18"/>
          <w:szCs w:val="18"/>
          <w:lang w:val="es-ES_tradnl"/>
        </w:rPr>
        <w:t xml:space="preserve"> </w:t>
      </w:r>
      <w:r w:rsidRPr="008D298A">
        <w:rPr>
          <w:rFonts w:ascii="Times New Roman" w:eastAsia="Calibri" w:hAnsi="Times New Roman" w:cs="Times New Roman"/>
          <w:sz w:val="18"/>
          <w:szCs w:val="18"/>
          <w:lang w:val="es-ES_tradnl" w:eastAsia="x-none"/>
        </w:rPr>
        <w:t xml:space="preserve">Las reformas paramétricas incluyeron: i) un aumento de la prima (porcentaje del salario) destinada al seguro de pensión de 7,5% a 10,5% en aumentos iguales  quinquenales hasta el año 2035; ii) un aumento en la base de cálculo del salario de referencia cuyo promedio pasó de 5 años nominales a 20 años ajustados por inflación, para la base del cálculo de las prestaciones, manteniendo la edad de 65 años para tener derecho a una pensión; iii) disminuir los beneficios para las personas que cotizaban menos de 30 años al régimen del IVM; iv) aprobación de pensiones reducidas para trabajadores que se retiran antes de los 65 años y pensiones proporcionales para personas que llegan a los 65 años con un numero de cuotas inferior a las requeridas. </w:t>
      </w:r>
    </w:p>
  </w:footnote>
  <w:footnote w:id="92">
    <w:p w14:paraId="378F127E" w14:textId="77777777" w:rsidR="005E060C" w:rsidRPr="008D298A" w:rsidRDefault="005E060C" w:rsidP="008D298A">
      <w:pPr>
        <w:autoSpaceDE w:val="0"/>
        <w:autoSpaceDN w:val="0"/>
        <w:adjustRightInd w:val="0"/>
        <w:spacing w:after="0" w:line="240" w:lineRule="auto"/>
        <w:jc w:val="both"/>
        <w:rPr>
          <w:rFonts w:ascii="Times New Roman" w:eastAsia="Times New Roman" w:hAnsi="Times New Roman" w:cs="Times New Roman"/>
          <w:sz w:val="18"/>
          <w:szCs w:val="18"/>
          <w:highlight w:val="yellow"/>
        </w:rPr>
      </w:pPr>
      <w:r w:rsidRPr="008D298A">
        <w:rPr>
          <w:rStyle w:val="FootnoteReference"/>
          <w:rFonts w:ascii="Times New Roman" w:hAnsi="Times New Roman" w:cs="Times New Roman"/>
          <w:sz w:val="18"/>
          <w:szCs w:val="18"/>
        </w:rPr>
        <w:footnoteRef/>
      </w:r>
      <w:r w:rsidRPr="008D298A">
        <w:rPr>
          <w:rFonts w:ascii="Times New Roman" w:hAnsi="Times New Roman" w:cs="Times New Roman"/>
          <w:sz w:val="18"/>
          <w:szCs w:val="18"/>
          <w:lang w:val="es-ES_tradnl"/>
        </w:rPr>
        <w:t xml:space="preserve"> </w:t>
      </w:r>
      <w:r w:rsidRPr="008D298A">
        <w:rPr>
          <w:rFonts w:ascii="Times New Roman" w:eastAsia="Calibri" w:hAnsi="Times New Roman" w:cs="Times New Roman"/>
          <w:sz w:val="18"/>
          <w:szCs w:val="18"/>
          <w:lang w:val="es-ES_tradnl" w:eastAsia="x-none"/>
        </w:rPr>
        <w:t>En julio del 2006, el monto de la pensión no contributiva fue duplicado de 17.500 a 35.000 colones mensuales. En junio de 2007 se dio un nuevo aumento, a 50.000 colones, y a partir de marzo del 2008 el monto se elevó a 57.500 colones. Las personas beneficiarias de estas pensiones del Régimen No Contributivo reciben un ingreso de 78 mil colones por mes.</w:t>
      </w:r>
    </w:p>
  </w:footnote>
  <w:footnote w:id="93">
    <w:p w14:paraId="06C5313C" w14:textId="77777777" w:rsidR="005E060C" w:rsidRPr="008D298A" w:rsidRDefault="005E060C" w:rsidP="008D298A">
      <w:pPr>
        <w:pStyle w:val="FootnoteText"/>
        <w:spacing w:after="0"/>
        <w:jc w:val="both"/>
        <w:rPr>
          <w:sz w:val="18"/>
          <w:szCs w:val="18"/>
          <w:lang w:val="es-CR"/>
        </w:rPr>
      </w:pPr>
      <w:r w:rsidRPr="008D298A">
        <w:rPr>
          <w:rStyle w:val="FootnoteReference"/>
          <w:sz w:val="18"/>
          <w:szCs w:val="18"/>
        </w:rPr>
        <w:footnoteRef/>
      </w:r>
      <w:r w:rsidRPr="008D298A">
        <w:rPr>
          <w:sz w:val="18"/>
          <w:szCs w:val="18"/>
          <w:lang w:val="es-CR"/>
        </w:rPr>
        <w:t xml:space="preserve"> </w:t>
      </w:r>
      <w:r w:rsidRPr="008D298A">
        <w:rPr>
          <w:sz w:val="18"/>
          <w:szCs w:val="18"/>
          <w:lang w:val="es-ES_tradnl"/>
        </w:rPr>
        <w:t>Estas modificaciones incluyen restringir el derecho a la pensión de supervivencia, limitar el aumento de los niveles de beneficios a la inflación, implementar una contribución adicional para pensiones muy altas y permitir aumentos futuros en las tasas de contribución social.</w:t>
      </w:r>
    </w:p>
  </w:footnote>
  <w:footnote w:id="94">
    <w:p w14:paraId="55FE8CE2" w14:textId="77777777" w:rsidR="005E060C" w:rsidRPr="008D298A" w:rsidRDefault="005E060C" w:rsidP="004B7406">
      <w:pPr>
        <w:pStyle w:val="FootnoteText"/>
        <w:spacing w:after="0"/>
        <w:jc w:val="both"/>
        <w:rPr>
          <w:lang w:val="es-ES_tradnl"/>
        </w:rPr>
      </w:pPr>
      <w:r w:rsidRPr="008D298A">
        <w:rPr>
          <w:rStyle w:val="FootnoteReference"/>
          <w:sz w:val="18"/>
          <w:szCs w:val="18"/>
        </w:rPr>
        <w:footnoteRef/>
      </w:r>
      <w:r w:rsidRPr="008D298A">
        <w:rPr>
          <w:sz w:val="18"/>
          <w:szCs w:val="18"/>
          <w:lang w:val="es-CR"/>
        </w:rPr>
        <w:t xml:space="preserve"> </w:t>
      </w:r>
      <w:r w:rsidRPr="008D298A">
        <w:rPr>
          <w:sz w:val="18"/>
          <w:szCs w:val="18"/>
          <w:lang w:val="es-ES_tradnl"/>
        </w:rPr>
        <w:t>El Régimen No Contributivo de pensiones es un programa del Gobierno que administra la Caja Costarricense de Seguro Social (CCSS). El programa busca proteger a todas aquellas personas mayores de 65 años que se encuentran en estado de pobreza extrema y no califican en alguno de los regímenes contributivos o no contributivos existentes.</w:t>
      </w:r>
    </w:p>
  </w:footnote>
  <w:footnote w:id="95">
    <w:p w14:paraId="216F9BE3" w14:textId="77777777" w:rsidR="005E060C" w:rsidRPr="00986516" w:rsidRDefault="005E060C" w:rsidP="00651A00">
      <w:pPr>
        <w:pStyle w:val="FootnoteText"/>
        <w:spacing w:after="0"/>
        <w:jc w:val="both"/>
        <w:rPr>
          <w:lang w:val="es-CR"/>
        </w:rPr>
      </w:pPr>
      <w:r w:rsidRPr="00651A00">
        <w:rPr>
          <w:rStyle w:val="FootnoteReference"/>
          <w:sz w:val="18"/>
        </w:rPr>
        <w:footnoteRef/>
      </w:r>
      <w:r w:rsidRPr="00651A00">
        <w:rPr>
          <w:sz w:val="18"/>
          <w:lang w:val="es-CR"/>
        </w:rPr>
        <w:t xml:space="preserve"> Banco interamericano de Desarrollo. (2015). Panorama de las pensiones: América Latina y el Caribe. Washington: Banco Interamericano de Desarrollo.</w:t>
      </w:r>
    </w:p>
  </w:footnote>
  <w:footnote w:id="96">
    <w:p w14:paraId="51BC0883" w14:textId="77777777" w:rsidR="005E060C" w:rsidRPr="009A6165" w:rsidRDefault="005E060C" w:rsidP="008979B7">
      <w:pPr>
        <w:pStyle w:val="FootnoteText"/>
        <w:spacing w:after="0"/>
        <w:jc w:val="both"/>
        <w:rPr>
          <w:lang w:val="es-CR"/>
        </w:rPr>
      </w:pPr>
      <w:r w:rsidRPr="008979B7">
        <w:rPr>
          <w:rStyle w:val="FootnoteReference"/>
          <w:sz w:val="18"/>
        </w:rPr>
        <w:footnoteRef/>
      </w:r>
      <w:r w:rsidRPr="008979B7">
        <w:rPr>
          <w:sz w:val="18"/>
          <w:lang w:val="es-CR"/>
        </w:rPr>
        <w:t xml:space="preserve"> Arias, R., Barboza, L y Ramírez, J. (201</w:t>
      </w:r>
      <w:r>
        <w:rPr>
          <w:sz w:val="18"/>
          <w:lang w:val="es-CR"/>
        </w:rPr>
        <w:t>7</w:t>
      </w:r>
      <w:r w:rsidRPr="008979B7">
        <w:rPr>
          <w:sz w:val="18"/>
          <w:lang w:val="es-CR"/>
        </w:rPr>
        <w:t xml:space="preserve">). Estudio Actuarial del Seguro de Invalidez, Vejez y Muerte Administrado por la CCSS. Universidad de Costa Rica, Facultad de Ciencias. </w:t>
      </w:r>
    </w:p>
  </w:footnote>
  <w:footnote w:id="97">
    <w:p w14:paraId="359F7A82" w14:textId="77777777" w:rsidR="005E060C" w:rsidRPr="00C81724" w:rsidRDefault="005E060C" w:rsidP="00C81724">
      <w:pPr>
        <w:pStyle w:val="FootnoteText"/>
        <w:spacing w:after="0"/>
        <w:rPr>
          <w:lang w:val="es-CR"/>
        </w:rPr>
      </w:pPr>
      <w:r w:rsidRPr="00C81724">
        <w:rPr>
          <w:rStyle w:val="FootnoteReference"/>
          <w:sz w:val="18"/>
        </w:rPr>
        <w:footnoteRef/>
      </w:r>
      <w:r w:rsidRPr="00C81724">
        <w:rPr>
          <w:sz w:val="18"/>
          <w:lang w:val="es-CR"/>
        </w:rPr>
        <w:t xml:space="preserve"> Suponiendo una tasa de interés de 5,2% promedio (4,6% para un escenario pesimista y 5,8% para un escenario optimista), ponderadores de 15% y 85% para las carteras de crédito y valores, respectivamente. </w:t>
      </w:r>
      <w:r w:rsidRPr="005D1DC4">
        <w:rPr>
          <w:sz w:val="18"/>
          <w:lang w:val="es-CR"/>
        </w:rPr>
        <w:t>Arias, R., Barboza, L y Ramírez, J. (2017). Estudio Actuarial del Seguro de Invalidez, Vejez y Muerte Administrado por la CCSS. Universidad de Costa Rica, Facultad de Ciencias.</w:t>
      </w:r>
    </w:p>
  </w:footnote>
  <w:footnote w:id="98">
    <w:p w14:paraId="422B9CCD" w14:textId="77777777" w:rsidR="005E060C" w:rsidRPr="007860CE" w:rsidRDefault="005E060C" w:rsidP="008B2B1E">
      <w:pPr>
        <w:pStyle w:val="FootnoteText"/>
        <w:spacing w:after="0"/>
        <w:jc w:val="both"/>
        <w:rPr>
          <w:sz w:val="14"/>
          <w:szCs w:val="14"/>
          <w:lang w:val="es-ES_tradnl"/>
        </w:rPr>
      </w:pPr>
      <w:r w:rsidRPr="0095422F">
        <w:rPr>
          <w:rStyle w:val="FootnoteReference"/>
          <w:rFonts w:eastAsiaTheme="majorEastAsia"/>
          <w:sz w:val="18"/>
          <w:szCs w:val="14"/>
        </w:rPr>
        <w:footnoteRef/>
      </w:r>
      <w:r w:rsidRPr="0095422F">
        <w:rPr>
          <w:sz w:val="18"/>
          <w:szCs w:val="14"/>
          <w:lang w:val="es-ES_tradnl"/>
        </w:rPr>
        <w:t xml:space="preserve"> Artículo IV, 2017.</w:t>
      </w:r>
    </w:p>
  </w:footnote>
  <w:footnote w:id="99">
    <w:p w14:paraId="1E2B3A91" w14:textId="77777777" w:rsidR="005E060C" w:rsidRPr="008B2B1E" w:rsidRDefault="005E060C" w:rsidP="000549CD">
      <w:pPr>
        <w:pStyle w:val="FootnoteText"/>
        <w:spacing w:after="0"/>
        <w:rPr>
          <w:sz w:val="18"/>
          <w:lang w:val="es-CR"/>
        </w:rPr>
      </w:pPr>
      <w:r w:rsidRPr="008B2B1E">
        <w:rPr>
          <w:rStyle w:val="FootnoteReference"/>
          <w:sz w:val="18"/>
        </w:rPr>
        <w:footnoteRef/>
      </w:r>
      <w:r w:rsidRPr="008B2B1E">
        <w:rPr>
          <w:sz w:val="18"/>
          <w:lang w:val="es-CR"/>
        </w:rPr>
        <w:t xml:space="preserve"> Arias, R., Barboza, L y Ramírez, J. (2017). Estudio Actuarial del Seguro de Invalidez, Vejez y Muerte Administrado por la CCSS. </w:t>
      </w:r>
      <w:r w:rsidRPr="00733690">
        <w:rPr>
          <w:sz w:val="18"/>
          <w:lang w:val="es-CR"/>
        </w:rPr>
        <w:t>Universidad de Costa Rica, Facultad de Ciencias.</w:t>
      </w:r>
    </w:p>
  </w:footnote>
  <w:footnote w:id="100">
    <w:p w14:paraId="7B729B33" w14:textId="77777777" w:rsidR="005E060C" w:rsidRPr="00733690" w:rsidRDefault="005E060C" w:rsidP="00ED2CC2">
      <w:pPr>
        <w:pStyle w:val="FootnoteText"/>
        <w:spacing w:after="0" w:line="240" w:lineRule="auto"/>
        <w:jc w:val="both"/>
        <w:rPr>
          <w:lang w:val="es-CR"/>
        </w:rPr>
      </w:pPr>
      <w:r w:rsidRPr="00733690">
        <w:rPr>
          <w:rStyle w:val="FootnoteReference"/>
          <w:sz w:val="18"/>
        </w:rPr>
        <w:footnoteRef/>
      </w:r>
      <w:r w:rsidRPr="00733690">
        <w:rPr>
          <w:sz w:val="18"/>
          <w:lang w:val="es-CR"/>
        </w:rPr>
        <w:t xml:space="preserve"> Banco interamericano de Desarrollo. (2015). Panorama de las pensiones: América Latina y el Caribe. Washington: Banco Interamericano de Desarrollo.</w:t>
      </w:r>
    </w:p>
  </w:footnote>
  <w:footnote w:id="101">
    <w:p w14:paraId="76B8DB26" w14:textId="77777777" w:rsidR="005E060C" w:rsidRPr="004D1622" w:rsidRDefault="005E060C" w:rsidP="004D1622">
      <w:pPr>
        <w:spacing w:after="0" w:line="259" w:lineRule="auto"/>
        <w:jc w:val="both"/>
        <w:rPr>
          <w:rFonts w:ascii="Times New Roman" w:eastAsia="Calibri" w:hAnsi="Times New Roman" w:cs="Times New Roman"/>
          <w:sz w:val="18"/>
          <w:szCs w:val="18"/>
          <w:lang w:val="es-ES_tradnl" w:eastAsia="x-none"/>
        </w:rPr>
      </w:pPr>
      <w:r w:rsidRPr="00EC5C07">
        <w:rPr>
          <w:rStyle w:val="FootnoteReference"/>
          <w:rFonts w:ascii="Times New Roman" w:hAnsi="Times New Roman" w:cs="Times New Roman"/>
          <w:sz w:val="18"/>
          <w:szCs w:val="18"/>
        </w:rPr>
        <w:footnoteRef/>
      </w:r>
      <w:r w:rsidRPr="00EC5C07">
        <w:rPr>
          <w:rFonts w:ascii="Times New Roman" w:hAnsi="Times New Roman" w:cs="Times New Roman"/>
          <w:sz w:val="18"/>
          <w:szCs w:val="18"/>
          <w:lang w:val="es-ES_tradnl"/>
        </w:rPr>
        <w:t xml:space="preserve"> </w:t>
      </w:r>
      <w:r w:rsidRPr="00EC5C07">
        <w:rPr>
          <w:rFonts w:ascii="Times New Roman" w:eastAsia="Calibri" w:hAnsi="Times New Roman" w:cs="Times New Roman"/>
          <w:sz w:val="18"/>
          <w:szCs w:val="18"/>
          <w:lang w:val="es-ES_tradnl" w:eastAsia="x-none"/>
        </w:rPr>
        <w:t>Los trabajadores y pensionados cotizan mensualmente el equivalente al 11% de su sueldo al sistema. La Corte –como patrono– contribuye el 14,36% y el Estado el 1,24%. Estos aportes se financian mediante la transferencia de recursos que hace el Ministerio de Hacienda al Poder Judicial en el presupuesto de cada año.</w:t>
      </w:r>
    </w:p>
  </w:footnote>
  <w:footnote w:id="102">
    <w:p w14:paraId="2CBC491A" w14:textId="77777777" w:rsidR="005E060C" w:rsidRPr="004D1622" w:rsidRDefault="005E060C" w:rsidP="009E75E5">
      <w:pPr>
        <w:pStyle w:val="FootnoteText"/>
        <w:spacing w:after="0"/>
        <w:rPr>
          <w:sz w:val="18"/>
          <w:lang w:val="es-CR"/>
        </w:rPr>
      </w:pPr>
      <w:r w:rsidRPr="004D1622">
        <w:rPr>
          <w:rStyle w:val="FootnoteReference"/>
          <w:sz w:val="18"/>
        </w:rPr>
        <w:footnoteRef/>
      </w:r>
      <w:r w:rsidRPr="004D1622">
        <w:rPr>
          <w:sz w:val="18"/>
          <w:lang w:val="es-CR"/>
        </w:rPr>
        <w:t xml:space="preserve"> Cartí</w:t>
      </w:r>
      <w:r>
        <w:rPr>
          <w:sz w:val="18"/>
          <w:lang w:val="es-CR"/>
        </w:rPr>
        <w:t>n</w:t>
      </w:r>
      <w:r w:rsidRPr="004D1622">
        <w:rPr>
          <w:sz w:val="18"/>
          <w:lang w:val="es-CR"/>
        </w:rPr>
        <w:t>, R., Barrantes, C.</w:t>
      </w:r>
      <w:r>
        <w:rPr>
          <w:sz w:val="18"/>
          <w:lang w:val="es-CR"/>
        </w:rPr>
        <w:t>,</w:t>
      </w:r>
      <w:r w:rsidRPr="004D1622">
        <w:rPr>
          <w:sz w:val="18"/>
          <w:lang w:val="es-CR"/>
        </w:rPr>
        <w:t xml:space="preserve"> Soto, M.</w:t>
      </w:r>
      <w:r>
        <w:rPr>
          <w:sz w:val="18"/>
          <w:lang w:val="es-CR"/>
        </w:rPr>
        <w:t>, Jimenez, J. y Oviedo, L.</w:t>
      </w:r>
      <w:r w:rsidRPr="004D1622">
        <w:rPr>
          <w:sz w:val="18"/>
          <w:lang w:val="es-CR"/>
        </w:rPr>
        <w:t xml:space="preserve"> (2017). Estudio Actuarial del Fondo de Jubilaciones y Pensiones del Poder Judicial. Instituto de Investigaciones en Ciencias Económicas. Universidad de Costa Rica. </w:t>
      </w:r>
    </w:p>
  </w:footnote>
  <w:footnote w:id="103">
    <w:p w14:paraId="4E4D2D81" w14:textId="77777777" w:rsidR="005E060C" w:rsidRPr="00C81724" w:rsidRDefault="005E060C" w:rsidP="00C81724">
      <w:pPr>
        <w:pStyle w:val="FootnoteText"/>
        <w:jc w:val="both"/>
        <w:rPr>
          <w:lang w:val="es-CR"/>
        </w:rPr>
      </w:pPr>
      <w:r w:rsidRPr="00C81724">
        <w:rPr>
          <w:rStyle w:val="FootnoteReference"/>
          <w:sz w:val="18"/>
        </w:rPr>
        <w:footnoteRef/>
      </w:r>
      <w:r w:rsidRPr="00C81724">
        <w:rPr>
          <w:sz w:val="18"/>
          <w:lang w:val="es-CR"/>
        </w:rPr>
        <w:t xml:space="preserve"> El desequilibrio es causado por el arrastre de muchos errores de diseño, pero en especial por el elevado monto de las pensiones otorgadas, pues la tasa de reemplazo es el 100% de los salarios y la edad de retiro promedio efectiva del régimen ronda los 54 años, aunque el régimen establece una edad para pensión plena de 60 años. Además, no existe un tope máximo de pensión, lo cual es inusual para un régimen de primer pilar que debe velar por el principio de solidaridad.</w:t>
      </w:r>
    </w:p>
  </w:footnote>
  <w:footnote w:id="104">
    <w:p w14:paraId="01D79D83" w14:textId="77777777" w:rsidR="005E060C" w:rsidRPr="00C81724" w:rsidRDefault="005E060C" w:rsidP="00C81724">
      <w:pPr>
        <w:pStyle w:val="FootnoteText"/>
        <w:spacing w:after="0"/>
        <w:rPr>
          <w:sz w:val="18"/>
          <w:lang w:val="es-CR"/>
        </w:rPr>
      </w:pPr>
      <w:r w:rsidRPr="00C81724">
        <w:rPr>
          <w:rStyle w:val="FootnoteReference"/>
          <w:sz w:val="18"/>
        </w:rPr>
        <w:footnoteRef/>
      </w:r>
      <w:r w:rsidRPr="00C81724">
        <w:rPr>
          <w:sz w:val="18"/>
          <w:lang w:val="es-CR"/>
        </w:rPr>
        <w:t xml:space="preserve"> Para más referencias respecto a las experiencias en América Latina sobre nómina electrónica consultar el libro Factura Electrónica en América Latina (</w:t>
      </w:r>
      <w:hyperlink r:id="rId17" w:history="1">
        <w:r w:rsidRPr="00C81724">
          <w:rPr>
            <w:rStyle w:val="Hyperlink"/>
            <w:sz w:val="18"/>
            <w:lang w:val="es-CR"/>
          </w:rPr>
          <w:t>https://publications.iadb.org/handle/11319/8819?locale-attribute=es&amp;</w:t>
        </w:r>
      </w:hyperlink>
      <w:r w:rsidRPr="00C81724">
        <w:rPr>
          <w:sz w:val="18"/>
          <w:lang w:val="es-CR"/>
        </w:rPr>
        <w:t>)</w:t>
      </w:r>
    </w:p>
  </w:footnote>
  <w:footnote w:id="105">
    <w:p w14:paraId="47C2506E" w14:textId="77777777" w:rsidR="005E060C" w:rsidRPr="00E836B1" w:rsidRDefault="005E060C" w:rsidP="00E836B1">
      <w:pPr>
        <w:pStyle w:val="FootnoteText"/>
        <w:spacing w:after="0"/>
        <w:jc w:val="both"/>
        <w:rPr>
          <w:sz w:val="18"/>
          <w:szCs w:val="18"/>
          <w:lang w:val="es-CR"/>
        </w:rPr>
      </w:pPr>
      <w:r w:rsidRPr="00E836B1">
        <w:rPr>
          <w:rStyle w:val="FootnoteReference"/>
          <w:sz w:val="18"/>
          <w:szCs w:val="18"/>
        </w:rPr>
        <w:footnoteRef/>
      </w:r>
      <w:r w:rsidRPr="00E836B1">
        <w:rPr>
          <w:rStyle w:val="FootnoteReference"/>
          <w:sz w:val="18"/>
          <w:szCs w:val="18"/>
          <w:lang w:val="es-ES_tradnl"/>
        </w:rPr>
        <w:t xml:space="preserve"> </w:t>
      </w:r>
      <w:r w:rsidRPr="00E836B1">
        <w:rPr>
          <w:sz w:val="18"/>
          <w:szCs w:val="18"/>
          <w:lang w:val="es-CR"/>
        </w:rPr>
        <w:t xml:space="preserve">Estimaciones del ajuste efectuadas por el BID a la fecha aplicando la metodología estándar </w:t>
      </w:r>
      <w:r>
        <w:rPr>
          <w:sz w:val="18"/>
          <w:szCs w:val="18"/>
          <w:lang w:val="es-CR"/>
        </w:rPr>
        <w:t>(</w:t>
      </w:r>
      <w:r w:rsidRPr="00E836B1">
        <w:rPr>
          <w:sz w:val="18"/>
          <w:szCs w:val="18"/>
          <w:lang w:val="es-CR"/>
        </w:rPr>
        <w:t xml:space="preserve">de Buiter, W.H. 1985. </w:t>
      </w:r>
      <w:r w:rsidRPr="00E836B1">
        <w:rPr>
          <w:sz w:val="18"/>
          <w:szCs w:val="18"/>
        </w:rPr>
        <w:t>“</w:t>
      </w:r>
      <w:r w:rsidRPr="00E836B1">
        <w:rPr>
          <w:i/>
          <w:sz w:val="18"/>
          <w:szCs w:val="18"/>
        </w:rPr>
        <w:t>A Guide to Public Sector Debt and Deficits</w:t>
      </w:r>
      <w:r w:rsidRPr="00E836B1">
        <w:rPr>
          <w:sz w:val="18"/>
          <w:szCs w:val="18"/>
        </w:rPr>
        <w:t xml:space="preserve">” y Blanchard, O.J. 1990. </w:t>
      </w:r>
      <w:r w:rsidRPr="00E836B1">
        <w:rPr>
          <w:i/>
          <w:sz w:val="18"/>
          <w:szCs w:val="18"/>
          <w:lang w:val="es-CR"/>
        </w:rPr>
        <w:t>“Suggestions for a New Set of Fiscal Indicators”</w:t>
      </w:r>
      <w:r>
        <w:rPr>
          <w:sz w:val="18"/>
          <w:szCs w:val="18"/>
          <w:lang w:val="es-CR"/>
        </w:rPr>
        <w:t>,</w:t>
      </w:r>
      <w:r w:rsidRPr="00E836B1">
        <w:rPr>
          <w:sz w:val="18"/>
          <w:szCs w:val="18"/>
          <w:lang w:val="es-CR"/>
        </w:rPr>
        <w:t xml:space="preserve"> que analiza cual es el superávit primario requerido para estabilizar la razón deuda/PIB</w:t>
      </w:r>
      <w:r>
        <w:rPr>
          <w:sz w:val="18"/>
          <w:szCs w:val="18"/>
          <w:lang w:val="es-CR"/>
        </w:rPr>
        <w:t>)</w:t>
      </w:r>
      <w:r w:rsidRPr="00E836B1">
        <w:rPr>
          <w:sz w:val="18"/>
          <w:szCs w:val="18"/>
          <w:lang w:val="es-CR"/>
        </w:rPr>
        <w:t xml:space="preserve">, arrojan un ajuste estimado de 4.4% del PIB a la fecha, en tanto el Banco Mundial (en su publicación </w:t>
      </w:r>
      <w:r>
        <w:rPr>
          <w:sz w:val="18"/>
          <w:szCs w:val="18"/>
          <w:lang w:val="es-CR"/>
        </w:rPr>
        <w:t>Ajuste Fiscal en América Latina y el Caribe: ¿Costos en el Corto Plazo, Beneficios en el Largo?</w:t>
      </w:r>
      <w:r w:rsidRPr="00E836B1">
        <w:rPr>
          <w:sz w:val="18"/>
          <w:szCs w:val="18"/>
          <w:lang w:val="es-CR"/>
        </w:rPr>
        <w:t xml:space="preserve"> de </w:t>
      </w:r>
      <w:r>
        <w:rPr>
          <w:sz w:val="18"/>
          <w:szCs w:val="18"/>
          <w:lang w:val="es-CR"/>
        </w:rPr>
        <w:t>abril 2018</w:t>
      </w:r>
      <w:r w:rsidRPr="00E836B1">
        <w:rPr>
          <w:sz w:val="18"/>
          <w:szCs w:val="18"/>
          <w:lang w:val="es-CR"/>
        </w:rPr>
        <w:t>) calcula una corrección de 4,5% para la estabilización de la deuda de Gobierno Central.</w:t>
      </w:r>
    </w:p>
  </w:footnote>
  <w:footnote w:id="106">
    <w:p w14:paraId="04945B64" w14:textId="77777777" w:rsidR="005E060C" w:rsidRPr="00EA4123" w:rsidRDefault="005E060C" w:rsidP="00F569C0">
      <w:pPr>
        <w:pStyle w:val="FootnoteText"/>
        <w:spacing w:after="0"/>
        <w:jc w:val="both"/>
        <w:rPr>
          <w:lang w:val="es-ES_tradnl"/>
        </w:rPr>
      </w:pPr>
      <w:r>
        <w:rPr>
          <w:rStyle w:val="FootnoteReference"/>
        </w:rPr>
        <w:footnoteRef/>
      </w:r>
      <w:r w:rsidRPr="00EA4123">
        <w:rPr>
          <w:lang w:val="es-ES_tradnl"/>
        </w:rPr>
        <w:t xml:space="preserve"> </w:t>
      </w:r>
      <w:r w:rsidRPr="00E5200B">
        <w:rPr>
          <w:sz w:val="18"/>
          <w:lang w:val="es-CR"/>
        </w:rPr>
        <w:t>Barreix, A</w:t>
      </w:r>
      <w:r>
        <w:rPr>
          <w:sz w:val="18"/>
          <w:lang w:val="es-CR"/>
        </w:rPr>
        <w:t>.</w:t>
      </w:r>
      <w:r w:rsidRPr="00E5200B">
        <w:rPr>
          <w:sz w:val="18"/>
          <w:lang w:val="es-CR"/>
        </w:rPr>
        <w:t xml:space="preserve"> (2014)</w:t>
      </w:r>
      <w:r>
        <w:rPr>
          <w:sz w:val="18"/>
          <w:lang w:val="es-CR"/>
        </w:rPr>
        <w:t>;</w:t>
      </w:r>
      <w:r w:rsidRPr="00E5200B">
        <w:rPr>
          <w:sz w:val="18"/>
          <w:lang w:val="es-CR"/>
        </w:rPr>
        <w:t xml:space="preserve"> Costa Rica: Reformas Fiscales y Marco Macroeconómico. Estado de la Nación en Seminario del Diario La Nación.</w:t>
      </w:r>
    </w:p>
  </w:footnote>
  <w:footnote w:id="107">
    <w:p w14:paraId="4A82C420" w14:textId="77777777" w:rsidR="005E060C" w:rsidRPr="00A67D56" w:rsidRDefault="005E060C" w:rsidP="001B494A">
      <w:pPr>
        <w:pStyle w:val="FootnoteText"/>
        <w:spacing w:after="0"/>
        <w:jc w:val="both"/>
        <w:rPr>
          <w:sz w:val="18"/>
          <w:lang w:val="es-CR"/>
        </w:rPr>
      </w:pPr>
      <w:r w:rsidRPr="00A67D56">
        <w:rPr>
          <w:rStyle w:val="FootnoteReference"/>
          <w:sz w:val="18"/>
        </w:rPr>
        <w:footnoteRef/>
      </w:r>
      <w:r w:rsidRPr="00946E4D">
        <w:rPr>
          <w:rStyle w:val="FootnoteReference"/>
          <w:sz w:val="18"/>
          <w:lang w:val="es-ES_tradnl"/>
        </w:rPr>
        <w:t xml:space="preserve"> </w:t>
      </w:r>
      <w:r w:rsidRPr="00A67D56">
        <w:rPr>
          <w:sz w:val="18"/>
          <w:lang w:val="es-CR"/>
        </w:rPr>
        <w:t>El caso paradigmático es la Universidad que no presenta ni la composición de su gasto con lo que se hace imposible medir su eficacia presupuestal.</w:t>
      </w:r>
    </w:p>
  </w:footnote>
  <w:footnote w:id="108">
    <w:p w14:paraId="15AACD54" w14:textId="77777777" w:rsidR="005E060C" w:rsidRPr="00264ADB" w:rsidRDefault="005E060C" w:rsidP="001B494A">
      <w:pPr>
        <w:pStyle w:val="FootnoteText"/>
        <w:spacing w:after="0"/>
        <w:jc w:val="both"/>
        <w:rPr>
          <w:sz w:val="18"/>
          <w:lang w:val="es-CR"/>
        </w:rPr>
      </w:pPr>
      <w:r w:rsidRPr="001C44F7">
        <w:rPr>
          <w:rStyle w:val="FootnoteReference"/>
          <w:sz w:val="18"/>
        </w:rPr>
        <w:footnoteRef/>
      </w:r>
      <w:r w:rsidRPr="006300D8">
        <w:rPr>
          <w:lang w:val="es-ES_tradnl"/>
        </w:rPr>
        <w:t xml:space="preserve"> </w:t>
      </w:r>
      <w:r w:rsidRPr="00264ADB">
        <w:rPr>
          <w:sz w:val="18"/>
          <w:lang w:val="es-CR"/>
        </w:rPr>
        <w:t>Asumiendo una deuda de Gobierno Central de 49%, un crecimiento de largo plazo de 4.1% del PIB, una tasa promedio de interés de 5.56% el ejercicio arroja un ajuste estimado en 4.47% del PIB con un resultado primario necesario de aproximadamente 1.4%.</w:t>
      </w:r>
    </w:p>
  </w:footnote>
  <w:footnote w:id="109">
    <w:p w14:paraId="5493D0DA" w14:textId="77777777" w:rsidR="005E060C" w:rsidRPr="00FF0550" w:rsidRDefault="005E060C" w:rsidP="00FF0550">
      <w:pPr>
        <w:pStyle w:val="FootnoteText"/>
        <w:jc w:val="both"/>
        <w:rPr>
          <w:sz w:val="18"/>
          <w:lang w:val="es-CR"/>
        </w:rPr>
      </w:pPr>
      <w:r w:rsidRPr="00FF0550">
        <w:rPr>
          <w:rStyle w:val="FootnoteReference"/>
          <w:sz w:val="18"/>
        </w:rPr>
        <w:footnoteRef/>
      </w:r>
      <w:r w:rsidRPr="00FF0550">
        <w:rPr>
          <w:rStyle w:val="FootnoteReference"/>
          <w:sz w:val="18"/>
          <w:lang w:val="es-ES_tradnl"/>
        </w:rPr>
        <w:t xml:space="preserve"> </w:t>
      </w:r>
      <w:r w:rsidRPr="00FF0550">
        <w:rPr>
          <w:sz w:val="18"/>
          <w:lang w:val="es-CR"/>
        </w:rPr>
        <w:t>Si bien una de las instituciones</w:t>
      </w:r>
      <w:r>
        <w:rPr>
          <w:sz w:val="18"/>
          <w:lang w:val="es-CR"/>
        </w:rPr>
        <w:t xml:space="preserve"> particulares de la Segunda República</w:t>
      </w:r>
      <w:r w:rsidRPr="00FF0550">
        <w:rPr>
          <w:sz w:val="18"/>
          <w:lang w:val="es-CR"/>
        </w:rPr>
        <w:t xml:space="preserve"> relevantes e innovadoras</w:t>
      </w:r>
      <w:r>
        <w:rPr>
          <w:sz w:val="18"/>
          <w:lang w:val="es-CR"/>
        </w:rPr>
        <w:t xml:space="preserve"> es el ARESEP, en ella se unifican las actividades regulatorias de los servicios públicos. Este avance </w:t>
      </w:r>
      <w:r w:rsidRPr="00FF0550">
        <w:rPr>
          <w:sz w:val="18"/>
          <w:lang w:val="es-CR"/>
        </w:rPr>
        <w:t>pudiera considerarse e</w:t>
      </w:r>
      <w:r>
        <w:rPr>
          <w:sz w:val="18"/>
          <w:lang w:val="es-CR"/>
        </w:rPr>
        <w:t>n</w:t>
      </w:r>
      <w:r w:rsidRPr="00FF0550">
        <w:rPr>
          <w:sz w:val="18"/>
          <w:lang w:val="es-CR"/>
        </w:rPr>
        <w:t xml:space="preserve"> la configuración de algunas de las empresas públicas, por ejemplo, el ICE</w:t>
      </w:r>
      <w:r>
        <w:rPr>
          <w:sz w:val="18"/>
          <w:lang w:val="es-CR"/>
        </w:rPr>
        <w:t>. Éste</w:t>
      </w:r>
      <w:r w:rsidRPr="00FF0550">
        <w:rPr>
          <w:sz w:val="18"/>
          <w:lang w:val="es-CR"/>
        </w:rPr>
        <w:t xml:space="preserve"> se constituye de una empresa de telecomunicaciones, otra de producción de energía eléctrica y </w:t>
      </w:r>
      <w:r>
        <w:rPr>
          <w:sz w:val="18"/>
          <w:lang w:val="es-CR"/>
        </w:rPr>
        <w:t>otra de construcción, ramos claramente diferentes y, por ende, de muy distinta forma de gestión</w:t>
      </w:r>
      <w:r w:rsidRPr="00FF0550">
        <w:rPr>
          <w:sz w:val="18"/>
          <w:lang w:val="es-CR"/>
        </w:rPr>
        <w:t xml:space="preserve">. </w:t>
      </w:r>
      <w:r>
        <w:rPr>
          <w:sz w:val="18"/>
          <w:lang w:val="es-CR"/>
        </w:rPr>
        <w:t xml:space="preserve">Para una </w:t>
      </w:r>
      <w:r w:rsidRPr="00FF0550">
        <w:rPr>
          <w:sz w:val="18"/>
          <w:lang w:val="es-CR"/>
        </w:rPr>
        <w:t xml:space="preserve">mejor administración </w:t>
      </w:r>
      <w:r>
        <w:rPr>
          <w:sz w:val="18"/>
          <w:lang w:val="es-CR"/>
        </w:rPr>
        <w:t xml:space="preserve">deberían ser </w:t>
      </w:r>
      <w:r w:rsidRPr="00FF0550">
        <w:rPr>
          <w:sz w:val="18"/>
          <w:lang w:val="es-CR"/>
        </w:rPr>
        <w:t>independientes como ya se ha realizado desde hace varias décadas en varios países de la región y el mundo</w:t>
      </w:r>
      <w:r>
        <w:rPr>
          <w:sz w:val="18"/>
          <w:lang w:val="es-CR"/>
        </w:rPr>
        <w:t>,</w:t>
      </w:r>
      <w:r w:rsidRPr="00FF0550">
        <w:rPr>
          <w:sz w:val="18"/>
          <w:lang w:val="es-CR"/>
        </w:rPr>
        <w:t xml:space="preserve"> favoreciendo la especialización</w:t>
      </w:r>
      <w:r>
        <w:rPr>
          <w:sz w:val="18"/>
          <w:lang w:val="es-CR"/>
        </w:rPr>
        <w:t xml:space="preserve"> en actividades muy dinámicas,</w:t>
      </w:r>
      <w:r w:rsidRPr="00FF0550">
        <w:rPr>
          <w:sz w:val="18"/>
          <w:lang w:val="es-CR"/>
        </w:rPr>
        <w:t xml:space="preserve"> la transparencia</w:t>
      </w:r>
      <w:r>
        <w:rPr>
          <w:sz w:val="18"/>
          <w:lang w:val="es-CR"/>
        </w:rPr>
        <w:t xml:space="preserve"> contable y el control de resultados</w:t>
      </w:r>
      <w:r w:rsidRPr="00FF0550">
        <w:rPr>
          <w:sz w:val="18"/>
          <w:lang w:val="es-CR"/>
        </w:rPr>
        <w:t xml:space="preserve"> (sin considerar su naturaleza jurídica o forma de propiedad).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E58B1" w14:textId="34B10C33" w:rsidR="005E060C" w:rsidRDefault="005E0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989DB" w14:textId="072DC697" w:rsidR="005E060C" w:rsidRDefault="005E06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A63E8" w14:textId="72EACC6B" w:rsidR="005E060C" w:rsidRDefault="005E06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C1D64" w14:textId="5C91338B" w:rsidR="005E060C" w:rsidRDefault="005E06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560AC" w14:textId="497339E8" w:rsidR="005E060C" w:rsidRDefault="005E06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B22E1" w14:textId="02283BF7" w:rsidR="005E060C" w:rsidRDefault="005E0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02664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02614"/>
    <w:multiLevelType w:val="hybridMultilevel"/>
    <w:tmpl w:val="496E6A6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6826A32"/>
    <w:multiLevelType w:val="hybridMultilevel"/>
    <w:tmpl w:val="A4D8803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8222A33"/>
    <w:multiLevelType w:val="hybridMultilevel"/>
    <w:tmpl w:val="76F281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2F2D67"/>
    <w:multiLevelType w:val="hybridMultilevel"/>
    <w:tmpl w:val="114E38A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0CA378D3"/>
    <w:multiLevelType w:val="hybridMultilevel"/>
    <w:tmpl w:val="061A6E50"/>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6" w15:restartNumberingAfterBreak="0">
    <w:nsid w:val="0E562608"/>
    <w:multiLevelType w:val="hybridMultilevel"/>
    <w:tmpl w:val="5B6003AE"/>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15:restartNumberingAfterBreak="0">
    <w:nsid w:val="14105CA9"/>
    <w:multiLevelType w:val="hybridMultilevel"/>
    <w:tmpl w:val="3F44A2BA"/>
    <w:lvl w:ilvl="0" w:tplc="F6E8E5EA">
      <w:start w:val="1"/>
      <w:numFmt w:val="decimal"/>
      <w:pStyle w:val="ParagraphNumbering"/>
      <w:lvlText w:val="%1.     "/>
      <w:lvlJc w:val="left"/>
      <w:pPr>
        <w:tabs>
          <w:tab w:val="num" w:pos="1440"/>
        </w:tabs>
        <w:ind w:left="720" w:firstLine="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B66416"/>
    <w:multiLevelType w:val="hybridMultilevel"/>
    <w:tmpl w:val="48AC404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E655153"/>
    <w:multiLevelType w:val="hybridMultilevel"/>
    <w:tmpl w:val="F68ABE6A"/>
    <w:lvl w:ilvl="0" w:tplc="8660B6D2">
      <w:start w:val="1"/>
      <w:numFmt w:val="upperRoman"/>
      <w:pStyle w:val="Estilo1"/>
      <w:lvlText w:val="%1."/>
      <w:lvlJc w:val="right"/>
      <w:pPr>
        <w:ind w:left="720" w:hanging="360"/>
      </w:pPr>
      <w:rPr>
        <w:rFonts w:hint="default"/>
      </w:rPr>
    </w:lvl>
    <w:lvl w:ilvl="1" w:tplc="04090015">
      <w:start w:val="1"/>
      <w:numFmt w:val="upp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24C6F24"/>
    <w:multiLevelType w:val="hybridMultilevel"/>
    <w:tmpl w:val="0A9C4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890C0B"/>
    <w:multiLevelType w:val="multilevel"/>
    <w:tmpl w:val="F936172A"/>
    <w:lvl w:ilvl="0">
      <w:start w:val="1"/>
      <w:numFmt w:val="decimal"/>
      <w:lvlText w:val="%1."/>
      <w:lvlJc w:val="left"/>
      <w:pPr>
        <w:ind w:left="360" w:hanging="360"/>
      </w:pPr>
      <w:rPr>
        <w:b/>
        <w:sz w:val="32"/>
        <w:szCs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3A2AC3"/>
    <w:multiLevelType w:val="hybridMultilevel"/>
    <w:tmpl w:val="C682FA58"/>
    <w:numStyleLink w:val="Estiloimportado1"/>
  </w:abstractNum>
  <w:abstractNum w:abstractNumId="13" w15:restartNumberingAfterBreak="0">
    <w:nsid w:val="26BE08E4"/>
    <w:multiLevelType w:val="hybridMultilevel"/>
    <w:tmpl w:val="ABE620A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4" w15:restartNumberingAfterBreak="0">
    <w:nsid w:val="2C9C1D27"/>
    <w:multiLevelType w:val="hybridMultilevel"/>
    <w:tmpl w:val="30BCF814"/>
    <w:lvl w:ilvl="0" w:tplc="FEC8EEA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3D31BE"/>
    <w:multiLevelType w:val="hybridMultilevel"/>
    <w:tmpl w:val="6ED45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B33887"/>
    <w:multiLevelType w:val="hybridMultilevel"/>
    <w:tmpl w:val="8D8EFFAA"/>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3193186D"/>
    <w:multiLevelType w:val="hybridMultilevel"/>
    <w:tmpl w:val="5F549242"/>
    <w:lvl w:ilvl="0" w:tplc="0409000F">
      <w:start w:val="1"/>
      <w:numFmt w:val="decimal"/>
      <w:lvlText w:val="%1."/>
      <w:lvlJc w:val="left"/>
      <w:pPr>
        <w:ind w:left="360" w:hanging="360"/>
      </w:p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8" w15:restartNumberingAfterBreak="0">
    <w:nsid w:val="34D32DC0"/>
    <w:multiLevelType w:val="hybridMultilevel"/>
    <w:tmpl w:val="BF84D09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35DF6C16"/>
    <w:multiLevelType w:val="hybridMultilevel"/>
    <w:tmpl w:val="27BA61CC"/>
    <w:lvl w:ilvl="0" w:tplc="57B66AD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37711791"/>
    <w:multiLevelType w:val="hybridMultilevel"/>
    <w:tmpl w:val="78E8F684"/>
    <w:lvl w:ilvl="0" w:tplc="140A0001">
      <w:start w:val="1"/>
      <w:numFmt w:val="bullet"/>
      <w:lvlText w:val=""/>
      <w:lvlJc w:val="left"/>
      <w:pPr>
        <w:ind w:left="783" w:hanging="360"/>
      </w:pPr>
      <w:rPr>
        <w:rFonts w:ascii="Symbol" w:hAnsi="Symbol" w:hint="default"/>
      </w:rPr>
    </w:lvl>
    <w:lvl w:ilvl="1" w:tplc="140A0003" w:tentative="1">
      <w:start w:val="1"/>
      <w:numFmt w:val="bullet"/>
      <w:lvlText w:val="o"/>
      <w:lvlJc w:val="left"/>
      <w:pPr>
        <w:ind w:left="1503" w:hanging="360"/>
      </w:pPr>
      <w:rPr>
        <w:rFonts w:ascii="Courier New" w:hAnsi="Courier New" w:cs="Courier New" w:hint="default"/>
      </w:rPr>
    </w:lvl>
    <w:lvl w:ilvl="2" w:tplc="140A0005" w:tentative="1">
      <w:start w:val="1"/>
      <w:numFmt w:val="bullet"/>
      <w:lvlText w:val=""/>
      <w:lvlJc w:val="left"/>
      <w:pPr>
        <w:ind w:left="2223" w:hanging="360"/>
      </w:pPr>
      <w:rPr>
        <w:rFonts w:ascii="Wingdings" w:hAnsi="Wingdings" w:hint="default"/>
      </w:rPr>
    </w:lvl>
    <w:lvl w:ilvl="3" w:tplc="140A0001" w:tentative="1">
      <w:start w:val="1"/>
      <w:numFmt w:val="bullet"/>
      <w:lvlText w:val=""/>
      <w:lvlJc w:val="left"/>
      <w:pPr>
        <w:ind w:left="2943" w:hanging="360"/>
      </w:pPr>
      <w:rPr>
        <w:rFonts w:ascii="Symbol" w:hAnsi="Symbol" w:hint="default"/>
      </w:rPr>
    </w:lvl>
    <w:lvl w:ilvl="4" w:tplc="140A0003" w:tentative="1">
      <w:start w:val="1"/>
      <w:numFmt w:val="bullet"/>
      <w:lvlText w:val="o"/>
      <w:lvlJc w:val="left"/>
      <w:pPr>
        <w:ind w:left="3663" w:hanging="360"/>
      </w:pPr>
      <w:rPr>
        <w:rFonts w:ascii="Courier New" w:hAnsi="Courier New" w:cs="Courier New" w:hint="default"/>
      </w:rPr>
    </w:lvl>
    <w:lvl w:ilvl="5" w:tplc="140A0005" w:tentative="1">
      <w:start w:val="1"/>
      <w:numFmt w:val="bullet"/>
      <w:lvlText w:val=""/>
      <w:lvlJc w:val="left"/>
      <w:pPr>
        <w:ind w:left="4383" w:hanging="360"/>
      </w:pPr>
      <w:rPr>
        <w:rFonts w:ascii="Wingdings" w:hAnsi="Wingdings" w:hint="default"/>
      </w:rPr>
    </w:lvl>
    <w:lvl w:ilvl="6" w:tplc="140A0001" w:tentative="1">
      <w:start w:val="1"/>
      <w:numFmt w:val="bullet"/>
      <w:lvlText w:val=""/>
      <w:lvlJc w:val="left"/>
      <w:pPr>
        <w:ind w:left="5103" w:hanging="360"/>
      </w:pPr>
      <w:rPr>
        <w:rFonts w:ascii="Symbol" w:hAnsi="Symbol" w:hint="default"/>
      </w:rPr>
    </w:lvl>
    <w:lvl w:ilvl="7" w:tplc="140A0003" w:tentative="1">
      <w:start w:val="1"/>
      <w:numFmt w:val="bullet"/>
      <w:lvlText w:val="o"/>
      <w:lvlJc w:val="left"/>
      <w:pPr>
        <w:ind w:left="5823" w:hanging="360"/>
      </w:pPr>
      <w:rPr>
        <w:rFonts w:ascii="Courier New" w:hAnsi="Courier New" w:cs="Courier New" w:hint="default"/>
      </w:rPr>
    </w:lvl>
    <w:lvl w:ilvl="8" w:tplc="140A0005" w:tentative="1">
      <w:start w:val="1"/>
      <w:numFmt w:val="bullet"/>
      <w:lvlText w:val=""/>
      <w:lvlJc w:val="left"/>
      <w:pPr>
        <w:ind w:left="6543" w:hanging="360"/>
      </w:pPr>
      <w:rPr>
        <w:rFonts w:ascii="Wingdings" w:hAnsi="Wingdings" w:hint="default"/>
      </w:rPr>
    </w:lvl>
  </w:abstractNum>
  <w:abstractNum w:abstractNumId="21" w15:restartNumberingAfterBreak="0">
    <w:nsid w:val="3AD953A8"/>
    <w:multiLevelType w:val="hybridMultilevel"/>
    <w:tmpl w:val="E7DA1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3C7B5D"/>
    <w:multiLevelType w:val="hybridMultilevel"/>
    <w:tmpl w:val="907A0128"/>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44F950B3"/>
    <w:multiLevelType w:val="hybridMultilevel"/>
    <w:tmpl w:val="532E93F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47595E25"/>
    <w:multiLevelType w:val="multilevel"/>
    <w:tmpl w:val="73260C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9C7C63"/>
    <w:multiLevelType w:val="hybridMultilevel"/>
    <w:tmpl w:val="5ABA080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6" w15:restartNumberingAfterBreak="0">
    <w:nsid w:val="47AD0698"/>
    <w:multiLevelType w:val="hybridMultilevel"/>
    <w:tmpl w:val="D23E3160"/>
    <w:lvl w:ilvl="0" w:tplc="7D581F60">
      <w:start w:val="1"/>
      <w:numFmt w:val="decimal"/>
      <w:pStyle w:val="Estilo4"/>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15:restartNumberingAfterBreak="0">
    <w:nsid w:val="49CC5A39"/>
    <w:multiLevelType w:val="multilevel"/>
    <w:tmpl w:val="CC266A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A265C11"/>
    <w:multiLevelType w:val="hybridMultilevel"/>
    <w:tmpl w:val="8E22434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9" w15:restartNumberingAfterBreak="0">
    <w:nsid w:val="4ED57D12"/>
    <w:multiLevelType w:val="hybridMultilevel"/>
    <w:tmpl w:val="C682FA58"/>
    <w:styleLink w:val="Estiloimportado1"/>
    <w:lvl w:ilvl="0" w:tplc="9118DCD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C0F288F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F6108E0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rPr>
    </w:lvl>
    <w:lvl w:ilvl="3" w:tplc="585C405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612AE77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5A5CF842">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rPr>
    </w:lvl>
    <w:lvl w:ilvl="6" w:tplc="9DE4A57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CF50C08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510EEEEA">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51C37B8E"/>
    <w:multiLevelType w:val="hybridMultilevel"/>
    <w:tmpl w:val="8208E686"/>
    <w:lvl w:ilvl="0" w:tplc="B0EA81D0">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13D2019"/>
    <w:multiLevelType w:val="hybridMultilevel"/>
    <w:tmpl w:val="3392E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00548F"/>
    <w:multiLevelType w:val="hybridMultilevel"/>
    <w:tmpl w:val="3B20911E"/>
    <w:lvl w:ilvl="0" w:tplc="0409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756206E"/>
    <w:multiLevelType w:val="hybridMultilevel"/>
    <w:tmpl w:val="C6EAA384"/>
    <w:lvl w:ilvl="0" w:tplc="5A4C95B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762592B"/>
    <w:multiLevelType w:val="hybridMultilevel"/>
    <w:tmpl w:val="A9D2683A"/>
    <w:lvl w:ilvl="0" w:tplc="F9E431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581086"/>
    <w:multiLevelType w:val="hybridMultilevel"/>
    <w:tmpl w:val="2FBCA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A15A1"/>
    <w:multiLevelType w:val="multilevel"/>
    <w:tmpl w:val="FAA42BFC"/>
    <w:lvl w:ilvl="0">
      <w:start w:val="1"/>
      <w:numFmt w:val="upperRoman"/>
      <w:pStyle w:val="Heading1"/>
      <w:suff w:val="nothing"/>
      <w:lvlText w:val="%1.   "/>
      <w:lvlJc w:val="left"/>
      <w:pPr>
        <w:ind w:left="0" w:firstLine="0"/>
      </w:pPr>
      <w:rPr>
        <w:rFonts w:hint="default"/>
      </w:rPr>
    </w:lvl>
    <w:lvl w:ilvl="1">
      <w:start w:val="1"/>
      <w:numFmt w:val="upperLetter"/>
      <w:pStyle w:val="Heading2"/>
      <w:suff w:val="nothing"/>
      <w:lvlText w:val="%2.   "/>
      <w:lvlJc w:val="left"/>
      <w:pPr>
        <w:ind w:left="-540" w:firstLine="0"/>
      </w:pPr>
      <w:rPr>
        <w:rFonts w:hint="default"/>
      </w:rPr>
    </w:lvl>
    <w:lvl w:ilvl="2">
      <w:start w:val="1"/>
      <w:numFmt w:val="decimal"/>
      <w:lvlText w:val="%3."/>
      <w:lvlJc w:val="left"/>
      <w:pPr>
        <w:tabs>
          <w:tab w:val="num" w:pos="-1980"/>
        </w:tabs>
        <w:ind w:left="-2340" w:firstLine="0"/>
      </w:pPr>
      <w:rPr>
        <w:rFonts w:hint="default"/>
      </w:rPr>
    </w:lvl>
    <w:lvl w:ilvl="3">
      <w:start w:val="1"/>
      <w:numFmt w:val="lowerLetter"/>
      <w:lvlText w:val="%4)"/>
      <w:lvlJc w:val="left"/>
      <w:pPr>
        <w:tabs>
          <w:tab w:val="num" w:pos="-1260"/>
        </w:tabs>
        <w:ind w:left="-1620" w:firstLine="0"/>
      </w:pPr>
      <w:rPr>
        <w:rFonts w:hint="default"/>
      </w:rPr>
    </w:lvl>
    <w:lvl w:ilvl="4">
      <w:start w:val="1"/>
      <w:numFmt w:val="decimal"/>
      <w:lvlText w:val="(%5)"/>
      <w:lvlJc w:val="left"/>
      <w:pPr>
        <w:tabs>
          <w:tab w:val="num" w:pos="-540"/>
        </w:tabs>
        <w:ind w:left="-900" w:firstLine="0"/>
      </w:pPr>
      <w:rPr>
        <w:rFonts w:hint="default"/>
      </w:rPr>
    </w:lvl>
    <w:lvl w:ilvl="5">
      <w:start w:val="1"/>
      <w:numFmt w:val="lowerLetter"/>
      <w:lvlText w:val="(%6)"/>
      <w:lvlJc w:val="left"/>
      <w:pPr>
        <w:tabs>
          <w:tab w:val="num" w:pos="180"/>
        </w:tabs>
        <w:ind w:left="-180" w:firstLine="0"/>
      </w:pPr>
      <w:rPr>
        <w:rFonts w:hint="default"/>
      </w:rPr>
    </w:lvl>
    <w:lvl w:ilvl="6">
      <w:start w:val="1"/>
      <w:numFmt w:val="lowerRoman"/>
      <w:lvlText w:val="(%7)"/>
      <w:lvlJc w:val="left"/>
      <w:pPr>
        <w:tabs>
          <w:tab w:val="num" w:pos="900"/>
        </w:tabs>
        <w:ind w:left="540" w:firstLine="0"/>
      </w:pPr>
      <w:rPr>
        <w:rFonts w:hint="default"/>
      </w:rPr>
    </w:lvl>
    <w:lvl w:ilvl="7">
      <w:start w:val="1"/>
      <w:numFmt w:val="lowerLetter"/>
      <w:lvlText w:val="(%8)"/>
      <w:lvlJc w:val="left"/>
      <w:pPr>
        <w:tabs>
          <w:tab w:val="num" w:pos="1620"/>
        </w:tabs>
        <w:ind w:left="1260" w:firstLine="0"/>
      </w:pPr>
      <w:rPr>
        <w:rFonts w:hint="default"/>
      </w:rPr>
    </w:lvl>
    <w:lvl w:ilvl="8">
      <w:start w:val="1"/>
      <w:numFmt w:val="lowerRoman"/>
      <w:lvlText w:val="(%9)"/>
      <w:lvlJc w:val="left"/>
      <w:pPr>
        <w:tabs>
          <w:tab w:val="num" w:pos="2340"/>
        </w:tabs>
        <w:ind w:left="1980" w:firstLine="0"/>
      </w:pPr>
      <w:rPr>
        <w:rFonts w:hint="default"/>
      </w:rPr>
    </w:lvl>
  </w:abstractNum>
  <w:abstractNum w:abstractNumId="37" w15:restartNumberingAfterBreak="0">
    <w:nsid w:val="745654E3"/>
    <w:multiLevelType w:val="hybridMultilevel"/>
    <w:tmpl w:val="C2AE201A"/>
    <w:lvl w:ilvl="0" w:tplc="140A0019">
      <w:start w:val="1"/>
      <w:numFmt w:val="lowerLetter"/>
      <w:lvlText w:val="%1."/>
      <w:lvlJc w:val="left"/>
      <w:pPr>
        <w:ind w:left="72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8" w15:restartNumberingAfterBreak="0">
    <w:nsid w:val="75701A6A"/>
    <w:multiLevelType w:val="hybridMultilevel"/>
    <w:tmpl w:val="551EE068"/>
    <w:lvl w:ilvl="0" w:tplc="5BC87CFC">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6B6717D"/>
    <w:multiLevelType w:val="hybridMultilevel"/>
    <w:tmpl w:val="0F02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441531"/>
    <w:multiLevelType w:val="hybridMultilevel"/>
    <w:tmpl w:val="6A6290A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1" w15:restartNumberingAfterBreak="0">
    <w:nsid w:val="7EBF3D64"/>
    <w:multiLevelType w:val="hybridMultilevel"/>
    <w:tmpl w:val="D192467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2" w15:restartNumberingAfterBreak="0">
    <w:nsid w:val="7F012716"/>
    <w:multiLevelType w:val="hybridMultilevel"/>
    <w:tmpl w:val="47FC1C46"/>
    <w:lvl w:ilvl="0" w:tplc="5A4C95B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6"/>
  </w:num>
  <w:num w:numId="2">
    <w:abstractNumId w:val="7"/>
  </w:num>
  <w:num w:numId="3">
    <w:abstractNumId w:val="0"/>
  </w:num>
  <w:num w:numId="4">
    <w:abstractNumId w:val="26"/>
  </w:num>
  <w:num w:numId="5">
    <w:abstractNumId w:val="9"/>
  </w:num>
  <w:num w:numId="6">
    <w:abstractNumId w:val="27"/>
  </w:num>
  <w:num w:numId="7">
    <w:abstractNumId w:val="35"/>
  </w:num>
  <w:num w:numId="8">
    <w:abstractNumId w:val="1"/>
  </w:num>
  <w:num w:numId="9">
    <w:abstractNumId w:val="23"/>
  </w:num>
  <w:num w:numId="10">
    <w:abstractNumId w:val="41"/>
  </w:num>
  <w:num w:numId="11">
    <w:abstractNumId w:val="6"/>
  </w:num>
  <w:num w:numId="12">
    <w:abstractNumId w:val="28"/>
  </w:num>
  <w:num w:numId="13">
    <w:abstractNumId w:val="40"/>
  </w:num>
  <w:num w:numId="14">
    <w:abstractNumId w:val="8"/>
  </w:num>
  <w:num w:numId="15">
    <w:abstractNumId w:val="16"/>
  </w:num>
  <w:num w:numId="16">
    <w:abstractNumId w:val="25"/>
  </w:num>
  <w:num w:numId="17">
    <w:abstractNumId w:val="20"/>
  </w:num>
  <w:num w:numId="18">
    <w:abstractNumId w:val="4"/>
  </w:num>
  <w:num w:numId="19">
    <w:abstractNumId w:val="37"/>
  </w:num>
  <w:num w:numId="20">
    <w:abstractNumId w:val="22"/>
  </w:num>
  <w:num w:numId="21">
    <w:abstractNumId w:val="5"/>
  </w:num>
  <w:num w:numId="22">
    <w:abstractNumId w:val="18"/>
  </w:num>
  <w:num w:numId="23">
    <w:abstractNumId w:val="29"/>
  </w:num>
  <w:num w:numId="24">
    <w:abstractNumId w:val="12"/>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8"/>
  </w:num>
  <w:num w:numId="30">
    <w:abstractNumId w:val="42"/>
  </w:num>
  <w:num w:numId="31">
    <w:abstractNumId w:val="33"/>
  </w:num>
  <w:num w:numId="32">
    <w:abstractNumId w:val="21"/>
  </w:num>
  <w:num w:numId="33">
    <w:abstractNumId w:val="11"/>
  </w:num>
  <w:num w:numId="34">
    <w:abstractNumId w:val="3"/>
  </w:num>
  <w:num w:numId="35">
    <w:abstractNumId w:val="39"/>
  </w:num>
  <w:num w:numId="36">
    <w:abstractNumId w:val="14"/>
  </w:num>
  <w:num w:numId="37">
    <w:abstractNumId w:val="31"/>
  </w:num>
  <w:num w:numId="38">
    <w:abstractNumId w:val="32"/>
  </w:num>
  <w:num w:numId="39">
    <w:abstractNumId w:val="24"/>
  </w:num>
  <w:num w:numId="40">
    <w:abstractNumId w:val="26"/>
  </w:num>
  <w:num w:numId="41">
    <w:abstractNumId w:val="10"/>
  </w:num>
  <w:num w:numId="42">
    <w:abstractNumId w:val="17"/>
  </w:num>
  <w:num w:numId="43">
    <w:abstractNumId w:val="34"/>
  </w:num>
  <w:num w:numId="44">
    <w:abstractNumId w:val="15"/>
  </w:num>
  <w:num w:numId="45">
    <w:abstractNumId w:val="26"/>
  </w:num>
  <w:num w:numId="46">
    <w:abstractNumId w:val="36"/>
  </w:num>
  <w:num w:numId="47">
    <w:abstractNumId w:val="36"/>
  </w:num>
  <w:num w:numId="48">
    <w:abstractNumId w:val="36"/>
  </w:num>
  <w:num w:numId="49">
    <w:abstractNumId w:val="36"/>
  </w:num>
  <w:num w:numId="50">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90F"/>
    <w:rsid w:val="0000095E"/>
    <w:rsid w:val="000010F1"/>
    <w:rsid w:val="0000185B"/>
    <w:rsid w:val="00001962"/>
    <w:rsid w:val="00001AC8"/>
    <w:rsid w:val="0000242A"/>
    <w:rsid w:val="0000323E"/>
    <w:rsid w:val="0000346F"/>
    <w:rsid w:val="00003655"/>
    <w:rsid w:val="0000373E"/>
    <w:rsid w:val="000039FD"/>
    <w:rsid w:val="00003E75"/>
    <w:rsid w:val="0000422B"/>
    <w:rsid w:val="000042A7"/>
    <w:rsid w:val="00005431"/>
    <w:rsid w:val="00006285"/>
    <w:rsid w:val="00006362"/>
    <w:rsid w:val="00007C6A"/>
    <w:rsid w:val="0001025B"/>
    <w:rsid w:val="00010ED2"/>
    <w:rsid w:val="00011FB3"/>
    <w:rsid w:val="0001217D"/>
    <w:rsid w:val="0001282A"/>
    <w:rsid w:val="000129D8"/>
    <w:rsid w:val="00012D93"/>
    <w:rsid w:val="0001300F"/>
    <w:rsid w:val="000133EB"/>
    <w:rsid w:val="00013B8D"/>
    <w:rsid w:val="0001426D"/>
    <w:rsid w:val="00014BA7"/>
    <w:rsid w:val="00014E9D"/>
    <w:rsid w:val="0001645D"/>
    <w:rsid w:val="00016D0E"/>
    <w:rsid w:val="00017A09"/>
    <w:rsid w:val="00017CDE"/>
    <w:rsid w:val="00020D4F"/>
    <w:rsid w:val="00021ECD"/>
    <w:rsid w:val="00021F0C"/>
    <w:rsid w:val="000220F7"/>
    <w:rsid w:val="000224B7"/>
    <w:rsid w:val="000226A4"/>
    <w:rsid w:val="00023058"/>
    <w:rsid w:val="00023CEB"/>
    <w:rsid w:val="0002436C"/>
    <w:rsid w:val="000246A3"/>
    <w:rsid w:val="00024EAC"/>
    <w:rsid w:val="000258E8"/>
    <w:rsid w:val="00025D13"/>
    <w:rsid w:val="00026D6F"/>
    <w:rsid w:val="00030224"/>
    <w:rsid w:val="000310B2"/>
    <w:rsid w:val="00031666"/>
    <w:rsid w:val="00033248"/>
    <w:rsid w:val="00033BD1"/>
    <w:rsid w:val="00033FDE"/>
    <w:rsid w:val="000347E5"/>
    <w:rsid w:val="00034813"/>
    <w:rsid w:val="00035040"/>
    <w:rsid w:val="0003580E"/>
    <w:rsid w:val="00036327"/>
    <w:rsid w:val="00036CA3"/>
    <w:rsid w:val="00037112"/>
    <w:rsid w:val="00037599"/>
    <w:rsid w:val="0003794E"/>
    <w:rsid w:val="00037E84"/>
    <w:rsid w:val="00040A8B"/>
    <w:rsid w:val="00040EC1"/>
    <w:rsid w:val="00041B32"/>
    <w:rsid w:val="00041DC8"/>
    <w:rsid w:val="00041EB1"/>
    <w:rsid w:val="00042965"/>
    <w:rsid w:val="0004331C"/>
    <w:rsid w:val="00044426"/>
    <w:rsid w:val="00044F5C"/>
    <w:rsid w:val="000457C8"/>
    <w:rsid w:val="00045882"/>
    <w:rsid w:val="00046249"/>
    <w:rsid w:val="00046766"/>
    <w:rsid w:val="000472A2"/>
    <w:rsid w:val="000473F7"/>
    <w:rsid w:val="00052384"/>
    <w:rsid w:val="00052678"/>
    <w:rsid w:val="00052F4C"/>
    <w:rsid w:val="00053312"/>
    <w:rsid w:val="00053882"/>
    <w:rsid w:val="00053BF0"/>
    <w:rsid w:val="00053DED"/>
    <w:rsid w:val="00053F7A"/>
    <w:rsid w:val="0005432B"/>
    <w:rsid w:val="00054952"/>
    <w:rsid w:val="000549CD"/>
    <w:rsid w:val="00055A95"/>
    <w:rsid w:val="00055E10"/>
    <w:rsid w:val="00057977"/>
    <w:rsid w:val="000615C2"/>
    <w:rsid w:val="00062B9D"/>
    <w:rsid w:val="00062F1F"/>
    <w:rsid w:val="000635AD"/>
    <w:rsid w:val="0006360B"/>
    <w:rsid w:val="00063981"/>
    <w:rsid w:val="000646FE"/>
    <w:rsid w:val="00064C3C"/>
    <w:rsid w:val="000650C0"/>
    <w:rsid w:val="000653B3"/>
    <w:rsid w:val="00065C14"/>
    <w:rsid w:val="00065EC1"/>
    <w:rsid w:val="0006625B"/>
    <w:rsid w:val="00066ED3"/>
    <w:rsid w:val="0006741E"/>
    <w:rsid w:val="0007077A"/>
    <w:rsid w:val="00071905"/>
    <w:rsid w:val="00072D1A"/>
    <w:rsid w:val="000735AC"/>
    <w:rsid w:val="00073775"/>
    <w:rsid w:val="00073CC4"/>
    <w:rsid w:val="000747CC"/>
    <w:rsid w:val="00074941"/>
    <w:rsid w:val="00075873"/>
    <w:rsid w:val="00075BB6"/>
    <w:rsid w:val="0007641D"/>
    <w:rsid w:val="00076C8C"/>
    <w:rsid w:val="0007737E"/>
    <w:rsid w:val="00077A1E"/>
    <w:rsid w:val="00077DAD"/>
    <w:rsid w:val="000802A0"/>
    <w:rsid w:val="000802C3"/>
    <w:rsid w:val="0008079B"/>
    <w:rsid w:val="00080E4D"/>
    <w:rsid w:val="00080F5D"/>
    <w:rsid w:val="0008175B"/>
    <w:rsid w:val="0008184F"/>
    <w:rsid w:val="000818A4"/>
    <w:rsid w:val="00081BE9"/>
    <w:rsid w:val="00081E88"/>
    <w:rsid w:val="00082EDF"/>
    <w:rsid w:val="00083A60"/>
    <w:rsid w:val="00083CAF"/>
    <w:rsid w:val="000840F3"/>
    <w:rsid w:val="0008526D"/>
    <w:rsid w:val="0008573B"/>
    <w:rsid w:val="000869D5"/>
    <w:rsid w:val="00087408"/>
    <w:rsid w:val="00087E74"/>
    <w:rsid w:val="000909CF"/>
    <w:rsid w:val="00090BE5"/>
    <w:rsid w:val="00090D27"/>
    <w:rsid w:val="00091A04"/>
    <w:rsid w:val="00093304"/>
    <w:rsid w:val="00093628"/>
    <w:rsid w:val="0009430F"/>
    <w:rsid w:val="00095489"/>
    <w:rsid w:val="00097ADD"/>
    <w:rsid w:val="00097C2C"/>
    <w:rsid w:val="000A0043"/>
    <w:rsid w:val="000A01A8"/>
    <w:rsid w:val="000A0413"/>
    <w:rsid w:val="000A08A4"/>
    <w:rsid w:val="000A142B"/>
    <w:rsid w:val="000A19A8"/>
    <w:rsid w:val="000A212B"/>
    <w:rsid w:val="000A2319"/>
    <w:rsid w:val="000A2B71"/>
    <w:rsid w:val="000A2DC1"/>
    <w:rsid w:val="000A2DD2"/>
    <w:rsid w:val="000A2FD2"/>
    <w:rsid w:val="000A356A"/>
    <w:rsid w:val="000A4B68"/>
    <w:rsid w:val="000A5B46"/>
    <w:rsid w:val="000A61F0"/>
    <w:rsid w:val="000A6565"/>
    <w:rsid w:val="000A72E1"/>
    <w:rsid w:val="000B00E1"/>
    <w:rsid w:val="000B07B5"/>
    <w:rsid w:val="000B0E7B"/>
    <w:rsid w:val="000B0EAB"/>
    <w:rsid w:val="000B1719"/>
    <w:rsid w:val="000B2BF1"/>
    <w:rsid w:val="000B2C3C"/>
    <w:rsid w:val="000B42FB"/>
    <w:rsid w:val="000B44D7"/>
    <w:rsid w:val="000B4745"/>
    <w:rsid w:val="000B4790"/>
    <w:rsid w:val="000B56C5"/>
    <w:rsid w:val="000B572F"/>
    <w:rsid w:val="000B5857"/>
    <w:rsid w:val="000B7300"/>
    <w:rsid w:val="000B734A"/>
    <w:rsid w:val="000B7493"/>
    <w:rsid w:val="000B7E5C"/>
    <w:rsid w:val="000C0341"/>
    <w:rsid w:val="000C03B2"/>
    <w:rsid w:val="000C12AB"/>
    <w:rsid w:val="000C33B9"/>
    <w:rsid w:val="000C4017"/>
    <w:rsid w:val="000C40A8"/>
    <w:rsid w:val="000C4392"/>
    <w:rsid w:val="000C52CA"/>
    <w:rsid w:val="000C5994"/>
    <w:rsid w:val="000C5DCC"/>
    <w:rsid w:val="000C6D97"/>
    <w:rsid w:val="000D0E1A"/>
    <w:rsid w:val="000D0EBD"/>
    <w:rsid w:val="000D16CC"/>
    <w:rsid w:val="000D327E"/>
    <w:rsid w:val="000D3334"/>
    <w:rsid w:val="000D369D"/>
    <w:rsid w:val="000D386E"/>
    <w:rsid w:val="000D4B18"/>
    <w:rsid w:val="000D4D44"/>
    <w:rsid w:val="000D4D61"/>
    <w:rsid w:val="000D4ED7"/>
    <w:rsid w:val="000D5B44"/>
    <w:rsid w:val="000D5E6A"/>
    <w:rsid w:val="000D5F98"/>
    <w:rsid w:val="000D630E"/>
    <w:rsid w:val="000D6729"/>
    <w:rsid w:val="000D7421"/>
    <w:rsid w:val="000D7AC7"/>
    <w:rsid w:val="000E050E"/>
    <w:rsid w:val="000E1DAA"/>
    <w:rsid w:val="000E1EA2"/>
    <w:rsid w:val="000E351D"/>
    <w:rsid w:val="000E3BC1"/>
    <w:rsid w:val="000E3DF5"/>
    <w:rsid w:val="000E4E9A"/>
    <w:rsid w:val="000E6210"/>
    <w:rsid w:val="000E6A7A"/>
    <w:rsid w:val="000F0297"/>
    <w:rsid w:val="000F09F8"/>
    <w:rsid w:val="000F149B"/>
    <w:rsid w:val="000F149E"/>
    <w:rsid w:val="000F1FE9"/>
    <w:rsid w:val="000F2531"/>
    <w:rsid w:val="000F2DF8"/>
    <w:rsid w:val="000F3303"/>
    <w:rsid w:val="000F35E4"/>
    <w:rsid w:val="000F3C02"/>
    <w:rsid w:val="000F41E8"/>
    <w:rsid w:val="000F44A5"/>
    <w:rsid w:val="000F59CC"/>
    <w:rsid w:val="000F5D05"/>
    <w:rsid w:val="000F799A"/>
    <w:rsid w:val="001007A0"/>
    <w:rsid w:val="001011E0"/>
    <w:rsid w:val="001014BD"/>
    <w:rsid w:val="00103340"/>
    <w:rsid w:val="00103F46"/>
    <w:rsid w:val="0010474F"/>
    <w:rsid w:val="00104B02"/>
    <w:rsid w:val="00105338"/>
    <w:rsid w:val="00105D7B"/>
    <w:rsid w:val="00106A05"/>
    <w:rsid w:val="001101F2"/>
    <w:rsid w:val="0011069A"/>
    <w:rsid w:val="001110A8"/>
    <w:rsid w:val="001122B9"/>
    <w:rsid w:val="00112B25"/>
    <w:rsid w:val="00112C3D"/>
    <w:rsid w:val="00112D05"/>
    <w:rsid w:val="001136A4"/>
    <w:rsid w:val="00113B00"/>
    <w:rsid w:val="00113D6B"/>
    <w:rsid w:val="001140CC"/>
    <w:rsid w:val="00114FD6"/>
    <w:rsid w:val="00115125"/>
    <w:rsid w:val="001163A5"/>
    <w:rsid w:val="00116A1A"/>
    <w:rsid w:val="00117E83"/>
    <w:rsid w:val="001208FE"/>
    <w:rsid w:val="00120AA8"/>
    <w:rsid w:val="00120E71"/>
    <w:rsid w:val="00120F42"/>
    <w:rsid w:val="00121468"/>
    <w:rsid w:val="001214B4"/>
    <w:rsid w:val="00121C6E"/>
    <w:rsid w:val="001221CC"/>
    <w:rsid w:val="00122B62"/>
    <w:rsid w:val="00122EFE"/>
    <w:rsid w:val="00123A63"/>
    <w:rsid w:val="0012477F"/>
    <w:rsid w:val="00125D7F"/>
    <w:rsid w:val="00125E9B"/>
    <w:rsid w:val="00126126"/>
    <w:rsid w:val="001279E6"/>
    <w:rsid w:val="0013146B"/>
    <w:rsid w:val="00131778"/>
    <w:rsid w:val="0013218F"/>
    <w:rsid w:val="00133013"/>
    <w:rsid w:val="00133032"/>
    <w:rsid w:val="001335B0"/>
    <w:rsid w:val="00133F88"/>
    <w:rsid w:val="001342C5"/>
    <w:rsid w:val="00134589"/>
    <w:rsid w:val="00134B41"/>
    <w:rsid w:val="001356FE"/>
    <w:rsid w:val="00135E00"/>
    <w:rsid w:val="00136107"/>
    <w:rsid w:val="0013767C"/>
    <w:rsid w:val="001378C9"/>
    <w:rsid w:val="00137ED9"/>
    <w:rsid w:val="001403AF"/>
    <w:rsid w:val="0014078B"/>
    <w:rsid w:val="001427B4"/>
    <w:rsid w:val="00142AA3"/>
    <w:rsid w:val="0014341D"/>
    <w:rsid w:val="00143AB7"/>
    <w:rsid w:val="00143B61"/>
    <w:rsid w:val="00143E19"/>
    <w:rsid w:val="001442CF"/>
    <w:rsid w:val="00144409"/>
    <w:rsid w:val="0014460C"/>
    <w:rsid w:val="0014472B"/>
    <w:rsid w:val="0014478A"/>
    <w:rsid w:val="00144CAA"/>
    <w:rsid w:val="00144F04"/>
    <w:rsid w:val="00145620"/>
    <w:rsid w:val="00145D24"/>
    <w:rsid w:val="00146165"/>
    <w:rsid w:val="0014635C"/>
    <w:rsid w:val="00146807"/>
    <w:rsid w:val="001472DC"/>
    <w:rsid w:val="001474ED"/>
    <w:rsid w:val="00147632"/>
    <w:rsid w:val="00147C93"/>
    <w:rsid w:val="00150AAA"/>
    <w:rsid w:val="001510E4"/>
    <w:rsid w:val="00151771"/>
    <w:rsid w:val="001517EA"/>
    <w:rsid w:val="00151802"/>
    <w:rsid w:val="001520D0"/>
    <w:rsid w:val="00152614"/>
    <w:rsid w:val="00153A40"/>
    <w:rsid w:val="00153B22"/>
    <w:rsid w:val="00153D9A"/>
    <w:rsid w:val="00154266"/>
    <w:rsid w:val="001543AC"/>
    <w:rsid w:val="00154817"/>
    <w:rsid w:val="00154CDC"/>
    <w:rsid w:val="0015579B"/>
    <w:rsid w:val="00155AE1"/>
    <w:rsid w:val="00156C14"/>
    <w:rsid w:val="00160036"/>
    <w:rsid w:val="00160C67"/>
    <w:rsid w:val="00160FE9"/>
    <w:rsid w:val="00161629"/>
    <w:rsid w:val="00162E8B"/>
    <w:rsid w:val="001634E4"/>
    <w:rsid w:val="00164569"/>
    <w:rsid w:val="001646F0"/>
    <w:rsid w:val="00164EB4"/>
    <w:rsid w:val="00164F4F"/>
    <w:rsid w:val="001652D6"/>
    <w:rsid w:val="001673AB"/>
    <w:rsid w:val="00170325"/>
    <w:rsid w:val="00170487"/>
    <w:rsid w:val="00170F4D"/>
    <w:rsid w:val="0017100A"/>
    <w:rsid w:val="001710F9"/>
    <w:rsid w:val="001735A1"/>
    <w:rsid w:val="001736F3"/>
    <w:rsid w:val="00174973"/>
    <w:rsid w:val="0017600D"/>
    <w:rsid w:val="001761B4"/>
    <w:rsid w:val="0017670E"/>
    <w:rsid w:val="00176871"/>
    <w:rsid w:val="00177A24"/>
    <w:rsid w:val="00180BB6"/>
    <w:rsid w:val="001834DA"/>
    <w:rsid w:val="00183D65"/>
    <w:rsid w:val="00184080"/>
    <w:rsid w:val="00184103"/>
    <w:rsid w:val="00184C09"/>
    <w:rsid w:val="00186CEF"/>
    <w:rsid w:val="00190000"/>
    <w:rsid w:val="00190C2D"/>
    <w:rsid w:val="00191367"/>
    <w:rsid w:val="001924A0"/>
    <w:rsid w:val="00193389"/>
    <w:rsid w:val="00193FAD"/>
    <w:rsid w:val="0019415F"/>
    <w:rsid w:val="001950ED"/>
    <w:rsid w:val="0019552D"/>
    <w:rsid w:val="00196E99"/>
    <w:rsid w:val="001971EA"/>
    <w:rsid w:val="001973EE"/>
    <w:rsid w:val="00197CE7"/>
    <w:rsid w:val="001A0189"/>
    <w:rsid w:val="001A1026"/>
    <w:rsid w:val="001A1CA8"/>
    <w:rsid w:val="001A1D69"/>
    <w:rsid w:val="001A2266"/>
    <w:rsid w:val="001A22E8"/>
    <w:rsid w:val="001A23AE"/>
    <w:rsid w:val="001A27AB"/>
    <w:rsid w:val="001A34C5"/>
    <w:rsid w:val="001A39CB"/>
    <w:rsid w:val="001A4B0E"/>
    <w:rsid w:val="001A57A4"/>
    <w:rsid w:val="001A5FCC"/>
    <w:rsid w:val="001B0D7E"/>
    <w:rsid w:val="001B10B6"/>
    <w:rsid w:val="001B39E1"/>
    <w:rsid w:val="001B3D33"/>
    <w:rsid w:val="001B494A"/>
    <w:rsid w:val="001B6633"/>
    <w:rsid w:val="001B6D97"/>
    <w:rsid w:val="001B6FB2"/>
    <w:rsid w:val="001B772B"/>
    <w:rsid w:val="001B7B5E"/>
    <w:rsid w:val="001C0339"/>
    <w:rsid w:val="001C099A"/>
    <w:rsid w:val="001C1E8B"/>
    <w:rsid w:val="001C22FE"/>
    <w:rsid w:val="001C295C"/>
    <w:rsid w:val="001C44F7"/>
    <w:rsid w:val="001C5042"/>
    <w:rsid w:val="001C5586"/>
    <w:rsid w:val="001C578E"/>
    <w:rsid w:val="001C58D0"/>
    <w:rsid w:val="001C5A21"/>
    <w:rsid w:val="001C5E65"/>
    <w:rsid w:val="001C62C3"/>
    <w:rsid w:val="001C6DAF"/>
    <w:rsid w:val="001C7AD8"/>
    <w:rsid w:val="001C7E89"/>
    <w:rsid w:val="001D00FB"/>
    <w:rsid w:val="001D0206"/>
    <w:rsid w:val="001D0FE6"/>
    <w:rsid w:val="001D192E"/>
    <w:rsid w:val="001D196B"/>
    <w:rsid w:val="001D31A5"/>
    <w:rsid w:val="001D5229"/>
    <w:rsid w:val="001D5907"/>
    <w:rsid w:val="001D6AF4"/>
    <w:rsid w:val="001E0A7E"/>
    <w:rsid w:val="001E0FF1"/>
    <w:rsid w:val="001E10D9"/>
    <w:rsid w:val="001E17DE"/>
    <w:rsid w:val="001E1C45"/>
    <w:rsid w:val="001E1C8F"/>
    <w:rsid w:val="001E380B"/>
    <w:rsid w:val="001E38BC"/>
    <w:rsid w:val="001E5CCE"/>
    <w:rsid w:val="001E6AE3"/>
    <w:rsid w:val="001E6EC6"/>
    <w:rsid w:val="001E6F00"/>
    <w:rsid w:val="001E7DFC"/>
    <w:rsid w:val="001F1F37"/>
    <w:rsid w:val="001F3EEF"/>
    <w:rsid w:val="001F415F"/>
    <w:rsid w:val="001F442C"/>
    <w:rsid w:val="001F5F33"/>
    <w:rsid w:val="001F60DD"/>
    <w:rsid w:val="001F66A8"/>
    <w:rsid w:val="001F6B55"/>
    <w:rsid w:val="001F6BC9"/>
    <w:rsid w:val="00200596"/>
    <w:rsid w:val="00202BEA"/>
    <w:rsid w:val="00202C50"/>
    <w:rsid w:val="0020570D"/>
    <w:rsid w:val="00205C2B"/>
    <w:rsid w:val="00205F77"/>
    <w:rsid w:val="0020645E"/>
    <w:rsid w:val="0020650E"/>
    <w:rsid w:val="00207226"/>
    <w:rsid w:val="0020792A"/>
    <w:rsid w:val="002104DA"/>
    <w:rsid w:val="0021065D"/>
    <w:rsid w:val="002107EA"/>
    <w:rsid w:val="00210909"/>
    <w:rsid w:val="00210F45"/>
    <w:rsid w:val="00211FB2"/>
    <w:rsid w:val="002121B3"/>
    <w:rsid w:val="002151DD"/>
    <w:rsid w:val="00215E6C"/>
    <w:rsid w:val="002162E1"/>
    <w:rsid w:val="0021632D"/>
    <w:rsid w:val="002165BD"/>
    <w:rsid w:val="0021663C"/>
    <w:rsid w:val="002179FC"/>
    <w:rsid w:val="00220286"/>
    <w:rsid w:val="00220672"/>
    <w:rsid w:val="00220ABD"/>
    <w:rsid w:val="00220ADF"/>
    <w:rsid w:val="00220F6A"/>
    <w:rsid w:val="00221939"/>
    <w:rsid w:val="00222365"/>
    <w:rsid w:val="0022265D"/>
    <w:rsid w:val="00223579"/>
    <w:rsid w:val="00223645"/>
    <w:rsid w:val="00224404"/>
    <w:rsid w:val="002244AC"/>
    <w:rsid w:val="00224E26"/>
    <w:rsid w:val="00226382"/>
    <w:rsid w:val="00227071"/>
    <w:rsid w:val="0022754F"/>
    <w:rsid w:val="002279D7"/>
    <w:rsid w:val="00227AA8"/>
    <w:rsid w:val="00227B63"/>
    <w:rsid w:val="0023003E"/>
    <w:rsid w:val="00230164"/>
    <w:rsid w:val="00230483"/>
    <w:rsid w:val="00230DF6"/>
    <w:rsid w:val="00230EE7"/>
    <w:rsid w:val="0023121D"/>
    <w:rsid w:val="00232F66"/>
    <w:rsid w:val="00234B10"/>
    <w:rsid w:val="00234C47"/>
    <w:rsid w:val="002351FE"/>
    <w:rsid w:val="00235EFA"/>
    <w:rsid w:val="00235FBE"/>
    <w:rsid w:val="002367BC"/>
    <w:rsid w:val="00237A5F"/>
    <w:rsid w:val="00237C54"/>
    <w:rsid w:val="00240223"/>
    <w:rsid w:val="00240426"/>
    <w:rsid w:val="00240518"/>
    <w:rsid w:val="00240F20"/>
    <w:rsid w:val="002413D7"/>
    <w:rsid w:val="00242038"/>
    <w:rsid w:val="00242F8F"/>
    <w:rsid w:val="002433BD"/>
    <w:rsid w:val="00244159"/>
    <w:rsid w:val="00244AAE"/>
    <w:rsid w:val="00244B21"/>
    <w:rsid w:val="00244BE4"/>
    <w:rsid w:val="00245647"/>
    <w:rsid w:val="002459F5"/>
    <w:rsid w:val="00245B5D"/>
    <w:rsid w:val="00245F28"/>
    <w:rsid w:val="002467B8"/>
    <w:rsid w:val="00246F02"/>
    <w:rsid w:val="0025115D"/>
    <w:rsid w:val="00251466"/>
    <w:rsid w:val="00253308"/>
    <w:rsid w:val="00253C3B"/>
    <w:rsid w:val="0025415B"/>
    <w:rsid w:val="002541AA"/>
    <w:rsid w:val="00254478"/>
    <w:rsid w:val="00254580"/>
    <w:rsid w:val="002545DE"/>
    <w:rsid w:val="00254B3A"/>
    <w:rsid w:val="0025511A"/>
    <w:rsid w:val="00255A1E"/>
    <w:rsid w:val="00255D9D"/>
    <w:rsid w:val="00256D2B"/>
    <w:rsid w:val="002573FA"/>
    <w:rsid w:val="00257507"/>
    <w:rsid w:val="00257AD6"/>
    <w:rsid w:val="002609CC"/>
    <w:rsid w:val="00261B35"/>
    <w:rsid w:val="00261E73"/>
    <w:rsid w:val="00262701"/>
    <w:rsid w:val="00262749"/>
    <w:rsid w:val="002643E6"/>
    <w:rsid w:val="00264703"/>
    <w:rsid w:val="00264ADB"/>
    <w:rsid w:val="00264CA3"/>
    <w:rsid w:val="00264F82"/>
    <w:rsid w:val="0026517B"/>
    <w:rsid w:val="00265F99"/>
    <w:rsid w:val="00266636"/>
    <w:rsid w:val="00266971"/>
    <w:rsid w:val="002671F0"/>
    <w:rsid w:val="00270673"/>
    <w:rsid w:val="002709E7"/>
    <w:rsid w:val="00270BCA"/>
    <w:rsid w:val="00270DF1"/>
    <w:rsid w:val="002728D2"/>
    <w:rsid w:val="00272A11"/>
    <w:rsid w:val="00272C27"/>
    <w:rsid w:val="00272D17"/>
    <w:rsid w:val="0027439B"/>
    <w:rsid w:val="002748DC"/>
    <w:rsid w:val="00275444"/>
    <w:rsid w:val="00275DB6"/>
    <w:rsid w:val="00275F0C"/>
    <w:rsid w:val="00275FF5"/>
    <w:rsid w:val="00276801"/>
    <w:rsid w:val="00276E9D"/>
    <w:rsid w:val="002776F5"/>
    <w:rsid w:val="0028067E"/>
    <w:rsid w:val="00280B56"/>
    <w:rsid w:val="00281323"/>
    <w:rsid w:val="00281ECA"/>
    <w:rsid w:val="00282CD3"/>
    <w:rsid w:val="00282ECE"/>
    <w:rsid w:val="002835D6"/>
    <w:rsid w:val="00283627"/>
    <w:rsid w:val="002841DB"/>
    <w:rsid w:val="002857F9"/>
    <w:rsid w:val="002875B7"/>
    <w:rsid w:val="002876AF"/>
    <w:rsid w:val="00287D4E"/>
    <w:rsid w:val="00290308"/>
    <w:rsid w:val="00291A91"/>
    <w:rsid w:val="00292320"/>
    <w:rsid w:val="002945BA"/>
    <w:rsid w:val="00294E55"/>
    <w:rsid w:val="0029562D"/>
    <w:rsid w:val="00295924"/>
    <w:rsid w:val="00295DEE"/>
    <w:rsid w:val="00296276"/>
    <w:rsid w:val="00296B81"/>
    <w:rsid w:val="002A22D0"/>
    <w:rsid w:val="002A2949"/>
    <w:rsid w:val="002A2C0D"/>
    <w:rsid w:val="002A2D24"/>
    <w:rsid w:val="002A2D41"/>
    <w:rsid w:val="002A3F9F"/>
    <w:rsid w:val="002A4269"/>
    <w:rsid w:val="002A4C8C"/>
    <w:rsid w:val="002A56FB"/>
    <w:rsid w:val="002A6065"/>
    <w:rsid w:val="002A61F5"/>
    <w:rsid w:val="002A7C03"/>
    <w:rsid w:val="002A7C88"/>
    <w:rsid w:val="002B01A2"/>
    <w:rsid w:val="002B03F8"/>
    <w:rsid w:val="002B1582"/>
    <w:rsid w:val="002B15C4"/>
    <w:rsid w:val="002B16EA"/>
    <w:rsid w:val="002B1CC1"/>
    <w:rsid w:val="002B3293"/>
    <w:rsid w:val="002B337A"/>
    <w:rsid w:val="002B449D"/>
    <w:rsid w:val="002B458D"/>
    <w:rsid w:val="002B45F3"/>
    <w:rsid w:val="002B4EFA"/>
    <w:rsid w:val="002B5724"/>
    <w:rsid w:val="002B5C1D"/>
    <w:rsid w:val="002B726A"/>
    <w:rsid w:val="002B7983"/>
    <w:rsid w:val="002C112C"/>
    <w:rsid w:val="002C1CA9"/>
    <w:rsid w:val="002C297E"/>
    <w:rsid w:val="002C489A"/>
    <w:rsid w:val="002C5D6A"/>
    <w:rsid w:val="002C6093"/>
    <w:rsid w:val="002C63C8"/>
    <w:rsid w:val="002C6DCD"/>
    <w:rsid w:val="002C7087"/>
    <w:rsid w:val="002C7187"/>
    <w:rsid w:val="002C718E"/>
    <w:rsid w:val="002C71F9"/>
    <w:rsid w:val="002C7541"/>
    <w:rsid w:val="002C7E7D"/>
    <w:rsid w:val="002D0356"/>
    <w:rsid w:val="002D1078"/>
    <w:rsid w:val="002D135E"/>
    <w:rsid w:val="002D15FA"/>
    <w:rsid w:val="002D1D5D"/>
    <w:rsid w:val="002D214C"/>
    <w:rsid w:val="002D2DD6"/>
    <w:rsid w:val="002D38D1"/>
    <w:rsid w:val="002D392A"/>
    <w:rsid w:val="002D3C0A"/>
    <w:rsid w:val="002D4031"/>
    <w:rsid w:val="002D41AF"/>
    <w:rsid w:val="002D49FE"/>
    <w:rsid w:val="002D518C"/>
    <w:rsid w:val="002D5A9D"/>
    <w:rsid w:val="002D6251"/>
    <w:rsid w:val="002D6882"/>
    <w:rsid w:val="002D7351"/>
    <w:rsid w:val="002D7A66"/>
    <w:rsid w:val="002D7D95"/>
    <w:rsid w:val="002E0764"/>
    <w:rsid w:val="002E140B"/>
    <w:rsid w:val="002E2CC5"/>
    <w:rsid w:val="002E2DFF"/>
    <w:rsid w:val="002E3D0F"/>
    <w:rsid w:val="002E3E95"/>
    <w:rsid w:val="002E43F6"/>
    <w:rsid w:val="002E4D40"/>
    <w:rsid w:val="002E5233"/>
    <w:rsid w:val="002E5801"/>
    <w:rsid w:val="002E5C7B"/>
    <w:rsid w:val="002E6005"/>
    <w:rsid w:val="002E6B67"/>
    <w:rsid w:val="002E7476"/>
    <w:rsid w:val="002E7741"/>
    <w:rsid w:val="002F02D7"/>
    <w:rsid w:val="002F044E"/>
    <w:rsid w:val="002F1975"/>
    <w:rsid w:val="002F1B6F"/>
    <w:rsid w:val="002F2707"/>
    <w:rsid w:val="002F2D2A"/>
    <w:rsid w:val="002F3E21"/>
    <w:rsid w:val="002F4644"/>
    <w:rsid w:val="002F4EAF"/>
    <w:rsid w:val="002F51FD"/>
    <w:rsid w:val="002F590F"/>
    <w:rsid w:val="002F5A97"/>
    <w:rsid w:val="002F5C74"/>
    <w:rsid w:val="002F5DD5"/>
    <w:rsid w:val="002F70FC"/>
    <w:rsid w:val="002F7431"/>
    <w:rsid w:val="002F79C1"/>
    <w:rsid w:val="002F7D21"/>
    <w:rsid w:val="00300793"/>
    <w:rsid w:val="003007F9"/>
    <w:rsid w:val="00300AC3"/>
    <w:rsid w:val="00301B53"/>
    <w:rsid w:val="00302B86"/>
    <w:rsid w:val="00303C3E"/>
    <w:rsid w:val="00304853"/>
    <w:rsid w:val="00304E8B"/>
    <w:rsid w:val="00305882"/>
    <w:rsid w:val="0030673D"/>
    <w:rsid w:val="00306AC9"/>
    <w:rsid w:val="00306EF6"/>
    <w:rsid w:val="003070C8"/>
    <w:rsid w:val="003071D6"/>
    <w:rsid w:val="00307560"/>
    <w:rsid w:val="00307FA1"/>
    <w:rsid w:val="00310B68"/>
    <w:rsid w:val="003113E5"/>
    <w:rsid w:val="00311BAE"/>
    <w:rsid w:val="0031256D"/>
    <w:rsid w:val="00312849"/>
    <w:rsid w:val="00312B7B"/>
    <w:rsid w:val="00312E90"/>
    <w:rsid w:val="00313467"/>
    <w:rsid w:val="00315134"/>
    <w:rsid w:val="0031586E"/>
    <w:rsid w:val="00315CCA"/>
    <w:rsid w:val="00315CE2"/>
    <w:rsid w:val="00315F46"/>
    <w:rsid w:val="00315FEB"/>
    <w:rsid w:val="003167F8"/>
    <w:rsid w:val="00316A1F"/>
    <w:rsid w:val="00317457"/>
    <w:rsid w:val="00317ADC"/>
    <w:rsid w:val="003200C0"/>
    <w:rsid w:val="003208DF"/>
    <w:rsid w:val="00320949"/>
    <w:rsid w:val="00320D2F"/>
    <w:rsid w:val="00321228"/>
    <w:rsid w:val="00322A73"/>
    <w:rsid w:val="0032322C"/>
    <w:rsid w:val="003239E9"/>
    <w:rsid w:val="00325188"/>
    <w:rsid w:val="0032535A"/>
    <w:rsid w:val="00325F05"/>
    <w:rsid w:val="00326BE9"/>
    <w:rsid w:val="00327277"/>
    <w:rsid w:val="0032786A"/>
    <w:rsid w:val="00327A57"/>
    <w:rsid w:val="00327CED"/>
    <w:rsid w:val="00327F43"/>
    <w:rsid w:val="00330070"/>
    <w:rsid w:val="00331669"/>
    <w:rsid w:val="00331B18"/>
    <w:rsid w:val="00331BD6"/>
    <w:rsid w:val="00331C7E"/>
    <w:rsid w:val="00334733"/>
    <w:rsid w:val="00334B7F"/>
    <w:rsid w:val="003352CA"/>
    <w:rsid w:val="00335395"/>
    <w:rsid w:val="00335784"/>
    <w:rsid w:val="00335C01"/>
    <w:rsid w:val="00335DBB"/>
    <w:rsid w:val="0033640B"/>
    <w:rsid w:val="00337473"/>
    <w:rsid w:val="0033783D"/>
    <w:rsid w:val="00337A62"/>
    <w:rsid w:val="00340922"/>
    <w:rsid w:val="0034184F"/>
    <w:rsid w:val="003423C5"/>
    <w:rsid w:val="00342886"/>
    <w:rsid w:val="003429E6"/>
    <w:rsid w:val="00342B3C"/>
    <w:rsid w:val="003438B3"/>
    <w:rsid w:val="00343BBB"/>
    <w:rsid w:val="003444B6"/>
    <w:rsid w:val="003449F5"/>
    <w:rsid w:val="00344AB7"/>
    <w:rsid w:val="00344C32"/>
    <w:rsid w:val="00345158"/>
    <w:rsid w:val="0034624E"/>
    <w:rsid w:val="00346BF8"/>
    <w:rsid w:val="003473E5"/>
    <w:rsid w:val="003473F0"/>
    <w:rsid w:val="003523D3"/>
    <w:rsid w:val="003523F2"/>
    <w:rsid w:val="00353DD0"/>
    <w:rsid w:val="0035442F"/>
    <w:rsid w:val="00354742"/>
    <w:rsid w:val="0035475A"/>
    <w:rsid w:val="00354C66"/>
    <w:rsid w:val="00354FD1"/>
    <w:rsid w:val="003573B6"/>
    <w:rsid w:val="0035763D"/>
    <w:rsid w:val="00357F0E"/>
    <w:rsid w:val="003608EE"/>
    <w:rsid w:val="003621F5"/>
    <w:rsid w:val="0036274A"/>
    <w:rsid w:val="0036299B"/>
    <w:rsid w:val="00363D78"/>
    <w:rsid w:val="0036441D"/>
    <w:rsid w:val="00364C61"/>
    <w:rsid w:val="00366615"/>
    <w:rsid w:val="00366B70"/>
    <w:rsid w:val="00367319"/>
    <w:rsid w:val="00367649"/>
    <w:rsid w:val="003676E8"/>
    <w:rsid w:val="00370060"/>
    <w:rsid w:val="00370863"/>
    <w:rsid w:val="00371034"/>
    <w:rsid w:val="0037296C"/>
    <w:rsid w:val="00373DDD"/>
    <w:rsid w:val="00373FBD"/>
    <w:rsid w:val="0037438F"/>
    <w:rsid w:val="003748AB"/>
    <w:rsid w:val="00375333"/>
    <w:rsid w:val="003759DF"/>
    <w:rsid w:val="00375C0A"/>
    <w:rsid w:val="00375CB2"/>
    <w:rsid w:val="00376A09"/>
    <w:rsid w:val="00376A20"/>
    <w:rsid w:val="00380E49"/>
    <w:rsid w:val="00381471"/>
    <w:rsid w:val="00381528"/>
    <w:rsid w:val="00381DC7"/>
    <w:rsid w:val="00381E9B"/>
    <w:rsid w:val="00381F39"/>
    <w:rsid w:val="00384488"/>
    <w:rsid w:val="00384492"/>
    <w:rsid w:val="00384B7F"/>
    <w:rsid w:val="00384F36"/>
    <w:rsid w:val="00385864"/>
    <w:rsid w:val="0038744F"/>
    <w:rsid w:val="00387AD9"/>
    <w:rsid w:val="0039059C"/>
    <w:rsid w:val="003907FE"/>
    <w:rsid w:val="00392258"/>
    <w:rsid w:val="00392292"/>
    <w:rsid w:val="003927A5"/>
    <w:rsid w:val="00392B5E"/>
    <w:rsid w:val="003940C5"/>
    <w:rsid w:val="003943B9"/>
    <w:rsid w:val="003949A1"/>
    <w:rsid w:val="00396DC3"/>
    <w:rsid w:val="00397ADC"/>
    <w:rsid w:val="00397CA7"/>
    <w:rsid w:val="00397F11"/>
    <w:rsid w:val="003A1BEE"/>
    <w:rsid w:val="003A31F1"/>
    <w:rsid w:val="003A35DD"/>
    <w:rsid w:val="003A3FB0"/>
    <w:rsid w:val="003A48DD"/>
    <w:rsid w:val="003A51EB"/>
    <w:rsid w:val="003A68C8"/>
    <w:rsid w:val="003A6C08"/>
    <w:rsid w:val="003A7002"/>
    <w:rsid w:val="003A7328"/>
    <w:rsid w:val="003A7C21"/>
    <w:rsid w:val="003B0129"/>
    <w:rsid w:val="003B1E8F"/>
    <w:rsid w:val="003B3383"/>
    <w:rsid w:val="003B3F98"/>
    <w:rsid w:val="003B4BBE"/>
    <w:rsid w:val="003B61F6"/>
    <w:rsid w:val="003B65C8"/>
    <w:rsid w:val="003B67DB"/>
    <w:rsid w:val="003B69E5"/>
    <w:rsid w:val="003B78B1"/>
    <w:rsid w:val="003B7DE6"/>
    <w:rsid w:val="003C0105"/>
    <w:rsid w:val="003C0CF0"/>
    <w:rsid w:val="003C1559"/>
    <w:rsid w:val="003C28F4"/>
    <w:rsid w:val="003C2BBD"/>
    <w:rsid w:val="003C2D95"/>
    <w:rsid w:val="003C4CCF"/>
    <w:rsid w:val="003C50ED"/>
    <w:rsid w:val="003C54C8"/>
    <w:rsid w:val="003C576F"/>
    <w:rsid w:val="003C5D79"/>
    <w:rsid w:val="003C5EC9"/>
    <w:rsid w:val="003C6DCD"/>
    <w:rsid w:val="003C7D80"/>
    <w:rsid w:val="003D004B"/>
    <w:rsid w:val="003D0719"/>
    <w:rsid w:val="003D0798"/>
    <w:rsid w:val="003D0F10"/>
    <w:rsid w:val="003D13C6"/>
    <w:rsid w:val="003D19C5"/>
    <w:rsid w:val="003D1B0E"/>
    <w:rsid w:val="003D39A7"/>
    <w:rsid w:val="003D3C71"/>
    <w:rsid w:val="003D4F4C"/>
    <w:rsid w:val="003D6E6B"/>
    <w:rsid w:val="003D77EC"/>
    <w:rsid w:val="003E00CE"/>
    <w:rsid w:val="003E018D"/>
    <w:rsid w:val="003E3D15"/>
    <w:rsid w:val="003E47DE"/>
    <w:rsid w:val="003E4C7E"/>
    <w:rsid w:val="003E5878"/>
    <w:rsid w:val="003E5A7B"/>
    <w:rsid w:val="003E5EDB"/>
    <w:rsid w:val="003E7870"/>
    <w:rsid w:val="003E7AE8"/>
    <w:rsid w:val="003F0166"/>
    <w:rsid w:val="003F223C"/>
    <w:rsid w:val="003F26C5"/>
    <w:rsid w:val="003F2976"/>
    <w:rsid w:val="003F3815"/>
    <w:rsid w:val="003F58D3"/>
    <w:rsid w:val="003F5D7C"/>
    <w:rsid w:val="003F5EBF"/>
    <w:rsid w:val="003F782D"/>
    <w:rsid w:val="00400294"/>
    <w:rsid w:val="00400D71"/>
    <w:rsid w:val="00400EE6"/>
    <w:rsid w:val="00401ADE"/>
    <w:rsid w:val="00402175"/>
    <w:rsid w:val="00402248"/>
    <w:rsid w:val="004022F3"/>
    <w:rsid w:val="004024ED"/>
    <w:rsid w:val="004029DD"/>
    <w:rsid w:val="00402F10"/>
    <w:rsid w:val="0040381D"/>
    <w:rsid w:val="00403929"/>
    <w:rsid w:val="00403B33"/>
    <w:rsid w:val="00404A12"/>
    <w:rsid w:val="00404D91"/>
    <w:rsid w:val="00404F4B"/>
    <w:rsid w:val="00406190"/>
    <w:rsid w:val="004064A0"/>
    <w:rsid w:val="0040767A"/>
    <w:rsid w:val="00407C23"/>
    <w:rsid w:val="004108D0"/>
    <w:rsid w:val="00410FE1"/>
    <w:rsid w:val="004113DF"/>
    <w:rsid w:val="004115B1"/>
    <w:rsid w:val="0041164A"/>
    <w:rsid w:val="004119BF"/>
    <w:rsid w:val="00411ECC"/>
    <w:rsid w:val="00412B06"/>
    <w:rsid w:val="00412D50"/>
    <w:rsid w:val="004141A8"/>
    <w:rsid w:val="004146AE"/>
    <w:rsid w:val="00415239"/>
    <w:rsid w:val="00415249"/>
    <w:rsid w:val="00416CA3"/>
    <w:rsid w:val="0041791E"/>
    <w:rsid w:val="00417AA7"/>
    <w:rsid w:val="004201F2"/>
    <w:rsid w:val="004205FD"/>
    <w:rsid w:val="004209CE"/>
    <w:rsid w:val="00420A74"/>
    <w:rsid w:val="00422507"/>
    <w:rsid w:val="0042274E"/>
    <w:rsid w:val="00423489"/>
    <w:rsid w:val="00423AC1"/>
    <w:rsid w:val="0042401F"/>
    <w:rsid w:val="00424B3A"/>
    <w:rsid w:val="00424C58"/>
    <w:rsid w:val="00424DB1"/>
    <w:rsid w:val="004251EA"/>
    <w:rsid w:val="004254F6"/>
    <w:rsid w:val="00426037"/>
    <w:rsid w:val="004265BB"/>
    <w:rsid w:val="004268AA"/>
    <w:rsid w:val="00426CCD"/>
    <w:rsid w:val="0042795F"/>
    <w:rsid w:val="0043031A"/>
    <w:rsid w:val="00432162"/>
    <w:rsid w:val="00433402"/>
    <w:rsid w:val="00433D47"/>
    <w:rsid w:val="0043473E"/>
    <w:rsid w:val="004347F6"/>
    <w:rsid w:val="00434C3C"/>
    <w:rsid w:val="0043525E"/>
    <w:rsid w:val="00437970"/>
    <w:rsid w:val="00437EB4"/>
    <w:rsid w:val="00441535"/>
    <w:rsid w:val="004415CE"/>
    <w:rsid w:val="00442F1C"/>
    <w:rsid w:val="0044321B"/>
    <w:rsid w:val="0044358C"/>
    <w:rsid w:val="00443DAC"/>
    <w:rsid w:val="00444184"/>
    <w:rsid w:val="004444E6"/>
    <w:rsid w:val="0044498A"/>
    <w:rsid w:val="004460EE"/>
    <w:rsid w:val="0044668F"/>
    <w:rsid w:val="00447464"/>
    <w:rsid w:val="00450DDE"/>
    <w:rsid w:val="00451539"/>
    <w:rsid w:val="00451665"/>
    <w:rsid w:val="00451BFC"/>
    <w:rsid w:val="00451C4E"/>
    <w:rsid w:val="00452B8C"/>
    <w:rsid w:val="00452DA3"/>
    <w:rsid w:val="00452EBD"/>
    <w:rsid w:val="0045335A"/>
    <w:rsid w:val="004534C7"/>
    <w:rsid w:val="00453AE1"/>
    <w:rsid w:val="00453EB3"/>
    <w:rsid w:val="00453EE1"/>
    <w:rsid w:val="00453F24"/>
    <w:rsid w:val="00453F89"/>
    <w:rsid w:val="004547AC"/>
    <w:rsid w:val="00454FD0"/>
    <w:rsid w:val="0045574C"/>
    <w:rsid w:val="00455AF0"/>
    <w:rsid w:val="0045627A"/>
    <w:rsid w:val="004565CE"/>
    <w:rsid w:val="00456690"/>
    <w:rsid w:val="00457584"/>
    <w:rsid w:val="00457856"/>
    <w:rsid w:val="00457DB4"/>
    <w:rsid w:val="004601E1"/>
    <w:rsid w:val="004620BB"/>
    <w:rsid w:val="00462239"/>
    <w:rsid w:val="004623C3"/>
    <w:rsid w:val="00462569"/>
    <w:rsid w:val="00462E40"/>
    <w:rsid w:val="0046306C"/>
    <w:rsid w:val="00463110"/>
    <w:rsid w:val="0046318A"/>
    <w:rsid w:val="00463658"/>
    <w:rsid w:val="00463728"/>
    <w:rsid w:val="0046373C"/>
    <w:rsid w:val="0046439D"/>
    <w:rsid w:val="004649D6"/>
    <w:rsid w:val="00465F6C"/>
    <w:rsid w:val="0046749F"/>
    <w:rsid w:val="00467914"/>
    <w:rsid w:val="00470505"/>
    <w:rsid w:val="004705A2"/>
    <w:rsid w:val="00470D79"/>
    <w:rsid w:val="004714CD"/>
    <w:rsid w:val="0047199D"/>
    <w:rsid w:val="004726B3"/>
    <w:rsid w:val="004729F9"/>
    <w:rsid w:val="00472AA7"/>
    <w:rsid w:val="00472AB2"/>
    <w:rsid w:val="0047321C"/>
    <w:rsid w:val="00473B34"/>
    <w:rsid w:val="004744FE"/>
    <w:rsid w:val="00474E37"/>
    <w:rsid w:val="00474EED"/>
    <w:rsid w:val="004754D7"/>
    <w:rsid w:val="00476536"/>
    <w:rsid w:val="004765A7"/>
    <w:rsid w:val="00476A62"/>
    <w:rsid w:val="004772D0"/>
    <w:rsid w:val="00477909"/>
    <w:rsid w:val="004807A8"/>
    <w:rsid w:val="00480AB6"/>
    <w:rsid w:val="004848F8"/>
    <w:rsid w:val="00485570"/>
    <w:rsid w:val="0048568B"/>
    <w:rsid w:val="0048571D"/>
    <w:rsid w:val="00485737"/>
    <w:rsid w:val="00485851"/>
    <w:rsid w:val="004904FE"/>
    <w:rsid w:val="004909A4"/>
    <w:rsid w:val="00490EAB"/>
    <w:rsid w:val="0049194B"/>
    <w:rsid w:val="0049250D"/>
    <w:rsid w:val="00494E7E"/>
    <w:rsid w:val="00494F0E"/>
    <w:rsid w:val="004959B0"/>
    <w:rsid w:val="0049604E"/>
    <w:rsid w:val="0049665C"/>
    <w:rsid w:val="00496BF8"/>
    <w:rsid w:val="004A02AF"/>
    <w:rsid w:val="004A1301"/>
    <w:rsid w:val="004A14B4"/>
    <w:rsid w:val="004A15B8"/>
    <w:rsid w:val="004A1D2F"/>
    <w:rsid w:val="004A2052"/>
    <w:rsid w:val="004A27A2"/>
    <w:rsid w:val="004A27A4"/>
    <w:rsid w:val="004A334F"/>
    <w:rsid w:val="004A38CC"/>
    <w:rsid w:val="004A4B7C"/>
    <w:rsid w:val="004A505F"/>
    <w:rsid w:val="004A507A"/>
    <w:rsid w:val="004A5379"/>
    <w:rsid w:val="004A57A2"/>
    <w:rsid w:val="004A67E3"/>
    <w:rsid w:val="004B1163"/>
    <w:rsid w:val="004B11AD"/>
    <w:rsid w:val="004B17B8"/>
    <w:rsid w:val="004B1834"/>
    <w:rsid w:val="004B1DF2"/>
    <w:rsid w:val="004B1EC8"/>
    <w:rsid w:val="004B2BE0"/>
    <w:rsid w:val="004B4944"/>
    <w:rsid w:val="004B4F75"/>
    <w:rsid w:val="004B5094"/>
    <w:rsid w:val="004B568B"/>
    <w:rsid w:val="004B5864"/>
    <w:rsid w:val="004B62EC"/>
    <w:rsid w:val="004B7406"/>
    <w:rsid w:val="004B77B2"/>
    <w:rsid w:val="004B78DD"/>
    <w:rsid w:val="004B7C58"/>
    <w:rsid w:val="004C3438"/>
    <w:rsid w:val="004C3FC7"/>
    <w:rsid w:val="004C47D7"/>
    <w:rsid w:val="004C4D29"/>
    <w:rsid w:val="004C4EF0"/>
    <w:rsid w:val="004C5A5D"/>
    <w:rsid w:val="004C5E2F"/>
    <w:rsid w:val="004C723C"/>
    <w:rsid w:val="004D073A"/>
    <w:rsid w:val="004D0AD9"/>
    <w:rsid w:val="004D0F1C"/>
    <w:rsid w:val="004D1622"/>
    <w:rsid w:val="004D2378"/>
    <w:rsid w:val="004D2E98"/>
    <w:rsid w:val="004D33F8"/>
    <w:rsid w:val="004D367C"/>
    <w:rsid w:val="004D3A91"/>
    <w:rsid w:val="004D4711"/>
    <w:rsid w:val="004D5BE3"/>
    <w:rsid w:val="004D5E5D"/>
    <w:rsid w:val="004D6472"/>
    <w:rsid w:val="004D6484"/>
    <w:rsid w:val="004D68B7"/>
    <w:rsid w:val="004D6B14"/>
    <w:rsid w:val="004E0AB8"/>
    <w:rsid w:val="004E2620"/>
    <w:rsid w:val="004E2F2F"/>
    <w:rsid w:val="004E4DF1"/>
    <w:rsid w:val="004E6FFE"/>
    <w:rsid w:val="004E71BE"/>
    <w:rsid w:val="004E7ABB"/>
    <w:rsid w:val="004E7B80"/>
    <w:rsid w:val="004E7C83"/>
    <w:rsid w:val="004F04E9"/>
    <w:rsid w:val="004F0EEA"/>
    <w:rsid w:val="004F0FF1"/>
    <w:rsid w:val="004F1177"/>
    <w:rsid w:val="004F1401"/>
    <w:rsid w:val="004F151D"/>
    <w:rsid w:val="004F281A"/>
    <w:rsid w:val="004F3286"/>
    <w:rsid w:val="004F38FB"/>
    <w:rsid w:val="004F3BA7"/>
    <w:rsid w:val="004F421F"/>
    <w:rsid w:val="004F5123"/>
    <w:rsid w:val="004F5C6B"/>
    <w:rsid w:val="004F6601"/>
    <w:rsid w:val="004F7C5D"/>
    <w:rsid w:val="00500174"/>
    <w:rsid w:val="00500562"/>
    <w:rsid w:val="00500746"/>
    <w:rsid w:val="00500758"/>
    <w:rsid w:val="00500862"/>
    <w:rsid w:val="00500CB7"/>
    <w:rsid w:val="00500CD3"/>
    <w:rsid w:val="00500CE6"/>
    <w:rsid w:val="00502348"/>
    <w:rsid w:val="005031D8"/>
    <w:rsid w:val="00503375"/>
    <w:rsid w:val="00503F10"/>
    <w:rsid w:val="0050494B"/>
    <w:rsid w:val="00504E3F"/>
    <w:rsid w:val="0050544F"/>
    <w:rsid w:val="0050568A"/>
    <w:rsid w:val="00505AF3"/>
    <w:rsid w:val="00507742"/>
    <w:rsid w:val="0050785E"/>
    <w:rsid w:val="00507C70"/>
    <w:rsid w:val="00507F51"/>
    <w:rsid w:val="00510E25"/>
    <w:rsid w:val="00510ED6"/>
    <w:rsid w:val="00511266"/>
    <w:rsid w:val="00512C3A"/>
    <w:rsid w:val="005137B7"/>
    <w:rsid w:val="00514398"/>
    <w:rsid w:val="00514BB9"/>
    <w:rsid w:val="00516046"/>
    <w:rsid w:val="00516106"/>
    <w:rsid w:val="005163EE"/>
    <w:rsid w:val="005164D6"/>
    <w:rsid w:val="00517C36"/>
    <w:rsid w:val="00522046"/>
    <w:rsid w:val="00522FA7"/>
    <w:rsid w:val="00523A48"/>
    <w:rsid w:val="00524C46"/>
    <w:rsid w:val="00526A29"/>
    <w:rsid w:val="00527D6C"/>
    <w:rsid w:val="00530331"/>
    <w:rsid w:val="00530662"/>
    <w:rsid w:val="00531B1E"/>
    <w:rsid w:val="0053249A"/>
    <w:rsid w:val="0053292A"/>
    <w:rsid w:val="00532966"/>
    <w:rsid w:val="00533114"/>
    <w:rsid w:val="005337A6"/>
    <w:rsid w:val="00534409"/>
    <w:rsid w:val="005354C4"/>
    <w:rsid w:val="00536EDC"/>
    <w:rsid w:val="00537450"/>
    <w:rsid w:val="0053759C"/>
    <w:rsid w:val="00540BD6"/>
    <w:rsid w:val="005415F9"/>
    <w:rsid w:val="00541ABE"/>
    <w:rsid w:val="005420F2"/>
    <w:rsid w:val="0054259E"/>
    <w:rsid w:val="005434D3"/>
    <w:rsid w:val="00545F84"/>
    <w:rsid w:val="005462F7"/>
    <w:rsid w:val="005466FE"/>
    <w:rsid w:val="00546820"/>
    <w:rsid w:val="0054693F"/>
    <w:rsid w:val="00547286"/>
    <w:rsid w:val="00547977"/>
    <w:rsid w:val="005502B2"/>
    <w:rsid w:val="00550E4F"/>
    <w:rsid w:val="00551B44"/>
    <w:rsid w:val="00552AD9"/>
    <w:rsid w:val="00553919"/>
    <w:rsid w:val="00553A51"/>
    <w:rsid w:val="0055436F"/>
    <w:rsid w:val="00554448"/>
    <w:rsid w:val="005544E8"/>
    <w:rsid w:val="00555396"/>
    <w:rsid w:val="005553CA"/>
    <w:rsid w:val="005556B9"/>
    <w:rsid w:val="00555C67"/>
    <w:rsid w:val="005560A4"/>
    <w:rsid w:val="00556F32"/>
    <w:rsid w:val="00556FA7"/>
    <w:rsid w:val="005573B9"/>
    <w:rsid w:val="00557E8C"/>
    <w:rsid w:val="00557EB9"/>
    <w:rsid w:val="00560297"/>
    <w:rsid w:val="00560709"/>
    <w:rsid w:val="005607C6"/>
    <w:rsid w:val="00560F03"/>
    <w:rsid w:val="00560FC8"/>
    <w:rsid w:val="00561954"/>
    <w:rsid w:val="0056226A"/>
    <w:rsid w:val="00562772"/>
    <w:rsid w:val="005637BA"/>
    <w:rsid w:val="00564A4C"/>
    <w:rsid w:val="005650B5"/>
    <w:rsid w:val="0056553B"/>
    <w:rsid w:val="00566245"/>
    <w:rsid w:val="00566C63"/>
    <w:rsid w:val="00567296"/>
    <w:rsid w:val="005677B1"/>
    <w:rsid w:val="005678B3"/>
    <w:rsid w:val="00567962"/>
    <w:rsid w:val="00570023"/>
    <w:rsid w:val="00570E80"/>
    <w:rsid w:val="00571853"/>
    <w:rsid w:val="00573061"/>
    <w:rsid w:val="005731EE"/>
    <w:rsid w:val="00573926"/>
    <w:rsid w:val="00573E80"/>
    <w:rsid w:val="005750BE"/>
    <w:rsid w:val="005753F6"/>
    <w:rsid w:val="00575D37"/>
    <w:rsid w:val="005760C3"/>
    <w:rsid w:val="0057783D"/>
    <w:rsid w:val="005813F6"/>
    <w:rsid w:val="005817AB"/>
    <w:rsid w:val="00581FDB"/>
    <w:rsid w:val="00582131"/>
    <w:rsid w:val="005824E3"/>
    <w:rsid w:val="005837A2"/>
    <w:rsid w:val="005839F4"/>
    <w:rsid w:val="00583F93"/>
    <w:rsid w:val="005844B6"/>
    <w:rsid w:val="00584AEE"/>
    <w:rsid w:val="005859DC"/>
    <w:rsid w:val="00586132"/>
    <w:rsid w:val="0058649E"/>
    <w:rsid w:val="00586E4A"/>
    <w:rsid w:val="00587867"/>
    <w:rsid w:val="00591C2C"/>
    <w:rsid w:val="00591C49"/>
    <w:rsid w:val="00591FF9"/>
    <w:rsid w:val="00592072"/>
    <w:rsid w:val="005921CF"/>
    <w:rsid w:val="005922B9"/>
    <w:rsid w:val="005929B7"/>
    <w:rsid w:val="00592CEF"/>
    <w:rsid w:val="00593426"/>
    <w:rsid w:val="00594948"/>
    <w:rsid w:val="005951F1"/>
    <w:rsid w:val="005958D1"/>
    <w:rsid w:val="00595C1D"/>
    <w:rsid w:val="00595DBA"/>
    <w:rsid w:val="00596EC9"/>
    <w:rsid w:val="00596FA5"/>
    <w:rsid w:val="00597658"/>
    <w:rsid w:val="00597899"/>
    <w:rsid w:val="005A045C"/>
    <w:rsid w:val="005A07B6"/>
    <w:rsid w:val="005A1210"/>
    <w:rsid w:val="005A16E5"/>
    <w:rsid w:val="005A3497"/>
    <w:rsid w:val="005A3C96"/>
    <w:rsid w:val="005A3F8C"/>
    <w:rsid w:val="005A5428"/>
    <w:rsid w:val="005A5580"/>
    <w:rsid w:val="005A6883"/>
    <w:rsid w:val="005A7520"/>
    <w:rsid w:val="005A7F92"/>
    <w:rsid w:val="005B0508"/>
    <w:rsid w:val="005B17CD"/>
    <w:rsid w:val="005B1B21"/>
    <w:rsid w:val="005B2348"/>
    <w:rsid w:val="005B24E2"/>
    <w:rsid w:val="005B2D62"/>
    <w:rsid w:val="005B365F"/>
    <w:rsid w:val="005B3BF3"/>
    <w:rsid w:val="005B3DBE"/>
    <w:rsid w:val="005B3EF1"/>
    <w:rsid w:val="005B5CD8"/>
    <w:rsid w:val="005B5CE6"/>
    <w:rsid w:val="005B695B"/>
    <w:rsid w:val="005B6C61"/>
    <w:rsid w:val="005B6FD4"/>
    <w:rsid w:val="005B7043"/>
    <w:rsid w:val="005B76F2"/>
    <w:rsid w:val="005C0096"/>
    <w:rsid w:val="005C00F9"/>
    <w:rsid w:val="005C0339"/>
    <w:rsid w:val="005C119C"/>
    <w:rsid w:val="005C1EE9"/>
    <w:rsid w:val="005C20F8"/>
    <w:rsid w:val="005C21CE"/>
    <w:rsid w:val="005C2927"/>
    <w:rsid w:val="005C33A2"/>
    <w:rsid w:val="005C398C"/>
    <w:rsid w:val="005C3B58"/>
    <w:rsid w:val="005C4C89"/>
    <w:rsid w:val="005C50A9"/>
    <w:rsid w:val="005C57F6"/>
    <w:rsid w:val="005C5F3F"/>
    <w:rsid w:val="005C623A"/>
    <w:rsid w:val="005C6E72"/>
    <w:rsid w:val="005C7F18"/>
    <w:rsid w:val="005D04BB"/>
    <w:rsid w:val="005D0A75"/>
    <w:rsid w:val="005D1791"/>
    <w:rsid w:val="005D1A7B"/>
    <w:rsid w:val="005D1BA2"/>
    <w:rsid w:val="005D1DC4"/>
    <w:rsid w:val="005D2AAD"/>
    <w:rsid w:val="005D306A"/>
    <w:rsid w:val="005D31A0"/>
    <w:rsid w:val="005D3991"/>
    <w:rsid w:val="005D3C2D"/>
    <w:rsid w:val="005D3D29"/>
    <w:rsid w:val="005D4227"/>
    <w:rsid w:val="005D4AD7"/>
    <w:rsid w:val="005D54E4"/>
    <w:rsid w:val="005D5E99"/>
    <w:rsid w:val="005D6959"/>
    <w:rsid w:val="005D7570"/>
    <w:rsid w:val="005E01A8"/>
    <w:rsid w:val="005E023A"/>
    <w:rsid w:val="005E060C"/>
    <w:rsid w:val="005E183B"/>
    <w:rsid w:val="005E183D"/>
    <w:rsid w:val="005E1C4A"/>
    <w:rsid w:val="005E2411"/>
    <w:rsid w:val="005E2FE0"/>
    <w:rsid w:val="005E31E6"/>
    <w:rsid w:val="005E3925"/>
    <w:rsid w:val="005E3930"/>
    <w:rsid w:val="005E3D7F"/>
    <w:rsid w:val="005E4295"/>
    <w:rsid w:val="005E4ACC"/>
    <w:rsid w:val="005F05E5"/>
    <w:rsid w:val="005F0E40"/>
    <w:rsid w:val="005F19D1"/>
    <w:rsid w:val="005F1A9E"/>
    <w:rsid w:val="005F1FA5"/>
    <w:rsid w:val="005F2A95"/>
    <w:rsid w:val="005F41F2"/>
    <w:rsid w:val="005F50C2"/>
    <w:rsid w:val="005F5461"/>
    <w:rsid w:val="005F6361"/>
    <w:rsid w:val="005F7BF7"/>
    <w:rsid w:val="006005B7"/>
    <w:rsid w:val="006006CD"/>
    <w:rsid w:val="006007AB"/>
    <w:rsid w:val="00600BFC"/>
    <w:rsid w:val="006027AA"/>
    <w:rsid w:val="00602BD3"/>
    <w:rsid w:val="00604C71"/>
    <w:rsid w:val="00604F3B"/>
    <w:rsid w:val="00604F4D"/>
    <w:rsid w:val="00605839"/>
    <w:rsid w:val="0060676A"/>
    <w:rsid w:val="00606E3C"/>
    <w:rsid w:val="006072FB"/>
    <w:rsid w:val="00607BDE"/>
    <w:rsid w:val="00607EC2"/>
    <w:rsid w:val="00611627"/>
    <w:rsid w:val="006119E0"/>
    <w:rsid w:val="0061217C"/>
    <w:rsid w:val="006122C3"/>
    <w:rsid w:val="0061237A"/>
    <w:rsid w:val="0061266C"/>
    <w:rsid w:val="00612921"/>
    <w:rsid w:val="00612A32"/>
    <w:rsid w:val="00612C36"/>
    <w:rsid w:val="00612ED2"/>
    <w:rsid w:val="00613A82"/>
    <w:rsid w:val="00614120"/>
    <w:rsid w:val="00614B16"/>
    <w:rsid w:val="00614C36"/>
    <w:rsid w:val="006152C2"/>
    <w:rsid w:val="00616077"/>
    <w:rsid w:val="00617D7C"/>
    <w:rsid w:val="006207A7"/>
    <w:rsid w:val="006208CF"/>
    <w:rsid w:val="006209F9"/>
    <w:rsid w:val="00620BF9"/>
    <w:rsid w:val="0062197C"/>
    <w:rsid w:val="00621F81"/>
    <w:rsid w:val="006227AA"/>
    <w:rsid w:val="00623D9B"/>
    <w:rsid w:val="00625A57"/>
    <w:rsid w:val="0062645F"/>
    <w:rsid w:val="00627543"/>
    <w:rsid w:val="00627FC2"/>
    <w:rsid w:val="006300D8"/>
    <w:rsid w:val="00630BDB"/>
    <w:rsid w:val="00630EB3"/>
    <w:rsid w:val="00630F3A"/>
    <w:rsid w:val="0063192D"/>
    <w:rsid w:val="00631B19"/>
    <w:rsid w:val="00633FA1"/>
    <w:rsid w:val="006344BA"/>
    <w:rsid w:val="006345D6"/>
    <w:rsid w:val="00634779"/>
    <w:rsid w:val="00637550"/>
    <w:rsid w:val="00637A34"/>
    <w:rsid w:val="00642A00"/>
    <w:rsid w:val="00643910"/>
    <w:rsid w:val="00643DE5"/>
    <w:rsid w:val="0064410D"/>
    <w:rsid w:val="00645BC4"/>
    <w:rsid w:val="006462B6"/>
    <w:rsid w:val="006464FF"/>
    <w:rsid w:val="006465D1"/>
    <w:rsid w:val="0064666A"/>
    <w:rsid w:val="00646A77"/>
    <w:rsid w:val="00646D0F"/>
    <w:rsid w:val="00650107"/>
    <w:rsid w:val="006507BF"/>
    <w:rsid w:val="00650B1B"/>
    <w:rsid w:val="00651A00"/>
    <w:rsid w:val="0065344B"/>
    <w:rsid w:val="0065369A"/>
    <w:rsid w:val="00653907"/>
    <w:rsid w:val="00653968"/>
    <w:rsid w:val="0065496E"/>
    <w:rsid w:val="006552EA"/>
    <w:rsid w:val="00655E1E"/>
    <w:rsid w:val="006619F5"/>
    <w:rsid w:val="0066244C"/>
    <w:rsid w:val="006627EB"/>
    <w:rsid w:val="006659E1"/>
    <w:rsid w:val="00666030"/>
    <w:rsid w:val="0066611D"/>
    <w:rsid w:val="00666760"/>
    <w:rsid w:val="00666EF0"/>
    <w:rsid w:val="006677A8"/>
    <w:rsid w:val="006677F9"/>
    <w:rsid w:val="0067005B"/>
    <w:rsid w:val="00670392"/>
    <w:rsid w:val="00670496"/>
    <w:rsid w:val="006708B0"/>
    <w:rsid w:val="00670F50"/>
    <w:rsid w:val="00672C03"/>
    <w:rsid w:val="00673923"/>
    <w:rsid w:val="00674D45"/>
    <w:rsid w:val="00674F11"/>
    <w:rsid w:val="00674F47"/>
    <w:rsid w:val="00675476"/>
    <w:rsid w:val="0067760B"/>
    <w:rsid w:val="006776F3"/>
    <w:rsid w:val="00677778"/>
    <w:rsid w:val="00677DA6"/>
    <w:rsid w:val="00680EC1"/>
    <w:rsid w:val="00680FC8"/>
    <w:rsid w:val="006811AA"/>
    <w:rsid w:val="0068316C"/>
    <w:rsid w:val="006834A4"/>
    <w:rsid w:val="00683BAC"/>
    <w:rsid w:val="0068402D"/>
    <w:rsid w:val="006850E2"/>
    <w:rsid w:val="006851CE"/>
    <w:rsid w:val="006863FB"/>
    <w:rsid w:val="00690316"/>
    <w:rsid w:val="00691450"/>
    <w:rsid w:val="006923F4"/>
    <w:rsid w:val="0069315B"/>
    <w:rsid w:val="00693348"/>
    <w:rsid w:val="006937B8"/>
    <w:rsid w:val="00693810"/>
    <w:rsid w:val="00693DF8"/>
    <w:rsid w:val="00694D54"/>
    <w:rsid w:val="0069506E"/>
    <w:rsid w:val="00695901"/>
    <w:rsid w:val="00696D28"/>
    <w:rsid w:val="006973C1"/>
    <w:rsid w:val="006A0206"/>
    <w:rsid w:val="006A0466"/>
    <w:rsid w:val="006A1192"/>
    <w:rsid w:val="006A14DA"/>
    <w:rsid w:val="006A17E6"/>
    <w:rsid w:val="006A1A1B"/>
    <w:rsid w:val="006A1EC8"/>
    <w:rsid w:val="006A22F6"/>
    <w:rsid w:val="006A3614"/>
    <w:rsid w:val="006A4454"/>
    <w:rsid w:val="006A4D05"/>
    <w:rsid w:val="006A5211"/>
    <w:rsid w:val="006A5B95"/>
    <w:rsid w:val="006A62B5"/>
    <w:rsid w:val="006A6469"/>
    <w:rsid w:val="006A68DE"/>
    <w:rsid w:val="006A6A17"/>
    <w:rsid w:val="006A799F"/>
    <w:rsid w:val="006A7E3D"/>
    <w:rsid w:val="006B189A"/>
    <w:rsid w:val="006B19A7"/>
    <w:rsid w:val="006B2886"/>
    <w:rsid w:val="006B28D0"/>
    <w:rsid w:val="006B291E"/>
    <w:rsid w:val="006B3453"/>
    <w:rsid w:val="006B4147"/>
    <w:rsid w:val="006B49B7"/>
    <w:rsid w:val="006B55A9"/>
    <w:rsid w:val="006B5770"/>
    <w:rsid w:val="006B62CD"/>
    <w:rsid w:val="006B663E"/>
    <w:rsid w:val="006B73D8"/>
    <w:rsid w:val="006B78CC"/>
    <w:rsid w:val="006C0679"/>
    <w:rsid w:val="006C1739"/>
    <w:rsid w:val="006C1AA3"/>
    <w:rsid w:val="006C1E61"/>
    <w:rsid w:val="006C1FF9"/>
    <w:rsid w:val="006C236F"/>
    <w:rsid w:val="006C23EF"/>
    <w:rsid w:val="006C341D"/>
    <w:rsid w:val="006C3482"/>
    <w:rsid w:val="006C3B95"/>
    <w:rsid w:val="006C3BF4"/>
    <w:rsid w:val="006C4255"/>
    <w:rsid w:val="006C4868"/>
    <w:rsid w:val="006C576D"/>
    <w:rsid w:val="006C597D"/>
    <w:rsid w:val="006C5A3B"/>
    <w:rsid w:val="006C6446"/>
    <w:rsid w:val="006C7FD1"/>
    <w:rsid w:val="006D0211"/>
    <w:rsid w:val="006D07C8"/>
    <w:rsid w:val="006D1AE2"/>
    <w:rsid w:val="006D1E44"/>
    <w:rsid w:val="006D22CB"/>
    <w:rsid w:val="006D2327"/>
    <w:rsid w:val="006D235E"/>
    <w:rsid w:val="006D261B"/>
    <w:rsid w:val="006D2A9D"/>
    <w:rsid w:val="006D2B8C"/>
    <w:rsid w:val="006D2CAD"/>
    <w:rsid w:val="006D37CD"/>
    <w:rsid w:val="006D3B0B"/>
    <w:rsid w:val="006D4008"/>
    <w:rsid w:val="006D647F"/>
    <w:rsid w:val="006D76E0"/>
    <w:rsid w:val="006D7716"/>
    <w:rsid w:val="006E0001"/>
    <w:rsid w:val="006E099D"/>
    <w:rsid w:val="006E1632"/>
    <w:rsid w:val="006E1776"/>
    <w:rsid w:val="006E2E07"/>
    <w:rsid w:val="006E38A1"/>
    <w:rsid w:val="006E4138"/>
    <w:rsid w:val="006E4595"/>
    <w:rsid w:val="006E4B40"/>
    <w:rsid w:val="006E4B46"/>
    <w:rsid w:val="006E54D1"/>
    <w:rsid w:val="006E5882"/>
    <w:rsid w:val="006E5FFF"/>
    <w:rsid w:val="006E6427"/>
    <w:rsid w:val="006E7CA4"/>
    <w:rsid w:val="006F0819"/>
    <w:rsid w:val="006F0EA6"/>
    <w:rsid w:val="006F0F5C"/>
    <w:rsid w:val="006F1158"/>
    <w:rsid w:val="006F2452"/>
    <w:rsid w:val="006F3E16"/>
    <w:rsid w:val="006F3F6C"/>
    <w:rsid w:val="006F46ED"/>
    <w:rsid w:val="006F552B"/>
    <w:rsid w:val="006F5E51"/>
    <w:rsid w:val="00700CEA"/>
    <w:rsid w:val="00701596"/>
    <w:rsid w:val="0070197E"/>
    <w:rsid w:val="00701A57"/>
    <w:rsid w:val="00701AC8"/>
    <w:rsid w:val="00702135"/>
    <w:rsid w:val="00702775"/>
    <w:rsid w:val="007040CA"/>
    <w:rsid w:val="00704DA4"/>
    <w:rsid w:val="00705916"/>
    <w:rsid w:val="00705F0A"/>
    <w:rsid w:val="00706E37"/>
    <w:rsid w:val="00707AF0"/>
    <w:rsid w:val="00710835"/>
    <w:rsid w:val="00711E09"/>
    <w:rsid w:val="00711FA4"/>
    <w:rsid w:val="007124CA"/>
    <w:rsid w:val="00713471"/>
    <w:rsid w:val="007137D9"/>
    <w:rsid w:val="00713CBE"/>
    <w:rsid w:val="007143DB"/>
    <w:rsid w:val="007156C7"/>
    <w:rsid w:val="00715BFB"/>
    <w:rsid w:val="00716004"/>
    <w:rsid w:val="00717925"/>
    <w:rsid w:val="00720A0B"/>
    <w:rsid w:val="00721905"/>
    <w:rsid w:val="00722C8C"/>
    <w:rsid w:val="00722E5A"/>
    <w:rsid w:val="007232FC"/>
    <w:rsid w:val="00723A85"/>
    <w:rsid w:val="00723F4B"/>
    <w:rsid w:val="00725930"/>
    <w:rsid w:val="00725AAA"/>
    <w:rsid w:val="00725F7F"/>
    <w:rsid w:val="00726434"/>
    <w:rsid w:val="00726C82"/>
    <w:rsid w:val="0072720B"/>
    <w:rsid w:val="007272E5"/>
    <w:rsid w:val="00727498"/>
    <w:rsid w:val="00727663"/>
    <w:rsid w:val="007325BE"/>
    <w:rsid w:val="0073293F"/>
    <w:rsid w:val="00733690"/>
    <w:rsid w:val="00733E06"/>
    <w:rsid w:val="00734040"/>
    <w:rsid w:val="007340A8"/>
    <w:rsid w:val="007351B9"/>
    <w:rsid w:val="00735B53"/>
    <w:rsid w:val="007364D6"/>
    <w:rsid w:val="00736564"/>
    <w:rsid w:val="00736A9C"/>
    <w:rsid w:val="00737880"/>
    <w:rsid w:val="0074016C"/>
    <w:rsid w:val="007402EF"/>
    <w:rsid w:val="007405AA"/>
    <w:rsid w:val="00740912"/>
    <w:rsid w:val="0074091C"/>
    <w:rsid w:val="00740D82"/>
    <w:rsid w:val="007413A6"/>
    <w:rsid w:val="00741F96"/>
    <w:rsid w:val="00742342"/>
    <w:rsid w:val="007433C9"/>
    <w:rsid w:val="00743F3E"/>
    <w:rsid w:val="00744547"/>
    <w:rsid w:val="00744A01"/>
    <w:rsid w:val="00744DFE"/>
    <w:rsid w:val="00745B91"/>
    <w:rsid w:val="00745F44"/>
    <w:rsid w:val="00747A79"/>
    <w:rsid w:val="007503E9"/>
    <w:rsid w:val="007508EC"/>
    <w:rsid w:val="00751B34"/>
    <w:rsid w:val="007523AE"/>
    <w:rsid w:val="0075240A"/>
    <w:rsid w:val="00752AC2"/>
    <w:rsid w:val="00752BF2"/>
    <w:rsid w:val="00753F22"/>
    <w:rsid w:val="007544F0"/>
    <w:rsid w:val="00754683"/>
    <w:rsid w:val="00754911"/>
    <w:rsid w:val="00755502"/>
    <w:rsid w:val="00756099"/>
    <w:rsid w:val="00756E06"/>
    <w:rsid w:val="00757389"/>
    <w:rsid w:val="00757C25"/>
    <w:rsid w:val="00757E60"/>
    <w:rsid w:val="0076058E"/>
    <w:rsid w:val="00760B83"/>
    <w:rsid w:val="007612ED"/>
    <w:rsid w:val="00761434"/>
    <w:rsid w:val="007616FC"/>
    <w:rsid w:val="007624C7"/>
    <w:rsid w:val="007625F5"/>
    <w:rsid w:val="00762AB2"/>
    <w:rsid w:val="00762F81"/>
    <w:rsid w:val="0076300B"/>
    <w:rsid w:val="0076303A"/>
    <w:rsid w:val="007632CD"/>
    <w:rsid w:val="007646F3"/>
    <w:rsid w:val="00764834"/>
    <w:rsid w:val="00764AAB"/>
    <w:rsid w:val="0076533B"/>
    <w:rsid w:val="0076604B"/>
    <w:rsid w:val="00766877"/>
    <w:rsid w:val="007678FB"/>
    <w:rsid w:val="00771587"/>
    <w:rsid w:val="00772EAE"/>
    <w:rsid w:val="007732EE"/>
    <w:rsid w:val="00773827"/>
    <w:rsid w:val="0077425D"/>
    <w:rsid w:val="007742F9"/>
    <w:rsid w:val="00774863"/>
    <w:rsid w:val="0077691D"/>
    <w:rsid w:val="00777738"/>
    <w:rsid w:val="007779BE"/>
    <w:rsid w:val="00777F34"/>
    <w:rsid w:val="0078005E"/>
    <w:rsid w:val="00780098"/>
    <w:rsid w:val="00780DD2"/>
    <w:rsid w:val="00781820"/>
    <w:rsid w:val="00781A5C"/>
    <w:rsid w:val="0078299F"/>
    <w:rsid w:val="00782E03"/>
    <w:rsid w:val="007833F8"/>
    <w:rsid w:val="00783B99"/>
    <w:rsid w:val="00783C8E"/>
    <w:rsid w:val="00784687"/>
    <w:rsid w:val="00786420"/>
    <w:rsid w:val="00786480"/>
    <w:rsid w:val="007904B5"/>
    <w:rsid w:val="00790772"/>
    <w:rsid w:val="007926D9"/>
    <w:rsid w:val="0079299E"/>
    <w:rsid w:val="00792CEB"/>
    <w:rsid w:val="0079332D"/>
    <w:rsid w:val="007936D7"/>
    <w:rsid w:val="007941BA"/>
    <w:rsid w:val="00794213"/>
    <w:rsid w:val="007942B9"/>
    <w:rsid w:val="007A03B4"/>
    <w:rsid w:val="007A0441"/>
    <w:rsid w:val="007A0F86"/>
    <w:rsid w:val="007A16C0"/>
    <w:rsid w:val="007A2AA9"/>
    <w:rsid w:val="007A30AB"/>
    <w:rsid w:val="007A329E"/>
    <w:rsid w:val="007A3567"/>
    <w:rsid w:val="007A38D3"/>
    <w:rsid w:val="007A3FA4"/>
    <w:rsid w:val="007A461E"/>
    <w:rsid w:val="007A4D41"/>
    <w:rsid w:val="007A4F34"/>
    <w:rsid w:val="007A55FF"/>
    <w:rsid w:val="007A5F8C"/>
    <w:rsid w:val="007A6898"/>
    <w:rsid w:val="007A6DB4"/>
    <w:rsid w:val="007B00A2"/>
    <w:rsid w:val="007B03F3"/>
    <w:rsid w:val="007B0E74"/>
    <w:rsid w:val="007B1439"/>
    <w:rsid w:val="007B1A1C"/>
    <w:rsid w:val="007B1A1D"/>
    <w:rsid w:val="007B240D"/>
    <w:rsid w:val="007B271E"/>
    <w:rsid w:val="007B2D4C"/>
    <w:rsid w:val="007B4649"/>
    <w:rsid w:val="007B47FE"/>
    <w:rsid w:val="007B4980"/>
    <w:rsid w:val="007B5377"/>
    <w:rsid w:val="007B647B"/>
    <w:rsid w:val="007B6B04"/>
    <w:rsid w:val="007B734B"/>
    <w:rsid w:val="007C0CEB"/>
    <w:rsid w:val="007C0E83"/>
    <w:rsid w:val="007C145D"/>
    <w:rsid w:val="007C1B2C"/>
    <w:rsid w:val="007C205C"/>
    <w:rsid w:val="007C20B3"/>
    <w:rsid w:val="007C23DD"/>
    <w:rsid w:val="007C2E84"/>
    <w:rsid w:val="007C2EDB"/>
    <w:rsid w:val="007C3441"/>
    <w:rsid w:val="007C3F94"/>
    <w:rsid w:val="007C470A"/>
    <w:rsid w:val="007C48C0"/>
    <w:rsid w:val="007C4A9F"/>
    <w:rsid w:val="007C4DC8"/>
    <w:rsid w:val="007C4F17"/>
    <w:rsid w:val="007C6642"/>
    <w:rsid w:val="007C6A30"/>
    <w:rsid w:val="007C7620"/>
    <w:rsid w:val="007C7FED"/>
    <w:rsid w:val="007D0523"/>
    <w:rsid w:val="007D0DDB"/>
    <w:rsid w:val="007D1C56"/>
    <w:rsid w:val="007D1DF7"/>
    <w:rsid w:val="007D2AF6"/>
    <w:rsid w:val="007D2E92"/>
    <w:rsid w:val="007D3430"/>
    <w:rsid w:val="007D36B6"/>
    <w:rsid w:val="007D371A"/>
    <w:rsid w:val="007D37E9"/>
    <w:rsid w:val="007D41DB"/>
    <w:rsid w:val="007D433D"/>
    <w:rsid w:val="007D4858"/>
    <w:rsid w:val="007D4AE4"/>
    <w:rsid w:val="007D4E27"/>
    <w:rsid w:val="007D577E"/>
    <w:rsid w:val="007D5BBA"/>
    <w:rsid w:val="007D5FFD"/>
    <w:rsid w:val="007D7E2C"/>
    <w:rsid w:val="007E0342"/>
    <w:rsid w:val="007E0D6C"/>
    <w:rsid w:val="007E11E6"/>
    <w:rsid w:val="007E21A5"/>
    <w:rsid w:val="007E48DD"/>
    <w:rsid w:val="007E57DD"/>
    <w:rsid w:val="007E5EE6"/>
    <w:rsid w:val="007E60C8"/>
    <w:rsid w:val="007E6982"/>
    <w:rsid w:val="007E7F26"/>
    <w:rsid w:val="007F0510"/>
    <w:rsid w:val="007F084D"/>
    <w:rsid w:val="007F0DC8"/>
    <w:rsid w:val="007F1168"/>
    <w:rsid w:val="007F1374"/>
    <w:rsid w:val="007F1387"/>
    <w:rsid w:val="007F2028"/>
    <w:rsid w:val="007F265D"/>
    <w:rsid w:val="007F2C39"/>
    <w:rsid w:val="007F2E4F"/>
    <w:rsid w:val="007F38A3"/>
    <w:rsid w:val="007F3CB4"/>
    <w:rsid w:val="007F40CE"/>
    <w:rsid w:val="007F5605"/>
    <w:rsid w:val="007F5C6D"/>
    <w:rsid w:val="007F5D0A"/>
    <w:rsid w:val="007F5DB5"/>
    <w:rsid w:val="007F5E12"/>
    <w:rsid w:val="007F66F4"/>
    <w:rsid w:val="007F6EA1"/>
    <w:rsid w:val="008000AC"/>
    <w:rsid w:val="00801247"/>
    <w:rsid w:val="00801A08"/>
    <w:rsid w:val="00801F8E"/>
    <w:rsid w:val="00801F97"/>
    <w:rsid w:val="00802BBB"/>
    <w:rsid w:val="0080367E"/>
    <w:rsid w:val="00803A97"/>
    <w:rsid w:val="00804D9B"/>
    <w:rsid w:val="00805610"/>
    <w:rsid w:val="008061ED"/>
    <w:rsid w:val="008071F7"/>
    <w:rsid w:val="00807847"/>
    <w:rsid w:val="00807D3A"/>
    <w:rsid w:val="008103B9"/>
    <w:rsid w:val="00810465"/>
    <w:rsid w:val="008104F6"/>
    <w:rsid w:val="008122F6"/>
    <w:rsid w:val="008123C2"/>
    <w:rsid w:val="0081324C"/>
    <w:rsid w:val="00813E76"/>
    <w:rsid w:val="00814532"/>
    <w:rsid w:val="00814AA1"/>
    <w:rsid w:val="00814BA4"/>
    <w:rsid w:val="008170D6"/>
    <w:rsid w:val="00820639"/>
    <w:rsid w:val="0082153F"/>
    <w:rsid w:val="00822425"/>
    <w:rsid w:val="00822527"/>
    <w:rsid w:val="00822FF8"/>
    <w:rsid w:val="00824CF5"/>
    <w:rsid w:val="00824DBA"/>
    <w:rsid w:val="00825BFB"/>
    <w:rsid w:val="00826E84"/>
    <w:rsid w:val="00827072"/>
    <w:rsid w:val="008271A9"/>
    <w:rsid w:val="00830668"/>
    <w:rsid w:val="00830974"/>
    <w:rsid w:val="00830A06"/>
    <w:rsid w:val="00830B6A"/>
    <w:rsid w:val="008310F6"/>
    <w:rsid w:val="00831443"/>
    <w:rsid w:val="00833072"/>
    <w:rsid w:val="00833524"/>
    <w:rsid w:val="00834450"/>
    <w:rsid w:val="00834A67"/>
    <w:rsid w:val="00834D6A"/>
    <w:rsid w:val="00834D86"/>
    <w:rsid w:val="00834E3F"/>
    <w:rsid w:val="00834FAF"/>
    <w:rsid w:val="008353CA"/>
    <w:rsid w:val="0083568D"/>
    <w:rsid w:val="008369C6"/>
    <w:rsid w:val="008377F6"/>
    <w:rsid w:val="008379C5"/>
    <w:rsid w:val="00837AFE"/>
    <w:rsid w:val="00837C3A"/>
    <w:rsid w:val="008400B0"/>
    <w:rsid w:val="00840716"/>
    <w:rsid w:val="008407AD"/>
    <w:rsid w:val="00841837"/>
    <w:rsid w:val="00841E9C"/>
    <w:rsid w:val="00842406"/>
    <w:rsid w:val="0084394F"/>
    <w:rsid w:val="0084415B"/>
    <w:rsid w:val="0084419E"/>
    <w:rsid w:val="008445A4"/>
    <w:rsid w:val="008448BB"/>
    <w:rsid w:val="00844A5C"/>
    <w:rsid w:val="0084648B"/>
    <w:rsid w:val="008467B7"/>
    <w:rsid w:val="00846AB3"/>
    <w:rsid w:val="00846E14"/>
    <w:rsid w:val="008475B7"/>
    <w:rsid w:val="00847929"/>
    <w:rsid w:val="00850750"/>
    <w:rsid w:val="00851100"/>
    <w:rsid w:val="00851C08"/>
    <w:rsid w:val="00851D09"/>
    <w:rsid w:val="00852504"/>
    <w:rsid w:val="00852E3A"/>
    <w:rsid w:val="0085333A"/>
    <w:rsid w:val="008538DF"/>
    <w:rsid w:val="00853B62"/>
    <w:rsid w:val="008540C7"/>
    <w:rsid w:val="00854F24"/>
    <w:rsid w:val="00855420"/>
    <w:rsid w:val="00855BA7"/>
    <w:rsid w:val="0085684F"/>
    <w:rsid w:val="00860038"/>
    <w:rsid w:val="00860FF5"/>
    <w:rsid w:val="0086240E"/>
    <w:rsid w:val="00862BFA"/>
    <w:rsid w:val="00862F01"/>
    <w:rsid w:val="00866466"/>
    <w:rsid w:val="00866598"/>
    <w:rsid w:val="00866D21"/>
    <w:rsid w:val="00867CF7"/>
    <w:rsid w:val="00867DAA"/>
    <w:rsid w:val="008704E7"/>
    <w:rsid w:val="008708F4"/>
    <w:rsid w:val="0087146A"/>
    <w:rsid w:val="0087271A"/>
    <w:rsid w:val="00873055"/>
    <w:rsid w:val="00873EFB"/>
    <w:rsid w:val="00876428"/>
    <w:rsid w:val="008765C7"/>
    <w:rsid w:val="00877E9F"/>
    <w:rsid w:val="008816E8"/>
    <w:rsid w:val="00881727"/>
    <w:rsid w:val="0088194B"/>
    <w:rsid w:val="00882FC7"/>
    <w:rsid w:val="00883453"/>
    <w:rsid w:val="008835CD"/>
    <w:rsid w:val="008836C7"/>
    <w:rsid w:val="00883F1E"/>
    <w:rsid w:val="00885B5D"/>
    <w:rsid w:val="008874DA"/>
    <w:rsid w:val="0088750F"/>
    <w:rsid w:val="008878BF"/>
    <w:rsid w:val="00887DBC"/>
    <w:rsid w:val="00890809"/>
    <w:rsid w:val="00890D0A"/>
    <w:rsid w:val="00890E17"/>
    <w:rsid w:val="0089278A"/>
    <w:rsid w:val="00893F27"/>
    <w:rsid w:val="00893F8C"/>
    <w:rsid w:val="008940B2"/>
    <w:rsid w:val="008941DE"/>
    <w:rsid w:val="00894281"/>
    <w:rsid w:val="00894609"/>
    <w:rsid w:val="00894F5C"/>
    <w:rsid w:val="008950DD"/>
    <w:rsid w:val="0089787E"/>
    <w:rsid w:val="008979B7"/>
    <w:rsid w:val="00897DC0"/>
    <w:rsid w:val="008A0FB9"/>
    <w:rsid w:val="008A11A1"/>
    <w:rsid w:val="008A2730"/>
    <w:rsid w:val="008A2E51"/>
    <w:rsid w:val="008A40A6"/>
    <w:rsid w:val="008A422F"/>
    <w:rsid w:val="008A51FE"/>
    <w:rsid w:val="008A52C4"/>
    <w:rsid w:val="008A649F"/>
    <w:rsid w:val="008A68AF"/>
    <w:rsid w:val="008A6960"/>
    <w:rsid w:val="008A6AAB"/>
    <w:rsid w:val="008A70B3"/>
    <w:rsid w:val="008A7160"/>
    <w:rsid w:val="008A7525"/>
    <w:rsid w:val="008A773D"/>
    <w:rsid w:val="008B23B2"/>
    <w:rsid w:val="008B2B1E"/>
    <w:rsid w:val="008B30E4"/>
    <w:rsid w:val="008B552D"/>
    <w:rsid w:val="008B72B1"/>
    <w:rsid w:val="008B78FA"/>
    <w:rsid w:val="008B7FA7"/>
    <w:rsid w:val="008C0FF1"/>
    <w:rsid w:val="008C23A4"/>
    <w:rsid w:val="008C2477"/>
    <w:rsid w:val="008C3FFA"/>
    <w:rsid w:val="008C40D7"/>
    <w:rsid w:val="008C4D88"/>
    <w:rsid w:val="008C51A2"/>
    <w:rsid w:val="008C5608"/>
    <w:rsid w:val="008C56AE"/>
    <w:rsid w:val="008C5866"/>
    <w:rsid w:val="008C5A09"/>
    <w:rsid w:val="008C6977"/>
    <w:rsid w:val="008C6A86"/>
    <w:rsid w:val="008D00F5"/>
    <w:rsid w:val="008D0423"/>
    <w:rsid w:val="008D0D77"/>
    <w:rsid w:val="008D1D35"/>
    <w:rsid w:val="008D22EA"/>
    <w:rsid w:val="008D2336"/>
    <w:rsid w:val="008D298A"/>
    <w:rsid w:val="008D2FCF"/>
    <w:rsid w:val="008D3894"/>
    <w:rsid w:val="008D45DC"/>
    <w:rsid w:val="008D4BA8"/>
    <w:rsid w:val="008D4C42"/>
    <w:rsid w:val="008D540C"/>
    <w:rsid w:val="008D5709"/>
    <w:rsid w:val="008D5A61"/>
    <w:rsid w:val="008D6086"/>
    <w:rsid w:val="008D6899"/>
    <w:rsid w:val="008D6B29"/>
    <w:rsid w:val="008D6CAE"/>
    <w:rsid w:val="008D7006"/>
    <w:rsid w:val="008E0275"/>
    <w:rsid w:val="008E0EEB"/>
    <w:rsid w:val="008E17BC"/>
    <w:rsid w:val="008E1E21"/>
    <w:rsid w:val="008E20A8"/>
    <w:rsid w:val="008E467D"/>
    <w:rsid w:val="008E4D27"/>
    <w:rsid w:val="008E5B1D"/>
    <w:rsid w:val="008E601A"/>
    <w:rsid w:val="008E6178"/>
    <w:rsid w:val="008E6CAD"/>
    <w:rsid w:val="008E7527"/>
    <w:rsid w:val="008E7830"/>
    <w:rsid w:val="008E7901"/>
    <w:rsid w:val="008E7CE9"/>
    <w:rsid w:val="008F0060"/>
    <w:rsid w:val="008F0BED"/>
    <w:rsid w:val="008F0F4E"/>
    <w:rsid w:val="008F108A"/>
    <w:rsid w:val="008F1108"/>
    <w:rsid w:val="008F13D0"/>
    <w:rsid w:val="008F3327"/>
    <w:rsid w:val="008F3662"/>
    <w:rsid w:val="008F3A52"/>
    <w:rsid w:val="008F3BD9"/>
    <w:rsid w:val="008F4072"/>
    <w:rsid w:val="008F5240"/>
    <w:rsid w:val="008F6A1F"/>
    <w:rsid w:val="008F6F5A"/>
    <w:rsid w:val="008F7D6D"/>
    <w:rsid w:val="009026EA"/>
    <w:rsid w:val="009036A1"/>
    <w:rsid w:val="00903826"/>
    <w:rsid w:val="00904214"/>
    <w:rsid w:val="0090436E"/>
    <w:rsid w:val="009060C6"/>
    <w:rsid w:val="00906DB6"/>
    <w:rsid w:val="009070EB"/>
    <w:rsid w:val="00907495"/>
    <w:rsid w:val="00911068"/>
    <w:rsid w:val="00911431"/>
    <w:rsid w:val="00912731"/>
    <w:rsid w:val="00912C11"/>
    <w:rsid w:val="009137C4"/>
    <w:rsid w:val="00913F8E"/>
    <w:rsid w:val="00914BDD"/>
    <w:rsid w:val="00915489"/>
    <w:rsid w:val="00915980"/>
    <w:rsid w:val="00915E27"/>
    <w:rsid w:val="009163D7"/>
    <w:rsid w:val="00916449"/>
    <w:rsid w:val="00916B35"/>
    <w:rsid w:val="00920415"/>
    <w:rsid w:val="009209A5"/>
    <w:rsid w:val="00922235"/>
    <w:rsid w:val="00922487"/>
    <w:rsid w:val="00922BAD"/>
    <w:rsid w:val="00922E8A"/>
    <w:rsid w:val="009246E7"/>
    <w:rsid w:val="00925166"/>
    <w:rsid w:val="00926155"/>
    <w:rsid w:val="00926BB7"/>
    <w:rsid w:val="00926C8F"/>
    <w:rsid w:val="00926FB6"/>
    <w:rsid w:val="00927308"/>
    <w:rsid w:val="00927CFE"/>
    <w:rsid w:val="0093001D"/>
    <w:rsid w:val="00930231"/>
    <w:rsid w:val="0093116B"/>
    <w:rsid w:val="009319F3"/>
    <w:rsid w:val="00931B0D"/>
    <w:rsid w:val="00932938"/>
    <w:rsid w:val="0093312D"/>
    <w:rsid w:val="00933211"/>
    <w:rsid w:val="00934171"/>
    <w:rsid w:val="009342FC"/>
    <w:rsid w:val="00934D86"/>
    <w:rsid w:val="0093616B"/>
    <w:rsid w:val="009361CA"/>
    <w:rsid w:val="00936EF3"/>
    <w:rsid w:val="00937EDE"/>
    <w:rsid w:val="00941200"/>
    <w:rsid w:val="00941461"/>
    <w:rsid w:val="0094240E"/>
    <w:rsid w:val="00942B56"/>
    <w:rsid w:val="009430D4"/>
    <w:rsid w:val="00943457"/>
    <w:rsid w:val="009434CB"/>
    <w:rsid w:val="009442F3"/>
    <w:rsid w:val="00944F8E"/>
    <w:rsid w:val="00944FB0"/>
    <w:rsid w:val="00946483"/>
    <w:rsid w:val="00946982"/>
    <w:rsid w:val="00946E4D"/>
    <w:rsid w:val="00946F37"/>
    <w:rsid w:val="009500D1"/>
    <w:rsid w:val="009509CF"/>
    <w:rsid w:val="00951178"/>
    <w:rsid w:val="00951D72"/>
    <w:rsid w:val="00952D83"/>
    <w:rsid w:val="009534E2"/>
    <w:rsid w:val="0095396F"/>
    <w:rsid w:val="00953F2F"/>
    <w:rsid w:val="0095422F"/>
    <w:rsid w:val="0095491D"/>
    <w:rsid w:val="009551F1"/>
    <w:rsid w:val="0095536D"/>
    <w:rsid w:val="009557A1"/>
    <w:rsid w:val="00955FB8"/>
    <w:rsid w:val="009565AB"/>
    <w:rsid w:val="00956ECB"/>
    <w:rsid w:val="009570E8"/>
    <w:rsid w:val="00960280"/>
    <w:rsid w:val="00960E70"/>
    <w:rsid w:val="00961030"/>
    <w:rsid w:val="009612BF"/>
    <w:rsid w:val="00961887"/>
    <w:rsid w:val="009620CA"/>
    <w:rsid w:val="009621B6"/>
    <w:rsid w:val="009622B9"/>
    <w:rsid w:val="009623CF"/>
    <w:rsid w:val="009638C7"/>
    <w:rsid w:val="00964671"/>
    <w:rsid w:val="00964793"/>
    <w:rsid w:val="00964936"/>
    <w:rsid w:val="009669E6"/>
    <w:rsid w:val="00966CD8"/>
    <w:rsid w:val="00966E02"/>
    <w:rsid w:val="00966E8E"/>
    <w:rsid w:val="00967C32"/>
    <w:rsid w:val="0097078D"/>
    <w:rsid w:val="009720A0"/>
    <w:rsid w:val="00972C32"/>
    <w:rsid w:val="00972E70"/>
    <w:rsid w:val="00973CAD"/>
    <w:rsid w:val="0097471F"/>
    <w:rsid w:val="00974E20"/>
    <w:rsid w:val="009755EA"/>
    <w:rsid w:val="009767F1"/>
    <w:rsid w:val="00976840"/>
    <w:rsid w:val="00976F12"/>
    <w:rsid w:val="00977990"/>
    <w:rsid w:val="009809D1"/>
    <w:rsid w:val="00980B88"/>
    <w:rsid w:val="00981515"/>
    <w:rsid w:val="00981D56"/>
    <w:rsid w:val="00982497"/>
    <w:rsid w:val="009831E4"/>
    <w:rsid w:val="009835ED"/>
    <w:rsid w:val="00984381"/>
    <w:rsid w:val="009844C4"/>
    <w:rsid w:val="0098452E"/>
    <w:rsid w:val="00984D1D"/>
    <w:rsid w:val="00985149"/>
    <w:rsid w:val="009863E0"/>
    <w:rsid w:val="00986516"/>
    <w:rsid w:val="009870C3"/>
    <w:rsid w:val="0098712E"/>
    <w:rsid w:val="00987CB0"/>
    <w:rsid w:val="00987DD4"/>
    <w:rsid w:val="00987FD1"/>
    <w:rsid w:val="00990438"/>
    <w:rsid w:val="00990720"/>
    <w:rsid w:val="00990E26"/>
    <w:rsid w:val="00992509"/>
    <w:rsid w:val="00993DF9"/>
    <w:rsid w:val="009940D6"/>
    <w:rsid w:val="009942BE"/>
    <w:rsid w:val="00995FA7"/>
    <w:rsid w:val="009961F2"/>
    <w:rsid w:val="00996BB7"/>
    <w:rsid w:val="00997855"/>
    <w:rsid w:val="00997F77"/>
    <w:rsid w:val="009A1B7C"/>
    <w:rsid w:val="009A343A"/>
    <w:rsid w:val="009A348F"/>
    <w:rsid w:val="009A453D"/>
    <w:rsid w:val="009A5920"/>
    <w:rsid w:val="009A597F"/>
    <w:rsid w:val="009A6165"/>
    <w:rsid w:val="009A6768"/>
    <w:rsid w:val="009A6FA6"/>
    <w:rsid w:val="009B0CA9"/>
    <w:rsid w:val="009B15ED"/>
    <w:rsid w:val="009B20E0"/>
    <w:rsid w:val="009B3107"/>
    <w:rsid w:val="009B3626"/>
    <w:rsid w:val="009B459C"/>
    <w:rsid w:val="009B7500"/>
    <w:rsid w:val="009C00D6"/>
    <w:rsid w:val="009C0BA7"/>
    <w:rsid w:val="009C1241"/>
    <w:rsid w:val="009C2672"/>
    <w:rsid w:val="009C306A"/>
    <w:rsid w:val="009C3D32"/>
    <w:rsid w:val="009C450D"/>
    <w:rsid w:val="009C49B8"/>
    <w:rsid w:val="009C56B8"/>
    <w:rsid w:val="009C78AE"/>
    <w:rsid w:val="009C7BA7"/>
    <w:rsid w:val="009D06B8"/>
    <w:rsid w:val="009D07E9"/>
    <w:rsid w:val="009D1423"/>
    <w:rsid w:val="009D1B36"/>
    <w:rsid w:val="009D20B7"/>
    <w:rsid w:val="009D20E5"/>
    <w:rsid w:val="009D2372"/>
    <w:rsid w:val="009D255E"/>
    <w:rsid w:val="009D26F2"/>
    <w:rsid w:val="009D2906"/>
    <w:rsid w:val="009D298F"/>
    <w:rsid w:val="009D2B49"/>
    <w:rsid w:val="009D317E"/>
    <w:rsid w:val="009D32DD"/>
    <w:rsid w:val="009D40D9"/>
    <w:rsid w:val="009D4738"/>
    <w:rsid w:val="009D4F04"/>
    <w:rsid w:val="009D58C0"/>
    <w:rsid w:val="009D6AAA"/>
    <w:rsid w:val="009D7393"/>
    <w:rsid w:val="009D7737"/>
    <w:rsid w:val="009D7C9A"/>
    <w:rsid w:val="009E07D5"/>
    <w:rsid w:val="009E211D"/>
    <w:rsid w:val="009E235F"/>
    <w:rsid w:val="009E2A3A"/>
    <w:rsid w:val="009E2ABA"/>
    <w:rsid w:val="009E307E"/>
    <w:rsid w:val="009E35F4"/>
    <w:rsid w:val="009E37C4"/>
    <w:rsid w:val="009E4538"/>
    <w:rsid w:val="009E51E2"/>
    <w:rsid w:val="009E540D"/>
    <w:rsid w:val="009E579B"/>
    <w:rsid w:val="009E5DF7"/>
    <w:rsid w:val="009E5EB5"/>
    <w:rsid w:val="009E6048"/>
    <w:rsid w:val="009E61C1"/>
    <w:rsid w:val="009E6422"/>
    <w:rsid w:val="009E6428"/>
    <w:rsid w:val="009E6556"/>
    <w:rsid w:val="009E66B2"/>
    <w:rsid w:val="009E6C8A"/>
    <w:rsid w:val="009E75E5"/>
    <w:rsid w:val="009E7BE7"/>
    <w:rsid w:val="009F05A6"/>
    <w:rsid w:val="009F11CF"/>
    <w:rsid w:val="009F16AF"/>
    <w:rsid w:val="009F2FDD"/>
    <w:rsid w:val="009F317E"/>
    <w:rsid w:val="009F4844"/>
    <w:rsid w:val="009F4AE7"/>
    <w:rsid w:val="009F5650"/>
    <w:rsid w:val="009F64B2"/>
    <w:rsid w:val="009F708A"/>
    <w:rsid w:val="009F7121"/>
    <w:rsid w:val="009F726C"/>
    <w:rsid w:val="009F7565"/>
    <w:rsid w:val="00A0002A"/>
    <w:rsid w:val="00A00451"/>
    <w:rsid w:val="00A0053D"/>
    <w:rsid w:val="00A00C65"/>
    <w:rsid w:val="00A012A5"/>
    <w:rsid w:val="00A02595"/>
    <w:rsid w:val="00A03340"/>
    <w:rsid w:val="00A0359B"/>
    <w:rsid w:val="00A035E7"/>
    <w:rsid w:val="00A04741"/>
    <w:rsid w:val="00A049AE"/>
    <w:rsid w:val="00A04A0F"/>
    <w:rsid w:val="00A05799"/>
    <w:rsid w:val="00A05872"/>
    <w:rsid w:val="00A06356"/>
    <w:rsid w:val="00A063ED"/>
    <w:rsid w:val="00A06DAC"/>
    <w:rsid w:val="00A10C98"/>
    <w:rsid w:val="00A114B7"/>
    <w:rsid w:val="00A1154E"/>
    <w:rsid w:val="00A12356"/>
    <w:rsid w:val="00A129CD"/>
    <w:rsid w:val="00A12EF0"/>
    <w:rsid w:val="00A13D4A"/>
    <w:rsid w:val="00A163F4"/>
    <w:rsid w:val="00A1658F"/>
    <w:rsid w:val="00A165FB"/>
    <w:rsid w:val="00A166FC"/>
    <w:rsid w:val="00A205EC"/>
    <w:rsid w:val="00A21338"/>
    <w:rsid w:val="00A224B7"/>
    <w:rsid w:val="00A22604"/>
    <w:rsid w:val="00A238A0"/>
    <w:rsid w:val="00A24068"/>
    <w:rsid w:val="00A24D65"/>
    <w:rsid w:val="00A26185"/>
    <w:rsid w:val="00A26B3A"/>
    <w:rsid w:val="00A30383"/>
    <w:rsid w:val="00A306F3"/>
    <w:rsid w:val="00A30DC0"/>
    <w:rsid w:val="00A3111E"/>
    <w:rsid w:val="00A31125"/>
    <w:rsid w:val="00A31FCB"/>
    <w:rsid w:val="00A33512"/>
    <w:rsid w:val="00A33EA5"/>
    <w:rsid w:val="00A34195"/>
    <w:rsid w:val="00A341A8"/>
    <w:rsid w:val="00A34353"/>
    <w:rsid w:val="00A36A0B"/>
    <w:rsid w:val="00A4007B"/>
    <w:rsid w:val="00A403A0"/>
    <w:rsid w:val="00A40804"/>
    <w:rsid w:val="00A40AD1"/>
    <w:rsid w:val="00A40E6E"/>
    <w:rsid w:val="00A411FE"/>
    <w:rsid w:val="00A41EFC"/>
    <w:rsid w:val="00A4219A"/>
    <w:rsid w:val="00A4251C"/>
    <w:rsid w:val="00A43643"/>
    <w:rsid w:val="00A4369C"/>
    <w:rsid w:val="00A437A3"/>
    <w:rsid w:val="00A44842"/>
    <w:rsid w:val="00A452D7"/>
    <w:rsid w:val="00A455B8"/>
    <w:rsid w:val="00A466E0"/>
    <w:rsid w:val="00A479FE"/>
    <w:rsid w:val="00A50369"/>
    <w:rsid w:val="00A50484"/>
    <w:rsid w:val="00A50AFF"/>
    <w:rsid w:val="00A50FD9"/>
    <w:rsid w:val="00A50FE4"/>
    <w:rsid w:val="00A51927"/>
    <w:rsid w:val="00A51B6C"/>
    <w:rsid w:val="00A524CA"/>
    <w:rsid w:val="00A525AC"/>
    <w:rsid w:val="00A52FC2"/>
    <w:rsid w:val="00A52FC3"/>
    <w:rsid w:val="00A535A4"/>
    <w:rsid w:val="00A53C8F"/>
    <w:rsid w:val="00A53F6E"/>
    <w:rsid w:val="00A55A4E"/>
    <w:rsid w:val="00A55AA6"/>
    <w:rsid w:val="00A56122"/>
    <w:rsid w:val="00A56364"/>
    <w:rsid w:val="00A56DA4"/>
    <w:rsid w:val="00A570C0"/>
    <w:rsid w:val="00A57A3D"/>
    <w:rsid w:val="00A603B5"/>
    <w:rsid w:val="00A606A7"/>
    <w:rsid w:val="00A60778"/>
    <w:rsid w:val="00A60821"/>
    <w:rsid w:val="00A6128F"/>
    <w:rsid w:val="00A62DF9"/>
    <w:rsid w:val="00A63F9C"/>
    <w:rsid w:val="00A64154"/>
    <w:rsid w:val="00A652AF"/>
    <w:rsid w:val="00A657D0"/>
    <w:rsid w:val="00A65F6F"/>
    <w:rsid w:val="00A66099"/>
    <w:rsid w:val="00A66B2E"/>
    <w:rsid w:val="00A67D56"/>
    <w:rsid w:val="00A704D7"/>
    <w:rsid w:val="00A70720"/>
    <w:rsid w:val="00A70DB1"/>
    <w:rsid w:val="00A71A47"/>
    <w:rsid w:val="00A73311"/>
    <w:rsid w:val="00A73794"/>
    <w:rsid w:val="00A7398B"/>
    <w:rsid w:val="00A74091"/>
    <w:rsid w:val="00A74266"/>
    <w:rsid w:val="00A74717"/>
    <w:rsid w:val="00A7576E"/>
    <w:rsid w:val="00A76923"/>
    <w:rsid w:val="00A80845"/>
    <w:rsid w:val="00A80A84"/>
    <w:rsid w:val="00A81BA8"/>
    <w:rsid w:val="00A81C81"/>
    <w:rsid w:val="00A81E30"/>
    <w:rsid w:val="00A82606"/>
    <w:rsid w:val="00A82DFC"/>
    <w:rsid w:val="00A82EB3"/>
    <w:rsid w:val="00A830FE"/>
    <w:rsid w:val="00A8322C"/>
    <w:rsid w:val="00A83471"/>
    <w:rsid w:val="00A836DF"/>
    <w:rsid w:val="00A83A08"/>
    <w:rsid w:val="00A8459A"/>
    <w:rsid w:val="00A84689"/>
    <w:rsid w:val="00A84B1D"/>
    <w:rsid w:val="00A84B97"/>
    <w:rsid w:val="00A8669D"/>
    <w:rsid w:val="00A86B49"/>
    <w:rsid w:val="00A86E54"/>
    <w:rsid w:val="00A87893"/>
    <w:rsid w:val="00A8794B"/>
    <w:rsid w:val="00A90650"/>
    <w:rsid w:val="00A90945"/>
    <w:rsid w:val="00A90B5C"/>
    <w:rsid w:val="00A90C76"/>
    <w:rsid w:val="00A90DA0"/>
    <w:rsid w:val="00A91239"/>
    <w:rsid w:val="00A91851"/>
    <w:rsid w:val="00A92474"/>
    <w:rsid w:val="00A92A29"/>
    <w:rsid w:val="00A92D9D"/>
    <w:rsid w:val="00A9379A"/>
    <w:rsid w:val="00A93A9A"/>
    <w:rsid w:val="00A945DE"/>
    <w:rsid w:val="00A950A1"/>
    <w:rsid w:val="00A9647E"/>
    <w:rsid w:val="00A96538"/>
    <w:rsid w:val="00A969BD"/>
    <w:rsid w:val="00AA010D"/>
    <w:rsid w:val="00AA0873"/>
    <w:rsid w:val="00AA0E64"/>
    <w:rsid w:val="00AA16E0"/>
    <w:rsid w:val="00AA1D45"/>
    <w:rsid w:val="00AA34CA"/>
    <w:rsid w:val="00AA40B4"/>
    <w:rsid w:val="00AA4841"/>
    <w:rsid w:val="00AA518E"/>
    <w:rsid w:val="00AA591D"/>
    <w:rsid w:val="00AA6893"/>
    <w:rsid w:val="00AA6ADE"/>
    <w:rsid w:val="00AB0747"/>
    <w:rsid w:val="00AB18DF"/>
    <w:rsid w:val="00AB40E3"/>
    <w:rsid w:val="00AB479C"/>
    <w:rsid w:val="00AB5056"/>
    <w:rsid w:val="00AB5CBE"/>
    <w:rsid w:val="00AB5FC6"/>
    <w:rsid w:val="00AB6070"/>
    <w:rsid w:val="00AB6772"/>
    <w:rsid w:val="00AB7A9A"/>
    <w:rsid w:val="00AC0483"/>
    <w:rsid w:val="00AC0AE5"/>
    <w:rsid w:val="00AC0C38"/>
    <w:rsid w:val="00AC1967"/>
    <w:rsid w:val="00AC26AF"/>
    <w:rsid w:val="00AC391A"/>
    <w:rsid w:val="00AC3EAB"/>
    <w:rsid w:val="00AC5BEB"/>
    <w:rsid w:val="00AC7335"/>
    <w:rsid w:val="00AD4D23"/>
    <w:rsid w:val="00AD4D46"/>
    <w:rsid w:val="00AD580C"/>
    <w:rsid w:val="00AD672C"/>
    <w:rsid w:val="00AD69BF"/>
    <w:rsid w:val="00AD7280"/>
    <w:rsid w:val="00AD79D0"/>
    <w:rsid w:val="00AD7D53"/>
    <w:rsid w:val="00AE02D7"/>
    <w:rsid w:val="00AE12B7"/>
    <w:rsid w:val="00AE1348"/>
    <w:rsid w:val="00AE194F"/>
    <w:rsid w:val="00AE1A7E"/>
    <w:rsid w:val="00AE2142"/>
    <w:rsid w:val="00AE29E1"/>
    <w:rsid w:val="00AE2B5A"/>
    <w:rsid w:val="00AE54DE"/>
    <w:rsid w:val="00AE6E96"/>
    <w:rsid w:val="00AE7125"/>
    <w:rsid w:val="00AE71C6"/>
    <w:rsid w:val="00AE7230"/>
    <w:rsid w:val="00AE74AF"/>
    <w:rsid w:val="00AF012D"/>
    <w:rsid w:val="00AF1C2D"/>
    <w:rsid w:val="00AF1D20"/>
    <w:rsid w:val="00AF2226"/>
    <w:rsid w:val="00AF26E4"/>
    <w:rsid w:val="00AF2BA3"/>
    <w:rsid w:val="00AF3E52"/>
    <w:rsid w:val="00AF3F47"/>
    <w:rsid w:val="00AF46F6"/>
    <w:rsid w:val="00AF55A6"/>
    <w:rsid w:val="00AF5C65"/>
    <w:rsid w:val="00AF605C"/>
    <w:rsid w:val="00AF6E6D"/>
    <w:rsid w:val="00AF7131"/>
    <w:rsid w:val="00B009D7"/>
    <w:rsid w:val="00B00EA8"/>
    <w:rsid w:val="00B0376E"/>
    <w:rsid w:val="00B03F80"/>
    <w:rsid w:val="00B04FB5"/>
    <w:rsid w:val="00B0529D"/>
    <w:rsid w:val="00B055F4"/>
    <w:rsid w:val="00B05631"/>
    <w:rsid w:val="00B05FA1"/>
    <w:rsid w:val="00B0644A"/>
    <w:rsid w:val="00B0688F"/>
    <w:rsid w:val="00B07EE4"/>
    <w:rsid w:val="00B10A8D"/>
    <w:rsid w:val="00B10D26"/>
    <w:rsid w:val="00B119EE"/>
    <w:rsid w:val="00B120A6"/>
    <w:rsid w:val="00B12AD0"/>
    <w:rsid w:val="00B12DC5"/>
    <w:rsid w:val="00B13168"/>
    <w:rsid w:val="00B137E7"/>
    <w:rsid w:val="00B13A3D"/>
    <w:rsid w:val="00B13C18"/>
    <w:rsid w:val="00B1451D"/>
    <w:rsid w:val="00B14B64"/>
    <w:rsid w:val="00B15887"/>
    <w:rsid w:val="00B15AE1"/>
    <w:rsid w:val="00B1668A"/>
    <w:rsid w:val="00B17002"/>
    <w:rsid w:val="00B1734F"/>
    <w:rsid w:val="00B17874"/>
    <w:rsid w:val="00B17B3A"/>
    <w:rsid w:val="00B17FD3"/>
    <w:rsid w:val="00B211C3"/>
    <w:rsid w:val="00B21750"/>
    <w:rsid w:val="00B2294C"/>
    <w:rsid w:val="00B22FDC"/>
    <w:rsid w:val="00B24FE9"/>
    <w:rsid w:val="00B26036"/>
    <w:rsid w:val="00B27147"/>
    <w:rsid w:val="00B27D60"/>
    <w:rsid w:val="00B300E8"/>
    <w:rsid w:val="00B314B2"/>
    <w:rsid w:val="00B3169F"/>
    <w:rsid w:val="00B316E6"/>
    <w:rsid w:val="00B31F27"/>
    <w:rsid w:val="00B3202B"/>
    <w:rsid w:val="00B32E09"/>
    <w:rsid w:val="00B33E9C"/>
    <w:rsid w:val="00B3425B"/>
    <w:rsid w:val="00B34722"/>
    <w:rsid w:val="00B35019"/>
    <w:rsid w:val="00B35C18"/>
    <w:rsid w:val="00B35FB4"/>
    <w:rsid w:val="00B36659"/>
    <w:rsid w:val="00B36823"/>
    <w:rsid w:val="00B37FF9"/>
    <w:rsid w:val="00B40E7A"/>
    <w:rsid w:val="00B41D73"/>
    <w:rsid w:val="00B42348"/>
    <w:rsid w:val="00B42848"/>
    <w:rsid w:val="00B42B83"/>
    <w:rsid w:val="00B43951"/>
    <w:rsid w:val="00B43E60"/>
    <w:rsid w:val="00B442B3"/>
    <w:rsid w:val="00B4477F"/>
    <w:rsid w:val="00B457AF"/>
    <w:rsid w:val="00B458D4"/>
    <w:rsid w:val="00B45C76"/>
    <w:rsid w:val="00B45CAB"/>
    <w:rsid w:val="00B45F3C"/>
    <w:rsid w:val="00B46BDF"/>
    <w:rsid w:val="00B4701E"/>
    <w:rsid w:val="00B4710C"/>
    <w:rsid w:val="00B474C8"/>
    <w:rsid w:val="00B479E0"/>
    <w:rsid w:val="00B504B3"/>
    <w:rsid w:val="00B50E62"/>
    <w:rsid w:val="00B52351"/>
    <w:rsid w:val="00B529B9"/>
    <w:rsid w:val="00B532D2"/>
    <w:rsid w:val="00B540EB"/>
    <w:rsid w:val="00B54353"/>
    <w:rsid w:val="00B54653"/>
    <w:rsid w:val="00B54DC1"/>
    <w:rsid w:val="00B578B6"/>
    <w:rsid w:val="00B57E43"/>
    <w:rsid w:val="00B60835"/>
    <w:rsid w:val="00B6177C"/>
    <w:rsid w:val="00B62845"/>
    <w:rsid w:val="00B62C65"/>
    <w:rsid w:val="00B62FEB"/>
    <w:rsid w:val="00B634C7"/>
    <w:rsid w:val="00B646CB"/>
    <w:rsid w:val="00B64B6D"/>
    <w:rsid w:val="00B65C1B"/>
    <w:rsid w:val="00B65E2B"/>
    <w:rsid w:val="00B6615A"/>
    <w:rsid w:val="00B66507"/>
    <w:rsid w:val="00B67401"/>
    <w:rsid w:val="00B675A0"/>
    <w:rsid w:val="00B67AF3"/>
    <w:rsid w:val="00B67B54"/>
    <w:rsid w:val="00B70590"/>
    <w:rsid w:val="00B70CFE"/>
    <w:rsid w:val="00B71039"/>
    <w:rsid w:val="00B71674"/>
    <w:rsid w:val="00B71ACB"/>
    <w:rsid w:val="00B71DB2"/>
    <w:rsid w:val="00B7267C"/>
    <w:rsid w:val="00B73789"/>
    <w:rsid w:val="00B73982"/>
    <w:rsid w:val="00B73C9C"/>
    <w:rsid w:val="00B73F29"/>
    <w:rsid w:val="00B743F0"/>
    <w:rsid w:val="00B7445F"/>
    <w:rsid w:val="00B747AD"/>
    <w:rsid w:val="00B74E72"/>
    <w:rsid w:val="00B753D4"/>
    <w:rsid w:val="00B75D18"/>
    <w:rsid w:val="00B7684F"/>
    <w:rsid w:val="00B76923"/>
    <w:rsid w:val="00B76EA3"/>
    <w:rsid w:val="00B7790B"/>
    <w:rsid w:val="00B81015"/>
    <w:rsid w:val="00B81628"/>
    <w:rsid w:val="00B822E5"/>
    <w:rsid w:val="00B834BD"/>
    <w:rsid w:val="00B85824"/>
    <w:rsid w:val="00B85887"/>
    <w:rsid w:val="00B86725"/>
    <w:rsid w:val="00B90032"/>
    <w:rsid w:val="00B90270"/>
    <w:rsid w:val="00B902BE"/>
    <w:rsid w:val="00B91800"/>
    <w:rsid w:val="00B91847"/>
    <w:rsid w:val="00B925F9"/>
    <w:rsid w:val="00B92AE2"/>
    <w:rsid w:val="00B9321E"/>
    <w:rsid w:val="00B93A57"/>
    <w:rsid w:val="00B9430C"/>
    <w:rsid w:val="00B944A0"/>
    <w:rsid w:val="00B94688"/>
    <w:rsid w:val="00B94756"/>
    <w:rsid w:val="00B948CE"/>
    <w:rsid w:val="00B94B05"/>
    <w:rsid w:val="00B94F1B"/>
    <w:rsid w:val="00B9734B"/>
    <w:rsid w:val="00B977A6"/>
    <w:rsid w:val="00B978B8"/>
    <w:rsid w:val="00BA0C3C"/>
    <w:rsid w:val="00BA111E"/>
    <w:rsid w:val="00BA22AE"/>
    <w:rsid w:val="00BA2A15"/>
    <w:rsid w:val="00BA5D8D"/>
    <w:rsid w:val="00BA67F8"/>
    <w:rsid w:val="00BA6947"/>
    <w:rsid w:val="00BA6CF4"/>
    <w:rsid w:val="00BA75CD"/>
    <w:rsid w:val="00BB13EC"/>
    <w:rsid w:val="00BB1E3D"/>
    <w:rsid w:val="00BB30C4"/>
    <w:rsid w:val="00BB4095"/>
    <w:rsid w:val="00BB5F67"/>
    <w:rsid w:val="00BB60B7"/>
    <w:rsid w:val="00BB64A1"/>
    <w:rsid w:val="00BB6D51"/>
    <w:rsid w:val="00BB6E1F"/>
    <w:rsid w:val="00BB75BA"/>
    <w:rsid w:val="00BC07CB"/>
    <w:rsid w:val="00BC0E5D"/>
    <w:rsid w:val="00BC0E8B"/>
    <w:rsid w:val="00BC1943"/>
    <w:rsid w:val="00BC2282"/>
    <w:rsid w:val="00BC2803"/>
    <w:rsid w:val="00BC3595"/>
    <w:rsid w:val="00BC3D09"/>
    <w:rsid w:val="00BC48D4"/>
    <w:rsid w:val="00BC5A68"/>
    <w:rsid w:val="00BC7457"/>
    <w:rsid w:val="00BD1730"/>
    <w:rsid w:val="00BD1DE4"/>
    <w:rsid w:val="00BD2212"/>
    <w:rsid w:val="00BD25D5"/>
    <w:rsid w:val="00BD2913"/>
    <w:rsid w:val="00BD3714"/>
    <w:rsid w:val="00BD38A5"/>
    <w:rsid w:val="00BD3AA2"/>
    <w:rsid w:val="00BD3AEA"/>
    <w:rsid w:val="00BD4105"/>
    <w:rsid w:val="00BD460B"/>
    <w:rsid w:val="00BD4CC8"/>
    <w:rsid w:val="00BD4E10"/>
    <w:rsid w:val="00BD615A"/>
    <w:rsid w:val="00BD61AE"/>
    <w:rsid w:val="00BD66FB"/>
    <w:rsid w:val="00BD6D92"/>
    <w:rsid w:val="00BD7C26"/>
    <w:rsid w:val="00BE04BD"/>
    <w:rsid w:val="00BE07EE"/>
    <w:rsid w:val="00BE12CD"/>
    <w:rsid w:val="00BE1736"/>
    <w:rsid w:val="00BE23AC"/>
    <w:rsid w:val="00BE2444"/>
    <w:rsid w:val="00BE2B5D"/>
    <w:rsid w:val="00BE3365"/>
    <w:rsid w:val="00BE3649"/>
    <w:rsid w:val="00BE38D6"/>
    <w:rsid w:val="00BE3C80"/>
    <w:rsid w:val="00BE3EDF"/>
    <w:rsid w:val="00BE542E"/>
    <w:rsid w:val="00BE5A6B"/>
    <w:rsid w:val="00BE7E85"/>
    <w:rsid w:val="00BF0368"/>
    <w:rsid w:val="00BF108F"/>
    <w:rsid w:val="00BF1234"/>
    <w:rsid w:val="00BF1E3E"/>
    <w:rsid w:val="00BF21B9"/>
    <w:rsid w:val="00BF2A03"/>
    <w:rsid w:val="00BF3294"/>
    <w:rsid w:val="00BF345C"/>
    <w:rsid w:val="00BF3F0F"/>
    <w:rsid w:val="00BF43B8"/>
    <w:rsid w:val="00BF4E05"/>
    <w:rsid w:val="00BF5E8D"/>
    <w:rsid w:val="00BF5ECC"/>
    <w:rsid w:val="00BF6175"/>
    <w:rsid w:val="00BF6F7D"/>
    <w:rsid w:val="00BF730E"/>
    <w:rsid w:val="00BF771A"/>
    <w:rsid w:val="00C01C60"/>
    <w:rsid w:val="00C0284B"/>
    <w:rsid w:val="00C02BA3"/>
    <w:rsid w:val="00C04717"/>
    <w:rsid w:val="00C04A41"/>
    <w:rsid w:val="00C04BE2"/>
    <w:rsid w:val="00C04C35"/>
    <w:rsid w:val="00C066CD"/>
    <w:rsid w:val="00C07462"/>
    <w:rsid w:val="00C07D37"/>
    <w:rsid w:val="00C07F19"/>
    <w:rsid w:val="00C07F5E"/>
    <w:rsid w:val="00C10FAC"/>
    <w:rsid w:val="00C11050"/>
    <w:rsid w:val="00C118F9"/>
    <w:rsid w:val="00C11BE6"/>
    <w:rsid w:val="00C11EED"/>
    <w:rsid w:val="00C121CB"/>
    <w:rsid w:val="00C12411"/>
    <w:rsid w:val="00C12A89"/>
    <w:rsid w:val="00C1352B"/>
    <w:rsid w:val="00C14325"/>
    <w:rsid w:val="00C14EF5"/>
    <w:rsid w:val="00C15A38"/>
    <w:rsid w:val="00C15BAA"/>
    <w:rsid w:val="00C17A9E"/>
    <w:rsid w:val="00C20047"/>
    <w:rsid w:val="00C207E7"/>
    <w:rsid w:val="00C20915"/>
    <w:rsid w:val="00C20D19"/>
    <w:rsid w:val="00C21064"/>
    <w:rsid w:val="00C21288"/>
    <w:rsid w:val="00C21415"/>
    <w:rsid w:val="00C2166B"/>
    <w:rsid w:val="00C2332A"/>
    <w:rsid w:val="00C23547"/>
    <w:rsid w:val="00C23D38"/>
    <w:rsid w:val="00C23DE3"/>
    <w:rsid w:val="00C25FDE"/>
    <w:rsid w:val="00C26F01"/>
    <w:rsid w:val="00C26F0F"/>
    <w:rsid w:val="00C272C2"/>
    <w:rsid w:val="00C2737C"/>
    <w:rsid w:val="00C31138"/>
    <w:rsid w:val="00C31A83"/>
    <w:rsid w:val="00C31F70"/>
    <w:rsid w:val="00C322AD"/>
    <w:rsid w:val="00C32A93"/>
    <w:rsid w:val="00C32E4D"/>
    <w:rsid w:val="00C331AE"/>
    <w:rsid w:val="00C34D96"/>
    <w:rsid w:val="00C351C0"/>
    <w:rsid w:val="00C35338"/>
    <w:rsid w:val="00C35ED8"/>
    <w:rsid w:val="00C36B61"/>
    <w:rsid w:val="00C37A16"/>
    <w:rsid w:val="00C37A5F"/>
    <w:rsid w:val="00C4123D"/>
    <w:rsid w:val="00C42859"/>
    <w:rsid w:val="00C42FAD"/>
    <w:rsid w:val="00C4405B"/>
    <w:rsid w:val="00C440B5"/>
    <w:rsid w:val="00C441E1"/>
    <w:rsid w:val="00C45437"/>
    <w:rsid w:val="00C45955"/>
    <w:rsid w:val="00C4605A"/>
    <w:rsid w:val="00C4608A"/>
    <w:rsid w:val="00C46703"/>
    <w:rsid w:val="00C47649"/>
    <w:rsid w:val="00C47A07"/>
    <w:rsid w:val="00C5060D"/>
    <w:rsid w:val="00C51993"/>
    <w:rsid w:val="00C528D7"/>
    <w:rsid w:val="00C539F7"/>
    <w:rsid w:val="00C53B39"/>
    <w:rsid w:val="00C54909"/>
    <w:rsid w:val="00C54D41"/>
    <w:rsid w:val="00C56B72"/>
    <w:rsid w:val="00C577E5"/>
    <w:rsid w:val="00C60283"/>
    <w:rsid w:val="00C60499"/>
    <w:rsid w:val="00C60AC5"/>
    <w:rsid w:val="00C6195A"/>
    <w:rsid w:val="00C629B3"/>
    <w:rsid w:val="00C631C7"/>
    <w:rsid w:val="00C63227"/>
    <w:rsid w:val="00C6392F"/>
    <w:rsid w:val="00C63BD1"/>
    <w:rsid w:val="00C63C49"/>
    <w:rsid w:val="00C65CEC"/>
    <w:rsid w:val="00C66E74"/>
    <w:rsid w:val="00C6732C"/>
    <w:rsid w:val="00C67845"/>
    <w:rsid w:val="00C678AC"/>
    <w:rsid w:val="00C67BBB"/>
    <w:rsid w:val="00C67CB0"/>
    <w:rsid w:val="00C70F98"/>
    <w:rsid w:val="00C71809"/>
    <w:rsid w:val="00C719D1"/>
    <w:rsid w:val="00C72C2A"/>
    <w:rsid w:val="00C72D04"/>
    <w:rsid w:val="00C736A9"/>
    <w:rsid w:val="00C73E6F"/>
    <w:rsid w:val="00C746CD"/>
    <w:rsid w:val="00C749C4"/>
    <w:rsid w:val="00C752CB"/>
    <w:rsid w:val="00C75F28"/>
    <w:rsid w:val="00C7605F"/>
    <w:rsid w:val="00C761CE"/>
    <w:rsid w:val="00C76DA0"/>
    <w:rsid w:val="00C775B3"/>
    <w:rsid w:val="00C8036A"/>
    <w:rsid w:val="00C81231"/>
    <w:rsid w:val="00C8146A"/>
    <w:rsid w:val="00C81724"/>
    <w:rsid w:val="00C81816"/>
    <w:rsid w:val="00C819A3"/>
    <w:rsid w:val="00C81B5E"/>
    <w:rsid w:val="00C822AC"/>
    <w:rsid w:val="00C82F27"/>
    <w:rsid w:val="00C8303A"/>
    <w:rsid w:val="00C83633"/>
    <w:rsid w:val="00C84AC6"/>
    <w:rsid w:val="00C84CE1"/>
    <w:rsid w:val="00C8565B"/>
    <w:rsid w:val="00C8574C"/>
    <w:rsid w:val="00C86957"/>
    <w:rsid w:val="00C8695D"/>
    <w:rsid w:val="00C86CA5"/>
    <w:rsid w:val="00C8730E"/>
    <w:rsid w:val="00C875A7"/>
    <w:rsid w:val="00C8789F"/>
    <w:rsid w:val="00C87A43"/>
    <w:rsid w:val="00C90AE9"/>
    <w:rsid w:val="00C91034"/>
    <w:rsid w:val="00C9118D"/>
    <w:rsid w:val="00C916EE"/>
    <w:rsid w:val="00C917D3"/>
    <w:rsid w:val="00C91E7C"/>
    <w:rsid w:val="00C92014"/>
    <w:rsid w:val="00C93E31"/>
    <w:rsid w:val="00C94CAA"/>
    <w:rsid w:val="00C954E3"/>
    <w:rsid w:val="00C95F32"/>
    <w:rsid w:val="00C96A67"/>
    <w:rsid w:val="00CA010D"/>
    <w:rsid w:val="00CA0586"/>
    <w:rsid w:val="00CA0E87"/>
    <w:rsid w:val="00CA1171"/>
    <w:rsid w:val="00CA121A"/>
    <w:rsid w:val="00CA369D"/>
    <w:rsid w:val="00CA4240"/>
    <w:rsid w:val="00CA4FD9"/>
    <w:rsid w:val="00CA5422"/>
    <w:rsid w:val="00CA5EB4"/>
    <w:rsid w:val="00CA7031"/>
    <w:rsid w:val="00CA7599"/>
    <w:rsid w:val="00CB023C"/>
    <w:rsid w:val="00CB0556"/>
    <w:rsid w:val="00CB1019"/>
    <w:rsid w:val="00CB1D3E"/>
    <w:rsid w:val="00CB1DF7"/>
    <w:rsid w:val="00CB1E11"/>
    <w:rsid w:val="00CB2C52"/>
    <w:rsid w:val="00CB5463"/>
    <w:rsid w:val="00CB6866"/>
    <w:rsid w:val="00CB75CB"/>
    <w:rsid w:val="00CB7BF3"/>
    <w:rsid w:val="00CC0598"/>
    <w:rsid w:val="00CC0AA6"/>
    <w:rsid w:val="00CC0DDE"/>
    <w:rsid w:val="00CC0E8B"/>
    <w:rsid w:val="00CC14BB"/>
    <w:rsid w:val="00CC1824"/>
    <w:rsid w:val="00CC2713"/>
    <w:rsid w:val="00CC27FD"/>
    <w:rsid w:val="00CC2A5A"/>
    <w:rsid w:val="00CC3553"/>
    <w:rsid w:val="00CC35A3"/>
    <w:rsid w:val="00CC3D07"/>
    <w:rsid w:val="00CC5392"/>
    <w:rsid w:val="00CC6855"/>
    <w:rsid w:val="00CC6BA6"/>
    <w:rsid w:val="00CD0F1D"/>
    <w:rsid w:val="00CD11B5"/>
    <w:rsid w:val="00CD1F1C"/>
    <w:rsid w:val="00CD46E5"/>
    <w:rsid w:val="00CD5486"/>
    <w:rsid w:val="00CD5AFD"/>
    <w:rsid w:val="00CD5EAD"/>
    <w:rsid w:val="00CD6085"/>
    <w:rsid w:val="00CD62F7"/>
    <w:rsid w:val="00CD648E"/>
    <w:rsid w:val="00CD72AE"/>
    <w:rsid w:val="00CD7B8E"/>
    <w:rsid w:val="00CD7BBA"/>
    <w:rsid w:val="00CD7EE3"/>
    <w:rsid w:val="00CD7FBD"/>
    <w:rsid w:val="00CE0251"/>
    <w:rsid w:val="00CE08AB"/>
    <w:rsid w:val="00CE0A13"/>
    <w:rsid w:val="00CE248B"/>
    <w:rsid w:val="00CE303C"/>
    <w:rsid w:val="00CE4221"/>
    <w:rsid w:val="00CE42E6"/>
    <w:rsid w:val="00CE4FA4"/>
    <w:rsid w:val="00CE50E6"/>
    <w:rsid w:val="00CE6CF5"/>
    <w:rsid w:val="00CE730A"/>
    <w:rsid w:val="00CE73F1"/>
    <w:rsid w:val="00CE781C"/>
    <w:rsid w:val="00CF21F0"/>
    <w:rsid w:val="00CF2321"/>
    <w:rsid w:val="00CF2471"/>
    <w:rsid w:val="00CF29AB"/>
    <w:rsid w:val="00CF2A25"/>
    <w:rsid w:val="00CF3418"/>
    <w:rsid w:val="00CF3A73"/>
    <w:rsid w:val="00CF418B"/>
    <w:rsid w:val="00CF44F3"/>
    <w:rsid w:val="00CF6421"/>
    <w:rsid w:val="00CF6928"/>
    <w:rsid w:val="00CF6E4C"/>
    <w:rsid w:val="00CF6EF6"/>
    <w:rsid w:val="00CF750E"/>
    <w:rsid w:val="00CF7EA7"/>
    <w:rsid w:val="00CF7FEE"/>
    <w:rsid w:val="00D00341"/>
    <w:rsid w:val="00D00B12"/>
    <w:rsid w:val="00D00DB1"/>
    <w:rsid w:val="00D0150B"/>
    <w:rsid w:val="00D01D97"/>
    <w:rsid w:val="00D0214A"/>
    <w:rsid w:val="00D02863"/>
    <w:rsid w:val="00D04771"/>
    <w:rsid w:val="00D050C4"/>
    <w:rsid w:val="00D05199"/>
    <w:rsid w:val="00D05346"/>
    <w:rsid w:val="00D059D0"/>
    <w:rsid w:val="00D05A97"/>
    <w:rsid w:val="00D06B31"/>
    <w:rsid w:val="00D07BEA"/>
    <w:rsid w:val="00D10570"/>
    <w:rsid w:val="00D10952"/>
    <w:rsid w:val="00D1099D"/>
    <w:rsid w:val="00D10FF6"/>
    <w:rsid w:val="00D11583"/>
    <w:rsid w:val="00D115CE"/>
    <w:rsid w:val="00D11AB9"/>
    <w:rsid w:val="00D122A1"/>
    <w:rsid w:val="00D12C16"/>
    <w:rsid w:val="00D12E56"/>
    <w:rsid w:val="00D15181"/>
    <w:rsid w:val="00D15A73"/>
    <w:rsid w:val="00D15F38"/>
    <w:rsid w:val="00D166A9"/>
    <w:rsid w:val="00D16DCC"/>
    <w:rsid w:val="00D17F90"/>
    <w:rsid w:val="00D2088D"/>
    <w:rsid w:val="00D20BB9"/>
    <w:rsid w:val="00D210BA"/>
    <w:rsid w:val="00D21828"/>
    <w:rsid w:val="00D2199F"/>
    <w:rsid w:val="00D220A6"/>
    <w:rsid w:val="00D22250"/>
    <w:rsid w:val="00D23330"/>
    <w:rsid w:val="00D23585"/>
    <w:rsid w:val="00D2419B"/>
    <w:rsid w:val="00D24258"/>
    <w:rsid w:val="00D24DED"/>
    <w:rsid w:val="00D24FD3"/>
    <w:rsid w:val="00D25044"/>
    <w:rsid w:val="00D25C48"/>
    <w:rsid w:val="00D26D6D"/>
    <w:rsid w:val="00D27036"/>
    <w:rsid w:val="00D27407"/>
    <w:rsid w:val="00D27445"/>
    <w:rsid w:val="00D30C89"/>
    <w:rsid w:val="00D30D24"/>
    <w:rsid w:val="00D30DA1"/>
    <w:rsid w:val="00D31717"/>
    <w:rsid w:val="00D318C4"/>
    <w:rsid w:val="00D322FF"/>
    <w:rsid w:val="00D32C13"/>
    <w:rsid w:val="00D32FC7"/>
    <w:rsid w:val="00D331B3"/>
    <w:rsid w:val="00D333F0"/>
    <w:rsid w:val="00D339EB"/>
    <w:rsid w:val="00D34663"/>
    <w:rsid w:val="00D355DA"/>
    <w:rsid w:val="00D3628D"/>
    <w:rsid w:val="00D363F9"/>
    <w:rsid w:val="00D37811"/>
    <w:rsid w:val="00D401BB"/>
    <w:rsid w:val="00D4071B"/>
    <w:rsid w:val="00D40D22"/>
    <w:rsid w:val="00D42021"/>
    <w:rsid w:val="00D4205D"/>
    <w:rsid w:val="00D42271"/>
    <w:rsid w:val="00D44176"/>
    <w:rsid w:val="00D4457D"/>
    <w:rsid w:val="00D446AF"/>
    <w:rsid w:val="00D4480A"/>
    <w:rsid w:val="00D44913"/>
    <w:rsid w:val="00D44A56"/>
    <w:rsid w:val="00D46809"/>
    <w:rsid w:val="00D47089"/>
    <w:rsid w:val="00D4736C"/>
    <w:rsid w:val="00D50626"/>
    <w:rsid w:val="00D51644"/>
    <w:rsid w:val="00D51A9E"/>
    <w:rsid w:val="00D52177"/>
    <w:rsid w:val="00D5260E"/>
    <w:rsid w:val="00D530AC"/>
    <w:rsid w:val="00D53AFA"/>
    <w:rsid w:val="00D5421F"/>
    <w:rsid w:val="00D5516D"/>
    <w:rsid w:val="00D552BB"/>
    <w:rsid w:val="00D554B0"/>
    <w:rsid w:val="00D55512"/>
    <w:rsid w:val="00D55841"/>
    <w:rsid w:val="00D56389"/>
    <w:rsid w:val="00D57253"/>
    <w:rsid w:val="00D57331"/>
    <w:rsid w:val="00D60288"/>
    <w:rsid w:val="00D61552"/>
    <w:rsid w:val="00D62C48"/>
    <w:rsid w:val="00D62D5A"/>
    <w:rsid w:val="00D630D8"/>
    <w:rsid w:val="00D6336C"/>
    <w:rsid w:val="00D6358D"/>
    <w:rsid w:val="00D63925"/>
    <w:rsid w:val="00D63B3A"/>
    <w:rsid w:val="00D64941"/>
    <w:rsid w:val="00D65D05"/>
    <w:rsid w:val="00D6623F"/>
    <w:rsid w:val="00D66837"/>
    <w:rsid w:val="00D66928"/>
    <w:rsid w:val="00D7170E"/>
    <w:rsid w:val="00D74F65"/>
    <w:rsid w:val="00D75085"/>
    <w:rsid w:val="00D7515D"/>
    <w:rsid w:val="00D751C3"/>
    <w:rsid w:val="00D75C29"/>
    <w:rsid w:val="00D75C50"/>
    <w:rsid w:val="00D75E5C"/>
    <w:rsid w:val="00D75EA7"/>
    <w:rsid w:val="00D768D3"/>
    <w:rsid w:val="00D7697E"/>
    <w:rsid w:val="00D76B12"/>
    <w:rsid w:val="00D775DD"/>
    <w:rsid w:val="00D776BF"/>
    <w:rsid w:val="00D801CE"/>
    <w:rsid w:val="00D8043A"/>
    <w:rsid w:val="00D804B2"/>
    <w:rsid w:val="00D808BC"/>
    <w:rsid w:val="00D81651"/>
    <w:rsid w:val="00D827FE"/>
    <w:rsid w:val="00D82C6B"/>
    <w:rsid w:val="00D82D6B"/>
    <w:rsid w:val="00D82E4C"/>
    <w:rsid w:val="00D831F8"/>
    <w:rsid w:val="00D836F9"/>
    <w:rsid w:val="00D83A6D"/>
    <w:rsid w:val="00D83D2E"/>
    <w:rsid w:val="00D83F25"/>
    <w:rsid w:val="00D83FD7"/>
    <w:rsid w:val="00D84637"/>
    <w:rsid w:val="00D84F4D"/>
    <w:rsid w:val="00D85358"/>
    <w:rsid w:val="00D85951"/>
    <w:rsid w:val="00D879AE"/>
    <w:rsid w:val="00D902E8"/>
    <w:rsid w:val="00D90908"/>
    <w:rsid w:val="00D926D9"/>
    <w:rsid w:val="00D92BC0"/>
    <w:rsid w:val="00D92F9E"/>
    <w:rsid w:val="00D92FA7"/>
    <w:rsid w:val="00D937AB"/>
    <w:rsid w:val="00D93BB7"/>
    <w:rsid w:val="00D93EB3"/>
    <w:rsid w:val="00D948FA"/>
    <w:rsid w:val="00D9596B"/>
    <w:rsid w:val="00D96586"/>
    <w:rsid w:val="00D97025"/>
    <w:rsid w:val="00D97557"/>
    <w:rsid w:val="00D978A9"/>
    <w:rsid w:val="00DA0C9F"/>
    <w:rsid w:val="00DA1B53"/>
    <w:rsid w:val="00DA24C6"/>
    <w:rsid w:val="00DA39BE"/>
    <w:rsid w:val="00DA404E"/>
    <w:rsid w:val="00DA4D07"/>
    <w:rsid w:val="00DA6737"/>
    <w:rsid w:val="00DA716F"/>
    <w:rsid w:val="00DA78E2"/>
    <w:rsid w:val="00DB19BF"/>
    <w:rsid w:val="00DB2633"/>
    <w:rsid w:val="00DB2786"/>
    <w:rsid w:val="00DB2B2D"/>
    <w:rsid w:val="00DB3B60"/>
    <w:rsid w:val="00DB480A"/>
    <w:rsid w:val="00DB5307"/>
    <w:rsid w:val="00DB67D1"/>
    <w:rsid w:val="00DB69E2"/>
    <w:rsid w:val="00DB6E21"/>
    <w:rsid w:val="00DB703E"/>
    <w:rsid w:val="00DB71CE"/>
    <w:rsid w:val="00DB738C"/>
    <w:rsid w:val="00DB785B"/>
    <w:rsid w:val="00DB7A1E"/>
    <w:rsid w:val="00DC0443"/>
    <w:rsid w:val="00DC1844"/>
    <w:rsid w:val="00DC3457"/>
    <w:rsid w:val="00DC35B7"/>
    <w:rsid w:val="00DC3780"/>
    <w:rsid w:val="00DC409B"/>
    <w:rsid w:val="00DC459A"/>
    <w:rsid w:val="00DC559D"/>
    <w:rsid w:val="00DC61FE"/>
    <w:rsid w:val="00DC6AD8"/>
    <w:rsid w:val="00DC765C"/>
    <w:rsid w:val="00DC7B47"/>
    <w:rsid w:val="00DD0138"/>
    <w:rsid w:val="00DD0A6F"/>
    <w:rsid w:val="00DD13BE"/>
    <w:rsid w:val="00DD14A8"/>
    <w:rsid w:val="00DD175D"/>
    <w:rsid w:val="00DD209E"/>
    <w:rsid w:val="00DD20AE"/>
    <w:rsid w:val="00DD262C"/>
    <w:rsid w:val="00DD2B0E"/>
    <w:rsid w:val="00DD3824"/>
    <w:rsid w:val="00DD46A6"/>
    <w:rsid w:val="00DD5F71"/>
    <w:rsid w:val="00DD5F85"/>
    <w:rsid w:val="00DD6205"/>
    <w:rsid w:val="00DD6F7A"/>
    <w:rsid w:val="00DD6FC3"/>
    <w:rsid w:val="00DD72BF"/>
    <w:rsid w:val="00DD7750"/>
    <w:rsid w:val="00DD7A3A"/>
    <w:rsid w:val="00DD7B06"/>
    <w:rsid w:val="00DE0EFC"/>
    <w:rsid w:val="00DE1551"/>
    <w:rsid w:val="00DE2F05"/>
    <w:rsid w:val="00DE3286"/>
    <w:rsid w:val="00DE3520"/>
    <w:rsid w:val="00DE35C6"/>
    <w:rsid w:val="00DE5C95"/>
    <w:rsid w:val="00DE6406"/>
    <w:rsid w:val="00DF08C9"/>
    <w:rsid w:val="00DF12EE"/>
    <w:rsid w:val="00DF1324"/>
    <w:rsid w:val="00DF1E01"/>
    <w:rsid w:val="00DF2157"/>
    <w:rsid w:val="00DF380C"/>
    <w:rsid w:val="00DF4605"/>
    <w:rsid w:val="00DF4CAF"/>
    <w:rsid w:val="00DF4CFE"/>
    <w:rsid w:val="00DF4E09"/>
    <w:rsid w:val="00DF5AF8"/>
    <w:rsid w:val="00DF6094"/>
    <w:rsid w:val="00DF63FA"/>
    <w:rsid w:val="00DF6DAD"/>
    <w:rsid w:val="00DF7198"/>
    <w:rsid w:val="00E0097A"/>
    <w:rsid w:val="00E019F2"/>
    <w:rsid w:val="00E01E09"/>
    <w:rsid w:val="00E02056"/>
    <w:rsid w:val="00E0239F"/>
    <w:rsid w:val="00E02D4C"/>
    <w:rsid w:val="00E03059"/>
    <w:rsid w:val="00E03D16"/>
    <w:rsid w:val="00E04919"/>
    <w:rsid w:val="00E05BA7"/>
    <w:rsid w:val="00E06CF3"/>
    <w:rsid w:val="00E07029"/>
    <w:rsid w:val="00E111F2"/>
    <w:rsid w:val="00E11AA8"/>
    <w:rsid w:val="00E12A42"/>
    <w:rsid w:val="00E12B20"/>
    <w:rsid w:val="00E13B14"/>
    <w:rsid w:val="00E13E73"/>
    <w:rsid w:val="00E157EA"/>
    <w:rsid w:val="00E15CF3"/>
    <w:rsid w:val="00E15FC5"/>
    <w:rsid w:val="00E16526"/>
    <w:rsid w:val="00E16ABB"/>
    <w:rsid w:val="00E16C29"/>
    <w:rsid w:val="00E175D7"/>
    <w:rsid w:val="00E17743"/>
    <w:rsid w:val="00E202D0"/>
    <w:rsid w:val="00E214A0"/>
    <w:rsid w:val="00E243D0"/>
    <w:rsid w:val="00E24E6F"/>
    <w:rsid w:val="00E2551F"/>
    <w:rsid w:val="00E2556E"/>
    <w:rsid w:val="00E25594"/>
    <w:rsid w:val="00E25F52"/>
    <w:rsid w:val="00E26493"/>
    <w:rsid w:val="00E264B2"/>
    <w:rsid w:val="00E26C20"/>
    <w:rsid w:val="00E3033C"/>
    <w:rsid w:val="00E30922"/>
    <w:rsid w:val="00E30BFA"/>
    <w:rsid w:val="00E30F62"/>
    <w:rsid w:val="00E32067"/>
    <w:rsid w:val="00E3275F"/>
    <w:rsid w:val="00E32E75"/>
    <w:rsid w:val="00E331C5"/>
    <w:rsid w:val="00E335F3"/>
    <w:rsid w:val="00E34C4A"/>
    <w:rsid w:val="00E34D39"/>
    <w:rsid w:val="00E357AA"/>
    <w:rsid w:val="00E35931"/>
    <w:rsid w:val="00E359C4"/>
    <w:rsid w:val="00E367CF"/>
    <w:rsid w:val="00E40696"/>
    <w:rsid w:val="00E40790"/>
    <w:rsid w:val="00E40B4F"/>
    <w:rsid w:val="00E41BF0"/>
    <w:rsid w:val="00E41D9D"/>
    <w:rsid w:val="00E41DD5"/>
    <w:rsid w:val="00E4320C"/>
    <w:rsid w:val="00E43C1F"/>
    <w:rsid w:val="00E440DE"/>
    <w:rsid w:val="00E44BCF"/>
    <w:rsid w:val="00E45020"/>
    <w:rsid w:val="00E45792"/>
    <w:rsid w:val="00E45D8F"/>
    <w:rsid w:val="00E46647"/>
    <w:rsid w:val="00E4736B"/>
    <w:rsid w:val="00E508D9"/>
    <w:rsid w:val="00E50B96"/>
    <w:rsid w:val="00E50FCB"/>
    <w:rsid w:val="00E51129"/>
    <w:rsid w:val="00E511FC"/>
    <w:rsid w:val="00E5200B"/>
    <w:rsid w:val="00E521C2"/>
    <w:rsid w:val="00E522B5"/>
    <w:rsid w:val="00E5356E"/>
    <w:rsid w:val="00E538B9"/>
    <w:rsid w:val="00E54A6E"/>
    <w:rsid w:val="00E56B67"/>
    <w:rsid w:val="00E56DE0"/>
    <w:rsid w:val="00E56F1D"/>
    <w:rsid w:val="00E603B8"/>
    <w:rsid w:val="00E6239E"/>
    <w:rsid w:val="00E63E24"/>
    <w:rsid w:val="00E64660"/>
    <w:rsid w:val="00E65398"/>
    <w:rsid w:val="00E70680"/>
    <w:rsid w:val="00E715C5"/>
    <w:rsid w:val="00E71BD0"/>
    <w:rsid w:val="00E71D3A"/>
    <w:rsid w:val="00E72834"/>
    <w:rsid w:val="00E72904"/>
    <w:rsid w:val="00E73F0F"/>
    <w:rsid w:val="00E74D5E"/>
    <w:rsid w:val="00E74ED9"/>
    <w:rsid w:val="00E74F69"/>
    <w:rsid w:val="00E75068"/>
    <w:rsid w:val="00E752C8"/>
    <w:rsid w:val="00E76461"/>
    <w:rsid w:val="00E76F5E"/>
    <w:rsid w:val="00E77BB9"/>
    <w:rsid w:val="00E80155"/>
    <w:rsid w:val="00E80380"/>
    <w:rsid w:val="00E826B1"/>
    <w:rsid w:val="00E82BFC"/>
    <w:rsid w:val="00E836B1"/>
    <w:rsid w:val="00E8375C"/>
    <w:rsid w:val="00E83CB4"/>
    <w:rsid w:val="00E855D4"/>
    <w:rsid w:val="00E85C97"/>
    <w:rsid w:val="00E861CD"/>
    <w:rsid w:val="00E86B7B"/>
    <w:rsid w:val="00E8750C"/>
    <w:rsid w:val="00E87697"/>
    <w:rsid w:val="00E8791B"/>
    <w:rsid w:val="00E90EB5"/>
    <w:rsid w:val="00E925C9"/>
    <w:rsid w:val="00E935C7"/>
    <w:rsid w:val="00E93BAF"/>
    <w:rsid w:val="00E9495D"/>
    <w:rsid w:val="00E9656B"/>
    <w:rsid w:val="00E96EA1"/>
    <w:rsid w:val="00E970D8"/>
    <w:rsid w:val="00E97193"/>
    <w:rsid w:val="00E97FF3"/>
    <w:rsid w:val="00EA0265"/>
    <w:rsid w:val="00EA043A"/>
    <w:rsid w:val="00EA1778"/>
    <w:rsid w:val="00EA1AA8"/>
    <w:rsid w:val="00EA29F5"/>
    <w:rsid w:val="00EA4123"/>
    <w:rsid w:val="00EA42D1"/>
    <w:rsid w:val="00EA43B2"/>
    <w:rsid w:val="00EA4BCE"/>
    <w:rsid w:val="00EA4C07"/>
    <w:rsid w:val="00EA5138"/>
    <w:rsid w:val="00EA5318"/>
    <w:rsid w:val="00EA5468"/>
    <w:rsid w:val="00EA5EA3"/>
    <w:rsid w:val="00EA6587"/>
    <w:rsid w:val="00EA662F"/>
    <w:rsid w:val="00EA668F"/>
    <w:rsid w:val="00EA6EE4"/>
    <w:rsid w:val="00EB00BE"/>
    <w:rsid w:val="00EB09B8"/>
    <w:rsid w:val="00EB0A69"/>
    <w:rsid w:val="00EB0B06"/>
    <w:rsid w:val="00EB0EA3"/>
    <w:rsid w:val="00EB1233"/>
    <w:rsid w:val="00EB1B15"/>
    <w:rsid w:val="00EB1B9D"/>
    <w:rsid w:val="00EB1BD7"/>
    <w:rsid w:val="00EB2231"/>
    <w:rsid w:val="00EB3EEE"/>
    <w:rsid w:val="00EB4AEA"/>
    <w:rsid w:val="00EB4BBB"/>
    <w:rsid w:val="00EB4BDF"/>
    <w:rsid w:val="00EB4CD1"/>
    <w:rsid w:val="00EB5E8D"/>
    <w:rsid w:val="00EB6A19"/>
    <w:rsid w:val="00EC03B5"/>
    <w:rsid w:val="00EC0611"/>
    <w:rsid w:val="00EC07BE"/>
    <w:rsid w:val="00EC0D3F"/>
    <w:rsid w:val="00EC12A8"/>
    <w:rsid w:val="00EC1448"/>
    <w:rsid w:val="00EC18EB"/>
    <w:rsid w:val="00EC220C"/>
    <w:rsid w:val="00EC237E"/>
    <w:rsid w:val="00EC2F62"/>
    <w:rsid w:val="00EC4151"/>
    <w:rsid w:val="00EC492F"/>
    <w:rsid w:val="00EC5C07"/>
    <w:rsid w:val="00EC624F"/>
    <w:rsid w:val="00EC764A"/>
    <w:rsid w:val="00EC7670"/>
    <w:rsid w:val="00EC76FE"/>
    <w:rsid w:val="00ED0180"/>
    <w:rsid w:val="00ED1135"/>
    <w:rsid w:val="00ED1957"/>
    <w:rsid w:val="00ED27A5"/>
    <w:rsid w:val="00ED2BD9"/>
    <w:rsid w:val="00ED2C87"/>
    <w:rsid w:val="00ED2CC2"/>
    <w:rsid w:val="00ED2FD0"/>
    <w:rsid w:val="00ED35FE"/>
    <w:rsid w:val="00ED3BD6"/>
    <w:rsid w:val="00ED423C"/>
    <w:rsid w:val="00ED4339"/>
    <w:rsid w:val="00ED473A"/>
    <w:rsid w:val="00ED4B45"/>
    <w:rsid w:val="00ED507F"/>
    <w:rsid w:val="00ED5317"/>
    <w:rsid w:val="00ED5353"/>
    <w:rsid w:val="00ED582B"/>
    <w:rsid w:val="00EE0034"/>
    <w:rsid w:val="00EE05C2"/>
    <w:rsid w:val="00EE0909"/>
    <w:rsid w:val="00EE092D"/>
    <w:rsid w:val="00EE0EFF"/>
    <w:rsid w:val="00EE1288"/>
    <w:rsid w:val="00EE15D4"/>
    <w:rsid w:val="00EE236F"/>
    <w:rsid w:val="00EE2F7C"/>
    <w:rsid w:val="00EE32E5"/>
    <w:rsid w:val="00EE5410"/>
    <w:rsid w:val="00EE5A35"/>
    <w:rsid w:val="00EE6203"/>
    <w:rsid w:val="00EE6856"/>
    <w:rsid w:val="00EE7211"/>
    <w:rsid w:val="00EE7806"/>
    <w:rsid w:val="00EE7932"/>
    <w:rsid w:val="00EF0E8D"/>
    <w:rsid w:val="00EF14F7"/>
    <w:rsid w:val="00EF1D06"/>
    <w:rsid w:val="00EF1D2E"/>
    <w:rsid w:val="00EF25CD"/>
    <w:rsid w:val="00EF2FA3"/>
    <w:rsid w:val="00EF33C2"/>
    <w:rsid w:val="00EF3D04"/>
    <w:rsid w:val="00EF4719"/>
    <w:rsid w:val="00EF4CFB"/>
    <w:rsid w:val="00EF4F4C"/>
    <w:rsid w:val="00EF50E6"/>
    <w:rsid w:val="00EF55B2"/>
    <w:rsid w:val="00EF58BA"/>
    <w:rsid w:val="00EF648B"/>
    <w:rsid w:val="00EF6AF6"/>
    <w:rsid w:val="00EF6DBB"/>
    <w:rsid w:val="00EF6EBF"/>
    <w:rsid w:val="00EF7E97"/>
    <w:rsid w:val="00F0040D"/>
    <w:rsid w:val="00F01751"/>
    <w:rsid w:val="00F01E28"/>
    <w:rsid w:val="00F02069"/>
    <w:rsid w:val="00F02A61"/>
    <w:rsid w:val="00F02A68"/>
    <w:rsid w:val="00F0335B"/>
    <w:rsid w:val="00F0368B"/>
    <w:rsid w:val="00F043CB"/>
    <w:rsid w:val="00F05163"/>
    <w:rsid w:val="00F05522"/>
    <w:rsid w:val="00F05987"/>
    <w:rsid w:val="00F05EB7"/>
    <w:rsid w:val="00F06F37"/>
    <w:rsid w:val="00F07905"/>
    <w:rsid w:val="00F07FAE"/>
    <w:rsid w:val="00F1013B"/>
    <w:rsid w:val="00F1039F"/>
    <w:rsid w:val="00F10D4F"/>
    <w:rsid w:val="00F10F38"/>
    <w:rsid w:val="00F10F9F"/>
    <w:rsid w:val="00F13CEC"/>
    <w:rsid w:val="00F14118"/>
    <w:rsid w:val="00F147AB"/>
    <w:rsid w:val="00F14C37"/>
    <w:rsid w:val="00F15251"/>
    <w:rsid w:val="00F152EB"/>
    <w:rsid w:val="00F15F3E"/>
    <w:rsid w:val="00F20190"/>
    <w:rsid w:val="00F201BA"/>
    <w:rsid w:val="00F20E4A"/>
    <w:rsid w:val="00F216E0"/>
    <w:rsid w:val="00F22197"/>
    <w:rsid w:val="00F221D6"/>
    <w:rsid w:val="00F311DF"/>
    <w:rsid w:val="00F31258"/>
    <w:rsid w:val="00F31922"/>
    <w:rsid w:val="00F31B66"/>
    <w:rsid w:val="00F32056"/>
    <w:rsid w:val="00F335E9"/>
    <w:rsid w:val="00F347BC"/>
    <w:rsid w:val="00F35217"/>
    <w:rsid w:val="00F3675C"/>
    <w:rsid w:val="00F36F6D"/>
    <w:rsid w:val="00F3711E"/>
    <w:rsid w:val="00F37903"/>
    <w:rsid w:val="00F415A0"/>
    <w:rsid w:val="00F4163F"/>
    <w:rsid w:val="00F428DE"/>
    <w:rsid w:val="00F42D7B"/>
    <w:rsid w:val="00F42E93"/>
    <w:rsid w:val="00F44443"/>
    <w:rsid w:val="00F44589"/>
    <w:rsid w:val="00F44A39"/>
    <w:rsid w:val="00F4624C"/>
    <w:rsid w:val="00F468C7"/>
    <w:rsid w:val="00F4764F"/>
    <w:rsid w:val="00F5096C"/>
    <w:rsid w:val="00F5113B"/>
    <w:rsid w:val="00F52E56"/>
    <w:rsid w:val="00F533F6"/>
    <w:rsid w:val="00F53983"/>
    <w:rsid w:val="00F5445B"/>
    <w:rsid w:val="00F5564A"/>
    <w:rsid w:val="00F5591A"/>
    <w:rsid w:val="00F569C0"/>
    <w:rsid w:val="00F574DD"/>
    <w:rsid w:val="00F5758D"/>
    <w:rsid w:val="00F604E3"/>
    <w:rsid w:val="00F6086C"/>
    <w:rsid w:val="00F60AA6"/>
    <w:rsid w:val="00F60B04"/>
    <w:rsid w:val="00F60D28"/>
    <w:rsid w:val="00F61E4A"/>
    <w:rsid w:val="00F622DF"/>
    <w:rsid w:val="00F647EA"/>
    <w:rsid w:val="00F65198"/>
    <w:rsid w:val="00F66088"/>
    <w:rsid w:val="00F66992"/>
    <w:rsid w:val="00F6712E"/>
    <w:rsid w:val="00F6794E"/>
    <w:rsid w:val="00F72F48"/>
    <w:rsid w:val="00F730A6"/>
    <w:rsid w:val="00F7352C"/>
    <w:rsid w:val="00F73D05"/>
    <w:rsid w:val="00F744E7"/>
    <w:rsid w:val="00F74DFC"/>
    <w:rsid w:val="00F75B8F"/>
    <w:rsid w:val="00F75F63"/>
    <w:rsid w:val="00F802BB"/>
    <w:rsid w:val="00F805B9"/>
    <w:rsid w:val="00F80FC3"/>
    <w:rsid w:val="00F8179C"/>
    <w:rsid w:val="00F819EE"/>
    <w:rsid w:val="00F81AE9"/>
    <w:rsid w:val="00F82C10"/>
    <w:rsid w:val="00F830C2"/>
    <w:rsid w:val="00F83672"/>
    <w:rsid w:val="00F83FC2"/>
    <w:rsid w:val="00F869DA"/>
    <w:rsid w:val="00F876AF"/>
    <w:rsid w:val="00F879BC"/>
    <w:rsid w:val="00F87E85"/>
    <w:rsid w:val="00F90B96"/>
    <w:rsid w:val="00F9114D"/>
    <w:rsid w:val="00F91422"/>
    <w:rsid w:val="00F917BD"/>
    <w:rsid w:val="00F91FEA"/>
    <w:rsid w:val="00F93404"/>
    <w:rsid w:val="00F93CC9"/>
    <w:rsid w:val="00F965DC"/>
    <w:rsid w:val="00F96872"/>
    <w:rsid w:val="00F976C6"/>
    <w:rsid w:val="00F97B22"/>
    <w:rsid w:val="00FA0276"/>
    <w:rsid w:val="00FA06CB"/>
    <w:rsid w:val="00FA0E92"/>
    <w:rsid w:val="00FA1149"/>
    <w:rsid w:val="00FA12BD"/>
    <w:rsid w:val="00FA38FB"/>
    <w:rsid w:val="00FA66BD"/>
    <w:rsid w:val="00FA6D1A"/>
    <w:rsid w:val="00FA7856"/>
    <w:rsid w:val="00FA7CAE"/>
    <w:rsid w:val="00FB4E13"/>
    <w:rsid w:val="00FB51C2"/>
    <w:rsid w:val="00FB641B"/>
    <w:rsid w:val="00FB6A11"/>
    <w:rsid w:val="00FB71FD"/>
    <w:rsid w:val="00FB7B82"/>
    <w:rsid w:val="00FC2014"/>
    <w:rsid w:val="00FC336E"/>
    <w:rsid w:val="00FC33CC"/>
    <w:rsid w:val="00FC36AA"/>
    <w:rsid w:val="00FC65B7"/>
    <w:rsid w:val="00FC6B00"/>
    <w:rsid w:val="00FC6F60"/>
    <w:rsid w:val="00FC701A"/>
    <w:rsid w:val="00FC7113"/>
    <w:rsid w:val="00FC7722"/>
    <w:rsid w:val="00FC797E"/>
    <w:rsid w:val="00FD013E"/>
    <w:rsid w:val="00FD078D"/>
    <w:rsid w:val="00FD153F"/>
    <w:rsid w:val="00FD2AB2"/>
    <w:rsid w:val="00FD2CD4"/>
    <w:rsid w:val="00FD3B0E"/>
    <w:rsid w:val="00FD40E0"/>
    <w:rsid w:val="00FD4856"/>
    <w:rsid w:val="00FD4BF1"/>
    <w:rsid w:val="00FD5064"/>
    <w:rsid w:val="00FD5A76"/>
    <w:rsid w:val="00FD5F0F"/>
    <w:rsid w:val="00FD609C"/>
    <w:rsid w:val="00FD65DC"/>
    <w:rsid w:val="00FD75B7"/>
    <w:rsid w:val="00FD7FD9"/>
    <w:rsid w:val="00FE028F"/>
    <w:rsid w:val="00FE0787"/>
    <w:rsid w:val="00FE0DB3"/>
    <w:rsid w:val="00FE0F80"/>
    <w:rsid w:val="00FE17F5"/>
    <w:rsid w:val="00FE1C2D"/>
    <w:rsid w:val="00FE30A8"/>
    <w:rsid w:val="00FE35E7"/>
    <w:rsid w:val="00FE43C7"/>
    <w:rsid w:val="00FE4D27"/>
    <w:rsid w:val="00FE5894"/>
    <w:rsid w:val="00FE669B"/>
    <w:rsid w:val="00FE7A21"/>
    <w:rsid w:val="00FF0550"/>
    <w:rsid w:val="00FF075B"/>
    <w:rsid w:val="00FF08C3"/>
    <w:rsid w:val="00FF1397"/>
    <w:rsid w:val="00FF1785"/>
    <w:rsid w:val="00FF17EE"/>
    <w:rsid w:val="00FF1CC9"/>
    <w:rsid w:val="00FF2AC3"/>
    <w:rsid w:val="00FF3FBB"/>
    <w:rsid w:val="00FF58B9"/>
    <w:rsid w:val="00FF58D6"/>
    <w:rsid w:val="00FF5A9A"/>
    <w:rsid w:val="00FF5B20"/>
    <w:rsid w:val="00FF5BEF"/>
    <w:rsid w:val="00FF5F0A"/>
    <w:rsid w:val="00FF60BF"/>
    <w:rsid w:val="00FF6D14"/>
    <w:rsid w:val="00FF6DFB"/>
    <w:rsid w:val="00FF75D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E9B9E"/>
  <w15:docId w15:val="{302BBE28-8A8D-46DE-BDD8-68137AA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3"/>
    <w:qFormat/>
    <w:rsid w:val="006E6427"/>
    <w:pPr>
      <w:keepNext/>
      <w:numPr>
        <w:numId w:val="1"/>
      </w:numPr>
      <w:spacing w:after="240" w:line="264" w:lineRule="auto"/>
      <w:jc w:val="center"/>
      <w:outlineLvl w:val="0"/>
    </w:pPr>
    <w:rPr>
      <w:rFonts w:ascii="Times New Roman" w:eastAsia="SimSun" w:hAnsi="Times New Roman" w:cs="Arial"/>
      <w:b/>
      <w:bCs/>
      <w:smallCaps/>
      <w:kern w:val="28"/>
      <w:sz w:val="24"/>
      <w:szCs w:val="32"/>
      <w:lang w:val="en-US"/>
    </w:rPr>
  </w:style>
  <w:style w:type="paragraph" w:styleId="Heading2">
    <w:name w:val="heading 2"/>
    <w:basedOn w:val="Normal"/>
    <w:next w:val="Normal"/>
    <w:link w:val="Heading2Char"/>
    <w:qFormat/>
    <w:rsid w:val="006E6427"/>
    <w:pPr>
      <w:keepNext/>
      <w:numPr>
        <w:ilvl w:val="1"/>
        <w:numId w:val="1"/>
      </w:numPr>
      <w:spacing w:after="240" w:line="264" w:lineRule="auto"/>
      <w:ind w:left="0"/>
      <w:jc w:val="center"/>
      <w:outlineLvl w:val="1"/>
    </w:pPr>
    <w:rPr>
      <w:rFonts w:ascii="Times New Roman" w:eastAsia="SimSun" w:hAnsi="Times New Roman" w:cs="Arial"/>
      <w:b/>
      <w:bCs/>
      <w:iCs/>
      <w:sz w:val="24"/>
      <w:szCs w:val="28"/>
      <w:lang w:val="en-US"/>
    </w:rPr>
  </w:style>
  <w:style w:type="paragraph" w:styleId="Heading3">
    <w:name w:val="heading 3"/>
    <w:basedOn w:val="Normal"/>
    <w:next w:val="Normal"/>
    <w:link w:val="Heading3Char"/>
    <w:uiPriority w:val="9"/>
    <w:semiHidden/>
    <w:unhideWhenUsed/>
    <w:qFormat/>
    <w:rsid w:val="00E175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7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725"/>
    <w:rPr>
      <w:rFonts w:ascii="Tahoma" w:hAnsi="Tahoma" w:cs="Tahoma"/>
      <w:sz w:val="16"/>
      <w:szCs w:val="16"/>
    </w:rPr>
  </w:style>
  <w:style w:type="character" w:customStyle="1" w:styleId="Heading1Char">
    <w:name w:val="Heading 1 Char"/>
    <w:basedOn w:val="DefaultParagraphFont"/>
    <w:link w:val="Heading1"/>
    <w:uiPriority w:val="3"/>
    <w:rsid w:val="006E6427"/>
    <w:rPr>
      <w:rFonts w:ascii="Times New Roman" w:eastAsia="SimSun" w:hAnsi="Times New Roman" w:cs="Arial"/>
      <w:b/>
      <w:bCs/>
      <w:smallCaps/>
      <w:kern w:val="28"/>
      <w:sz w:val="24"/>
      <w:szCs w:val="32"/>
      <w:lang w:val="en-US"/>
    </w:rPr>
  </w:style>
  <w:style w:type="character" w:customStyle="1" w:styleId="Heading2Char">
    <w:name w:val="Heading 2 Char"/>
    <w:basedOn w:val="DefaultParagraphFont"/>
    <w:link w:val="Heading2"/>
    <w:rsid w:val="006E6427"/>
    <w:rPr>
      <w:rFonts w:ascii="Times New Roman" w:eastAsia="SimSun" w:hAnsi="Times New Roman" w:cs="Arial"/>
      <w:b/>
      <w:bCs/>
      <w:iCs/>
      <w:sz w:val="24"/>
      <w:szCs w:val="28"/>
      <w:lang w:val="en-US"/>
    </w:rPr>
  </w:style>
  <w:style w:type="paragraph" w:customStyle="1" w:styleId="ParagraphNumbering">
    <w:name w:val="Paragraph Numbering"/>
    <w:basedOn w:val="Normal"/>
    <w:link w:val="ParagraphNumberingChar"/>
    <w:qFormat/>
    <w:rsid w:val="006E6427"/>
    <w:pPr>
      <w:numPr>
        <w:numId w:val="2"/>
      </w:numPr>
      <w:tabs>
        <w:tab w:val="clear" w:pos="1440"/>
        <w:tab w:val="num" w:pos="1080"/>
        <w:tab w:val="num" w:pos="1800"/>
      </w:tabs>
      <w:spacing w:after="240" w:line="264" w:lineRule="auto"/>
      <w:ind w:left="0"/>
    </w:pPr>
    <w:rPr>
      <w:rFonts w:ascii="Times New Roman" w:eastAsia="SimSun" w:hAnsi="Times New Roman" w:cs="Times New Roman"/>
      <w:sz w:val="24"/>
      <w:szCs w:val="24"/>
      <w:lang w:val="en-US"/>
    </w:rPr>
  </w:style>
  <w:style w:type="character" w:customStyle="1" w:styleId="ParagraphNumberingChar">
    <w:name w:val="Paragraph Numbering Char"/>
    <w:basedOn w:val="DefaultParagraphFont"/>
    <w:link w:val="ParagraphNumbering"/>
    <w:rsid w:val="006E6427"/>
    <w:rPr>
      <w:rFonts w:ascii="Times New Roman" w:eastAsia="SimSun" w:hAnsi="Times New Roman" w:cs="Times New Roman"/>
      <w:sz w:val="24"/>
      <w:szCs w:val="24"/>
      <w:lang w:val="en-US"/>
    </w:rPr>
  </w:style>
  <w:style w:type="paragraph" w:styleId="ListBullet">
    <w:name w:val="List Bullet"/>
    <w:basedOn w:val="Normal"/>
    <w:uiPriority w:val="2"/>
    <w:qFormat/>
    <w:rsid w:val="006E6427"/>
    <w:pPr>
      <w:numPr>
        <w:numId w:val="3"/>
      </w:numPr>
      <w:tabs>
        <w:tab w:val="clear" w:pos="360"/>
      </w:tabs>
      <w:spacing w:after="240" w:line="264" w:lineRule="auto"/>
      <w:ind w:left="720" w:hanging="720"/>
    </w:pPr>
    <w:rPr>
      <w:rFonts w:ascii="Times New Roman" w:eastAsia="SimSun" w:hAnsi="Times New Roman" w:cs="Times New Roman"/>
      <w:sz w:val="24"/>
      <w:szCs w:val="20"/>
      <w:lang w:val="en-US"/>
    </w:rPr>
  </w:style>
  <w:style w:type="character" w:styleId="FootnoteReference">
    <w:name w:val="footnote reference"/>
    <w:aliases w:val="ftref,referencia nota al pie,Fußnotenzeichen DISS,Footnote Reference1,Ref,de nota al pie,16 Point,Superscript 6 Point,Знак сноски 1,FC,titulo 2,Style 24,pie pddes,Stinking Styles11,Texto de nota al pie,Footnote symbol,Знак сноски-FN"/>
    <w:basedOn w:val="DefaultParagraphFont"/>
    <w:link w:val="Char2"/>
    <w:uiPriority w:val="99"/>
    <w:qFormat/>
    <w:rsid w:val="006E6427"/>
    <w:rPr>
      <w:vertAlign w:val="superscript"/>
    </w:rPr>
  </w:style>
  <w:style w:type="paragraph" w:styleId="ListParagraph">
    <w:name w:val="List Paragraph"/>
    <w:basedOn w:val="Normal"/>
    <w:uiPriority w:val="34"/>
    <w:qFormat/>
    <w:rsid w:val="006E6427"/>
    <w:pPr>
      <w:spacing w:after="0" w:line="264" w:lineRule="auto"/>
      <w:contextualSpacing/>
    </w:pPr>
    <w:rPr>
      <w:rFonts w:ascii="Times New Roman" w:hAnsi="Times New Roman" w:cs="Times New Roman"/>
      <w:sz w:val="24"/>
      <w:szCs w:val="24"/>
      <w:lang w:val="en-US"/>
    </w:rPr>
  </w:style>
  <w:style w:type="paragraph" w:styleId="FootnoteText">
    <w:name w:val="footnote text"/>
    <w:aliases w:val="fn,Footnote Text Char1 Char1,Footnote Text Char Char Char1,Footnote Text Char1 Char Char,Footnote Text Char Char Char Char,Footnote Text Char Char Char Char Char Char,single space,FOOTNOTES,WB-Fußnotentext, Car,ft,footnote,Texto,nota,F"/>
    <w:basedOn w:val="Normal"/>
    <w:link w:val="FootnoteTextChar"/>
    <w:uiPriority w:val="99"/>
    <w:qFormat/>
    <w:rsid w:val="00AE29E1"/>
    <w:pPr>
      <w:spacing w:after="240" w:line="264" w:lineRule="auto"/>
    </w:pPr>
    <w:rPr>
      <w:rFonts w:ascii="Times New Roman" w:eastAsia="SimSun" w:hAnsi="Times New Roman" w:cs="Times New Roman"/>
      <w:sz w:val="20"/>
      <w:szCs w:val="20"/>
      <w:lang w:val="en-US"/>
    </w:rPr>
  </w:style>
  <w:style w:type="character" w:customStyle="1" w:styleId="FootnoteTextChar">
    <w:name w:val="Footnote Text Char"/>
    <w:aliases w:val="fn Char,Footnote Text Char1 Char1 Char,Footnote Text Char Char Char1 Char,Footnote Text Char1 Char Char Char,Footnote Text Char Char Char Char Char,Footnote Text Char Char Char Char Char Char Char,single space Char,FOOTNOTES Char"/>
    <w:basedOn w:val="DefaultParagraphFont"/>
    <w:link w:val="FootnoteText"/>
    <w:uiPriority w:val="99"/>
    <w:rsid w:val="00AE29E1"/>
    <w:rPr>
      <w:rFonts w:ascii="Times New Roman" w:eastAsia="SimSun" w:hAnsi="Times New Roman" w:cs="Times New Roman"/>
      <w:sz w:val="20"/>
      <w:szCs w:val="20"/>
      <w:lang w:val="en-US"/>
    </w:rPr>
  </w:style>
  <w:style w:type="character" w:customStyle="1" w:styleId="Heading3Char">
    <w:name w:val="Heading 3 Char"/>
    <w:basedOn w:val="DefaultParagraphFont"/>
    <w:link w:val="Heading3"/>
    <w:uiPriority w:val="9"/>
    <w:semiHidden/>
    <w:rsid w:val="00E175D7"/>
    <w:rPr>
      <w:rFonts w:asciiTheme="majorHAnsi" w:eastAsiaTheme="majorEastAsia" w:hAnsiTheme="majorHAnsi" w:cstheme="majorBidi"/>
      <w:b/>
      <w:bCs/>
      <w:color w:val="4F81BD" w:themeColor="accent1"/>
    </w:rPr>
  </w:style>
  <w:style w:type="paragraph" w:customStyle="1" w:styleId="ecxparagraphnumbering">
    <w:name w:val="ecxparagraphnumbering"/>
    <w:basedOn w:val="Normal"/>
    <w:rsid w:val="00E175D7"/>
    <w:pPr>
      <w:spacing w:after="324"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88194B"/>
    <w:pPr>
      <w:spacing w:after="0" w:line="240" w:lineRule="auto"/>
    </w:pPr>
    <w:rPr>
      <w:sz w:val="24"/>
      <w:szCs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8819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Estilo4">
    <w:name w:val="Estilo 4"/>
    <w:basedOn w:val="ListParagraph"/>
    <w:link w:val="Estilo4Char"/>
    <w:qFormat/>
    <w:rsid w:val="0098452E"/>
    <w:pPr>
      <w:numPr>
        <w:numId w:val="4"/>
      </w:numPr>
      <w:spacing w:after="200" w:line="480" w:lineRule="auto"/>
      <w:jc w:val="both"/>
    </w:pPr>
    <w:rPr>
      <w:lang w:val="es-ES_tradnl"/>
    </w:rPr>
  </w:style>
  <w:style w:type="character" w:customStyle="1" w:styleId="Estilo4Char">
    <w:name w:val="Estilo 4 Char"/>
    <w:basedOn w:val="DefaultParagraphFont"/>
    <w:link w:val="Estilo4"/>
    <w:rsid w:val="0098452E"/>
    <w:rPr>
      <w:rFonts w:ascii="Times New Roman" w:hAnsi="Times New Roman" w:cs="Times New Roman"/>
      <w:sz w:val="24"/>
      <w:szCs w:val="24"/>
      <w:lang w:val="es-ES_tradnl"/>
    </w:rPr>
  </w:style>
  <w:style w:type="character" w:styleId="CommentReference">
    <w:name w:val="annotation reference"/>
    <w:basedOn w:val="DefaultParagraphFont"/>
    <w:uiPriority w:val="99"/>
    <w:semiHidden/>
    <w:unhideWhenUsed/>
    <w:rsid w:val="0098452E"/>
    <w:rPr>
      <w:sz w:val="16"/>
      <w:szCs w:val="16"/>
    </w:rPr>
  </w:style>
  <w:style w:type="paragraph" w:styleId="CommentText">
    <w:name w:val="annotation text"/>
    <w:basedOn w:val="Normal"/>
    <w:link w:val="CommentTextChar"/>
    <w:uiPriority w:val="99"/>
    <w:unhideWhenUsed/>
    <w:rsid w:val="0098452E"/>
    <w:pPr>
      <w:spacing w:line="240" w:lineRule="auto"/>
    </w:pPr>
    <w:rPr>
      <w:sz w:val="20"/>
      <w:szCs w:val="20"/>
    </w:rPr>
  </w:style>
  <w:style w:type="character" w:customStyle="1" w:styleId="CommentTextChar">
    <w:name w:val="Comment Text Char"/>
    <w:basedOn w:val="DefaultParagraphFont"/>
    <w:link w:val="CommentText"/>
    <w:uiPriority w:val="99"/>
    <w:rsid w:val="0098452E"/>
    <w:rPr>
      <w:rFonts w:eastAsiaTheme="minorEastAsia"/>
      <w:sz w:val="20"/>
      <w:szCs w:val="20"/>
      <w:lang w:eastAsia="es-ES"/>
    </w:rPr>
  </w:style>
  <w:style w:type="paragraph" w:styleId="NoSpacing">
    <w:name w:val="No Spacing"/>
    <w:uiPriority w:val="1"/>
    <w:qFormat/>
    <w:rsid w:val="0098452E"/>
    <w:pPr>
      <w:spacing w:after="0" w:line="240" w:lineRule="auto"/>
    </w:pPr>
  </w:style>
  <w:style w:type="character" w:styleId="Hyperlink">
    <w:name w:val="Hyperlink"/>
    <w:basedOn w:val="DefaultParagraphFont"/>
    <w:uiPriority w:val="99"/>
    <w:unhideWhenUsed/>
    <w:rsid w:val="0098452E"/>
    <w:rPr>
      <w:color w:val="0000FF" w:themeColor="hyperlink"/>
      <w:u w:val="single"/>
    </w:rPr>
  </w:style>
  <w:style w:type="paragraph" w:customStyle="1" w:styleId="Estilo1">
    <w:name w:val="Estilo 1"/>
    <w:basedOn w:val="ListParagraph"/>
    <w:link w:val="Estilo1Char"/>
    <w:qFormat/>
    <w:rsid w:val="00FE669B"/>
    <w:pPr>
      <w:numPr>
        <w:numId w:val="5"/>
      </w:numPr>
      <w:spacing w:after="200" w:line="480" w:lineRule="auto"/>
      <w:ind w:hanging="540"/>
      <w:jc w:val="both"/>
    </w:pPr>
    <w:rPr>
      <w:b/>
      <w:sz w:val="28"/>
      <w:szCs w:val="28"/>
      <w:lang w:val="es-ES_tradnl"/>
    </w:rPr>
  </w:style>
  <w:style w:type="character" w:customStyle="1" w:styleId="Estilo1Char">
    <w:name w:val="Estilo 1 Char"/>
    <w:basedOn w:val="DefaultParagraphFont"/>
    <w:link w:val="Estilo1"/>
    <w:rsid w:val="00FE669B"/>
    <w:rPr>
      <w:rFonts w:ascii="Times New Roman" w:hAnsi="Times New Roman" w:cs="Times New Roman"/>
      <w:b/>
      <w:sz w:val="28"/>
      <w:szCs w:val="28"/>
      <w:lang w:val="es-ES_tradnl"/>
    </w:rPr>
  </w:style>
  <w:style w:type="paragraph" w:styleId="Header">
    <w:name w:val="header"/>
    <w:basedOn w:val="Normal"/>
    <w:link w:val="HeaderChar"/>
    <w:uiPriority w:val="99"/>
    <w:unhideWhenUsed/>
    <w:rsid w:val="00854F24"/>
    <w:pPr>
      <w:tabs>
        <w:tab w:val="center" w:pos="4252"/>
        <w:tab w:val="right" w:pos="8504"/>
      </w:tabs>
      <w:spacing w:after="0" w:line="240" w:lineRule="auto"/>
    </w:pPr>
  </w:style>
  <w:style w:type="character" w:customStyle="1" w:styleId="HeaderChar">
    <w:name w:val="Header Char"/>
    <w:basedOn w:val="DefaultParagraphFont"/>
    <w:link w:val="Header"/>
    <w:uiPriority w:val="99"/>
    <w:rsid w:val="00854F24"/>
  </w:style>
  <w:style w:type="paragraph" w:styleId="Footer">
    <w:name w:val="footer"/>
    <w:basedOn w:val="Normal"/>
    <w:link w:val="FooterChar"/>
    <w:uiPriority w:val="99"/>
    <w:unhideWhenUsed/>
    <w:rsid w:val="00854F24"/>
    <w:pPr>
      <w:tabs>
        <w:tab w:val="center" w:pos="4252"/>
        <w:tab w:val="right" w:pos="8504"/>
      </w:tabs>
      <w:spacing w:after="0" w:line="240" w:lineRule="auto"/>
    </w:pPr>
  </w:style>
  <w:style w:type="character" w:customStyle="1" w:styleId="FooterChar">
    <w:name w:val="Footer Char"/>
    <w:basedOn w:val="DefaultParagraphFont"/>
    <w:link w:val="Footer"/>
    <w:uiPriority w:val="99"/>
    <w:rsid w:val="00854F24"/>
  </w:style>
  <w:style w:type="paragraph" w:customStyle="1" w:styleId="B">
    <w:name w:val="B"/>
    <w:basedOn w:val="Normal"/>
    <w:rsid w:val="002C71F9"/>
    <w:pPr>
      <w:spacing w:after="0" w:line="240" w:lineRule="auto"/>
      <w:ind w:right="567"/>
      <w:jc w:val="both"/>
    </w:pPr>
    <w:rPr>
      <w:rFonts w:ascii="Times New Roman" w:eastAsia="Times New Roman" w:hAnsi="Times New Roman" w:cs="Times New Roman"/>
      <w:sz w:val="24"/>
      <w:szCs w:val="20"/>
      <w:lang w:val="en-US"/>
    </w:rPr>
  </w:style>
  <w:style w:type="paragraph" w:customStyle="1" w:styleId="Sangradetindependiente">
    <w:name w:val="Sangría de t. independiente"/>
    <w:basedOn w:val="Default"/>
    <w:next w:val="Default"/>
    <w:uiPriority w:val="99"/>
    <w:rsid w:val="00934171"/>
    <w:rPr>
      <w:rFonts w:ascii="Century Gothic" w:hAnsi="Century Gothic" w:cstheme="minorBidi"/>
      <w:color w:val="auto"/>
    </w:rPr>
  </w:style>
  <w:style w:type="table" w:customStyle="1" w:styleId="Sombreadoclaro1">
    <w:name w:val="Sombreado claro1"/>
    <w:basedOn w:val="TableNormal"/>
    <w:uiPriority w:val="60"/>
    <w:rsid w:val="008D2336"/>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2">
    <w:name w:val="toc 2"/>
    <w:basedOn w:val="Normal"/>
    <w:next w:val="Normal"/>
    <w:autoRedefine/>
    <w:uiPriority w:val="39"/>
    <w:unhideWhenUsed/>
    <w:qFormat/>
    <w:rsid w:val="002A4C8C"/>
    <w:pPr>
      <w:spacing w:before="240" w:after="240"/>
      <w:jc w:val="both"/>
      <w:outlineLvl w:val="1"/>
    </w:pPr>
    <w:rPr>
      <w:rFonts w:ascii="Times New Roman" w:eastAsiaTheme="minorHAnsi" w:hAnsi="Times New Roman" w:cs="Times New Roman"/>
      <w:iCs/>
      <w:sz w:val="24"/>
      <w:szCs w:val="20"/>
      <w:lang w:eastAsia="en-US"/>
    </w:rPr>
  </w:style>
  <w:style w:type="table" w:customStyle="1" w:styleId="Tablanormal21">
    <w:name w:val="Tabla normal 21"/>
    <w:basedOn w:val="TableNormal"/>
    <w:uiPriority w:val="42"/>
    <w:rsid w:val="001E10D9"/>
    <w:pPr>
      <w:spacing w:after="0" w:line="240" w:lineRule="auto"/>
    </w:pPr>
    <w:rPr>
      <w:rFonts w:eastAsiaTheme="minorHAnsi"/>
      <w:lang w:val="es-C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uiPriority w:val="35"/>
    <w:unhideWhenUsed/>
    <w:qFormat/>
    <w:rsid w:val="001E10D9"/>
    <w:pPr>
      <w:spacing w:line="240" w:lineRule="auto"/>
    </w:pPr>
    <w:rPr>
      <w:rFonts w:eastAsiaTheme="minorHAnsi"/>
      <w:i/>
      <w:iCs/>
      <w:color w:val="1F497D" w:themeColor="text2"/>
      <w:sz w:val="18"/>
      <w:szCs w:val="18"/>
      <w:lang w:val="es-CR" w:eastAsia="en-US"/>
    </w:rPr>
  </w:style>
  <w:style w:type="table" w:customStyle="1" w:styleId="Tablanormal41">
    <w:name w:val="Tabla normal 41"/>
    <w:basedOn w:val="TableNormal"/>
    <w:uiPriority w:val="44"/>
    <w:rsid w:val="00842406"/>
    <w:pPr>
      <w:spacing w:after="0" w:line="240" w:lineRule="auto"/>
    </w:pPr>
    <w:rPr>
      <w:rFonts w:eastAsiaTheme="minorHAnsi"/>
      <w:lang w:val="es-C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uerpo">
    <w:name w:val="Cuerpo"/>
    <w:rsid w:val="00842406"/>
    <w:pPr>
      <w:pBdr>
        <w:top w:val="nil"/>
        <w:left w:val="nil"/>
        <w:bottom w:val="nil"/>
        <w:right w:val="nil"/>
        <w:between w:val="nil"/>
        <w:bar w:val="nil"/>
      </w:pBdr>
    </w:pPr>
    <w:rPr>
      <w:rFonts w:ascii="Calibri" w:eastAsia="Calibri" w:hAnsi="Calibri" w:cs="Calibri"/>
      <w:color w:val="000000"/>
      <w:u w:color="000000"/>
      <w:bdr w:val="nil"/>
      <w:lang w:val="es-ES_tradnl" w:eastAsia="es-CR"/>
    </w:rPr>
  </w:style>
  <w:style w:type="character" w:customStyle="1" w:styleId="Ninguno">
    <w:name w:val="Ninguno"/>
    <w:rsid w:val="00842406"/>
    <w:rPr>
      <w:lang w:val="es-ES_tradnl"/>
    </w:rPr>
  </w:style>
  <w:style w:type="numbering" w:customStyle="1" w:styleId="Estiloimportado1">
    <w:name w:val="Estilo importado 1"/>
    <w:rsid w:val="00842406"/>
    <w:pPr>
      <w:numPr>
        <w:numId w:val="23"/>
      </w:numPr>
    </w:pPr>
  </w:style>
  <w:style w:type="paragraph" w:styleId="NormalWeb">
    <w:name w:val="Normal (Web)"/>
    <w:basedOn w:val="Normal"/>
    <w:uiPriority w:val="99"/>
    <w:unhideWhenUsed/>
    <w:rsid w:val="00723F4B"/>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066ED3"/>
    <w:rPr>
      <w:b/>
      <w:bCs/>
    </w:rPr>
  </w:style>
  <w:style w:type="character" w:customStyle="1" w:styleId="CommentSubjectChar">
    <w:name w:val="Comment Subject Char"/>
    <w:basedOn w:val="CommentTextChar"/>
    <w:link w:val="CommentSubject"/>
    <w:uiPriority w:val="99"/>
    <w:semiHidden/>
    <w:rsid w:val="00066ED3"/>
    <w:rPr>
      <w:rFonts w:eastAsiaTheme="minorEastAsia"/>
      <w:b/>
      <w:bCs/>
      <w:sz w:val="20"/>
      <w:szCs w:val="20"/>
      <w:lang w:eastAsia="es-ES"/>
    </w:rPr>
  </w:style>
  <w:style w:type="paragraph" w:styleId="Revision">
    <w:name w:val="Revision"/>
    <w:hidden/>
    <w:uiPriority w:val="99"/>
    <w:semiHidden/>
    <w:rsid w:val="00401ADE"/>
    <w:pPr>
      <w:spacing w:after="0" w:line="240" w:lineRule="auto"/>
    </w:pPr>
  </w:style>
  <w:style w:type="character" w:customStyle="1" w:styleId="UnresolvedMention1">
    <w:name w:val="Unresolved Mention1"/>
    <w:basedOn w:val="DefaultParagraphFont"/>
    <w:uiPriority w:val="99"/>
    <w:semiHidden/>
    <w:unhideWhenUsed/>
    <w:rsid w:val="00304853"/>
    <w:rPr>
      <w:color w:val="808080"/>
      <w:shd w:val="clear" w:color="auto" w:fill="E6E6E6"/>
    </w:rPr>
  </w:style>
  <w:style w:type="paragraph" w:customStyle="1" w:styleId="Char2">
    <w:name w:val="Char2"/>
    <w:basedOn w:val="Normal"/>
    <w:link w:val="FootnoteReference"/>
    <w:uiPriority w:val="99"/>
    <w:rsid w:val="00D836F9"/>
    <w:pPr>
      <w:spacing w:after="160" w:line="240" w:lineRule="exact"/>
    </w:pPr>
    <w:rPr>
      <w:vertAlign w:val="superscript"/>
    </w:rPr>
  </w:style>
  <w:style w:type="character" w:styleId="FollowedHyperlink">
    <w:name w:val="FollowedHyperlink"/>
    <w:basedOn w:val="DefaultParagraphFont"/>
    <w:uiPriority w:val="99"/>
    <w:semiHidden/>
    <w:unhideWhenUsed/>
    <w:rsid w:val="000258E8"/>
    <w:rPr>
      <w:color w:val="800080" w:themeColor="followedHyperlink"/>
      <w:u w:val="single"/>
    </w:rPr>
  </w:style>
  <w:style w:type="paragraph" w:styleId="TOCHeading">
    <w:name w:val="TOC Heading"/>
    <w:basedOn w:val="Heading1"/>
    <w:next w:val="Normal"/>
    <w:uiPriority w:val="39"/>
    <w:unhideWhenUsed/>
    <w:qFormat/>
    <w:rsid w:val="006D2A9D"/>
    <w:pPr>
      <w:keepLines/>
      <w:numPr>
        <w:numId w:val="0"/>
      </w:numPr>
      <w:spacing w:before="240" w:after="0" w:line="259" w:lineRule="auto"/>
      <w:jc w:val="left"/>
      <w:outlineLvl w:val="9"/>
    </w:pPr>
    <w:rPr>
      <w:rFonts w:asciiTheme="majorHAnsi" w:eastAsiaTheme="majorEastAsia" w:hAnsiTheme="majorHAnsi" w:cstheme="majorBidi"/>
      <w:b w:val="0"/>
      <w:bCs w:val="0"/>
      <w:smallCaps w:val="0"/>
      <w:color w:val="365F91" w:themeColor="accent1" w:themeShade="BF"/>
      <w:kern w:val="0"/>
      <w:sz w:val="32"/>
      <w:lang w:eastAsia="en-US"/>
    </w:rPr>
  </w:style>
  <w:style w:type="paragraph" w:styleId="TOC1">
    <w:name w:val="toc 1"/>
    <w:basedOn w:val="Normal"/>
    <w:next w:val="Normal"/>
    <w:autoRedefine/>
    <w:uiPriority w:val="39"/>
    <w:unhideWhenUsed/>
    <w:rsid w:val="006D2A9D"/>
    <w:pPr>
      <w:spacing w:after="100"/>
    </w:pPr>
  </w:style>
  <w:style w:type="paragraph" w:styleId="TOC3">
    <w:name w:val="toc 3"/>
    <w:basedOn w:val="Normal"/>
    <w:next w:val="Normal"/>
    <w:autoRedefine/>
    <w:uiPriority w:val="39"/>
    <w:unhideWhenUsed/>
    <w:rsid w:val="006D2A9D"/>
    <w:pPr>
      <w:spacing w:after="100"/>
      <w:ind w:left="440"/>
    </w:pPr>
  </w:style>
  <w:style w:type="paragraph" w:styleId="TableofFigures">
    <w:name w:val="table of figures"/>
    <w:basedOn w:val="Normal"/>
    <w:next w:val="Normal"/>
    <w:uiPriority w:val="99"/>
    <w:unhideWhenUsed/>
    <w:rsid w:val="0025750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5033">
      <w:bodyDiv w:val="1"/>
      <w:marLeft w:val="0"/>
      <w:marRight w:val="0"/>
      <w:marTop w:val="0"/>
      <w:marBottom w:val="0"/>
      <w:divBdr>
        <w:top w:val="none" w:sz="0" w:space="0" w:color="auto"/>
        <w:left w:val="none" w:sz="0" w:space="0" w:color="auto"/>
        <w:bottom w:val="none" w:sz="0" w:space="0" w:color="auto"/>
        <w:right w:val="none" w:sz="0" w:space="0" w:color="auto"/>
      </w:divBdr>
    </w:div>
    <w:div w:id="125900988">
      <w:bodyDiv w:val="1"/>
      <w:marLeft w:val="0"/>
      <w:marRight w:val="0"/>
      <w:marTop w:val="0"/>
      <w:marBottom w:val="0"/>
      <w:divBdr>
        <w:top w:val="none" w:sz="0" w:space="0" w:color="auto"/>
        <w:left w:val="none" w:sz="0" w:space="0" w:color="auto"/>
        <w:bottom w:val="none" w:sz="0" w:space="0" w:color="auto"/>
        <w:right w:val="none" w:sz="0" w:space="0" w:color="auto"/>
      </w:divBdr>
    </w:div>
    <w:div w:id="129716650">
      <w:bodyDiv w:val="1"/>
      <w:marLeft w:val="0"/>
      <w:marRight w:val="0"/>
      <w:marTop w:val="0"/>
      <w:marBottom w:val="0"/>
      <w:divBdr>
        <w:top w:val="none" w:sz="0" w:space="0" w:color="auto"/>
        <w:left w:val="none" w:sz="0" w:space="0" w:color="auto"/>
        <w:bottom w:val="none" w:sz="0" w:space="0" w:color="auto"/>
        <w:right w:val="none" w:sz="0" w:space="0" w:color="auto"/>
      </w:divBdr>
    </w:div>
    <w:div w:id="185290395">
      <w:bodyDiv w:val="1"/>
      <w:marLeft w:val="0"/>
      <w:marRight w:val="0"/>
      <w:marTop w:val="0"/>
      <w:marBottom w:val="0"/>
      <w:divBdr>
        <w:top w:val="none" w:sz="0" w:space="0" w:color="auto"/>
        <w:left w:val="none" w:sz="0" w:space="0" w:color="auto"/>
        <w:bottom w:val="none" w:sz="0" w:space="0" w:color="auto"/>
        <w:right w:val="none" w:sz="0" w:space="0" w:color="auto"/>
      </w:divBdr>
    </w:div>
    <w:div w:id="297687253">
      <w:bodyDiv w:val="1"/>
      <w:marLeft w:val="0"/>
      <w:marRight w:val="0"/>
      <w:marTop w:val="0"/>
      <w:marBottom w:val="0"/>
      <w:divBdr>
        <w:top w:val="none" w:sz="0" w:space="0" w:color="auto"/>
        <w:left w:val="none" w:sz="0" w:space="0" w:color="auto"/>
        <w:bottom w:val="none" w:sz="0" w:space="0" w:color="auto"/>
        <w:right w:val="none" w:sz="0" w:space="0" w:color="auto"/>
      </w:divBdr>
    </w:div>
    <w:div w:id="315375607">
      <w:bodyDiv w:val="1"/>
      <w:marLeft w:val="0"/>
      <w:marRight w:val="0"/>
      <w:marTop w:val="0"/>
      <w:marBottom w:val="0"/>
      <w:divBdr>
        <w:top w:val="none" w:sz="0" w:space="0" w:color="auto"/>
        <w:left w:val="none" w:sz="0" w:space="0" w:color="auto"/>
        <w:bottom w:val="none" w:sz="0" w:space="0" w:color="auto"/>
        <w:right w:val="none" w:sz="0" w:space="0" w:color="auto"/>
      </w:divBdr>
    </w:div>
    <w:div w:id="326520760">
      <w:bodyDiv w:val="1"/>
      <w:marLeft w:val="0"/>
      <w:marRight w:val="0"/>
      <w:marTop w:val="0"/>
      <w:marBottom w:val="0"/>
      <w:divBdr>
        <w:top w:val="none" w:sz="0" w:space="0" w:color="auto"/>
        <w:left w:val="none" w:sz="0" w:space="0" w:color="auto"/>
        <w:bottom w:val="none" w:sz="0" w:space="0" w:color="auto"/>
        <w:right w:val="none" w:sz="0" w:space="0" w:color="auto"/>
      </w:divBdr>
    </w:div>
    <w:div w:id="351810886">
      <w:bodyDiv w:val="1"/>
      <w:marLeft w:val="0"/>
      <w:marRight w:val="0"/>
      <w:marTop w:val="0"/>
      <w:marBottom w:val="0"/>
      <w:divBdr>
        <w:top w:val="none" w:sz="0" w:space="0" w:color="auto"/>
        <w:left w:val="none" w:sz="0" w:space="0" w:color="auto"/>
        <w:bottom w:val="none" w:sz="0" w:space="0" w:color="auto"/>
        <w:right w:val="none" w:sz="0" w:space="0" w:color="auto"/>
      </w:divBdr>
    </w:div>
    <w:div w:id="376511186">
      <w:bodyDiv w:val="1"/>
      <w:marLeft w:val="0"/>
      <w:marRight w:val="0"/>
      <w:marTop w:val="0"/>
      <w:marBottom w:val="0"/>
      <w:divBdr>
        <w:top w:val="none" w:sz="0" w:space="0" w:color="auto"/>
        <w:left w:val="none" w:sz="0" w:space="0" w:color="auto"/>
        <w:bottom w:val="none" w:sz="0" w:space="0" w:color="auto"/>
        <w:right w:val="none" w:sz="0" w:space="0" w:color="auto"/>
      </w:divBdr>
    </w:div>
    <w:div w:id="412970982">
      <w:bodyDiv w:val="1"/>
      <w:marLeft w:val="0"/>
      <w:marRight w:val="0"/>
      <w:marTop w:val="0"/>
      <w:marBottom w:val="0"/>
      <w:divBdr>
        <w:top w:val="none" w:sz="0" w:space="0" w:color="auto"/>
        <w:left w:val="none" w:sz="0" w:space="0" w:color="auto"/>
        <w:bottom w:val="none" w:sz="0" w:space="0" w:color="auto"/>
        <w:right w:val="none" w:sz="0" w:space="0" w:color="auto"/>
      </w:divBdr>
    </w:div>
    <w:div w:id="494763032">
      <w:bodyDiv w:val="1"/>
      <w:marLeft w:val="0"/>
      <w:marRight w:val="0"/>
      <w:marTop w:val="0"/>
      <w:marBottom w:val="0"/>
      <w:divBdr>
        <w:top w:val="none" w:sz="0" w:space="0" w:color="auto"/>
        <w:left w:val="none" w:sz="0" w:space="0" w:color="auto"/>
        <w:bottom w:val="none" w:sz="0" w:space="0" w:color="auto"/>
        <w:right w:val="none" w:sz="0" w:space="0" w:color="auto"/>
      </w:divBdr>
    </w:div>
    <w:div w:id="643775265">
      <w:bodyDiv w:val="1"/>
      <w:marLeft w:val="0"/>
      <w:marRight w:val="0"/>
      <w:marTop w:val="0"/>
      <w:marBottom w:val="0"/>
      <w:divBdr>
        <w:top w:val="none" w:sz="0" w:space="0" w:color="auto"/>
        <w:left w:val="none" w:sz="0" w:space="0" w:color="auto"/>
        <w:bottom w:val="none" w:sz="0" w:space="0" w:color="auto"/>
        <w:right w:val="none" w:sz="0" w:space="0" w:color="auto"/>
      </w:divBdr>
    </w:div>
    <w:div w:id="673336674">
      <w:bodyDiv w:val="1"/>
      <w:marLeft w:val="0"/>
      <w:marRight w:val="0"/>
      <w:marTop w:val="0"/>
      <w:marBottom w:val="0"/>
      <w:divBdr>
        <w:top w:val="none" w:sz="0" w:space="0" w:color="auto"/>
        <w:left w:val="none" w:sz="0" w:space="0" w:color="auto"/>
        <w:bottom w:val="none" w:sz="0" w:space="0" w:color="auto"/>
        <w:right w:val="none" w:sz="0" w:space="0" w:color="auto"/>
      </w:divBdr>
    </w:div>
    <w:div w:id="692730253">
      <w:bodyDiv w:val="1"/>
      <w:marLeft w:val="0"/>
      <w:marRight w:val="0"/>
      <w:marTop w:val="0"/>
      <w:marBottom w:val="0"/>
      <w:divBdr>
        <w:top w:val="none" w:sz="0" w:space="0" w:color="auto"/>
        <w:left w:val="none" w:sz="0" w:space="0" w:color="auto"/>
        <w:bottom w:val="none" w:sz="0" w:space="0" w:color="auto"/>
        <w:right w:val="none" w:sz="0" w:space="0" w:color="auto"/>
      </w:divBdr>
    </w:div>
    <w:div w:id="722559561">
      <w:bodyDiv w:val="1"/>
      <w:marLeft w:val="0"/>
      <w:marRight w:val="0"/>
      <w:marTop w:val="0"/>
      <w:marBottom w:val="0"/>
      <w:divBdr>
        <w:top w:val="none" w:sz="0" w:space="0" w:color="auto"/>
        <w:left w:val="none" w:sz="0" w:space="0" w:color="auto"/>
        <w:bottom w:val="none" w:sz="0" w:space="0" w:color="auto"/>
        <w:right w:val="none" w:sz="0" w:space="0" w:color="auto"/>
      </w:divBdr>
    </w:div>
    <w:div w:id="729622150">
      <w:bodyDiv w:val="1"/>
      <w:marLeft w:val="0"/>
      <w:marRight w:val="0"/>
      <w:marTop w:val="0"/>
      <w:marBottom w:val="0"/>
      <w:divBdr>
        <w:top w:val="none" w:sz="0" w:space="0" w:color="auto"/>
        <w:left w:val="none" w:sz="0" w:space="0" w:color="auto"/>
        <w:bottom w:val="none" w:sz="0" w:space="0" w:color="auto"/>
        <w:right w:val="none" w:sz="0" w:space="0" w:color="auto"/>
      </w:divBdr>
    </w:div>
    <w:div w:id="732851166">
      <w:bodyDiv w:val="1"/>
      <w:marLeft w:val="0"/>
      <w:marRight w:val="0"/>
      <w:marTop w:val="0"/>
      <w:marBottom w:val="0"/>
      <w:divBdr>
        <w:top w:val="none" w:sz="0" w:space="0" w:color="auto"/>
        <w:left w:val="none" w:sz="0" w:space="0" w:color="auto"/>
        <w:bottom w:val="none" w:sz="0" w:space="0" w:color="auto"/>
        <w:right w:val="none" w:sz="0" w:space="0" w:color="auto"/>
      </w:divBdr>
    </w:div>
    <w:div w:id="977076728">
      <w:bodyDiv w:val="1"/>
      <w:marLeft w:val="0"/>
      <w:marRight w:val="0"/>
      <w:marTop w:val="0"/>
      <w:marBottom w:val="0"/>
      <w:divBdr>
        <w:top w:val="none" w:sz="0" w:space="0" w:color="auto"/>
        <w:left w:val="none" w:sz="0" w:space="0" w:color="auto"/>
        <w:bottom w:val="none" w:sz="0" w:space="0" w:color="auto"/>
        <w:right w:val="none" w:sz="0" w:space="0" w:color="auto"/>
      </w:divBdr>
    </w:div>
    <w:div w:id="1023701642">
      <w:bodyDiv w:val="1"/>
      <w:marLeft w:val="0"/>
      <w:marRight w:val="0"/>
      <w:marTop w:val="0"/>
      <w:marBottom w:val="0"/>
      <w:divBdr>
        <w:top w:val="none" w:sz="0" w:space="0" w:color="auto"/>
        <w:left w:val="none" w:sz="0" w:space="0" w:color="auto"/>
        <w:bottom w:val="none" w:sz="0" w:space="0" w:color="auto"/>
        <w:right w:val="none" w:sz="0" w:space="0" w:color="auto"/>
      </w:divBdr>
    </w:div>
    <w:div w:id="1025449737">
      <w:bodyDiv w:val="1"/>
      <w:marLeft w:val="0"/>
      <w:marRight w:val="0"/>
      <w:marTop w:val="0"/>
      <w:marBottom w:val="0"/>
      <w:divBdr>
        <w:top w:val="none" w:sz="0" w:space="0" w:color="auto"/>
        <w:left w:val="none" w:sz="0" w:space="0" w:color="auto"/>
        <w:bottom w:val="none" w:sz="0" w:space="0" w:color="auto"/>
        <w:right w:val="none" w:sz="0" w:space="0" w:color="auto"/>
      </w:divBdr>
    </w:div>
    <w:div w:id="1063600017">
      <w:bodyDiv w:val="1"/>
      <w:marLeft w:val="0"/>
      <w:marRight w:val="0"/>
      <w:marTop w:val="0"/>
      <w:marBottom w:val="0"/>
      <w:divBdr>
        <w:top w:val="none" w:sz="0" w:space="0" w:color="auto"/>
        <w:left w:val="none" w:sz="0" w:space="0" w:color="auto"/>
        <w:bottom w:val="none" w:sz="0" w:space="0" w:color="auto"/>
        <w:right w:val="none" w:sz="0" w:space="0" w:color="auto"/>
      </w:divBdr>
    </w:div>
    <w:div w:id="1071391753">
      <w:bodyDiv w:val="1"/>
      <w:marLeft w:val="0"/>
      <w:marRight w:val="0"/>
      <w:marTop w:val="0"/>
      <w:marBottom w:val="0"/>
      <w:divBdr>
        <w:top w:val="none" w:sz="0" w:space="0" w:color="auto"/>
        <w:left w:val="none" w:sz="0" w:space="0" w:color="auto"/>
        <w:bottom w:val="none" w:sz="0" w:space="0" w:color="auto"/>
        <w:right w:val="none" w:sz="0" w:space="0" w:color="auto"/>
      </w:divBdr>
      <w:divsChild>
        <w:div w:id="1343318475">
          <w:marLeft w:val="547"/>
          <w:marRight w:val="0"/>
          <w:marTop w:val="96"/>
          <w:marBottom w:val="0"/>
          <w:divBdr>
            <w:top w:val="none" w:sz="0" w:space="0" w:color="auto"/>
            <w:left w:val="none" w:sz="0" w:space="0" w:color="auto"/>
            <w:bottom w:val="none" w:sz="0" w:space="0" w:color="auto"/>
            <w:right w:val="none" w:sz="0" w:space="0" w:color="auto"/>
          </w:divBdr>
        </w:div>
      </w:divsChild>
    </w:div>
    <w:div w:id="1124615826">
      <w:bodyDiv w:val="1"/>
      <w:marLeft w:val="0"/>
      <w:marRight w:val="0"/>
      <w:marTop w:val="0"/>
      <w:marBottom w:val="0"/>
      <w:divBdr>
        <w:top w:val="none" w:sz="0" w:space="0" w:color="auto"/>
        <w:left w:val="none" w:sz="0" w:space="0" w:color="auto"/>
        <w:bottom w:val="none" w:sz="0" w:space="0" w:color="auto"/>
        <w:right w:val="none" w:sz="0" w:space="0" w:color="auto"/>
      </w:divBdr>
    </w:div>
    <w:div w:id="1143307356">
      <w:bodyDiv w:val="1"/>
      <w:marLeft w:val="0"/>
      <w:marRight w:val="0"/>
      <w:marTop w:val="0"/>
      <w:marBottom w:val="0"/>
      <w:divBdr>
        <w:top w:val="none" w:sz="0" w:space="0" w:color="auto"/>
        <w:left w:val="none" w:sz="0" w:space="0" w:color="auto"/>
        <w:bottom w:val="none" w:sz="0" w:space="0" w:color="auto"/>
        <w:right w:val="none" w:sz="0" w:space="0" w:color="auto"/>
      </w:divBdr>
    </w:div>
    <w:div w:id="1145663208">
      <w:bodyDiv w:val="1"/>
      <w:marLeft w:val="0"/>
      <w:marRight w:val="0"/>
      <w:marTop w:val="0"/>
      <w:marBottom w:val="0"/>
      <w:divBdr>
        <w:top w:val="none" w:sz="0" w:space="0" w:color="auto"/>
        <w:left w:val="none" w:sz="0" w:space="0" w:color="auto"/>
        <w:bottom w:val="none" w:sz="0" w:space="0" w:color="auto"/>
        <w:right w:val="none" w:sz="0" w:space="0" w:color="auto"/>
      </w:divBdr>
    </w:div>
    <w:div w:id="1242830106">
      <w:bodyDiv w:val="1"/>
      <w:marLeft w:val="0"/>
      <w:marRight w:val="0"/>
      <w:marTop w:val="0"/>
      <w:marBottom w:val="0"/>
      <w:divBdr>
        <w:top w:val="none" w:sz="0" w:space="0" w:color="auto"/>
        <w:left w:val="none" w:sz="0" w:space="0" w:color="auto"/>
        <w:bottom w:val="none" w:sz="0" w:space="0" w:color="auto"/>
        <w:right w:val="none" w:sz="0" w:space="0" w:color="auto"/>
      </w:divBdr>
    </w:div>
    <w:div w:id="1446074363">
      <w:bodyDiv w:val="1"/>
      <w:marLeft w:val="0"/>
      <w:marRight w:val="0"/>
      <w:marTop w:val="0"/>
      <w:marBottom w:val="0"/>
      <w:divBdr>
        <w:top w:val="none" w:sz="0" w:space="0" w:color="auto"/>
        <w:left w:val="none" w:sz="0" w:space="0" w:color="auto"/>
        <w:bottom w:val="none" w:sz="0" w:space="0" w:color="auto"/>
        <w:right w:val="none" w:sz="0" w:space="0" w:color="auto"/>
      </w:divBdr>
    </w:div>
    <w:div w:id="1508598630">
      <w:bodyDiv w:val="1"/>
      <w:marLeft w:val="0"/>
      <w:marRight w:val="0"/>
      <w:marTop w:val="0"/>
      <w:marBottom w:val="0"/>
      <w:divBdr>
        <w:top w:val="none" w:sz="0" w:space="0" w:color="auto"/>
        <w:left w:val="none" w:sz="0" w:space="0" w:color="auto"/>
        <w:bottom w:val="none" w:sz="0" w:space="0" w:color="auto"/>
        <w:right w:val="none" w:sz="0" w:space="0" w:color="auto"/>
      </w:divBdr>
    </w:div>
    <w:div w:id="1543401082">
      <w:bodyDiv w:val="1"/>
      <w:marLeft w:val="0"/>
      <w:marRight w:val="0"/>
      <w:marTop w:val="0"/>
      <w:marBottom w:val="0"/>
      <w:divBdr>
        <w:top w:val="none" w:sz="0" w:space="0" w:color="auto"/>
        <w:left w:val="none" w:sz="0" w:space="0" w:color="auto"/>
        <w:bottom w:val="none" w:sz="0" w:space="0" w:color="auto"/>
        <w:right w:val="none" w:sz="0" w:space="0" w:color="auto"/>
      </w:divBdr>
    </w:div>
    <w:div w:id="1604916230">
      <w:bodyDiv w:val="1"/>
      <w:marLeft w:val="0"/>
      <w:marRight w:val="0"/>
      <w:marTop w:val="0"/>
      <w:marBottom w:val="0"/>
      <w:divBdr>
        <w:top w:val="none" w:sz="0" w:space="0" w:color="auto"/>
        <w:left w:val="none" w:sz="0" w:space="0" w:color="auto"/>
        <w:bottom w:val="none" w:sz="0" w:space="0" w:color="auto"/>
        <w:right w:val="none" w:sz="0" w:space="0" w:color="auto"/>
      </w:divBdr>
    </w:div>
    <w:div w:id="1606963251">
      <w:bodyDiv w:val="1"/>
      <w:marLeft w:val="0"/>
      <w:marRight w:val="0"/>
      <w:marTop w:val="0"/>
      <w:marBottom w:val="0"/>
      <w:divBdr>
        <w:top w:val="none" w:sz="0" w:space="0" w:color="auto"/>
        <w:left w:val="none" w:sz="0" w:space="0" w:color="auto"/>
        <w:bottom w:val="none" w:sz="0" w:space="0" w:color="auto"/>
        <w:right w:val="none" w:sz="0" w:space="0" w:color="auto"/>
      </w:divBdr>
    </w:div>
    <w:div w:id="1650162078">
      <w:bodyDiv w:val="1"/>
      <w:marLeft w:val="0"/>
      <w:marRight w:val="0"/>
      <w:marTop w:val="0"/>
      <w:marBottom w:val="0"/>
      <w:divBdr>
        <w:top w:val="none" w:sz="0" w:space="0" w:color="auto"/>
        <w:left w:val="none" w:sz="0" w:space="0" w:color="auto"/>
        <w:bottom w:val="none" w:sz="0" w:space="0" w:color="auto"/>
        <w:right w:val="none" w:sz="0" w:space="0" w:color="auto"/>
      </w:divBdr>
    </w:div>
    <w:div w:id="1867523924">
      <w:bodyDiv w:val="1"/>
      <w:marLeft w:val="0"/>
      <w:marRight w:val="0"/>
      <w:marTop w:val="0"/>
      <w:marBottom w:val="0"/>
      <w:divBdr>
        <w:top w:val="none" w:sz="0" w:space="0" w:color="auto"/>
        <w:left w:val="none" w:sz="0" w:space="0" w:color="auto"/>
        <w:bottom w:val="none" w:sz="0" w:space="0" w:color="auto"/>
        <w:right w:val="none" w:sz="0" w:space="0" w:color="auto"/>
      </w:divBdr>
    </w:div>
    <w:div w:id="1892958152">
      <w:bodyDiv w:val="1"/>
      <w:marLeft w:val="0"/>
      <w:marRight w:val="0"/>
      <w:marTop w:val="0"/>
      <w:marBottom w:val="0"/>
      <w:divBdr>
        <w:top w:val="none" w:sz="0" w:space="0" w:color="auto"/>
        <w:left w:val="none" w:sz="0" w:space="0" w:color="auto"/>
        <w:bottom w:val="none" w:sz="0" w:space="0" w:color="auto"/>
        <w:right w:val="none" w:sz="0" w:space="0" w:color="auto"/>
      </w:divBdr>
    </w:div>
    <w:div w:id="1928807506">
      <w:bodyDiv w:val="1"/>
      <w:marLeft w:val="0"/>
      <w:marRight w:val="0"/>
      <w:marTop w:val="0"/>
      <w:marBottom w:val="0"/>
      <w:divBdr>
        <w:top w:val="none" w:sz="0" w:space="0" w:color="auto"/>
        <w:left w:val="none" w:sz="0" w:space="0" w:color="auto"/>
        <w:bottom w:val="none" w:sz="0" w:space="0" w:color="auto"/>
        <w:right w:val="none" w:sz="0" w:space="0" w:color="auto"/>
      </w:divBdr>
    </w:div>
    <w:div w:id="1945502675">
      <w:bodyDiv w:val="1"/>
      <w:marLeft w:val="0"/>
      <w:marRight w:val="0"/>
      <w:marTop w:val="0"/>
      <w:marBottom w:val="0"/>
      <w:divBdr>
        <w:top w:val="none" w:sz="0" w:space="0" w:color="auto"/>
        <w:left w:val="none" w:sz="0" w:space="0" w:color="auto"/>
        <w:bottom w:val="none" w:sz="0" w:space="0" w:color="auto"/>
        <w:right w:val="none" w:sz="0" w:space="0" w:color="auto"/>
      </w:divBdr>
      <w:divsChild>
        <w:div w:id="929856363">
          <w:marLeft w:val="547"/>
          <w:marRight w:val="0"/>
          <w:marTop w:val="0"/>
          <w:marBottom w:val="0"/>
          <w:divBdr>
            <w:top w:val="none" w:sz="0" w:space="0" w:color="auto"/>
            <w:left w:val="none" w:sz="0" w:space="0" w:color="auto"/>
            <w:bottom w:val="none" w:sz="0" w:space="0" w:color="auto"/>
            <w:right w:val="none" w:sz="0" w:space="0" w:color="auto"/>
          </w:divBdr>
        </w:div>
      </w:divsChild>
    </w:div>
    <w:div w:id="1964574329">
      <w:bodyDiv w:val="1"/>
      <w:marLeft w:val="0"/>
      <w:marRight w:val="0"/>
      <w:marTop w:val="0"/>
      <w:marBottom w:val="0"/>
      <w:divBdr>
        <w:top w:val="none" w:sz="0" w:space="0" w:color="auto"/>
        <w:left w:val="none" w:sz="0" w:space="0" w:color="auto"/>
        <w:bottom w:val="none" w:sz="0" w:space="0" w:color="auto"/>
        <w:right w:val="none" w:sz="0" w:space="0" w:color="auto"/>
      </w:divBdr>
    </w:div>
    <w:div w:id="1970471182">
      <w:bodyDiv w:val="1"/>
      <w:marLeft w:val="0"/>
      <w:marRight w:val="0"/>
      <w:marTop w:val="0"/>
      <w:marBottom w:val="0"/>
      <w:divBdr>
        <w:top w:val="none" w:sz="0" w:space="0" w:color="auto"/>
        <w:left w:val="none" w:sz="0" w:space="0" w:color="auto"/>
        <w:bottom w:val="none" w:sz="0" w:space="0" w:color="auto"/>
        <w:right w:val="none" w:sz="0" w:space="0" w:color="auto"/>
      </w:divBdr>
    </w:div>
    <w:div w:id="209126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chart" Target="charts/chart7.xml"/><Relationship Id="rId39" Type="http://schemas.openxmlformats.org/officeDocument/2006/relationships/chart" Target="charts/chart17.xml"/><Relationship Id="rId3" Type="http://schemas.openxmlformats.org/officeDocument/2006/relationships/customXml" Target="../customXml/item3.xml"/><Relationship Id="rId21" Type="http://schemas.openxmlformats.org/officeDocument/2006/relationships/chart" Target="charts/chart2.xml"/><Relationship Id="rId34" Type="http://schemas.openxmlformats.org/officeDocument/2006/relationships/hyperlink" Target="http://dx.doi.org/10.1787/9789264278608-es" TargetMode="External"/><Relationship Id="rId42" Type="http://schemas.openxmlformats.org/officeDocument/2006/relationships/chart" Target="charts/chart18.xml"/><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chart" Target="charts/chart6.xml"/><Relationship Id="rId33" Type="http://schemas.openxmlformats.org/officeDocument/2006/relationships/chart" Target="charts/chart14.xml"/><Relationship Id="rId38" Type="http://schemas.openxmlformats.org/officeDocument/2006/relationships/image" Target="media/image3.png"/><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hart" Target="charts/chart1.xml"/><Relationship Id="rId29" Type="http://schemas.openxmlformats.org/officeDocument/2006/relationships/chart" Target="charts/chart10.xml"/><Relationship Id="rId41" Type="http://schemas.openxmlformats.org/officeDocument/2006/relationships/hyperlink" Target="https://data.worldbank.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hart" Target="charts/chart5.xml"/><Relationship Id="rId32" Type="http://schemas.openxmlformats.org/officeDocument/2006/relationships/chart" Target="charts/chart13.xml"/><Relationship Id="rId37" Type="http://schemas.openxmlformats.org/officeDocument/2006/relationships/chart" Target="charts/chart16.xml"/><Relationship Id="rId40" Type="http://schemas.openxmlformats.org/officeDocument/2006/relationships/image" Target="media/image4.emf"/><Relationship Id="rId45"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hart" Target="charts/chart4.xml"/><Relationship Id="rId28" Type="http://schemas.openxmlformats.org/officeDocument/2006/relationships/chart" Target="charts/chart9.xml"/><Relationship Id="rId36" Type="http://schemas.openxmlformats.org/officeDocument/2006/relationships/chart" Target="charts/chart15.xml"/><Relationship Id="rId49"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chart" Target="charts/chart12.xml"/><Relationship Id="rId44" Type="http://schemas.openxmlformats.org/officeDocument/2006/relationships/chart" Target="charts/chart20.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chart" Target="charts/chart3.xml"/><Relationship Id="rId27" Type="http://schemas.openxmlformats.org/officeDocument/2006/relationships/chart" Target="charts/chart8.xml"/><Relationship Id="rId30" Type="http://schemas.openxmlformats.org/officeDocument/2006/relationships/chart" Target="charts/chart11.xml"/><Relationship Id="rId35" Type="http://schemas.openxmlformats.org/officeDocument/2006/relationships/hyperlink" Target="http://dx.doi.org/10.1787/9789264278608-es" TargetMode="External"/><Relationship Id="rId43" Type="http://schemas.openxmlformats.org/officeDocument/2006/relationships/chart" Target="charts/chart19.xml"/><Relationship Id="rId48" Type="http://schemas.openxmlformats.org/officeDocument/2006/relationships/header" Target="header6.xml"/><Relationship Id="rId8" Type="http://schemas.openxmlformats.org/officeDocument/2006/relationships/numbering" Target="numbering.xml"/></Relationships>
</file>

<file path=word/_rels/footnotes.xml.rels><?xml version="1.0" encoding="UTF-8" standalone="yes"?>
<Relationships xmlns="http://schemas.openxmlformats.org/package/2006/relationships"><Relationship Id="rId8" Type="http://schemas.openxmlformats.org/officeDocument/2006/relationships/hyperlink" Target="https://cgrfiles.cgr.go.cr/publico/docsweb/rev_dig/presup_pub/2018/presup-pub-2018.pdf" TargetMode="External"/><Relationship Id="rId13" Type="http://schemas.openxmlformats.org/officeDocument/2006/relationships/hyperlink" Target="https://cgrfiles.cgr.go.cr/publico/docsweb/rev_dig/presup_pub/2018/presup-pub-2018.pdf" TargetMode="External"/><Relationship Id="rId3" Type="http://schemas.openxmlformats.org/officeDocument/2006/relationships/hyperlink" Target="http://dx.doi.org/10.1787/rev_lat_car-2018-en-fr" TargetMode="External"/><Relationship Id="rId7" Type="http://schemas.openxmlformats.org/officeDocument/2006/relationships/hyperlink" Target="http://dx.doi.org/10.1787/9789264243507-en" TargetMode="External"/><Relationship Id="rId12" Type="http://schemas.openxmlformats.org/officeDocument/2006/relationships/hyperlink" Target="http://www.comex.go.cr/media/5228/estudio-sobre-gobernanza-p%C3%BAblica-2015.pdf" TargetMode="External"/><Relationship Id="rId17" Type="http://schemas.openxmlformats.org/officeDocument/2006/relationships/hyperlink" Target="https://publications.iadb.org/handle/11319/8819?locale-attribute=es&amp;" TargetMode="External"/><Relationship Id="rId2" Type="http://schemas.openxmlformats.org/officeDocument/2006/relationships/hyperlink" Target="http://dx.doi.org/10.1787/9789264278608-es" TargetMode="External"/><Relationship Id="rId16" Type="http://schemas.openxmlformats.org/officeDocument/2006/relationships/hyperlink" Target="https://www.cepal.org/celade/proyecciones/basedatos_bd.htm" TargetMode="External"/><Relationship Id="rId1" Type="http://schemas.openxmlformats.org/officeDocument/2006/relationships/hyperlink" Target="http://www.bccr.fi.cr/estadisticas_macro_2012/documentoscnadocpresentaciones/Presentacion_CAB.pdf" TargetMode="External"/><Relationship Id="rId6" Type="http://schemas.openxmlformats.org/officeDocument/2006/relationships/hyperlink" Target="http://www.inec.go.cr/empleo/temas-especiales-de-empleo" TargetMode="External"/><Relationship Id="rId11" Type="http://schemas.openxmlformats.org/officeDocument/2006/relationships/hyperlink" Target="https://cgrfiles.cgr.go.cr/publico/docsweb/rev_dig/presup_pub/2017/files/assets/downloads/publicacion.pdf" TargetMode="External"/><Relationship Id="rId5" Type="http://schemas.openxmlformats.org/officeDocument/2006/relationships/hyperlink" Target="http://www.hacienda.go.cr/contenido/12994-impuesto-sobre-la-renta-regimen-tradicional" TargetMode="External"/><Relationship Id="rId15" Type="http://schemas.openxmlformats.org/officeDocument/2006/relationships/hyperlink" Target="http://www.imf.org/external/pubs/ft/wp/2012/wp12187.pdf" TargetMode="External"/><Relationship Id="rId10" Type="http://schemas.openxmlformats.org/officeDocument/2006/relationships/hyperlink" Target="https://mideplan.go.cr/89-modernizacion/organizacion-del-sector-publico/832-listado-de-instituciones-publicas" TargetMode="External"/><Relationship Id="rId4" Type="http://schemas.openxmlformats.org/officeDocument/2006/relationships/hyperlink" Target="http://dx.doi.org/10.1787/9789264243507-en" TargetMode="External"/><Relationship Id="rId9" Type="http://schemas.openxmlformats.org/officeDocument/2006/relationships/hyperlink" Target="https://mideplan.go.cr/89-modernizacion/organizacion-del-sector-publico/832-listado-de-instituciones-publicas" TargetMode="External"/><Relationship Id="rId14" Type="http://schemas.openxmlformats.org/officeDocument/2006/relationships/hyperlink" Target="http://dx.doi.org/10.1787/eco_surveys-cri-2018-en"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LUISCOR\Desktop\crecimiento%20y%20pib%20perc&#225;pita.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LUISCOR\Desktop\m&#225;s%20gr&#225;ficos%20CDC.xlsx" TargetMode="Externa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chartUserShapes" Target="../drawings/drawing3.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LUISCOR\Desktop\Gr&#225;ficos%20y%20tablas%20CDC.xlsx" TargetMode="External"/><Relationship Id="rId2" Type="http://schemas.microsoft.com/office/2011/relationships/chartColorStyle" Target="colors10.xml"/><Relationship Id="rId1" Type="http://schemas.microsoft.com/office/2011/relationships/chartStyle" Target="style10.xml"/></Relationships>
</file>

<file path=word/charts/_rels/chart12.xml.rels><?xml version="1.0" encoding="UTF-8" standalone="yes"?>
<Relationships xmlns="http://schemas.openxmlformats.org/package/2006/relationships"><Relationship Id="rId1" Type="http://schemas.openxmlformats.org/officeDocument/2006/relationships/oleObject" Target="https://idbg-my.sharepoint.com/personal/luiscor_iadb_org/Documents/Costa%20Rica/Informe%20Reforma%20Fiscal/graficos%20CR.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LUISCOR\Downloads\232017064p1g018.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LUISCOR\Downloads\232017064p1g019.xlsx" TargetMode="External"/></Relationships>
</file>

<file path=word/charts/_rels/chart15.xml.rels><?xml version="1.0" encoding="UTF-8" standalone="yes"?>
<Relationships xmlns="http://schemas.openxmlformats.org/package/2006/relationships"><Relationship Id="rId3" Type="http://schemas.openxmlformats.org/officeDocument/2006/relationships/oleObject" Target="file:///C:\Users\LUISCOR\Desktop\Gr&#225;ficos%20y%20tablas%20CDC.xlsx" TargetMode="External"/><Relationship Id="rId2" Type="http://schemas.microsoft.com/office/2011/relationships/chartColorStyle" Target="colors11.xml"/><Relationship Id="rId1" Type="http://schemas.microsoft.com/office/2011/relationships/chartStyle" Target="style11.xml"/></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7.xml.rels><?xml version="1.0" encoding="UTF-8" standalone="yes"?>
<Relationships xmlns="http://schemas.openxmlformats.org/package/2006/relationships"><Relationship Id="rId3" Type="http://schemas.openxmlformats.org/officeDocument/2006/relationships/oleObject" Target="file:///C:\Users\LUISCOR\Desktop\Gr&#225;ficos%20y%20tablas%20CDC.xlsx" TargetMode="External"/><Relationship Id="rId2" Type="http://schemas.microsoft.com/office/2011/relationships/chartColorStyle" Target="colors12.xml"/><Relationship Id="rId1" Type="http://schemas.microsoft.com/office/2011/relationships/chartStyle" Target="style12.xml"/></Relationships>
</file>

<file path=word/charts/_rels/chart18.xml.rels><?xml version="1.0" encoding="UTF-8" standalone="yes"?>
<Relationships xmlns="http://schemas.openxmlformats.org/package/2006/relationships"><Relationship Id="rId3" Type="http://schemas.openxmlformats.org/officeDocument/2006/relationships/oleObject" Target="file:///D:\Usuario\Desktop\CIP\Base%20de%20Datos.xlsx" TargetMode="External"/><Relationship Id="rId2" Type="http://schemas.microsoft.com/office/2011/relationships/chartColorStyle" Target="colors13.xml"/><Relationship Id="rId1" Type="http://schemas.microsoft.com/office/2011/relationships/chartStyle" Target="style13.xml"/></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oleObject" Target="file:///C:\Users\LUISCOR\Desktop\Gr&#225;ficos%20y%20tablas%20CDC.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1" Type="http://schemas.openxmlformats.org/officeDocument/2006/relationships/oleObject" Target="file:///D:\Dropbox\BID%20y%20MARVIVA\Bid\Regla%20fiscal\Efecto%20de%20Regla%20en%20deuda.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LUISCOR\AppData\Local\Microsoft\Windows\INetCache\IE\5YZ04UIN\frmVerCatCuadro.xls"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2.xml"/></Relationships>
</file>

<file path=word/charts/_rels/chart4.xml.rels><?xml version="1.0" encoding="UTF-8" standalone="yes"?>
<Relationships xmlns="http://schemas.openxmlformats.org/package/2006/relationships"><Relationship Id="rId3" Type="http://schemas.openxmlformats.org/officeDocument/2006/relationships/oleObject" Target="https://idbg-my.sharepoint.com/personal/luiscor_iadb_org/Documents/Pa&#237;ses/Costa%20Rica/Informe%20Costa%20Rica%202018/Base%20de%20datos%20Gobierno%20Central.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LUISCOR\Desktop\Gr&#225;ficos%20y%20tablas%20CDC.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1" Type="http://schemas.openxmlformats.org/officeDocument/2006/relationships/oleObject" Target="https://idbg-my.sharepoint.com/personal/luiscor_iadb_org/Documents/Pa&#237;ses/Costa%20Rica/Informe%20Costa%20Rica%202018/graficos%20CR.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C:\Users\LUISCOR\Desktop\Gr&#225;ficos%20y%20tablas%20CDC.xlsx" TargetMode="External"/><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LUISCOR\Desktop\Gr&#225;ficos%20y%20tablas%20CDC.xlsx"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LUISCOR\Desktop\gr&#225;ficos%20CDC%20comercio%20y%20comparaciones.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058283874143506E-2"/>
          <c:y val="2.1738742081323603E-2"/>
          <c:w val="0.94058809376433061"/>
          <c:h val="0.68772229398191653"/>
        </c:manualLayout>
      </c:layout>
      <c:lineChart>
        <c:grouping val="standard"/>
        <c:varyColors val="0"/>
        <c:ser>
          <c:idx val="0"/>
          <c:order val="0"/>
          <c:tx>
            <c:strRef>
              <c:f>Sheet2!$F$83</c:f>
              <c:strCache>
                <c:ptCount val="1"/>
                <c:pt idx="0">
                  <c:v>América Latina y el Caribe</c:v>
                </c:pt>
              </c:strCache>
            </c:strRef>
          </c:tx>
          <c:spPr>
            <a:ln w="28575" cap="rnd">
              <a:solidFill>
                <a:schemeClr val="accent1"/>
              </a:solidFill>
              <a:round/>
            </a:ln>
            <a:effectLst/>
          </c:spPr>
          <c:marker>
            <c:symbol val="none"/>
          </c:marker>
          <c:cat>
            <c:strRef>
              <c:f>Sheet2!$G$82:$X$82</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Sheet2!$G$83:$X$83</c:f>
              <c:numCache>
                <c:formatCode>General</c:formatCode>
                <c:ptCount val="18"/>
                <c:pt idx="0">
                  <c:v>100</c:v>
                </c:pt>
                <c:pt idx="1">
                  <c:v>102.06172712276445</c:v>
                </c:pt>
                <c:pt idx="2">
                  <c:v>104.28147300711848</c:v>
                </c:pt>
                <c:pt idx="3">
                  <c:v>107.81154268773342</c:v>
                </c:pt>
                <c:pt idx="4">
                  <c:v>113.38007422317645</c:v>
                </c:pt>
                <c:pt idx="5">
                  <c:v>119.86287579199326</c:v>
                </c:pt>
                <c:pt idx="6">
                  <c:v>127.65757547622697</c:v>
                </c:pt>
                <c:pt idx="7">
                  <c:v>134.83066525078175</c:v>
                </c:pt>
                <c:pt idx="8">
                  <c:v>139.77418289102812</c:v>
                </c:pt>
                <c:pt idx="9">
                  <c:v>138.31839215417304</c:v>
                </c:pt>
                <c:pt idx="10">
                  <c:v>144.68063959921909</c:v>
                </c:pt>
                <c:pt idx="11">
                  <c:v>151.4164578389765</c:v>
                </c:pt>
                <c:pt idx="12">
                  <c:v>156.74323174988834</c:v>
                </c:pt>
                <c:pt idx="13">
                  <c:v>161.96908456003172</c:v>
                </c:pt>
                <c:pt idx="14">
                  <c:v>166.91765500773195</c:v>
                </c:pt>
                <c:pt idx="15">
                  <c:v>170.78647230991612</c:v>
                </c:pt>
                <c:pt idx="16">
                  <c:v>173.61679194951552</c:v>
                </c:pt>
                <c:pt idx="17">
                  <c:v>178.39693757154345</c:v>
                </c:pt>
              </c:numCache>
            </c:numRef>
          </c:val>
          <c:smooth val="0"/>
          <c:extLst>
            <c:ext xmlns:c16="http://schemas.microsoft.com/office/drawing/2014/chart" uri="{C3380CC4-5D6E-409C-BE32-E72D297353CC}">
              <c16:uniqueId val="{00000000-3257-497C-95DC-32F2D13990E0}"/>
            </c:ext>
          </c:extLst>
        </c:ser>
        <c:ser>
          <c:idx val="2"/>
          <c:order val="1"/>
          <c:tx>
            <c:strRef>
              <c:f>Sheet2!$F$85</c:f>
              <c:strCache>
                <c:ptCount val="1"/>
                <c:pt idx="0">
                  <c:v>Argentina</c:v>
                </c:pt>
              </c:strCache>
            </c:strRef>
          </c:tx>
          <c:spPr>
            <a:ln w="28575" cap="rnd">
              <a:solidFill>
                <a:srgbClr val="00B050"/>
              </a:solidFill>
              <a:round/>
            </a:ln>
            <a:effectLst/>
          </c:spPr>
          <c:marker>
            <c:symbol val="none"/>
          </c:marker>
          <c:cat>
            <c:strRef>
              <c:f>Sheet2!$G$82:$X$82</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Sheet2!$G$85:$X$85</c:f>
              <c:numCache>
                <c:formatCode>General</c:formatCode>
                <c:ptCount val="18"/>
                <c:pt idx="0">
                  <c:v>100</c:v>
                </c:pt>
                <c:pt idx="1">
                  <c:v>95.591255835342224</c:v>
                </c:pt>
                <c:pt idx="2">
                  <c:v>85.176940882110884</c:v>
                </c:pt>
                <c:pt idx="3">
                  <c:v>92.704113639017578</c:v>
                </c:pt>
                <c:pt idx="4">
                  <c:v>101.07487071045207</c:v>
                </c:pt>
                <c:pt idx="5">
                  <c:v>110.02167457120512</c:v>
                </c:pt>
                <c:pt idx="6">
                  <c:v>118.8752854134864</c:v>
                </c:pt>
                <c:pt idx="7">
                  <c:v>129.58315606336646</c:v>
                </c:pt>
                <c:pt idx="8">
                  <c:v>134.84064674557962</c:v>
                </c:pt>
                <c:pt idx="9">
                  <c:v>126.86006926586484</c:v>
                </c:pt>
                <c:pt idx="10">
                  <c:v>139.70515637802853</c:v>
                </c:pt>
                <c:pt idx="11">
                  <c:v>148.09298646765563</c:v>
                </c:pt>
                <c:pt idx="12">
                  <c:v>146.57292980474966</c:v>
                </c:pt>
                <c:pt idx="13">
                  <c:v>150.09848327779173</c:v>
                </c:pt>
                <c:pt idx="14">
                  <c:v>146.32708580080046</c:v>
                </c:pt>
                <c:pt idx="15">
                  <c:v>150.3235123652633</c:v>
                </c:pt>
                <c:pt idx="16">
                  <c:v>147.58380301225509</c:v>
                </c:pt>
                <c:pt idx="17">
                  <c:v>151.81048934888881</c:v>
                </c:pt>
              </c:numCache>
            </c:numRef>
          </c:val>
          <c:smooth val="0"/>
          <c:extLst>
            <c:ext xmlns:c16="http://schemas.microsoft.com/office/drawing/2014/chart" uri="{C3380CC4-5D6E-409C-BE32-E72D297353CC}">
              <c16:uniqueId val="{00000001-3257-497C-95DC-32F2D13990E0}"/>
            </c:ext>
          </c:extLst>
        </c:ser>
        <c:ser>
          <c:idx val="3"/>
          <c:order val="2"/>
          <c:tx>
            <c:strRef>
              <c:f>Sheet2!$F$86</c:f>
              <c:strCache>
                <c:ptCount val="1"/>
                <c:pt idx="0">
                  <c:v>Chile</c:v>
                </c:pt>
              </c:strCache>
            </c:strRef>
          </c:tx>
          <c:spPr>
            <a:ln w="28575" cap="rnd">
              <a:solidFill>
                <a:schemeClr val="accent5"/>
              </a:solidFill>
              <a:round/>
            </a:ln>
            <a:effectLst/>
          </c:spPr>
          <c:marker>
            <c:symbol val="none"/>
          </c:marker>
          <c:cat>
            <c:strRef>
              <c:f>Sheet2!$G$82:$X$82</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Sheet2!$G$86:$X$86</c:f>
              <c:numCache>
                <c:formatCode>General</c:formatCode>
                <c:ptCount val="18"/>
                <c:pt idx="0">
                  <c:v>100</c:v>
                </c:pt>
                <c:pt idx="1">
                  <c:v>105.02974580854516</c:v>
                </c:pt>
                <c:pt idx="2">
                  <c:v>110.39600985517697</c:v>
                </c:pt>
                <c:pt idx="3">
                  <c:v>120.69587164232919</c:v>
                </c:pt>
                <c:pt idx="4">
                  <c:v>126.3025058590229</c:v>
                </c:pt>
                <c:pt idx="5">
                  <c:v>129.5655309176131</c:v>
                </c:pt>
                <c:pt idx="6">
                  <c:v>135.4966648638904</c:v>
                </c:pt>
                <c:pt idx="7">
                  <c:v>136.9929691725257</c:v>
                </c:pt>
                <c:pt idx="8">
                  <c:v>141.42178955591612</c:v>
                </c:pt>
                <c:pt idx="9">
                  <c:v>142.54552010095549</c:v>
                </c:pt>
                <c:pt idx="10">
                  <c:v>147.26879394267172</c:v>
                </c:pt>
                <c:pt idx="11">
                  <c:v>150.36956913647018</c:v>
                </c:pt>
                <c:pt idx="12">
                  <c:v>156.0062496244216</c:v>
                </c:pt>
                <c:pt idx="13">
                  <c:v>157.07935771762394</c:v>
                </c:pt>
                <c:pt idx="14">
                  <c:v>163.4336932986852</c:v>
                </c:pt>
                <c:pt idx="15">
                  <c:v>169.63598955348058</c:v>
                </c:pt>
                <c:pt idx="16">
                  <c:v>168.80946227068688</c:v>
                </c:pt>
                <c:pt idx="17">
                  <c:v>170.08383519261704</c:v>
                </c:pt>
              </c:numCache>
            </c:numRef>
          </c:val>
          <c:smooth val="0"/>
          <c:extLst>
            <c:ext xmlns:c16="http://schemas.microsoft.com/office/drawing/2014/chart" uri="{C3380CC4-5D6E-409C-BE32-E72D297353CC}">
              <c16:uniqueId val="{00000002-3257-497C-95DC-32F2D13990E0}"/>
            </c:ext>
          </c:extLst>
        </c:ser>
        <c:ser>
          <c:idx val="4"/>
          <c:order val="3"/>
          <c:tx>
            <c:strRef>
              <c:f>Sheet2!$F$87</c:f>
              <c:strCache>
                <c:ptCount val="1"/>
                <c:pt idx="0">
                  <c:v>Costa Rica</c:v>
                </c:pt>
              </c:strCache>
            </c:strRef>
          </c:tx>
          <c:spPr>
            <a:ln w="28575" cap="rnd">
              <a:solidFill>
                <a:srgbClr val="C00000"/>
              </a:solidFill>
              <a:round/>
            </a:ln>
            <a:effectLst/>
          </c:spPr>
          <c:marker>
            <c:symbol val="none"/>
          </c:marker>
          <c:cat>
            <c:strRef>
              <c:f>Sheet2!$G$82:$X$82</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Sheet2!$G$87:$X$87</c:f>
              <c:numCache>
                <c:formatCode>General</c:formatCode>
                <c:ptCount val="18"/>
                <c:pt idx="0">
                  <c:v>100</c:v>
                </c:pt>
                <c:pt idx="1">
                  <c:v>101.68379903413391</c:v>
                </c:pt>
                <c:pt idx="2">
                  <c:v>104.21121678260089</c:v>
                </c:pt>
                <c:pt idx="3">
                  <c:v>107.03673701279355</c:v>
                </c:pt>
                <c:pt idx="4">
                  <c:v>111.50369640720994</c:v>
                </c:pt>
                <c:pt idx="5">
                  <c:v>116.43375774777742</c:v>
                </c:pt>
                <c:pt idx="6">
                  <c:v>122.0190952816145</c:v>
                </c:pt>
                <c:pt idx="7">
                  <c:v>127.58851593261187</c:v>
                </c:pt>
                <c:pt idx="8">
                  <c:v>135.43329304075459</c:v>
                </c:pt>
                <c:pt idx="9">
                  <c:v>139.97978791611493</c:v>
                </c:pt>
                <c:pt idx="10">
                  <c:v>145.75636558763659</c:v>
                </c:pt>
                <c:pt idx="11">
                  <c:v>153.34166148048183</c:v>
                </c:pt>
                <c:pt idx="12">
                  <c:v>161.19624424726214</c:v>
                </c:pt>
                <c:pt idx="13">
                  <c:v>172.15115912691553</c:v>
                </c:pt>
                <c:pt idx="14">
                  <c:v>181.55159311908807</c:v>
                </c:pt>
                <c:pt idx="15">
                  <c:v>190.36989392038504</c:v>
                </c:pt>
                <c:pt idx="16">
                  <c:v>198.48711487007535</c:v>
                </c:pt>
                <c:pt idx="17">
                  <c:v>206.82357369461855</c:v>
                </c:pt>
              </c:numCache>
            </c:numRef>
          </c:val>
          <c:smooth val="0"/>
          <c:extLst>
            <c:ext xmlns:c16="http://schemas.microsoft.com/office/drawing/2014/chart" uri="{C3380CC4-5D6E-409C-BE32-E72D297353CC}">
              <c16:uniqueId val="{00000003-3257-497C-95DC-32F2D13990E0}"/>
            </c:ext>
          </c:extLst>
        </c:ser>
        <c:ser>
          <c:idx val="5"/>
          <c:order val="4"/>
          <c:tx>
            <c:strRef>
              <c:f>Sheet2!$F$88</c:f>
              <c:strCache>
                <c:ptCount val="1"/>
                <c:pt idx="0">
                  <c:v>Uruguay</c:v>
                </c:pt>
              </c:strCache>
            </c:strRef>
          </c:tx>
          <c:spPr>
            <a:ln w="28575" cap="rnd">
              <a:solidFill>
                <a:schemeClr val="accent6"/>
              </a:solidFill>
              <a:round/>
            </a:ln>
            <a:effectLst/>
          </c:spPr>
          <c:marker>
            <c:symbol val="none"/>
          </c:marker>
          <c:cat>
            <c:strRef>
              <c:f>Sheet2!$G$82:$X$82</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Sheet2!$G$88:$X$88</c:f>
              <c:numCache>
                <c:formatCode>General</c:formatCode>
                <c:ptCount val="18"/>
                <c:pt idx="0">
                  <c:v>100</c:v>
                </c:pt>
                <c:pt idx="1">
                  <c:v>102.40006967038562</c:v>
                </c:pt>
                <c:pt idx="2">
                  <c:v>106.35950735417185</c:v>
                </c:pt>
                <c:pt idx="3">
                  <c:v>109.05115303127413</c:v>
                </c:pt>
                <c:pt idx="4">
                  <c:v>112.48855051579218</c:v>
                </c:pt>
                <c:pt idx="5">
                  <c:v>116.1557906023903</c:v>
                </c:pt>
                <c:pt idx="6">
                  <c:v>122.40473649762073</c:v>
                </c:pt>
                <c:pt idx="7">
                  <c:v>130.12121939503788</c:v>
                </c:pt>
                <c:pt idx="8">
                  <c:v>134.39055095395361</c:v>
                </c:pt>
                <c:pt idx="9">
                  <c:v>135.09756602697826</c:v>
                </c:pt>
                <c:pt idx="10">
                  <c:v>138.9740959519057</c:v>
                </c:pt>
                <c:pt idx="11">
                  <c:v>144.75834037521315</c:v>
                </c:pt>
                <c:pt idx="12">
                  <c:v>149.05749085916378</c:v>
                </c:pt>
                <c:pt idx="13">
                  <c:v>154.56897572286428</c:v>
                </c:pt>
                <c:pt idx="14">
                  <c:v>161.02094112172043</c:v>
                </c:pt>
                <c:pt idx="15">
                  <c:v>167.6872822970544</c:v>
                </c:pt>
                <c:pt idx="16">
                  <c:v>172.82972312825476</c:v>
                </c:pt>
                <c:pt idx="17">
                  <c:v>177.58676701581996</c:v>
                </c:pt>
              </c:numCache>
            </c:numRef>
          </c:val>
          <c:smooth val="0"/>
          <c:extLst>
            <c:ext xmlns:c16="http://schemas.microsoft.com/office/drawing/2014/chart" uri="{C3380CC4-5D6E-409C-BE32-E72D297353CC}">
              <c16:uniqueId val="{00000004-3257-497C-95DC-32F2D13990E0}"/>
            </c:ext>
          </c:extLst>
        </c:ser>
        <c:dLbls>
          <c:showLegendKey val="0"/>
          <c:showVal val="0"/>
          <c:showCatName val="0"/>
          <c:showSerName val="0"/>
          <c:showPercent val="0"/>
          <c:showBubbleSize val="0"/>
        </c:dLbls>
        <c:smooth val="0"/>
        <c:axId val="675157832"/>
        <c:axId val="675155864"/>
      </c:lineChart>
      <c:catAx>
        <c:axId val="675157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675155864"/>
        <c:crosses val="autoZero"/>
        <c:auto val="1"/>
        <c:lblAlgn val="ctr"/>
        <c:lblOffset val="100"/>
        <c:noMultiLvlLbl val="0"/>
      </c:catAx>
      <c:valAx>
        <c:axId val="675155864"/>
        <c:scaling>
          <c:orientation val="minMax"/>
          <c:max val="210"/>
          <c:min val="8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675157832"/>
        <c:crosses val="autoZero"/>
        <c:crossBetween val="between"/>
        <c:majorUnit val="20"/>
      </c:valAx>
      <c:spPr>
        <a:noFill/>
        <a:ln>
          <a:noFill/>
        </a:ln>
        <a:effectLst/>
      </c:spPr>
    </c:plotArea>
    <c:legend>
      <c:legendPos val="b"/>
      <c:layout>
        <c:manualLayout>
          <c:xMode val="edge"/>
          <c:yMode val="edge"/>
          <c:x val="7.7545531458196759E-2"/>
          <c:y val="0.84553612489652608"/>
          <c:w val="0.87298090959818286"/>
          <c:h val="0.1536544790712740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0E2-4365-97D1-9C401D143065}"/>
              </c:ext>
            </c:extLst>
          </c:dPt>
          <c:dPt>
            <c:idx val="1"/>
            <c:bubble3D val="0"/>
            <c:spPr>
              <a:solidFill>
                <a:schemeClr val="accent6"/>
              </a:solidFill>
              <a:ln w="19050">
                <a:solidFill>
                  <a:schemeClr val="lt1"/>
                </a:solidFill>
              </a:ln>
              <a:effectLst/>
            </c:spPr>
            <c:extLst>
              <c:ext xmlns:c16="http://schemas.microsoft.com/office/drawing/2014/chart" uri="{C3380CC4-5D6E-409C-BE32-E72D297353CC}">
                <c16:uniqueId val="{00000003-10E2-4365-97D1-9C401D143065}"/>
              </c:ext>
            </c:extLst>
          </c:dPt>
          <c:dPt>
            <c:idx val="2"/>
            <c:bubble3D val="0"/>
            <c:spPr>
              <a:pattFill prst="dkHorz">
                <a:fgClr>
                  <a:schemeClr val="accent1"/>
                </a:fgClr>
                <a:bgClr>
                  <a:schemeClr val="bg1"/>
                </a:bgClr>
              </a:pattFill>
              <a:ln w="19050">
                <a:solidFill>
                  <a:schemeClr val="lt1"/>
                </a:solidFill>
              </a:ln>
              <a:effectLst/>
            </c:spPr>
            <c:extLst>
              <c:ext xmlns:c16="http://schemas.microsoft.com/office/drawing/2014/chart" uri="{C3380CC4-5D6E-409C-BE32-E72D297353CC}">
                <c16:uniqueId val="{00000005-10E2-4365-97D1-9C401D143065}"/>
              </c:ext>
            </c:extLst>
          </c:dPt>
          <c:dPt>
            <c:idx val="3"/>
            <c:bubble3D val="0"/>
            <c:spPr>
              <a:pattFill prst="dkHorz">
                <a:fgClr>
                  <a:schemeClr val="accent6"/>
                </a:fgClr>
                <a:bgClr>
                  <a:schemeClr val="bg1"/>
                </a:bgClr>
              </a:pattFill>
              <a:ln w="19050">
                <a:solidFill>
                  <a:schemeClr val="lt1"/>
                </a:solidFill>
              </a:ln>
              <a:effectLst/>
            </c:spPr>
            <c:extLst>
              <c:ext xmlns:c16="http://schemas.microsoft.com/office/drawing/2014/chart" uri="{C3380CC4-5D6E-409C-BE32-E72D297353CC}">
                <c16:uniqueId val="{00000007-10E2-4365-97D1-9C401D143065}"/>
              </c:ext>
            </c:extLst>
          </c:dPt>
          <c:dLbls>
            <c:dLbl>
              <c:idx val="0"/>
              <c:layout>
                <c:manualLayout>
                  <c:x val="9.1031604057432949E-2"/>
                  <c:y val="6.2442668673549688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0E2-4365-97D1-9C401D143065}"/>
                </c:ext>
              </c:extLst>
            </c:dLbl>
            <c:dLbl>
              <c:idx val="1"/>
              <c:layout>
                <c:manualLayout>
                  <c:x val="5.6441626986378675E-2"/>
                  <c:y val="-4.5645682270207119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0E2-4365-97D1-9C401D143065}"/>
                </c:ext>
              </c:extLst>
            </c:dLbl>
            <c:dLbl>
              <c:idx val="2"/>
              <c:layout>
                <c:manualLayout>
                  <c:x val="-7.2212262444190656E-2"/>
                  <c:y val="-2.158465180666039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0E2-4365-97D1-9C401D143065}"/>
                </c:ext>
              </c:extLst>
            </c:dLbl>
            <c:dLbl>
              <c:idx val="3"/>
              <c:layout>
                <c:manualLayout>
                  <c:x val="-7.3649663746913799E-2"/>
                  <c:y val="6.6716095085503857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0E2-4365-97D1-9C401D143065}"/>
                </c:ext>
              </c:extLst>
            </c:dLbl>
            <c:spPr>
              <a:solidFill>
                <a:schemeClr val="bg1"/>
              </a:solidFill>
              <a:ln>
                <a:solidFill>
                  <a:sysClr val="windowText" lastClr="000000"/>
                </a:solid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multiLvlStrRef>
              <c:f>Sheet3!$D$6:$G$7</c:f>
              <c:multiLvlStrCache>
                <c:ptCount val="4"/>
                <c:lvl>
                  <c:pt idx="0">
                    <c:v>MN</c:v>
                  </c:pt>
                  <c:pt idx="1">
                    <c:v>ME</c:v>
                  </c:pt>
                  <c:pt idx="2">
                    <c:v>MN</c:v>
                  </c:pt>
                  <c:pt idx="3">
                    <c:v>ME</c:v>
                  </c:pt>
                </c:lvl>
                <c:lvl>
                  <c:pt idx="0">
                    <c:v>Depósitos</c:v>
                  </c:pt>
                  <c:pt idx="2">
                    <c:v>Valores</c:v>
                  </c:pt>
                </c:lvl>
              </c:multiLvlStrCache>
            </c:multiLvlStrRef>
          </c:cat>
          <c:val>
            <c:numRef>
              <c:f>Sheet3!$D$10:$G$10</c:f>
              <c:numCache>
                <c:formatCode>0%</c:formatCode>
                <c:ptCount val="4"/>
                <c:pt idx="0">
                  <c:v>0.25314233982945916</c:v>
                </c:pt>
                <c:pt idx="1">
                  <c:v>0.16408074005726717</c:v>
                </c:pt>
                <c:pt idx="2">
                  <c:v>0.40754756479557724</c:v>
                </c:pt>
                <c:pt idx="3">
                  <c:v>0.1752293553176964</c:v>
                </c:pt>
              </c:numCache>
            </c:numRef>
          </c:val>
          <c:extLst>
            <c:ext xmlns:c16="http://schemas.microsoft.com/office/drawing/2014/chart" uri="{C3380CC4-5D6E-409C-BE32-E72D297353CC}">
              <c16:uniqueId val="{00000008-10E2-4365-97D1-9C401D143065}"/>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8.3915791776027995E-2"/>
          <c:y val="0.8616892680081657"/>
          <c:w val="0.79327930883639541"/>
          <c:h val="0.11053295421405658"/>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en-US"/>
    </a:p>
  </c:txPr>
  <c:externalData r:id="rId3">
    <c:autoUpdate val="0"/>
  </c:externalData>
  <c:userShapes r:id="rId4"/>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298237213591538E-2"/>
          <c:y val="6.1603942652329748E-2"/>
          <c:w val="0.85708764867229437"/>
          <c:h val="0.66006794513589029"/>
        </c:manualLayout>
      </c:layout>
      <c:lineChart>
        <c:grouping val="standard"/>
        <c:varyColors val="0"/>
        <c:ser>
          <c:idx val="0"/>
          <c:order val="0"/>
          <c:tx>
            <c:strRef>
              <c:f>G.5!$C$19</c:f>
              <c:strCache>
                <c:ptCount val="1"/>
                <c:pt idx="0">
                  <c:v>Promedio América Latina (con Contr. Soc.)</c:v>
                </c:pt>
              </c:strCache>
            </c:strRef>
          </c:tx>
          <c:spPr>
            <a:ln w="28575" cap="rnd">
              <a:solidFill>
                <a:schemeClr val="accent1"/>
              </a:solidFill>
              <a:round/>
            </a:ln>
            <a:effectLst/>
          </c:spPr>
          <c:marker>
            <c:symbol val="triangle"/>
            <c:size val="5"/>
            <c:spPr>
              <a:solidFill>
                <a:schemeClr val="accent1"/>
              </a:solidFill>
              <a:ln w="9525">
                <a:solidFill>
                  <a:schemeClr val="tx1"/>
                </a:solidFill>
              </a:ln>
              <a:effectLst/>
            </c:spPr>
          </c:marker>
          <c:dLbls>
            <c:dLbl>
              <c:idx val="0"/>
              <c:layout>
                <c:manualLayout>
                  <c:x val="-6.8623495542786891E-2"/>
                  <c:y val="-3.93422974345948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822-49AB-B946-7C6824293C32}"/>
                </c:ext>
              </c:extLst>
            </c:dLbl>
            <c:dLbl>
              <c:idx val="1"/>
              <c:delete val="1"/>
              <c:extLst>
                <c:ext xmlns:c15="http://schemas.microsoft.com/office/drawing/2012/chart" uri="{CE6537A1-D6FC-4f65-9D91-7224C49458BB}"/>
                <c:ext xmlns:c16="http://schemas.microsoft.com/office/drawing/2014/chart" uri="{C3380CC4-5D6E-409C-BE32-E72D297353CC}">
                  <c16:uniqueId val="{00000001-8822-49AB-B946-7C6824293C32}"/>
                </c:ext>
              </c:extLst>
            </c:dLbl>
            <c:dLbl>
              <c:idx val="2"/>
              <c:delete val="1"/>
              <c:extLst>
                <c:ext xmlns:c15="http://schemas.microsoft.com/office/drawing/2012/chart" uri="{CE6537A1-D6FC-4f65-9D91-7224C49458BB}"/>
                <c:ext xmlns:c16="http://schemas.microsoft.com/office/drawing/2014/chart" uri="{C3380CC4-5D6E-409C-BE32-E72D297353CC}">
                  <c16:uniqueId val="{00000002-8822-49AB-B946-7C6824293C32}"/>
                </c:ext>
              </c:extLst>
            </c:dLbl>
            <c:dLbl>
              <c:idx val="3"/>
              <c:delete val="1"/>
              <c:extLst>
                <c:ext xmlns:c15="http://schemas.microsoft.com/office/drawing/2012/chart" uri="{CE6537A1-D6FC-4f65-9D91-7224C49458BB}"/>
                <c:ext xmlns:c16="http://schemas.microsoft.com/office/drawing/2014/chart" uri="{C3380CC4-5D6E-409C-BE32-E72D297353CC}">
                  <c16:uniqueId val="{00000003-8822-49AB-B946-7C6824293C32}"/>
                </c:ext>
              </c:extLst>
            </c:dLbl>
            <c:dLbl>
              <c:idx val="4"/>
              <c:delete val="1"/>
              <c:extLst>
                <c:ext xmlns:c15="http://schemas.microsoft.com/office/drawing/2012/chart" uri="{CE6537A1-D6FC-4f65-9D91-7224C49458BB}"/>
                <c:ext xmlns:c16="http://schemas.microsoft.com/office/drawing/2014/chart" uri="{C3380CC4-5D6E-409C-BE32-E72D297353CC}">
                  <c16:uniqueId val="{00000004-8822-49AB-B946-7C6824293C32}"/>
                </c:ext>
              </c:extLst>
            </c:dLbl>
            <c:dLbl>
              <c:idx val="5"/>
              <c:delete val="1"/>
              <c:extLst>
                <c:ext xmlns:c15="http://schemas.microsoft.com/office/drawing/2012/chart" uri="{CE6537A1-D6FC-4f65-9D91-7224C49458BB}"/>
                <c:ext xmlns:c16="http://schemas.microsoft.com/office/drawing/2014/chart" uri="{C3380CC4-5D6E-409C-BE32-E72D297353CC}">
                  <c16:uniqueId val="{00000005-8822-49AB-B946-7C6824293C32}"/>
                </c:ext>
              </c:extLst>
            </c:dLbl>
            <c:dLbl>
              <c:idx val="6"/>
              <c:delete val="1"/>
              <c:extLst>
                <c:ext xmlns:c15="http://schemas.microsoft.com/office/drawing/2012/chart" uri="{CE6537A1-D6FC-4f65-9D91-7224C49458BB}"/>
                <c:ext xmlns:c16="http://schemas.microsoft.com/office/drawing/2014/chart" uri="{C3380CC4-5D6E-409C-BE32-E72D297353CC}">
                  <c16:uniqueId val="{00000006-8822-49AB-B946-7C6824293C32}"/>
                </c:ext>
              </c:extLst>
            </c:dLbl>
            <c:dLbl>
              <c:idx val="7"/>
              <c:delete val="1"/>
              <c:extLst>
                <c:ext xmlns:c15="http://schemas.microsoft.com/office/drawing/2012/chart" uri="{CE6537A1-D6FC-4f65-9D91-7224C49458BB}"/>
                <c:ext xmlns:c16="http://schemas.microsoft.com/office/drawing/2014/chart" uri="{C3380CC4-5D6E-409C-BE32-E72D297353CC}">
                  <c16:uniqueId val="{00000007-8822-49AB-B946-7C6824293C32}"/>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G.5!$B$20:$B$28</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G.5!$C$20:$C$28</c:f>
              <c:numCache>
                <c:formatCode>0.0</c:formatCode>
                <c:ptCount val="9"/>
                <c:pt idx="0">
                  <c:v>20.727636363636364</c:v>
                </c:pt>
                <c:pt idx="1">
                  <c:v>20.427545454545452</c:v>
                </c:pt>
                <c:pt idx="2">
                  <c:v>20.576772727272729</c:v>
                </c:pt>
                <c:pt idx="3">
                  <c:v>21.051318181818178</c:v>
                </c:pt>
                <c:pt idx="4">
                  <c:v>21.560363636363636</c:v>
                </c:pt>
                <c:pt idx="5">
                  <c:v>21.65522727272727</c:v>
                </c:pt>
                <c:pt idx="6">
                  <c:v>22.155954545454545</c:v>
                </c:pt>
                <c:pt idx="7">
                  <c:v>22.81281818181818</c:v>
                </c:pt>
                <c:pt idx="8">
                  <c:v>22.247863636363636</c:v>
                </c:pt>
              </c:numCache>
            </c:numRef>
          </c:val>
          <c:smooth val="0"/>
          <c:extLst>
            <c:ext xmlns:c16="http://schemas.microsoft.com/office/drawing/2014/chart" uri="{C3380CC4-5D6E-409C-BE32-E72D297353CC}">
              <c16:uniqueId val="{00000008-8822-49AB-B946-7C6824293C32}"/>
            </c:ext>
          </c:extLst>
        </c:ser>
        <c:ser>
          <c:idx val="1"/>
          <c:order val="1"/>
          <c:tx>
            <c:strRef>
              <c:f>G.5!$D$19</c:f>
              <c:strCache>
                <c:ptCount val="1"/>
                <c:pt idx="0">
                  <c:v>Costa Rica (con Contr. Soc.)</c:v>
                </c:pt>
              </c:strCache>
            </c:strRef>
          </c:tx>
          <c:spPr>
            <a:ln w="28575" cap="rnd">
              <a:solidFill>
                <a:srgbClr val="FF0000"/>
              </a:solidFill>
              <a:round/>
            </a:ln>
            <a:effectLst/>
          </c:spPr>
          <c:marker>
            <c:symbol val="square"/>
            <c:size val="5"/>
            <c:spPr>
              <a:solidFill>
                <a:srgbClr val="FF0000"/>
              </a:solidFill>
              <a:ln w="9525">
                <a:solidFill>
                  <a:schemeClr val="tx1"/>
                </a:solidFill>
              </a:ln>
              <a:effectLst/>
            </c:spPr>
          </c:marker>
          <c:dLbls>
            <c:dLbl>
              <c:idx val="0"/>
              <c:layout>
                <c:manualLayout>
                  <c:x val="-6.8623495542786891E-2"/>
                  <c:y val="-4.49426558575339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822-49AB-B946-7C6824293C32}"/>
                </c:ext>
              </c:extLst>
            </c:dLbl>
            <c:dLbl>
              <c:idx val="1"/>
              <c:delete val="1"/>
              <c:extLst>
                <c:ext xmlns:c15="http://schemas.microsoft.com/office/drawing/2012/chart" uri="{CE6537A1-D6FC-4f65-9D91-7224C49458BB}"/>
                <c:ext xmlns:c16="http://schemas.microsoft.com/office/drawing/2014/chart" uri="{C3380CC4-5D6E-409C-BE32-E72D297353CC}">
                  <c16:uniqueId val="{0000000A-8822-49AB-B946-7C6824293C32}"/>
                </c:ext>
              </c:extLst>
            </c:dLbl>
            <c:dLbl>
              <c:idx val="2"/>
              <c:delete val="1"/>
              <c:extLst>
                <c:ext xmlns:c15="http://schemas.microsoft.com/office/drawing/2012/chart" uri="{CE6537A1-D6FC-4f65-9D91-7224C49458BB}"/>
                <c:ext xmlns:c16="http://schemas.microsoft.com/office/drawing/2014/chart" uri="{C3380CC4-5D6E-409C-BE32-E72D297353CC}">
                  <c16:uniqueId val="{0000000B-8822-49AB-B946-7C6824293C32}"/>
                </c:ext>
              </c:extLst>
            </c:dLbl>
            <c:dLbl>
              <c:idx val="3"/>
              <c:delete val="1"/>
              <c:extLst>
                <c:ext xmlns:c15="http://schemas.microsoft.com/office/drawing/2012/chart" uri="{CE6537A1-D6FC-4f65-9D91-7224C49458BB}"/>
                <c:ext xmlns:c16="http://schemas.microsoft.com/office/drawing/2014/chart" uri="{C3380CC4-5D6E-409C-BE32-E72D297353CC}">
                  <c16:uniqueId val="{0000000C-8822-49AB-B946-7C6824293C32}"/>
                </c:ext>
              </c:extLst>
            </c:dLbl>
            <c:dLbl>
              <c:idx val="4"/>
              <c:delete val="1"/>
              <c:extLst>
                <c:ext xmlns:c15="http://schemas.microsoft.com/office/drawing/2012/chart" uri="{CE6537A1-D6FC-4f65-9D91-7224C49458BB}"/>
                <c:ext xmlns:c16="http://schemas.microsoft.com/office/drawing/2014/chart" uri="{C3380CC4-5D6E-409C-BE32-E72D297353CC}">
                  <c16:uniqueId val="{0000000D-8822-49AB-B946-7C6824293C32}"/>
                </c:ext>
              </c:extLst>
            </c:dLbl>
            <c:dLbl>
              <c:idx val="5"/>
              <c:delete val="1"/>
              <c:extLst>
                <c:ext xmlns:c15="http://schemas.microsoft.com/office/drawing/2012/chart" uri="{CE6537A1-D6FC-4f65-9D91-7224C49458BB}"/>
                <c:ext xmlns:c16="http://schemas.microsoft.com/office/drawing/2014/chart" uri="{C3380CC4-5D6E-409C-BE32-E72D297353CC}">
                  <c16:uniqueId val="{0000000E-8822-49AB-B946-7C6824293C32}"/>
                </c:ext>
              </c:extLst>
            </c:dLbl>
            <c:dLbl>
              <c:idx val="6"/>
              <c:delete val="1"/>
              <c:extLst>
                <c:ext xmlns:c15="http://schemas.microsoft.com/office/drawing/2012/chart" uri="{CE6537A1-D6FC-4f65-9D91-7224C49458BB}"/>
                <c:ext xmlns:c16="http://schemas.microsoft.com/office/drawing/2014/chart" uri="{C3380CC4-5D6E-409C-BE32-E72D297353CC}">
                  <c16:uniqueId val="{0000000F-8822-49AB-B946-7C6824293C32}"/>
                </c:ext>
              </c:extLst>
            </c:dLbl>
            <c:dLbl>
              <c:idx val="7"/>
              <c:delete val="1"/>
              <c:extLst>
                <c:ext xmlns:c15="http://schemas.microsoft.com/office/drawing/2012/chart" uri="{CE6537A1-D6FC-4f65-9D91-7224C49458BB}"/>
                <c:ext xmlns:c16="http://schemas.microsoft.com/office/drawing/2014/chart" uri="{C3380CC4-5D6E-409C-BE32-E72D297353CC}">
                  <c16:uniqueId val="{00000010-8822-49AB-B946-7C6824293C32}"/>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G.5!$B$20:$B$28</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G.5!$D$20:$D$28</c:f>
              <c:numCache>
                <c:formatCode>0.0</c:formatCode>
                <c:ptCount val="9"/>
                <c:pt idx="0">
                  <c:v>22.544</c:v>
                </c:pt>
                <c:pt idx="1">
                  <c:v>21.003</c:v>
                </c:pt>
                <c:pt idx="2">
                  <c:v>20.728000000000002</c:v>
                </c:pt>
                <c:pt idx="3">
                  <c:v>21.186</c:v>
                </c:pt>
                <c:pt idx="4">
                  <c:v>21.216000000000001</c:v>
                </c:pt>
                <c:pt idx="5">
                  <c:v>21.869</c:v>
                </c:pt>
                <c:pt idx="6">
                  <c:v>21.907</c:v>
                </c:pt>
                <c:pt idx="7">
                  <c:v>22.584</c:v>
                </c:pt>
                <c:pt idx="8">
                  <c:v>22.233000000000001</c:v>
                </c:pt>
              </c:numCache>
            </c:numRef>
          </c:val>
          <c:smooth val="0"/>
          <c:extLst>
            <c:ext xmlns:c16="http://schemas.microsoft.com/office/drawing/2014/chart" uri="{C3380CC4-5D6E-409C-BE32-E72D297353CC}">
              <c16:uniqueId val="{00000011-8822-49AB-B946-7C6824293C32}"/>
            </c:ext>
          </c:extLst>
        </c:ser>
        <c:ser>
          <c:idx val="2"/>
          <c:order val="2"/>
          <c:tx>
            <c:strRef>
              <c:f>G.5!$E$19</c:f>
              <c:strCache>
                <c:ptCount val="1"/>
                <c:pt idx="0">
                  <c:v>Promedio América Latina (sin Contr. Soc.)</c:v>
                </c:pt>
              </c:strCache>
            </c:strRef>
          </c:tx>
          <c:spPr>
            <a:ln w="28575" cap="rnd">
              <a:solidFill>
                <a:schemeClr val="accent1"/>
              </a:solidFill>
              <a:prstDash val="sysDot"/>
              <a:round/>
            </a:ln>
            <a:effectLst/>
          </c:spPr>
          <c:marker>
            <c:symbol val="triangle"/>
            <c:size val="5"/>
            <c:spPr>
              <a:solidFill>
                <a:schemeClr val="accent1"/>
              </a:solidFill>
              <a:ln w="9525">
                <a:solidFill>
                  <a:schemeClr val="tx1">
                    <a:alpha val="97000"/>
                  </a:schemeClr>
                </a:solidFill>
              </a:ln>
              <a:effectLst/>
            </c:spPr>
          </c:marker>
          <c:dLbls>
            <c:dLbl>
              <c:idx val="1"/>
              <c:delete val="1"/>
              <c:extLst>
                <c:ext xmlns:c15="http://schemas.microsoft.com/office/drawing/2012/chart" uri="{CE6537A1-D6FC-4f65-9D91-7224C49458BB}"/>
                <c:ext xmlns:c16="http://schemas.microsoft.com/office/drawing/2014/chart" uri="{C3380CC4-5D6E-409C-BE32-E72D297353CC}">
                  <c16:uniqueId val="{00000012-8822-49AB-B946-7C6824293C32}"/>
                </c:ext>
              </c:extLst>
            </c:dLbl>
            <c:dLbl>
              <c:idx val="2"/>
              <c:delete val="1"/>
              <c:extLst>
                <c:ext xmlns:c15="http://schemas.microsoft.com/office/drawing/2012/chart" uri="{CE6537A1-D6FC-4f65-9D91-7224C49458BB}"/>
                <c:ext xmlns:c16="http://schemas.microsoft.com/office/drawing/2014/chart" uri="{C3380CC4-5D6E-409C-BE32-E72D297353CC}">
                  <c16:uniqueId val="{00000013-8822-49AB-B946-7C6824293C32}"/>
                </c:ext>
              </c:extLst>
            </c:dLbl>
            <c:dLbl>
              <c:idx val="3"/>
              <c:delete val="1"/>
              <c:extLst>
                <c:ext xmlns:c15="http://schemas.microsoft.com/office/drawing/2012/chart" uri="{CE6537A1-D6FC-4f65-9D91-7224C49458BB}"/>
                <c:ext xmlns:c16="http://schemas.microsoft.com/office/drawing/2014/chart" uri="{C3380CC4-5D6E-409C-BE32-E72D297353CC}">
                  <c16:uniqueId val="{00000014-8822-49AB-B946-7C6824293C32}"/>
                </c:ext>
              </c:extLst>
            </c:dLbl>
            <c:dLbl>
              <c:idx val="4"/>
              <c:delete val="1"/>
              <c:extLst>
                <c:ext xmlns:c15="http://schemas.microsoft.com/office/drawing/2012/chart" uri="{CE6537A1-D6FC-4f65-9D91-7224C49458BB}"/>
                <c:ext xmlns:c16="http://schemas.microsoft.com/office/drawing/2014/chart" uri="{C3380CC4-5D6E-409C-BE32-E72D297353CC}">
                  <c16:uniqueId val="{00000015-8822-49AB-B946-7C6824293C32}"/>
                </c:ext>
              </c:extLst>
            </c:dLbl>
            <c:dLbl>
              <c:idx val="5"/>
              <c:delete val="1"/>
              <c:extLst>
                <c:ext xmlns:c15="http://schemas.microsoft.com/office/drawing/2012/chart" uri="{CE6537A1-D6FC-4f65-9D91-7224C49458BB}"/>
                <c:ext xmlns:c16="http://schemas.microsoft.com/office/drawing/2014/chart" uri="{C3380CC4-5D6E-409C-BE32-E72D297353CC}">
                  <c16:uniqueId val="{00000016-8822-49AB-B946-7C6824293C32}"/>
                </c:ext>
              </c:extLst>
            </c:dLbl>
            <c:dLbl>
              <c:idx val="6"/>
              <c:delete val="1"/>
              <c:extLst>
                <c:ext xmlns:c15="http://schemas.microsoft.com/office/drawing/2012/chart" uri="{CE6537A1-D6FC-4f65-9D91-7224C49458BB}"/>
                <c:ext xmlns:c16="http://schemas.microsoft.com/office/drawing/2014/chart" uri="{C3380CC4-5D6E-409C-BE32-E72D297353CC}">
                  <c16:uniqueId val="{00000017-8822-49AB-B946-7C6824293C32}"/>
                </c:ext>
              </c:extLst>
            </c:dLbl>
            <c:dLbl>
              <c:idx val="7"/>
              <c:delete val="1"/>
              <c:extLst>
                <c:ext xmlns:c15="http://schemas.microsoft.com/office/drawing/2012/chart" uri="{CE6537A1-D6FC-4f65-9D91-7224C49458BB}"/>
                <c:ext xmlns:c16="http://schemas.microsoft.com/office/drawing/2014/chart" uri="{C3380CC4-5D6E-409C-BE32-E72D297353CC}">
                  <c16:uniqueId val="{00000018-8822-49AB-B946-7C6824293C32}"/>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G.5!$B$20:$B$28</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G.5!$E$20:$E$28</c:f>
              <c:numCache>
                <c:formatCode>0.0</c:formatCode>
                <c:ptCount val="9"/>
                <c:pt idx="0">
                  <c:v>17.765045454545454</c:v>
                </c:pt>
                <c:pt idx="1">
                  <c:v>17.235818181818182</c:v>
                </c:pt>
                <c:pt idx="2">
                  <c:v>17.334181818181822</c:v>
                </c:pt>
                <c:pt idx="3">
                  <c:v>17.731863636363634</c:v>
                </c:pt>
                <c:pt idx="4">
                  <c:v>18.009045454545454</c:v>
                </c:pt>
                <c:pt idx="5">
                  <c:v>18.012818181818179</c:v>
                </c:pt>
                <c:pt idx="6">
                  <c:v>18.452454545454547</c:v>
                </c:pt>
                <c:pt idx="7">
                  <c:v>18.97372727272727</c:v>
                </c:pt>
                <c:pt idx="8">
                  <c:v>18.472181818181816</c:v>
                </c:pt>
              </c:numCache>
            </c:numRef>
          </c:val>
          <c:smooth val="0"/>
          <c:extLst>
            <c:ext xmlns:c16="http://schemas.microsoft.com/office/drawing/2014/chart" uri="{C3380CC4-5D6E-409C-BE32-E72D297353CC}">
              <c16:uniqueId val="{00000019-8822-49AB-B946-7C6824293C32}"/>
            </c:ext>
          </c:extLst>
        </c:ser>
        <c:ser>
          <c:idx val="3"/>
          <c:order val="3"/>
          <c:tx>
            <c:strRef>
              <c:f>G.5!$F$19</c:f>
              <c:strCache>
                <c:ptCount val="1"/>
                <c:pt idx="0">
                  <c:v>Costa Rica (sin Contr. Soc.)</c:v>
                </c:pt>
              </c:strCache>
            </c:strRef>
          </c:tx>
          <c:spPr>
            <a:ln w="28575" cap="rnd">
              <a:solidFill>
                <a:srgbClr val="FF0000"/>
              </a:solidFill>
              <a:prstDash val="sysDot"/>
              <a:round/>
            </a:ln>
            <a:effectLst/>
          </c:spPr>
          <c:marker>
            <c:symbol val="square"/>
            <c:size val="5"/>
            <c:spPr>
              <a:solidFill>
                <a:srgbClr val="FF0000"/>
              </a:solidFill>
              <a:ln w="9525">
                <a:solidFill>
                  <a:schemeClr val="tx1"/>
                </a:solidFill>
              </a:ln>
              <a:effectLst/>
            </c:spPr>
          </c:marker>
          <c:dLbls>
            <c:dLbl>
              <c:idx val="1"/>
              <c:delete val="1"/>
              <c:extLst>
                <c:ext xmlns:c15="http://schemas.microsoft.com/office/drawing/2012/chart" uri="{CE6537A1-D6FC-4f65-9D91-7224C49458BB}"/>
                <c:ext xmlns:c16="http://schemas.microsoft.com/office/drawing/2014/chart" uri="{C3380CC4-5D6E-409C-BE32-E72D297353CC}">
                  <c16:uniqueId val="{0000001A-8822-49AB-B946-7C6824293C32}"/>
                </c:ext>
              </c:extLst>
            </c:dLbl>
            <c:dLbl>
              <c:idx val="2"/>
              <c:delete val="1"/>
              <c:extLst>
                <c:ext xmlns:c15="http://schemas.microsoft.com/office/drawing/2012/chart" uri="{CE6537A1-D6FC-4f65-9D91-7224C49458BB}"/>
                <c:ext xmlns:c16="http://schemas.microsoft.com/office/drawing/2014/chart" uri="{C3380CC4-5D6E-409C-BE32-E72D297353CC}">
                  <c16:uniqueId val="{0000001B-8822-49AB-B946-7C6824293C32}"/>
                </c:ext>
              </c:extLst>
            </c:dLbl>
            <c:dLbl>
              <c:idx val="3"/>
              <c:delete val="1"/>
              <c:extLst>
                <c:ext xmlns:c15="http://schemas.microsoft.com/office/drawing/2012/chart" uri="{CE6537A1-D6FC-4f65-9D91-7224C49458BB}"/>
                <c:ext xmlns:c16="http://schemas.microsoft.com/office/drawing/2014/chart" uri="{C3380CC4-5D6E-409C-BE32-E72D297353CC}">
                  <c16:uniqueId val="{0000001C-8822-49AB-B946-7C6824293C32}"/>
                </c:ext>
              </c:extLst>
            </c:dLbl>
            <c:dLbl>
              <c:idx val="4"/>
              <c:delete val="1"/>
              <c:extLst>
                <c:ext xmlns:c15="http://schemas.microsoft.com/office/drawing/2012/chart" uri="{CE6537A1-D6FC-4f65-9D91-7224C49458BB}"/>
                <c:ext xmlns:c16="http://schemas.microsoft.com/office/drawing/2014/chart" uri="{C3380CC4-5D6E-409C-BE32-E72D297353CC}">
                  <c16:uniqueId val="{0000001D-8822-49AB-B946-7C6824293C32}"/>
                </c:ext>
              </c:extLst>
            </c:dLbl>
            <c:dLbl>
              <c:idx val="5"/>
              <c:delete val="1"/>
              <c:extLst>
                <c:ext xmlns:c15="http://schemas.microsoft.com/office/drawing/2012/chart" uri="{CE6537A1-D6FC-4f65-9D91-7224C49458BB}"/>
                <c:ext xmlns:c16="http://schemas.microsoft.com/office/drawing/2014/chart" uri="{C3380CC4-5D6E-409C-BE32-E72D297353CC}">
                  <c16:uniqueId val="{0000001E-8822-49AB-B946-7C6824293C32}"/>
                </c:ext>
              </c:extLst>
            </c:dLbl>
            <c:dLbl>
              <c:idx val="6"/>
              <c:delete val="1"/>
              <c:extLst>
                <c:ext xmlns:c15="http://schemas.microsoft.com/office/drawing/2012/chart" uri="{CE6537A1-D6FC-4f65-9D91-7224C49458BB}"/>
                <c:ext xmlns:c16="http://schemas.microsoft.com/office/drawing/2014/chart" uri="{C3380CC4-5D6E-409C-BE32-E72D297353CC}">
                  <c16:uniqueId val="{0000001F-8822-49AB-B946-7C6824293C32}"/>
                </c:ext>
              </c:extLst>
            </c:dLbl>
            <c:dLbl>
              <c:idx val="7"/>
              <c:delete val="1"/>
              <c:extLst>
                <c:ext xmlns:c15="http://schemas.microsoft.com/office/drawing/2012/chart" uri="{CE6537A1-D6FC-4f65-9D91-7224C49458BB}"/>
                <c:ext xmlns:c16="http://schemas.microsoft.com/office/drawing/2014/chart" uri="{C3380CC4-5D6E-409C-BE32-E72D297353CC}">
                  <c16:uniqueId val="{00000020-8822-49AB-B946-7C6824293C32}"/>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G.5!$B$20:$B$28</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G.5!$F$20:$F$28</c:f>
              <c:numCache>
                <c:formatCode>0.0</c:formatCode>
                <c:ptCount val="9"/>
                <c:pt idx="0">
                  <c:v>17.114000000000001</c:v>
                </c:pt>
                <c:pt idx="1">
                  <c:v>15.304</c:v>
                </c:pt>
                <c:pt idx="2">
                  <c:v>14.910000000000002</c:v>
                </c:pt>
                <c:pt idx="3">
                  <c:v>15.202999999999999</c:v>
                </c:pt>
                <c:pt idx="4">
                  <c:v>15.227</c:v>
                </c:pt>
                <c:pt idx="5">
                  <c:v>15.77</c:v>
                </c:pt>
                <c:pt idx="6">
                  <c:v>15.731999999999999</c:v>
                </c:pt>
                <c:pt idx="7">
                  <c:v>16.27</c:v>
                </c:pt>
                <c:pt idx="8">
                  <c:v>15.888000000000002</c:v>
                </c:pt>
              </c:numCache>
            </c:numRef>
          </c:val>
          <c:smooth val="0"/>
          <c:extLst>
            <c:ext xmlns:c16="http://schemas.microsoft.com/office/drawing/2014/chart" uri="{C3380CC4-5D6E-409C-BE32-E72D297353CC}">
              <c16:uniqueId val="{00000021-8822-49AB-B946-7C6824293C32}"/>
            </c:ext>
          </c:extLst>
        </c:ser>
        <c:dLbls>
          <c:showLegendKey val="0"/>
          <c:showVal val="0"/>
          <c:showCatName val="0"/>
          <c:showSerName val="0"/>
          <c:showPercent val="0"/>
          <c:showBubbleSize val="0"/>
        </c:dLbls>
        <c:marker val="1"/>
        <c:smooth val="0"/>
        <c:axId val="798201856"/>
        <c:axId val="798199232"/>
      </c:lineChart>
      <c:catAx>
        <c:axId val="798201856"/>
        <c:scaling>
          <c:orientation val="minMax"/>
        </c:scaling>
        <c:delete val="0"/>
        <c:axPos val="b"/>
        <c:numFmt formatCode="General" sourceLinked="1"/>
        <c:majorTickMark val="none"/>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7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798199232"/>
        <c:crosses val="autoZero"/>
        <c:auto val="1"/>
        <c:lblAlgn val="ctr"/>
        <c:lblOffset val="100"/>
        <c:noMultiLvlLbl val="0"/>
      </c:catAx>
      <c:valAx>
        <c:axId val="798199232"/>
        <c:scaling>
          <c:orientation val="minMax"/>
          <c:min val="10"/>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798201856"/>
        <c:crosses val="autoZero"/>
        <c:crossBetween val="between"/>
      </c:valAx>
      <c:spPr>
        <a:noFill/>
        <a:ln>
          <a:solidFill>
            <a:schemeClr val="tx1"/>
          </a:solidFill>
        </a:ln>
        <a:effectLst/>
      </c:spPr>
    </c:plotArea>
    <c:legend>
      <c:legendPos val="b"/>
      <c:layout>
        <c:manualLayout>
          <c:xMode val="edge"/>
          <c:yMode val="edge"/>
          <c:x val="6.9776962001371449E-3"/>
          <c:y val="0.7972114624784804"/>
          <c:w val="0.98604423813577358"/>
          <c:h val="0.20278853752151949"/>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7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2293982584697867E-2"/>
          <c:y val="1.4635489068985342E-2"/>
          <c:w val="0.94541491243313558"/>
          <c:h val="0.91129458332271573"/>
        </c:manualLayout>
      </c:layout>
      <c:barChart>
        <c:barDir val="col"/>
        <c:grouping val="clustered"/>
        <c:varyColors val="0"/>
        <c:ser>
          <c:idx val="0"/>
          <c:order val="0"/>
          <c:tx>
            <c:strRef>
              <c:f>Hoja1!$E$148</c:f>
              <c:strCache>
                <c:ptCount val="1"/>
                <c:pt idx="0">
                  <c:v>Crec. PIB</c:v>
                </c:pt>
              </c:strCache>
            </c:strRef>
          </c:tx>
          <c:spPr>
            <a:solidFill>
              <a:srgbClr val="002060"/>
            </a:solidFill>
            <a:ln>
              <a:noFill/>
            </a:ln>
            <a:effectLst/>
          </c:spPr>
          <c:invertIfNegative val="0"/>
          <c:dLbls>
            <c:dLbl>
              <c:idx val="0"/>
              <c:layout>
                <c:manualLayout>
                  <c:x val="0"/>
                  <c:y val="6.272352458136577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18F-4CE2-AD89-6597085B98D9}"/>
                </c:ext>
              </c:extLst>
            </c:dLbl>
            <c:spPr>
              <a:noFill/>
              <a:ln>
                <a:noFill/>
              </a:ln>
              <a:effectLst/>
            </c:spPr>
            <c:txPr>
              <a:bodyPr rot="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Hoja1!$D$149:$D$150</c:f>
              <c:strCache>
                <c:ptCount val="2"/>
                <c:pt idx="0">
                  <c:v>Promedio de América Latina</c:v>
                </c:pt>
                <c:pt idx="1">
                  <c:v>Costa Rica</c:v>
                </c:pt>
              </c:strCache>
            </c:strRef>
          </c:cat>
          <c:val>
            <c:numRef>
              <c:f>Hoja1!$E$149:$E$150</c:f>
              <c:numCache>
                <c:formatCode>0.0</c:formatCode>
                <c:ptCount val="2"/>
                <c:pt idx="0">
                  <c:v>3.6966061397947256</c:v>
                </c:pt>
                <c:pt idx="1">
                  <c:v>3.5480041634154329</c:v>
                </c:pt>
              </c:numCache>
            </c:numRef>
          </c:val>
          <c:extLst>
            <c:ext xmlns:c16="http://schemas.microsoft.com/office/drawing/2014/chart" uri="{C3380CC4-5D6E-409C-BE32-E72D297353CC}">
              <c16:uniqueId val="{00000001-D18F-4CE2-AD89-6597085B98D9}"/>
            </c:ext>
          </c:extLst>
        </c:ser>
        <c:ser>
          <c:idx val="1"/>
          <c:order val="1"/>
          <c:tx>
            <c:strRef>
              <c:f>Hoja1!$F$148</c:f>
              <c:strCache>
                <c:ptCount val="1"/>
                <c:pt idx="0">
                  <c:v>Variación IT con Contr. Soc.</c:v>
                </c:pt>
              </c:strCache>
            </c:strRef>
          </c:tx>
          <c:spPr>
            <a:solidFill>
              <a:srgbClr val="FF0000"/>
            </a:solidFill>
            <a:ln>
              <a:noFill/>
            </a:ln>
            <a:effectLst/>
          </c:spPr>
          <c:invertIfNegative val="0"/>
          <c:dLbls>
            <c:spPr>
              <a:noFill/>
              <a:ln>
                <a:noFill/>
              </a:ln>
              <a:effectLst/>
            </c:spPr>
            <c:txPr>
              <a:bodyPr rot="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Hoja1!$D$149:$D$150</c:f>
              <c:strCache>
                <c:ptCount val="2"/>
                <c:pt idx="0">
                  <c:v>Promedio de América Latina</c:v>
                </c:pt>
                <c:pt idx="1">
                  <c:v>Costa Rica</c:v>
                </c:pt>
              </c:strCache>
            </c:strRef>
          </c:cat>
          <c:val>
            <c:numRef>
              <c:f>Hoja1!$F$149:$F$150</c:f>
              <c:numCache>
                <c:formatCode>0.0</c:formatCode>
                <c:ptCount val="2"/>
                <c:pt idx="0">
                  <c:v>1.6921564946442338</c:v>
                </c:pt>
                <c:pt idx="1">
                  <c:v>-0.66421701488016893</c:v>
                </c:pt>
              </c:numCache>
            </c:numRef>
          </c:val>
          <c:extLst>
            <c:ext xmlns:c16="http://schemas.microsoft.com/office/drawing/2014/chart" uri="{C3380CC4-5D6E-409C-BE32-E72D297353CC}">
              <c16:uniqueId val="{00000002-D18F-4CE2-AD89-6597085B98D9}"/>
            </c:ext>
          </c:extLst>
        </c:ser>
        <c:ser>
          <c:idx val="2"/>
          <c:order val="2"/>
          <c:tx>
            <c:strRef>
              <c:f>Hoja1!$G$148</c:f>
              <c:strCache>
                <c:ptCount val="1"/>
                <c:pt idx="0">
                  <c:v>Variación IT sin Contr. Soc.</c:v>
                </c:pt>
              </c:strCache>
            </c:strRef>
          </c:tx>
          <c:spPr>
            <a:solidFill>
              <a:srgbClr val="00B050"/>
            </a:solidFill>
            <a:ln>
              <a:noFill/>
            </a:ln>
            <a:effectLst/>
          </c:spPr>
          <c:invertIfNegative val="0"/>
          <c:dLbls>
            <c:spPr>
              <a:noFill/>
              <a:ln>
                <a:noFill/>
              </a:ln>
              <a:effectLst/>
            </c:spPr>
            <c:txPr>
              <a:bodyPr rot="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Hoja1!$D$149:$D$150</c:f>
              <c:strCache>
                <c:ptCount val="2"/>
                <c:pt idx="0">
                  <c:v>Promedio de América Latina</c:v>
                </c:pt>
                <c:pt idx="1">
                  <c:v>Costa Rica</c:v>
                </c:pt>
              </c:strCache>
            </c:strRef>
          </c:cat>
          <c:val>
            <c:numRef>
              <c:f>Hoja1!$G$149:$G$150</c:f>
              <c:numCache>
                <c:formatCode>0.0</c:formatCode>
                <c:ptCount val="2"/>
                <c:pt idx="0">
                  <c:v>0.67176485863869217</c:v>
                </c:pt>
                <c:pt idx="1">
                  <c:v>-1.8564584656647174</c:v>
                </c:pt>
              </c:numCache>
            </c:numRef>
          </c:val>
          <c:extLst>
            <c:ext xmlns:c16="http://schemas.microsoft.com/office/drawing/2014/chart" uri="{C3380CC4-5D6E-409C-BE32-E72D297353CC}">
              <c16:uniqueId val="{00000003-D18F-4CE2-AD89-6597085B98D9}"/>
            </c:ext>
          </c:extLst>
        </c:ser>
        <c:dLbls>
          <c:showLegendKey val="0"/>
          <c:showVal val="0"/>
          <c:showCatName val="0"/>
          <c:showSerName val="0"/>
          <c:showPercent val="0"/>
          <c:showBubbleSize val="0"/>
        </c:dLbls>
        <c:gapWidth val="219"/>
        <c:overlap val="-27"/>
        <c:axId val="52168576"/>
        <c:axId val="52170112"/>
      </c:barChart>
      <c:catAx>
        <c:axId val="52168576"/>
        <c:scaling>
          <c:orientation val="minMax"/>
        </c:scaling>
        <c:delete val="0"/>
        <c:axPos val="b"/>
        <c:numFmt formatCode="General" sourceLinked="1"/>
        <c:majorTickMark val="none"/>
        <c:minorTickMark val="none"/>
        <c:tickLblPos val="nextTo"/>
        <c:spPr>
          <a:noFill/>
          <a:ln w="9525" cap="flat" cmpd="sng" algn="ctr">
            <a:solidFill>
              <a:schemeClr val="dk1">
                <a:shade val="95000"/>
                <a:satMod val="105000"/>
              </a:schemeClr>
            </a:solidFill>
            <a:prstDash val="solid"/>
          </a:ln>
          <a:effectLst/>
        </c:spPr>
        <c:txPr>
          <a:bodyPr rot="-60000000" vert="horz"/>
          <a:lstStyle/>
          <a:p>
            <a:pPr>
              <a:defRPr/>
            </a:pPr>
            <a:endParaRPr lang="en-US"/>
          </a:p>
        </c:txPr>
        <c:crossAx val="52170112"/>
        <c:crossesAt val="-3.0000000000000006E-2"/>
        <c:auto val="1"/>
        <c:lblAlgn val="ctr"/>
        <c:lblOffset val="100"/>
        <c:noMultiLvlLbl val="0"/>
      </c:catAx>
      <c:valAx>
        <c:axId val="52170112"/>
        <c:scaling>
          <c:orientation val="minMax"/>
        </c:scaling>
        <c:delete val="0"/>
        <c:axPos val="l"/>
        <c:numFmt formatCode="0" sourceLinked="0"/>
        <c:majorTickMark val="none"/>
        <c:minorTickMark val="none"/>
        <c:tickLblPos val="nextTo"/>
        <c:spPr>
          <a:noFill/>
          <a:ln w="9525" cap="flat" cmpd="sng" algn="ctr">
            <a:solidFill>
              <a:schemeClr val="dk1">
                <a:shade val="95000"/>
                <a:satMod val="105000"/>
              </a:schemeClr>
            </a:solidFill>
            <a:prstDash val="solid"/>
          </a:ln>
          <a:effectLst/>
        </c:spPr>
        <c:txPr>
          <a:bodyPr rot="-60000000" vert="horz"/>
          <a:lstStyle/>
          <a:p>
            <a:pPr>
              <a:defRPr/>
            </a:pPr>
            <a:endParaRPr lang="en-US"/>
          </a:p>
        </c:txPr>
        <c:crossAx val="52168576"/>
        <c:crosses val="autoZero"/>
        <c:crossBetween val="between"/>
      </c:valAx>
      <c:spPr>
        <a:noFill/>
        <a:ln w="19050">
          <a:noFill/>
        </a:ln>
        <a:effectLst/>
      </c:spPr>
    </c:plotArea>
    <c:legend>
      <c:legendPos val="b"/>
      <c:layout>
        <c:manualLayout>
          <c:xMode val="edge"/>
          <c:yMode val="edge"/>
          <c:x val="1.3232115342691501E-2"/>
          <c:y val="0.82006580699151754"/>
          <c:w val="0.69808895309953933"/>
          <c:h val="0.14611776788770969"/>
        </c:manualLayout>
      </c:layout>
      <c:overlay val="0"/>
      <c:spPr>
        <a:noFill/>
        <a:ln>
          <a:noFill/>
        </a:ln>
        <a:effectLst/>
      </c:spPr>
      <c:txPr>
        <a:bodyPr rot="0" vert="horz"/>
        <a:lstStyle/>
        <a:p>
          <a:pPr>
            <a:defRPr sz="900"/>
          </a:pPr>
          <a:endParaRPr lang="en-US"/>
        </a:p>
      </c:txPr>
    </c:legend>
    <c:plotVisOnly val="1"/>
    <c:dispBlanksAs val="gap"/>
    <c:showDLblsOverMax val="0"/>
  </c:chart>
  <c:spPr>
    <a:solidFill>
      <a:schemeClr val="bg1"/>
    </a:solidFill>
    <a:ln w="9525" cap="flat" cmpd="sng" algn="ctr">
      <a:noFill/>
      <a:round/>
    </a:ln>
    <a:effectLst/>
  </c:spPr>
  <c:txPr>
    <a:bodyPr/>
    <a:lstStyle/>
    <a:p>
      <a:pPr>
        <a:defRPr sz="7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06009645543827E-2"/>
          <c:y val="3.5400243983586557E-2"/>
          <c:w val="0.84814320772044982"/>
          <c:h val="0.65686118674418037"/>
        </c:manualLayout>
      </c:layout>
      <c:barChart>
        <c:barDir val="col"/>
        <c:grouping val="clustered"/>
        <c:varyColors val="0"/>
        <c:ser>
          <c:idx val="1"/>
          <c:order val="1"/>
          <c:tx>
            <c:strRef>
              <c:f>'[232017064p1g018.xlsx]Figure 3.3'!$C$28</c:f>
              <c:strCache>
                <c:ptCount val="1"/>
                <c:pt idx="0">
                  <c:v>Asignación estándar como parte del salario promedio</c:v>
                </c:pt>
              </c:strCache>
            </c:strRef>
          </c:tx>
          <c:spPr>
            <a:solidFill>
              <a:srgbClr val="00B0F0"/>
            </a:solidFill>
            <a:ln w="3175">
              <a:solidFill>
                <a:srgbClr val="000000"/>
              </a:solidFill>
              <a:prstDash val="solid"/>
            </a:ln>
          </c:spPr>
          <c:invertIfNegative val="0"/>
          <c:dPt>
            <c:idx val="17"/>
            <c:invertIfNegative val="0"/>
            <c:bubble3D val="0"/>
            <c:spPr>
              <a:solidFill>
                <a:srgbClr val="FF89CF"/>
              </a:solidFill>
              <a:ln w="3175">
                <a:solidFill>
                  <a:srgbClr val="000000"/>
                </a:solidFill>
                <a:prstDash val="solid"/>
              </a:ln>
            </c:spPr>
            <c:extLst>
              <c:ext xmlns:c16="http://schemas.microsoft.com/office/drawing/2014/chart" uri="{C3380CC4-5D6E-409C-BE32-E72D297353CC}">
                <c16:uniqueId val="{00000001-FFD8-4676-B38A-6F07BCB1F78C}"/>
              </c:ext>
            </c:extLst>
          </c:dPt>
          <c:cat>
            <c:strRef>
              <c:f>'[232017064p1g018.xlsx]Figure 3.3'!$A$29:$A$49</c:f>
              <c:strCache>
                <c:ptCount val="21"/>
                <c:pt idx="0">
                  <c:v>Bolivia</c:v>
                </c:pt>
                <c:pt idx="1">
                  <c:v>Guatemala</c:v>
                </c:pt>
                <c:pt idx="2">
                  <c:v>México</c:v>
                </c:pt>
                <c:pt idx="3">
                  <c:v>Perú</c:v>
                </c:pt>
                <c:pt idx="4">
                  <c:v>Trinidad y Tobago</c:v>
                </c:pt>
                <c:pt idx="5">
                  <c:v>Venezuela</c:v>
                </c:pt>
                <c:pt idx="6">
                  <c:v>Argentina</c:v>
                </c:pt>
                <c:pt idx="7">
                  <c:v>El Salvador</c:v>
                </c:pt>
                <c:pt idx="8">
                  <c:v>Uruguay</c:v>
                </c:pt>
                <c:pt idx="9">
                  <c:v>Honduras</c:v>
                </c:pt>
                <c:pt idx="10">
                  <c:v>Chile</c:v>
                </c:pt>
                <c:pt idx="11">
                  <c:v>Promedio de ALC</c:v>
                </c:pt>
                <c:pt idx="12">
                  <c:v>Brasil</c:v>
                </c:pt>
                <c:pt idx="13">
                  <c:v>Panamá</c:v>
                </c:pt>
                <c:pt idx="14">
                  <c:v>Nicaragua</c:v>
                </c:pt>
                <c:pt idx="15">
                  <c:v>Ecuador</c:v>
                </c:pt>
                <c:pt idx="16">
                  <c:v>Jamaica</c:v>
                </c:pt>
                <c:pt idx="17">
                  <c:v>Costa Rica</c:v>
                </c:pt>
                <c:pt idx="18">
                  <c:v>Colombia</c:v>
                </c:pt>
                <c:pt idx="19">
                  <c:v>Rep. Dominicana</c:v>
                </c:pt>
                <c:pt idx="20">
                  <c:v>Paraguay</c:v>
                </c:pt>
              </c:strCache>
            </c:strRef>
          </c:cat>
          <c:val>
            <c:numRef>
              <c:f>'[232017064p1g018.xlsx]Figure 3.3'!$C$29:$C$49</c:f>
              <c:numCache>
                <c:formatCode>0%</c:formatCode>
                <c:ptCount val="21"/>
                <c:pt idx="0">
                  <c:v>0</c:v>
                </c:pt>
                <c:pt idx="1">
                  <c:v>0</c:v>
                </c:pt>
                <c:pt idx="2">
                  <c:v>0</c:v>
                </c:pt>
                <c:pt idx="3">
                  <c:v>0</c:v>
                </c:pt>
                <c:pt idx="4">
                  <c:v>0</c:v>
                </c:pt>
                <c:pt idx="5">
                  <c:v>0</c:v>
                </c:pt>
                <c:pt idx="6">
                  <c:v>0.14000000000000001</c:v>
                </c:pt>
                <c:pt idx="7">
                  <c:v>0.77</c:v>
                </c:pt>
                <c:pt idx="8">
                  <c:v>0.87</c:v>
                </c:pt>
                <c:pt idx="9">
                  <c:v>0.95</c:v>
                </c:pt>
                <c:pt idx="10">
                  <c:v>0.99</c:v>
                </c:pt>
                <c:pt idx="11">
                  <c:v>0.99</c:v>
                </c:pt>
                <c:pt idx="12">
                  <c:v>1.01</c:v>
                </c:pt>
                <c:pt idx="13">
                  <c:v>1.2</c:v>
                </c:pt>
                <c:pt idx="14">
                  <c:v>1.26</c:v>
                </c:pt>
                <c:pt idx="15">
                  <c:v>1.27</c:v>
                </c:pt>
                <c:pt idx="16">
                  <c:v>1.41</c:v>
                </c:pt>
                <c:pt idx="17">
                  <c:v>1.53</c:v>
                </c:pt>
                <c:pt idx="18">
                  <c:v>1.66</c:v>
                </c:pt>
                <c:pt idx="19">
                  <c:v>1.77</c:v>
                </c:pt>
                <c:pt idx="20">
                  <c:v>5.07</c:v>
                </c:pt>
              </c:numCache>
            </c:numRef>
          </c:val>
          <c:extLst>
            <c:ext xmlns:c16="http://schemas.microsoft.com/office/drawing/2014/chart" uri="{C3380CC4-5D6E-409C-BE32-E72D297353CC}">
              <c16:uniqueId val="{00000002-FFD8-4676-B38A-6F07BCB1F78C}"/>
            </c:ext>
          </c:extLst>
        </c:ser>
        <c:dLbls>
          <c:showLegendKey val="0"/>
          <c:showVal val="0"/>
          <c:showCatName val="0"/>
          <c:showSerName val="0"/>
          <c:showPercent val="0"/>
          <c:showBubbleSize val="0"/>
        </c:dLbls>
        <c:gapWidth val="150"/>
        <c:axId val="200874240"/>
        <c:axId val="200939776"/>
      </c:barChart>
      <c:lineChart>
        <c:grouping val="standard"/>
        <c:varyColors val="0"/>
        <c:ser>
          <c:idx val="0"/>
          <c:order val="0"/>
          <c:tx>
            <c:strRef>
              <c:f>'[232017064p1g018.xlsx]Figure 3.3'!$B$28</c:f>
              <c:strCache>
                <c:ptCount val="1"/>
                <c:pt idx="0">
                  <c:v>Asignaciones estándar en USD</c:v>
                </c:pt>
              </c:strCache>
            </c:strRef>
          </c:tx>
          <c:spPr>
            <a:ln w="28575">
              <a:noFill/>
            </a:ln>
          </c:spPr>
          <c:marker>
            <c:symbol val="diamond"/>
            <c:size val="5"/>
            <c:spPr>
              <a:solidFill>
                <a:srgbClr val="FFFFFF"/>
              </a:solidFill>
              <a:ln>
                <a:solidFill>
                  <a:srgbClr val="000000"/>
                </a:solidFill>
                <a:prstDash val="solid"/>
              </a:ln>
            </c:spPr>
          </c:marker>
          <c:dPt>
            <c:idx val="17"/>
            <c:marker>
              <c:spPr>
                <a:solidFill>
                  <a:srgbClr val="FF0000"/>
                </a:solidFill>
                <a:ln>
                  <a:solidFill>
                    <a:srgbClr val="000000"/>
                  </a:solidFill>
                  <a:prstDash val="solid"/>
                </a:ln>
              </c:spPr>
            </c:marker>
            <c:bubble3D val="0"/>
            <c:extLst>
              <c:ext xmlns:c16="http://schemas.microsoft.com/office/drawing/2014/chart" uri="{C3380CC4-5D6E-409C-BE32-E72D297353CC}">
                <c16:uniqueId val="{00000003-FFD8-4676-B38A-6F07BCB1F78C}"/>
              </c:ext>
            </c:extLst>
          </c:dPt>
          <c:cat>
            <c:strRef>
              <c:f>'[232017064p1g018.xlsx]Figure 3.3'!$A$29:$A$49</c:f>
              <c:strCache>
                <c:ptCount val="21"/>
                <c:pt idx="0">
                  <c:v>Bolivia</c:v>
                </c:pt>
                <c:pt idx="1">
                  <c:v>Guatemala</c:v>
                </c:pt>
                <c:pt idx="2">
                  <c:v>México</c:v>
                </c:pt>
                <c:pt idx="3">
                  <c:v>Perú</c:v>
                </c:pt>
                <c:pt idx="4">
                  <c:v>Trinidad y Tobago</c:v>
                </c:pt>
                <c:pt idx="5">
                  <c:v>Venezuela</c:v>
                </c:pt>
                <c:pt idx="6">
                  <c:v>Argentina</c:v>
                </c:pt>
                <c:pt idx="7">
                  <c:v>El Salvador</c:v>
                </c:pt>
                <c:pt idx="8">
                  <c:v>Uruguay</c:v>
                </c:pt>
                <c:pt idx="9">
                  <c:v>Honduras</c:v>
                </c:pt>
                <c:pt idx="10">
                  <c:v>Chile</c:v>
                </c:pt>
                <c:pt idx="11">
                  <c:v>Promedio de ALC</c:v>
                </c:pt>
                <c:pt idx="12">
                  <c:v>Brasil</c:v>
                </c:pt>
                <c:pt idx="13">
                  <c:v>Panamá</c:v>
                </c:pt>
                <c:pt idx="14">
                  <c:v>Nicaragua</c:v>
                </c:pt>
                <c:pt idx="15">
                  <c:v>Ecuador</c:v>
                </c:pt>
                <c:pt idx="16">
                  <c:v>Jamaica</c:v>
                </c:pt>
                <c:pt idx="17">
                  <c:v>Costa Rica</c:v>
                </c:pt>
                <c:pt idx="18">
                  <c:v>Colombia</c:v>
                </c:pt>
                <c:pt idx="19">
                  <c:v>Rep. Dominicana</c:v>
                </c:pt>
                <c:pt idx="20">
                  <c:v>Paraguay</c:v>
                </c:pt>
              </c:strCache>
            </c:strRef>
          </c:cat>
          <c:val>
            <c:numRef>
              <c:f>'[232017064p1g018.xlsx]Figure 3.3'!$B$29:$B$49</c:f>
              <c:numCache>
                <c:formatCode>General</c:formatCode>
                <c:ptCount val="21"/>
                <c:pt idx="0">
                  <c:v>0</c:v>
                </c:pt>
                <c:pt idx="1">
                  <c:v>0</c:v>
                </c:pt>
                <c:pt idx="2">
                  <c:v>0</c:v>
                </c:pt>
                <c:pt idx="3">
                  <c:v>0</c:v>
                </c:pt>
                <c:pt idx="4">
                  <c:v>0</c:v>
                </c:pt>
                <c:pt idx="5">
                  <c:v>0</c:v>
                </c:pt>
                <c:pt idx="6" formatCode="#,##0">
                  <c:v>1818</c:v>
                </c:pt>
                <c:pt idx="7" formatCode="#,##0">
                  <c:v>4064</c:v>
                </c:pt>
                <c:pt idx="8" formatCode="#,##0">
                  <c:v>10923</c:v>
                </c:pt>
                <c:pt idx="9" formatCode="#,##0">
                  <c:v>5574</c:v>
                </c:pt>
                <c:pt idx="10" formatCode="#,##0">
                  <c:v>13178</c:v>
                </c:pt>
                <c:pt idx="11" formatCode="#,##0">
                  <c:v>7962</c:v>
                </c:pt>
                <c:pt idx="12" formatCode="#,##0">
                  <c:v>9525</c:v>
                </c:pt>
                <c:pt idx="13" formatCode="#,##0">
                  <c:v>11000</c:v>
                </c:pt>
                <c:pt idx="14" formatCode="#,##0">
                  <c:v>4045</c:v>
                </c:pt>
                <c:pt idx="15" formatCode="#,##0">
                  <c:v>10180</c:v>
                </c:pt>
                <c:pt idx="16" formatCode="#,##0">
                  <c:v>5162</c:v>
                </c:pt>
                <c:pt idx="17" formatCode="#,##0">
                  <c:v>17462</c:v>
                </c:pt>
                <c:pt idx="18" formatCode="#,##0">
                  <c:v>15653</c:v>
                </c:pt>
                <c:pt idx="19" formatCode="#,##0">
                  <c:v>9566</c:v>
                </c:pt>
                <c:pt idx="20" formatCode="#,##0">
                  <c:v>41098</c:v>
                </c:pt>
              </c:numCache>
            </c:numRef>
          </c:val>
          <c:smooth val="0"/>
          <c:extLst>
            <c:ext xmlns:c16="http://schemas.microsoft.com/office/drawing/2014/chart" uri="{C3380CC4-5D6E-409C-BE32-E72D297353CC}">
              <c16:uniqueId val="{00000004-FFD8-4676-B38A-6F07BCB1F78C}"/>
            </c:ext>
          </c:extLst>
        </c:ser>
        <c:dLbls>
          <c:showLegendKey val="0"/>
          <c:showVal val="0"/>
          <c:showCatName val="0"/>
          <c:showSerName val="0"/>
          <c:showPercent val="0"/>
          <c:showBubbleSize val="0"/>
        </c:dLbls>
        <c:marker val="1"/>
        <c:smooth val="0"/>
        <c:axId val="200941568"/>
        <c:axId val="200943488"/>
      </c:lineChart>
      <c:catAx>
        <c:axId val="200874240"/>
        <c:scaling>
          <c:orientation val="minMax"/>
        </c:scaling>
        <c:delete val="0"/>
        <c:axPos val="b"/>
        <c:majorGridlines>
          <c:spPr>
            <a:ln w="9525" cmpd="sng">
              <a:solidFill>
                <a:srgbClr val="FFFFFF"/>
              </a:solidFill>
              <a:prstDash val="solid"/>
            </a:ln>
          </c:spPr>
        </c:majorGridlines>
        <c:numFmt formatCode="General" sourceLinked="0"/>
        <c:majorTickMark val="in"/>
        <c:minorTickMark val="none"/>
        <c:tickLblPos val="low"/>
        <c:spPr>
          <a:noFill/>
          <a:ln w="9525">
            <a:solidFill>
              <a:srgbClr val="000000"/>
            </a:solidFill>
            <a:prstDash val="solid"/>
          </a:ln>
          <a:extLst>
            <a:ext uri="{909E8E84-426E-40DD-AFC4-6F175D3DCCD1}">
              <a14:hiddenFill xmlns:a14="http://schemas.microsoft.com/office/drawing/2010/main">
                <a:noFill/>
              </a14:hiddenFill>
            </a:ext>
          </a:extLst>
        </c:spPr>
        <c:txPr>
          <a:bodyPr rot="-2700000" vert="horz"/>
          <a:lstStyle/>
          <a:p>
            <a:pPr>
              <a:defRPr/>
            </a:pPr>
            <a:endParaRPr lang="en-US"/>
          </a:p>
        </c:txPr>
        <c:crossAx val="200939776"/>
        <c:crosses val="autoZero"/>
        <c:auto val="1"/>
        <c:lblAlgn val="ctr"/>
        <c:lblOffset val="0"/>
        <c:tickLblSkip val="1"/>
        <c:noMultiLvlLbl val="0"/>
      </c:catAx>
      <c:valAx>
        <c:axId val="200939776"/>
        <c:scaling>
          <c:orientation val="minMax"/>
        </c:scaling>
        <c:delete val="0"/>
        <c:axPos val="l"/>
        <c:majorGridlines>
          <c:spPr>
            <a:ln w="3175" cmpd="sng">
              <a:solidFill>
                <a:schemeClr val="bg1">
                  <a:lumMod val="65000"/>
                </a:schemeClr>
              </a:solidFill>
              <a:prstDash val="solid"/>
            </a:ln>
          </c:spPr>
        </c:majorGridlines>
        <c:numFmt formatCode="0%" sourceLinked="1"/>
        <c:majorTickMark val="in"/>
        <c:minorTickMark val="none"/>
        <c:tickLblPos val="nextTo"/>
        <c:spPr>
          <a:noFill/>
          <a:ln w="9525">
            <a:solidFill>
              <a:srgbClr val="000000"/>
            </a:solidFill>
            <a:prstDash val="solid"/>
          </a:ln>
          <a:extLst>
            <a:ext uri="{909E8E84-426E-40DD-AFC4-6F175D3DCCD1}">
              <a14:hiddenFill xmlns:a14="http://schemas.microsoft.com/office/drawing/2010/main">
                <a:noFill/>
              </a14:hiddenFill>
            </a:ext>
          </a:extLst>
        </c:spPr>
        <c:txPr>
          <a:bodyPr rot="0" vert="horz"/>
          <a:lstStyle/>
          <a:p>
            <a:pPr>
              <a:defRPr/>
            </a:pPr>
            <a:endParaRPr lang="en-US"/>
          </a:p>
        </c:txPr>
        <c:crossAx val="200874240"/>
        <c:crosses val="autoZero"/>
        <c:crossBetween val="between"/>
      </c:valAx>
      <c:catAx>
        <c:axId val="200941568"/>
        <c:scaling>
          <c:orientation val="minMax"/>
        </c:scaling>
        <c:delete val="1"/>
        <c:axPos val="b"/>
        <c:numFmt formatCode="General" sourceLinked="1"/>
        <c:majorTickMark val="out"/>
        <c:minorTickMark val="none"/>
        <c:tickLblPos val="nextTo"/>
        <c:crossAx val="200943488"/>
        <c:crossesAt val="0"/>
        <c:auto val="1"/>
        <c:lblAlgn val="ctr"/>
        <c:lblOffset val="100"/>
        <c:noMultiLvlLbl val="0"/>
      </c:catAx>
      <c:valAx>
        <c:axId val="200943488"/>
        <c:scaling>
          <c:orientation val="minMax"/>
        </c:scaling>
        <c:delete val="0"/>
        <c:axPos val="r"/>
        <c:numFmt formatCode="#,##0" sourceLinked="0"/>
        <c:majorTickMark val="in"/>
        <c:minorTickMark val="none"/>
        <c:tickLblPos val="nextTo"/>
        <c:spPr>
          <a:noFill/>
          <a:ln w="9525">
            <a:solidFill>
              <a:srgbClr val="000000"/>
            </a:solidFill>
            <a:prstDash val="solid"/>
          </a:ln>
          <a:extLst>
            <a:ext uri="{909E8E84-426E-40DD-AFC4-6F175D3DCCD1}">
              <a14:hiddenFill xmlns:a14="http://schemas.microsoft.com/office/drawing/2010/main">
                <a:noFill/>
              </a14:hiddenFill>
            </a:ext>
          </a:extLst>
        </c:spPr>
        <c:txPr>
          <a:bodyPr rot="0" vert="horz"/>
          <a:lstStyle/>
          <a:p>
            <a:pPr>
              <a:defRPr/>
            </a:pPr>
            <a:endParaRPr lang="en-US"/>
          </a:p>
        </c:txPr>
        <c:crossAx val="200941568"/>
        <c:crosses val="max"/>
        <c:crossBetween val="between"/>
      </c:valAx>
      <c:spPr>
        <a:solidFill>
          <a:schemeClr val="bg1"/>
        </a:solidFill>
        <a:ln w="9525">
          <a:solidFill>
            <a:srgbClr val="000000"/>
          </a:solidFill>
        </a:ln>
      </c:spPr>
    </c:plotArea>
    <c:legend>
      <c:legendPos val="t"/>
      <c:layout>
        <c:manualLayout>
          <c:xMode val="edge"/>
          <c:yMode val="edge"/>
          <c:x val="9.5780355365466696E-2"/>
          <c:y val="7.9769421345696256E-2"/>
          <c:w val="0.58421826495718077"/>
          <c:h val="0.13104136630808472"/>
        </c:manualLayout>
      </c:layout>
      <c:overlay val="1"/>
      <c:spPr>
        <a:noFill/>
        <a:ln w="25400">
          <a:noFill/>
        </a:ln>
      </c:spPr>
      <c:txPr>
        <a:bodyPr/>
        <a:lstStyle/>
        <a:p>
          <a:pPr>
            <a:defRPr b="1"/>
          </a:pPr>
          <a:endParaRPr lang="en-US"/>
        </a:p>
      </c:txPr>
    </c:legend>
    <c:plotVisOnly val="1"/>
    <c:dispBlanksAs val="gap"/>
    <c:showDLblsOverMax val="1"/>
  </c:chart>
  <c:spPr>
    <a:noFill/>
    <a:ln>
      <a:noFill/>
    </a:ln>
    <a:extLst>
      <a:ext uri="{909E8E84-426E-40DD-AFC4-6F175D3DCCD1}">
        <a14:hiddenFill xmlns:a14="http://schemas.microsoft.com/office/drawing/2010/main">
          <a:solidFill>
            <a:sysClr val="window" lastClr="FFFFFF"/>
          </a:solidFill>
        </a14:hiddenFill>
      </a:ext>
    </a:extLst>
  </c:spPr>
  <c:txPr>
    <a:bodyPr/>
    <a:lstStyle/>
    <a:p>
      <a:pPr>
        <a:defRPr sz="900" b="0" i="0" u="none" strike="noStrike" baseline="0">
          <a:solidFill>
            <a:srgbClr val="000000"/>
          </a:solidFill>
          <a:latin typeface="Times New Roman" panose="02020603050405020304" pitchFamily="18" charset="0"/>
          <a:ea typeface="Arial Narrow"/>
          <a:cs typeface="Times New Roman" panose="02020603050405020304" pitchFamily="18" charset="0"/>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708791726428362E-2"/>
          <c:y val="0.15851234230162317"/>
          <c:w val="0.93064790919920648"/>
          <c:h val="0.64614952763057198"/>
        </c:manualLayout>
      </c:layout>
      <c:barChart>
        <c:barDir val="col"/>
        <c:grouping val="stacked"/>
        <c:varyColors val="0"/>
        <c:ser>
          <c:idx val="0"/>
          <c:order val="0"/>
          <c:tx>
            <c:strRef>
              <c:f>'[232017064p1g019.xlsx]Figura 3.4'!$B$30</c:f>
              <c:strCache>
                <c:ptCount val="1"/>
                <c:pt idx="0">
                  <c:v>CSS del empleado</c:v>
                </c:pt>
              </c:strCache>
            </c:strRef>
          </c:tx>
          <c:spPr>
            <a:solidFill>
              <a:srgbClr val="FF99CC"/>
            </a:solidFill>
            <a:ln w="3175">
              <a:solidFill>
                <a:srgbClr val="000000"/>
              </a:solidFill>
              <a:prstDash val="solid"/>
            </a:ln>
          </c:spPr>
          <c:invertIfNegative val="0"/>
          <c:dPt>
            <c:idx val="18"/>
            <c:invertIfNegative val="0"/>
            <c:bubble3D val="0"/>
            <c:spPr>
              <a:pattFill prst="wdUpDiag">
                <a:fgClr>
                  <a:srgbClr val="FF99CC"/>
                </a:fgClr>
                <a:bgClr>
                  <a:schemeClr val="bg1"/>
                </a:bgClr>
              </a:pattFill>
              <a:ln w="3175">
                <a:solidFill>
                  <a:srgbClr val="000000"/>
                </a:solidFill>
                <a:prstDash val="solid"/>
              </a:ln>
            </c:spPr>
            <c:extLst>
              <c:ext xmlns:c16="http://schemas.microsoft.com/office/drawing/2014/chart" uri="{C3380CC4-5D6E-409C-BE32-E72D297353CC}">
                <c16:uniqueId val="{00000001-1BE1-4630-999A-A7267E35DA22}"/>
              </c:ext>
            </c:extLst>
          </c:dPt>
          <c:cat>
            <c:strRef>
              <c:f>'[232017064p1g019.xlsx]Figura 3.4'!$A$31:$A$53</c:f>
              <c:strCache>
                <c:ptCount val="23"/>
                <c:pt idx="0">
                  <c:v>OCDE</c:v>
                </c:pt>
                <c:pt idx="1">
                  <c:v>ALC</c:v>
                </c:pt>
                <c:pt idx="3">
                  <c:v>Honduras</c:v>
                </c:pt>
                <c:pt idx="4">
                  <c:v>Trinidad y Tobago</c:v>
                </c:pt>
                <c:pt idx="5">
                  <c:v>Guatemala</c:v>
                </c:pt>
                <c:pt idx="6">
                  <c:v>Jamaica</c:v>
                </c:pt>
                <c:pt idx="7">
                  <c:v>Venezuela</c:v>
                </c:pt>
                <c:pt idx="8">
                  <c:v>Perú</c:v>
                </c:pt>
                <c:pt idx="9">
                  <c:v>Ecuador</c:v>
                </c:pt>
                <c:pt idx="10">
                  <c:v>Rep. Dominicana</c:v>
                </c:pt>
                <c:pt idx="11">
                  <c:v>Nicaragua</c:v>
                </c:pt>
                <c:pt idx="12">
                  <c:v>El Salvador</c:v>
                </c:pt>
                <c:pt idx="13">
                  <c:v>Paraguay</c:v>
                </c:pt>
                <c:pt idx="14">
                  <c:v>Bolivia</c:v>
                </c:pt>
                <c:pt idx="15">
                  <c:v>Chile</c:v>
                </c:pt>
                <c:pt idx="16">
                  <c:v>Panamá</c:v>
                </c:pt>
                <c:pt idx="17">
                  <c:v>México</c:v>
                </c:pt>
                <c:pt idx="18">
                  <c:v>Costa Rica</c:v>
                </c:pt>
                <c:pt idx="19">
                  <c:v>Colombia</c:v>
                </c:pt>
                <c:pt idx="20">
                  <c:v>Uruguay</c:v>
                </c:pt>
                <c:pt idx="21">
                  <c:v>Brasil</c:v>
                </c:pt>
                <c:pt idx="22">
                  <c:v>Argentina</c:v>
                </c:pt>
              </c:strCache>
            </c:strRef>
          </c:cat>
          <c:val>
            <c:numRef>
              <c:f>'[232017064p1g019.xlsx]Figura 3.4'!$B$31:$B$53</c:f>
              <c:numCache>
                <c:formatCode>#,##0.000</c:formatCode>
                <c:ptCount val="23"/>
                <c:pt idx="0" formatCode="General">
                  <c:v>8.2597345267459113E-2</c:v>
                </c:pt>
                <c:pt idx="1">
                  <c:v>7.6830606038891219E-2</c:v>
                </c:pt>
                <c:pt idx="3">
                  <c:v>3.3977003393331866E-2</c:v>
                </c:pt>
                <c:pt idx="4">
                  <c:v>4.2217469405601345E-2</c:v>
                </c:pt>
                <c:pt idx="5">
                  <c:v>3.6496314198048531E-2</c:v>
                </c:pt>
                <c:pt idx="6">
                  <c:v>5.9805673442037084E-2</c:v>
                </c:pt>
                <c:pt idx="7">
                  <c:v>4.8112497071510787E-2</c:v>
                </c:pt>
                <c:pt idx="8">
                  <c:v>0.10053971952841419</c:v>
                </c:pt>
                <c:pt idx="9">
                  <c:v>8.5089455864123295E-2</c:v>
                </c:pt>
                <c:pt idx="10">
                  <c:v>5.1207148380445051E-2</c:v>
                </c:pt>
                <c:pt idx="11">
                  <c:v>4.9160601080065744E-2</c:v>
                </c:pt>
                <c:pt idx="12">
                  <c:v>7.7382730803704808E-2</c:v>
                </c:pt>
                <c:pt idx="13">
                  <c:v>7.8260869565217384E-2</c:v>
                </c:pt>
                <c:pt idx="14">
                  <c:v>9.3194026908481595E-2</c:v>
                </c:pt>
                <c:pt idx="15">
                  <c:v>0.18239174075136219</c:v>
                </c:pt>
                <c:pt idx="16">
                  <c:v>9.9136918636190743E-2</c:v>
                </c:pt>
                <c:pt idx="17">
                  <c:v>2.0426371990331729E-2</c:v>
                </c:pt>
                <c:pt idx="18">
                  <c:v>7.2679717841008157E-2</c:v>
                </c:pt>
                <c:pt idx="19">
                  <c:v>5.2813995708862846E-2</c:v>
                </c:pt>
                <c:pt idx="20">
                  <c:v>0.1527472431729141</c:v>
                </c:pt>
                <c:pt idx="21">
                  <c:v>6.7064083457526083E-2</c:v>
                </c:pt>
                <c:pt idx="22">
                  <c:v>0.13390853957864693</c:v>
                </c:pt>
              </c:numCache>
            </c:numRef>
          </c:val>
          <c:extLst>
            <c:ext xmlns:c16="http://schemas.microsoft.com/office/drawing/2014/chart" uri="{C3380CC4-5D6E-409C-BE32-E72D297353CC}">
              <c16:uniqueId val="{00000002-1BE1-4630-999A-A7267E35DA22}"/>
            </c:ext>
          </c:extLst>
        </c:ser>
        <c:ser>
          <c:idx val="1"/>
          <c:order val="1"/>
          <c:tx>
            <c:strRef>
              <c:f>'[232017064p1g019.xlsx]Figura 3.4'!$C$30</c:f>
              <c:strCache>
                <c:ptCount val="1"/>
                <c:pt idx="0">
                  <c:v>CSS del empleador</c:v>
                </c:pt>
              </c:strCache>
            </c:strRef>
          </c:tx>
          <c:spPr>
            <a:solidFill>
              <a:srgbClr val="00B0F0"/>
            </a:solidFill>
            <a:ln w="3175">
              <a:solidFill>
                <a:srgbClr val="000000"/>
              </a:solidFill>
              <a:prstDash val="solid"/>
            </a:ln>
          </c:spPr>
          <c:invertIfNegative val="0"/>
          <c:dPt>
            <c:idx val="18"/>
            <c:invertIfNegative val="0"/>
            <c:bubble3D val="0"/>
            <c:spPr>
              <a:pattFill prst="wdUpDiag">
                <a:fgClr>
                  <a:srgbClr val="00B0F0"/>
                </a:fgClr>
                <a:bgClr>
                  <a:schemeClr val="bg1"/>
                </a:bgClr>
              </a:pattFill>
              <a:ln w="3175">
                <a:solidFill>
                  <a:srgbClr val="000000"/>
                </a:solidFill>
                <a:prstDash val="solid"/>
              </a:ln>
            </c:spPr>
            <c:extLst>
              <c:ext xmlns:c16="http://schemas.microsoft.com/office/drawing/2014/chart" uri="{C3380CC4-5D6E-409C-BE32-E72D297353CC}">
                <c16:uniqueId val="{00000004-1BE1-4630-999A-A7267E35DA22}"/>
              </c:ext>
            </c:extLst>
          </c:dPt>
          <c:cat>
            <c:strRef>
              <c:f>'[232017064p1g019.xlsx]Figura 3.4'!$A$31:$A$53</c:f>
              <c:strCache>
                <c:ptCount val="23"/>
                <c:pt idx="0">
                  <c:v>OCDE</c:v>
                </c:pt>
                <c:pt idx="1">
                  <c:v>ALC</c:v>
                </c:pt>
                <c:pt idx="3">
                  <c:v>Honduras</c:v>
                </c:pt>
                <c:pt idx="4">
                  <c:v>Trinidad y Tobago</c:v>
                </c:pt>
                <c:pt idx="5">
                  <c:v>Guatemala</c:v>
                </c:pt>
                <c:pt idx="6">
                  <c:v>Jamaica</c:v>
                </c:pt>
                <c:pt idx="7">
                  <c:v>Venezuela</c:v>
                </c:pt>
                <c:pt idx="8">
                  <c:v>Perú</c:v>
                </c:pt>
                <c:pt idx="9">
                  <c:v>Ecuador</c:v>
                </c:pt>
                <c:pt idx="10">
                  <c:v>Rep. Dominicana</c:v>
                </c:pt>
                <c:pt idx="11">
                  <c:v>Nicaragua</c:v>
                </c:pt>
                <c:pt idx="12">
                  <c:v>El Salvador</c:v>
                </c:pt>
                <c:pt idx="13">
                  <c:v>Paraguay</c:v>
                </c:pt>
                <c:pt idx="14">
                  <c:v>Bolivia</c:v>
                </c:pt>
                <c:pt idx="15">
                  <c:v>Chile</c:v>
                </c:pt>
                <c:pt idx="16">
                  <c:v>Panamá</c:v>
                </c:pt>
                <c:pt idx="17">
                  <c:v>México</c:v>
                </c:pt>
                <c:pt idx="18">
                  <c:v>Costa Rica</c:v>
                </c:pt>
                <c:pt idx="19">
                  <c:v>Colombia</c:v>
                </c:pt>
                <c:pt idx="20">
                  <c:v>Uruguay</c:v>
                </c:pt>
                <c:pt idx="21">
                  <c:v>Brasil</c:v>
                </c:pt>
                <c:pt idx="22">
                  <c:v>Argentina</c:v>
                </c:pt>
              </c:strCache>
            </c:strRef>
          </c:cat>
          <c:val>
            <c:numRef>
              <c:f>'[232017064p1g019.xlsx]Figura 3.4'!$C$31:$C$53</c:f>
              <c:numCache>
                <c:formatCode>#,##0.000</c:formatCode>
                <c:ptCount val="23"/>
                <c:pt idx="0" formatCode="General">
                  <c:v>0.14294837869552232</c:v>
                </c:pt>
                <c:pt idx="1">
                  <c:v>0.13637317074623817</c:v>
                </c:pt>
                <c:pt idx="3">
                  <c:v>6.5915386583063826E-2</c:v>
                </c:pt>
                <c:pt idx="4">
                  <c:v>6.8220128634470328E-2</c:v>
                </c:pt>
                <c:pt idx="5">
                  <c:v>9.573670825864905E-2</c:v>
                </c:pt>
                <c:pt idx="6">
                  <c:v>0.10654456109001563</c:v>
                </c:pt>
                <c:pt idx="7">
                  <c:v>0.12631535168649563</c:v>
                </c:pt>
                <c:pt idx="8">
                  <c:v>7.4476730696817595E-2</c:v>
                </c:pt>
                <c:pt idx="9">
                  <c:v>9.9582477628324922E-2</c:v>
                </c:pt>
                <c:pt idx="10">
                  <c:v>0.1408196580462239</c:v>
                </c:pt>
                <c:pt idx="11">
                  <c:v>0.14299131251467478</c:v>
                </c:pt>
                <c:pt idx="12">
                  <c:v>0.12757693456827007</c:v>
                </c:pt>
                <c:pt idx="13">
                  <c:v>0.13043478260869568</c:v>
                </c:pt>
                <c:pt idx="14">
                  <c:v>0.12252338234781492</c:v>
                </c:pt>
                <c:pt idx="15">
                  <c:v>4.4068444699359527E-2</c:v>
                </c:pt>
                <c:pt idx="16">
                  <c:v>0.12964581353674978</c:v>
                </c:pt>
                <c:pt idx="17">
                  <c:v>0.17909008918384217</c:v>
                </c:pt>
                <c:pt idx="18">
                  <c:v>0.2074185622572719</c:v>
                </c:pt>
                <c:pt idx="19">
                  <c:v>0.24698795180722891</c:v>
                </c:pt>
                <c:pt idx="20">
                  <c:v>0.15196891327139611</c:v>
                </c:pt>
                <c:pt idx="21">
                  <c:v>0.2548435171385991</c:v>
                </c:pt>
                <c:pt idx="22">
                  <c:v>0.21230270836680021</c:v>
                </c:pt>
              </c:numCache>
            </c:numRef>
          </c:val>
          <c:extLst>
            <c:ext xmlns:c16="http://schemas.microsoft.com/office/drawing/2014/chart" uri="{C3380CC4-5D6E-409C-BE32-E72D297353CC}">
              <c16:uniqueId val="{00000005-1BE1-4630-999A-A7267E35DA22}"/>
            </c:ext>
          </c:extLst>
        </c:ser>
        <c:ser>
          <c:idx val="2"/>
          <c:order val="2"/>
          <c:tx>
            <c:strRef>
              <c:f>'[232017064p1g019.xlsx]Figura 3.4'!$D$30</c:f>
              <c:strCache>
                <c:ptCount val="1"/>
                <c:pt idx="0">
                  <c:v>Impuesto sobre la renta</c:v>
                </c:pt>
              </c:strCache>
            </c:strRef>
          </c:tx>
          <c:spPr>
            <a:solidFill>
              <a:schemeClr val="accent6"/>
            </a:solidFill>
            <a:ln w="3175">
              <a:solidFill>
                <a:srgbClr val="000000"/>
              </a:solidFill>
              <a:prstDash val="solid"/>
            </a:ln>
          </c:spPr>
          <c:invertIfNegative val="0"/>
          <c:dPt>
            <c:idx val="18"/>
            <c:invertIfNegative val="0"/>
            <c:bubble3D val="0"/>
            <c:extLst>
              <c:ext xmlns:c16="http://schemas.microsoft.com/office/drawing/2014/chart" uri="{C3380CC4-5D6E-409C-BE32-E72D297353CC}">
                <c16:uniqueId val="{00000007-1BE1-4630-999A-A7267E35DA22}"/>
              </c:ext>
            </c:extLst>
          </c:dPt>
          <c:cat>
            <c:strRef>
              <c:f>'[232017064p1g019.xlsx]Figura 3.4'!$A$31:$A$53</c:f>
              <c:strCache>
                <c:ptCount val="23"/>
                <c:pt idx="0">
                  <c:v>OCDE</c:v>
                </c:pt>
                <c:pt idx="1">
                  <c:v>ALC</c:v>
                </c:pt>
                <c:pt idx="3">
                  <c:v>Honduras</c:v>
                </c:pt>
                <c:pt idx="4">
                  <c:v>Trinidad y Tobago</c:v>
                </c:pt>
                <c:pt idx="5">
                  <c:v>Guatemala</c:v>
                </c:pt>
                <c:pt idx="6">
                  <c:v>Jamaica</c:v>
                </c:pt>
                <c:pt idx="7">
                  <c:v>Venezuela</c:v>
                </c:pt>
                <c:pt idx="8">
                  <c:v>Perú</c:v>
                </c:pt>
                <c:pt idx="9">
                  <c:v>Ecuador</c:v>
                </c:pt>
                <c:pt idx="10">
                  <c:v>Rep. Dominicana</c:v>
                </c:pt>
                <c:pt idx="11">
                  <c:v>Nicaragua</c:v>
                </c:pt>
                <c:pt idx="12">
                  <c:v>El Salvador</c:v>
                </c:pt>
                <c:pt idx="13">
                  <c:v>Paraguay</c:v>
                </c:pt>
                <c:pt idx="14">
                  <c:v>Bolivia</c:v>
                </c:pt>
                <c:pt idx="15">
                  <c:v>Chile</c:v>
                </c:pt>
                <c:pt idx="16">
                  <c:v>Panamá</c:v>
                </c:pt>
                <c:pt idx="17">
                  <c:v>México</c:v>
                </c:pt>
                <c:pt idx="18">
                  <c:v>Costa Rica</c:v>
                </c:pt>
                <c:pt idx="19">
                  <c:v>Colombia</c:v>
                </c:pt>
                <c:pt idx="20">
                  <c:v>Uruguay</c:v>
                </c:pt>
                <c:pt idx="21">
                  <c:v>Brasil</c:v>
                </c:pt>
                <c:pt idx="22">
                  <c:v>Argentina</c:v>
                </c:pt>
              </c:strCache>
            </c:strRef>
          </c:cat>
          <c:val>
            <c:numRef>
              <c:f>'[232017064p1g019.xlsx]Figura 3.4'!$D$31:$D$53</c:f>
              <c:numCache>
                <c:formatCode>#,##0.000</c:formatCode>
                <c:ptCount val="23"/>
                <c:pt idx="0" formatCode="General">
                  <c:v>0.13307916114701376</c:v>
                </c:pt>
                <c:pt idx="1">
                  <c:v>3.4785421734103072E-3</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6.9570843468206148E-2</c:v>
                </c:pt>
                <c:pt idx="18">
                  <c:v>0</c:v>
                </c:pt>
                <c:pt idx="19">
                  <c:v>0</c:v>
                </c:pt>
                <c:pt idx="20">
                  <c:v>0</c:v>
                </c:pt>
                <c:pt idx="21">
                  <c:v>0</c:v>
                </c:pt>
                <c:pt idx="22">
                  <c:v>0</c:v>
                </c:pt>
              </c:numCache>
            </c:numRef>
          </c:val>
          <c:extLst>
            <c:ext xmlns:c16="http://schemas.microsoft.com/office/drawing/2014/chart" uri="{C3380CC4-5D6E-409C-BE32-E72D297353CC}">
              <c16:uniqueId val="{00000008-1BE1-4630-999A-A7267E35DA22}"/>
            </c:ext>
          </c:extLst>
        </c:ser>
        <c:dLbls>
          <c:showLegendKey val="0"/>
          <c:showVal val="0"/>
          <c:showCatName val="0"/>
          <c:showSerName val="0"/>
          <c:showPercent val="0"/>
          <c:showBubbleSize val="0"/>
        </c:dLbls>
        <c:gapWidth val="150"/>
        <c:overlap val="100"/>
        <c:axId val="200941568"/>
        <c:axId val="200943488"/>
      </c:barChart>
      <c:catAx>
        <c:axId val="200941568"/>
        <c:scaling>
          <c:orientation val="minMax"/>
        </c:scaling>
        <c:delete val="0"/>
        <c:axPos val="b"/>
        <c:majorGridlines>
          <c:spPr>
            <a:ln w="9525" cmpd="sng">
              <a:solidFill>
                <a:srgbClr val="FFFFFF"/>
              </a:solidFill>
              <a:prstDash val="solid"/>
            </a:ln>
          </c:spPr>
        </c:majorGridlines>
        <c:numFmt formatCode="General" sourceLinked="0"/>
        <c:majorTickMark val="in"/>
        <c:minorTickMark val="none"/>
        <c:tickLblPos val="low"/>
        <c:spPr>
          <a:noFill/>
          <a:ln w="9525">
            <a:solidFill>
              <a:srgbClr val="000000"/>
            </a:solidFill>
            <a:prstDash val="solid"/>
          </a:ln>
          <a:extLst>
            <a:ext uri="{909E8E84-426E-40DD-AFC4-6F175D3DCCD1}">
              <a14:hiddenFill xmlns:a14="http://schemas.microsoft.com/office/drawing/2010/main">
                <a:noFill/>
              </a14:hiddenFill>
            </a:ext>
          </a:extLst>
        </c:spPr>
        <c:txPr>
          <a:bodyPr rot="-2700000" vert="horz"/>
          <a:lstStyle/>
          <a:p>
            <a:pPr>
              <a:defRPr/>
            </a:pPr>
            <a:endParaRPr lang="en-US"/>
          </a:p>
        </c:txPr>
        <c:crossAx val="200943488"/>
        <c:crosses val="autoZero"/>
        <c:auto val="1"/>
        <c:lblAlgn val="ctr"/>
        <c:lblOffset val="0"/>
        <c:tickLblSkip val="1"/>
        <c:noMultiLvlLbl val="0"/>
      </c:catAx>
      <c:valAx>
        <c:axId val="200943488"/>
        <c:scaling>
          <c:orientation val="minMax"/>
        </c:scaling>
        <c:delete val="0"/>
        <c:axPos val="l"/>
        <c:majorGridlines>
          <c:spPr>
            <a:ln w="9525" cmpd="sng">
              <a:solidFill>
                <a:srgbClr val="FFFFFF"/>
              </a:solidFill>
              <a:prstDash val="solid"/>
            </a:ln>
          </c:spPr>
        </c:majorGridlines>
        <c:numFmt formatCode="0%" sourceLinked="0"/>
        <c:majorTickMark val="in"/>
        <c:minorTickMark val="none"/>
        <c:tickLblPos val="nextTo"/>
        <c:spPr>
          <a:noFill/>
          <a:ln w="9525">
            <a:solidFill>
              <a:srgbClr val="000000"/>
            </a:solidFill>
            <a:prstDash val="solid"/>
          </a:ln>
          <a:extLst>
            <a:ext uri="{909E8E84-426E-40DD-AFC4-6F175D3DCCD1}">
              <a14:hiddenFill xmlns:a14="http://schemas.microsoft.com/office/drawing/2010/main">
                <a:noFill/>
              </a14:hiddenFill>
            </a:ext>
          </a:extLst>
        </c:spPr>
        <c:txPr>
          <a:bodyPr rot="0" vert="horz"/>
          <a:lstStyle/>
          <a:p>
            <a:pPr>
              <a:defRPr/>
            </a:pPr>
            <a:endParaRPr lang="en-US"/>
          </a:p>
        </c:txPr>
        <c:crossAx val="200941568"/>
        <c:crosses val="autoZero"/>
        <c:crossBetween val="between"/>
      </c:valAx>
      <c:spPr>
        <a:solidFill>
          <a:schemeClr val="bg1"/>
        </a:solidFill>
        <a:ln w="9525">
          <a:solidFill>
            <a:srgbClr val="000000"/>
          </a:solidFill>
        </a:ln>
      </c:spPr>
    </c:plotArea>
    <c:legend>
      <c:legendPos val="t"/>
      <c:layout>
        <c:manualLayout>
          <c:xMode val="edge"/>
          <c:yMode val="edge"/>
          <c:x val="5.3259860527725626E-2"/>
          <c:y val="1.9920868100442669E-2"/>
          <c:w val="0.93980668368426501"/>
          <c:h val="7.4703255376660005E-2"/>
        </c:manualLayout>
      </c:layout>
      <c:overlay val="1"/>
      <c:spPr>
        <a:solidFill>
          <a:srgbClr val="EAEAEA"/>
        </a:solidFill>
        <a:ln w="25400">
          <a:noFill/>
        </a:ln>
      </c:spPr>
    </c:legend>
    <c:plotVisOnly val="1"/>
    <c:dispBlanksAs val="gap"/>
    <c:showDLblsOverMax val="1"/>
  </c:chart>
  <c:spPr>
    <a:noFill/>
    <a:ln>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Times New Roman" panose="02020603050405020304" pitchFamily="18" charset="0"/>
          <a:ea typeface="Arial Narrow"/>
          <a:cs typeface="Times New Roman" panose="02020603050405020304" pitchFamily="18" charset="0"/>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8598647391298316E-2"/>
          <c:y val="6.1853351327035538E-2"/>
          <c:w val="0.86290047077448651"/>
          <c:h val="0.69475039051292686"/>
        </c:manualLayout>
      </c:layout>
      <c:lineChart>
        <c:grouping val="standard"/>
        <c:varyColors val="0"/>
        <c:ser>
          <c:idx val="0"/>
          <c:order val="0"/>
          <c:tx>
            <c:strRef>
              <c:f>G.9!$B$3</c:f>
              <c:strCache>
                <c:ptCount val="1"/>
                <c:pt idx="0">
                  <c:v>Costa Rica</c:v>
                </c:pt>
              </c:strCache>
            </c:strRef>
          </c:tx>
          <c:spPr>
            <a:ln w="28575" cap="rnd">
              <a:solidFill>
                <a:srgbClr val="FF0000"/>
              </a:solidFill>
              <a:prstDash val="sysDot"/>
              <a:round/>
            </a:ln>
            <a:effectLst/>
          </c:spPr>
          <c:marker>
            <c:symbol val="circle"/>
            <c:size val="7"/>
            <c:spPr>
              <a:solidFill>
                <a:srgbClr val="FF0000"/>
              </a:solidFill>
              <a:ln w="9525">
                <a:solidFill>
                  <a:srgbClr val="FF0000"/>
                </a:solidFill>
              </a:ln>
              <a:effectLst/>
            </c:spPr>
          </c:marker>
          <c:cat>
            <c:numRef>
              <c:f>G.9!$C$2:$L$2</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G.9!$C$3:$L$3</c:f>
              <c:numCache>
                <c:formatCode>0.0</c:formatCode>
                <c:ptCount val="10"/>
                <c:pt idx="0">
                  <c:v>30</c:v>
                </c:pt>
                <c:pt idx="1">
                  <c:v>30</c:v>
                </c:pt>
                <c:pt idx="2">
                  <c:v>30</c:v>
                </c:pt>
                <c:pt idx="3">
                  <c:v>30</c:v>
                </c:pt>
                <c:pt idx="4">
                  <c:v>30</c:v>
                </c:pt>
                <c:pt idx="5">
                  <c:v>30</c:v>
                </c:pt>
                <c:pt idx="6">
                  <c:v>30</c:v>
                </c:pt>
                <c:pt idx="7">
                  <c:v>30</c:v>
                </c:pt>
                <c:pt idx="8">
                  <c:v>30</c:v>
                </c:pt>
                <c:pt idx="9">
                  <c:v>30</c:v>
                </c:pt>
              </c:numCache>
            </c:numRef>
          </c:val>
          <c:smooth val="0"/>
          <c:extLst>
            <c:ext xmlns:c16="http://schemas.microsoft.com/office/drawing/2014/chart" uri="{C3380CC4-5D6E-409C-BE32-E72D297353CC}">
              <c16:uniqueId val="{00000000-BC3D-4D88-BB2A-C5416367A8F3}"/>
            </c:ext>
          </c:extLst>
        </c:ser>
        <c:ser>
          <c:idx val="1"/>
          <c:order val="1"/>
          <c:tx>
            <c:strRef>
              <c:f>G.9!$B$4</c:f>
              <c:strCache>
                <c:ptCount val="1"/>
                <c:pt idx="0">
                  <c:v>Panamá</c:v>
                </c:pt>
              </c:strCache>
            </c:strRef>
          </c:tx>
          <c:spPr>
            <a:ln w="28575" cap="rnd">
              <a:solidFill>
                <a:schemeClr val="accent1"/>
              </a:solidFill>
              <a:prstDash val="sysDot"/>
              <a:round/>
            </a:ln>
            <a:effectLst/>
          </c:spPr>
          <c:marker>
            <c:symbol val="circle"/>
            <c:size val="7"/>
            <c:spPr>
              <a:solidFill>
                <a:schemeClr val="accent1"/>
              </a:solidFill>
              <a:ln w="9525">
                <a:solidFill>
                  <a:schemeClr val="accent1"/>
                </a:solidFill>
              </a:ln>
              <a:effectLst/>
            </c:spPr>
          </c:marker>
          <c:cat>
            <c:numRef>
              <c:f>G.9!$C$2:$L$2</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G.9!$C$4:$L$4</c:f>
              <c:numCache>
                <c:formatCode>0.0</c:formatCode>
                <c:ptCount val="10"/>
                <c:pt idx="0">
                  <c:v>30</c:v>
                </c:pt>
                <c:pt idx="1">
                  <c:v>30</c:v>
                </c:pt>
                <c:pt idx="2">
                  <c:v>27.5</c:v>
                </c:pt>
                <c:pt idx="3">
                  <c:v>25</c:v>
                </c:pt>
                <c:pt idx="4">
                  <c:v>25</c:v>
                </c:pt>
                <c:pt idx="5">
                  <c:v>25</c:v>
                </c:pt>
                <c:pt idx="6">
                  <c:v>25</c:v>
                </c:pt>
                <c:pt idx="7">
                  <c:v>25</c:v>
                </c:pt>
                <c:pt idx="8">
                  <c:v>25</c:v>
                </c:pt>
                <c:pt idx="9">
                  <c:v>25</c:v>
                </c:pt>
              </c:numCache>
            </c:numRef>
          </c:val>
          <c:smooth val="0"/>
          <c:extLst>
            <c:ext xmlns:c16="http://schemas.microsoft.com/office/drawing/2014/chart" uri="{C3380CC4-5D6E-409C-BE32-E72D297353CC}">
              <c16:uniqueId val="{00000001-BC3D-4D88-BB2A-C5416367A8F3}"/>
            </c:ext>
          </c:extLst>
        </c:ser>
        <c:ser>
          <c:idx val="2"/>
          <c:order val="2"/>
          <c:tx>
            <c:strRef>
              <c:f>G.9!$B$5</c:f>
              <c:strCache>
                <c:ptCount val="1"/>
                <c:pt idx="0">
                  <c:v>República Dominicana</c:v>
                </c:pt>
              </c:strCache>
            </c:strRef>
          </c:tx>
          <c:spPr>
            <a:ln w="28575" cap="rnd">
              <a:solidFill>
                <a:schemeClr val="accent3"/>
              </a:solidFill>
              <a:prstDash val="sysDot"/>
              <a:round/>
            </a:ln>
            <a:effectLst/>
          </c:spPr>
          <c:marker>
            <c:symbol val="circle"/>
            <c:size val="7"/>
            <c:spPr>
              <a:solidFill>
                <a:schemeClr val="accent3"/>
              </a:solidFill>
              <a:ln w="9525">
                <a:solidFill>
                  <a:schemeClr val="accent3"/>
                </a:solidFill>
              </a:ln>
              <a:effectLst/>
            </c:spPr>
          </c:marker>
          <c:cat>
            <c:numRef>
              <c:f>G.9!$C$2:$L$2</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G.9!$C$5:$L$5</c:f>
              <c:numCache>
                <c:formatCode>0.0</c:formatCode>
                <c:ptCount val="10"/>
                <c:pt idx="0">
                  <c:v>25</c:v>
                </c:pt>
                <c:pt idx="1">
                  <c:v>25</c:v>
                </c:pt>
                <c:pt idx="2">
                  <c:v>25</c:v>
                </c:pt>
                <c:pt idx="3">
                  <c:v>29</c:v>
                </c:pt>
                <c:pt idx="4">
                  <c:v>29</c:v>
                </c:pt>
                <c:pt idx="5">
                  <c:v>29</c:v>
                </c:pt>
                <c:pt idx="6">
                  <c:v>28</c:v>
                </c:pt>
                <c:pt idx="7">
                  <c:v>27</c:v>
                </c:pt>
                <c:pt idx="8">
                  <c:v>27</c:v>
                </c:pt>
                <c:pt idx="9">
                  <c:v>27</c:v>
                </c:pt>
              </c:numCache>
            </c:numRef>
          </c:val>
          <c:smooth val="0"/>
          <c:extLst>
            <c:ext xmlns:c16="http://schemas.microsoft.com/office/drawing/2014/chart" uri="{C3380CC4-5D6E-409C-BE32-E72D297353CC}">
              <c16:uniqueId val="{00000002-BC3D-4D88-BB2A-C5416367A8F3}"/>
            </c:ext>
          </c:extLst>
        </c:ser>
        <c:ser>
          <c:idx val="3"/>
          <c:order val="3"/>
          <c:tx>
            <c:strRef>
              <c:f>G.9!$B$6</c:f>
              <c:strCache>
                <c:ptCount val="1"/>
                <c:pt idx="0">
                  <c:v>Uruguay</c:v>
                </c:pt>
              </c:strCache>
            </c:strRef>
          </c:tx>
          <c:spPr>
            <a:ln w="28575" cap="rnd">
              <a:solidFill>
                <a:schemeClr val="accent2"/>
              </a:solidFill>
              <a:prstDash val="sysDot"/>
              <a:round/>
            </a:ln>
            <a:effectLst/>
          </c:spPr>
          <c:marker>
            <c:symbol val="circle"/>
            <c:size val="7"/>
            <c:spPr>
              <a:solidFill>
                <a:schemeClr val="accent2"/>
              </a:solidFill>
              <a:ln w="9525">
                <a:solidFill>
                  <a:schemeClr val="accent4"/>
                </a:solidFill>
              </a:ln>
              <a:effectLst/>
            </c:spPr>
          </c:marker>
          <c:cat>
            <c:numRef>
              <c:f>G.9!$C$2:$L$2</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G.9!$C$6:$L$6</c:f>
              <c:numCache>
                <c:formatCode>0.0</c:formatCode>
                <c:ptCount val="10"/>
                <c:pt idx="0">
                  <c:v>25</c:v>
                </c:pt>
                <c:pt idx="1">
                  <c:v>25</c:v>
                </c:pt>
                <c:pt idx="2">
                  <c:v>25</c:v>
                </c:pt>
                <c:pt idx="3">
                  <c:v>25</c:v>
                </c:pt>
                <c:pt idx="4">
                  <c:v>25</c:v>
                </c:pt>
                <c:pt idx="5">
                  <c:v>25</c:v>
                </c:pt>
                <c:pt idx="6">
                  <c:v>25</c:v>
                </c:pt>
                <c:pt idx="7">
                  <c:v>25</c:v>
                </c:pt>
                <c:pt idx="8">
                  <c:v>25</c:v>
                </c:pt>
                <c:pt idx="9">
                  <c:v>25</c:v>
                </c:pt>
              </c:numCache>
            </c:numRef>
          </c:val>
          <c:smooth val="0"/>
          <c:extLst>
            <c:ext xmlns:c16="http://schemas.microsoft.com/office/drawing/2014/chart" uri="{C3380CC4-5D6E-409C-BE32-E72D297353CC}">
              <c16:uniqueId val="{00000003-BC3D-4D88-BB2A-C5416367A8F3}"/>
            </c:ext>
          </c:extLst>
        </c:ser>
        <c:ser>
          <c:idx val="4"/>
          <c:order val="4"/>
          <c:tx>
            <c:strRef>
              <c:f>G.9!$B$7</c:f>
              <c:strCache>
                <c:ptCount val="1"/>
                <c:pt idx="0">
                  <c:v>Promedio América Latina</c:v>
                </c:pt>
              </c:strCache>
            </c:strRef>
          </c:tx>
          <c:spPr>
            <a:ln w="28575" cap="rnd">
              <a:solidFill>
                <a:srgbClr val="FFC000"/>
              </a:solidFill>
              <a:prstDash val="sysDot"/>
              <a:round/>
            </a:ln>
            <a:effectLst/>
          </c:spPr>
          <c:marker>
            <c:symbol val="circle"/>
            <c:size val="7"/>
            <c:spPr>
              <a:solidFill>
                <a:srgbClr val="FFC000"/>
              </a:solidFill>
              <a:ln w="9525">
                <a:solidFill>
                  <a:schemeClr val="accent5"/>
                </a:solidFill>
              </a:ln>
              <a:effectLst/>
            </c:spPr>
          </c:marker>
          <c:cat>
            <c:numRef>
              <c:f>G.9!$C$2:$L$2</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G.9!$C$7:$L$7</c:f>
              <c:numCache>
                <c:formatCode>0.0</c:formatCode>
                <c:ptCount val="10"/>
                <c:pt idx="0">
                  <c:v>27.611111111111111</c:v>
                </c:pt>
                <c:pt idx="1">
                  <c:v>27.611111111111111</c:v>
                </c:pt>
                <c:pt idx="2">
                  <c:v>27.305555555555557</c:v>
                </c:pt>
                <c:pt idx="3">
                  <c:v>28.055555555555557</c:v>
                </c:pt>
                <c:pt idx="4">
                  <c:v>28.277777777777779</c:v>
                </c:pt>
                <c:pt idx="5">
                  <c:v>27.777777777777779</c:v>
                </c:pt>
                <c:pt idx="6">
                  <c:v>27.277777777777779</c:v>
                </c:pt>
                <c:pt idx="7">
                  <c:v>27.277777777777779</c:v>
                </c:pt>
                <c:pt idx="8">
                  <c:v>27.277777777777779</c:v>
                </c:pt>
                <c:pt idx="9">
                  <c:v>27.583333333333332</c:v>
                </c:pt>
              </c:numCache>
            </c:numRef>
          </c:val>
          <c:smooth val="0"/>
          <c:extLst>
            <c:ext xmlns:c16="http://schemas.microsoft.com/office/drawing/2014/chart" uri="{C3380CC4-5D6E-409C-BE32-E72D297353CC}">
              <c16:uniqueId val="{00000004-BC3D-4D88-BB2A-C5416367A8F3}"/>
            </c:ext>
          </c:extLst>
        </c:ser>
        <c:dLbls>
          <c:showLegendKey val="0"/>
          <c:showVal val="0"/>
          <c:showCatName val="0"/>
          <c:showSerName val="0"/>
          <c:showPercent val="0"/>
          <c:showBubbleSize val="0"/>
        </c:dLbls>
        <c:marker val="1"/>
        <c:smooth val="0"/>
        <c:axId val="862440456"/>
        <c:axId val="862442424"/>
      </c:lineChart>
      <c:catAx>
        <c:axId val="862440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62442424"/>
        <c:crosses val="autoZero"/>
        <c:auto val="1"/>
        <c:lblAlgn val="ctr"/>
        <c:lblOffset val="100"/>
        <c:noMultiLvlLbl val="0"/>
      </c:catAx>
      <c:valAx>
        <c:axId val="862442424"/>
        <c:scaling>
          <c:orientation val="minMax"/>
          <c:min val="24"/>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62440456"/>
        <c:crosses val="autoZero"/>
        <c:crossBetween val="between"/>
      </c:valAx>
      <c:spPr>
        <a:noFill/>
        <a:ln>
          <a:noFill/>
        </a:ln>
        <a:effectLst/>
      </c:spPr>
    </c:plotArea>
    <c:legend>
      <c:legendPos val="b"/>
      <c:layout>
        <c:manualLayout>
          <c:xMode val="edge"/>
          <c:yMode val="edge"/>
          <c:x val="2.4403893957699731E-2"/>
          <c:y val="0.84325466401720017"/>
          <c:w val="0.96001055423627601"/>
          <c:h val="0.15674533598279974"/>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78762074292649"/>
          <c:y val="2.7844660194174763E-2"/>
          <c:w val="0.75310295041642716"/>
          <c:h val="0.73303447748643069"/>
        </c:manualLayout>
      </c:layout>
      <c:barChart>
        <c:barDir val="col"/>
        <c:grouping val="clustered"/>
        <c:varyColors val="0"/>
        <c:ser>
          <c:idx val="0"/>
          <c:order val="0"/>
          <c:tx>
            <c:strRef>
              <c:f>Hoja1!$B$1</c:f>
              <c:strCache>
                <c:ptCount val="1"/>
                <c:pt idx="0">
                  <c:v>Gasto Total Real </c:v>
                </c:pt>
              </c:strCache>
            </c:strRef>
          </c:tx>
          <c:spPr>
            <a:solidFill>
              <a:schemeClr val="accent1"/>
            </a:solidFill>
            <a:ln>
              <a:noFill/>
            </a:ln>
            <a:effectLst/>
          </c:spPr>
          <c:invertIfNegative val="0"/>
          <c:cat>
            <c:numRef>
              <c:f>Hoja1!$A$2:$A$11</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Hoja1!$B$2:$B$11</c:f>
              <c:numCache>
                <c:formatCode>General</c:formatCode>
                <c:ptCount val="10"/>
                <c:pt idx="0">
                  <c:v>4220351.452279808</c:v>
                </c:pt>
                <c:pt idx="1">
                  <c:v>4528063.8358771764</c:v>
                </c:pt>
                <c:pt idx="2">
                  <c:v>4840357.7968999995</c:v>
                </c:pt>
                <c:pt idx="3">
                  <c:v>5714572.0082606692</c:v>
                </c:pt>
                <c:pt idx="4">
                  <c:v>6174227.0158817833</c:v>
                </c:pt>
                <c:pt idx="5">
                  <c:v>6376943.0283364505</c:v>
                </c:pt>
                <c:pt idx="6">
                  <c:v>6935752.7745363591</c:v>
                </c:pt>
                <c:pt idx="7">
                  <c:v>7291374.9352754615</c:v>
                </c:pt>
                <c:pt idx="8">
                  <c:v>7537921.6172427684</c:v>
                </c:pt>
                <c:pt idx="9">
                  <c:v>8295359.2150386758</c:v>
                </c:pt>
              </c:numCache>
            </c:numRef>
          </c:val>
          <c:extLst>
            <c:ext xmlns:c16="http://schemas.microsoft.com/office/drawing/2014/chart" uri="{C3380CC4-5D6E-409C-BE32-E72D297353CC}">
              <c16:uniqueId val="{00000000-1DAA-4625-98CD-46BF0E6DF227}"/>
            </c:ext>
          </c:extLst>
        </c:ser>
        <c:ser>
          <c:idx val="1"/>
          <c:order val="1"/>
          <c:tx>
            <c:strRef>
              <c:f>Hoja1!$C$1</c:f>
              <c:strCache>
                <c:ptCount val="1"/>
                <c:pt idx="0">
                  <c:v>Gasto Corriente Real </c:v>
                </c:pt>
              </c:strCache>
            </c:strRef>
          </c:tx>
          <c:spPr>
            <a:solidFill>
              <a:schemeClr val="accent2"/>
            </a:solidFill>
            <a:ln>
              <a:noFill/>
            </a:ln>
            <a:effectLst/>
          </c:spPr>
          <c:invertIfNegative val="0"/>
          <c:cat>
            <c:numRef>
              <c:f>Hoja1!$A$2:$A$11</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Hoja1!$C$2:$C$11</c:f>
              <c:numCache>
                <c:formatCode>General</c:formatCode>
                <c:ptCount val="10"/>
                <c:pt idx="0">
                  <c:v>3914789.4439846086</c:v>
                </c:pt>
                <c:pt idx="1">
                  <c:v>4099397.3035780778</c:v>
                </c:pt>
                <c:pt idx="2">
                  <c:v>4252730.7348061828</c:v>
                </c:pt>
                <c:pt idx="3">
                  <c:v>5044433.8638857473</c:v>
                </c:pt>
                <c:pt idx="4">
                  <c:v>5561198.958074308</c:v>
                </c:pt>
                <c:pt idx="5">
                  <c:v>5863884.6709618839</c:v>
                </c:pt>
                <c:pt idx="6">
                  <c:v>6220828.4917681264</c:v>
                </c:pt>
                <c:pt idx="7">
                  <c:v>6643898.717987095</c:v>
                </c:pt>
                <c:pt idx="8">
                  <c:v>6830205.5229364065</c:v>
                </c:pt>
                <c:pt idx="9">
                  <c:v>7509720.2591244699</c:v>
                </c:pt>
              </c:numCache>
            </c:numRef>
          </c:val>
          <c:extLst>
            <c:ext xmlns:c16="http://schemas.microsoft.com/office/drawing/2014/chart" uri="{C3380CC4-5D6E-409C-BE32-E72D297353CC}">
              <c16:uniqueId val="{00000001-1DAA-4625-98CD-46BF0E6DF227}"/>
            </c:ext>
          </c:extLst>
        </c:ser>
        <c:dLbls>
          <c:showLegendKey val="0"/>
          <c:showVal val="0"/>
          <c:showCatName val="0"/>
          <c:showSerName val="0"/>
          <c:showPercent val="0"/>
          <c:showBubbleSize val="0"/>
        </c:dLbls>
        <c:gapWidth val="219"/>
        <c:axId val="37200640"/>
        <c:axId val="37202176"/>
      </c:barChart>
      <c:lineChart>
        <c:grouping val="standard"/>
        <c:varyColors val="0"/>
        <c:ser>
          <c:idx val="2"/>
          <c:order val="2"/>
          <c:tx>
            <c:strRef>
              <c:f>Hoja1!$D$1</c:f>
              <c:strCache>
                <c:ptCount val="1"/>
                <c:pt idx="0">
                  <c:v>Crec. Gasto Total Real </c:v>
                </c:pt>
              </c:strCache>
            </c:strRef>
          </c:tx>
          <c:spPr>
            <a:ln w="28575" cap="rnd">
              <a:solidFill>
                <a:srgbClr val="00B050"/>
              </a:solidFill>
              <a:round/>
            </a:ln>
            <a:effectLst/>
          </c:spPr>
          <c:marker>
            <c:symbol val="none"/>
          </c:marker>
          <c:cat>
            <c:numRef>
              <c:f>Hoja1!$A$2:$A$11</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Hoja1!$D$2:$D$11</c:f>
              <c:numCache>
                <c:formatCode>General</c:formatCode>
                <c:ptCount val="10"/>
                <c:pt idx="1">
                  <c:v>7.2911554186119831E-2</c:v>
                </c:pt>
                <c:pt idx="2">
                  <c:v>6.8968542039629988E-2</c:v>
                </c:pt>
                <c:pt idx="3">
                  <c:v>0.18060941939468989</c:v>
                </c:pt>
                <c:pt idx="4">
                  <c:v>8.0435596394036635E-2</c:v>
                </c:pt>
                <c:pt idx="5">
                  <c:v>3.283261401519999E-2</c:v>
                </c:pt>
                <c:pt idx="6">
                  <c:v>8.7629722222198447E-2</c:v>
                </c:pt>
                <c:pt idx="7">
                  <c:v>5.1273765415157158E-2</c:v>
                </c:pt>
                <c:pt idx="8">
                  <c:v>3.3813469223002324E-2</c:v>
                </c:pt>
                <c:pt idx="9">
                  <c:v>0.10048361289182051</c:v>
                </c:pt>
              </c:numCache>
            </c:numRef>
          </c:val>
          <c:smooth val="1"/>
          <c:extLst>
            <c:ext xmlns:c16="http://schemas.microsoft.com/office/drawing/2014/chart" uri="{C3380CC4-5D6E-409C-BE32-E72D297353CC}">
              <c16:uniqueId val="{00000002-1DAA-4625-98CD-46BF0E6DF227}"/>
            </c:ext>
          </c:extLst>
        </c:ser>
        <c:ser>
          <c:idx val="3"/>
          <c:order val="3"/>
          <c:tx>
            <c:strRef>
              <c:f>Hoja1!$E$1</c:f>
              <c:strCache>
                <c:ptCount val="1"/>
                <c:pt idx="0">
                  <c:v>Crec. Gasto Corriente Real </c:v>
                </c:pt>
              </c:strCache>
            </c:strRef>
          </c:tx>
          <c:spPr>
            <a:ln w="28575" cap="rnd">
              <a:solidFill>
                <a:schemeClr val="accent4"/>
              </a:solidFill>
              <a:round/>
            </a:ln>
            <a:effectLst/>
          </c:spPr>
          <c:marker>
            <c:symbol val="none"/>
          </c:marker>
          <c:cat>
            <c:numRef>
              <c:f>Hoja1!$A$2:$A$11</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Hoja1!$E$2:$E$11</c:f>
              <c:numCache>
                <c:formatCode>General</c:formatCode>
                <c:ptCount val="10"/>
                <c:pt idx="1">
                  <c:v>4.7156523290705854E-2</c:v>
                </c:pt>
                <c:pt idx="2">
                  <c:v>3.7403896200612463E-2</c:v>
                </c:pt>
                <c:pt idx="3">
                  <c:v>0.18616347435306091</c:v>
                </c:pt>
                <c:pt idx="4">
                  <c:v>0.10244263442290324</c:v>
                </c:pt>
                <c:pt idx="5">
                  <c:v>5.4428139537807008E-2</c:v>
                </c:pt>
                <c:pt idx="6">
                  <c:v>6.0871562255280676E-2</c:v>
                </c:pt>
                <c:pt idx="7">
                  <c:v>6.8008662636947381E-2</c:v>
                </c:pt>
                <c:pt idx="8">
                  <c:v>2.8041788843788495E-2</c:v>
                </c:pt>
                <c:pt idx="9" formatCode="0.00%">
                  <c:v>9.9486718797288765E-2</c:v>
                </c:pt>
              </c:numCache>
            </c:numRef>
          </c:val>
          <c:smooth val="1"/>
          <c:extLst>
            <c:ext xmlns:c16="http://schemas.microsoft.com/office/drawing/2014/chart" uri="{C3380CC4-5D6E-409C-BE32-E72D297353CC}">
              <c16:uniqueId val="{00000003-1DAA-4625-98CD-46BF0E6DF227}"/>
            </c:ext>
          </c:extLst>
        </c:ser>
        <c:ser>
          <c:idx val="4"/>
          <c:order val="4"/>
          <c:tx>
            <c:strRef>
              <c:f>Hoja1!$F$1</c:f>
              <c:strCache>
                <c:ptCount val="1"/>
                <c:pt idx="0">
                  <c:v>Crecimiento PIB Real</c:v>
                </c:pt>
              </c:strCache>
            </c:strRef>
          </c:tx>
          <c:spPr>
            <a:ln w="28575" cap="rnd">
              <a:solidFill>
                <a:schemeClr val="tx1"/>
              </a:solidFill>
              <a:prstDash val="sysDash"/>
              <a:round/>
            </a:ln>
            <a:effectLst/>
          </c:spPr>
          <c:marker>
            <c:symbol val="none"/>
          </c:marker>
          <c:cat>
            <c:numRef>
              <c:f>Hoja1!$A$2:$A$11</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Hoja1!$F$2:$F$11</c:f>
              <c:numCache>
                <c:formatCode>General</c:formatCode>
                <c:ptCount val="10"/>
                <c:pt idx="0">
                  <c:v>8.7796367568010014E-2</c:v>
                </c:pt>
                <c:pt idx="1">
                  <c:v>7.9353424898781277E-2</c:v>
                </c:pt>
                <c:pt idx="2">
                  <c:v>2.7316243424686304E-2</c:v>
                </c:pt>
                <c:pt idx="3">
                  <c:v>-1.0157238586992912E-2</c:v>
                </c:pt>
                <c:pt idx="4">
                  <c:v>4.954321208421919E-2</c:v>
                </c:pt>
                <c:pt idx="5">
                  <c:v>4.5177498164008956E-2</c:v>
                </c:pt>
                <c:pt idx="6">
                  <c:v>4.7969197997958402E-2</c:v>
                </c:pt>
                <c:pt idx="7">
                  <c:v>2.0477206294209349E-2</c:v>
                </c:pt>
                <c:pt idx="8">
                  <c:v>2.9620074845323696E-2</c:v>
                </c:pt>
                <c:pt idx="9">
                  <c:v>3.659926415837389E-2</c:v>
                </c:pt>
              </c:numCache>
            </c:numRef>
          </c:val>
          <c:smooth val="1"/>
          <c:extLst>
            <c:ext xmlns:c16="http://schemas.microsoft.com/office/drawing/2014/chart" uri="{C3380CC4-5D6E-409C-BE32-E72D297353CC}">
              <c16:uniqueId val="{00000004-1DAA-4625-98CD-46BF0E6DF227}"/>
            </c:ext>
          </c:extLst>
        </c:ser>
        <c:dLbls>
          <c:showLegendKey val="0"/>
          <c:showVal val="0"/>
          <c:showCatName val="0"/>
          <c:showSerName val="0"/>
          <c:showPercent val="0"/>
          <c:showBubbleSize val="0"/>
        </c:dLbls>
        <c:marker val="1"/>
        <c:smooth val="0"/>
        <c:axId val="37218944"/>
        <c:axId val="37217024"/>
      </c:lineChart>
      <c:catAx>
        <c:axId val="37200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37202176"/>
        <c:crosses val="autoZero"/>
        <c:auto val="1"/>
        <c:lblAlgn val="ctr"/>
        <c:lblOffset val="100"/>
        <c:noMultiLvlLbl val="0"/>
      </c:catAx>
      <c:valAx>
        <c:axId val="37202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s-CR"/>
                  <a:t>Gasto en millones de Colones Reales</a:t>
                </a:r>
              </a:p>
            </c:rich>
          </c:tx>
          <c:layout>
            <c:manualLayout>
              <c:xMode val="edge"/>
              <c:yMode val="edge"/>
              <c:x val="4.3575792414742714E-3"/>
              <c:y val="0.19444537879367021"/>
            </c:manualLayout>
          </c:layout>
          <c:overlay val="0"/>
          <c:spPr>
            <a:noFill/>
            <a:ln>
              <a:noFill/>
            </a:ln>
            <a:effectLst/>
          </c:spPr>
        </c:title>
        <c:numFmt formatCode="_(&quot;₡&quot;* #,##0_);_(&quot;₡&quot;* \(#,##0\);_(&quot;₡&quot;* &quot;-&quot;_);_(@_)" sourceLinked="0"/>
        <c:majorTickMark val="none"/>
        <c:minorTickMark val="none"/>
        <c:tickLblPos val="nextTo"/>
        <c:spPr>
          <a:noFill/>
          <a:ln>
            <a:noFill/>
          </a:ln>
          <a:effectLst/>
        </c:spPr>
        <c:txPr>
          <a:bodyPr rot="-60000000" vert="horz"/>
          <a:lstStyle/>
          <a:p>
            <a:pPr>
              <a:defRPr/>
            </a:pPr>
            <a:endParaRPr lang="en-US"/>
          </a:p>
        </c:txPr>
        <c:crossAx val="37200640"/>
        <c:crosses val="autoZero"/>
        <c:crossBetween val="between"/>
        <c:dispUnits>
          <c:builtInUnit val="thousands"/>
        </c:dispUnits>
      </c:valAx>
      <c:valAx>
        <c:axId val="37217024"/>
        <c:scaling>
          <c:orientation val="minMax"/>
        </c:scaling>
        <c:delete val="0"/>
        <c:axPos val="r"/>
        <c:title>
          <c:tx>
            <c:rich>
              <a:bodyPr rot="-5400000" vert="horz"/>
              <a:lstStyle/>
              <a:p>
                <a:pPr>
                  <a:defRPr/>
                </a:pPr>
                <a:r>
                  <a:rPr lang="es-CR"/>
                  <a:t>Crecimiento del Gasto</a:t>
                </a:r>
              </a:p>
            </c:rich>
          </c:tx>
          <c:layout>
            <c:manualLayout>
              <c:xMode val="edge"/>
              <c:yMode val="edge"/>
              <c:x val="0.95398099006724324"/>
              <c:y val="0.20628484060851618"/>
            </c:manualLayout>
          </c:layout>
          <c:overlay val="0"/>
          <c:spPr>
            <a:noFill/>
            <a:ln>
              <a:noFill/>
            </a:ln>
            <a:effectLst/>
          </c:spPr>
        </c:title>
        <c:numFmt formatCode="0%" sourceLinked="0"/>
        <c:majorTickMark val="out"/>
        <c:minorTickMark val="none"/>
        <c:tickLblPos val="nextTo"/>
        <c:spPr>
          <a:noFill/>
          <a:ln>
            <a:noFill/>
          </a:ln>
          <a:effectLst/>
        </c:spPr>
        <c:txPr>
          <a:bodyPr rot="-60000000" vert="horz"/>
          <a:lstStyle/>
          <a:p>
            <a:pPr>
              <a:defRPr/>
            </a:pPr>
            <a:endParaRPr lang="en-US"/>
          </a:p>
        </c:txPr>
        <c:crossAx val="37218944"/>
        <c:crosses val="max"/>
        <c:crossBetween val="between"/>
        <c:majorUnit val="3.0000000000000006E-2"/>
      </c:valAx>
      <c:catAx>
        <c:axId val="37218944"/>
        <c:scaling>
          <c:orientation val="minMax"/>
        </c:scaling>
        <c:delete val="1"/>
        <c:axPos val="b"/>
        <c:numFmt formatCode="General" sourceLinked="1"/>
        <c:majorTickMark val="out"/>
        <c:minorTickMark val="none"/>
        <c:tickLblPos val="nextTo"/>
        <c:crossAx val="37217024"/>
        <c:crosses val="autoZero"/>
        <c:auto val="1"/>
        <c:lblAlgn val="ctr"/>
        <c:lblOffset val="100"/>
        <c:noMultiLvlLbl val="0"/>
      </c:catAx>
      <c:spPr>
        <a:noFill/>
        <a:ln>
          <a:noFill/>
        </a:ln>
        <a:effectLst/>
      </c:spPr>
    </c:plotArea>
    <c:legend>
      <c:legendPos val="b"/>
      <c:layout>
        <c:manualLayout>
          <c:xMode val="edge"/>
          <c:yMode val="edge"/>
          <c:x val="4.1666666666666664E-2"/>
          <c:y val="0.84400489259230949"/>
          <c:w val="0.95833333333333337"/>
          <c:h val="0.13218530693372066"/>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noFill/>
      <a:round/>
    </a:ln>
    <a:effectLst/>
  </c:spPr>
  <c:txPr>
    <a:bodyPr/>
    <a:lstStyle/>
    <a:p>
      <a:pPr>
        <a:defRPr sz="9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54040288532403E-2"/>
          <c:y val="6.4736346516007529E-2"/>
          <c:w val="0.89294932531773774"/>
          <c:h val="0.69372432789121696"/>
        </c:manualLayout>
      </c:layout>
      <c:barChart>
        <c:barDir val="col"/>
        <c:grouping val="stacked"/>
        <c:varyColors val="0"/>
        <c:ser>
          <c:idx val="0"/>
          <c:order val="0"/>
          <c:tx>
            <c:strRef>
              <c:f>G.11!$B$4</c:f>
              <c:strCache>
                <c:ptCount val="1"/>
                <c:pt idx="0">
                  <c:v>Sector Privado </c:v>
                </c:pt>
              </c:strCache>
            </c:strRef>
          </c:tx>
          <c:spPr>
            <a:solidFill>
              <a:schemeClr val="tx1"/>
            </a:solidFill>
            <a:ln>
              <a:noFill/>
            </a:ln>
            <a:effectLst/>
          </c:spPr>
          <c:invertIfNegative val="0"/>
          <c:cat>
            <c:numRef>
              <c:f>G.11!$C$3:$N$3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G.11!$C$4:$N$4</c:f>
              <c:numCache>
                <c:formatCode>0.0%</c:formatCode>
                <c:ptCount val="12"/>
                <c:pt idx="0">
                  <c:v>2.4546830366410206E-2</c:v>
                </c:pt>
                <c:pt idx="1">
                  <c:v>2.3474914751489218E-2</c:v>
                </c:pt>
                <c:pt idx="2">
                  <c:v>2.324763004844561E-2</c:v>
                </c:pt>
                <c:pt idx="3">
                  <c:v>2.5619702406962278E-2</c:v>
                </c:pt>
                <c:pt idx="4">
                  <c:v>2.5027668403847524E-2</c:v>
                </c:pt>
                <c:pt idx="5">
                  <c:v>2.4776690696734771E-2</c:v>
                </c:pt>
                <c:pt idx="6">
                  <c:v>2.4411543612002568E-2</c:v>
                </c:pt>
                <c:pt idx="7">
                  <c:v>2.5743958878675713E-2</c:v>
                </c:pt>
                <c:pt idx="8">
                  <c:v>2.4940999690948023E-2</c:v>
                </c:pt>
                <c:pt idx="9">
                  <c:v>2.5398563704586052E-2</c:v>
                </c:pt>
                <c:pt idx="10">
                  <c:v>2.4800355802083542E-2</c:v>
                </c:pt>
                <c:pt idx="11">
                  <c:v>2.4524738888551795E-2</c:v>
                </c:pt>
              </c:numCache>
            </c:numRef>
          </c:val>
          <c:extLst>
            <c:ext xmlns:c16="http://schemas.microsoft.com/office/drawing/2014/chart" uri="{C3380CC4-5D6E-409C-BE32-E72D297353CC}">
              <c16:uniqueId val="{00000000-F042-43C2-87F9-FFD8EF625162}"/>
            </c:ext>
          </c:extLst>
        </c:ser>
        <c:ser>
          <c:idx val="1"/>
          <c:order val="1"/>
          <c:tx>
            <c:strRef>
              <c:f>G.11!$B$5</c:f>
              <c:strCache>
                <c:ptCount val="1"/>
                <c:pt idx="0">
                  <c:v>Sector Publico</c:v>
                </c:pt>
              </c:strCache>
            </c:strRef>
          </c:tx>
          <c:spPr>
            <a:solidFill>
              <a:srgbClr val="C00000"/>
            </a:solidFill>
            <a:ln>
              <a:noFill/>
            </a:ln>
            <a:effectLst/>
          </c:spPr>
          <c:invertIfNegative val="0"/>
          <c:cat>
            <c:numRef>
              <c:f>G.11!$C$3:$N$3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G.11!$C$5:$N$5</c:f>
              <c:numCache>
                <c:formatCode>0.0%</c:formatCode>
                <c:ptCount val="12"/>
                <c:pt idx="0">
                  <c:v>2.0520548339960181E-2</c:v>
                </c:pt>
                <c:pt idx="1">
                  <c:v>2.2759124259936998E-2</c:v>
                </c:pt>
                <c:pt idx="2">
                  <c:v>2.8213868021606598E-2</c:v>
                </c:pt>
                <c:pt idx="3">
                  <c:v>3.3874705654515877E-2</c:v>
                </c:pt>
                <c:pt idx="4">
                  <c:v>4.5323671565216619E-2</c:v>
                </c:pt>
                <c:pt idx="5">
                  <c:v>4.347915527168876E-2</c:v>
                </c:pt>
                <c:pt idx="6">
                  <c:v>4.7255778189663887E-2</c:v>
                </c:pt>
                <c:pt idx="7">
                  <c:v>4.8888356194737914E-2</c:v>
                </c:pt>
                <c:pt idx="8">
                  <c:v>4.8505465068765824E-2</c:v>
                </c:pt>
                <c:pt idx="9">
                  <c:v>4.9521228294577634E-2</c:v>
                </c:pt>
                <c:pt idx="10">
                  <c:v>5.0936832185234301E-2</c:v>
                </c:pt>
                <c:pt idx="11">
                  <c:v>5.2991379310510144E-2</c:v>
                </c:pt>
              </c:numCache>
            </c:numRef>
          </c:val>
          <c:extLst>
            <c:ext xmlns:c16="http://schemas.microsoft.com/office/drawing/2014/chart" uri="{C3380CC4-5D6E-409C-BE32-E72D297353CC}">
              <c16:uniqueId val="{00000001-F042-43C2-87F9-FFD8EF625162}"/>
            </c:ext>
          </c:extLst>
        </c:ser>
        <c:ser>
          <c:idx val="2"/>
          <c:order val="2"/>
          <c:tx>
            <c:strRef>
              <c:f>G.11!$B$6</c:f>
              <c:strCache>
                <c:ptCount val="1"/>
                <c:pt idx="0">
                  <c:v>Sector Externo</c:v>
                </c:pt>
              </c:strCache>
            </c:strRef>
          </c:tx>
          <c:spPr>
            <a:solidFill>
              <a:schemeClr val="accent3"/>
            </a:solidFill>
            <a:ln>
              <a:noFill/>
            </a:ln>
            <a:effectLst/>
          </c:spPr>
          <c:invertIfNegative val="0"/>
          <c:cat>
            <c:numRef>
              <c:f>G.11!$C$3:$N$3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G.11!$C$6:$N$6</c:f>
              <c:numCache>
                <c:formatCode>0.0%</c:formatCode>
                <c:ptCount val="12"/>
                <c:pt idx="0">
                  <c:v>1.814524966009027E-4</c:v>
                </c:pt>
                <c:pt idx="1">
                  <c:v>1.8079303545187923E-4</c:v>
                </c:pt>
                <c:pt idx="2">
                  <c:v>1.9170542406607931E-4</c:v>
                </c:pt>
                <c:pt idx="3">
                  <c:v>1.7727263359312184E-4</c:v>
                </c:pt>
                <c:pt idx="4">
                  <c:v>1.9914732562972457E-4</c:v>
                </c:pt>
                <c:pt idx="5">
                  <c:v>1.966761317053168E-4</c:v>
                </c:pt>
                <c:pt idx="6">
                  <c:v>1.5476115224654979E-4</c:v>
                </c:pt>
                <c:pt idx="7">
                  <c:v>2.4286161582898961E-4</c:v>
                </c:pt>
                <c:pt idx="8">
                  <c:v>2.1839184553774181E-4</c:v>
                </c:pt>
                <c:pt idx="9">
                  <c:v>1.9602990661920188E-4</c:v>
                </c:pt>
                <c:pt idx="10">
                  <c:v>1.6665790218329494E-4</c:v>
                </c:pt>
                <c:pt idx="11">
                  <c:v>1.7814485976525889E-4</c:v>
                </c:pt>
              </c:numCache>
            </c:numRef>
          </c:val>
          <c:extLst>
            <c:ext xmlns:c16="http://schemas.microsoft.com/office/drawing/2014/chart" uri="{C3380CC4-5D6E-409C-BE32-E72D297353CC}">
              <c16:uniqueId val="{00000002-F042-43C2-87F9-FFD8EF625162}"/>
            </c:ext>
          </c:extLst>
        </c:ser>
        <c:ser>
          <c:idx val="3"/>
          <c:order val="3"/>
          <c:tx>
            <c:strRef>
              <c:f>G.11!$B$7</c:f>
              <c:strCache>
                <c:ptCount val="1"/>
                <c:pt idx="0">
                  <c:v>Transferencias con recurso externo</c:v>
                </c:pt>
              </c:strCache>
            </c:strRef>
          </c:tx>
          <c:spPr>
            <a:solidFill>
              <a:srgbClr val="00B050"/>
            </a:solidFill>
            <a:ln>
              <a:noFill/>
            </a:ln>
            <a:effectLst/>
          </c:spPr>
          <c:invertIfNegative val="0"/>
          <c:cat>
            <c:numRef>
              <c:f>G.11!$C$3:$N$3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G.11!$C$7:$N$7</c:f>
              <c:numCache>
                <c:formatCode>0.0%</c:formatCode>
                <c:ptCount val="12"/>
                <c:pt idx="0">
                  <c:v>1.302567235233111E-4</c:v>
                </c:pt>
                <c:pt idx="1">
                  <c:v>2.5175967593411136E-4</c:v>
                </c:pt>
                <c:pt idx="2">
                  <c:v>2.1508277170176413E-4</c:v>
                </c:pt>
                <c:pt idx="3">
                  <c:v>4.5908247120722312E-4</c:v>
                </c:pt>
                <c:pt idx="4">
                  <c:v>1.109976784582868E-3</c:v>
                </c:pt>
                <c:pt idx="5">
                  <c:v>2.1859684637166846E-4</c:v>
                </c:pt>
                <c:pt idx="6">
                  <c:v>1.4910579923067851E-4</c:v>
                </c:pt>
                <c:pt idx="7">
                  <c:v>1.299164702532665E-4</c:v>
                </c:pt>
                <c:pt idx="8">
                  <c:v>4.0722777833410021E-4</c:v>
                </c:pt>
                <c:pt idx="9">
                  <c:v>3.7673115538101659E-4</c:v>
                </c:pt>
                <c:pt idx="10">
                  <c:v>6.3229766101078472E-4</c:v>
                </c:pt>
                <c:pt idx="11">
                  <c:v>1.4191777437288055E-3</c:v>
                </c:pt>
              </c:numCache>
            </c:numRef>
          </c:val>
          <c:extLst>
            <c:ext xmlns:c16="http://schemas.microsoft.com/office/drawing/2014/chart" uri="{C3380CC4-5D6E-409C-BE32-E72D297353CC}">
              <c16:uniqueId val="{00000003-F042-43C2-87F9-FFD8EF625162}"/>
            </c:ext>
          </c:extLst>
        </c:ser>
        <c:dLbls>
          <c:showLegendKey val="0"/>
          <c:showVal val="0"/>
          <c:showCatName val="0"/>
          <c:showSerName val="0"/>
          <c:showPercent val="0"/>
          <c:showBubbleSize val="0"/>
        </c:dLbls>
        <c:gapWidth val="150"/>
        <c:overlap val="100"/>
        <c:axId val="807552632"/>
        <c:axId val="807559192"/>
      </c:barChart>
      <c:catAx>
        <c:axId val="807552632"/>
        <c:scaling>
          <c:orientation val="minMax"/>
        </c:scaling>
        <c:delete val="0"/>
        <c:axPos val="b"/>
        <c:minorGridlines>
          <c:spPr>
            <a:ln w="6350" cap="flat" cmpd="sng" algn="ctr">
              <a:solidFill>
                <a:schemeClr val="dk1"/>
              </a:solidFill>
              <a:prstDash val="solid"/>
              <a:miter lim="800000"/>
            </a:ln>
            <a:effectLst/>
          </c:spPr>
        </c:minorGridlines>
        <c:numFmt formatCode="General" sourceLinked="1"/>
        <c:majorTickMark val="none"/>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07559192"/>
        <c:crosses val="autoZero"/>
        <c:auto val="1"/>
        <c:lblAlgn val="ctr"/>
        <c:lblOffset val="100"/>
        <c:tickMarkSkip val="8"/>
        <c:noMultiLvlLbl val="0"/>
      </c:catAx>
      <c:valAx>
        <c:axId val="807559192"/>
        <c:scaling>
          <c:orientation val="minMax"/>
        </c:scaling>
        <c:delete val="0"/>
        <c:axPos val="l"/>
        <c:majorGridlines>
          <c:spPr>
            <a:ln w="6350" cap="flat" cmpd="sng" algn="ctr">
              <a:solidFill>
                <a:schemeClr val="dk1"/>
              </a:solidFill>
              <a:prstDash val="solid"/>
              <a:miter lim="800000"/>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07552632"/>
        <c:crosses val="autoZero"/>
        <c:crossBetween val="between"/>
        <c:majorUnit val="3.0000000000000006E-2"/>
      </c:valAx>
      <c:spPr>
        <a:solidFill>
          <a:schemeClr val="bg1">
            <a:lumMod val="95000"/>
          </a:schemeClr>
        </a:solidFill>
        <a:ln>
          <a:noFill/>
        </a:ln>
        <a:effectLst/>
      </c:spPr>
    </c:plotArea>
    <c:legend>
      <c:legendPos val="b"/>
      <c:layout>
        <c:manualLayout>
          <c:xMode val="edge"/>
          <c:yMode val="edge"/>
          <c:x val="9.2549868766404184E-2"/>
          <c:y val="0.85995261009040536"/>
          <c:w val="0.85077296587926499"/>
          <c:h val="0.13995698454359873"/>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052134834889825"/>
          <c:y val="5.4726368159203981E-2"/>
          <c:w val="0.84283136482939636"/>
          <c:h val="0.73468484349904017"/>
        </c:manualLayout>
      </c:layout>
      <c:barChart>
        <c:barDir val="col"/>
        <c:grouping val="clustered"/>
        <c:varyColors val="0"/>
        <c:ser>
          <c:idx val="1"/>
          <c:order val="1"/>
          <c:tx>
            <c:strRef>
              <c:f>Hoja1!$A$108</c:f>
              <c:strCache>
                <c:ptCount val="1"/>
                <c:pt idx="0">
                  <c:v>Inversión Real </c:v>
                </c:pt>
              </c:strCache>
            </c:strRef>
          </c:tx>
          <c:spPr>
            <a:solidFill>
              <a:schemeClr val="tx1"/>
            </a:solidFill>
            <a:ln>
              <a:solidFill>
                <a:schemeClr val="tx2"/>
              </a:solidFill>
            </a:ln>
            <a:effectLst/>
          </c:spPr>
          <c:invertIfNegative val="0"/>
          <c:cat>
            <c:numRef>
              <c:f>Hoja1!$H$106:$R$106</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Hoja1!$B$108:$R$108</c:f>
              <c:numCache>
                <c:formatCode>0.00%</c:formatCode>
                <c:ptCount val="17"/>
                <c:pt idx="0">
                  <c:v>3.7279015061482041E-3</c:v>
                </c:pt>
                <c:pt idx="1">
                  <c:v>2.984529354125904E-3</c:v>
                </c:pt>
                <c:pt idx="2">
                  <c:v>3.5851178866141164E-3</c:v>
                </c:pt>
                <c:pt idx="3">
                  <c:v>2.2169513793660212E-3</c:v>
                </c:pt>
                <c:pt idx="4">
                  <c:v>1.8599013707860258E-3</c:v>
                </c:pt>
                <c:pt idx="5">
                  <c:v>2.2211606844948243E-3</c:v>
                </c:pt>
                <c:pt idx="6">
                  <c:v>2.1964135674063449E-3</c:v>
                </c:pt>
                <c:pt idx="7">
                  <c:v>2.9543322069159666E-3</c:v>
                </c:pt>
                <c:pt idx="8">
                  <c:v>3.9136630848631395E-3</c:v>
                </c:pt>
                <c:pt idx="9">
                  <c:v>4.8750871228182072E-3</c:v>
                </c:pt>
                <c:pt idx="10">
                  <c:v>3.3733185767198044E-3</c:v>
                </c:pt>
                <c:pt idx="11">
                  <c:v>3.4555474481811027E-3</c:v>
                </c:pt>
                <c:pt idx="12">
                  <c:v>2.2606135174495522E-3</c:v>
                </c:pt>
                <c:pt idx="13">
                  <c:v>3.3075747394904335E-3</c:v>
                </c:pt>
                <c:pt idx="14">
                  <c:v>3.2536434613562445E-3</c:v>
                </c:pt>
                <c:pt idx="15">
                  <c:v>3.4724897504268717E-3</c:v>
                </c:pt>
                <c:pt idx="16">
                  <c:v>3.1633378114660059E-3</c:v>
                </c:pt>
              </c:numCache>
            </c:numRef>
          </c:val>
          <c:extLst>
            <c:ext xmlns:c16="http://schemas.microsoft.com/office/drawing/2014/chart" uri="{C3380CC4-5D6E-409C-BE32-E72D297353CC}">
              <c16:uniqueId val="{00000000-B481-4DAF-BBF6-B897B760F82C}"/>
            </c:ext>
          </c:extLst>
        </c:ser>
        <c:ser>
          <c:idx val="2"/>
          <c:order val="2"/>
          <c:tx>
            <c:strRef>
              <c:f>Hoja1!$A$109</c:f>
              <c:strCache>
                <c:ptCount val="1"/>
                <c:pt idx="0">
                  <c:v>Transferencias de Capital</c:v>
                </c:pt>
              </c:strCache>
            </c:strRef>
          </c:tx>
          <c:spPr>
            <a:solidFill>
              <a:srgbClr val="C00000"/>
            </a:solidFill>
            <a:ln>
              <a:solidFill>
                <a:schemeClr val="accent6">
                  <a:lumMod val="75000"/>
                </a:schemeClr>
              </a:solidFill>
            </a:ln>
            <a:effectLst/>
          </c:spPr>
          <c:invertIfNegative val="0"/>
          <c:cat>
            <c:numRef>
              <c:f>Hoja1!$H$106:$R$106</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Hoja1!$B$109:$R$109</c:f>
              <c:numCache>
                <c:formatCode>0.00%</c:formatCode>
                <c:ptCount val="17"/>
                <c:pt idx="0">
                  <c:v>1.0568081595615963E-2</c:v>
                </c:pt>
                <c:pt idx="1">
                  <c:v>1.058763201812786E-2</c:v>
                </c:pt>
                <c:pt idx="2">
                  <c:v>1.1319820152565699E-2</c:v>
                </c:pt>
                <c:pt idx="3">
                  <c:v>8.0910856911401482E-3</c:v>
                </c:pt>
                <c:pt idx="4">
                  <c:v>8.8716958923898467E-3</c:v>
                </c:pt>
                <c:pt idx="5">
                  <c:v>8.2814753139053392E-3</c:v>
                </c:pt>
                <c:pt idx="6">
                  <c:v>7.0805228312166516E-3</c:v>
                </c:pt>
                <c:pt idx="7">
                  <c:v>1.0035171028168047E-2</c:v>
                </c:pt>
                <c:pt idx="8">
                  <c:v>1.3646380704954024E-2</c:v>
                </c:pt>
                <c:pt idx="9">
                  <c:v>1.302373358330593E-2</c:v>
                </c:pt>
                <c:pt idx="10">
                  <c:v>2.0129316725683896E-2</c:v>
                </c:pt>
                <c:pt idx="11">
                  <c:v>1.1105750447560269E-2</c:v>
                </c:pt>
                <c:pt idx="12">
                  <c:v>1.2297830574944263E-2</c:v>
                </c:pt>
                <c:pt idx="13">
                  <c:v>1.2966421008800232E-2</c:v>
                </c:pt>
                <c:pt idx="14">
                  <c:v>1.4165958059880046E-2</c:v>
                </c:pt>
                <c:pt idx="15">
                  <c:v>1.5242121684701113E-2</c:v>
                </c:pt>
                <c:pt idx="16">
                  <c:v>1.5850493403068374E-2</c:v>
                </c:pt>
              </c:numCache>
            </c:numRef>
          </c:val>
          <c:extLst>
            <c:ext xmlns:c16="http://schemas.microsoft.com/office/drawing/2014/chart" uri="{C3380CC4-5D6E-409C-BE32-E72D297353CC}">
              <c16:uniqueId val="{00000001-B481-4DAF-BBF6-B897B760F82C}"/>
            </c:ext>
          </c:extLst>
        </c:ser>
        <c:dLbls>
          <c:showLegendKey val="0"/>
          <c:showVal val="0"/>
          <c:showCatName val="0"/>
          <c:showSerName val="0"/>
          <c:showPercent val="0"/>
          <c:showBubbleSize val="0"/>
        </c:dLbls>
        <c:gapWidth val="150"/>
        <c:overlap val="-25"/>
        <c:axId val="968022160"/>
        <c:axId val="968023336"/>
      </c:barChart>
      <c:lineChart>
        <c:grouping val="standard"/>
        <c:varyColors val="0"/>
        <c:ser>
          <c:idx val="0"/>
          <c:order val="0"/>
          <c:tx>
            <c:strRef>
              <c:f>Hoja1!$A$107</c:f>
              <c:strCache>
                <c:ptCount val="1"/>
                <c:pt idx="0">
                  <c:v>Inversión Total </c:v>
                </c:pt>
              </c:strCache>
            </c:strRef>
          </c:tx>
          <c:spPr>
            <a:ln w="22225" cap="rnd">
              <a:solidFill>
                <a:schemeClr val="bg1">
                  <a:lumMod val="50000"/>
                </a:schemeClr>
              </a:solidFill>
              <a:prstDash val="solid"/>
              <a:round/>
            </a:ln>
            <a:effectLst/>
          </c:spPr>
          <c:marker>
            <c:symbol val="none"/>
          </c:marker>
          <c:cat>
            <c:numRef>
              <c:f>Hoja1!$B$106:$R$106</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f>Hoja1!$B$107:$R$107</c:f>
              <c:numCache>
                <c:formatCode>0.00%</c:formatCode>
                <c:ptCount val="17"/>
                <c:pt idx="0">
                  <c:v>1.4295983101764168E-2</c:v>
                </c:pt>
                <c:pt idx="1">
                  <c:v>1.3572161372253765E-2</c:v>
                </c:pt>
                <c:pt idx="2">
                  <c:v>1.4904938039179815E-2</c:v>
                </c:pt>
                <c:pt idx="3">
                  <c:v>1.0308037070506169E-2</c:v>
                </c:pt>
                <c:pt idx="4">
                  <c:v>1.0731597263175871E-2</c:v>
                </c:pt>
                <c:pt idx="5">
                  <c:v>1.0502635998400163E-2</c:v>
                </c:pt>
                <c:pt idx="6">
                  <c:v>9.2769363986229952E-3</c:v>
                </c:pt>
                <c:pt idx="7">
                  <c:v>1.2989503235084014E-2</c:v>
                </c:pt>
                <c:pt idx="8">
                  <c:v>1.7560043789817164E-2</c:v>
                </c:pt>
                <c:pt idx="9">
                  <c:v>1.7898820706124138E-2</c:v>
                </c:pt>
                <c:pt idx="10">
                  <c:v>2.35026353024037E-2</c:v>
                </c:pt>
                <c:pt idx="11">
                  <c:v>1.4561297895741371E-2</c:v>
                </c:pt>
                <c:pt idx="12">
                  <c:v>1.4558444092393817E-2</c:v>
                </c:pt>
                <c:pt idx="13">
                  <c:v>1.6273995748290665E-2</c:v>
                </c:pt>
                <c:pt idx="14">
                  <c:v>1.741960152123629E-2</c:v>
                </c:pt>
                <c:pt idx="15">
                  <c:v>1.8714611435127985E-2</c:v>
                </c:pt>
                <c:pt idx="16">
                  <c:v>1.9013831214534378E-2</c:v>
                </c:pt>
              </c:numCache>
            </c:numRef>
          </c:val>
          <c:smooth val="0"/>
          <c:extLst>
            <c:ext xmlns:c16="http://schemas.microsoft.com/office/drawing/2014/chart" uri="{C3380CC4-5D6E-409C-BE32-E72D297353CC}">
              <c16:uniqueId val="{00000013-B481-4DAF-BBF6-B897B760F82C}"/>
            </c:ext>
          </c:extLst>
        </c:ser>
        <c:dLbls>
          <c:showLegendKey val="0"/>
          <c:showVal val="0"/>
          <c:showCatName val="0"/>
          <c:showSerName val="0"/>
          <c:showPercent val="0"/>
          <c:showBubbleSize val="0"/>
        </c:dLbls>
        <c:marker val="1"/>
        <c:smooth val="0"/>
        <c:axId val="968022160"/>
        <c:axId val="968023336"/>
      </c:lineChart>
      <c:catAx>
        <c:axId val="968022160"/>
        <c:scaling>
          <c:orientation val="minMax"/>
        </c:scaling>
        <c:delete val="0"/>
        <c:axPos val="b"/>
        <c:numFmt formatCode="General" sourceLinked="1"/>
        <c:majorTickMark val="none"/>
        <c:minorTickMark val="none"/>
        <c:tickLblPos val="nextTo"/>
        <c:spPr>
          <a:noFill/>
          <a:ln w="19050" cap="flat" cmpd="sng" algn="ctr">
            <a:solidFill>
              <a:schemeClr val="dk1"/>
            </a:solidFill>
            <a:prstDash val="solid"/>
            <a:miter lim="800000"/>
          </a:ln>
          <a:effectLst/>
        </c:spPr>
        <c:txPr>
          <a:bodyPr rot="-5400000" spcFirstLastPara="1" vertOverflow="ellipsis"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68023336"/>
        <c:crosses val="autoZero"/>
        <c:auto val="1"/>
        <c:lblAlgn val="ctr"/>
        <c:lblOffset val="100"/>
        <c:noMultiLvlLbl val="0"/>
      </c:catAx>
      <c:valAx>
        <c:axId val="968023336"/>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s-CR"/>
                  <a:t>% PIB</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0%" sourceLinked="0"/>
        <c:majorTickMark val="none"/>
        <c:minorTickMark val="none"/>
        <c:tickLblPos val="nextTo"/>
        <c:spPr>
          <a:noFill/>
          <a:ln w="6350" cap="flat" cmpd="sng" algn="ctr">
            <a:noFill/>
            <a:prstDash val="solid"/>
            <a:miter lim="800000"/>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68022160"/>
        <c:crosses val="autoZero"/>
        <c:crossBetween val="between"/>
      </c:valAx>
      <c:spPr>
        <a:noFill/>
        <a:ln>
          <a:noFill/>
        </a:ln>
        <a:effectLst/>
      </c:spPr>
    </c:plotArea>
    <c:legend>
      <c:legendPos val="b"/>
      <c:layout>
        <c:manualLayout>
          <c:xMode val="edge"/>
          <c:yMode val="edge"/>
          <c:x val="9.4817417444912414E-2"/>
          <c:y val="0.91604418850628744"/>
          <c:w val="0.8103651651101752"/>
          <c:h val="8.3955811493712534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287766250390725"/>
          <c:y val="3.5565649016471045E-2"/>
          <c:w val="0.76054842742955819"/>
          <c:h val="0.83495634474262137"/>
        </c:manualLayout>
      </c:layout>
      <c:scatterChart>
        <c:scatterStyle val="smoothMarker"/>
        <c:varyColors val="0"/>
        <c:ser>
          <c:idx val="0"/>
          <c:order val="0"/>
          <c:tx>
            <c:strRef>
              <c:f>Hoja1!$B$1</c:f>
              <c:strCache>
                <c:ptCount val="1"/>
                <c:pt idx="0">
                  <c:v>Gasto Corriente Real  sin Regla</c:v>
                </c:pt>
              </c:strCache>
            </c:strRef>
          </c:tx>
          <c:spPr>
            <a:ln w="22225" cap="rnd">
              <a:solidFill>
                <a:schemeClr val="accent1"/>
              </a:solidFill>
              <a:round/>
            </a:ln>
            <a:effectLst/>
          </c:spPr>
          <c:marker>
            <c:symbol val="none"/>
          </c:marker>
          <c:xVal>
            <c:numRef>
              <c:f>Hoja1!$A$2:$A$11</c:f>
              <c:numCache>
                <c:formatCode>General</c:formatCode>
                <c:ptCount val="10"/>
                <c:pt idx="1">
                  <c:v>2007</c:v>
                </c:pt>
                <c:pt idx="2">
                  <c:v>2008</c:v>
                </c:pt>
                <c:pt idx="3">
                  <c:v>2009</c:v>
                </c:pt>
                <c:pt idx="4">
                  <c:v>2010</c:v>
                </c:pt>
                <c:pt idx="5">
                  <c:v>2011</c:v>
                </c:pt>
                <c:pt idx="6">
                  <c:v>2012</c:v>
                </c:pt>
                <c:pt idx="7">
                  <c:v>2013</c:v>
                </c:pt>
                <c:pt idx="8">
                  <c:v>2014</c:v>
                </c:pt>
                <c:pt idx="9">
                  <c:v>2015</c:v>
                </c:pt>
              </c:numCache>
            </c:numRef>
          </c:xVal>
          <c:yVal>
            <c:numRef>
              <c:f>Hoja1!$B$2:$B$11</c:f>
              <c:numCache>
                <c:formatCode>0.00%</c:formatCode>
                <c:ptCount val="10"/>
                <c:pt idx="1">
                  <c:v>4.715652329070541E-2</c:v>
                </c:pt>
                <c:pt idx="2">
                  <c:v>3.7403896200612463E-2</c:v>
                </c:pt>
                <c:pt idx="3">
                  <c:v>0.18616347435306091</c:v>
                </c:pt>
                <c:pt idx="4">
                  <c:v>0.1024426344229028</c:v>
                </c:pt>
                <c:pt idx="5">
                  <c:v>5.442813953780723E-2</c:v>
                </c:pt>
                <c:pt idx="6">
                  <c:v>6.0871562255280898E-2</c:v>
                </c:pt>
                <c:pt idx="7">
                  <c:v>6.8008662636947381E-2</c:v>
                </c:pt>
                <c:pt idx="8">
                  <c:v>2.8041788843788495E-2</c:v>
                </c:pt>
                <c:pt idx="9">
                  <c:v>9.9486718797288765E-2</c:v>
                </c:pt>
              </c:numCache>
            </c:numRef>
          </c:yVal>
          <c:smooth val="1"/>
          <c:extLst>
            <c:ext xmlns:c16="http://schemas.microsoft.com/office/drawing/2014/chart" uri="{C3380CC4-5D6E-409C-BE32-E72D297353CC}">
              <c16:uniqueId val="{00000000-4250-4327-8182-EBE7CD040E6F}"/>
            </c:ext>
          </c:extLst>
        </c:ser>
        <c:ser>
          <c:idx val="1"/>
          <c:order val="1"/>
          <c:tx>
            <c:strRef>
              <c:f>Hoja1!$C$1</c:f>
              <c:strCache>
                <c:ptCount val="1"/>
                <c:pt idx="0">
                  <c:v>Gasto Corriente Real con Regla</c:v>
                </c:pt>
              </c:strCache>
            </c:strRef>
          </c:tx>
          <c:spPr>
            <a:ln w="22225" cap="rnd">
              <a:solidFill>
                <a:schemeClr val="accent2"/>
              </a:solidFill>
              <a:prstDash val="sysDash"/>
              <a:round/>
            </a:ln>
            <a:effectLst/>
          </c:spPr>
          <c:marker>
            <c:symbol val="none"/>
          </c:marker>
          <c:xVal>
            <c:numRef>
              <c:f>Hoja1!$A$2:$A$11</c:f>
              <c:numCache>
                <c:formatCode>General</c:formatCode>
                <c:ptCount val="10"/>
                <c:pt idx="1">
                  <c:v>2007</c:v>
                </c:pt>
                <c:pt idx="2">
                  <c:v>2008</c:v>
                </c:pt>
                <c:pt idx="3">
                  <c:v>2009</c:v>
                </c:pt>
                <c:pt idx="4">
                  <c:v>2010</c:v>
                </c:pt>
                <c:pt idx="5">
                  <c:v>2011</c:v>
                </c:pt>
                <c:pt idx="6">
                  <c:v>2012</c:v>
                </c:pt>
                <c:pt idx="7">
                  <c:v>2013</c:v>
                </c:pt>
                <c:pt idx="8">
                  <c:v>2014</c:v>
                </c:pt>
                <c:pt idx="9">
                  <c:v>2015</c:v>
                </c:pt>
              </c:numCache>
            </c:numRef>
          </c:xVal>
          <c:yVal>
            <c:numRef>
              <c:f>Hoja1!$C$2:$C$11</c:f>
              <c:numCache>
                <c:formatCode>0.00%</c:formatCode>
                <c:ptCount val="10"/>
                <c:pt idx="1">
                  <c:v>5.7149632721058552E-2</c:v>
                </c:pt>
                <c:pt idx="2">
                  <c:v>5.8955799687842925E-2</c:v>
                </c:pt>
                <c:pt idx="3">
                  <c:v>6.0869053817359964E-2</c:v>
                </c:pt>
                <c:pt idx="4">
                  <c:v>4.3541221131173868E-2</c:v>
                </c:pt>
                <c:pt idx="5">
                  <c:v>3.4862891548146369E-2</c:v>
                </c:pt>
                <c:pt idx="6">
                  <c:v>2.2739664091728562E-2</c:v>
                </c:pt>
                <c:pt idx="7">
                  <c:v>2.7923395464482192E-2</c:v>
                </c:pt>
                <c:pt idx="8">
                  <c:v>3.3230473461363985E-2</c:v>
                </c:pt>
                <c:pt idx="9">
                  <c:v>3.1031936946749404E-2</c:v>
                </c:pt>
              </c:numCache>
            </c:numRef>
          </c:yVal>
          <c:smooth val="1"/>
          <c:extLst>
            <c:ext xmlns:c16="http://schemas.microsoft.com/office/drawing/2014/chart" uri="{C3380CC4-5D6E-409C-BE32-E72D297353CC}">
              <c16:uniqueId val="{00000001-4250-4327-8182-EBE7CD040E6F}"/>
            </c:ext>
          </c:extLst>
        </c:ser>
        <c:ser>
          <c:idx val="2"/>
          <c:order val="2"/>
          <c:tx>
            <c:strRef>
              <c:f>Hoja1!$D$1</c:f>
              <c:strCache>
                <c:ptCount val="1"/>
                <c:pt idx="0">
                  <c:v>Gasto en Salarios  sin Regla</c:v>
                </c:pt>
              </c:strCache>
            </c:strRef>
          </c:tx>
          <c:spPr>
            <a:ln w="22225">
              <a:solidFill>
                <a:schemeClr val="tx2">
                  <a:lumMod val="50000"/>
                </a:schemeClr>
              </a:solidFill>
            </a:ln>
          </c:spPr>
          <c:marker>
            <c:symbol val="none"/>
          </c:marker>
          <c:xVal>
            <c:numRef>
              <c:f>Hoja1!$A$2:$A$11</c:f>
              <c:numCache>
                <c:formatCode>General</c:formatCode>
                <c:ptCount val="10"/>
                <c:pt idx="1">
                  <c:v>2007</c:v>
                </c:pt>
                <c:pt idx="2">
                  <c:v>2008</c:v>
                </c:pt>
                <c:pt idx="3">
                  <c:v>2009</c:v>
                </c:pt>
                <c:pt idx="4">
                  <c:v>2010</c:v>
                </c:pt>
                <c:pt idx="5">
                  <c:v>2011</c:v>
                </c:pt>
                <c:pt idx="6">
                  <c:v>2012</c:v>
                </c:pt>
                <c:pt idx="7">
                  <c:v>2013</c:v>
                </c:pt>
                <c:pt idx="8">
                  <c:v>2014</c:v>
                </c:pt>
                <c:pt idx="9">
                  <c:v>2015</c:v>
                </c:pt>
              </c:numCache>
            </c:numRef>
          </c:xVal>
          <c:yVal>
            <c:numRef>
              <c:f>Hoja1!$D$2:$D$11</c:f>
              <c:numCache>
                <c:formatCode>0.00%</c:formatCode>
                <c:ptCount val="10"/>
                <c:pt idx="1">
                  <c:v>4.862683880683738E-2</c:v>
                </c:pt>
                <c:pt idx="2">
                  <c:v>8.2255593428961049E-2</c:v>
                </c:pt>
                <c:pt idx="3">
                  <c:v>0.23427008181703135</c:v>
                </c:pt>
                <c:pt idx="4">
                  <c:v>0.14728337200691932</c:v>
                </c:pt>
                <c:pt idx="5">
                  <c:v>5.7825510470803199E-2</c:v>
                </c:pt>
                <c:pt idx="6">
                  <c:v>3.3187561557739276E-2</c:v>
                </c:pt>
                <c:pt idx="7">
                  <c:v>5.4100193696966725E-2</c:v>
                </c:pt>
                <c:pt idx="8">
                  <c:v>2.5544123993466172E-2</c:v>
                </c:pt>
                <c:pt idx="9">
                  <c:v>7.9371454381259143E-2</c:v>
                </c:pt>
              </c:numCache>
            </c:numRef>
          </c:yVal>
          <c:smooth val="1"/>
          <c:extLst>
            <c:ext xmlns:c16="http://schemas.microsoft.com/office/drawing/2014/chart" uri="{C3380CC4-5D6E-409C-BE32-E72D297353CC}">
              <c16:uniqueId val="{00000002-4250-4327-8182-EBE7CD040E6F}"/>
            </c:ext>
          </c:extLst>
        </c:ser>
        <c:dLbls>
          <c:showLegendKey val="0"/>
          <c:showVal val="0"/>
          <c:showCatName val="0"/>
          <c:showSerName val="0"/>
          <c:showPercent val="0"/>
          <c:showBubbleSize val="0"/>
        </c:dLbls>
        <c:axId val="209527936"/>
        <c:axId val="209529472"/>
      </c:scatterChart>
      <c:valAx>
        <c:axId val="209527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vert="horz"/>
          <a:lstStyle/>
          <a:p>
            <a:pPr>
              <a:defRPr/>
            </a:pPr>
            <a:endParaRPr lang="en-US"/>
          </a:p>
        </c:txPr>
        <c:crossAx val="209529472"/>
        <c:crosses val="autoZero"/>
        <c:crossBetween val="midCat"/>
      </c:valAx>
      <c:valAx>
        <c:axId val="209529472"/>
        <c:scaling>
          <c:orientation val="minMax"/>
        </c:scaling>
        <c:delete val="0"/>
        <c:axPos val="l"/>
        <c:title>
          <c:tx>
            <c:rich>
              <a:bodyPr rot="-5400000" vert="horz"/>
              <a:lstStyle/>
              <a:p>
                <a:pPr>
                  <a:defRPr/>
                </a:pPr>
                <a:r>
                  <a:rPr lang="es-CR"/>
                  <a:t>% Crecimiento</a:t>
                </a:r>
              </a:p>
            </c:rich>
          </c:tx>
          <c:overlay val="0"/>
          <c:spPr>
            <a:noFill/>
            <a:ln>
              <a:noFill/>
            </a:ln>
            <a:effectLst/>
          </c:spPr>
        </c:title>
        <c:numFmt formatCode="0%" sourceLinked="0"/>
        <c:majorTickMark val="none"/>
        <c:minorTickMark val="none"/>
        <c:tickLblPos val="nextTo"/>
        <c:spPr>
          <a:noFill/>
          <a:ln>
            <a:noFill/>
          </a:ln>
          <a:effectLst/>
        </c:spPr>
        <c:txPr>
          <a:bodyPr rot="-60000000" vert="horz"/>
          <a:lstStyle/>
          <a:p>
            <a:pPr>
              <a:defRPr/>
            </a:pPr>
            <a:endParaRPr lang="en-US"/>
          </a:p>
        </c:txPr>
        <c:crossAx val="209527936"/>
        <c:crosses val="autoZero"/>
        <c:crossBetween val="midCat"/>
        <c:majorUnit val="3.0000000000000006E-2"/>
      </c:valAx>
      <c:spPr>
        <a:noFill/>
        <a:ln>
          <a:noFill/>
        </a:ln>
        <a:effectLst/>
      </c:spPr>
    </c:plotArea>
    <c:legend>
      <c:legendPos val="b"/>
      <c:layout>
        <c:manualLayout>
          <c:xMode val="edge"/>
          <c:yMode val="edge"/>
          <c:x val="0.52286590357679774"/>
          <c:y val="5.1525275758440646E-2"/>
          <c:w val="0.43898865784499053"/>
          <c:h val="0.3319682521028155"/>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noFill/>
      <a:round/>
    </a:ln>
    <a:effectLst/>
  </c:spPr>
  <c:txPr>
    <a:bodyPr/>
    <a:lstStyle/>
    <a:p>
      <a:pPr>
        <a:defRPr sz="7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G.1!$B$6</c:f>
              <c:strCache>
                <c:ptCount val="1"/>
                <c:pt idx="0">
                  <c:v>Gobierno Central</c:v>
                </c:pt>
              </c:strCache>
            </c:strRef>
          </c:tx>
          <c:spPr>
            <a:solidFill>
              <a:schemeClr val="accent1"/>
            </a:solidFill>
            <a:ln>
              <a:noFill/>
            </a:ln>
            <a:effectLst/>
          </c:spPr>
          <c:invertIfNegative val="0"/>
          <c:dLbls>
            <c:dLbl>
              <c:idx val="0"/>
              <c:layout>
                <c:manualLayout>
                  <c:x val="9.6899224806201549E-3"/>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63F-405B-B8FD-97CE5D686E20}"/>
                </c:ext>
              </c:extLst>
            </c:dLbl>
            <c:dLbl>
              <c:idx val="1"/>
              <c:delete val="1"/>
              <c:extLst>
                <c:ext xmlns:c15="http://schemas.microsoft.com/office/drawing/2012/chart" uri="{CE6537A1-D6FC-4f65-9D91-7224C49458BB}"/>
                <c:ext xmlns:c16="http://schemas.microsoft.com/office/drawing/2014/chart" uri="{C3380CC4-5D6E-409C-BE32-E72D297353CC}">
                  <c16:uniqueId val="{00000001-063F-405B-B8FD-97CE5D686E20}"/>
                </c:ext>
              </c:extLst>
            </c:dLbl>
            <c:dLbl>
              <c:idx val="2"/>
              <c:delete val="1"/>
              <c:extLst>
                <c:ext xmlns:c15="http://schemas.microsoft.com/office/drawing/2012/chart" uri="{CE6537A1-D6FC-4f65-9D91-7224C49458BB}"/>
                <c:ext xmlns:c16="http://schemas.microsoft.com/office/drawing/2014/chart" uri="{C3380CC4-5D6E-409C-BE32-E72D297353CC}">
                  <c16:uniqueId val="{00000002-063F-405B-B8FD-97CE5D686E20}"/>
                </c:ext>
              </c:extLst>
            </c:dLbl>
            <c:dLbl>
              <c:idx val="3"/>
              <c:delete val="1"/>
              <c:extLst>
                <c:ext xmlns:c15="http://schemas.microsoft.com/office/drawing/2012/chart" uri="{CE6537A1-D6FC-4f65-9D91-7224C49458BB}"/>
                <c:ext xmlns:c16="http://schemas.microsoft.com/office/drawing/2014/chart" uri="{C3380CC4-5D6E-409C-BE32-E72D297353CC}">
                  <c16:uniqueId val="{00000003-063F-405B-B8FD-97CE5D686E20}"/>
                </c:ext>
              </c:extLst>
            </c:dLbl>
            <c:dLbl>
              <c:idx val="4"/>
              <c:delete val="1"/>
              <c:extLst>
                <c:ext xmlns:c15="http://schemas.microsoft.com/office/drawing/2012/chart" uri="{CE6537A1-D6FC-4f65-9D91-7224C49458BB}"/>
                <c:ext xmlns:c16="http://schemas.microsoft.com/office/drawing/2014/chart" uri="{C3380CC4-5D6E-409C-BE32-E72D297353CC}">
                  <c16:uniqueId val="{00000004-063F-405B-B8FD-97CE5D686E20}"/>
                </c:ext>
              </c:extLst>
            </c:dLbl>
            <c:dLbl>
              <c:idx val="5"/>
              <c:delete val="1"/>
              <c:extLst>
                <c:ext xmlns:c15="http://schemas.microsoft.com/office/drawing/2012/chart" uri="{CE6537A1-D6FC-4f65-9D91-7224C49458BB}"/>
                <c:ext xmlns:c16="http://schemas.microsoft.com/office/drawing/2014/chart" uri="{C3380CC4-5D6E-409C-BE32-E72D297353CC}">
                  <c16:uniqueId val="{00000005-063F-405B-B8FD-97CE5D686E20}"/>
                </c:ext>
              </c:extLst>
            </c:dLbl>
            <c:dLbl>
              <c:idx val="6"/>
              <c:delete val="1"/>
              <c:extLst>
                <c:ext xmlns:c15="http://schemas.microsoft.com/office/drawing/2012/chart" uri="{CE6537A1-D6FC-4f65-9D91-7224C49458BB}"/>
                <c:ext xmlns:c16="http://schemas.microsoft.com/office/drawing/2014/chart" uri="{C3380CC4-5D6E-409C-BE32-E72D297353CC}">
                  <c16:uniqueId val="{00000006-063F-405B-B8FD-97CE5D686E20}"/>
                </c:ext>
              </c:extLst>
            </c:dLbl>
            <c:dLbl>
              <c:idx val="7"/>
              <c:delete val="1"/>
              <c:extLst>
                <c:ext xmlns:c15="http://schemas.microsoft.com/office/drawing/2012/chart" uri="{CE6537A1-D6FC-4f65-9D91-7224C49458BB}"/>
                <c:ext xmlns:c16="http://schemas.microsoft.com/office/drawing/2014/chart" uri="{C3380CC4-5D6E-409C-BE32-E72D297353CC}">
                  <c16:uniqueId val="{00000007-063F-405B-B8FD-97CE5D686E20}"/>
                </c:ext>
              </c:extLst>
            </c:dLbl>
            <c:dLbl>
              <c:idx val="8"/>
              <c:delete val="1"/>
              <c:extLst>
                <c:ext xmlns:c15="http://schemas.microsoft.com/office/drawing/2012/chart" uri="{CE6537A1-D6FC-4f65-9D91-7224C49458BB}"/>
                <c:ext xmlns:c16="http://schemas.microsoft.com/office/drawing/2014/chart" uri="{C3380CC4-5D6E-409C-BE32-E72D297353CC}">
                  <c16:uniqueId val="{00000008-063F-405B-B8FD-97CE5D686E20}"/>
                </c:ext>
              </c:extLst>
            </c:dLbl>
            <c:dLbl>
              <c:idx val="9"/>
              <c:delete val="1"/>
              <c:extLst>
                <c:ext xmlns:c15="http://schemas.microsoft.com/office/drawing/2012/chart" uri="{CE6537A1-D6FC-4f65-9D91-7224C49458BB}"/>
                <c:ext xmlns:c16="http://schemas.microsoft.com/office/drawing/2014/chart" uri="{C3380CC4-5D6E-409C-BE32-E72D297353CC}">
                  <c16:uniqueId val="{00000009-063F-405B-B8FD-97CE5D686E20}"/>
                </c:ext>
              </c:extLst>
            </c:dLbl>
            <c:dLbl>
              <c:idx val="10"/>
              <c:delete val="1"/>
              <c:extLst>
                <c:ext xmlns:c15="http://schemas.microsoft.com/office/drawing/2012/chart" uri="{CE6537A1-D6FC-4f65-9D91-7224C49458BB}"/>
                <c:ext xmlns:c16="http://schemas.microsoft.com/office/drawing/2014/chart" uri="{C3380CC4-5D6E-409C-BE32-E72D297353CC}">
                  <c16:uniqueId val="{0000000A-063F-405B-B8FD-97CE5D686E20}"/>
                </c:ext>
              </c:extLst>
            </c:dLbl>
            <c:dLbl>
              <c:idx val="11"/>
              <c:layout>
                <c:manualLayout>
                  <c:x val="7.2674418604651162E-3"/>
                  <c:y val="-7.3186113962270621E-17"/>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63F-405B-B8FD-97CE5D686E20}"/>
                </c:ext>
              </c:extLst>
            </c:dLbl>
            <c:spPr>
              <a:solidFill>
                <a:schemeClr val="bg1"/>
              </a:solidFill>
              <a:ln>
                <a:solidFill>
                  <a:sysClr val="windowText" lastClr="000000"/>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G.1!$C$6:$N$6</c:f>
              <c:numCache>
                <c:formatCode>0.0%</c:formatCode>
                <c:ptCount val="12"/>
                <c:pt idx="0">
                  <c:v>0.33208616857751644</c:v>
                </c:pt>
                <c:pt idx="1">
                  <c:v>0.27101870607048106</c:v>
                </c:pt>
                <c:pt idx="2">
                  <c:v>0.24116111353606051</c:v>
                </c:pt>
                <c:pt idx="3">
                  <c:v>0.26150811649627442</c:v>
                </c:pt>
                <c:pt idx="4">
                  <c:v>0.28378379326893621</c:v>
                </c:pt>
                <c:pt idx="5">
                  <c:v>0.29852630275373743</c:v>
                </c:pt>
                <c:pt idx="6">
                  <c:v>0.34303977316171436</c:v>
                </c:pt>
                <c:pt idx="7">
                  <c:v>0.3594065972998654</c:v>
                </c:pt>
                <c:pt idx="8">
                  <c:v>0.38546392563244741</c:v>
                </c:pt>
                <c:pt idx="9">
                  <c:v>0.4098455227212674</c:v>
                </c:pt>
                <c:pt idx="10">
                  <c:v>0.45208774762192783</c:v>
                </c:pt>
                <c:pt idx="11">
                  <c:v>0.49180191610995161</c:v>
                </c:pt>
              </c:numCache>
            </c:numRef>
          </c:val>
          <c:extLst>
            <c:ext xmlns:c16="http://schemas.microsoft.com/office/drawing/2014/chart" uri="{C3380CC4-5D6E-409C-BE32-E72D297353CC}">
              <c16:uniqueId val="{0000000C-063F-405B-B8FD-97CE5D686E20}"/>
            </c:ext>
          </c:extLst>
        </c:ser>
        <c:ser>
          <c:idx val="2"/>
          <c:order val="1"/>
          <c:tx>
            <c:strRef>
              <c:f>G.1!$B$7</c:f>
              <c:strCache>
                <c:ptCount val="1"/>
                <c:pt idx="0">
                  <c:v>Resto de SPNF</c:v>
                </c:pt>
              </c:strCache>
            </c:strRef>
          </c:tx>
          <c:spPr>
            <a:solidFill>
              <a:srgbClr val="92D050"/>
            </a:solidFill>
            <a:ln>
              <a:noFill/>
            </a:ln>
            <a:effectLst/>
          </c:spPr>
          <c:invertIfNegative val="0"/>
          <c:dLbls>
            <c:dLbl>
              <c:idx val="0"/>
              <c:layout>
                <c:manualLayout>
                  <c:x val="9.6899224806201445E-3"/>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63F-405B-B8FD-97CE5D686E20}"/>
                </c:ext>
              </c:extLst>
            </c:dLbl>
            <c:dLbl>
              <c:idx val="1"/>
              <c:delete val="1"/>
              <c:extLst>
                <c:ext xmlns:c15="http://schemas.microsoft.com/office/drawing/2012/chart" uri="{CE6537A1-D6FC-4f65-9D91-7224C49458BB}"/>
                <c:ext xmlns:c16="http://schemas.microsoft.com/office/drawing/2014/chart" uri="{C3380CC4-5D6E-409C-BE32-E72D297353CC}">
                  <c16:uniqueId val="{0000000E-063F-405B-B8FD-97CE5D686E20}"/>
                </c:ext>
              </c:extLst>
            </c:dLbl>
            <c:dLbl>
              <c:idx val="2"/>
              <c:delete val="1"/>
              <c:extLst>
                <c:ext xmlns:c15="http://schemas.microsoft.com/office/drawing/2012/chart" uri="{CE6537A1-D6FC-4f65-9D91-7224C49458BB}"/>
                <c:ext xmlns:c16="http://schemas.microsoft.com/office/drawing/2014/chart" uri="{C3380CC4-5D6E-409C-BE32-E72D297353CC}">
                  <c16:uniqueId val="{0000000F-063F-405B-B8FD-97CE5D686E20}"/>
                </c:ext>
              </c:extLst>
            </c:dLbl>
            <c:dLbl>
              <c:idx val="3"/>
              <c:delete val="1"/>
              <c:extLst>
                <c:ext xmlns:c15="http://schemas.microsoft.com/office/drawing/2012/chart" uri="{CE6537A1-D6FC-4f65-9D91-7224C49458BB}"/>
                <c:ext xmlns:c16="http://schemas.microsoft.com/office/drawing/2014/chart" uri="{C3380CC4-5D6E-409C-BE32-E72D297353CC}">
                  <c16:uniqueId val="{00000010-063F-405B-B8FD-97CE5D686E20}"/>
                </c:ext>
              </c:extLst>
            </c:dLbl>
            <c:dLbl>
              <c:idx val="4"/>
              <c:delete val="1"/>
              <c:extLst>
                <c:ext xmlns:c15="http://schemas.microsoft.com/office/drawing/2012/chart" uri="{CE6537A1-D6FC-4f65-9D91-7224C49458BB}"/>
                <c:ext xmlns:c16="http://schemas.microsoft.com/office/drawing/2014/chart" uri="{C3380CC4-5D6E-409C-BE32-E72D297353CC}">
                  <c16:uniqueId val="{00000011-063F-405B-B8FD-97CE5D686E20}"/>
                </c:ext>
              </c:extLst>
            </c:dLbl>
            <c:dLbl>
              <c:idx val="5"/>
              <c:delete val="1"/>
              <c:extLst>
                <c:ext xmlns:c15="http://schemas.microsoft.com/office/drawing/2012/chart" uri="{CE6537A1-D6FC-4f65-9D91-7224C49458BB}"/>
                <c:ext xmlns:c16="http://schemas.microsoft.com/office/drawing/2014/chart" uri="{C3380CC4-5D6E-409C-BE32-E72D297353CC}">
                  <c16:uniqueId val="{00000012-063F-405B-B8FD-97CE5D686E20}"/>
                </c:ext>
              </c:extLst>
            </c:dLbl>
            <c:dLbl>
              <c:idx val="6"/>
              <c:delete val="1"/>
              <c:extLst>
                <c:ext xmlns:c15="http://schemas.microsoft.com/office/drawing/2012/chart" uri="{CE6537A1-D6FC-4f65-9D91-7224C49458BB}"/>
                <c:ext xmlns:c16="http://schemas.microsoft.com/office/drawing/2014/chart" uri="{C3380CC4-5D6E-409C-BE32-E72D297353CC}">
                  <c16:uniqueId val="{00000013-063F-405B-B8FD-97CE5D686E20}"/>
                </c:ext>
              </c:extLst>
            </c:dLbl>
            <c:dLbl>
              <c:idx val="7"/>
              <c:delete val="1"/>
              <c:extLst>
                <c:ext xmlns:c15="http://schemas.microsoft.com/office/drawing/2012/chart" uri="{CE6537A1-D6FC-4f65-9D91-7224C49458BB}"/>
                <c:ext xmlns:c16="http://schemas.microsoft.com/office/drawing/2014/chart" uri="{C3380CC4-5D6E-409C-BE32-E72D297353CC}">
                  <c16:uniqueId val="{00000014-063F-405B-B8FD-97CE5D686E20}"/>
                </c:ext>
              </c:extLst>
            </c:dLbl>
            <c:dLbl>
              <c:idx val="8"/>
              <c:delete val="1"/>
              <c:extLst>
                <c:ext xmlns:c15="http://schemas.microsoft.com/office/drawing/2012/chart" uri="{CE6537A1-D6FC-4f65-9D91-7224C49458BB}"/>
                <c:ext xmlns:c16="http://schemas.microsoft.com/office/drawing/2014/chart" uri="{C3380CC4-5D6E-409C-BE32-E72D297353CC}">
                  <c16:uniqueId val="{00000015-063F-405B-B8FD-97CE5D686E20}"/>
                </c:ext>
              </c:extLst>
            </c:dLbl>
            <c:dLbl>
              <c:idx val="9"/>
              <c:delete val="1"/>
              <c:extLst>
                <c:ext xmlns:c15="http://schemas.microsoft.com/office/drawing/2012/chart" uri="{CE6537A1-D6FC-4f65-9D91-7224C49458BB}"/>
                <c:ext xmlns:c16="http://schemas.microsoft.com/office/drawing/2014/chart" uri="{C3380CC4-5D6E-409C-BE32-E72D297353CC}">
                  <c16:uniqueId val="{00000016-063F-405B-B8FD-97CE5D686E20}"/>
                </c:ext>
              </c:extLst>
            </c:dLbl>
            <c:dLbl>
              <c:idx val="10"/>
              <c:delete val="1"/>
              <c:extLst>
                <c:ext xmlns:c15="http://schemas.microsoft.com/office/drawing/2012/chart" uri="{CE6537A1-D6FC-4f65-9D91-7224C49458BB}"/>
                <c:ext xmlns:c16="http://schemas.microsoft.com/office/drawing/2014/chart" uri="{C3380CC4-5D6E-409C-BE32-E72D297353CC}">
                  <c16:uniqueId val="{00000017-063F-405B-B8FD-97CE5D686E20}"/>
                </c:ext>
              </c:extLst>
            </c:dLbl>
            <c:dLbl>
              <c:idx val="11"/>
              <c:layout>
                <c:manualLayout>
                  <c:x val="1.2112403100775016E-2"/>
                  <c:y val="-3.6593056981135311E-17"/>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063F-405B-B8FD-97CE5D686E20}"/>
                </c:ext>
              </c:extLst>
            </c:dLbl>
            <c:spPr>
              <a:solidFill>
                <a:schemeClr val="bg1"/>
              </a:solidFill>
              <a:ln>
                <a:solidFill>
                  <a:sysClr val="windowText" lastClr="000000"/>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G.1!$C$7:$N$7</c:f>
              <c:numCache>
                <c:formatCode>0.0%</c:formatCode>
                <c:ptCount val="12"/>
                <c:pt idx="0">
                  <c:v>5.0598196243053173E-2</c:v>
                </c:pt>
                <c:pt idx="1">
                  <c:v>4.1346337396135184E-2</c:v>
                </c:pt>
                <c:pt idx="2">
                  <c:v>4.8581947240712443E-2</c:v>
                </c:pt>
                <c:pt idx="3">
                  <c:v>6.3367740175284792E-2</c:v>
                </c:pt>
                <c:pt idx="4">
                  <c:v>6.3835059488548673E-2</c:v>
                </c:pt>
                <c:pt idx="5">
                  <c:v>7.3036256955635467E-2</c:v>
                </c:pt>
                <c:pt idx="6">
                  <c:v>7.1967993775151506E-2</c:v>
                </c:pt>
                <c:pt idx="7">
                  <c:v>8.1288219771185374E-2</c:v>
                </c:pt>
                <c:pt idx="8">
                  <c:v>8.3811331117615379E-2</c:v>
                </c:pt>
                <c:pt idx="9">
                  <c:v>8.2449770850534537E-2</c:v>
                </c:pt>
                <c:pt idx="10">
                  <c:v>9.9991191315467937E-2</c:v>
                </c:pt>
                <c:pt idx="11">
                  <c:v>9.7557083128869709E-2</c:v>
                </c:pt>
              </c:numCache>
            </c:numRef>
          </c:val>
          <c:extLst>
            <c:ext xmlns:c16="http://schemas.microsoft.com/office/drawing/2014/chart" uri="{C3380CC4-5D6E-409C-BE32-E72D297353CC}">
              <c16:uniqueId val="{00000019-063F-405B-B8FD-97CE5D686E20}"/>
            </c:ext>
          </c:extLst>
        </c:ser>
        <c:ser>
          <c:idx val="0"/>
          <c:order val="2"/>
          <c:tx>
            <c:strRef>
              <c:f>G.1!$B$5</c:f>
              <c:strCache>
                <c:ptCount val="1"/>
                <c:pt idx="0">
                  <c:v>BCCR</c:v>
                </c:pt>
              </c:strCache>
            </c:strRef>
          </c:tx>
          <c:spPr>
            <a:solidFill>
              <a:srgbClr val="C00000"/>
            </a:solidFill>
            <a:ln>
              <a:noFill/>
            </a:ln>
            <a:effectLst/>
          </c:spPr>
          <c:invertIfNegative val="0"/>
          <c:dLbls>
            <c:dLbl>
              <c:idx val="0"/>
              <c:layout>
                <c:manualLayout>
                  <c:x val="9.6899224806201549E-3"/>
                  <c:y val="-3.6593056981135311E-17"/>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063F-405B-B8FD-97CE5D686E20}"/>
                </c:ext>
              </c:extLst>
            </c:dLbl>
            <c:dLbl>
              <c:idx val="1"/>
              <c:delete val="1"/>
              <c:extLst>
                <c:ext xmlns:c15="http://schemas.microsoft.com/office/drawing/2012/chart" uri="{CE6537A1-D6FC-4f65-9D91-7224C49458BB}"/>
                <c:ext xmlns:c16="http://schemas.microsoft.com/office/drawing/2014/chart" uri="{C3380CC4-5D6E-409C-BE32-E72D297353CC}">
                  <c16:uniqueId val="{0000001B-063F-405B-B8FD-97CE5D686E20}"/>
                </c:ext>
              </c:extLst>
            </c:dLbl>
            <c:dLbl>
              <c:idx val="2"/>
              <c:delete val="1"/>
              <c:extLst>
                <c:ext xmlns:c15="http://schemas.microsoft.com/office/drawing/2012/chart" uri="{CE6537A1-D6FC-4f65-9D91-7224C49458BB}"/>
                <c:ext xmlns:c16="http://schemas.microsoft.com/office/drawing/2014/chart" uri="{C3380CC4-5D6E-409C-BE32-E72D297353CC}">
                  <c16:uniqueId val="{0000001C-063F-405B-B8FD-97CE5D686E20}"/>
                </c:ext>
              </c:extLst>
            </c:dLbl>
            <c:dLbl>
              <c:idx val="3"/>
              <c:delete val="1"/>
              <c:extLst>
                <c:ext xmlns:c15="http://schemas.microsoft.com/office/drawing/2012/chart" uri="{CE6537A1-D6FC-4f65-9D91-7224C49458BB}"/>
                <c:ext xmlns:c16="http://schemas.microsoft.com/office/drawing/2014/chart" uri="{C3380CC4-5D6E-409C-BE32-E72D297353CC}">
                  <c16:uniqueId val="{0000001D-063F-405B-B8FD-97CE5D686E20}"/>
                </c:ext>
              </c:extLst>
            </c:dLbl>
            <c:dLbl>
              <c:idx val="4"/>
              <c:delete val="1"/>
              <c:extLst>
                <c:ext xmlns:c15="http://schemas.microsoft.com/office/drawing/2012/chart" uri="{CE6537A1-D6FC-4f65-9D91-7224C49458BB}"/>
                <c:ext xmlns:c16="http://schemas.microsoft.com/office/drawing/2014/chart" uri="{C3380CC4-5D6E-409C-BE32-E72D297353CC}">
                  <c16:uniqueId val="{0000001E-063F-405B-B8FD-97CE5D686E20}"/>
                </c:ext>
              </c:extLst>
            </c:dLbl>
            <c:dLbl>
              <c:idx val="5"/>
              <c:delete val="1"/>
              <c:extLst>
                <c:ext xmlns:c15="http://schemas.microsoft.com/office/drawing/2012/chart" uri="{CE6537A1-D6FC-4f65-9D91-7224C49458BB}"/>
                <c:ext xmlns:c16="http://schemas.microsoft.com/office/drawing/2014/chart" uri="{C3380CC4-5D6E-409C-BE32-E72D297353CC}">
                  <c16:uniqueId val="{0000001F-063F-405B-B8FD-97CE5D686E20}"/>
                </c:ext>
              </c:extLst>
            </c:dLbl>
            <c:dLbl>
              <c:idx val="6"/>
              <c:delete val="1"/>
              <c:extLst>
                <c:ext xmlns:c15="http://schemas.microsoft.com/office/drawing/2012/chart" uri="{CE6537A1-D6FC-4f65-9D91-7224C49458BB}"/>
                <c:ext xmlns:c16="http://schemas.microsoft.com/office/drawing/2014/chart" uri="{C3380CC4-5D6E-409C-BE32-E72D297353CC}">
                  <c16:uniqueId val="{00000020-063F-405B-B8FD-97CE5D686E20}"/>
                </c:ext>
              </c:extLst>
            </c:dLbl>
            <c:dLbl>
              <c:idx val="7"/>
              <c:delete val="1"/>
              <c:extLst>
                <c:ext xmlns:c15="http://schemas.microsoft.com/office/drawing/2012/chart" uri="{CE6537A1-D6FC-4f65-9D91-7224C49458BB}"/>
                <c:ext xmlns:c16="http://schemas.microsoft.com/office/drawing/2014/chart" uri="{C3380CC4-5D6E-409C-BE32-E72D297353CC}">
                  <c16:uniqueId val="{00000021-063F-405B-B8FD-97CE5D686E20}"/>
                </c:ext>
              </c:extLst>
            </c:dLbl>
            <c:dLbl>
              <c:idx val="8"/>
              <c:delete val="1"/>
              <c:extLst>
                <c:ext xmlns:c15="http://schemas.microsoft.com/office/drawing/2012/chart" uri="{CE6537A1-D6FC-4f65-9D91-7224C49458BB}"/>
                <c:ext xmlns:c16="http://schemas.microsoft.com/office/drawing/2014/chart" uri="{C3380CC4-5D6E-409C-BE32-E72D297353CC}">
                  <c16:uniqueId val="{00000022-063F-405B-B8FD-97CE5D686E20}"/>
                </c:ext>
              </c:extLst>
            </c:dLbl>
            <c:dLbl>
              <c:idx val="9"/>
              <c:delete val="1"/>
              <c:extLst>
                <c:ext xmlns:c15="http://schemas.microsoft.com/office/drawing/2012/chart" uri="{CE6537A1-D6FC-4f65-9D91-7224C49458BB}"/>
                <c:ext xmlns:c16="http://schemas.microsoft.com/office/drawing/2014/chart" uri="{C3380CC4-5D6E-409C-BE32-E72D297353CC}">
                  <c16:uniqueId val="{00000023-063F-405B-B8FD-97CE5D686E20}"/>
                </c:ext>
              </c:extLst>
            </c:dLbl>
            <c:dLbl>
              <c:idx val="10"/>
              <c:delete val="1"/>
              <c:extLst>
                <c:ext xmlns:c15="http://schemas.microsoft.com/office/drawing/2012/chart" uri="{CE6537A1-D6FC-4f65-9D91-7224C49458BB}"/>
                <c:ext xmlns:c16="http://schemas.microsoft.com/office/drawing/2014/chart" uri="{C3380CC4-5D6E-409C-BE32-E72D297353CC}">
                  <c16:uniqueId val="{00000024-063F-405B-B8FD-97CE5D686E20}"/>
                </c:ext>
              </c:extLst>
            </c:dLbl>
            <c:dLbl>
              <c:idx val="11"/>
              <c:layout>
                <c:manualLayout>
                  <c:x val="1.2112403100775016E-2"/>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5-063F-405B-B8FD-97CE5D686E20}"/>
                </c:ext>
              </c:extLst>
            </c:dLbl>
            <c:spPr>
              <a:solidFill>
                <a:schemeClr val="bg1"/>
              </a:solidFill>
              <a:ln>
                <a:solidFill>
                  <a:sysClr val="windowText" lastClr="000000"/>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G.1!$C$5:$N$5</c:f>
              <c:numCache>
                <c:formatCode>0.0%</c:formatCode>
                <c:ptCount val="12"/>
                <c:pt idx="0">
                  <c:v>0.12272493225969401</c:v>
                </c:pt>
                <c:pt idx="1">
                  <c:v>0.13309639835496931</c:v>
                </c:pt>
                <c:pt idx="2">
                  <c:v>9.4435151921666072E-2</c:v>
                </c:pt>
                <c:pt idx="3">
                  <c:v>8.1314948617525404E-2</c:v>
                </c:pt>
                <c:pt idx="4">
                  <c:v>7.1753174974087217E-2</c:v>
                </c:pt>
                <c:pt idx="5">
                  <c:v>8.0159903310329267E-2</c:v>
                </c:pt>
                <c:pt idx="6">
                  <c:v>8.8437366669958092E-2</c:v>
                </c:pt>
                <c:pt idx="7">
                  <c:v>0.10540573402884285</c:v>
                </c:pt>
                <c:pt idx="8">
                  <c:v>8.6248605785094051E-2</c:v>
                </c:pt>
                <c:pt idx="9">
                  <c:v>8.6348707029346231E-2</c:v>
                </c:pt>
                <c:pt idx="10">
                  <c:v>7.9328519668760325E-2</c:v>
                </c:pt>
                <c:pt idx="11">
                  <c:v>6.2171747180999111E-2</c:v>
                </c:pt>
              </c:numCache>
            </c:numRef>
          </c:val>
          <c:extLst>
            <c:ext xmlns:c16="http://schemas.microsoft.com/office/drawing/2014/chart" uri="{C3380CC4-5D6E-409C-BE32-E72D297353CC}">
              <c16:uniqueId val="{00000026-063F-405B-B8FD-97CE5D686E20}"/>
            </c:ext>
          </c:extLst>
        </c:ser>
        <c:dLbls>
          <c:dLblPos val="ctr"/>
          <c:showLegendKey val="0"/>
          <c:showVal val="1"/>
          <c:showCatName val="0"/>
          <c:showSerName val="0"/>
          <c:showPercent val="0"/>
          <c:showBubbleSize val="0"/>
        </c:dLbls>
        <c:gapWidth val="150"/>
        <c:overlap val="100"/>
        <c:axId val="736583792"/>
        <c:axId val="736584776"/>
      </c:barChart>
      <c:catAx>
        <c:axId val="736583792"/>
        <c:scaling>
          <c:orientation val="minMax"/>
        </c:scaling>
        <c:delete val="0"/>
        <c:axPos val="b"/>
        <c:numFmt formatCode="General" sourceLinked="1"/>
        <c:majorTickMark val="none"/>
        <c:minorTickMark val="none"/>
        <c:tickLblPos val="nextTo"/>
        <c:spPr>
          <a:noFill/>
          <a:ln w="6350" cap="flat" cmpd="sng" algn="ctr">
            <a:solidFill>
              <a:schemeClr val="dk1"/>
            </a:solidFill>
            <a:prstDash val="solid"/>
            <a:miter lim="800000"/>
          </a:ln>
          <a:effectLst/>
        </c:spPr>
        <c:txPr>
          <a:bodyPr rot="-5400000" spcFirstLastPara="1" vertOverflow="ellipsis"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736584776"/>
        <c:crosses val="autoZero"/>
        <c:auto val="1"/>
        <c:lblAlgn val="ctr"/>
        <c:lblOffset val="100"/>
        <c:noMultiLvlLbl val="0"/>
      </c:catAx>
      <c:valAx>
        <c:axId val="736584776"/>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36583792"/>
        <c:crosses val="autoZero"/>
        <c:crossBetween val="between"/>
      </c:valAx>
      <c:spPr>
        <a:noFill/>
        <a:ln>
          <a:solidFill>
            <a:sysClr val="windowText" lastClr="000000"/>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150245108250358"/>
          <c:y val="4.0403437291148599E-2"/>
          <c:w val="0.7796261578413809"/>
          <c:h val="0.82226201316672154"/>
        </c:manualLayout>
      </c:layout>
      <c:lineChart>
        <c:grouping val="standard"/>
        <c:varyColors val="0"/>
        <c:ser>
          <c:idx val="0"/>
          <c:order val="0"/>
          <c:tx>
            <c:strRef>
              <c:f>Hoja1!$B$31</c:f>
              <c:strCache>
                <c:ptCount val="1"/>
                <c:pt idx="0">
                  <c:v>Deuda G. Central Observada/PIB </c:v>
                </c:pt>
              </c:strCache>
            </c:strRef>
          </c:tx>
          <c:spPr>
            <a:ln w="22225" cap="rnd">
              <a:solidFill>
                <a:schemeClr val="accent1"/>
              </a:solidFill>
              <a:round/>
            </a:ln>
            <a:effectLst/>
          </c:spPr>
          <c:marker>
            <c:symbol val="circle"/>
            <c:size val="5"/>
            <c:spPr>
              <a:solidFill>
                <a:schemeClr val="accent1"/>
              </a:solidFill>
              <a:ln w="9525">
                <a:solidFill>
                  <a:schemeClr val="accent1"/>
                </a:solidFill>
              </a:ln>
              <a:effectLst/>
            </c:spPr>
          </c:marker>
          <c:cat>
            <c:numRef>
              <c:f>Hoja1!$C$30:$L$30</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Hoja1!$C$31:$L$31</c:f>
              <c:numCache>
                <c:formatCode>0.00%</c:formatCode>
                <c:ptCount val="10"/>
                <c:pt idx="0">
                  <c:v>0.3247709507934049</c:v>
                </c:pt>
                <c:pt idx="1">
                  <c:v>0.26841516360176515</c:v>
                </c:pt>
                <c:pt idx="2">
                  <c:v>0.24118289085977554</c:v>
                </c:pt>
                <c:pt idx="3">
                  <c:v>0.26514483151233287</c:v>
                </c:pt>
                <c:pt idx="4">
                  <c:v>0.28401883776452747</c:v>
                </c:pt>
                <c:pt idx="5">
                  <c:v>0.29823067664770087</c:v>
                </c:pt>
                <c:pt idx="6">
                  <c:v>0.34303977306684175</c:v>
                </c:pt>
                <c:pt idx="7">
                  <c:v>0.36056809600781797</c:v>
                </c:pt>
                <c:pt idx="8">
                  <c:v>0.39303101819756842</c:v>
                </c:pt>
                <c:pt idx="9">
                  <c:v>0.42436607142892957</c:v>
                </c:pt>
              </c:numCache>
            </c:numRef>
          </c:val>
          <c:smooth val="0"/>
          <c:extLst>
            <c:ext xmlns:c16="http://schemas.microsoft.com/office/drawing/2014/chart" uri="{C3380CC4-5D6E-409C-BE32-E72D297353CC}">
              <c16:uniqueId val="{00000000-566B-4B0B-98E2-6AF26DF47BBC}"/>
            </c:ext>
          </c:extLst>
        </c:ser>
        <c:ser>
          <c:idx val="1"/>
          <c:order val="1"/>
          <c:tx>
            <c:strRef>
              <c:f>Hoja1!$B$32</c:f>
              <c:strCache>
                <c:ptCount val="1"/>
                <c:pt idx="0">
                  <c:v>Deuda G. Central menos ahorros/PIB </c:v>
                </c:pt>
              </c:strCache>
            </c:strRef>
          </c:tx>
          <c:spPr>
            <a:ln w="22225" cap="rnd">
              <a:solidFill>
                <a:schemeClr val="accent2"/>
              </a:solidFill>
              <a:round/>
            </a:ln>
            <a:effectLst/>
          </c:spPr>
          <c:marker>
            <c:symbol val="circle"/>
            <c:size val="5"/>
            <c:spPr>
              <a:solidFill>
                <a:schemeClr val="accent2"/>
              </a:solidFill>
              <a:ln w="9525">
                <a:solidFill>
                  <a:schemeClr val="accent2"/>
                </a:solidFill>
              </a:ln>
              <a:effectLst/>
            </c:spPr>
          </c:marker>
          <c:cat>
            <c:numRef>
              <c:f>Hoja1!$C$30:$L$30</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Hoja1!$C$32:$L$32</c:f>
              <c:numCache>
                <c:formatCode>0.00%</c:formatCode>
                <c:ptCount val="10"/>
                <c:pt idx="0">
                  <c:v>0.3247709507934049</c:v>
                </c:pt>
                <c:pt idx="1">
                  <c:v>0.26478019175984679</c:v>
                </c:pt>
                <c:pt idx="2">
                  <c:v>0.23043773385698471</c:v>
                </c:pt>
                <c:pt idx="3">
                  <c:v>0.24270034270150592</c:v>
                </c:pt>
                <c:pt idx="4">
                  <c:v>0.24875796851665591</c:v>
                </c:pt>
                <c:pt idx="5">
                  <c:v>0.24844965360932203</c:v>
                </c:pt>
                <c:pt idx="6">
                  <c:v>0.27078084071414421</c:v>
                </c:pt>
                <c:pt idx="7">
                  <c:v>0.2575967574014536</c:v>
                </c:pt>
                <c:pt idx="8">
                  <c:v>0.2594794319987736</c:v>
                </c:pt>
                <c:pt idx="9">
                  <c:v>0.24926065064344841</c:v>
                </c:pt>
              </c:numCache>
            </c:numRef>
          </c:val>
          <c:smooth val="0"/>
          <c:extLst>
            <c:ext xmlns:c16="http://schemas.microsoft.com/office/drawing/2014/chart" uri="{C3380CC4-5D6E-409C-BE32-E72D297353CC}">
              <c16:uniqueId val="{00000001-566B-4B0B-98E2-6AF26DF47BBC}"/>
            </c:ext>
          </c:extLst>
        </c:ser>
        <c:dLbls>
          <c:showLegendKey val="0"/>
          <c:showVal val="0"/>
          <c:showCatName val="0"/>
          <c:showSerName val="0"/>
          <c:showPercent val="0"/>
          <c:showBubbleSize val="0"/>
        </c:dLbls>
        <c:marker val="1"/>
        <c:smooth val="0"/>
        <c:axId val="154610304"/>
        <c:axId val="154616576"/>
      </c:lineChart>
      <c:catAx>
        <c:axId val="154610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vert="horz"/>
          <a:lstStyle/>
          <a:p>
            <a:pPr>
              <a:defRPr/>
            </a:pPr>
            <a:endParaRPr lang="en-US"/>
          </a:p>
        </c:txPr>
        <c:crossAx val="154616576"/>
        <c:crosses val="autoZero"/>
        <c:auto val="1"/>
        <c:lblAlgn val="ctr"/>
        <c:lblOffset val="100"/>
        <c:noMultiLvlLbl val="0"/>
      </c:catAx>
      <c:valAx>
        <c:axId val="154616576"/>
        <c:scaling>
          <c:orientation val="minMax"/>
          <c:min val="0.2"/>
        </c:scaling>
        <c:delete val="0"/>
        <c:axPos val="l"/>
        <c:title>
          <c:tx>
            <c:rich>
              <a:bodyPr rot="-5400000" vert="horz"/>
              <a:lstStyle/>
              <a:p>
                <a:pPr>
                  <a:defRPr/>
                </a:pPr>
                <a:r>
                  <a:rPr lang="en-US"/>
                  <a:t>% PIB</a:t>
                </a:r>
              </a:p>
            </c:rich>
          </c:tx>
          <c:overlay val="0"/>
        </c:title>
        <c:numFmt formatCode="0%" sourceLinked="0"/>
        <c:majorTickMark val="none"/>
        <c:minorTickMark val="none"/>
        <c:tickLblPos val="nextTo"/>
        <c:spPr>
          <a:noFill/>
          <a:ln>
            <a:noFill/>
          </a:ln>
          <a:effectLst/>
        </c:spPr>
        <c:txPr>
          <a:bodyPr rot="-60000000" vert="horz"/>
          <a:lstStyle/>
          <a:p>
            <a:pPr>
              <a:defRPr/>
            </a:pPr>
            <a:endParaRPr lang="en-US"/>
          </a:p>
        </c:txPr>
        <c:crossAx val="154610304"/>
        <c:crosses val="autoZero"/>
        <c:crossBetween val="between"/>
      </c:valAx>
      <c:spPr>
        <a:noFill/>
        <a:ln>
          <a:noFill/>
        </a:ln>
        <a:effectLst/>
      </c:spPr>
    </c:plotArea>
    <c:legend>
      <c:legendPos val="b"/>
      <c:layout>
        <c:manualLayout>
          <c:xMode val="edge"/>
          <c:yMode val="edge"/>
          <c:x val="0.20716091044175033"/>
          <c:y val="6.2397677408142872E-2"/>
          <c:w val="0.49024566373647738"/>
          <c:h val="0.3599158673812316"/>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noFill/>
      <a:round/>
    </a:ln>
    <a:effectLst/>
  </c:spPr>
  <c:txPr>
    <a:bodyPr/>
    <a:lstStyle/>
    <a:p>
      <a:pPr>
        <a:defRPr sz="7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61101529465103577"/>
          <c:y val="2.4874234470691158E-2"/>
          <c:w val="0.39187945724754453"/>
          <c:h val="0.97512576552930885"/>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45F-4643-9E9C-7EF63C483E1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45F-4643-9E9C-7EF63C483E1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45F-4643-9E9C-7EF63C483E1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45F-4643-9E9C-7EF63C483E1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45F-4643-9E9C-7EF63C483E1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445F-4643-9E9C-7EF63C483E1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445F-4643-9E9C-7EF63C483E10}"/>
              </c:ext>
            </c:extLst>
          </c:dPt>
          <c:dLbls>
            <c:dLbl>
              <c:idx val="0"/>
              <c:layout>
                <c:manualLayout>
                  <c:x val="-7.9700717526781803E-2"/>
                  <c:y val="0.19442500243025174"/>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5F-4643-9E9C-7EF63C483E10}"/>
                </c:ext>
              </c:extLst>
            </c:dLbl>
            <c:dLbl>
              <c:idx val="1"/>
              <c:layout>
                <c:manualLayout>
                  <c:x val="-8.3503434782798674E-2"/>
                  <c:y val="-3.2080538543793211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45F-4643-9E9C-7EF63C483E10}"/>
                </c:ext>
              </c:extLst>
            </c:dLbl>
            <c:dLbl>
              <c:idx val="2"/>
              <c:layout>
                <c:manualLayout>
                  <c:x val="-6.1189356322140266E-2"/>
                  <c:y val="-0.10107720909886264"/>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45F-4643-9E9C-7EF63C483E10}"/>
                </c:ext>
              </c:extLst>
            </c:dLbl>
            <c:dLbl>
              <c:idx val="3"/>
              <c:layout>
                <c:manualLayout>
                  <c:x val="-5.5574261619959736E-2"/>
                  <c:y val="-0.10701309905706231"/>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45F-4643-9E9C-7EF63C483E10}"/>
                </c:ext>
              </c:extLst>
            </c:dLbl>
            <c:dLbl>
              <c:idx val="4"/>
              <c:layout>
                <c:manualLayout>
                  <c:x val="-2.3049947375546444E-3"/>
                  <c:y val="-6.4400456887333674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45F-4643-9E9C-7EF63C483E10}"/>
                </c:ext>
              </c:extLst>
            </c:dLbl>
            <c:dLbl>
              <c:idx val="5"/>
              <c:layout>
                <c:manualLayout>
                  <c:x val="5.3810141452784191E-2"/>
                  <c:y val="-0.121891100418003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45F-4643-9E9C-7EF63C483E10}"/>
                </c:ext>
              </c:extLst>
            </c:dLbl>
            <c:dLbl>
              <c:idx val="6"/>
              <c:layout>
                <c:manualLayout>
                  <c:x val="9.7534074879575161E-2"/>
                  <c:y val="7.8680008748906391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45F-4643-9E9C-7EF63C483E10}"/>
                </c:ext>
              </c:extLst>
            </c:dLbl>
            <c:spPr>
              <a:solidFill>
                <a:schemeClr val="bg1"/>
              </a:solid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[frmVerCatCuadro.xls]Hoja2!$C$45:$C$51</c:f>
              <c:strCache>
                <c:ptCount val="7"/>
                <c:pt idx="0">
                  <c:v>Deuda Externa</c:v>
                </c:pt>
                <c:pt idx="1">
                  <c:v>Bancos Públicos</c:v>
                </c:pt>
                <c:pt idx="2">
                  <c:v>Bancos Privados</c:v>
                </c:pt>
                <c:pt idx="3">
                  <c:v>INS y otros</c:v>
                </c:pt>
                <c:pt idx="4">
                  <c:v>CCSS y otros</c:v>
                </c:pt>
                <c:pt idx="5">
                  <c:v>Resto Sector Publico</c:v>
                </c:pt>
                <c:pt idx="6">
                  <c:v>Resto del Sector Privado</c:v>
                </c:pt>
              </c:strCache>
            </c:strRef>
          </c:cat>
          <c:val>
            <c:numRef>
              <c:f>[frmVerCatCuadro.xls]Hoja2!$D$45:$D$51</c:f>
              <c:numCache>
                <c:formatCode>0%</c:formatCode>
                <c:ptCount val="7"/>
                <c:pt idx="0">
                  <c:v>0.20999656484689827</c:v>
                </c:pt>
                <c:pt idx="1">
                  <c:v>0.10431256548117299</c:v>
                </c:pt>
                <c:pt idx="2">
                  <c:v>3.6855005867611194E-2</c:v>
                </c:pt>
                <c:pt idx="3">
                  <c:v>8.9406561469193332E-2</c:v>
                </c:pt>
                <c:pt idx="4">
                  <c:v>0.1151874557516917</c:v>
                </c:pt>
                <c:pt idx="5">
                  <c:v>7.8298546205968017E-2</c:v>
                </c:pt>
                <c:pt idx="6">
                  <c:v>0.36594330037746425</c:v>
                </c:pt>
              </c:numCache>
            </c:numRef>
          </c:val>
          <c:extLst>
            <c:ext xmlns:c16="http://schemas.microsoft.com/office/drawing/2014/chart" uri="{C3380CC4-5D6E-409C-BE32-E72D297353CC}">
              <c16:uniqueId val="{0000000E-445F-4643-9E9C-7EF63C483E10}"/>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5.5508972360152143E-3"/>
          <c:y val="4.1359422346884757E-2"/>
          <c:w val="0.43409580052493446"/>
          <c:h val="0.92287407207146332"/>
        </c:manualLayout>
      </c:layout>
      <c:overlay val="0"/>
      <c:spPr>
        <a:noFill/>
        <a:ln>
          <a:noFill/>
        </a:ln>
        <a:effectLst/>
      </c:spPr>
      <c:txPr>
        <a:bodyPr rot="0" spcFirstLastPara="1" vertOverflow="ellipsis" vert="horz" wrap="square" anchor="ctr" anchorCtr="1"/>
        <a:lstStyle/>
        <a:p>
          <a:pPr rtl="0">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177019539224264"/>
          <c:y val="3.6549707602339179E-2"/>
          <c:w val="0.74358482967406847"/>
          <c:h val="0.78964156344492042"/>
        </c:manualLayout>
      </c:layout>
      <c:barChart>
        <c:barDir val="col"/>
        <c:grouping val="clustered"/>
        <c:varyColors val="0"/>
        <c:ser>
          <c:idx val="2"/>
          <c:order val="2"/>
          <c:tx>
            <c:v>Resultado Financiero</c:v>
          </c:tx>
          <c:spPr>
            <a:solidFill>
              <a:schemeClr val="accent3"/>
            </a:solidFill>
            <a:ln>
              <a:noFill/>
            </a:ln>
            <a:effectLst/>
          </c:spPr>
          <c:invertIfNegative val="0"/>
          <c:dLbls>
            <c:dLbl>
              <c:idx val="0"/>
              <c:layout>
                <c:manualLayout>
                  <c:x val="0"/>
                  <c:y val="-4.66864810912720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6A-4EAD-928C-BC7924602D09}"/>
                </c:ext>
              </c:extLst>
            </c:dLbl>
            <c:dLbl>
              <c:idx val="1"/>
              <c:layout>
                <c:manualLayout>
                  <c:x val="0"/>
                  <c:y val="3.286220352519895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6A-4EAD-928C-BC7924602D09}"/>
                </c:ext>
              </c:extLst>
            </c:dLbl>
            <c:dLbl>
              <c:idx val="2"/>
              <c:layout>
                <c:manualLayout>
                  <c:x val="-2.9380002480046135E-17"/>
                  <c:y val="1.24069478908187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D6A-4EAD-928C-BC7924602D09}"/>
                </c:ext>
              </c:extLst>
            </c:dLbl>
            <c:spPr>
              <a:noFill/>
              <a:ln>
                <a:noFill/>
              </a:ln>
              <a:effectLst/>
            </c:spPr>
            <c:txPr>
              <a:bodyPr rot="0" spcFirstLastPara="1" vertOverflow="ellipsis" vert="horz" wrap="square" anchor="ctr" anchorCtr="1"/>
              <a:lstStyle/>
              <a:p>
                <a:pPr>
                  <a:defRPr sz="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 PIB'!$B$4:$M$4</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 PIB'!$B$66:$M$66</c:f>
              <c:numCache>
                <c:formatCode>0.0%</c:formatCode>
                <c:ptCount val="12"/>
                <c:pt idx="0">
                  <c:v>-1.0476071328203631E-2</c:v>
                </c:pt>
                <c:pt idx="1">
                  <c:v>5.6142429916031548E-3</c:v>
                </c:pt>
                <c:pt idx="2">
                  <c:v>1.8373344405532208E-3</c:v>
                </c:pt>
                <c:pt idx="3">
                  <c:v>-3.2705834643096884E-2</c:v>
                </c:pt>
                <c:pt idx="4">
                  <c:v>-5.0079138627065103E-2</c:v>
                </c:pt>
                <c:pt idx="5">
                  <c:v>-3.9557154385623704E-2</c:v>
                </c:pt>
                <c:pt idx="6">
                  <c:v>-4.283828007986324E-2</c:v>
                </c:pt>
                <c:pt idx="7">
                  <c:v>-5.3698028812054877E-2</c:v>
                </c:pt>
                <c:pt idx="8">
                  <c:v>-5.6084197231799304E-2</c:v>
                </c:pt>
                <c:pt idx="9">
                  <c:v>-5.6901837828110036E-2</c:v>
                </c:pt>
                <c:pt idx="10">
                  <c:v>-5.2600982669981117E-2</c:v>
                </c:pt>
                <c:pt idx="11">
                  <c:v>-6.1866481122448247E-2</c:v>
                </c:pt>
              </c:numCache>
            </c:numRef>
          </c:val>
          <c:extLst>
            <c:ext xmlns:c16="http://schemas.microsoft.com/office/drawing/2014/chart" uri="{C3380CC4-5D6E-409C-BE32-E72D297353CC}">
              <c16:uniqueId val="{00000003-3D6A-4EAD-928C-BC7924602D09}"/>
            </c:ext>
          </c:extLst>
        </c:ser>
        <c:dLbls>
          <c:dLblPos val="outEnd"/>
          <c:showLegendKey val="0"/>
          <c:showVal val="1"/>
          <c:showCatName val="0"/>
          <c:showSerName val="0"/>
          <c:showPercent val="0"/>
          <c:showBubbleSize val="0"/>
        </c:dLbls>
        <c:gapWidth val="150"/>
        <c:axId val="886678080"/>
        <c:axId val="886677096"/>
      </c:barChart>
      <c:lineChart>
        <c:grouping val="standard"/>
        <c:varyColors val="0"/>
        <c:ser>
          <c:idx val="0"/>
          <c:order val="0"/>
          <c:tx>
            <c:v>Ingresos Totales (eje derecho)</c:v>
          </c:tx>
          <c:spPr>
            <a:ln w="22225" cap="rnd">
              <a:solidFill>
                <a:schemeClr val="accent1"/>
              </a:solidFill>
              <a:round/>
            </a:ln>
            <a:effectLst/>
          </c:spPr>
          <c:marker>
            <c:symbol val="circle"/>
            <c:size val="4"/>
            <c:spPr>
              <a:solidFill>
                <a:schemeClr val="accent1"/>
              </a:solidFill>
              <a:ln w="9525">
                <a:solidFill>
                  <a:schemeClr val="accent1"/>
                </a:solidFill>
              </a:ln>
              <a:effectLst/>
            </c:spPr>
          </c:marker>
          <c:dLbls>
            <c:delete val="1"/>
          </c:dLbls>
          <c:cat>
            <c:numRef>
              <c:f>'% PIB'!$B$4:$M$4</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 PIB'!$B$6:$M$6</c:f>
              <c:numCache>
                <c:formatCode>0.0%</c:formatCode>
                <c:ptCount val="12"/>
                <c:pt idx="0">
                  <c:v>0.14177946391625254</c:v>
                </c:pt>
                <c:pt idx="1">
                  <c:v>0.15233407018958872</c:v>
                </c:pt>
                <c:pt idx="2">
                  <c:v>0.15456800646712285</c:v>
                </c:pt>
                <c:pt idx="3">
                  <c:v>0.13488162748014165</c:v>
                </c:pt>
                <c:pt idx="4">
                  <c:v>0.13998004801134506</c:v>
                </c:pt>
                <c:pt idx="5">
                  <c:v>0.14152201490007599</c:v>
                </c:pt>
                <c:pt idx="6">
                  <c:v>0.14009859643944686</c:v>
                </c:pt>
                <c:pt idx="7">
                  <c:v>0.14228404732795308</c:v>
                </c:pt>
                <c:pt idx="8">
                  <c:v>0.13956719044733681</c:v>
                </c:pt>
                <c:pt idx="9">
                  <c:v>0.14278353945880065</c:v>
                </c:pt>
                <c:pt idx="10">
                  <c:v>0.14714751444118346</c:v>
                </c:pt>
                <c:pt idx="11">
                  <c:v>0.14518204006085306</c:v>
                </c:pt>
              </c:numCache>
            </c:numRef>
          </c:val>
          <c:smooth val="0"/>
          <c:extLst>
            <c:ext xmlns:c16="http://schemas.microsoft.com/office/drawing/2014/chart" uri="{C3380CC4-5D6E-409C-BE32-E72D297353CC}">
              <c16:uniqueId val="{00000004-3D6A-4EAD-928C-BC7924602D09}"/>
            </c:ext>
          </c:extLst>
        </c:ser>
        <c:ser>
          <c:idx val="1"/>
          <c:order val="1"/>
          <c:tx>
            <c:v>Gastos Totales (eje derecho)</c:v>
          </c:tx>
          <c:spPr>
            <a:ln w="22225" cap="rnd">
              <a:solidFill>
                <a:schemeClr val="accent2"/>
              </a:solidFill>
              <a:round/>
            </a:ln>
            <a:effectLst/>
          </c:spPr>
          <c:marker>
            <c:symbol val="circle"/>
            <c:size val="4"/>
            <c:spPr>
              <a:solidFill>
                <a:schemeClr val="accent2"/>
              </a:solidFill>
              <a:ln w="9525">
                <a:solidFill>
                  <a:schemeClr val="accent2"/>
                </a:solidFill>
              </a:ln>
              <a:effectLst/>
            </c:spPr>
          </c:marker>
          <c:dLbls>
            <c:delete val="1"/>
          </c:dLbls>
          <c:cat>
            <c:numRef>
              <c:f>'% PIB'!$B$4:$M$4</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 PIB'!$B$31:$M$31</c:f>
              <c:numCache>
                <c:formatCode>0.0%</c:formatCode>
                <c:ptCount val="12"/>
                <c:pt idx="0">
                  <c:v>0.15225553524445615</c:v>
                </c:pt>
                <c:pt idx="1">
                  <c:v>0.14671982719798557</c:v>
                </c:pt>
                <c:pt idx="2">
                  <c:v>0.15273067202656962</c:v>
                </c:pt>
                <c:pt idx="3">
                  <c:v>0.16758746212323852</c:v>
                </c:pt>
                <c:pt idx="4">
                  <c:v>0.19005918663841018</c:v>
                </c:pt>
                <c:pt idx="5">
                  <c:v>0.1810791692856997</c:v>
                </c:pt>
                <c:pt idx="6">
                  <c:v>0.18293687651931009</c:v>
                </c:pt>
                <c:pt idx="7">
                  <c:v>0.19598207614000795</c:v>
                </c:pt>
                <c:pt idx="8">
                  <c:v>0.19565138767913612</c:v>
                </c:pt>
                <c:pt idx="9">
                  <c:v>0.19968537728691069</c:v>
                </c:pt>
                <c:pt idx="10">
                  <c:v>0.19974849711116457</c:v>
                </c:pt>
                <c:pt idx="11">
                  <c:v>0.2070485211833013</c:v>
                </c:pt>
              </c:numCache>
            </c:numRef>
          </c:val>
          <c:smooth val="0"/>
          <c:extLst>
            <c:ext xmlns:c16="http://schemas.microsoft.com/office/drawing/2014/chart" uri="{C3380CC4-5D6E-409C-BE32-E72D297353CC}">
              <c16:uniqueId val="{00000005-3D6A-4EAD-928C-BC7924602D09}"/>
            </c:ext>
          </c:extLst>
        </c:ser>
        <c:dLbls>
          <c:showLegendKey val="0"/>
          <c:showVal val="1"/>
          <c:showCatName val="0"/>
          <c:showSerName val="0"/>
          <c:showPercent val="0"/>
          <c:showBubbleSize val="0"/>
        </c:dLbls>
        <c:marker val="1"/>
        <c:smooth val="0"/>
        <c:axId val="666767960"/>
        <c:axId val="666768616"/>
      </c:lineChart>
      <c:catAx>
        <c:axId val="886678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86677096"/>
        <c:crosses val="autoZero"/>
        <c:auto val="1"/>
        <c:lblAlgn val="ctr"/>
        <c:lblOffset val="100"/>
        <c:noMultiLvlLbl val="0"/>
      </c:catAx>
      <c:valAx>
        <c:axId val="886677096"/>
        <c:scaling>
          <c:orientation val="minMax"/>
          <c:max val="0.1"/>
          <c:min val="-0.1"/>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86678080"/>
        <c:crosses val="autoZero"/>
        <c:crossBetween val="between"/>
        <c:majorUnit val="5.000000000000001E-2"/>
      </c:valAx>
      <c:valAx>
        <c:axId val="666768616"/>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666767960"/>
        <c:crosses val="max"/>
        <c:crossBetween val="between"/>
      </c:valAx>
      <c:catAx>
        <c:axId val="666767960"/>
        <c:scaling>
          <c:orientation val="minMax"/>
        </c:scaling>
        <c:delete val="1"/>
        <c:axPos val="b"/>
        <c:numFmt formatCode="General" sourceLinked="1"/>
        <c:majorTickMark val="out"/>
        <c:minorTickMark val="none"/>
        <c:tickLblPos val="nextTo"/>
        <c:crossAx val="666768616"/>
        <c:crosses val="autoZero"/>
        <c:auto val="1"/>
        <c:lblAlgn val="ctr"/>
        <c:lblOffset val="100"/>
        <c:noMultiLvlLbl val="0"/>
      </c:catAx>
      <c:spPr>
        <a:noFill/>
        <a:ln>
          <a:solidFill>
            <a:sysClr val="windowText" lastClr="000000"/>
          </a:solidFill>
        </a:ln>
        <a:effectLst/>
      </c:spPr>
    </c:plotArea>
    <c:legend>
      <c:legendPos val="b"/>
      <c:layout>
        <c:manualLayout>
          <c:xMode val="edge"/>
          <c:yMode val="edge"/>
          <c:x val="5.0139565887597388E-3"/>
          <c:y val="0.86883259658332168"/>
          <c:w val="0.97233505534030473"/>
          <c:h val="0.125075785482955"/>
        </c:manualLayout>
      </c:layout>
      <c:overlay val="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7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93086957377917"/>
          <c:y val="3.6965665798244715E-2"/>
          <c:w val="0.76632296967702185"/>
          <c:h val="0.69797088672603536"/>
        </c:manualLayout>
      </c:layout>
      <c:lineChart>
        <c:grouping val="standard"/>
        <c:varyColors val="0"/>
        <c:ser>
          <c:idx val="1"/>
          <c:order val="1"/>
          <c:tx>
            <c:strRef>
              <c:f>G.3!$B$5</c:f>
              <c:strCache>
                <c:ptCount val="1"/>
                <c:pt idx="0">
                  <c:v>Ingresos Corrientes</c:v>
                </c:pt>
              </c:strCache>
            </c:strRef>
          </c:tx>
          <c:spPr>
            <a:ln w="22225" cap="rnd">
              <a:solidFill>
                <a:schemeClr val="accent1"/>
              </a:solidFill>
              <a:round/>
            </a:ln>
            <a:effectLst/>
          </c:spPr>
          <c:marker>
            <c:symbol val="circle"/>
            <c:size val="5"/>
            <c:spPr>
              <a:solidFill>
                <a:schemeClr val="accent1"/>
              </a:solidFill>
              <a:ln w="9525">
                <a:solidFill>
                  <a:schemeClr val="accent1"/>
                </a:solidFill>
              </a:ln>
              <a:effectLst/>
            </c:spPr>
          </c:marker>
          <c:cat>
            <c:numRef>
              <c:f>G.3!$C$3:$N$3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G.3!$C$5:$N$5</c:f>
              <c:numCache>
                <c:formatCode>0%</c:formatCode>
                <c:ptCount val="12"/>
                <c:pt idx="0">
                  <c:v>0.14173060622239536</c:v>
                </c:pt>
                <c:pt idx="1">
                  <c:v>0.15231598292446225</c:v>
                </c:pt>
                <c:pt idx="2">
                  <c:v>0.15453824648705627</c:v>
                </c:pt>
                <c:pt idx="3">
                  <c:v>0.13464605149826855</c:v>
                </c:pt>
                <c:pt idx="4">
                  <c:v>0.13990071512922733</c:v>
                </c:pt>
                <c:pt idx="5">
                  <c:v>0.14150819475100465</c:v>
                </c:pt>
                <c:pt idx="6">
                  <c:v>0.13993030318346072</c:v>
                </c:pt>
                <c:pt idx="7">
                  <c:v>0.14223926966709666</c:v>
                </c:pt>
                <c:pt idx="8">
                  <c:v>0.13947683686801743</c:v>
                </c:pt>
                <c:pt idx="9">
                  <c:v>0.14275815899399336</c:v>
                </c:pt>
                <c:pt idx="10">
                  <c:v>0.14692697890926701</c:v>
                </c:pt>
                <c:pt idx="11">
                  <c:v>0.14495875009532763</c:v>
                </c:pt>
              </c:numCache>
            </c:numRef>
          </c:val>
          <c:smooth val="0"/>
          <c:extLst>
            <c:ext xmlns:c16="http://schemas.microsoft.com/office/drawing/2014/chart" uri="{C3380CC4-5D6E-409C-BE32-E72D297353CC}">
              <c16:uniqueId val="{00000000-0062-4341-A220-6CA975077F3F}"/>
            </c:ext>
          </c:extLst>
        </c:ser>
        <c:ser>
          <c:idx val="2"/>
          <c:order val="2"/>
          <c:tx>
            <c:strRef>
              <c:f>G.3!$B$6</c:f>
              <c:strCache>
                <c:ptCount val="1"/>
                <c:pt idx="0">
                  <c:v>Deuda</c:v>
                </c:pt>
              </c:strCache>
            </c:strRef>
          </c:tx>
          <c:spPr>
            <a:ln w="28575" cap="rnd">
              <a:solidFill>
                <a:srgbClr val="C00000"/>
              </a:solidFill>
              <a:round/>
            </a:ln>
            <a:effectLst/>
          </c:spPr>
          <c:marker>
            <c:symbol val="circle"/>
            <c:size val="5"/>
            <c:spPr>
              <a:solidFill>
                <a:srgbClr val="C00000"/>
              </a:solidFill>
              <a:ln w="9525">
                <a:solidFill>
                  <a:srgbClr val="C00000"/>
                </a:solidFill>
              </a:ln>
              <a:effectLst/>
            </c:spPr>
          </c:marker>
          <c:cat>
            <c:numRef>
              <c:f>G.3!$C$3:$N$3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G.3!$C$6:$N$6</c:f>
              <c:numCache>
                <c:formatCode>0%</c:formatCode>
                <c:ptCount val="12"/>
                <c:pt idx="0">
                  <c:v>0.33208594402619462</c:v>
                </c:pt>
                <c:pt idx="1">
                  <c:v>0.27101849007343759</c:v>
                </c:pt>
                <c:pt idx="2">
                  <c:v>0.24116100074484942</c:v>
                </c:pt>
                <c:pt idx="3">
                  <c:v>0.26150811631953597</c:v>
                </c:pt>
                <c:pt idx="4">
                  <c:v>0.28378379326893644</c:v>
                </c:pt>
                <c:pt idx="5">
                  <c:v>0.29852630275373754</c:v>
                </c:pt>
                <c:pt idx="6">
                  <c:v>0.34303977316171441</c:v>
                </c:pt>
                <c:pt idx="7">
                  <c:v>0.35940659731812685</c:v>
                </c:pt>
                <c:pt idx="8">
                  <c:v>0.38546392565043136</c:v>
                </c:pt>
                <c:pt idx="9">
                  <c:v>0.40984552274213998</c:v>
                </c:pt>
                <c:pt idx="10">
                  <c:v>0.45208774762192727</c:v>
                </c:pt>
                <c:pt idx="11">
                  <c:v>0.49180191610994989</c:v>
                </c:pt>
              </c:numCache>
            </c:numRef>
          </c:val>
          <c:smooth val="0"/>
          <c:extLst>
            <c:ext xmlns:c16="http://schemas.microsoft.com/office/drawing/2014/chart" uri="{C3380CC4-5D6E-409C-BE32-E72D297353CC}">
              <c16:uniqueId val="{00000001-0062-4341-A220-6CA975077F3F}"/>
            </c:ext>
          </c:extLst>
        </c:ser>
        <c:ser>
          <c:idx val="3"/>
          <c:order val="3"/>
          <c:tx>
            <c:strRef>
              <c:f>G.3!$B$7</c:f>
              <c:strCache>
                <c:ptCount val="1"/>
                <c:pt idx="0">
                  <c:v>Ingresos Tributarios</c:v>
                </c:pt>
              </c:strCache>
            </c:strRef>
          </c:tx>
          <c:spPr>
            <a:ln w="28575" cap="rnd">
              <a:solidFill>
                <a:srgbClr val="FFC000"/>
              </a:solidFill>
              <a:round/>
            </a:ln>
            <a:effectLst/>
          </c:spPr>
          <c:marker>
            <c:symbol val="circle"/>
            <c:size val="5"/>
            <c:spPr>
              <a:solidFill>
                <a:srgbClr val="FFC000"/>
              </a:solidFill>
              <a:ln w="9525">
                <a:solidFill>
                  <a:srgbClr val="FFC000"/>
                </a:solidFill>
              </a:ln>
              <a:effectLst/>
            </c:spPr>
          </c:marker>
          <c:cat>
            <c:numRef>
              <c:f>G.3!$C$3:$N$3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G.3!$C$7:$N$7</c:f>
              <c:numCache>
                <c:formatCode>0%</c:formatCode>
                <c:ptCount val="12"/>
                <c:pt idx="0">
                  <c:v>0.13653357016387191</c:v>
                </c:pt>
                <c:pt idx="1">
                  <c:v>0.14685077516065315</c:v>
                </c:pt>
                <c:pt idx="2">
                  <c:v>0.14951189545211888</c:v>
                </c:pt>
                <c:pt idx="3">
                  <c:v>0.12911851132861224</c:v>
                </c:pt>
                <c:pt idx="4">
                  <c:v>0.12714497678127012</c:v>
                </c:pt>
                <c:pt idx="5">
                  <c:v>0.12958530123615036</c:v>
                </c:pt>
                <c:pt idx="6">
                  <c:v>0.12870095180142074</c:v>
                </c:pt>
                <c:pt idx="7">
                  <c:v>0.13242895794005266</c:v>
                </c:pt>
                <c:pt idx="8">
                  <c:v>0.12937369421706346</c:v>
                </c:pt>
                <c:pt idx="9">
                  <c:v>0.13188980550867338</c:v>
                </c:pt>
                <c:pt idx="10">
                  <c:v>0.13425202656806731</c:v>
                </c:pt>
                <c:pt idx="11">
                  <c:v>0.13438092348287833</c:v>
                </c:pt>
              </c:numCache>
            </c:numRef>
          </c:val>
          <c:smooth val="0"/>
          <c:extLst>
            <c:ext xmlns:c16="http://schemas.microsoft.com/office/drawing/2014/chart" uri="{C3380CC4-5D6E-409C-BE32-E72D297353CC}">
              <c16:uniqueId val="{00000002-0062-4341-A220-6CA975077F3F}"/>
            </c:ext>
          </c:extLst>
        </c:ser>
        <c:dLbls>
          <c:showLegendKey val="0"/>
          <c:showVal val="0"/>
          <c:showCatName val="0"/>
          <c:showSerName val="0"/>
          <c:showPercent val="0"/>
          <c:showBubbleSize val="0"/>
        </c:dLbls>
        <c:marker val="1"/>
        <c:smooth val="0"/>
        <c:axId val="796379368"/>
        <c:axId val="796379040"/>
      </c:lineChart>
      <c:lineChart>
        <c:grouping val="standard"/>
        <c:varyColors val="0"/>
        <c:ser>
          <c:idx val="0"/>
          <c:order val="0"/>
          <c:tx>
            <c:strRef>
              <c:f>G.3!$B$4</c:f>
              <c:strCache>
                <c:ptCount val="1"/>
                <c:pt idx="0">
                  <c:v>Pago de Intereses (eje derecho)</c:v>
                </c:pt>
              </c:strCache>
            </c:strRef>
          </c:tx>
          <c:spPr>
            <a:ln w="28575" cap="rnd">
              <a:solidFill>
                <a:srgbClr val="00B050"/>
              </a:solidFill>
              <a:round/>
            </a:ln>
            <a:effectLst/>
          </c:spPr>
          <c:marker>
            <c:symbol val="circle"/>
            <c:size val="5"/>
            <c:spPr>
              <a:solidFill>
                <a:srgbClr val="00B050"/>
              </a:solidFill>
              <a:ln w="9525">
                <a:solidFill>
                  <a:srgbClr val="00B050"/>
                </a:solidFill>
              </a:ln>
              <a:effectLst/>
            </c:spPr>
          </c:marker>
          <c:cat>
            <c:numRef>
              <c:f>G.3!$C$3:$N$3</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G.3!$C$4:$N$4</c:f>
              <c:numCache>
                <c:formatCode>0%</c:formatCode>
                <c:ptCount val="12"/>
                <c:pt idx="0">
                  <c:v>3.7791246812217225E-2</c:v>
                </c:pt>
                <c:pt idx="1">
                  <c:v>3.0372875303658332E-2</c:v>
                </c:pt>
                <c:pt idx="2">
                  <c:v>2.1110738110886859E-2</c:v>
                </c:pt>
                <c:pt idx="3">
                  <c:v>2.0552821340479165E-2</c:v>
                </c:pt>
                <c:pt idx="4">
                  <c:v>2.0490376906414167E-2</c:v>
                </c:pt>
                <c:pt idx="5">
                  <c:v>2.1027729415918076E-2</c:v>
                </c:pt>
                <c:pt idx="6">
                  <c:v>2.0185597724873969E-2</c:v>
                </c:pt>
                <c:pt idx="7">
                  <c:v>2.539729795188456E-2</c:v>
                </c:pt>
                <c:pt idx="8">
                  <c:v>2.5565892881299377E-2</c:v>
                </c:pt>
                <c:pt idx="9">
                  <c:v>2.731977325443017E-2</c:v>
                </c:pt>
                <c:pt idx="10">
                  <c:v>2.8172427774002917E-2</c:v>
                </c:pt>
                <c:pt idx="11">
                  <c:v>3.1294338687779644E-2</c:v>
                </c:pt>
              </c:numCache>
            </c:numRef>
          </c:val>
          <c:smooth val="0"/>
          <c:extLst>
            <c:ext xmlns:c16="http://schemas.microsoft.com/office/drawing/2014/chart" uri="{C3380CC4-5D6E-409C-BE32-E72D297353CC}">
              <c16:uniqueId val="{00000003-0062-4341-A220-6CA975077F3F}"/>
            </c:ext>
          </c:extLst>
        </c:ser>
        <c:dLbls>
          <c:showLegendKey val="0"/>
          <c:showVal val="0"/>
          <c:showCatName val="0"/>
          <c:showSerName val="0"/>
          <c:showPercent val="0"/>
          <c:showBubbleSize val="0"/>
        </c:dLbls>
        <c:marker val="1"/>
        <c:smooth val="0"/>
        <c:axId val="798193984"/>
        <c:axId val="798195296"/>
      </c:lineChart>
      <c:catAx>
        <c:axId val="796379368"/>
        <c:scaling>
          <c:orientation val="minMax"/>
        </c:scaling>
        <c:delete val="0"/>
        <c:axPos val="b"/>
        <c:numFmt formatCode="General" sourceLinked="1"/>
        <c:majorTickMark val="none"/>
        <c:minorTickMark val="none"/>
        <c:tickLblPos val="nextTo"/>
        <c:spPr>
          <a:noFill/>
          <a:ln w="6350" cap="flat" cmpd="sng" algn="ctr">
            <a:solidFill>
              <a:schemeClr val="dk1"/>
            </a:solidFill>
            <a:prstDash val="solid"/>
            <a:miter lim="800000"/>
          </a:ln>
          <a:effectLst/>
        </c:spPr>
        <c:txPr>
          <a:bodyPr rot="-5400000" spcFirstLastPara="1" vertOverflow="ellipsis"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96379040"/>
        <c:crosses val="autoZero"/>
        <c:auto val="1"/>
        <c:lblAlgn val="ctr"/>
        <c:lblOffset val="100"/>
        <c:noMultiLvlLbl val="0"/>
      </c:catAx>
      <c:valAx>
        <c:axId val="796379040"/>
        <c:scaling>
          <c:orientation val="minMax"/>
          <c:max val="0.55000000000000004"/>
          <c:min val="0.1"/>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96379368"/>
        <c:crosses val="autoZero"/>
        <c:crossBetween val="between"/>
      </c:valAx>
      <c:valAx>
        <c:axId val="798195296"/>
        <c:scaling>
          <c:orientation val="minMax"/>
        </c:scaling>
        <c:delete val="0"/>
        <c:axPos val="r"/>
        <c:numFmt formatCode="0.0%" sourceLinked="0"/>
        <c:majorTickMark val="out"/>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98193984"/>
        <c:crosses val="max"/>
        <c:crossBetween val="between"/>
      </c:valAx>
      <c:catAx>
        <c:axId val="798193984"/>
        <c:scaling>
          <c:orientation val="minMax"/>
        </c:scaling>
        <c:delete val="1"/>
        <c:axPos val="b"/>
        <c:numFmt formatCode="General" sourceLinked="1"/>
        <c:majorTickMark val="out"/>
        <c:minorTickMark val="none"/>
        <c:tickLblPos val="nextTo"/>
        <c:crossAx val="798195296"/>
        <c:crosses val="autoZero"/>
        <c:auto val="1"/>
        <c:lblAlgn val="ctr"/>
        <c:lblOffset val="100"/>
        <c:noMultiLvlLbl val="0"/>
      </c:catAx>
      <c:spPr>
        <a:noFill/>
        <a:ln>
          <a:solidFill>
            <a:sysClr val="windowText" lastClr="000000"/>
          </a:solidFill>
        </a:ln>
        <a:effectLst/>
      </c:spPr>
    </c:plotArea>
    <c:legend>
      <c:legendPos val="b"/>
      <c:layout>
        <c:manualLayout>
          <c:xMode val="edge"/>
          <c:yMode val="edge"/>
          <c:x val="8.9317613433369056E-3"/>
          <c:y val="0.8493216536472683"/>
          <c:w val="0.99106823865666305"/>
          <c:h val="0.15067834635273178"/>
        </c:manualLayout>
      </c:layout>
      <c:overlay val="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7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49738564003218E-2"/>
          <c:y val="2.4347263772670193E-2"/>
          <c:w val="0.9198277997911265"/>
          <c:h val="0.80001253303544673"/>
        </c:manualLayout>
      </c:layout>
      <c:lineChart>
        <c:grouping val="standard"/>
        <c:varyColors val="0"/>
        <c:ser>
          <c:idx val="0"/>
          <c:order val="0"/>
          <c:tx>
            <c:strRef>
              <c:f>'[graficos CR.xlsx]Hoja1'!$U$58</c:f>
              <c:strCache>
                <c:ptCount val="1"/>
                <c:pt idx="0">
                  <c:v>Resultado financiero</c:v>
                </c:pt>
              </c:strCache>
            </c:strRef>
          </c:tx>
          <c:spPr>
            <a:ln w="22225" cap="rnd">
              <a:solidFill>
                <a:schemeClr val="accent1"/>
              </a:solidFill>
              <a:round/>
            </a:ln>
            <a:effectLst/>
          </c:spPr>
          <c:marker>
            <c:symbol val="triangle"/>
            <c:size val="4"/>
            <c:spPr>
              <a:solidFill>
                <a:srgbClr val="00B0F0"/>
              </a:solidFill>
              <a:ln w="9525">
                <a:solidFill>
                  <a:schemeClr val="accent1"/>
                </a:solidFill>
              </a:ln>
              <a:effectLst/>
            </c:spPr>
          </c:marker>
          <c:dLbls>
            <c:dLbl>
              <c:idx val="9"/>
              <c:layout>
                <c:manualLayout>
                  <c:x val="-2.8674479070397892E-2"/>
                  <c:y val="5.60553633217991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0ED-4876-B7BF-05E1B349FBFD}"/>
                </c:ext>
              </c:extLst>
            </c:dLbl>
            <c:spPr>
              <a:noFill/>
              <a:ln>
                <a:noFill/>
              </a:ln>
              <a:effectLst/>
            </c:spPr>
            <c:txPr>
              <a:bodyPr rot="0" vert="horz"/>
              <a:lstStyle/>
              <a:p>
                <a:pPr>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'[graficos CR.xlsx]Hoja1'!$R$61:$R$70</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'[graficos CR.xlsx]Hoja1'!$U$61:$U$70</c:f>
              <c:numCache>
                <c:formatCode>0.0</c:formatCode>
                <c:ptCount val="10"/>
                <c:pt idx="0">
                  <c:v>0.18850562000000001</c:v>
                </c:pt>
                <c:pt idx="1">
                  <c:v>-3.40189238</c:v>
                </c:pt>
                <c:pt idx="2">
                  <c:v>-5.1417832399999996</c:v>
                </c:pt>
                <c:pt idx="3">
                  <c:v>-4.0540777400000003</c:v>
                </c:pt>
                <c:pt idx="4">
                  <c:v>-4.2838278699999996</c:v>
                </c:pt>
                <c:pt idx="5">
                  <c:v>-5.3698026399999996</c:v>
                </c:pt>
                <c:pt idx="6">
                  <c:v>-5.60845357</c:v>
                </c:pt>
                <c:pt idx="7">
                  <c:v>-5.6943534199999997</c:v>
                </c:pt>
                <c:pt idx="8">
                  <c:v>-5.2507186299999997</c:v>
                </c:pt>
                <c:pt idx="9">
                  <c:v>-6.1866481122448196</c:v>
                </c:pt>
              </c:numCache>
            </c:numRef>
          </c:val>
          <c:smooth val="0"/>
          <c:extLst>
            <c:ext xmlns:c16="http://schemas.microsoft.com/office/drawing/2014/chart" uri="{C3380CC4-5D6E-409C-BE32-E72D297353CC}">
              <c16:uniqueId val="{00000000-0C98-456E-8A1A-00FD693D022C}"/>
            </c:ext>
          </c:extLst>
        </c:ser>
        <c:ser>
          <c:idx val="1"/>
          <c:order val="1"/>
          <c:tx>
            <c:strRef>
              <c:f>'[graficos CR.xlsx]Hoja1'!$V$58</c:f>
              <c:strCache>
                <c:ptCount val="1"/>
                <c:pt idx="0">
                  <c:v>Crecimiento real PIB</c:v>
                </c:pt>
              </c:strCache>
            </c:strRef>
          </c:tx>
          <c:spPr>
            <a:ln w="22225" cap="rnd">
              <a:solidFill>
                <a:srgbClr val="FF0000"/>
              </a:solidFill>
              <a:round/>
            </a:ln>
            <a:effectLst/>
          </c:spPr>
          <c:marker>
            <c:symbol val="square"/>
            <c:size val="4"/>
            <c:spPr>
              <a:solidFill>
                <a:srgbClr val="FF0000"/>
              </a:solidFill>
              <a:ln w="9525">
                <a:solidFill>
                  <a:schemeClr val="accent2"/>
                </a:solidFill>
              </a:ln>
              <a:effectLst/>
            </c:spPr>
          </c:marker>
          <c:dLbls>
            <c:dLbl>
              <c:idx val="1"/>
              <c:layout>
                <c:manualLayout>
                  <c:x val="-1.1182951963219393E-2"/>
                  <c:y val="-7.189542483660191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C98-456E-8A1A-00FD693D022C}"/>
                </c:ext>
              </c:extLst>
            </c:dLbl>
            <c:spPr>
              <a:noFill/>
              <a:ln>
                <a:noFill/>
              </a:ln>
              <a:effectLst/>
            </c:spPr>
            <c:txPr>
              <a:bodyPr rot="0" vert="horz"/>
              <a:lstStyle/>
              <a:p>
                <a:pPr>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'[graficos CR.xlsx]Hoja1'!$R$61:$R$70</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'[graficos CR.xlsx]Hoja1'!$V$61:$V$70</c:f>
              <c:numCache>
                <c:formatCode>0.0</c:formatCode>
                <c:ptCount val="10"/>
                <c:pt idx="0">
                  <c:v>2.7316243424686304</c:v>
                </c:pt>
                <c:pt idx="1">
                  <c:v>-1.0157238586992912</c:v>
                </c:pt>
                <c:pt idx="2">
                  <c:v>4.954321208421919</c:v>
                </c:pt>
                <c:pt idx="3">
                  <c:v>4.5177498076637512</c:v>
                </c:pt>
                <c:pt idx="4">
                  <c:v>5.1675814039885193</c:v>
                </c:pt>
                <c:pt idx="5">
                  <c:v>3.4372709514789657</c:v>
                </c:pt>
                <c:pt idx="6">
                  <c:v>3.5023547516803699</c:v>
                </c:pt>
                <c:pt idx="7">
                  <c:v>2.8361386641364561</c:v>
                </c:pt>
                <c:pt idx="8">
                  <c:v>4.1525112996097402</c:v>
                </c:pt>
                <c:pt idx="9">
                  <c:v>4.5216462100000001</c:v>
                </c:pt>
              </c:numCache>
            </c:numRef>
          </c:val>
          <c:smooth val="0"/>
          <c:extLst>
            <c:ext xmlns:c16="http://schemas.microsoft.com/office/drawing/2014/chart" uri="{C3380CC4-5D6E-409C-BE32-E72D297353CC}">
              <c16:uniqueId val="{00000001-0C98-456E-8A1A-00FD693D022C}"/>
            </c:ext>
          </c:extLst>
        </c:ser>
        <c:dLbls>
          <c:showLegendKey val="0"/>
          <c:showVal val="0"/>
          <c:showCatName val="0"/>
          <c:showSerName val="0"/>
          <c:showPercent val="0"/>
          <c:showBubbleSize val="0"/>
        </c:dLbls>
        <c:marker val="1"/>
        <c:smooth val="0"/>
        <c:axId val="43620608"/>
        <c:axId val="43638784"/>
      </c:lineChart>
      <c:catAx>
        <c:axId val="4362060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vert="horz"/>
          <a:lstStyle/>
          <a:p>
            <a:pPr>
              <a:defRPr/>
            </a:pPr>
            <a:endParaRPr lang="en-US"/>
          </a:p>
        </c:txPr>
        <c:crossAx val="43638784"/>
        <c:crosses val="autoZero"/>
        <c:auto val="1"/>
        <c:lblAlgn val="ctr"/>
        <c:lblOffset val="100"/>
        <c:noMultiLvlLbl val="0"/>
      </c:catAx>
      <c:valAx>
        <c:axId val="43638784"/>
        <c:scaling>
          <c:orientation val="minMax"/>
          <c:max val="8"/>
        </c:scaling>
        <c:delete val="0"/>
        <c:axPos val="l"/>
        <c:numFmt formatCode="0" sourceLinked="0"/>
        <c:majorTickMark val="none"/>
        <c:minorTickMark val="none"/>
        <c:tickLblPos val="nextTo"/>
        <c:spPr>
          <a:noFill/>
          <a:ln>
            <a:noFill/>
          </a:ln>
          <a:effectLst/>
        </c:spPr>
        <c:txPr>
          <a:bodyPr rot="-60000000" vert="horz"/>
          <a:lstStyle/>
          <a:p>
            <a:pPr>
              <a:defRPr/>
            </a:pPr>
            <a:endParaRPr lang="en-US"/>
          </a:p>
        </c:txPr>
        <c:crossAx val="43620608"/>
        <c:crosses val="autoZero"/>
        <c:crossBetween val="between"/>
      </c:valAx>
      <c:spPr>
        <a:noFill/>
        <a:ln>
          <a:solidFill>
            <a:schemeClr val="tx1"/>
          </a:solidFill>
        </a:ln>
        <a:effectLst/>
      </c:spPr>
    </c:plotArea>
    <c:legend>
      <c:legendPos val="b"/>
      <c:layout>
        <c:manualLayout>
          <c:xMode val="edge"/>
          <c:yMode val="edge"/>
          <c:x val="0.18860328700523174"/>
          <c:y val="0.933293705933817"/>
          <c:w val="0.5812395526022337"/>
          <c:h val="6.2236956938747263E-2"/>
        </c:manualLayout>
      </c:layout>
      <c:overlay val="0"/>
      <c:spPr>
        <a:noFill/>
        <a:ln>
          <a:noFill/>
        </a:ln>
        <a:effectLst/>
      </c:spPr>
      <c:txPr>
        <a:bodyPr rot="0" vert="horz"/>
        <a:lstStyle/>
        <a:p>
          <a:pPr>
            <a:defRPr/>
          </a:pPr>
          <a:endParaRPr lang="en-US"/>
        </a:p>
      </c:txPr>
    </c:legend>
    <c:plotVisOnly val="1"/>
    <c:dispBlanksAs val="gap"/>
    <c:showDLblsOverMax val="0"/>
  </c:chart>
  <c:spPr>
    <a:no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0"/>
          <c:tx>
            <c:strRef>
              <c:f>Sheet1!$E$2</c:f>
              <c:strCache>
                <c:ptCount val="1"/>
                <c:pt idx="0">
                  <c:v>Déficit de Cuenta Corriente</c:v>
                </c:pt>
              </c:strCache>
            </c:strRef>
          </c:tx>
          <c:spPr>
            <a:ln w="22225" cap="rnd">
              <a:solidFill>
                <a:schemeClr val="accent3"/>
              </a:solidFill>
              <a:round/>
            </a:ln>
            <a:effectLst/>
          </c:spPr>
          <c:marker>
            <c:symbol val="none"/>
          </c:marker>
          <c:cat>
            <c:strRef>
              <c:f>Sheet1!$A$10:$B$21</c:f>
              <c:strCach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strCache>
            </c:strRef>
          </c:cat>
          <c:val>
            <c:numRef>
              <c:f>Sheet1!$E$10:$E$21</c:f>
              <c:numCache>
                <c:formatCode>0.0%</c:formatCode>
                <c:ptCount val="12"/>
                <c:pt idx="0">
                  <c:v>-4.15311135227368E-2</c:v>
                </c:pt>
                <c:pt idx="1">
                  <c:v>-5.6042866837911307E-2</c:v>
                </c:pt>
                <c:pt idx="2">
                  <c:v>-8.4296000354275993E-2</c:v>
                </c:pt>
                <c:pt idx="3">
                  <c:v>-1.8342199185657684E-2</c:v>
                </c:pt>
                <c:pt idx="4">
                  <c:v>-3.2570950541532522E-2</c:v>
                </c:pt>
                <c:pt idx="5">
                  <c:v>-5.3594728118069923E-2</c:v>
                </c:pt>
                <c:pt idx="6">
                  <c:v>-5.1881375058843174E-2</c:v>
                </c:pt>
                <c:pt idx="7">
                  <c:v>-4.887253824663549E-2</c:v>
                </c:pt>
                <c:pt idx="8">
                  <c:v>-4.8501473180210822E-2</c:v>
                </c:pt>
                <c:pt idx="9">
                  <c:v>-3.5074920091213199E-2</c:v>
                </c:pt>
                <c:pt idx="10">
                  <c:v>-2.5862328270926271E-2</c:v>
                </c:pt>
                <c:pt idx="11">
                  <c:v>-2.9831306886376176E-2</c:v>
                </c:pt>
              </c:numCache>
            </c:numRef>
          </c:val>
          <c:smooth val="0"/>
          <c:extLst>
            <c:ext xmlns:c16="http://schemas.microsoft.com/office/drawing/2014/chart" uri="{C3380CC4-5D6E-409C-BE32-E72D297353CC}">
              <c16:uniqueId val="{00000000-E8F3-44BE-89F7-DFA37E7C67A3}"/>
            </c:ext>
          </c:extLst>
        </c:ser>
        <c:ser>
          <c:idx val="3"/>
          <c:order val="1"/>
          <c:tx>
            <c:strRef>
              <c:f>Sheet1!$F$2</c:f>
              <c:strCache>
                <c:ptCount val="1"/>
                <c:pt idx="0">
                  <c:v>Déficit Fiscal</c:v>
                </c:pt>
              </c:strCache>
            </c:strRef>
          </c:tx>
          <c:spPr>
            <a:ln w="22225" cap="rnd">
              <a:solidFill>
                <a:schemeClr val="accent4"/>
              </a:solidFill>
              <a:round/>
            </a:ln>
            <a:effectLst/>
          </c:spPr>
          <c:marker>
            <c:symbol val="none"/>
          </c:marker>
          <c:cat>
            <c:strRef>
              <c:f>Sheet1!$A$10:$B$21</c:f>
              <c:strCach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strCache>
            </c:strRef>
          </c:cat>
          <c:val>
            <c:numRef>
              <c:f>Sheet1!$F$10:$F$21</c:f>
              <c:numCache>
                <c:formatCode>0.0%</c:formatCode>
                <c:ptCount val="12"/>
                <c:pt idx="0">
                  <c:v>-1.0476071328203631E-2</c:v>
                </c:pt>
                <c:pt idx="1">
                  <c:v>5.6142429916031548E-3</c:v>
                </c:pt>
                <c:pt idx="2">
                  <c:v>1.8373344405532208E-3</c:v>
                </c:pt>
                <c:pt idx="3">
                  <c:v>-3.2705834643096884E-2</c:v>
                </c:pt>
                <c:pt idx="4">
                  <c:v>-5.0079138627065103E-2</c:v>
                </c:pt>
                <c:pt idx="5">
                  <c:v>-3.9557154385623704E-2</c:v>
                </c:pt>
                <c:pt idx="6">
                  <c:v>-4.283828007986324E-2</c:v>
                </c:pt>
                <c:pt idx="7">
                  <c:v>-5.3698028812054877E-2</c:v>
                </c:pt>
                <c:pt idx="8">
                  <c:v>-5.6084197231799304E-2</c:v>
                </c:pt>
                <c:pt idx="9">
                  <c:v>-5.6901837828110036E-2</c:v>
                </c:pt>
                <c:pt idx="10">
                  <c:v>-5.2600982669981117E-2</c:v>
                </c:pt>
                <c:pt idx="11">
                  <c:v>-6.1866481122448247E-2</c:v>
                </c:pt>
              </c:numCache>
            </c:numRef>
          </c:val>
          <c:smooth val="0"/>
          <c:extLst>
            <c:ext xmlns:c16="http://schemas.microsoft.com/office/drawing/2014/chart" uri="{C3380CC4-5D6E-409C-BE32-E72D297353CC}">
              <c16:uniqueId val="{00000001-E8F3-44BE-89F7-DFA37E7C67A3}"/>
            </c:ext>
          </c:extLst>
        </c:ser>
        <c:ser>
          <c:idx val="0"/>
          <c:order val="2"/>
          <c:tx>
            <c:strRef>
              <c:f>Sheet1!$G$2</c:f>
              <c:strCache>
                <c:ptCount val="1"/>
                <c:pt idx="0">
                  <c:v>Crecimiento del PIB</c:v>
                </c:pt>
              </c:strCache>
            </c:strRef>
          </c:tx>
          <c:spPr>
            <a:ln w="22225" cap="rnd">
              <a:solidFill>
                <a:schemeClr val="accent1"/>
              </a:solidFill>
              <a:round/>
            </a:ln>
            <a:effectLst/>
          </c:spPr>
          <c:marker>
            <c:symbol val="none"/>
          </c:marker>
          <c:val>
            <c:numRef>
              <c:f>Sheet1!$G$10:$G$21</c:f>
              <c:numCache>
                <c:formatCode>0.0%</c:formatCode>
                <c:ptCount val="12"/>
                <c:pt idx="0">
                  <c:v>7.2804503899999998E-2</c:v>
                </c:pt>
                <c:pt idx="1">
                  <c:v>7.7323286899999996E-2</c:v>
                </c:pt>
                <c:pt idx="2">
                  <c:v>4.7245744700000002E-2</c:v>
                </c:pt>
                <c:pt idx="3">
                  <c:v>-3.2611593000000001E-3</c:v>
                </c:pt>
                <c:pt idx="4">
                  <c:v>4.9445641699999994E-2</c:v>
                </c:pt>
                <c:pt idx="5">
                  <c:v>4.0575101400000001E-2</c:v>
                </c:pt>
                <c:pt idx="6">
                  <c:v>5.0358745199999999E-2</c:v>
                </c:pt>
                <c:pt idx="7">
                  <c:v>2.2636272599999997E-2</c:v>
                </c:pt>
                <c:pt idx="8">
                  <c:v>3.5868282100000003E-2</c:v>
                </c:pt>
                <c:pt idx="9">
                  <c:v>3.5397817200000001E-2</c:v>
                </c:pt>
                <c:pt idx="10">
                  <c:v>3.9582925800000002E-2</c:v>
                </c:pt>
                <c:pt idx="11">
                  <c:v>3.3031171800000002E-2</c:v>
                </c:pt>
              </c:numCache>
            </c:numRef>
          </c:val>
          <c:smooth val="0"/>
          <c:extLst>
            <c:ext xmlns:c16="http://schemas.microsoft.com/office/drawing/2014/chart" uri="{C3380CC4-5D6E-409C-BE32-E72D297353CC}">
              <c16:uniqueId val="{00000002-E8F3-44BE-89F7-DFA37E7C67A3}"/>
            </c:ext>
          </c:extLst>
        </c:ser>
        <c:dLbls>
          <c:showLegendKey val="0"/>
          <c:showVal val="0"/>
          <c:showCatName val="0"/>
          <c:showSerName val="0"/>
          <c:showPercent val="0"/>
          <c:showBubbleSize val="0"/>
        </c:dLbls>
        <c:smooth val="0"/>
        <c:axId val="835799432"/>
        <c:axId val="835799760"/>
      </c:lineChart>
      <c:catAx>
        <c:axId val="83579943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35799760"/>
        <c:crosses val="autoZero"/>
        <c:auto val="1"/>
        <c:lblAlgn val="ctr"/>
        <c:lblOffset val="100"/>
        <c:noMultiLvlLbl val="0"/>
      </c:catAx>
      <c:valAx>
        <c:axId val="835799760"/>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35799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Sheet2!$B$18</c:f>
              <c:strCache>
                <c:ptCount val="1"/>
                <c:pt idx="0">
                  <c:v>Ahorro Nacional Bruto</c:v>
                </c:pt>
              </c:strCache>
            </c:strRef>
          </c:tx>
          <c:spPr>
            <a:ln w="22225" cap="rnd">
              <a:solidFill>
                <a:schemeClr val="accent1"/>
              </a:solidFill>
              <a:round/>
            </a:ln>
            <a:effectLst/>
          </c:spPr>
          <c:marker>
            <c:symbol val="none"/>
          </c:marker>
          <c:cat>
            <c:numRef>
              <c:f>Sheet2!$A$19:$A$30</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Sheet2!$B$19:$B$30</c:f>
              <c:numCache>
                <c:formatCode>0.0%</c:formatCode>
                <c:ptCount val="12"/>
                <c:pt idx="0">
                  <c:v>0.17076100338092698</c:v>
                </c:pt>
                <c:pt idx="1">
                  <c:v>0.1788415145202879</c:v>
                </c:pt>
                <c:pt idx="2">
                  <c:v>0.16496965935602667</c:v>
                </c:pt>
                <c:pt idx="3">
                  <c:v>0.16611544677259357</c:v>
                </c:pt>
                <c:pt idx="4">
                  <c:v>0.1648942618707234</c:v>
                </c:pt>
                <c:pt idx="5">
                  <c:v>0.14586934444494587</c:v>
                </c:pt>
                <c:pt idx="6">
                  <c:v>0.15347885983618617</c:v>
                </c:pt>
                <c:pt idx="7">
                  <c:v>0.14146411785212534</c:v>
                </c:pt>
                <c:pt idx="8">
                  <c:v>0.14013120190425035</c:v>
                </c:pt>
                <c:pt idx="9">
                  <c:v>0.14866648882965469</c:v>
                </c:pt>
                <c:pt idx="10">
                  <c:v>0.1574814214636481</c:v>
                </c:pt>
                <c:pt idx="11">
                  <c:v>0.14243254732624017</c:v>
                </c:pt>
              </c:numCache>
            </c:numRef>
          </c:val>
          <c:smooth val="0"/>
          <c:extLst>
            <c:ext xmlns:c16="http://schemas.microsoft.com/office/drawing/2014/chart" uri="{C3380CC4-5D6E-409C-BE32-E72D297353CC}">
              <c16:uniqueId val="{00000000-8C01-46D3-B1A1-F08486BE50F1}"/>
            </c:ext>
          </c:extLst>
        </c:ser>
        <c:ser>
          <c:idx val="1"/>
          <c:order val="1"/>
          <c:tx>
            <c:strRef>
              <c:f>Sheet2!$C$18</c:f>
              <c:strCache>
                <c:ptCount val="1"/>
                <c:pt idx="0">
                  <c:v>Ahorro Público Bruto</c:v>
                </c:pt>
              </c:strCache>
            </c:strRef>
          </c:tx>
          <c:spPr>
            <a:ln w="22225" cap="rnd">
              <a:solidFill>
                <a:schemeClr val="accent2"/>
              </a:solidFill>
              <a:round/>
            </a:ln>
            <a:effectLst/>
          </c:spPr>
          <c:marker>
            <c:symbol val="none"/>
          </c:marker>
          <c:cat>
            <c:numRef>
              <c:f>Sheet2!$A$19:$A$30</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Sheet2!$C$19:$C$30</c:f>
              <c:numCache>
                <c:formatCode>0.0%</c:formatCode>
                <c:ptCount val="12"/>
                <c:pt idx="0">
                  <c:v>2.2869284744777521E-2</c:v>
                </c:pt>
                <c:pt idx="1">
                  <c:v>3.9559192433785938E-2</c:v>
                </c:pt>
                <c:pt idx="2">
                  <c:v>3.4906150588574644E-2</c:v>
                </c:pt>
                <c:pt idx="3">
                  <c:v>-2.6111886409365386E-3</c:v>
                </c:pt>
                <c:pt idx="4">
                  <c:v>-1.6016418113656151E-2</c:v>
                </c:pt>
                <c:pt idx="5">
                  <c:v>-1.3498710212349148E-2</c:v>
                </c:pt>
                <c:pt idx="6">
                  <c:v>-1.527366046706086E-2</c:v>
                </c:pt>
                <c:pt idx="7">
                  <c:v>-2.0341299713705355E-2</c:v>
                </c:pt>
                <c:pt idx="8">
                  <c:v>-2.2655011447962888E-2</c:v>
                </c:pt>
                <c:pt idx="9">
                  <c:v>-2.3555474061624834E-2</c:v>
                </c:pt>
                <c:pt idx="10">
                  <c:v>-1.4569508727227223E-2</c:v>
                </c:pt>
                <c:pt idx="11">
                  <c:v>-2.4324027455203786E-2</c:v>
                </c:pt>
              </c:numCache>
            </c:numRef>
          </c:val>
          <c:smooth val="0"/>
          <c:extLst>
            <c:ext xmlns:c16="http://schemas.microsoft.com/office/drawing/2014/chart" uri="{C3380CC4-5D6E-409C-BE32-E72D297353CC}">
              <c16:uniqueId val="{00000001-8C01-46D3-B1A1-F08486BE50F1}"/>
            </c:ext>
          </c:extLst>
        </c:ser>
        <c:ser>
          <c:idx val="2"/>
          <c:order val="2"/>
          <c:tx>
            <c:strRef>
              <c:f>Sheet2!$D$18</c:f>
              <c:strCache>
                <c:ptCount val="1"/>
                <c:pt idx="0">
                  <c:v>Ahorro Privado Bruto</c:v>
                </c:pt>
              </c:strCache>
            </c:strRef>
          </c:tx>
          <c:spPr>
            <a:ln w="22225" cap="rnd">
              <a:solidFill>
                <a:schemeClr val="accent3"/>
              </a:solidFill>
              <a:round/>
            </a:ln>
            <a:effectLst/>
          </c:spPr>
          <c:marker>
            <c:symbol val="none"/>
          </c:marker>
          <c:cat>
            <c:numRef>
              <c:f>Sheet2!$A$19:$A$30</c:f>
              <c:numCache>
                <c:formatCode>General</c:formatCod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numCache>
            </c:numRef>
          </c:cat>
          <c:val>
            <c:numRef>
              <c:f>Sheet2!$D$19:$D$30</c:f>
              <c:numCache>
                <c:formatCode>0.0%</c:formatCode>
                <c:ptCount val="12"/>
                <c:pt idx="0">
                  <c:v>0.14789171863614928</c:v>
                </c:pt>
                <c:pt idx="1">
                  <c:v>0.13928232208650218</c:v>
                </c:pt>
                <c:pt idx="2">
                  <c:v>0.13006350876745201</c:v>
                </c:pt>
                <c:pt idx="3">
                  <c:v>0.16872663541352992</c:v>
                </c:pt>
                <c:pt idx="4">
                  <c:v>0.1809106799843794</c:v>
                </c:pt>
                <c:pt idx="5">
                  <c:v>0.15936805465729506</c:v>
                </c:pt>
                <c:pt idx="6">
                  <c:v>0.16875252030324708</c:v>
                </c:pt>
                <c:pt idx="7">
                  <c:v>0.1618054175658305</c:v>
                </c:pt>
                <c:pt idx="8">
                  <c:v>0.16278621335221322</c:v>
                </c:pt>
                <c:pt idx="9">
                  <c:v>0.17222196289127945</c:v>
                </c:pt>
                <c:pt idx="10">
                  <c:v>0.17205093019087528</c:v>
                </c:pt>
                <c:pt idx="11">
                  <c:v>0.16675657478144396</c:v>
                </c:pt>
              </c:numCache>
            </c:numRef>
          </c:val>
          <c:smooth val="0"/>
          <c:extLst>
            <c:ext xmlns:c16="http://schemas.microsoft.com/office/drawing/2014/chart" uri="{C3380CC4-5D6E-409C-BE32-E72D297353CC}">
              <c16:uniqueId val="{00000002-8C01-46D3-B1A1-F08486BE50F1}"/>
            </c:ext>
          </c:extLst>
        </c:ser>
        <c:dLbls>
          <c:showLegendKey val="0"/>
          <c:showVal val="0"/>
          <c:showCatName val="0"/>
          <c:showSerName val="0"/>
          <c:showPercent val="0"/>
          <c:showBubbleSize val="0"/>
        </c:dLbls>
        <c:smooth val="0"/>
        <c:axId val="596098232"/>
        <c:axId val="596103808"/>
      </c:lineChart>
      <c:catAx>
        <c:axId val="59609823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596103808"/>
        <c:crosses val="autoZero"/>
        <c:auto val="1"/>
        <c:lblAlgn val="ctr"/>
        <c:lblOffset val="100"/>
        <c:noMultiLvlLbl val="0"/>
      </c:catAx>
      <c:valAx>
        <c:axId val="596103808"/>
        <c:scaling>
          <c:orientation val="minMax"/>
          <c:max val="0.25"/>
          <c:min val="-5.000000000000001E-2"/>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596098232"/>
        <c:crosses val="autoZero"/>
        <c:crossBetween val="between"/>
        <c:majorUnit val="5.000000000000001E-2"/>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641294838145237E-2"/>
          <c:y val="5.0925925925925923E-2"/>
          <c:w val="0.87180314960629923"/>
          <c:h val="0.76832239720035"/>
        </c:manualLayout>
      </c:layout>
      <c:barChart>
        <c:barDir val="col"/>
        <c:grouping val="stacked"/>
        <c:varyColors val="0"/>
        <c:ser>
          <c:idx val="0"/>
          <c:order val="0"/>
          <c:tx>
            <c:strRef>
              <c:f>Sheet1!$B$35</c:f>
              <c:strCache>
                <c:ptCount val="1"/>
                <c:pt idx="0">
                  <c:v>América del Norte </c:v>
                </c:pt>
              </c:strCache>
            </c:strRef>
          </c:tx>
          <c:spPr>
            <a:solidFill>
              <a:srgbClr val="0070C0"/>
            </a:solidFill>
            <a:ln>
              <a:noFill/>
            </a:ln>
            <a:effectLst/>
          </c:spPr>
          <c:invertIfNegative val="0"/>
          <c:dLbls>
            <c:spPr>
              <a:solidFill>
                <a:schemeClr val="bg1"/>
              </a:solidFill>
              <a:ln>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Sheet1!$E$34:$F$34</c:f>
              <c:numCache>
                <c:formatCode>General</c:formatCode>
                <c:ptCount val="2"/>
                <c:pt idx="0">
                  <c:v>1995</c:v>
                </c:pt>
                <c:pt idx="1">
                  <c:v>2016</c:v>
                </c:pt>
              </c:numCache>
            </c:numRef>
          </c:cat>
          <c:val>
            <c:numRef>
              <c:f>Sheet1!$E$35:$F$35</c:f>
              <c:numCache>
                <c:formatCode>0%</c:formatCode>
                <c:ptCount val="2"/>
                <c:pt idx="0">
                  <c:v>0.43311111583053646</c:v>
                </c:pt>
                <c:pt idx="1">
                  <c:v>0.44312084117804512</c:v>
                </c:pt>
              </c:numCache>
            </c:numRef>
          </c:val>
          <c:extLst>
            <c:ext xmlns:c16="http://schemas.microsoft.com/office/drawing/2014/chart" uri="{C3380CC4-5D6E-409C-BE32-E72D297353CC}">
              <c16:uniqueId val="{00000000-2913-475E-849E-B10C5FEA89B4}"/>
            </c:ext>
          </c:extLst>
        </c:ser>
        <c:ser>
          <c:idx val="1"/>
          <c:order val="1"/>
          <c:tx>
            <c:strRef>
              <c:f>Sheet1!$B$36</c:f>
              <c:strCache>
                <c:ptCount val="1"/>
                <c:pt idx="0">
                  <c:v>Europa y Asia Central</c:v>
                </c:pt>
              </c:strCache>
            </c:strRef>
          </c:tx>
          <c:spPr>
            <a:solidFill>
              <a:schemeClr val="accent6">
                <a:lumMod val="75000"/>
              </a:schemeClr>
            </a:solidFill>
            <a:ln>
              <a:noFill/>
            </a:ln>
            <a:effectLst/>
          </c:spPr>
          <c:invertIfNegative val="0"/>
          <c:dLbls>
            <c:spPr>
              <a:solidFill>
                <a:schemeClr val="bg1"/>
              </a:solidFill>
              <a:ln>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Sheet1!$E$34:$F$34</c:f>
              <c:numCache>
                <c:formatCode>General</c:formatCode>
                <c:ptCount val="2"/>
                <c:pt idx="0">
                  <c:v>1995</c:v>
                </c:pt>
                <c:pt idx="1">
                  <c:v>2016</c:v>
                </c:pt>
              </c:numCache>
            </c:numRef>
          </c:cat>
          <c:val>
            <c:numRef>
              <c:f>Sheet1!$E$36:$F$36</c:f>
              <c:numCache>
                <c:formatCode>0%</c:formatCode>
                <c:ptCount val="2"/>
                <c:pt idx="0">
                  <c:v>0.24268309301228191</c:v>
                </c:pt>
                <c:pt idx="1">
                  <c:v>0.20335158041525009</c:v>
                </c:pt>
              </c:numCache>
            </c:numRef>
          </c:val>
          <c:extLst>
            <c:ext xmlns:c16="http://schemas.microsoft.com/office/drawing/2014/chart" uri="{C3380CC4-5D6E-409C-BE32-E72D297353CC}">
              <c16:uniqueId val="{00000001-2913-475E-849E-B10C5FEA89B4}"/>
            </c:ext>
          </c:extLst>
        </c:ser>
        <c:ser>
          <c:idx val="2"/>
          <c:order val="2"/>
          <c:tx>
            <c:strRef>
              <c:f>Sheet1!$B$37</c:f>
              <c:strCache>
                <c:ptCount val="1"/>
                <c:pt idx="0">
                  <c:v>América Latina y el Caribe</c:v>
                </c:pt>
              </c:strCache>
            </c:strRef>
          </c:tx>
          <c:spPr>
            <a:solidFill>
              <a:schemeClr val="bg1">
                <a:lumMod val="75000"/>
              </a:schemeClr>
            </a:solidFill>
            <a:ln>
              <a:noFill/>
            </a:ln>
            <a:effectLst/>
          </c:spPr>
          <c:invertIfNegative val="0"/>
          <c:dLbls>
            <c:spPr>
              <a:solidFill>
                <a:schemeClr val="bg1"/>
              </a:solidFill>
              <a:ln>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Sheet1!$E$34:$F$34</c:f>
              <c:numCache>
                <c:formatCode>General</c:formatCode>
                <c:ptCount val="2"/>
                <c:pt idx="0">
                  <c:v>1995</c:v>
                </c:pt>
                <c:pt idx="1">
                  <c:v>2016</c:v>
                </c:pt>
              </c:numCache>
            </c:numRef>
          </c:cat>
          <c:val>
            <c:numRef>
              <c:f>Sheet1!$E$37:$F$37</c:f>
              <c:numCache>
                <c:formatCode>0%</c:formatCode>
                <c:ptCount val="2"/>
                <c:pt idx="0">
                  <c:v>0.23214604864787289</c:v>
                </c:pt>
                <c:pt idx="1">
                  <c:v>0.32019877153939647</c:v>
                </c:pt>
              </c:numCache>
            </c:numRef>
          </c:val>
          <c:extLst>
            <c:ext xmlns:c16="http://schemas.microsoft.com/office/drawing/2014/chart" uri="{C3380CC4-5D6E-409C-BE32-E72D297353CC}">
              <c16:uniqueId val="{00000002-2913-475E-849E-B10C5FEA89B4}"/>
            </c:ext>
          </c:extLst>
        </c:ser>
        <c:ser>
          <c:idx val="3"/>
          <c:order val="3"/>
          <c:tx>
            <c:strRef>
              <c:f>Sheet1!$B$38</c:f>
              <c:strCache>
                <c:ptCount val="1"/>
                <c:pt idx="0">
                  <c:v>Resto del mundo</c:v>
                </c:pt>
              </c:strCache>
            </c:strRef>
          </c:tx>
          <c:spPr>
            <a:solidFill>
              <a:srgbClr val="FFC000"/>
            </a:solidFill>
            <a:ln>
              <a:noFill/>
            </a:ln>
            <a:effectLst/>
          </c:spPr>
          <c:invertIfNegative val="0"/>
          <c:dLbls>
            <c:spPr>
              <a:solidFill>
                <a:schemeClr val="bg1"/>
              </a:solidFill>
              <a:ln>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Sheet1!$E$34:$F$34</c:f>
              <c:numCache>
                <c:formatCode>General</c:formatCode>
                <c:ptCount val="2"/>
                <c:pt idx="0">
                  <c:v>1995</c:v>
                </c:pt>
                <c:pt idx="1">
                  <c:v>2016</c:v>
                </c:pt>
              </c:numCache>
            </c:numRef>
          </c:cat>
          <c:val>
            <c:numRef>
              <c:f>Sheet1!$E$38:$F$38</c:f>
              <c:numCache>
                <c:formatCode>0%</c:formatCode>
                <c:ptCount val="2"/>
                <c:pt idx="0">
                  <c:v>9.2059742509308595E-2</c:v>
                </c:pt>
                <c:pt idx="1">
                  <c:v>3.3328806867308394E-2</c:v>
                </c:pt>
              </c:numCache>
            </c:numRef>
          </c:val>
          <c:extLst>
            <c:ext xmlns:c16="http://schemas.microsoft.com/office/drawing/2014/chart" uri="{C3380CC4-5D6E-409C-BE32-E72D297353CC}">
              <c16:uniqueId val="{00000003-2913-475E-849E-B10C5FEA89B4}"/>
            </c:ext>
          </c:extLst>
        </c:ser>
        <c:dLbls>
          <c:dLblPos val="ctr"/>
          <c:showLegendKey val="0"/>
          <c:showVal val="1"/>
          <c:showCatName val="0"/>
          <c:showSerName val="0"/>
          <c:showPercent val="0"/>
          <c:showBubbleSize val="0"/>
        </c:dLbls>
        <c:gapWidth val="150"/>
        <c:overlap val="100"/>
        <c:axId val="924361832"/>
        <c:axId val="924360848"/>
      </c:barChart>
      <c:catAx>
        <c:axId val="924361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24360848"/>
        <c:crosses val="autoZero"/>
        <c:auto val="1"/>
        <c:lblAlgn val="ctr"/>
        <c:lblOffset val="100"/>
        <c:noMultiLvlLbl val="0"/>
      </c:catAx>
      <c:valAx>
        <c:axId val="92436084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24361832"/>
        <c:crosses val="autoZero"/>
        <c:crossBetween val="between"/>
        <c:majorUnit val="0.2"/>
      </c:valAx>
      <c:spPr>
        <a:noFill/>
        <a:ln>
          <a:noFill/>
        </a:ln>
        <a:effectLst/>
      </c:spPr>
    </c:plotArea>
    <c:legend>
      <c:legendPos val="b"/>
      <c:layout>
        <c:manualLayout>
          <c:xMode val="edge"/>
          <c:yMode val="edge"/>
          <c:x val="0.10854461942257219"/>
          <c:y val="0.89245042286380871"/>
          <c:w val="0.76902187226596685"/>
          <c:h val="8.9031058617672798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1.emf"/></Relationships>
</file>

<file path=word/drawings/_rels/drawing2.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0.11871</cdr:x>
      <cdr:y>0.08126</cdr:y>
    </cdr:from>
    <cdr:to>
      <cdr:x>0.42309</cdr:x>
      <cdr:y>0.34351</cdr:y>
    </cdr:to>
    <cdr:pic>
      <cdr:nvPicPr>
        <cdr:cNvPr id="9" name="Picture 8"/>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Lst>
        </a:blip>
        <a:srcRect xmlns:a="http://schemas.openxmlformats.org/drawingml/2006/main"/>
        <a:stretch xmlns:a="http://schemas.openxmlformats.org/drawingml/2006/main">
          <a:fillRect/>
        </a:stretch>
      </cdr:blipFill>
      <cdr:spPr bwMode="auto">
        <a:xfrm xmlns:a="http://schemas.openxmlformats.org/drawingml/2006/main">
          <a:off x="577274" y="203201"/>
          <a:ext cx="1480126" cy="655781"/>
        </a:xfrm>
        <a:prstGeom xmlns:a="http://schemas.openxmlformats.org/drawingml/2006/main" prst="rect">
          <a:avLst/>
        </a:prstGeom>
        <a:noFill xmlns:a="http://schemas.openxmlformats.org/drawingml/2006/main"/>
        <a:ln xmlns:a="http://schemas.openxmlformats.org/drawingml/2006/main">
          <a:noFill/>
        </a:ln>
      </cdr:spPr>
    </cdr:pic>
  </cdr:relSizeAnchor>
</c:userShapes>
</file>

<file path=word/drawings/drawing2.xml><?xml version="1.0" encoding="utf-8"?>
<c:userShapes xmlns:c="http://schemas.openxmlformats.org/drawingml/2006/chart">
  <cdr:relSizeAnchor xmlns:cdr="http://schemas.openxmlformats.org/drawingml/2006/chartDrawing">
    <cdr:from>
      <cdr:x>0.34697</cdr:x>
      <cdr:y>0.26515</cdr:y>
    </cdr:from>
    <cdr:to>
      <cdr:x>0.60039</cdr:x>
      <cdr:y>0.55065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874982" y="436418"/>
          <a:ext cx="1369423" cy="469900"/>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cdr:x>
      <cdr:y>0.34616</cdr:y>
    </cdr:from>
    <cdr:to>
      <cdr:x>0.26226</cdr:x>
      <cdr:y>0.48264</cdr:y>
    </cdr:to>
    <cdr:sp macro="" textlink="">
      <cdr:nvSpPr>
        <cdr:cNvPr id="2" name="TextBox 2"/>
        <cdr:cNvSpPr txBox="1"/>
      </cdr:nvSpPr>
      <cdr:spPr>
        <a:xfrm xmlns:a="http://schemas.openxmlformats.org/drawingml/2006/main">
          <a:off x="0" y="930910"/>
          <a:ext cx="1215390" cy="36703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p xmlns:a="http://schemas.openxmlformats.org/drawingml/2006/main">
          <a:pPr marL="0" marR="0" algn="ctr">
            <a:spcBef>
              <a:spcPts val="0"/>
            </a:spcBef>
            <a:spcAft>
              <a:spcPts val="0"/>
            </a:spcAft>
          </a:pPr>
          <a:r>
            <a:rPr lang="es-ES" sz="900">
              <a:solidFill>
                <a:srgbClr val="000000"/>
              </a:solidFill>
              <a:effectLst/>
              <a:latin typeface="Times New Roman" panose="02020603050405020304" pitchFamily="18" charset="0"/>
              <a:ea typeface="Times New Roman" panose="02020603050405020304" pitchFamily="18" charset="0"/>
            </a:rPr>
            <a:t>Total: US$ 38,8 millones</a:t>
          </a:r>
          <a:endParaRPr lang="en-US" sz="1200">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9F80323C379A84B894CE83F2406570A" ma:contentTypeVersion="1222" ma:contentTypeDescription="A content type to manage public (operations) IDB documents" ma:contentTypeScope="" ma:versionID="8d90be11209e1fc26767e319cb3e9338">
  <xsd:schema xmlns:xsd="http://www.w3.org/2001/XMLSchema" xmlns:xs="http://www.w3.org/2001/XMLSchema" xmlns:p="http://schemas.microsoft.com/office/2006/metadata/properties" xmlns:ns2="cdc7663a-08f0-4737-9e8c-148ce897a09c" targetNamespace="http://schemas.microsoft.com/office/2006/metadata/properties" ma:root="true" ma:fieldsID="ad13605fb7ab47dcc04516f43d84d45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0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Barreix, Alberto Daniel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26</Value>
      <Value>24</Value>
      <Value>3</Value>
      <Value>142</Value>
      <Value>85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CR-L1081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R0002933103</Record_x0020_Number>
    <_dlc_DocId xmlns="cdc7663a-08f0-4737-9e8c-148ce897a09c">EZSHARE-168960212-7</_dlc_DocId>
    <_dlc_DocIdUrl xmlns="cdc7663a-08f0-4737-9e8c-148ce897a09c">
      <Url>https://idbg.sharepoint.com/teams/EZ-CR-LON/CR-L1081/_layouts/15/DocIdRedir.aspx?ID=EZSHARE-168960212-7</Url>
      <Description>EZSHARE-168960212-7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188BA-E271-454D-ACA6-578B418DFF44}"/>
</file>

<file path=customXml/itemProps2.xml><?xml version="1.0" encoding="utf-8"?>
<ds:datastoreItem xmlns:ds="http://schemas.openxmlformats.org/officeDocument/2006/customXml" ds:itemID="{A0E59B01-9D74-4E76-ABDB-307589840BF2}">
  <ds:schemaRefs>
    <ds:schemaRef ds:uri="http://schemas.microsoft.com/sharepoint/v3/contenttype/forms"/>
  </ds:schemaRefs>
</ds:datastoreItem>
</file>

<file path=customXml/itemProps3.xml><?xml version="1.0" encoding="utf-8"?>
<ds:datastoreItem xmlns:ds="http://schemas.openxmlformats.org/officeDocument/2006/customXml" ds:itemID="{0532996B-631B-4FC5-8B3A-6C4E8E7ABD91}">
  <ds:schemaRefs>
    <ds:schemaRef ds:uri="http://schemas.microsoft.com/sharepoint/events"/>
  </ds:schemaRefs>
</ds:datastoreItem>
</file>

<file path=customXml/itemProps4.xml><?xml version="1.0" encoding="utf-8"?>
<ds:datastoreItem xmlns:ds="http://schemas.openxmlformats.org/officeDocument/2006/customXml" ds:itemID="{93E4485F-E098-4A03-8350-5CA2EAA6DAE6}"/>
</file>

<file path=customXml/itemProps5.xml><?xml version="1.0" encoding="utf-8"?>
<ds:datastoreItem xmlns:ds="http://schemas.openxmlformats.org/officeDocument/2006/customXml" ds:itemID="{4D448A70-F73C-4211-A7A4-DB258FD1DEEE}"/>
</file>

<file path=customXml/itemProps6.xml><?xml version="1.0" encoding="utf-8"?>
<ds:datastoreItem xmlns:ds="http://schemas.openxmlformats.org/officeDocument/2006/customXml" ds:itemID="{DFF72152-838F-4245-AB08-A5958410E529}">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DD9B9EEA-4379-46A9-8A2E-28C883825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14136</Words>
  <Characters>80581</Characters>
  <Application>Microsoft Office Word</Application>
  <DocSecurity>0</DocSecurity>
  <Lines>671</Lines>
  <Paragraphs>189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Universidad Rey Juan Carlos</Company>
  <LinksUpToDate>false</LinksUpToDate>
  <CharactersWithSpaces>94528</CharactersWithSpaces>
  <SharedDoc>false</SharedDoc>
  <HLinks>
    <vt:vector size="330" baseType="variant">
      <vt:variant>
        <vt:i4>7471149</vt:i4>
      </vt:variant>
      <vt:variant>
        <vt:i4>294</vt:i4>
      </vt:variant>
      <vt:variant>
        <vt:i4>0</vt:i4>
      </vt:variant>
      <vt:variant>
        <vt:i4>5</vt:i4>
      </vt:variant>
      <vt:variant>
        <vt:lpwstr>https://data.worldbank.org/</vt:lpwstr>
      </vt:variant>
      <vt:variant>
        <vt:lpwstr/>
      </vt:variant>
      <vt:variant>
        <vt:i4>1703996</vt:i4>
      </vt:variant>
      <vt:variant>
        <vt:i4>218</vt:i4>
      </vt:variant>
      <vt:variant>
        <vt:i4>0</vt:i4>
      </vt:variant>
      <vt:variant>
        <vt:i4>5</vt:i4>
      </vt:variant>
      <vt:variant>
        <vt:lpwstr/>
      </vt:variant>
      <vt:variant>
        <vt:lpwstr>_Toc518399864</vt:lpwstr>
      </vt:variant>
      <vt:variant>
        <vt:i4>1703996</vt:i4>
      </vt:variant>
      <vt:variant>
        <vt:i4>212</vt:i4>
      </vt:variant>
      <vt:variant>
        <vt:i4>0</vt:i4>
      </vt:variant>
      <vt:variant>
        <vt:i4>5</vt:i4>
      </vt:variant>
      <vt:variant>
        <vt:lpwstr/>
      </vt:variant>
      <vt:variant>
        <vt:lpwstr>_Toc518399863</vt:lpwstr>
      </vt:variant>
      <vt:variant>
        <vt:i4>1703996</vt:i4>
      </vt:variant>
      <vt:variant>
        <vt:i4>206</vt:i4>
      </vt:variant>
      <vt:variant>
        <vt:i4>0</vt:i4>
      </vt:variant>
      <vt:variant>
        <vt:i4>5</vt:i4>
      </vt:variant>
      <vt:variant>
        <vt:lpwstr/>
      </vt:variant>
      <vt:variant>
        <vt:lpwstr>_Toc518399862</vt:lpwstr>
      </vt:variant>
      <vt:variant>
        <vt:i4>1703996</vt:i4>
      </vt:variant>
      <vt:variant>
        <vt:i4>200</vt:i4>
      </vt:variant>
      <vt:variant>
        <vt:i4>0</vt:i4>
      </vt:variant>
      <vt:variant>
        <vt:i4>5</vt:i4>
      </vt:variant>
      <vt:variant>
        <vt:lpwstr/>
      </vt:variant>
      <vt:variant>
        <vt:lpwstr>_Toc518399861</vt:lpwstr>
      </vt:variant>
      <vt:variant>
        <vt:i4>1703996</vt:i4>
      </vt:variant>
      <vt:variant>
        <vt:i4>194</vt:i4>
      </vt:variant>
      <vt:variant>
        <vt:i4>0</vt:i4>
      </vt:variant>
      <vt:variant>
        <vt:i4>5</vt:i4>
      </vt:variant>
      <vt:variant>
        <vt:lpwstr/>
      </vt:variant>
      <vt:variant>
        <vt:lpwstr>_Toc518399860</vt:lpwstr>
      </vt:variant>
      <vt:variant>
        <vt:i4>1638460</vt:i4>
      </vt:variant>
      <vt:variant>
        <vt:i4>188</vt:i4>
      </vt:variant>
      <vt:variant>
        <vt:i4>0</vt:i4>
      </vt:variant>
      <vt:variant>
        <vt:i4>5</vt:i4>
      </vt:variant>
      <vt:variant>
        <vt:lpwstr/>
      </vt:variant>
      <vt:variant>
        <vt:lpwstr>_Toc518399859</vt:lpwstr>
      </vt:variant>
      <vt:variant>
        <vt:i4>1638460</vt:i4>
      </vt:variant>
      <vt:variant>
        <vt:i4>182</vt:i4>
      </vt:variant>
      <vt:variant>
        <vt:i4>0</vt:i4>
      </vt:variant>
      <vt:variant>
        <vt:i4>5</vt:i4>
      </vt:variant>
      <vt:variant>
        <vt:lpwstr/>
      </vt:variant>
      <vt:variant>
        <vt:lpwstr>_Toc518399858</vt:lpwstr>
      </vt:variant>
      <vt:variant>
        <vt:i4>1638460</vt:i4>
      </vt:variant>
      <vt:variant>
        <vt:i4>176</vt:i4>
      </vt:variant>
      <vt:variant>
        <vt:i4>0</vt:i4>
      </vt:variant>
      <vt:variant>
        <vt:i4>5</vt:i4>
      </vt:variant>
      <vt:variant>
        <vt:lpwstr/>
      </vt:variant>
      <vt:variant>
        <vt:lpwstr>_Toc518399857</vt:lpwstr>
      </vt:variant>
      <vt:variant>
        <vt:i4>1638460</vt:i4>
      </vt:variant>
      <vt:variant>
        <vt:i4>170</vt:i4>
      </vt:variant>
      <vt:variant>
        <vt:i4>0</vt:i4>
      </vt:variant>
      <vt:variant>
        <vt:i4>5</vt:i4>
      </vt:variant>
      <vt:variant>
        <vt:lpwstr/>
      </vt:variant>
      <vt:variant>
        <vt:lpwstr>_Toc518399856</vt:lpwstr>
      </vt:variant>
      <vt:variant>
        <vt:i4>1966128</vt:i4>
      </vt:variant>
      <vt:variant>
        <vt:i4>161</vt:i4>
      </vt:variant>
      <vt:variant>
        <vt:i4>0</vt:i4>
      </vt:variant>
      <vt:variant>
        <vt:i4>5</vt:i4>
      </vt:variant>
      <vt:variant>
        <vt:lpwstr/>
      </vt:variant>
      <vt:variant>
        <vt:lpwstr>_Toc518399427</vt:lpwstr>
      </vt:variant>
      <vt:variant>
        <vt:i4>1966128</vt:i4>
      </vt:variant>
      <vt:variant>
        <vt:i4>155</vt:i4>
      </vt:variant>
      <vt:variant>
        <vt:i4>0</vt:i4>
      </vt:variant>
      <vt:variant>
        <vt:i4>5</vt:i4>
      </vt:variant>
      <vt:variant>
        <vt:lpwstr/>
      </vt:variant>
      <vt:variant>
        <vt:lpwstr>_Toc518399426</vt:lpwstr>
      </vt:variant>
      <vt:variant>
        <vt:i4>1966128</vt:i4>
      </vt:variant>
      <vt:variant>
        <vt:i4>149</vt:i4>
      </vt:variant>
      <vt:variant>
        <vt:i4>0</vt:i4>
      </vt:variant>
      <vt:variant>
        <vt:i4>5</vt:i4>
      </vt:variant>
      <vt:variant>
        <vt:lpwstr/>
      </vt:variant>
      <vt:variant>
        <vt:lpwstr>_Toc518399425</vt:lpwstr>
      </vt:variant>
      <vt:variant>
        <vt:i4>1966128</vt:i4>
      </vt:variant>
      <vt:variant>
        <vt:i4>143</vt:i4>
      </vt:variant>
      <vt:variant>
        <vt:i4>0</vt:i4>
      </vt:variant>
      <vt:variant>
        <vt:i4>5</vt:i4>
      </vt:variant>
      <vt:variant>
        <vt:lpwstr/>
      </vt:variant>
      <vt:variant>
        <vt:lpwstr>_Toc518399424</vt:lpwstr>
      </vt:variant>
      <vt:variant>
        <vt:i4>1966128</vt:i4>
      </vt:variant>
      <vt:variant>
        <vt:i4>137</vt:i4>
      </vt:variant>
      <vt:variant>
        <vt:i4>0</vt:i4>
      </vt:variant>
      <vt:variant>
        <vt:i4>5</vt:i4>
      </vt:variant>
      <vt:variant>
        <vt:lpwstr/>
      </vt:variant>
      <vt:variant>
        <vt:lpwstr>_Toc518399423</vt:lpwstr>
      </vt:variant>
      <vt:variant>
        <vt:i4>1966128</vt:i4>
      </vt:variant>
      <vt:variant>
        <vt:i4>131</vt:i4>
      </vt:variant>
      <vt:variant>
        <vt:i4>0</vt:i4>
      </vt:variant>
      <vt:variant>
        <vt:i4>5</vt:i4>
      </vt:variant>
      <vt:variant>
        <vt:lpwstr/>
      </vt:variant>
      <vt:variant>
        <vt:lpwstr>_Toc518399422</vt:lpwstr>
      </vt:variant>
      <vt:variant>
        <vt:i4>1966128</vt:i4>
      </vt:variant>
      <vt:variant>
        <vt:i4>125</vt:i4>
      </vt:variant>
      <vt:variant>
        <vt:i4>0</vt:i4>
      </vt:variant>
      <vt:variant>
        <vt:i4>5</vt:i4>
      </vt:variant>
      <vt:variant>
        <vt:lpwstr/>
      </vt:variant>
      <vt:variant>
        <vt:lpwstr>_Toc518399421</vt:lpwstr>
      </vt:variant>
      <vt:variant>
        <vt:i4>1966128</vt:i4>
      </vt:variant>
      <vt:variant>
        <vt:i4>119</vt:i4>
      </vt:variant>
      <vt:variant>
        <vt:i4>0</vt:i4>
      </vt:variant>
      <vt:variant>
        <vt:i4>5</vt:i4>
      </vt:variant>
      <vt:variant>
        <vt:lpwstr/>
      </vt:variant>
      <vt:variant>
        <vt:lpwstr>_Toc518399420</vt:lpwstr>
      </vt:variant>
      <vt:variant>
        <vt:i4>1900592</vt:i4>
      </vt:variant>
      <vt:variant>
        <vt:i4>113</vt:i4>
      </vt:variant>
      <vt:variant>
        <vt:i4>0</vt:i4>
      </vt:variant>
      <vt:variant>
        <vt:i4>5</vt:i4>
      </vt:variant>
      <vt:variant>
        <vt:lpwstr/>
      </vt:variant>
      <vt:variant>
        <vt:lpwstr>_Toc518399419</vt:lpwstr>
      </vt:variant>
      <vt:variant>
        <vt:i4>1900592</vt:i4>
      </vt:variant>
      <vt:variant>
        <vt:i4>107</vt:i4>
      </vt:variant>
      <vt:variant>
        <vt:i4>0</vt:i4>
      </vt:variant>
      <vt:variant>
        <vt:i4>5</vt:i4>
      </vt:variant>
      <vt:variant>
        <vt:lpwstr/>
      </vt:variant>
      <vt:variant>
        <vt:lpwstr>_Toc518399418</vt:lpwstr>
      </vt:variant>
      <vt:variant>
        <vt:i4>1900592</vt:i4>
      </vt:variant>
      <vt:variant>
        <vt:i4>101</vt:i4>
      </vt:variant>
      <vt:variant>
        <vt:i4>0</vt:i4>
      </vt:variant>
      <vt:variant>
        <vt:i4>5</vt:i4>
      </vt:variant>
      <vt:variant>
        <vt:lpwstr/>
      </vt:variant>
      <vt:variant>
        <vt:lpwstr>_Toc518399417</vt:lpwstr>
      </vt:variant>
      <vt:variant>
        <vt:i4>1900592</vt:i4>
      </vt:variant>
      <vt:variant>
        <vt:i4>95</vt:i4>
      </vt:variant>
      <vt:variant>
        <vt:i4>0</vt:i4>
      </vt:variant>
      <vt:variant>
        <vt:i4>5</vt:i4>
      </vt:variant>
      <vt:variant>
        <vt:lpwstr/>
      </vt:variant>
      <vt:variant>
        <vt:lpwstr>_Toc518399416</vt:lpwstr>
      </vt:variant>
      <vt:variant>
        <vt:i4>1900592</vt:i4>
      </vt:variant>
      <vt:variant>
        <vt:i4>89</vt:i4>
      </vt:variant>
      <vt:variant>
        <vt:i4>0</vt:i4>
      </vt:variant>
      <vt:variant>
        <vt:i4>5</vt:i4>
      </vt:variant>
      <vt:variant>
        <vt:lpwstr/>
      </vt:variant>
      <vt:variant>
        <vt:lpwstr>_Toc518399415</vt:lpwstr>
      </vt:variant>
      <vt:variant>
        <vt:i4>1900592</vt:i4>
      </vt:variant>
      <vt:variant>
        <vt:i4>83</vt:i4>
      </vt:variant>
      <vt:variant>
        <vt:i4>0</vt:i4>
      </vt:variant>
      <vt:variant>
        <vt:i4>5</vt:i4>
      </vt:variant>
      <vt:variant>
        <vt:lpwstr/>
      </vt:variant>
      <vt:variant>
        <vt:lpwstr>_Toc518399414</vt:lpwstr>
      </vt:variant>
      <vt:variant>
        <vt:i4>1900592</vt:i4>
      </vt:variant>
      <vt:variant>
        <vt:i4>77</vt:i4>
      </vt:variant>
      <vt:variant>
        <vt:i4>0</vt:i4>
      </vt:variant>
      <vt:variant>
        <vt:i4>5</vt:i4>
      </vt:variant>
      <vt:variant>
        <vt:lpwstr/>
      </vt:variant>
      <vt:variant>
        <vt:lpwstr>_Toc518399413</vt:lpwstr>
      </vt:variant>
      <vt:variant>
        <vt:i4>1900592</vt:i4>
      </vt:variant>
      <vt:variant>
        <vt:i4>71</vt:i4>
      </vt:variant>
      <vt:variant>
        <vt:i4>0</vt:i4>
      </vt:variant>
      <vt:variant>
        <vt:i4>5</vt:i4>
      </vt:variant>
      <vt:variant>
        <vt:lpwstr/>
      </vt:variant>
      <vt:variant>
        <vt:lpwstr>_Toc518399412</vt:lpwstr>
      </vt:variant>
      <vt:variant>
        <vt:i4>1900592</vt:i4>
      </vt:variant>
      <vt:variant>
        <vt:i4>65</vt:i4>
      </vt:variant>
      <vt:variant>
        <vt:i4>0</vt:i4>
      </vt:variant>
      <vt:variant>
        <vt:i4>5</vt:i4>
      </vt:variant>
      <vt:variant>
        <vt:lpwstr/>
      </vt:variant>
      <vt:variant>
        <vt:lpwstr>_Toc518399411</vt:lpwstr>
      </vt:variant>
      <vt:variant>
        <vt:i4>1900592</vt:i4>
      </vt:variant>
      <vt:variant>
        <vt:i4>59</vt:i4>
      </vt:variant>
      <vt:variant>
        <vt:i4>0</vt:i4>
      </vt:variant>
      <vt:variant>
        <vt:i4>5</vt:i4>
      </vt:variant>
      <vt:variant>
        <vt:lpwstr/>
      </vt:variant>
      <vt:variant>
        <vt:lpwstr>_Toc518399410</vt:lpwstr>
      </vt:variant>
      <vt:variant>
        <vt:i4>1835056</vt:i4>
      </vt:variant>
      <vt:variant>
        <vt:i4>53</vt:i4>
      </vt:variant>
      <vt:variant>
        <vt:i4>0</vt:i4>
      </vt:variant>
      <vt:variant>
        <vt:i4>5</vt:i4>
      </vt:variant>
      <vt:variant>
        <vt:lpwstr/>
      </vt:variant>
      <vt:variant>
        <vt:lpwstr>_Toc518399409</vt:lpwstr>
      </vt:variant>
      <vt:variant>
        <vt:i4>1835056</vt:i4>
      </vt:variant>
      <vt:variant>
        <vt:i4>47</vt:i4>
      </vt:variant>
      <vt:variant>
        <vt:i4>0</vt:i4>
      </vt:variant>
      <vt:variant>
        <vt:i4>5</vt:i4>
      </vt:variant>
      <vt:variant>
        <vt:lpwstr/>
      </vt:variant>
      <vt:variant>
        <vt:lpwstr>_Toc518399408</vt:lpwstr>
      </vt:variant>
      <vt:variant>
        <vt:i4>1769532</vt:i4>
      </vt:variant>
      <vt:variant>
        <vt:i4>38</vt:i4>
      </vt:variant>
      <vt:variant>
        <vt:i4>0</vt:i4>
      </vt:variant>
      <vt:variant>
        <vt:i4>5</vt:i4>
      </vt:variant>
      <vt:variant>
        <vt:lpwstr/>
      </vt:variant>
      <vt:variant>
        <vt:lpwstr>_Toc518397893</vt:lpwstr>
      </vt:variant>
      <vt:variant>
        <vt:i4>1769532</vt:i4>
      </vt:variant>
      <vt:variant>
        <vt:i4>32</vt:i4>
      </vt:variant>
      <vt:variant>
        <vt:i4>0</vt:i4>
      </vt:variant>
      <vt:variant>
        <vt:i4>5</vt:i4>
      </vt:variant>
      <vt:variant>
        <vt:lpwstr/>
      </vt:variant>
      <vt:variant>
        <vt:lpwstr>_Toc518397892</vt:lpwstr>
      </vt:variant>
      <vt:variant>
        <vt:i4>1769532</vt:i4>
      </vt:variant>
      <vt:variant>
        <vt:i4>26</vt:i4>
      </vt:variant>
      <vt:variant>
        <vt:i4>0</vt:i4>
      </vt:variant>
      <vt:variant>
        <vt:i4>5</vt:i4>
      </vt:variant>
      <vt:variant>
        <vt:lpwstr/>
      </vt:variant>
      <vt:variant>
        <vt:lpwstr>_Toc518397891</vt:lpwstr>
      </vt:variant>
      <vt:variant>
        <vt:i4>1769532</vt:i4>
      </vt:variant>
      <vt:variant>
        <vt:i4>20</vt:i4>
      </vt:variant>
      <vt:variant>
        <vt:i4>0</vt:i4>
      </vt:variant>
      <vt:variant>
        <vt:i4>5</vt:i4>
      </vt:variant>
      <vt:variant>
        <vt:lpwstr/>
      </vt:variant>
      <vt:variant>
        <vt:lpwstr>_Toc518397890</vt:lpwstr>
      </vt:variant>
      <vt:variant>
        <vt:i4>1703996</vt:i4>
      </vt:variant>
      <vt:variant>
        <vt:i4>14</vt:i4>
      </vt:variant>
      <vt:variant>
        <vt:i4>0</vt:i4>
      </vt:variant>
      <vt:variant>
        <vt:i4>5</vt:i4>
      </vt:variant>
      <vt:variant>
        <vt:lpwstr/>
      </vt:variant>
      <vt:variant>
        <vt:lpwstr>_Toc518397889</vt:lpwstr>
      </vt:variant>
      <vt:variant>
        <vt:i4>1703996</vt:i4>
      </vt:variant>
      <vt:variant>
        <vt:i4>8</vt:i4>
      </vt:variant>
      <vt:variant>
        <vt:i4>0</vt:i4>
      </vt:variant>
      <vt:variant>
        <vt:i4>5</vt:i4>
      </vt:variant>
      <vt:variant>
        <vt:lpwstr/>
      </vt:variant>
      <vt:variant>
        <vt:lpwstr>_Toc518397888</vt:lpwstr>
      </vt:variant>
      <vt:variant>
        <vt:i4>1703996</vt:i4>
      </vt:variant>
      <vt:variant>
        <vt:i4>2</vt:i4>
      </vt:variant>
      <vt:variant>
        <vt:i4>0</vt:i4>
      </vt:variant>
      <vt:variant>
        <vt:i4>5</vt:i4>
      </vt:variant>
      <vt:variant>
        <vt:lpwstr/>
      </vt:variant>
      <vt:variant>
        <vt:lpwstr>_Toc518397887</vt:lpwstr>
      </vt:variant>
      <vt:variant>
        <vt:i4>5505027</vt:i4>
      </vt:variant>
      <vt:variant>
        <vt:i4>48</vt:i4>
      </vt:variant>
      <vt:variant>
        <vt:i4>0</vt:i4>
      </vt:variant>
      <vt:variant>
        <vt:i4>5</vt:i4>
      </vt:variant>
      <vt:variant>
        <vt:lpwstr>https://publications.iadb.org/handle/11319/8819?locale-attribute=es&amp;</vt:lpwstr>
      </vt:variant>
      <vt:variant>
        <vt:lpwstr/>
      </vt:variant>
      <vt:variant>
        <vt:i4>5636133</vt:i4>
      </vt:variant>
      <vt:variant>
        <vt:i4>45</vt:i4>
      </vt:variant>
      <vt:variant>
        <vt:i4>0</vt:i4>
      </vt:variant>
      <vt:variant>
        <vt:i4>5</vt:i4>
      </vt:variant>
      <vt:variant>
        <vt:lpwstr>https://www.cepal.org/celade/proyecciones/basedatos_bd.htm</vt:lpwstr>
      </vt:variant>
      <vt:variant>
        <vt:lpwstr/>
      </vt:variant>
      <vt:variant>
        <vt:i4>2228338</vt:i4>
      </vt:variant>
      <vt:variant>
        <vt:i4>42</vt:i4>
      </vt:variant>
      <vt:variant>
        <vt:i4>0</vt:i4>
      </vt:variant>
      <vt:variant>
        <vt:i4>5</vt:i4>
      </vt:variant>
      <vt:variant>
        <vt:lpwstr>http://www.imf.org/external/pubs/ft/wp/2012/wp12187.pdf</vt:lpwstr>
      </vt:variant>
      <vt:variant>
        <vt:lpwstr/>
      </vt:variant>
      <vt:variant>
        <vt:i4>3276882</vt:i4>
      </vt:variant>
      <vt:variant>
        <vt:i4>39</vt:i4>
      </vt:variant>
      <vt:variant>
        <vt:i4>0</vt:i4>
      </vt:variant>
      <vt:variant>
        <vt:i4>5</vt:i4>
      </vt:variant>
      <vt:variant>
        <vt:lpwstr>http://dx.doi.org/10.1787/eco_surveys-cri-2018-en</vt:lpwstr>
      </vt:variant>
      <vt:variant>
        <vt:lpwstr/>
      </vt:variant>
      <vt:variant>
        <vt:i4>4325379</vt:i4>
      </vt:variant>
      <vt:variant>
        <vt:i4>36</vt:i4>
      </vt:variant>
      <vt:variant>
        <vt:i4>0</vt:i4>
      </vt:variant>
      <vt:variant>
        <vt:i4>5</vt:i4>
      </vt:variant>
      <vt:variant>
        <vt:lpwstr>https://cgrfiles.cgr.go.cr/publico/docsweb/rev_dig/presup_pub/2018/presup-pub-2018.pdf</vt:lpwstr>
      </vt:variant>
      <vt:variant>
        <vt:lpwstr/>
      </vt:variant>
      <vt:variant>
        <vt:i4>5832710</vt:i4>
      </vt:variant>
      <vt:variant>
        <vt:i4>33</vt:i4>
      </vt:variant>
      <vt:variant>
        <vt:i4>0</vt:i4>
      </vt:variant>
      <vt:variant>
        <vt:i4>5</vt:i4>
      </vt:variant>
      <vt:variant>
        <vt:lpwstr>http://www.comex.go.cr/media/5228/estudio-sobre-gobernanza-p%C3%BAblica-2015.pdf</vt:lpwstr>
      </vt:variant>
      <vt:variant>
        <vt:lpwstr/>
      </vt:variant>
      <vt:variant>
        <vt:i4>7274607</vt:i4>
      </vt:variant>
      <vt:variant>
        <vt:i4>30</vt:i4>
      </vt:variant>
      <vt:variant>
        <vt:i4>0</vt:i4>
      </vt:variant>
      <vt:variant>
        <vt:i4>5</vt:i4>
      </vt:variant>
      <vt:variant>
        <vt:lpwstr>https://cgrfiles.cgr.go.cr/publico/docsweb/rev_dig/presup_pub/2017/files/assets/downloads/publicacion.pdf</vt:lpwstr>
      </vt:variant>
      <vt:variant>
        <vt:lpwstr/>
      </vt:variant>
      <vt:variant>
        <vt:i4>5767192</vt:i4>
      </vt:variant>
      <vt:variant>
        <vt:i4>27</vt:i4>
      </vt:variant>
      <vt:variant>
        <vt:i4>0</vt:i4>
      </vt:variant>
      <vt:variant>
        <vt:i4>5</vt:i4>
      </vt:variant>
      <vt:variant>
        <vt:lpwstr>https://mideplan.go.cr/89-modernizacion/organizacion-del-sector-publico/832-listado-de-instituciones-publicas</vt:lpwstr>
      </vt:variant>
      <vt:variant>
        <vt:lpwstr/>
      </vt:variant>
      <vt:variant>
        <vt:i4>5767192</vt:i4>
      </vt:variant>
      <vt:variant>
        <vt:i4>24</vt:i4>
      </vt:variant>
      <vt:variant>
        <vt:i4>0</vt:i4>
      </vt:variant>
      <vt:variant>
        <vt:i4>5</vt:i4>
      </vt:variant>
      <vt:variant>
        <vt:lpwstr>https://mideplan.go.cr/89-modernizacion/organizacion-del-sector-publico/832-listado-de-instituciones-publicas</vt:lpwstr>
      </vt:variant>
      <vt:variant>
        <vt:lpwstr/>
      </vt:variant>
      <vt:variant>
        <vt:i4>4325379</vt:i4>
      </vt:variant>
      <vt:variant>
        <vt:i4>21</vt:i4>
      </vt:variant>
      <vt:variant>
        <vt:i4>0</vt:i4>
      </vt:variant>
      <vt:variant>
        <vt:i4>5</vt:i4>
      </vt:variant>
      <vt:variant>
        <vt:lpwstr>https://cgrfiles.cgr.go.cr/publico/docsweb/rev_dig/presup_pub/2018/presup-pub-2018.pdf</vt:lpwstr>
      </vt:variant>
      <vt:variant>
        <vt:lpwstr/>
      </vt:variant>
      <vt:variant>
        <vt:i4>2162751</vt:i4>
      </vt:variant>
      <vt:variant>
        <vt:i4>18</vt:i4>
      </vt:variant>
      <vt:variant>
        <vt:i4>0</vt:i4>
      </vt:variant>
      <vt:variant>
        <vt:i4>5</vt:i4>
      </vt:variant>
      <vt:variant>
        <vt:lpwstr>http://dx.doi.org/10.1787/9789264243507-en</vt:lpwstr>
      </vt:variant>
      <vt:variant>
        <vt:lpwstr/>
      </vt:variant>
      <vt:variant>
        <vt:i4>6553656</vt:i4>
      </vt:variant>
      <vt:variant>
        <vt:i4>15</vt:i4>
      </vt:variant>
      <vt:variant>
        <vt:i4>0</vt:i4>
      </vt:variant>
      <vt:variant>
        <vt:i4>5</vt:i4>
      </vt:variant>
      <vt:variant>
        <vt:lpwstr>http://www.inec.go.cr/empleo/temas-especiales-de-empleo</vt:lpwstr>
      </vt:variant>
      <vt:variant>
        <vt:lpwstr/>
      </vt:variant>
      <vt:variant>
        <vt:i4>393306</vt:i4>
      </vt:variant>
      <vt:variant>
        <vt:i4>12</vt:i4>
      </vt:variant>
      <vt:variant>
        <vt:i4>0</vt:i4>
      </vt:variant>
      <vt:variant>
        <vt:i4>5</vt:i4>
      </vt:variant>
      <vt:variant>
        <vt:lpwstr>http://www.hacienda.go.cr/contenido/12994-impuesto-sobre-la-renta-regimen-tradicional</vt:lpwstr>
      </vt:variant>
      <vt:variant>
        <vt:lpwstr/>
      </vt:variant>
      <vt:variant>
        <vt:i4>2162751</vt:i4>
      </vt:variant>
      <vt:variant>
        <vt:i4>9</vt:i4>
      </vt:variant>
      <vt:variant>
        <vt:i4>0</vt:i4>
      </vt:variant>
      <vt:variant>
        <vt:i4>5</vt:i4>
      </vt:variant>
      <vt:variant>
        <vt:lpwstr>http://dx.doi.org/10.1787/9789264243507-en</vt:lpwstr>
      </vt:variant>
      <vt:variant>
        <vt:lpwstr/>
      </vt:variant>
      <vt:variant>
        <vt:i4>1114176</vt:i4>
      </vt:variant>
      <vt:variant>
        <vt:i4>6</vt:i4>
      </vt:variant>
      <vt:variant>
        <vt:i4>0</vt:i4>
      </vt:variant>
      <vt:variant>
        <vt:i4>5</vt:i4>
      </vt:variant>
      <vt:variant>
        <vt:lpwstr>http://dx.doi.org/10.1787/rev_lat_car-2018-en-fr</vt:lpwstr>
      </vt:variant>
      <vt:variant>
        <vt:lpwstr/>
      </vt:variant>
      <vt:variant>
        <vt:i4>3604528</vt:i4>
      </vt:variant>
      <vt:variant>
        <vt:i4>3</vt:i4>
      </vt:variant>
      <vt:variant>
        <vt:i4>0</vt:i4>
      </vt:variant>
      <vt:variant>
        <vt:i4>5</vt:i4>
      </vt:variant>
      <vt:variant>
        <vt:lpwstr>http://dx.doi.org/10.1787/9789264278608-es</vt:lpwstr>
      </vt:variant>
      <vt:variant>
        <vt:lpwstr/>
      </vt:variant>
      <vt:variant>
        <vt:i4>6553688</vt:i4>
      </vt:variant>
      <vt:variant>
        <vt:i4>0</vt:i4>
      </vt:variant>
      <vt:variant>
        <vt:i4>0</vt:i4>
      </vt:variant>
      <vt:variant>
        <vt:i4>5</vt:i4>
      </vt:variant>
      <vt:variant>
        <vt:lpwstr>http://www.bccr.fi.cr/estadisticas_macro_2012/documentoscnadocpresentaciones/Presentacion_CAB.pdf</vt:lpwstr>
      </vt:variant>
      <vt:variant>
        <vt:lpwstr/>
      </vt:variant>
      <vt:variant>
        <vt:i4>3604528</vt:i4>
      </vt:variant>
      <vt:variant>
        <vt:i4>0</vt:i4>
      </vt:variant>
      <vt:variant>
        <vt:i4>0</vt:i4>
      </vt:variant>
      <vt:variant>
        <vt:i4>5</vt:i4>
      </vt:variant>
      <vt:variant>
        <vt:lpwstr>http://dx.doi.org/10.1787/9789264278608-es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LUISCOR@iadb.org</dc:creator>
  <cp:keywords/>
  <cp:lastModifiedBy>Fernandez Paino, Ida Maria del Pilar</cp:lastModifiedBy>
  <cp:revision>2</cp:revision>
  <cp:lastPrinted>2019-06-14T16:46:00Z</cp:lastPrinted>
  <dcterms:created xsi:type="dcterms:W3CDTF">2019-06-14T20:28:00Z</dcterms:created>
  <dcterms:modified xsi:type="dcterms:W3CDTF">2019-06-14T20:28:00Z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142;#FISCAL POLICY FOR SUSTAINABILITY AND GROWTH|6e15b5e0-ae82-4b06-920a-eef6dd27cc8b</vt:lpwstr>
  </property>
  <property fmtid="{D5CDD505-2E9C-101B-9397-08002B2CF9AE}" pid="7" name="Fund IDB">
    <vt:lpwstr>24;#ORC|c028a4b2-ad8b-4cf4-9cac-a2ae6a778e23</vt:lpwstr>
  </property>
  <property fmtid="{D5CDD505-2E9C-101B-9397-08002B2CF9AE}" pid="8" name="Country">
    <vt:lpwstr>26;#Costa Rica|70401352-ba64-401d-af16-55c448a66295</vt:lpwstr>
  </property>
  <property fmtid="{D5CDD505-2E9C-101B-9397-08002B2CF9AE}" pid="9" name="Sector IDB">
    <vt:lpwstr>85;#REFORM / MODERNIZATION OF THE STATE|c8fda4a7-691a-4c65-b227-9825197b5cd2</vt:lpwstr>
  </property>
  <property fmtid="{D5CDD505-2E9C-101B-9397-08002B2CF9AE}" pid="10" name="Function Operations IDB">
    <vt:lpwstr>3;#Project Administration|751f71fd-1433-4702-a2db-ff12a4e45594</vt:lpwstr>
  </property>
  <property fmtid="{D5CDD505-2E9C-101B-9397-08002B2CF9AE}" pid="11" name="_dlc_DocIdItemGuid">
    <vt:lpwstr>1eacb331-e22a-48dd-8562-8922fdc90315</vt:lpwstr>
  </property>
  <property fmtid="{D5CDD505-2E9C-101B-9397-08002B2CF9AE}" pid="13" name="Disclosure Activity">
    <vt:lpwstr>Loan Proposal</vt:lpwstr>
  </property>
  <property fmtid="{D5CDD505-2E9C-101B-9397-08002B2CF9AE}" pid="14" name="ContentTypeId">
    <vt:lpwstr>0x0101001A458A224826124E8B45B1D613300CFC0079F80323C379A84B894CE83F2406570A</vt:lpwstr>
  </property>
</Properties>
</file>