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style1.xml" ContentType="application/vnd.ms-office.chartstyle+xml"/>
  <Override PartName="/word/charts/chart1.xml" ContentType="application/vnd.openxmlformats-officedocument.drawingml.chart+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55A9F" w14:textId="77777777" w:rsidR="00627D19" w:rsidRPr="003C7BD8" w:rsidRDefault="00627D19" w:rsidP="00CE7447">
      <w:pPr>
        <w:spacing w:line="360" w:lineRule="auto"/>
        <w:jc w:val="center"/>
        <w:rPr>
          <w:rFonts w:ascii="Times New Roman" w:hAnsi="Times New Roman" w:cs="Times New Roman"/>
          <w:b/>
          <w:sz w:val="24"/>
        </w:rPr>
      </w:pPr>
      <w:bookmarkStart w:id="0" w:name="_GoBack"/>
      <w:bookmarkEnd w:id="0"/>
    </w:p>
    <w:p w14:paraId="3067721E" w14:textId="77777777" w:rsidR="00627D19" w:rsidRPr="003C7BD8" w:rsidRDefault="00627D19" w:rsidP="00CE7447">
      <w:pPr>
        <w:spacing w:line="360" w:lineRule="auto"/>
        <w:jc w:val="center"/>
        <w:rPr>
          <w:rFonts w:ascii="Times New Roman" w:hAnsi="Times New Roman" w:cs="Times New Roman"/>
          <w:b/>
          <w:sz w:val="24"/>
        </w:rPr>
      </w:pPr>
    </w:p>
    <w:p w14:paraId="3C32B09D" w14:textId="77777777" w:rsidR="00627D19" w:rsidRPr="003C7BD8" w:rsidRDefault="00627D19" w:rsidP="00CE7447">
      <w:pPr>
        <w:spacing w:line="360" w:lineRule="auto"/>
        <w:jc w:val="center"/>
        <w:rPr>
          <w:rFonts w:ascii="Times New Roman" w:hAnsi="Times New Roman" w:cs="Times New Roman"/>
          <w:b/>
          <w:sz w:val="24"/>
        </w:rPr>
      </w:pPr>
    </w:p>
    <w:p w14:paraId="5B2B2C86" w14:textId="554A4514" w:rsidR="00627D19" w:rsidRPr="003C7BD8" w:rsidRDefault="00627D19" w:rsidP="00CE7447">
      <w:pPr>
        <w:spacing w:line="360" w:lineRule="auto"/>
        <w:jc w:val="center"/>
        <w:rPr>
          <w:rFonts w:ascii="Times New Roman" w:hAnsi="Times New Roman" w:cs="Times New Roman"/>
          <w:b/>
          <w:sz w:val="24"/>
        </w:rPr>
      </w:pPr>
    </w:p>
    <w:p w14:paraId="1D4902E9" w14:textId="150154AD" w:rsidR="00546278" w:rsidRPr="003C7BD8" w:rsidRDefault="00546278" w:rsidP="00CE7447">
      <w:pPr>
        <w:spacing w:line="360" w:lineRule="auto"/>
        <w:jc w:val="center"/>
        <w:rPr>
          <w:rFonts w:ascii="Times New Roman" w:hAnsi="Times New Roman" w:cs="Times New Roman"/>
          <w:b/>
          <w:sz w:val="24"/>
        </w:rPr>
      </w:pPr>
    </w:p>
    <w:p w14:paraId="6F1A34E1" w14:textId="77777777" w:rsidR="00546278" w:rsidRPr="003C7BD8" w:rsidRDefault="00546278" w:rsidP="00CE7447">
      <w:pPr>
        <w:spacing w:line="360" w:lineRule="auto"/>
        <w:jc w:val="center"/>
        <w:rPr>
          <w:rFonts w:ascii="Times New Roman" w:hAnsi="Times New Roman" w:cs="Times New Roman"/>
          <w:b/>
          <w:sz w:val="24"/>
        </w:rPr>
      </w:pPr>
    </w:p>
    <w:p w14:paraId="3ACC2565" w14:textId="44C35E2C" w:rsidR="00627D19" w:rsidRPr="003C7BD8" w:rsidRDefault="00627D19" w:rsidP="00CE7447">
      <w:pPr>
        <w:spacing w:line="360" w:lineRule="auto"/>
        <w:jc w:val="center"/>
        <w:rPr>
          <w:rFonts w:ascii="Times New Roman" w:hAnsi="Times New Roman" w:cs="Times New Roman"/>
          <w:b/>
          <w:sz w:val="24"/>
        </w:rPr>
      </w:pPr>
    </w:p>
    <w:p w14:paraId="16008698" w14:textId="77777777" w:rsidR="00627D19" w:rsidRPr="003C7BD8" w:rsidRDefault="00627D19" w:rsidP="00CE7447">
      <w:pPr>
        <w:spacing w:line="360" w:lineRule="auto"/>
        <w:jc w:val="center"/>
        <w:rPr>
          <w:rFonts w:ascii="Times New Roman" w:hAnsi="Times New Roman" w:cs="Times New Roman"/>
          <w:b/>
          <w:sz w:val="24"/>
        </w:rPr>
      </w:pPr>
    </w:p>
    <w:p w14:paraId="211E4E61" w14:textId="67200956" w:rsidR="003C006D" w:rsidRPr="003C7BD8" w:rsidRDefault="003C006D" w:rsidP="00CE7447">
      <w:pPr>
        <w:spacing w:line="360" w:lineRule="auto"/>
        <w:jc w:val="center"/>
        <w:rPr>
          <w:rFonts w:ascii="Times New Roman" w:hAnsi="Times New Roman" w:cs="Times New Roman"/>
          <w:b/>
          <w:sz w:val="44"/>
          <w:szCs w:val="40"/>
        </w:rPr>
      </w:pPr>
      <w:r w:rsidRPr="003C7BD8">
        <w:rPr>
          <w:rFonts w:ascii="Times New Roman" w:hAnsi="Times New Roman" w:cs="Times New Roman"/>
          <w:b/>
          <w:sz w:val="44"/>
          <w:szCs w:val="40"/>
        </w:rPr>
        <w:t xml:space="preserve">La Regla Fiscal </w:t>
      </w:r>
      <w:r w:rsidR="0009038C" w:rsidRPr="003C7BD8">
        <w:rPr>
          <w:rFonts w:ascii="Times New Roman" w:hAnsi="Times New Roman" w:cs="Times New Roman"/>
          <w:b/>
          <w:sz w:val="44"/>
          <w:szCs w:val="40"/>
        </w:rPr>
        <w:t xml:space="preserve">de </w:t>
      </w:r>
      <w:r w:rsidR="00423CFA" w:rsidRPr="003C7BD8">
        <w:rPr>
          <w:rFonts w:ascii="Times New Roman" w:hAnsi="Times New Roman" w:cs="Times New Roman"/>
          <w:b/>
          <w:sz w:val="44"/>
          <w:szCs w:val="40"/>
        </w:rPr>
        <w:t>G</w:t>
      </w:r>
      <w:r w:rsidR="0009038C" w:rsidRPr="003C7BD8">
        <w:rPr>
          <w:rFonts w:ascii="Times New Roman" w:hAnsi="Times New Roman" w:cs="Times New Roman"/>
          <w:b/>
          <w:sz w:val="44"/>
          <w:szCs w:val="40"/>
        </w:rPr>
        <w:t xml:space="preserve">asto </w:t>
      </w:r>
      <w:r w:rsidR="00894277">
        <w:rPr>
          <w:rFonts w:ascii="Times New Roman" w:hAnsi="Times New Roman" w:cs="Times New Roman"/>
          <w:b/>
          <w:sz w:val="44"/>
          <w:szCs w:val="40"/>
        </w:rPr>
        <w:t xml:space="preserve">Corriente </w:t>
      </w:r>
      <w:r w:rsidRPr="003C7BD8">
        <w:rPr>
          <w:rFonts w:ascii="Times New Roman" w:hAnsi="Times New Roman" w:cs="Times New Roman"/>
          <w:b/>
          <w:sz w:val="44"/>
          <w:szCs w:val="40"/>
        </w:rPr>
        <w:t>en Costa Rica</w:t>
      </w:r>
      <w:r w:rsidR="00894277">
        <w:rPr>
          <w:rStyle w:val="FootnoteReference"/>
          <w:rFonts w:ascii="Times New Roman" w:hAnsi="Times New Roman" w:cs="Times New Roman"/>
          <w:b/>
          <w:sz w:val="44"/>
          <w:szCs w:val="40"/>
        </w:rPr>
        <w:footnoteReference w:id="1"/>
      </w:r>
    </w:p>
    <w:p w14:paraId="3A0E6520" w14:textId="77777777" w:rsidR="00546278" w:rsidRPr="003C7BD8" w:rsidRDefault="00546278" w:rsidP="00CE7447">
      <w:pPr>
        <w:spacing w:line="360" w:lineRule="auto"/>
        <w:jc w:val="center"/>
        <w:rPr>
          <w:rFonts w:ascii="Times New Roman" w:hAnsi="Times New Roman" w:cs="Times New Roman"/>
          <w:sz w:val="32"/>
          <w:szCs w:val="28"/>
        </w:rPr>
      </w:pPr>
    </w:p>
    <w:p w14:paraId="22B1B303" w14:textId="196850E2" w:rsidR="003C006D" w:rsidRPr="003C7BD8" w:rsidRDefault="003C006D" w:rsidP="00CE7447">
      <w:pPr>
        <w:spacing w:line="360" w:lineRule="auto"/>
        <w:jc w:val="center"/>
        <w:rPr>
          <w:rFonts w:ascii="Times New Roman" w:hAnsi="Times New Roman" w:cs="Times New Roman"/>
          <w:sz w:val="32"/>
          <w:szCs w:val="28"/>
        </w:rPr>
      </w:pPr>
      <w:r w:rsidRPr="003C7BD8">
        <w:rPr>
          <w:rFonts w:ascii="Times New Roman" w:hAnsi="Times New Roman" w:cs="Times New Roman"/>
          <w:sz w:val="32"/>
          <w:szCs w:val="28"/>
        </w:rPr>
        <w:t>Emmanuel Agüero</w:t>
      </w:r>
      <w:r w:rsidR="007A2A25">
        <w:rPr>
          <w:rFonts w:ascii="Times New Roman" w:hAnsi="Times New Roman" w:cs="Times New Roman"/>
          <w:sz w:val="32"/>
          <w:szCs w:val="28"/>
        </w:rPr>
        <w:t>, Alberto Barreix</w:t>
      </w:r>
      <w:r w:rsidR="00C603E9" w:rsidRPr="003C7BD8">
        <w:rPr>
          <w:rFonts w:ascii="Times New Roman" w:hAnsi="Times New Roman" w:cs="Times New Roman"/>
          <w:sz w:val="32"/>
          <w:szCs w:val="28"/>
        </w:rPr>
        <w:t xml:space="preserve"> y Luis Fernando Corrales</w:t>
      </w:r>
      <w:r w:rsidR="00C603E9" w:rsidRPr="003C7BD8">
        <w:rPr>
          <w:rStyle w:val="FootnoteReference"/>
          <w:rFonts w:ascii="Times New Roman" w:hAnsi="Times New Roman" w:cs="Times New Roman"/>
          <w:sz w:val="32"/>
          <w:szCs w:val="28"/>
        </w:rPr>
        <w:footnoteReference w:id="2"/>
      </w:r>
    </w:p>
    <w:p w14:paraId="663670F9" w14:textId="5198EBFA" w:rsidR="0009038C" w:rsidRPr="003C7BD8" w:rsidRDefault="0009038C" w:rsidP="00CE7447">
      <w:pPr>
        <w:spacing w:line="360" w:lineRule="auto"/>
        <w:jc w:val="center"/>
        <w:rPr>
          <w:rFonts w:ascii="Times New Roman" w:hAnsi="Times New Roman" w:cs="Times New Roman"/>
          <w:sz w:val="24"/>
        </w:rPr>
      </w:pPr>
    </w:p>
    <w:p w14:paraId="72A1C8C2" w14:textId="439FACBE" w:rsidR="0009038C" w:rsidRPr="003C7BD8" w:rsidRDefault="0009038C" w:rsidP="00CE7447">
      <w:pPr>
        <w:spacing w:line="360" w:lineRule="auto"/>
        <w:rPr>
          <w:rFonts w:ascii="Times New Roman" w:hAnsi="Times New Roman" w:cs="Times New Roman"/>
          <w:sz w:val="24"/>
        </w:rPr>
      </w:pPr>
      <w:r w:rsidRPr="003C7BD8">
        <w:rPr>
          <w:rFonts w:ascii="Times New Roman" w:hAnsi="Times New Roman" w:cs="Times New Roman"/>
          <w:sz w:val="24"/>
        </w:rPr>
        <w:br w:type="page"/>
      </w:r>
    </w:p>
    <w:p w14:paraId="162D306A" w14:textId="69D3C4A1" w:rsidR="003C006D" w:rsidRPr="003C7BD8" w:rsidRDefault="003C006D" w:rsidP="00CE7447">
      <w:pPr>
        <w:pStyle w:val="ListParagraph"/>
        <w:numPr>
          <w:ilvl w:val="0"/>
          <w:numId w:val="1"/>
        </w:numPr>
        <w:spacing w:line="360" w:lineRule="auto"/>
        <w:jc w:val="both"/>
        <w:rPr>
          <w:rFonts w:ascii="Times New Roman" w:hAnsi="Times New Roman" w:cs="Times New Roman"/>
          <w:b/>
          <w:sz w:val="24"/>
        </w:rPr>
      </w:pPr>
      <w:r w:rsidRPr="003C7BD8">
        <w:rPr>
          <w:rFonts w:ascii="Times New Roman" w:hAnsi="Times New Roman" w:cs="Times New Roman"/>
          <w:b/>
          <w:sz w:val="24"/>
        </w:rPr>
        <w:lastRenderedPageBreak/>
        <w:t>Introducción</w:t>
      </w:r>
      <w:r w:rsidR="00776B86">
        <w:rPr>
          <w:rFonts w:ascii="Times New Roman" w:hAnsi="Times New Roman" w:cs="Times New Roman"/>
          <w:b/>
          <w:sz w:val="24"/>
        </w:rPr>
        <w:t xml:space="preserve"> y Desempeño Fiscal</w:t>
      </w:r>
      <w:r w:rsidRPr="003C7BD8">
        <w:rPr>
          <w:rFonts w:ascii="Times New Roman" w:hAnsi="Times New Roman" w:cs="Times New Roman"/>
          <w:b/>
          <w:sz w:val="24"/>
        </w:rPr>
        <w:t>.</w:t>
      </w:r>
    </w:p>
    <w:p w14:paraId="081B9D41" w14:textId="21AD97C8" w:rsidR="00C41DB5" w:rsidRDefault="008C22E8" w:rsidP="00CE7447">
      <w:pPr>
        <w:spacing w:line="360" w:lineRule="auto"/>
        <w:jc w:val="both"/>
        <w:rPr>
          <w:rFonts w:ascii="Times New Roman" w:hAnsi="Times New Roman" w:cs="Times New Roman"/>
          <w:sz w:val="24"/>
        </w:rPr>
      </w:pPr>
      <w:r>
        <w:rPr>
          <w:rFonts w:ascii="Times New Roman" w:hAnsi="Times New Roman" w:cs="Times New Roman"/>
          <w:sz w:val="24"/>
        </w:rPr>
        <w:t xml:space="preserve">Desde la crisis financiera del 2008, Costa Rica </w:t>
      </w:r>
      <w:r w:rsidR="00535909" w:rsidRPr="002246E2">
        <w:rPr>
          <w:rFonts w:ascii="Times New Roman" w:hAnsi="Times New Roman" w:cs="Times New Roman"/>
          <w:sz w:val="24"/>
        </w:rPr>
        <w:t>ha evidenciado un deterioro progresivo de sus principales indicadores fiscales</w:t>
      </w:r>
      <w:r>
        <w:rPr>
          <w:rFonts w:ascii="Times New Roman" w:hAnsi="Times New Roman" w:cs="Times New Roman"/>
          <w:sz w:val="24"/>
        </w:rPr>
        <w:t>. Particularmente,</w:t>
      </w:r>
      <w:r w:rsidR="00A92B63" w:rsidRPr="003C7BD8">
        <w:rPr>
          <w:rFonts w:ascii="Times New Roman" w:hAnsi="Times New Roman" w:cs="Times New Roman"/>
          <w:sz w:val="24"/>
        </w:rPr>
        <w:t xml:space="preserve"> la deuda ha pasado de </w:t>
      </w:r>
      <w:r w:rsidR="00BB46D6" w:rsidRPr="003C7BD8">
        <w:rPr>
          <w:rFonts w:ascii="Times New Roman" w:hAnsi="Times New Roman" w:cs="Times New Roman"/>
          <w:sz w:val="24"/>
        </w:rPr>
        <w:t xml:space="preserve">24,1% en 2008 a </w:t>
      </w:r>
      <w:r w:rsidR="00305D48" w:rsidRPr="003C7BD8">
        <w:rPr>
          <w:rFonts w:ascii="Times New Roman" w:hAnsi="Times New Roman" w:cs="Times New Roman"/>
          <w:sz w:val="24"/>
        </w:rPr>
        <w:t>un 49,2% en 201</w:t>
      </w:r>
      <w:r w:rsidR="005159FE" w:rsidRPr="003C7BD8">
        <w:rPr>
          <w:rFonts w:ascii="Times New Roman" w:hAnsi="Times New Roman" w:cs="Times New Roman"/>
          <w:sz w:val="24"/>
        </w:rPr>
        <w:t>7</w:t>
      </w:r>
      <w:r w:rsidR="003857CC" w:rsidRPr="003C7BD8">
        <w:rPr>
          <w:rFonts w:ascii="Times New Roman" w:hAnsi="Times New Roman" w:cs="Times New Roman"/>
          <w:sz w:val="24"/>
        </w:rPr>
        <w:t>, con una dinámica insostenible</w:t>
      </w:r>
      <w:r w:rsidR="00535909">
        <w:rPr>
          <w:rFonts w:ascii="Times New Roman" w:hAnsi="Times New Roman" w:cs="Times New Roman"/>
          <w:sz w:val="24"/>
        </w:rPr>
        <w:t xml:space="preserve"> pese a que el crecimiento de la economía ha sido </w:t>
      </w:r>
      <w:r w:rsidR="002F020A">
        <w:rPr>
          <w:rFonts w:ascii="Times New Roman" w:hAnsi="Times New Roman" w:cs="Times New Roman"/>
          <w:sz w:val="24"/>
        </w:rPr>
        <w:t>sólido</w:t>
      </w:r>
      <w:r w:rsidR="00E971F3">
        <w:rPr>
          <w:rFonts w:ascii="Times New Roman" w:hAnsi="Times New Roman" w:cs="Times New Roman"/>
          <w:sz w:val="24"/>
        </w:rPr>
        <w:t xml:space="preserve"> (</w:t>
      </w:r>
      <w:r w:rsidR="009309F7">
        <w:rPr>
          <w:rFonts w:ascii="Times New Roman" w:hAnsi="Times New Roman" w:cs="Times New Roman"/>
          <w:sz w:val="24"/>
        </w:rPr>
        <w:t>4,5</w:t>
      </w:r>
      <w:r w:rsidR="00535909">
        <w:rPr>
          <w:rFonts w:ascii="Times New Roman" w:hAnsi="Times New Roman" w:cs="Times New Roman"/>
          <w:sz w:val="24"/>
        </w:rPr>
        <w:t>% promedio</w:t>
      </w:r>
      <w:r w:rsidR="007B2BE5">
        <w:rPr>
          <w:rFonts w:ascii="Times New Roman" w:hAnsi="Times New Roman" w:cs="Times New Roman"/>
          <w:sz w:val="24"/>
        </w:rPr>
        <w:t xml:space="preserve"> 1992-2017</w:t>
      </w:r>
      <w:r w:rsidR="00E971F3">
        <w:rPr>
          <w:rFonts w:ascii="Times New Roman" w:hAnsi="Times New Roman" w:cs="Times New Roman"/>
          <w:sz w:val="24"/>
        </w:rPr>
        <w:t>)</w:t>
      </w:r>
      <w:r w:rsidR="00535909">
        <w:rPr>
          <w:rFonts w:ascii="Times New Roman" w:hAnsi="Times New Roman" w:cs="Times New Roman"/>
          <w:sz w:val="24"/>
        </w:rPr>
        <w:t xml:space="preserve"> y las tasas de interés internacionales han estado en el nivel más bajo del último medio siglo</w:t>
      </w:r>
      <w:r w:rsidR="003857CC" w:rsidRPr="003C7BD8">
        <w:rPr>
          <w:rFonts w:ascii="Times New Roman" w:hAnsi="Times New Roman" w:cs="Times New Roman"/>
          <w:sz w:val="24"/>
        </w:rPr>
        <w:t xml:space="preserve">. </w:t>
      </w:r>
      <w:r w:rsidR="00A70528" w:rsidRPr="003C7BD8">
        <w:rPr>
          <w:rFonts w:ascii="Times New Roman" w:hAnsi="Times New Roman" w:cs="Times New Roman"/>
          <w:sz w:val="24"/>
        </w:rPr>
        <w:t xml:space="preserve">Este desequilibrio en las finanzas públicas se </w:t>
      </w:r>
      <w:r w:rsidR="00FB14E7" w:rsidRPr="003C7BD8">
        <w:rPr>
          <w:rFonts w:ascii="Times New Roman" w:hAnsi="Times New Roman" w:cs="Times New Roman"/>
          <w:sz w:val="24"/>
        </w:rPr>
        <w:t xml:space="preserve">remonta al año 2009, </w:t>
      </w:r>
      <w:r>
        <w:rPr>
          <w:rFonts w:ascii="Times New Roman" w:hAnsi="Times New Roman" w:cs="Times New Roman"/>
          <w:sz w:val="24"/>
        </w:rPr>
        <w:t xml:space="preserve">debido a la adopción de </w:t>
      </w:r>
      <w:r w:rsidR="0092268B" w:rsidRPr="003C7BD8">
        <w:rPr>
          <w:rFonts w:ascii="Times New Roman" w:hAnsi="Times New Roman" w:cs="Times New Roman"/>
          <w:sz w:val="24"/>
        </w:rPr>
        <w:t xml:space="preserve">medidas </w:t>
      </w:r>
      <w:r w:rsidR="00A568BB" w:rsidRPr="003C7BD8">
        <w:rPr>
          <w:rFonts w:ascii="Times New Roman" w:hAnsi="Times New Roman" w:cs="Times New Roman"/>
          <w:sz w:val="24"/>
        </w:rPr>
        <w:t>contra cíclicas</w:t>
      </w:r>
      <w:r w:rsidR="0092268B" w:rsidRPr="003C7BD8">
        <w:rPr>
          <w:rFonts w:ascii="Times New Roman" w:hAnsi="Times New Roman" w:cs="Times New Roman"/>
          <w:sz w:val="24"/>
        </w:rPr>
        <w:t xml:space="preserve"> </w:t>
      </w:r>
      <w:r w:rsidR="00504CC4" w:rsidRPr="003C7BD8">
        <w:rPr>
          <w:rFonts w:ascii="Times New Roman" w:hAnsi="Times New Roman" w:cs="Times New Roman"/>
          <w:sz w:val="24"/>
        </w:rPr>
        <w:t xml:space="preserve">inflexibles a la baja. </w:t>
      </w:r>
    </w:p>
    <w:p w14:paraId="687DCA81" w14:textId="178555AB" w:rsidR="009D2F00" w:rsidRDefault="008C22E8" w:rsidP="003963CA">
      <w:pPr>
        <w:spacing w:after="0" w:line="360" w:lineRule="auto"/>
        <w:jc w:val="both"/>
        <w:rPr>
          <w:rFonts w:ascii="Times New Roman" w:hAnsi="Times New Roman" w:cs="Times New Roman"/>
          <w:sz w:val="24"/>
        </w:rPr>
      </w:pPr>
      <w:r>
        <w:rPr>
          <w:rFonts w:ascii="Times New Roman" w:hAnsi="Times New Roman" w:cs="Times New Roman"/>
          <w:sz w:val="24"/>
        </w:rPr>
        <w:t xml:space="preserve">Por su parte, </w:t>
      </w:r>
      <w:r w:rsidR="003C006D" w:rsidRPr="003C7BD8">
        <w:rPr>
          <w:rFonts w:ascii="Times New Roman" w:hAnsi="Times New Roman" w:cs="Times New Roman"/>
          <w:sz w:val="24"/>
        </w:rPr>
        <w:t>el Ministerio Hacienda</w:t>
      </w:r>
      <w:r>
        <w:rPr>
          <w:rFonts w:ascii="Times New Roman" w:hAnsi="Times New Roman" w:cs="Times New Roman"/>
          <w:sz w:val="24"/>
        </w:rPr>
        <w:t xml:space="preserve"> </w:t>
      </w:r>
      <w:r w:rsidR="00796B2E">
        <w:rPr>
          <w:rFonts w:ascii="Times New Roman" w:hAnsi="Times New Roman" w:cs="Times New Roman"/>
          <w:sz w:val="24"/>
        </w:rPr>
        <w:t xml:space="preserve">presentó una respuesta </w:t>
      </w:r>
      <w:r w:rsidR="003C006D" w:rsidRPr="003C7BD8">
        <w:rPr>
          <w:rFonts w:ascii="Times New Roman" w:hAnsi="Times New Roman" w:cs="Times New Roman"/>
          <w:sz w:val="24"/>
        </w:rPr>
        <w:t>a través de una política contra</w:t>
      </w:r>
      <w:r w:rsidR="00423CFA" w:rsidRPr="003C7BD8">
        <w:rPr>
          <w:rFonts w:ascii="Times New Roman" w:hAnsi="Times New Roman" w:cs="Times New Roman"/>
          <w:sz w:val="24"/>
        </w:rPr>
        <w:t xml:space="preserve"> </w:t>
      </w:r>
      <w:r w:rsidR="003C006D" w:rsidRPr="003C7BD8">
        <w:rPr>
          <w:rFonts w:ascii="Times New Roman" w:hAnsi="Times New Roman" w:cs="Times New Roman"/>
          <w:sz w:val="24"/>
        </w:rPr>
        <w:t xml:space="preserve">cíclica, </w:t>
      </w:r>
      <w:r w:rsidR="00796B2E">
        <w:rPr>
          <w:rFonts w:ascii="Times New Roman" w:hAnsi="Times New Roman" w:cs="Times New Roman"/>
          <w:sz w:val="24"/>
        </w:rPr>
        <w:t>basada en incrementos d</w:t>
      </w:r>
      <w:r w:rsidR="003C006D" w:rsidRPr="003C7BD8">
        <w:rPr>
          <w:rFonts w:ascii="Times New Roman" w:hAnsi="Times New Roman" w:cs="Times New Roman"/>
          <w:sz w:val="24"/>
        </w:rPr>
        <w:t xml:space="preserve">el gasto corriente por medio de un mayor gasto en remuneraciones y transferencias corrientes. </w:t>
      </w:r>
      <w:r w:rsidR="00796B2E">
        <w:rPr>
          <w:rFonts w:ascii="Times New Roman" w:hAnsi="Times New Roman" w:cs="Times New Roman"/>
          <w:sz w:val="24"/>
        </w:rPr>
        <w:t xml:space="preserve">Sin embargo, </w:t>
      </w:r>
      <w:r w:rsidR="00C06529">
        <w:rPr>
          <w:rFonts w:ascii="Times New Roman" w:hAnsi="Times New Roman" w:cs="Times New Roman"/>
          <w:sz w:val="24"/>
        </w:rPr>
        <w:t xml:space="preserve">estas partidas del </w:t>
      </w:r>
      <w:r w:rsidR="00796B2E">
        <w:rPr>
          <w:rFonts w:ascii="Times New Roman" w:hAnsi="Times New Roman" w:cs="Times New Roman"/>
          <w:sz w:val="24"/>
        </w:rPr>
        <w:t xml:space="preserve">gasto presentan un comportamiento relativamente </w:t>
      </w:r>
      <w:r w:rsidR="00105C24">
        <w:rPr>
          <w:rFonts w:ascii="Times New Roman" w:hAnsi="Times New Roman" w:cs="Times New Roman"/>
          <w:sz w:val="24"/>
        </w:rPr>
        <w:t>predeterminado</w:t>
      </w:r>
      <w:r w:rsidR="003C006D" w:rsidRPr="003C7BD8">
        <w:rPr>
          <w:rFonts w:ascii="Times New Roman" w:hAnsi="Times New Roman" w:cs="Times New Roman"/>
          <w:sz w:val="24"/>
        </w:rPr>
        <w:t xml:space="preserve">, </w:t>
      </w:r>
      <w:r w:rsidR="00EF714C" w:rsidRPr="003C7BD8">
        <w:rPr>
          <w:rFonts w:ascii="Times New Roman" w:hAnsi="Times New Roman" w:cs="Times New Roman"/>
          <w:sz w:val="24"/>
        </w:rPr>
        <w:t xml:space="preserve">pues </w:t>
      </w:r>
      <w:r w:rsidR="003C006D" w:rsidRPr="003C7BD8">
        <w:rPr>
          <w:rFonts w:ascii="Times New Roman" w:hAnsi="Times New Roman" w:cs="Times New Roman"/>
          <w:sz w:val="24"/>
        </w:rPr>
        <w:t xml:space="preserve">es difícil </w:t>
      </w:r>
      <w:r w:rsidR="00257B43" w:rsidRPr="003C7BD8">
        <w:rPr>
          <w:rFonts w:ascii="Times New Roman" w:hAnsi="Times New Roman" w:cs="Times New Roman"/>
          <w:sz w:val="24"/>
        </w:rPr>
        <w:t>revertirlos</w:t>
      </w:r>
      <w:r w:rsidR="003C006D" w:rsidRPr="003C7BD8">
        <w:rPr>
          <w:rFonts w:ascii="Times New Roman" w:hAnsi="Times New Roman" w:cs="Times New Roman"/>
          <w:sz w:val="24"/>
        </w:rPr>
        <w:t>.</w:t>
      </w:r>
      <w:r w:rsidR="00105C24">
        <w:rPr>
          <w:rStyle w:val="FootnoteReference"/>
          <w:rFonts w:ascii="Times New Roman" w:hAnsi="Times New Roman" w:cs="Times New Roman"/>
          <w:sz w:val="24"/>
        </w:rPr>
        <w:footnoteReference w:id="3"/>
      </w:r>
      <w:r w:rsidR="003C006D" w:rsidRPr="003C7BD8">
        <w:rPr>
          <w:rFonts w:ascii="Times New Roman" w:hAnsi="Times New Roman" w:cs="Times New Roman"/>
          <w:sz w:val="24"/>
        </w:rPr>
        <w:t xml:space="preserve"> </w:t>
      </w:r>
      <w:r w:rsidR="00B47CEE">
        <w:rPr>
          <w:rFonts w:ascii="Times New Roman" w:hAnsi="Times New Roman" w:cs="Times New Roman"/>
          <w:sz w:val="24"/>
        </w:rPr>
        <w:t xml:space="preserve">En </w:t>
      </w:r>
      <w:r w:rsidR="00CD7CF2">
        <w:rPr>
          <w:rFonts w:ascii="Times New Roman" w:hAnsi="Times New Roman" w:cs="Times New Roman"/>
          <w:sz w:val="24"/>
        </w:rPr>
        <w:t xml:space="preserve">la tabla </w:t>
      </w:r>
      <w:r w:rsidR="007F64E2">
        <w:rPr>
          <w:rFonts w:ascii="Times New Roman" w:hAnsi="Times New Roman" w:cs="Times New Roman"/>
          <w:sz w:val="24"/>
        </w:rPr>
        <w:t>9</w:t>
      </w:r>
      <w:r w:rsidR="00CD7CF2">
        <w:rPr>
          <w:rFonts w:ascii="Times New Roman" w:hAnsi="Times New Roman" w:cs="Times New Roman"/>
          <w:sz w:val="24"/>
        </w:rPr>
        <w:t>.1</w:t>
      </w:r>
      <w:r w:rsidR="007F15B8">
        <w:rPr>
          <w:rFonts w:ascii="Times New Roman" w:hAnsi="Times New Roman" w:cs="Times New Roman"/>
          <w:sz w:val="24"/>
        </w:rPr>
        <w:t xml:space="preserve"> </w:t>
      </w:r>
      <w:r w:rsidR="00B47CEE">
        <w:rPr>
          <w:rFonts w:ascii="Times New Roman" w:hAnsi="Times New Roman" w:cs="Times New Roman"/>
          <w:sz w:val="24"/>
        </w:rPr>
        <w:t xml:space="preserve">se </w:t>
      </w:r>
      <w:r w:rsidR="005C5C69">
        <w:rPr>
          <w:rFonts w:ascii="Times New Roman" w:hAnsi="Times New Roman" w:cs="Times New Roman"/>
          <w:sz w:val="24"/>
        </w:rPr>
        <w:t xml:space="preserve">muestra </w:t>
      </w:r>
      <w:r w:rsidR="004D39A2">
        <w:rPr>
          <w:rFonts w:ascii="Times New Roman" w:hAnsi="Times New Roman" w:cs="Times New Roman"/>
          <w:sz w:val="24"/>
        </w:rPr>
        <w:t xml:space="preserve">la evolución del gasto corriente y las remuneraciones </w:t>
      </w:r>
      <w:r w:rsidR="008A44F2">
        <w:rPr>
          <w:rFonts w:ascii="Times New Roman" w:hAnsi="Times New Roman" w:cs="Times New Roman"/>
          <w:sz w:val="24"/>
        </w:rPr>
        <w:t xml:space="preserve">como porcentaje del PIB </w:t>
      </w:r>
      <w:r w:rsidR="004D39A2">
        <w:rPr>
          <w:rFonts w:ascii="Times New Roman" w:hAnsi="Times New Roman" w:cs="Times New Roman"/>
          <w:sz w:val="24"/>
        </w:rPr>
        <w:t>de 2007 a 2017</w:t>
      </w:r>
      <w:r w:rsidR="006C6A2C">
        <w:rPr>
          <w:rFonts w:ascii="Times New Roman" w:hAnsi="Times New Roman" w:cs="Times New Roman"/>
          <w:sz w:val="24"/>
        </w:rPr>
        <w:t xml:space="preserve"> para distintos niveles de gobierno. En particular, se destaca la suba en </w:t>
      </w:r>
      <w:r w:rsidR="008C618A">
        <w:rPr>
          <w:rFonts w:ascii="Times New Roman" w:hAnsi="Times New Roman" w:cs="Times New Roman"/>
          <w:sz w:val="24"/>
        </w:rPr>
        <w:t xml:space="preserve">el gasto corriente </w:t>
      </w:r>
      <w:r w:rsidR="008A44F2">
        <w:rPr>
          <w:rFonts w:ascii="Times New Roman" w:hAnsi="Times New Roman" w:cs="Times New Roman"/>
          <w:sz w:val="24"/>
        </w:rPr>
        <w:t xml:space="preserve">entre 2007 y 2008, producto de </w:t>
      </w:r>
      <w:r w:rsidR="008C618A">
        <w:rPr>
          <w:rFonts w:ascii="Times New Roman" w:hAnsi="Times New Roman" w:cs="Times New Roman"/>
          <w:sz w:val="24"/>
        </w:rPr>
        <w:t>varias medidas que afectaron la partida de remuneraciones</w:t>
      </w:r>
      <w:r w:rsidR="00EF7679">
        <w:rPr>
          <w:rFonts w:ascii="Times New Roman" w:hAnsi="Times New Roman" w:cs="Times New Roman"/>
          <w:sz w:val="24"/>
        </w:rPr>
        <w:t xml:space="preserve">, principalmente. </w:t>
      </w:r>
    </w:p>
    <w:p w14:paraId="1CF29080" w14:textId="3DDA93CA" w:rsidR="009D2F00" w:rsidRPr="00170A76" w:rsidRDefault="00E54FB4" w:rsidP="002C4054">
      <w:pPr>
        <w:pStyle w:val="Caption"/>
        <w:jc w:val="center"/>
        <w:rPr>
          <w:rFonts w:ascii="Times New Roman" w:hAnsi="Times New Roman"/>
          <w:sz w:val="24"/>
          <w:szCs w:val="24"/>
        </w:rPr>
      </w:pPr>
      <w:r w:rsidRPr="00AC4178">
        <w:rPr>
          <w:rFonts w:ascii="Times New Roman" w:hAnsi="Times New Roman"/>
          <w:sz w:val="24"/>
          <w:szCs w:val="24"/>
        </w:rPr>
        <w:t xml:space="preserve">Tabla </w:t>
      </w:r>
      <w:r w:rsidR="00AF60E4">
        <w:rPr>
          <w:rFonts w:ascii="Times New Roman" w:hAnsi="Times New Roman"/>
          <w:sz w:val="24"/>
          <w:szCs w:val="24"/>
        </w:rPr>
        <w:t>9</w:t>
      </w:r>
      <w:r w:rsidR="00CD7CF2">
        <w:rPr>
          <w:rFonts w:ascii="Times New Roman" w:hAnsi="Times New Roman"/>
          <w:sz w:val="24"/>
          <w:szCs w:val="24"/>
        </w:rPr>
        <w:t>.</w:t>
      </w:r>
      <w:r w:rsidRPr="00AC4178">
        <w:rPr>
          <w:rFonts w:ascii="Times New Roman" w:hAnsi="Times New Roman"/>
          <w:sz w:val="24"/>
          <w:szCs w:val="24"/>
        </w:rPr>
        <w:fldChar w:fldCharType="begin"/>
      </w:r>
      <w:r w:rsidRPr="00AC4178">
        <w:rPr>
          <w:rFonts w:ascii="Times New Roman" w:hAnsi="Times New Roman"/>
          <w:sz w:val="24"/>
          <w:szCs w:val="24"/>
        </w:rPr>
        <w:instrText xml:space="preserve"> SEQ Tabla \* ARABIC </w:instrText>
      </w:r>
      <w:r w:rsidRPr="00AC4178">
        <w:rPr>
          <w:rFonts w:ascii="Times New Roman" w:hAnsi="Times New Roman"/>
          <w:sz w:val="24"/>
          <w:szCs w:val="24"/>
        </w:rPr>
        <w:fldChar w:fldCharType="separate"/>
      </w:r>
      <w:r w:rsidR="00B549D7">
        <w:rPr>
          <w:rFonts w:ascii="Times New Roman" w:hAnsi="Times New Roman"/>
          <w:noProof/>
          <w:sz w:val="24"/>
          <w:szCs w:val="24"/>
        </w:rPr>
        <w:t>1</w:t>
      </w:r>
      <w:r w:rsidRPr="00AC4178">
        <w:rPr>
          <w:rFonts w:ascii="Times New Roman" w:hAnsi="Times New Roman"/>
          <w:sz w:val="24"/>
          <w:szCs w:val="24"/>
        </w:rPr>
        <w:fldChar w:fldCharType="end"/>
      </w:r>
      <w:r w:rsidRPr="00AC4178">
        <w:rPr>
          <w:rFonts w:ascii="Times New Roman" w:hAnsi="Times New Roman"/>
          <w:i/>
          <w:sz w:val="24"/>
          <w:szCs w:val="24"/>
        </w:rPr>
        <w:t>. Remuneraciones y Gasto Corriente del SPNF como % del PIB, 2007-2017</w:t>
      </w:r>
    </w:p>
    <w:tbl>
      <w:tblPr>
        <w:tblW w:w="8536" w:type="dxa"/>
        <w:jc w:val="center"/>
        <w:tblLook w:val="04A0" w:firstRow="1" w:lastRow="0" w:firstColumn="1" w:lastColumn="0" w:noHBand="0" w:noVBand="1"/>
      </w:tblPr>
      <w:tblGrid>
        <w:gridCol w:w="1760"/>
        <w:gridCol w:w="616"/>
        <w:gridCol w:w="616"/>
        <w:gridCol w:w="616"/>
        <w:gridCol w:w="616"/>
        <w:gridCol w:w="616"/>
        <w:gridCol w:w="616"/>
        <w:gridCol w:w="616"/>
        <w:gridCol w:w="616"/>
        <w:gridCol w:w="616"/>
        <w:gridCol w:w="616"/>
        <w:gridCol w:w="616"/>
      </w:tblGrid>
      <w:tr w:rsidR="00205239" w:rsidRPr="00CD7CF2" w14:paraId="3245CD09" w14:textId="77777777" w:rsidTr="00FB2839">
        <w:trPr>
          <w:trHeight w:val="276"/>
          <w:jc w:val="center"/>
        </w:trPr>
        <w:tc>
          <w:tcPr>
            <w:tcW w:w="1760" w:type="dxa"/>
            <w:tcBorders>
              <w:top w:val="double" w:sz="4" w:space="0" w:color="auto"/>
              <w:left w:val="nil"/>
              <w:bottom w:val="single" w:sz="4" w:space="0" w:color="auto"/>
              <w:right w:val="nil"/>
            </w:tcBorders>
            <w:shd w:val="clear" w:color="auto" w:fill="auto"/>
            <w:noWrap/>
            <w:vAlign w:val="center"/>
            <w:hideMark/>
          </w:tcPr>
          <w:p w14:paraId="5C7286BB" w14:textId="77777777" w:rsidR="00205239" w:rsidRPr="00CD7CF2" w:rsidRDefault="00205239" w:rsidP="00FB2839">
            <w:pPr>
              <w:spacing w:after="0" w:line="240" w:lineRule="auto"/>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Gasto Corriente</w:t>
            </w:r>
          </w:p>
        </w:tc>
        <w:tc>
          <w:tcPr>
            <w:tcW w:w="616" w:type="dxa"/>
            <w:tcBorders>
              <w:top w:val="double" w:sz="4" w:space="0" w:color="auto"/>
              <w:left w:val="nil"/>
              <w:bottom w:val="single" w:sz="4" w:space="0" w:color="auto"/>
              <w:right w:val="nil"/>
            </w:tcBorders>
            <w:shd w:val="clear" w:color="auto" w:fill="auto"/>
            <w:noWrap/>
            <w:vAlign w:val="center"/>
            <w:hideMark/>
          </w:tcPr>
          <w:p w14:paraId="30A7A680"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2007</w:t>
            </w:r>
          </w:p>
        </w:tc>
        <w:tc>
          <w:tcPr>
            <w:tcW w:w="616" w:type="dxa"/>
            <w:tcBorders>
              <w:top w:val="double" w:sz="4" w:space="0" w:color="auto"/>
              <w:left w:val="nil"/>
              <w:bottom w:val="single" w:sz="4" w:space="0" w:color="auto"/>
              <w:right w:val="nil"/>
            </w:tcBorders>
            <w:shd w:val="clear" w:color="auto" w:fill="auto"/>
            <w:noWrap/>
            <w:vAlign w:val="center"/>
            <w:hideMark/>
          </w:tcPr>
          <w:p w14:paraId="2AAB4BED"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2008</w:t>
            </w:r>
          </w:p>
        </w:tc>
        <w:tc>
          <w:tcPr>
            <w:tcW w:w="616" w:type="dxa"/>
            <w:tcBorders>
              <w:top w:val="double" w:sz="4" w:space="0" w:color="auto"/>
              <w:left w:val="nil"/>
              <w:bottom w:val="single" w:sz="4" w:space="0" w:color="auto"/>
              <w:right w:val="nil"/>
            </w:tcBorders>
            <w:shd w:val="clear" w:color="auto" w:fill="auto"/>
            <w:noWrap/>
            <w:vAlign w:val="center"/>
            <w:hideMark/>
          </w:tcPr>
          <w:p w14:paraId="088C8B42"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2009</w:t>
            </w:r>
          </w:p>
        </w:tc>
        <w:tc>
          <w:tcPr>
            <w:tcW w:w="616" w:type="dxa"/>
            <w:tcBorders>
              <w:top w:val="double" w:sz="4" w:space="0" w:color="auto"/>
              <w:left w:val="nil"/>
              <w:bottom w:val="single" w:sz="4" w:space="0" w:color="auto"/>
              <w:right w:val="nil"/>
            </w:tcBorders>
            <w:shd w:val="clear" w:color="auto" w:fill="auto"/>
            <w:noWrap/>
            <w:vAlign w:val="center"/>
            <w:hideMark/>
          </w:tcPr>
          <w:p w14:paraId="12C71362"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2010</w:t>
            </w:r>
          </w:p>
        </w:tc>
        <w:tc>
          <w:tcPr>
            <w:tcW w:w="616" w:type="dxa"/>
            <w:tcBorders>
              <w:top w:val="double" w:sz="4" w:space="0" w:color="auto"/>
              <w:left w:val="nil"/>
              <w:bottom w:val="single" w:sz="4" w:space="0" w:color="auto"/>
              <w:right w:val="nil"/>
            </w:tcBorders>
            <w:shd w:val="clear" w:color="auto" w:fill="auto"/>
            <w:noWrap/>
            <w:vAlign w:val="center"/>
            <w:hideMark/>
          </w:tcPr>
          <w:p w14:paraId="7A3F571D"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2011</w:t>
            </w:r>
          </w:p>
        </w:tc>
        <w:tc>
          <w:tcPr>
            <w:tcW w:w="616" w:type="dxa"/>
            <w:tcBorders>
              <w:top w:val="double" w:sz="4" w:space="0" w:color="auto"/>
              <w:left w:val="nil"/>
              <w:bottom w:val="single" w:sz="4" w:space="0" w:color="auto"/>
              <w:right w:val="nil"/>
            </w:tcBorders>
            <w:shd w:val="clear" w:color="auto" w:fill="auto"/>
            <w:noWrap/>
            <w:vAlign w:val="center"/>
            <w:hideMark/>
          </w:tcPr>
          <w:p w14:paraId="6AFDDC6F"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2012</w:t>
            </w:r>
          </w:p>
        </w:tc>
        <w:tc>
          <w:tcPr>
            <w:tcW w:w="616" w:type="dxa"/>
            <w:tcBorders>
              <w:top w:val="double" w:sz="4" w:space="0" w:color="auto"/>
              <w:left w:val="nil"/>
              <w:bottom w:val="single" w:sz="4" w:space="0" w:color="auto"/>
              <w:right w:val="nil"/>
            </w:tcBorders>
            <w:shd w:val="clear" w:color="auto" w:fill="auto"/>
            <w:noWrap/>
            <w:vAlign w:val="center"/>
            <w:hideMark/>
          </w:tcPr>
          <w:p w14:paraId="27FE738E"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2013</w:t>
            </w:r>
          </w:p>
        </w:tc>
        <w:tc>
          <w:tcPr>
            <w:tcW w:w="616" w:type="dxa"/>
            <w:tcBorders>
              <w:top w:val="double" w:sz="4" w:space="0" w:color="auto"/>
              <w:left w:val="nil"/>
              <w:bottom w:val="single" w:sz="4" w:space="0" w:color="auto"/>
              <w:right w:val="nil"/>
            </w:tcBorders>
            <w:shd w:val="clear" w:color="auto" w:fill="auto"/>
            <w:noWrap/>
            <w:vAlign w:val="center"/>
            <w:hideMark/>
          </w:tcPr>
          <w:p w14:paraId="67A3D158"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2014</w:t>
            </w:r>
          </w:p>
        </w:tc>
        <w:tc>
          <w:tcPr>
            <w:tcW w:w="616" w:type="dxa"/>
            <w:tcBorders>
              <w:top w:val="double" w:sz="4" w:space="0" w:color="auto"/>
              <w:left w:val="nil"/>
              <w:bottom w:val="single" w:sz="4" w:space="0" w:color="auto"/>
              <w:right w:val="nil"/>
            </w:tcBorders>
            <w:shd w:val="clear" w:color="auto" w:fill="auto"/>
            <w:noWrap/>
            <w:vAlign w:val="center"/>
            <w:hideMark/>
          </w:tcPr>
          <w:p w14:paraId="12A3171B"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2015</w:t>
            </w:r>
          </w:p>
        </w:tc>
        <w:tc>
          <w:tcPr>
            <w:tcW w:w="581" w:type="dxa"/>
            <w:tcBorders>
              <w:top w:val="double" w:sz="4" w:space="0" w:color="auto"/>
              <w:left w:val="nil"/>
              <w:bottom w:val="single" w:sz="4" w:space="0" w:color="auto"/>
              <w:right w:val="nil"/>
            </w:tcBorders>
            <w:vAlign w:val="center"/>
          </w:tcPr>
          <w:p w14:paraId="15BA1D22"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2016</w:t>
            </w:r>
          </w:p>
        </w:tc>
        <w:tc>
          <w:tcPr>
            <w:tcW w:w="651" w:type="dxa"/>
            <w:tcBorders>
              <w:top w:val="double" w:sz="4" w:space="0" w:color="auto"/>
              <w:left w:val="nil"/>
              <w:bottom w:val="single" w:sz="4" w:space="0" w:color="auto"/>
              <w:right w:val="nil"/>
            </w:tcBorders>
            <w:vAlign w:val="center"/>
          </w:tcPr>
          <w:p w14:paraId="1FFC6F47"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2017</w:t>
            </w:r>
          </w:p>
        </w:tc>
      </w:tr>
      <w:tr w:rsidR="00205239" w:rsidRPr="00CD7CF2" w14:paraId="3A50B656" w14:textId="77777777" w:rsidTr="00FB2839">
        <w:trPr>
          <w:trHeight w:val="264"/>
          <w:jc w:val="center"/>
        </w:trPr>
        <w:tc>
          <w:tcPr>
            <w:tcW w:w="1760" w:type="dxa"/>
            <w:tcBorders>
              <w:top w:val="single" w:sz="4" w:space="0" w:color="auto"/>
              <w:left w:val="nil"/>
              <w:bottom w:val="nil"/>
              <w:right w:val="nil"/>
            </w:tcBorders>
            <w:shd w:val="clear" w:color="auto" w:fill="auto"/>
            <w:noWrap/>
            <w:vAlign w:val="center"/>
            <w:hideMark/>
          </w:tcPr>
          <w:p w14:paraId="3AD7AEBB"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Gobierno Central</w:t>
            </w:r>
          </w:p>
        </w:tc>
        <w:tc>
          <w:tcPr>
            <w:tcW w:w="616" w:type="dxa"/>
            <w:tcBorders>
              <w:top w:val="nil"/>
              <w:left w:val="nil"/>
              <w:bottom w:val="nil"/>
              <w:right w:val="nil"/>
            </w:tcBorders>
            <w:shd w:val="clear" w:color="auto" w:fill="auto"/>
            <w:noWrap/>
            <w:vAlign w:val="bottom"/>
          </w:tcPr>
          <w:p w14:paraId="7F571B5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11,8</w:t>
            </w:r>
          </w:p>
        </w:tc>
        <w:tc>
          <w:tcPr>
            <w:tcW w:w="616" w:type="dxa"/>
            <w:tcBorders>
              <w:top w:val="nil"/>
              <w:left w:val="nil"/>
              <w:bottom w:val="nil"/>
              <w:right w:val="nil"/>
            </w:tcBorders>
            <w:shd w:val="clear" w:color="auto" w:fill="auto"/>
            <w:noWrap/>
            <w:vAlign w:val="bottom"/>
          </w:tcPr>
          <w:p w14:paraId="4BBFD508"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11,1</w:t>
            </w:r>
          </w:p>
        </w:tc>
        <w:tc>
          <w:tcPr>
            <w:tcW w:w="616" w:type="dxa"/>
            <w:tcBorders>
              <w:top w:val="nil"/>
              <w:left w:val="nil"/>
              <w:bottom w:val="nil"/>
              <w:right w:val="nil"/>
            </w:tcBorders>
            <w:shd w:val="clear" w:color="auto" w:fill="auto"/>
            <w:noWrap/>
            <w:vAlign w:val="bottom"/>
          </w:tcPr>
          <w:p w14:paraId="195C6F3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12,6</w:t>
            </w:r>
          </w:p>
        </w:tc>
        <w:tc>
          <w:tcPr>
            <w:tcW w:w="616" w:type="dxa"/>
            <w:tcBorders>
              <w:top w:val="nil"/>
              <w:left w:val="nil"/>
              <w:bottom w:val="nil"/>
              <w:right w:val="nil"/>
            </w:tcBorders>
            <w:shd w:val="clear" w:color="auto" w:fill="auto"/>
            <w:noWrap/>
            <w:vAlign w:val="bottom"/>
          </w:tcPr>
          <w:p w14:paraId="0A24877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13,3</w:t>
            </w:r>
          </w:p>
        </w:tc>
        <w:tc>
          <w:tcPr>
            <w:tcW w:w="616" w:type="dxa"/>
            <w:tcBorders>
              <w:top w:val="nil"/>
              <w:left w:val="nil"/>
              <w:bottom w:val="nil"/>
              <w:right w:val="nil"/>
            </w:tcBorders>
            <w:shd w:val="clear" w:color="auto" w:fill="auto"/>
            <w:noWrap/>
            <w:vAlign w:val="bottom"/>
          </w:tcPr>
          <w:p w14:paraId="366E00A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13,4</w:t>
            </w:r>
          </w:p>
        </w:tc>
        <w:tc>
          <w:tcPr>
            <w:tcW w:w="616" w:type="dxa"/>
            <w:tcBorders>
              <w:top w:val="nil"/>
              <w:left w:val="nil"/>
              <w:bottom w:val="nil"/>
              <w:right w:val="nil"/>
            </w:tcBorders>
            <w:shd w:val="clear" w:color="auto" w:fill="auto"/>
            <w:noWrap/>
            <w:vAlign w:val="bottom"/>
          </w:tcPr>
          <w:p w14:paraId="351BDC6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13,8</w:t>
            </w:r>
          </w:p>
        </w:tc>
        <w:tc>
          <w:tcPr>
            <w:tcW w:w="616" w:type="dxa"/>
            <w:tcBorders>
              <w:top w:val="nil"/>
              <w:left w:val="nil"/>
              <w:bottom w:val="nil"/>
              <w:right w:val="nil"/>
            </w:tcBorders>
            <w:shd w:val="clear" w:color="auto" w:fill="auto"/>
            <w:noWrap/>
            <w:vAlign w:val="bottom"/>
          </w:tcPr>
          <w:p w14:paraId="08E2940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14,6</w:t>
            </w:r>
          </w:p>
        </w:tc>
        <w:tc>
          <w:tcPr>
            <w:tcW w:w="616" w:type="dxa"/>
            <w:tcBorders>
              <w:top w:val="nil"/>
              <w:left w:val="nil"/>
              <w:bottom w:val="nil"/>
              <w:right w:val="nil"/>
            </w:tcBorders>
            <w:shd w:val="clear" w:color="auto" w:fill="auto"/>
            <w:noWrap/>
            <w:vAlign w:val="bottom"/>
          </w:tcPr>
          <w:p w14:paraId="77550CF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14,4</w:t>
            </w:r>
          </w:p>
        </w:tc>
        <w:tc>
          <w:tcPr>
            <w:tcW w:w="616" w:type="dxa"/>
            <w:tcBorders>
              <w:top w:val="nil"/>
              <w:left w:val="nil"/>
              <w:bottom w:val="nil"/>
              <w:right w:val="nil"/>
            </w:tcBorders>
            <w:shd w:val="clear" w:color="auto" w:fill="auto"/>
            <w:noWrap/>
            <w:vAlign w:val="bottom"/>
          </w:tcPr>
          <w:p w14:paraId="14DEF2F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14,7</w:t>
            </w:r>
          </w:p>
        </w:tc>
        <w:tc>
          <w:tcPr>
            <w:tcW w:w="581" w:type="dxa"/>
            <w:tcBorders>
              <w:top w:val="nil"/>
              <w:left w:val="nil"/>
              <w:bottom w:val="nil"/>
              <w:right w:val="nil"/>
            </w:tcBorders>
            <w:shd w:val="clear" w:color="auto" w:fill="auto"/>
            <w:vAlign w:val="bottom"/>
          </w:tcPr>
          <w:p w14:paraId="481CA19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14,6</w:t>
            </w:r>
          </w:p>
        </w:tc>
        <w:tc>
          <w:tcPr>
            <w:tcW w:w="651" w:type="dxa"/>
            <w:tcBorders>
              <w:top w:val="nil"/>
              <w:left w:val="nil"/>
              <w:bottom w:val="nil"/>
              <w:right w:val="nil"/>
            </w:tcBorders>
            <w:shd w:val="clear" w:color="auto" w:fill="auto"/>
            <w:vAlign w:val="bottom"/>
          </w:tcPr>
          <w:p w14:paraId="0D70C56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15,0</w:t>
            </w:r>
          </w:p>
        </w:tc>
      </w:tr>
      <w:tr w:rsidR="00205239" w:rsidRPr="00CD7CF2" w14:paraId="687EEFC7" w14:textId="77777777" w:rsidTr="00FB2839">
        <w:trPr>
          <w:trHeight w:val="264"/>
          <w:jc w:val="center"/>
        </w:trPr>
        <w:tc>
          <w:tcPr>
            <w:tcW w:w="1760" w:type="dxa"/>
            <w:tcBorders>
              <w:top w:val="nil"/>
              <w:left w:val="nil"/>
              <w:bottom w:val="nil"/>
              <w:right w:val="nil"/>
            </w:tcBorders>
            <w:shd w:val="clear" w:color="auto" w:fill="auto"/>
            <w:noWrap/>
            <w:vAlign w:val="center"/>
            <w:hideMark/>
          </w:tcPr>
          <w:p w14:paraId="456FDF81"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Gobierno Locales</w:t>
            </w:r>
          </w:p>
        </w:tc>
        <w:tc>
          <w:tcPr>
            <w:tcW w:w="616" w:type="dxa"/>
            <w:tcBorders>
              <w:top w:val="nil"/>
              <w:left w:val="nil"/>
              <w:bottom w:val="nil"/>
              <w:right w:val="nil"/>
            </w:tcBorders>
            <w:shd w:val="clear" w:color="auto" w:fill="auto"/>
            <w:noWrap/>
            <w:vAlign w:val="bottom"/>
          </w:tcPr>
          <w:p w14:paraId="6FDE1EA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0,7</w:t>
            </w:r>
          </w:p>
        </w:tc>
        <w:tc>
          <w:tcPr>
            <w:tcW w:w="616" w:type="dxa"/>
            <w:tcBorders>
              <w:top w:val="nil"/>
              <w:left w:val="nil"/>
              <w:bottom w:val="nil"/>
              <w:right w:val="nil"/>
            </w:tcBorders>
            <w:shd w:val="clear" w:color="auto" w:fill="auto"/>
            <w:noWrap/>
            <w:vAlign w:val="bottom"/>
          </w:tcPr>
          <w:p w14:paraId="374B78E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0,8</w:t>
            </w:r>
          </w:p>
        </w:tc>
        <w:tc>
          <w:tcPr>
            <w:tcW w:w="616" w:type="dxa"/>
            <w:tcBorders>
              <w:top w:val="nil"/>
              <w:left w:val="nil"/>
              <w:bottom w:val="nil"/>
              <w:right w:val="nil"/>
            </w:tcBorders>
            <w:shd w:val="clear" w:color="auto" w:fill="auto"/>
            <w:noWrap/>
            <w:vAlign w:val="bottom"/>
          </w:tcPr>
          <w:p w14:paraId="656A66F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0,9</w:t>
            </w:r>
          </w:p>
        </w:tc>
        <w:tc>
          <w:tcPr>
            <w:tcW w:w="616" w:type="dxa"/>
            <w:tcBorders>
              <w:top w:val="nil"/>
              <w:left w:val="nil"/>
              <w:bottom w:val="nil"/>
              <w:right w:val="nil"/>
            </w:tcBorders>
            <w:shd w:val="clear" w:color="auto" w:fill="auto"/>
            <w:noWrap/>
            <w:vAlign w:val="bottom"/>
          </w:tcPr>
          <w:p w14:paraId="3DFD409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0,9</w:t>
            </w:r>
          </w:p>
        </w:tc>
        <w:tc>
          <w:tcPr>
            <w:tcW w:w="616" w:type="dxa"/>
            <w:tcBorders>
              <w:top w:val="nil"/>
              <w:left w:val="nil"/>
              <w:bottom w:val="nil"/>
              <w:right w:val="nil"/>
            </w:tcBorders>
            <w:shd w:val="clear" w:color="auto" w:fill="auto"/>
            <w:noWrap/>
            <w:vAlign w:val="bottom"/>
          </w:tcPr>
          <w:p w14:paraId="37A49EE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0,9</w:t>
            </w:r>
          </w:p>
        </w:tc>
        <w:tc>
          <w:tcPr>
            <w:tcW w:w="616" w:type="dxa"/>
            <w:tcBorders>
              <w:top w:val="nil"/>
              <w:left w:val="nil"/>
              <w:bottom w:val="nil"/>
              <w:right w:val="nil"/>
            </w:tcBorders>
            <w:shd w:val="clear" w:color="auto" w:fill="auto"/>
            <w:noWrap/>
            <w:vAlign w:val="bottom"/>
          </w:tcPr>
          <w:p w14:paraId="4171C66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616" w:type="dxa"/>
            <w:tcBorders>
              <w:top w:val="nil"/>
              <w:left w:val="nil"/>
              <w:bottom w:val="nil"/>
              <w:right w:val="nil"/>
            </w:tcBorders>
            <w:shd w:val="clear" w:color="auto" w:fill="auto"/>
            <w:noWrap/>
            <w:vAlign w:val="bottom"/>
          </w:tcPr>
          <w:p w14:paraId="44D57B9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616" w:type="dxa"/>
            <w:tcBorders>
              <w:top w:val="nil"/>
              <w:left w:val="nil"/>
              <w:bottom w:val="nil"/>
              <w:right w:val="nil"/>
            </w:tcBorders>
            <w:shd w:val="clear" w:color="auto" w:fill="auto"/>
            <w:noWrap/>
            <w:vAlign w:val="bottom"/>
          </w:tcPr>
          <w:p w14:paraId="4CF33AB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616" w:type="dxa"/>
            <w:tcBorders>
              <w:top w:val="nil"/>
              <w:left w:val="nil"/>
              <w:bottom w:val="nil"/>
              <w:right w:val="nil"/>
            </w:tcBorders>
            <w:shd w:val="clear" w:color="auto" w:fill="auto"/>
            <w:noWrap/>
            <w:vAlign w:val="bottom"/>
          </w:tcPr>
          <w:p w14:paraId="2A1FE5F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581" w:type="dxa"/>
            <w:tcBorders>
              <w:top w:val="nil"/>
              <w:left w:val="nil"/>
              <w:bottom w:val="nil"/>
              <w:right w:val="nil"/>
            </w:tcBorders>
            <w:shd w:val="clear" w:color="auto" w:fill="auto"/>
            <w:vAlign w:val="bottom"/>
          </w:tcPr>
          <w:p w14:paraId="24C698D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651" w:type="dxa"/>
            <w:tcBorders>
              <w:top w:val="nil"/>
              <w:left w:val="nil"/>
              <w:bottom w:val="nil"/>
              <w:right w:val="nil"/>
            </w:tcBorders>
            <w:shd w:val="clear" w:color="auto" w:fill="auto"/>
            <w:vAlign w:val="bottom"/>
          </w:tcPr>
          <w:p w14:paraId="71E13A1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w:t>
            </w:r>
          </w:p>
        </w:tc>
      </w:tr>
      <w:tr w:rsidR="00205239" w:rsidRPr="00CD7CF2" w14:paraId="25335F5C" w14:textId="77777777" w:rsidTr="00FB2839">
        <w:trPr>
          <w:trHeight w:val="264"/>
          <w:jc w:val="center"/>
        </w:trPr>
        <w:tc>
          <w:tcPr>
            <w:tcW w:w="1760" w:type="dxa"/>
            <w:tcBorders>
              <w:top w:val="nil"/>
              <w:left w:val="nil"/>
              <w:right w:val="nil"/>
            </w:tcBorders>
            <w:shd w:val="clear" w:color="auto" w:fill="auto"/>
            <w:noWrap/>
            <w:vAlign w:val="center"/>
            <w:hideMark/>
          </w:tcPr>
          <w:p w14:paraId="68C19AB4"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Descentralizadas</w:t>
            </w:r>
          </w:p>
        </w:tc>
        <w:tc>
          <w:tcPr>
            <w:tcW w:w="616" w:type="dxa"/>
            <w:tcBorders>
              <w:top w:val="nil"/>
              <w:left w:val="nil"/>
              <w:right w:val="nil"/>
            </w:tcBorders>
            <w:shd w:val="clear" w:color="auto" w:fill="auto"/>
            <w:noWrap/>
            <w:vAlign w:val="bottom"/>
          </w:tcPr>
          <w:p w14:paraId="6658DD6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6,2</w:t>
            </w:r>
          </w:p>
        </w:tc>
        <w:tc>
          <w:tcPr>
            <w:tcW w:w="616" w:type="dxa"/>
            <w:tcBorders>
              <w:top w:val="nil"/>
              <w:left w:val="nil"/>
              <w:right w:val="nil"/>
            </w:tcBorders>
            <w:shd w:val="clear" w:color="auto" w:fill="auto"/>
            <w:noWrap/>
            <w:vAlign w:val="bottom"/>
          </w:tcPr>
          <w:p w14:paraId="7A33B05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6,8</w:t>
            </w:r>
          </w:p>
        </w:tc>
        <w:tc>
          <w:tcPr>
            <w:tcW w:w="616" w:type="dxa"/>
            <w:tcBorders>
              <w:top w:val="nil"/>
              <w:left w:val="nil"/>
              <w:right w:val="nil"/>
            </w:tcBorders>
            <w:shd w:val="clear" w:color="auto" w:fill="auto"/>
            <w:noWrap/>
            <w:vAlign w:val="bottom"/>
          </w:tcPr>
          <w:p w14:paraId="2C0091E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7,9</w:t>
            </w:r>
          </w:p>
        </w:tc>
        <w:tc>
          <w:tcPr>
            <w:tcW w:w="616" w:type="dxa"/>
            <w:tcBorders>
              <w:top w:val="nil"/>
              <w:left w:val="nil"/>
              <w:right w:val="nil"/>
            </w:tcBorders>
            <w:shd w:val="clear" w:color="auto" w:fill="auto"/>
            <w:noWrap/>
            <w:vAlign w:val="bottom"/>
          </w:tcPr>
          <w:p w14:paraId="2CE95F3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8,1</w:t>
            </w:r>
          </w:p>
        </w:tc>
        <w:tc>
          <w:tcPr>
            <w:tcW w:w="616" w:type="dxa"/>
            <w:tcBorders>
              <w:top w:val="nil"/>
              <w:left w:val="nil"/>
              <w:right w:val="nil"/>
            </w:tcBorders>
            <w:shd w:val="clear" w:color="auto" w:fill="auto"/>
            <w:noWrap/>
            <w:vAlign w:val="bottom"/>
          </w:tcPr>
          <w:p w14:paraId="0FF7CD0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8,2</w:t>
            </w:r>
          </w:p>
        </w:tc>
        <w:tc>
          <w:tcPr>
            <w:tcW w:w="616" w:type="dxa"/>
            <w:tcBorders>
              <w:top w:val="nil"/>
              <w:left w:val="nil"/>
              <w:right w:val="nil"/>
            </w:tcBorders>
            <w:shd w:val="clear" w:color="auto" w:fill="auto"/>
            <w:noWrap/>
            <w:vAlign w:val="bottom"/>
          </w:tcPr>
          <w:p w14:paraId="30824B68"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8,2</w:t>
            </w:r>
          </w:p>
        </w:tc>
        <w:tc>
          <w:tcPr>
            <w:tcW w:w="616" w:type="dxa"/>
            <w:tcBorders>
              <w:top w:val="nil"/>
              <w:left w:val="nil"/>
              <w:right w:val="nil"/>
            </w:tcBorders>
            <w:shd w:val="clear" w:color="auto" w:fill="auto"/>
            <w:noWrap/>
            <w:vAlign w:val="bottom"/>
          </w:tcPr>
          <w:p w14:paraId="1193ACE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8,3</w:t>
            </w:r>
          </w:p>
        </w:tc>
        <w:tc>
          <w:tcPr>
            <w:tcW w:w="616" w:type="dxa"/>
            <w:tcBorders>
              <w:top w:val="nil"/>
              <w:left w:val="nil"/>
              <w:right w:val="nil"/>
            </w:tcBorders>
            <w:shd w:val="clear" w:color="auto" w:fill="auto"/>
            <w:noWrap/>
            <w:vAlign w:val="bottom"/>
          </w:tcPr>
          <w:p w14:paraId="695CBE68"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8,1</w:t>
            </w:r>
          </w:p>
        </w:tc>
        <w:tc>
          <w:tcPr>
            <w:tcW w:w="616" w:type="dxa"/>
            <w:tcBorders>
              <w:top w:val="nil"/>
              <w:left w:val="nil"/>
              <w:right w:val="nil"/>
            </w:tcBorders>
            <w:shd w:val="clear" w:color="auto" w:fill="auto"/>
            <w:noWrap/>
            <w:vAlign w:val="bottom"/>
          </w:tcPr>
          <w:p w14:paraId="2601873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8,3</w:t>
            </w:r>
          </w:p>
        </w:tc>
        <w:tc>
          <w:tcPr>
            <w:tcW w:w="581" w:type="dxa"/>
            <w:tcBorders>
              <w:top w:val="nil"/>
              <w:left w:val="nil"/>
              <w:right w:val="nil"/>
            </w:tcBorders>
            <w:shd w:val="clear" w:color="auto" w:fill="auto"/>
            <w:vAlign w:val="bottom"/>
          </w:tcPr>
          <w:p w14:paraId="23ADA80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8,3</w:t>
            </w:r>
          </w:p>
        </w:tc>
        <w:tc>
          <w:tcPr>
            <w:tcW w:w="651" w:type="dxa"/>
            <w:tcBorders>
              <w:top w:val="nil"/>
              <w:left w:val="nil"/>
              <w:right w:val="nil"/>
            </w:tcBorders>
            <w:shd w:val="clear" w:color="auto" w:fill="auto"/>
            <w:vAlign w:val="bottom"/>
          </w:tcPr>
          <w:p w14:paraId="58147E0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8,3</w:t>
            </w:r>
          </w:p>
        </w:tc>
      </w:tr>
      <w:tr w:rsidR="00205239" w:rsidRPr="00CD7CF2" w14:paraId="426FB91D" w14:textId="77777777" w:rsidTr="00FB2839">
        <w:trPr>
          <w:trHeight w:val="264"/>
          <w:jc w:val="center"/>
        </w:trPr>
        <w:tc>
          <w:tcPr>
            <w:tcW w:w="1760" w:type="dxa"/>
            <w:tcBorders>
              <w:top w:val="nil"/>
              <w:left w:val="nil"/>
              <w:bottom w:val="single" w:sz="4" w:space="0" w:color="auto"/>
              <w:right w:val="nil"/>
            </w:tcBorders>
            <w:shd w:val="clear" w:color="auto" w:fill="auto"/>
            <w:noWrap/>
            <w:vAlign w:val="center"/>
          </w:tcPr>
          <w:p w14:paraId="3EDE0239"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Desconcentradas</w:t>
            </w:r>
          </w:p>
        </w:tc>
        <w:tc>
          <w:tcPr>
            <w:tcW w:w="616" w:type="dxa"/>
            <w:tcBorders>
              <w:top w:val="nil"/>
              <w:left w:val="nil"/>
              <w:bottom w:val="single" w:sz="4" w:space="0" w:color="auto"/>
              <w:right w:val="nil"/>
            </w:tcBorders>
            <w:shd w:val="clear" w:color="auto" w:fill="auto"/>
            <w:noWrap/>
            <w:vAlign w:val="bottom"/>
          </w:tcPr>
          <w:p w14:paraId="6608083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w:t>
            </w:r>
          </w:p>
        </w:tc>
        <w:tc>
          <w:tcPr>
            <w:tcW w:w="616" w:type="dxa"/>
            <w:tcBorders>
              <w:top w:val="nil"/>
              <w:left w:val="nil"/>
              <w:bottom w:val="single" w:sz="4" w:space="0" w:color="auto"/>
              <w:right w:val="nil"/>
            </w:tcBorders>
            <w:shd w:val="clear" w:color="auto" w:fill="auto"/>
            <w:noWrap/>
            <w:vAlign w:val="bottom"/>
          </w:tcPr>
          <w:p w14:paraId="5D30191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w:t>
            </w:r>
          </w:p>
        </w:tc>
        <w:tc>
          <w:tcPr>
            <w:tcW w:w="616" w:type="dxa"/>
            <w:tcBorders>
              <w:top w:val="nil"/>
              <w:left w:val="nil"/>
              <w:bottom w:val="single" w:sz="4" w:space="0" w:color="auto"/>
              <w:right w:val="nil"/>
            </w:tcBorders>
            <w:shd w:val="clear" w:color="auto" w:fill="auto"/>
            <w:noWrap/>
            <w:vAlign w:val="bottom"/>
          </w:tcPr>
          <w:p w14:paraId="193EA16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w:t>
            </w:r>
          </w:p>
        </w:tc>
        <w:tc>
          <w:tcPr>
            <w:tcW w:w="616" w:type="dxa"/>
            <w:tcBorders>
              <w:top w:val="nil"/>
              <w:left w:val="nil"/>
              <w:bottom w:val="single" w:sz="4" w:space="0" w:color="auto"/>
              <w:right w:val="nil"/>
            </w:tcBorders>
            <w:shd w:val="clear" w:color="auto" w:fill="auto"/>
            <w:noWrap/>
            <w:vAlign w:val="bottom"/>
          </w:tcPr>
          <w:p w14:paraId="12C1D7E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616" w:type="dxa"/>
            <w:tcBorders>
              <w:top w:val="nil"/>
              <w:left w:val="nil"/>
              <w:bottom w:val="single" w:sz="4" w:space="0" w:color="auto"/>
              <w:right w:val="nil"/>
            </w:tcBorders>
            <w:shd w:val="clear" w:color="auto" w:fill="auto"/>
            <w:noWrap/>
            <w:vAlign w:val="bottom"/>
          </w:tcPr>
          <w:p w14:paraId="3184DF0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616" w:type="dxa"/>
            <w:tcBorders>
              <w:top w:val="nil"/>
              <w:left w:val="nil"/>
              <w:bottom w:val="single" w:sz="4" w:space="0" w:color="auto"/>
              <w:right w:val="nil"/>
            </w:tcBorders>
            <w:shd w:val="clear" w:color="auto" w:fill="auto"/>
            <w:noWrap/>
            <w:vAlign w:val="bottom"/>
          </w:tcPr>
          <w:p w14:paraId="516D2A7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616" w:type="dxa"/>
            <w:tcBorders>
              <w:top w:val="nil"/>
              <w:left w:val="nil"/>
              <w:bottom w:val="single" w:sz="4" w:space="0" w:color="auto"/>
              <w:right w:val="nil"/>
            </w:tcBorders>
            <w:shd w:val="clear" w:color="auto" w:fill="auto"/>
            <w:noWrap/>
            <w:vAlign w:val="bottom"/>
          </w:tcPr>
          <w:p w14:paraId="640415E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616" w:type="dxa"/>
            <w:tcBorders>
              <w:top w:val="nil"/>
              <w:left w:val="nil"/>
              <w:bottom w:val="single" w:sz="4" w:space="0" w:color="auto"/>
              <w:right w:val="nil"/>
            </w:tcBorders>
            <w:shd w:val="clear" w:color="auto" w:fill="auto"/>
            <w:noWrap/>
            <w:vAlign w:val="bottom"/>
          </w:tcPr>
          <w:p w14:paraId="0BC897C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1,6</w:t>
            </w:r>
          </w:p>
        </w:tc>
        <w:tc>
          <w:tcPr>
            <w:tcW w:w="616" w:type="dxa"/>
            <w:tcBorders>
              <w:top w:val="nil"/>
              <w:left w:val="nil"/>
              <w:bottom w:val="single" w:sz="4" w:space="0" w:color="auto"/>
              <w:right w:val="nil"/>
            </w:tcBorders>
            <w:shd w:val="clear" w:color="auto" w:fill="auto"/>
            <w:noWrap/>
            <w:vAlign w:val="bottom"/>
          </w:tcPr>
          <w:p w14:paraId="29749AB8"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581" w:type="dxa"/>
            <w:tcBorders>
              <w:top w:val="nil"/>
              <w:left w:val="nil"/>
              <w:bottom w:val="single" w:sz="4" w:space="0" w:color="auto"/>
              <w:right w:val="nil"/>
            </w:tcBorders>
            <w:shd w:val="clear" w:color="auto" w:fill="auto"/>
            <w:vAlign w:val="bottom"/>
          </w:tcPr>
          <w:p w14:paraId="7960595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c>
          <w:tcPr>
            <w:tcW w:w="651" w:type="dxa"/>
            <w:tcBorders>
              <w:top w:val="nil"/>
              <w:left w:val="nil"/>
              <w:bottom w:val="single" w:sz="4" w:space="0" w:color="auto"/>
              <w:right w:val="nil"/>
            </w:tcBorders>
            <w:shd w:val="clear" w:color="auto" w:fill="auto"/>
            <w:vAlign w:val="bottom"/>
          </w:tcPr>
          <w:p w14:paraId="00511A6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1,5</w:t>
            </w:r>
          </w:p>
        </w:tc>
      </w:tr>
      <w:tr w:rsidR="00205239" w:rsidRPr="00CD7CF2" w14:paraId="5ED77057" w14:textId="77777777" w:rsidTr="00FB2839">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531D6E7E"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b/>
                <w:bCs/>
                <w:color w:val="000000"/>
                <w:sz w:val="20"/>
                <w:szCs w:val="20"/>
              </w:rPr>
              <w:t>Subtotal</w:t>
            </w:r>
          </w:p>
        </w:tc>
        <w:tc>
          <w:tcPr>
            <w:tcW w:w="616" w:type="dxa"/>
            <w:tcBorders>
              <w:top w:val="single" w:sz="4" w:space="0" w:color="auto"/>
              <w:left w:val="nil"/>
              <w:bottom w:val="single" w:sz="4" w:space="0" w:color="auto"/>
              <w:right w:val="nil"/>
            </w:tcBorders>
            <w:shd w:val="clear" w:color="auto" w:fill="auto"/>
            <w:noWrap/>
            <w:vAlign w:val="bottom"/>
          </w:tcPr>
          <w:p w14:paraId="2B24C1A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19,8</w:t>
            </w:r>
          </w:p>
        </w:tc>
        <w:tc>
          <w:tcPr>
            <w:tcW w:w="616" w:type="dxa"/>
            <w:tcBorders>
              <w:top w:val="single" w:sz="4" w:space="0" w:color="auto"/>
              <w:left w:val="nil"/>
              <w:bottom w:val="single" w:sz="4" w:space="0" w:color="auto"/>
              <w:right w:val="nil"/>
            </w:tcBorders>
            <w:shd w:val="clear" w:color="auto" w:fill="auto"/>
            <w:noWrap/>
            <w:vAlign w:val="bottom"/>
          </w:tcPr>
          <w:p w14:paraId="3C25CA08"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20,1</w:t>
            </w:r>
          </w:p>
        </w:tc>
        <w:tc>
          <w:tcPr>
            <w:tcW w:w="616" w:type="dxa"/>
            <w:tcBorders>
              <w:top w:val="single" w:sz="4" w:space="0" w:color="auto"/>
              <w:left w:val="nil"/>
              <w:bottom w:val="single" w:sz="4" w:space="0" w:color="auto"/>
              <w:right w:val="nil"/>
            </w:tcBorders>
            <w:shd w:val="clear" w:color="auto" w:fill="auto"/>
            <w:noWrap/>
            <w:vAlign w:val="bottom"/>
          </w:tcPr>
          <w:p w14:paraId="10C46EC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22,8</w:t>
            </w:r>
          </w:p>
        </w:tc>
        <w:tc>
          <w:tcPr>
            <w:tcW w:w="616" w:type="dxa"/>
            <w:tcBorders>
              <w:top w:val="single" w:sz="4" w:space="0" w:color="auto"/>
              <w:left w:val="nil"/>
              <w:bottom w:val="single" w:sz="4" w:space="0" w:color="auto"/>
              <w:right w:val="nil"/>
            </w:tcBorders>
            <w:shd w:val="clear" w:color="auto" w:fill="auto"/>
            <w:noWrap/>
            <w:vAlign w:val="bottom"/>
          </w:tcPr>
          <w:p w14:paraId="5AD9670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23,8</w:t>
            </w:r>
          </w:p>
        </w:tc>
        <w:tc>
          <w:tcPr>
            <w:tcW w:w="616" w:type="dxa"/>
            <w:tcBorders>
              <w:top w:val="single" w:sz="4" w:space="0" w:color="auto"/>
              <w:left w:val="nil"/>
              <w:bottom w:val="single" w:sz="4" w:space="0" w:color="auto"/>
              <w:right w:val="nil"/>
            </w:tcBorders>
            <w:shd w:val="clear" w:color="auto" w:fill="auto"/>
            <w:noWrap/>
            <w:vAlign w:val="bottom"/>
          </w:tcPr>
          <w:p w14:paraId="615383D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24,1</w:t>
            </w:r>
          </w:p>
        </w:tc>
        <w:tc>
          <w:tcPr>
            <w:tcW w:w="616" w:type="dxa"/>
            <w:tcBorders>
              <w:top w:val="single" w:sz="4" w:space="0" w:color="auto"/>
              <w:left w:val="nil"/>
              <w:bottom w:val="single" w:sz="4" w:space="0" w:color="auto"/>
              <w:right w:val="nil"/>
            </w:tcBorders>
            <w:shd w:val="clear" w:color="auto" w:fill="auto"/>
            <w:noWrap/>
            <w:vAlign w:val="bottom"/>
          </w:tcPr>
          <w:p w14:paraId="5BF59D5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24,4</w:t>
            </w:r>
          </w:p>
        </w:tc>
        <w:tc>
          <w:tcPr>
            <w:tcW w:w="616" w:type="dxa"/>
            <w:tcBorders>
              <w:top w:val="single" w:sz="4" w:space="0" w:color="auto"/>
              <w:left w:val="nil"/>
              <w:bottom w:val="single" w:sz="4" w:space="0" w:color="auto"/>
              <w:right w:val="nil"/>
            </w:tcBorders>
            <w:shd w:val="clear" w:color="auto" w:fill="auto"/>
            <w:noWrap/>
            <w:vAlign w:val="bottom"/>
          </w:tcPr>
          <w:p w14:paraId="78A191A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25,4</w:t>
            </w:r>
          </w:p>
        </w:tc>
        <w:tc>
          <w:tcPr>
            <w:tcW w:w="616" w:type="dxa"/>
            <w:tcBorders>
              <w:top w:val="single" w:sz="4" w:space="0" w:color="auto"/>
              <w:left w:val="nil"/>
              <w:bottom w:val="single" w:sz="4" w:space="0" w:color="auto"/>
              <w:right w:val="nil"/>
            </w:tcBorders>
            <w:shd w:val="clear" w:color="auto" w:fill="auto"/>
            <w:noWrap/>
            <w:vAlign w:val="bottom"/>
          </w:tcPr>
          <w:p w14:paraId="695CBFD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25,1</w:t>
            </w:r>
          </w:p>
        </w:tc>
        <w:tc>
          <w:tcPr>
            <w:tcW w:w="616" w:type="dxa"/>
            <w:tcBorders>
              <w:top w:val="single" w:sz="4" w:space="0" w:color="auto"/>
              <w:left w:val="nil"/>
              <w:bottom w:val="single" w:sz="4" w:space="0" w:color="auto"/>
              <w:right w:val="nil"/>
            </w:tcBorders>
            <w:shd w:val="clear" w:color="auto" w:fill="auto"/>
            <w:noWrap/>
            <w:vAlign w:val="bottom"/>
          </w:tcPr>
          <w:p w14:paraId="2638090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25,4</w:t>
            </w:r>
          </w:p>
        </w:tc>
        <w:tc>
          <w:tcPr>
            <w:tcW w:w="581" w:type="dxa"/>
            <w:tcBorders>
              <w:top w:val="single" w:sz="4" w:space="0" w:color="auto"/>
              <w:left w:val="nil"/>
              <w:bottom w:val="single" w:sz="4" w:space="0" w:color="auto"/>
              <w:right w:val="nil"/>
            </w:tcBorders>
            <w:shd w:val="clear" w:color="auto" w:fill="auto"/>
            <w:vAlign w:val="bottom"/>
          </w:tcPr>
          <w:p w14:paraId="4EBFF3D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25,5</w:t>
            </w:r>
          </w:p>
        </w:tc>
        <w:tc>
          <w:tcPr>
            <w:tcW w:w="651" w:type="dxa"/>
            <w:tcBorders>
              <w:top w:val="single" w:sz="4" w:space="0" w:color="auto"/>
              <w:left w:val="nil"/>
              <w:bottom w:val="single" w:sz="4" w:space="0" w:color="auto"/>
              <w:right w:val="nil"/>
            </w:tcBorders>
            <w:shd w:val="clear" w:color="auto" w:fill="auto"/>
            <w:vAlign w:val="bottom"/>
          </w:tcPr>
          <w:p w14:paraId="34F9665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25,8</w:t>
            </w:r>
          </w:p>
        </w:tc>
      </w:tr>
      <w:tr w:rsidR="00205239" w:rsidRPr="00CD7CF2" w14:paraId="467AB203" w14:textId="77777777" w:rsidTr="00FB2839">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09FDB2EB"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 xml:space="preserve">Empresas </w:t>
            </w:r>
            <w:proofErr w:type="spellStart"/>
            <w:r w:rsidRPr="00CD7CF2">
              <w:rPr>
                <w:rFonts w:ascii="Times New Roman" w:eastAsia="Times New Roman" w:hAnsi="Times New Roman" w:cs="Times New Roman"/>
                <w:color w:val="000000"/>
                <w:sz w:val="20"/>
                <w:szCs w:val="20"/>
              </w:rPr>
              <w:t>Púb</w:t>
            </w:r>
            <w:proofErr w:type="spellEnd"/>
            <w:r w:rsidRPr="00CD7CF2">
              <w:rPr>
                <w:rFonts w:ascii="Times New Roman" w:eastAsia="Times New Roman" w:hAnsi="Times New Roman" w:cs="Times New Roman"/>
                <w:color w:val="000000"/>
                <w:sz w:val="20"/>
                <w:szCs w:val="20"/>
              </w:rPr>
              <w:t>.</w:t>
            </w:r>
          </w:p>
        </w:tc>
        <w:tc>
          <w:tcPr>
            <w:tcW w:w="616" w:type="dxa"/>
            <w:tcBorders>
              <w:top w:val="single" w:sz="4" w:space="0" w:color="auto"/>
              <w:left w:val="nil"/>
              <w:bottom w:val="single" w:sz="4" w:space="0" w:color="auto"/>
              <w:right w:val="nil"/>
            </w:tcBorders>
            <w:shd w:val="clear" w:color="auto" w:fill="auto"/>
            <w:noWrap/>
            <w:vAlign w:val="bottom"/>
          </w:tcPr>
          <w:p w14:paraId="64C597C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11,1</w:t>
            </w:r>
          </w:p>
        </w:tc>
        <w:tc>
          <w:tcPr>
            <w:tcW w:w="616" w:type="dxa"/>
            <w:tcBorders>
              <w:top w:val="single" w:sz="4" w:space="0" w:color="auto"/>
              <w:left w:val="nil"/>
              <w:bottom w:val="single" w:sz="4" w:space="0" w:color="auto"/>
              <w:right w:val="nil"/>
            </w:tcBorders>
            <w:shd w:val="clear" w:color="auto" w:fill="auto"/>
            <w:noWrap/>
            <w:vAlign w:val="bottom"/>
          </w:tcPr>
          <w:p w14:paraId="0B5C357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14,1</w:t>
            </w:r>
          </w:p>
        </w:tc>
        <w:tc>
          <w:tcPr>
            <w:tcW w:w="616" w:type="dxa"/>
            <w:tcBorders>
              <w:top w:val="single" w:sz="4" w:space="0" w:color="auto"/>
              <w:left w:val="nil"/>
              <w:bottom w:val="single" w:sz="4" w:space="0" w:color="auto"/>
              <w:right w:val="nil"/>
            </w:tcBorders>
            <w:shd w:val="clear" w:color="auto" w:fill="auto"/>
            <w:noWrap/>
            <w:vAlign w:val="bottom"/>
          </w:tcPr>
          <w:p w14:paraId="6B7BC1F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11,3</w:t>
            </w:r>
          </w:p>
        </w:tc>
        <w:tc>
          <w:tcPr>
            <w:tcW w:w="616" w:type="dxa"/>
            <w:tcBorders>
              <w:top w:val="single" w:sz="4" w:space="0" w:color="auto"/>
              <w:left w:val="nil"/>
              <w:bottom w:val="single" w:sz="4" w:space="0" w:color="auto"/>
              <w:right w:val="nil"/>
            </w:tcBorders>
            <w:shd w:val="clear" w:color="auto" w:fill="auto"/>
            <w:noWrap/>
            <w:vAlign w:val="bottom"/>
          </w:tcPr>
          <w:p w14:paraId="05CDE3C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11,6</w:t>
            </w:r>
          </w:p>
        </w:tc>
        <w:tc>
          <w:tcPr>
            <w:tcW w:w="616" w:type="dxa"/>
            <w:tcBorders>
              <w:top w:val="single" w:sz="4" w:space="0" w:color="auto"/>
              <w:left w:val="nil"/>
              <w:bottom w:val="single" w:sz="4" w:space="0" w:color="auto"/>
              <w:right w:val="nil"/>
            </w:tcBorders>
            <w:shd w:val="clear" w:color="auto" w:fill="auto"/>
            <w:noWrap/>
            <w:vAlign w:val="bottom"/>
          </w:tcPr>
          <w:p w14:paraId="46A6F25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12,1</w:t>
            </w:r>
          </w:p>
        </w:tc>
        <w:tc>
          <w:tcPr>
            <w:tcW w:w="616" w:type="dxa"/>
            <w:tcBorders>
              <w:top w:val="single" w:sz="4" w:space="0" w:color="auto"/>
              <w:left w:val="nil"/>
              <w:bottom w:val="single" w:sz="4" w:space="0" w:color="auto"/>
              <w:right w:val="nil"/>
            </w:tcBorders>
            <w:shd w:val="clear" w:color="auto" w:fill="auto"/>
            <w:noWrap/>
            <w:vAlign w:val="bottom"/>
          </w:tcPr>
          <w:p w14:paraId="0DAB2F2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11,5</w:t>
            </w:r>
          </w:p>
        </w:tc>
        <w:tc>
          <w:tcPr>
            <w:tcW w:w="616" w:type="dxa"/>
            <w:tcBorders>
              <w:top w:val="single" w:sz="4" w:space="0" w:color="auto"/>
              <w:left w:val="nil"/>
              <w:bottom w:val="single" w:sz="4" w:space="0" w:color="auto"/>
              <w:right w:val="nil"/>
            </w:tcBorders>
            <w:shd w:val="clear" w:color="auto" w:fill="auto"/>
            <w:noWrap/>
            <w:vAlign w:val="bottom"/>
          </w:tcPr>
          <w:p w14:paraId="7B3B915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11,6</w:t>
            </w:r>
          </w:p>
        </w:tc>
        <w:tc>
          <w:tcPr>
            <w:tcW w:w="616" w:type="dxa"/>
            <w:tcBorders>
              <w:top w:val="single" w:sz="4" w:space="0" w:color="auto"/>
              <w:left w:val="nil"/>
              <w:bottom w:val="single" w:sz="4" w:space="0" w:color="auto"/>
              <w:right w:val="nil"/>
            </w:tcBorders>
            <w:shd w:val="clear" w:color="auto" w:fill="auto"/>
            <w:noWrap/>
            <w:vAlign w:val="bottom"/>
          </w:tcPr>
          <w:p w14:paraId="3744026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11,2</w:t>
            </w:r>
          </w:p>
        </w:tc>
        <w:tc>
          <w:tcPr>
            <w:tcW w:w="616" w:type="dxa"/>
            <w:tcBorders>
              <w:top w:val="single" w:sz="4" w:space="0" w:color="auto"/>
              <w:left w:val="nil"/>
              <w:bottom w:val="single" w:sz="4" w:space="0" w:color="auto"/>
              <w:right w:val="nil"/>
            </w:tcBorders>
            <w:shd w:val="clear" w:color="auto" w:fill="auto"/>
            <w:noWrap/>
            <w:vAlign w:val="bottom"/>
          </w:tcPr>
          <w:p w14:paraId="471D526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8,7</w:t>
            </w:r>
          </w:p>
        </w:tc>
        <w:tc>
          <w:tcPr>
            <w:tcW w:w="581" w:type="dxa"/>
            <w:tcBorders>
              <w:top w:val="single" w:sz="4" w:space="0" w:color="auto"/>
              <w:left w:val="nil"/>
              <w:bottom w:val="single" w:sz="4" w:space="0" w:color="auto"/>
              <w:right w:val="nil"/>
            </w:tcBorders>
            <w:shd w:val="clear" w:color="auto" w:fill="auto"/>
            <w:vAlign w:val="bottom"/>
          </w:tcPr>
          <w:p w14:paraId="4AEE441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8,2</w:t>
            </w:r>
          </w:p>
        </w:tc>
        <w:tc>
          <w:tcPr>
            <w:tcW w:w="651" w:type="dxa"/>
            <w:tcBorders>
              <w:top w:val="single" w:sz="4" w:space="0" w:color="auto"/>
              <w:left w:val="nil"/>
              <w:bottom w:val="single" w:sz="4" w:space="0" w:color="auto"/>
              <w:right w:val="nil"/>
            </w:tcBorders>
            <w:shd w:val="clear" w:color="auto" w:fill="auto"/>
            <w:vAlign w:val="bottom"/>
          </w:tcPr>
          <w:p w14:paraId="31B6A23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8,5</w:t>
            </w:r>
          </w:p>
        </w:tc>
      </w:tr>
      <w:tr w:rsidR="00205239" w:rsidRPr="00CD7CF2" w14:paraId="25A09AF2" w14:textId="77777777" w:rsidTr="00FB2839">
        <w:trPr>
          <w:trHeight w:val="276"/>
          <w:jc w:val="center"/>
        </w:trPr>
        <w:tc>
          <w:tcPr>
            <w:tcW w:w="1760" w:type="dxa"/>
            <w:tcBorders>
              <w:top w:val="single" w:sz="4" w:space="0" w:color="auto"/>
              <w:left w:val="nil"/>
              <w:bottom w:val="double" w:sz="6" w:space="0" w:color="auto"/>
              <w:right w:val="nil"/>
            </w:tcBorders>
            <w:shd w:val="clear" w:color="auto" w:fill="auto"/>
            <w:noWrap/>
            <w:vAlign w:val="center"/>
          </w:tcPr>
          <w:p w14:paraId="6C0BEB3D" w14:textId="77777777" w:rsidR="00205239" w:rsidRPr="00CD7CF2" w:rsidRDefault="00205239" w:rsidP="00FB2839">
            <w:pPr>
              <w:spacing w:after="0" w:line="240" w:lineRule="auto"/>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Total</w:t>
            </w:r>
          </w:p>
        </w:tc>
        <w:tc>
          <w:tcPr>
            <w:tcW w:w="616" w:type="dxa"/>
            <w:tcBorders>
              <w:top w:val="single" w:sz="4" w:space="0" w:color="auto"/>
              <w:left w:val="nil"/>
              <w:bottom w:val="double" w:sz="4" w:space="0" w:color="auto"/>
              <w:right w:val="nil"/>
            </w:tcBorders>
            <w:shd w:val="clear" w:color="auto" w:fill="auto"/>
            <w:noWrap/>
            <w:vAlign w:val="bottom"/>
          </w:tcPr>
          <w:p w14:paraId="204C6E4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30,9</w:t>
            </w:r>
          </w:p>
        </w:tc>
        <w:tc>
          <w:tcPr>
            <w:tcW w:w="616" w:type="dxa"/>
            <w:tcBorders>
              <w:top w:val="single" w:sz="4" w:space="0" w:color="auto"/>
              <w:left w:val="nil"/>
              <w:bottom w:val="double" w:sz="4" w:space="0" w:color="auto"/>
              <w:right w:val="nil"/>
            </w:tcBorders>
            <w:shd w:val="clear" w:color="auto" w:fill="auto"/>
            <w:noWrap/>
            <w:vAlign w:val="bottom"/>
          </w:tcPr>
          <w:p w14:paraId="2F309CF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34,2</w:t>
            </w:r>
          </w:p>
        </w:tc>
        <w:tc>
          <w:tcPr>
            <w:tcW w:w="616" w:type="dxa"/>
            <w:tcBorders>
              <w:top w:val="single" w:sz="4" w:space="0" w:color="auto"/>
              <w:left w:val="nil"/>
              <w:bottom w:val="double" w:sz="4" w:space="0" w:color="auto"/>
              <w:right w:val="nil"/>
            </w:tcBorders>
            <w:shd w:val="clear" w:color="auto" w:fill="auto"/>
            <w:noWrap/>
            <w:vAlign w:val="bottom"/>
          </w:tcPr>
          <w:p w14:paraId="7701DE5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34,0</w:t>
            </w:r>
          </w:p>
        </w:tc>
        <w:tc>
          <w:tcPr>
            <w:tcW w:w="616" w:type="dxa"/>
            <w:tcBorders>
              <w:top w:val="single" w:sz="4" w:space="0" w:color="auto"/>
              <w:left w:val="nil"/>
              <w:bottom w:val="double" w:sz="4" w:space="0" w:color="auto"/>
              <w:right w:val="nil"/>
            </w:tcBorders>
            <w:shd w:val="clear" w:color="auto" w:fill="auto"/>
            <w:noWrap/>
            <w:vAlign w:val="bottom"/>
          </w:tcPr>
          <w:p w14:paraId="1DBC3F3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35,3</w:t>
            </w:r>
          </w:p>
        </w:tc>
        <w:tc>
          <w:tcPr>
            <w:tcW w:w="616" w:type="dxa"/>
            <w:tcBorders>
              <w:top w:val="single" w:sz="4" w:space="0" w:color="auto"/>
              <w:left w:val="nil"/>
              <w:bottom w:val="double" w:sz="4" w:space="0" w:color="auto"/>
              <w:right w:val="nil"/>
            </w:tcBorders>
            <w:shd w:val="clear" w:color="auto" w:fill="auto"/>
            <w:noWrap/>
            <w:vAlign w:val="bottom"/>
          </w:tcPr>
          <w:p w14:paraId="59D2326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36,2</w:t>
            </w:r>
          </w:p>
        </w:tc>
        <w:tc>
          <w:tcPr>
            <w:tcW w:w="616" w:type="dxa"/>
            <w:tcBorders>
              <w:top w:val="single" w:sz="4" w:space="0" w:color="auto"/>
              <w:left w:val="nil"/>
              <w:bottom w:val="double" w:sz="4" w:space="0" w:color="auto"/>
              <w:right w:val="nil"/>
            </w:tcBorders>
            <w:shd w:val="clear" w:color="auto" w:fill="auto"/>
            <w:noWrap/>
            <w:vAlign w:val="bottom"/>
          </w:tcPr>
          <w:p w14:paraId="6FE4FC0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35,9</w:t>
            </w:r>
          </w:p>
        </w:tc>
        <w:tc>
          <w:tcPr>
            <w:tcW w:w="616" w:type="dxa"/>
            <w:tcBorders>
              <w:top w:val="single" w:sz="4" w:space="0" w:color="auto"/>
              <w:left w:val="nil"/>
              <w:bottom w:val="double" w:sz="4" w:space="0" w:color="auto"/>
              <w:right w:val="nil"/>
            </w:tcBorders>
            <w:shd w:val="clear" w:color="auto" w:fill="auto"/>
            <w:noWrap/>
            <w:vAlign w:val="bottom"/>
          </w:tcPr>
          <w:p w14:paraId="3EA470A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37,0</w:t>
            </w:r>
          </w:p>
        </w:tc>
        <w:tc>
          <w:tcPr>
            <w:tcW w:w="616" w:type="dxa"/>
            <w:tcBorders>
              <w:top w:val="single" w:sz="4" w:space="0" w:color="auto"/>
              <w:left w:val="nil"/>
              <w:bottom w:val="double" w:sz="4" w:space="0" w:color="auto"/>
              <w:right w:val="nil"/>
            </w:tcBorders>
            <w:shd w:val="clear" w:color="auto" w:fill="auto"/>
            <w:noWrap/>
            <w:vAlign w:val="bottom"/>
          </w:tcPr>
          <w:p w14:paraId="4581A83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36,3</w:t>
            </w:r>
          </w:p>
        </w:tc>
        <w:tc>
          <w:tcPr>
            <w:tcW w:w="616" w:type="dxa"/>
            <w:tcBorders>
              <w:top w:val="single" w:sz="4" w:space="0" w:color="auto"/>
              <w:left w:val="nil"/>
              <w:bottom w:val="double" w:sz="4" w:space="0" w:color="auto"/>
              <w:right w:val="nil"/>
            </w:tcBorders>
            <w:shd w:val="clear" w:color="auto" w:fill="auto"/>
            <w:noWrap/>
            <w:vAlign w:val="bottom"/>
          </w:tcPr>
          <w:p w14:paraId="1A1FADD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34,1</w:t>
            </w:r>
          </w:p>
        </w:tc>
        <w:tc>
          <w:tcPr>
            <w:tcW w:w="581" w:type="dxa"/>
            <w:tcBorders>
              <w:top w:val="single" w:sz="4" w:space="0" w:color="auto"/>
              <w:left w:val="nil"/>
              <w:bottom w:val="double" w:sz="4" w:space="0" w:color="auto"/>
              <w:right w:val="nil"/>
            </w:tcBorders>
            <w:shd w:val="clear" w:color="auto" w:fill="auto"/>
            <w:vAlign w:val="bottom"/>
          </w:tcPr>
          <w:p w14:paraId="4C5BB7E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33,7</w:t>
            </w:r>
          </w:p>
        </w:tc>
        <w:tc>
          <w:tcPr>
            <w:tcW w:w="651" w:type="dxa"/>
            <w:tcBorders>
              <w:top w:val="single" w:sz="4" w:space="0" w:color="auto"/>
              <w:left w:val="nil"/>
              <w:bottom w:val="double" w:sz="4" w:space="0" w:color="auto"/>
              <w:right w:val="nil"/>
            </w:tcBorders>
            <w:shd w:val="clear" w:color="auto" w:fill="auto"/>
            <w:vAlign w:val="bottom"/>
          </w:tcPr>
          <w:p w14:paraId="75AA698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34,3</w:t>
            </w:r>
          </w:p>
        </w:tc>
      </w:tr>
      <w:tr w:rsidR="00205239" w:rsidRPr="00CD7CF2" w14:paraId="124398F2" w14:textId="77777777" w:rsidTr="003963CA">
        <w:trPr>
          <w:trHeight w:val="117"/>
          <w:jc w:val="center"/>
        </w:trPr>
        <w:tc>
          <w:tcPr>
            <w:tcW w:w="1760" w:type="dxa"/>
            <w:tcBorders>
              <w:top w:val="nil"/>
              <w:left w:val="nil"/>
              <w:bottom w:val="double" w:sz="6" w:space="0" w:color="auto"/>
              <w:right w:val="nil"/>
            </w:tcBorders>
            <w:shd w:val="clear" w:color="auto" w:fill="auto"/>
            <w:noWrap/>
            <w:vAlign w:val="center"/>
            <w:hideMark/>
          </w:tcPr>
          <w:p w14:paraId="1D650378"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4742C5FF"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67B29257"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48A4F11E"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7AC2D9BF" w14:textId="77777777" w:rsidR="00205239" w:rsidRPr="003963CA" w:rsidRDefault="00205239" w:rsidP="00FB2839">
            <w:pPr>
              <w:spacing w:after="0" w:line="240" w:lineRule="auto"/>
              <w:jc w:val="right"/>
              <w:rPr>
                <w:rFonts w:ascii="Times New Roman" w:eastAsia="Times New Roman" w:hAnsi="Times New Roman" w:cs="Times New Roman"/>
                <w:color w:val="000000"/>
                <w:sz w:val="8"/>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20286A07"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497848E9"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2691FF98"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4A0721BE"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16" w:type="dxa"/>
            <w:tcBorders>
              <w:top w:val="double" w:sz="4" w:space="0" w:color="auto"/>
              <w:left w:val="nil"/>
              <w:bottom w:val="double" w:sz="6" w:space="0" w:color="auto"/>
              <w:right w:val="nil"/>
            </w:tcBorders>
            <w:shd w:val="clear" w:color="auto" w:fill="auto"/>
            <w:noWrap/>
            <w:vAlign w:val="center"/>
            <w:hideMark/>
          </w:tcPr>
          <w:p w14:paraId="0EA6405B"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581" w:type="dxa"/>
            <w:tcBorders>
              <w:top w:val="double" w:sz="4" w:space="0" w:color="auto"/>
              <w:left w:val="nil"/>
              <w:bottom w:val="double" w:sz="6" w:space="0" w:color="auto"/>
              <w:right w:val="nil"/>
            </w:tcBorders>
            <w:vAlign w:val="center"/>
          </w:tcPr>
          <w:p w14:paraId="1AFF9DBB"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c>
          <w:tcPr>
            <w:tcW w:w="651" w:type="dxa"/>
            <w:tcBorders>
              <w:top w:val="double" w:sz="4" w:space="0" w:color="auto"/>
              <w:left w:val="nil"/>
              <w:bottom w:val="double" w:sz="6" w:space="0" w:color="auto"/>
              <w:right w:val="nil"/>
            </w:tcBorders>
            <w:vAlign w:val="center"/>
          </w:tcPr>
          <w:p w14:paraId="5B52CB06" w14:textId="77777777" w:rsidR="00205239" w:rsidRPr="00CD7CF2" w:rsidRDefault="00205239" w:rsidP="00FB2839">
            <w:pPr>
              <w:spacing w:after="0" w:line="240" w:lineRule="auto"/>
              <w:jc w:val="right"/>
              <w:rPr>
                <w:rFonts w:ascii="Times New Roman" w:eastAsia="Times New Roman" w:hAnsi="Times New Roman" w:cs="Times New Roman"/>
                <w:color w:val="000000"/>
                <w:sz w:val="20"/>
                <w:szCs w:val="20"/>
              </w:rPr>
            </w:pPr>
          </w:p>
        </w:tc>
      </w:tr>
      <w:tr w:rsidR="00205239" w:rsidRPr="00CD7CF2" w14:paraId="7044F185" w14:textId="77777777" w:rsidTr="00FB2839">
        <w:trPr>
          <w:trHeight w:val="276"/>
          <w:jc w:val="center"/>
        </w:trPr>
        <w:tc>
          <w:tcPr>
            <w:tcW w:w="1760" w:type="dxa"/>
            <w:tcBorders>
              <w:top w:val="nil"/>
              <w:left w:val="nil"/>
              <w:bottom w:val="nil"/>
              <w:right w:val="nil"/>
            </w:tcBorders>
            <w:shd w:val="clear" w:color="auto" w:fill="auto"/>
            <w:noWrap/>
            <w:vAlign w:val="center"/>
            <w:hideMark/>
          </w:tcPr>
          <w:p w14:paraId="464F47BE" w14:textId="77777777" w:rsidR="00205239" w:rsidRPr="00CD7CF2" w:rsidRDefault="00205239" w:rsidP="00FB2839">
            <w:pPr>
              <w:spacing w:after="0" w:line="240" w:lineRule="auto"/>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Remuneraciones</w:t>
            </w:r>
          </w:p>
        </w:tc>
        <w:tc>
          <w:tcPr>
            <w:tcW w:w="616" w:type="dxa"/>
            <w:tcBorders>
              <w:top w:val="double" w:sz="6" w:space="0" w:color="auto"/>
              <w:left w:val="nil"/>
              <w:bottom w:val="single" w:sz="4" w:space="0" w:color="auto"/>
              <w:right w:val="nil"/>
            </w:tcBorders>
            <w:shd w:val="clear" w:color="auto" w:fill="auto"/>
            <w:noWrap/>
            <w:vAlign w:val="center"/>
            <w:hideMark/>
          </w:tcPr>
          <w:p w14:paraId="6A8016F7"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2007</w:t>
            </w:r>
          </w:p>
        </w:tc>
        <w:tc>
          <w:tcPr>
            <w:tcW w:w="616" w:type="dxa"/>
            <w:tcBorders>
              <w:top w:val="double" w:sz="6" w:space="0" w:color="auto"/>
              <w:left w:val="nil"/>
              <w:bottom w:val="single" w:sz="4" w:space="0" w:color="auto"/>
              <w:right w:val="nil"/>
            </w:tcBorders>
            <w:shd w:val="clear" w:color="auto" w:fill="auto"/>
            <w:noWrap/>
            <w:vAlign w:val="center"/>
            <w:hideMark/>
          </w:tcPr>
          <w:p w14:paraId="4EFE04DB"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2008</w:t>
            </w:r>
          </w:p>
        </w:tc>
        <w:tc>
          <w:tcPr>
            <w:tcW w:w="616" w:type="dxa"/>
            <w:tcBorders>
              <w:top w:val="double" w:sz="6" w:space="0" w:color="auto"/>
              <w:left w:val="nil"/>
              <w:bottom w:val="single" w:sz="4" w:space="0" w:color="auto"/>
              <w:right w:val="nil"/>
            </w:tcBorders>
            <w:shd w:val="clear" w:color="auto" w:fill="auto"/>
            <w:noWrap/>
            <w:vAlign w:val="center"/>
            <w:hideMark/>
          </w:tcPr>
          <w:p w14:paraId="020D1A75"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2009</w:t>
            </w:r>
          </w:p>
        </w:tc>
        <w:tc>
          <w:tcPr>
            <w:tcW w:w="616" w:type="dxa"/>
            <w:tcBorders>
              <w:top w:val="double" w:sz="6" w:space="0" w:color="auto"/>
              <w:left w:val="nil"/>
              <w:bottom w:val="single" w:sz="4" w:space="0" w:color="auto"/>
              <w:right w:val="nil"/>
            </w:tcBorders>
            <w:shd w:val="clear" w:color="auto" w:fill="auto"/>
            <w:noWrap/>
            <w:vAlign w:val="center"/>
            <w:hideMark/>
          </w:tcPr>
          <w:p w14:paraId="4BBCA643"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2010</w:t>
            </w:r>
          </w:p>
        </w:tc>
        <w:tc>
          <w:tcPr>
            <w:tcW w:w="616" w:type="dxa"/>
            <w:tcBorders>
              <w:top w:val="double" w:sz="6" w:space="0" w:color="auto"/>
              <w:left w:val="nil"/>
              <w:bottom w:val="single" w:sz="4" w:space="0" w:color="auto"/>
              <w:right w:val="nil"/>
            </w:tcBorders>
            <w:shd w:val="clear" w:color="auto" w:fill="auto"/>
            <w:noWrap/>
            <w:vAlign w:val="center"/>
            <w:hideMark/>
          </w:tcPr>
          <w:p w14:paraId="1F43352E"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2011</w:t>
            </w:r>
          </w:p>
        </w:tc>
        <w:tc>
          <w:tcPr>
            <w:tcW w:w="616" w:type="dxa"/>
            <w:tcBorders>
              <w:top w:val="double" w:sz="6" w:space="0" w:color="auto"/>
              <w:left w:val="nil"/>
              <w:bottom w:val="single" w:sz="4" w:space="0" w:color="auto"/>
              <w:right w:val="nil"/>
            </w:tcBorders>
            <w:shd w:val="clear" w:color="auto" w:fill="auto"/>
            <w:noWrap/>
            <w:vAlign w:val="center"/>
            <w:hideMark/>
          </w:tcPr>
          <w:p w14:paraId="705BF236"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2012</w:t>
            </w:r>
          </w:p>
        </w:tc>
        <w:tc>
          <w:tcPr>
            <w:tcW w:w="616" w:type="dxa"/>
            <w:tcBorders>
              <w:top w:val="double" w:sz="6" w:space="0" w:color="auto"/>
              <w:left w:val="nil"/>
              <w:bottom w:val="single" w:sz="4" w:space="0" w:color="auto"/>
              <w:right w:val="nil"/>
            </w:tcBorders>
            <w:shd w:val="clear" w:color="auto" w:fill="auto"/>
            <w:noWrap/>
            <w:vAlign w:val="center"/>
            <w:hideMark/>
          </w:tcPr>
          <w:p w14:paraId="1267ECEB"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2013</w:t>
            </w:r>
          </w:p>
        </w:tc>
        <w:tc>
          <w:tcPr>
            <w:tcW w:w="616" w:type="dxa"/>
            <w:tcBorders>
              <w:top w:val="double" w:sz="6" w:space="0" w:color="auto"/>
              <w:left w:val="nil"/>
              <w:bottom w:val="single" w:sz="4" w:space="0" w:color="auto"/>
              <w:right w:val="nil"/>
            </w:tcBorders>
            <w:shd w:val="clear" w:color="auto" w:fill="auto"/>
            <w:noWrap/>
            <w:vAlign w:val="center"/>
            <w:hideMark/>
          </w:tcPr>
          <w:p w14:paraId="37F8AB0B"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2014</w:t>
            </w:r>
          </w:p>
        </w:tc>
        <w:tc>
          <w:tcPr>
            <w:tcW w:w="616" w:type="dxa"/>
            <w:tcBorders>
              <w:top w:val="double" w:sz="6" w:space="0" w:color="auto"/>
              <w:left w:val="nil"/>
              <w:bottom w:val="single" w:sz="4" w:space="0" w:color="auto"/>
              <w:right w:val="nil"/>
            </w:tcBorders>
            <w:shd w:val="clear" w:color="auto" w:fill="auto"/>
            <w:noWrap/>
            <w:vAlign w:val="center"/>
            <w:hideMark/>
          </w:tcPr>
          <w:p w14:paraId="59C69D43"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2015</w:t>
            </w:r>
          </w:p>
        </w:tc>
        <w:tc>
          <w:tcPr>
            <w:tcW w:w="581" w:type="dxa"/>
            <w:tcBorders>
              <w:top w:val="double" w:sz="6" w:space="0" w:color="auto"/>
              <w:left w:val="nil"/>
              <w:bottom w:val="single" w:sz="4" w:space="0" w:color="auto"/>
              <w:right w:val="nil"/>
            </w:tcBorders>
            <w:vAlign w:val="center"/>
          </w:tcPr>
          <w:p w14:paraId="338BEC22"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2016</w:t>
            </w:r>
          </w:p>
        </w:tc>
        <w:tc>
          <w:tcPr>
            <w:tcW w:w="651" w:type="dxa"/>
            <w:tcBorders>
              <w:top w:val="double" w:sz="6" w:space="0" w:color="auto"/>
              <w:left w:val="nil"/>
              <w:bottom w:val="single" w:sz="4" w:space="0" w:color="auto"/>
              <w:right w:val="nil"/>
            </w:tcBorders>
            <w:vAlign w:val="center"/>
          </w:tcPr>
          <w:p w14:paraId="19EE9132" w14:textId="77777777" w:rsidR="00205239" w:rsidRPr="00CD7CF2" w:rsidRDefault="00205239" w:rsidP="002246E2">
            <w:pPr>
              <w:spacing w:after="0" w:line="240" w:lineRule="auto"/>
              <w:jc w:val="center"/>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2017</w:t>
            </w:r>
          </w:p>
        </w:tc>
      </w:tr>
      <w:tr w:rsidR="00205239" w:rsidRPr="00CD7CF2" w14:paraId="4CBAE613" w14:textId="77777777" w:rsidTr="00FB2839">
        <w:trPr>
          <w:trHeight w:val="264"/>
          <w:jc w:val="center"/>
        </w:trPr>
        <w:tc>
          <w:tcPr>
            <w:tcW w:w="1760" w:type="dxa"/>
            <w:tcBorders>
              <w:top w:val="single" w:sz="4" w:space="0" w:color="auto"/>
              <w:left w:val="nil"/>
              <w:bottom w:val="nil"/>
              <w:right w:val="nil"/>
            </w:tcBorders>
            <w:shd w:val="clear" w:color="auto" w:fill="auto"/>
            <w:noWrap/>
            <w:vAlign w:val="center"/>
            <w:hideMark/>
          </w:tcPr>
          <w:p w14:paraId="1FF26AAA"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Gobierno Central</w:t>
            </w:r>
          </w:p>
        </w:tc>
        <w:tc>
          <w:tcPr>
            <w:tcW w:w="616" w:type="dxa"/>
            <w:tcBorders>
              <w:top w:val="single" w:sz="4" w:space="0" w:color="auto"/>
            </w:tcBorders>
            <w:noWrap/>
          </w:tcPr>
          <w:p w14:paraId="31F2AC3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5,2</w:t>
            </w:r>
          </w:p>
        </w:tc>
        <w:tc>
          <w:tcPr>
            <w:tcW w:w="616" w:type="dxa"/>
            <w:tcBorders>
              <w:top w:val="single" w:sz="4" w:space="0" w:color="auto"/>
            </w:tcBorders>
            <w:noWrap/>
          </w:tcPr>
          <w:p w14:paraId="45C667A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5,3</w:t>
            </w:r>
          </w:p>
        </w:tc>
        <w:tc>
          <w:tcPr>
            <w:tcW w:w="616" w:type="dxa"/>
            <w:tcBorders>
              <w:top w:val="single" w:sz="4" w:space="0" w:color="auto"/>
            </w:tcBorders>
            <w:noWrap/>
          </w:tcPr>
          <w:p w14:paraId="6782E35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6,4</w:t>
            </w:r>
          </w:p>
        </w:tc>
        <w:tc>
          <w:tcPr>
            <w:tcW w:w="616" w:type="dxa"/>
            <w:tcBorders>
              <w:top w:val="single" w:sz="4" w:space="0" w:color="auto"/>
            </w:tcBorders>
            <w:noWrap/>
          </w:tcPr>
          <w:p w14:paraId="2358FFA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6,9</w:t>
            </w:r>
          </w:p>
        </w:tc>
        <w:tc>
          <w:tcPr>
            <w:tcW w:w="616" w:type="dxa"/>
            <w:tcBorders>
              <w:top w:val="single" w:sz="4" w:space="0" w:color="auto"/>
            </w:tcBorders>
            <w:noWrap/>
          </w:tcPr>
          <w:p w14:paraId="2854DBE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7,1</w:t>
            </w:r>
          </w:p>
        </w:tc>
        <w:tc>
          <w:tcPr>
            <w:tcW w:w="616" w:type="dxa"/>
            <w:tcBorders>
              <w:top w:val="single" w:sz="4" w:space="0" w:color="auto"/>
            </w:tcBorders>
            <w:noWrap/>
          </w:tcPr>
          <w:p w14:paraId="5A85CB4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7,0</w:t>
            </w:r>
          </w:p>
        </w:tc>
        <w:tc>
          <w:tcPr>
            <w:tcW w:w="616" w:type="dxa"/>
            <w:tcBorders>
              <w:top w:val="single" w:sz="4" w:space="0" w:color="auto"/>
            </w:tcBorders>
            <w:noWrap/>
          </w:tcPr>
          <w:p w14:paraId="59D4DEE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7,3</w:t>
            </w:r>
          </w:p>
        </w:tc>
        <w:tc>
          <w:tcPr>
            <w:tcW w:w="616" w:type="dxa"/>
            <w:tcBorders>
              <w:top w:val="single" w:sz="4" w:space="0" w:color="auto"/>
            </w:tcBorders>
            <w:noWrap/>
          </w:tcPr>
          <w:p w14:paraId="56790C6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7,2</w:t>
            </w:r>
          </w:p>
        </w:tc>
        <w:tc>
          <w:tcPr>
            <w:tcW w:w="616" w:type="dxa"/>
            <w:tcBorders>
              <w:top w:val="single" w:sz="4" w:space="0" w:color="auto"/>
            </w:tcBorders>
            <w:noWrap/>
          </w:tcPr>
          <w:p w14:paraId="7CDDB13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7,2</w:t>
            </w:r>
          </w:p>
        </w:tc>
        <w:tc>
          <w:tcPr>
            <w:tcW w:w="581" w:type="dxa"/>
            <w:tcBorders>
              <w:top w:val="single" w:sz="4" w:space="0" w:color="auto"/>
            </w:tcBorders>
          </w:tcPr>
          <w:p w14:paraId="5FE591F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7,0</w:t>
            </w:r>
          </w:p>
        </w:tc>
        <w:tc>
          <w:tcPr>
            <w:tcW w:w="651" w:type="dxa"/>
            <w:tcBorders>
              <w:top w:val="single" w:sz="4" w:space="0" w:color="auto"/>
            </w:tcBorders>
          </w:tcPr>
          <w:p w14:paraId="051D365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7,0</w:t>
            </w:r>
          </w:p>
        </w:tc>
      </w:tr>
      <w:tr w:rsidR="00205239" w:rsidRPr="00CD7CF2" w14:paraId="3EE0F3CC" w14:textId="77777777" w:rsidTr="00FB2839">
        <w:trPr>
          <w:trHeight w:val="264"/>
          <w:jc w:val="center"/>
        </w:trPr>
        <w:tc>
          <w:tcPr>
            <w:tcW w:w="1760" w:type="dxa"/>
            <w:tcBorders>
              <w:top w:val="nil"/>
              <w:left w:val="nil"/>
              <w:bottom w:val="nil"/>
              <w:right w:val="nil"/>
            </w:tcBorders>
            <w:shd w:val="clear" w:color="auto" w:fill="auto"/>
            <w:noWrap/>
            <w:vAlign w:val="center"/>
            <w:hideMark/>
          </w:tcPr>
          <w:p w14:paraId="39193667"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Gobierno Locales</w:t>
            </w:r>
          </w:p>
        </w:tc>
        <w:tc>
          <w:tcPr>
            <w:tcW w:w="616" w:type="dxa"/>
            <w:noWrap/>
          </w:tcPr>
          <w:p w14:paraId="1748DC8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noWrap/>
          </w:tcPr>
          <w:p w14:paraId="6141932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noWrap/>
          </w:tcPr>
          <w:p w14:paraId="2BB6B35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noWrap/>
          </w:tcPr>
          <w:p w14:paraId="1B0A82E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16" w:type="dxa"/>
            <w:noWrap/>
          </w:tcPr>
          <w:p w14:paraId="7D4C5BD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16" w:type="dxa"/>
            <w:noWrap/>
          </w:tcPr>
          <w:p w14:paraId="756B257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16" w:type="dxa"/>
            <w:noWrap/>
          </w:tcPr>
          <w:p w14:paraId="2A89E7A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16" w:type="dxa"/>
            <w:noWrap/>
          </w:tcPr>
          <w:p w14:paraId="0789CBC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16" w:type="dxa"/>
            <w:noWrap/>
          </w:tcPr>
          <w:p w14:paraId="4C5AD19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581" w:type="dxa"/>
          </w:tcPr>
          <w:p w14:paraId="5327F20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c>
          <w:tcPr>
            <w:tcW w:w="651" w:type="dxa"/>
          </w:tcPr>
          <w:p w14:paraId="3E7C3A9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0,5</w:t>
            </w:r>
          </w:p>
        </w:tc>
      </w:tr>
      <w:tr w:rsidR="00205239" w:rsidRPr="00CD7CF2" w14:paraId="1B5D0265" w14:textId="77777777" w:rsidTr="00FB2839">
        <w:trPr>
          <w:trHeight w:val="264"/>
          <w:jc w:val="center"/>
        </w:trPr>
        <w:tc>
          <w:tcPr>
            <w:tcW w:w="1760" w:type="dxa"/>
            <w:tcBorders>
              <w:top w:val="nil"/>
              <w:left w:val="nil"/>
              <w:right w:val="nil"/>
            </w:tcBorders>
            <w:shd w:val="clear" w:color="auto" w:fill="auto"/>
            <w:noWrap/>
            <w:vAlign w:val="center"/>
            <w:hideMark/>
          </w:tcPr>
          <w:p w14:paraId="56F5A862"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Descentralizadas</w:t>
            </w:r>
          </w:p>
        </w:tc>
        <w:tc>
          <w:tcPr>
            <w:tcW w:w="616" w:type="dxa"/>
            <w:noWrap/>
          </w:tcPr>
          <w:p w14:paraId="2949983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3,6</w:t>
            </w:r>
          </w:p>
        </w:tc>
        <w:tc>
          <w:tcPr>
            <w:tcW w:w="616" w:type="dxa"/>
            <w:noWrap/>
          </w:tcPr>
          <w:p w14:paraId="0760221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4,0</w:t>
            </w:r>
          </w:p>
        </w:tc>
        <w:tc>
          <w:tcPr>
            <w:tcW w:w="616" w:type="dxa"/>
            <w:noWrap/>
          </w:tcPr>
          <w:p w14:paraId="0E0865C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4,6</w:t>
            </w:r>
          </w:p>
        </w:tc>
        <w:tc>
          <w:tcPr>
            <w:tcW w:w="616" w:type="dxa"/>
            <w:noWrap/>
          </w:tcPr>
          <w:p w14:paraId="73348D0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5,0</w:t>
            </w:r>
          </w:p>
        </w:tc>
        <w:tc>
          <w:tcPr>
            <w:tcW w:w="616" w:type="dxa"/>
            <w:noWrap/>
          </w:tcPr>
          <w:p w14:paraId="42143A2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5,0</w:t>
            </w:r>
          </w:p>
        </w:tc>
        <w:tc>
          <w:tcPr>
            <w:tcW w:w="616" w:type="dxa"/>
            <w:noWrap/>
          </w:tcPr>
          <w:p w14:paraId="1D081C4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4,9</w:t>
            </w:r>
          </w:p>
        </w:tc>
        <w:tc>
          <w:tcPr>
            <w:tcW w:w="616" w:type="dxa"/>
            <w:noWrap/>
          </w:tcPr>
          <w:p w14:paraId="5B317A0D"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5,0</w:t>
            </w:r>
          </w:p>
        </w:tc>
        <w:tc>
          <w:tcPr>
            <w:tcW w:w="616" w:type="dxa"/>
            <w:noWrap/>
          </w:tcPr>
          <w:p w14:paraId="14242FA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4,9</w:t>
            </w:r>
          </w:p>
        </w:tc>
        <w:tc>
          <w:tcPr>
            <w:tcW w:w="616" w:type="dxa"/>
            <w:noWrap/>
          </w:tcPr>
          <w:p w14:paraId="4B44AE7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4,9</w:t>
            </w:r>
          </w:p>
        </w:tc>
        <w:tc>
          <w:tcPr>
            <w:tcW w:w="581" w:type="dxa"/>
          </w:tcPr>
          <w:p w14:paraId="24E72B0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4,8</w:t>
            </w:r>
          </w:p>
        </w:tc>
        <w:tc>
          <w:tcPr>
            <w:tcW w:w="651" w:type="dxa"/>
          </w:tcPr>
          <w:p w14:paraId="5369C2A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4,8</w:t>
            </w:r>
          </w:p>
        </w:tc>
      </w:tr>
      <w:tr w:rsidR="00205239" w:rsidRPr="00CD7CF2" w14:paraId="35C550F3" w14:textId="77777777" w:rsidTr="00FB2839">
        <w:trPr>
          <w:trHeight w:val="264"/>
          <w:jc w:val="center"/>
        </w:trPr>
        <w:tc>
          <w:tcPr>
            <w:tcW w:w="1760" w:type="dxa"/>
            <w:tcBorders>
              <w:top w:val="nil"/>
              <w:left w:val="nil"/>
              <w:bottom w:val="single" w:sz="4" w:space="0" w:color="auto"/>
              <w:right w:val="nil"/>
            </w:tcBorders>
            <w:shd w:val="clear" w:color="auto" w:fill="auto"/>
            <w:noWrap/>
            <w:vAlign w:val="center"/>
          </w:tcPr>
          <w:p w14:paraId="5A3196FC"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Desconcentradas</w:t>
            </w:r>
          </w:p>
        </w:tc>
        <w:tc>
          <w:tcPr>
            <w:tcW w:w="616" w:type="dxa"/>
            <w:tcBorders>
              <w:bottom w:val="single" w:sz="4" w:space="0" w:color="auto"/>
            </w:tcBorders>
            <w:noWrap/>
          </w:tcPr>
          <w:p w14:paraId="3B7A278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0,2</w:t>
            </w:r>
          </w:p>
        </w:tc>
        <w:tc>
          <w:tcPr>
            <w:tcW w:w="616" w:type="dxa"/>
            <w:tcBorders>
              <w:bottom w:val="single" w:sz="4" w:space="0" w:color="auto"/>
            </w:tcBorders>
            <w:noWrap/>
          </w:tcPr>
          <w:p w14:paraId="584B21A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0,3</w:t>
            </w:r>
          </w:p>
        </w:tc>
        <w:tc>
          <w:tcPr>
            <w:tcW w:w="616" w:type="dxa"/>
            <w:tcBorders>
              <w:bottom w:val="single" w:sz="4" w:space="0" w:color="auto"/>
            </w:tcBorders>
            <w:noWrap/>
          </w:tcPr>
          <w:p w14:paraId="555826E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31D8DD6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67B1C94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2A845A8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3290BDF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75D3671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16" w:type="dxa"/>
            <w:tcBorders>
              <w:bottom w:val="single" w:sz="4" w:space="0" w:color="auto"/>
            </w:tcBorders>
            <w:noWrap/>
          </w:tcPr>
          <w:p w14:paraId="4A25F0E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581" w:type="dxa"/>
            <w:tcBorders>
              <w:bottom w:val="single" w:sz="4" w:space="0" w:color="auto"/>
            </w:tcBorders>
          </w:tcPr>
          <w:p w14:paraId="2C98E11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c>
          <w:tcPr>
            <w:tcW w:w="651" w:type="dxa"/>
            <w:tcBorders>
              <w:bottom w:val="single" w:sz="4" w:space="0" w:color="auto"/>
            </w:tcBorders>
          </w:tcPr>
          <w:p w14:paraId="0000B25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0,4</w:t>
            </w:r>
          </w:p>
        </w:tc>
      </w:tr>
      <w:tr w:rsidR="00205239" w:rsidRPr="00CD7CF2" w14:paraId="787E11E7" w14:textId="77777777" w:rsidTr="00FB2839">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6DBF425B"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b/>
                <w:bCs/>
                <w:color w:val="000000"/>
                <w:sz w:val="20"/>
                <w:szCs w:val="20"/>
              </w:rPr>
              <w:t xml:space="preserve">Subtotal </w:t>
            </w:r>
          </w:p>
        </w:tc>
        <w:tc>
          <w:tcPr>
            <w:tcW w:w="616" w:type="dxa"/>
            <w:tcBorders>
              <w:top w:val="single" w:sz="4" w:space="0" w:color="auto"/>
              <w:left w:val="nil"/>
              <w:bottom w:val="nil"/>
              <w:right w:val="nil"/>
            </w:tcBorders>
            <w:shd w:val="clear" w:color="auto" w:fill="auto"/>
            <w:noWrap/>
            <w:vAlign w:val="bottom"/>
          </w:tcPr>
          <w:p w14:paraId="5D61A10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9,4</w:t>
            </w:r>
          </w:p>
        </w:tc>
        <w:tc>
          <w:tcPr>
            <w:tcW w:w="616" w:type="dxa"/>
            <w:tcBorders>
              <w:top w:val="single" w:sz="4" w:space="0" w:color="auto"/>
              <w:left w:val="nil"/>
              <w:bottom w:val="nil"/>
              <w:right w:val="nil"/>
            </w:tcBorders>
            <w:shd w:val="clear" w:color="auto" w:fill="auto"/>
            <w:noWrap/>
            <w:vAlign w:val="bottom"/>
          </w:tcPr>
          <w:p w14:paraId="056A9EA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10,0</w:t>
            </w:r>
          </w:p>
        </w:tc>
        <w:tc>
          <w:tcPr>
            <w:tcW w:w="616" w:type="dxa"/>
            <w:tcBorders>
              <w:top w:val="single" w:sz="4" w:space="0" w:color="auto"/>
              <w:left w:val="nil"/>
              <w:bottom w:val="nil"/>
              <w:right w:val="nil"/>
            </w:tcBorders>
            <w:shd w:val="clear" w:color="auto" w:fill="auto"/>
            <w:noWrap/>
            <w:vAlign w:val="bottom"/>
          </w:tcPr>
          <w:p w14:paraId="66540BE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11,8</w:t>
            </w:r>
          </w:p>
        </w:tc>
        <w:tc>
          <w:tcPr>
            <w:tcW w:w="616" w:type="dxa"/>
            <w:tcBorders>
              <w:top w:val="single" w:sz="4" w:space="0" w:color="auto"/>
              <w:left w:val="nil"/>
              <w:bottom w:val="nil"/>
              <w:right w:val="nil"/>
            </w:tcBorders>
            <w:shd w:val="clear" w:color="auto" w:fill="auto"/>
            <w:noWrap/>
            <w:vAlign w:val="bottom"/>
          </w:tcPr>
          <w:p w14:paraId="4158B9F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12,8</w:t>
            </w:r>
          </w:p>
        </w:tc>
        <w:tc>
          <w:tcPr>
            <w:tcW w:w="616" w:type="dxa"/>
            <w:tcBorders>
              <w:top w:val="single" w:sz="4" w:space="0" w:color="auto"/>
              <w:left w:val="nil"/>
              <w:bottom w:val="nil"/>
              <w:right w:val="nil"/>
            </w:tcBorders>
            <w:shd w:val="clear" w:color="auto" w:fill="auto"/>
            <w:noWrap/>
            <w:vAlign w:val="bottom"/>
          </w:tcPr>
          <w:p w14:paraId="03E2080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13,0</w:t>
            </w:r>
          </w:p>
        </w:tc>
        <w:tc>
          <w:tcPr>
            <w:tcW w:w="616" w:type="dxa"/>
            <w:tcBorders>
              <w:top w:val="single" w:sz="4" w:space="0" w:color="auto"/>
              <w:left w:val="nil"/>
              <w:bottom w:val="nil"/>
              <w:right w:val="nil"/>
            </w:tcBorders>
            <w:shd w:val="clear" w:color="auto" w:fill="auto"/>
            <w:noWrap/>
            <w:vAlign w:val="bottom"/>
          </w:tcPr>
          <w:p w14:paraId="115BA8B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12,8</w:t>
            </w:r>
          </w:p>
        </w:tc>
        <w:tc>
          <w:tcPr>
            <w:tcW w:w="616" w:type="dxa"/>
            <w:tcBorders>
              <w:top w:val="single" w:sz="4" w:space="0" w:color="auto"/>
              <w:left w:val="nil"/>
              <w:bottom w:val="nil"/>
              <w:right w:val="nil"/>
            </w:tcBorders>
            <w:shd w:val="clear" w:color="auto" w:fill="auto"/>
            <w:noWrap/>
            <w:vAlign w:val="bottom"/>
          </w:tcPr>
          <w:p w14:paraId="04649E6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13,2</w:t>
            </w:r>
          </w:p>
        </w:tc>
        <w:tc>
          <w:tcPr>
            <w:tcW w:w="616" w:type="dxa"/>
            <w:tcBorders>
              <w:top w:val="single" w:sz="4" w:space="0" w:color="auto"/>
              <w:left w:val="nil"/>
              <w:bottom w:val="nil"/>
              <w:right w:val="nil"/>
            </w:tcBorders>
            <w:shd w:val="clear" w:color="auto" w:fill="auto"/>
            <w:noWrap/>
            <w:vAlign w:val="bottom"/>
          </w:tcPr>
          <w:p w14:paraId="231E473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13,0</w:t>
            </w:r>
          </w:p>
        </w:tc>
        <w:tc>
          <w:tcPr>
            <w:tcW w:w="616" w:type="dxa"/>
            <w:tcBorders>
              <w:top w:val="single" w:sz="4" w:space="0" w:color="auto"/>
              <w:left w:val="nil"/>
              <w:bottom w:val="nil"/>
              <w:right w:val="nil"/>
            </w:tcBorders>
            <w:shd w:val="clear" w:color="auto" w:fill="auto"/>
            <w:noWrap/>
            <w:vAlign w:val="bottom"/>
          </w:tcPr>
          <w:p w14:paraId="5B9EC26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13,0</w:t>
            </w:r>
          </w:p>
        </w:tc>
        <w:tc>
          <w:tcPr>
            <w:tcW w:w="581" w:type="dxa"/>
            <w:tcBorders>
              <w:top w:val="single" w:sz="4" w:space="0" w:color="auto"/>
              <w:left w:val="nil"/>
              <w:bottom w:val="nil"/>
              <w:right w:val="nil"/>
            </w:tcBorders>
            <w:shd w:val="clear" w:color="auto" w:fill="auto"/>
            <w:vAlign w:val="bottom"/>
          </w:tcPr>
          <w:p w14:paraId="7493BBF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12,7</w:t>
            </w:r>
          </w:p>
        </w:tc>
        <w:tc>
          <w:tcPr>
            <w:tcW w:w="651" w:type="dxa"/>
            <w:tcBorders>
              <w:top w:val="single" w:sz="4" w:space="0" w:color="auto"/>
              <w:left w:val="nil"/>
              <w:bottom w:val="nil"/>
              <w:right w:val="nil"/>
            </w:tcBorders>
            <w:shd w:val="clear" w:color="auto" w:fill="auto"/>
            <w:vAlign w:val="bottom"/>
          </w:tcPr>
          <w:p w14:paraId="629E9319"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12,7</w:t>
            </w:r>
          </w:p>
        </w:tc>
      </w:tr>
      <w:tr w:rsidR="00205239" w:rsidRPr="00CD7CF2" w14:paraId="4E1E8AEC" w14:textId="77777777" w:rsidTr="00FB2839">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1781B35F" w14:textId="77777777" w:rsidR="00205239" w:rsidRPr="00CD7CF2" w:rsidRDefault="00205239" w:rsidP="00FB2839">
            <w:pPr>
              <w:spacing w:after="0" w:line="240" w:lineRule="auto"/>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 xml:space="preserve">Empresas </w:t>
            </w:r>
            <w:proofErr w:type="spellStart"/>
            <w:r w:rsidRPr="00CD7CF2">
              <w:rPr>
                <w:rFonts w:ascii="Times New Roman" w:eastAsia="Times New Roman" w:hAnsi="Times New Roman" w:cs="Times New Roman"/>
                <w:color w:val="000000"/>
                <w:sz w:val="20"/>
                <w:szCs w:val="20"/>
              </w:rPr>
              <w:t>Púb</w:t>
            </w:r>
            <w:proofErr w:type="spellEnd"/>
            <w:r w:rsidRPr="00CD7CF2">
              <w:rPr>
                <w:rFonts w:ascii="Times New Roman" w:eastAsia="Times New Roman" w:hAnsi="Times New Roman" w:cs="Times New Roman"/>
                <w:color w:val="000000"/>
                <w:sz w:val="20"/>
                <w:szCs w:val="20"/>
              </w:rPr>
              <w:t>.</w:t>
            </w:r>
          </w:p>
        </w:tc>
        <w:tc>
          <w:tcPr>
            <w:tcW w:w="616" w:type="dxa"/>
            <w:tcBorders>
              <w:top w:val="single" w:sz="4" w:space="0" w:color="auto"/>
              <w:left w:val="nil"/>
              <w:bottom w:val="single" w:sz="4" w:space="0" w:color="auto"/>
              <w:right w:val="nil"/>
            </w:tcBorders>
            <w:shd w:val="clear" w:color="auto" w:fill="auto"/>
            <w:noWrap/>
            <w:vAlign w:val="bottom"/>
          </w:tcPr>
          <w:p w14:paraId="65CAFF1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0,9</w:t>
            </w:r>
          </w:p>
        </w:tc>
        <w:tc>
          <w:tcPr>
            <w:tcW w:w="616" w:type="dxa"/>
            <w:tcBorders>
              <w:top w:val="single" w:sz="4" w:space="0" w:color="auto"/>
              <w:left w:val="nil"/>
              <w:bottom w:val="single" w:sz="4" w:space="0" w:color="auto"/>
              <w:right w:val="nil"/>
            </w:tcBorders>
            <w:shd w:val="clear" w:color="auto" w:fill="auto"/>
            <w:noWrap/>
            <w:vAlign w:val="bottom"/>
          </w:tcPr>
          <w:p w14:paraId="37A88B9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w:t>
            </w:r>
          </w:p>
        </w:tc>
        <w:tc>
          <w:tcPr>
            <w:tcW w:w="616" w:type="dxa"/>
            <w:tcBorders>
              <w:top w:val="single" w:sz="4" w:space="0" w:color="auto"/>
              <w:left w:val="nil"/>
              <w:bottom w:val="single" w:sz="4" w:space="0" w:color="auto"/>
              <w:right w:val="nil"/>
            </w:tcBorders>
            <w:shd w:val="clear" w:color="auto" w:fill="auto"/>
            <w:noWrap/>
            <w:vAlign w:val="bottom"/>
          </w:tcPr>
          <w:p w14:paraId="5800EEB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36D28C71"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46629A1A"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4FBEA31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5F84C7A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03EB76D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616" w:type="dxa"/>
            <w:tcBorders>
              <w:top w:val="single" w:sz="4" w:space="0" w:color="auto"/>
              <w:left w:val="nil"/>
              <w:bottom w:val="single" w:sz="4" w:space="0" w:color="auto"/>
              <w:right w:val="nil"/>
            </w:tcBorders>
            <w:shd w:val="clear" w:color="auto" w:fill="auto"/>
            <w:noWrap/>
            <w:vAlign w:val="bottom"/>
          </w:tcPr>
          <w:p w14:paraId="7B3B83B3"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1,2</w:t>
            </w:r>
          </w:p>
        </w:tc>
        <w:tc>
          <w:tcPr>
            <w:tcW w:w="581" w:type="dxa"/>
            <w:tcBorders>
              <w:top w:val="single" w:sz="4" w:space="0" w:color="auto"/>
              <w:left w:val="nil"/>
              <w:bottom w:val="single" w:sz="4" w:space="0" w:color="auto"/>
              <w:right w:val="nil"/>
            </w:tcBorders>
            <w:shd w:val="clear" w:color="auto" w:fill="auto"/>
            <w:vAlign w:val="bottom"/>
          </w:tcPr>
          <w:p w14:paraId="3538698E"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w:t>
            </w:r>
          </w:p>
        </w:tc>
        <w:tc>
          <w:tcPr>
            <w:tcW w:w="651" w:type="dxa"/>
            <w:tcBorders>
              <w:top w:val="single" w:sz="4" w:space="0" w:color="auto"/>
              <w:left w:val="nil"/>
              <w:bottom w:val="single" w:sz="4" w:space="0" w:color="auto"/>
              <w:right w:val="nil"/>
            </w:tcBorders>
            <w:shd w:val="clear" w:color="auto" w:fill="auto"/>
            <w:vAlign w:val="bottom"/>
          </w:tcPr>
          <w:p w14:paraId="50364C6B"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w:t>
            </w:r>
          </w:p>
        </w:tc>
      </w:tr>
      <w:tr w:rsidR="00205239" w:rsidRPr="00CD7CF2" w14:paraId="42359D19" w14:textId="77777777" w:rsidTr="00FB2839">
        <w:trPr>
          <w:trHeight w:val="276"/>
          <w:jc w:val="center"/>
        </w:trPr>
        <w:tc>
          <w:tcPr>
            <w:tcW w:w="1760" w:type="dxa"/>
            <w:tcBorders>
              <w:top w:val="single" w:sz="4" w:space="0" w:color="auto"/>
              <w:left w:val="nil"/>
              <w:bottom w:val="double" w:sz="6" w:space="0" w:color="auto"/>
              <w:right w:val="nil"/>
            </w:tcBorders>
            <w:shd w:val="clear" w:color="auto" w:fill="auto"/>
            <w:noWrap/>
            <w:vAlign w:val="center"/>
          </w:tcPr>
          <w:p w14:paraId="04C468B6" w14:textId="77777777" w:rsidR="00205239" w:rsidRPr="00CD7CF2" w:rsidRDefault="00205239" w:rsidP="00FB2839">
            <w:pPr>
              <w:spacing w:after="0" w:line="240" w:lineRule="auto"/>
              <w:rPr>
                <w:rFonts w:ascii="Times New Roman" w:eastAsia="Times New Roman" w:hAnsi="Times New Roman" w:cs="Times New Roman"/>
                <w:b/>
                <w:bCs/>
                <w:color w:val="000000"/>
                <w:sz w:val="20"/>
                <w:szCs w:val="20"/>
              </w:rPr>
            </w:pPr>
            <w:r w:rsidRPr="00CD7CF2">
              <w:rPr>
                <w:rFonts w:ascii="Times New Roman" w:eastAsia="Times New Roman" w:hAnsi="Times New Roman" w:cs="Times New Roman"/>
                <w:b/>
                <w:bCs/>
                <w:color w:val="000000"/>
                <w:sz w:val="20"/>
                <w:szCs w:val="20"/>
              </w:rPr>
              <w:t>Total</w:t>
            </w:r>
          </w:p>
        </w:tc>
        <w:tc>
          <w:tcPr>
            <w:tcW w:w="616" w:type="dxa"/>
            <w:tcBorders>
              <w:top w:val="single" w:sz="4" w:space="0" w:color="auto"/>
              <w:bottom w:val="double" w:sz="4" w:space="0" w:color="auto"/>
            </w:tcBorders>
            <w:noWrap/>
          </w:tcPr>
          <w:p w14:paraId="7DF1D3F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10,3</w:t>
            </w:r>
          </w:p>
        </w:tc>
        <w:tc>
          <w:tcPr>
            <w:tcW w:w="616" w:type="dxa"/>
            <w:tcBorders>
              <w:top w:val="single" w:sz="4" w:space="0" w:color="auto"/>
              <w:bottom w:val="double" w:sz="4" w:space="0" w:color="auto"/>
            </w:tcBorders>
            <w:noWrap/>
          </w:tcPr>
          <w:p w14:paraId="415CF63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11,0</w:t>
            </w:r>
          </w:p>
        </w:tc>
        <w:tc>
          <w:tcPr>
            <w:tcW w:w="616" w:type="dxa"/>
            <w:tcBorders>
              <w:top w:val="single" w:sz="4" w:space="0" w:color="auto"/>
              <w:bottom w:val="double" w:sz="4" w:space="0" w:color="auto"/>
            </w:tcBorders>
            <w:noWrap/>
          </w:tcPr>
          <w:p w14:paraId="265E1C82"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13,0</w:t>
            </w:r>
          </w:p>
        </w:tc>
        <w:tc>
          <w:tcPr>
            <w:tcW w:w="616" w:type="dxa"/>
            <w:tcBorders>
              <w:top w:val="single" w:sz="4" w:space="0" w:color="auto"/>
              <w:bottom w:val="double" w:sz="4" w:space="0" w:color="auto"/>
            </w:tcBorders>
            <w:noWrap/>
          </w:tcPr>
          <w:p w14:paraId="0378651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14,1</w:t>
            </w:r>
          </w:p>
        </w:tc>
        <w:tc>
          <w:tcPr>
            <w:tcW w:w="616" w:type="dxa"/>
            <w:tcBorders>
              <w:top w:val="single" w:sz="4" w:space="0" w:color="auto"/>
              <w:bottom w:val="double" w:sz="4" w:space="0" w:color="auto"/>
            </w:tcBorders>
            <w:noWrap/>
          </w:tcPr>
          <w:p w14:paraId="3CCC0B16"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14,3</w:t>
            </w:r>
          </w:p>
        </w:tc>
        <w:tc>
          <w:tcPr>
            <w:tcW w:w="616" w:type="dxa"/>
            <w:tcBorders>
              <w:top w:val="single" w:sz="4" w:space="0" w:color="auto"/>
              <w:bottom w:val="double" w:sz="4" w:space="0" w:color="auto"/>
            </w:tcBorders>
            <w:noWrap/>
          </w:tcPr>
          <w:p w14:paraId="7AD22700"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14,1</w:t>
            </w:r>
          </w:p>
        </w:tc>
        <w:tc>
          <w:tcPr>
            <w:tcW w:w="616" w:type="dxa"/>
            <w:tcBorders>
              <w:top w:val="single" w:sz="4" w:space="0" w:color="auto"/>
              <w:bottom w:val="double" w:sz="4" w:space="0" w:color="auto"/>
            </w:tcBorders>
            <w:noWrap/>
          </w:tcPr>
          <w:p w14:paraId="6B2F2D4C"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14,5</w:t>
            </w:r>
          </w:p>
        </w:tc>
        <w:tc>
          <w:tcPr>
            <w:tcW w:w="616" w:type="dxa"/>
            <w:tcBorders>
              <w:top w:val="single" w:sz="4" w:space="0" w:color="auto"/>
              <w:bottom w:val="double" w:sz="4" w:space="0" w:color="auto"/>
            </w:tcBorders>
            <w:noWrap/>
          </w:tcPr>
          <w:p w14:paraId="0BE9B805"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14,2</w:t>
            </w:r>
          </w:p>
        </w:tc>
        <w:tc>
          <w:tcPr>
            <w:tcW w:w="616" w:type="dxa"/>
            <w:tcBorders>
              <w:top w:val="single" w:sz="4" w:space="0" w:color="auto"/>
              <w:bottom w:val="double" w:sz="4" w:space="0" w:color="auto"/>
            </w:tcBorders>
            <w:noWrap/>
          </w:tcPr>
          <w:p w14:paraId="20455197"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14,2</w:t>
            </w:r>
          </w:p>
        </w:tc>
        <w:tc>
          <w:tcPr>
            <w:tcW w:w="581" w:type="dxa"/>
            <w:tcBorders>
              <w:top w:val="single" w:sz="4" w:space="0" w:color="auto"/>
              <w:bottom w:val="double" w:sz="4" w:space="0" w:color="auto"/>
            </w:tcBorders>
          </w:tcPr>
          <w:p w14:paraId="1E57C30F"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13,9</w:t>
            </w:r>
          </w:p>
        </w:tc>
        <w:tc>
          <w:tcPr>
            <w:tcW w:w="651" w:type="dxa"/>
            <w:tcBorders>
              <w:top w:val="single" w:sz="4" w:space="0" w:color="auto"/>
              <w:bottom w:val="double" w:sz="4" w:space="0" w:color="auto"/>
            </w:tcBorders>
          </w:tcPr>
          <w:p w14:paraId="27E2C894" w14:textId="77777777" w:rsidR="00205239" w:rsidRPr="00CD7CF2" w:rsidRDefault="00205239" w:rsidP="002246E2">
            <w:pPr>
              <w:spacing w:after="0" w:line="240" w:lineRule="auto"/>
              <w:jc w:val="center"/>
              <w:rPr>
                <w:rFonts w:ascii="Times New Roman" w:eastAsia="Times New Roman" w:hAnsi="Times New Roman" w:cs="Times New Roman"/>
                <w:color w:val="000000"/>
                <w:sz w:val="20"/>
                <w:szCs w:val="20"/>
              </w:rPr>
            </w:pPr>
            <w:r w:rsidRPr="00CD7CF2">
              <w:rPr>
                <w:rFonts w:ascii="Times New Roman" w:eastAsia="Times New Roman" w:hAnsi="Times New Roman" w:cs="Times New Roman"/>
                <w:color w:val="000000"/>
                <w:sz w:val="20"/>
                <w:szCs w:val="20"/>
              </w:rPr>
              <w:t>13,8</w:t>
            </w:r>
          </w:p>
        </w:tc>
      </w:tr>
    </w:tbl>
    <w:p w14:paraId="13C955BD" w14:textId="6B009CB5" w:rsidR="00B47CEE" w:rsidRDefault="00B47CEE" w:rsidP="00B47CEE">
      <w:pPr>
        <w:spacing w:after="0" w:line="360" w:lineRule="auto"/>
        <w:ind w:right="51"/>
        <w:jc w:val="center"/>
        <w:rPr>
          <w:rFonts w:ascii="Times New Roman" w:hAnsi="Times New Roman" w:cs="Times New Roman"/>
          <w:sz w:val="18"/>
          <w:szCs w:val="18"/>
        </w:rPr>
      </w:pPr>
      <w:r w:rsidRPr="00DF2157">
        <w:rPr>
          <w:rFonts w:ascii="Times New Roman" w:hAnsi="Times New Roman" w:cs="Times New Roman"/>
          <w:sz w:val="18"/>
          <w:szCs w:val="18"/>
        </w:rPr>
        <w:lastRenderedPageBreak/>
        <w:t>Fuente: Elaboración propia con datos de Ministerio de Hacienda.</w:t>
      </w:r>
    </w:p>
    <w:p w14:paraId="42858E1D" w14:textId="77777777" w:rsidR="00CD7CF2" w:rsidRDefault="00CD7CF2" w:rsidP="00BC574A">
      <w:pPr>
        <w:spacing w:line="360" w:lineRule="auto"/>
        <w:jc w:val="both"/>
        <w:rPr>
          <w:rFonts w:ascii="Times New Roman" w:hAnsi="Times New Roman" w:cs="Times New Roman"/>
          <w:sz w:val="24"/>
        </w:rPr>
      </w:pPr>
    </w:p>
    <w:p w14:paraId="5135CC86" w14:textId="65C5599A" w:rsidR="00BC574A" w:rsidRDefault="00BC574A" w:rsidP="003963CA">
      <w:pPr>
        <w:spacing w:after="0" w:line="360" w:lineRule="auto"/>
        <w:jc w:val="both"/>
        <w:rPr>
          <w:rFonts w:ascii="Times New Roman" w:hAnsi="Times New Roman" w:cs="Times New Roman"/>
          <w:sz w:val="24"/>
        </w:rPr>
      </w:pPr>
      <w:r>
        <w:rPr>
          <w:rFonts w:ascii="Times New Roman" w:hAnsi="Times New Roman" w:cs="Times New Roman"/>
          <w:sz w:val="24"/>
        </w:rPr>
        <w:t xml:space="preserve">Por el lado de los ingresos, </w:t>
      </w:r>
      <w:r w:rsidR="00C960E4">
        <w:rPr>
          <w:rFonts w:ascii="Times New Roman" w:hAnsi="Times New Roman" w:cs="Times New Roman"/>
          <w:sz w:val="24"/>
        </w:rPr>
        <w:t xml:space="preserve">es importante destacar que </w:t>
      </w:r>
      <w:r>
        <w:rPr>
          <w:rFonts w:ascii="Times New Roman" w:hAnsi="Times New Roman" w:cs="Times New Roman"/>
          <w:sz w:val="24"/>
        </w:rPr>
        <w:t xml:space="preserve">Costa Rica tiene cargas a la seguridad social muy </w:t>
      </w:r>
      <w:r w:rsidR="00E63985">
        <w:rPr>
          <w:rFonts w:ascii="Times New Roman" w:hAnsi="Times New Roman" w:cs="Times New Roman"/>
          <w:sz w:val="24"/>
        </w:rPr>
        <w:t>elevadas</w:t>
      </w:r>
      <w:r>
        <w:rPr>
          <w:rFonts w:ascii="Times New Roman" w:hAnsi="Times New Roman" w:cs="Times New Roman"/>
          <w:sz w:val="24"/>
        </w:rPr>
        <w:t xml:space="preserve"> (gráfico </w:t>
      </w:r>
      <w:r w:rsidR="007F64E2">
        <w:rPr>
          <w:rFonts w:ascii="Times New Roman" w:hAnsi="Times New Roman" w:cs="Times New Roman"/>
          <w:sz w:val="24"/>
        </w:rPr>
        <w:t>9</w:t>
      </w:r>
      <w:r w:rsidR="00CD7CF2">
        <w:rPr>
          <w:rFonts w:ascii="Times New Roman" w:hAnsi="Times New Roman" w:cs="Times New Roman"/>
          <w:sz w:val="24"/>
        </w:rPr>
        <w:t>.1</w:t>
      </w:r>
      <w:r>
        <w:rPr>
          <w:rFonts w:ascii="Times New Roman" w:hAnsi="Times New Roman" w:cs="Times New Roman"/>
          <w:sz w:val="24"/>
        </w:rPr>
        <w:t xml:space="preserve">), pero una presión impositiva más baja que </w:t>
      </w:r>
      <w:r w:rsidR="009965DB">
        <w:rPr>
          <w:rFonts w:ascii="Times New Roman" w:hAnsi="Times New Roman" w:cs="Times New Roman"/>
          <w:sz w:val="24"/>
        </w:rPr>
        <w:t xml:space="preserve">la de </w:t>
      </w:r>
      <w:r>
        <w:rPr>
          <w:rFonts w:ascii="Times New Roman" w:hAnsi="Times New Roman" w:cs="Times New Roman"/>
          <w:sz w:val="24"/>
        </w:rPr>
        <w:t>países comparables de la región.</w:t>
      </w:r>
      <w:r w:rsidR="009965DB">
        <w:rPr>
          <w:rStyle w:val="FootnoteReference"/>
          <w:rFonts w:ascii="Times New Roman" w:hAnsi="Times New Roman" w:cs="Times New Roman"/>
          <w:sz w:val="24"/>
        </w:rPr>
        <w:footnoteReference w:id="4"/>
      </w:r>
      <w:r>
        <w:rPr>
          <w:rFonts w:ascii="Times New Roman" w:hAnsi="Times New Roman" w:cs="Times New Roman"/>
          <w:sz w:val="24"/>
        </w:rPr>
        <w:t xml:space="preserve"> En efecto, el peso de los impuestos en Costa Rica es 26% menor que </w:t>
      </w:r>
      <w:r w:rsidR="005148AB">
        <w:rPr>
          <w:rFonts w:ascii="Times New Roman" w:hAnsi="Times New Roman" w:cs="Times New Roman"/>
          <w:sz w:val="24"/>
        </w:rPr>
        <w:t xml:space="preserve">el de </w:t>
      </w:r>
      <w:r>
        <w:rPr>
          <w:rFonts w:ascii="Times New Roman" w:hAnsi="Times New Roman" w:cs="Times New Roman"/>
          <w:sz w:val="24"/>
        </w:rPr>
        <w:t>sus pares para el año 2016. Por ejemplo, el IVA recientemente aprobado tiene una alícuota un tercio inferior al promedio de la U</w:t>
      </w:r>
      <w:r w:rsidR="00F9309A">
        <w:rPr>
          <w:rFonts w:ascii="Times New Roman" w:hAnsi="Times New Roman" w:cs="Times New Roman"/>
          <w:sz w:val="24"/>
        </w:rPr>
        <w:t xml:space="preserve">nión </w:t>
      </w:r>
      <w:r>
        <w:rPr>
          <w:rFonts w:ascii="Times New Roman" w:hAnsi="Times New Roman" w:cs="Times New Roman"/>
          <w:sz w:val="24"/>
        </w:rPr>
        <w:t>E</w:t>
      </w:r>
      <w:r w:rsidR="00F9309A">
        <w:rPr>
          <w:rFonts w:ascii="Times New Roman" w:hAnsi="Times New Roman" w:cs="Times New Roman"/>
          <w:sz w:val="24"/>
        </w:rPr>
        <w:t>uropea (UE)</w:t>
      </w:r>
      <w:r>
        <w:rPr>
          <w:rFonts w:ascii="Times New Roman" w:hAnsi="Times New Roman" w:cs="Times New Roman"/>
          <w:sz w:val="24"/>
        </w:rPr>
        <w:t xml:space="preserve"> y los países comparables de A</w:t>
      </w:r>
      <w:r w:rsidR="002119C8">
        <w:rPr>
          <w:rFonts w:ascii="Times New Roman" w:hAnsi="Times New Roman" w:cs="Times New Roman"/>
          <w:sz w:val="24"/>
        </w:rPr>
        <w:t xml:space="preserve">mérica </w:t>
      </w:r>
      <w:r>
        <w:rPr>
          <w:rFonts w:ascii="Times New Roman" w:hAnsi="Times New Roman" w:cs="Times New Roman"/>
          <w:sz w:val="24"/>
        </w:rPr>
        <w:t>L</w:t>
      </w:r>
      <w:r w:rsidR="002119C8">
        <w:rPr>
          <w:rFonts w:ascii="Times New Roman" w:hAnsi="Times New Roman" w:cs="Times New Roman"/>
          <w:sz w:val="24"/>
        </w:rPr>
        <w:t xml:space="preserve">atina y el </w:t>
      </w:r>
      <w:r>
        <w:rPr>
          <w:rFonts w:ascii="Times New Roman" w:hAnsi="Times New Roman" w:cs="Times New Roman"/>
          <w:sz w:val="24"/>
        </w:rPr>
        <w:t>C</w:t>
      </w:r>
      <w:r w:rsidR="002119C8">
        <w:rPr>
          <w:rFonts w:ascii="Times New Roman" w:hAnsi="Times New Roman" w:cs="Times New Roman"/>
          <w:sz w:val="24"/>
        </w:rPr>
        <w:t>aribe (ALC)</w:t>
      </w:r>
      <w:r>
        <w:rPr>
          <w:rFonts w:ascii="Times New Roman" w:hAnsi="Times New Roman" w:cs="Times New Roman"/>
          <w:sz w:val="24"/>
        </w:rPr>
        <w:t xml:space="preserve"> (13% vs. 19</w:t>
      </w:r>
      <w:r w:rsidR="004255D5">
        <w:rPr>
          <w:rFonts w:ascii="Times New Roman" w:hAnsi="Times New Roman" w:cs="Times New Roman"/>
          <w:sz w:val="24"/>
        </w:rPr>
        <w:t>,</w:t>
      </w:r>
      <w:r>
        <w:rPr>
          <w:rFonts w:ascii="Times New Roman" w:hAnsi="Times New Roman" w:cs="Times New Roman"/>
          <w:sz w:val="24"/>
        </w:rPr>
        <w:t>5%). Además, tiene una recaudación casi nula de impuesto a la propiedad inmueble y generosos incentivos en la renta corporativa de las empresas ubicadas en las Zonas Francas.</w:t>
      </w:r>
      <w:r w:rsidR="00747FF3">
        <w:rPr>
          <w:rFonts w:ascii="Times New Roman" w:hAnsi="Times New Roman" w:cs="Times New Roman"/>
          <w:sz w:val="24"/>
        </w:rPr>
        <w:t xml:space="preserve"> No obstante, la carga en contribuciones a la seguridad social (CSS) es</w:t>
      </w:r>
      <w:r w:rsidR="00F9309A">
        <w:rPr>
          <w:rFonts w:ascii="Times New Roman" w:hAnsi="Times New Roman" w:cs="Times New Roman"/>
          <w:sz w:val="24"/>
        </w:rPr>
        <w:t xml:space="preserve"> aproximadamente el</w:t>
      </w:r>
      <w:r w:rsidR="00747FF3">
        <w:rPr>
          <w:rFonts w:ascii="Times New Roman" w:hAnsi="Times New Roman" w:cs="Times New Roman"/>
          <w:sz w:val="24"/>
        </w:rPr>
        <w:t xml:space="preserve"> 50% superior que </w:t>
      </w:r>
      <w:r w:rsidR="00BB6D89">
        <w:rPr>
          <w:rFonts w:ascii="Times New Roman" w:hAnsi="Times New Roman" w:cs="Times New Roman"/>
          <w:sz w:val="24"/>
        </w:rPr>
        <w:t xml:space="preserve">la de </w:t>
      </w:r>
      <w:r w:rsidR="00747FF3">
        <w:rPr>
          <w:rFonts w:ascii="Times New Roman" w:hAnsi="Times New Roman" w:cs="Times New Roman"/>
          <w:sz w:val="24"/>
        </w:rPr>
        <w:t>sus pares para el año 2016 (12% vs 8% del PIB).</w:t>
      </w:r>
    </w:p>
    <w:p w14:paraId="29D9B703" w14:textId="456C0E7F" w:rsidR="00E65A39" w:rsidRDefault="00E65A39" w:rsidP="00AC4178">
      <w:pPr>
        <w:pStyle w:val="Caption"/>
        <w:spacing w:before="0"/>
        <w:jc w:val="center"/>
        <w:rPr>
          <w:rFonts w:ascii="Times New Roman" w:hAnsi="Times New Roman"/>
          <w:i/>
          <w:sz w:val="24"/>
          <w:szCs w:val="24"/>
        </w:rPr>
      </w:pPr>
      <w:r w:rsidRPr="00AC4178">
        <w:rPr>
          <w:rFonts w:ascii="Times New Roman" w:hAnsi="Times New Roman"/>
          <w:sz w:val="24"/>
          <w:szCs w:val="24"/>
        </w:rPr>
        <w:t xml:space="preserve">Gráfico </w:t>
      </w:r>
      <w:r w:rsidR="00AF60E4">
        <w:rPr>
          <w:rFonts w:ascii="Times New Roman" w:hAnsi="Times New Roman"/>
          <w:sz w:val="24"/>
          <w:szCs w:val="24"/>
        </w:rPr>
        <w:t>9</w:t>
      </w:r>
      <w:r w:rsidRPr="00AC4178">
        <w:rPr>
          <w:rFonts w:ascii="Times New Roman" w:hAnsi="Times New Roman"/>
          <w:sz w:val="24"/>
          <w:szCs w:val="24"/>
        </w:rPr>
        <w:t xml:space="preserve">.1. </w:t>
      </w:r>
      <w:r w:rsidRPr="00AC4178">
        <w:rPr>
          <w:rFonts w:ascii="Times New Roman" w:hAnsi="Times New Roman"/>
          <w:i/>
          <w:sz w:val="24"/>
          <w:szCs w:val="24"/>
        </w:rPr>
        <w:t xml:space="preserve">Presión Impositiva y Contribuciones a la Seguridad Social, 2006-2016. </w:t>
      </w:r>
    </w:p>
    <w:p w14:paraId="5095771F" w14:textId="60BF0F8A" w:rsidR="00C41DB5" w:rsidRPr="00AC4178" w:rsidRDefault="00E65A39" w:rsidP="00AC4178">
      <w:pPr>
        <w:pStyle w:val="Caption"/>
        <w:spacing w:before="0"/>
        <w:jc w:val="center"/>
        <w:rPr>
          <w:rFonts w:ascii="Times New Roman" w:hAnsi="Times New Roman"/>
          <w:b/>
          <w:sz w:val="24"/>
          <w:szCs w:val="24"/>
        </w:rPr>
      </w:pPr>
      <w:r w:rsidRPr="00AC4178">
        <w:rPr>
          <w:rFonts w:ascii="Times New Roman" w:hAnsi="Times New Roman"/>
          <w:i/>
          <w:sz w:val="24"/>
          <w:szCs w:val="24"/>
        </w:rPr>
        <w:t>Costa Rica vs países de ALC-7* como % del PIB</w:t>
      </w:r>
      <w:r w:rsidRPr="00AC4178">
        <w:rPr>
          <w:rFonts w:ascii="Times New Roman" w:hAnsi="Times New Roman"/>
          <w:sz w:val="24"/>
          <w:szCs w:val="24"/>
        </w:rPr>
        <w:t xml:space="preserve"> </w:t>
      </w:r>
    </w:p>
    <w:p w14:paraId="1107C8CA" w14:textId="1CC4040A" w:rsidR="00C41DB5" w:rsidRDefault="00E65A39" w:rsidP="00C41DB5">
      <w:pPr>
        <w:spacing w:after="0" w:line="360" w:lineRule="auto"/>
        <w:ind w:right="51"/>
        <w:jc w:val="center"/>
        <w:rPr>
          <w:rFonts w:ascii="Times New Roman" w:hAnsi="Times New Roman" w:cs="Times New Roman"/>
          <w:sz w:val="24"/>
        </w:rPr>
      </w:pPr>
      <w:r>
        <w:rPr>
          <w:noProof/>
        </w:rPr>
        <w:drawing>
          <wp:inline distT="0" distB="0" distL="0" distR="0" wp14:anchorId="096DD099" wp14:editId="01321633">
            <wp:extent cx="4798695" cy="2457907"/>
            <wp:effectExtent l="0" t="0" r="1905" b="0"/>
            <wp:docPr id="1" name="Chart 1">
              <a:extLst xmlns:a="http://schemas.openxmlformats.org/drawingml/2006/main">
                <a:ext uri="{FF2B5EF4-FFF2-40B4-BE49-F238E27FC236}">
                  <a16:creationId xmlns:a16="http://schemas.microsoft.com/office/drawing/2014/main" id="{86E65052-973F-47E2-9495-79C7C871B0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2AEAFC4" w14:textId="77777777" w:rsidR="00C41DB5" w:rsidRPr="00AC4178" w:rsidRDefault="00C41DB5" w:rsidP="00C41DB5">
      <w:pPr>
        <w:spacing w:after="0" w:line="240" w:lineRule="auto"/>
        <w:jc w:val="center"/>
        <w:rPr>
          <w:rFonts w:ascii="Times New Roman" w:hAnsi="Times New Roman" w:cs="Times New Roman"/>
          <w:sz w:val="18"/>
          <w:szCs w:val="18"/>
        </w:rPr>
      </w:pPr>
      <w:r w:rsidRPr="00AC4178">
        <w:rPr>
          <w:rFonts w:ascii="Times New Roman" w:hAnsi="Times New Roman" w:cs="Times New Roman"/>
          <w:sz w:val="18"/>
          <w:szCs w:val="18"/>
        </w:rPr>
        <w:t>*Argentina, Brasil, Chile, Colombia, México, Panamá y Uruguay.</w:t>
      </w:r>
    </w:p>
    <w:p w14:paraId="3299EFDC" w14:textId="77777777" w:rsidR="00C41DB5" w:rsidRPr="00AC4178" w:rsidRDefault="00C41DB5" w:rsidP="00AC4178">
      <w:pPr>
        <w:spacing w:line="240" w:lineRule="auto"/>
        <w:jc w:val="center"/>
        <w:rPr>
          <w:rFonts w:ascii="Times New Roman" w:hAnsi="Times New Roman" w:cs="Times New Roman"/>
          <w:sz w:val="18"/>
          <w:szCs w:val="18"/>
        </w:rPr>
      </w:pPr>
      <w:r w:rsidRPr="00AC4178">
        <w:rPr>
          <w:rFonts w:ascii="Times New Roman" w:hAnsi="Times New Roman" w:cs="Times New Roman"/>
          <w:sz w:val="18"/>
          <w:szCs w:val="18"/>
        </w:rPr>
        <w:t>Fuente: Presión Fiscal Equivalente 2017.</w:t>
      </w:r>
    </w:p>
    <w:p w14:paraId="1B4A7276" w14:textId="4A21F4FF" w:rsidR="00F9309A" w:rsidRPr="007E5EDF" w:rsidRDefault="00BC58DE" w:rsidP="00BC574A">
      <w:pPr>
        <w:spacing w:after="0" w:line="360" w:lineRule="auto"/>
        <w:jc w:val="both"/>
        <w:rPr>
          <w:rFonts w:ascii="Times New Roman" w:hAnsi="Times New Roman" w:cs="Times New Roman"/>
          <w:sz w:val="24"/>
        </w:rPr>
      </w:pPr>
      <w:r>
        <w:rPr>
          <w:rFonts w:ascii="Times New Roman" w:hAnsi="Times New Roman" w:cs="Times New Roman"/>
          <w:sz w:val="24"/>
        </w:rPr>
        <w:t xml:space="preserve">Cabe mencionar que </w:t>
      </w:r>
      <w:r w:rsidR="00BC574A">
        <w:rPr>
          <w:rFonts w:ascii="Times New Roman" w:hAnsi="Times New Roman" w:cs="Times New Roman"/>
          <w:sz w:val="24"/>
        </w:rPr>
        <w:t xml:space="preserve">Costa Rica ha sido el primer país de la región en otorgar servicios de salud universales y cuenta con la segunda mayor cobertura en pensiones (luego de Uruguay y Argentina), pero a un alto costo sobre salarios. En efecto, la cuña tributaria sobre salarios es la cuarta en la región </w:t>
      </w:r>
      <w:r w:rsidR="00BC574A" w:rsidRPr="00966D40">
        <w:rPr>
          <w:rFonts w:ascii="Times New Roman" w:hAnsi="Times New Roman" w:cs="Times New Roman"/>
          <w:sz w:val="24"/>
        </w:rPr>
        <w:t>(OCDE/BID/CIAT</w:t>
      </w:r>
      <w:r w:rsidR="00BC574A" w:rsidRPr="00966D40">
        <w:rPr>
          <w:rFonts w:ascii="Times New Roman" w:hAnsi="Times New Roman" w:cs="Times New Roman"/>
          <w:sz w:val="24"/>
          <w:lang w:val="es-ES_tradnl"/>
        </w:rPr>
        <w:t>, 2016)</w:t>
      </w:r>
      <w:r w:rsidR="00BC574A">
        <w:rPr>
          <w:rFonts w:ascii="Times New Roman" w:hAnsi="Times New Roman" w:cs="Times New Roman"/>
          <w:sz w:val="24"/>
          <w:lang w:val="es-ES_tradnl"/>
        </w:rPr>
        <w:t xml:space="preserve"> en un país con un desempleo cró</w:t>
      </w:r>
      <w:r w:rsidR="00113F7F">
        <w:rPr>
          <w:rFonts w:ascii="Times New Roman" w:hAnsi="Times New Roman" w:cs="Times New Roman"/>
          <w:sz w:val="24"/>
          <w:lang w:val="es-ES_tradnl"/>
        </w:rPr>
        <w:t>n</w:t>
      </w:r>
      <w:r w:rsidR="00BC574A">
        <w:rPr>
          <w:rFonts w:ascii="Times New Roman" w:hAnsi="Times New Roman" w:cs="Times New Roman"/>
          <w:sz w:val="24"/>
          <w:lang w:val="es-ES_tradnl"/>
        </w:rPr>
        <w:t xml:space="preserve">ico </w:t>
      </w:r>
      <w:r>
        <w:rPr>
          <w:rFonts w:ascii="Times New Roman" w:hAnsi="Times New Roman" w:cs="Times New Roman"/>
          <w:sz w:val="24"/>
          <w:lang w:val="es-ES_tradnl"/>
        </w:rPr>
        <w:t xml:space="preserve">que </w:t>
      </w:r>
      <w:r w:rsidR="00BC574A">
        <w:rPr>
          <w:rFonts w:ascii="Times New Roman" w:hAnsi="Times New Roman" w:cs="Times New Roman"/>
          <w:sz w:val="24"/>
          <w:lang w:val="es-ES_tradnl"/>
        </w:rPr>
        <w:t>super</w:t>
      </w:r>
      <w:r>
        <w:rPr>
          <w:rFonts w:ascii="Times New Roman" w:hAnsi="Times New Roman" w:cs="Times New Roman"/>
          <w:sz w:val="24"/>
          <w:lang w:val="es-ES_tradnl"/>
        </w:rPr>
        <w:t>a</w:t>
      </w:r>
      <w:r w:rsidR="00BC574A">
        <w:rPr>
          <w:rFonts w:ascii="Times New Roman" w:hAnsi="Times New Roman" w:cs="Times New Roman"/>
          <w:sz w:val="24"/>
          <w:lang w:val="es-ES_tradnl"/>
        </w:rPr>
        <w:t xml:space="preserve"> </w:t>
      </w:r>
      <w:r>
        <w:rPr>
          <w:rFonts w:ascii="Times New Roman" w:hAnsi="Times New Roman" w:cs="Times New Roman"/>
          <w:sz w:val="24"/>
          <w:lang w:val="es-ES_tradnl"/>
        </w:rPr>
        <w:t>e</w:t>
      </w:r>
      <w:r w:rsidR="00BC574A">
        <w:rPr>
          <w:rFonts w:ascii="Times New Roman" w:hAnsi="Times New Roman" w:cs="Times New Roman"/>
          <w:sz w:val="24"/>
          <w:lang w:val="es-ES_tradnl"/>
        </w:rPr>
        <w:t>l 10%. P</w:t>
      </w:r>
      <w:r w:rsidR="00BC574A" w:rsidRPr="007E5EDF">
        <w:rPr>
          <w:rFonts w:ascii="Times New Roman" w:hAnsi="Times New Roman" w:cs="Times New Roman"/>
          <w:sz w:val="24"/>
        </w:rPr>
        <w:t xml:space="preserve">ara finalizar </w:t>
      </w:r>
      <w:r w:rsidR="00BC574A">
        <w:rPr>
          <w:rFonts w:ascii="Times New Roman" w:hAnsi="Times New Roman" w:cs="Times New Roman"/>
          <w:sz w:val="24"/>
        </w:rPr>
        <w:t>un panorama fiscal complejo (</w:t>
      </w:r>
      <w:r w:rsidR="00F9309A">
        <w:rPr>
          <w:rFonts w:ascii="Times New Roman" w:hAnsi="Times New Roman" w:cs="Times New Roman"/>
          <w:sz w:val="24"/>
        </w:rPr>
        <w:t>g</w:t>
      </w:r>
      <w:r w:rsidR="00BC574A">
        <w:rPr>
          <w:rFonts w:ascii="Times New Roman" w:hAnsi="Times New Roman" w:cs="Times New Roman"/>
          <w:sz w:val="24"/>
        </w:rPr>
        <w:t>r</w:t>
      </w:r>
      <w:r w:rsidR="00BC574A" w:rsidRPr="005B2D3C">
        <w:rPr>
          <w:rFonts w:ascii="Times New Roman" w:hAnsi="Times New Roman" w:cs="Times New Roman"/>
          <w:sz w:val="24"/>
        </w:rPr>
        <w:t>áfi</w:t>
      </w:r>
      <w:r w:rsidR="00BC574A">
        <w:rPr>
          <w:rFonts w:ascii="Times New Roman" w:hAnsi="Times New Roman" w:cs="Times New Roman"/>
          <w:sz w:val="24"/>
        </w:rPr>
        <w:t xml:space="preserve">co </w:t>
      </w:r>
      <w:r w:rsidR="007F64E2">
        <w:rPr>
          <w:rFonts w:ascii="Times New Roman" w:hAnsi="Times New Roman" w:cs="Times New Roman"/>
          <w:sz w:val="24"/>
        </w:rPr>
        <w:t>9</w:t>
      </w:r>
      <w:r w:rsidR="00F9309A">
        <w:rPr>
          <w:rFonts w:ascii="Times New Roman" w:hAnsi="Times New Roman" w:cs="Times New Roman"/>
          <w:sz w:val="24"/>
        </w:rPr>
        <w:t>.2</w:t>
      </w:r>
      <w:r w:rsidR="00BC574A">
        <w:rPr>
          <w:rFonts w:ascii="Times New Roman" w:hAnsi="Times New Roman" w:cs="Times New Roman"/>
          <w:sz w:val="24"/>
        </w:rPr>
        <w:t xml:space="preserve">), la inversión pública a nivel del </w:t>
      </w:r>
      <w:r w:rsidR="002119C8">
        <w:rPr>
          <w:rFonts w:ascii="Times New Roman" w:hAnsi="Times New Roman" w:cs="Times New Roman"/>
          <w:sz w:val="24"/>
        </w:rPr>
        <w:t>G</w:t>
      </w:r>
      <w:r w:rsidR="00BC574A">
        <w:rPr>
          <w:rFonts w:ascii="Times New Roman" w:hAnsi="Times New Roman" w:cs="Times New Roman"/>
          <w:sz w:val="24"/>
        </w:rPr>
        <w:t xml:space="preserve">obierno </w:t>
      </w:r>
      <w:r w:rsidR="00BB6D89">
        <w:rPr>
          <w:rFonts w:ascii="Times New Roman" w:hAnsi="Times New Roman" w:cs="Times New Roman"/>
          <w:sz w:val="24"/>
        </w:rPr>
        <w:t>General</w:t>
      </w:r>
      <w:r w:rsidR="00BC574A">
        <w:rPr>
          <w:rFonts w:ascii="Times New Roman" w:hAnsi="Times New Roman" w:cs="Times New Roman"/>
          <w:sz w:val="24"/>
        </w:rPr>
        <w:t xml:space="preserve"> es la más baja de ALC, 1</w:t>
      </w:r>
      <w:r w:rsidR="00BB6D89">
        <w:rPr>
          <w:rFonts w:ascii="Times New Roman" w:hAnsi="Times New Roman" w:cs="Times New Roman"/>
          <w:sz w:val="24"/>
        </w:rPr>
        <w:t>,</w:t>
      </w:r>
      <w:r w:rsidR="00BC574A">
        <w:rPr>
          <w:rFonts w:ascii="Times New Roman" w:hAnsi="Times New Roman" w:cs="Times New Roman"/>
          <w:sz w:val="24"/>
        </w:rPr>
        <w:t>9% del PIB en el último decenio casi la mitad de la región</w:t>
      </w:r>
      <w:r w:rsidR="00BB6D89">
        <w:rPr>
          <w:rFonts w:ascii="Times New Roman" w:hAnsi="Times New Roman" w:cs="Times New Roman"/>
          <w:sz w:val="24"/>
        </w:rPr>
        <w:t xml:space="preserve"> (3,7%) </w:t>
      </w:r>
      <w:r w:rsidR="00BC574A">
        <w:rPr>
          <w:rFonts w:ascii="Times New Roman" w:hAnsi="Times New Roman" w:cs="Times New Roman"/>
          <w:sz w:val="24"/>
        </w:rPr>
        <w:t xml:space="preserve">que destaca por </w:t>
      </w:r>
      <w:r w:rsidR="00D65A0E">
        <w:rPr>
          <w:rFonts w:ascii="Times New Roman" w:hAnsi="Times New Roman" w:cs="Times New Roman"/>
          <w:sz w:val="24"/>
        </w:rPr>
        <w:t>s</w:t>
      </w:r>
      <w:r w:rsidR="00BC574A">
        <w:rPr>
          <w:rFonts w:ascii="Times New Roman" w:hAnsi="Times New Roman" w:cs="Times New Roman"/>
          <w:sz w:val="24"/>
        </w:rPr>
        <w:t>u baja formación de capital</w:t>
      </w:r>
      <w:r w:rsidR="00D65A0E">
        <w:rPr>
          <w:rFonts w:ascii="Times New Roman" w:hAnsi="Times New Roman" w:cs="Times New Roman"/>
          <w:sz w:val="24"/>
        </w:rPr>
        <w:t xml:space="preserve"> (ver cap</w:t>
      </w:r>
      <w:r w:rsidR="00F9309A">
        <w:rPr>
          <w:rFonts w:ascii="Times New Roman" w:hAnsi="Times New Roman" w:cs="Times New Roman"/>
          <w:sz w:val="24"/>
        </w:rPr>
        <w:t>í</w:t>
      </w:r>
      <w:r w:rsidR="00D65A0E">
        <w:rPr>
          <w:rFonts w:ascii="Times New Roman" w:hAnsi="Times New Roman" w:cs="Times New Roman"/>
          <w:sz w:val="24"/>
        </w:rPr>
        <w:t>tulo introductorio)</w:t>
      </w:r>
      <w:r w:rsidR="00BC574A">
        <w:rPr>
          <w:rFonts w:ascii="Times New Roman" w:hAnsi="Times New Roman" w:cs="Times New Roman"/>
          <w:sz w:val="24"/>
        </w:rPr>
        <w:t>.</w:t>
      </w:r>
    </w:p>
    <w:p w14:paraId="0A806842" w14:textId="1210DB9C" w:rsidR="00BC574A" w:rsidRPr="00AC4178" w:rsidRDefault="00F9309A" w:rsidP="00AC4178">
      <w:pPr>
        <w:pStyle w:val="Caption"/>
        <w:jc w:val="center"/>
        <w:rPr>
          <w:rFonts w:ascii="Times New Roman" w:hAnsi="Times New Roman"/>
          <w:b/>
          <w:sz w:val="24"/>
          <w:szCs w:val="24"/>
        </w:rPr>
      </w:pPr>
      <w:r w:rsidRPr="00AC4178">
        <w:rPr>
          <w:rFonts w:ascii="Times New Roman" w:hAnsi="Times New Roman"/>
          <w:sz w:val="24"/>
          <w:szCs w:val="24"/>
        </w:rPr>
        <w:t xml:space="preserve">Gráfico </w:t>
      </w:r>
      <w:r w:rsidR="00AF60E4">
        <w:rPr>
          <w:rFonts w:ascii="Times New Roman" w:hAnsi="Times New Roman"/>
          <w:sz w:val="24"/>
          <w:szCs w:val="24"/>
        </w:rPr>
        <w:t>9</w:t>
      </w:r>
      <w:r>
        <w:rPr>
          <w:rFonts w:ascii="Times New Roman" w:hAnsi="Times New Roman"/>
          <w:sz w:val="24"/>
          <w:szCs w:val="24"/>
        </w:rPr>
        <w:t>.</w:t>
      </w:r>
      <w:r w:rsidRPr="00AC4178">
        <w:rPr>
          <w:rFonts w:ascii="Times New Roman" w:hAnsi="Times New Roman"/>
          <w:sz w:val="24"/>
          <w:szCs w:val="24"/>
        </w:rPr>
        <w:fldChar w:fldCharType="begin"/>
      </w:r>
      <w:r w:rsidRPr="00AC4178">
        <w:rPr>
          <w:rFonts w:ascii="Times New Roman" w:hAnsi="Times New Roman"/>
          <w:sz w:val="24"/>
          <w:szCs w:val="24"/>
        </w:rPr>
        <w:instrText xml:space="preserve"> SEQ Gráfico \* ARABIC </w:instrText>
      </w:r>
      <w:r w:rsidRPr="00AC4178">
        <w:rPr>
          <w:rFonts w:ascii="Times New Roman" w:hAnsi="Times New Roman"/>
          <w:sz w:val="24"/>
          <w:szCs w:val="24"/>
        </w:rPr>
        <w:fldChar w:fldCharType="separate"/>
      </w:r>
      <w:r w:rsidR="00B549D7">
        <w:rPr>
          <w:rFonts w:ascii="Times New Roman" w:hAnsi="Times New Roman"/>
          <w:noProof/>
          <w:sz w:val="24"/>
          <w:szCs w:val="24"/>
        </w:rPr>
        <w:t>1</w:t>
      </w:r>
      <w:r w:rsidRPr="00AC4178">
        <w:rPr>
          <w:rFonts w:ascii="Times New Roman" w:hAnsi="Times New Roman"/>
          <w:sz w:val="24"/>
          <w:szCs w:val="24"/>
        </w:rPr>
        <w:fldChar w:fldCharType="end"/>
      </w:r>
      <w:r w:rsidRPr="00AC4178">
        <w:rPr>
          <w:rFonts w:ascii="Times New Roman" w:hAnsi="Times New Roman"/>
          <w:sz w:val="24"/>
          <w:szCs w:val="24"/>
        </w:rPr>
        <w:t xml:space="preserve">. </w:t>
      </w:r>
      <w:r w:rsidRPr="00AC4178">
        <w:rPr>
          <w:rFonts w:ascii="Times New Roman" w:hAnsi="Times New Roman"/>
          <w:i/>
          <w:sz w:val="24"/>
          <w:szCs w:val="24"/>
        </w:rPr>
        <w:t>Inversión Pública de CR vs LAC. Gobierno Central, 2006-2016</w:t>
      </w:r>
      <w:r w:rsidR="00BC574A" w:rsidRPr="00AC4178">
        <w:rPr>
          <w:rFonts w:ascii="Times New Roman" w:hAnsi="Times New Roman"/>
          <w:b/>
          <w:sz w:val="24"/>
          <w:szCs w:val="24"/>
        </w:rPr>
        <w:t xml:space="preserve"> </w:t>
      </w:r>
    </w:p>
    <w:p w14:paraId="6E1AB08C" w14:textId="52A61C65" w:rsidR="00BC574A" w:rsidRDefault="00F9309A" w:rsidP="00BC574A">
      <w:pPr>
        <w:spacing w:after="0" w:line="240" w:lineRule="auto"/>
        <w:jc w:val="center"/>
        <w:rPr>
          <w:rFonts w:ascii="Times New Roman" w:hAnsi="Times New Roman" w:cs="Times New Roman"/>
          <w:sz w:val="20"/>
        </w:rPr>
      </w:pPr>
      <w:r>
        <w:rPr>
          <w:noProof/>
        </w:rPr>
        <w:drawing>
          <wp:inline distT="0" distB="0" distL="0" distR="0" wp14:anchorId="3C611CA6" wp14:editId="51C001CF">
            <wp:extent cx="3877056" cy="2099463"/>
            <wp:effectExtent l="0" t="0" r="0" b="0"/>
            <wp:docPr id="8" name="Chart 8">
              <a:extLst xmlns:a="http://schemas.openxmlformats.org/drawingml/2006/main">
                <a:ext uri="{FF2B5EF4-FFF2-40B4-BE49-F238E27FC236}">
                  <a16:creationId xmlns:a16="http://schemas.microsoft.com/office/drawing/2014/main" id="{4151E0E9-5076-49F1-A83E-3465733126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0F3D2CA" w14:textId="77777777" w:rsidR="00BC574A" w:rsidRPr="00AC4178" w:rsidRDefault="00BC574A" w:rsidP="00AC4178">
      <w:pPr>
        <w:spacing w:line="240" w:lineRule="auto"/>
        <w:jc w:val="center"/>
        <w:rPr>
          <w:rFonts w:ascii="Times New Roman" w:hAnsi="Times New Roman" w:cs="Times New Roman"/>
          <w:sz w:val="18"/>
          <w:szCs w:val="18"/>
        </w:rPr>
      </w:pPr>
      <w:r w:rsidRPr="00AC4178">
        <w:rPr>
          <w:rFonts w:ascii="Times New Roman" w:hAnsi="Times New Roman" w:cs="Times New Roman"/>
          <w:sz w:val="18"/>
          <w:szCs w:val="18"/>
        </w:rPr>
        <w:t xml:space="preserve">Fuente: Armendáriz </w:t>
      </w:r>
      <w:r w:rsidRPr="00AC4178">
        <w:rPr>
          <w:rFonts w:ascii="Times New Roman" w:hAnsi="Times New Roman" w:cs="Times New Roman"/>
          <w:sz w:val="18"/>
          <w:szCs w:val="18"/>
          <w:lang w:val="es-DO"/>
        </w:rPr>
        <w:t xml:space="preserve">y Carrasco (2019) y Ministerio de Hacienda (2017). </w:t>
      </w:r>
    </w:p>
    <w:p w14:paraId="4CEBEC82" w14:textId="7AE8363D" w:rsidR="00AC4178" w:rsidRDefault="004E121C" w:rsidP="00AD58EB">
      <w:pPr>
        <w:spacing w:after="0" w:line="360" w:lineRule="auto"/>
        <w:jc w:val="both"/>
        <w:rPr>
          <w:rFonts w:ascii="Times New Roman" w:hAnsi="Times New Roman"/>
          <w:sz w:val="24"/>
          <w:szCs w:val="24"/>
        </w:rPr>
      </w:pPr>
      <w:r w:rsidRPr="003C7BD8">
        <w:rPr>
          <w:rFonts w:ascii="Times New Roman" w:hAnsi="Times New Roman" w:cs="Times New Roman"/>
          <w:sz w:val="24"/>
        </w:rPr>
        <w:t>Como resultado, el balance primario pasó de promediar 1,7% del PIB durante el periodo 2000-2008 a</w:t>
      </w:r>
      <w:r w:rsidR="00B5430A">
        <w:rPr>
          <w:rFonts w:ascii="Times New Roman" w:hAnsi="Times New Roman" w:cs="Times New Roman"/>
          <w:sz w:val="24"/>
        </w:rPr>
        <w:t xml:space="preserve"> un</w:t>
      </w:r>
      <w:r w:rsidRPr="003C7BD8">
        <w:rPr>
          <w:rFonts w:ascii="Times New Roman" w:hAnsi="Times New Roman" w:cs="Times New Roman"/>
          <w:sz w:val="24"/>
        </w:rPr>
        <w:t xml:space="preserve"> </w:t>
      </w:r>
      <w:r w:rsidR="00B5430A">
        <w:rPr>
          <w:rFonts w:ascii="Times New Roman" w:hAnsi="Times New Roman" w:cs="Times New Roman"/>
          <w:sz w:val="24"/>
        </w:rPr>
        <w:t>-</w:t>
      </w:r>
      <w:r w:rsidRPr="003C7BD8">
        <w:rPr>
          <w:rFonts w:ascii="Times New Roman" w:hAnsi="Times New Roman" w:cs="Times New Roman"/>
          <w:sz w:val="24"/>
        </w:rPr>
        <w:t>2,</w:t>
      </w:r>
      <w:r w:rsidR="00B5430A">
        <w:rPr>
          <w:rFonts w:ascii="Times New Roman" w:hAnsi="Times New Roman" w:cs="Times New Roman"/>
          <w:sz w:val="24"/>
        </w:rPr>
        <w:t>7</w:t>
      </w:r>
      <w:r w:rsidRPr="003C7BD8">
        <w:rPr>
          <w:rFonts w:ascii="Times New Roman" w:hAnsi="Times New Roman" w:cs="Times New Roman"/>
          <w:sz w:val="24"/>
        </w:rPr>
        <w:t>% para el periodo 2010-2017, dejando un constante aumento de la deuda total, con un gasto en intereses que sigue creciendo como consecuencia (en 2008: 2,1% del PIB y 2017: 3,1% del PIB).</w:t>
      </w:r>
      <w:r>
        <w:rPr>
          <w:rFonts w:ascii="Times New Roman" w:hAnsi="Times New Roman" w:cs="Times New Roman"/>
          <w:sz w:val="24"/>
        </w:rPr>
        <w:t xml:space="preserve"> </w:t>
      </w:r>
      <w:r w:rsidR="00000CE0">
        <w:rPr>
          <w:rFonts w:ascii="Times New Roman" w:hAnsi="Times New Roman" w:cs="Times New Roman"/>
          <w:sz w:val="24"/>
        </w:rPr>
        <w:t xml:space="preserve">Para atender esta situación, el Gobierno ha propuesto iniciativas de ajuste al desequilibrio fiscal, dentro de ellas </w:t>
      </w:r>
      <w:r w:rsidR="00000CE0" w:rsidRPr="003C7BD8">
        <w:rPr>
          <w:rFonts w:ascii="Times New Roman" w:hAnsi="Times New Roman" w:cs="Times New Roman"/>
          <w:sz w:val="24"/>
        </w:rPr>
        <w:t>se encuentra la ley de Fortalecimiento de las Finanzas Públicas</w:t>
      </w:r>
      <w:r w:rsidR="00000CE0">
        <w:rPr>
          <w:rFonts w:ascii="Times New Roman" w:hAnsi="Times New Roman" w:cs="Times New Roman"/>
          <w:sz w:val="24"/>
        </w:rPr>
        <w:t xml:space="preserve"> en diciembre de 2018</w:t>
      </w:r>
      <w:r w:rsidR="00000CE0" w:rsidRPr="003C7BD8">
        <w:rPr>
          <w:rFonts w:ascii="Times New Roman" w:hAnsi="Times New Roman" w:cs="Times New Roman"/>
          <w:sz w:val="24"/>
        </w:rPr>
        <w:t>.</w:t>
      </w:r>
      <w:r w:rsidR="00000CE0" w:rsidRPr="003C7BD8">
        <w:rPr>
          <w:rStyle w:val="FootnoteReference"/>
          <w:rFonts w:ascii="Times New Roman" w:hAnsi="Times New Roman" w:cs="Times New Roman"/>
          <w:sz w:val="24"/>
        </w:rPr>
        <w:footnoteReference w:id="5"/>
      </w:r>
      <w:r w:rsidR="00000CE0" w:rsidRPr="003C7BD8">
        <w:rPr>
          <w:rFonts w:ascii="Times New Roman" w:hAnsi="Times New Roman" w:cs="Times New Roman"/>
          <w:sz w:val="24"/>
        </w:rPr>
        <w:t xml:space="preserve"> Este proyecto contiene medidas tanto por el lado de los ingresos como por el lado del gasto,</w:t>
      </w:r>
      <w:r w:rsidR="00000CE0">
        <w:rPr>
          <w:rFonts w:ascii="Times New Roman" w:hAnsi="Times New Roman" w:cs="Times New Roman"/>
          <w:sz w:val="24"/>
        </w:rPr>
        <w:t xml:space="preserve"> así como </w:t>
      </w:r>
      <w:r w:rsidR="00000CE0" w:rsidRPr="003C7BD8">
        <w:rPr>
          <w:rFonts w:ascii="Times New Roman" w:hAnsi="Times New Roman" w:cs="Times New Roman"/>
          <w:sz w:val="24"/>
        </w:rPr>
        <w:t xml:space="preserve">una regla fiscal de </w:t>
      </w:r>
      <w:r w:rsidR="00000CE0">
        <w:rPr>
          <w:rFonts w:ascii="Times New Roman" w:hAnsi="Times New Roman" w:cs="Times New Roman"/>
          <w:sz w:val="24"/>
        </w:rPr>
        <w:t xml:space="preserve">limite al crecimiento del </w:t>
      </w:r>
      <w:r w:rsidR="00000CE0" w:rsidRPr="003C7BD8">
        <w:rPr>
          <w:rFonts w:ascii="Times New Roman" w:hAnsi="Times New Roman" w:cs="Times New Roman"/>
          <w:sz w:val="24"/>
        </w:rPr>
        <w:t xml:space="preserve">gasto </w:t>
      </w:r>
      <w:r w:rsidR="00000CE0">
        <w:rPr>
          <w:rFonts w:ascii="Times New Roman" w:hAnsi="Times New Roman" w:cs="Times New Roman"/>
          <w:sz w:val="24"/>
        </w:rPr>
        <w:t xml:space="preserve">corriente dependiendo de los niveles de </w:t>
      </w:r>
      <w:r w:rsidR="00000CE0" w:rsidRPr="003C7BD8">
        <w:rPr>
          <w:rFonts w:ascii="Times New Roman" w:hAnsi="Times New Roman" w:cs="Times New Roman"/>
          <w:sz w:val="24"/>
        </w:rPr>
        <w:t>crecimiento med</w:t>
      </w:r>
      <w:r w:rsidR="00000CE0">
        <w:rPr>
          <w:rFonts w:ascii="Times New Roman" w:hAnsi="Times New Roman" w:cs="Times New Roman"/>
          <w:sz w:val="24"/>
        </w:rPr>
        <w:t>i</w:t>
      </w:r>
      <w:r w:rsidR="00000CE0" w:rsidRPr="003C7BD8">
        <w:rPr>
          <w:rFonts w:ascii="Times New Roman" w:hAnsi="Times New Roman" w:cs="Times New Roman"/>
          <w:sz w:val="24"/>
        </w:rPr>
        <w:t xml:space="preserve">o del PIB y razón deuda-PIB. </w:t>
      </w:r>
    </w:p>
    <w:p w14:paraId="77E865FF" w14:textId="692373B1" w:rsidR="004E121C" w:rsidRPr="00AC4178" w:rsidRDefault="00B5430A" w:rsidP="003963CA">
      <w:pPr>
        <w:pStyle w:val="Caption"/>
        <w:spacing w:before="0"/>
        <w:jc w:val="center"/>
        <w:rPr>
          <w:rFonts w:ascii="Times New Roman" w:hAnsi="Times New Roman"/>
          <w:b/>
          <w:sz w:val="24"/>
          <w:szCs w:val="24"/>
        </w:rPr>
      </w:pPr>
      <w:r w:rsidRPr="00AC4178">
        <w:rPr>
          <w:rFonts w:ascii="Times New Roman" w:hAnsi="Times New Roman"/>
          <w:sz w:val="24"/>
          <w:szCs w:val="24"/>
        </w:rPr>
        <w:t xml:space="preserve">Gráfico </w:t>
      </w:r>
      <w:r w:rsidR="00AF60E4">
        <w:rPr>
          <w:rFonts w:ascii="Times New Roman" w:hAnsi="Times New Roman"/>
          <w:sz w:val="24"/>
          <w:szCs w:val="24"/>
        </w:rPr>
        <w:t>9</w:t>
      </w:r>
      <w:r w:rsidR="00906B66">
        <w:rPr>
          <w:rFonts w:ascii="Times New Roman" w:hAnsi="Times New Roman"/>
          <w:sz w:val="24"/>
          <w:szCs w:val="24"/>
        </w:rPr>
        <w:t>.</w:t>
      </w:r>
      <w:r w:rsidRPr="00AC4178">
        <w:rPr>
          <w:rFonts w:ascii="Times New Roman" w:hAnsi="Times New Roman"/>
          <w:sz w:val="24"/>
          <w:szCs w:val="24"/>
        </w:rPr>
        <w:fldChar w:fldCharType="begin"/>
      </w:r>
      <w:r w:rsidRPr="00AC4178">
        <w:rPr>
          <w:rFonts w:ascii="Times New Roman" w:hAnsi="Times New Roman"/>
          <w:sz w:val="24"/>
          <w:szCs w:val="24"/>
        </w:rPr>
        <w:instrText xml:space="preserve"> SEQ Gráfico \* ARABIC </w:instrText>
      </w:r>
      <w:r w:rsidRPr="00AC4178">
        <w:rPr>
          <w:rFonts w:ascii="Times New Roman" w:hAnsi="Times New Roman"/>
          <w:sz w:val="24"/>
          <w:szCs w:val="24"/>
        </w:rPr>
        <w:fldChar w:fldCharType="separate"/>
      </w:r>
      <w:r w:rsidR="00B549D7">
        <w:rPr>
          <w:rFonts w:ascii="Times New Roman" w:hAnsi="Times New Roman"/>
          <w:noProof/>
          <w:sz w:val="24"/>
          <w:szCs w:val="24"/>
        </w:rPr>
        <w:t>2</w:t>
      </w:r>
      <w:r w:rsidRPr="00AC4178">
        <w:rPr>
          <w:rFonts w:ascii="Times New Roman" w:hAnsi="Times New Roman"/>
          <w:sz w:val="24"/>
          <w:szCs w:val="24"/>
        </w:rPr>
        <w:fldChar w:fldCharType="end"/>
      </w:r>
      <w:r w:rsidRPr="00AC4178">
        <w:rPr>
          <w:rFonts w:ascii="Times New Roman" w:hAnsi="Times New Roman"/>
          <w:sz w:val="24"/>
          <w:szCs w:val="24"/>
        </w:rPr>
        <w:t xml:space="preserve">. </w:t>
      </w:r>
      <w:r w:rsidRPr="00AC4178">
        <w:rPr>
          <w:rFonts w:ascii="Times New Roman" w:hAnsi="Times New Roman"/>
          <w:i/>
          <w:sz w:val="24"/>
          <w:szCs w:val="24"/>
        </w:rPr>
        <w:t>B</w:t>
      </w:r>
      <w:r w:rsidR="00906B66" w:rsidRPr="00AC4178">
        <w:rPr>
          <w:rFonts w:ascii="Times New Roman" w:hAnsi="Times New Roman"/>
          <w:i/>
          <w:sz w:val="24"/>
          <w:szCs w:val="24"/>
        </w:rPr>
        <w:t>a</w:t>
      </w:r>
      <w:r w:rsidRPr="00AC4178">
        <w:rPr>
          <w:rFonts w:ascii="Times New Roman" w:hAnsi="Times New Roman"/>
          <w:i/>
          <w:sz w:val="24"/>
          <w:szCs w:val="24"/>
        </w:rPr>
        <w:t>lance primario (eje derecho) y deuda total</w:t>
      </w:r>
      <w:r w:rsidR="00906B66" w:rsidRPr="00AC4178">
        <w:rPr>
          <w:rFonts w:ascii="Times New Roman" w:hAnsi="Times New Roman"/>
          <w:i/>
          <w:sz w:val="24"/>
          <w:szCs w:val="24"/>
        </w:rPr>
        <w:t xml:space="preserve"> como</w:t>
      </w:r>
      <w:r w:rsidRPr="00AC4178">
        <w:rPr>
          <w:rFonts w:ascii="Times New Roman" w:hAnsi="Times New Roman"/>
          <w:i/>
          <w:sz w:val="24"/>
          <w:szCs w:val="24"/>
        </w:rPr>
        <w:t xml:space="preserve"> % del PIB</w:t>
      </w:r>
    </w:p>
    <w:p w14:paraId="299DF148" w14:textId="77777777" w:rsidR="004E121C" w:rsidRPr="003C7BD8" w:rsidRDefault="004E121C" w:rsidP="00000CE0">
      <w:pPr>
        <w:spacing w:after="0" w:line="240" w:lineRule="auto"/>
        <w:jc w:val="center"/>
        <w:rPr>
          <w:rFonts w:ascii="Times New Roman" w:hAnsi="Times New Roman" w:cs="Times New Roman"/>
          <w:sz w:val="24"/>
        </w:rPr>
      </w:pPr>
      <w:r w:rsidRPr="003C7BD8">
        <w:rPr>
          <w:noProof/>
          <w:sz w:val="24"/>
        </w:rPr>
        <w:drawing>
          <wp:inline distT="0" distB="0" distL="0" distR="0" wp14:anchorId="775C66EB" wp14:editId="00D28B36">
            <wp:extent cx="5303520" cy="2209190"/>
            <wp:effectExtent l="0" t="0" r="0" b="0"/>
            <wp:docPr id="2" name="Chart 2">
              <a:extLst xmlns:a="http://schemas.openxmlformats.org/drawingml/2006/main">
                <a:ext uri="{FF2B5EF4-FFF2-40B4-BE49-F238E27FC236}">
                  <a16:creationId xmlns:a16="http://schemas.microsoft.com/office/drawing/2014/main" id="{8C6F9396-23D5-4E71-A19B-91065F2338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B3E248F" w14:textId="305612C8" w:rsidR="004E121C" w:rsidRPr="00AC4178" w:rsidRDefault="004E121C" w:rsidP="004E121C">
      <w:pPr>
        <w:spacing w:line="360" w:lineRule="auto"/>
        <w:jc w:val="center"/>
        <w:rPr>
          <w:rFonts w:ascii="Times New Roman" w:hAnsi="Times New Roman" w:cs="Times New Roman"/>
          <w:sz w:val="18"/>
          <w:szCs w:val="18"/>
        </w:rPr>
      </w:pPr>
      <w:r w:rsidRPr="00AC4178">
        <w:rPr>
          <w:rFonts w:ascii="Times New Roman" w:hAnsi="Times New Roman" w:cs="Times New Roman"/>
          <w:sz w:val="18"/>
          <w:szCs w:val="18"/>
        </w:rPr>
        <w:t xml:space="preserve">Fuente: Elaboración propia con cifras del Ministerio de Hacienda y el Banco Central de Costa Rica. </w:t>
      </w:r>
    </w:p>
    <w:p w14:paraId="2F0723AF" w14:textId="26418F11" w:rsidR="005F17B3" w:rsidRDefault="004E121C" w:rsidP="00FB7684">
      <w:pPr>
        <w:spacing w:line="360" w:lineRule="auto"/>
        <w:ind w:right="51"/>
        <w:jc w:val="both"/>
        <w:rPr>
          <w:rFonts w:ascii="Times New Roman" w:hAnsi="Times New Roman" w:cs="Times New Roman"/>
          <w:sz w:val="24"/>
        </w:rPr>
      </w:pPr>
      <w:r w:rsidRPr="003C7BD8">
        <w:rPr>
          <w:rFonts w:ascii="Times New Roman" w:hAnsi="Times New Roman" w:cs="Times New Roman"/>
          <w:sz w:val="24"/>
        </w:rPr>
        <w:t xml:space="preserve">A diferencia de los </w:t>
      </w:r>
      <w:r>
        <w:rPr>
          <w:rFonts w:ascii="Times New Roman" w:hAnsi="Times New Roman" w:cs="Times New Roman"/>
          <w:sz w:val="24"/>
        </w:rPr>
        <w:t xml:space="preserve">demás </w:t>
      </w:r>
      <w:r w:rsidR="000A2036">
        <w:rPr>
          <w:rFonts w:ascii="Times New Roman" w:hAnsi="Times New Roman" w:cs="Times New Roman"/>
          <w:sz w:val="24"/>
        </w:rPr>
        <w:t xml:space="preserve">casos </w:t>
      </w:r>
      <w:r>
        <w:rPr>
          <w:rFonts w:ascii="Times New Roman" w:hAnsi="Times New Roman" w:cs="Times New Roman"/>
          <w:sz w:val="24"/>
        </w:rPr>
        <w:t>expuestos en el presente libro</w:t>
      </w:r>
      <w:r w:rsidRPr="003C7BD8">
        <w:rPr>
          <w:rFonts w:ascii="Times New Roman" w:hAnsi="Times New Roman" w:cs="Times New Roman"/>
          <w:sz w:val="24"/>
        </w:rPr>
        <w:t>, Costa Rica no posee historia</w:t>
      </w:r>
      <w:r>
        <w:rPr>
          <w:rFonts w:ascii="Times New Roman" w:hAnsi="Times New Roman" w:cs="Times New Roman"/>
          <w:sz w:val="24"/>
        </w:rPr>
        <w:t xml:space="preserve"> sobre una</w:t>
      </w:r>
      <w:r w:rsidRPr="003C7BD8">
        <w:rPr>
          <w:rFonts w:ascii="Times New Roman" w:hAnsi="Times New Roman" w:cs="Times New Roman"/>
          <w:sz w:val="24"/>
        </w:rPr>
        <w:t xml:space="preserve"> regla fiscal</w:t>
      </w:r>
      <w:r w:rsidR="00FB7684">
        <w:rPr>
          <w:rFonts w:ascii="Times New Roman" w:hAnsi="Times New Roman" w:cs="Times New Roman"/>
          <w:sz w:val="24"/>
        </w:rPr>
        <w:t>.</w:t>
      </w:r>
      <w:r w:rsidRPr="003C7BD8">
        <w:rPr>
          <w:rFonts w:ascii="Times New Roman" w:hAnsi="Times New Roman" w:cs="Times New Roman"/>
          <w:sz w:val="24"/>
        </w:rPr>
        <w:t xml:space="preserve"> </w:t>
      </w:r>
      <w:r w:rsidR="00FB7684">
        <w:rPr>
          <w:rFonts w:ascii="Times New Roman" w:hAnsi="Times New Roman" w:cs="Times New Roman"/>
          <w:sz w:val="24"/>
        </w:rPr>
        <w:t>P</w:t>
      </w:r>
      <w:r w:rsidRPr="003C7BD8">
        <w:rPr>
          <w:rFonts w:ascii="Times New Roman" w:hAnsi="Times New Roman" w:cs="Times New Roman"/>
          <w:sz w:val="24"/>
        </w:rPr>
        <w:t>or lo tanto, se</w:t>
      </w:r>
      <w:r>
        <w:rPr>
          <w:rFonts w:ascii="Times New Roman" w:hAnsi="Times New Roman" w:cs="Times New Roman"/>
          <w:sz w:val="24"/>
        </w:rPr>
        <w:t xml:space="preserve"> realiza</w:t>
      </w:r>
      <w:r w:rsidRPr="003C7BD8">
        <w:rPr>
          <w:rFonts w:ascii="Times New Roman" w:hAnsi="Times New Roman" w:cs="Times New Roman"/>
          <w:sz w:val="24"/>
        </w:rPr>
        <w:t xml:space="preserve"> un análisis </w:t>
      </w:r>
      <w:proofErr w:type="spellStart"/>
      <w:r w:rsidRPr="002246E2">
        <w:rPr>
          <w:rFonts w:ascii="Times New Roman" w:hAnsi="Times New Roman" w:cs="Times New Roman"/>
          <w:i/>
          <w:sz w:val="24"/>
        </w:rPr>
        <w:t>ex-ante</w:t>
      </w:r>
      <w:proofErr w:type="spellEnd"/>
      <w:r w:rsidRPr="003C7BD8">
        <w:rPr>
          <w:rFonts w:ascii="Times New Roman" w:hAnsi="Times New Roman" w:cs="Times New Roman"/>
          <w:sz w:val="24"/>
        </w:rPr>
        <w:t xml:space="preserve"> de este mecanismo. El </w:t>
      </w:r>
      <w:r>
        <w:rPr>
          <w:rFonts w:ascii="Times New Roman" w:hAnsi="Times New Roman" w:cs="Times New Roman"/>
          <w:sz w:val="24"/>
        </w:rPr>
        <w:t xml:space="preserve">principal desafío de la regla es adquirido por </w:t>
      </w:r>
      <w:r w:rsidRPr="003C7BD8">
        <w:rPr>
          <w:rFonts w:ascii="Times New Roman" w:hAnsi="Times New Roman" w:cs="Times New Roman"/>
          <w:sz w:val="24"/>
        </w:rPr>
        <w:t xml:space="preserve">los destinos específicos y </w:t>
      </w:r>
      <w:r>
        <w:rPr>
          <w:rFonts w:ascii="Times New Roman" w:hAnsi="Times New Roman" w:cs="Times New Roman"/>
          <w:sz w:val="24"/>
        </w:rPr>
        <w:t xml:space="preserve">las </w:t>
      </w:r>
      <w:r w:rsidRPr="003C7BD8">
        <w:rPr>
          <w:rFonts w:ascii="Times New Roman" w:hAnsi="Times New Roman" w:cs="Times New Roman"/>
          <w:sz w:val="24"/>
        </w:rPr>
        <w:t>partidas inflexibles del gasto.</w:t>
      </w:r>
      <w:r w:rsidRPr="003C7BD8">
        <w:rPr>
          <w:rStyle w:val="FootnoteReference"/>
          <w:rFonts w:ascii="Times New Roman" w:hAnsi="Times New Roman" w:cs="Times New Roman"/>
          <w:sz w:val="24"/>
        </w:rPr>
        <w:footnoteReference w:id="6"/>
      </w:r>
      <w:r w:rsidRPr="003C7BD8">
        <w:rPr>
          <w:rFonts w:ascii="Times New Roman" w:hAnsi="Times New Roman" w:cs="Times New Roman"/>
          <w:sz w:val="24"/>
        </w:rPr>
        <w:t xml:space="preserve"> De acuerdo con Loría y Martínez (2017), en Costa Rica la efectividad de una regla de fiscal de gasto dependerá de cuánto se logren derogar o ajustar los destinos específicos</w:t>
      </w:r>
      <w:r w:rsidR="00B55665">
        <w:rPr>
          <w:rFonts w:ascii="Times New Roman" w:hAnsi="Times New Roman" w:cs="Times New Roman"/>
          <w:sz w:val="24"/>
        </w:rPr>
        <w:t>.</w:t>
      </w:r>
      <w:r w:rsidRPr="003C7BD8">
        <w:rPr>
          <w:rFonts w:ascii="Times New Roman" w:hAnsi="Times New Roman" w:cs="Times New Roman"/>
          <w:sz w:val="24"/>
        </w:rPr>
        <w:t xml:space="preserve"> </w:t>
      </w:r>
      <w:r w:rsidR="00B55665">
        <w:rPr>
          <w:rFonts w:ascii="Times New Roman" w:hAnsi="Times New Roman" w:cs="Times New Roman"/>
          <w:sz w:val="24"/>
        </w:rPr>
        <w:t>P</w:t>
      </w:r>
      <w:r w:rsidRPr="003C7BD8">
        <w:rPr>
          <w:rFonts w:ascii="Times New Roman" w:hAnsi="Times New Roman" w:cs="Times New Roman"/>
          <w:sz w:val="24"/>
        </w:rPr>
        <w:t>articularmente</w:t>
      </w:r>
      <w:r w:rsidR="00B55665">
        <w:rPr>
          <w:rFonts w:ascii="Times New Roman" w:hAnsi="Times New Roman" w:cs="Times New Roman"/>
          <w:sz w:val="24"/>
        </w:rPr>
        <w:t>,</w:t>
      </w:r>
      <w:r w:rsidRPr="003C7BD8">
        <w:rPr>
          <w:rFonts w:ascii="Times New Roman" w:hAnsi="Times New Roman" w:cs="Times New Roman"/>
          <w:sz w:val="24"/>
        </w:rPr>
        <w:t xml:space="preserve"> en el presupuesto del año 2018</w:t>
      </w:r>
      <w:r w:rsidR="00B55665">
        <w:rPr>
          <w:rFonts w:ascii="Times New Roman" w:hAnsi="Times New Roman" w:cs="Times New Roman"/>
          <w:sz w:val="24"/>
        </w:rPr>
        <w:t xml:space="preserve"> </w:t>
      </w:r>
      <w:r w:rsidRPr="003C7BD8">
        <w:rPr>
          <w:rFonts w:ascii="Times New Roman" w:hAnsi="Times New Roman" w:cs="Times New Roman"/>
          <w:sz w:val="24"/>
        </w:rPr>
        <w:t xml:space="preserve">esos destinos representaron 44% del gasto total, restando un fuerte grado de flexibilidad para los hacedores de política. En esa línea, Camacho y </w:t>
      </w:r>
      <w:proofErr w:type="spellStart"/>
      <w:r w:rsidRPr="003C7BD8">
        <w:rPr>
          <w:rFonts w:ascii="Times New Roman" w:hAnsi="Times New Roman" w:cs="Times New Roman"/>
          <w:sz w:val="24"/>
        </w:rPr>
        <w:t>Lankester</w:t>
      </w:r>
      <w:proofErr w:type="spellEnd"/>
      <w:r w:rsidRPr="003C7BD8">
        <w:rPr>
          <w:rFonts w:ascii="Times New Roman" w:hAnsi="Times New Roman" w:cs="Times New Roman"/>
          <w:sz w:val="24"/>
        </w:rPr>
        <w:t xml:space="preserve"> (2014) concluyen que</w:t>
      </w:r>
      <w:r w:rsidR="00350D88">
        <w:rPr>
          <w:rFonts w:ascii="Times New Roman" w:hAnsi="Times New Roman" w:cs="Times New Roman"/>
          <w:sz w:val="24"/>
        </w:rPr>
        <w:t xml:space="preserve"> l</w:t>
      </w:r>
      <w:r w:rsidRPr="003C7BD8">
        <w:rPr>
          <w:rFonts w:ascii="Times New Roman" w:hAnsi="Times New Roman" w:cs="Times New Roman"/>
          <w:sz w:val="24"/>
        </w:rPr>
        <w:t xml:space="preserve">os destinos específicos no solo agregan rigidez al gasto, sino que tampoco ha existido una voluntad política para corregir </w:t>
      </w:r>
      <w:r w:rsidR="00350D88">
        <w:rPr>
          <w:rFonts w:ascii="Times New Roman" w:hAnsi="Times New Roman" w:cs="Times New Roman"/>
          <w:sz w:val="24"/>
        </w:rPr>
        <w:t xml:space="preserve">esta </w:t>
      </w:r>
      <w:r w:rsidRPr="003C7BD8">
        <w:rPr>
          <w:rFonts w:ascii="Times New Roman" w:hAnsi="Times New Roman" w:cs="Times New Roman"/>
          <w:sz w:val="24"/>
        </w:rPr>
        <w:t>situación</w:t>
      </w:r>
      <w:r w:rsidR="00350D88">
        <w:rPr>
          <w:rFonts w:ascii="Times New Roman" w:hAnsi="Times New Roman" w:cs="Times New Roman"/>
          <w:sz w:val="24"/>
        </w:rPr>
        <w:t xml:space="preserve">. Lo anterior, se explica </w:t>
      </w:r>
      <w:r w:rsidR="000A3D3C">
        <w:rPr>
          <w:rFonts w:ascii="Times New Roman" w:hAnsi="Times New Roman" w:cs="Times New Roman"/>
          <w:sz w:val="24"/>
        </w:rPr>
        <w:t>porque</w:t>
      </w:r>
      <w:r w:rsidRPr="003C7BD8">
        <w:rPr>
          <w:rFonts w:ascii="Times New Roman" w:hAnsi="Times New Roman" w:cs="Times New Roman"/>
          <w:sz w:val="24"/>
        </w:rPr>
        <w:t xml:space="preserve"> gran parte de es</w:t>
      </w:r>
      <w:r w:rsidR="00350D88">
        <w:rPr>
          <w:rFonts w:ascii="Times New Roman" w:hAnsi="Times New Roman" w:cs="Times New Roman"/>
          <w:sz w:val="24"/>
        </w:rPr>
        <w:t>ta</w:t>
      </w:r>
      <w:r w:rsidRPr="003C7BD8">
        <w:rPr>
          <w:rFonts w:ascii="Times New Roman" w:hAnsi="Times New Roman" w:cs="Times New Roman"/>
          <w:sz w:val="24"/>
        </w:rPr>
        <w:t xml:space="preserve">s </w:t>
      </w:r>
      <w:r w:rsidR="00350D88">
        <w:rPr>
          <w:rFonts w:ascii="Times New Roman" w:hAnsi="Times New Roman" w:cs="Times New Roman"/>
          <w:sz w:val="24"/>
        </w:rPr>
        <w:t xml:space="preserve">obligaciones </w:t>
      </w:r>
      <w:r w:rsidRPr="003C7BD8">
        <w:rPr>
          <w:rFonts w:ascii="Times New Roman" w:hAnsi="Times New Roman" w:cs="Times New Roman"/>
          <w:sz w:val="24"/>
        </w:rPr>
        <w:t>están ligad</w:t>
      </w:r>
      <w:r w:rsidR="00350D88">
        <w:rPr>
          <w:rFonts w:ascii="Times New Roman" w:hAnsi="Times New Roman" w:cs="Times New Roman"/>
          <w:sz w:val="24"/>
        </w:rPr>
        <w:t>a</w:t>
      </w:r>
      <w:r w:rsidRPr="003C7BD8">
        <w:rPr>
          <w:rFonts w:ascii="Times New Roman" w:hAnsi="Times New Roman" w:cs="Times New Roman"/>
          <w:sz w:val="24"/>
        </w:rPr>
        <w:t>s a transferencias sociales. Por ese motivo, la implementación de una regla fiscal en Costa Rica no solo depende de un carácter técnico y operativo, sino también a las correcciones legales que permitan su buen funcionamiento. Algunas correcciones ya se encuentran contenidas dentro de la misma ley de Fortalecimiento de las Finanzas Pública</w:t>
      </w:r>
      <w:r w:rsidR="007C2029">
        <w:rPr>
          <w:rFonts w:ascii="Times New Roman" w:hAnsi="Times New Roman" w:cs="Times New Roman"/>
          <w:sz w:val="24"/>
        </w:rPr>
        <w:t>s</w:t>
      </w:r>
      <w:r w:rsidRPr="003C7BD8">
        <w:rPr>
          <w:rFonts w:ascii="Times New Roman" w:hAnsi="Times New Roman" w:cs="Times New Roman"/>
          <w:sz w:val="24"/>
        </w:rPr>
        <w:t xml:space="preserve">. A continuación, se hará un análisis de </w:t>
      </w:r>
      <w:r w:rsidRPr="003C7BD8">
        <w:rPr>
          <w:rFonts w:ascii="Times New Roman" w:hAnsi="Times New Roman" w:cs="Times New Roman"/>
          <w:i/>
          <w:sz w:val="24"/>
        </w:rPr>
        <w:t>ex ante</w:t>
      </w:r>
      <w:r w:rsidRPr="003C7BD8">
        <w:rPr>
          <w:rFonts w:ascii="Times New Roman" w:hAnsi="Times New Roman" w:cs="Times New Roman"/>
          <w:sz w:val="24"/>
        </w:rPr>
        <w:t xml:space="preserve"> de la regla fiscal.</w:t>
      </w:r>
    </w:p>
    <w:p w14:paraId="0342FD36" w14:textId="552FDFE1" w:rsidR="00041F2B" w:rsidRPr="003C7BD8" w:rsidRDefault="00776B86" w:rsidP="00CE7447">
      <w:pPr>
        <w:pStyle w:val="ListParagraph"/>
        <w:numPr>
          <w:ilvl w:val="0"/>
          <w:numId w:val="1"/>
        </w:numPr>
        <w:spacing w:line="360" w:lineRule="auto"/>
        <w:jc w:val="both"/>
        <w:rPr>
          <w:rFonts w:ascii="Times New Roman" w:hAnsi="Times New Roman" w:cs="Times New Roman"/>
          <w:sz w:val="24"/>
        </w:rPr>
      </w:pPr>
      <w:r>
        <w:rPr>
          <w:rFonts w:ascii="Times New Roman" w:hAnsi="Times New Roman" w:cs="Times New Roman"/>
          <w:b/>
          <w:sz w:val="24"/>
        </w:rPr>
        <w:t>Antecedentes</w:t>
      </w:r>
      <w:r w:rsidR="00DA7EBA" w:rsidRPr="003C7BD8">
        <w:rPr>
          <w:rFonts w:ascii="Times New Roman" w:hAnsi="Times New Roman" w:cs="Times New Roman"/>
          <w:b/>
          <w:sz w:val="24"/>
        </w:rPr>
        <w:t>.</w:t>
      </w:r>
      <w:r w:rsidR="00041F2B" w:rsidRPr="003C7BD8">
        <w:rPr>
          <w:rFonts w:ascii="Times New Roman" w:hAnsi="Times New Roman" w:cs="Times New Roman"/>
          <w:b/>
          <w:sz w:val="24"/>
        </w:rPr>
        <w:t xml:space="preserve"> </w:t>
      </w:r>
    </w:p>
    <w:p w14:paraId="6D539629" w14:textId="4F152ED8" w:rsidR="00041F2B" w:rsidRPr="003C7BD8" w:rsidRDefault="00041F2B" w:rsidP="00CE7447">
      <w:pPr>
        <w:spacing w:line="360" w:lineRule="auto"/>
        <w:jc w:val="both"/>
        <w:rPr>
          <w:rFonts w:ascii="Times New Roman" w:hAnsi="Times New Roman" w:cs="Times New Roman"/>
          <w:sz w:val="24"/>
        </w:rPr>
      </w:pPr>
      <w:r w:rsidRPr="003C7BD8">
        <w:rPr>
          <w:rFonts w:ascii="Times New Roman" w:hAnsi="Times New Roman" w:cs="Times New Roman"/>
          <w:sz w:val="24"/>
        </w:rPr>
        <w:t xml:space="preserve">El marco normativo de Costa Rica en materia de política fiscal </w:t>
      </w:r>
      <w:r w:rsidR="009A6320" w:rsidRPr="003C7BD8">
        <w:rPr>
          <w:rFonts w:ascii="Times New Roman" w:hAnsi="Times New Roman" w:cs="Times New Roman"/>
          <w:sz w:val="24"/>
        </w:rPr>
        <w:t>era</w:t>
      </w:r>
      <w:r w:rsidRPr="003C7BD8">
        <w:rPr>
          <w:rFonts w:ascii="Times New Roman" w:hAnsi="Times New Roman" w:cs="Times New Roman"/>
          <w:sz w:val="24"/>
        </w:rPr>
        <w:t xml:space="preserve"> limitado. A diferencia de distintos países de América Latina que han fijado un marco legal de reglas fiscales, Costa Rica posee artículos aislados que pretenden establecer un orden para la Hacienda Pública. Primero</w:t>
      </w:r>
      <w:r w:rsidR="006702F0">
        <w:rPr>
          <w:rFonts w:ascii="Times New Roman" w:hAnsi="Times New Roman" w:cs="Times New Roman"/>
          <w:sz w:val="24"/>
        </w:rPr>
        <w:t>,</w:t>
      </w:r>
      <w:r w:rsidRPr="003C7BD8">
        <w:rPr>
          <w:rFonts w:ascii="Times New Roman" w:hAnsi="Times New Roman" w:cs="Times New Roman"/>
          <w:sz w:val="24"/>
        </w:rPr>
        <w:t xml:space="preserve"> en los artículos 176 y 179 de la Constitución política se establece que “En ningún caso el monto de los gastos presupuestados podrá exceder el de los ingresos probables” </w:t>
      </w:r>
      <w:r w:rsidR="00301F8E">
        <w:rPr>
          <w:rFonts w:ascii="Times New Roman" w:hAnsi="Times New Roman" w:cs="Times New Roman"/>
          <w:sz w:val="24"/>
        </w:rPr>
        <w:t xml:space="preserve">(176) </w:t>
      </w:r>
      <w:r w:rsidRPr="003C7BD8">
        <w:rPr>
          <w:rFonts w:ascii="Times New Roman" w:hAnsi="Times New Roman" w:cs="Times New Roman"/>
          <w:sz w:val="24"/>
        </w:rPr>
        <w:t>y que “La Asamblea no podrá aumentar los gastos presupuestados por el Poder Ejecutivo, si no son señalados los nuevos ingresos que hubieren de cubrirlos”</w:t>
      </w:r>
      <w:r w:rsidR="00D169AE">
        <w:rPr>
          <w:rFonts w:ascii="Times New Roman" w:hAnsi="Times New Roman" w:cs="Times New Roman"/>
          <w:sz w:val="24"/>
        </w:rPr>
        <w:t xml:space="preserve"> (179)</w:t>
      </w:r>
      <w:r w:rsidRPr="003C7BD8">
        <w:rPr>
          <w:rFonts w:ascii="Times New Roman" w:hAnsi="Times New Roman" w:cs="Times New Roman"/>
          <w:sz w:val="24"/>
        </w:rPr>
        <w:t xml:space="preserve">. Mientras que la Ley de Administración Financiera en su artículo 6 sostiene que “no podrán financiarse gastos corrientes con ingresos de capital”. </w:t>
      </w:r>
    </w:p>
    <w:p w14:paraId="4D41C3FD" w14:textId="71EC489E" w:rsidR="00041F2B" w:rsidRDefault="00041F2B" w:rsidP="00CE7447">
      <w:pPr>
        <w:spacing w:line="360" w:lineRule="auto"/>
        <w:jc w:val="both"/>
        <w:rPr>
          <w:rFonts w:ascii="Times New Roman" w:hAnsi="Times New Roman" w:cs="Times New Roman"/>
          <w:sz w:val="24"/>
        </w:rPr>
      </w:pPr>
      <w:r w:rsidRPr="003C7BD8">
        <w:rPr>
          <w:rFonts w:ascii="Times New Roman" w:hAnsi="Times New Roman" w:cs="Times New Roman"/>
          <w:sz w:val="24"/>
        </w:rPr>
        <w:t>No obstante, en la práctica ha existido una gran dificultad para aplicar esos artículos tanto por la ambigüedad conceptual como por la ausencia de incentivos claros para respetarlos. La Sala Constitucional de Costa Rica en 1994 ha profundizado la debilidad de los artículos que hoy existen, al justificar que l</w:t>
      </w:r>
      <w:r w:rsidR="008B2124">
        <w:rPr>
          <w:rFonts w:ascii="Times New Roman" w:hAnsi="Times New Roman" w:cs="Times New Roman"/>
          <w:sz w:val="24"/>
        </w:rPr>
        <w:t>a deuda puede ser clasificada como</w:t>
      </w:r>
      <w:r w:rsidRPr="003C7BD8">
        <w:rPr>
          <w:rFonts w:ascii="Times New Roman" w:hAnsi="Times New Roman" w:cs="Times New Roman"/>
          <w:sz w:val="24"/>
        </w:rPr>
        <w:t xml:space="preserve"> ingresos probables, debido a que</w:t>
      </w:r>
      <w:r w:rsidR="00CE492A">
        <w:rPr>
          <w:rFonts w:ascii="Times New Roman" w:hAnsi="Times New Roman" w:cs="Times New Roman"/>
          <w:sz w:val="24"/>
        </w:rPr>
        <w:t xml:space="preserve"> permite</w:t>
      </w:r>
      <w:r w:rsidRPr="003C7BD8">
        <w:rPr>
          <w:rFonts w:ascii="Times New Roman" w:hAnsi="Times New Roman" w:cs="Times New Roman"/>
          <w:sz w:val="24"/>
        </w:rPr>
        <w:t xml:space="preserve"> cubrir los gastos presupuestados</w:t>
      </w:r>
      <w:r w:rsidR="00430775" w:rsidRPr="003C7BD8">
        <w:rPr>
          <w:rFonts w:ascii="Times New Roman" w:hAnsi="Times New Roman" w:cs="Times New Roman"/>
          <w:sz w:val="24"/>
        </w:rPr>
        <w:t xml:space="preserve">, pero que al mismo tiempo viola claramente el espíritu de la ley. </w:t>
      </w:r>
      <w:r w:rsidR="00EF39C8" w:rsidRPr="003C7BD8">
        <w:rPr>
          <w:rFonts w:ascii="Times New Roman" w:hAnsi="Times New Roman" w:cs="Times New Roman"/>
          <w:sz w:val="24"/>
        </w:rPr>
        <w:t xml:space="preserve">Como resultado, </w:t>
      </w:r>
      <w:r w:rsidR="00B41F14" w:rsidRPr="003C7BD8">
        <w:rPr>
          <w:rFonts w:ascii="Times New Roman" w:hAnsi="Times New Roman" w:cs="Times New Roman"/>
          <w:sz w:val="24"/>
        </w:rPr>
        <w:t xml:space="preserve">los lineamientos legales existentes no probaron ser suficientes para </w:t>
      </w:r>
      <w:r w:rsidR="00AE3835" w:rsidRPr="003C7BD8">
        <w:rPr>
          <w:rFonts w:ascii="Times New Roman" w:hAnsi="Times New Roman" w:cs="Times New Roman"/>
          <w:sz w:val="24"/>
        </w:rPr>
        <w:t>asegurar la sostenibilidad de las finanzas públicas, pues hoy día el gobierno se encuentra en apuros financieros.</w:t>
      </w:r>
    </w:p>
    <w:p w14:paraId="4CCE7A25" w14:textId="00A70C8B" w:rsidR="00776B86" w:rsidRDefault="00A97F33" w:rsidP="00A97F33">
      <w:pPr>
        <w:spacing w:line="360" w:lineRule="auto"/>
        <w:jc w:val="both"/>
        <w:rPr>
          <w:rFonts w:ascii="Times New Roman" w:hAnsi="Times New Roman" w:cs="Times New Roman"/>
          <w:sz w:val="24"/>
        </w:rPr>
      </w:pPr>
      <w:r>
        <w:rPr>
          <w:rFonts w:ascii="Times New Roman" w:hAnsi="Times New Roman" w:cs="Times New Roman"/>
          <w:b/>
          <w:sz w:val="24"/>
        </w:rPr>
        <w:t>Orígenes de la regla fiscal.</w:t>
      </w:r>
      <w:r>
        <w:rPr>
          <w:rFonts w:ascii="Times New Roman" w:hAnsi="Times New Roman" w:cs="Times New Roman"/>
          <w:sz w:val="24"/>
        </w:rPr>
        <w:t xml:space="preserve"> </w:t>
      </w:r>
      <w:r w:rsidR="007B53C2">
        <w:rPr>
          <w:rFonts w:ascii="Times New Roman" w:hAnsi="Times New Roman" w:cs="Times New Roman"/>
          <w:sz w:val="24"/>
        </w:rPr>
        <w:t>El primer estudio</w:t>
      </w:r>
      <w:r>
        <w:rPr>
          <w:rFonts w:ascii="Times New Roman" w:hAnsi="Times New Roman" w:cs="Times New Roman"/>
          <w:sz w:val="24"/>
        </w:rPr>
        <w:t xml:space="preserve"> de esta regla fiscal se llevó a cabo por Carranza (2015),</w:t>
      </w:r>
      <w:r>
        <w:rPr>
          <w:rStyle w:val="FootnoteReference"/>
          <w:rFonts w:ascii="Times New Roman" w:hAnsi="Times New Roman" w:cs="Times New Roman"/>
          <w:sz w:val="24"/>
        </w:rPr>
        <w:footnoteReference w:id="7"/>
      </w:r>
      <w:r>
        <w:rPr>
          <w:rFonts w:ascii="Times New Roman" w:hAnsi="Times New Roman" w:cs="Times New Roman"/>
          <w:sz w:val="24"/>
        </w:rPr>
        <w:t xml:space="preserve"> donde inicialmente se planteó </w:t>
      </w:r>
      <w:r w:rsidR="007B53C2">
        <w:rPr>
          <w:rFonts w:ascii="Times New Roman" w:hAnsi="Times New Roman" w:cs="Times New Roman"/>
          <w:sz w:val="24"/>
        </w:rPr>
        <w:t xml:space="preserve">la posibilidad de </w:t>
      </w:r>
      <w:r>
        <w:rPr>
          <w:rFonts w:ascii="Times New Roman" w:hAnsi="Times New Roman" w:cs="Times New Roman"/>
          <w:sz w:val="24"/>
        </w:rPr>
        <w:t xml:space="preserve">una regla con varias condiciones. En particular, esta versión inicial proponía un límite al déficit financiero del gobierno del orden del 2% del PIB, mientras que el crecimiento del gasto corriente se limitaba a la mitad del crecimiento potencial de la economía, es decir a </w:t>
      </w:r>
      <w:r w:rsidR="002246E2">
        <w:rPr>
          <w:rFonts w:ascii="Times New Roman" w:hAnsi="Times New Roman" w:cs="Times New Roman"/>
          <w:sz w:val="24"/>
        </w:rPr>
        <w:t>2</w:t>
      </w:r>
      <w:r>
        <w:rPr>
          <w:rFonts w:ascii="Times New Roman" w:hAnsi="Times New Roman" w:cs="Times New Roman"/>
          <w:sz w:val="24"/>
        </w:rPr>
        <w:t>% en términos reales. Esto para dar espacio al crecimiento del gasto de capital</w:t>
      </w:r>
      <w:r w:rsidR="002246E2">
        <w:rPr>
          <w:rFonts w:ascii="Times New Roman" w:hAnsi="Times New Roman" w:cs="Times New Roman"/>
          <w:sz w:val="24"/>
        </w:rPr>
        <w:t xml:space="preserve"> que </w:t>
      </w:r>
      <w:r w:rsidR="00D75FE9">
        <w:rPr>
          <w:rFonts w:ascii="Times New Roman" w:hAnsi="Times New Roman" w:cs="Times New Roman"/>
          <w:sz w:val="24"/>
        </w:rPr>
        <w:t xml:space="preserve">en 2017 </w:t>
      </w:r>
      <w:r w:rsidR="002246E2">
        <w:rPr>
          <w:rFonts w:ascii="Times New Roman" w:hAnsi="Times New Roman" w:cs="Times New Roman"/>
          <w:sz w:val="24"/>
        </w:rPr>
        <w:t xml:space="preserve">ha llegado a ser </w:t>
      </w:r>
      <w:r w:rsidR="00655CA2">
        <w:rPr>
          <w:rFonts w:ascii="Times New Roman" w:hAnsi="Times New Roman" w:cs="Times New Roman"/>
          <w:sz w:val="24"/>
        </w:rPr>
        <w:t xml:space="preserve">el </w:t>
      </w:r>
      <w:r w:rsidR="00234F6C">
        <w:rPr>
          <w:rFonts w:ascii="Times New Roman" w:hAnsi="Times New Roman" w:cs="Times New Roman"/>
          <w:sz w:val="24"/>
        </w:rPr>
        <w:t>más bajo</w:t>
      </w:r>
      <w:r w:rsidR="00655CA2">
        <w:rPr>
          <w:rFonts w:ascii="Times New Roman" w:hAnsi="Times New Roman" w:cs="Times New Roman"/>
          <w:sz w:val="24"/>
        </w:rPr>
        <w:t xml:space="preserve"> </w:t>
      </w:r>
      <w:r w:rsidR="002246E2">
        <w:rPr>
          <w:rFonts w:ascii="Times New Roman" w:hAnsi="Times New Roman" w:cs="Times New Roman"/>
          <w:sz w:val="24"/>
        </w:rPr>
        <w:t xml:space="preserve">a nivel de </w:t>
      </w:r>
      <w:r w:rsidR="00234F6C">
        <w:rPr>
          <w:rFonts w:ascii="Times New Roman" w:hAnsi="Times New Roman" w:cs="Times New Roman"/>
          <w:sz w:val="24"/>
        </w:rPr>
        <w:t>G</w:t>
      </w:r>
      <w:r w:rsidR="002246E2">
        <w:rPr>
          <w:rFonts w:ascii="Times New Roman" w:hAnsi="Times New Roman" w:cs="Times New Roman"/>
          <w:sz w:val="24"/>
        </w:rPr>
        <w:t xml:space="preserve">obierno </w:t>
      </w:r>
      <w:r w:rsidR="00234F6C">
        <w:rPr>
          <w:rFonts w:ascii="Times New Roman" w:hAnsi="Times New Roman" w:cs="Times New Roman"/>
          <w:sz w:val="24"/>
        </w:rPr>
        <w:t>C</w:t>
      </w:r>
      <w:r w:rsidR="002246E2">
        <w:rPr>
          <w:rFonts w:ascii="Times New Roman" w:hAnsi="Times New Roman" w:cs="Times New Roman"/>
          <w:sz w:val="24"/>
        </w:rPr>
        <w:t>entral</w:t>
      </w:r>
      <w:r w:rsidR="00234F6C">
        <w:rPr>
          <w:rFonts w:ascii="Times New Roman" w:hAnsi="Times New Roman" w:cs="Times New Roman"/>
          <w:sz w:val="24"/>
        </w:rPr>
        <w:t xml:space="preserve"> en América Latina</w:t>
      </w:r>
      <w:r>
        <w:rPr>
          <w:rFonts w:ascii="Times New Roman" w:hAnsi="Times New Roman" w:cs="Times New Roman"/>
          <w:sz w:val="24"/>
        </w:rPr>
        <w:t>. Por otro lado, dentro de las líneas de gasto corriente también se incluían límites al crecimiento real de las remuneraciones en un 1%, apelando a que este es el rubro más grande y de mayor crecimiento de los últimos años. Esta propuesta contenía, incluso, disposiciones específicas para los gobiernos locales y el resto del sector público no financiero, tratando de ajustarse a las particularidades de cada sector.</w:t>
      </w:r>
      <w:r w:rsidR="00655CA2">
        <w:rPr>
          <w:rStyle w:val="FootnoteReference"/>
          <w:rFonts w:ascii="Times New Roman" w:hAnsi="Times New Roman" w:cs="Times New Roman"/>
          <w:sz w:val="24"/>
        </w:rPr>
        <w:footnoteReference w:id="8"/>
      </w:r>
      <w:r>
        <w:rPr>
          <w:rFonts w:ascii="Times New Roman" w:hAnsi="Times New Roman" w:cs="Times New Roman"/>
          <w:sz w:val="24"/>
        </w:rPr>
        <w:t xml:space="preserve"> Sin embargo, la propuesta sufrió cambios </w:t>
      </w:r>
      <w:r w:rsidR="007B53C2">
        <w:rPr>
          <w:rFonts w:ascii="Times New Roman" w:hAnsi="Times New Roman" w:cs="Times New Roman"/>
          <w:sz w:val="24"/>
        </w:rPr>
        <w:t>por el Ministerio de Hacienda de la época</w:t>
      </w:r>
      <w:r>
        <w:rPr>
          <w:rFonts w:ascii="Times New Roman" w:hAnsi="Times New Roman" w:cs="Times New Roman"/>
          <w:sz w:val="24"/>
        </w:rPr>
        <w:t>. En concreto, se redujo a una regla solamente de gasto</w:t>
      </w:r>
      <w:r w:rsidR="00655CA2">
        <w:rPr>
          <w:rFonts w:ascii="Times New Roman" w:hAnsi="Times New Roman" w:cs="Times New Roman"/>
          <w:sz w:val="24"/>
        </w:rPr>
        <w:t xml:space="preserve"> corriente</w:t>
      </w:r>
      <w:r>
        <w:rPr>
          <w:rFonts w:ascii="Times New Roman" w:hAnsi="Times New Roman" w:cs="Times New Roman"/>
          <w:sz w:val="24"/>
        </w:rPr>
        <w:t xml:space="preserve">, </w:t>
      </w:r>
      <w:r w:rsidR="00567E46">
        <w:rPr>
          <w:rFonts w:ascii="Times New Roman" w:hAnsi="Times New Roman" w:cs="Times New Roman"/>
          <w:sz w:val="24"/>
        </w:rPr>
        <w:t>al</w:t>
      </w:r>
      <w:r>
        <w:rPr>
          <w:rFonts w:ascii="Times New Roman" w:hAnsi="Times New Roman" w:cs="Times New Roman"/>
          <w:sz w:val="24"/>
        </w:rPr>
        <w:t xml:space="preserve"> cual </w:t>
      </w:r>
      <w:r w:rsidR="00567E46">
        <w:rPr>
          <w:rFonts w:ascii="Times New Roman" w:hAnsi="Times New Roman" w:cs="Times New Roman"/>
          <w:sz w:val="24"/>
        </w:rPr>
        <w:t xml:space="preserve">se le </w:t>
      </w:r>
      <w:r>
        <w:rPr>
          <w:rFonts w:ascii="Times New Roman" w:hAnsi="Times New Roman" w:cs="Times New Roman"/>
          <w:sz w:val="24"/>
        </w:rPr>
        <w:t>establece</w:t>
      </w:r>
      <w:r w:rsidR="00567E46">
        <w:rPr>
          <w:rFonts w:ascii="Times New Roman" w:hAnsi="Times New Roman" w:cs="Times New Roman"/>
          <w:sz w:val="24"/>
        </w:rPr>
        <w:t>n</w:t>
      </w:r>
      <w:r>
        <w:rPr>
          <w:rFonts w:ascii="Times New Roman" w:hAnsi="Times New Roman" w:cs="Times New Roman"/>
          <w:sz w:val="24"/>
        </w:rPr>
        <w:t xml:space="preserve"> límites al crecimiento, condicionado a </w:t>
      </w:r>
      <w:r w:rsidR="009B3C18">
        <w:rPr>
          <w:rFonts w:ascii="Times New Roman" w:hAnsi="Times New Roman" w:cs="Times New Roman"/>
          <w:sz w:val="24"/>
        </w:rPr>
        <w:t xml:space="preserve">las mismas </w:t>
      </w:r>
      <w:r>
        <w:rPr>
          <w:rFonts w:ascii="Times New Roman" w:hAnsi="Times New Roman" w:cs="Times New Roman"/>
          <w:sz w:val="24"/>
        </w:rPr>
        <w:t>dos variables</w:t>
      </w:r>
      <w:r w:rsidR="009B3C18">
        <w:rPr>
          <w:rFonts w:ascii="Times New Roman" w:hAnsi="Times New Roman" w:cs="Times New Roman"/>
          <w:sz w:val="24"/>
        </w:rPr>
        <w:t xml:space="preserve"> citadas</w:t>
      </w:r>
      <w:r w:rsidR="004F350E">
        <w:rPr>
          <w:rFonts w:ascii="Times New Roman" w:hAnsi="Times New Roman" w:cs="Times New Roman"/>
          <w:sz w:val="24"/>
        </w:rPr>
        <w:t xml:space="preserve">, </w:t>
      </w:r>
      <w:r>
        <w:rPr>
          <w:rFonts w:ascii="Times New Roman" w:hAnsi="Times New Roman" w:cs="Times New Roman"/>
          <w:sz w:val="24"/>
        </w:rPr>
        <w:t xml:space="preserve">razón deuda a PIB y </w:t>
      </w:r>
      <w:r w:rsidR="00567E46">
        <w:rPr>
          <w:rFonts w:ascii="Times New Roman" w:hAnsi="Times New Roman" w:cs="Times New Roman"/>
          <w:sz w:val="24"/>
        </w:rPr>
        <w:t>el</w:t>
      </w:r>
      <w:r w:rsidR="00655CA2">
        <w:rPr>
          <w:rFonts w:ascii="Times New Roman" w:hAnsi="Times New Roman" w:cs="Times New Roman"/>
          <w:sz w:val="24"/>
        </w:rPr>
        <w:t xml:space="preserve"> </w:t>
      </w:r>
      <w:r>
        <w:rPr>
          <w:rFonts w:ascii="Times New Roman" w:hAnsi="Times New Roman" w:cs="Times New Roman"/>
          <w:sz w:val="24"/>
        </w:rPr>
        <w:t>crecimiento</w:t>
      </w:r>
      <w:r w:rsidR="00567E46">
        <w:rPr>
          <w:rFonts w:ascii="Times New Roman" w:hAnsi="Times New Roman" w:cs="Times New Roman"/>
          <w:sz w:val="24"/>
        </w:rPr>
        <w:t xml:space="preserve"> nominal de la economía</w:t>
      </w:r>
      <w:r w:rsidR="007B53C2">
        <w:rPr>
          <w:rFonts w:ascii="Times New Roman" w:hAnsi="Times New Roman" w:cs="Times New Roman"/>
          <w:sz w:val="24"/>
        </w:rPr>
        <w:t>.</w:t>
      </w:r>
    </w:p>
    <w:p w14:paraId="2F760BEC" w14:textId="77777777" w:rsidR="00776B86" w:rsidRPr="003C7BD8" w:rsidRDefault="00776B86" w:rsidP="00776B86">
      <w:pPr>
        <w:pStyle w:val="ListParagraph"/>
        <w:numPr>
          <w:ilvl w:val="0"/>
          <w:numId w:val="1"/>
        </w:numPr>
        <w:spacing w:line="360" w:lineRule="auto"/>
        <w:jc w:val="both"/>
        <w:rPr>
          <w:rFonts w:ascii="Times New Roman" w:hAnsi="Times New Roman" w:cs="Times New Roman"/>
          <w:sz w:val="24"/>
        </w:rPr>
      </w:pPr>
      <w:r w:rsidRPr="003C7BD8">
        <w:rPr>
          <w:rFonts w:ascii="Times New Roman" w:hAnsi="Times New Roman" w:cs="Times New Roman"/>
          <w:b/>
          <w:sz w:val="24"/>
        </w:rPr>
        <w:t>La nueva regla fiscal de gasto</w:t>
      </w:r>
      <w:r>
        <w:rPr>
          <w:rFonts w:ascii="Times New Roman" w:hAnsi="Times New Roman" w:cs="Times New Roman"/>
          <w:b/>
          <w:sz w:val="24"/>
        </w:rPr>
        <w:t xml:space="preserve"> (corriente)</w:t>
      </w:r>
      <w:r w:rsidRPr="003C7BD8">
        <w:rPr>
          <w:rFonts w:ascii="Times New Roman" w:hAnsi="Times New Roman" w:cs="Times New Roman"/>
          <w:b/>
          <w:sz w:val="24"/>
        </w:rPr>
        <w:t xml:space="preserve">. </w:t>
      </w:r>
    </w:p>
    <w:p w14:paraId="1F1219E0" w14:textId="39897C8D" w:rsidR="00674925" w:rsidRDefault="00776B86" w:rsidP="00CE7447">
      <w:pPr>
        <w:spacing w:line="360" w:lineRule="auto"/>
        <w:jc w:val="both"/>
        <w:rPr>
          <w:rFonts w:ascii="Times New Roman" w:hAnsi="Times New Roman" w:cs="Times New Roman"/>
          <w:sz w:val="24"/>
        </w:rPr>
      </w:pPr>
      <w:r>
        <w:rPr>
          <w:rFonts w:ascii="Times New Roman" w:hAnsi="Times New Roman" w:cs="Times New Roman"/>
          <w:sz w:val="24"/>
        </w:rPr>
        <w:t>La</w:t>
      </w:r>
      <w:r w:rsidR="003C006D" w:rsidRPr="003C7BD8">
        <w:rPr>
          <w:rFonts w:ascii="Times New Roman" w:hAnsi="Times New Roman" w:cs="Times New Roman"/>
          <w:sz w:val="24"/>
        </w:rPr>
        <w:t xml:space="preserve"> regla fiscal </w:t>
      </w:r>
      <w:r w:rsidR="00AE3835" w:rsidRPr="003C7BD8">
        <w:rPr>
          <w:rFonts w:ascii="Times New Roman" w:hAnsi="Times New Roman" w:cs="Times New Roman"/>
          <w:sz w:val="24"/>
        </w:rPr>
        <w:t xml:space="preserve">de gasto </w:t>
      </w:r>
      <w:r>
        <w:rPr>
          <w:rFonts w:ascii="Times New Roman" w:hAnsi="Times New Roman" w:cs="Times New Roman"/>
          <w:sz w:val="24"/>
        </w:rPr>
        <w:t xml:space="preserve">está </w:t>
      </w:r>
      <w:r w:rsidR="00AE3835" w:rsidRPr="003C7BD8">
        <w:rPr>
          <w:rFonts w:ascii="Times New Roman" w:hAnsi="Times New Roman" w:cs="Times New Roman"/>
          <w:sz w:val="24"/>
        </w:rPr>
        <w:t xml:space="preserve">contenida </w:t>
      </w:r>
      <w:r w:rsidR="003C006D" w:rsidRPr="003C7BD8">
        <w:rPr>
          <w:rFonts w:ascii="Times New Roman" w:hAnsi="Times New Roman" w:cs="Times New Roman"/>
          <w:sz w:val="24"/>
        </w:rPr>
        <w:t>en e</w:t>
      </w:r>
      <w:r w:rsidR="00655CA2">
        <w:rPr>
          <w:rFonts w:ascii="Times New Roman" w:hAnsi="Times New Roman" w:cs="Times New Roman"/>
          <w:sz w:val="24"/>
        </w:rPr>
        <w:t>l</w:t>
      </w:r>
      <w:r w:rsidR="003C006D" w:rsidRPr="003C7BD8">
        <w:rPr>
          <w:rFonts w:ascii="Times New Roman" w:hAnsi="Times New Roman" w:cs="Times New Roman"/>
          <w:sz w:val="24"/>
        </w:rPr>
        <w:t xml:space="preserve"> </w:t>
      </w:r>
      <w:r w:rsidR="00A60406" w:rsidRPr="003C7BD8">
        <w:rPr>
          <w:rFonts w:ascii="Times New Roman" w:hAnsi="Times New Roman" w:cs="Times New Roman"/>
          <w:sz w:val="24"/>
        </w:rPr>
        <w:t>Titu</w:t>
      </w:r>
      <w:r w:rsidR="00894C9C" w:rsidRPr="003C7BD8">
        <w:rPr>
          <w:rFonts w:ascii="Times New Roman" w:hAnsi="Times New Roman" w:cs="Times New Roman"/>
          <w:sz w:val="24"/>
        </w:rPr>
        <w:t>l</w:t>
      </w:r>
      <w:r w:rsidR="00A60406" w:rsidRPr="003C7BD8">
        <w:rPr>
          <w:rFonts w:ascii="Times New Roman" w:hAnsi="Times New Roman" w:cs="Times New Roman"/>
          <w:sz w:val="24"/>
        </w:rPr>
        <w:t>o IV</w:t>
      </w:r>
      <w:r w:rsidR="003C006D" w:rsidRPr="003C7BD8">
        <w:rPr>
          <w:rFonts w:ascii="Times New Roman" w:hAnsi="Times New Roman" w:cs="Times New Roman"/>
          <w:sz w:val="24"/>
        </w:rPr>
        <w:t xml:space="preserve"> de la Ley de Fortalecimiento de las Finanzas públicas</w:t>
      </w:r>
      <w:r w:rsidR="00920E70" w:rsidRPr="003C7BD8">
        <w:rPr>
          <w:rFonts w:ascii="Times New Roman" w:hAnsi="Times New Roman" w:cs="Times New Roman"/>
          <w:sz w:val="24"/>
        </w:rPr>
        <w:t>,</w:t>
      </w:r>
      <w:r w:rsidR="00CF2454" w:rsidRPr="003C7BD8">
        <w:rPr>
          <w:rFonts w:ascii="Times New Roman" w:hAnsi="Times New Roman" w:cs="Times New Roman"/>
          <w:sz w:val="24"/>
        </w:rPr>
        <w:t xml:space="preserve"> </w:t>
      </w:r>
      <w:r w:rsidR="003C006D" w:rsidRPr="003C7BD8">
        <w:rPr>
          <w:rFonts w:ascii="Times New Roman" w:hAnsi="Times New Roman" w:cs="Times New Roman"/>
          <w:sz w:val="24"/>
        </w:rPr>
        <w:t>es una regla con doble condici</w:t>
      </w:r>
      <w:r w:rsidR="00532E77">
        <w:rPr>
          <w:rFonts w:ascii="Times New Roman" w:hAnsi="Times New Roman" w:cs="Times New Roman"/>
          <w:sz w:val="24"/>
        </w:rPr>
        <w:t>onamiento</w:t>
      </w:r>
      <w:r w:rsidR="00EC6FF8" w:rsidRPr="003C7BD8">
        <w:rPr>
          <w:rFonts w:ascii="Times New Roman" w:hAnsi="Times New Roman" w:cs="Times New Roman"/>
          <w:sz w:val="24"/>
        </w:rPr>
        <w:t>;</w:t>
      </w:r>
      <w:r w:rsidR="003C006D" w:rsidRPr="003C7BD8">
        <w:rPr>
          <w:rFonts w:ascii="Times New Roman" w:hAnsi="Times New Roman" w:cs="Times New Roman"/>
          <w:sz w:val="24"/>
        </w:rPr>
        <w:t xml:space="preserve"> </w:t>
      </w:r>
      <w:r w:rsidR="00EC6FF8" w:rsidRPr="003C7BD8">
        <w:rPr>
          <w:rFonts w:ascii="Times New Roman" w:hAnsi="Times New Roman" w:cs="Times New Roman"/>
          <w:sz w:val="24"/>
        </w:rPr>
        <w:t>e</w:t>
      </w:r>
      <w:r w:rsidR="003C006D" w:rsidRPr="003C7BD8">
        <w:rPr>
          <w:rFonts w:ascii="Times New Roman" w:hAnsi="Times New Roman" w:cs="Times New Roman"/>
          <w:sz w:val="24"/>
        </w:rPr>
        <w:t xml:space="preserve">s decir, se fijan </w:t>
      </w:r>
      <w:r w:rsidR="00513261">
        <w:rPr>
          <w:rFonts w:ascii="Times New Roman" w:hAnsi="Times New Roman" w:cs="Times New Roman"/>
          <w:sz w:val="24"/>
        </w:rPr>
        <w:t xml:space="preserve">como </w:t>
      </w:r>
      <w:r w:rsidR="000B651D">
        <w:rPr>
          <w:rFonts w:ascii="Times New Roman" w:hAnsi="Times New Roman" w:cs="Times New Roman"/>
          <w:sz w:val="24"/>
        </w:rPr>
        <w:t xml:space="preserve">guías </w:t>
      </w:r>
      <w:r w:rsidR="003C006D" w:rsidRPr="003C7BD8">
        <w:rPr>
          <w:rFonts w:ascii="Times New Roman" w:hAnsi="Times New Roman" w:cs="Times New Roman"/>
          <w:sz w:val="24"/>
        </w:rPr>
        <w:t>dos variables económicas que determinan la trayectoria del gasto para el sector público no financiero en cada año presupuestario.</w:t>
      </w:r>
      <w:r w:rsidR="00727304" w:rsidRPr="003C7BD8">
        <w:rPr>
          <w:rFonts w:ascii="Times New Roman" w:hAnsi="Times New Roman" w:cs="Times New Roman"/>
          <w:sz w:val="24"/>
        </w:rPr>
        <w:t xml:space="preserve"> Específicamente, la regla fiscal recién aprobada determina cuánto es el límite de crecimiento del gasto corriente. Estos límites están determinados, como se mencionó anteriormente, por el crecimiento promedio de los últimos </w:t>
      </w:r>
      <w:r w:rsidR="007A215B">
        <w:rPr>
          <w:rFonts w:ascii="Times New Roman" w:hAnsi="Times New Roman" w:cs="Times New Roman"/>
          <w:sz w:val="24"/>
        </w:rPr>
        <w:t>cuatro</w:t>
      </w:r>
      <w:r w:rsidR="007A215B" w:rsidRPr="003C7BD8">
        <w:rPr>
          <w:rFonts w:ascii="Times New Roman" w:hAnsi="Times New Roman" w:cs="Times New Roman"/>
          <w:sz w:val="24"/>
        </w:rPr>
        <w:t xml:space="preserve"> </w:t>
      </w:r>
      <w:r w:rsidR="00727304" w:rsidRPr="003C7BD8">
        <w:rPr>
          <w:rFonts w:ascii="Times New Roman" w:hAnsi="Times New Roman" w:cs="Times New Roman"/>
          <w:sz w:val="24"/>
        </w:rPr>
        <w:t xml:space="preserve">años del PIB nominal y el nivel de deuda del Gobierno Central del período presupuestario anterior. En particular, el gasto corriente puede crecer cierta proporción de lo que crece el PIB nominal, esta proporción está estipulada en la ley para los distintos niveles de deuda que puede alcanzar el Gobierno Central (ver </w:t>
      </w:r>
      <w:r w:rsidR="00BD6BD1">
        <w:rPr>
          <w:rFonts w:ascii="Times New Roman" w:hAnsi="Times New Roman" w:cs="Times New Roman"/>
          <w:sz w:val="24"/>
        </w:rPr>
        <w:t>tabla</w:t>
      </w:r>
      <w:r w:rsidR="00BD6BD1" w:rsidRPr="003C7BD8">
        <w:rPr>
          <w:rFonts w:ascii="Times New Roman" w:hAnsi="Times New Roman" w:cs="Times New Roman"/>
          <w:sz w:val="24"/>
        </w:rPr>
        <w:t xml:space="preserve"> </w:t>
      </w:r>
      <w:r w:rsidR="007F64E2">
        <w:rPr>
          <w:rFonts w:ascii="Times New Roman" w:hAnsi="Times New Roman" w:cs="Times New Roman"/>
          <w:sz w:val="24"/>
        </w:rPr>
        <w:t>9</w:t>
      </w:r>
      <w:r w:rsidR="000F76E8">
        <w:rPr>
          <w:rFonts w:ascii="Times New Roman" w:hAnsi="Times New Roman" w:cs="Times New Roman"/>
          <w:sz w:val="24"/>
        </w:rPr>
        <w:t>.</w:t>
      </w:r>
      <w:r w:rsidR="0062310D">
        <w:rPr>
          <w:rFonts w:ascii="Times New Roman" w:hAnsi="Times New Roman" w:cs="Times New Roman"/>
          <w:sz w:val="24"/>
        </w:rPr>
        <w:t>2</w:t>
      </w:r>
      <w:r w:rsidR="00727304" w:rsidRPr="003C7BD8">
        <w:rPr>
          <w:rFonts w:ascii="Times New Roman" w:hAnsi="Times New Roman" w:cs="Times New Roman"/>
          <w:sz w:val="24"/>
        </w:rPr>
        <w:t xml:space="preserve">). </w:t>
      </w:r>
    </w:p>
    <w:p w14:paraId="24D4D6CE" w14:textId="1A1A4106" w:rsidR="00071437" w:rsidRDefault="00BF061A"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Cláusulas de escape.</w:t>
      </w:r>
      <w:r w:rsidRPr="003C7BD8">
        <w:rPr>
          <w:rFonts w:ascii="Times New Roman" w:hAnsi="Times New Roman" w:cs="Times New Roman"/>
          <w:sz w:val="24"/>
        </w:rPr>
        <w:t xml:space="preserve"> </w:t>
      </w:r>
      <w:r w:rsidR="008016F4">
        <w:rPr>
          <w:rFonts w:ascii="Times New Roman" w:hAnsi="Times New Roman" w:cs="Times New Roman"/>
          <w:sz w:val="24"/>
        </w:rPr>
        <w:t>L</w:t>
      </w:r>
      <w:r w:rsidR="00B4381A" w:rsidRPr="003C7BD8">
        <w:rPr>
          <w:rFonts w:ascii="Times New Roman" w:hAnsi="Times New Roman" w:cs="Times New Roman"/>
          <w:sz w:val="24"/>
        </w:rPr>
        <w:t xml:space="preserve">a regla fiscal </w:t>
      </w:r>
      <w:r w:rsidR="00071437" w:rsidRPr="003C7BD8">
        <w:rPr>
          <w:rFonts w:ascii="Times New Roman" w:hAnsi="Times New Roman" w:cs="Times New Roman"/>
          <w:sz w:val="24"/>
        </w:rPr>
        <w:t xml:space="preserve">cuenta con </w:t>
      </w:r>
      <w:r w:rsidR="00B4381A" w:rsidRPr="003C7BD8">
        <w:rPr>
          <w:rFonts w:ascii="Times New Roman" w:hAnsi="Times New Roman" w:cs="Times New Roman"/>
          <w:sz w:val="24"/>
        </w:rPr>
        <w:t xml:space="preserve">una cláusula de escape que se activa cuando se presentan eventos extraordinarios, </w:t>
      </w:r>
      <w:r w:rsidR="002003C9" w:rsidRPr="003C7BD8">
        <w:rPr>
          <w:rFonts w:ascii="Times New Roman" w:hAnsi="Times New Roman" w:cs="Times New Roman"/>
          <w:sz w:val="24"/>
        </w:rPr>
        <w:t>característica acorde con las reglas fiscales de segunda generación (</w:t>
      </w:r>
      <w:proofErr w:type="spellStart"/>
      <w:r w:rsidR="002003C9" w:rsidRPr="003C7BD8">
        <w:rPr>
          <w:rFonts w:ascii="Times New Roman" w:hAnsi="Times New Roman" w:cs="Times New Roman"/>
          <w:sz w:val="24"/>
        </w:rPr>
        <w:t>Caselli</w:t>
      </w:r>
      <w:proofErr w:type="spellEnd"/>
      <w:r w:rsidR="002003C9" w:rsidRPr="003C7BD8">
        <w:rPr>
          <w:rFonts w:ascii="Times New Roman" w:hAnsi="Times New Roman" w:cs="Times New Roman"/>
          <w:sz w:val="24"/>
        </w:rPr>
        <w:t xml:space="preserve"> </w:t>
      </w:r>
      <w:r w:rsidR="002003C9" w:rsidRPr="003C7BD8">
        <w:rPr>
          <w:rFonts w:ascii="Times New Roman" w:hAnsi="Times New Roman" w:cs="Times New Roman"/>
          <w:i/>
          <w:sz w:val="24"/>
        </w:rPr>
        <w:t>et al</w:t>
      </w:r>
      <w:r w:rsidR="00D26399" w:rsidRPr="003C7BD8">
        <w:rPr>
          <w:rFonts w:ascii="Times New Roman" w:hAnsi="Times New Roman" w:cs="Times New Roman"/>
          <w:i/>
          <w:sz w:val="24"/>
        </w:rPr>
        <w:t>,</w:t>
      </w:r>
      <w:r w:rsidR="002003C9" w:rsidRPr="003C7BD8">
        <w:rPr>
          <w:rFonts w:ascii="Times New Roman" w:hAnsi="Times New Roman" w:cs="Times New Roman"/>
          <w:i/>
          <w:sz w:val="24"/>
        </w:rPr>
        <w:t xml:space="preserve"> </w:t>
      </w:r>
      <w:r w:rsidR="00D26399" w:rsidRPr="003C7BD8">
        <w:rPr>
          <w:rFonts w:ascii="Times New Roman" w:hAnsi="Times New Roman" w:cs="Times New Roman"/>
          <w:sz w:val="24"/>
        </w:rPr>
        <w:t>2018)</w:t>
      </w:r>
      <w:r w:rsidR="00B4381A" w:rsidRPr="003C7BD8">
        <w:rPr>
          <w:rFonts w:ascii="Times New Roman" w:hAnsi="Times New Roman" w:cs="Times New Roman"/>
          <w:sz w:val="24"/>
        </w:rPr>
        <w:t>.</w:t>
      </w:r>
      <w:r w:rsidR="004C1F7A" w:rsidRPr="003C7BD8">
        <w:rPr>
          <w:rFonts w:ascii="Times New Roman" w:hAnsi="Times New Roman" w:cs="Times New Roman"/>
          <w:sz w:val="24"/>
        </w:rPr>
        <w:t xml:space="preserve"> Esta cláusula se activa cuando </w:t>
      </w:r>
      <w:r w:rsidR="009F77EA">
        <w:rPr>
          <w:rFonts w:ascii="Times New Roman" w:hAnsi="Times New Roman" w:cs="Times New Roman"/>
          <w:sz w:val="24"/>
        </w:rPr>
        <w:t>(</w:t>
      </w:r>
      <w:r w:rsidR="00FA1076">
        <w:rPr>
          <w:rFonts w:ascii="Times New Roman" w:hAnsi="Times New Roman" w:cs="Times New Roman"/>
          <w:sz w:val="24"/>
        </w:rPr>
        <w:t xml:space="preserve">i) </w:t>
      </w:r>
      <w:r w:rsidR="00C53D2B" w:rsidRPr="003C7BD8">
        <w:rPr>
          <w:rFonts w:ascii="Times New Roman" w:hAnsi="Times New Roman" w:cs="Times New Roman"/>
          <w:sz w:val="24"/>
        </w:rPr>
        <w:t>se declare</w:t>
      </w:r>
      <w:r w:rsidR="00352EA6">
        <w:rPr>
          <w:rFonts w:ascii="Times New Roman" w:hAnsi="Times New Roman" w:cs="Times New Roman"/>
          <w:sz w:val="24"/>
        </w:rPr>
        <w:t xml:space="preserve"> un</w:t>
      </w:r>
      <w:r w:rsidR="00C53D2B" w:rsidRPr="003C7BD8">
        <w:rPr>
          <w:rFonts w:ascii="Times New Roman" w:hAnsi="Times New Roman" w:cs="Times New Roman"/>
          <w:sz w:val="24"/>
        </w:rPr>
        <w:t xml:space="preserve"> estado de emergencia</w:t>
      </w:r>
      <w:r w:rsidR="0076627E" w:rsidRPr="003C7BD8">
        <w:rPr>
          <w:rStyle w:val="FootnoteReference"/>
          <w:rFonts w:ascii="Times New Roman" w:hAnsi="Times New Roman" w:cs="Times New Roman"/>
          <w:sz w:val="24"/>
        </w:rPr>
        <w:footnoteReference w:id="9"/>
      </w:r>
      <w:r w:rsidR="00E16BA3" w:rsidRPr="003C7BD8">
        <w:rPr>
          <w:rFonts w:ascii="Times New Roman" w:hAnsi="Times New Roman" w:cs="Times New Roman"/>
          <w:sz w:val="24"/>
        </w:rPr>
        <w:t xml:space="preserve"> que implique erogaciones </w:t>
      </w:r>
      <w:r w:rsidR="00A6420B" w:rsidRPr="003C7BD8">
        <w:rPr>
          <w:rFonts w:ascii="Times New Roman" w:hAnsi="Times New Roman" w:cs="Times New Roman"/>
          <w:sz w:val="24"/>
        </w:rPr>
        <w:t>iguales o superiores al 0,3% del PIB</w:t>
      </w:r>
      <w:r w:rsidR="00DB6DD9" w:rsidRPr="003C7BD8">
        <w:rPr>
          <w:rFonts w:ascii="Times New Roman" w:hAnsi="Times New Roman" w:cs="Times New Roman"/>
          <w:sz w:val="24"/>
        </w:rPr>
        <w:t xml:space="preserve"> y </w:t>
      </w:r>
      <w:r w:rsidR="009F77EA">
        <w:rPr>
          <w:rFonts w:ascii="Times New Roman" w:hAnsi="Times New Roman" w:cs="Times New Roman"/>
          <w:sz w:val="24"/>
        </w:rPr>
        <w:t>(</w:t>
      </w:r>
      <w:r w:rsidR="00FA1076">
        <w:rPr>
          <w:rFonts w:ascii="Times New Roman" w:hAnsi="Times New Roman" w:cs="Times New Roman"/>
          <w:sz w:val="24"/>
        </w:rPr>
        <w:t xml:space="preserve">ii) </w:t>
      </w:r>
      <w:r w:rsidR="00DB6DD9" w:rsidRPr="003C7BD8">
        <w:rPr>
          <w:rFonts w:ascii="Times New Roman" w:hAnsi="Times New Roman" w:cs="Times New Roman"/>
          <w:sz w:val="24"/>
        </w:rPr>
        <w:t xml:space="preserve">en caso de que la economía atraviese por una recesión económica </w:t>
      </w:r>
      <w:r w:rsidR="003A23B2" w:rsidRPr="003C7BD8">
        <w:rPr>
          <w:rFonts w:ascii="Times New Roman" w:hAnsi="Times New Roman" w:cs="Times New Roman"/>
          <w:sz w:val="24"/>
        </w:rPr>
        <w:t>o se tengan proyecciones de crecimiento inferiores al 1%.</w:t>
      </w:r>
      <w:r w:rsidR="00982988">
        <w:rPr>
          <w:rStyle w:val="FootnoteReference"/>
          <w:rFonts w:ascii="Times New Roman" w:hAnsi="Times New Roman" w:cs="Times New Roman"/>
          <w:sz w:val="24"/>
        </w:rPr>
        <w:footnoteReference w:id="10"/>
      </w:r>
      <w:r w:rsidR="000F4C0C" w:rsidRPr="003C7BD8">
        <w:rPr>
          <w:rFonts w:ascii="Times New Roman" w:hAnsi="Times New Roman" w:cs="Times New Roman"/>
          <w:sz w:val="24"/>
        </w:rPr>
        <w:t xml:space="preserve"> </w:t>
      </w:r>
      <w:r w:rsidR="00655CA2">
        <w:rPr>
          <w:rFonts w:ascii="Times New Roman" w:hAnsi="Times New Roman" w:cs="Times New Roman"/>
          <w:sz w:val="24"/>
        </w:rPr>
        <w:t>También se incluyó para estas excepciones un mecanismo de corrección en 3 años de transición para volver a la regla básica.</w:t>
      </w:r>
    </w:p>
    <w:p w14:paraId="799EB8A0" w14:textId="74D095D0" w:rsidR="00BD6BD1" w:rsidRDefault="00FE5B50"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Monitoreo y control.</w:t>
      </w:r>
      <w:r w:rsidRPr="003C7BD8">
        <w:rPr>
          <w:rFonts w:ascii="Times New Roman" w:hAnsi="Times New Roman" w:cs="Times New Roman"/>
          <w:sz w:val="24"/>
        </w:rPr>
        <w:t xml:space="preserve"> </w:t>
      </w:r>
      <w:r w:rsidR="00352EA6">
        <w:rPr>
          <w:rFonts w:ascii="Times New Roman" w:hAnsi="Times New Roman" w:cs="Times New Roman"/>
          <w:sz w:val="24"/>
        </w:rPr>
        <w:t xml:space="preserve">Con relación </w:t>
      </w:r>
      <w:r w:rsidRPr="003C7BD8">
        <w:rPr>
          <w:rFonts w:ascii="Times New Roman" w:hAnsi="Times New Roman" w:cs="Times New Roman"/>
          <w:sz w:val="24"/>
        </w:rPr>
        <w:t>a la rendición de cuentas, la ley 9635 establece tres momentos en los cuales se debe verificar que las entidades públicas cumplan con la regla fiscal: (i) durante las etapas de presupuestación (</w:t>
      </w:r>
      <w:r w:rsidRPr="00170A76">
        <w:rPr>
          <w:rFonts w:ascii="Times New Roman" w:hAnsi="Times New Roman" w:cs="Times New Roman"/>
          <w:i/>
          <w:sz w:val="24"/>
        </w:rPr>
        <w:t>ex ante</w:t>
      </w:r>
      <w:r w:rsidRPr="003C7BD8">
        <w:rPr>
          <w:rFonts w:ascii="Times New Roman" w:hAnsi="Times New Roman" w:cs="Times New Roman"/>
          <w:sz w:val="24"/>
        </w:rPr>
        <w:t>), (ii) durante la ejecución y (iii) luego de finalizado el ejercicio presupuestario (</w:t>
      </w:r>
      <w:r w:rsidRPr="00170A76">
        <w:rPr>
          <w:rFonts w:ascii="Times New Roman" w:hAnsi="Times New Roman" w:cs="Times New Roman"/>
          <w:i/>
          <w:sz w:val="24"/>
        </w:rPr>
        <w:t>ex post</w:t>
      </w:r>
      <w:r w:rsidRPr="003C7BD8">
        <w:rPr>
          <w:rFonts w:ascii="Times New Roman" w:hAnsi="Times New Roman" w:cs="Times New Roman"/>
          <w:sz w:val="24"/>
        </w:rPr>
        <w:t xml:space="preserve">). La formulación y presupuestación estarán a cargo del Ministerio de Hacienda, específicamente la Dirección General de Presupuesto Nacional (DGPN), y la verificación de cumplimiento de la regla fiscal del presupuesto estará a cargo de la Contraloría General de la República (CGR). Asimismo, durante la ejecución, se presentarán informes trimestrales por parte de la DGPN y la Secretaría Técnica de la Autoridad Presupuestaria (STAP) al Ministro de Hacienda. Estos informes los publicará el Ministerio de Hacienda de manera periódica por medio electrónico incluyendo todo el Sector Público no Financiero. Finalmente, la verificación </w:t>
      </w:r>
      <w:r w:rsidRPr="00170A76">
        <w:rPr>
          <w:rFonts w:ascii="Times New Roman" w:hAnsi="Times New Roman" w:cs="Times New Roman"/>
          <w:i/>
          <w:sz w:val="24"/>
        </w:rPr>
        <w:t>ex post</w:t>
      </w:r>
      <w:r w:rsidRPr="003C7BD8">
        <w:rPr>
          <w:rFonts w:ascii="Times New Roman" w:hAnsi="Times New Roman" w:cs="Times New Roman"/>
          <w:sz w:val="24"/>
        </w:rPr>
        <w:t xml:space="preserve"> de la regla estará a cargo de la CGR, que recibirá un informe por parte de la DGPN y la STAP sobre la ejecución presupuestaria del período precedente, y tendrá que remitir un informe durante el mes de mayo de cada año a la Asamblea Legislativa sobre el cumplimiento o incumplimiento de la regla fiscal.</w:t>
      </w:r>
    </w:p>
    <w:p w14:paraId="011048DF" w14:textId="68C853AC" w:rsidR="0026683A" w:rsidRDefault="0026683A" w:rsidP="00CE7447">
      <w:pPr>
        <w:spacing w:line="360" w:lineRule="auto"/>
        <w:jc w:val="both"/>
        <w:rPr>
          <w:rFonts w:ascii="Times New Roman" w:hAnsi="Times New Roman" w:cs="Times New Roman"/>
          <w:sz w:val="24"/>
        </w:rPr>
      </w:pPr>
    </w:p>
    <w:p w14:paraId="683EE452" w14:textId="4FCA063D" w:rsidR="0026683A" w:rsidRDefault="0026683A" w:rsidP="00CE7447">
      <w:pPr>
        <w:spacing w:line="360" w:lineRule="auto"/>
        <w:jc w:val="both"/>
        <w:rPr>
          <w:rFonts w:ascii="Times New Roman" w:hAnsi="Times New Roman" w:cs="Times New Roman"/>
          <w:sz w:val="24"/>
        </w:rPr>
      </w:pPr>
    </w:p>
    <w:p w14:paraId="145E33F2" w14:textId="7CFB7FF6" w:rsidR="0026683A" w:rsidRDefault="0026683A" w:rsidP="00CE7447">
      <w:pPr>
        <w:spacing w:line="360" w:lineRule="auto"/>
        <w:jc w:val="both"/>
        <w:rPr>
          <w:rFonts w:ascii="Times New Roman" w:hAnsi="Times New Roman" w:cs="Times New Roman"/>
          <w:sz w:val="24"/>
        </w:rPr>
      </w:pPr>
    </w:p>
    <w:p w14:paraId="5768F148" w14:textId="06A6E8A4" w:rsidR="00982988" w:rsidRDefault="00982988">
      <w:pPr>
        <w:rPr>
          <w:rFonts w:ascii="Times New Roman" w:hAnsi="Times New Roman" w:cs="Times New Roman"/>
          <w:sz w:val="24"/>
        </w:rPr>
      </w:pPr>
      <w:r>
        <w:rPr>
          <w:rFonts w:ascii="Times New Roman" w:hAnsi="Times New Roman" w:cs="Times New Roman"/>
          <w:sz w:val="24"/>
        </w:rPr>
        <w:br w:type="page"/>
      </w:r>
    </w:p>
    <w:p w14:paraId="3C3A511B" w14:textId="70AEB538" w:rsidR="00BD6BD1" w:rsidRPr="00AC4178" w:rsidRDefault="00BD6BD1" w:rsidP="00AC4178">
      <w:pPr>
        <w:jc w:val="center"/>
        <w:rPr>
          <w:rFonts w:ascii="Times New Roman" w:hAnsi="Times New Roman" w:cs="Times New Roman"/>
          <w:sz w:val="24"/>
          <w:szCs w:val="24"/>
          <w:lang w:val="es-ES"/>
        </w:rPr>
      </w:pPr>
      <w:r w:rsidRPr="00AC4178">
        <w:rPr>
          <w:rFonts w:ascii="Times New Roman" w:eastAsia="Times New Roman" w:hAnsi="Times New Roman" w:cs="Times New Roman"/>
          <w:iCs/>
          <w:color w:val="000000"/>
          <w:sz w:val="24"/>
          <w:szCs w:val="24"/>
          <w:lang w:val="es-ES"/>
        </w:rPr>
        <w:t xml:space="preserve">Tabla </w:t>
      </w:r>
      <w:r w:rsidR="00AF60E4">
        <w:rPr>
          <w:rFonts w:ascii="Times New Roman" w:eastAsia="Times New Roman" w:hAnsi="Times New Roman" w:cs="Times New Roman"/>
          <w:iCs/>
          <w:color w:val="000000"/>
          <w:sz w:val="24"/>
          <w:szCs w:val="24"/>
          <w:lang w:val="es-ES"/>
        </w:rPr>
        <w:t>9</w:t>
      </w:r>
      <w:r w:rsidRPr="00AC4178">
        <w:rPr>
          <w:rFonts w:ascii="Times New Roman" w:eastAsia="Times New Roman" w:hAnsi="Times New Roman" w:cs="Times New Roman"/>
          <w:iCs/>
          <w:color w:val="000000"/>
          <w:sz w:val="24"/>
          <w:szCs w:val="24"/>
          <w:lang w:val="es-ES"/>
        </w:rPr>
        <w:t>.</w:t>
      </w:r>
      <w:r w:rsidRPr="00AC4178">
        <w:rPr>
          <w:rFonts w:ascii="Times New Roman" w:eastAsia="Times New Roman" w:hAnsi="Times New Roman" w:cs="Times New Roman"/>
          <w:iCs/>
          <w:color w:val="000000"/>
          <w:sz w:val="24"/>
          <w:szCs w:val="24"/>
          <w:lang w:val="es-ES"/>
        </w:rPr>
        <w:fldChar w:fldCharType="begin"/>
      </w:r>
      <w:r w:rsidRPr="00AC4178">
        <w:rPr>
          <w:rFonts w:ascii="Times New Roman" w:eastAsia="Times New Roman" w:hAnsi="Times New Roman" w:cs="Times New Roman"/>
          <w:iCs/>
          <w:color w:val="000000"/>
          <w:sz w:val="24"/>
          <w:szCs w:val="24"/>
          <w:lang w:val="es-ES"/>
        </w:rPr>
        <w:instrText xml:space="preserve"> SEQ Tabla \* ARABIC </w:instrText>
      </w:r>
      <w:r w:rsidRPr="00AC4178">
        <w:rPr>
          <w:rFonts w:ascii="Times New Roman" w:eastAsia="Times New Roman" w:hAnsi="Times New Roman" w:cs="Times New Roman"/>
          <w:iCs/>
          <w:color w:val="000000"/>
          <w:sz w:val="24"/>
          <w:szCs w:val="24"/>
          <w:lang w:val="es-ES"/>
        </w:rPr>
        <w:fldChar w:fldCharType="separate"/>
      </w:r>
      <w:r w:rsidR="00B549D7">
        <w:rPr>
          <w:rFonts w:ascii="Times New Roman" w:eastAsia="Times New Roman" w:hAnsi="Times New Roman" w:cs="Times New Roman"/>
          <w:iCs/>
          <w:noProof/>
          <w:color w:val="000000"/>
          <w:sz w:val="24"/>
          <w:szCs w:val="24"/>
          <w:lang w:val="es-ES"/>
        </w:rPr>
        <w:t>2</w:t>
      </w:r>
      <w:r w:rsidRPr="00AC4178">
        <w:rPr>
          <w:rFonts w:ascii="Times New Roman" w:eastAsia="Times New Roman" w:hAnsi="Times New Roman" w:cs="Times New Roman"/>
          <w:iCs/>
          <w:color w:val="000000"/>
          <w:sz w:val="24"/>
          <w:szCs w:val="24"/>
          <w:lang w:val="es-ES"/>
        </w:rPr>
        <w:fldChar w:fldCharType="end"/>
      </w:r>
      <w:r w:rsidRPr="00AC4178">
        <w:rPr>
          <w:rFonts w:ascii="Times New Roman" w:eastAsia="Times New Roman" w:hAnsi="Times New Roman" w:cs="Times New Roman"/>
          <w:iCs/>
          <w:color w:val="000000"/>
          <w:sz w:val="24"/>
          <w:szCs w:val="24"/>
          <w:lang w:val="es-ES"/>
        </w:rPr>
        <w:t xml:space="preserve">. </w:t>
      </w:r>
      <w:r w:rsidRPr="00AC4178">
        <w:rPr>
          <w:rFonts w:ascii="Times New Roman" w:eastAsia="Times New Roman" w:hAnsi="Times New Roman" w:cs="Times New Roman"/>
          <w:i/>
          <w:iCs/>
          <w:color w:val="000000"/>
          <w:sz w:val="24"/>
          <w:szCs w:val="24"/>
          <w:lang w:val="es-ES"/>
        </w:rPr>
        <w:t>Escenarios de la Regla Fiscal en Responsabilidad Fiscal</w:t>
      </w:r>
    </w:p>
    <w:p w14:paraId="400EE917" w14:textId="5E56DF60" w:rsidR="00EC0F60" w:rsidRPr="001B23DD" w:rsidRDefault="00EC0F60" w:rsidP="00AC4178">
      <w:pPr>
        <w:pStyle w:val="Caption"/>
        <w:rPr>
          <w:lang w:val="es-CR" w:eastAsia="es-CR"/>
        </w:rPr>
      </w:pPr>
    </w:p>
    <w:tbl>
      <w:tblPr>
        <w:tblW w:w="8844" w:type="dxa"/>
        <w:jc w:val="center"/>
        <w:tblBorders>
          <w:insideH w:val="single" w:sz="4" w:space="0" w:color="auto"/>
        </w:tblBorders>
        <w:tblLook w:val="04A0" w:firstRow="1" w:lastRow="0" w:firstColumn="1" w:lastColumn="0" w:noHBand="0" w:noVBand="1"/>
      </w:tblPr>
      <w:tblGrid>
        <w:gridCol w:w="2686"/>
        <w:gridCol w:w="1985"/>
        <w:gridCol w:w="2136"/>
        <w:gridCol w:w="2037"/>
      </w:tblGrid>
      <w:tr w:rsidR="00EC0F60" w:rsidRPr="003C7BD8" w14:paraId="145021AD" w14:textId="77777777" w:rsidTr="00BF061A">
        <w:trPr>
          <w:trHeight w:val="1064"/>
          <w:jc w:val="center"/>
        </w:trPr>
        <w:tc>
          <w:tcPr>
            <w:tcW w:w="2686" w:type="dxa"/>
            <w:tcBorders>
              <w:top w:val="single" w:sz="4" w:space="0" w:color="auto"/>
              <w:bottom w:val="single" w:sz="4" w:space="0" w:color="auto"/>
            </w:tcBorders>
            <w:shd w:val="clear" w:color="auto" w:fill="auto"/>
            <w:vAlign w:val="center"/>
          </w:tcPr>
          <w:p w14:paraId="1710F0D3"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Escenarios de regla fiscal</w:t>
            </w:r>
          </w:p>
        </w:tc>
        <w:tc>
          <w:tcPr>
            <w:tcW w:w="1985" w:type="dxa"/>
            <w:tcBorders>
              <w:top w:val="single" w:sz="4" w:space="0" w:color="auto"/>
              <w:bottom w:val="single" w:sz="4" w:space="0" w:color="auto"/>
            </w:tcBorders>
            <w:shd w:val="clear" w:color="auto" w:fill="auto"/>
            <w:vAlign w:val="center"/>
          </w:tcPr>
          <w:p w14:paraId="7FF37D7B" w14:textId="7E9259BF"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b/>
                <w:sz w:val="20"/>
                <w:szCs w:val="20"/>
                <w:lang w:eastAsia="es-CR"/>
              </w:rPr>
              <w:t xml:space="preserve">Condición </w:t>
            </w:r>
            <w:r w:rsidR="00703EAB" w:rsidRPr="003C7BD8">
              <w:rPr>
                <w:rFonts w:ascii="Times New Roman" w:hAnsi="Times New Roman" w:cs="Times New Roman"/>
                <w:b/>
                <w:sz w:val="20"/>
                <w:szCs w:val="20"/>
                <w:lang w:eastAsia="es-CR"/>
              </w:rPr>
              <w:t>1</w:t>
            </w:r>
            <w:r w:rsidRPr="003C7BD8">
              <w:rPr>
                <w:rFonts w:ascii="Times New Roman" w:hAnsi="Times New Roman" w:cs="Times New Roman"/>
                <w:sz w:val="20"/>
                <w:szCs w:val="20"/>
                <w:lang w:eastAsia="es-CR"/>
              </w:rPr>
              <w:t>:</w:t>
            </w:r>
            <w:r w:rsidR="00703EAB" w:rsidRPr="003C7BD8">
              <w:rPr>
                <w:rFonts w:ascii="Times New Roman" w:hAnsi="Times New Roman" w:cs="Times New Roman"/>
                <w:sz w:val="20"/>
                <w:szCs w:val="20"/>
                <w:lang w:eastAsia="es-CR"/>
              </w:rPr>
              <w:t xml:space="preserve"> </w:t>
            </w:r>
            <w:r w:rsidR="008E1829" w:rsidRPr="003C7BD8">
              <w:rPr>
                <w:rFonts w:ascii="Times New Roman" w:hAnsi="Times New Roman" w:cs="Times New Roman"/>
                <w:sz w:val="20"/>
                <w:szCs w:val="20"/>
                <w:lang w:eastAsia="es-CR"/>
              </w:rPr>
              <w:t>C</w:t>
            </w:r>
            <w:r w:rsidR="00703EAB" w:rsidRPr="003C7BD8">
              <w:rPr>
                <w:rFonts w:ascii="Times New Roman" w:hAnsi="Times New Roman" w:cs="Times New Roman"/>
                <w:sz w:val="20"/>
                <w:szCs w:val="20"/>
                <w:lang w:eastAsia="es-CR"/>
              </w:rPr>
              <w:t>recimiento nominal del PIB</w:t>
            </w:r>
          </w:p>
        </w:tc>
        <w:tc>
          <w:tcPr>
            <w:tcW w:w="2136" w:type="dxa"/>
            <w:tcBorders>
              <w:top w:val="single" w:sz="4" w:space="0" w:color="auto"/>
              <w:bottom w:val="single" w:sz="4" w:space="0" w:color="auto"/>
            </w:tcBorders>
            <w:shd w:val="clear" w:color="auto" w:fill="auto"/>
            <w:vAlign w:val="center"/>
          </w:tcPr>
          <w:p w14:paraId="21DA15DA" w14:textId="77777777" w:rsidR="00352EA6"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b/>
                <w:sz w:val="20"/>
                <w:szCs w:val="20"/>
                <w:lang w:eastAsia="es-CR"/>
              </w:rPr>
              <w:t>Condición 2:</w:t>
            </w:r>
            <w:r w:rsidRPr="003C7BD8">
              <w:rPr>
                <w:rFonts w:ascii="Times New Roman" w:hAnsi="Times New Roman" w:cs="Times New Roman"/>
                <w:sz w:val="20"/>
                <w:szCs w:val="20"/>
                <w:lang w:eastAsia="es-CR"/>
              </w:rPr>
              <w:t xml:space="preserve"> </w:t>
            </w:r>
          </w:p>
          <w:p w14:paraId="3B21C5AE" w14:textId="0C94E151" w:rsidR="00EC0F60" w:rsidRPr="00572103"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Razón de deuda del Gobierno Central a PIB del periodo anterior </w:t>
            </w:r>
            <m:oMath>
              <m:r>
                <w:rPr>
                  <w:rFonts w:ascii="Cambria Math" w:hAnsi="Cambria Math" w:cs="Times New Roman"/>
                  <w:sz w:val="20"/>
                  <w:szCs w:val="20"/>
                  <w:lang w:eastAsia="es-CR"/>
                </w:rPr>
                <m:t>(</m:t>
              </m:r>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r>
                <w:rPr>
                  <w:rFonts w:ascii="Cambria Math" w:hAnsi="Cambria Math" w:cs="Times New Roman"/>
                  <w:sz w:val="20"/>
                  <w:szCs w:val="20"/>
                  <w:lang w:eastAsia="es-CR"/>
                </w:rPr>
                <m:t>)</m:t>
              </m:r>
            </m:oMath>
          </w:p>
        </w:tc>
        <w:tc>
          <w:tcPr>
            <w:tcW w:w="0" w:type="auto"/>
            <w:tcBorders>
              <w:top w:val="single" w:sz="4" w:space="0" w:color="auto"/>
              <w:bottom w:val="single" w:sz="4" w:space="0" w:color="auto"/>
            </w:tcBorders>
            <w:shd w:val="clear" w:color="auto" w:fill="auto"/>
            <w:vAlign w:val="center"/>
          </w:tcPr>
          <w:p w14:paraId="19A97091" w14:textId="02F88185"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Límite </w:t>
            </w:r>
            <w:r w:rsidR="00703EAB" w:rsidRPr="003C7BD8">
              <w:rPr>
                <w:rFonts w:ascii="Times New Roman" w:hAnsi="Times New Roman" w:cs="Times New Roman"/>
                <w:sz w:val="20"/>
                <w:szCs w:val="20"/>
                <w:lang w:eastAsia="es-CR"/>
              </w:rPr>
              <w:t xml:space="preserve">correspondiente </w:t>
            </w:r>
            <w:r w:rsidRPr="003C7BD8">
              <w:rPr>
                <w:rFonts w:ascii="Times New Roman" w:hAnsi="Times New Roman" w:cs="Times New Roman"/>
                <w:sz w:val="20"/>
                <w:szCs w:val="20"/>
                <w:lang w:eastAsia="es-CR"/>
              </w:rPr>
              <w:t>al crecimiento del gasto corriente nominal SPNF</w:t>
            </w:r>
          </w:p>
        </w:tc>
      </w:tr>
      <w:tr w:rsidR="00EC0F60" w:rsidRPr="003C7BD8" w14:paraId="20D202F9" w14:textId="77777777" w:rsidTr="00BF061A">
        <w:trPr>
          <w:trHeight w:val="1173"/>
          <w:jc w:val="center"/>
        </w:trPr>
        <w:tc>
          <w:tcPr>
            <w:tcW w:w="2686" w:type="dxa"/>
            <w:tcBorders>
              <w:top w:val="single" w:sz="4" w:space="0" w:color="auto"/>
            </w:tcBorders>
            <w:shd w:val="clear" w:color="auto" w:fill="auto"/>
            <w:vAlign w:val="center"/>
          </w:tcPr>
          <w:p w14:paraId="6128A9C3"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A</w:t>
            </w:r>
          </w:p>
        </w:tc>
        <w:tc>
          <w:tcPr>
            <w:tcW w:w="1985" w:type="dxa"/>
            <w:vMerge w:val="restart"/>
            <w:tcBorders>
              <w:top w:val="single" w:sz="4" w:space="0" w:color="auto"/>
            </w:tcBorders>
            <w:shd w:val="clear" w:color="auto" w:fill="auto"/>
            <w:vAlign w:val="center"/>
          </w:tcPr>
          <w:p w14:paraId="58137AA8" w14:textId="33847363" w:rsidR="00EC0F60"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Economía sin recesión o sin estado de emergencia y con crecimiento económico</w:t>
            </w:r>
            <w:r w:rsidR="00F43406">
              <w:rPr>
                <w:rFonts w:ascii="Times New Roman" w:hAnsi="Times New Roman" w:cs="Times New Roman"/>
                <w:sz w:val="20"/>
                <w:szCs w:val="20"/>
                <w:lang w:eastAsia="es-CR"/>
              </w:rPr>
              <w:t xml:space="preserve"> real</w:t>
            </w:r>
            <w:r w:rsidRPr="003C7BD8">
              <w:rPr>
                <w:rFonts w:ascii="Times New Roman" w:hAnsi="Times New Roman" w:cs="Times New Roman"/>
                <w:sz w:val="20"/>
                <w:szCs w:val="20"/>
                <w:lang w:eastAsia="es-CR"/>
              </w:rPr>
              <w:t xml:space="preserve"> ≤ 6%</w:t>
            </w:r>
            <w:r w:rsidR="007F58C7">
              <w:rPr>
                <w:rFonts w:ascii="Times New Roman" w:hAnsi="Times New Roman" w:cs="Times New Roman"/>
                <w:sz w:val="20"/>
                <w:szCs w:val="20"/>
                <w:lang w:eastAsia="es-CR"/>
              </w:rPr>
              <w:t xml:space="preserve"> </w:t>
            </w:r>
            <w:r w:rsidRPr="003C7BD8">
              <w:rPr>
                <w:rFonts w:ascii="Times New Roman" w:hAnsi="Times New Roman" w:cs="Times New Roman"/>
                <w:sz w:val="20"/>
                <w:szCs w:val="20"/>
                <w:lang w:eastAsia="es-CR"/>
              </w:rPr>
              <w:t>por dos años consecutivos</w:t>
            </w:r>
          </w:p>
          <w:p w14:paraId="7005755A" w14:textId="0C5D1042" w:rsidR="005D79B4" w:rsidRPr="003C7BD8" w:rsidRDefault="005D79B4" w:rsidP="00CE7447">
            <w:pPr>
              <w:spacing w:after="200" w:line="360" w:lineRule="auto"/>
              <w:contextualSpacing/>
              <w:jc w:val="center"/>
              <w:rPr>
                <w:rFonts w:ascii="Times New Roman" w:hAnsi="Times New Roman" w:cs="Times New Roman"/>
                <w:sz w:val="20"/>
                <w:szCs w:val="20"/>
                <w:lang w:eastAsia="es-CR"/>
              </w:rPr>
            </w:pPr>
            <w:r>
              <w:rPr>
                <w:rFonts w:ascii="Times New Roman" w:hAnsi="Times New Roman" w:cs="Times New Roman"/>
                <w:sz w:val="20"/>
                <w:szCs w:val="20"/>
                <w:lang w:eastAsia="es-CR"/>
              </w:rPr>
              <w:t>(art. 11)</w:t>
            </w:r>
          </w:p>
        </w:tc>
        <w:tc>
          <w:tcPr>
            <w:tcW w:w="2136" w:type="dxa"/>
            <w:tcBorders>
              <w:top w:val="single" w:sz="4" w:space="0" w:color="auto"/>
            </w:tcBorders>
            <w:shd w:val="clear" w:color="auto" w:fill="auto"/>
            <w:vAlign w:val="center"/>
          </w:tcPr>
          <w:p w14:paraId="1C7403E5" w14:textId="5E3DFF98" w:rsidR="00EC0F60" w:rsidRPr="003C7BD8" w:rsidRDefault="005C5E76" w:rsidP="00CE7447">
            <w:pPr>
              <w:spacing w:after="200" w:line="360" w:lineRule="auto"/>
              <w:contextualSpacing/>
              <w:jc w:val="center"/>
              <w:rPr>
                <w:rFonts w:ascii="Times New Roman" w:hAnsi="Times New Roman" w:cs="Times New Roman"/>
                <w:sz w:val="20"/>
                <w:szCs w:val="20"/>
                <w:lang w:eastAsia="es-CR"/>
              </w:rPr>
            </w:pP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r w:rsidR="00EC0F60" w:rsidRPr="003C7BD8">
              <w:rPr>
                <w:rFonts w:ascii="Times New Roman" w:hAnsi="Times New Roman" w:cs="Times New Roman"/>
                <w:sz w:val="20"/>
                <w:szCs w:val="20"/>
                <w:lang w:eastAsia="es-CR"/>
              </w:rPr>
              <w:t>&lt; 30%</w:t>
            </w:r>
          </w:p>
          <w:p w14:paraId="29C627F5"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p w14:paraId="31F7AB96"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o</w:t>
            </w:r>
          </w:p>
          <w:p w14:paraId="057E5B35"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p w14:paraId="5B7DBF31"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gasto corriente = 17% del PIB</w:t>
            </w:r>
          </w:p>
        </w:tc>
        <w:tc>
          <w:tcPr>
            <w:tcW w:w="0" w:type="auto"/>
            <w:tcBorders>
              <w:top w:val="single" w:sz="4" w:space="0" w:color="auto"/>
            </w:tcBorders>
            <w:shd w:val="clear" w:color="auto" w:fill="auto"/>
            <w:vAlign w:val="center"/>
          </w:tcPr>
          <w:p w14:paraId="021CAAD3" w14:textId="41E6EA62"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Gasto Corriente= 100% del crecimiento promedio interanual del PIB nominal de los últimos </w:t>
            </w:r>
            <w:r w:rsidR="002F4C89">
              <w:rPr>
                <w:rFonts w:ascii="Times New Roman" w:hAnsi="Times New Roman" w:cs="Times New Roman"/>
                <w:sz w:val="20"/>
                <w:szCs w:val="20"/>
                <w:lang w:eastAsia="es-CR"/>
              </w:rPr>
              <w:t>4</w:t>
            </w:r>
            <w:r w:rsidRPr="003C7BD8">
              <w:rPr>
                <w:rFonts w:ascii="Times New Roman" w:hAnsi="Times New Roman" w:cs="Times New Roman"/>
                <w:sz w:val="20"/>
                <w:szCs w:val="20"/>
                <w:lang w:eastAsia="es-CR"/>
              </w:rPr>
              <w:t xml:space="preserve"> años (PIB</w:t>
            </w:r>
            <w:r w:rsidR="00776B86">
              <w:rPr>
                <w:rFonts w:ascii="Times New Roman" w:hAnsi="Times New Roman" w:cs="Times New Roman"/>
                <w:sz w:val="20"/>
                <w:szCs w:val="20"/>
                <w:lang w:eastAsia="es-CR"/>
              </w:rPr>
              <w:t>4</w:t>
            </w:r>
            <w:r w:rsidRPr="003C7BD8">
              <w:rPr>
                <w:rFonts w:ascii="Times New Roman" w:hAnsi="Times New Roman" w:cs="Times New Roman"/>
                <w:sz w:val="20"/>
                <w:szCs w:val="20"/>
                <w:lang w:eastAsia="es-CR"/>
              </w:rPr>
              <w:t>)</w:t>
            </w:r>
          </w:p>
        </w:tc>
      </w:tr>
      <w:tr w:rsidR="00EC0F60" w:rsidRPr="003C7BD8" w14:paraId="2B293261" w14:textId="77777777" w:rsidTr="00BF061A">
        <w:trPr>
          <w:trHeight w:val="421"/>
          <w:jc w:val="center"/>
        </w:trPr>
        <w:tc>
          <w:tcPr>
            <w:tcW w:w="2686" w:type="dxa"/>
            <w:shd w:val="clear" w:color="auto" w:fill="auto"/>
            <w:vAlign w:val="center"/>
          </w:tcPr>
          <w:p w14:paraId="33C8C547"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B</w:t>
            </w:r>
          </w:p>
        </w:tc>
        <w:tc>
          <w:tcPr>
            <w:tcW w:w="1985" w:type="dxa"/>
            <w:vMerge/>
            <w:shd w:val="clear" w:color="auto" w:fill="auto"/>
            <w:vAlign w:val="center"/>
          </w:tcPr>
          <w:p w14:paraId="384515D3"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2136" w:type="dxa"/>
            <w:shd w:val="clear" w:color="auto" w:fill="auto"/>
            <w:vAlign w:val="center"/>
          </w:tcPr>
          <w:p w14:paraId="4D63221C" w14:textId="6229A10A"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30% ≤ </w:t>
            </w: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r w:rsidRPr="003C7BD8">
              <w:rPr>
                <w:rFonts w:ascii="Times New Roman" w:hAnsi="Times New Roman" w:cs="Times New Roman"/>
                <w:sz w:val="20"/>
                <w:szCs w:val="20"/>
                <w:lang w:eastAsia="es-CR"/>
              </w:rPr>
              <w:t xml:space="preserve"> &lt; 45%</w:t>
            </w:r>
          </w:p>
          <w:p w14:paraId="6F205992"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0" w:type="auto"/>
            <w:shd w:val="clear" w:color="auto" w:fill="auto"/>
            <w:vAlign w:val="center"/>
          </w:tcPr>
          <w:p w14:paraId="4719283B" w14:textId="52BA781C"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Gasto Corriente = 85% del PIB</w:t>
            </w:r>
            <w:r w:rsidR="00776B86">
              <w:rPr>
                <w:rFonts w:ascii="Times New Roman" w:hAnsi="Times New Roman" w:cs="Times New Roman"/>
                <w:sz w:val="20"/>
                <w:szCs w:val="20"/>
                <w:lang w:eastAsia="es-CR"/>
              </w:rPr>
              <w:t>4</w:t>
            </w:r>
          </w:p>
        </w:tc>
      </w:tr>
      <w:tr w:rsidR="00EC0F60" w:rsidRPr="003C7BD8" w14:paraId="2F4B7206" w14:textId="77777777" w:rsidTr="00BF061A">
        <w:trPr>
          <w:trHeight w:val="432"/>
          <w:jc w:val="center"/>
        </w:trPr>
        <w:tc>
          <w:tcPr>
            <w:tcW w:w="2686" w:type="dxa"/>
            <w:shd w:val="clear" w:color="auto" w:fill="auto"/>
            <w:vAlign w:val="center"/>
          </w:tcPr>
          <w:p w14:paraId="667E8FFF"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C</w:t>
            </w:r>
          </w:p>
        </w:tc>
        <w:tc>
          <w:tcPr>
            <w:tcW w:w="1985" w:type="dxa"/>
            <w:vMerge/>
            <w:shd w:val="clear" w:color="auto" w:fill="auto"/>
            <w:vAlign w:val="center"/>
          </w:tcPr>
          <w:p w14:paraId="206724E5"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2136" w:type="dxa"/>
            <w:shd w:val="clear" w:color="auto" w:fill="auto"/>
            <w:vAlign w:val="center"/>
          </w:tcPr>
          <w:p w14:paraId="2FFF3750" w14:textId="4A6A5C1A"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45% ≤ </w:t>
            </w: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r w:rsidRPr="003C7BD8">
              <w:rPr>
                <w:rFonts w:ascii="Times New Roman" w:hAnsi="Times New Roman" w:cs="Times New Roman"/>
                <w:sz w:val="20"/>
                <w:szCs w:val="20"/>
                <w:lang w:eastAsia="es-CR"/>
              </w:rPr>
              <w:t>&lt; 60%</w:t>
            </w:r>
          </w:p>
          <w:p w14:paraId="6CF9D4E5"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0" w:type="auto"/>
            <w:shd w:val="clear" w:color="auto" w:fill="auto"/>
            <w:vAlign w:val="center"/>
          </w:tcPr>
          <w:p w14:paraId="4769576B" w14:textId="569EA116"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Gasto Corriente= 75% del PIB</w:t>
            </w:r>
            <w:r w:rsidR="00776B86">
              <w:rPr>
                <w:rFonts w:ascii="Times New Roman" w:hAnsi="Times New Roman" w:cs="Times New Roman"/>
                <w:sz w:val="20"/>
                <w:szCs w:val="20"/>
                <w:lang w:eastAsia="es-CR"/>
              </w:rPr>
              <w:t>4</w:t>
            </w:r>
          </w:p>
        </w:tc>
      </w:tr>
      <w:tr w:rsidR="00EC0F60" w:rsidRPr="003C7BD8" w14:paraId="7A8B6720" w14:textId="77777777" w:rsidTr="00BF061A">
        <w:trPr>
          <w:trHeight w:val="721"/>
          <w:jc w:val="center"/>
        </w:trPr>
        <w:tc>
          <w:tcPr>
            <w:tcW w:w="2686" w:type="dxa"/>
            <w:shd w:val="clear" w:color="auto" w:fill="auto"/>
            <w:vAlign w:val="center"/>
          </w:tcPr>
          <w:p w14:paraId="7C6214F6"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D (sin ajuste de pensiones, salario base e incentivos)</w:t>
            </w:r>
          </w:p>
        </w:tc>
        <w:tc>
          <w:tcPr>
            <w:tcW w:w="1985" w:type="dxa"/>
            <w:vMerge/>
            <w:shd w:val="clear" w:color="auto" w:fill="auto"/>
            <w:vAlign w:val="center"/>
          </w:tcPr>
          <w:p w14:paraId="59CB17D4"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2136" w:type="dxa"/>
            <w:shd w:val="clear" w:color="auto" w:fill="auto"/>
            <w:vAlign w:val="center"/>
          </w:tcPr>
          <w:p w14:paraId="5F5E0099" w14:textId="11EB498A" w:rsidR="00EC0F60" w:rsidRPr="003C7BD8" w:rsidRDefault="005C5E76" w:rsidP="00CE7447">
            <w:pPr>
              <w:spacing w:after="200" w:line="360" w:lineRule="auto"/>
              <w:contextualSpacing/>
              <w:jc w:val="center"/>
              <w:rPr>
                <w:rFonts w:ascii="Times New Roman" w:hAnsi="Times New Roman" w:cs="Times New Roman"/>
                <w:sz w:val="20"/>
                <w:szCs w:val="20"/>
                <w:lang w:eastAsia="es-CR"/>
              </w:rPr>
            </w:pP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r w:rsidR="00EC0F60" w:rsidRPr="003C7BD8">
              <w:rPr>
                <w:rFonts w:ascii="Times New Roman" w:hAnsi="Times New Roman" w:cs="Times New Roman"/>
                <w:sz w:val="20"/>
                <w:szCs w:val="20"/>
                <w:lang w:eastAsia="es-CR"/>
              </w:rPr>
              <w:t xml:space="preserve"> ≥ 60%</w:t>
            </w:r>
          </w:p>
          <w:p w14:paraId="3449CC98"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p>
        </w:tc>
        <w:tc>
          <w:tcPr>
            <w:tcW w:w="0" w:type="auto"/>
            <w:shd w:val="clear" w:color="auto" w:fill="auto"/>
            <w:vAlign w:val="center"/>
          </w:tcPr>
          <w:p w14:paraId="0E3AA2FC" w14:textId="1E96BDCF"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Gasto Total= 65% del PIB</w:t>
            </w:r>
            <w:r w:rsidR="00776B86">
              <w:rPr>
                <w:rFonts w:ascii="Times New Roman" w:hAnsi="Times New Roman" w:cs="Times New Roman"/>
                <w:sz w:val="20"/>
                <w:szCs w:val="20"/>
                <w:lang w:eastAsia="es-CR"/>
              </w:rPr>
              <w:t>4</w:t>
            </w:r>
          </w:p>
        </w:tc>
      </w:tr>
      <w:tr w:rsidR="00EC0F60" w:rsidRPr="003C7BD8" w14:paraId="290DC93D" w14:textId="77777777" w:rsidTr="00BF061A">
        <w:trPr>
          <w:trHeight w:val="631"/>
          <w:jc w:val="center"/>
        </w:trPr>
        <w:tc>
          <w:tcPr>
            <w:tcW w:w="2686" w:type="dxa"/>
            <w:tcBorders>
              <w:bottom w:val="single" w:sz="4" w:space="0" w:color="auto"/>
            </w:tcBorders>
            <w:shd w:val="clear" w:color="auto" w:fill="auto"/>
            <w:vAlign w:val="center"/>
          </w:tcPr>
          <w:p w14:paraId="51001EB3"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Otro</w:t>
            </w:r>
          </w:p>
        </w:tc>
        <w:tc>
          <w:tcPr>
            <w:tcW w:w="1985" w:type="dxa"/>
            <w:tcBorders>
              <w:bottom w:val="single" w:sz="4" w:space="0" w:color="auto"/>
            </w:tcBorders>
            <w:shd w:val="clear" w:color="auto" w:fill="auto"/>
            <w:vAlign w:val="center"/>
          </w:tcPr>
          <w:p w14:paraId="0A12909B" w14:textId="7B4B66EA" w:rsidR="00C028EE"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Crecimiento económico</w:t>
            </w:r>
            <w:r w:rsidR="00F43406">
              <w:rPr>
                <w:rFonts w:ascii="Times New Roman" w:hAnsi="Times New Roman" w:cs="Times New Roman"/>
                <w:sz w:val="20"/>
                <w:szCs w:val="20"/>
                <w:lang w:eastAsia="es-CR"/>
              </w:rPr>
              <w:t xml:space="preserve"> real</w:t>
            </w:r>
            <w:r w:rsidRPr="003C7BD8">
              <w:rPr>
                <w:rFonts w:ascii="Times New Roman" w:hAnsi="Times New Roman" w:cs="Times New Roman"/>
                <w:sz w:val="20"/>
                <w:szCs w:val="20"/>
                <w:lang w:eastAsia="es-CR"/>
              </w:rPr>
              <w:t xml:space="preserve"> &gt; 6%</w:t>
            </w:r>
            <w:r w:rsidR="007F58C7">
              <w:rPr>
                <w:rFonts w:ascii="Times New Roman" w:hAnsi="Times New Roman" w:cs="Times New Roman"/>
                <w:sz w:val="20"/>
                <w:szCs w:val="20"/>
                <w:lang w:eastAsia="es-CR"/>
              </w:rPr>
              <w:t xml:space="preserve"> </w:t>
            </w:r>
            <w:r w:rsidRPr="003C7BD8">
              <w:rPr>
                <w:rFonts w:ascii="Times New Roman" w:hAnsi="Times New Roman" w:cs="Times New Roman"/>
                <w:sz w:val="20"/>
                <w:szCs w:val="20"/>
                <w:lang w:eastAsia="es-CR"/>
              </w:rPr>
              <w:t>por dos años consecutivos</w:t>
            </w:r>
            <w:r w:rsidR="00C028EE">
              <w:rPr>
                <w:rFonts w:ascii="Times New Roman" w:hAnsi="Times New Roman" w:cs="Times New Roman"/>
                <w:sz w:val="20"/>
                <w:szCs w:val="20"/>
                <w:lang w:eastAsia="es-CR"/>
              </w:rPr>
              <w:t xml:space="preserve"> </w:t>
            </w:r>
          </w:p>
          <w:p w14:paraId="0CA69E69" w14:textId="16450E8E" w:rsidR="00EC0F60" w:rsidRPr="003C7BD8" w:rsidRDefault="00C028EE" w:rsidP="00CE7447">
            <w:pPr>
              <w:spacing w:after="200" w:line="360" w:lineRule="auto"/>
              <w:contextualSpacing/>
              <w:jc w:val="center"/>
              <w:rPr>
                <w:rFonts w:ascii="Times New Roman" w:hAnsi="Times New Roman" w:cs="Times New Roman"/>
                <w:sz w:val="20"/>
                <w:szCs w:val="20"/>
                <w:lang w:eastAsia="es-CR"/>
              </w:rPr>
            </w:pPr>
            <w:r>
              <w:rPr>
                <w:rFonts w:ascii="Times New Roman" w:hAnsi="Times New Roman" w:cs="Times New Roman"/>
                <w:sz w:val="20"/>
                <w:szCs w:val="20"/>
                <w:lang w:eastAsia="es-CR"/>
              </w:rPr>
              <w:t>(art</w:t>
            </w:r>
            <w:r w:rsidR="00D33552">
              <w:rPr>
                <w:rFonts w:ascii="Times New Roman" w:hAnsi="Times New Roman" w:cs="Times New Roman"/>
                <w:sz w:val="20"/>
                <w:szCs w:val="20"/>
                <w:lang w:eastAsia="es-CR"/>
              </w:rPr>
              <w:t>.</w:t>
            </w:r>
            <w:r>
              <w:rPr>
                <w:rFonts w:ascii="Times New Roman" w:hAnsi="Times New Roman" w:cs="Times New Roman"/>
                <w:sz w:val="20"/>
                <w:szCs w:val="20"/>
                <w:lang w:eastAsia="es-CR"/>
              </w:rPr>
              <w:t xml:space="preserve"> 12)</w:t>
            </w:r>
          </w:p>
        </w:tc>
        <w:tc>
          <w:tcPr>
            <w:tcW w:w="2136" w:type="dxa"/>
            <w:tcBorders>
              <w:bottom w:val="single" w:sz="4" w:space="0" w:color="auto"/>
            </w:tcBorders>
            <w:shd w:val="clear" w:color="auto" w:fill="auto"/>
            <w:vAlign w:val="center"/>
          </w:tcPr>
          <w:p w14:paraId="6F17CC67" w14:textId="53090E74"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Cualquier </w:t>
            </w: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p>
        </w:tc>
        <w:tc>
          <w:tcPr>
            <w:tcW w:w="0" w:type="auto"/>
            <w:tcBorders>
              <w:bottom w:val="single" w:sz="4" w:space="0" w:color="auto"/>
            </w:tcBorders>
            <w:shd w:val="clear" w:color="auto" w:fill="auto"/>
            <w:vAlign w:val="center"/>
          </w:tcPr>
          <w:p w14:paraId="7F097656" w14:textId="17FC687F"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85% del PIB</w:t>
            </w:r>
            <w:r w:rsidR="00776B86">
              <w:rPr>
                <w:rFonts w:ascii="Times New Roman" w:hAnsi="Times New Roman" w:cs="Times New Roman"/>
                <w:sz w:val="20"/>
                <w:szCs w:val="20"/>
                <w:lang w:eastAsia="es-CR"/>
              </w:rPr>
              <w:t>4</w:t>
            </w:r>
          </w:p>
        </w:tc>
      </w:tr>
      <w:tr w:rsidR="00EC0F60" w:rsidRPr="003C7BD8" w14:paraId="56CFC92E" w14:textId="77777777" w:rsidTr="00BF061A">
        <w:trPr>
          <w:trHeight w:val="421"/>
          <w:jc w:val="center"/>
        </w:trPr>
        <w:tc>
          <w:tcPr>
            <w:tcW w:w="2686" w:type="dxa"/>
            <w:tcBorders>
              <w:top w:val="single" w:sz="4" w:space="0" w:color="auto"/>
              <w:bottom w:val="single" w:sz="4" w:space="0" w:color="auto"/>
            </w:tcBorders>
            <w:shd w:val="clear" w:color="auto" w:fill="auto"/>
            <w:vAlign w:val="center"/>
          </w:tcPr>
          <w:p w14:paraId="10EDF6B7" w14:textId="77777777"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Suspensión de la regla</w:t>
            </w:r>
          </w:p>
        </w:tc>
        <w:tc>
          <w:tcPr>
            <w:tcW w:w="1985" w:type="dxa"/>
            <w:tcBorders>
              <w:top w:val="single" w:sz="4" w:space="0" w:color="auto"/>
              <w:bottom w:val="single" w:sz="4" w:space="0" w:color="auto"/>
            </w:tcBorders>
            <w:shd w:val="clear" w:color="auto" w:fill="auto"/>
            <w:vAlign w:val="center"/>
          </w:tcPr>
          <w:p w14:paraId="141E7DE2" w14:textId="4514FF7D"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Recesión económica </w:t>
            </w:r>
            <w:r w:rsidR="003605B0">
              <w:rPr>
                <w:rFonts w:ascii="Times New Roman" w:hAnsi="Times New Roman" w:cs="Times New Roman"/>
                <w:sz w:val="20"/>
                <w:szCs w:val="20"/>
                <w:lang w:eastAsia="es-CR"/>
              </w:rPr>
              <w:t xml:space="preserve">por crecimiento &lt; 1% </w:t>
            </w:r>
            <w:r w:rsidRPr="003C7BD8">
              <w:rPr>
                <w:rFonts w:ascii="Times New Roman" w:hAnsi="Times New Roman" w:cs="Times New Roman"/>
                <w:sz w:val="20"/>
                <w:szCs w:val="20"/>
                <w:lang w:eastAsia="es-CR"/>
              </w:rPr>
              <w:t>o estado de emergencia</w:t>
            </w:r>
            <w:r w:rsidR="00D33552">
              <w:rPr>
                <w:rFonts w:ascii="Times New Roman" w:hAnsi="Times New Roman" w:cs="Times New Roman"/>
                <w:sz w:val="20"/>
                <w:szCs w:val="20"/>
                <w:lang w:eastAsia="es-CR"/>
              </w:rPr>
              <w:t xml:space="preserve"> (art. 16)</w:t>
            </w:r>
          </w:p>
        </w:tc>
        <w:tc>
          <w:tcPr>
            <w:tcW w:w="2136" w:type="dxa"/>
            <w:tcBorders>
              <w:top w:val="single" w:sz="4" w:space="0" w:color="auto"/>
              <w:bottom w:val="single" w:sz="4" w:space="0" w:color="auto"/>
            </w:tcBorders>
            <w:shd w:val="clear" w:color="auto" w:fill="auto"/>
            <w:vAlign w:val="center"/>
          </w:tcPr>
          <w:p w14:paraId="70D011CD" w14:textId="62363FA2" w:rsidR="00EC0F60" w:rsidRPr="003C7BD8" w:rsidRDefault="00EC0F60" w:rsidP="00CE7447">
            <w:pPr>
              <w:spacing w:after="200" w:line="360" w:lineRule="auto"/>
              <w:contextualSpacing/>
              <w:jc w:val="center"/>
              <w:rPr>
                <w:rFonts w:ascii="Times New Roman" w:hAnsi="Times New Roman" w:cs="Times New Roman"/>
                <w:sz w:val="20"/>
                <w:szCs w:val="20"/>
                <w:lang w:eastAsia="es-CR"/>
              </w:rPr>
            </w:pPr>
            <w:r w:rsidRPr="003C7BD8">
              <w:rPr>
                <w:rFonts w:ascii="Times New Roman" w:hAnsi="Times New Roman" w:cs="Times New Roman"/>
                <w:sz w:val="20"/>
                <w:szCs w:val="20"/>
                <w:lang w:eastAsia="es-CR"/>
              </w:rPr>
              <w:t xml:space="preserve">Cualquier </w:t>
            </w:r>
            <m:oMath>
              <m:sSub>
                <m:sSubPr>
                  <m:ctrlPr>
                    <w:rPr>
                      <w:rFonts w:ascii="Cambria Math" w:hAnsi="Cambria Math" w:cs="Times New Roman"/>
                      <w:i/>
                      <w:sz w:val="20"/>
                      <w:szCs w:val="20"/>
                      <w:lang w:eastAsia="es-CR"/>
                    </w:rPr>
                  </m:ctrlPr>
                </m:sSubPr>
                <m:e>
                  <m:r>
                    <w:rPr>
                      <w:rFonts w:ascii="Cambria Math" w:hAnsi="Cambria Math" w:cs="Times New Roman"/>
                      <w:sz w:val="20"/>
                      <w:szCs w:val="20"/>
                      <w:lang w:eastAsia="es-CR"/>
                    </w:rPr>
                    <m:t>d</m:t>
                  </m:r>
                </m:e>
                <m:sub>
                  <m:r>
                    <w:rPr>
                      <w:rFonts w:ascii="Cambria Math" w:hAnsi="Cambria Math" w:cs="Times New Roman"/>
                      <w:sz w:val="20"/>
                      <w:szCs w:val="20"/>
                      <w:lang w:eastAsia="es-CR"/>
                    </w:rPr>
                    <m:t>t-1</m:t>
                  </m:r>
                </m:sub>
              </m:sSub>
            </m:oMath>
          </w:p>
        </w:tc>
        <w:tc>
          <w:tcPr>
            <w:tcW w:w="0" w:type="auto"/>
            <w:tcBorders>
              <w:top w:val="single" w:sz="4" w:space="0" w:color="auto"/>
              <w:bottom w:val="single" w:sz="4" w:space="0" w:color="auto"/>
            </w:tcBorders>
            <w:shd w:val="clear" w:color="auto" w:fill="auto"/>
            <w:vAlign w:val="center"/>
          </w:tcPr>
          <w:p w14:paraId="7947E958" w14:textId="5B547190" w:rsidR="00EC0F60" w:rsidRPr="003C7BD8" w:rsidRDefault="00557B16" w:rsidP="00CE7447">
            <w:pPr>
              <w:spacing w:after="200" w:line="360" w:lineRule="auto"/>
              <w:contextualSpacing/>
              <w:jc w:val="center"/>
              <w:rPr>
                <w:rFonts w:ascii="Times New Roman" w:hAnsi="Times New Roman" w:cs="Times New Roman"/>
                <w:sz w:val="20"/>
                <w:szCs w:val="20"/>
                <w:lang w:eastAsia="es-CR"/>
              </w:rPr>
            </w:pPr>
            <w:r>
              <w:rPr>
                <w:rFonts w:ascii="Times New Roman" w:hAnsi="Times New Roman" w:cs="Times New Roman"/>
                <w:sz w:val="20"/>
                <w:szCs w:val="20"/>
                <w:lang w:eastAsia="es-CR"/>
              </w:rPr>
              <w:t xml:space="preserve">Cualquier PIB4 y </w:t>
            </w:r>
            <w:r w:rsidR="003605B0">
              <w:rPr>
                <w:rFonts w:ascii="Times New Roman" w:hAnsi="Times New Roman" w:cs="Times New Roman"/>
                <w:sz w:val="20"/>
                <w:szCs w:val="20"/>
                <w:lang w:eastAsia="es-CR"/>
              </w:rPr>
              <w:t xml:space="preserve">con un plan de </w:t>
            </w:r>
            <w:r w:rsidR="00655CA2">
              <w:rPr>
                <w:rFonts w:ascii="Times New Roman" w:hAnsi="Times New Roman" w:cs="Times New Roman"/>
                <w:sz w:val="20"/>
                <w:szCs w:val="20"/>
                <w:lang w:eastAsia="es-CR"/>
              </w:rPr>
              <w:t>retorno a</w:t>
            </w:r>
            <w:r w:rsidR="003605B0">
              <w:rPr>
                <w:rFonts w:ascii="Times New Roman" w:hAnsi="Times New Roman" w:cs="Times New Roman"/>
                <w:sz w:val="20"/>
                <w:szCs w:val="20"/>
                <w:lang w:eastAsia="es-CR"/>
              </w:rPr>
              <w:t xml:space="preserve"> la regla en </w:t>
            </w:r>
            <w:r w:rsidR="00655CA2">
              <w:rPr>
                <w:rFonts w:ascii="Times New Roman" w:hAnsi="Times New Roman" w:cs="Times New Roman"/>
                <w:sz w:val="20"/>
                <w:szCs w:val="20"/>
                <w:lang w:eastAsia="es-CR"/>
              </w:rPr>
              <w:t>3</w:t>
            </w:r>
            <w:r w:rsidR="003605B0">
              <w:rPr>
                <w:rFonts w:ascii="Times New Roman" w:hAnsi="Times New Roman" w:cs="Times New Roman"/>
                <w:sz w:val="20"/>
                <w:szCs w:val="20"/>
                <w:lang w:eastAsia="es-CR"/>
              </w:rPr>
              <w:t xml:space="preserve"> años.</w:t>
            </w:r>
          </w:p>
        </w:tc>
      </w:tr>
    </w:tbl>
    <w:p w14:paraId="7C65DF6B" w14:textId="1C3B5850" w:rsidR="00EC0F60" w:rsidRPr="00AC4178" w:rsidRDefault="00EC0F60" w:rsidP="00CE7447">
      <w:pPr>
        <w:pStyle w:val="Caption"/>
        <w:spacing w:before="0" w:after="240" w:line="360" w:lineRule="auto"/>
        <w:jc w:val="center"/>
        <w:rPr>
          <w:rFonts w:ascii="Times New Roman" w:eastAsiaTheme="minorHAnsi" w:hAnsi="Times New Roman"/>
          <w:iCs w:val="0"/>
          <w:color w:val="auto"/>
          <w:sz w:val="18"/>
          <w:lang w:val="es-CR"/>
        </w:rPr>
      </w:pPr>
      <w:r w:rsidRPr="00AC4178">
        <w:rPr>
          <w:rFonts w:ascii="Times New Roman" w:eastAsiaTheme="minorHAnsi" w:hAnsi="Times New Roman"/>
          <w:iCs w:val="0"/>
          <w:color w:val="auto"/>
          <w:sz w:val="18"/>
          <w:lang w:val="es-CR"/>
        </w:rPr>
        <w:t xml:space="preserve">Fuente: </w:t>
      </w:r>
      <w:r w:rsidR="00AC4178">
        <w:rPr>
          <w:rFonts w:ascii="Times New Roman" w:eastAsiaTheme="minorHAnsi" w:hAnsi="Times New Roman"/>
          <w:iCs w:val="0"/>
          <w:color w:val="auto"/>
          <w:sz w:val="18"/>
          <w:lang w:val="es-CR"/>
        </w:rPr>
        <w:t xml:space="preserve">tomado de </w:t>
      </w:r>
      <w:r w:rsidR="001F3093" w:rsidRPr="00AC4178">
        <w:rPr>
          <w:rFonts w:ascii="Times New Roman" w:eastAsiaTheme="minorHAnsi" w:hAnsi="Times New Roman"/>
          <w:iCs w:val="0"/>
          <w:color w:val="auto"/>
          <w:sz w:val="18"/>
          <w:lang w:val="es-CR"/>
        </w:rPr>
        <w:t>BCCR (2018)</w:t>
      </w:r>
      <w:r w:rsidRPr="00AC4178">
        <w:rPr>
          <w:rFonts w:ascii="Times New Roman" w:eastAsiaTheme="minorHAnsi" w:hAnsi="Times New Roman"/>
          <w:iCs w:val="0"/>
          <w:color w:val="auto"/>
          <w:sz w:val="18"/>
          <w:lang w:val="es-CR"/>
        </w:rPr>
        <w:t>.</w:t>
      </w:r>
    </w:p>
    <w:p w14:paraId="7481294C" w14:textId="77777777" w:rsidR="00982988" w:rsidRDefault="00982988">
      <w:pPr>
        <w:rPr>
          <w:rFonts w:ascii="Times New Roman" w:hAnsi="Times New Roman" w:cs="Times New Roman"/>
          <w:b/>
          <w:sz w:val="24"/>
        </w:rPr>
      </w:pPr>
      <w:r>
        <w:rPr>
          <w:rFonts w:ascii="Times New Roman" w:hAnsi="Times New Roman" w:cs="Times New Roman"/>
          <w:b/>
          <w:sz w:val="24"/>
        </w:rPr>
        <w:br w:type="page"/>
      </w:r>
    </w:p>
    <w:p w14:paraId="4A980444" w14:textId="794B63F2" w:rsidR="00630349" w:rsidRPr="003C7BD8" w:rsidRDefault="00A61113"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Sanciones</w:t>
      </w:r>
      <w:r w:rsidR="009B5280" w:rsidRPr="003C7BD8">
        <w:rPr>
          <w:rFonts w:ascii="Times New Roman" w:hAnsi="Times New Roman" w:cs="Times New Roman"/>
          <w:b/>
          <w:sz w:val="24"/>
        </w:rPr>
        <w:t>, destinos específicos y otras características</w:t>
      </w:r>
      <w:r w:rsidRPr="003C7BD8">
        <w:rPr>
          <w:rFonts w:ascii="Times New Roman" w:hAnsi="Times New Roman" w:cs="Times New Roman"/>
          <w:b/>
          <w:sz w:val="24"/>
        </w:rPr>
        <w:t>.</w:t>
      </w:r>
      <w:r w:rsidR="009B5280" w:rsidRPr="003C7BD8">
        <w:rPr>
          <w:rFonts w:ascii="Times New Roman" w:hAnsi="Times New Roman" w:cs="Times New Roman"/>
          <w:b/>
          <w:sz w:val="24"/>
        </w:rPr>
        <w:t xml:space="preserve"> </w:t>
      </w:r>
      <w:r w:rsidR="00264474" w:rsidRPr="003C7BD8">
        <w:rPr>
          <w:rFonts w:ascii="Times New Roman" w:hAnsi="Times New Roman" w:cs="Times New Roman"/>
          <w:sz w:val="24"/>
        </w:rPr>
        <w:t>La</w:t>
      </w:r>
      <w:r w:rsidR="00264474" w:rsidRPr="003C7BD8">
        <w:rPr>
          <w:rFonts w:ascii="Times New Roman" w:hAnsi="Times New Roman" w:cs="Times New Roman"/>
          <w:b/>
          <w:sz w:val="24"/>
        </w:rPr>
        <w:t xml:space="preserve"> </w:t>
      </w:r>
      <w:r w:rsidR="00264474" w:rsidRPr="003C7BD8">
        <w:rPr>
          <w:rFonts w:ascii="Times New Roman" w:hAnsi="Times New Roman" w:cs="Times New Roman"/>
          <w:sz w:val="24"/>
        </w:rPr>
        <w:t>ley de</w:t>
      </w:r>
      <w:r w:rsidR="00264474" w:rsidRPr="003C7BD8">
        <w:rPr>
          <w:rFonts w:ascii="Times New Roman" w:hAnsi="Times New Roman" w:cs="Times New Roman"/>
          <w:b/>
          <w:sz w:val="24"/>
        </w:rPr>
        <w:t xml:space="preserve"> </w:t>
      </w:r>
      <w:r w:rsidR="00EC0F4A" w:rsidRPr="003C7BD8">
        <w:rPr>
          <w:rFonts w:ascii="Times New Roman" w:hAnsi="Times New Roman" w:cs="Times New Roman"/>
          <w:sz w:val="24"/>
        </w:rPr>
        <w:t xml:space="preserve">Fortalecimiento de las Finanzas Públicas incluye </w:t>
      </w:r>
      <w:r w:rsidR="00BF4819" w:rsidRPr="003C7BD8">
        <w:rPr>
          <w:rFonts w:ascii="Times New Roman" w:hAnsi="Times New Roman" w:cs="Times New Roman"/>
          <w:sz w:val="24"/>
        </w:rPr>
        <w:t>sanciones en caso de que se dé un incumplimiento injustificado de la regla fiscal.</w:t>
      </w:r>
      <w:r w:rsidR="00D421E4" w:rsidRPr="003C7BD8">
        <w:rPr>
          <w:rFonts w:ascii="Times New Roman" w:hAnsi="Times New Roman" w:cs="Times New Roman"/>
          <w:sz w:val="24"/>
        </w:rPr>
        <w:t xml:space="preserve"> En concreto, dicha ley indica que </w:t>
      </w:r>
      <w:r w:rsidR="009950B5" w:rsidRPr="003C7BD8">
        <w:rPr>
          <w:rFonts w:ascii="Times New Roman" w:hAnsi="Times New Roman" w:cs="Times New Roman"/>
          <w:sz w:val="24"/>
        </w:rPr>
        <w:t>incumplir la regla fiscal es una falta grave y será</w:t>
      </w:r>
      <w:r w:rsidR="00D9503D" w:rsidRPr="003C7BD8">
        <w:rPr>
          <w:rFonts w:ascii="Times New Roman" w:hAnsi="Times New Roman" w:cs="Times New Roman"/>
          <w:sz w:val="24"/>
        </w:rPr>
        <w:t xml:space="preserve"> sancionada según lo indicado en el artículo 68 de la Ley Orgánica de la Contraloría General de la República.</w:t>
      </w:r>
      <w:r w:rsidR="00B23651">
        <w:rPr>
          <w:rStyle w:val="FootnoteReference"/>
          <w:rFonts w:ascii="Times New Roman" w:hAnsi="Times New Roman" w:cs="Times New Roman"/>
          <w:sz w:val="24"/>
        </w:rPr>
        <w:footnoteReference w:id="11"/>
      </w:r>
      <w:r w:rsidR="00D9503D" w:rsidRPr="003C7BD8">
        <w:rPr>
          <w:rFonts w:ascii="Times New Roman" w:hAnsi="Times New Roman" w:cs="Times New Roman"/>
          <w:sz w:val="24"/>
        </w:rPr>
        <w:t xml:space="preserve"> </w:t>
      </w:r>
      <w:r w:rsidR="00F034B7" w:rsidRPr="003C7BD8">
        <w:rPr>
          <w:rFonts w:ascii="Times New Roman" w:hAnsi="Times New Roman" w:cs="Times New Roman"/>
          <w:sz w:val="24"/>
        </w:rPr>
        <w:t xml:space="preserve">Este mecanismo es nuevo, pues no existían explícitamente sanciones ante la violación de </w:t>
      </w:r>
      <w:r w:rsidR="00F569F2" w:rsidRPr="003C7BD8">
        <w:rPr>
          <w:rFonts w:ascii="Times New Roman" w:hAnsi="Times New Roman" w:cs="Times New Roman"/>
          <w:sz w:val="24"/>
        </w:rPr>
        <w:t xml:space="preserve">los </w:t>
      </w:r>
      <w:r w:rsidR="00F034B7" w:rsidRPr="003C7BD8">
        <w:rPr>
          <w:rFonts w:ascii="Times New Roman" w:hAnsi="Times New Roman" w:cs="Times New Roman"/>
          <w:sz w:val="24"/>
        </w:rPr>
        <w:t>otr</w:t>
      </w:r>
      <w:r w:rsidR="00A2718E" w:rsidRPr="003C7BD8">
        <w:rPr>
          <w:rFonts w:ascii="Times New Roman" w:hAnsi="Times New Roman" w:cs="Times New Roman"/>
          <w:sz w:val="24"/>
        </w:rPr>
        <w:t xml:space="preserve">os mandatos legales </w:t>
      </w:r>
      <w:r w:rsidR="00F569F2" w:rsidRPr="003C7BD8">
        <w:rPr>
          <w:rFonts w:ascii="Times New Roman" w:hAnsi="Times New Roman" w:cs="Times New Roman"/>
          <w:sz w:val="24"/>
        </w:rPr>
        <w:t xml:space="preserve">anteriormente mencionados </w:t>
      </w:r>
      <w:r w:rsidR="00A2718E" w:rsidRPr="003C7BD8">
        <w:rPr>
          <w:rFonts w:ascii="Times New Roman" w:hAnsi="Times New Roman" w:cs="Times New Roman"/>
          <w:sz w:val="24"/>
        </w:rPr>
        <w:t xml:space="preserve">que buscan el equilibrio de las finanzas públicas. </w:t>
      </w:r>
    </w:p>
    <w:p w14:paraId="4F5D262B" w14:textId="51056A72" w:rsidR="00216A8C" w:rsidRDefault="00B96D9F" w:rsidP="00CE7447">
      <w:pPr>
        <w:spacing w:line="360" w:lineRule="auto"/>
        <w:jc w:val="both"/>
        <w:rPr>
          <w:rFonts w:ascii="Times New Roman" w:hAnsi="Times New Roman" w:cs="Times New Roman"/>
          <w:sz w:val="24"/>
        </w:rPr>
      </w:pPr>
      <w:r w:rsidRPr="003C7BD8">
        <w:rPr>
          <w:rFonts w:ascii="Times New Roman" w:hAnsi="Times New Roman" w:cs="Times New Roman"/>
          <w:sz w:val="24"/>
        </w:rPr>
        <w:t xml:space="preserve">Por otro lado, la ley incluye </w:t>
      </w:r>
      <w:r w:rsidR="004C51A3" w:rsidRPr="003C7BD8">
        <w:rPr>
          <w:rFonts w:ascii="Times New Roman" w:hAnsi="Times New Roman" w:cs="Times New Roman"/>
          <w:sz w:val="24"/>
        </w:rPr>
        <w:t xml:space="preserve">cambios en algunos destinos específicos en busca de otorgar mayor flexibilidad al </w:t>
      </w:r>
      <w:r w:rsidR="001E66EE" w:rsidRPr="003C7BD8">
        <w:rPr>
          <w:rFonts w:ascii="Times New Roman" w:hAnsi="Times New Roman" w:cs="Times New Roman"/>
          <w:sz w:val="24"/>
        </w:rPr>
        <w:t>gasto. Entre ellas se encuentra</w:t>
      </w:r>
      <w:r w:rsidR="009B1E39" w:rsidRPr="003C7BD8">
        <w:rPr>
          <w:rFonts w:ascii="Times New Roman" w:hAnsi="Times New Roman" w:cs="Times New Roman"/>
          <w:sz w:val="24"/>
        </w:rPr>
        <w:t xml:space="preserve"> que </w:t>
      </w:r>
      <w:r w:rsidR="00A4734D" w:rsidRPr="003C7BD8">
        <w:rPr>
          <w:rFonts w:ascii="Times New Roman" w:hAnsi="Times New Roman" w:cs="Times New Roman"/>
          <w:sz w:val="24"/>
        </w:rPr>
        <w:t>cuando la deuda supera el 50% del PIB</w:t>
      </w:r>
      <w:r w:rsidR="00331D20">
        <w:rPr>
          <w:rFonts w:ascii="Times New Roman" w:hAnsi="Times New Roman" w:cs="Times New Roman"/>
          <w:sz w:val="24"/>
        </w:rPr>
        <w:t xml:space="preserve"> (</w:t>
      </w:r>
      <w:r w:rsidR="006557A8">
        <w:rPr>
          <w:rFonts w:ascii="Times New Roman" w:hAnsi="Times New Roman" w:cs="Times New Roman"/>
          <w:sz w:val="24"/>
        </w:rPr>
        <w:t>art. 15)</w:t>
      </w:r>
      <w:r w:rsidR="00A4734D" w:rsidRPr="003C7BD8">
        <w:rPr>
          <w:rFonts w:ascii="Times New Roman" w:hAnsi="Times New Roman" w:cs="Times New Roman"/>
          <w:sz w:val="24"/>
        </w:rPr>
        <w:t xml:space="preserve">, el Ministerio de Hacienda podrá </w:t>
      </w:r>
      <w:r w:rsidR="005763BE" w:rsidRPr="003C7BD8">
        <w:rPr>
          <w:rFonts w:ascii="Times New Roman" w:hAnsi="Times New Roman" w:cs="Times New Roman"/>
          <w:sz w:val="24"/>
        </w:rPr>
        <w:t>presupuestar y girar los destinos específicos legales considerando la disponibilidad de ingresos corrientes, los niveles de ejecución presupuestaria y de superávit libre de las entidades beneficiarias.</w:t>
      </w:r>
      <w:r w:rsidR="005861FC" w:rsidRPr="003C7BD8">
        <w:rPr>
          <w:rFonts w:ascii="Times New Roman" w:hAnsi="Times New Roman" w:cs="Times New Roman"/>
          <w:sz w:val="24"/>
        </w:rPr>
        <w:t xml:space="preserve"> De esta forma el Ministerio de Hacienda contaría con margen para </w:t>
      </w:r>
      <w:r w:rsidR="00393D6B" w:rsidRPr="003C7BD8">
        <w:rPr>
          <w:rFonts w:ascii="Times New Roman" w:hAnsi="Times New Roman" w:cs="Times New Roman"/>
          <w:sz w:val="24"/>
        </w:rPr>
        <w:t>realizar un ajuste</w:t>
      </w:r>
      <w:r w:rsidR="003A4FDB" w:rsidRPr="003C7BD8">
        <w:rPr>
          <w:rFonts w:ascii="Times New Roman" w:hAnsi="Times New Roman" w:cs="Times New Roman"/>
          <w:sz w:val="24"/>
        </w:rPr>
        <w:t xml:space="preserve"> fiscal y devolver la deuda a una senda sostenible. </w:t>
      </w:r>
      <w:r w:rsidR="00734EF4" w:rsidRPr="003C7BD8">
        <w:rPr>
          <w:rFonts w:ascii="Times New Roman" w:hAnsi="Times New Roman" w:cs="Times New Roman"/>
          <w:sz w:val="24"/>
        </w:rPr>
        <w:t xml:space="preserve">Adicionalmente, queda </w:t>
      </w:r>
      <w:r w:rsidR="00486B63" w:rsidRPr="003C7BD8">
        <w:rPr>
          <w:rFonts w:ascii="Times New Roman" w:hAnsi="Times New Roman" w:cs="Times New Roman"/>
          <w:sz w:val="24"/>
        </w:rPr>
        <w:t>reglamentado e</w:t>
      </w:r>
      <w:r w:rsidR="00FF20C8" w:rsidRPr="003C7BD8">
        <w:rPr>
          <w:rFonts w:ascii="Times New Roman" w:hAnsi="Times New Roman" w:cs="Times New Roman"/>
          <w:sz w:val="24"/>
        </w:rPr>
        <w:t>n</w:t>
      </w:r>
      <w:r w:rsidR="00486B63" w:rsidRPr="003C7BD8">
        <w:rPr>
          <w:rFonts w:ascii="Times New Roman" w:hAnsi="Times New Roman" w:cs="Times New Roman"/>
          <w:sz w:val="24"/>
        </w:rPr>
        <w:t xml:space="preserve"> el artículo 18 del capítulo III de la ley de Fortalecimiento de las Finanzas Públicas</w:t>
      </w:r>
      <w:r w:rsidR="00596300" w:rsidRPr="003C7BD8">
        <w:rPr>
          <w:rFonts w:ascii="Times New Roman" w:hAnsi="Times New Roman" w:cs="Times New Roman"/>
          <w:sz w:val="24"/>
        </w:rPr>
        <w:t xml:space="preserve"> que </w:t>
      </w:r>
      <w:r w:rsidR="00F53B79" w:rsidRPr="003C7BD8">
        <w:rPr>
          <w:rFonts w:ascii="Times New Roman" w:hAnsi="Times New Roman" w:cs="Times New Roman"/>
          <w:sz w:val="24"/>
        </w:rPr>
        <w:t>el Ministerio de Hacienda elaborará y publicará cada año</w:t>
      </w:r>
      <w:r w:rsidR="00C16E71" w:rsidRPr="003C7BD8">
        <w:rPr>
          <w:rFonts w:ascii="Times New Roman" w:hAnsi="Times New Roman" w:cs="Times New Roman"/>
          <w:sz w:val="24"/>
        </w:rPr>
        <w:t xml:space="preserve"> un Marco Fiscal de Mediano Plazo</w:t>
      </w:r>
      <w:r w:rsidR="00F020B2">
        <w:rPr>
          <w:rFonts w:ascii="Times New Roman" w:hAnsi="Times New Roman" w:cs="Times New Roman"/>
          <w:sz w:val="24"/>
        </w:rPr>
        <w:t xml:space="preserve"> (MFMP)</w:t>
      </w:r>
      <w:r w:rsidR="00C16E71" w:rsidRPr="003C7BD8">
        <w:rPr>
          <w:rFonts w:ascii="Times New Roman" w:hAnsi="Times New Roman" w:cs="Times New Roman"/>
          <w:sz w:val="24"/>
        </w:rPr>
        <w:t xml:space="preserve"> que incluirá proyecciones de los principales agregados fiscales de los cuatro años siguientes.</w:t>
      </w:r>
      <w:r w:rsidR="00FF20C8" w:rsidRPr="003C7BD8">
        <w:rPr>
          <w:rFonts w:ascii="Times New Roman" w:hAnsi="Times New Roman" w:cs="Times New Roman"/>
          <w:sz w:val="24"/>
        </w:rPr>
        <w:t xml:space="preserve"> </w:t>
      </w:r>
      <w:r w:rsidR="002B57C5" w:rsidRPr="003C7BD8">
        <w:rPr>
          <w:rFonts w:ascii="Times New Roman" w:hAnsi="Times New Roman" w:cs="Times New Roman"/>
          <w:sz w:val="24"/>
        </w:rPr>
        <w:t xml:space="preserve">En particular, se trata de un </w:t>
      </w:r>
      <w:r w:rsidR="00F020B2">
        <w:rPr>
          <w:rFonts w:ascii="Times New Roman" w:hAnsi="Times New Roman" w:cs="Times New Roman"/>
          <w:sz w:val="24"/>
        </w:rPr>
        <w:t>M</w:t>
      </w:r>
      <w:r w:rsidR="00EF64BB">
        <w:rPr>
          <w:rFonts w:ascii="Times New Roman" w:hAnsi="Times New Roman" w:cs="Times New Roman"/>
          <w:sz w:val="24"/>
        </w:rPr>
        <w:t xml:space="preserve">arco Macroeconómico de </w:t>
      </w:r>
      <w:r w:rsidR="00F020B2">
        <w:rPr>
          <w:rFonts w:ascii="Times New Roman" w:hAnsi="Times New Roman" w:cs="Times New Roman"/>
          <w:sz w:val="24"/>
        </w:rPr>
        <w:t>M</w:t>
      </w:r>
      <w:r w:rsidR="00EF64BB">
        <w:rPr>
          <w:rFonts w:ascii="Times New Roman" w:hAnsi="Times New Roman" w:cs="Times New Roman"/>
          <w:sz w:val="24"/>
        </w:rPr>
        <w:t xml:space="preserve">ediano </w:t>
      </w:r>
      <w:r w:rsidR="00F020B2">
        <w:rPr>
          <w:rFonts w:ascii="Times New Roman" w:hAnsi="Times New Roman" w:cs="Times New Roman"/>
          <w:sz w:val="24"/>
        </w:rPr>
        <w:t>P</w:t>
      </w:r>
      <w:r w:rsidR="00EF64BB">
        <w:rPr>
          <w:rFonts w:ascii="Times New Roman" w:hAnsi="Times New Roman" w:cs="Times New Roman"/>
          <w:sz w:val="24"/>
        </w:rPr>
        <w:t>lazo</w:t>
      </w:r>
      <w:r w:rsidR="00FA40D1" w:rsidRPr="003C7BD8">
        <w:rPr>
          <w:rFonts w:ascii="Times New Roman" w:hAnsi="Times New Roman" w:cs="Times New Roman"/>
          <w:sz w:val="24"/>
        </w:rPr>
        <w:t>,</w:t>
      </w:r>
      <w:r w:rsidR="008F4F62" w:rsidRPr="003C7BD8">
        <w:rPr>
          <w:rStyle w:val="FootnoteReference"/>
          <w:rFonts w:ascii="Times New Roman" w:hAnsi="Times New Roman" w:cs="Times New Roman"/>
          <w:sz w:val="24"/>
        </w:rPr>
        <w:footnoteReference w:id="12"/>
      </w:r>
      <w:r w:rsidR="00FA40D1" w:rsidRPr="003C7BD8">
        <w:rPr>
          <w:rFonts w:ascii="Times New Roman" w:hAnsi="Times New Roman" w:cs="Times New Roman"/>
          <w:sz w:val="24"/>
        </w:rPr>
        <w:t xml:space="preserve"> que </w:t>
      </w:r>
      <w:r w:rsidR="005B729F" w:rsidRPr="003C7BD8">
        <w:rPr>
          <w:rFonts w:ascii="Times New Roman" w:hAnsi="Times New Roman" w:cs="Times New Roman"/>
          <w:sz w:val="24"/>
        </w:rPr>
        <w:t xml:space="preserve">también incluye </w:t>
      </w:r>
      <w:r w:rsidR="00B72578" w:rsidRPr="003C7BD8">
        <w:rPr>
          <w:rFonts w:ascii="Times New Roman" w:hAnsi="Times New Roman" w:cs="Times New Roman"/>
          <w:sz w:val="24"/>
        </w:rPr>
        <w:t xml:space="preserve">otras </w:t>
      </w:r>
      <w:r w:rsidR="005B729F" w:rsidRPr="003C7BD8">
        <w:rPr>
          <w:rFonts w:ascii="Times New Roman" w:hAnsi="Times New Roman" w:cs="Times New Roman"/>
          <w:sz w:val="24"/>
        </w:rPr>
        <w:t>proyecciones macroeconómicas</w:t>
      </w:r>
      <w:r w:rsidR="00B72578" w:rsidRPr="003C7BD8">
        <w:rPr>
          <w:rFonts w:ascii="Times New Roman" w:hAnsi="Times New Roman" w:cs="Times New Roman"/>
          <w:sz w:val="24"/>
        </w:rPr>
        <w:t>, análisis de riesgos macro</w:t>
      </w:r>
      <w:r w:rsidR="00360B74">
        <w:rPr>
          <w:rFonts w:ascii="Times New Roman" w:hAnsi="Times New Roman" w:cs="Times New Roman"/>
          <w:sz w:val="24"/>
        </w:rPr>
        <w:t>-</w:t>
      </w:r>
      <w:r w:rsidR="00B72578" w:rsidRPr="003C7BD8">
        <w:rPr>
          <w:rFonts w:ascii="Times New Roman" w:hAnsi="Times New Roman" w:cs="Times New Roman"/>
          <w:sz w:val="24"/>
        </w:rPr>
        <w:t xml:space="preserve">fiscales, y que es la base para </w:t>
      </w:r>
      <w:r w:rsidR="001A2FF3" w:rsidRPr="003C7BD8">
        <w:rPr>
          <w:rFonts w:ascii="Times New Roman" w:hAnsi="Times New Roman" w:cs="Times New Roman"/>
          <w:sz w:val="24"/>
        </w:rPr>
        <w:t xml:space="preserve">evolucionar a Marcos Fiscales más detallados. </w:t>
      </w:r>
    </w:p>
    <w:p w14:paraId="40C76D5E" w14:textId="77777777" w:rsidR="00714D43" w:rsidRDefault="00714D43">
      <w:pPr>
        <w:rPr>
          <w:rFonts w:ascii="Times New Roman" w:eastAsia="Times New Roman" w:hAnsi="Times New Roman" w:cs="Times New Roman"/>
          <w:iCs/>
          <w:color w:val="000000"/>
          <w:sz w:val="24"/>
          <w:szCs w:val="24"/>
          <w:lang w:val="es-ES"/>
        </w:rPr>
      </w:pPr>
      <w:r>
        <w:rPr>
          <w:rFonts w:ascii="Times New Roman" w:eastAsia="Times New Roman" w:hAnsi="Times New Roman" w:cs="Times New Roman"/>
          <w:iCs/>
          <w:color w:val="000000"/>
          <w:sz w:val="24"/>
          <w:szCs w:val="24"/>
          <w:lang w:val="es-ES"/>
        </w:rPr>
        <w:br w:type="page"/>
      </w:r>
    </w:p>
    <w:p w14:paraId="238BE3B7" w14:textId="452C83A2" w:rsidR="00BD6BD1" w:rsidRPr="00AC4178" w:rsidRDefault="00BD6BD1" w:rsidP="00964628">
      <w:pPr>
        <w:spacing w:after="0"/>
        <w:jc w:val="center"/>
        <w:rPr>
          <w:lang w:val="es-ES"/>
        </w:rPr>
      </w:pPr>
      <w:r w:rsidRPr="00AC4178">
        <w:rPr>
          <w:rFonts w:ascii="Times New Roman" w:eastAsia="Times New Roman" w:hAnsi="Times New Roman" w:cs="Times New Roman"/>
          <w:iCs/>
          <w:color w:val="000000"/>
          <w:sz w:val="24"/>
          <w:szCs w:val="24"/>
          <w:lang w:val="es-ES"/>
        </w:rPr>
        <w:t xml:space="preserve">Tabla </w:t>
      </w:r>
      <w:r w:rsidR="00AF60E4">
        <w:rPr>
          <w:rFonts w:ascii="Times New Roman" w:eastAsia="Times New Roman" w:hAnsi="Times New Roman" w:cs="Times New Roman"/>
          <w:iCs/>
          <w:color w:val="000000"/>
          <w:sz w:val="24"/>
          <w:szCs w:val="24"/>
          <w:lang w:val="es-ES"/>
        </w:rPr>
        <w:t>9</w:t>
      </w:r>
      <w:r w:rsidRPr="00AC4178">
        <w:rPr>
          <w:rFonts w:ascii="Times New Roman" w:eastAsia="Times New Roman" w:hAnsi="Times New Roman" w:cs="Times New Roman"/>
          <w:iCs/>
          <w:color w:val="000000"/>
          <w:sz w:val="24"/>
          <w:szCs w:val="24"/>
          <w:lang w:val="es-ES"/>
        </w:rPr>
        <w:t>.</w:t>
      </w:r>
      <w:r w:rsidRPr="00AC4178">
        <w:rPr>
          <w:rFonts w:ascii="Times New Roman" w:eastAsia="Times New Roman" w:hAnsi="Times New Roman" w:cs="Times New Roman"/>
          <w:iCs/>
          <w:color w:val="000000"/>
          <w:sz w:val="24"/>
          <w:szCs w:val="24"/>
          <w:lang w:val="es-ES"/>
        </w:rPr>
        <w:fldChar w:fldCharType="begin"/>
      </w:r>
      <w:r w:rsidRPr="00AC4178">
        <w:rPr>
          <w:rFonts w:ascii="Times New Roman" w:eastAsia="Times New Roman" w:hAnsi="Times New Roman" w:cs="Times New Roman"/>
          <w:iCs/>
          <w:color w:val="000000"/>
          <w:sz w:val="24"/>
          <w:szCs w:val="24"/>
          <w:lang w:val="es-ES"/>
        </w:rPr>
        <w:instrText xml:space="preserve"> SEQ Tabla \* ARABIC </w:instrText>
      </w:r>
      <w:r w:rsidRPr="00AC4178">
        <w:rPr>
          <w:rFonts w:ascii="Times New Roman" w:eastAsia="Times New Roman" w:hAnsi="Times New Roman" w:cs="Times New Roman"/>
          <w:iCs/>
          <w:color w:val="000000"/>
          <w:sz w:val="24"/>
          <w:szCs w:val="24"/>
          <w:lang w:val="es-ES"/>
        </w:rPr>
        <w:fldChar w:fldCharType="separate"/>
      </w:r>
      <w:r w:rsidR="00B549D7">
        <w:rPr>
          <w:rFonts w:ascii="Times New Roman" w:eastAsia="Times New Roman" w:hAnsi="Times New Roman" w:cs="Times New Roman"/>
          <w:iCs/>
          <w:noProof/>
          <w:color w:val="000000"/>
          <w:sz w:val="24"/>
          <w:szCs w:val="24"/>
          <w:lang w:val="es-ES"/>
        </w:rPr>
        <w:t>3</w:t>
      </w:r>
      <w:r w:rsidRPr="00AC4178">
        <w:rPr>
          <w:rFonts w:ascii="Times New Roman" w:eastAsia="Times New Roman" w:hAnsi="Times New Roman" w:cs="Times New Roman"/>
          <w:iCs/>
          <w:color w:val="000000"/>
          <w:sz w:val="24"/>
          <w:szCs w:val="24"/>
          <w:lang w:val="es-ES"/>
        </w:rPr>
        <w:fldChar w:fldCharType="end"/>
      </w:r>
      <w:r w:rsidRPr="00AC4178">
        <w:rPr>
          <w:rFonts w:ascii="Times New Roman" w:eastAsia="Times New Roman" w:hAnsi="Times New Roman" w:cs="Times New Roman"/>
          <w:iCs/>
          <w:color w:val="000000"/>
          <w:sz w:val="24"/>
          <w:szCs w:val="24"/>
          <w:lang w:val="es-ES"/>
        </w:rPr>
        <w:t xml:space="preserve">. </w:t>
      </w:r>
      <w:r w:rsidRPr="00AC4178">
        <w:rPr>
          <w:rFonts w:ascii="Times New Roman" w:eastAsia="Times New Roman" w:hAnsi="Times New Roman" w:cs="Times New Roman"/>
          <w:i/>
          <w:iCs/>
          <w:color w:val="000000"/>
          <w:sz w:val="24"/>
          <w:szCs w:val="24"/>
          <w:lang w:val="es-ES"/>
        </w:rPr>
        <w:t>Institucionalidad de la Regla Fiscal en Costa Rica</w:t>
      </w:r>
    </w:p>
    <w:p w14:paraId="6307F7B6" w14:textId="06C87655" w:rsidR="00873F19" w:rsidRPr="00100368" w:rsidRDefault="00873F19" w:rsidP="00AC4178">
      <w:pPr>
        <w:pStyle w:val="Caption"/>
        <w:jc w:val="center"/>
      </w:pPr>
    </w:p>
    <w:tbl>
      <w:tblPr>
        <w:tblW w:w="9810" w:type="dxa"/>
        <w:jc w:val="center"/>
        <w:tblCellMar>
          <w:left w:w="70" w:type="dxa"/>
          <w:right w:w="70" w:type="dxa"/>
        </w:tblCellMar>
        <w:tblLook w:val="04A0" w:firstRow="1" w:lastRow="0" w:firstColumn="1" w:lastColumn="0" w:noHBand="0" w:noVBand="1"/>
      </w:tblPr>
      <w:tblGrid>
        <w:gridCol w:w="2905"/>
        <w:gridCol w:w="6905"/>
      </w:tblGrid>
      <w:tr w:rsidR="00577553" w:rsidRPr="003C7BD8" w14:paraId="3DDBCDA8" w14:textId="77777777" w:rsidTr="00360B74">
        <w:trPr>
          <w:trHeight w:val="363"/>
          <w:jc w:val="center"/>
        </w:trPr>
        <w:tc>
          <w:tcPr>
            <w:tcW w:w="2905" w:type="dxa"/>
            <w:tcBorders>
              <w:top w:val="nil"/>
              <w:left w:val="nil"/>
              <w:bottom w:val="single" w:sz="8" w:space="0" w:color="auto"/>
              <w:right w:val="nil"/>
            </w:tcBorders>
            <w:shd w:val="clear" w:color="000000" w:fill="FFFFFF"/>
            <w:noWrap/>
            <w:vAlign w:val="bottom"/>
            <w:hideMark/>
          </w:tcPr>
          <w:p w14:paraId="3F3C30C9" w14:textId="77777777" w:rsidR="00577553" w:rsidRPr="003C7BD8" w:rsidRDefault="00577553" w:rsidP="00AC4178">
            <w:pPr>
              <w:spacing w:after="0" w:line="360" w:lineRule="auto"/>
              <w:jc w:val="center"/>
              <w:rPr>
                <w:rFonts w:ascii="Times New Roman" w:eastAsia="Times New Roman" w:hAnsi="Times New Roman" w:cs="Times New Roman"/>
                <w:b/>
                <w:bCs/>
                <w:color w:val="000000"/>
                <w:sz w:val="20"/>
                <w:szCs w:val="18"/>
                <w:lang w:eastAsia="es-CR"/>
              </w:rPr>
            </w:pPr>
            <w:r w:rsidRPr="003C7BD8">
              <w:rPr>
                <w:rFonts w:ascii="Times New Roman" w:eastAsia="Times New Roman" w:hAnsi="Times New Roman" w:cs="Times New Roman"/>
                <w:b/>
                <w:bCs/>
                <w:color w:val="000000"/>
                <w:sz w:val="20"/>
                <w:szCs w:val="18"/>
                <w:lang w:eastAsia="es-CR"/>
              </w:rPr>
              <w:t>Elementos</w:t>
            </w:r>
          </w:p>
        </w:tc>
        <w:tc>
          <w:tcPr>
            <w:tcW w:w="6905" w:type="dxa"/>
            <w:tcBorders>
              <w:top w:val="nil"/>
              <w:left w:val="nil"/>
              <w:bottom w:val="single" w:sz="8" w:space="0" w:color="auto"/>
              <w:right w:val="nil"/>
            </w:tcBorders>
            <w:shd w:val="clear" w:color="000000" w:fill="FFFFFF"/>
            <w:noWrap/>
            <w:vAlign w:val="bottom"/>
            <w:hideMark/>
          </w:tcPr>
          <w:p w14:paraId="0328589A" w14:textId="77777777" w:rsidR="00577553" w:rsidRPr="003C7BD8" w:rsidRDefault="00577553" w:rsidP="00CE7447">
            <w:pPr>
              <w:spacing w:after="0" w:line="360" w:lineRule="auto"/>
              <w:jc w:val="center"/>
              <w:rPr>
                <w:rFonts w:ascii="Times New Roman" w:eastAsia="Times New Roman" w:hAnsi="Times New Roman" w:cs="Times New Roman"/>
                <w:b/>
                <w:bCs/>
                <w:color w:val="000000"/>
                <w:sz w:val="20"/>
                <w:szCs w:val="18"/>
                <w:lang w:eastAsia="es-CR"/>
              </w:rPr>
            </w:pPr>
            <w:r w:rsidRPr="003C7BD8">
              <w:rPr>
                <w:rFonts w:ascii="Times New Roman" w:eastAsia="Times New Roman" w:hAnsi="Times New Roman" w:cs="Times New Roman"/>
                <w:b/>
                <w:bCs/>
                <w:color w:val="000000"/>
                <w:sz w:val="20"/>
                <w:szCs w:val="18"/>
                <w:lang w:eastAsia="es-CR"/>
              </w:rPr>
              <w:t>Características</w:t>
            </w:r>
          </w:p>
        </w:tc>
      </w:tr>
      <w:tr w:rsidR="00577553" w:rsidRPr="003C7BD8" w14:paraId="051E5789" w14:textId="77777777" w:rsidTr="00360B74">
        <w:trPr>
          <w:trHeight w:val="689"/>
          <w:jc w:val="center"/>
        </w:trPr>
        <w:tc>
          <w:tcPr>
            <w:tcW w:w="2905" w:type="dxa"/>
            <w:tcBorders>
              <w:top w:val="nil"/>
              <w:left w:val="nil"/>
              <w:bottom w:val="nil"/>
              <w:right w:val="nil"/>
            </w:tcBorders>
            <w:shd w:val="clear" w:color="000000" w:fill="FFFFFF"/>
            <w:vAlign w:val="center"/>
            <w:hideMark/>
          </w:tcPr>
          <w:p w14:paraId="346D8B56"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Tipo de regla</w:t>
            </w:r>
          </w:p>
        </w:tc>
        <w:tc>
          <w:tcPr>
            <w:tcW w:w="6905" w:type="dxa"/>
            <w:tcBorders>
              <w:top w:val="nil"/>
              <w:left w:val="nil"/>
              <w:bottom w:val="nil"/>
              <w:right w:val="nil"/>
            </w:tcBorders>
            <w:shd w:val="clear" w:color="000000" w:fill="FFFFFF"/>
            <w:vAlign w:val="center"/>
            <w:hideMark/>
          </w:tcPr>
          <w:p w14:paraId="698742E6" w14:textId="0D6571F6"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Una regla de gasto corriente con doble condici</w:t>
            </w:r>
            <w:r w:rsidR="00532E77">
              <w:rPr>
                <w:rFonts w:ascii="Times New Roman" w:eastAsia="Times New Roman" w:hAnsi="Times New Roman" w:cs="Times New Roman"/>
                <w:color w:val="000000"/>
                <w:sz w:val="20"/>
                <w:szCs w:val="18"/>
                <w:lang w:eastAsia="es-CR"/>
              </w:rPr>
              <w:t>onamiento</w:t>
            </w:r>
            <w:r w:rsidRPr="003C7BD8">
              <w:rPr>
                <w:rFonts w:ascii="Times New Roman" w:eastAsia="Times New Roman" w:hAnsi="Times New Roman" w:cs="Times New Roman"/>
                <w:color w:val="000000"/>
                <w:sz w:val="20"/>
                <w:szCs w:val="18"/>
                <w:lang w:eastAsia="es-CR"/>
              </w:rPr>
              <w:t xml:space="preserve"> (crecimiento del PIB y razón deuda-PIB).</w:t>
            </w:r>
          </w:p>
        </w:tc>
      </w:tr>
      <w:tr w:rsidR="00577553" w:rsidRPr="003C7BD8" w14:paraId="11355D80" w14:textId="77777777" w:rsidTr="00360B74">
        <w:trPr>
          <w:trHeight w:val="689"/>
          <w:jc w:val="center"/>
        </w:trPr>
        <w:tc>
          <w:tcPr>
            <w:tcW w:w="2905" w:type="dxa"/>
            <w:tcBorders>
              <w:top w:val="nil"/>
              <w:left w:val="nil"/>
              <w:bottom w:val="nil"/>
              <w:right w:val="nil"/>
            </w:tcBorders>
            <w:shd w:val="clear" w:color="000000" w:fill="FFFFFF"/>
            <w:vAlign w:val="center"/>
            <w:hideMark/>
          </w:tcPr>
          <w:p w14:paraId="7810DE69"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Cobertura</w:t>
            </w:r>
          </w:p>
        </w:tc>
        <w:tc>
          <w:tcPr>
            <w:tcW w:w="6905" w:type="dxa"/>
            <w:tcBorders>
              <w:top w:val="nil"/>
              <w:left w:val="nil"/>
              <w:bottom w:val="nil"/>
              <w:right w:val="nil"/>
            </w:tcBorders>
            <w:shd w:val="clear" w:color="000000" w:fill="FFFFFF"/>
            <w:vAlign w:val="center"/>
            <w:hideMark/>
          </w:tcPr>
          <w:p w14:paraId="3A315276"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La regla aplica para todo el sector público no financiero con algunas excepciones que se definen en la ley.</w:t>
            </w:r>
          </w:p>
        </w:tc>
      </w:tr>
      <w:tr w:rsidR="00577553" w:rsidRPr="003C7BD8" w14:paraId="56F15E55" w14:textId="77777777" w:rsidTr="00360B74">
        <w:trPr>
          <w:trHeight w:val="1033"/>
          <w:jc w:val="center"/>
        </w:trPr>
        <w:tc>
          <w:tcPr>
            <w:tcW w:w="2905" w:type="dxa"/>
            <w:tcBorders>
              <w:top w:val="nil"/>
              <w:left w:val="nil"/>
              <w:bottom w:val="nil"/>
              <w:right w:val="nil"/>
            </w:tcBorders>
            <w:shd w:val="clear" w:color="000000" w:fill="FFFFFF"/>
            <w:vAlign w:val="center"/>
            <w:hideMark/>
          </w:tcPr>
          <w:p w14:paraId="4750A8CD"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Órganos de control y aplicación</w:t>
            </w:r>
          </w:p>
        </w:tc>
        <w:tc>
          <w:tcPr>
            <w:tcW w:w="6905" w:type="dxa"/>
            <w:tcBorders>
              <w:top w:val="nil"/>
              <w:left w:val="nil"/>
              <w:bottom w:val="nil"/>
              <w:right w:val="nil"/>
            </w:tcBorders>
            <w:shd w:val="clear" w:color="000000" w:fill="FFFFFF"/>
            <w:vAlign w:val="center"/>
            <w:hideMark/>
          </w:tcPr>
          <w:p w14:paraId="7C68AE3D"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Dos instituciones se encargarán de monitorear y evaluar la regla fiscal. Una se encargará del gobierno central y la otra del resto del SFNF.</w:t>
            </w:r>
          </w:p>
        </w:tc>
      </w:tr>
      <w:tr w:rsidR="00577553" w:rsidRPr="003C7BD8" w14:paraId="4827162E" w14:textId="77777777" w:rsidTr="00360B74">
        <w:trPr>
          <w:trHeight w:val="689"/>
          <w:jc w:val="center"/>
        </w:trPr>
        <w:tc>
          <w:tcPr>
            <w:tcW w:w="2905" w:type="dxa"/>
            <w:tcBorders>
              <w:top w:val="nil"/>
              <w:left w:val="nil"/>
              <w:right w:val="nil"/>
            </w:tcBorders>
            <w:shd w:val="clear" w:color="000000" w:fill="FFFFFF"/>
            <w:vAlign w:val="center"/>
            <w:hideMark/>
          </w:tcPr>
          <w:p w14:paraId="04BCCC9B"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Sistema de sanciones</w:t>
            </w:r>
          </w:p>
        </w:tc>
        <w:tc>
          <w:tcPr>
            <w:tcW w:w="6905" w:type="dxa"/>
            <w:tcBorders>
              <w:top w:val="nil"/>
              <w:left w:val="nil"/>
              <w:right w:val="nil"/>
            </w:tcBorders>
            <w:shd w:val="clear" w:color="000000" w:fill="FFFFFF"/>
            <w:vAlign w:val="center"/>
            <w:hideMark/>
          </w:tcPr>
          <w:p w14:paraId="5A021519"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El sistema de sensaciones estará amparado por le Ley Orgánica de la Contraloría General de la República.</w:t>
            </w:r>
            <w:r w:rsidR="005F2D8F" w:rsidRPr="003C7BD8">
              <w:rPr>
                <w:rFonts w:ascii="Times New Roman" w:eastAsia="Times New Roman" w:hAnsi="Times New Roman" w:cs="Times New Roman"/>
                <w:color w:val="000000"/>
                <w:sz w:val="20"/>
                <w:szCs w:val="18"/>
                <w:lang w:eastAsia="es-CR"/>
              </w:rPr>
              <w:t xml:space="preserve"> Además, le procede a la Asamblea Legislativa proceder contra el Contralor y Subcontralor de la República por el incumplimiento de la regla.</w:t>
            </w:r>
          </w:p>
          <w:p w14:paraId="1CF0422A" w14:textId="77777777" w:rsidR="00F15894" w:rsidRPr="003C7BD8" w:rsidRDefault="00F15894" w:rsidP="00AC4178">
            <w:pPr>
              <w:spacing w:after="0" w:line="360" w:lineRule="auto"/>
              <w:jc w:val="center"/>
              <w:rPr>
                <w:rFonts w:ascii="Times New Roman" w:eastAsia="Times New Roman" w:hAnsi="Times New Roman" w:cs="Times New Roman"/>
                <w:color w:val="000000"/>
                <w:sz w:val="20"/>
                <w:szCs w:val="18"/>
                <w:lang w:eastAsia="es-CR"/>
              </w:rPr>
            </w:pPr>
          </w:p>
        </w:tc>
      </w:tr>
      <w:tr w:rsidR="00577553" w:rsidRPr="003C7BD8" w14:paraId="145E16F6" w14:textId="77777777" w:rsidTr="00360B74">
        <w:trPr>
          <w:trHeight w:val="689"/>
          <w:jc w:val="center"/>
        </w:trPr>
        <w:tc>
          <w:tcPr>
            <w:tcW w:w="2905" w:type="dxa"/>
            <w:tcBorders>
              <w:top w:val="nil"/>
              <w:left w:val="nil"/>
              <w:bottom w:val="nil"/>
              <w:right w:val="nil"/>
            </w:tcBorders>
            <w:shd w:val="clear" w:color="000000" w:fill="FFFFFF"/>
            <w:vAlign w:val="center"/>
            <w:hideMark/>
          </w:tcPr>
          <w:p w14:paraId="1E8AC325" w14:textId="77777777" w:rsidR="00577553" w:rsidRPr="003C7BD8" w:rsidRDefault="0057755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Cláusula de escape</w:t>
            </w:r>
          </w:p>
        </w:tc>
        <w:tc>
          <w:tcPr>
            <w:tcW w:w="6905" w:type="dxa"/>
            <w:tcBorders>
              <w:top w:val="nil"/>
              <w:left w:val="nil"/>
              <w:bottom w:val="nil"/>
              <w:right w:val="nil"/>
            </w:tcBorders>
            <w:shd w:val="clear" w:color="000000" w:fill="FFFFFF"/>
            <w:vAlign w:val="center"/>
            <w:hideMark/>
          </w:tcPr>
          <w:p w14:paraId="4C6D3383" w14:textId="49874E19" w:rsidR="00577553" w:rsidRPr="003C7BD8" w:rsidRDefault="00F15894"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Aplica en i) casos de emergencia nacional, cuando el costo sea igual o mayor a 0,3% del PIB y ii) cuando la economía atraviesa por una recesión o se tengan proyecciones de crecimiento menores al 1%.</w:t>
            </w:r>
          </w:p>
        </w:tc>
      </w:tr>
      <w:tr w:rsidR="00A61113" w:rsidRPr="003C7BD8" w14:paraId="5A31DC70" w14:textId="77777777" w:rsidTr="00360B74">
        <w:trPr>
          <w:trHeight w:val="689"/>
          <w:jc w:val="center"/>
        </w:trPr>
        <w:tc>
          <w:tcPr>
            <w:tcW w:w="2905" w:type="dxa"/>
            <w:tcBorders>
              <w:top w:val="nil"/>
              <w:left w:val="nil"/>
              <w:bottom w:val="single" w:sz="4" w:space="0" w:color="auto"/>
              <w:right w:val="nil"/>
            </w:tcBorders>
            <w:shd w:val="clear" w:color="000000" w:fill="FFFFFF"/>
            <w:vAlign w:val="center"/>
          </w:tcPr>
          <w:p w14:paraId="2A58EFEC" w14:textId="01C09E01" w:rsidR="00A61113" w:rsidRPr="003C7BD8" w:rsidRDefault="00A61113"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Sanciones</w:t>
            </w:r>
          </w:p>
        </w:tc>
        <w:tc>
          <w:tcPr>
            <w:tcW w:w="6905" w:type="dxa"/>
            <w:tcBorders>
              <w:top w:val="nil"/>
              <w:left w:val="nil"/>
              <w:bottom w:val="single" w:sz="4" w:space="0" w:color="auto"/>
              <w:right w:val="nil"/>
            </w:tcBorders>
            <w:shd w:val="clear" w:color="000000" w:fill="FFFFFF"/>
            <w:vAlign w:val="center"/>
          </w:tcPr>
          <w:p w14:paraId="30F8F73E" w14:textId="195B9AAD" w:rsidR="00A61113" w:rsidRPr="003C7BD8" w:rsidRDefault="008228EE" w:rsidP="00AC4178">
            <w:pPr>
              <w:spacing w:after="0" w:line="360" w:lineRule="auto"/>
              <w:jc w:val="center"/>
              <w:rPr>
                <w:rFonts w:ascii="Times New Roman" w:eastAsia="Times New Roman" w:hAnsi="Times New Roman" w:cs="Times New Roman"/>
                <w:color w:val="000000"/>
                <w:sz w:val="20"/>
                <w:szCs w:val="18"/>
                <w:lang w:eastAsia="es-CR"/>
              </w:rPr>
            </w:pPr>
            <w:r w:rsidRPr="003C7BD8">
              <w:rPr>
                <w:rFonts w:ascii="Times New Roman" w:eastAsia="Times New Roman" w:hAnsi="Times New Roman" w:cs="Times New Roman"/>
                <w:color w:val="000000"/>
                <w:sz w:val="20"/>
                <w:szCs w:val="18"/>
                <w:lang w:eastAsia="es-CR"/>
              </w:rPr>
              <w:t xml:space="preserve">El incumplimiento de la regla fiscal </w:t>
            </w:r>
            <w:r w:rsidR="00EE653D" w:rsidRPr="003C7BD8">
              <w:rPr>
                <w:rFonts w:ascii="Times New Roman" w:eastAsia="Times New Roman" w:hAnsi="Times New Roman" w:cs="Times New Roman"/>
                <w:color w:val="000000"/>
                <w:sz w:val="20"/>
                <w:szCs w:val="18"/>
                <w:lang w:eastAsia="es-CR"/>
              </w:rPr>
              <w:t>sancionará según lo dis</w:t>
            </w:r>
            <w:r w:rsidR="00E22D0D" w:rsidRPr="003C7BD8">
              <w:rPr>
                <w:rFonts w:ascii="Times New Roman" w:eastAsia="Times New Roman" w:hAnsi="Times New Roman" w:cs="Times New Roman"/>
                <w:color w:val="000000"/>
                <w:sz w:val="20"/>
                <w:szCs w:val="18"/>
                <w:lang w:eastAsia="es-CR"/>
              </w:rPr>
              <w:t>puesto en el artículo 68 de la Ley Orgánica de la Contraloría General de la República</w:t>
            </w:r>
            <w:r w:rsidR="00F1278C">
              <w:rPr>
                <w:rFonts w:ascii="Times New Roman" w:eastAsia="Times New Roman" w:hAnsi="Times New Roman" w:cs="Times New Roman"/>
                <w:color w:val="000000"/>
                <w:sz w:val="20"/>
                <w:szCs w:val="18"/>
                <w:lang w:eastAsia="es-CR"/>
              </w:rPr>
              <w:t xml:space="preserve"> (CGR)</w:t>
            </w:r>
            <w:r w:rsidR="00475AF8">
              <w:rPr>
                <w:rFonts w:ascii="Times New Roman" w:eastAsia="Times New Roman" w:hAnsi="Times New Roman" w:cs="Times New Roman"/>
                <w:color w:val="000000"/>
                <w:sz w:val="20"/>
                <w:szCs w:val="18"/>
                <w:lang w:eastAsia="es-CR"/>
              </w:rPr>
              <w:t xml:space="preserve">. Es decir, </w:t>
            </w:r>
            <w:r w:rsidR="00F1278C">
              <w:rPr>
                <w:rFonts w:ascii="Times New Roman" w:eastAsia="Times New Roman" w:hAnsi="Times New Roman" w:cs="Times New Roman"/>
                <w:color w:val="000000"/>
                <w:sz w:val="20"/>
                <w:szCs w:val="18"/>
                <w:lang w:eastAsia="es-CR"/>
              </w:rPr>
              <w:t>que la CGR recomendará al órgano o autoridad administrativa competente</w:t>
            </w:r>
            <w:r w:rsidR="004635C2">
              <w:rPr>
                <w:rFonts w:ascii="Times New Roman" w:eastAsia="Times New Roman" w:hAnsi="Times New Roman" w:cs="Times New Roman"/>
                <w:color w:val="000000"/>
                <w:sz w:val="20"/>
                <w:szCs w:val="18"/>
                <w:lang w:eastAsia="es-CR"/>
              </w:rPr>
              <w:t xml:space="preserve"> la aplicación de una sanción correspondiente de acuerdo con el mérito del caso.</w:t>
            </w:r>
          </w:p>
        </w:tc>
      </w:tr>
    </w:tbl>
    <w:p w14:paraId="0214759D" w14:textId="07D1905C" w:rsidR="00CF0553" w:rsidRPr="00AC4178" w:rsidRDefault="00CF0553" w:rsidP="00CE7447">
      <w:pPr>
        <w:spacing w:line="360" w:lineRule="auto"/>
        <w:jc w:val="center"/>
        <w:rPr>
          <w:rFonts w:ascii="Times New Roman" w:eastAsia="Times New Roman" w:hAnsi="Times New Roman" w:cs="Times New Roman"/>
          <w:i/>
          <w:color w:val="000000"/>
          <w:sz w:val="18"/>
          <w:szCs w:val="18"/>
          <w:lang w:eastAsia="es-CR"/>
        </w:rPr>
      </w:pPr>
      <w:r w:rsidRPr="00AC4178">
        <w:rPr>
          <w:rFonts w:ascii="Times New Roman" w:eastAsia="Times New Roman" w:hAnsi="Times New Roman" w:cs="Times New Roman"/>
          <w:color w:val="000000"/>
          <w:sz w:val="18"/>
          <w:szCs w:val="18"/>
          <w:lang w:eastAsia="es-CR"/>
        </w:rPr>
        <w:t xml:space="preserve">Fuente: Elaborado a partir del documento </w:t>
      </w:r>
      <w:r w:rsidRPr="00AC4178">
        <w:rPr>
          <w:rFonts w:ascii="Times New Roman" w:eastAsia="Times New Roman" w:hAnsi="Times New Roman" w:cs="Times New Roman"/>
          <w:i/>
          <w:color w:val="000000"/>
          <w:sz w:val="18"/>
          <w:szCs w:val="18"/>
          <w:lang w:eastAsia="es-CR"/>
        </w:rPr>
        <w:t>Ley de Fortalecimiento de las finanzas Públicas.</w:t>
      </w:r>
    </w:p>
    <w:p w14:paraId="0F4EC7B9" w14:textId="0D9BD06C" w:rsidR="00FE5B50" w:rsidRPr="003C7BD8" w:rsidRDefault="00FE5B50" w:rsidP="00FE5B50">
      <w:pPr>
        <w:spacing w:line="360" w:lineRule="auto"/>
        <w:jc w:val="both"/>
        <w:rPr>
          <w:rFonts w:ascii="Times New Roman" w:eastAsia="Times New Roman" w:hAnsi="Times New Roman" w:cs="Times New Roman"/>
          <w:i/>
          <w:color w:val="000000"/>
          <w:sz w:val="20"/>
          <w:szCs w:val="18"/>
          <w:lang w:eastAsia="es-CR"/>
        </w:rPr>
      </w:pPr>
      <w:r w:rsidRPr="003C7BD8">
        <w:rPr>
          <w:rFonts w:ascii="Times New Roman" w:hAnsi="Times New Roman" w:cs="Times New Roman"/>
          <w:b/>
          <w:sz w:val="24"/>
        </w:rPr>
        <w:t>Cobertura.</w:t>
      </w:r>
      <w:r w:rsidRPr="003C7BD8">
        <w:rPr>
          <w:rFonts w:ascii="Times New Roman" w:hAnsi="Times New Roman" w:cs="Times New Roman"/>
          <w:sz w:val="24"/>
        </w:rPr>
        <w:t xml:space="preserve"> Además, se decidió excluir de la cobertura de la regla las empresas públicas que se encuentran en un mercado en competencia</w:t>
      </w:r>
      <w:r w:rsidR="003D0467">
        <w:rPr>
          <w:rFonts w:ascii="Times New Roman" w:hAnsi="Times New Roman" w:cs="Times New Roman"/>
          <w:sz w:val="24"/>
        </w:rPr>
        <w:t xml:space="preserve"> si es que no presentan riesgo fiscal,</w:t>
      </w:r>
      <w:r w:rsidRPr="003C7BD8">
        <w:rPr>
          <w:rStyle w:val="FootnoteReference"/>
          <w:rFonts w:ascii="Times New Roman" w:hAnsi="Times New Roman" w:cs="Times New Roman"/>
          <w:sz w:val="24"/>
        </w:rPr>
        <w:footnoteReference w:id="13"/>
      </w:r>
      <w:r w:rsidRPr="003C7BD8">
        <w:rPr>
          <w:rFonts w:ascii="Times New Roman" w:hAnsi="Times New Roman" w:cs="Times New Roman"/>
          <w:sz w:val="24"/>
        </w:rPr>
        <w:t xml:space="preserve"> el régimen pensiones de Invalidez, Vejez y Muerte (IVM, administrado por la Caja Costarricense del Seguro Social) y a la Refinadora Costarricense de Petróleo (RECOPE) únicamente en lo que respecta a la factura petrolera. </w:t>
      </w:r>
    </w:p>
    <w:p w14:paraId="231DD8C5" w14:textId="7CF5C892" w:rsidR="00CF0553" w:rsidRPr="003C7BD8" w:rsidRDefault="00CF0553" w:rsidP="00CE7447">
      <w:pPr>
        <w:pStyle w:val="ListParagraph"/>
        <w:numPr>
          <w:ilvl w:val="0"/>
          <w:numId w:val="1"/>
        </w:numPr>
        <w:spacing w:line="360" w:lineRule="auto"/>
        <w:jc w:val="both"/>
        <w:rPr>
          <w:rFonts w:ascii="Times New Roman" w:hAnsi="Times New Roman" w:cs="Times New Roman"/>
          <w:b/>
          <w:sz w:val="24"/>
        </w:rPr>
      </w:pPr>
      <w:r w:rsidRPr="003C7BD8">
        <w:rPr>
          <w:rFonts w:ascii="Times New Roman" w:hAnsi="Times New Roman" w:cs="Times New Roman"/>
          <w:b/>
          <w:sz w:val="24"/>
        </w:rPr>
        <w:t>Análisis de la regla fiscal</w:t>
      </w:r>
      <w:r w:rsidR="00DA7EBA" w:rsidRPr="003C7BD8">
        <w:rPr>
          <w:rFonts w:ascii="Times New Roman" w:hAnsi="Times New Roman" w:cs="Times New Roman"/>
          <w:b/>
          <w:sz w:val="24"/>
        </w:rPr>
        <w:t>.</w:t>
      </w:r>
    </w:p>
    <w:p w14:paraId="054ED8B9" w14:textId="51B21833" w:rsidR="00387D44" w:rsidRPr="003C7BD8" w:rsidRDefault="00387D44" w:rsidP="00CE7447">
      <w:pPr>
        <w:spacing w:line="360" w:lineRule="auto"/>
        <w:jc w:val="both"/>
        <w:rPr>
          <w:rFonts w:ascii="Times New Roman" w:hAnsi="Times New Roman" w:cs="Times New Roman"/>
          <w:sz w:val="24"/>
        </w:rPr>
      </w:pPr>
      <w:r w:rsidRPr="003C7BD8">
        <w:rPr>
          <w:rFonts w:ascii="Times New Roman" w:hAnsi="Times New Roman" w:cs="Times New Roman"/>
          <w:sz w:val="24"/>
        </w:rPr>
        <w:t xml:space="preserve">De acuerdo con </w:t>
      </w:r>
      <w:proofErr w:type="spellStart"/>
      <w:r w:rsidRPr="003C7BD8">
        <w:rPr>
          <w:rFonts w:ascii="Times New Roman" w:hAnsi="Times New Roman" w:cs="Times New Roman"/>
          <w:sz w:val="24"/>
        </w:rPr>
        <w:t>Caselli</w:t>
      </w:r>
      <w:proofErr w:type="spellEnd"/>
      <w:r w:rsidRPr="003C7BD8">
        <w:rPr>
          <w:rFonts w:ascii="Times New Roman" w:hAnsi="Times New Roman" w:cs="Times New Roman"/>
          <w:sz w:val="24"/>
        </w:rPr>
        <w:t xml:space="preserve"> </w:t>
      </w:r>
      <w:r w:rsidRPr="003C7BD8">
        <w:rPr>
          <w:rFonts w:ascii="Times New Roman" w:hAnsi="Times New Roman" w:cs="Times New Roman"/>
          <w:i/>
          <w:sz w:val="24"/>
        </w:rPr>
        <w:t xml:space="preserve">et al </w:t>
      </w:r>
      <w:r w:rsidRPr="003C7BD8">
        <w:rPr>
          <w:rFonts w:ascii="Times New Roman" w:hAnsi="Times New Roman" w:cs="Times New Roman"/>
          <w:sz w:val="24"/>
        </w:rPr>
        <w:t>(2018)</w:t>
      </w:r>
      <w:r w:rsidR="00C64FC8" w:rsidRPr="003C7BD8">
        <w:rPr>
          <w:rFonts w:ascii="Times New Roman" w:hAnsi="Times New Roman" w:cs="Times New Roman"/>
          <w:sz w:val="24"/>
        </w:rPr>
        <w:t xml:space="preserve"> las reglas fiscales deben cumplir con tres características para ser efectivas</w:t>
      </w:r>
      <w:r w:rsidR="00C64FC8" w:rsidRPr="00686DC7">
        <w:rPr>
          <w:rFonts w:ascii="Times New Roman" w:hAnsi="Times New Roman" w:cs="Times New Roman"/>
          <w:sz w:val="24"/>
        </w:rPr>
        <w:t xml:space="preserve">: </w:t>
      </w:r>
      <w:r w:rsidR="00B03C9C">
        <w:rPr>
          <w:rFonts w:ascii="Times New Roman" w:hAnsi="Times New Roman" w:cs="Times New Roman"/>
          <w:sz w:val="24"/>
        </w:rPr>
        <w:t xml:space="preserve">i) </w:t>
      </w:r>
      <w:r w:rsidR="00C64FC8" w:rsidRPr="00686DC7">
        <w:rPr>
          <w:rFonts w:ascii="Times New Roman" w:hAnsi="Times New Roman" w:cs="Times New Roman"/>
          <w:sz w:val="24"/>
        </w:rPr>
        <w:t xml:space="preserve">simplicidad, </w:t>
      </w:r>
      <w:proofErr w:type="spellStart"/>
      <w:r w:rsidR="00B03C9C">
        <w:rPr>
          <w:rFonts w:ascii="Times New Roman" w:hAnsi="Times New Roman" w:cs="Times New Roman"/>
          <w:sz w:val="24"/>
        </w:rPr>
        <w:t>ii</w:t>
      </w:r>
      <w:proofErr w:type="spellEnd"/>
      <w:r w:rsidR="00B03C9C">
        <w:rPr>
          <w:rFonts w:ascii="Times New Roman" w:hAnsi="Times New Roman" w:cs="Times New Roman"/>
          <w:sz w:val="24"/>
        </w:rPr>
        <w:t xml:space="preserve">) </w:t>
      </w:r>
      <w:r w:rsidR="00C64FC8" w:rsidRPr="00686DC7">
        <w:rPr>
          <w:rFonts w:ascii="Times New Roman" w:hAnsi="Times New Roman" w:cs="Times New Roman"/>
          <w:sz w:val="24"/>
        </w:rPr>
        <w:t xml:space="preserve">flexibilidad y </w:t>
      </w:r>
      <w:proofErr w:type="spellStart"/>
      <w:r w:rsidR="00B03C9C">
        <w:rPr>
          <w:rFonts w:ascii="Times New Roman" w:hAnsi="Times New Roman" w:cs="Times New Roman"/>
          <w:sz w:val="24"/>
        </w:rPr>
        <w:t>iii</w:t>
      </w:r>
      <w:proofErr w:type="spellEnd"/>
      <w:r w:rsidR="00B03C9C">
        <w:rPr>
          <w:rFonts w:ascii="Times New Roman" w:hAnsi="Times New Roman" w:cs="Times New Roman"/>
          <w:sz w:val="24"/>
        </w:rPr>
        <w:t xml:space="preserve">) </w:t>
      </w:r>
      <w:r w:rsidR="00EC7ACE">
        <w:rPr>
          <w:rFonts w:ascii="Times New Roman" w:hAnsi="Times New Roman" w:cs="Times New Roman"/>
          <w:sz w:val="24"/>
        </w:rPr>
        <w:t>aplicabilidad</w:t>
      </w:r>
      <w:r w:rsidR="00535909">
        <w:rPr>
          <w:rFonts w:ascii="Times New Roman" w:hAnsi="Times New Roman" w:cs="Times New Roman"/>
          <w:sz w:val="24"/>
        </w:rPr>
        <w:t xml:space="preserve"> (</w:t>
      </w:r>
      <w:r w:rsidR="001944C1">
        <w:rPr>
          <w:rFonts w:ascii="Times New Roman" w:hAnsi="Times New Roman" w:cs="Times New Roman"/>
          <w:sz w:val="24"/>
        </w:rPr>
        <w:t xml:space="preserve">en su </w:t>
      </w:r>
      <w:r w:rsidR="00535909">
        <w:rPr>
          <w:rFonts w:ascii="Times New Roman" w:hAnsi="Times New Roman" w:cs="Times New Roman"/>
          <w:sz w:val="24"/>
        </w:rPr>
        <w:t>diseño y cumplimiento)</w:t>
      </w:r>
      <w:r w:rsidR="00346347" w:rsidRPr="00686DC7">
        <w:rPr>
          <w:rFonts w:ascii="Times New Roman" w:hAnsi="Times New Roman" w:cs="Times New Roman"/>
          <w:sz w:val="24"/>
        </w:rPr>
        <w:t>.</w:t>
      </w:r>
      <w:r w:rsidR="00D85B77" w:rsidRPr="003C7BD8">
        <w:rPr>
          <w:rFonts w:ascii="Times New Roman" w:hAnsi="Times New Roman" w:cs="Times New Roman"/>
          <w:sz w:val="24"/>
        </w:rPr>
        <w:t xml:space="preserve"> A pesar de </w:t>
      </w:r>
      <w:r w:rsidR="00724C04" w:rsidRPr="003C7BD8">
        <w:rPr>
          <w:rFonts w:ascii="Times New Roman" w:hAnsi="Times New Roman" w:cs="Times New Roman"/>
          <w:sz w:val="24"/>
        </w:rPr>
        <w:t xml:space="preserve">que es </w:t>
      </w:r>
      <w:r w:rsidR="00585BCD">
        <w:rPr>
          <w:rFonts w:ascii="Times New Roman" w:hAnsi="Times New Roman" w:cs="Times New Roman"/>
          <w:sz w:val="24"/>
        </w:rPr>
        <w:t xml:space="preserve">un gran </w:t>
      </w:r>
      <w:r w:rsidR="00724C04" w:rsidRPr="003C7BD8">
        <w:rPr>
          <w:rFonts w:ascii="Times New Roman" w:hAnsi="Times New Roman" w:cs="Times New Roman"/>
          <w:sz w:val="24"/>
        </w:rPr>
        <w:t>ret</w:t>
      </w:r>
      <w:r w:rsidR="00585BCD">
        <w:rPr>
          <w:rFonts w:ascii="Times New Roman" w:hAnsi="Times New Roman" w:cs="Times New Roman"/>
          <w:sz w:val="24"/>
        </w:rPr>
        <w:t>o</w:t>
      </w:r>
      <w:r w:rsidR="00724C04" w:rsidRPr="003C7BD8">
        <w:rPr>
          <w:rFonts w:ascii="Times New Roman" w:hAnsi="Times New Roman" w:cs="Times New Roman"/>
          <w:sz w:val="24"/>
        </w:rPr>
        <w:t xml:space="preserve"> diseñar una regla que contenga estas tres características</w:t>
      </w:r>
      <w:r w:rsidR="00D85B77" w:rsidRPr="003C7BD8">
        <w:rPr>
          <w:rFonts w:ascii="Times New Roman" w:hAnsi="Times New Roman" w:cs="Times New Roman"/>
          <w:sz w:val="24"/>
        </w:rPr>
        <w:t>,</w:t>
      </w:r>
      <w:r w:rsidR="00346347" w:rsidRPr="003C7BD8">
        <w:rPr>
          <w:rFonts w:ascii="Times New Roman" w:hAnsi="Times New Roman" w:cs="Times New Roman"/>
          <w:sz w:val="24"/>
        </w:rPr>
        <w:t xml:space="preserve"> </w:t>
      </w:r>
      <w:r w:rsidR="00D85B77" w:rsidRPr="003C7BD8">
        <w:rPr>
          <w:rFonts w:ascii="Times New Roman" w:hAnsi="Times New Roman" w:cs="Times New Roman"/>
          <w:sz w:val="24"/>
        </w:rPr>
        <w:t>l</w:t>
      </w:r>
      <w:r w:rsidR="000174F3" w:rsidRPr="003C7BD8">
        <w:rPr>
          <w:rFonts w:ascii="Times New Roman" w:hAnsi="Times New Roman" w:cs="Times New Roman"/>
          <w:sz w:val="24"/>
        </w:rPr>
        <w:t xml:space="preserve">a regla fiscal de Costa Rica </w:t>
      </w:r>
      <w:r w:rsidR="00206878" w:rsidRPr="003C7BD8">
        <w:rPr>
          <w:rFonts w:ascii="Times New Roman" w:hAnsi="Times New Roman" w:cs="Times New Roman"/>
          <w:sz w:val="24"/>
        </w:rPr>
        <w:t>trata</w:t>
      </w:r>
      <w:r w:rsidR="003A6A76" w:rsidRPr="003C7BD8">
        <w:rPr>
          <w:rFonts w:ascii="Times New Roman" w:hAnsi="Times New Roman" w:cs="Times New Roman"/>
          <w:sz w:val="24"/>
        </w:rPr>
        <w:t xml:space="preserve">, en cierta medida, </w:t>
      </w:r>
      <w:r w:rsidR="00724C04" w:rsidRPr="003C7BD8">
        <w:rPr>
          <w:rFonts w:ascii="Times New Roman" w:hAnsi="Times New Roman" w:cs="Times New Roman"/>
          <w:sz w:val="24"/>
        </w:rPr>
        <w:t>de contenerlas</w:t>
      </w:r>
      <w:r w:rsidR="003A6A76" w:rsidRPr="003C7BD8">
        <w:rPr>
          <w:rFonts w:ascii="Times New Roman" w:hAnsi="Times New Roman" w:cs="Times New Roman"/>
          <w:sz w:val="24"/>
        </w:rPr>
        <w:t xml:space="preserve">. De esta manera, se puede considerar su adopción como un paso </w:t>
      </w:r>
      <w:r w:rsidR="00E355E2" w:rsidRPr="003C7BD8">
        <w:rPr>
          <w:rFonts w:ascii="Times New Roman" w:hAnsi="Times New Roman" w:cs="Times New Roman"/>
          <w:sz w:val="24"/>
        </w:rPr>
        <w:t xml:space="preserve">en la dirección correcta. Sin embargo, es difícil llegar a conclusiones </w:t>
      </w:r>
      <w:r w:rsidR="0014228A" w:rsidRPr="003C7BD8">
        <w:rPr>
          <w:rFonts w:ascii="Times New Roman" w:hAnsi="Times New Roman" w:cs="Times New Roman"/>
          <w:sz w:val="24"/>
        </w:rPr>
        <w:t xml:space="preserve">más exactas sin haberla visto en acción. Esta regla fiscal entra en funcionamiento en el año 2020, de manera que el siguiente análisis se realizará </w:t>
      </w:r>
      <w:r w:rsidR="00AD144B" w:rsidRPr="003C7BD8">
        <w:rPr>
          <w:rFonts w:ascii="Times New Roman" w:hAnsi="Times New Roman" w:cs="Times New Roman"/>
          <w:sz w:val="24"/>
        </w:rPr>
        <w:t xml:space="preserve">principalmente </w:t>
      </w:r>
      <w:r w:rsidR="0014228A" w:rsidRPr="003C7BD8">
        <w:rPr>
          <w:rFonts w:ascii="Times New Roman" w:hAnsi="Times New Roman" w:cs="Times New Roman"/>
          <w:sz w:val="24"/>
        </w:rPr>
        <w:t xml:space="preserve">desde el punto de vista del diseño y tratando de prever el desempeño </w:t>
      </w:r>
      <w:r w:rsidR="007930F7" w:rsidRPr="003C7BD8">
        <w:rPr>
          <w:rFonts w:ascii="Times New Roman" w:hAnsi="Times New Roman" w:cs="Times New Roman"/>
          <w:sz w:val="24"/>
        </w:rPr>
        <w:t xml:space="preserve">que podría tener para los próximos años. </w:t>
      </w:r>
    </w:p>
    <w:p w14:paraId="695A5D04" w14:textId="114512DE" w:rsidR="0012762B" w:rsidRPr="003C7BD8" w:rsidRDefault="006A678C" w:rsidP="00CE7447">
      <w:pPr>
        <w:spacing w:line="360" w:lineRule="auto"/>
        <w:jc w:val="both"/>
        <w:rPr>
          <w:rFonts w:ascii="Times New Roman" w:hAnsi="Times New Roman" w:cs="Times New Roman"/>
          <w:sz w:val="24"/>
        </w:rPr>
      </w:pPr>
      <w:r w:rsidRPr="00E21D84">
        <w:rPr>
          <w:rFonts w:ascii="Times New Roman" w:hAnsi="Times New Roman" w:cs="Times New Roman"/>
          <w:b/>
          <w:sz w:val="24"/>
        </w:rPr>
        <w:t>Simplicidad</w:t>
      </w:r>
      <w:r w:rsidRPr="002A7F04">
        <w:rPr>
          <w:rFonts w:ascii="Times New Roman" w:hAnsi="Times New Roman" w:cs="Times New Roman"/>
          <w:i/>
          <w:sz w:val="24"/>
        </w:rPr>
        <w:t>.</w:t>
      </w:r>
      <w:r>
        <w:rPr>
          <w:rFonts w:ascii="Times New Roman" w:hAnsi="Times New Roman" w:cs="Times New Roman"/>
          <w:i/>
          <w:sz w:val="24"/>
        </w:rPr>
        <w:t xml:space="preserve"> </w:t>
      </w:r>
      <w:r w:rsidR="007930F7" w:rsidRPr="003C7BD8">
        <w:rPr>
          <w:rFonts w:ascii="Times New Roman" w:hAnsi="Times New Roman" w:cs="Times New Roman"/>
          <w:sz w:val="24"/>
        </w:rPr>
        <w:t>En esa línea, e</w:t>
      </w:r>
      <w:r w:rsidR="005B08CD" w:rsidRPr="003C7BD8">
        <w:rPr>
          <w:rFonts w:ascii="Times New Roman" w:hAnsi="Times New Roman" w:cs="Times New Roman"/>
          <w:sz w:val="24"/>
        </w:rPr>
        <w:t>s importante destacar que l</w:t>
      </w:r>
      <w:r w:rsidR="00E014AE" w:rsidRPr="003C7BD8">
        <w:rPr>
          <w:rFonts w:ascii="Times New Roman" w:hAnsi="Times New Roman" w:cs="Times New Roman"/>
          <w:sz w:val="24"/>
        </w:rPr>
        <w:t xml:space="preserve">as reglas fiscales de gasto son simples </w:t>
      </w:r>
      <w:r w:rsidR="005E07AF" w:rsidRPr="003C7BD8">
        <w:rPr>
          <w:rFonts w:ascii="Times New Roman" w:hAnsi="Times New Roman" w:cs="Times New Roman"/>
          <w:sz w:val="24"/>
        </w:rPr>
        <w:t xml:space="preserve">desde el punto de vista operativo </w:t>
      </w:r>
      <w:r w:rsidR="00E014AE" w:rsidRPr="003C7BD8">
        <w:rPr>
          <w:rFonts w:ascii="Times New Roman" w:hAnsi="Times New Roman" w:cs="Times New Roman"/>
          <w:sz w:val="24"/>
        </w:rPr>
        <w:t>y claras de comunicar</w:t>
      </w:r>
      <w:r w:rsidR="005E07AF" w:rsidRPr="003C7BD8">
        <w:rPr>
          <w:rFonts w:ascii="Times New Roman" w:hAnsi="Times New Roman" w:cs="Times New Roman"/>
          <w:sz w:val="24"/>
        </w:rPr>
        <w:t xml:space="preserve"> al público en comparación con otros tipos de regla</w:t>
      </w:r>
      <w:r w:rsidR="00AD144B" w:rsidRPr="003C7BD8">
        <w:rPr>
          <w:rFonts w:ascii="Times New Roman" w:hAnsi="Times New Roman" w:cs="Times New Roman"/>
          <w:sz w:val="24"/>
        </w:rPr>
        <w:t xml:space="preserve">. Lo primero porque el gasto es la variable que es más fácil de controlar por parte del gobierno, pues </w:t>
      </w:r>
      <w:r w:rsidR="000976F0" w:rsidRPr="003C7BD8">
        <w:rPr>
          <w:rFonts w:ascii="Times New Roman" w:hAnsi="Times New Roman" w:cs="Times New Roman"/>
          <w:sz w:val="24"/>
        </w:rPr>
        <w:t>es quien se encarga de presupuestar</w:t>
      </w:r>
      <w:r w:rsidR="00301A17" w:rsidRPr="003C7BD8">
        <w:rPr>
          <w:rFonts w:ascii="Times New Roman" w:hAnsi="Times New Roman" w:cs="Times New Roman"/>
          <w:sz w:val="24"/>
        </w:rPr>
        <w:t xml:space="preserve">. Sin embargo, en Costa </w:t>
      </w:r>
      <w:r w:rsidR="00970040" w:rsidRPr="003C7BD8">
        <w:rPr>
          <w:rFonts w:ascii="Times New Roman" w:hAnsi="Times New Roman" w:cs="Times New Roman"/>
          <w:sz w:val="24"/>
        </w:rPr>
        <w:t>Rica existen varios destinos específicos que condicionan gran parte del presupuesto</w:t>
      </w:r>
      <w:r w:rsidR="00783612" w:rsidRPr="003C7BD8">
        <w:rPr>
          <w:rFonts w:ascii="Times New Roman" w:hAnsi="Times New Roman" w:cs="Times New Roman"/>
          <w:sz w:val="24"/>
        </w:rPr>
        <w:t xml:space="preserve">. En particular, se estima que </w:t>
      </w:r>
      <w:r w:rsidR="008D6C80" w:rsidRPr="003C7BD8">
        <w:rPr>
          <w:rFonts w:ascii="Times New Roman" w:hAnsi="Times New Roman" w:cs="Times New Roman"/>
          <w:sz w:val="24"/>
        </w:rPr>
        <w:t xml:space="preserve">alrededor del </w:t>
      </w:r>
      <w:r>
        <w:rPr>
          <w:rFonts w:ascii="Times New Roman" w:hAnsi="Times New Roman" w:cs="Times New Roman"/>
          <w:sz w:val="24"/>
        </w:rPr>
        <w:t>80</w:t>
      </w:r>
      <w:r w:rsidR="00385CBB" w:rsidRPr="003C7BD8">
        <w:rPr>
          <w:rFonts w:ascii="Times New Roman" w:hAnsi="Times New Roman" w:cs="Times New Roman"/>
          <w:sz w:val="24"/>
        </w:rPr>
        <w:t xml:space="preserve">% del presupuesto </w:t>
      </w:r>
      <w:r w:rsidR="008F0AF1" w:rsidRPr="003C7BD8">
        <w:rPr>
          <w:rFonts w:ascii="Times New Roman" w:hAnsi="Times New Roman" w:cs="Times New Roman"/>
          <w:sz w:val="24"/>
        </w:rPr>
        <w:t>es</w:t>
      </w:r>
      <w:r w:rsidR="00172995" w:rsidRPr="003C7BD8">
        <w:rPr>
          <w:rFonts w:ascii="Times New Roman" w:hAnsi="Times New Roman" w:cs="Times New Roman"/>
          <w:sz w:val="24"/>
        </w:rPr>
        <w:t xml:space="preserve"> gasto </w:t>
      </w:r>
      <w:r w:rsidR="00EC59D8" w:rsidRPr="003C7BD8">
        <w:rPr>
          <w:rFonts w:ascii="Times New Roman" w:hAnsi="Times New Roman" w:cs="Times New Roman"/>
          <w:sz w:val="24"/>
        </w:rPr>
        <w:t xml:space="preserve">inflexible </w:t>
      </w:r>
      <w:r w:rsidR="00172995" w:rsidRPr="003C7BD8">
        <w:rPr>
          <w:rFonts w:ascii="Times New Roman" w:hAnsi="Times New Roman" w:cs="Times New Roman"/>
          <w:sz w:val="24"/>
        </w:rPr>
        <w:t xml:space="preserve">del que puede disponer el gobierno para hacer ajuste. </w:t>
      </w:r>
      <w:r w:rsidR="00DA6A8C" w:rsidRPr="003C7BD8">
        <w:rPr>
          <w:rFonts w:ascii="Times New Roman" w:hAnsi="Times New Roman" w:cs="Times New Roman"/>
          <w:sz w:val="24"/>
        </w:rPr>
        <w:t xml:space="preserve">Evidentemente, el margen es limitado </w:t>
      </w:r>
      <w:r w:rsidR="00586C32" w:rsidRPr="003C7BD8">
        <w:rPr>
          <w:rFonts w:ascii="Times New Roman" w:hAnsi="Times New Roman" w:cs="Times New Roman"/>
          <w:sz w:val="24"/>
        </w:rPr>
        <w:t xml:space="preserve">para hacer </w:t>
      </w:r>
      <w:r w:rsidR="00BE6A79" w:rsidRPr="003C7BD8">
        <w:rPr>
          <w:rFonts w:ascii="Times New Roman" w:hAnsi="Times New Roman" w:cs="Times New Roman"/>
          <w:sz w:val="24"/>
        </w:rPr>
        <w:t>política fiscal.</w:t>
      </w:r>
      <w:r w:rsidR="00D01616" w:rsidRPr="003C7BD8">
        <w:rPr>
          <w:rFonts w:ascii="Times New Roman" w:hAnsi="Times New Roman" w:cs="Times New Roman"/>
          <w:sz w:val="24"/>
        </w:rPr>
        <w:t xml:space="preserve"> </w:t>
      </w:r>
    </w:p>
    <w:p w14:paraId="48E592DE" w14:textId="3F885E74" w:rsidR="00AD144B" w:rsidRPr="003C7BD8" w:rsidRDefault="003C62EC" w:rsidP="00CE7447">
      <w:pPr>
        <w:spacing w:line="360" w:lineRule="auto"/>
        <w:jc w:val="both"/>
        <w:rPr>
          <w:rFonts w:ascii="Times New Roman" w:hAnsi="Times New Roman" w:cs="Times New Roman"/>
          <w:sz w:val="24"/>
        </w:rPr>
      </w:pPr>
      <w:r>
        <w:rPr>
          <w:rFonts w:ascii="Times New Roman" w:hAnsi="Times New Roman" w:cs="Times New Roman"/>
          <w:sz w:val="24"/>
        </w:rPr>
        <w:t>No obstante</w:t>
      </w:r>
      <w:r w:rsidR="00D01616" w:rsidRPr="003C7BD8">
        <w:rPr>
          <w:rFonts w:ascii="Times New Roman" w:hAnsi="Times New Roman" w:cs="Times New Roman"/>
          <w:sz w:val="24"/>
        </w:rPr>
        <w:t xml:space="preserve">, con la aprobación de la Ley de Fortalecimiento de las Finanzas Públicas </w:t>
      </w:r>
      <w:r w:rsidR="00896120" w:rsidRPr="003C7BD8">
        <w:rPr>
          <w:rFonts w:ascii="Times New Roman" w:hAnsi="Times New Roman" w:cs="Times New Roman"/>
          <w:sz w:val="24"/>
        </w:rPr>
        <w:t xml:space="preserve">se consigue más </w:t>
      </w:r>
      <w:r w:rsidR="00EC59D8" w:rsidRPr="003C7BD8">
        <w:rPr>
          <w:rFonts w:ascii="Times New Roman" w:hAnsi="Times New Roman" w:cs="Times New Roman"/>
          <w:sz w:val="24"/>
        </w:rPr>
        <w:t xml:space="preserve">espacio </w:t>
      </w:r>
      <w:r w:rsidR="00896120" w:rsidRPr="003C7BD8">
        <w:rPr>
          <w:rFonts w:ascii="Times New Roman" w:hAnsi="Times New Roman" w:cs="Times New Roman"/>
          <w:sz w:val="24"/>
        </w:rPr>
        <w:t xml:space="preserve">de maniobra para hacer ajustes </w:t>
      </w:r>
      <w:r w:rsidR="009035A4" w:rsidRPr="003C7BD8">
        <w:rPr>
          <w:rFonts w:ascii="Times New Roman" w:hAnsi="Times New Roman" w:cs="Times New Roman"/>
          <w:sz w:val="24"/>
        </w:rPr>
        <w:t xml:space="preserve">por el lado </w:t>
      </w:r>
      <w:r w:rsidR="00896120" w:rsidRPr="003C7BD8">
        <w:rPr>
          <w:rFonts w:ascii="Times New Roman" w:hAnsi="Times New Roman" w:cs="Times New Roman"/>
          <w:sz w:val="24"/>
        </w:rPr>
        <w:t>de</w:t>
      </w:r>
      <w:r w:rsidR="009035A4" w:rsidRPr="003C7BD8">
        <w:rPr>
          <w:rFonts w:ascii="Times New Roman" w:hAnsi="Times New Roman" w:cs="Times New Roman"/>
          <w:sz w:val="24"/>
        </w:rPr>
        <w:t>l</w:t>
      </w:r>
      <w:r w:rsidR="00896120" w:rsidRPr="003C7BD8">
        <w:rPr>
          <w:rFonts w:ascii="Times New Roman" w:hAnsi="Times New Roman" w:cs="Times New Roman"/>
          <w:sz w:val="24"/>
        </w:rPr>
        <w:t xml:space="preserve"> gasto, principalmente en los momentos más apremiantes</w:t>
      </w:r>
      <w:r w:rsidR="005B4EBE" w:rsidRPr="003C7BD8">
        <w:rPr>
          <w:rFonts w:ascii="Times New Roman" w:hAnsi="Times New Roman" w:cs="Times New Roman"/>
          <w:sz w:val="24"/>
        </w:rPr>
        <w:t xml:space="preserve"> ya que la ley </w:t>
      </w:r>
      <w:r w:rsidR="007D5A3C" w:rsidRPr="003C7BD8">
        <w:rPr>
          <w:rFonts w:ascii="Times New Roman" w:hAnsi="Times New Roman" w:cs="Times New Roman"/>
          <w:sz w:val="24"/>
        </w:rPr>
        <w:t>faculta al Ministerio de Hacienda a presupuestar de acuerdo con los ingresos que prevea disponibles cuando la deuda del Gobierno Central supere el 50% del PIB.</w:t>
      </w:r>
      <w:r w:rsidR="0020593B">
        <w:rPr>
          <w:rStyle w:val="FootnoteReference"/>
          <w:rFonts w:ascii="Times New Roman" w:hAnsi="Times New Roman" w:cs="Times New Roman"/>
          <w:sz w:val="24"/>
        </w:rPr>
        <w:footnoteReference w:id="14"/>
      </w:r>
      <w:r w:rsidR="007D5A3C" w:rsidRPr="003C7BD8">
        <w:rPr>
          <w:rFonts w:ascii="Times New Roman" w:hAnsi="Times New Roman" w:cs="Times New Roman"/>
          <w:sz w:val="24"/>
        </w:rPr>
        <w:t xml:space="preserve"> </w:t>
      </w:r>
      <w:r w:rsidR="002C3770" w:rsidRPr="003C7BD8">
        <w:rPr>
          <w:rFonts w:ascii="Times New Roman" w:hAnsi="Times New Roman" w:cs="Times New Roman"/>
          <w:sz w:val="24"/>
        </w:rPr>
        <w:t xml:space="preserve">De esta forma, </w:t>
      </w:r>
      <w:r w:rsidR="004B5642" w:rsidRPr="003C7BD8">
        <w:rPr>
          <w:rFonts w:ascii="Times New Roman" w:hAnsi="Times New Roman" w:cs="Times New Roman"/>
          <w:sz w:val="24"/>
        </w:rPr>
        <w:t xml:space="preserve">se crearon mecanismos que </w:t>
      </w:r>
      <w:r w:rsidR="006A19AB" w:rsidRPr="003C7BD8">
        <w:rPr>
          <w:rFonts w:ascii="Times New Roman" w:hAnsi="Times New Roman" w:cs="Times New Roman"/>
          <w:sz w:val="24"/>
        </w:rPr>
        <w:t xml:space="preserve">ayudan al Ministerio a controlar el gasto y miras a cumplir con la regla. </w:t>
      </w:r>
      <w:r w:rsidR="00562FC9" w:rsidRPr="003C7BD8">
        <w:rPr>
          <w:rFonts w:ascii="Times New Roman" w:hAnsi="Times New Roman" w:cs="Times New Roman"/>
          <w:sz w:val="24"/>
        </w:rPr>
        <w:t xml:space="preserve">De hecho, según Cordes </w:t>
      </w:r>
      <w:r w:rsidR="00562FC9" w:rsidRPr="003C7BD8">
        <w:rPr>
          <w:rFonts w:ascii="Times New Roman" w:hAnsi="Times New Roman" w:cs="Times New Roman"/>
          <w:i/>
          <w:sz w:val="24"/>
        </w:rPr>
        <w:t xml:space="preserve">et al. </w:t>
      </w:r>
      <w:r w:rsidR="00562FC9" w:rsidRPr="003C7BD8">
        <w:rPr>
          <w:rFonts w:ascii="Times New Roman" w:hAnsi="Times New Roman" w:cs="Times New Roman"/>
          <w:sz w:val="24"/>
        </w:rPr>
        <w:t>(2015)</w:t>
      </w:r>
      <w:r w:rsidR="00CF5490" w:rsidRPr="003C7BD8">
        <w:rPr>
          <w:rFonts w:ascii="Times New Roman" w:hAnsi="Times New Roman" w:cs="Times New Roman"/>
          <w:sz w:val="24"/>
        </w:rPr>
        <w:t>, los países que cuentan con reglas fiscales</w:t>
      </w:r>
      <w:r w:rsidR="00B510E4">
        <w:rPr>
          <w:rFonts w:ascii="Times New Roman" w:hAnsi="Times New Roman" w:cs="Times New Roman"/>
          <w:sz w:val="24"/>
        </w:rPr>
        <w:t xml:space="preserve"> de gasto</w:t>
      </w:r>
      <w:r w:rsidR="00CF5490" w:rsidRPr="003C7BD8">
        <w:rPr>
          <w:rFonts w:ascii="Times New Roman" w:hAnsi="Times New Roman" w:cs="Times New Roman"/>
          <w:sz w:val="24"/>
        </w:rPr>
        <w:t xml:space="preserve"> han cump</w:t>
      </w:r>
      <w:r w:rsidR="00930AD5" w:rsidRPr="003C7BD8">
        <w:rPr>
          <w:rFonts w:ascii="Times New Roman" w:hAnsi="Times New Roman" w:cs="Times New Roman"/>
          <w:sz w:val="24"/>
        </w:rPr>
        <w:t xml:space="preserve">lido más que aquellos que </w:t>
      </w:r>
      <w:r w:rsidR="00D02FFB">
        <w:rPr>
          <w:rFonts w:ascii="Times New Roman" w:hAnsi="Times New Roman" w:cs="Times New Roman"/>
          <w:sz w:val="24"/>
        </w:rPr>
        <w:t xml:space="preserve">presentan </w:t>
      </w:r>
      <w:r w:rsidR="00930AD5" w:rsidRPr="003C7BD8">
        <w:rPr>
          <w:rFonts w:ascii="Times New Roman" w:hAnsi="Times New Roman" w:cs="Times New Roman"/>
          <w:sz w:val="24"/>
        </w:rPr>
        <w:t xml:space="preserve">una regla de balance o una regla de deuda. </w:t>
      </w:r>
      <w:r w:rsidR="00DA263D" w:rsidRPr="003C7BD8">
        <w:rPr>
          <w:rFonts w:ascii="Times New Roman" w:hAnsi="Times New Roman" w:cs="Times New Roman"/>
          <w:sz w:val="24"/>
        </w:rPr>
        <w:t xml:space="preserve">La explicación de los autores radica en que </w:t>
      </w:r>
      <w:r w:rsidR="00B15BEA" w:rsidRPr="003C7BD8">
        <w:rPr>
          <w:rFonts w:ascii="Times New Roman" w:hAnsi="Times New Roman" w:cs="Times New Roman"/>
          <w:sz w:val="24"/>
        </w:rPr>
        <w:t>el gasto está más en control del gobierno</w:t>
      </w:r>
      <w:r w:rsidR="001B3399" w:rsidRPr="003C7BD8">
        <w:rPr>
          <w:rFonts w:ascii="Times New Roman" w:hAnsi="Times New Roman" w:cs="Times New Roman"/>
          <w:sz w:val="24"/>
        </w:rPr>
        <w:t xml:space="preserve"> y menos expuesto a choques que pueden condicionar su trayectoria, como si </w:t>
      </w:r>
      <w:r w:rsidR="000E35ED" w:rsidRPr="003C7BD8">
        <w:rPr>
          <w:rFonts w:ascii="Times New Roman" w:hAnsi="Times New Roman" w:cs="Times New Roman"/>
          <w:sz w:val="24"/>
        </w:rPr>
        <w:t>pudiera</w:t>
      </w:r>
      <w:r w:rsidR="00F33AFD" w:rsidRPr="003C7BD8">
        <w:rPr>
          <w:rFonts w:ascii="Times New Roman" w:hAnsi="Times New Roman" w:cs="Times New Roman"/>
          <w:sz w:val="24"/>
        </w:rPr>
        <w:t xml:space="preserve"> pasar</w:t>
      </w:r>
      <w:r w:rsidR="001B3399" w:rsidRPr="003C7BD8">
        <w:rPr>
          <w:rFonts w:ascii="Times New Roman" w:hAnsi="Times New Roman" w:cs="Times New Roman"/>
          <w:sz w:val="24"/>
        </w:rPr>
        <w:t xml:space="preserve"> con la deuda o los ingresos. </w:t>
      </w:r>
    </w:p>
    <w:p w14:paraId="22FD8AAB" w14:textId="16F2AD0E" w:rsidR="00F33AFD" w:rsidRPr="003C7BD8" w:rsidRDefault="00E65848" w:rsidP="00CE7447">
      <w:pPr>
        <w:spacing w:line="360" w:lineRule="auto"/>
        <w:jc w:val="both"/>
        <w:rPr>
          <w:rFonts w:ascii="Times New Roman" w:hAnsi="Times New Roman" w:cs="Times New Roman"/>
          <w:sz w:val="24"/>
        </w:rPr>
      </w:pPr>
      <w:r w:rsidRPr="003C7BD8">
        <w:rPr>
          <w:rFonts w:ascii="Times New Roman" w:hAnsi="Times New Roman" w:cs="Times New Roman"/>
          <w:sz w:val="24"/>
        </w:rPr>
        <w:t>Continuando con la simplicidad, la regla fiscal de Costa Rica no contiene variables inobservables</w:t>
      </w:r>
      <w:r w:rsidRPr="003C7BD8">
        <w:rPr>
          <w:rStyle w:val="FootnoteReference"/>
          <w:rFonts w:ascii="Times New Roman" w:hAnsi="Times New Roman" w:cs="Times New Roman"/>
          <w:sz w:val="24"/>
        </w:rPr>
        <w:footnoteReference w:id="15"/>
      </w:r>
      <w:r w:rsidRPr="003C7BD8">
        <w:rPr>
          <w:rFonts w:ascii="Times New Roman" w:hAnsi="Times New Roman" w:cs="Times New Roman"/>
          <w:sz w:val="24"/>
        </w:rPr>
        <w:t xml:space="preserve"> que dificultarían su cálculo y por lo tanto significarían errores de estimación. Este aspecto es esencial para el cumplimiento y fácil comunicación con el público.</w:t>
      </w:r>
      <w:r w:rsidR="00FB21A9" w:rsidRPr="003C7BD8">
        <w:rPr>
          <w:rFonts w:ascii="Times New Roman" w:hAnsi="Times New Roman" w:cs="Times New Roman"/>
          <w:sz w:val="24"/>
        </w:rPr>
        <w:t xml:space="preserve"> Al estar </w:t>
      </w:r>
      <w:r w:rsidR="00B24200" w:rsidRPr="003C7BD8">
        <w:rPr>
          <w:rFonts w:ascii="Times New Roman" w:hAnsi="Times New Roman" w:cs="Times New Roman"/>
          <w:sz w:val="24"/>
        </w:rPr>
        <w:t>la re</w:t>
      </w:r>
      <w:r w:rsidR="002B69B2" w:rsidRPr="003C7BD8">
        <w:rPr>
          <w:rFonts w:ascii="Times New Roman" w:hAnsi="Times New Roman" w:cs="Times New Roman"/>
          <w:sz w:val="24"/>
        </w:rPr>
        <w:t xml:space="preserve">gla determinada por una variable observable y entendible por el público, la rendición de cuentas </w:t>
      </w:r>
      <w:r w:rsidR="003E301C" w:rsidRPr="003C7BD8">
        <w:rPr>
          <w:rFonts w:ascii="Times New Roman" w:hAnsi="Times New Roman" w:cs="Times New Roman"/>
          <w:sz w:val="24"/>
        </w:rPr>
        <w:t xml:space="preserve">se facilita y eventualmente si </w:t>
      </w:r>
      <w:r w:rsidR="00C07FE4" w:rsidRPr="003C7BD8">
        <w:rPr>
          <w:rFonts w:ascii="Times New Roman" w:hAnsi="Times New Roman" w:cs="Times New Roman"/>
          <w:sz w:val="24"/>
        </w:rPr>
        <w:t xml:space="preserve">la regla se llega a cumplir sistemáticamente </w:t>
      </w:r>
      <w:r w:rsidR="003E301C" w:rsidRPr="003C7BD8">
        <w:rPr>
          <w:rFonts w:ascii="Times New Roman" w:hAnsi="Times New Roman" w:cs="Times New Roman"/>
          <w:sz w:val="24"/>
        </w:rPr>
        <w:t xml:space="preserve">el Ministerio de Hacienda </w:t>
      </w:r>
      <w:r w:rsidR="00C07FE4" w:rsidRPr="003C7BD8">
        <w:rPr>
          <w:rFonts w:ascii="Times New Roman" w:hAnsi="Times New Roman" w:cs="Times New Roman"/>
          <w:sz w:val="24"/>
        </w:rPr>
        <w:t xml:space="preserve">ganaría credibilidad, que es </w:t>
      </w:r>
      <w:r w:rsidR="00403687" w:rsidRPr="003C7BD8">
        <w:rPr>
          <w:rFonts w:ascii="Times New Roman" w:hAnsi="Times New Roman" w:cs="Times New Roman"/>
          <w:sz w:val="24"/>
        </w:rPr>
        <w:t xml:space="preserve">esencial para la efectividad de la política fiscal. </w:t>
      </w:r>
    </w:p>
    <w:p w14:paraId="33D1F9C0" w14:textId="78344BE6" w:rsidR="00403687" w:rsidRPr="003C7BD8" w:rsidRDefault="00451720" w:rsidP="00CE7447">
      <w:pPr>
        <w:spacing w:line="360" w:lineRule="auto"/>
        <w:jc w:val="both"/>
        <w:rPr>
          <w:rFonts w:ascii="Times New Roman" w:hAnsi="Times New Roman" w:cs="Times New Roman"/>
          <w:sz w:val="24"/>
        </w:rPr>
      </w:pPr>
      <w:r w:rsidRPr="00BD1492">
        <w:rPr>
          <w:rFonts w:ascii="Times New Roman" w:hAnsi="Times New Roman" w:cs="Times New Roman"/>
          <w:b/>
          <w:sz w:val="24"/>
        </w:rPr>
        <w:t>Ciclicidad</w:t>
      </w:r>
      <w:r w:rsidR="006A678C">
        <w:rPr>
          <w:rFonts w:ascii="Times New Roman" w:hAnsi="Times New Roman" w:cs="Times New Roman"/>
          <w:sz w:val="24"/>
        </w:rPr>
        <w:t xml:space="preserve">. </w:t>
      </w:r>
      <w:r w:rsidR="00403687" w:rsidRPr="003C7BD8">
        <w:rPr>
          <w:rFonts w:ascii="Times New Roman" w:hAnsi="Times New Roman" w:cs="Times New Roman"/>
          <w:sz w:val="24"/>
        </w:rPr>
        <w:t xml:space="preserve">Dentro de las características del diseño, uno de los riesgos con </w:t>
      </w:r>
      <w:r w:rsidR="00165CE9" w:rsidRPr="003C7BD8">
        <w:rPr>
          <w:rFonts w:ascii="Times New Roman" w:hAnsi="Times New Roman" w:cs="Times New Roman"/>
          <w:sz w:val="24"/>
        </w:rPr>
        <w:t>esta regla fiscal es que se vuelva procíclica, pues una de las condiciones que determina el crecimiento del gasto es el crecimiento del producto</w:t>
      </w:r>
      <w:r w:rsidR="00B62F2C" w:rsidRPr="003C7BD8">
        <w:rPr>
          <w:rFonts w:ascii="Times New Roman" w:hAnsi="Times New Roman" w:cs="Times New Roman"/>
          <w:sz w:val="24"/>
        </w:rPr>
        <w:t xml:space="preserve">, o </w:t>
      </w:r>
      <w:r w:rsidR="00165CE9" w:rsidRPr="003C7BD8">
        <w:rPr>
          <w:rFonts w:ascii="Times New Roman" w:hAnsi="Times New Roman" w:cs="Times New Roman"/>
          <w:sz w:val="24"/>
        </w:rPr>
        <w:t xml:space="preserve">sea, </w:t>
      </w:r>
      <w:r w:rsidR="00B62F2C" w:rsidRPr="003C7BD8">
        <w:rPr>
          <w:rFonts w:ascii="Times New Roman" w:hAnsi="Times New Roman" w:cs="Times New Roman"/>
          <w:sz w:val="24"/>
        </w:rPr>
        <w:t xml:space="preserve">el gasto tiene una relación positiva con la actividad económica. </w:t>
      </w:r>
      <w:r w:rsidR="00544D46" w:rsidRPr="003C7BD8">
        <w:rPr>
          <w:rFonts w:ascii="Times New Roman" w:hAnsi="Times New Roman" w:cs="Times New Roman"/>
          <w:sz w:val="24"/>
        </w:rPr>
        <w:t xml:space="preserve">Esta característica es habitual en algunas reglas de gasto. No obstante, </w:t>
      </w:r>
      <w:r w:rsidR="0058565B" w:rsidRPr="003C7BD8">
        <w:rPr>
          <w:rFonts w:ascii="Times New Roman" w:hAnsi="Times New Roman" w:cs="Times New Roman"/>
          <w:sz w:val="24"/>
        </w:rPr>
        <w:t>dentro de la Ley se determinó que el gasto crecerá una proporción de</w:t>
      </w:r>
      <w:r w:rsidR="00D80D70" w:rsidRPr="003C7BD8">
        <w:rPr>
          <w:rFonts w:ascii="Times New Roman" w:hAnsi="Times New Roman" w:cs="Times New Roman"/>
          <w:sz w:val="24"/>
        </w:rPr>
        <w:t xml:space="preserve">l crecimiento nominal de los últimos </w:t>
      </w:r>
      <w:r w:rsidR="001D58C2">
        <w:rPr>
          <w:rFonts w:ascii="Times New Roman" w:hAnsi="Times New Roman" w:cs="Times New Roman"/>
          <w:sz w:val="24"/>
        </w:rPr>
        <w:t>cuatro</w:t>
      </w:r>
      <w:r w:rsidR="001D58C2" w:rsidRPr="003C7BD8">
        <w:rPr>
          <w:rFonts w:ascii="Times New Roman" w:hAnsi="Times New Roman" w:cs="Times New Roman"/>
          <w:sz w:val="24"/>
        </w:rPr>
        <w:t xml:space="preserve"> </w:t>
      </w:r>
      <w:r w:rsidR="00D80D70" w:rsidRPr="003C7BD8">
        <w:rPr>
          <w:rFonts w:ascii="Times New Roman" w:hAnsi="Times New Roman" w:cs="Times New Roman"/>
          <w:sz w:val="24"/>
        </w:rPr>
        <w:t>años. De esta manera, se mitiga el riesgo de que la regla se vuelva procíclica</w:t>
      </w:r>
      <w:r w:rsidR="009A257A" w:rsidRPr="003C7BD8">
        <w:rPr>
          <w:rFonts w:ascii="Times New Roman" w:hAnsi="Times New Roman" w:cs="Times New Roman"/>
          <w:sz w:val="24"/>
        </w:rPr>
        <w:t xml:space="preserve">, pues al promediar los últimos </w:t>
      </w:r>
      <w:r w:rsidR="001365D2">
        <w:rPr>
          <w:rFonts w:ascii="Times New Roman" w:hAnsi="Times New Roman" w:cs="Times New Roman"/>
          <w:sz w:val="24"/>
        </w:rPr>
        <w:t>4</w:t>
      </w:r>
      <w:r w:rsidR="001365D2" w:rsidRPr="003C7BD8">
        <w:rPr>
          <w:rFonts w:ascii="Times New Roman" w:hAnsi="Times New Roman" w:cs="Times New Roman"/>
          <w:sz w:val="24"/>
        </w:rPr>
        <w:t xml:space="preserve"> </w:t>
      </w:r>
      <w:r w:rsidR="009A257A" w:rsidRPr="003C7BD8">
        <w:rPr>
          <w:rFonts w:ascii="Times New Roman" w:hAnsi="Times New Roman" w:cs="Times New Roman"/>
          <w:sz w:val="24"/>
        </w:rPr>
        <w:t xml:space="preserve">años entonces </w:t>
      </w:r>
      <w:r w:rsidR="00E346E5" w:rsidRPr="003C7BD8">
        <w:rPr>
          <w:rFonts w:ascii="Times New Roman" w:hAnsi="Times New Roman" w:cs="Times New Roman"/>
          <w:sz w:val="24"/>
        </w:rPr>
        <w:t xml:space="preserve">se suaviza el crecimiento de la producción y, por lo tanto, el gasto no se moverá </w:t>
      </w:r>
      <w:r w:rsidR="00FD51C5">
        <w:rPr>
          <w:rFonts w:ascii="Times New Roman" w:hAnsi="Times New Roman" w:cs="Times New Roman"/>
          <w:sz w:val="24"/>
        </w:rPr>
        <w:t xml:space="preserve">totalmente </w:t>
      </w:r>
      <w:r w:rsidR="00F7651B" w:rsidRPr="003C7BD8">
        <w:rPr>
          <w:rFonts w:ascii="Times New Roman" w:hAnsi="Times New Roman" w:cs="Times New Roman"/>
          <w:sz w:val="24"/>
        </w:rPr>
        <w:t xml:space="preserve">de forma sincronizada ni en la misma magnitud que </w:t>
      </w:r>
      <w:r w:rsidR="00512D0C" w:rsidRPr="003C7BD8">
        <w:rPr>
          <w:rFonts w:ascii="Times New Roman" w:hAnsi="Times New Roman" w:cs="Times New Roman"/>
          <w:sz w:val="24"/>
        </w:rPr>
        <w:t xml:space="preserve">el crecimiento nominal. </w:t>
      </w:r>
    </w:p>
    <w:p w14:paraId="1BD60A2D" w14:textId="6089E9B5" w:rsidR="00760251" w:rsidRDefault="006A678C" w:rsidP="00CE7447">
      <w:pPr>
        <w:spacing w:line="360" w:lineRule="auto"/>
        <w:jc w:val="both"/>
        <w:rPr>
          <w:rFonts w:ascii="Times New Roman" w:hAnsi="Times New Roman" w:cs="Times New Roman"/>
          <w:sz w:val="24"/>
        </w:rPr>
      </w:pPr>
      <w:r w:rsidRPr="007F4601">
        <w:rPr>
          <w:rFonts w:ascii="Times New Roman" w:hAnsi="Times New Roman" w:cs="Times New Roman"/>
          <w:b/>
          <w:sz w:val="24"/>
        </w:rPr>
        <w:t>Nominal versus Real</w:t>
      </w:r>
      <w:r>
        <w:rPr>
          <w:rFonts w:ascii="Times New Roman" w:hAnsi="Times New Roman" w:cs="Times New Roman"/>
          <w:sz w:val="24"/>
        </w:rPr>
        <w:t xml:space="preserve">. Dada </w:t>
      </w:r>
      <w:r w:rsidR="00512D0C" w:rsidRPr="003C7BD8">
        <w:rPr>
          <w:rFonts w:ascii="Times New Roman" w:hAnsi="Times New Roman" w:cs="Times New Roman"/>
          <w:sz w:val="24"/>
        </w:rPr>
        <w:t xml:space="preserve">la </w:t>
      </w:r>
      <w:r w:rsidR="00BD3CC6">
        <w:rPr>
          <w:rFonts w:ascii="Times New Roman" w:hAnsi="Times New Roman" w:cs="Times New Roman"/>
          <w:sz w:val="24"/>
        </w:rPr>
        <w:t>restricción</w:t>
      </w:r>
      <w:r w:rsidR="00BD3CC6" w:rsidRPr="003C7BD8">
        <w:rPr>
          <w:rFonts w:ascii="Times New Roman" w:hAnsi="Times New Roman" w:cs="Times New Roman"/>
          <w:sz w:val="24"/>
        </w:rPr>
        <w:t xml:space="preserve"> </w:t>
      </w:r>
      <w:r w:rsidR="00512D0C" w:rsidRPr="003C7BD8">
        <w:rPr>
          <w:rFonts w:ascii="Times New Roman" w:hAnsi="Times New Roman" w:cs="Times New Roman"/>
          <w:sz w:val="24"/>
        </w:rPr>
        <w:t xml:space="preserve">de producción, es importante destacar un posible riesgo: </w:t>
      </w:r>
      <w:r w:rsidR="00A86DE9" w:rsidRPr="003C7BD8">
        <w:rPr>
          <w:rFonts w:ascii="Times New Roman" w:hAnsi="Times New Roman" w:cs="Times New Roman"/>
          <w:sz w:val="24"/>
        </w:rPr>
        <w:t>cambios abruptos en inflación pueden tener efectos en el gasto.</w:t>
      </w:r>
      <w:r w:rsidR="00C40234" w:rsidRPr="003C7BD8">
        <w:rPr>
          <w:rFonts w:ascii="Times New Roman" w:hAnsi="Times New Roman" w:cs="Times New Roman"/>
          <w:sz w:val="24"/>
        </w:rPr>
        <w:t xml:space="preserve"> Esto porque la </w:t>
      </w:r>
      <w:r>
        <w:rPr>
          <w:rFonts w:ascii="Times New Roman" w:hAnsi="Times New Roman" w:cs="Times New Roman"/>
          <w:sz w:val="24"/>
        </w:rPr>
        <w:t>restricción</w:t>
      </w:r>
      <w:r w:rsidRPr="003C7BD8">
        <w:rPr>
          <w:rFonts w:ascii="Times New Roman" w:hAnsi="Times New Roman" w:cs="Times New Roman"/>
          <w:sz w:val="24"/>
        </w:rPr>
        <w:t xml:space="preserve"> </w:t>
      </w:r>
      <w:r w:rsidR="00C40234" w:rsidRPr="003C7BD8">
        <w:rPr>
          <w:rFonts w:ascii="Times New Roman" w:hAnsi="Times New Roman" w:cs="Times New Roman"/>
          <w:sz w:val="24"/>
        </w:rPr>
        <w:t xml:space="preserve">de producción </w:t>
      </w:r>
      <w:r w:rsidR="00291F74" w:rsidRPr="003C7BD8">
        <w:rPr>
          <w:rFonts w:ascii="Times New Roman" w:hAnsi="Times New Roman" w:cs="Times New Roman"/>
          <w:sz w:val="24"/>
        </w:rPr>
        <w:t xml:space="preserve">está en términos nominales, lo que </w:t>
      </w:r>
      <w:r w:rsidR="007D466E" w:rsidRPr="003C7BD8">
        <w:rPr>
          <w:rFonts w:ascii="Times New Roman" w:hAnsi="Times New Roman" w:cs="Times New Roman"/>
          <w:sz w:val="24"/>
        </w:rPr>
        <w:t xml:space="preserve">podría provocar que ante un cambio fuerte de inflación </w:t>
      </w:r>
      <w:r w:rsidR="00D6005A" w:rsidRPr="003C7BD8">
        <w:rPr>
          <w:rFonts w:ascii="Times New Roman" w:hAnsi="Times New Roman" w:cs="Times New Roman"/>
          <w:sz w:val="24"/>
        </w:rPr>
        <w:t xml:space="preserve">el </w:t>
      </w:r>
      <w:r w:rsidR="00F4349E" w:rsidRPr="003C7BD8">
        <w:rPr>
          <w:rFonts w:ascii="Times New Roman" w:hAnsi="Times New Roman" w:cs="Times New Roman"/>
          <w:sz w:val="24"/>
        </w:rPr>
        <w:t xml:space="preserve">crecimiento del gasto según la regla fiscal </w:t>
      </w:r>
      <w:r w:rsidR="000E7A2F" w:rsidRPr="003C7BD8">
        <w:rPr>
          <w:rFonts w:ascii="Times New Roman" w:hAnsi="Times New Roman" w:cs="Times New Roman"/>
          <w:sz w:val="24"/>
        </w:rPr>
        <w:t xml:space="preserve">podría no </w:t>
      </w:r>
      <w:r w:rsidR="00CA567E" w:rsidRPr="003C7BD8">
        <w:rPr>
          <w:rFonts w:ascii="Times New Roman" w:hAnsi="Times New Roman" w:cs="Times New Roman"/>
          <w:sz w:val="24"/>
        </w:rPr>
        <w:t xml:space="preserve">corresponderse con los objetivos de sostenibilidad. Por ejemplo, si </w:t>
      </w:r>
      <w:r w:rsidR="00BF2F62">
        <w:rPr>
          <w:rFonts w:ascii="Times New Roman" w:hAnsi="Times New Roman" w:cs="Times New Roman"/>
          <w:sz w:val="24"/>
        </w:rPr>
        <w:t>la economía</w:t>
      </w:r>
      <w:r w:rsidR="00CA567E" w:rsidRPr="003C7BD8">
        <w:rPr>
          <w:rFonts w:ascii="Times New Roman" w:hAnsi="Times New Roman" w:cs="Times New Roman"/>
          <w:sz w:val="24"/>
        </w:rPr>
        <w:t xml:space="preserve"> sufre </w:t>
      </w:r>
      <w:r>
        <w:rPr>
          <w:rFonts w:ascii="Times New Roman" w:hAnsi="Times New Roman" w:cs="Times New Roman"/>
          <w:sz w:val="24"/>
        </w:rPr>
        <w:t>un golpe inflacionario</w:t>
      </w:r>
      <w:r w:rsidR="00CA567E" w:rsidRPr="003C7BD8">
        <w:rPr>
          <w:rFonts w:ascii="Times New Roman" w:hAnsi="Times New Roman" w:cs="Times New Roman"/>
          <w:sz w:val="24"/>
        </w:rPr>
        <w:t xml:space="preserve"> en determinado año </w:t>
      </w:r>
      <w:r>
        <w:rPr>
          <w:rFonts w:ascii="Times New Roman" w:hAnsi="Times New Roman" w:cs="Times New Roman"/>
          <w:sz w:val="24"/>
        </w:rPr>
        <w:t xml:space="preserve">se genera una reducción </w:t>
      </w:r>
      <w:r w:rsidR="00BF2F62">
        <w:rPr>
          <w:rFonts w:ascii="Times New Roman" w:hAnsi="Times New Roman" w:cs="Times New Roman"/>
          <w:sz w:val="24"/>
        </w:rPr>
        <w:t>significativa</w:t>
      </w:r>
      <w:r>
        <w:rPr>
          <w:rFonts w:ascii="Times New Roman" w:hAnsi="Times New Roman" w:cs="Times New Roman"/>
          <w:sz w:val="24"/>
        </w:rPr>
        <w:t xml:space="preserve"> en el gasto corriente </w:t>
      </w:r>
      <w:r w:rsidR="00BF2F62">
        <w:rPr>
          <w:rFonts w:ascii="Times New Roman" w:hAnsi="Times New Roman" w:cs="Times New Roman"/>
          <w:sz w:val="24"/>
        </w:rPr>
        <w:t xml:space="preserve">real </w:t>
      </w:r>
      <w:r>
        <w:rPr>
          <w:rFonts w:ascii="Times New Roman" w:hAnsi="Times New Roman" w:cs="Times New Roman"/>
          <w:sz w:val="24"/>
        </w:rPr>
        <w:t xml:space="preserve">debido al </w:t>
      </w:r>
      <w:r w:rsidR="00BF2F62">
        <w:rPr>
          <w:rFonts w:ascii="Times New Roman" w:hAnsi="Times New Roman" w:cs="Times New Roman"/>
          <w:sz w:val="24"/>
        </w:rPr>
        <w:t>límite nominal del crecimiento promedio de los 4 años previos</w:t>
      </w:r>
      <w:r w:rsidR="005465BB" w:rsidRPr="003C7BD8">
        <w:rPr>
          <w:rFonts w:ascii="Times New Roman" w:hAnsi="Times New Roman" w:cs="Times New Roman"/>
          <w:sz w:val="24"/>
        </w:rPr>
        <w:t xml:space="preserve">. </w:t>
      </w:r>
      <w:r w:rsidR="00BF2F62">
        <w:rPr>
          <w:rFonts w:ascii="Times New Roman" w:hAnsi="Times New Roman" w:cs="Times New Roman"/>
          <w:sz w:val="24"/>
        </w:rPr>
        <w:t xml:space="preserve">A la inversa, una baja repentina de la inflación anual respecto al cuatrienio anterior puede permitir un gasto corriente mayor en términos reales al tener un límite nominal mayor. </w:t>
      </w:r>
      <w:r w:rsidR="005465BB" w:rsidRPr="003C7BD8">
        <w:rPr>
          <w:rFonts w:ascii="Times New Roman" w:hAnsi="Times New Roman" w:cs="Times New Roman"/>
          <w:sz w:val="24"/>
        </w:rPr>
        <w:t xml:space="preserve">Esto es particularmente importante, pues estos cambios podrían provocar que el gasto se ubique en niveles subóptimos y atentar contra la sostenibilidad fiscal. </w:t>
      </w:r>
      <w:r w:rsidR="006863D5" w:rsidRPr="003C7BD8">
        <w:rPr>
          <w:rFonts w:ascii="Times New Roman" w:hAnsi="Times New Roman" w:cs="Times New Roman"/>
          <w:sz w:val="24"/>
        </w:rPr>
        <w:t xml:space="preserve">A pesar de que estos episodios </w:t>
      </w:r>
      <w:r w:rsidR="002D5B83">
        <w:rPr>
          <w:rFonts w:ascii="Times New Roman" w:hAnsi="Times New Roman" w:cs="Times New Roman"/>
          <w:sz w:val="24"/>
        </w:rPr>
        <w:t>ser</w:t>
      </w:r>
      <w:r w:rsidR="00367F2B" w:rsidRPr="00367F2B">
        <w:rPr>
          <w:rFonts w:ascii="Times New Roman" w:hAnsi="Times New Roman" w:cs="Times New Roman"/>
          <w:sz w:val="24"/>
        </w:rPr>
        <w:t>í</w:t>
      </w:r>
      <w:r w:rsidR="002D5B83">
        <w:rPr>
          <w:rFonts w:ascii="Times New Roman" w:hAnsi="Times New Roman" w:cs="Times New Roman"/>
          <w:sz w:val="24"/>
        </w:rPr>
        <w:t>an inesperados dada la evolución reciente</w:t>
      </w:r>
      <w:r w:rsidR="00367F2B">
        <w:rPr>
          <w:rFonts w:ascii="Times New Roman" w:hAnsi="Times New Roman" w:cs="Times New Roman"/>
          <w:sz w:val="24"/>
        </w:rPr>
        <w:t>,</w:t>
      </w:r>
      <w:r w:rsidR="00282A52">
        <w:rPr>
          <w:rStyle w:val="FootnoteReference"/>
          <w:rFonts w:ascii="Times New Roman" w:hAnsi="Times New Roman" w:cs="Times New Roman"/>
          <w:sz w:val="24"/>
        </w:rPr>
        <w:footnoteReference w:id="16"/>
      </w:r>
      <w:r w:rsidR="006863D5" w:rsidRPr="003C7BD8">
        <w:rPr>
          <w:rFonts w:ascii="Times New Roman" w:hAnsi="Times New Roman" w:cs="Times New Roman"/>
          <w:sz w:val="24"/>
        </w:rPr>
        <w:t xml:space="preserve"> es importante que se tomen </w:t>
      </w:r>
      <w:r w:rsidR="00407A86" w:rsidRPr="003C7BD8">
        <w:rPr>
          <w:rFonts w:ascii="Times New Roman" w:hAnsi="Times New Roman" w:cs="Times New Roman"/>
          <w:sz w:val="24"/>
        </w:rPr>
        <w:t xml:space="preserve">medidas para </w:t>
      </w:r>
      <w:r w:rsidR="00497EF3">
        <w:rPr>
          <w:rFonts w:ascii="Times New Roman" w:hAnsi="Times New Roman" w:cs="Times New Roman"/>
          <w:sz w:val="24"/>
        </w:rPr>
        <w:t>aplicar el espíritu</w:t>
      </w:r>
      <w:r w:rsidR="00830479" w:rsidRPr="003C7BD8">
        <w:rPr>
          <w:rFonts w:ascii="Times New Roman" w:hAnsi="Times New Roman" w:cs="Times New Roman"/>
          <w:sz w:val="24"/>
        </w:rPr>
        <w:t xml:space="preserve"> de la regla ante </w:t>
      </w:r>
      <w:r w:rsidR="004057C0" w:rsidRPr="003C7BD8">
        <w:rPr>
          <w:rFonts w:ascii="Times New Roman" w:hAnsi="Times New Roman" w:cs="Times New Roman"/>
          <w:sz w:val="24"/>
        </w:rPr>
        <w:t>la materialización de alguno de estos casos.</w:t>
      </w:r>
      <w:r w:rsidR="00D9229E">
        <w:rPr>
          <w:rFonts w:ascii="Times New Roman" w:hAnsi="Times New Roman" w:cs="Times New Roman"/>
          <w:sz w:val="24"/>
        </w:rPr>
        <w:t xml:space="preserve"> </w:t>
      </w:r>
    </w:p>
    <w:p w14:paraId="3F242244" w14:textId="410B536A" w:rsidR="007B4EEF" w:rsidRPr="003C7BD8" w:rsidRDefault="00497EF3" w:rsidP="00CE7447">
      <w:pPr>
        <w:spacing w:line="360" w:lineRule="auto"/>
        <w:jc w:val="both"/>
        <w:rPr>
          <w:rFonts w:ascii="Times New Roman" w:hAnsi="Times New Roman" w:cs="Times New Roman"/>
          <w:sz w:val="24"/>
        </w:rPr>
      </w:pPr>
      <w:r>
        <w:rPr>
          <w:rFonts w:ascii="Times New Roman" w:hAnsi="Times New Roman" w:cs="Times New Roman"/>
          <w:sz w:val="24"/>
        </w:rPr>
        <w:t xml:space="preserve">En la experiencia internacional, </w:t>
      </w:r>
      <w:r w:rsidR="009A28C6">
        <w:rPr>
          <w:rFonts w:ascii="Times New Roman" w:hAnsi="Times New Roman" w:cs="Times New Roman"/>
          <w:sz w:val="24"/>
        </w:rPr>
        <w:t>l</w:t>
      </w:r>
      <w:r>
        <w:rPr>
          <w:rFonts w:ascii="Times New Roman" w:hAnsi="Times New Roman" w:cs="Times New Roman"/>
          <w:sz w:val="24"/>
        </w:rPr>
        <w:t xml:space="preserve">a elección de </w:t>
      </w:r>
      <w:r w:rsidR="00AF075C">
        <w:rPr>
          <w:rFonts w:ascii="Times New Roman" w:hAnsi="Times New Roman" w:cs="Times New Roman"/>
          <w:sz w:val="24"/>
        </w:rPr>
        <w:t xml:space="preserve">gasto (corriente) nominal </w:t>
      </w:r>
      <w:r>
        <w:rPr>
          <w:rFonts w:ascii="Times New Roman" w:hAnsi="Times New Roman" w:cs="Times New Roman"/>
          <w:sz w:val="24"/>
        </w:rPr>
        <w:t>es mejor en el corto plazo (Mills et al, 2002) en función de su transparencia y</w:t>
      </w:r>
      <w:r w:rsidR="00AF075C">
        <w:rPr>
          <w:rFonts w:ascii="Times New Roman" w:hAnsi="Times New Roman" w:cs="Times New Roman"/>
          <w:sz w:val="24"/>
        </w:rPr>
        <w:t xml:space="preserve"> monitoreo que tomarlo en términos (de crecimiento) real</w:t>
      </w:r>
      <w:r w:rsidR="006114CA">
        <w:rPr>
          <w:rFonts w:ascii="Times New Roman" w:hAnsi="Times New Roman" w:cs="Times New Roman"/>
          <w:sz w:val="24"/>
        </w:rPr>
        <w:t>es</w:t>
      </w:r>
      <w:r w:rsidR="00AF075C">
        <w:rPr>
          <w:rFonts w:ascii="Times New Roman" w:hAnsi="Times New Roman" w:cs="Times New Roman"/>
          <w:sz w:val="24"/>
        </w:rPr>
        <w:t>.</w:t>
      </w:r>
      <w:r w:rsidR="009A28C6">
        <w:rPr>
          <w:rStyle w:val="FootnoteReference"/>
          <w:rFonts w:ascii="Times New Roman" w:hAnsi="Times New Roman" w:cs="Times New Roman"/>
          <w:sz w:val="24"/>
        </w:rPr>
        <w:footnoteReference w:id="17"/>
      </w:r>
      <w:r w:rsidR="00AF075C">
        <w:rPr>
          <w:rFonts w:ascii="Times New Roman" w:hAnsi="Times New Roman" w:cs="Times New Roman"/>
          <w:sz w:val="24"/>
        </w:rPr>
        <w:t xml:space="preserve"> Inclusive, en el caso de un shock positivo de demanda o uno negativo de oferta, la reducción real del gasto favorece la estabilización de la economía. Sin embargo, tanto para la presupuestación anual como para </w:t>
      </w:r>
      <w:r w:rsidR="00911E26">
        <w:rPr>
          <w:rFonts w:ascii="Times New Roman" w:hAnsi="Times New Roman" w:cs="Times New Roman"/>
          <w:sz w:val="24"/>
        </w:rPr>
        <w:t xml:space="preserve">las relevantes estimaciones en </w:t>
      </w:r>
      <w:r w:rsidR="00AF075C">
        <w:rPr>
          <w:rFonts w:ascii="Times New Roman" w:hAnsi="Times New Roman" w:cs="Times New Roman"/>
          <w:sz w:val="24"/>
        </w:rPr>
        <w:t xml:space="preserve">el mediano plazo (marco fiscal de mediano plazo) </w:t>
      </w:r>
      <w:r w:rsidR="00911E26">
        <w:rPr>
          <w:rFonts w:ascii="Times New Roman" w:hAnsi="Times New Roman" w:cs="Times New Roman"/>
          <w:sz w:val="24"/>
        </w:rPr>
        <w:t>la adopción</w:t>
      </w:r>
      <w:r w:rsidR="00AF075C">
        <w:rPr>
          <w:rFonts w:ascii="Times New Roman" w:hAnsi="Times New Roman" w:cs="Times New Roman"/>
          <w:sz w:val="24"/>
        </w:rPr>
        <w:t xml:space="preserve"> </w:t>
      </w:r>
      <w:r w:rsidR="00911E26">
        <w:rPr>
          <w:rFonts w:ascii="Times New Roman" w:hAnsi="Times New Roman" w:cs="Times New Roman"/>
          <w:sz w:val="24"/>
        </w:rPr>
        <w:t>d</w:t>
      </w:r>
      <w:r w:rsidR="00AF075C">
        <w:rPr>
          <w:rFonts w:ascii="Times New Roman" w:hAnsi="Times New Roman" w:cs="Times New Roman"/>
          <w:sz w:val="24"/>
        </w:rPr>
        <w:t xml:space="preserve">el análisis </w:t>
      </w:r>
      <w:r w:rsidR="00911E26">
        <w:rPr>
          <w:rFonts w:ascii="Times New Roman" w:hAnsi="Times New Roman" w:cs="Times New Roman"/>
          <w:sz w:val="24"/>
        </w:rPr>
        <w:t>(</w:t>
      </w:r>
      <w:r w:rsidR="00AF075C">
        <w:rPr>
          <w:rFonts w:ascii="Times New Roman" w:hAnsi="Times New Roman" w:cs="Times New Roman"/>
          <w:sz w:val="24"/>
        </w:rPr>
        <w:t>del crecimiento</w:t>
      </w:r>
      <w:r w:rsidR="00911E26">
        <w:rPr>
          <w:rFonts w:ascii="Times New Roman" w:hAnsi="Times New Roman" w:cs="Times New Roman"/>
          <w:sz w:val="24"/>
        </w:rPr>
        <w:t>)</w:t>
      </w:r>
      <w:r w:rsidR="00AF075C">
        <w:rPr>
          <w:rFonts w:ascii="Times New Roman" w:hAnsi="Times New Roman" w:cs="Times New Roman"/>
          <w:sz w:val="24"/>
        </w:rPr>
        <w:t xml:space="preserve"> real es lo adecuado</w:t>
      </w:r>
      <w:r w:rsidR="009A28C6">
        <w:rPr>
          <w:rFonts w:ascii="Times New Roman" w:hAnsi="Times New Roman" w:cs="Times New Roman"/>
          <w:sz w:val="24"/>
        </w:rPr>
        <w:t xml:space="preserve"> para evitar el sesgo procíclico y los ajustes inapropiados anuales</w:t>
      </w:r>
      <w:r w:rsidR="00742BC5">
        <w:rPr>
          <w:rFonts w:ascii="Times New Roman" w:hAnsi="Times New Roman" w:cs="Times New Roman"/>
          <w:sz w:val="24"/>
        </w:rPr>
        <w:t xml:space="preserve">, </w:t>
      </w:r>
      <w:r w:rsidR="00386327">
        <w:rPr>
          <w:rFonts w:ascii="Times New Roman" w:hAnsi="Times New Roman" w:cs="Times New Roman"/>
          <w:sz w:val="24"/>
        </w:rPr>
        <w:t>a pesar de que</w:t>
      </w:r>
      <w:r w:rsidR="00742BC5">
        <w:rPr>
          <w:rFonts w:ascii="Times New Roman" w:hAnsi="Times New Roman" w:cs="Times New Roman"/>
          <w:sz w:val="24"/>
        </w:rPr>
        <w:t xml:space="preserve"> las cifras de presentación y control de ejecución sean nominales</w:t>
      </w:r>
      <w:r w:rsidR="009A28C6">
        <w:rPr>
          <w:rFonts w:ascii="Times New Roman" w:hAnsi="Times New Roman" w:cs="Times New Roman"/>
          <w:sz w:val="24"/>
        </w:rPr>
        <w:t xml:space="preserve"> (</w:t>
      </w:r>
      <w:r w:rsidR="006F31B4">
        <w:rPr>
          <w:rFonts w:ascii="Times New Roman" w:hAnsi="Times New Roman" w:cs="Times New Roman"/>
          <w:sz w:val="24"/>
        </w:rPr>
        <w:t>Ayuso, 2012</w:t>
      </w:r>
      <w:r w:rsidR="009A28C6">
        <w:rPr>
          <w:rFonts w:ascii="Times New Roman" w:hAnsi="Times New Roman" w:cs="Times New Roman"/>
          <w:sz w:val="24"/>
        </w:rPr>
        <w:t>).</w:t>
      </w:r>
      <w:r w:rsidR="00386327">
        <w:rPr>
          <w:rFonts w:ascii="Times New Roman" w:hAnsi="Times New Roman" w:cs="Times New Roman"/>
          <w:sz w:val="24"/>
        </w:rPr>
        <w:t xml:space="preserve"> </w:t>
      </w:r>
      <w:r w:rsidR="00BF2F62">
        <w:rPr>
          <w:rFonts w:ascii="Times New Roman" w:hAnsi="Times New Roman" w:cs="Times New Roman"/>
          <w:sz w:val="24"/>
        </w:rPr>
        <w:t xml:space="preserve">En la </w:t>
      </w:r>
      <w:r w:rsidR="001365D2">
        <w:rPr>
          <w:rFonts w:ascii="Times New Roman" w:hAnsi="Times New Roman" w:cs="Times New Roman"/>
          <w:sz w:val="24"/>
        </w:rPr>
        <w:t>práctica</w:t>
      </w:r>
      <w:r w:rsidR="00BF2F62">
        <w:rPr>
          <w:rFonts w:ascii="Times New Roman" w:hAnsi="Times New Roman" w:cs="Times New Roman"/>
          <w:sz w:val="24"/>
        </w:rPr>
        <w:t xml:space="preserve">, el seguimiento trimestral de la evolución de los agregados nominales </w:t>
      </w:r>
      <w:r w:rsidR="002D5B83">
        <w:rPr>
          <w:rFonts w:ascii="Times New Roman" w:hAnsi="Times New Roman" w:cs="Times New Roman"/>
          <w:sz w:val="24"/>
        </w:rPr>
        <w:t xml:space="preserve">es crucial para </w:t>
      </w:r>
      <w:r w:rsidR="00BF2F62">
        <w:rPr>
          <w:rFonts w:ascii="Times New Roman" w:hAnsi="Times New Roman" w:cs="Times New Roman"/>
          <w:sz w:val="24"/>
        </w:rPr>
        <w:t xml:space="preserve">evitar desajustes reales fruto de saltos inflacionarios e inclusive crecimientos reales </w:t>
      </w:r>
      <w:r w:rsidR="001365D2">
        <w:rPr>
          <w:rFonts w:ascii="Times New Roman" w:hAnsi="Times New Roman" w:cs="Times New Roman"/>
          <w:sz w:val="24"/>
        </w:rPr>
        <w:t>imprevistos</w:t>
      </w:r>
      <w:r w:rsidR="00527C85">
        <w:rPr>
          <w:rFonts w:ascii="Times New Roman" w:hAnsi="Times New Roman" w:cs="Times New Roman"/>
          <w:sz w:val="24"/>
        </w:rPr>
        <w:t>,</w:t>
      </w:r>
      <w:r w:rsidR="006F31B4">
        <w:rPr>
          <w:rFonts w:ascii="Times New Roman" w:hAnsi="Times New Roman" w:cs="Times New Roman"/>
          <w:sz w:val="24"/>
        </w:rPr>
        <w:t xml:space="preserve"> para un mejor control del cumplimento de la regla</w:t>
      </w:r>
      <w:r w:rsidR="001365D2">
        <w:rPr>
          <w:rFonts w:ascii="Times New Roman" w:hAnsi="Times New Roman" w:cs="Times New Roman"/>
          <w:sz w:val="24"/>
        </w:rPr>
        <w:t>.</w:t>
      </w:r>
      <w:r w:rsidR="007E575C">
        <w:rPr>
          <w:rFonts w:ascii="Times New Roman" w:hAnsi="Times New Roman" w:cs="Times New Roman"/>
          <w:sz w:val="24"/>
        </w:rPr>
        <w:t xml:space="preserve"> </w:t>
      </w:r>
    </w:p>
    <w:p w14:paraId="75F016E8" w14:textId="77777777" w:rsidR="00EA0D28" w:rsidRDefault="007B4EEF"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Cobertura.</w:t>
      </w:r>
      <w:r w:rsidR="00F24E00" w:rsidRPr="003C7BD8">
        <w:rPr>
          <w:rFonts w:ascii="Times New Roman" w:hAnsi="Times New Roman" w:cs="Times New Roman"/>
          <w:b/>
          <w:sz w:val="24"/>
        </w:rPr>
        <w:t xml:space="preserve"> </w:t>
      </w:r>
      <w:r w:rsidR="00F24E00" w:rsidRPr="003C7BD8">
        <w:rPr>
          <w:rFonts w:ascii="Times New Roman" w:hAnsi="Times New Roman" w:cs="Times New Roman"/>
          <w:sz w:val="24"/>
        </w:rPr>
        <w:t xml:space="preserve">De acuerdo con </w:t>
      </w:r>
      <w:proofErr w:type="spellStart"/>
      <w:r w:rsidR="00F24E00" w:rsidRPr="003C7BD8">
        <w:rPr>
          <w:rFonts w:ascii="Times New Roman" w:hAnsi="Times New Roman" w:cs="Times New Roman"/>
          <w:sz w:val="24"/>
        </w:rPr>
        <w:t>Caselli</w:t>
      </w:r>
      <w:proofErr w:type="spellEnd"/>
      <w:r w:rsidR="00F24E00" w:rsidRPr="003C7BD8">
        <w:rPr>
          <w:rFonts w:ascii="Times New Roman" w:hAnsi="Times New Roman" w:cs="Times New Roman"/>
          <w:sz w:val="24"/>
        </w:rPr>
        <w:t xml:space="preserve"> </w:t>
      </w:r>
      <w:r w:rsidR="00F24E00" w:rsidRPr="003C7BD8">
        <w:rPr>
          <w:rFonts w:ascii="Times New Roman" w:hAnsi="Times New Roman" w:cs="Times New Roman"/>
          <w:i/>
          <w:sz w:val="24"/>
        </w:rPr>
        <w:t>et al.</w:t>
      </w:r>
      <w:r w:rsidR="00F24E00" w:rsidRPr="003C7BD8">
        <w:rPr>
          <w:rFonts w:ascii="Times New Roman" w:hAnsi="Times New Roman" w:cs="Times New Roman"/>
          <w:sz w:val="24"/>
        </w:rPr>
        <w:t xml:space="preserve"> (2018)</w:t>
      </w:r>
      <w:r w:rsidR="00C64BD7" w:rsidRPr="003C7BD8">
        <w:rPr>
          <w:rFonts w:ascii="Times New Roman" w:hAnsi="Times New Roman" w:cs="Times New Roman"/>
          <w:sz w:val="24"/>
        </w:rPr>
        <w:t xml:space="preserve"> </w:t>
      </w:r>
      <w:r w:rsidR="00170AFC" w:rsidRPr="003C7BD8">
        <w:rPr>
          <w:rFonts w:ascii="Times New Roman" w:hAnsi="Times New Roman" w:cs="Times New Roman"/>
          <w:sz w:val="24"/>
        </w:rPr>
        <w:t xml:space="preserve">las reglas fiscales </w:t>
      </w:r>
      <w:r w:rsidR="00E6377D" w:rsidRPr="003C7BD8">
        <w:rPr>
          <w:rFonts w:ascii="Times New Roman" w:hAnsi="Times New Roman" w:cs="Times New Roman"/>
          <w:sz w:val="24"/>
        </w:rPr>
        <w:t xml:space="preserve">exitosas, por lo general, tienen una cobertura </w:t>
      </w:r>
      <w:r w:rsidR="003D37A2" w:rsidRPr="003C7BD8">
        <w:rPr>
          <w:rFonts w:ascii="Times New Roman" w:hAnsi="Times New Roman" w:cs="Times New Roman"/>
          <w:sz w:val="24"/>
        </w:rPr>
        <w:t xml:space="preserve">institucional </w:t>
      </w:r>
      <w:r w:rsidR="00E6377D" w:rsidRPr="003C7BD8">
        <w:rPr>
          <w:rFonts w:ascii="Times New Roman" w:hAnsi="Times New Roman" w:cs="Times New Roman"/>
          <w:sz w:val="24"/>
        </w:rPr>
        <w:t>amplia</w:t>
      </w:r>
      <w:r w:rsidR="003D37A2" w:rsidRPr="003C7BD8">
        <w:rPr>
          <w:rFonts w:ascii="Times New Roman" w:hAnsi="Times New Roman" w:cs="Times New Roman"/>
          <w:sz w:val="24"/>
        </w:rPr>
        <w:t xml:space="preserve">. La de Costa Rica cubre casi todo el sector público no financiero, donde se exceptúan </w:t>
      </w:r>
      <w:r w:rsidR="00B02765" w:rsidRPr="003C7BD8">
        <w:rPr>
          <w:rFonts w:ascii="Times New Roman" w:hAnsi="Times New Roman" w:cs="Times New Roman"/>
          <w:sz w:val="24"/>
        </w:rPr>
        <w:t>instituciones como la CCSS</w:t>
      </w:r>
      <w:r w:rsidR="00BE0FAC">
        <w:rPr>
          <w:rFonts w:ascii="Times New Roman" w:hAnsi="Times New Roman" w:cs="Times New Roman"/>
          <w:sz w:val="24"/>
        </w:rPr>
        <w:t xml:space="preserve"> en pensiones exclusivamente, </w:t>
      </w:r>
      <w:r w:rsidR="00B02765" w:rsidRPr="003C7BD8">
        <w:rPr>
          <w:rFonts w:ascii="Times New Roman" w:hAnsi="Times New Roman" w:cs="Times New Roman"/>
          <w:sz w:val="24"/>
        </w:rPr>
        <w:t>empresas públicas bajo competencia</w:t>
      </w:r>
      <w:r w:rsidR="00A95C47" w:rsidRPr="00A95C47">
        <w:t xml:space="preserve"> </w:t>
      </w:r>
      <w:r w:rsidR="00A95C47">
        <w:rPr>
          <w:rFonts w:ascii="Times New Roman" w:hAnsi="Times New Roman" w:cs="Times New Roman"/>
          <w:sz w:val="24"/>
        </w:rPr>
        <w:t>s</w:t>
      </w:r>
      <w:r w:rsidR="00A95C47" w:rsidRPr="00A95C47">
        <w:rPr>
          <w:rFonts w:ascii="Times New Roman" w:hAnsi="Times New Roman" w:cs="Times New Roman"/>
          <w:sz w:val="24"/>
        </w:rPr>
        <w:t xml:space="preserve">i no constituyen riesgo fiscal </w:t>
      </w:r>
      <w:r w:rsidR="00A95C47">
        <w:rPr>
          <w:rFonts w:ascii="Times New Roman" w:hAnsi="Times New Roman" w:cs="Times New Roman"/>
          <w:sz w:val="24"/>
        </w:rPr>
        <w:t xml:space="preserve">determinado </w:t>
      </w:r>
      <w:r w:rsidR="00A95C47" w:rsidRPr="00A95C47">
        <w:rPr>
          <w:rFonts w:ascii="Times New Roman" w:hAnsi="Times New Roman" w:cs="Times New Roman"/>
          <w:sz w:val="24"/>
        </w:rPr>
        <w:t>por su razón deuda a activos (art. 6)</w:t>
      </w:r>
      <w:r w:rsidR="00A95C47">
        <w:rPr>
          <w:rFonts w:ascii="Times New Roman" w:hAnsi="Times New Roman" w:cs="Times New Roman"/>
          <w:sz w:val="24"/>
        </w:rPr>
        <w:t>,</w:t>
      </w:r>
      <w:r w:rsidR="00B02765" w:rsidRPr="003C7BD8">
        <w:rPr>
          <w:rFonts w:ascii="Times New Roman" w:hAnsi="Times New Roman" w:cs="Times New Roman"/>
          <w:sz w:val="24"/>
        </w:rPr>
        <w:t xml:space="preserve"> y la factura petrolera de RECOPE.</w:t>
      </w:r>
      <w:r w:rsidR="00527C85">
        <w:rPr>
          <w:rStyle w:val="FootnoteReference"/>
          <w:rFonts w:ascii="Times New Roman" w:hAnsi="Times New Roman" w:cs="Times New Roman"/>
          <w:sz w:val="24"/>
        </w:rPr>
        <w:footnoteReference w:id="18"/>
      </w:r>
      <w:r w:rsidR="00B02765" w:rsidRPr="003C7BD8">
        <w:rPr>
          <w:rFonts w:ascii="Times New Roman" w:hAnsi="Times New Roman" w:cs="Times New Roman"/>
          <w:sz w:val="24"/>
        </w:rPr>
        <w:t xml:space="preserve"> </w:t>
      </w:r>
      <w:r w:rsidR="00EA0D28">
        <w:rPr>
          <w:rFonts w:ascii="Times New Roman" w:hAnsi="Times New Roman" w:cs="Times New Roman"/>
          <w:sz w:val="24"/>
        </w:rPr>
        <w:t>Por lo que s</w:t>
      </w:r>
      <w:r w:rsidR="00B02765" w:rsidRPr="003C7BD8">
        <w:rPr>
          <w:rFonts w:ascii="Times New Roman" w:hAnsi="Times New Roman" w:cs="Times New Roman"/>
          <w:sz w:val="24"/>
        </w:rPr>
        <w:t xml:space="preserve">e debe destacar esta característica como una fortaleza. </w:t>
      </w:r>
    </w:p>
    <w:p w14:paraId="49359AA0" w14:textId="6B79551C" w:rsidR="008C2242" w:rsidRPr="003C7BD8" w:rsidRDefault="00D0039E" w:rsidP="00CE7447">
      <w:pPr>
        <w:spacing w:line="360" w:lineRule="auto"/>
        <w:jc w:val="both"/>
        <w:rPr>
          <w:rFonts w:ascii="Times New Roman" w:hAnsi="Times New Roman" w:cs="Times New Roman"/>
          <w:sz w:val="24"/>
        </w:rPr>
      </w:pPr>
      <w:r w:rsidRPr="003C7BD8">
        <w:rPr>
          <w:rFonts w:ascii="Times New Roman" w:hAnsi="Times New Roman" w:cs="Times New Roman"/>
          <w:sz w:val="24"/>
        </w:rPr>
        <w:t xml:space="preserve">Sin embargo, </w:t>
      </w:r>
      <w:r w:rsidR="00641EDE" w:rsidRPr="003C7BD8">
        <w:rPr>
          <w:rFonts w:ascii="Times New Roman" w:hAnsi="Times New Roman" w:cs="Times New Roman"/>
          <w:sz w:val="24"/>
        </w:rPr>
        <w:t xml:space="preserve">debe tenerse precaución con </w:t>
      </w:r>
      <w:r w:rsidR="00551BF1" w:rsidRPr="003C7BD8">
        <w:rPr>
          <w:rFonts w:ascii="Times New Roman" w:hAnsi="Times New Roman" w:cs="Times New Roman"/>
          <w:sz w:val="24"/>
        </w:rPr>
        <w:t xml:space="preserve">las asignaciones que se incluyan en la regla fiscal, </w:t>
      </w:r>
      <w:r w:rsidR="00515FF5" w:rsidRPr="003C7BD8">
        <w:rPr>
          <w:rFonts w:ascii="Times New Roman" w:hAnsi="Times New Roman" w:cs="Times New Roman"/>
          <w:sz w:val="24"/>
        </w:rPr>
        <w:t xml:space="preserve">pues estas </w:t>
      </w:r>
      <w:r w:rsidR="008C2242" w:rsidRPr="003C7BD8">
        <w:rPr>
          <w:rFonts w:ascii="Times New Roman" w:hAnsi="Times New Roman" w:cs="Times New Roman"/>
          <w:sz w:val="24"/>
        </w:rPr>
        <w:t xml:space="preserve">abren la posibilidad de </w:t>
      </w:r>
      <w:r w:rsidR="00A95C47">
        <w:rPr>
          <w:rFonts w:ascii="Times New Roman" w:hAnsi="Times New Roman" w:cs="Times New Roman"/>
          <w:sz w:val="24"/>
        </w:rPr>
        <w:t>“contabilidades creativas”</w:t>
      </w:r>
      <w:r w:rsidR="008C2242" w:rsidRPr="003C7BD8">
        <w:rPr>
          <w:rFonts w:ascii="Times New Roman" w:hAnsi="Times New Roman" w:cs="Times New Roman"/>
          <w:sz w:val="24"/>
        </w:rPr>
        <w:t xml:space="preserve"> como suele suceder en países con un menor desarrollo institucional</w:t>
      </w:r>
      <w:r w:rsidR="00A95C47">
        <w:rPr>
          <w:rFonts w:ascii="Times New Roman" w:hAnsi="Times New Roman" w:cs="Times New Roman"/>
          <w:sz w:val="24"/>
        </w:rPr>
        <w:t xml:space="preserve"> o apego a la disciplina fiscal. </w:t>
      </w:r>
      <w:r w:rsidR="00776B86">
        <w:rPr>
          <w:rFonts w:ascii="Times New Roman" w:hAnsi="Times New Roman" w:cs="Times New Roman"/>
          <w:sz w:val="24"/>
        </w:rPr>
        <w:t xml:space="preserve">Así, </w:t>
      </w:r>
      <w:r w:rsidR="00776B86" w:rsidRPr="003C7BD8">
        <w:rPr>
          <w:rFonts w:ascii="Times New Roman" w:hAnsi="Times New Roman" w:cs="Times New Roman"/>
          <w:sz w:val="24"/>
        </w:rPr>
        <w:t>puede</w:t>
      </w:r>
      <w:r w:rsidR="008C2242" w:rsidRPr="003C7BD8">
        <w:rPr>
          <w:rFonts w:ascii="Times New Roman" w:hAnsi="Times New Roman" w:cs="Times New Roman"/>
          <w:sz w:val="24"/>
        </w:rPr>
        <w:t xml:space="preserve"> </w:t>
      </w:r>
      <w:r w:rsidR="00A95C47">
        <w:rPr>
          <w:rFonts w:ascii="Times New Roman" w:hAnsi="Times New Roman" w:cs="Times New Roman"/>
          <w:sz w:val="24"/>
        </w:rPr>
        <w:t>generarse</w:t>
      </w:r>
      <w:r w:rsidR="008C2242" w:rsidRPr="003C7BD8">
        <w:rPr>
          <w:rFonts w:ascii="Times New Roman" w:hAnsi="Times New Roman" w:cs="Times New Roman"/>
          <w:sz w:val="24"/>
        </w:rPr>
        <w:t xml:space="preserve"> una discrepancia entre lo que se fija en la ley y lo que sucede en la práctica. </w:t>
      </w:r>
      <w:r w:rsidR="00EA0D28">
        <w:rPr>
          <w:rFonts w:ascii="Times New Roman" w:hAnsi="Times New Roman" w:cs="Times New Roman"/>
          <w:sz w:val="24"/>
        </w:rPr>
        <w:t>Por ejemplo</w:t>
      </w:r>
      <w:r w:rsidR="008C2242" w:rsidRPr="003C7BD8">
        <w:rPr>
          <w:rFonts w:ascii="Times New Roman" w:hAnsi="Times New Roman" w:cs="Times New Roman"/>
          <w:sz w:val="24"/>
        </w:rPr>
        <w:t xml:space="preserve">, </w:t>
      </w:r>
      <w:r w:rsidR="00515FF5" w:rsidRPr="003C7BD8">
        <w:rPr>
          <w:rFonts w:ascii="Times New Roman" w:hAnsi="Times New Roman" w:cs="Times New Roman"/>
          <w:sz w:val="24"/>
        </w:rPr>
        <w:t xml:space="preserve">a </w:t>
      </w:r>
      <w:r w:rsidR="008C2242" w:rsidRPr="003C7BD8">
        <w:rPr>
          <w:rFonts w:ascii="Times New Roman" w:hAnsi="Times New Roman" w:cs="Times New Roman"/>
          <w:sz w:val="24"/>
        </w:rPr>
        <w:t>la regla utilizada en México hasta el 2014 se le fueron agregando excepciones</w:t>
      </w:r>
      <w:r w:rsidR="00A95C47">
        <w:rPr>
          <w:rFonts w:ascii="Times New Roman" w:hAnsi="Times New Roman" w:cs="Times New Roman"/>
          <w:sz w:val="24"/>
        </w:rPr>
        <w:t xml:space="preserve"> y conceptos</w:t>
      </w:r>
      <w:r w:rsidR="008C2242" w:rsidRPr="003C7BD8">
        <w:rPr>
          <w:rFonts w:ascii="Times New Roman" w:hAnsi="Times New Roman" w:cs="Times New Roman"/>
          <w:sz w:val="24"/>
        </w:rPr>
        <w:t xml:space="preserve"> a la definición de balance, generando que </w:t>
      </w:r>
      <w:r w:rsidR="00515FF5" w:rsidRPr="003C7BD8">
        <w:rPr>
          <w:rFonts w:ascii="Times New Roman" w:hAnsi="Times New Roman" w:cs="Times New Roman"/>
          <w:sz w:val="24"/>
        </w:rPr>
        <w:t>la</w:t>
      </w:r>
      <w:r w:rsidR="008C2242" w:rsidRPr="003C7BD8">
        <w:rPr>
          <w:rFonts w:ascii="Times New Roman" w:hAnsi="Times New Roman" w:cs="Times New Roman"/>
          <w:sz w:val="24"/>
        </w:rPr>
        <w:t xml:space="preserve"> regla </w:t>
      </w:r>
      <w:r w:rsidR="000327CA">
        <w:rPr>
          <w:rFonts w:ascii="Times New Roman" w:hAnsi="Times New Roman" w:cs="Times New Roman"/>
          <w:sz w:val="24"/>
        </w:rPr>
        <w:t>relajara</w:t>
      </w:r>
      <w:r w:rsidR="008C2242" w:rsidRPr="003C7BD8">
        <w:rPr>
          <w:rFonts w:ascii="Times New Roman" w:hAnsi="Times New Roman" w:cs="Times New Roman"/>
          <w:sz w:val="24"/>
        </w:rPr>
        <w:t xml:space="preserve"> su rol de restricción presupuestaria para el Estado </w:t>
      </w:r>
      <w:r w:rsidR="00A95C47" w:rsidRPr="003C7BD8">
        <w:rPr>
          <w:rFonts w:ascii="Times New Roman" w:hAnsi="Times New Roman" w:cs="Times New Roman"/>
          <w:sz w:val="24"/>
        </w:rPr>
        <w:t>Mexicano,</w:t>
      </w:r>
      <w:r w:rsidR="00A95C47">
        <w:rPr>
          <w:rFonts w:ascii="Times New Roman" w:hAnsi="Times New Roman" w:cs="Times New Roman"/>
          <w:sz w:val="24"/>
        </w:rPr>
        <w:t xml:space="preserve"> aunque dentro de ciertos márgenes</w:t>
      </w:r>
      <w:r w:rsidR="008C2242" w:rsidRPr="003C7BD8">
        <w:rPr>
          <w:rFonts w:ascii="Times New Roman" w:hAnsi="Times New Roman" w:cs="Times New Roman"/>
          <w:sz w:val="24"/>
        </w:rPr>
        <w:t>.</w:t>
      </w:r>
      <w:r w:rsidR="00EA0D28">
        <w:rPr>
          <w:rStyle w:val="FootnoteReference"/>
          <w:rFonts w:ascii="Times New Roman" w:hAnsi="Times New Roman" w:cs="Times New Roman"/>
          <w:sz w:val="24"/>
        </w:rPr>
        <w:footnoteReference w:id="19"/>
      </w:r>
    </w:p>
    <w:p w14:paraId="376BB4E4" w14:textId="4F8D56E7" w:rsidR="005F70E7" w:rsidRDefault="00473518"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Monitoreo y Control.</w:t>
      </w:r>
      <w:r w:rsidRPr="003C7BD8">
        <w:rPr>
          <w:rFonts w:ascii="Times New Roman" w:hAnsi="Times New Roman" w:cs="Times New Roman"/>
          <w:sz w:val="24"/>
        </w:rPr>
        <w:t xml:space="preserve"> </w:t>
      </w:r>
      <w:r w:rsidR="008C2242" w:rsidRPr="003C7BD8">
        <w:rPr>
          <w:rFonts w:ascii="Times New Roman" w:hAnsi="Times New Roman" w:cs="Times New Roman"/>
          <w:sz w:val="24"/>
        </w:rPr>
        <w:t xml:space="preserve">Quizás uno de los más puntos más llamativos es el diseño del monitoreo de la regla fiscal. Tres instituciones se encargarán del seguimiento trimestral de la regla, a través de informes con esa periodicidad, pero con distintas coberturas. Eso significa, que la Dirección General de Presupuesto Nacional velará por el seguimiento y cumplimiento de la regla a nivel de </w:t>
      </w:r>
      <w:r w:rsidR="00DB1A23" w:rsidRPr="003C7BD8">
        <w:rPr>
          <w:rFonts w:ascii="Times New Roman" w:hAnsi="Times New Roman" w:cs="Times New Roman"/>
          <w:sz w:val="24"/>
        </w:rPr>
        <w:t>G</w:t>
      </w:r>
      <w:r w:rsidR="008C2242" w:rsidRPr="003C7BD8">
        <w:rPr>
          <w:rFonts w:ascii="Times New Roman" w:hAnsi="Times New Roman" w:cs="Times New Roman"/>
          <w:sz w:val="24"/>
        </w:rPr>
        <w:t xml:space="preserve">obierno </w:t>
      </w:r>
      <w:r w:rsidR="00DB1A23" w:rsidRPr="003C7BD8">
        <w:rPr>
          <w:rFonts w:ascii="Times New Roman" w:hAnsi="Times New Roman" w:cs="Times New Roman"/>
          <w:sz w:val="24"/>
        </w:rPr>
        <w:t>C</w:t>
      </w:r>
      <w:r w:rsidR="008C2242" w:rsidRPr="003C7BD8">
        <w:rPr>
          <w:rFonts w:ascii="Times New Roman" w:hAnsi="Times New Roman" w:cs="Times New Roman"/>
          <w:sz w:val="24"/>
        </w:rPr>
        <w:t xml:space="preserve">entral, mientras que el resto del sector público no financiero estará a cargo de la Secretaría Técnica de la Autoridad Presupuestaria. Por último, la Contraloría General de la República se encargará de presentar un informe final frente al congreso sobre el cumplimiento o no de la regla fiscal. Dicho lo anterior, es importante destacar que </w:t>
      </w:r>
      <w:r w:rsidR="005037BF">
        <w:rPr>
          <w:rFonts w:ascii="Times New Roman" w:hAnsi="Times New Roman" w:cs="Times New Roman"/>
          <w:sz w:val="24"/>
        </w:rPr>
        <w:t xml:space="preserve">algunas de </w:t>
      </w:r>
      <w:r w:rsidR="008C2242" w:rsidRPr="003C7BD8">
        <w:rPr>
          <w:rFonts w:ascii="Times New Roman" w:hAnsi="Times New Roman" w:cs="Times New Roman"/>
          <w:sz w:val="24"/>
        </w:rPr>
        <w:t>las instituciones mencionadas</w:t>
      </w:r>
      <w:r w:rsidR="00341D3C">
        <w:rPr>
          <w:rFonts w:ascii="Times New Roman" w:hAnsi="Times New Roman" w:cs="Times New Roman"/>
          <w:sz w:val="24"/>
        </w:rPr>
        <w:t xml:space="preserve"> anteriormente</w:t>
      </w:r>
      <w:r w:rsidR="008C2242" w:rsidRPr="003C7BD8">
        <w:rPr>
          <w:rFonts w:ascii="Times New Roman" w:hAnsi="Times New Roman" w:cs="Times New Roman"/>
          <w:sz w:val="24"/>
        </w:rPr>
        <w:t xml:space="preserve"> dependen del Ministerio de Hacienda, lo cual le resta autonomía</w:t>
      </w:r>
      <w:r w:rsidR="00282A52">
        <w:rPr>
          <w:rFonts w:ascii="Times New Roman" w:hAnsi="Times New Roman" w:cs="Times New Roman"/>
          <w:sz w:val="24"/>
        </w:rPr>
        <w:t xml:space="preserve"> </w:t>
      </w:r>
      <w:r w:rsidR="005037BF">
        <w:rPr>
          <w:rFonts w:ascii="Times New Roman" w:hAnsi="Times New Roman" w:cs="Times New Roman"/>
          <w:sz w:val="24"/>
        </w:rPr>
        <w:t xml:space="preserve">y </w:t>
      </w:r>
      <w:r w:rsidR="00282A52">
        <w:rPr>
          <w:rFonts w:ascii="Times New Roman" w:hAnsi="Times New Roman" w:cs="Times New Roman"/>
          <w:sz w:val="24"/>
        </w:rPr>
        <w:t>credibilidad</w:t>
      </w:r>
      <w:r w:rsidR="008C2242" w:rsidRPr="003C7BD8">
        <w:rPr>
          <w:rFonts w:ascii="Times New Roman" w:hAnsi="Times New Roman" w:cs="Times New Roman"/>
          <w:sz w:val="24"/>
        </w:rPr>
        <w:t xml:space="preserve"> al monitoreo de la regla</w:t>
      </w:r>
      <w:r w:rsidR="001D7299" w:rsidRPr="003C7BD8">
        <w:rPr>
          <w:rFonts w:ascii="Times New Roman" w:hAnsi="Times New Roman" w:cs="Times New Roman"/>
          <w:sz w:val="24"/>
        </w:rPr>
        <w:t>.</w:t>
      </w:r>
      <w:r w:rsidR="008C2242" w:rsidRPr="003C7BD8">
        <w:rPr>
          <w:rFonts w:ascii="Times New Roman" w:hAnsi="Times New Roman" w:cs="Times New Roman"/>
          <w:sz w:val="24"/>
        </w:rPr>
        <w:t xml:space="preserve"> </w:t>
      </w:r>
      <w:r w:rsidR="001D7299" w:rsidRPr="003C7BD8">
        <w:rPr>
          <w:rFonts w:ascii="Times New Roman" w:hAnsi="Times New Roman" w:cs="Times New Roman"/>
          <w:sz w:val="24"/>
        </w:rPr>
        <w:t>Además</w:t>
      </w:r>
      <w:r w:rsidR="008C2242" w:rsidRPr="003C7BD8">
        <w:rPr>
          <w:rFonts w:ascii="Times New Roman" w:hAnsi="Times New Roman" w:cs="Times New Roman"/>
          <w:sz w:val="24"/>
        </w:rPr>
        <w:t>, el proceso de evaluación carece de simplicidad, lo que podría generar incentivos perversos al evaluar el desempeño de la regla.</w:t>
      </w:r>
    </w:p>
    <w:p w14:paraId="2879BD33" w14:textId="31899BE4" w:rsidR="008C2242" w:rsidRDefault="008C2242" w:rsidP="00CE7447">
      <w:pPr>
        <w:spacing w:line="360" w:lineRule="auto"/>
        <w:jc w:val="both"/>
        <w:rPr>
          <w:rFonts w:ascii="Times New Roman" w:hAnsi="Times New Roman" w:cs="Times New Roman"/>
          <w:sz w:val="24"/>
        </w:rPr>
      </w:pPr>
      <w:r w:rsidRPr="003C7BD8">
        <w:rPr>
          <w:rFonts w:ascii="Times New Roman" w:hAnsi="Times New Roman" w:cs="Times New Roman"/>
          <w:sz w:val="24"/>
        </w:rPr>
        <w:t>A nivel global, muchos países han dado un paso adelante con el trabajo del monitoreo y evaluación de las reglas fiscales, como ha sido la creación de consejos fiscales independientes.</w:t>
      </w:r>
      <w:r w:rsidR="00737C3C">
        <w:rPr>
          <w:rFonts w:ascii="Times New Roman" w:hAnsi="Times New Roman" w:cs="Times New Roman"/>
          <w:sz w:val="24"/>
        </w:rPr>
        <w:t xml:space="preserve"> </w:t>
      </w:r>
      <w:r w:rsidR="00B667C4">
        <w:rPr>
          <w:rFonts w:ascii="Times New Roman" w:hAnsi="Times New Roman" w:cs="Times New Roman"/>
          <w:sz w:val="24"/>
        </w:rPr>
        <w:t xml:space="preserve">Los consejos fiscales independientes se encuentran integrados por profesionales altamente capacitados y con credibilidad, los cuales, se encargan del monitoreo de la regla fiscal y de la revisión de los contenidos de los MFMP. </w:t>
      </w:r>
      <w:r w:rsidR="005A63AA">
        <w:rPr>
          <w:rFonts w:ascii="Times New Roman" w:hAnsi="Times New Roman" w:cs="Times New Roman"/>
          <w:sz w:val="24"/>
        </w:rPr>
        <w:t>Es decir, también revisan los presupuesto</w:t>
      </w:r>
      <w:r w:rsidR="002F2A5D">
        <w:rPr>
          <w:rFonts w:ascii="Times New Roman" w:hAnsi="Times New Roman" w:cs="Times New Roman"/>
          <w:sz w:val="24"/>
        </w:rPr>
        <w:t xml:space="preserve">s y las proyecciones macroeconómicas. En particular, </w:t>
      </w:r>
      <w:proofErr w:type="spellStart"/>
      <w:r w:rsidR="002F2A5D">
        <w:rPr>
          <w:rFonts w:ascii="Times New Roman" w:hAnsi="Times New Roman" w:cs="Times New Roman"/>
          <w:sz w:val="24"/>
        </w:rPr>
        <w:t>Beetsma</w:t>
      </w:r>
      <w:proofErr w:type="spellEnd"/>
      <w:r w:rsidR="002F2A5D">
        <w:rPr>
          <w:rFonts w:ascii="Times New Roman" w:hAnsi="Times New Roman" w:cs="Times New Roman"/>
          <w:sz w:val="24"/>
        </w:rPr>
        <w:t xml:space="preserve"> </w:t>
      </w:r>
      <w:r w:rsidR="002F2A5D">
        <w:rPr>
          <w:rFonts w:ascii="Times New Roman" w:hAnsi="Times New Roman" w:cs="Times New Roman"/>
          <w:i/>
          <w:sz w:val="24"/>
        </w:rPr>
        <w:t xml:space="preserve">et al. </w:t>
      </w:r>
      <w:r w:rsidR="002F2A5D">
        <w:rPr>
          <w:rFonts w:ascii="Times New Roman" w:hAnsi="Times New Roman" w:cs="Times New Roman"/>
          <w:sz w:val="24"/>
        </w:rPr>
        <w:t>(2018) señalan que los consejos fiscales</w:t>
      </w:r>
      <w:r w:rsidR="00C06372">
        <w:rPr>
          <w:rFonts w:ascii="Times New Roman" w:hAnsi="Times New Roman" w:cs="Times New Roman"/>
          <w:sz w:val="24"/>
        </w:rPr>
        <w:t xml:space="preserve"> pueden mejorar el cumplimiento de reglas fiscales de gasto y de balance</w:t>
      </w:r>
      <w:r w:rsidR="00CB4EF5">
        <w:rPr>
          <w:rFonts w:ascii="Times New Roman" w:hAnsi="Times New Roman" w:cs="Times New Roman"/>
          <w:sz w:val="24"/>
        </w:rPr>
        <w:t xml:space="preserve">, </w:t>
      </w:r>
      <w:r w:rsidR="00927A5E">
        <w:rPr>
          <w:rFonts w:ascii="Times New Roman" w:hAnsi="Times New Roman" w:cs="Times New Roman"/>
          <w:sz w:val="24"/>
        </w:rPr>
        <w:t xml:space="preserve">en parte porque tienen influencia en </w:t>
      </w:r>
      <w:r w:rsidR="009557A5">
        <w:rPr>
          <w:rFonts w:ascii="Times New Roman" w:hAnsi="Times New Roman" w:cs="Times New Roman"/>
          <w:sz w:val="24"/>
        </w:rPr>
        <w:t xml:space="preserve">los planes presupuestarios. </w:t>
      </w:r>
      <w:r w:rsidR="00EF64BB">
        <w:rPr>
          <w:rFonts w:ascii="Times New Roman" w:hAnsi="Times New Roman" w:cs="Times New Roman"/>
          <w:sz w:val="24"/>
        </w:rPr>
        <w:t>Pero,</w:t>
      </w:r>
      <w:r w:rsidR="009557A5">
        <w:rPr>
          <w:rFonts w:ascii="Times New Roman" w:hAnsi="Times New Roman" w:cs="Times New Roman"/>
          <w:sz w:val="24"/>
        </w:rPr>
        <w:t xml:space="preserve"> además, estos consejos mejoran </w:t>
      </w:r>
      <w:r w:rsidR="00C0122C">
        <w:rPr>
          <w:rFonts w:ascii="Times New Roman" w:hAnsi="Times New Roman" w:cs="Times New Roman"/>
          <w:sz w:val="24"/>
        </w:rPr>
        <w:t xml:space="preserve">las proyecciones </w:t>
      </w:r>
      <w:r w:rsidR="00F020B2">
        <w:rPr>
          <w:rFonts w:ascii="Times New Roman" w:hAnsi="Times New Roman" w:cs="Times New Roman"/>
          <w:sz w:val="24"/>
        </w:rPr>
        <w:t>contenidas en los MFMP</w:t>
      </w:r>
      <w:r w:rsidR="000327CA">
        <w:rPr>
          <w:rFonts w:ascii="Times New Roman" w:hAnsi="Times New Roman" w:cs="Times New Roman"/>
          <w:sz w:val="24"/>
        </w:rPr>
        <w:t xml:space="preserve"> y </w:t>
      </w:r>
      <w:r w:rsidR="00BA1AE8">
        <w:rPr>
          <w:rFonts w:ascii="Times New Roman" w:hAnsi="Times New Roman" w:cs="Times New Roman"/>
          <w:sz w:val="24"/>
        </w:rPr>
        <w:t>consolidan la credibilidad del proceso presupuestal</w:t>
      </w:r>
      <w:r w:rsidR="00EF64BB">
        <w:rPr>
          <w:rFonts w:ascii="Times New Roman" w:hAnsi="Times New Roman" w:cs="Times New Roman"/>
          <w:sz w:val="24"/>
        </w:rPr>
        <w:t>.</w:t>
      </w:r>
    </w:p>
    <w:p w14:paraId="444BF0D7" w14:textId="1870B448" w:rsidR="00CA1EF3" w:rsidRPr="00CA1EF3" w:rsidRDefault="00CA1EF3" w:rsidP="00CE7447">
      <w:pPr>
        <w:spacing w:line="360" w:lineRule="auto"/>
        <w:jc w:val="both"/>
        <w:rPr>
          <w:rFonts w:ascii="Times New Roman" w:hAnsi="Times New Roman" w:cs="Times New Roman"/>
          <w:sz w:val="24"/>
        </w:rPr>
      </w:pPr>
      <w:r w:rsidRPr="00CA1EF3">
        <w:rPr>
          <w:rFonts w:ascii="Times New Roman" w:hAnsi="Times New Roman" w:cs="Times New Roman"/>
          <w:b/>
          <w:sz w:val="24"/>
        </w:rPr>
        <w:t xml:space="preserve">Marco Macro Fiscal de Mediano Plazo. </w:t>
      </w:r>
      <w:r w:rsidR="00912C0E">
        <w:rPr>
          <w:rFonts w:ascii="Times New Roman" w:hAnsi="Times New Roman" w:cs="Times New Roman"/>
          <w:sz w:val="24"/>
        </w:rPr>
        <w:t xml:space="preserve">Se debe resaltar como un punto muy positivo la obligación legal del MFMP dentro de la ley de Fortalecimiento de la Finanzas Públicas, pues este documento es </w:t>
      </w:r>
      <w:r w:rsidR="001D36D0">
        <w:rPr>
          <w:rFonts w:ascii="Times New Roman" w:hAnsi="Times New Roman" w:cs="Times New Roman"/>
          <w:sz w:val="24"/>
        </w:rPr>
        <w:t xml:space="preserve">el que recoge las acciones que va a tomar el Ministerio de Hacienda en materia de política fiscal, pero, además, porque es el instrumento mediante el cual </w:t>
      </w:r>
      <w:r w:rsidR="008914C9">
        <w:rPr>
          <w:rFonts w:ascii="Times New Roman" w:hAnsi="Times New Roman" w:cs="Times New Roman"/>
          <w:sz w:val="24"/>
        </w:rPr>
        <w:t>se comunica con el público. Dada la importancia de éste, es necesario que se le d</w:t>
      </w:r>
      <w:r w:rsidR="005D5FAC">
        <w:rPr>
          <w:rFonts w:ascii="Times New Roman" w:hAnsi="Times New Roman" w:cs="Times New Roman"/>
          <w:sz w:val="24"/>
        </w:rPr>
        <w:t xml:space="preserve">é el perfil </w:t>
      </w:r>
      <w:r w:rsidR="006349D3">
        <w:rPr>
          <w:rFonts w:ascii="Times New Roman" w:hAnsi="Times New Roman" w:cs="Times New Roman"/>
          <w:sz w:val="24"/>
        </w:rPr>
        <w:t>correspondiente</w:t>
      </w:r>
      <w:r w:rsidR="005C2E59">
        <w:rPr>
          <w:rFonts w:ascii="Times New Roman" w:hAnsi="Times New Roman" w:cs="Times New Roman"/>
          <w:sz w:val="24"/>
        </w:rPr>
        <w:t xml:space="preserve">, mejorando su calidad, </w:t>
      </w:r>
      <w:r w:rsidR="002666C8">
        <w:rPr>
          <w:rFonts w:ascii="Times New Roman" w:hAnsi="Times New Roman" w:cs="Times New Roman"/>
          <w:sz w:val="24"/>
        </w:rPr>
        <w:t xml:space="preserve">incluyendo estudios realizados por la unidad de investigación del Ministerio y </w:t>
      </w:r>
      <w:r w:rsidR="00AB1E8F">
        <w:rPr>
          <w:rFonts w:ascii="Times New Roman" w:hAnsi="Times New Roman" w:cs="Times New Roman"/>
          <w:sz w:val="24"/>
        </w:rPr>
        <w:t xml:space="preserve">dándole promoción en los medios de comunicación. </w:t>
      </w:r>
      <w:r w:rsidR="00ED1C6B">
        <w:rPr>
          <w:rFonts w:ascii="Times New Roman" w:hAnsi="Times New Roman" w:cs="Times New Roman"/>
          <w:sz w:val="24"/>
        </w:rPr>
        <w:t>Corde</w:t>
      </w:r>
      <w:r w:rsidR="003773C6">
        <w:rPr>
          <w:rFonts w:ascii="Times New Roman" w:hAnsi="Times New Roman" w:cs="Times New Roman"/>
          <w:sz w:val="24"/>
        </w:rPr>
        <w:t>s</w:t>
      </w:r>
      <w:r w:rsidR="00ED1C6B">
        <w:rPr>
          <w:rFonts w:ascii="Times New Roman" w:hAnsi="Times New Roman" w:cs="Times New Roman"/>
          <w:sz w:val="24"/>
        </w:rPr>
        <w:t xml:space="preserve"> </w:t>
      </w:r>
      <w:r w:rsidR="00ED1C6B">
        <w:rPr>
          <w:rFonts w:ascii="Times New Roman" w:hAnsi="Times New Roman" w:cs="Times New Roman"/>
          <w:i/>
          <w:sz w:val="24"/>
        </w:rPr>
        <w:t xml:space="preserve">et al. </w:t>
      </w:r>
      <w:r w:rsidR="00ED1C6B">
        <w:rPr>
          <w:rFonts w:ascii="Times New Roman" w:hAnsi="Times New Roman" w:cs="Times New Roman"/>
          <w:sz w:val="24"/>
        </w:rPr>
        <w:t xml:space="preserve">(2015) mencionan que </w:t>
      </w:r>
      <w:r w:rsidR="00C30D7B">
        <w:rPr>
          <w:rFonts w:ascii="Times New Roman" w:hAnsi="Times New Roman" w:cs="Times New Roman"/>
          <w:sz w:val="24"/>
        </w:rPr>
        <w:t xml:space="preserve">los países fortalecen sus MFMP con la introducción </w:t>
      </w:r>
      <w:r w:rsidR="00A016AB">
        <w:rPr>
          <w:rFonts w:ascii="Times New Roman" w:hAnsi="Times New Roman" w:cs="Times New Roman"/>
          <w:sz w:val="24"/>
        </w:rPr>
        <w:t>de una regla fiscal de gasto</w:t>
      </w:r>
      <w:r w:rsidR="008C6F3D">
        <w:rPr>
          <w:rFonts w:ascii="Times New Roman" w:hAnsi="Times New Roman" w:cs="Times New Roman"/>
          <w:sz w:val="24"/>
        </w:rPr>
        <w:t>, pues estas</w:t>
      </w:r>
      <w:r w:rsidR="003421AB">
        <w:rPr>
          <w:rFonts w:ascii="Times New Roman" w:hAnsi="Times New Roman" w:cs="Times New Roman"/>
          <w:sz w:val="24"/>
        </w:rPr>
        <w:t xml:space="preserve"> incentivan reformas </w:t>
      </w:r>
      <w:r w:rsidR="00294520">
        <w:rPr>
          <w:rFonts w:ascii="Times New Roman" w:hAnsi="Times New Roman" w:cs="Times New Roman"/>
          <w:sz w:val="24"/>
        </w:rPr>
        <w:t>para mejorar la administración de las finanzas públicas</w:t>
      </w:r>
      <w:r w:rsidR="008C6F3D">
        <w:rPr>
          <w:rFonts w:ascii="Times New Roman" w:hAnsi="Times New Roman" w:cs="Times New Roman"/>
          <w:sz w:val="24"/>
        </w:rPr>
        <w:t xml:space="preserve">. Costa Rica debería </w:t>
      </w:r>
      <w:r w:rsidR="00CE5EA1">
        <w:rPr>
          <w:rFonts w:ascii="Times New Roman" w:hAnsi="Times New Roman" w:cs="Times New Roman"/>
          <w:sz w:val="24"/>
        </w:rPr>
        <w:t>p</w:t>
      </w:r>
      <w:r w:rsidR="002A7F04">
        <w:rPr>
          <w:rFonts w:ascii="Times New Roman" w:hAnsi="Times New Roman" w:cs="Times New Roman"/>
          <w:sz w:val="24"/>
        </w:rPr>
        <w:t>riorizar</w:t>
      </w:r>
      <w:r w:rsidR="00CE5EA1">
        <w:rPr>
          <w:rFonts w:ascii="Times New Roman" w:hAnsi="Times New Roman" w:cs="Times New Roman"/>
          <w:sz w:val="24"/>
        </w:rPr>
        <w:t xml:space="preserve"> en este tipo de reformas para mejorar su institucionalidad fiscal con miras al control del gasto.</w:t>
      </w:r>
    </w:p>
    <w:p w14:paraId="03E3DB20" w14:textId="65B110C3" w:rsidR="00843B93" w:rsidRPr="003C7BD8" w:rsidRDefault="00647F8C">
      <w:pPr>
        <w:spacing w:line="360" w:lineRule="auto"/>
        <w:jc w:val="both"/>
        <w:rPr>
          <w:rFonts w:ascii="Times New Roman" w:hAnsi="Times New Roman" w:cs="Times New Roman"/>
          <w:sz w:val="24"/>
        </w:rPr>
      </w:pPr>
      <w:r w:rsidRPr="003C7BD8">
        <w:rPr>
          <w:rFonts w:ascii="Times New Roman" w:hAnsi="Times New Roman" w:cs="Times New Roman"/>
          <w:b/>
          <w:sz w:val="24"/>
        </w:rPr>
        <w:t>Sanciones.</w:t>
      </w:r>
      <w:r w:rsidRPr="003C7BD8">
        <w:rPr>
          <w:rFonts w:ascii="Times New Roman" w:hAnsi="Times New Roman" w:cs="Times New Roman"/>
          <w:sz w:val="24"/>
        </w:rPr>
        <w:t xml:space="preserve"> </w:t>
      </w:r>
      <w:r w:rsidR="008C2242" w:rsidRPr="003C7BD8">
        <w:rPr>
          <w:rFonts w:ascii="Times New Roman" w:hAnsi="Times New Roman" w:cs="Times New Roman"/>
          <w:sz w:val="24"/>
        </w:rPr>
        <w:t>Por otra parte, el sistema de sanciones e incumplimiento de la regla estará amparada por la Ley Orgánica de la Contraloría,</w:t>
      </w:r>
      <w:r w:rsidR="00D43BDB">
        <w:rPr>
          <w:rFonts w:ascii="Times New Roman" w:hAnsi="Times New Roman" w:cs="Times New Roman"/>
          <w:sz w:val="24"/>
        </w:rPr>
        <w:t xml:space="preserve"> es decir que la </w:t>
      </w:r>
      <w:r w:rsidR="00840ACC">
        <w:rPr>
          <w:rFonts w:ascii="Times New Roman" w:hAnsi="Times New Roman" w:cs="Times New Roman"/>
          <w:sz w:val="24"/>
        </w:rPr>
        <w:t>C</w:t>
      </w:r>
      <w:r w:rsidR="00D43BDB">
        <w:rPr>
          <w:rFonts w:ascii="Times New Roman" w:hAnsi="Times New Roman" w:cs="Times New Roman"/>
          <w:sz w:val="24"/>
        </w:rPr>
        <w:t xml:space="preserve">ontraloría, al amparo de su ley orgánica podrá recomendar sanciones </w:t>
      </w:r>
      <w:r w:rsidR="00A6761C">
        <w:rPr>
          <w:rFonts w:ascii="Times New Roman" w:hAnsi="Times New Roman" w:cs="Times New Roman"/>
          <w:sz w:val="24"/>
        </w:rPr>
        <w:t>a la autoridad administrativa competente</w:t>
      </w:r>
      <w:r w:rsidR="00C110CD">
        <w:rPr>
          <w:rFonts w:ascii="Times New Roman" w:hAnsi="Times New Roman" w:cs="Times New Roman"/>
          <w:sz w:val="24"/>
        </w:rPr>
        <w:t xml:space="preserve">. </w:t>
      </w:r>
      <w:r w:rsidR="006D0A06">
        <w:rPr>
          <w:rFonts w:ascii="Times New Roman" w:hAnsi="Times New Roman" w:cs="Times New Roman"/>
          <w:sz w:val="24"/>
        </w:rPr>
        <w:t>En este sentido, no queda claro exactamente cuales van a ser las sanciones correspondientes y tamp</w:t>
      </w:r>
      <w:r w:rsidR="00DD6E19">
        <w:rPr>
          <w:rFonts w:ascii="Times New Roman" w:hAnsi="Times New Roman" w:cs="Times New Roman"/>
          <w:sz w:val="24"/>
        </w:rPr>
        <w:t xml:space="preserve">oco si es que realmente estas sanciones se pueden llevar a cabo, pues </w:t>
      </w:r>
      <w:r w:rsidR="00D77E30">
        <w:rPr>
          <w:rFonts w:ascii="Times New Roman" w:hAnsi="Times New Roman" w:cs="Times New Roman"/>
          <w:sz w:val="24"/>
        </w:rPr>
        <w:t xml:space="preserve">la CGR solamente recomienda sanciones y la autoridad competente es la que decide si proceder o no con la sanción. </w:t>
      </w:r>
    </w:p>
    <w:p w14:paraId="328027F6" w14:textId="5DBCB399" w:rsidR="008C2242" w:rsidRDefault="00647F8C" w:rsidP="00CE7447">
      <w:pPr>
        <w:spacing w:line="360" w:lineRule="auto"/>
        <w:jc w:val="both"/>
        <w:rPr>
          <w:rFonts w:ascii="Times New Roman" w:hAnsi="Times New Roman" w:cs="Times New Roman"/>
          <w:sz w:val="24"/>
        </w:rPr>
      </w:pPr>
      <w:r w:rsidRPr="003C7BD8">
        <w:rPr>
          <w:rFonts w:ascii="Times New Roman" w:hAnsi="Times New Roman" w:cs="Times New Roman"/>
          <w:b/>
          <w:sz w:val="24"/>
        </w:rPr>
        <w:t>Cláusula de Escape.</w:t>
      </w:r>
      <w:r w:rsidRPr="003C7BD8">
        <w:rPr>
          <w:rFonts w:ascii="Times New Roman" w:hAnsi="Times New Roman" w:cs="Times New Roman"/>
          <w:sz w:val="24"/>
        </w:rPr>
        <w:t xml:space="preserve"> </w:t>
      </w:r>
      <w:r w:rsidR="008C2242" w:rsidRPr="003C7BD8">
        <w:rPr>
          <w:rFonts w:ascii="Times New Roman" w:hAnsi="Times New Roman" w:cs="Times New Roman"/>
          <w:sz w:val="24"/>
        </w:rPr>
        <w:t xml:space="preserve">Finalmente, las </w:t>
      </w:r>
      <w:r w:rsidR="00843B93" w:rsidRPr="003C7BD8">
        <w:rPr>
          <w:rFonts w:ascii="Times New Roman" w:hAnsi="Times New Roman" w:cs="Times New Roman"/>
          <w:sz w:val="24"/>
        </w:rPr>
        <w:t>cláusulas</w:t>
      </w:r>
      <w:r w:rsidR="008C2242" w:rsidRPr="003C7BD8">
        <w:rPr>
          <w:rFonts w:ascii="Times New Roman" w:hAnsi="Times New Roman" w:cs="Times New Roman"/>
          <w:sz w:val="24"/>
        </w:rPr>
        <w:t xml:space="preserve"> de escape aplica</w:t>
      </w:r>
      <w:r w:rsidR="00DA7EBA" w:rsidRPr="003C7BD8">
        <w:rPr>
          <w:rFonts w:ascii="Times New Roman" w:hAnsi="Times New Roman" w:cs="Times New Roman"/>
          <w:sz w:val="24"/>
        </w:rPr>
        <w:t>n</w:t>
      </w:r>
      <w:r w:rsidR="008C2242" w:rsidRPr="003C7BD8">
        <w:rPr>
          <w:rFonts w:ascii="Times New Roman" w:hAnsi="Times New Roman" w:cs="Times New Roman"/>
          <w:sz w:val="24"/>
        </w:rPr>
        <w:t xml:space="preserve"> para eventos de emergencia nacional y cuando la economía atraviesa por una recesión o se tengan proyecciones de crecimiento menores al 1%. </w:t>
      </w:r>
      <w:r w:rsidR="001944C1">
        <w:rPr>
          <w:rFonts w:ascii="Times New Roman" w:hAnsi="Times New Roman" w:cs="Times New Roman"/>
          <w:sz w:val="24"/>
        </w:rPr>
        <w:t>E</w:t>
      </w:r>
      <w:r w:rsidR="008C2242" w:rsidRPr="003C7BD8">
        <w:rPr>
          <w:rFonts w:ascii="Times New Roman" w:hAnsi="Times New Roman" w:cs="Times New Roman"/>
          <w:sz w:val="24"/>
        </w:rPr>
        <w:t>l retorno de la aplicación de la regla tendrá un plazo de 3 años y este será de manera gradual. E</w:t>
      </w:r>
      <w:r w:rsidR="001944C1">
        <w:rPr>
          <w:rFonts w:ascii="Times New Roman" w:hAnsi="Times New Roman" w:cs="Times New Roman"/>
          <w:sz w:val="24"/>
        </w:rPr>
        <w:t>ste</w:t>
      </w:r>
      <w:r w:rsidR="008C2242" w:rsidRPr="003C7BD8">
        <w:rPr>
          <w:rFonts w:ascii="Times New Roman" w:hAnsi="Times New Roman" w:cs="Times New Roman"/>
          <w:sz w:val="24"/>
        </w:rPr>
        <w:t xml:space="preserve"> exceso de gradualismo puede causar que el mercado perciba que la regla no es creíble. El contexto fiscal actual de Costa Rica es negativo por lo que optar con flexibilidades puede afectar el desempeño y la transparencia de la regla fiscal.</w:t>
      </w:r>
    </w:p>
    <w:p w14:paraId="11AFBC04" w14:textId="7CD8BFE2" w:rsidR="00FD2B28" w:rsidRDefault="00FD2B28" w:rsidP="00FD2B28">
      <w:pPr>
        <w:pStyle w:val="ListParagraph"/>
        <w:numPr>
          <w:ilvl w:val="0"/>
          <w:numId w:val="1"/>
        </w:numPr>
        <w:spacing w:line="360" w:lineRule="auto"/>
        <w:jc w:val="both"/>
        <w:rPr>
          <w:rFonts w:ascii="Times New Roman" w:hAnsi="Times New Roman" w:cs="Times New Roman"/>
          <w:b/>
          <w:sz w:val="24"/>
        </w:rPr>
      </w:pPr>
      <w:r w:rsidRPr="00170A76">
        <w:rPr>
          <w:rFonts w:ascii="Times New Roman" w:hAnsi="Times New Roman" w:cs="Times New Roman"/>
          <w:b/>
          <w:sz w:val="24"/>
        </w:rPr>
        <w:t>Ejercicio de simulación</w:t>
      </w:r>
    </w:p>
    <w:p w14:paraId="66EDA4BF" w14:textId="14BD3EC7" w:rsidR="00366168" w:rsidRDefault="00AE61FA" w:rsidP="00AF60E4">
      <w:pPr>
        <w:spacing w:after="0" w:line="360" w:lineRule="auto"/>
        <w:jc w:val="both"/>
        <w:rPr>
          <w:rFonts w:ascii="Times New Roman" w:hAnsi="Times New Roman" w:cs="Times New Roman"/>
          <w:sz w:val="24"/>
        </w:rPr>
      </w:pPr>
      <w:r w:rsidRPr="00170A76">
        <w:rPr>
          <w:rFonts w:ascii="Times New Roman" w:hAnsi="Times New Roman" w:cs="Times New Roman"/>
          <w:sz w:val="24"/>
        </w:rPr>
        <w:t>En esta sección</w:t>
      </w:r>
      <w:r>
        <w:rPr>
          <w:rFonts w:ascii="Times New Roman" w:hAnsi="Times New Roman" w:cs="Times New Roman"/>
          <w:sz w:val="24"/>
        </w:rPr>
        <w:t xml:space="preserve">, como ejercicio ilustrativo de los beneficios potenciales de la regla fiscal, </w:t>
      </w:r>
      <w:r w:rsidR="00BB795E">
        <w:rPr>
          <w:rFonts w:ascii="Times New Roman" w:hAnsi="Times New Roman" w:cs="Times New Roman"/>
          <w:sz w:val="24"/>
        </w:rPr>
        <w:t xml:space="preserve">se describe </w:t>
      </w:r>
      <w:r w:rsidR="00BC0B92">
        <w:rPr>
          <w:rFonts w:ascii="Times New Roman" w:hAnsi="Times New Roman" w:cs="Times New Roman"/>
          <w:sz w:val="24"/>
        </w:rPr>
        <w:t xml:space="preserve">la trayectoria de la deuda </w:t>
      </w:r>
      <w:r w:rsidR="002D7BA5">
        <w:rPr>
          <w:rFonts w:ascii="Times New Roman" w:hAnsi="Times New Roman" w:cs="Times New Roman"/>
          <w:sz w:val="24"/>
        </w:rPr>
        <w:t xml:space="preserve">si es que se hubiese aplicado la regla fiscal a partir del año 2007. Para realizar este ejercicio, </w:t>
      </w:r>
      <w:r w:rsidR="00387132">
        <w:rPr>
          <w:rFonts w:ascii="Times New Roman" w:hAnsi="Times New Roman" w:cs="Times New Roman"/>
          <w:sz w:val="24"/>
        </w:rPr>
        <w:t xml:space="preserve">se utilizó la ecuación de dinámica de la deuda para </w:t>
      </w:r>
      <w:r w:rsidR="00B46173">
        <w:rPr>
          <w:rFonts w:ascii="Times New Roman" w:hAnsi="Times New Roman" w:cs="Times New Roman"/>
          <w:sz w:val="24"/>
        </w:rPr>
        <w:t>simular el escenario con regla fiscal</w:t>
      </w:r>
      <w:r w:rsidR="00366168">
        <w:rPr>
          <w:rFonts w:ascii="Times New Roman" w:hAnsi="Times New Roman" w:cs="Times New Roman"/>
          <w:sz w:val="24"/>
        </w:rPr>
        <w:t xml:space="preserve"> (ecuación 1)</w:t>
      </w:r>
      <w:r w:rsidR="00B46173">
        <w:rPr>
          <w:rFonts w:ascii="Times New Roman" w:hAnsi="Times New Roman" w:cs="Times New Roman"/>
          <w:sz w:val="24"/>
        </w:rPr>
        <w:t>.</w:t>
      </w:r>
    </w:p>
    <w:p w14:paraId="4C2862FB" w14:textId="23CE6205" w:rsidR="00366168" w:rsidRPr="00D94995" w:rsidRDefault="005C5E76" w:rsidP="00366168">
      <w:pPr>
        <w:spacing w:line="360" w:lineRule="auto"/>
        <w:jc w:val="center"/>
        <w:rPr>
          <w:rFonts w:ascii="Times New Roman" w:eastAsiaTheme="minorEastAsia" w:hAnsi="Times New Roman" w:cs="Times New Roman"/>
          <w:sz w:val="24"/>
        </w:rPr>
      </w:pPr>
      <m:oMathPara>
        <m:oMathParaPr>
          <m:jc m:val="right"/>
        </m:oMathParaPr>
        <m:oMath>
          <m:sSub>
            <m:sSubPr>
              <m:ctrlPr>
                <w:rPr>
                  <w:rFonts w:ascii="Cambria Math" w:hAnsi="Cambria Math" w:cs="Times New Roman"/>
                  <w:i/>
                  <w:sz w:val="24"/>
                </w:rPr>
              </m:ctrlPr>
            </m:sSubPr>
            <m:e>
              <m:r>
                <w:rPr>
                  <w:rFonts w:ascii="Cambria Math" w:hAnsi="Cambria Math" w:cs="Times New Roman"/>
                  <w:sz w:val="24"/>
                </w:rPr>
                <m:t>d</m:t>
              </m:r>
            </m:e>
            <m:sub>
              <m:r>
                <w:rPr>
                  <w:rFonts w:ascii="Cambria Math" w:hAnsi="Cambria Math" w:cs="Times New Roman"/>
                  <w:sz w:val="24"/>
                </w:rPr>
                <m:t>t</m:t>
              </m:r>
            </m:sub>
          </m:sSub>
          <m:r>
            <w:rPr>
              <w:rFonts w:ascii="Cambria Math" w:hAnsi="Cambria Math" w:cs="Times New Roman"/>
              <w:sz w:val="24"/>
            </w:rPr>
            <m:t>=</m:t>
          </m:r>
          <m:d>
            <m:dPr>
              <m:begChr m:val="["/>
              <m:endChr m:val="]"/>
              <m:ctrlPr>
                <w:rPr>
                  <w:rFonts w:ascii="Cambria Math" w:hAnsi="Cambria Math" w:cs="Times New Roman"/>
                  <w:i/>
                  <w:sz w:val="24"/>
                </w:rPr>
              </m:ctrlPr>
            </m:dPr>
            <m:e>
              <m:r>
                <w:rPr>
                  <w:rFonts w:ascii="Cambria Math" w:hAnsi="Cambria Math" w:cs="Times New Roman"/>
                  <w:sz w:val="24"/>
                </w:rPr>
                <m:t>α</m:t>
              </m:r>
              <m:d>
                <m:dPr>
                  <m:ctrlPr>
                    <w:rPr>
                      <w:rFonts w:ascii="Cambria Math" w:hAnsi="Cambria Math" w:cs="Times New Roman"/>
                      <w:i/>
                      <w:sz w:val="24"/>
                    </w:rPr>
                  </m:ctrlPr>
                </m:dPr>
                <m:e>
                  <m:f>
                    <m:fPr>
                      <m:ctrlPr>
                        <w:rPr>
                          <w:rFonts w:ascii="Cambria Math" w:hAnsi="Cambria Math" w:cs="Times New Roman"/>
                          <w:i/>
                          <w:sz w:val="24"/>
                        </w:rPr>
                      </m:ctrlPr>
                    </m:fPr>
                    <m:num>
                      <m:r>
                        <w:rPr>
                          <w:rFonts w:ascii="Cambria Math" w:hAnsi="Cambria Math" w:cs="Times New Roman"/>
                          <w:sz w:val="24"/>
                        </w:rPr>
                        <m:t>1+</m:t>
                      </m:r>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t</m:t>
                          </m:r>
                        </m:sub>
                        <m:sup>
                          <m:r>
                            <w:rPr>
                              <w:rFonts w:ascii="Cambria Math" w:hAnsi="Cambria Math" w:cs="Times New Roman"/>
                              <w:sz w:val="24"/>
                            </w:rPr>
                            <m:t>d</m:t>
                          </m:r>
                        </m:sup>
                      </m:sSubSup>
                    </m:num>
                    <m:den>
                      <m:r>
                        <w:rPr>
                          <w:rFonts w:ascii="Cambria Math" w:hAnsi="Cambria Math" w:cs="Times New Roman"/>
                          <w:sz w:val="24"/>
                        </w:rPr>
                        <m:t>1+</m:t>
                      </m:r>
                      <m:sSub>
                        <m:sSubPr>
                          <m:ctrlPr>
                            <w:rPr>
                              <w:rFonts w:ascii="Cambria Math" w:hAnsi="Cambria Math" w:cs="Times New Roman"/>
                              <w:i/>
                              <w:sz w:val="24"/>
                            </w:rPr>
                          </m:ctrlPr>
                        </m:sSubPr>
                        <m:e>
                          <m:r>
                            <w:rPr>
                              <w:rFonts w:ascii="Cambria Math" w:hAnsi="Cambria Math" w:cs="Times New Roman"/>
                              <w:sz w:val="24"/>
                            </w:rPr>
                            <m:t>g</m:t>
                          </m:r>
                        </m:e>
                        <m:sub>
                          <m:r>
                            <w:rPr>
                              <w:rFonts w:ascii="Cambria Math" w:hAnsi="Cambria Math" w:cs="Times New Roman"/>
                              <w:sz w:val="24"/>
                            </w:rPr>
                            <m:t>t</m:t>
                          </m:r>
                        </m:sub>
                      </m:sSub>
                    </m:den>
                  </m:f>
                </m:e>
              </m:d>
              <m:r>
                <w:rPr>
                  <w:rFonts w:ascii="Cambria Math" w:hAnsi="Cambria Math" w:cs="Times New Roman"/>
                  <w:sz w:val="24"/>
                </w:rPr>
                <m:t>+</m:t>
              </m:r>
              <m:d>
                <m:dPr>
                  <m:ctrlPr>
                    <w:rPr>
                      <w:rFonts w:ascii="Cambria Math" w:hAnsi="Cambria Math" w:cs="Times New Roman"/>
                      <w:i/>
                      <w:sz w:val="24"/>
                    </w:rPr>
                  </m:ctrlPr>
                </m:dPr>
                <m:e>
                  <m:r>
                    <w:rPr>
                      <w:rFonts w:ascii="Cambria Math" w:hAnsi="Cambria Math" w:cs="Times New Roman"/>
                      <w:sz w:val="24"/>
                    </w:rPr>
                    <m:t>1-α</m:t>
                  </m:r>
                </m:e>
              </m:d>
              <m:d>
                <m:dPr>
                  <m:ctrlPr>
                    <w:rPr>
                      <w:rFonts w:ascii="Cambria Math" w:hAnsi="Cambria Math" w:cs="Times New Roman"/>
                      <w:i/>
                      <w:sz w:val="24"/>
                    </w:rPr>
                  </m:ctrlPr>
                </m:dPr>
                <m:e>
                  <m:f>
                    <m:fPr>
                      <m:ctrlPr>
                        <w:rPr>
                          <w:rFonts w:ascii="Cambria Math" w:hAnsi="Cambria Math" w:cs="Times New Roman"/>
                          <w:i/>
                          <w:sz w:val="24"/>
                        </w:rPr>
                      </m:ctrlPr>
                    </m:fPr>
                    <m:num>
                      <m:d>
                        <m:dPr>
                          <m:ctrlPr>
                            <w:rPr>
                              <w:rFonts w:ascii="Cambria Math" w:hAnsi="Cambria Math" w:cs="Times New Roman"/>
                              <w:i/>
                              <w:sz w:val="24"/>
                            </w:rPr>
                          </m:ctrlPr>
                        </m:dPr>
                        <m:e>
                          <m:r>
                            <w:rPr>
                              <w:rFonts w:ascii="Cambria Math" w:hAnsi="Cambria Math" w:cs="Times New Roman"/>
                              <w:sz w:val="24"/>
                            </w:rPr>
                            <m:t>1+</m:t>
                          </m:r>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t</m:t>
                              </m:r>
                            </m:sub>
                            <m:sup>
                              <m:r>
                                <w:rPr>
                                  <w:rFonts w:ascii="Cambria Math" w:hAnsi="Cambria Math" w:cs="Times New Roman"/>
                                  <w:sz w:val="24"/>
                                </w:rPr>
                                <m:t>f</m:t>
                              </m:r>
                            </m:sup>
                          </m:sSubSup>
                        </m:e>
                      </m:d>
                      <m:d>
                        <m:dPr>
                          <m:ctrlPr>
                            <w:rPr>
                              <w:rFonts w:ascii="Cambria Math" w:hAnsi="Cambria Math" w:cs="Times New Roman"/>
                              <w:i/>
                              <w:sz w:val="24"/>
                            </w:rPr>
                          </m:ctrlPr>
                        </m:dPr>
                        <m:e>
                          <m:r>
                            <w:rPr>
                              <w:rFonts w:ascii="Cambria Math" w:hAnsi="Cambria Math" w:cs="Times New Roman"/>
                              <w:sz w:val="24"/>
                            </w:rPr>
                            <m:t>1+∆e</m:t>
                          </m:r>
                        </m:e>
                      </m:d>
                    </m:num>
                    <m:den>
                      <m:r>
                        <w:rPr>
                          <w:rFonts w:ascii="Cambria Math" w:hAnsi="Cambria Math" w:cs="Times New Roman"/>
                          <w:sz w:val="24"/>
                        </w:rPr>
                        <m:t>1+</m:t>
                      </m:r>
                      <m:sSub>
                        <m:sSubPr>
                          <m:ctrlPr>
                            <w:rPr>
                              <w:rFonts w:ascii="Cambria Math" w:hAnsi="Cambria Math" w:cs="Times New Roman"/>
                              <w:i/>
                              <w:sz w:val="24"/>
                            </w:rPr>
                          </m:ctrlPr>
                        </m:sSubPr>
                        <m:e>
                          <m:r>
                            <w:rPr>
                              <w:rFonts w:ascii="Cambria Math" w:hAnsi="Cambria Math" w:cs="Times New Roman"/>
                              <w:sz w:val="24"/>
                            </w:rPr>
                            <m:t>g</m:t>
                          </m:r>
                        </m:e>
                        <m:sub>
                          <m:r>
                            <w:rPr>
                              <w:rFonts w:ascii="Cambria Math" w:hAnsi="Cambria Math" w:cs="Times New Roman"/>
                              <w:sz w:val="24"/>
                            </w:rPr>
                            <m:t>t</m:t>
                          </m:r>
                        </m:sub>
                      </m:sSub>
                    </m:den>
                  </m:f>
                </m:e>
              </m:d>
            </m:e>
          </m:d>
          <m:sSub>
            <m:sSubPr>
              <m:ctrlPr>
                <w:rPr>
                  <w:rFonts w:ascii="Cambria Math" w:hAnsi="Cambria Math" w:cs="Times New Roman"/>
                  <w:i/>
                  <w:sz w:val="24"/>
                </w:rPr>
              </m:ctrlPr>
            </m:sSubPr>
            <m:e>
              <m:r>
                <w:rPr>
                  <w:rFonts w:ascii="Cambria Math" w:hAnsi="Cambria Math" w:cs="Times New Roman"/>
                  <w:sz w:val="24"/>
                </w:rPr>
                <m:t>d</m:t>
              </m:r>
            </m:e>
            <m:sub>
              <m:r>
                <w:rPr>
                  <w:rFonts w:ascii="Cambria Math" w:hAnsi="Cambria Math" w:cs="Times New Roman"/>
                  <w:sz w:val="24"/>
                </w:rPr>
                <m:t>t-1</m:t>
              </m:r>
            </m:sub>
          </m:sSub>
          <m:r>
            <w:rPr>
              <w:rFonts w:ascii="Cambria Math" w:hAnsi="Cambria Math" w:cs="Times New Roman"/>
              <w:sz w:val="24"/>
            </w:rPr>
            <m:t>-</m:t>
          </m:r>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t</m:t>
              </m:r>
            </m:sub>
          </m:sSub>
          <m:r>
            <w:rPr>
              <w:rFonts w:ascii="Cambria Math" w:hAnsi="Cambria Math" w:cs="Times New Roman"/>
              <w:sz w:val="24"/>
            </w:rPr>
            <m:t xml:space="preserve">                             (1)</m:t>
          </m:r>
        </m:oMath>
      </m:oMathPara>
    </w:p>
    <w:p w14:paraId="55FD6DF4" w14:textId="170C62FC" w:rsidR="00F04CEB" w:rsidRDefault="00033607" w:rsidP="00FD2B28">
      <w:pPr>
        <w:spacing w:line="360" w:lineRule="auto"/>
        <w:jc w:val="both"/>
        <w:rPr>
          <w:rFonts w:ascii="Times New Roman" w:hAnsi="Times New Roman" w:cs="Times New Roman"/>
          <w:sz w:val="24"/>
        </w:rPr>
      </w:pPr>
      <w:r>
        <w:rPr>
          <w:rFonts w:ascii="Times New Roman" w:hAnsi="Times New Roman" w:cs="Times New Roman"/>
          <w:sz w:val="24"/>
        </w:rPr>
        <w:t>D</w:t>
      </w:r>
      <w:r w:rsidR="00ED073C">
        <w:rPr>
          <w:rFonts w:ascii="Times New Roman" w:hAnsi="Times New Roman" w:cs="Times New Roman"/>
          <w:sz w:val="24"/>
        </w:rPr>
        <w:t>onde</w:t>
      </w:r>
      <w:r>
        <w:rPr>
          <w:rFonts w:ascii="Times New Roman" w:hAnsi="Times New Roman" w:cs="Times New Roman"/>
          <w:sz w:val="24"/>
        </w:rPr>
        <w:t xml:space="preserve"> </w:t>
      </w:r>
      <m:oMath>
        <m:sSub>
          <m:sSubPr>
            <m:ctrlPr>
              <w:rPr>
                <w:rFonts w:ascii="Cambria Math" w:hAnsi="Cambria Math" w:cs="Times New Roman"/>
                <w:i/>
                <w:sz w:val="24"/>
              </w:rPr>
            </m:ctrlPr>
          </m:sSubPr>
          <m:e>
            <m:r>
              <w:rPr>
                <w:rFonts w:ascii="Cambria Math" w:hAnsi="Cambria Math" w:cs="Times New Roman"/>
                <w:sz w:val="24"/>
              </w:rPr>
              <m:t>d</m:t>
            </m:r>
          </m:e>
          <m:sub>
            <m:r>
              <w:rPr>
                <w:rFonts w:ascii="Cambria Math" w:hAnsi="Cambria Math" w:cs="Times New Roman"/>
                <w:sz w:val="24"/>
              </w:rPr>
              <m:t>t</m:t>
            </m:r>
          </m:sub>
        </m:sSub>
      </m:oMath>
      <w:r w:rsidR="00F571C6">
        <w:rPr>
          <w:rFonts w:ascii="Times New Roman" w:eastAsiaTheme="minorEastAsia" w:hAnsi="Times New Roman" w:cs="Times New Roman"/>
          <w:sz w:val="24"/>
        </w:rPr>
        <w:t xml:space="preserve"> es la deuda, </w:t>
      </w:r>
      <m:oMath>
        <m:r>
          <w:rPr>
            <w:rFonts w:ascii="Cambria Math" w:eastAsiaTheme="minorEastAsia" w:hAnsi="Cambria Math" w:cs="Times New Roman"/>
            <w:sz w:val="24"/>
          </w:rPr>
          <m:t>α</m:t>
        </m:r>
      </m:oMath>
      <w:r w:rsidR="00F571C6">
        <w:rPr>
          <w:rFonts w:ascii="Times New Roman" w:eastAsiaTheme="minorEastAsia" w:hAnsi="Times New Roman" w:cs="Times New Roman"/>
          <w:sz w:val="24"/>
        </w:rPr>
        <w:t xml:space="preserve"> es la proporción de deuda en moneda doméstica, </w:t>
      </w:r>
      <m:oMath>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t</m:t>
            </m:r>
          </m:sub>
          <m:sup>
            <m:r>
              <w:rPr>
                <w:rFonts w:ascii="Cambria Math" w:hAnsi="Cambria Math" w:cs="Times New Roman"/>
                <w:sz w:val="24"/>
              </w:rPr>
              <m:t>d</m:t>
            </m:r>
          </m:sup>
        </m:sSubSup>
      </m:oMath>
      <w:r w:rsidR="0090442F">
        <w:rPr>
          <w:rFonts w:ascii="Times New Roman" w:eastAsiaTheme="minorEastAsia" w:hAnsi="Times New Roman" w:cs="Times New Roman"/>
          <w:sz w:val="24"/>
        </w:rPr>
        <w:t xml:space="preserve"> es la tasa de interés doméstica real, </w:t>
      </w:r>
      <m:oMath>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t</m:t>
            </m:r>
          </m:sub>
          <m:sup>
            <m:r>
              <w:rPr>
                <w:rFonts w:ascii="Cambria Math" w:hAnsi="Cambria Math" w:cs="Times New Roman"/>
                <w:sz w:val="24"/>
              </w:rPr>
              <m:t>f</m:t>
            </m:r>
          </m:sup>
        </m:sSubSup>
      </m:oMath>
      <w:r w:rsidR="0090442F">
        <w:rPr>
          <w:rFonts w:ascii="Times New Roman" w:eastAsiaTheme="minorEastAsia" w:hAnsi="Times New Roman" w:cs="Times New Roman"/>
          <w:sz w:val="24"/>
        </w:rPr>
        <w:t xml:space="preserve"> es la tasa de interés </w:t>
      </w:r>
      <w:r w:rsidR="00015AAF">
        <w:rPr>
          <w:rFonts w:ascii="Times New Roman" w:eastAsiaTheme="minorEastAsia" w:hAnsi="Times New Roman" w:cs="Times New Roman"/>
          <w:sz w:val="24"/>
        </w:rPr>
        <w:t xml:space="preserve">extranjera real, </w:t>
      </w:r>
      <m:oMath>
        <m:r>
          <w:rPr>
            <w:rFonts w:ascii="Cambria Math" w:hAnsi="Cambria Math" w:cs="Times New Roman"/>
            <w:sz w:val="24"/>
          </w:rPr>
          <m:t>∆e</m:t>
        </m:r>
      </m:oMath>
      <w:r w:rsidR="00015AAF">
        <w:rPr>
          <w:rFonts w:ascii="Times New Roman" w:eastAsiaTheme="minorEastAsia" w:hAnsi="Times New Roman" w:cs="Times New Roman"/>
          <w:sz w:val="24"/>
        </w:rPr>
        <w:t xml:space="preserve"> es el cambio en el tipo de cambio, </w:t>
      </w:r>
      <m:oMath>
        <m:sSub>
          <m:sSubPr>
            <m:ctrlPr>
              <w:rPr>
                <w:rFonts w:ascii="Cambria Math" w:hAnsi="Cambria Math" w:cs="Times New Roman"/>
                <w:i/>
                <w:sz w:val="24"/>
              </w:rPr>
            </m:ctrlPr>
          </m:sSubPr>
          <m:e>
            <m:r>
              <w:rPr>
                <w:rFonts w:ascii="Cambria Math" w:hAnsi="Cambria Math" w:cs="Times New Roman"/>
                <w:sz w:val="24"/>
              </w:rPr>
              <m:t>g</m:t>
            </m:r>
          </m:e>
          <m:sub>
            <m:r>
              <w:rPr>
                <w:rFonts w:ascii="Cambria Math" w:hAnsi="Cambria Math" w:cs="Times New Roman"/>
                <w:sz w:val="24"/>
              </w:rPr>
              <m:t>t</m:t>
            </m:r>
          </m:sub>
        </m:sSub>
      </m:oMath>
      <w:r w:rsidR="00015AAF">
        <w:rPr>
          <w:rFonts w:ascii="Times New Roman" w:eastAsiaTheme="minorEastAsia" w:hAnsi="Times New Roman" w:cs="Times New Roman"/>
          <w:sz w:val="24"/>
        </w:rPr>
        <w:t xml:space="preserve"> se refiere a crecimiento económico real y </w:t>
      </w:r>
      <m:oMath>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t</m:t>
            </m:r>
          </m:sub>
        </m:sSub>
      </m:oMath>
      <w:r w:rsidR="000D5E74">
        <w:rPr>
          <w:rFonts w:ascii="Times New Roman" w:eastAsiaTheme="minorEastAsia" w:hAnsi="Times New Roman" w:cs="Times New Roman"/>
          <w:sz w:val="24"/>
        </w:rPr>
        <w:t xml:space="preserve"> balance </w:t>
      </w:r>
      <w:r w:rsidR="00D11909">
        <w:rPr>
          <w:rFonts w:ascii="Times New Roman" w:eastAsiaTheme="minorEastAsia" w:hAnsi="Times New Roman" w:cs="Times New Roman"/>
          <w:sz w:val="24"/>
        </w:rPr>
        <w:t xml:space="preserve">primario. Dentro del ejercicio, la regla fiscal afectaría directamente la </w:t>
      </w:r>
      <w:r w:rsidR="00FC578D">
        <w:rPr>
          <w:rFonts w:ascii="Times New Roman" w:eastAsiaTheme="minorEastAsia" w:hAnsi="Times New Roman" w:cs="Times New Roman"/>
          <w:sz w:val="24"/>
        </w:rPr>
        <w:t xml:space="preserve">variable </w:t>
      </w:r>
      <m:oMath>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t</m:t>
            </m:r>
          </m:sub>
        </m:sSub>
      </m:oMath>
      <w:r w:rsidR="00FC578D">
        <w:rPr>
          <w:rFonts w:ascii="Times New Roman" w:eastAsiaTheme="minorEastAsia" w:hAnsi="Times New Roman" w:cs="Times New Roman"/>
          <w:sz w:val="24"/>
        </w:rPr>
        <w:t xml:space="preserve">, pues la variable que se ajusta es el gasto corriente. De manera que, </w:t>
      </w:r>
      <w:r w:rsidR="00741A21">
        <w:rPr>
          <w:rFonts w:ascii="Times New Roman" w:eastAsiaTheme="minorEastAsia" w:hAnsi="Times New Roman" w:cs="Times New Roman"/>
          <w:sz w:val="24"/>
        </w:rPr>
        <w:t xml:space="preserve">para simular los movimientos del gasto, </w:t>
      </w:r>
      <w:r w:rsidR="00305559">
        <w:rPr>
          <w:rFonts w:ascii="Times New Roman" w:eastAsiaTheme="minorEastAsia" w:hAnsi="Times New Roman" w:cs="Times New Roman"/>
          <w:sz w:val="24"/>
        </w:rPr>
        <w:t xml:space="preserve">se mantuvieron el pago de intereses según </w:t>
      </w:r>
      <w:r w:rsidR="00133AF8">
        <w:rPr>
          <w:rFonts w:ascii="Times New Roman" w:eastAsiaTheme="minorEastAsia" w:hAnsi="Times New Roman" w:cs="Times New Roman"/>
          <w:sz w:val="24"/>
        </w:rPr>
        <w:t xml:space="preserve">la dinámica de la deuda estimada y la tasa de interés </w:t>
      </w:r>
      <w:r w:rsidR="00305559">
        <w:rPr>
          <w:rFonts w:ascii="Times New Roman" w:eastAsiaTheme="minorEastAsia" w:hAnsi="Times New Roman" w:cs="Times New Roman"/>
          <w:sz w:val="24"/>
        </w:rPr>
        <w:t xml:space="preserve"> observad</w:t>
      </w:r>
      <w:r w:rsidR="00133AF8">
        <w:rPr>
          <w:rFonts w:ascii="Times New Roman" w:eastAsiaTheme="minorEastAsia" w:hAnsi="Times New Roman" w:cs="Times New Roman"/>
          <w:sz w:val="24"/>
        </w:rPr>
        <w:t>a</w:t>
      </w:r>
      <w:r w:rsidR="00FC35BB">
        <w:rPr>
          <w:rFonts w:ascii="Times New Roman" w:eastAsiaTheme="minorEastAsia" w:hAnsi="Times New Roman" w:cs="Times New Roman"/>
          <w:sz w:val="24"/>
        </w:rPr>
        <w:t>,</w:t>
      </w:r>
      <w:r w:rsidR="008F32CD">
        <w:rPr>
          <w:rStyle w:val="FootnoteReference"/>
          <w:rFonts w:ascii="Times New Roman" w:eastAsiaTheme="minorEastAsia" w:hAnsi="Times New Roman" w:cs="Times New Roman"/>
          <w:sz w:val="24"/>
        </w:rPr>
        <w:footnoteReference w:id="20"/>
      </w:r>
      <w:r w:rsidR="00FC35BB">
        <w:rPr>
          <w:rFonts w:ascii="Times New Roman" w:eastAsiaTheme="minorEastAsia" w:hAnsi="Times New Roman" w:cs="Times New Roman"/>
          <w:sz w:val="24"/>
        </w:rPr>
        <w:t xml:space="preserve"> y los ajustes vendrían solamente por el resto de </w:t>
      </w:r>
      <w:r w:rsidR="008659B6">
        <w:rPr>
          <w:rFonts w:ascii="Times New Roman" w:eastAsiaTheme="minorEastAsia" w:hAnsi="Times New Roman" w:cs="Times New Roman"/>
          <w:sz w:val="24"/>
        </w:rPr>
        <w:t>los gastos</w:t>
      </w:r>
      <w:r w:rsidR="00FC35BB">
        <w:rPr>
          <w:rFonts w:ascii="Times New Roman" w:eastAsiaTheme="minorEastAsia" w:hAnsi="Times New Roman" w:cs="Times New Roman"/>
          <w:sz w:val="24"/>
        </w:rPr>
        <w:t xml:space="preserve"> corrientes</w:t>
      </w:r>
      <w:r w:rsidR="008659B6">
        <w:rPr>
          <w:rFonts w:ascii="Times New Roman" w:eastAsiaTheme="minorEastAsia" w:hAnsi="Times New Roman" w:cs="Times New Roman"/>
          <w:sz w:val="24"/>
        </w:rPr>
        <w:t xml:space="preserve"> para que se muevan</w:t>
      </w:r>
      <w:r w:rsidR="00733269">
        <w:rPr>
          <w:rFonts w:ascii="Times New Roman" w:hAnsi="Times New Roman" w:cs="Times New Roman"/>
          <w:sz w:val="24"/>
        </w:rPr>
        <w:t xml:space="preserve"> de acuerdo </w:t>
      </w:r>
      <w:r w:rsidR="003B0D77">
        <w:rPr>
          <w:rFonts w:ascii="Times New Roman" w:hAnsi="Times New Roman" w:cs="Times New Roman"/>
          <w:sz w:val="24"/>
        </w:rPr>
        <w:t>con</w:t>
      </w:r>
      <w:r w:rsidR="00733269">
        <w:rPr>
          <w:rFonts w:ascii="Times New Roman" w:hAnsi="Times New Roman" w:cs="Times New Roman"/>
          <w:sz w:val="24"/>
        </w:rPr>
        <w:t xml:space="preserve"> lo que dice</w:t>
      </w:r>
      <w:r w:rsidR="00977C42">
        <w:rPr>
          <w:rFonts w:ascii="Times New Roman" w:hAnsi="Times New Roman" w:cs="Times New Roman"/>
          <w:sz w:val="24"/>
        </w:rPr>
        <w:t>n</w:t>
      </w:r>
      <w:r w:rsidR="00733269">
        <w:rPr>
          <w:rFonts w:ascii="Times New Roman" w:hAnsi="Times New Roman" w:cs="Times New Roman"/>
          <w:sz w:val="24"/>
        </w:rPr>
        <w:t xml:space="preserve"> exactamente los parámetros de la regla fiscal, es decir que en este ejercicio la regla se cumple </w:t>
      </w:r>
      <w:r w:rsidR="00361A56">
        <w:rPr>
          <w:rFonts w:ascii="Times New Roman" w:hAnsi="Times New Roman" w:cs="Times New Roman"/>
          <w:sz w:val="24"/>
        </w:rPr>
        <w:t>con un criterio conservador, es decir de cumplimiento en el tope admitido de crecimiento del gasto corriente</w:t>
      </w:r>
      <w:r w:rsidR="00733269">
        <w:rPr>
          <w:rFonts w:ascii="Times New Roman" w:hAnsi="Times New Roman" w:cs="Times New Roman"/>
          <w:sz w:val="24"/>
        </w:rPr>
        <w:t>.</w:t>
      </w:r>
      <w:r w:rsidR="00733269">
        <w:rPr>
          <w:rStyle w:val="FootnoteReference"/>
          <w:rFonts w:ascii="Times New Roman" w:hAnsi="Times New Roman" w:cs="Times New Roman"/>
          <w:sz w:val="24"/>
        </w:rPr>
        <w:footnoteReference w:id="21"/>
      </w:r>
      <w:r w:rsidR="00F04CEB">
        <w:rPr>
          <w:rFonts w:ascii="Times New Roman" w:hAnsi="Times New Roman" w:cs="Times New Roman"/>
          <w:sz w:val="24"/>
        </w:rPr>
        <w:t xml:space="preserve"> </w:t>
      </w:r>
      <w:r w:rsidR="003B0D77">
        <w:rPr>
          <w:rFonts w:ascii="Times New Roman" w:hAnsi="Times New Roman" w:cs="Times New Roman"/>
          <w:sz w:val="24"/>
        </w:rPr>
        <w:t>Las demás variables que alimentan la ecuación</w:t>
      </w:r>
      <w:r w:rsidR="008659B6">
        <w:rPr>
          <w:rFonts w:ascii="Times New Roman" w:hAnsi="Times New Roman" w:cs="Times New Roman"/>
          <w:sz w:val="24"/>
        </w:rPr>
        <w:t xml:space="preserve"> se mantuvieron de acuerdo </w:t>
      </w:r>
      <w:r w:rsidR="00E74A0D">
        <w:rPr>
          <w:rFonts w:ascii="Times New Roman" w:hAnsi="Times New Roman" w:cs="Times New Roman"/>
          <w:sz w:val="24"/>
        </w:rPr>
        <w:t xml:space="preserve">con </w:t>
      </w:r>
      <w:r w:rsidR="008659B6">
        <w:rPr>
          <w:rFonts w:ascii="Times New Roman" w:hAnsi="Times New Roman" w:cs="Times New Roman"/>
          <w:sz w:val="24"/>
        </w:rPr>
        <w:t>lo observad</w:t>
      </w:r>
      <w:r w:rsidR="00E74A0D">
        <w:rPr>
          <w:rFonts w:ascii="Times New Roman" w:hAnsi="Times New Roman" w:cs="Times New Roman"/>
          <w:sz w:val="24"/>
        </w:rPr>
        <w:t xml:space="preserve">o. El gráfico </w:t>
      </w:r>
      <w:r w:rsidR="007B07E8">
        <w:rPr>
          <w:rFonts w:ascii="Times New Roman" w:hAnsi="Times New Roman" w:cs="Times New Roman"/>
          <w:sz w:val="24"/>
        </w:rPr>
        <w:t>4</w:t>
      </w:r>
      <w:r w:rsidR="00E74A0D">
        <w:rPr>
          <w:rFonts w:ascii="Times New Roman" w:hAnsi="Times New Roman" w:cs="Times New Roman"/>
          <w:sz w:val="24"/>
        </w:rPr>
        <w:t xml:space="preserve"> muestra los resultados de este ejercicio</w:t>
      </w:r>
      <w:r w:rsidR="00D94995">
        <w:rPr>
          <w:rFonts w:ascii="Times New Roman" w:hAnsi="Times New Roman" w:cs="Times New Roman"/>
          <w:sz w:val="24"/>
        </w:rPr>
        <w:t>.</w:t>
      </w:r>
      <w:r w:rsidR="0089058F">
        <w:rPr>
          <w:rStyle w:val="FootnoteReference"/>
          <w:rFonts w:ascii="Times New Roman" w:hAnsi="Times New Roman" w:cs="Times New Roman"/>
          <w:sz w:val="24"/>
        </w:rPr>
        <w:footnoteReference w:id="22"/>
      </w:r>
      <w:r w:rsidR="00E74A0D">
        <w:rPr>
          <w:rFonts w:ascii="Times New Roman" w:hAnsi="Times New Roman" w:cs="Times New Roman"/>
          <w:sz w:val="24"/>
        </w:rPr>
        <w:t xml:space="preserve"> </w:t>
      </w:r>
    </w:p>
    <w:p w14:paraId="6520D3F9" w14:textId="313F1879" w:rsidR="009A28D8" w:rsidRDefault="0049320A" w:rsidP="009A28D8">
      <w:pPr>
        <w:spacing w:line="360" w:lineRule="auto"/>
        <w:jc w:val="both"/>
        <w:rPr>
          <w:rFonts w:ascii="Times New Roman" w:hAnsi="Times New Roman" w:cs="Times New Roman"/>
          <w:sz w:val="24"/>
        </w:rPr>
      </w:pPr>
      <w:r>
        <w:rPr>
          <w:rFonts w:ascii="Times New Roman" w:hAnsi="Times New Roman" w:cs="Times New Roman"/>
          <w:sz w:val="24"/>
        </w:rPr>
        <w:t>De acuerdo con</w:t>
      </w:r>
      <w:r w:rsidR="009A28D8">
        <w:rPr>
          <w:rFonts w:ascii="Times New Roman" w:hAnsi="Times New Roman" w:cs="Times New Roman"/>
          <w:sz w:val="24"/>
        </w:rPr>
        <w:t xml:space="preserve"> el gráfico </w:t>
      </w:r>
      <w:r w:rsidR="007F64E2">
        <w:rPr>
          <w:rFonts w:ascii="Times New Roman" w:hAnsi="Times New Roman" w:cs="Times New Roman"/>
          <w:sz w:val="24"/>
        </w:rPr>
        <w:t>9</w:t>
      </w:r>
      <w:r w:rsidR="005D2BDB">
        <w:rPr>
          <w:rFonts w:ascii="Times New Roman" w:hAnsi="Times New Roman" w:cs="Times New Roman"/>
          <w:sz w:val="24"/>
        </w:rPr>
        <w:t>.</w:t>
      </w:r>
      <w:r w:rsidR="007B07E8">
        <w:rPr>
          <w:rFonts w:ascii="Times New Roman" w:hAnsi="Times New Roman" w:cs="Times New Roman"/>
          <w:sz w:val="24"/>
        </w:rPr>
        <w:t>4</w:t>
      </w:r>
      <w:r w:rsidR="00977C42">
        <w:rPr>
          <w:rFonts w:ascii="Times New Roman" w:hAnsi="Times New Roman" w:cs="Times New Roman"/>
          <w:sz w:val="24"/>
        </w:rPr>
        <w:t>,</w:t>
      </w:r>
      <w:r w:rsidR="009A28D8">
        <w:rPr>
          <w:rFonts w:ascii="Times New Roman" w:hAnsi="Times New Roman" w:cs="Times New Roman"/>
          <w:sz w:val="24"/>
        </w:rPr>
        <w:t xml:space="preserve"> la deuda con regla fiscal probablemente hubiese experimentado una trayectoria menos explosiva que la observada, ubicándose en alrededor del 40% del PIB</w:t>
      </w:r>
      <w:r w:rsidR="004C2A1B">
        <w:rPr>
          <w:rFonts w:ascii="Times New Roman" w:hAnsi="Times New Roman" w:cs="Times New Roman"/>
          <w:sz w:val="24"/>
        </w:rPr>
        <w:t xml:space="preserve"> y el déficit primario sería cercano al 1%, un tercio del actual</w:t>
      </w:r>
      <w:r w:rsidR="00936D06">
        <w:rPr>
          <w:rFonts w:ascii="Times New Roman" w:hAnsi="Times New Roman" w:cs="Times New Roman"/>
          <w:sz w:val="24"/>
        </w:rPr>
        <w:t>.</w:t>
      </w:r>
      <w:r w:rsidR="009A28D8">
        <w:rPr>
          <w:rFonts w:ascii="Times New Roman" w:hAnsi="Times New Roman" w:cs="Times New Roman"/>
          <w:sz w:val="24"/>
        </w:rPr>
        <w:t xml:space="preserve"> Esto es un indicio </w:t>
      </w:r>
      <w:r w:rsidR="003D6096">
        <w:rPr>
          <w:rFonts w:ascii="Times New Roman" w:hAnsi="Times New Roman" w:cs="Times New Roman"/>
          <w:sz w:val="24"/>
        </w:rPr>
        <w:t xml:space="preserve">de que la regla fiscal es un buen instrumento para lograr el objetivo de sostenibilidad fiscal, aunque no es suficiente. De hecho, es importante destacar que en este ejercicio se supuso que la regla se suspendió en el año 2009, cuando el crecimiento económico fue de -1%. En este caso, </w:t>
      </w:r>
      <w:r w:rsidR="0058293F">
        <w:rPr>
          <w:rFonts w:ascii="Times New Roman" w:hAnsi="Times New Roman" w:cs="Times New Roman"/>
          <w:sz w:val="24"/>
        </w:rPr>
        <w:t xml:space="preserve">se supuso que el gasto corriente fue el mismo que el que experimentó el </w:t>
      </w:r>
      <w:r w:rsidR="00B4767B">
        <w:rPr>
          <w:rFonts w:ascii="Times New Roman" w:hAnsi="Times New Roman" w:cs="Times New Roman"/>
          <w:sz w:val="24"/>
        </w:rPr>
        <w:t>G</w:t>
      </w:r>
      <w:r w:rsidR="0058293F">
        <w:rPr>
          <w:rFonts w:ascii="Times New Roman" w:hAnsi="Times New Roman" w:cs="Times New Roman"/>
          <w:sz w:val="24"/>
        </w:rPr>
        <w:t xml:space="preserve">obierno </w:t>
      </w:r>
      <w:r w:rsidR="005D2BDB">
        <w:rPr>
          <w:rFonts w:ascii="Times New Roman" w:hAnsi="Times New Roman" w:cs="Times New Roman"/>
          <w:sz w:val="24"/>
        </w:rPr>
        <w:t>Central</w:t>
      </w:r>
      <w:r w:rsidR="0058293F">
        <w:rPr>
          <w:rFonts w:ascii="Times New Roman" w:hAnsi="Times New Roman" w:cs="Times New Roman"/>
          <w:sz w:val="24"/>
        </w:rPr>
        <w:t xml:space="preserve">. Además, </w:t>
      </w:r>
      <w:r w:rsidR="00172327">
        <w:rPr>
          <w:rFonts w:ascii="Times New Roman" w:hAnsi="Times New Roman" w:cs="Times New Roman"/>
          <w:sz w:val="24"/>
        </w:rPr>
        <w:t xml:space="preserve">también se supuso que los niveles de gasto de capital se mantuvieron igual que los observados. </w:t>
      </w:r>
      <w:r w:rsidR="00655BE5">
        <w:rPr>
          <w:rFonts w:ascii="Times New Roman" w:hAnsi="Times New Roman" w:cs="Times New Roman"/>
          <w:sz w:val="24"/>
        </w:rPr>
        <w:t>El supuesto subyacente es que los ahorros generados por la regla fiscal no se gastaron en inversión</w:t>
      </w:r>
      <w:r w:rsidR="007F01F8">
        <w:rPr>
          <w:rFonts w:ascii="Times New Roman" w:hAnsi="Times New Roman" w:cs="Times New Roman"/>
          <w:sz w:val="24"/>
        </w:rPr>
        <w:t>.</w:t>
      </w:r>
    </w:p>
    <w:p w14:paraId="723E7C9E" w14:textId="623F9FAC" w:rsidR="005D2BDB" w:rsidRDefault="005D2BDB" w:rsidP="009A28D8">
      <w:pPr>
        <w:spacing w:line="360" w:lineRule="auto"/>
        <w:jc w:val="both"/>
        <w:rPr>
          <w:rFonts w:ascii="Times New Roman" w:hAnsi="Times New Roman" w:cs="Times New Roman"/>
          <w:sz w:val="24"/>
        </w:rPr>
      </w:pPr>
    </w:p>
    <w:p w14:paraId="3DDD8770" w14:textId="76A1BA7C" w:rsidR="005D2BDB" w:rsidRDefault="005D2BDB" w:rsidP="009A28D8">
      <w:pPr>
        <w:spacing w:line="360" w:lineRule="auto"/>
        <w:jc w:val="both"/>
        <w:rPr>
          <w:rFonts w:ascii="Times New Roman" w:hAnsi="Times New Roman" w:cs="Times New Roman"/>
          <w:sz w:val="24"/>
        </w:rPr>
      </w:pPr>
    </w:p>
    <w:p w14:paraId="357C2F58" w14:textId="78310607" w:rsidR="005D2BDB" w:rsidRDefault="005D2BDB" w:rsidP="009A28D8">
      <w:pPr>
        <w:spacing w:line="360" w:lineRule="auto"/>
        <w:jc w:val="both"/>
        <w:rPr>
          <w:rFonts w:ascii="Times New Roman" w:hAnsi="Times New Roman" w:cs="Times New Roman"/>
          <w:sz w:val="24"/>
        </w:rPr>
      </w:pPr>
    </w:p>
    <w:p w14:paraId="0BC12A31" w14:textId="0C7C3FCB" w:rsidR="005D2BDB" w:rsidRDefault="005D2BDB" w:rsidP="009A28D8">
      <w:pPr>
        <w:spacing w:line="360" w:lineRule="auto"/>
        <w:jc w:val="both"/>
        <w:rPr>
          <w:rFonts w:ascii="Times New Roman" w:hAnsi="Times New Roman" w:cs="Times New Roman"/>
          <w:sz w:val="24"/>
        </w:rPr>
      </w:pPr>
    </w:p>
    <w:p w14:paraId="2FA71461" w14:textId="4BC17181" w:rsidR="005D2BDB" w:rsidRPr="00AC4178" w:rsidRDefault="005D2BDB" w:rsidP="00AC4178">
      <w:pPr>
        <w:pStyle w:val="Caption"/>
        <w:jc w:val="center"/>
        <w:rPr>
          <w:rFonts w:ascii="Times New Roman" w:hAnsi="Times New Roman"/>
          <w:i/>
          <w:sz w:val="24"/>
          <w:szCs w:val="24"/>
        </w:rPr>
      </w:pPr>
      <w:r w:rsidRPr="00AC4178">
        <w:rPr>
          <w:rFonts w:ascii="Times New Roman" w:hAnsi="Times New Roman"/>
          <w:sz w:val="24"/>
          <w:szCs w:val="24"/>
        </w:rPr>
        <w:t xml:space="preserve">Gráfico </w:t>
      </w:r>
      <w:r w:rsidR="00CF6E47">
        <w:rPr>
          <w:rFonts w:ascii="Times New Roman" w:hAnsi="Times New Roman"/>
          <w:sz w:val="24"/>
          <w:szCs w:val="24"/>
        </w:rPr>
        <w:t>9.</w:t>
      </w:r>
      <w:r w:rsidRPr="00AC4178">
        <w:rPr>
          <w:rFonts w:ascii="Times New Roman" w:hAnsi="Times New Roman"/>
          <w:sz w:val="24"/>
          <w:szCs w:val="24"/>
        </w:rPr>
        <w:fldChar w:fldCharType="begin"/>
      </w:r>
      <w:r w:rsidRPr="00AC4178">
        <w:rPr>
          <w:rFonts w:ascii="Times New Roman" w:hAnsi="Times New Roman"/>
          <w:sz w:val="24"/>
          <w:szCs w:val="24"/>
        </w:rPr>
        <w:instrText xml:space="preserve"> SEQ Gráfico \* ARABIC </w:instrText>
      </w:r>
      <w:r w:rsidRPr="00AC4178">
        <w:rPr>
          <w:rFonts w:ascii="Times New Roman" w:hAnsi="Times New Roman"/>
          <w:sz w:val="24"/>
          <w:szCs w:val="24"/>
        </w:rPr>
        <w:fldChar w:fldCharType="separate"/>
      </w:r>
      <w:r w:rsidR="00B549D7">
        <w:rPr>
          <w:rFonts w:ascii="Times New Roman" w:hAnsi="Times New Roman"/>
          <w:noProof/>
          <w:sz w:val="24"/>
          <w:szCs w:val="24"/>
        </w:rPr>
        <w:t>3</w:t>
      </w:r>
      <w:r w:rsidRPr="00AC4178">
        <w:rPr>
          <w:rFonts w:ascii="Times New Roman" w:hAnsi="Times New Roman"/>
          <w:sz w:val="24"/>
          <w:szCs w:val="24"/>
        </w:rPr>
        <w:fldChar w:fldCharType="end"/>
      </w:r>
      <w:r w:rsidRPr="00AC4178">
        <w:rPr>
          <w:rFonts w:ascii="Times New Roman" w:hAnsi="Times New Roman"/>
          <w:i/>
          <w:sz w:val="24"/>
          <w:szCs w:val="24"/>
        </w:rPr>
        <w:t>. Resultados de ejercicio retrospectivo: deuda del Gobierno Central de Costa Rica, resultado primario y gasto corriente con y sin regla fiscal, 2007-2017</w:t>
      </w:r>
    </w:p>
    <w:p w14:paraId="72EC6EBB" w14:textId="77777777" w:rsidR="00C50183" w:rsidRDefault="00C50183" w:rsidP="00944D6F">
      <w:pPr>
        <w:spacing w:after="0" w:line="240" w:lineRule="auto"/>
        <w:jc w:val="center"/>
        <w:rPr>
          <w:rFonts w:ascii="Times New Roman" w:hAnsi="Times New Roman" w:cs="Times New Roman"/>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5118"/>
        <w:gridCol w:w="4952"/>
      </w:tblGrid>
      <w:tr w:rsidR="007652FC" w14:paraId="16064553" w14:textId="77777777" w:rsidTr="00170A76">
        <w:tc>
          <w:tcPr>
            <w:tcW w:w="5118" w:type="dxa"/>
          </w:tcPr>
          <w:p w14:paraId="1A479C27" w14:textId="5353ABF6" w:rsidR="007652FC" w:rsidRDefault="003344CE" w:rsidP="00944D6F">
            <w:pPr>
              <w:jc w:val="center"/>
              <w:rPr>
                <w:rFonts w:ascii="Times New Roman" w:hAnsi="Times New Roman" w:cs="Times New Roman"/>
                <w:b/>
                <w:sz w:val="24"/>
              </w:rPr>
            </w:pPr>
            <w:r>
              <w:rPr>
                <w:noProof/>
              </w:rPr>
              <w:drawing>
                <wp:inline distT="0" distB="0" distL="0" distR="0" wp14:anchorId="4BF8D216" wp14:editId="1D354471">
                  <wp:extent cx="3105510" cy="2251494"/>
                  <wp:effectExtent l="0" t="0" r="0" b="0"/>
                  <wp:docPr id="4" name="Chart 4">
                    <a:extLst xmlns:a="http://schemas.openxmlformats.org/drawingml/2006/main">
                      <a:ext uri="{FF2B5EF4-FFF2-40B4-BE49-F238E27FC236}">
                        <a16:creationId xmlns:a16="http://schemas.microsoft.com/office/drawing/2014/main" id="{2078237F-2A8E-4777-B6A8-000630EFA5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952" w:type="dxa"/>
          </w:tcPr>
          <w:p w14:paraId="483E3865" w14:textId="75031B4D" w:rsidR="007652FC" w:rsidRDefault="003344CE" w:rsidP="00944D6F">
            <w:pPr>
              <w:jc w:val="center"/>
              <w:rPr>
                <w:rFonts w:ascii="Times New Roman" w:hAnsi="Times New Roman" w:cs="Times New Roman"/>
                <w:b/>
                <w:sz w:val="24"/>
              </w:rPr>
            </w:pPr>
            <w:r>
              <w:rPr>
                <w:noProof/>
              </w:rPr>
              <w:drawing>
                <wp:inline distT="0" distB="0" distL="0" distR="0" wp14:anchorId="133B4852" wp14:editId="5C32A01C">
                  <wp:extent cx="3055620" cy="2150628"/>
                  <wp:effectExtent l="0" t="0" r="0" b="2540"/>
                  <wp:docPr id="5" name="Chart 5">
                    <a:extLst xmlns:a="http://schemas.openxmlformats.org/drawingml/2006/main">
                      <a:ext uri="{FF2B5EF4-FFF2-40B4-BE49-F238E27FC236}">
                        <a16:creationId xmlns:a16="http://schemas.microsoft.com/office/drawing/2014/main" id="{D5431377-3E10-4DA2-BD2B-CB8E961916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652FC" w14:paraId="24EB8919" w14:textId="77777777" w:rsidTr="00170A76">
        <w:tc>
          <w:tcPr>
            <w:tcW w:w="10070" w:type="dxa"/>
            <w:gridSpan w:val="2"/>
          </w:tcPr>
          <w:p w14:paraId="14D75BDA" w14:textId="15DE5B9F" w:rsidR="007652FC" w:rsidRDefault="00536052" w:rsidP="00944D6F">
            <w:pPr>
              <w:jc w:val="center"/>
              <w:rPr>
                <w:rFonts w:ascii="Times New Roman" w:hAnsi="Times New Roman" w:cs="Times New Roman"/>
                <w:b/>
                <w:sz w:val="24"/>
              </w:rPr>
            </w:pPr>
            <w:r>
              <w:rPr>
                <w:noProof/>
              </w:rPr>
              <w:drawing>
                <wp:inline distT="0" distB="0" distL="0" distR="0" wp14:anchorId="0E6DA2C1" wp14:editId="7F4F6A24">
                  <wp:extent cx="2885342" cy="2116016"/>
                  <wp:effectExtent l="0" t="0" r="0" b="0"/>
                  <wp:docPr id="6" name="Chart 6">
                    <a:extLst xmlns:a="http://schemas.openxmlformats.org/drawingml/2006/main">
                      <a:ext uri="{FF2B5EF4-FFF2-40B4-BE49-F238E27FC236}">
                        <a16:creationId xmlns:a16="http://schemas.microsoft.com/office/drawing/2014/main" id="{1368DDDF-CA1B-48C0-A6D6-F17DE87F5D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14:paraId="325073AA" w14:textId="3E3DAD80" w:rsidR="00E94E55" w:rsidRPr="00AC4178" w:rsidRDefault="00E94E55" w:rsidP="00170A76">
      <w:pPr>
        <w:spacing w:line="240" w:lineRule="auto"/>
        <w:jc w:val="center"/>
        <w:rPr>
          <w:rFonts w:ascii="Times New Roman" w:hAnsi="Times New Roman" w:cs="Times New Roman"/>
          <w:sz w:val="18"/>
          <w:szCs w:val="18"/>
        </w:rPr>
      </w:pPr>
      <w:r w:rsidRPr="00AC4178">
        <w:rPr>
          <w:rFonts w:ascii="Times New Roman" w:hAnsi="Times New Roman" w:cs="Times New Roman"/>
          <w:sz w:val="18"/>
          <w:szCs w:val="18"/>
        </w:rPr>
        <w:t xml:space="preserve">Fuente: </w:t>
      </w:r>
      <w:r w:rsidR="00B3212A" w:rsidRPr="00AC4178">
        <w:rPr>
          <w:rFonts w:ascii="Times New Roman" w:hAnsi="Times New Roman" w:cs="Times New Roman"/>
          <w:sz w:val="18"/>
          <w:szCs w:val="18"/>
        </w:rPr>
        <w:t>E</w:t>
      </w:r>
      <w:r w:rsidRPr="00AC4178">
        <w:rPr>
          <w:rFonts w:ascii="Times New Roman" w:hAnsi="Times New Roman" w:cs="Times New Roman"/>
          <w:sz w:val="18"/>
          <w:szCs w:val="18"/>
        </w:rPr>
        <w:t>laboración propia.</w:t>
      </w:r>
    </w:p>
    <w:p w14:paraId="0EB941AD" w14:textId="4624BC92" w:rsidR="00B4767B" w:rsidRDefault="00802478" w:rsidP="00802478">
      <w:pPr>
        <w:spacing w:line="360" w:lineRule="auto"/>
        <w:jc w:val="both"/>
        <w:rPr>
          <w:rFonts w:ascii="Times New Roman" w:eastAsiaTheme="minorEastAsia" w:hAnsi="Times New Roman" w:cs="Times New Roman"/>
          <w:sz w:val="24"/>
        </w:rPr>
      </w:pPr>
      <w:r w:rsidRPr="00B4767B">
        <w:rPr>
          <w:rFonts w:ascii="Times New Roman" w:hAnsi="Times New Roman" w:cs="Times New Roman"/>
          <w:sz w:val="24"/>
        </w:rPr>
        <w:t xml:space="preserve">Finalmente, </w:t>
      </w:r>
      <w:r w:rsidR="002D5052">
        <w:rPr>
          <w:rFonts w:ascii="Times New Roman" w:hAnsi="Times New Roman" w:cs="Times New Roman"/>
          <w:sz w:val="24"/>
        </w:rPr>
        <w:t xml:space="preserve">se realizó </w:t>
      </w:r>
      <w:r w:rsidR="004C2A1B" w:rsidRPr="00B4767B">
        <w:rPr>
          <w:rFonts w:ascii="Times New Roman" w:hAnsi="Times New Roman" w:cs="Times New Roman"/>
          <w:sz w:val="24"/>
        </w:rPr>
        <w:t xml:space="preserve">un ejercicio de análisis </w:t>
      </w:r>
      <w:r w:rsidR="00B4767B" w:rsidRPr="00B4767B">
        <w:rPr>
          <w:rFonts w:ascii="Times New Roman" w:hAnsi="Times New Roman" w:cs="Times New Roman"/>
          <w:sz w:val="24"/>
        </w:rPr>
        <w:t xml:space="preserve">de cuánto hubiese sido el ajuste fiscal requerido para mantener la </w:t>
      </w:r>
      <w:r w:rsidR="002D5052">
        <w:rPr>
          <w:rFonts w:ascii="Times New Roman" w:hAnsi="Times New Roman" w:cs="Times New Roman"/>
          <w:sz w:val="24"/>
        </w:rPr>
        <w:t>razón de deuda a PIB constante</w:t>
      </w:r>
      <w:r w:rsidR="0062676E">
        <w:rPr>
          <w:rFonts w:ascii="Times New Roman" w:hAnsi="Times New Roman" w:cs="Times New Roman"/>
          <w:sz w:val="24"/>
        </w:rPr>
        <w:t xml:space="preserve"> en ambos escenarios: con y sin regla fiscal. Para esto, </w:t>
      </w:r>
      <w:r w:rsidR="009D1356">
        <w:rPr>
          <w:rFonts w:ascii="Times New Roman" w:hAnsi="Times New Roman" w:cs="Times New Roman"/>
          <w:sz w:val="24"/>
        </w:rPr>
        <w:t xml:space="preserve">partiendo de </w:t>
      </w:r>
      <w:r w:rsidR="006B0B4C">
        <w:rPr>
          <w:rFonts w:ascii="Times New Roman" w:hAnsi="Times New Roman" w:cs="Times New Roman"/>
          <w:sz w:val="24"/>
        </w:rPr>
        <w:t xml:space="preserve">la ecuación </w:t>
      </w:r>
      <m:oMath>
        <m:r>
          <w:rPr>
            <w:rFonts w:ascii="Cambria Math" w:hAnsi="Cambria Math" w:cs="Times New Roman"/>
            <w:sz w:val="24"/>
          </w:rPr>
          <m:t>(1)</m:t>
        </m:r>
      </m:oMath>
      <w:r w:rsidR="006B0B4C">
        <w:rPr>
          <w:rFonts w:ascii="Times New Roman" w:eastAsiaTheme="minorEastAsia" w:hAnsi="Times New Roman" w:cs="Times New Roman"/>
          <w:sz w:val="24"/>
        </w:rPr>
        <w:t xml:space="preserve"> y, dado que necesitamos que la deuda se mantenga constante</w:t>
      </w:r>
      <w:r w:rsidR="009D1356">
        <w:rPr>
          <w:rFonts w:ascii="Times New Roman" w:eastAsiaTheme="minorEastAsia" w:hAnsi="Times New Roman" w:cs="Times New Roman"/>
          <w:sz w:val="24"/>
        </w:rPr>
        <w:t xml:space="preserve">, entonces podemos obtener la siguiente expresión que nos indica cuanto es el balance primario requerido para </w:t>
      </w:r>
      <w:r w:rsidR="00496E0D">
        <w:rPr>
          <w:rFonts w:ascii="Times New Roman" w:eastAsiaTheme="minorEastAsia" w:hAnsi="Times New Roman" w:cs="Times New Roman"/>
          <w:sz w:val="24"/>
        </w:rPr>
        <w:t>mantener la deuda estable</w:t>
      </w:r>
      <w:r w:rsidR="00675B82">
        <w:rPr>
          <w:rStyle w:val="FootnoteReference"/>
          <w:rFonts w:ascii="Times New Roman" w:eastAsiaTheme="minorEastAsia" w:hAnsi="Times New Roman" w:cs="Times New Roman"/>
          <w:sz w:val="24"/>
        </w:rPr>
        <w:footnoteReference w:id="23"/>
      </w:r>
    </w:p>
    <w:p w14:paraId="1EA11F61" w14:textId="11B5AAC2" w:rsidR="00496E0D" w:rsidRPr="00D54B97" w:rsidRDefault="005C5E76" w:rsidP="00802478">
      <w:pPr>
        <w:spacing w:line="360" w:lineRule="auto"/>
        <w:jc w:val="both"/>
        <w:rPr>
          <w:rFonts w:ascii="Times New Roman" w:hAnsi="Times New Roman" w:cs="Times New Roman"/>
          <w:sz w:val="24"/>
        </w:rPr>
      </w:pPr>
      <m:oMathPara>
        <m:oMathParaPr>
          <m:jc m:val="right"/>
        </m:oMathParaPr>
        <m:oMath>
          <m:sSup>
            <m:sSupPr>
              <m:ctrlPr>
                <w:rPr>
                  <w:rFonts w:ascii="Cambria Math" w:hAnsi="Cambria Math" w:cs="Times New Roman"/>
                  <w:i/>
                  <w:sz w:val="24"/>
                </w:rPr>
              </m:ctrlPr>
            </m:sSupPr>
            <m:e>
              <m:r>
                <w:rPr>
                  <w:rFonts w:ascii="Cambria Math" w:hAnsi="Cambria Math" w:cs="Times New Roman"/>
                  <w:sz w:val="24"/>
                </w:rPr>
                <m:t>f</m:t>
              </m:r>
            </m:e>
            <m:sup>
              <m:r>
                <w:rPr>
                  <w:rFonts w:ascii="Cambria Math" w:hAnsi="Cambria Math" w:cs="Times New Roman"/>
                  <w:sz w:val="24"/>
                </w:rPr>
                <m:t>*</m:t>
              </m:r>
            </m:sup>
          </m:sSup>
          <m:r>
            <w:rPr>
              <w:rFonts w:ascii="Cambria Math" w:eastAsiaTheme="minorEastAsia" w:hAnsi="Cambria Math" w:cs="Times New Roman"/>
              <w:sz w:val="24"/>
            </w:rPr>
            <m:t>=</m:t>
          </m:r>
          <m:f>
            <m:fPr>
              <m:ctrlPr>
                <w:rPr>
                  <w:rFonts w:ascii="Cambria Math" w:eastAsiaTheme="minorEastAsia" w:hAnsi="Cambria Math" w:cs="Times New Roman"/>
                  <w:i/>
                  <w:sz w:val="24"/>
                </w:rPr>
              </m:ctrlPr>
            </m:fPr>
            <m:num>
              <m:r>
                <w:rPr>
                  <w:rFonts w:ascii="Cambria Math" w:eastAsiaTheme="minorEastAsia" w:hAnsi="Cambria Math" w:cs="Times New Roman"/>
                  <w:sz w:val="24"/>
                </w:rPr>
                <m:t>r-g</m:t>
              </m:r>
            </m:num>
            <m:den>
              <m:r>
                <w:rPr>
                  <w:rFonts w:ascii="Cambria Math" w:eastAsiaTheme="minorEastAsia" w:hAnsi="Cambria Math" w:cs="Times New Roman"/>
                  <w:sz w:val="24"/>
                </w:rPr>
                <m:t>1+g</m:t>
              </m:r>
            </m:den>
          </m:f>
          <m:r>
            <w:rPr>
              <w:rFonts w:ascii="Cambria Math" w:eastAsiaTheme="minorEastAsia" w:hAnsi="Cambria Math" w:cs="Times New Roman"/>
              <w:sz w:val="24"/>
            </w:rPr>
            <m:t>d                                                                               (2)</m:t>
          </m:r>
        </m:oMath>
      </m:oMathPara>
    </w:p>
    <w:p w14:paraId="27701798" w14:textId="31A09C72" w:rsidR="00A77FC8" w:rsidRDefault="006C3D76" w:rsidP="00D822C6">
      <w:pPr>
        <w:spacing w:after="0" w:line="360" w:lineRule="auto"/>
        <w:jc w:val="both"/>
        <w:rPr>
          <w:rFonts w:ascii="Times New Roman" w:hAnsi="Times New Roman" w:cs="Times New Roman"/>
          <w:sz w:val="24"/>
        </w:rPr>
      </w:pPr>
      <w:r>
        <w:rPr>
          <w:rFonts w:ascii="Times New Roman" w:hAnsi="Times New Roman" w:cs="Times New Roman"/>
          <w:sz w:val="24"/>
        </w:rPr>
        <w:t>Luego, de c</w:t>
      </w:r>
      <w:r w:rsidR="000F624E">
        <w:rPr>
          <w:rFonts w:ascii="Times New Roman" w:hAnsi="Times New Roman" w:cs="Times New Roman"/>
          <w:sz w:val="24"/>
        </w:rPr>
        <w:t xml:space="preserve">alcular </w:t>
      </w:r>
      <w:r w:rsidR="00D54B97">
        <w:rPr>
          <w:rFonts w:ascii="Times New Roman" w:hAnsi="Times New Roman" w:cs="Times New Roman"/>
          <w:sz w:val="24"/>
        </w:rPr>
        <w:t xml:space="preserve">el balance primario requerido para estabilizar la </w:t>
      </w:r>
      <w:r w:rsidR="004C2A1B" w:rsidRPr="00B4767B">
        <w:rPr>
          <w:rFonts w:ascii="Times New Roman" w:hAnsi="Times New Roman" w:cs="Times New Roman"/>
          <w:sz w:val="24"/>
        </w:rPr>
        <w:t>deuda</w:t>
      </w:r>
      <w:r>
        <w:rPr>
          <w:rFonts w:ascii="Times New Roman" w:hAnsi="Times New Roman" w:cs="Times New Roman"/>
          <w:sz w:val="24"/>
        </w:rPr>
        <w:t xml:space="preserve"> con la ecuación </w:t>
      </w:r>
      <m:oMath>
        <m:r>
          <w:rPr>
            <w:rFonts w:ascii="Cambria Math" w:hAnsi="Cambria Math" w:cs="Times New Roman"/>
            <w:sz w:val="24"/>
          </w:rPr>
          <m:t>(2)</m:t>
        </m:r>
      </m:oMath>
      <w:r>
        <w:rPr>
          <w:rFonts w:ascii="Times New Roman" w:hAnsi="Times New Roman" w:cs="Times New Roman"/>
          <w:sz w:val="24"/>
        </w:rPr>
        <w:t>,</w:t>
      </w:r>
      <w:r w:rsidR="00A77FC8">
        <w:rPr>
          <w:rFonts w:ascii="Times New Roman" w:hAnsi="Times New Roman" w:cs="Times New Roman"/>
          <w:sz w:val="24"/>
        </w:rPr>
        <w:t xml:space="preserve"> calculamos el tamaño de la consolidación fiscal necesaria para alcanzar este balance que estabiliza la deuda</w:t>
      </w:r>
      <w:r w:rsidR="00C24A04">
        <w:rPr>
          <w:rFonts w:ascii="Times New Roman" w:hAnsi="Times New Roman" w:cs="Times New Roman"/>
          <w:sz w:val="24"/>
        </w:rPr>
        <w:t xml:space="preserve"> dado nuestro balance actual</w:t>
      </w:r>
      <w:r w:rsidR="00A77FC8">
        <w:rPr>
          <w:rFonts w:ascii="Times New Roman" w:hAnsi="Times New Roman" w:cs="Times New Roman"/>
          <w:sz w:val="24"/>
        </w:rPr>
        <w:t>.</w:t>
      </w:r>
      <w:r w:rsidR="00C24A04">
        <w:rPr>
          <w:rFonts w:ascii="Times New Roman" w:hAnsi="Times New Roman" w:cs="Times New Roman"/>
          <w:sz w:val="24"/>
        </w:rPr>
        <w:t xml:space="preserve"> Como resultado, tenemos que el ajuste sin regla es del </w:t>
      </w:r>
      <w:r w:rsidR="00304B2A">
        <w:rPr>
          <w:rFonts w:ascii="Times New Roman" w:hAnsi="Times New Roman" w:cs="Times New Roman"/>
          <w:sz w:val="24"/>
        </w:rPr>
        <w:t>o</w:t>
      </w:r>
      <w:r w:rsidR="00C24A04">
        <w:rPr>
          <w:rFonts w:ascii="Times New Roman" w:hAnsi="Times New Roman" w:cs="Times New Roman"/>
          <w:sz w:val="24"/>
        </w:rPr>
        <w:t>rden del 4,</w:t>
      </w:r>
      <w:r w:rsidR="00304B2A">
        <w:rPr>
          <w:rFonts w:ascii="Times New Roman" w:hAnsi="Times New Roman" w:cs="Times New Roman"/>
          <w:sz w:val="24"/>
        </w:rPr>
        <w:t xml:space="preserve">83% del PIB mientras que en una situación con regla fiscal hubiese sido 2,6% del PIB </w:t>
      </w:r>
      <w:r w:rsidR="005D2BDB">
        <w:rPr>
          <w:rFonts w:ascii="Times New Roman" w:hAnsi="Times New Roman" w:cs="Times New Roman"/>
          <w:sz w:val="24"/>
        </w:rPr>
        <w:t xml:space="preserve">(tabla </w:t>
      </w:r>
      <w:r w:rsidR="007F64E2">
        <w:rPr>
          <w:rFonts w:ascii="Times New Roman" w:hAnsi="Times New Roman" w:cs="Times New Roman"/>
          <w:sz w:val="24"/>
        </w:rPr>
        <w:t>9</w:t>
      </w:r>
      <w:r w:rsidR="005D2BDB">
        <w:rPr>
          <w:rFonts w:ascii="Times New Roman" w:hAnsi="Times New Roman" w:cs="Times New Roman"/>
          <w:sz w:val="24"/>
        </w:rPr>
        <w:t>.</w:t>
      </w:r>
      <w:r w:rsidR="00304B2A">
        <w:rPr>
          <w:rFonts w:ascii="Times New Roman" w:hAnsi="Times New Roman" w:cs="Times New Roman"/>
          <w:sz w:val="24"/>
        </w:rPr>
        <w:t>4).</w:t>
      </w:r>
    </w:p>
    <w:p w14:paraId="32A8B08F" w14:textId="30D9C54E" w:rsidR="00640AAA" w:rsidRDefault="005D2BDB" w:rsidP="00AC4178">
      <w:pPr>
        <w:pStyle w:val="Caption"/>
        <w:jc w:val="center"/>
      </w:pPr>
      <w:r w:rsidRPr="00AC4178">
        <w:rPr>
          <w:rFonts w:ascii="Times New Roman" w:hAnsi="Times New Roman"/>
          <w:sz w:val="24"/>
          <w:szCs w:val="24"/>
        </w:rPr>
        <w:t xml:space="preserve">Tabla </w:t>
      </w:r>
      <w:r w:rsidR="00AF60E4">
        <w:rPr>
          <w:rFonts w:ascii="Times New Roman" w:hAnsi="Times New Roman"/>
          <w:sz w:val="24"/>
          <w:szCs w:val="24"/>
        </w:rPr>
        <w:t>9</w:t>
      </w:r>
      <w:r>
        <w:rPr>
          <w:rFonts w:ascii="Times New Roman" w:hAnsi="Times New Roman"/>
          <w:sz w:val="24"/>
          <w:szCs w:val="24"/>
        </w:rPr>
        <w:t>.</w:t>
      </w:r>
      <w:r w:rsidRPr="00AC4178">
        <w:rPr>
          <w:rFonts w:ascii="Times New Roman" w:hAnsi="Times New Roman"/>
          <w:sz w:val="24"/>
          <w:szCs w:val="24"/>
        </w:rPr>
        <w:fldChar w:fldCharType="begin"/>
      </w:r>
      <w:r w:rsidRPr="00AC4178">
        <w:rPr>
          <w:rFonts w:ascii="Times New Roman" w:hAnsi="Times New Roman"/>
          <w:sz w:val="24"/>
          <w:szCs w:val="24"/>
        </w:rPr>
        <w:instrText xml:space="preserve"> SEQ Tabla \* ARABIC </w:instrText>
      </w:r>
      <w:r w:rsidRPr="00AC4178">
        <w:rPr>
          <w:rFonts w:ascii="Times New Roman" w:hAnsi="Times New Roman"/>
          <w:sz w:val="24"/>
          <w:szCs w:val="24"/>
        </w:rPr>
        <w:fldChar w:fldCharType="separate"/>
      </w:r>
      <w:r w:rsidR="00B549D7">
        <w:rPr>
          <w:rFonts w:ascii="Times New Roman" w:hAnsi="Times New Roman"/>
          <w:noProof/>
          <w:sz w:val="24"/>
          <w:szCs w:val="24"/>
        </w:rPr>
        <w:t>4</w:t>
      </w:r>
      <w:r w:rsidRPr="00AC4178">
        <w:rPr>
          <w:rFonts w:ascii="Times New Roman" w:hAnsi="Times New Roman"/>
          <w:sz w:val="24"/>
          <w:szCs w:val="24"/>
        </w:rPr>
        <w:fldChar w:fldCharType="end"/>
      </w:r>
      <w:r w:rsidRPr="00AC4178">
        <w:rPr>
          <w:rFonts w:ascii="Times New Roman" w:hAnsi="Times New Roman"/>
          <w:sz w:val="24"/>
          <w:szCs w:val="24"/>
        </w:rPr>
        <w:t xml:space="preserve">. </w:t>
      </w:r>
      <w:r w:rsidRPr="00AC4178">
        <w:rPr>
          <w:rFonts w:ascii="Times New Roman" w:hAnsi="Times New Roman"/>
          <w:i/>
          <w:sz w:val="24"/>
          <w:szCs w:val="24"/>
        </w:rPr>
        <w:t>Ajuste requerido para estabilizar la deuda (año 2017)</w:t>
      </w:r>
    </w:p>
    <w:tbl>
      <w:tblPr>
        <w:tblW w:w="8048" w:type="dxa"/>
        <w:jc w:val="center"/>
        <w:tblCellMar>
          <w:left w:w="70" w:type="dxa"/>
          <w:right w:w="70" w:type="dxa"/>
        </w:tblCellMar>
        <w:tblLook w:val="04A0" w:firstRow="1" w:lastRow="0" w:firstColumn="1" w:lastColumn="0" w:noHBand="0" w:noVBand="1"/>
      </w:tblPr>
      <w:tblGrid>
        <w:gridCol w:w="3172"/>
        <w:gridCol w:w="745"/>
        <w:gridCol w:w="636"/>
        <w:gridCol w:w="2676"/>
        <w:gridCol w:w="820"/>
      </w:tblGrid>
      <w:tr w:rsidR="00C24A04" w:rsidRPr="00C24A04" w14:paraId="43096BBD" w14:textId="77777777" w:rsidTr="00304B2A">
        <w:trPr>
          <w:trHeight w:val="300"/>
          <w:jc w:val="center"/>
        </w:trPr>
        <w:tc>
          <w:tcPr>
            <w:tcW w:w="3916" w:type="dxa"/>
            <w:gridSpan w:val="2"/>
            <w:tcBorders>
              <w:top w:val="single" w:sz="4" w:space="0" w:color="auto"/>
              <w:left w:val="single" w:sz="4" w:space="0" w:color="auto"/>
              <w:bottom w:val="single" w:sz="4" w:space="0" w:color="auto"/>
              <w:right w:val="nil"/>
            </w:tcBorders>
            <w:shd w:val="clear" w:color="000000" w:fill="F2F2F2"/>
            <w:noWrap/>
            <w:vAlign w:val="bottom"/>
            <w:hideMark/>
          </w:tcPr>
          <w:p w14:paraId="6826959B" w14:textId="77777777" w:rsidR="00C24A04" w:rsidRPr="00C24A04" w:rsidRDefault="00C24A04" w:rsidP="00C24A04">
            <w:pPr>
              <w:spacing w:after="0" w:line="240" w:lineRule="auto"/>
              <w:jc w:val="center"/>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636" w:type="dxa"/>
            <w:tcBorders>
              <w:top w:val="single" w:sz="4" w:space="0" w:color="auto"/>
              <w:left w:val="nil"/>
              <w:bottom w:val="nil"/>
              <w:right w:val="nil"/>
            </w:tcBorders>
            <w:shd w:val="clear" w:color="000000" w:fill="F2F2F2"/>
            <w:noWrap/>
            <w:vAlign w:val="bottom"/>
            <w:hideMark/>
          </w:tcPr>
          <w:p w14:paraId="2B464DCD"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3496" w:type="dxa"/>
            <w:gridSpan w:val="2"/>
            <w:tcBorders>
              <w:top w:val="single" w:sz="4" w:space="0" w:color="auto"/>
              <w:left w:val="nil"/>
              <w:bottom w:val="nil"/>
              <w:right w:val="single" w:sz="4" w:space="0" w:color="auto"/>
            </w:tcBorders>
            <w:shd w:val="clear" w:color="000000" w:fill="F2F2F2"/>
            <w:noWrap/>
            <w:vAlign w:val="bottom"/>
            <w:hideMark/>
          </w:tcPr>
          <w:p w14:paraId="432379EE" w14:textId="77777777" w:rsidR="00C24A04" w:rsidRPr="00C24A04" w:rsidRDefault="00C24A04" w:rsidP="00C24A04">
            <w:pPr>
              <w:spacing w:after="0" w:line="240" w:lineRule="auto"/>
              <w:jc w:val="center"/>
              <w:rPr>
                <w:rFonts w:ascii="Times New Roman" w:eastAsia="Times New Roman" w:hAnsi="Times New Roman" w:cs="Times New Roman"/>
                <w:b/>
                <w:bCs/>
                <w:color w:val="000000"/>
                <w:lang w:eastAsia="es-CR"/>
              </w:rPr>
            </w:pPr>
            <w:r w:rsidRPr="00C24A04">
              <w:rPr>
                <w:rFonts w:ascii="Times New Roman" w:eastAsia="Times New Roman" w:hAnsi="Times New Roman" w:cs="Times New Roman"/>
                <w:b/>
                <w:bCs/>
                <w:color w:val="000000"/>
                <w:lang w:eastAsia="es-CR"/>
              </w:rPr>
              <w:t>Supuestos</w:t>
            </w:r>
          </w:p>
        </w:tc>
      </w:tr>
      <w:tr w:rsidR="00C24A04" w:rsidRPr="00C24A04" w14:paraId="475B6106" w14:textId="77777777" w:rsidTr="00C24A04">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5B77080D" w14:textId="4920BEF4" w:rsidR="00C24A04" w:rsidRPr="00C24A04" w:rsidRDefault="00304B2A"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Superávit</w:t>
            </w:r>
            <w:r w:rsidR="00C24A04" w:rsidRPr="00C24A04">
              <w:rPr>
                <w:rFonts w:ascii="Times New Roman" w:eastAsia="Times New Roman" w:hAnsi="Times New Roman" w:cs="Times New Roman"/>
                <w:color w:val="000000"/>
                <w:lang w:eastAsia="es-CR"/>
              </w:rPr>
              <w:t xml:space="preserve"> actual requerido</w:t>
            </w:r>
          </w:p>
        </w:tc>
        <w:tc>
          <w:tcPr>
            <w:tcW w:w="744" w:type="dxa"/>
            <w:tcBorders>
              <w:top w:val="nil"/>
              <w:left w:val="nil"/>
              <w:bottom w:val="single" w:sz="4" w:space="0" w:color="auto"/>
              <w:right w:val="single" w:sz="4" w:space="0" w:color="auto"/>
            </w:tcBorders>
            <w:shd w:val="clear" w:color="000000" w:fill="F2F2F2"/>
            <w:noWrap/>
            <w:vAlign w:val="bottom"/>
            <w:hideMark/>
          </w:tcPr>
          <w:p w14:paraId="007CC520"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1.78%</w:t>
            </w:r>
          </w:p>
        </w:tc>
        <w:tc>
          <w:tcPr>
            <w:tcW w:w="636" w:type="dxa"/>
            <w:tcBorders>
              <w:top w:val="nil"/>
              <w:left w:val="nil"/>
              <w:bottom w:val="nil"/>
              <w:right w:val="nil"/>
            </w:tcBorders>
            <w:shd w:val="clear" w:color="000000" w:fill="F2F2F2"/>
            <w:noWrap/>
            <w:vAlign w:val="bottom"/>
            <w:hideMark/>
          </w:tcPr>
          <w:p w14:paraId="4DA30D67"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3460BC7"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Crecimiento de Largo Plazo</w:t>
            </w:r>
          </w:p>
        </w:tc>
        <w:tc>
          <w:tcPr>
            <w:tcW w:w="820" w:type="dxa"/>
            <w:tcBorders>
              <w:top w:val="single" w:sz="4" w:space="0" w:color="auto"/>
              <w:left w:val="nil"/>
              <w:bottom w:val="single" w:sz="4" w:space="0" w:color="auto"/>
              <w:right w:val="single" w:sz="4" w:space="0" w:color="auto"/>
            </w:tcBorders>
            <w:shd w:val="clear" w:color="000000" w:fill="F2F2F2"/>
            <w:noWrap/>
            <w:vAlign w:val="bottom"/>
            <w:hideMark/>
          </w:tcPr>
          <w:p w14:paraId="313E8AB0"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3.75%</w:t>
            </w:r>
          </w:p>
        </w:tc>
      </w:tr>
      <w:tr w:rsidR="00C24A04" w:rsidRPr="00C24A04" w14:paraId="1B0275D9" w14:textId="77777777" w:rsidTr="00C24A04">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17A600EB" w14:textId="2DC0CE37" w:rsidR="00C24A04" w:rsidRPr="00C24A04" w:rsidRDefault="00304B2A"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Superávit</w:t>
            </w:r>
            <w:r w:rsidR="00C24A04" w:rsidRPr="00C24A04">
              <w:rPr>
                <w:rFonts w:ascii="Times New Roman" w:eastAsia="Times New Roman" w:hAnsi="Times New Roman" w:cs="Times New Roman"/>
                <w:color w:val="000000"/>
                <w:lang w:eastAsia="es-CR"/>
              </w:rPr>
              <w:t xml:space="preserve"> requerido con regla</w:t>
            </w:r>
          </w:p>
        </w:tc>
        <w:tc>
          <w:tcPr>
            <w:tcW w:w="744" w:type="dxa"/>
            <w:tcBorders>
              <w:top w:val="nil"/>
              <w:left w:val="nil"/>
              <w:bottom w:val="single" w:sz="4" w:space="0" w:color="auto"/>
              <w:right w:val="single" w:sz="4" w:space="0" w:color="auto"/>
            </w:tcBorders>
            <w:shd w:val="clear" w:color="000000" w:fill="F2F2F2"/>
            <w:noWrap/>
            <w:vAlign w:val="bottom"/>
            <w:hideMark/>
          </w:tcPr>
          <w:p w14:paraId="567DF3C3"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1.50%</w:t>
            </w:r>
          </w:p>
        </w:tc>
        <w:tc>
          <w:tcPr>
            <w:tcW w:w="636" w:type="dxa"/>
            <w:tcBorders>
              <w:top w:val="nil"/>
              <w:left w:val="nil"/>
              <w:bottom w:val="nil"/>
              <w:right w:val="nil"/>
            </w:tcBorders>
            <w:shd w:val="clear" w:color="000000" w:fill="F2F2F2"/>
            <w:noWrap/>
            <w:vAlign w:val="bottom"/>
            <w:hideMark/>
          </w:tcPr>
          <w:p w14:paraId="38FD691D"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tcBorders>
              <w:top w:val="nil"/>
              <w:left w:val="single" w:sz="4" w:space="0" w:color="auto"/>
              <w:bottom w:val="single" w:sz="4" w:space="0" w:color="auto"/>
              <w:right w:val="single" w:sz="4" w:space="0" w:color="auto"/>
            </w:tcBorders>
            <w:shd w:val="clear" w:color="000000" w:fill="F2F2F2"/>
            <w:noWrap/>
            <w:vAlign w:val="bottom"/>
            <w:hideMark/>
          </w:tcPr>
          <w:p w14:paraId="6CB65F3D"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Tasa de interés</w:t>
            </w:r>
          </w:p>
        </w:tc>
        <w:tc>
          <w:tcPr>
            <w:tcW w:w="820" w:type="dxa"/>
            <w:tcBorders>
              <w:top w:val="nil"/>
              <w:left w:val="nil"/>
              <w:bottom w:val="single" w:sz="4" w:space="0" w:color="auto"/>
              <w:right w:val="single" w:sz="4" w:space="0" w:color="auto"/>
            </w:tcBorders>
            <w:shd w:val="clear" w:color="000000" w:fill="F2F2F2"/>
            <w:noWrap/>
            <w:vAlign w:val="bottom"/>
            <w:hideMark/>
          </w:tcPr>
          <w:p w14:paraId="2B70A1F8"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7.50%</w:t>
            </w:r>
          </w:p>
        </w:tc>
      </w:tr>
      <w:tr w:rsidR="00C24A04" w:rsidRPr="00C24A04" w14:paraId="21B784F1"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486FB5A3"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744" w:type="dxa"/>
            <w:tcBorders>
              <w:top w:val="nil"/>
              <w:left w:val="nil"/>
              <w:bottom w:val="single" w:sz="4" w:space="0" w:color="auto"/>
              <w:right w:val="single" w:sz="4" w:space="0" w:color="auto"/>
            </w:tcBorders>
            <w:shd w:val="clear" w:color="000000" w:fill="F2F2F2"/>
            <w:noWrap/>
            <w:vAlign w:val="bottom"/>
            <w:hideMark/>
          </w:tcPr>
          <w:p w14:paraId="009803B6"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636" w:type="dxa"/>
            <w:tcBorders>
              <w:top w:val="nil"/>
              <w:left w:val="nil"/>
              <w:bottom w:val="nil"/>
              <w:right w:val="nil"/>
            </w:tcBorders>
            <w:shd w:val="clear" w:color="000000" w:fill="F2F2F2"/>
            <w:noWrap/>
            <w:vAlign w:val="bottom"/>
            <w:hideMark/>
          </w:tcPr>
          <w:p w14:paraId="62D31A42"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tcBorders>
              <w:top w:val="nil"/>
              <w:left w:val="nil"/>
              <w:bottom w:val="nil"/>
              <w:right w:val="nil"/>
            </w:tcBorders>
            <w:shd w:val="clear" w:color="000000" w:fill="F2F2F2"/>
            <w:noWrap/>
            <w:vAlign w:val="bottom"/>
            <w:hideMark/>
          </w:tcPr>
          <w:p w14:paraId="57A33835"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820" w:type="dxa"/>
            <w:tcBorders>
              <w:top w:val="nil"/>
              <w:left w:val="nil"/>
              <w:bottom w:val="nil"/>
              <w:right w:val="single" w:sz="4" w:space="0" w:color="auto"/>
            </w:tcBorders>
            <w:shd w:val="clear" w:color="000000" w:fill="F2F2F2"/>
            <w:noWrap/>
            <w:vAlign w:val="bottom"/>
            <w:hideMark/>
          </w:tcPr>
          <w:p w14:paraId="2BB03394"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r w:rsidR="00C24A04" w:rsidRPr="00C24A04" w14:paraId="2FB01175"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1873D2AB"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Déficit primario actual</w:t>
            </w:r>
          </w:p>
        </w:tc>
        <w:tc>
          <w:tcPr>
            <w:tcW w:w="744" w:type="dxa"/>
            <w:tcBorders>
              <w:top w:val="nil"/>
              <w:left w:val="nil"/>
              <w:bottom w:val="single" w:sz="4" w:space="0" w:color="auto"/>
              <w:right w:val="single" w:sz="4" w:space="0" w:color="auto"/>
            </w:tcBorders>
            <w:shd w:val="clear" w:color="000000" w:fill="F2F2F2"/>
            <w:noWrap/>
            <w:vAlign w:val="bottom"/>
            <w:hideMark/>
          </w:tcPr>
          <w:p w14:paraId="2E6597AE"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-3.06%</w:t>
            </w:r>
          </w:p>
        </w:tc>
        <w:tc>
          <w:tcPr>
            <w:tcW w:w="636" w:type="dxa"/>
            <w:tcBorders>
              <w:top w:val="nil"/>
              <w:left w:val="nil"/>
              <w:bottom w:val="nil"/>
              <w:right w:val="nil"/>
            </w:tcBorders>
            <w:shd w:val="clear" w:color="000000" w:fill="F2F2F2"/>
            <w:noWrap/>
            <w:vAlign w:val="bottom"/>
            <w:hideMark/>
          </w:tcPr>
          <w:p w14:paraId="0A78B279"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vMerge w:val="restart"/>
            <w:tcBorders>
              <w:top w:val="nil"/>
              <w:left w:val="nil"/>
              <w:bottom w:val="nil"/>
              <w:right w:val="nil"/>
            </w:tcBorders>
            <w:shd w:val="clear" w:color="000000" w:fill="F2F2F2"/>
            <w:noWrap/>
            <w:vAlign w:val="bottom"/>
            <w:hideMark/>
          </w:tcPr>
          <w:p w14:paraId="536391A4" w14:textId="3C873DB2" w:rsidR="00C24A04" w:rsidRPr="00C24A04" w:rsidRDefault="00C24A04" w:rsidP="00C24A04">
            <w:pPr>
              <w:spacing w:after="0" w:line="240" w:lineRule="auto"/>
              <w:rPr>
                <w:rFonts w:ascii="Times New Roman" w:eastAsia="Times New Roman" w:hAnsi="Times New Roman" w:cs="Times New Roman"/>
                <w:color w:val="000000"/>
                <w:lang w:eastAsia="es-CR"/>
              </w:rPr>
            </w:pPr>
          </w:p>
        </w:tc>
        <w:tc>
          <w:tcPr>
            <w:tcW w:w="820" w:type="dxa"/>
            <w:tcBorders>
              <w:top w:val="nil"/>
              <w:left w:val="nil"/>
              <w:bottom w:val="nil"/>
              <w:right w:val="single" w:sz="4" w:space="0" w:color="auto"/>
            </w:tcBorders>
            <w:shd w:val="clear" w:color="000000" w:fill="F2F2F2"/>
            <w:noWrap/>
            <w:vAlign w:val="bottom"/>
            <w:hideMark/>
          </w:tcPr>
          <w:p w14:paraId="2DD71792"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r w:rsidR="00C24A04" w:rsidRPr="00C24A04" w14:paraId="31E8B21B"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109A920B"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Déficit primario con regla</w:t>
            </w:r>
          </w:p>
        </w:tc>
        <w:tc>
          <w:tcPr>
            <w:tcW w:w="744" w:type="dxa"/>
            <w:tcBorders>
              <w:top w:val="nil"/>
              <w:left w:val="nil"/>
              <w:bottom w:val="single" w:sz="4" w:space="0" w:color="auto"/>
              <w:right w:val="single" w:sz="4" w:space="0" w:color="auto"/>
            </w:tcBorders>
            <w:shd w:val="clear" w:color="000000" w:fill="F2F2F2"/>
            <w:noWrap/>
            <w:vAlign w:val="bottom"/>
            <w:hideMark/>
          </w:tcPr>
          <w:p w14:paraId="14E16FFD" w14:textId="77777777" w:rsidR="00C24A04" w:rsidRPr="00C24A04" w:rsidRDefault="00C24A04" w:rsidP="00C24A04">
            <w:pPr>
              <w:spacing w:after="0" w:line="240" w:lineRule="auto"/>
              <w:jc w:val="right"/>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-1.09%</w:t>
            </w:r>
          </w:p>
        </w:tc>
        <w:tc>
          <w:tcPr>
            <w:tcW w:w="636" w:type="dxa"/>
            <w:tcBorders>
              <w:top w:val="nil"/>
              <w:left w:val="nil"/>
              <w:bottom w:val="nil"/>
              <w:right w:val="nil"/>
            </w:tcBorders>
            <w:shd w:val="clear" w:color="000000" w:fill="F2F2F2"/>
            <w:noWrap/>
            <w:vAlign w:val="bottom"/>
            <w:hideMark/>
          </w:tcPr>
          <w:p w14:paraId="2791F509"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vMerge/>
            <w:tcBorders>
              <w:top w:val="nil"/>
              <w:left w:val="nil"/>
              <w:bottom w:val="nil"/>
              <w:right w:val="nil"/>
            </w:tcBorders>
            <w:vAlign w:val="center"/>
            <w:hideMark/>
          </w:tcPr>
          <w:p w14:paraId="25720F9F"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p>
        </w:tc>
        <w:tc>
          <w:tcPr>
            <w:tcW w:w="820" w:type="dxa"/>
            <w:tcBorders>
              <w:top w:val="nil"/>
              <w:left w:val="nil"/>
              <w:bottom w:val="nil"/>
              <w:right w:val="single" w:sz="4" w:space="0" w:color="auto"/>
            </w:tcBorders>
            <w:shd w:val="clear" w:color="000000" w:fill="F2F2F2"/>
            <w:noWrap/>
            <w:vAlign w:val="bottom"/>
            <w:hideMark/>
          </w:tcPr>
          <w:p w14:paraId="23CE06D4"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r w:rsidR="00C24A04" w:rsidRPr="00C24A04" w14:paraId="7FD8027D"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47058D66"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744" w:type="dxa"/>
            <w:tcBorders>
              <w:top w:val="nil"/>
              <w:left w:val="nil"/>
              <w:bottom w:val="single" w:sz="4" w:space="0" w:color="auto"/>
              <w:right w:val="single" w:sz="4" w:space="0" w:color="auto"/>
            </w:tcBorders>
            <w:shd w:val="clear" w:color="000000" w:fill="F2F2F2"/>
            <w:noWrap/>
            <w:vAlign w:val="bottom"/>
            <w:hideMark/>
          </w:tcPr>
          <w:p w14:paraId="3B0E68DB"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636" w:type="dxa"/>
            <w:tcBorders>
              <w:top w:val="nil"/>
              <w:left w:val="nil"/>
              <w:bottom w:val="nil"/>
              <w:right w:val="nil"/>
            </w:tcBorders>
            <w:shd w:val="clear" w:color="000000" w:fill="F2F2F2"/>
            <w:noWrap/>
            <w:vAlign w:val="bottom"/>
            <w:hideMark/>
          </w:tcPr>
          <w:p w14:paraId="32D97B7E"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vMerge/>
            <w:tcBorders>
              <w:top w:val="nil"/>
              <w:left w:val="nil"/>
              <w:bottom w:val="nil"/>
              <w:right w:val="nil"/>
            </w:tcBorders>
            <w:vAlign w:val="center"/>
            <w:hideMark/>
          </w:tcPr>
          <w:p w14:paraId="5C6353C2"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p>
        </w:tc>
        <w:tc>
          <w:tcPr>
            <w:tcW w:w="820" w:type="dxa"/>
            <w:tcBorders>
              <w:top w:val="nil"/>
              <w:left w:val="nil"/>
              <w:bottom w:val="nil"/>
              <w:right w:val="single" w:sz="4" w:space="0" w:color="auto"/>
            </w:tcBorders>
            <w:shd w:val="clear" w:color="000000" w:fill="F2F2F2"/>
            <w:noWrap/>
            <w:vAlign w:val="bottom"/>
            <w:hideMark/>
          </w:tcPr>
          <w:p w14:paraId="69912226"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r w:rsidR="00C24A04" w:rsidRPr="00C24A04" w14:paraId="017FD07F"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1CE46AD3" w14:textId="77777777" w:rsidR="00C24A04" w:rsidRPr="00C24A04" w:rsidRDefault="00C24A04" w:rsidP="00C24A04">
            <w:pPr>
              <w:spacing w:after="0" w:line="240" w:lineRule="auto"/>
              <w:rPr>
                <w:rFonts w:ascii="Times New Roman" w:eastAsia="Times New Roman" w:hAnsi="Times New Roman" w:cs="Times New Roman"/>
                <w:b/>
                <w:bCs/>
                <w:color w:val="000000"/>
                <w:lang w:eastAsia="es-CR"/>
              </w:rPr>
            </w:pPr>
            <w:r w:rsidRPr="00C24A04">
              <w:rPr>
                <w:rFonts w:ascii="Times New Roman" w:eastAsia="Times New Roman" w:hAnsi="Times New Roman" w:cs="Times New Roman"/>
                <w:b/>
                <w:bCs/>
                <w:color w:val="000000"/>
                <w:lang w:eastAsia="es-CR"/>
              </w:rPr>
              <w:t>Ajuste actual</w:t>
            </w:r>
          </w:p>
        </w:tc>
        <w:tc>
          <w:tcPr>
            <w:tcW w:w="744" w:type="dxa"/>
            <w:tcBorders>
              <w:top w:val="nil"/>
              <w:left w:val="nil"/>
              <w:bottom w:val="single" w:sz="4" w:space="0" w:color="auto"/>
              <w:right w:val="single" w:sz="4" w:space="0" w:color="auto"/>
            </w:tcBorders>
            <w:shd w:val="clear" w:color="000000" w:fill="F2F2F2"/>
            <w:noWrap/>
            <w:vAlign w:val="bottom"/>
            <w:hideMark/>
          </w:tcPr>
          <w:p w14:paraId="01E2EC69" w14:textId="77777777" w:rsidR="00C24A04" w:rsidRPr="00C24A04" w:rsidRDefault="00C24A04" w:rsidP="00C24A04">
            <w:pPr>
              <w:spacing w:after="0" w:line="240" w:lineRule="auto"/>
              <w:jc w:val="right"/>
              <w:rPr>
                <w:rFonts w:ascii="Times New Roman" w:eastAsia="Times New Roman" w:hAnsi="Times New Roman" w:cs="Times New Roman"/>
                <w:b/>
                <w:bCs/>
                <w:color w:val="000000"/>
                <w:lang w:eastAsia="es-CR"/>
              </w:rPr>
            </w:pPr>
            <w:r w:rsidRPr="00C24A04">
              <w:rPr>
                <w:rFonts w:ascii="Times New Roman" w:eastAsia="Times New Roman" w:hAnsi="Times New Roman" w:cs="Times New Roman"/>
                <w:b/>
                <w:bCs/>
                <w:color w:val="000000"/>
                <w:lang w:eastAsia="es-CR"/>
              </w:rPr>
              <w:t>4.83%</w:t>
            </w:r>
          </w:p>
        </w:tc>
        <w:tc>
          <w:tcPr>
            <w:tcW w:w="636" w:type="dxa"/>
            <w:tcBorders>
              <w:top w:val="nil"/>
              <w:left w:val="nil"/>
              <w:bottom w:val="nil"/>
              <w:right w:val="nil"/>
            </w:tcBorders>
            <w:shd w:val="clear" w:color="000000" w:fill="F2F2F2"/>
            <w:noWrap/>
            <w:vAlign w:val="bottom"/>
            <w:hideMark/>
          </w:tcPr>
          <w:p w14:paraId="79941DC1"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vMerge/>
            <w:tcBorders>
              <w:top w:val="nil"/>
              <w:left w:val="nil"/>
              <w:bottom w:val="nil"/>
              <w:right w:val="nil"/>
            </w:tcBorders>
            <w:vAlign w:val="center"/>
            <w:hideMark/>
          </w:tcPr>
          <w:p w14:paraId="42467C5D"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p>
        </w:tc>
        <w:tc>
          <w:tcPr>
            <w:tcW w:w="820" w:type="dxa"/>
            <w:tcBorders>
              <w:top w:val="nil"/>
              <w:left w:val="nil"/>
              <w:bottom w:val="nil"/>
              <w:right w:val="single" w:sz="4" w:space="0" w:color="auto"/>
            </w:tcBorders>
            <w:shd w:val="clear" w:color="000000" w:fill="F2F2F2"/>
            <w:noWrap/>
            <w:vAlign w:val="bottom"/>
            <w:hideMark/>
          </w:tcPr>
          <w:p w14:paraId="251DC0F2"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r w:rsidR="00C24A04" w:rsidRPr="00C24A04" w14:paraId="0ECDF0D4" w14:textId="77777777" w:rsidTr="00304B2A">
        <w:trPr>
          <w:trHeight w:val="300"/>
          <w:jc w:val="center"/>
        </w:trPr>
        <w:tc>
          <w:tcPr>
            <w:tcW w:w="3172" w:type="dxa"/>
            <w:tcBorders>
              <w:top w:val="nil"/>
              <w:left w:val="single" w:sz="4" w:space="0" w:color="auto"/>
              <w:bottom w:val="single" w:sz="4" w:space="0" w:color="auto"/>
              <w:right w:val="single" w:sz="4" w:space="0" w:color="auto"/>
            </w:tcBorders>
            <w:shd w:val="clear" w:color="000000" w:fill="F2F2F2"/>
            <w:noWrap/>
            <w:vAlign w:val="bottom"/>
            <w:hideMark/>
          </w:tcPr>
          <w:p w14:paraId="1F6E3DAE" w14:textId="77777777" w:rsidR="00C24A04" w:rsidRPr="00C24A04" w:rsidRDefault="00C24A04" w:rsidP="00C24A04">
            <w:pPr>
              <w:spacing w:after="0" w:line="240" w:lineRule="auto"/>
              <w:rPr>
                <w:rFonts w:ascii="Times New Roman" w:eastAsia="Times New Roman" w:hAnsi="Times New Roman" w:cs="Times New Roman"/>
                <w:b/>
                <w:bCs/>
                <w:color w:val="000000"/>
                <w:lang w:eastAsia="es-CR"/>
              </w:rPr>
            </w:pPr>
            <w:r w:rsidRPr="00C24A04">
              <w:rPr>
                <w:rFonts w:ascii="Times New Roman" w:eastAsia="Times New Roman" w:hAnsi="Times New Roman" w:cs="Times New Roman"/>
                <w:b/>
                <w:bCs/>
                <w:color w:val="000000"/>
                <w:lang w:eastAsia="es-CR"/>
              </w:rPr>
              <w:t>Ajuste con regla</w:t>
            </w:r>
          </w:p>
        </w:tc>
        <w:tc>
          <w:tcPr>
            <w:tcW w:w="744" w:type="dxa"/>
            <w:tcBorders>
              <w:top w:val="nil"/>
              <w:left w:val="nil"/>
              <w:bottom w:val="single" w:sz="4" w:space="0" w:color="auto"/>
              <w:right w:val="single" w:sz="4" w:space="0" w:color="auto"/>
            </w:tcBorders>
            <w:shd w:val="clear" w:color="000000" w:fill="F2F2F2"/>
            <w:noWrap/>
            <w:vAlign w:val="bottom"/>
            <w:hideMark/>
          </w:tcPr>
          <w:p w14:paraId="6340EFC3" w14:textId="77777777" w:rsidR="00C24A04" w:rsidRPr="00C24A04" w:rsidRDefault="00C24A04" w:rsidP="00C24A04">
            <w:pPr>
              <w:spacing w:after="0" w:line="240" w:lineRule="auto"/>
              <w:jc w:val="right"/>
              <w:rPr>
                <w:rFonts w:ascii="Times New Roman" w:eastAsia="Times New Roman" w:hAnsi="Times New Roman" w:cs="Times New Roman"/>
                <w:b/>
                <w:bCs/>
                <w:color w:val="000000"/>
                <w:lang w:eastAsia="es-CR"/>
              </w:rPr>
            </w:pPr>
            <w:r w:rsidRPr="00C24A04">
              <w:rPr>
                <w:rFonts w:ascii="Times New Roman" w:eastAsia="Times New Roman" w:hAnsi="Times New Roman" w:cs="Times New Roman"/>
                <w:b/>
                <w:bCs/>
                <w:color w:val="000000"/>
                <w:lang w:eastAsia="es-CR"/>
              </w:rPr>
              <w:t>2.59%</w:t>
            </w:r>
          </w:p>
        </w:tc>
        <w:tc>
          <w:tcPr>
            <w:tcW w:w="636" w:type="dxa"/>
            <w:tcBorders>
              <w:top w:val="nil"/>
              <w:left w:val="nil"/>
              <w:bottom w:val="single" w:sz="4" w:space="0" w:color="auto"/>
              <w:right w:val="nil"/>
            </w:tcBorders>
            <w:shd w:val="clear" w:color="000000" w:fill="F2F2F2"/>
            <w:noWrap/>
            <w:vAlign w:val="bottom"/>
            <w:hideMark/>
          </w:tcPr>
          <w:p w14:paraId="4D3AEFFB"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c>
          <w:tcPr>
            <w:tcW w:w="2676" w:type="dxa"/>
            <w:vMerge/>
            <w:tcBorders>
              <w:top w:val="nil"/>
              <w:left w:val="nil"/>
              <w:bottom w:val="single" w:sz="4" w:space="0" w:color="auto"/>
              <w:right w:val="nil"/>
            </w:tcBorders>
            <w:vAlign w:val="center"/>
            <w:hideMark/>
          </w:tcPr>
          <w:p w14:paraId="69155423"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p>
        </w:tc>
        <w:tc>
          <w:tcPr>
            <w:tcW w:w="820" w:type="dxa"/>
            <w:tcBorders>
              <w:top w:val="nil"/>
              <w:left w:val="nil"/>
              <w:bottom w:val="single" w:sz="4" w:space="0" w:color="auto"/>
              <w:right w:val="single" w:sz="4" w:space="0" w:color="auto"/>
            </w:tcBorders>
            <w:shd w:val="clear" w:color="000000" w:fill="F2F2F2"/>
            <w:noWrap/>
            <w:vAlign w:val="bottom"/>
            <w:hideMark/>
          </w:tcPr>
          <w:p w14:paraId="7249A864" w14:textId="77777777" w:rsidR="00C24A04" w:rsidRPr="00C24A04" w:rsidRDefault="00C24A04" w:rsidP="00C24A04">
            <w:pPr>
              <w:spacing w:after="0" w:line="240" w:lineRule="auto"/>
              <w:rPr>
                <w:rFonts w:ascii="Times New Roman" w:eastAsia="Times New Roman" w:hAnsi="Times New Roman" w:cs="Times New Roman"/>
                <w:color w:val="000000"/>
                <w:lang w:eastAsia="es-CR"/>
              </w:rPr>
            </w:pPr>
            <w:r w:rsidRPr="00C24A04">
              <w:rPr>
                <w:rFonts w:ascii="Times New Roman" w:eastAsia="Times New Roman" w:hAnsi="Times New Roman" w:cs="Times New Roman"/>
                <w:color w:val="000000"/>
                <w:lang w:eastAsia="es-CR"/>
              </w:rPr>
              <w:t> </w:t>
            </w:r>
          </w:p>
        </w:tc>
      </w:tr>
    </w:tbl>
    <w:p w14:paraId="167B6FF3" w14:textId="46C8866E" w:rsidR="00640AAA" w:rsidRPr="00AC4178" w:rsidRDefault="00640AAA">
      <w:pPr>
        <w:spacing w:after="0" w:line="240" w:lineRule="auto"/>
        <w:jc w:val="center"/>
        <w:rPr>
          <w:rFonts w:ascii="Times New Roman" w:hAnsi="Times New Roman" w:cs="Times New Roman"/>
          <w:sz w:val="18"/>
          <w:szCs w:val="18"/>
        </w:rPr>
      </w:pPr>
      <w:r w:rsidRPr="00AC4178">
        <w:rPr>
          <w:rFonts w:ascii="Times New Roman" w:hAnsi="Times New Roman" w:cs="Times New Roman"/>
          <w:sz w:val="18"/>
          <w:szCs w:val="18"/>
        </w:rPr>
        <w:t>Fuente: Elaboración propia</w:t>
      </w:r>
    </w:p>
    <w:p w14:paraId="1600A485" w14:textId="31B4362C" w:rsidR="007970E4" w:rsidRDefault="007970E4">
      <w:pPr>
        <w:spacing w:after="0" w:line="240" w:lineRule="auto"/>
        <w:jc w:val="center"/>
        <w:rPr>
          <w:rFonts w:ascii="Times New Roman" w:hAnsi="Times New Roman" w:cs="Times New Roman"/>
          <w:sz w:val="20"/>
        </w:rPr>
      </w:pPr>
    </w:p>
    <w:p w14:paraId="79158420" w14:textId="676AF346" w:rsidR="00CF3DDA" w:rsidRPr="003C7BD8" w:rsidRDefault="005D42FE" w:rsidP="00CE7447">
      <w:pPr>
        <w:pStyle w:val="ListParagraph"/>
        <w:numPr>
          <w:ilvl w:val="0"/>
          <w:numId w:val="1"/>
        </w:numPr>
        <w:spacing w:line="360" w:lineRule="auto"/>
        <w:jc w:val="both"/>
        <w:rPr>
          <w:rFonts w:ascii="Times New Roman" w:hAnsi="Times New Roman" w:cs="Times New Roman"/>
          <w:b/>
          <w:sz w:val="24"/>
        </w:rPr>
      </w:pPr>
      <w:r w:rsidRPr="003C7BD8">
        <w:rPr>
          <w:rFonts w:ascii="Times New Roman" w:hAnsi="Times New Roman" w:cs="Times New Roman"/>
          <w:b/>
          <w:sz w:val="24"/>
        </w:rPr>
        <w:t>Conclusiones</w:t>
      </w:r>
      <w:r w:rsidR="00DA7EBA" w:rsidRPr="003C7BD8">
        <w:rPr>
          <w:rFonts w:ascii="Times New Roman" w:hAnsi="Times New Roman" w:cs="Times New Roman"/>
          <w:b/>
          <w:sz w:val="24"/>
        </w:rPr>
        <w:t>.</w:t>
      </w:r>
    </w:p>
    <w:p w14:paraId="5AD9B1A5" w14:textId="604F24F8" w:rsidR="003D35C3" w:rsidRDefault="00DA1286" w:rsidP="0020593B">
      <w:pPr>
        <w:spacing w:line="360" w:lineRule="auto"/>
        <w:jc w:val="both"/>
        <w:rPr>
          <w:rFonts w:ascii="Times New Roman" w:hAnsi="Times New Roman" w:cs="Times New Roman"/>
          <w:sz w:val="24"/>
        </w:rPr>
      </w:pPr>
      <w:r w:rsidRPr="00DA1286">
        <w:rPr>
          <w:rFonts w:ascii="Times New Roman" w:hAnsi="Times New Roman" w:cs="Times New Roman"/>
          <w:sz w:val="24"/>
        </w:rPr>
        <w:t xml:space="preserve">La </w:t>
      </w:r>
      <w:r>
        <w:rPr>
          <w:rFonts w:ascii="Times New Roman" w:hAnsi="Times New Roman" w:cs="Times New Roman"/>
          <w:sz w:val="24"/>
        </w:rPr>
        <w:t>adopción de una regla fiscal para Costa Rica es un paso en la dirección correcta</w:t>
      </w:r>
      <w:r w:rsidR="00890926">
        <w:rPr>
          <w:rFonts w:ascii="Times New Roman" w:hAnsi="Times New Roman" w:cs="Times New Roman"/>
          <w:sz w:val="24"/>
        </w:rPr>
        <w:t xml:space="preserve"> hacia una sólida institucionalidad fiscal</w:t>
      </w:r>
      <w:r w:rsidR="00EC0204">
        <w:rPr>
          <w:rFonts w:ascii="Times New Roman" w:hAnsi="Times New Roman" w:cs="Times New Roman"/>
          <w:sz w:val="24"/>
        </w:rPr>
        <w:t xml:space="preserve">, en un contexto de ajuste. En particular, las reglas fiscales de gasto </w:t>
      </w:r>
      <w:r w:rsidR="006218AE">
        <w:rPr>
          <w:rFonts w:ascii="Times New Roman" w:hAnsi="Times New Roman" w:cs="Times New Roman"/>
          <w:sz w:val="24"/>
        </w:rPr>
        <w:t xml:space="preserve">han sido usadas </w:t>
      </w:r>
      <w:r w:rsidR="003B332C">
        <w:rPr>
          <w:rFonts w:ascii="Times New Roman" w:hAnsi="Times New Roman" w:cs="Times New Roman"/>
          <w:sz w:val="24"/>
        </w:rPr>
        <w:t xml:space="preserve">para </w:t>
      </w:r>
      <w:r w:rsidR="00361A56">
        <w:rPr>
          <w:rFonts w:ascii="Times New Roman" w:hAnsi="Times New Roman" w:cs="Times New Roman"/>
          <w:sz w:val="24"/>
        </w:rPr>
        <w:t xml:space="preserve">implementar </w:t>
      </w:r>
      <w:r w:rsidR="003B332C">
        <w:rPr>
          <w:rFonts w:ascii="Times New Roman" w:hAnsi="Times New Roman" w:cs="Times New Roman"/>
          <w:sz w:val="24"/>
        </w:rPr>
        <w:t xml:space="preserve">consolidaciones fiscales (Cordes </w:t>
      </w:r>
      <w:r w:rsidR="003B332C">
        <w:rPr>
          <w:rFonts w:ascii="Times New Roman" w:hAnsi="Times New Roman" w:cs="Times New Roman"/>
          <w:i/>
          <w:sz w:val="24"/>
        </w:rPr>
        <w:t xml:space="preserve">et al., </w:t>
      </w:r>
      <w:r w:rsidR="003B332C">
        <w:rPr>
          <w:rFonts w:ascii="Times New Roman" w:hAnsi="Times New Roman" w:cs="Times New Roman"/>
          <w:sz w:val="24"/>
        </w:rPr>
        <w:t>2015)</w:t>
      </w:r>
      <w:r w:rsidR="00A217B3">
        <w:rPr>
          <w:rFonts w:ascii="Times New Roman" w:hAnsi="Times New Roman" w:cs="Times New Roman"/>
          <w:sz w:val="24"/>
        </w:rPr>
        <w:t>, como es el caso de</w:t>
      </w:r>
      <w:r w:rsidR="005A196B">
        <w:rPr>
          <w:rFonts w:ascii="Times New Roman" w:hAnsi="Times New Roman" w:cs="Times New Roman"/>
          <w:sz w:val="24"/>
        </w:rPr>
        <w:t xml:space="preserve"> la economía</w:t>
      </w:r>
      <w:r w:rsidR="00296E9B">
        <w:rPr>
          <w:rFonts w:ascii="Times New Roman" w:hAnsi="Times New Roman" w:cs="Times New Roman"/>
          <w:sz w:val="24"/>
        </w:rPr>
        <w:t xml:space="preserve"> </w:t>
      </w:r>
      <w:r w:rsidR="00361A56">
        <w:rPr>
          <w:rFonts w:ascii="Times New Roman" w:hAnsi="Times New Roman" w:cs="Times New Roman"/>
          <w:sz w:val="24"/>
        </w:rPr>
        <w:t>costarricense</w:t>
      </w:r>
      <w:r w:rsidR="005A196B">
        <w:rPr>
          <w:rFonts w:ascii="Times New Roman" w:hAnsi="Times New Roman" w:cs="Times New Roman"/>
          <w:sz w:val="24"/>
        </w:rPr>
        <w:t>. Por lo tanto, el control del gasto corriente es relevante para lograr la estabilidad, así como favorecer y realizar inversión pública.</w:t>
      </w:r>
      <w:r w:rsidR="00296E9B">
        <w:rPr>
          <w:rFonts w:ascii="Times New Roman" w:hAnsi="Times New Roman" w:cs="Times New Roman"/>
          <w:sz w:val="24"/>
        </w:rPr>
        <w:t xml:space="preserve"> </w:t>
      </w:r>
      <w:r w:rsidR="00A217B3">
        <w:rPr>
          <w:rFonts w:ascii="Times New Roman" w:hAnsi="Times New Roman" w:cs="Times New Roman"/>
          <w:sz w:val="24"/>
        </w:rPr>
        <w:t xml:space="preserve">Esta regla fiscal en particular representa una mejora significativa en la institucionalidad fiscal pues es </w:t>
      </w:r>
      <w:r w:rsidR="00C97DFE">
        <w:rPr>
          <w:rFonts w:ascii="Times New Roman" w:hAnsi="Times New Roman" w:cs="Times New Roman"/>
          <w:sz w:val="24"/>
        </w:rPr>
        <w:t>la primer</w:t>
      </w:r>
      <w:r w:rsidR="003F02A1">
        <w:rPr>
          <w:rFonts w:ascii="Times New Roman" w:hAnsi="Times New Roman" w:cs="Times New Roman"/>
          <w:sz w:val="24"/>
        </w:rPr>
        <w:t>a</w:t>
      </w:r>
      <w:r w:rsidR="00C97DFE">
        <w:rPr>
          <w:rFonts w:ascii="Times New Roman" w:hAnsi="Times New Roman" w:cs="Times New Roman"/>
          <w:sz w:val="24"/>
        </w:rPr>
        <w:t xml:space="preserve"> que especifica temas clave para su efectividad como l</w:t>
      </w:r>
      <w:r w:rsidR="008B40A9">
        <w:rPr>
          <w:rFonts w:ascii="Times New Roman" w:hAnsi="Times New Roman" w:cs="Times New Roman"/>
          <w:sz w:val="24"/>
        </w:rPr>
        <w:t xml:space="preserve">os son </w:t>
      </w:r>
      <w:r w:rsidR="006061E2">
        <w:rPr>
          <w:rFonts w:ascii="Times New Roman" w:hAnsi="Times New Roman" w:cs="Times New Roman"/>
          <w:sz w:val="24"/>
        </w:rPr>
        <w:t xml:space="preserve">definiciones y restricciones de gasto, </w:t>
      </w:r>
      <w:r w:rsidR="008B40A9">
        <w:rPr>
          <w:rFonts w:ascii="Times New Roman" w:hAnsi="Times New Roman" w:cs="Times New Roman"/>
          <w:sz w:val="24"/>
        </w:rPr>
        <w:t xml:space="preserve">cláusulas de escape, </w:t>
      </w:r>
      <w:r w:rsidR="006061E2">
        <w:rPr>
          <w:rFonts w:ascii="Times New Roman" w:hAnsi="Times New Roman" w:cs="Times New Roman"/>
          <w:sz w:val="24"/>
        </w:rPr>
        <w:t xml:space="preserve">mecanismos de </w:t>
      </w:r>
      <w:r w:rsidR="008B40A9">
        <w:rPr>
          <w:rFonts w:ascii="Times New Roman" w:hAnsi="Times New Roman" w:cs="Times New Roman"/>
          <w:sz w:val="24"/>
        </w:rPr>
        <w:t xml:space="preserve">monitoreo, entre otros. </w:t>
      </w:r>
      <w:r w:rsidR="003F02A1">
        <w:rPr>
          <w:rFonts w:ascii="Times New Roman" w:hAnsi="Times New Roman" w:cs="Times New Roman"/>
          <w:sz w:val="24"/>
        </w:rPr>
        <w:t>Es difícil determinar conclusiones sobré qué tan efectiva será la regla, principalmente en un contexto de alt</w:t>
      </w:r>
      <w:r w:rsidR="00BE1272">
        <w:rPr>
          <w:rFonts w:ascii="Times New Roman" w:hAnsi="Times New Roman" w:cs="Times New Roman"/>
          <w:sz w:val="24"/>
        </w:rPr>
        <w:t>a proporción de gasto inflexible</w:t>
      </w:r>
      <w:r w:rsidR="005655D6">
        <w:rPr>
          <w:rFonts w:ascii="Times New Roman" w:hAnsi="Times New Roman" w:cs="Times New Roman"/>
          <w:sz w:val="24"/>
        </w:rPr>
        <w:t>, con</w:t>
      </w:r>
      <w:r w:rsidR="00590D5F">
        <w:rPr>
          <w:rFonts w:ascii="Times New Roman" w:hAnsi="Times New Roman" w:cs="Times New Roman"/>
          <w:sz w:val="24"/>
        </w:rPr>
        <w:t xml:space="preserve"> destinos específicos tan significativo</w:t>
      </w:r>
      <w:r w:rsidR="00242A18">
        <w:rPr>
          <w:rFonts w:ascii="Times New Roman" w:hAnsi="Times New Roman" w:cs="Times New Roman"/>
          <w:sz w:val="24"/>
        </w:rPr>
        <w:t>s (por ejemplo</w:t>
      </w:r>
      <w:r w:rsidR="001D1004">
        <w:rPr>
          <w:rFonts w:ascii="Times New Roman" w:hAnsi="Times New Roman" w:cs="Times New Roman"/>
          <w:sz w:val="24"/>
        </w:rPr>
        <w:t>,</w:t>
      </w:r>
      <w:r w:rsidR="00242A18">
        <w:rPr>
          <w:rFonts w:ascii="Times New Roman" w:hAnsi="Times New Roman" w:cs="Times New Roman"/>
          <w:sz w:val="24"/>
        </w:rPr>
        <w:t xml:space="preserve"> 8% del PIB se debe presupuestar a la educación pública</w:t>
      </w:r>
      <w:r w:rsidR="001D1004">
        <w:rPr>
          <w:rFonts w:ascii="Times New Roman" w:hAnsi="Times New Roman" w:cs="Times New Roman"/>
          <w:sz w:val="24"/>
        </w:rPr>
        <w:t xml:space="preserve"> por normativa constitucional</w:t>
      </w:r>
      <w:r w:rsidR="00242A18">
        <w:rPr>
          <w:rFonts w:ascii="Times New Roman" w:hAnsi="Times New Roman" w:cs="Times New Roman"/>
          <w:sz w:val="24"/>
        </w:rPr>
        <w:t>)</w:t>
      </w:r>
      <w:r w:rsidR="00BE1272">
        <w:rPr>
          <w:rFonts w:ascii="Times New Roman" w:hAnsi="Times New Roman" w:cs="Times New Roman"/>
          <w:sz w:val="24"/>
        </w:rPr>
        <w:t xml:space="preserve">. </w:t>
      </w:r>
    </w:p>
    <w:p w14:paraId="270E2C66" w14:textId="561B2B79" w:rsidR="003D35C3" w:rsidRDefault="003D35C3" w:rsidP="0020593B">
      <w:pPr>
        <w:spacing w:line="360" w:lineRule="auto"/>
        <w:jc w:val="both"/>
        <w:rPr>
          <w:rFonts w:ascii="Times New Roman" w:hAnsi="Times New Roman" w:cs="Times New Roman"/>
          <w:sz w:val="24"/>
        </w:rPr>
      </w:pPr>
      <w:r>
        <w:rPr>
          <w:rFonts w:ascii="Times New Roman" w:hAnsi="Times New Roman" w:cs="Times New Roman"/>
          <w:sz w:val="24"/>
        </w:rPr>
        <w:t>Adicionalmente, considerando que las dos disposiciones de disciplina fiscal de rango constitucional</w:t>
      </w:r>
      <w:r w:rsidR="00E2395A">
        <w:rPr>
          <w:rFonts w:ascii="Times New Roman" w:hAnsi="Times New Roman" w:cs="Times New Roman"/>
          <w:sz w:val="24"/>
        </w:rPr>
        <w:t>, descritas anteriormente,</w:t>
      </w:r>
      <w:r>
        <w:rPr>
          <w:rFonts w:ascii="Times New Roman" w:hAnsi="Times New Roman" w:cs="Times New Roman"/>
          <w:sz w:val="24"/>
        </w:rPr>
        <w:t xml:space="preserve"> nunca se cumplieron</w:t>
      </w:r>
      <w:r w:rsidR="00E2395A">
        <w:rPr>
          <w:rFonts w:ascii="Times New Roman" w:hAnsi="Times New Roman" w:cs="Times New Roman"/>
          <w:sz w:val="24"/>
        </w:rPr>
        <w:t>,</w:t>
      </w:r>
      <w:r>
        <w:rPr>
          <w:rFonts w:ascii="Times New Roman" w:hAnsi="Times New Roman" w:cs="Times New Roman"/>
          <w:sz w:val="24"/>
        </w:rPr>
        <w:t xml:space="preserve"> se </w:t>
      </w:r>
      <w:r w:rsidR="00E2395A">
        <w:rPr>
          <w:rFonts w:ascii="Times New Roman" w:hAnsi="Times New Roman" w:cs="Times New Roman"/>
          <w:sz w:val="24"/>
        </w:rPr>
        <w:t>revela</w:t>
      </w:r>
      <w:r>
        <w:rPr>
          <w:rFonts w:ascii="Times New Roman" w:hAnsi="Times New Roman" w:cs="Times New Roman"/>
          <w:sz w:val="24"/>
        </w:rPr>
        <w:t xml:space="preserve"> un serio problema de economía política, en particular, en el control de gasto público. </w:t>
      </w:r>
      <w:r w:rsidR="001D2FA3">
        <w:rPr>
          <w:rFonts w:ascii="Times New Roman" w:hAnsi="Times New Roman" w:cs="Times New Roman"/>
          <w:sz w:val="24"/>
        </w:rPr>
        <w:t>Asimismo</w:t>
      </w:r>
      <w:r>
        <w:rPr>
          <w:rFonts w:ascii="Times New Roman" w:hAnsi="Times New Roman" w:cs="Times New Roman"/>
          <w:sz w:val="24"/>
        </w:rPr>
        <w:t xml:space="preserve">, ya varias instituciones </w:t>
      </w:r>
      <w:r w:rsidR="00EB2BAE">
        <w:rPr>
          <w:rFonts w:ascii="Times New Roman" w:hAnsi="Times New Roman" w:cs="Times New Roman"/>
          <w:sz w:val="24"/>
        </w:rPr>
        <w:t xml:space="preserve">importantes </w:t>
      </w:r>
      <w:r>
        <w:rPr>
          <w:rFonts w:ascii="Times New Roman" w:hAnsi="Times New Roman" w:cs="Times New Roman"/>
          <w:sz w:val="24"/>
        </w:rPr>
        <w:t>están presentando excepciones para salir de</w:t>
      </w:r>
      <w:r w:rsidR="00EB2BAE">
        <w:rPr>
          <w:rFonts w:ascii="Times New Roman" w:hAnsi="Times New Roman" w:cs="Times New Roman"/>
          <w:sz w:val="24"/>
        </w:rPr>
        <w:t>l ámbito de</w:t>
      </w:r>
      <w:r>
        <w:rPr>
          <w:rFonts w:ascii="Times New Roman" w:hAnsi="Times New Roman" w:cs="Times New Roman"/>
          <w:sz w:val="24"/>
        </w:rPr>
        <w:t xml:space="preserve"> la regla fiscal</w:t>
      </w:r>
      <w:r w:rsidR="00EB2BAE">
        <w:rPr>
          <w:rFonts w:ascii="Times New Roman" w:hAnsi="Times New Roman" w:cs="Times New Roman"/>
          <w:sz w:val="24"/>
        </w:rPr>
        <w:t>,</w:t>
      </w:r>
      <w:r>
        <w:rPr>
          <w:rFonts w:ascii="Times New Roman" w:hAnsi="Times New Roman" w:cs="Times New Roman"/>
          <w:sz w:val="24"/>
        </w:rPr>
        <w:t xml:space="preserve"> aduciendo di</w:t>
      </w:r>
      <w:r w:rsidR="00535909">
        <w:rPr>
          <w:rFonts w:ascii="Times New Roman" w:hAnsi="Times New Roman" w:cs="Times New Roman"/>
          <w:sz w:val="24"/>
        </w:rPr>
        <w:t>versas</w:t>
      </w:r>
      <w:r>
        <w:rPr>
          <w:rFonts w:ascii="Times New Roman" w:hAnsi="Times New Roman" w:cs="Times New Roman"/>
          <w:sz w:val="24"/>
        </w:rPr>
        <w:t xml:space="preserve"> razones ante el tribunal constitucional (Sala IV). De prosperar estas causas, y las de los organismos que pudieren seguir este proceso, no solo </w:t>
      </w:r>
      <w:r w:rsidR="001D2FA3">
        <w:rPr>
          <w:rFonts w:ascii="Times New Roman" w:hAnsi="Times New Roman" w:cs="Times New Roman"/>
          <w:sz w:val="24"/>
        </w:rPr>
        <w:t xml:space="preserve">se </w:t>
      </w:r>
      <w:r>
        <w:rPr>
          <w:rFonts w:ascii="Times New Roman" w:hAnsi="Times New Roman" w:cs="Times New Roman"/>
          <w:sz w:val="24"/>
        </w:rPr>
        <w:t xml:space="preserve">pondría en peligro la efectividad de la regla fiscal </w:t>
      </w:r>
      <w:r w:rsidR="00535909">
        <w:rPr>
          <w:rFonts w:ascii="Times New Roman" w:hAnsi="Times New Roman" w:cs="Times New Roman"/>
          <w:sz w:val="24"/>
        </w:rPr>
        <w:t xml:space="preserve">y la </w:t>
      </w:r>
      <w:r w:rsidR="001D057D">
        <w:rPr>
          <w:rFonts w:ascii="Times New Roman" w:hAnsi="Times New Roman" w:cs="Times New Roman"/>
          <w:sz w:val="24"/>
        </w:rPr>
        <w:t>paupérrima</w:t>
      </w:r>
      <w:r w:rsidR="00535909">
        <w:rPr>
          <w:rFonts w:ascii="Times New Roman" w:hAnsi="Times New Roman" w:cs="Times New Roman"/>
          <w:sz w:val="24"/>
        </w:rPr>
        <w:t xml:space="preserve"> inversión pública</w:t>
      </w:r>
      <w:r w:rsidR="00EB2BAE">
        <w:rPr>
          <w:rFonts w:ascii="Times New Roman" w:hAnsi="Times New Roman" w:cs="Times New Roman"/>
          <w:sz w:val="24"/>
        </w:rPr>
        <w:t>,</w:t>
      </w:r>
      <w:r w:rsidR="00535909">
        <w:rPr>
          <w:rFonts w:ascii="Times New Roman" w:hAnsi="Times New Roman" w:cs="Times New Roman"/>
          <w:sz w:val="24"/>
        </w:rPr>
        <w:t xml:space="preserve"> </w:t>
      </w:r>
      <w:r>
        <w:rPr>
          <w:rFonts w:ascii="Times New Roman" w:hAnsi="Times New Roman" w:cs="Times New Roman"/>
          <w:sz w:val="24"/>
        </w:rPr>
        <w:t>sino también la propia estabilidad fiscal</w:t>
      </w:r>
      <w:r w:rsidR="001D2FA3">
        <w:rPr>
          <w:rFonts w:ascii="Times New Roman" w:hAnsi="Times New Roman" w:cs="Times New Roman"/>
          <w:sz w:val="24"/>
        </w:rPr>
        <w:t xml:space="preserve">. </w:t>
      </w:r>
    </w:p>
    <w:p w14:paraId="4BC61E90" w14:textId="77777777" w:rsidR="008644AD" w:rsidRDefault="00BE1272" w:rsidP="0020593B">
      <w:pPr>
        <w:spacing w:line="360" w:lineRule="auto"/>
        <w:jc w:val="both"/>
        <w:rPr>
          <w:rFonts w:ascii="Times New Roman" w:hAnsi="Times New Roman" w:cs="Times New Roman"/>
          <w:sz w:val="24"/>
        </w:rPr>
      </w:pPr>
      <w:r>
        <w:rPr>
          <w:rFonts w:ascii="Times New Roman" w:hAnsi="Times New Roman" w:cs="Times New Roman"/>
          <w:sz w:val="24"/>
        </w:rPr>
        <w:t xml:space="preserve">Sin embargo, </w:t>
      </w:r>
      <w:r w:rsidR="005E4F9C">
        <w:rPr>
          <w:rFonts w:ascii="Times New Roman" w:hAnsi="Times New Roman" w:cs="Times New Roman"/>
          <w:sz w:val="24"/>
        </w:rPr>
        <w:t xml:space="preserve">de no materializarse estos riesgos en la parte de cobertura de la regla, </w:t>
      </w:r>
      <w:r w:rsidR="004A3A8D">
        <w:rPr>
          <w:rFonts w:ascii="Times New Roman" w:hAnsi="Times New Roman" w:cs="Times New Roman"/>
          <w:sz w:val="24"/>
        </w:rPr>
        <w:t xml:space="preserve">por </w:t>
      </w:r>
      <w:r>
        <w:rPr>
          <w:rFonts w:ascii="Times New Roman" w:hAnsi="Times New Roman" w:cs="Times New Roman"/>
          <w:sz w:val="24"/>
        </w:rPr>
        <w:t>sus características</w:t>
      </w:r>
      <w:r w:rsidR="00376990">
        <w:rPr>
          <w:rFonts w:ascii="Times New Roman" w:hAnsi="Times New Roman" w:cs="Times New Roman"/>
          <w:sz w:val="24"/>
        </w:rPr>
        <w:t xml:space="preserve"> de diseño y compromiso de las autoridades actuales</w:t>
      </w:r>
      <w:r>
        <w:rPr>
          <w:rFonts w:ascii="Times New Roman" w:hAnsi="Times New Roman" w:cs="Times New Roman"/>
          <w:sz w:val="24"/>
        </w:rPr>
        <w:t xml:space="preserve"> </w:t>
      </w:r>
      <w:r w:rsidR="00376990">
        <w:rPr>
          <w:rFonts w:ascii="Times New Roman" w:hAnsi="Times New Roman" w:cs="Times New Roman"/>
          <w:sz w:val="24"/>
        </w:rPr>
        <w:t>más</w:t>
      </w:r>
      <w:r>
        <w:rPr>
          <w:rFonts w:ascii="Times New Roman" w:hAnsi="Times New Roman" w:cs="Times New Roman"/>
          <w:sz w:val="24"/>
        </w:rPr>
        <w:t xml:space="preserve"> la evidencia internacional</w:t>
      </w:r>
      <w:r w:rsidR="00CB02C0">
        <w:rPr>
          <w:rFonts w:ascii="Times New Roman" w:hAnsi="Times New Roman" w:cs="Times New Roman"/>
          <w:sz w:val="24"/>
        </w:rPr>
        <w:t>,</w:t>
      </w:r>
      <w:r>
        <w:rPr>
          <w:rFonts w:ascii="Times New Roman" w:hAnsi="Times New Roman" w:cs="Times New Roman"/>
          <w:sz w:val="24"/>
        </w:rPr>
        <w:t xml:space="preserve"> </w:t>
      </w:r>
      <w:r w:rsidR="004A3A8D">
        <w:rPr>
          <w:rFonts w:ascii="Times New Roman" w:hAnsi="Times New Roman" w:cs="Times New Roman"/>
          <w:sz w:val="24"/>
        </w:rPr>
        <w:t xml:space="preserve">se </w:t>
      </w:r>
      <w:r>
        <w:rPr>
          <w:rFonts w:ascii="Times New Roman" w:hAnsi="Times New Roman" w:cs="Times New Roman"/>
          <w:sz w:val="24"/>
        </w:rPr>
        <w:t xml:space="preserve">podrían vaticinar efectos positivos de la regla fiscal en la </w:t>
      </w:r>
      <w:r w:rsidR="00376990">
        <w:rPr>
          <w:rFonts w:ascii="Times New Roman" w:hAnsi="Times New Roman" w:cs="Times New Roman"/>
          <w:sz w:val="24"/>
        </w:rPr>
        <w:t xml:space="preserve">compleja situación de </w:t>
      </w:r>
      <w:r>
        <w:rPr>
          <w:rFonts w:ascii="Times New Roman" w:hAnsi="Times New Roman" w:cs="Times New Roman"/>
          <w:sz w:val="24"/>
        </w:rPr>
        <w:t>sostenibilidad de las finanzas públicas</w:t>
      </w:r>
      <w:r w:rsidR="006061E2">
        <w:rPr>
          <w:rFonts w:ascii="Times New Roman" w:hAnsi="Times New Roman" w:cs="Times New Roman"/>
          <w:sz w:val="24"/>
        </w:rPr>
        <w:t>, o al menos, en la racionalización del gasto público</w:t>
      </w:r>
      <w:r>
        <w:rPr>
          <w:rFonts w:ascii="Times New Roman" w:hAnsi="Times New Roman" w:cs="Times New Roman"/>
          <w:sz w:val="24"/>
        </w:rPr>
        <w:t xml:space="preserve">. </w:t>
      </w:r>
    </w:p>
    <w:p w14:paraId="1A71DE95" w14:textId="686DB144" w:rsidR="009F7BC9" w:rsidRDefault="008644AD" w:rsidP="0020593B">
      <w:pPr>
        <w:spacing w:line="360" w:lineRule="auto"/>
        <w:jc w:val="both"/>
        <w:rPr>
          <w:rFonts w:ascii="Times New Roman" w:hAnsi="Times New Roman" w:cs="Times New Roman"/>
          <w:sz w:val="24"/>
        </w:rPr>
      </w:pPr>
      <w:r>
        <w:rPr>
          <w:rFonts w:ascii="Times New Roman" w:hAnsi="Times New Roman" w:cs="Times New Roman"/>
          <w:sz w:val="24"/>
        </w:rPr>
        <w:t>Por último</w:t>
      </w:r>
      <w:r w:rsidR="00646437">
        <w:rPr>
          <w:rFonts w:ascii="Times New Roman" w:hAnsi="Times New Roman" w:cs="Times New Roman"/>
          <w:sz w:val="24"/>
        </w:rPr>
        <w:t xml:space="preserve">, es importante </w:t>
      </w:r>
      <w:r w:rsidR="00F002B7">
        <w:rPr>
          <w:rFonts w:ascii="Times New Roman" w:hAnsi="Times New Roman" w:cs="Times New Roman"/>
          <w:sz w:val="24"/>
        </w:rPr>
        <w:t xml:space="preserve">aclarar que la regla fiscal no es la panacea, pues la sostenibilidad de las finanzas públicas va a depender de la institucionalidad fiscal existente, en particular, de </w:t>
      </w:r>
      <w:r w:rsidR="00670632">
        <w:rPr>
          <w:rFonts w:ascii="Times New Roman" w:hAnsi="Times New Roman" w:cs="Times New Roman"/>
          <w:sz w:val="24"/>
        </w:rPr>
        <w:t>la fortalece del proceso presupuestario, la capacidad de la administración tributaria, el marco fiscal de mediano plazo, entre otras cosas</w:t>
      </w:r>
      <w:r>
        <w:rPr>
          <w:rFonts w:ascii="Times New Roman" w:hAnsi="Times New Roman" w:cs="Times New Roman"/>
          <w:sz w:val="24"/>
        </w:rPr>
        <w:t xml:space="preserve">. La anterior </w:t>
      </w:r>
      <w:r w:rsidR="00DC6DE0">
        <w:rPr>
          <w:rFonts w:ascii="Times New Roman" w:hAnsi="Times New Roman" w:cs="Times New Roman"/>
          <w:sz w:val="24"/>
        </w:rPr>
        <w:t xml:space="preserve">se menciona porque la regla fiscal tiene limitaciones y, por lo tanto, </w:t>
      </w:r>
      <w:r w:rsidR="00C36CD7">
        <w:rPr>
          <w:rFonts w:ascii="Times New Roman" w:hAnsi="Times New Roman" w:cs="Times New Roman"/>
          <w:sz w:val="24"/>
        </w:rPr>
        <w:t>no atiende temas de eficiencia del gasto o duplicidad de funciones de instituciones o departamentos públicos,</w:t>
      </w:r>
      <w:r w:rsidR="009523E9">
        <w:rPr>
          <w:rStyle w:val="FootnoteReference"/>
          <w:rFonts w:ascii="Times New Roman" w:hAnsi="Times New Roman" w:cs="Times New Roman"/>
          <w:sz w:val="24"/>
        </w:rPr>
        <w:footnoteReference w:id="24"/>
      </w:r>
      <w:r w:rsidR="00C36CD7">
        <w:rPr>
          <w:rFonts w:ascii="Times New Roman" w:hAnsi="Times New Roman" w:cs="Times New Roman"/>
          <w:sz w:val="24"/>
        </w:rPr>
        <w:t xml:space="preserve"> temas que solamente se pueden abordar </w:t>
      </w:r>
      <w:r w:rsidR="00FF66DB">
        <w:rPr>
          <w:rFonts w:ascii="Times New Roman" w:hAnsi="Times New Roman" w:cs="Times New Roman"/>
          <w:sz w:val="24"/>
        </w:rPr>
        <w:t>con otro tipo de instrumentos que complementan la regla fiscal</w:t>
      </w:r>
      <w:r w:rsidR="00C36CD7">
        <w:rPr>
          <w:rFonts w:ascii="Times New Roman" w:hAnsi="Times New Roman" w:cs="Times New Roman"/>
          <w:sz w:val="24"/>
        </w:rPr>
        <w:t xml:space="preserve">. </w:t>
      </w:r>
    </w:p>
    <w:p w14:paraId="5E410F61" w14:textId="34008344" w:rsidR="00F15894" w:rsidRPr="003605B0" w:rsidRDefault="00D40D13" w:rsidP="00CE7447">
      <w:pPr>
        <w:spacing w:line="360" w:lineRule="auto"/>
        <w:jc w:val="both"/>
        <w:rPr>
          <w:rFonts w:ascii="Times New Roman" w:hAnsi="Times New Roman" w:cs="Times New Roman"/>
          <w:b/>
          <w:sz w:val="24"/>
          <w:lang w:val="en-US"/>
        </w:rPr>
      </w:pPr>
      <w:r w:rsidRPr="00B025FD">
        <w:rPr>
          <w:rFonts w:ascii="Times New Roman" w:hAnsi="Times New Roman" w:cs="Times New Roman"/>
          <w:b/>
          <w:sz w:val="24"/>
          <w:lang w:val="en-US"/>
        </w:rPr>
        <w:br w:type="page"/>
      </w:r>
      <w:proofErr w:type="spellStart"/>
      <w:r w:rsidR="0001321D" w:rsidRPr="003605B0">
        <w:rPr>
          <w:rFonts w:ascii="Times New Roman" w:hAnsi="Times New Roman" w:cs="Times New Roman"/>
          <w:b/>
          <w:sz w:val="24"/>
          <w:lang w:val="en-US"/>
        </w:rPr>
        <w:t>Referencias</w:t>
      </w:r>
      <w:proofErr w:type="spellEnd"/>
    </w:p>
    <w:p w14:paraId="6492703B" w14:textId="41E312FF" w:rsidR="006F31B4" w:rsidRDefault="006F31B4" w:rsidP="00924D1B">
      <w:pPr>
        <w:spacing w:line="360" w:lineRule="auto"/>
        <w:ind w:left="720" w:hanging="720"/>
        <w:jc w:val="both"/>
        <w:rPr>
          <w:rFonts w:ascii="Times New Roman" w:hAnsi="Times New Roman" w:cs="Times New Roman"/>
          <w:sz w:val="24"/>
          <w:szCs w:val="24"/>
          <w:lang w:val="es-ES_tradnl"/>
        </w:rPr>
      </w:pPr>
      <w:proofErr w:type="spellStart"/>
      <w:r>
        <w:rPr>
          <w:rFonts w:ascii="Times New Roman" w:hAnsi="Times New Roman" w:cs="Times New Roman"/>
          <w:sz w:val="24"/>
          <w:szCs w:val="24"/>
          <w:lang w:val="en-US"/>
        </w:rPr>
        <w:t>Ayuso</w:t>
      </w:r>
      <w:proofErr w:type="spellEnd"/>
      <w:r>
        <w:rPr>
          <w:rFonts w:ascii="Times New Roman" w:hAnsi="Times New Roman" w:cs="Times New Roman"/>
          <w:sz w:val="24"/>
          <w:szCs w:val="24"/>
          <w:lang w:val="en-US"/>
        </w:rPr>
        <w:t xml:space="preserve">, J. 2012. National expenditure rules: Why, how, and when. </w:t>
      </w:r>
      <w:proofErr w:type="spellStart"/>
      <w:r w:rsidRPr="00E95FAB">
        <w:rPr>
          <w:rFonts w:ascii="Times New Roman" w:hAnsi="Times New Roman" w:cs="Times New Roman"/>
          <w:sz w:val="24"/>
          <w:szCs w:val="24"/>
        </w:rPr>
        <w:t>Economic</w:t>
      </w:r>
      <w:proofErr w:type="spellEnd"/>
      <w:r w:rsidRPr="00E95FAB">
        <w:rPr>
          <w:rFonts w:ascii="Times New Roman" w:hAnsi="Times New Roman" w:cs="Times New Roman"/>
          <w:sz w:val="24"/>
          <w:szCs w:val="24"/>
        </w:rPr>
        <w:t xml:space="preserve"> </w:t>
      </w:r>
      <w:proofErr w:type="spellStart"/>
      <w:r w:rsidRPr="00E95FAB">
        <w:rPr>
          <w:rFonts w:ascii="Times New Roman" w:hAnsi="Times New Roman" w:cs="Times New Roman"/>
          <w:sz w:val="24"/>
          <w:szCs w:val="24"/>
        </w:rPr>
        <w:t>Papers</w:t>
      </w:r>
      <w:proofErr w:type="spellEnd"/>
      <w:r w:rsidRPr="00E95FAB">
        <w:rPr>
          <w:rFonts w:ascii="Times New Roman" w:hAnsi="Times New Roman" w:cs="Times New Roman"/>
          <w:sz w:val="24"/>
          <w:szCs w:val="24"/>
        </w:rPr>
        <w:t xml:space="preserve"> 473. </w:t>
      </w:r>
      <w:proofErr w:type="spellStart"/>
      <w:r w:rsidRPr="006F31B4">
        <w:rPr>
          <w:rFonts w:ascii="Times New Roman" w:hAnsi="Times New Roman" w:cs="Times New Roman"/>
          <w:sz w:val="24"/>
          <w:szCs w:val="24"/>
          <w:lang w:val="es-ES_tradnl"/>
        </w:rPr>
        <w:t>European</w:t>
      </w:r>
      <w:proofErr w:type="spellEnd"/>
      <w:r w:rsidRPr="006F31B4">
        <w:rPr>
          <w:rFonts w:ascii="Times New Roman" w:hAnsi="Times New Roman" w:cs="Times New Roman"/>
          <w:sz w:val="24"/>
          <w:szCs w:val="24"/>
          <w:lang w:val="es-ES_tradnl"/>
        </w:rPr>
        <w:t xml:space="preserve"> </w:t>
      </w:r>
      <w:proofErr w:type="spellStart"/>
      <w:r w:rsidRPr="006F31B4">
        <w:rPr>
          <w:rFonts w:ascii="Times New Roman" w:hAnsi="Times New Roman" w:cs="Times New Roman"/>
          <w:sz w:val="24"/>
          <w:szCs w:val="24"/>
          <w:lang w:val="es-ES_tradnl"/>
        </w:rPr>
        <w:t>Union</w:t>
      </w:r>
      <w:proofErr w:type="spellEnd"/>
      <w:r w:rsidRPr="006F31B4">
        <w:rPr>
          <w:rFonts w:ascii="Times New Roman" w:hAnsi="Times New Roman" w:cs="Times New Roman"/>
          <w:sz w:val="24"/>
          <w:szCs w:val="24"/>
          <w:lang w:val="es-ES_tradnl"/>
        </w:rPr>
        <w:t xml:space="preserve">. </w:t>
      </w:r>
    </w:p>
    <w:p w14:paraId="170217CF" w14:textId="7D233835" w:rsidR="009472FF" w:rsidRPr="00E95FAB" w:rsidRDefault="009472FF" w:rsidP="00924D1B">
      <w:pPr>
        <w:spacing w:line="360" w:lineRule="auto"/>
        <w:ind w:left="720" w:hanging="720"/>
        <w:jc w:val="both"/>
        <w:rPr>
          <w:rFonts w:ascii="Times New Roman" w:hAnsi="Times New Roman" w:cs="Times New Roman"/>
          <w:sz w:val="24"/>
          <w:szCs w:val="24"/>
        </w:rPr>
      </w:pPr>
      <w:r w:rsidRPr="00E95FAB">
        <w:rPr>
          <w:rFonts w:ascii="Times New Roman" w:hAnsi="Times New Roman" w:cs="Times New Roman"/>
          <w:sz w:val="24"/>
          <w:szCs w:val="24"/>
        </w:rPr>
        <w:t xml:space="preserve">Armendáriz, E. y Carrasco, H. De Próxima </w:t>
      </w:r>
      <w:r w:rsidRPr="00520AA5">
        <w:rPr>
          <w:rFonts w:ascii="Times New Roman" w:hAnsi="Times New Roman" w:cs="Times New Roman"/>
          <w:sz w:val="24"/>
          <w:szCs w:val="24"/>
        </w:rPr>
        <w:t>Publicación</w:t>
      </w:r>
      <w:r w:rsidRPr="00E95FAB">
        <w:rPr>
          <w:rFonts w:ascii="Times New Roman" w:hAnsi="Times New Roman" w:cs="Times New Roman"/>
          <w:sz w:val="24"/>
          <w:szCs w:val="24"/>
        </w:rPr>
        <w:t xml:space="preserve">. El Gasto en Inversión Pública de América Latina: Cuánto, Quién y en Qué. Nota Técnica, Banco Interamericano de Desarrollo. </w:t>
      </w:r>
    </w:p>
    <w:p w14:paraId="33468FD9" w14:textId="104BFF28" w:rsidR="006F31B4" w:rsidRDefault="006F31B4" w:rsidP="00924D1B">
      <w:pPr>
        <w:spacing w:line="360" w:lineRule="auto"/>
        <w:ind w:left="720" w:hanging="720"/>
        <w:jc w:val="both"/>
        <w:rPr>
          <w:rFonts w:ascii="Times New Roman" w:hAnsi="Times New Roman" w:cs="Times New Roman"/>
          <w:sz w:val="24"/>
        </w:rPr>
      </w:pPr>
      <w:r w:rsidRPr="003C7BD8">
        <w:rPr>
          <w:rFonts w:ascii="Times New Roman" w:hAnsi="Times New Roman" w:cs="Times New Roman"/>
          <w:sz w:val="24"/>
        </w:rPr>
        <w:t xml:space="preserve">Banco Central de Costa Rica (BCCR). 2018. Criterio del Banco Central de Costa Rica sobre el Proyecto de Ley N° 20.580, denominado “Ley de Fortalecimiento de las Finanzas Públicas”, aprobado en primer debate por la Asamblea Legislativa el 5 de octubre de 2018. </w:t>
      </w:r>
    </w:p>
    <w:p w14:paraId="4E8869D6" w14:textId="4BF42EA2" w:rsidR="0081091A" w:rsidRDefault="0081091A" w:rsidP="00924D1B">
      <w:pPr>
        <w:spacing w:line="360" w:lineRule="auto"/>
        <w:ind w:left="720" w:hanging="720"/>
        <w:jc w:val="both"/>
        <w:rPr>
          <w:rFonts w:ascii="Times New Roman" w:hAnsi="Times New Roman" w:cs="Times New Roman"/>
          <w:sz w:val="24"/>
        </w:rPr>
      </w:pPr>
      <w:r>
        <w:rPr>
          <w:rFonts w:ascii="Times New Roman" w:hAnsi="Times New Roman" w:cs="Times New Roman"/>
          <w:sz w:val="24"/>
        </w:rPr>
        <w:t xml:space="preserve">Banco Interamericano de Desarrollo. 2017. </w:t>
      </w:r>
      <w:proofErr w:type="spellStart"/>
      <w:r w:rsidRPr="00AC4178">
        <w:rPr>
          <w:rFonts w:ascii="Times New Roman" w:hAnsi="Times New Roman" w:cs="Times New Roman"/>
          <w:sz w:val="24"/>
        </w:rPr>
        <w:t>Latin</w:t>
      </w:r>
      <w:proofErr w:type="spellEnd"/>
      <w:r w:rsidRPr="00AC4178">
        <w:rPr>
          <w:rFonts w:ascii="Times New Roman" w:hAnsi="Times New Roman" w:cs="Times New Roman"/>
          <w:sz w:val="24"/>
        </w:rPr>
        <w:t xml:space="preserve"> </w:t>
      </w:r>
      <w:proofErr w:type="spellStart"/>
      <w:r w:rsidRPr="00AC4178">
        <w:rPr>
          <w:rFonts w:ascii="Times New Roman" w:hAnsi="Times New Roman" w:cs="Times New Roman"/>
          <w:sz w:val="24"/>
        </w:rPr>
        <w:t>America</w:t>
      </w:r>
      <w:proofErr w:type="spellEnd"/>
      <w:r w:rsidRPr="00AC4178">
        <w:rPr>
          <w:rFonts w:ascii="Times New Roman" w:hAnsi="Times New Roman" w:cs="Times New Roman"/>
          <w:sz w:val="24"/>
        </w:rPr>
        <w:t xml:space="preserve"> and </w:t>
      </w:r>
      <w:proofErr w:type="spellStart"/>
      <w:r w:rsidRPr="00AC4178">
        <w:rPr>
          <w:rFonts w:ascii="Times New Roman" w:hAnsi="Times New Roman" w:cs="Times New Roman"/>
          <w:sz w:val="24"/>
        </w:rPr>
        <w:t>the</w:t>
      </w:r>
      <w:proofErr w:type="spellEnd"/>
      <w:r w:rsidRPr="00AC4178">
        <w:rPr>
          <w:rFonts w:ascii="Times New Roman" w:hAnsi="Times New Roman" w:cs="Times New Roman"/>
          <w:sz w:val="24"/>
        </w:rPr>
        <w:t xml:space="preserve"> </w:t>
      </w:r>
      <w:proofErr w:type="spellStart"/>
      <w:r w:rsidRPr="00AC4178">
        <w:rPr>
          <w:rFonts w:ascii="Times New Roman" w:hAnsi="Times New Roman" w:cs="Times New Roman"/>
          <w:sz w:val="24"/>
        </w:rPr>
        <w:t>Caribbean</w:t>
      </w:r>
      <w:proofErr w:type="spellEnd"/>
      <w:r w:rsidRPr="00AC4178">
        <w:rPr>
          <w:rFonts w:ascii="Times New Roman" w:hAnsi="Times New Roman" w:cs="Times New Roman"/>
          <w:sz w:val="24"/>
        </w:rPr>
        <w:t xml:space="preserve"> Fiscal </w:t>
      </w:r>
      <w:proofErr w:type="spellStart"/>
      <w:r w:rsidRPr="00AC4178">
        <w:rPr>
          <w:rFonts w:ascii="Times New Roman" w:hAnsi="Times New Roman" w:cs="Times New Roman"/>
          <w:sz w:val="24"/>
        </w:rPr>
        <w:t>Burden</w:t>
      </w:r>
      <w:proofErr w:type="spellEnd"/>
      <w:r w:rsidRPr="00AC4178">
        <w:rPr>
          <w:rFonts w:ascii="Times New Roman" w:hAnsi="Times New Roman" w:cs="Times New Roman"/>
          <w:sz w:val="24"/>
        </w:rPr>
        <w:t xml:space="preserve"> </w:t>
      </w:r>
      <w:proofErr w:type="spellStart"/>
      <w:r w:rsidRPr="00AC4178">
        <w:rPr>
          <w:rFonts w:ascii="Times New Roman" w:hAnsi="Times New Roman" w:cs="Times New Roman"/>
          <w:sz w:val="24"/>
        </w:rPr>
        <w:t>Database</w:t>
      </w:r>
      <w:proofErr w:type="spellEnd"/>
      <w:r w:rsidRPr="00AC4178">
        <w:rPr>
          <w:rFonts w:ascii="Times New Roman" w:hAnsi="Times New Roman" w:cs="Times New Roman"/>
          <w:sz w:val="24"/>
        </w:rPr>
        <w:t xml:space="preserve">. </w:t>
      </w:r>
      <w:r w:rsidRPr="00E95FAB">
        <w:rPr>
          <w:rFonts w:ascii="Times New Roman" w:hAnsi="Times New Roman" w:cs="Times New Roman"/>
          <w:sz w:val="24"/>
        </w:rPr>
        <w:t xml:space="preserve">Disponible en: </w:t>
      </w:r>
      <w:hyperlink r:id="rId14" w:history="1">
        <w:r w:rsidRPr="00AC4178">
          <w:rPr>
            <w:rFonts w:ascii="Times New Roman" w:hAnsi="Times New Roman" w:cs="Times New Roman"/>
            <w:sz w:val="24"/>
          </w:rPr>
          <w:t>https://publications.iadb.org/en/publication/13997/latin-america-and-caribbean-fiscal-burden-database</w:t>
        </w:r>
      </w:hyperlink>
      <w:r>
        <w:rPr>
          <w:rFonts w:ascii="Times New Roman" w:hAnsi="Times New Roman" w:cs="Times New Roman"/>
          <w:sz w:val="24"/>
        </w:rPr>
        <w:t xml:space="preserve">. </w:t>
      </w:r>
    </w:p>
    <w:p w14:paraId="3CC2CDDD" w14:textId="07B72117" w:rsidR="00E95FAB" w:rsidRPr="00864171" w:rsidRDefault="00E95FAB" w:rsidP="00924D1B">
      <w:pPr>
        <w:spacing w:line="360" w:lineRule="auto"/>
        <w:ind w:left="720" w:hanging="720"/>
        <w:jc w:val="both"/>
        <w:rPr>
          <w:rFonts w:ascii="Times New Roman" w:hAnsi="Times New Roman" w:cs="Times New Roman"/>
          <w:sz w:val="24"/>
          <w:lang w:val="en-US"/>
        </w:rPr>
      </w:pPr>
      <w:r>
        <w:rPr>
          <w:rFonts w:ascii="Times New Roman" w:hAnsi="Times New Roman" w:cs="Times New Roman"/>
          <w:sz w:val="24"/>
        </w:rPr>
        <w:t xml:space="preserve">Barreix, A., </w:t>
      </w:r>
      <w:r w:rsidR="00DF504C">
        <w:rPr>
          <w:rFonts w:ascii="Times New Roman" w:hAnsi="Times New Roman" w:cs="Times New Roman"/>
          <w:sz w:val="24"/>
        </w:rPr>
        <w:t xml:space="preserve">L. F. Corrales, S. Díaz de Sarralde y C. </w:t>
      </w:r>
      <w:proofErr w:type="spellStart"/>
      <w:r w:rsidR="00DF504C">
        <w:rPr>
          <w:rFonts w:ascii="Times New Roman" w:hAnsi="Times New Roman" w:cs="Times New Roman"/>
          <w:sz w:val="24"/>
        </w:rPr>
        <w:t>Garcimartín</w:t>
      </w:r>
      <w:proofErr w:type="spellEnd"/>
      <w:r w:rsidR="00DF504C">
        <w:rPr>
          <w:rFonts w:ascii="Times New Roman" w:hAnsi="Times New Roman" w:cs="Times New Roman"/>
          <w:sz w:val="24"/>
        </w:rPr>
        <w:t xml:space="preserve">. 2017. </w:t>
      </w:r>
      <w:r w:rsidRPr="00E95FAB">
        <w:rPr>
          <w:rFonts w:ascii="Times New Roman" w:hAnsi="Times New Roman" w:cs="Times New Roman"/>
          <w:sz w:val="24"/>
        </w:rPr>
        <w:t>Actualización de la presión fiscal equivalente en América Latina y el Caribe</w:t>
      </w:r>
      <w:r>
        <w:rPr>
          <w:rFonts w:ascii="Times New Roman" w:hAnsi="Times New Roman" w:cs="Times New Roman"/>
          <w:sz w:val="24"/>
        </w:rPr>
        <w:t xml:space="preserve">. </w:t>
      </w:r>
      <w:r w:rsidRPr="00864171">
        <w:rPr>
          <w:rFonts w:ascii="Times New Roman" w:hAnsi="Times New Roman" w:cs="Times New Roman"/>
          <w:sz w:val="24"/>
          <w:lang w:val="en-US"/>
        </w:rPr>
        <w:t>BID CIAT.</w:t>
      </w:r>
      <w:r w:rsidR="00864171" w:rsidRPr="00864171">
        <w:rPr>
          <w:rFonts w:ascii="Times New Roman" w:hAnsi="Times New Roman" w:cs="Times New Roman"/>
          <w:sz w:val="24"/>
          <w:lang w:val="en-US"/>
        </w:rPr>
        <w:t xml:space="preserve"> https://publications.iadb.org/en/publication/13997/latin-america-and-caribbean-fiscal-burden-database</w:t>
      </w:r>
    </w:p>
    <w:p w14:paraId="7EB21A59" w14:textId="72281E6B" w:rsidR="00914B0D" w:rsidRDefault="00914B0D" w:rsidP="00924D1B">
      <w:pPr>
        <w:spacing w:line="360" w:lineRule="auto"/>
        <w:ind w:left="720" w:hanging="720"/>
        <w:jc w:val="both"/>
        <w:rPr>
          <w:rFonts w:ascii="Times New Roman" w:hAnsi="Times New Roman" w:cs="Times New Roman"/>
          <w:sz w:val="24"/>
          <w:szCs w:val="24"/>
          <w:lang w:val="en-US"/>
        </w:rPr>
      </w:pPr>
      <w:proofErr w:type="spellStart"/>
      <w:r w:rsidRPr="00F95B85">
        <w:rPr>
          <w:rFonts w:ascii="Times New Roman" w:hAnsi="Times New Roman" w:cs="Times New Roman"/>
          <w:sz w:val="24"/>
          <w:szCs w:val="24"/>
          <w:lang w:val="en-US"/>
        </w:rPr>
        <w:t>Beetsma</w:t>
      </w:r>
      <w:proofErr w:type="spellEnd"/>
      <w:r w:rsidRPr="00F95B85">
        <w:rPr>
          <w:rFonts w:ascii="Times New Roman" w:hAnsi="Times New Roman" w:cs="Times New Roman"/>
          <w:sz w:val="24"/>
          <w:szCs w:val="24"/>
          <w:lang w:val="en-US"/>
        </w:rPr>
        <w:t xml:space="preserve">, M. R. M., </w:t>
      </w:r>
      <w:proofErr w:type="spellStart"/>
      <w:r w:rsidRPr="00F95B85">
        <w:rPr>
          <w:rFonts w:ascii="Times New Roman" w:hAnsi="Times New Roman" w:cs="Times New Roman"/>
          <w:sz w:val="24"/>
          <w:szCs w:val="24"/>
          <w:lang w:val="en-US"/>
        </w:rPr>
        <w:t>Debrun</w:t>
      </w:r>
      <w:proofErr w:type="spellEnd"/>
      <w:r w:rsidRPr="00F95B85">
        <w:rPr>
          <w:rFonts w:ascii="Times New Roman" w:hAnsi="Times New Roman" w:cs="Times New Roman"/>
          <w:sz w:val="24"/>
          <w:szCs w:val="24"/>
          <w:lang w:val="en-US"/>
        </w:rPr>
        <w:t xml:space="preserve">, M. X., Fang, X., Kim, Y., </w:t>
      </w:r>
      <w:proofErr w:type="spellStart"/>
      <w:r w:rsidRPr="00F95B85">
        <w:rPr>
          <w:rFonts w:ascii="Times New Roman" w:hAnsi="Times New Roman" w:cs="Times New Roman"/>
          <w:sz w:val="24"/>
          <w:szCs w:val="24"/>
          <w:lang w:val="en-US"/>
        </w:rPr>
        <w:t>Lledo</w:t>
      </w:r>
      <w:proofErr w:type="spellEnd"/>
      <w:r w:rsidRPr="00F95B85">
        <w:rPr>
          <w:rFonts w:ascii="Times New Roman" w:hAnsi="Times New Roman" w:cs="Times New Roman"/>
          <w:sz w:val="24"/>
          <w:szCs w:val="24"/>
          <w:lang w:val="en-US"/>
        </w:rPr>
        <w:t xml:space="preserve">, V. D., </w:t>
      </w:r>
      <w:proofErr w:type="spellStart"/>
      <w:r w:rsidRPr="00F95B85">
        <w:rPr>
          <w:rFonts w:ascii="Times New Roman" w:hAnsi="Times New Roman" w:cs="Times New Roman"/>
          <w:sz w:val="24"/>
          <w:szCs w:val="24"/>
          <w:lang w:val="en-US"/>
        </w:rPr>
        <w:t>MBaye</w:t>
      </w:r>
      <w:proofErr w:type="spellEnd"/>
      <w:r w:rsidRPr="00F95B85">
        <w:rPr>
          <w:rFonts w:ascii="Times New Roman" w:hAnsi="Times New Roman" w:cs="Times New Roman"/>
          <w:sz w:val="24"/>
          <w:szCs w:val="24"/>
          <w:lang w:val="en-US"/>
        </w:rPr>
        <w:t xml:space="preserve">, S., &amp; Zhang, X. 2018. </w:t>
      </w:r>
      <w:r w:rsidRPr="00914B0D">
        <w:rPr>
          <w:rFonts w:ascii="Times New Roman" w:hAnsi="Times New Roman" w:cs="Times New Roman"/>
          <w:sz w:val="24"/>
          <w:szCs w:val="24"/>
          <w:lang w:val="en-US"/>
        </w:rPr>
        <w:t xml:space="preserve">Independent Fiscal Councils: Recent Trends and Performance. </w:t>
      </w:r>
      <w:r w:rsidRPr="00E95FAB">
        <w:rPr>
          <w:rFonts w:ascii="Times New Roman" w:hAnsi="Times New Roman" w:cs="Times New Roman"/>
          <w:sz w:val="24"/>
          <w:szCs w:val="24"/>
          <w:lang w:val="en-US"/>
        </w:rPr>
        <w:t xml:space="preserve">Washington, D.C.: </w:t>
      </w:r>
      <w:proofErr w:type="spellStart"/>
      <w:r w:rsidRPr="00E95FAB">
        <w:rPr>
          <w:rFonts w:ascii="Times New Roman" w:hAnsi="Times New Roman" w:cs="Times New Roman"/>
          <w:sz w:val="24"/>
          <w:szCs w:val="24"/>
          <w:lang w:val="en-US"/>
        </w:rPr>
        <w:t>Fondo</w:t>
      </w:r>
      <w:proofErr w:type="spellEnd"/>
      <w:r w:rsidRPr="00E95FAB">
        <w:rPr>
          <w:rFonts w:ascii="Times New Roman" w:hAnsi="Times New Roman" w:cs="Times New Roman"/>
          <w:sz w:val="24"/>
          <w:szCs w:val="24"/>
          <w:lang w:val="en-US"/>
        </w:rPr>
        <w:t xml:space="preserve"> </w:t>
      </w:r>
      <w:proofErr w:type="spellStart"/>
      <w:r w:rsidRPr="00E95FAB">
        <w:rPr>
          <w:rFonts w:ascii="Times New Roman" w:hAnsi="Times New Roman" w:cs="Times New Roman"/>
          <w:sz w:val="24"/>
          <w:szCs w:val="24"/>
          <w:lang w:val="en-US"/>
        </w:rPr>
        <w:t>Monetario</w:t>
      </w:r>
      <w:proofErr w:type="spellEnd"/>
      <w:r w:rsidRPr="00E95FAB">
        <w:rPr>
          <w:rFonts w:ascii="Times New Roman" w:hAnsi="Times New Roman" w:cs="Times New Roman"/>
          <w:sz w:val="24"/>
          <w:szCs w:val="24"/>
          <w:lang w:val="en-US"/>
        </w:rPr>
        <w:t xml:space="preserve"> </w:t>
      </w:r>
      <w:proofErr w:type="spellStart"/>
      <w:r w:rsidRPr="00E95FAB">
        <w:rPr>
          <w:rFonts w:ascii="Times New Roman" w:hAnsi="Times New Roman" w:cs="Times New Roman"/>
          <w:sz w:val="24"/>
          <w:szCs w:val="24"/>
          <w:lang w:val="en-US"/>
        </w:rPr>
        <w:t>Internacional</w:t>
      </w:r>
      <w:proofErr w:type="spellEnd"/>
      <w:r w:rsidRPr="00E95FAB">
        <w:rPr>
          <w:rFonts w:ascii="Times New Roman" w:hAnsi="Times New Roman" w:cs="Times New Roman"/>
          <w:sz w:val="24"/>
          <w:szCs w:val="24"/>
          <w:lang w:val="en-US"/>
        </w:rPr>
        <w:t>.</w:t>
      </w:r>
    </w:p>
    <w:p w14:paraId="6284322E" w14:textId="76D37D07" w:rsidR="007970E4" w:rsidRPr="00E95FAB" w:rsidRDefault="007970E4" w:rsidP="00924D1B">
      <w:pPr>
        <w:ind w:left="720" w:hanging="720"/>
        <w:rPr>
          <w:rFonts w:ascii="Times New Roman" w:hAnsi="Times New Roman" w:cs="Times New Roman"/>
          <w:sz w:val="24"/>
          <w:szCs w:val="24"/>
          <w:lang w:val="en-US"/>
        </w:rPr>
      </w:pPr>
      <w:r w:rsidRPr="00E95FAB">
        <w:rPr>
          <w:rFonts w:ascii="Times New Roman" w:hAnsi="Times New Roman" w:cs="Times New Roman"/>
          <w:sz w:val="24"/>
          <w:szCs w:val="24"/>
          <w:lang w:val="en-US"/>
        </w:rPr>
        <w:t xml:space="preserve">Blanchard, O. J., </w:t>
      </w:r>
      <w:proofErr w:type="spellStart"/>
      <w:r w:rsidRPr="00E95FAB">
        <w:rPr>
          <w:rFonts w:ascii="Times New Roman" w:hAnsi="Times New Roman" w:cs="Times New Roman"/>
          <w:sz w:val="24"/>
          <w:szCs w:val="24"/>
          <w:lang w:val="en-US"/>
        </w:rPr>
        <w:t>Chouraqui</w:t>
      </w:r>
      <w:proofErr w:type="spellEnd"/>
      <w:r w:rsidRPr="00E95FAB">
        <w:rPr>
          <w:rFonts w:ascii="Times New Roman" w:hAnsi="Times New Roman" w:cs="Times New Roman"/>
          <w:sz w:val="24"/>
          <w:szCs w:val="24"/>
          <w:lang w:val="en-US"/>
        </w:rPr>
        <w:t>, J. C., Hagemann, R., &amp; Sartor, N. 1991. The sustainability of fiscal policy: New answers to an old question.</w:t>
      </w:r>
    </w:p>
    <w:p w14:paraId="3C080A37" w14:textId="2BF9E250" w:rsidR="0049014B" w:rsidRDefault="0049014B" w:rsidP="00924D1B">
      <w:pPr>
        <w:spacing w:line="360" w:lineRule="auto"/>
        <w:ind w:left="720" w:hanging="720"/>
        <w:jc w:val="both"/>
        <w:rPr>
          <w:rFonts w:ascii="Times New Roman" w:hAnsi="Times New Roman" w:cs="Times New Roman"/>
          <w:sz w:val="24"/>
        </w:rPr>
      </w:pPr>
      <w:r w:rsidRPr="003C7BD8">
        <w:rPr>
          <w:rFonts w:ascii="Times New Roman" w:hAnsi="Times New Roman" w:cs="Times New Roman"/>
          <w:sz w:val="24"/>
        </w:rPr>
        <w:t>Camacho</w:t>
      </w:r>
      <w:r w:rsidR="002769C0" w:rsidRPr="003C7BD8">
        <w:rPr>
          <w:rFonts w:ascii="Times New Roman" w:hAnsi="Times New Roman" w:cs="Times New Roman"/>
          <w:sz w:val="24"/>
        </w:rPr>
        <w:t>, E.</w:t>
      </w:r>
      <w:r w:rsidRPr="003C7BD8">
        <w:rPr>
          <w:rFonts w:ascii="Times New Roman" w:hAnsi="Times New Roman" w:cs="Times New Roman"/>
          <w:sz w:val="24"/>
        </w:rPr>
        <w:t xml:space="preserve"> y </w:t>
      </w:r>
      <w:proofErr w:type="spellStart"/>
      <w:r w:rsidRPr="003C7BD8">
        <w:rPr>
          <w:rFonts w:ascii="Times New Roman" w:hAnsi="Times New Roman" w:cs="Times New Roman"/>
          <w:sz w:val="24"/>
        </w:rPr>
        <w:t>Lankester</w:t>
      </w:r>
      <w:proofErr w:type="spellEnd"/>
      <w:r w:rsidR="00EC658A" w:rsidRPr="003C7BD8">
        <w:rPr>
          <w:rFonts w:ascii="Times New Roman" w:hAnsi="Times New Roman" w:cs="Times New Roman"/>
          <w:sz w:val="24"/>
        </w:rPr>
        <w:t>, V</w:t>
      </w:r>
      <w:r w:rsidRPr="003C7BD8">
        <w:rPr>
          <w:rFonts w:ascii="Times New Roman" w:hAnsi="Times New Roman" w:cs="Times New Roman"/>
          <w:sz w:val="24"/>
        </w:rPr>
        <w:t xml:space="preserve">. 2014. Evaluación de los Destinos Específicos del Gasto del Gobierno Central. Academia de Centroamérica. Diciembre 2014. Serie 7. </w:t>
      </w:r>
    </w:p>
    <w:p w14:paraId="2C6BDF5F" w14:textId="39D0DA44" w:rsidR="000F5507" w:rsidRPr="003C7BD8" w:rsidRDefault="000F5507" w:rsidP="00924D1B">
      <w:pPr>
        <w:spacing w:line="360" w:lineRule="auto"/>
        <w:ind w:left="720" w:hanging="720"/>
        <w:jc w:val="both"/>
        <w:rPr>
          <w:rFonts w:ascii="Times New Roman" w:hAnsi="Times New Roman" w:cs="Times New Roman"/>
          <w:sz w:val="24"/>
        </w:rPr>
      </w:pPr>
      <w:r>
        <w:rPr>
          <w:rFonts w:ascii="Times New Roman" w:hAnsi="Times New Roman" w:cs="Times New Roman"/>
          <w:sz w:val="24"/>
        </w:rPr>
        <w:t xml:space="preserve">Carranza, L. </w:t>
      </w:r>
      <w:r w:rsidR="00D50B70">
        <w:rPr>
          <w:rFonts w:ascii="Times New Roman" w:hAnsi="Times New Roman" w:cs="Times New Roman"/>
          <w:sz w:val="24"/>
        </w:rPr>
        <w:t xml:space="preserve">2015. Política fiscal y reglas para el crecimiento sostenido de Costa Rica. </w:t>
      </w:r>
      <w:proofErr w:type="spellStart"/>
      <w:r w:rsidR="0015653E">
        <w:rPr>
          <w:rFonts w:ascii="Times New Roman" w:hAnsi="Times New Roman" w:cs="Times New Roman"/>
          <w:sz w:val="24"/>
        </w:rPr>
        <w:t>Mimeo</w:t>
      </w:r>
      <w:proofErr w:type="spellEnd"/>
      <w:r w:rsidR="0015653E">
        <w:rPr>
          <w:rFonts w:ascii="Times New Roman" w:hAnsi="Times New Roman" w:cs="Times New Roman"/>
          <w:sz w:val="24"/>
        </w:rPr>
        <w:t xml:space="preserve">. </w:t>
      </w:r>
      <w:r w:rsidR="00D50B70">
        <w:rPr>
          <w:rFonts w:ascii="Times New Roman" w:hAnsi="Times New Roman" w:cs="Times New Roman"/>
          <w:sz w:val="24"/>
        </w:rPr>
        <w:t xml:space="preserve">Banco Interamericano de Desarrollo. </w:t>
      </w:r>
    </w:p>
    <w:p w14:paraId="6C009ED6" w14:textId="2B7D84B8" w:rsidR="002769C0" w:rsidRPr="000E62CF" w:rsidRDefault="002769C0" w:rsidP="00924D1B">
      <w:pPr>
        <w:spacing w:line="360" w:lineRule="auto"/>
        <w:ind w:left="720" w:hanging="720"/>
        <w:jc w:val="both"/>
        <w:rPr>
          <w:rFonts w:ascii="Times New Roman" w:hAnsi="Times New Roman" w:cs="Times New Roman"/>
          <w:sz w:val="24"/>
        </w:rPr>
      </w:pPr>
      <w:proofErr w:type="spellStart"/>
      <w:r w:rsidRPr="00D94995">
        <w:rPr>
          <w:rFonts w:ascii="Times New Roman" w:hAnsi="Times New Roman" w:cs="Times New Roman"/>
          <w:sz w:val="24"/>
        </w:rPr>
        <w:t>Caselli</w:t>
      </w:r>
      <w:proofErr w:type="spellEnd"/>
      <w:r w:rsidRPr="00D94995">
        <w:rPr>
          <w:rFonts w:ascii="Times New Roman" w:hAnsi="Times New Roman" w:cs="Times New Roman"/>
          <w:sz w:val="24"/>
        </w:rPr>
        <w:t xml:space="preserve">, F., </w:t>
      </w:r>
      <w:proofErr w:type="spellStart"/>
      <w:r w:rsidRPr="00D94995">
        <w:rPr>
          <w:rFonts w:ascii="Times New Roman" w:hAnsi="Times New Roman" w:cs="Times New Roman"/>
          <w:sz w:val="24"/>
        </w:rPr>
        <w:t>Eyraud</w:t>
      </w:r>
      <w:proofErr w:type="spellEnd"/>
      <w:r w:rsidRPr="00D94995">
        <w:rPr>
          <w:rFonts w:ascii="Times New Roman" w:hAnsi="Times New Roman" w:cs="Times New Roman"/>
          <w:sz w:val="24"/>
        </w:rPr>
        <w:t>, L., Hodge, A., Kalan, F. D., Kim, Y., Lled</w:t>
      </w:r>
      <w:r w:rsidR="00EC658A" w:rsidRPr="00D94995">
        <w:rPr>
          <w:rFonts w:ascii="Times New Roman" w:hAnsi="Times New Roman" w:cs="Times New Roman"/>
          <w:sz w:val="24"/>
        </w:rPr>
        <w:t>ó</w:t>
      </w:r>
      <w:r w:rsidRPr="00D94995">
        <w:rPr>
          <w:rFonts w:ascii="Times New Roman" w:hAnsi="Times New Roman" w:cs="Times New Roman"/>
          <w:sz w:val="24"/>
        </w:rPr>
        <w:t>, V.,</w:t>
      </w:r>
      <w:r w:rsidR="00EC658A" w:rsidRPr="00D94995">
        <w:rPr>
          <w:rFonts w:ascii="Times New Roman" w:hAnsi="Times New Roman" w:cs="Times New Roman"/>
          <w:sz w:val="24"/>
        </w:rPr>
        <w:t xml:space="preserve"> Mbaye, S., </w:t>
      </w:r>
      <w:proofErr w:type="spellStart"/>
      <w:r w:rsidR="00405489" w:rsidRPr="00D94995">
        <w:rPr>
          <w:rFonts w:ascii="Times New Roman" w:hAnsi="Times New Roman" w:cs="Times New Roman"/>
          <w:sz w:val="24"/>
        </w:rPr>
        <w:t>Popescu</w:t>
      </w:r>
      <w:proofErr w:type="spellEnd"/>
      <w:r w:rsidR="00405489" w:rsidRPr="00D94995">
        <w:rPr>
          <w:rFonts w:ascii="Times New Roman" w:hAnsi="Times New Roman" w:cs="Times New Roman"/>
          <w:sz w:val="24"/>
        </w:rPr>
        <w:t>, A., Reuter, W.H.,</w:t>
      </w:r>
      <w:r w:rsidRPr="00D94995">
        <w:rPr>
          <w:rFonts w:ascii="Times New Roman" w:hAnsi="Times New Roman" w:cs="Times New Roman"/>
          <w:sz w:val="24"/>
        </w:rPr>
        <w:t xml:space="preserve"> </w:t>
      </w:r>
      <w:r w:rsidR="00405489" w:rsidRPr="00D94995">
        <w:rPr>
          <w:rFonts w:ascii="Times New Roman" w:hAnsi="Times New Roman" w:cs="Times New Roman"/>
          <w:sz w:val="24"/>
        </w:rPr>
        <w:t xml:space="preserve">Reynaud, J., </w:t>
      </w:r>
      <w:r w:rsidRPr="00D94995">
        <w:rPr>
          <w:rFonts w:ascii="Times New Roman" w:hAnsi="Times New Roman" w:cs="Times New Roman"/>
          <w:sz w:val="24"/>
        </w:rPr>
        <w:t xml:space="preserve">Ture, E. </w:t>
      </w:r>
      <w:r w:rsidR="00405489" w:rsidRPr="00D94995">
        <w:rPr>
          <w:rFonts w:ascii="Times New Roman" w:hAnsi="Times New Roman" w:cs="Times New Roman"/>
          <w:sz w:val="24"/>
        </w:rPr>
        <w:t xml:space="preserve">y </w:t>
      </w:r>
      <w:proofErr w:type="spellStart"/>
      <w:r w:rsidR="007C32F5" w:rsidRPr="00D94995">
        <w:rPr>
          <w:rFonts w:ascii="Times New Roman" w:hAnsi="Times New Roman" w:cs="Times New Roman"/>
          <w:sz w:val="24"/>
        </w:rPr>
        <w:t>Wingender</w:t>
      </w:r>
      <w:proofErr w:type="spellEnd"/>
      <w:r w:rsidR="007C32F5" w:rsidRPr="00D94995">
        <w:rPr>
          <w:rFonts w:ascii="Times New Roman" w:hAnsi="Times New Roman" w:cs="Times New Roman"/>
          <w:sz w:val="24"/>
        </w:rPr>
        <w:t xml:space="preserve">, P. </w:t>
      </w:r>
      <w:r w:rsidRPr="00D94995">
        <w:rPr>
          <w:rFonts w:ascii="Times New Roman" w:hAnsi="Times New Roman" w:cs="Times New Roman"/>
          <w:sz w:val="24"/>
        </w:rPr>
        <w:t>2018</w:t>
      </w:r>
      <w:r w:rsidR="007C32F5" w:rsidRPr="00D94995">
        <w:rPr>
          <w:rFonts w:ascii="Times New Roman" w:hAnsi="Times New Roman" w:cs="Times New Roman"/>
          <w:sz w:val="24"/>
        </w:rPr>
        <w:t>.</w:t>
      </w:r>
      <w:r w:rsidRPr="00D94995">
        <w:rPr>
          <w:rFonts w:ascii="Times New Roman" w:hAnsi="Times New Roman" w:cs="Times New Roman"/>
          <w:sz w:val="24"/>
        </w:rPr>
        <w:t xml:space="preserve"> </w:t>
      </w:r>
      <w:r w:rsidRPr="003C7BD8">
        <w:rPr>
          <w:rFonts w:ascii="Times New Roman" w:hAnsi="Times New Roman" w:cs="Times New Roman"/>
          <w:sz w:val="24"/>
          <w:lang w:val="en-US"/>
        </w:rPr>
        <w:t>Second Generation Fiscal Rules: Balancing Simplicity, Flexibility and Enforceability—Technical Background Papers. </w:t>
      </w:r>
      <w:r w:rsidRPr="000E62CF">
        <w:rPr>
          <w:rFonts w:ascii="Times New Roman" w:hAnsi="Times New Roman" w:cs="Times New Roman"/>
          <w:sz w:val="24"/>
        </w:rPr>
        <w:t xml:space="preserve">IMF Staff </w:t>
      </w:r>
      <w:proofErr w:type="spellStart"/>
      <w:r w:rsidRPr="000E62CF">
        <w:rPr>
          <w:rFonts w:ascii="Times New Roman" w:hAnsi="Times New Roman" w:cs="Times New Roman"/>
          <w:sz w:val="24"/>
        </w:rPr>
        <w:t>Discussion</w:t>
      </w:r>
      <w:proofErr w:type="spellEnd"/>
      <w:r w:rsidRPr="000E62CF">
        <w:rPr>
          <w:rFonts w:ascii="Times New Roman" w:hAnsi="Times New Roman" w:cs="Times New Roman"/>
          <w:sz w:val="24"/>
        </w:rPr>
        <w:t xml:space="preserve"> Note, International </w:t>
      </w:r>
      <w:proofErr w:type="spellStart"/>
      <w:r w:rsidRPr="000E62CF">
        <w:rPr>
          <w:rFonts w:ascii="Times New Roman" w:hAnsi="Times New Roman" w:cs="Times New Roman"/>
          <w:sz w:val="24"/>
        </w:rPr>
        <w:t>Monetary</w:t>
      </w:r>
      <w:proofErr w:type="spellEnd"/>
      <w:r w:rsidRPr="000E62CF">
        <w:rPr>
          <w:rFonts w:ascii="Times New Roman" w:hAnsi="Times New Roman" w:cs="Times New Roman"/>
          <w:sz w:val="24"/>
        </w:rPr>
        <w:t xml:space="preserve"> </w:t>
      </w:r>
      <w:proofErr w:type="spellStart"/>
      <w:r w:rsidRPr="000E62CF">
        <w:rPr>
          <w:rFonts w:ascii="Times New Roman" w:hAnsi="Times New Roman" w:cs="Times New Roman"/>
          <w:sz w:val="24"/>
        </w:rPr>
        <w:t>Fund</w:t>
      </w:r>
      <w:proofErr w:type="spellEnd"/>
      <w:r w:rsidRPr="000E62CF">
        <w:rPr>
          <w:rFonts w:ascii="Times New Roman" w:hAnsi="Times New Roman" w:cs="Times New Roman"/>
          <w:sz w:val="24"/>
        </w:rPr>
        <w:t>, Washington, DC.</w:t>
      </w:r>
    </w:p>
    <w:p w14:paraId="095949E9" w14:textId="753805E3" w:rsidR="00565925" w:rsidRPr="00964628" w:rsidRDefault="00565925" w:rsidP="00924D1B">
      <w:pPr>
        <w:spacing w:line="360" w:lineRule="auto"/>
        <w:ind w:left="720" w:hanging="720"/>
        <w:jc w:val="both"/>
        <w:rPr>
          <w:rFonts w:ascii="Times New Roman" w:hAnsi="Times New Roman" w:cs="Times New Roman"/>
          <w:sz w:val="24"/>
        </w:rPr>
      </w:pPr>
      <w:r w:rsidRPr="00565925">
        <w:rPr>
          <w:rFonts w:ascii="Times New Roman" w:hAnsi="Times New Roman" w:cs="Times New Roman"/>
          <w:sz w:val="24"/>
        </w:rPr>
        <w:t>Contraloría</w:t>
      </w:r>
      <w:r>
        <w:rPr>
          <w:rFonts w:ascii="Times New Roman" w:hAnsi="Times New Roman" w:cs="Times New Roman"/>
          <w:sz w:val="24"/>
        </w:rPr>
        <w:t xml:space="preserve"> General de la República (CGR). 2018. Destinos Específicos del Presupuesto del Gobierno Central</w:t>
      </w:r>
      <w:r w:rsidR="00D36AC3">
        <w:rPr>
          <w:rFonts w:ascii="Times New Roman" w:hAnsi="Times New Roman" w:cs="Times New Roman"/>
          <w:sz w:val="24"/>
        </w:rPr>
        <w:t xml:space="preserve">. </w:t>
      </w:r>
      <w:r w:rsidR="00254F04" w:rsidRPr="00964628">
        <w:rPr>
          <w:rFonts w:ascii="Times New Roman" w:hAnsi="Times New Roman" w:cs="Times New Roman"/>
          <w:sz w:val="24"/>
        </w:rPr>
        <w:t>Informe Especial, diciembre 2018.</w:t>
      </w:r>
    </w:p>
    <w:p w14:paraId="46342431" w14:textId="4777787D" w:rsidR="00D954C5" w:rsidRDefault="008A796E" w:rsidP="00924D1B">
      <w:pPr>
        <w:spacing w:line="360" w:lineRule="auto"/>
        <w:ind w:left="720" w:hanging="720"/>
        <w:jc w:val="both"/>
        <w:rPr>
          <w:rFonts w:ascii="Times New Roman" w:hAnsi="Times New Roman" w:cs="Times New Roman"/>
          <w:sz w:val="24"/>
        </w:rPr>
      </w:pPr>
      <w:r w:rsidRPr="00964628">
        <w:rPr>
          <w:rFonts w:ascii="Times New Roman" w:hAnsi="Times New Roman" w:cs="Times New Roman"/>
          <w:sz w:val="24"/>
        </w:rPr>
        <w:t xml:space="preserve">Cordes, T., </w:t>
      </w:r>
      <w:proofErr w:type="spellStart"/>
      <w:r w:rsidRPr="00964628">
        <w:rPr>
          <w:rFonts w:ascii="Times New Roman" w:hAnsi="Times New Roman" w:cs="Times New Roman"/>
          <w:sz w:val="24"/>
        </w:rPr>
        <w:t>Kinda</w:t>
      </w:r>
      <w:proofErr w:type="spellEnd"/>
      <w:r w:rsidRPr="00964628">
        <w:rPr>
          <w:rFonts w:ascii="Times New Roman" w:hAnsi="Times New Roman" w:cs="Times New Roman"/>
          <w:sz w:val="24"/>
        </w:rPr>
        <w:t xml:space="preserve">, M. T., </w:t>
      </w:r>
      <w:proofErr w:type="spellStart"/>
      <w:r w:rsidRPr="00964628">
        <w:rPr>
          <w:rFonts w:ascii="Times New Roman" w:hAnsi="Times New Roman" w:cs="Times New Roman"/>
          <w:sz w:val="24"/>
        </w:rPr>
        <w:t>Muthoora</w:t>
      </w:r>
      <w:proofErr w:type="spellEnd"/>
      <w:r w:rsidRPr="00964628">
        <w:rPr>
          <w:rFonts w:ascii="Times New Roman" w:hAnsi="Times New Roman" w:cs="Times New Roman"/>
          <w:sz w:val="24"/>
        </w:rPr>
        <w:t xml:space="preserve">, M. P. S., &amp; Weber, A. 2015. </w:t>
      </w:r>
      <w:r w:rsidRPr="008A796E">
        <w:rPr>
          <w:rFonts w:ascii="Times New Roman" w:hAnsi="Times New Roman" w:cs="Times New Roman"/>
          <w:sz w:val="24"/>
          <w:lang w:val="en-US"/>
        </w:rPr>
        <w:t xml:space="preserve">Expenditure rules: effective tools for sound fiscal policy? </w:t>
      </w:r>
      <w:r w:rsidR="00C85193" w:rsidRPr="00423487">
        <w:rPr>
          <w:rFonts w:ascii="Times New Roman" w:hAnsi="Times New Roman" w:cs="Times New Roman"/>
          <w:sz w:val="24"/>
        </w:rPr>
        <w:t>Documento de Trabajo WP/</w:t>
      </w:r>
      <w:r w:rsidR="00423487" w:rsidRPr="00423487">
        <w:rPr>
          <w:rFonts w:ascii="Times New Roman" w:hAnsi="Times New Roman" w:cs="Times New Roman"/>
          <w:sz w:val="24"/>
        </w:rPr>
        <w:t>15/29</w:t>
      </w:r>
      <w:r w:rsidRPr="008A796E">
        <w:rPr>
          <w:rFonts w:ascii="Times New Roman" w:hAnsi="Times New Roman" w:cs="Times New Roman"/>
          <w:sz w:val="24"/>
        </w:rPr>
        <w:t xml:space="preserve">. </w:t>
      </w:r>
      <w:r w:rsidR="00423487">
        <w:rPr>
          <w:rFonts w:ascii="Times New Roman" w:hAnsi="Times New Roman" w:cs="Times New Roman"/>
          <w:sz w:val="24"/>
        </w:rPr>
        <w:t>Fondo Monetario Internacional, Washington</w:t>
      </w:r>
      <w:r w:rsidRPr="008A796E">
        <w:rPr>
          <w:rFonts w:ascii="Times New Roman" w:hAnsi="Times New Roman" w:cs="Times New Roman"/>
          <w:sz w:val="24"/>
        </w:rPr>
        <w:t>.</w:t>
      </w:r>
      <w:r w:rsidR="00D954C5">
        <w:rPr>
          <w:rFonts w:ascii="Times New Roman" w:hAnsi="Times New Roman" w:cs="Times New Roman"/>
          <w:sz w:val="24"/>
        </w:rPr>
        <w:t xml:space="preserve"> </w:t>
      </w:r>
    </w:p>
    <w:p w14:paraId="58D507DF" w14:textId="4E5AC5F2" w:rsidR="006F31B4" w:rsidRDefault="006F31B4" w:rsidP="00924D1B">
      <w:pPr>
        <w:spacing w:line="360" w:lineRule="auto"/>
        <w:ind w:left="720" w:hanging="720"/>
        <w:jc w:val="both"/>
        <w:rPr>
          <w:rFonts w:ascii="Times New Roman" w:hAnsi="Times New Roman" w:cs="Times New Roman"/>
          <w:sz w:val="24"/>
        </w:rPr>
      </w:pPr>
      <w:proofErr w:type="spellStart"/>
      <w:r w:rsidRPr="00565925">
        <w:rPr>
          <w:rFonts w:ascii="Times New Roman" w:hAnsi="Times New Roman" w:cs="Times New Roman"/>
          <w:sz w:val="24"/>
        </w:rPr>
        <w:t>Di</w:t>
      </w:r>
      <w:r w:rsidR="00E95FAB" w:rsidRPr="00565925">
        <w:rPr>
          <w:rFonts w:ascii="Times New Roman" w:hAnsi="Times New Roman" w:cs="Times New Roman"/>
          <w:sz w:val="24"/>
        </w:rPr>
        <w:t>a</w:t>
      </w:r>
      <w:r w:rsidRPr="00565925">
        <w:rPr>
          <w:rFonts w:ascii="Times New Roman" w:hAnsi="Times New Roman" w:cs="Times New Roman"/>
          <w:sz w:val="24"/>
        </w:rPr>
        <w:t>río</w:t>
      </w:r>
      <w:proofErr w:type="spellEnd"/>
      <w:r w:rsidRPr="00565925">
        <w:rPr>
          <w:rFonts w:ascii="Times New Roman" w:hAnsi="Times New Roman" w:cs="Times New Roman"/>
          <w:sz w:val="24"/>
        </w:rPr>
        <w:t xml:space="preserve"> Oficial la Gaceta. </w:t>
      </w:r>
      <w:r w:rsidRPr="003C7BD8">
        <w:rPr>
          <w:rFonts w:ascii="Times New Roman" w:hAnsi="Times New Roman" w:cs="Times New Roman"/>
          <w:sz w:val="24"/>
        </w:rPr>
        <w:t xml:space="preserve">2018. Ley 9635 de Fortalecimiento de las Finanzas públicas. </w:t>
      </w:r>
    </w:p>
    <w:p w14:paraId="4980B9BC" w14:textId="77777777" w:rsidR="00444A72" w:rsidRPr="00A744C4" w:rsidRDefault="00444A72" w:rsidP="00444A72">
      <w:pPr>
        <w:spacing w:line="360" w:lineRule="auto"/>
        <w:ind w:left="720" w:hanging="720"/>
        <w:jc w:val="both"/>
        <w:rPr>
          <w:rFonts w:ascii="Times New Roman" w:hAnsi="Times New Roman" w:cs="Times New Roman"/>
          <w:sz w:val="24"/>
        </w:rPr>
      </w:pPr>
      <w:r w:rsidRPr="00A744C4">
        <w:rPr>
          <w:rFonts w:ascii="Times New Roman" w:hAnsi="Times New Roman" w:cs="Times New Roman"/>
          <w:sz w:val="24"/>
        </w:rPr>
        <w:t xml:space="preserve">Durán, R., A. Barreix, L.F. Corrales y A. Rasteletti. 2018. Reingeniería del Presupuesto de Egresos de la Federación en México: La experiencia de un presupuesto base cero moderno. Documento para discusión </w:t>
      </w:r>
      <w:proofErr w:type="spellStart"/>
      <w:r w:rsidRPr="00A744C4">
        <w:rPr>
          <w:rFonts w:ascii="Times New Roman" w:hAnsi="Times New Roman" w:cs="Times New Roman"/>
          <w:sz w:val="24"/>
        </w:rPr>
        <w:t>N°</w:t>
      </w:r>
      <w:proofErr w:type="spellEnd"/>
      <w:r w:rsidRPr="00A744C4">
        <w:rPr>
          <w:rFonts w:ascii="Times New Roman" w:hAnsi="Times New Roman" w:cs="Times New Roman"/>
          <w:sz w:val="24"/>
        </w:rPr>
        <w:t xml:space="preserve"> IDB-DP-595, Banco Interamericano de Desarrollo, Washington, DC.</w:t>
      </w:r>
    </w:p>
    <w:p w14:paraId="05B78BF9" w14:textId="221981F6" w:rsidR="00D223B5" w:rsidRPr="003C7BD8" w:rsidRDefault="00D223B5" w:rsidP="00924D1B">
      <w:pPr>
        <w:spacing w:line="360" w:lineRule="auto"/>
        <w:ind w:left="720" w:hanging="720"/>
        <w:jc w:val="both"/>
        <w:rPr>
          <w:rFonts w:ascii="Times New Roman" w:hAnsi="Times New Roman" w:cs="Times New Roman"/>
          <w:sz w:val="24"/>
        </w:rPr>
      </w:pPr>
      <w:proofErr w:type="spellStart"/>
      <w:r>
        <w:rPr>
          <w:rFonts w:ascii="Times New Roman" w:hAnsi="Times New Roman" w:cs="Times New Roman"/>
          <w:sz w:val="24"/>
        </w:rPr>
        <w:t>El</w:t>
      </w:r>
      <w:r w:rsidR="009C685B">
        <w:rPr>
          <w:rFonts w:ascii="Times New Roman" w:hAnsi="Times New Roman" w:cs="Times New Roman"/>
          <w:sz w:val="24"/>
        </w:rPr>
        <w:t>acqua</w:t>
      </w:r>
      <w:proofErr w:type="spellEnd"/>
      <w:r w:rsidR="009C685B">
        <w:rPr>
          <w:rFonts w:ascii="Times New Roman" w:hAnsi="Times New Roman" w:cs="Times New Roman"/>
          <w:sz w:val="24"/>
        </w:rPr>
        <w:t xml:space="preserve">, G. y Martínez, M. </w:t>
      </w:r>
      <w:r w:rsidR="005D7E3E">
        <w:rPr>
          <w:rFonts w:ascii="Times New Roman" w:hAnsi="Times New Roman" w:cs="Times New Roman"/>
          <w:sz w:val="24"/>
        </w:rPr>
        <w:t>El Gasto en educación: cuando cada centavo cuenta</w:t>
      </w:r>
      <w:r w:rsidR="00055C58">
        <w:rPr>
          <w:rFonts w:ascii="Times New Roman" w:hAnsi="Times New Roman" w:cs="Times New Roman"/>
          <w:sz w:val="24"/>
        </w:rPr>
        <w:t>,</w:t>
      </w:r>
      <w:r w:rsidR="005D7E3E">
        <w:rPr>
          <w:rFonts w:ascii="Times New Roman" w:hAnsi="Times New Roman" w:cs="Times New Roman"/>
          <w:sz w:val="24"/>
        </w:rPr>
        <w:t xml:space="preserve"> </w:t>
      </w:r>
      <w:r w:rsidR="00055C58">
        <w:rPr>
          <w:rFonts w:ascii="Times New Roman" w:hAnsi="Times New Roman" w:cs="Times New Roman"/>
          <w:sz w:val="24"/>
        </w:rPr>
        <w:t>e</w:t>
      </w:r>
      <w:r w:rsidR="00B06832">
        <w:rPr>
          <w:rFonts w:ascii="Times New Roman" w:hAnsi="Times New Roman" w:cs="Times New Roman"/>
          <w:sz w:val="24"/>
        </w:rPr>
        <w:t>n</w:t>
      </w:r>
      <w:r w:rsidR="00055C58">
        <w:rPr>
          <w:rFonts w:ascii="Times New Roman" w:hAnsi="Times New Roman" w:cs="Times New Roman"/>
          <w:sz w:val="24"/>
        </w:rPr>
        <w:t xml:space="preserve"> </w:t>
      </w:r>
      <w:r w:rsidR="00582BE5">
        <w:rPr>
          <w:rFonts w:ascii="Times New Roman" w:hAnsi="Times New Roman" w:cs="Times New Roman"/>
          <w:sz w:val="24"/>
        </w:rPr>
        <w:t xml:space="preserve">“Mejor gasto para mejores vidas” editado por Izquierdo, A., Pessino, C. </w:t>
      </w:r>
      <w:r w:rsidR="003F5BB5">
        <w:rPr>
          <w:rFonts w:ascii="Times New Roman" w:hAnsi="Times New Roman" w:cs="Times New Roman"/>
          <w:sz w:val="24"/>
        </w:rPr>
        <w:t>y</w:t>
      </w:r>
      <w:r w:rsidR="00582BE5">
        <w:rPr>
          <w:rFonts w:ascii="Times New Roman" w:hAnsi="Times New Roman" w:cs="Times New Roman"/>
          <w:sz w:val="24"/>
        </w:rPr>
        <w:t xml:space="preserve"> </w:t>
      </w:r>
      <w:proofErr w:type="spellStart"/>
      <w:r w:rsidR="00582BE5">
        <w:rPr>
          <w:rFonts w:ascii="Times New Roman" w:hAnsi="Times New Roman" w:cs="Times New Roman"/>
          <w:sz w:val="24"/>
        </w:rPr>
        <w:t>Vuletin</w:t>
      </w:r>
      <w:proofErr w:type="spellEnd"/>
      <w:r w:rsidR="00582BE5">
        <w:rPr>
          <w:rFonts w:ascii="Times New Roman" w:hAnsi="Times New Roman" w:cs="Times New Roman"/>
          <w:sz w:val="24"/>
        </w:rPr>
        <w:t xml:space="preserve">, G. </w:t>
      </w:r>
      <w:r w:rsidR="0033135D">
        <w:rPr>
          <w:rFonts w:ascii="Times New Roman" w:hAnsi="Times New Roman" w:cs="Times New Roman"/>
          <w:sz w:val="24"/>
        </w:rPr>
        <w:t>Banco Interamericano de Desarrollo, Washington DC.</w:t>
      </w:r>
    </w:p>
    <w:p w14:paraId="1C3FABDA" w14:textId="4CC41546" w:rsidR="0089058F" w:rsidRDefault="0089058F" w:rsidP="00924D1B">
      <w:pPr>
        <w:spacing w:line="360" w:lineRule="auto"/>
        <w:ind w:left="720" w:hanging="720"/>
        <w:jc w:val="both"/>
        <w:rPr>
          <w:rFonts w:ascii="Times New Roman" w:hAnsi="Times New Roman" w:cs="Times New Roman"/>
          <w:sz w:val="24"/>
        </w:rPr>
      </w:pPr>
      <w:r w:rsidRPr="00E95FAB">
        <w:rPr>
          <w:rFonts w:ascii="Times New Roman" w:hAnsi="Times New Roman" w:cs="Times New Roman"/>
          <w:sz w:val="24"/>
        </w:rPr>
        <w:t xml:space="preserve">Espinoza, J. 2016. </w:t>
      </w:r>
      <w:r>
        <w:rPr>
          <w:rFonts w:ascii="Times New Roman" w:hAnsi="Times New Roman" w:cs="Times New Roman"/>
          <w:sz w:val="24"/>
        </w:rPr>
        <w:t xml:space="preserve">Cálculo de los impactos de las reformas fiscales del lado del gasto en Costa Rica. </w:t>
      </w:r>
      <w:proofErr w:type="spellStart"/>
      <w:r w:rsidRPr="00964628">
        <w:rPr>
          <w:rFonts w:ascii="Times New Roman" w:hAnsi="Times New Roman" w:cs="Times New Roman"/>
          <w:sz w:val="24"/>
        </w:rPr>
        <w:t>Mimeo</w:t>
      </w:r>
      <w:proofErr w:type="spellEnd"/>
      <w:r w:rsidRPr="00964628">
        <w:rPr>
          <w:rFonts w:ascii="Times New Roman" w:hAnsi="Times New Roman" w:cs="Times New Roman"/>
          <w:sz w:val="24"/>
        </w:rPr>
        <w:t>. Banco Interamericano de Desarrollo. Agosto 2016.</w:t>
      </w:r>
    </w:p>
    <w:p w14:paraId="780F4535" w14:textId="77777777" w:rsidR="00924D1B" w:rsidRDefault="00924D1B" w:rsidP="00924D1B">
      <w:pPr>
        <w:spacing w:line="360" w:lineRule="auto"/>
        <w:ind w:left="720" w:hanging="720"/>
        <w:jc w:val="both"/>
        <w:rPr>
          <w:rFonts w:ascii="Times New Roman" w:hAnsi="Times New Roman" w:cs="Times New Roman"/>
          <w:color w:val="222222"/>
          <w:sz w:val="24"/>
          <w:shd w:val="clear" w:color="auto" w:fill="FFFFFF"/>
        </w:rPr>
      </w:pPr>
      <w:r w:rsidRPr="00A744C4">
        <w:rPr>
          <w:rFonts w:ascii="Times New Roman" w:hAnsi="Times New Roman" w:cs="Times New Roman"/>
          <w:color w:val="222222"/>
          <w:sz w:val="24"/>
          <w:shd w:val="clear" w:color="auto" w:fill="FFFFFF"/>
        </w:rPr>
        <w:t>Izquierdo, A., C. Pessin</w:t>
      </w:r>
      <w:r>
        <w:rPr>
          <w:rFonts w:ascii="Times New Roman" w:hAnsi="Times New Roman" w:cs="Times New Roman"/>
          <w:color w:val="222222"/>
          <w:sz w:val="24"/>
          <w:shd w:val="clear" w:color="auto" w:fill="FFFFFF"/>
        </w:rPr>
        <w:t>o</w:t>
      </w:r>
      <w:r w:rsidRPr="00A744C4">
        <w:rPr>
          <w:rFonts w:ascii="Times New Roman" w:hAnsi="Times New Roman" w:cs="Times New Roman"/>
          <w:color w:val="222222"/>
          <w:sz w:val="24"/>
          <w:shd w:val="clear" w:color="auto" w:fill="FFFFFF"/>
        </w:rPr>
        <w:t xml:space="preserve"> y G. </w:t>
      </w:r>
      <w:proofErr w:type="spellStart"/>
      <w:r w:rsidRPr="00A744C4">
        <w:rPr>
          <w:rFonts w:ascii="Times New Roman" w:hAnsi="Times New Roman" w:cs="Times New Roman"/>
          <w:color w:val="222222"/>
          <w:sz w:val="24"/>
          <w:shd w:val="clear" w:color="auto" w:fill="FFFFFF"/>
        </w:rPr>
        <w:t>Vuletin</w:t>
      </w:r>
      <w:proofErr w:type="spellEnd"/>
      <w:r w:rsidRPr="00A744C4">
        <w:rPr>
          <w:rFonts w:ascii="Times New Roman" w:hAnsi="Times New Roman" w:cs="Times New Roman"/>
          <w:color w:val="222222"/>
          <w:sz w:val="24"/>
          <w:shd w:val="clear" w:color="auto" w:fill="FFFFFF"/>
        </w:rPr>
        <w:t xml:space="preserve"> (Editores). 2018</w:t>
      </w:r>
      <w:r>
        <w:rPr>
          <w:rFonts w:ascii="Times New Roman" w:hAnsi="Times New Roman" w:cs="Times New Roman"/>
          <w:color w:val="222222"/>
          <w:sz w:val="24"/>
          <w:shd w:val="clear" w:color="auto" w:fill="FFFFFF"/>
        </w:rPr>
        <w:t>a</w:t>
      </w:r>
      <w:r w:rsidRPr="00A744C4">
        <w:rPr>
          <w:rFonts w:ascii="Times New Roman" w:hAnsi="Times New Roman" w:cs="Times New Roman"/>
          <w:color w:val="222222"/>
          <w:sz w:val="24"/>
          <w:shd w:val="clear" w:color="auto" w:fill="FFFFFF"/>
        </w:rPr>
        <w:t>. Mejor Gasto para Mejores Vidas: Cómo América Latina y el Caribe puede hacer más con menos. Washington, DC. Banco Interamericano de Desarrollo.</w:t>
      </w:r>
    </w:p>
    <w:p w14:paraId="42408306" w14:textId="1C03DC7F" w:rsidR="006F31B4" w:rsidRPr="003B63E0" w:rsidRDefault="006F31B4" w:rsidP="00924D1B">
      <w:pPr>
        <w:spacing w:line="360" w:lineRule="auto"/>
        <w:ind w:left="720" w:hanging="720"/>
        <w:jc w:val="both"/>
        <w:rPr>
          <w:rFonts w:ascii="Times New Roman" w:hAnsi="Times New Roman" w:cs="Times New Roman"/>
          <w:sz w:val="24"/>
          <w:lang w:val="en-US"/>
        </w:rPr>
      </w:pPr>
      <w:r w:rsidRPr="00054FB6">
        <w:rPr>
          <w:rFonts w:ascii="Times New Roman" w:hAnsi="Times New Roman" w:cs="Times New Roman"/>
          <w:sz w:val="24"/>
        </w:rPr>
        <w:t xml:space="preserve">Mills, P. and A. </w:t>
      </w:r>
      <w:proofErr w:type="spellStart"/>
      <w:r w:rsidRPr="00054FB6">
        <w:rPr>
          <w:rFonts w:ascii="Times New Roman" w:hAnsi="Times New Roman" w:cs="Times New Roman"/>
          <w:sz w:val="24"/>
        </w:rPr>
        <w:t>Quinet</w:t>
      </w:r>
      <w:proofErr w:type="spellEnd"/>
      <w:r w:rsidRPr="00054FB6">
        <w:rPr>
          <w:rFonts w:ascii="Times New Roman" w:hAnsi="Times New Roman" w:cs="Times New Roman"/>
          <w:sz w:val="24"/>
        </w:rPr>
        <w:t xml:space="preserve">. </w:t>
      </w:r>
      <w:r w:rsidRPr="00E95FAB">
        <w:rPr>
          <w:rFonts w:ascii="Times New Roman" w:hAnsi="Times New Roman" w:cs="Times New Roman"/>
          <w:sz w:val="24"/>
          <w:lang w:val="en-US"/>
        </w:rPr>
        <w:t xml:space="preserve">2016. </w:t>
      </w:r>
      <w:r w:rsidRPr="003B63E0">
        <w:rPr>
          <w:rFonts w:ascii="Times New Roman" w:hAnsi="Times New Roman" w:cs="Times New Roman"/>
          <w:sz w:val="24"/>
          <w:lang w:val="en-US"/>
        </w:rPr>
        <w:t>How to allow the a</w:t>
      </w:r>
      <w:r>
        <w:rPr>
          <w:rFonts w:ascii="Times New Roman" w:hAnsi="Times New Roman" w:cs="Times New Roman"/>
          <w:sz w:val="24"/>
          <w:lang w:val="en-US"/>
        </w:rPr>
        <w:t>utomatic stabilizers to operate in fully? A policy-maker’s guide for EMU countries</w:t>
      </w:r>
      <w:r w:rsidR="00682866">
        <w:rPr>
          <w:rFonts w:ascii="Times New Roman" w:hAnsi="Times New Roman" w:cs="Times New Roman"/>
          <w:sz w:val="24"/>
          <w:lang w:val="en-US"/>
        </w:rPr>
        <w:t>,</w:t>
      </w:r>
      <w:r w:rsidR="005A5336">
        <w:rPr>
          <w:rFonts w:ascii="Times New Roman" w:hAnsi="Times New Roman" w:cs="Times New Roman"/>
          <w:sz w:val="24"/>
          <w:lang w:val="en-US"/>
        </w:rPr>
        <w:t xml:space="preserve"> e</w:t>
      </w:r>
      <w:r w:rsidR="003B63E0">
        <w:rPr>
          <w:rFonts w:ascii="Times New Roman" w:hAnsi="Times New Roman" w:cs="Times New Roman"/>
          <w:sz w:val="24"/>
          <w:lang w:val="en-US"/>
        </w:rPr>
        <w:t xml:space="preserve">n “The behavior of fiscal authorities” </w:t>
      </w:r>
      <w:proofErr w:type="spellStart"/>
      <w:r w:rsidR="003B63E0">
        <w:rPr>
          <w:rFonts w:ascii="Times New Roman" w:hAnsi="Times New Roman" w:cs="Times New Roman"/>
          <w:sz w:val="24"/>
          <w:lang w:val="en-US"/>
        </w:rPr>
        <w:t>edit</w:t>
      </w:r>
      <w:r w:rsidR="005A5336">
        <w:rPr>
          <w:rFonts w:ascii="Times New Roman" w:hAnsi="Times New Roman" w:cs="Times New Roman"/>
          <w:sz w:val="24"/>
          <w:lang w:val="en-US"/>
        </w:rPr>
        <w:t>a</w:t>
      </w:r>
      <w:r w:rsidR="003B63E0">
        <w:rPr>
          <w:rFonts w:ascii="Times New Roman" w:hAnsi="Times New Roman" w:cs="Times New Roman"/>
          <w:sz w:val="24"/>
          <w:lang w:val="en-US"/>
        </w:rPr>
        <w:t>d</w:t>
      </w:r>
      <w:r w:rsidR="005A5336">
        <w:rPr>
          <w:rFonts w:ascii="Times New Roman" w:hAnsi="Times New Roman" w:cs="Times New Roman"/>
          <w:sz w:val="24"/>
          <w:lang w:val="en-US"/>
        </w:rPr>
        <w:t>o</w:t>
      </w:r>
      <w:proofErr w:type="spellEnd"/>
      <w:r w:rsidR="003B63E0">
        <w:rPr>
          <w:rFonts w:ascii="Times New Roman" w:hAnsi="Times New Roman" w:cs="Times New Roman"/>
          <w:sz w:val="24"/>
          <w:lang w:val="en-US"/>
        </w:rPr>
        <w:t xml:space="preserve"> </w:t>
      </w:r>
      <w:r w:rsidR="005A5336">
        <w:rPr>
          <w:rFonts w:ascii="Times New Roman" w:hAnsi="Times New Roman" w:cs="Times New Roman"/>
          <w:sz w:val="24"/>
          <w:lang w:val="en-US"/>
        </w:rPr>
        <w:t>por</w:t>
      </w:r>
      <w:r w:rsidR="003B63E0">
        <w:rPr>
          <w:rFonts w:ascii="Times New Roman" w:hAnsi="Times New Roman" w:cs="Times New Roman"/>
          <w:sz w:val="24"/>
          <w:lang w:val="en-US"/>
        </w:rPr>
        <w:t xml:space="preserve"> M. Buti, J. von Hagen and C. Martinez </w:t>
      </w:r>
      <w:proofErr w:type="spellStart"/>
      <w:r w:rsidR="003B63E0">
        <w:rPr>
          <w:rFonts w:ascii="Times New Roman" w:hAnsi="Times New Roman" w:cs="Times New Roman"/>
          <w:sz w:val="24"/>
          <w:lang w:val="en-US"/>
        </w:rPr>
        <w:t>Mongay</w:t>
      </w:r>
      <w:proofErr w:type="spellEnd"/>
      <w:r w:rsidR="003B63E0">
        <w:rPr>
          <w:rFonts w:ascii="Times New Roman" w:hAnsi="Times New Roman" w:cs="Times New Roman"/>
          <w:sz w:val="24"/>
          <w:lang w:val="en-US"/>
        </w:rPr>
        <w:t>, Palgrave.</w:t>
      </w:r>
    </w:p>
    <w:p w14:paraId="7CD7790D" w14:textId="103CDC6C" w:rsidR="0001321D" w:rsidRDefault="0001321D" w:rsidP="00924D1B">
      <w:pPr>
        <w:spacing w:line="360" w:lineRule="auto"/>
        <w:ind w:left="720" w:hanging="720"/>
        <w:jc w:val="both"/>
        <w:rPr>
          <w:rFonts w:ascii="Times New Roman" w:hAnsi="Times New Roman" w:cs="Times New Roman"/>
          <w:sz w:val="24"/>
        </w:rPr>
      </w:pPr>
      <w:r w:rsidRPr="003B63E0">
        <w:rPr>
          <w:rFonts w:ascii="Times New Roman" w:hAnsi="Times New Roman" w:cs="Times New Roman"/>
          <w:sz w:val="24"/>
          <w:lang w:val="es-ES_tradnl"/>
        </w:rPr>
        <w:t xml:space="preserve">Loría, M. y Martínez, J. 2016. </w:t>
      </w:r>
      <w:r w:rsidRPr="003C7BD8">
        <w:rPr>
          <w:rFonts w:ascii="Times New Roman" w:hAnsi="Times New Roman" w:cs="Times New Roman"/>
          <w:sz w:val="24"/>
        </w:rPr>
        <w:t xml:space="preserve">Reglas fiscales: análisis de una propuesta para Costa Rica. Academia de Centroamérica. Documento de trabajo PV-04-16. </w:t>
      </w:r>
    </w:p>
    <w:p w14:paraId="2ADABC6E" w14:textId="144CCD2E" w:rsidR="00CE53D2" w:rsidRPr="00964628" w:rsidRDefault="00CE53D2" w:rsidP="00924D1B">
      <w:pPr>
        <w:ind w:left="720" w:hanging="720"/>
        <w:rPr>
          <w:rFonts w:ascii="Times New Roman" w:hAnsi="Times New Roman" w:cs="Times New Roman"/>
          <w:sz w:val="24"/>
          <w:lang w:val="en-US"/>
        </w:rPr>
      </w:pPr>
      <w:r w:rsidRPr="00CE53D2">
        <w:rPr>
          <w:rFonts w:ascii="Times New Roman" w:hAnsi="Times New Roman" w:cs="Times New Roman"/>
          <w:sz w:val="24"/>
        </w:rPr>
        <w:t>OCD</w:t>
      </w:r>
      <w:r w:rsidR="0072027D">
        <w:rPr>
          <w:rFonts w:ascii="Times New Roman" w:hAnsi="Times New Roman" w:cs="Times New Roman"/>
          <w:sz w:val="24"/>
        </w:rPr>
        <w:t>E</w:t>
      </w:r>
      <w:r w:rsidRPr="00CE53D2">
        <w:rPr>
          <w:rFonts w:ascii="Times New Roman" w:hAnsi="Times New Roman" w:cs="Times New Roman"/>
          <w:sz w:val="24"/>
        </w:rPr>
        <w:t>/</w:t>
      </w:r>
      <w:r>
        <w:rPr>
          <w:rFonts w:ascii="Times New Roman" w:hAnsi="Times New Roman" w:cs="Times New Roman"/>
          <w:sz w:val="24"/>
        </w:rPr>
        <w:t>BID</w:t>
      </w:r>
      <w:r w:rsidRPr="00CE53D2">
        <w:rPr>
          <w:rFonts w:ascii="Times New Roman" w:hAnsi="Times New Roman" w:cs="Times New Roman"/>
          <w:sz w:val="24"/>
        </w:rPr>
        <w:t xml:space="preserve">/CIAT. 2016. </w:t>
      </w:r>
      <w:r w:rsidRPr="00964628">
        <w:rPr>
          <w:rFonts w:ascii="Times New Roman" w:hAnsi="Times New Roman" w:cs="Times New Roman"/>
          <w:sz w:val="24"/>
          <w:lang w:val="en-US"/>
        </w:rPr>
        <w:t xml:space="preserve">Taxing Wages in Latin America and the Caribbean 2016. OECD Publishing, Paris, </w:t>
      </w:r>
      <w:hyperlink r:id="rId15" w:history="1">
        <w:r w:rsidRPr="00964628">
          <w:rPr>
            <w:rStyle w:val="Hyperlink"/>
            <w:rFonts w:ascii="Times New Roman" w:hAnsi="Times New Roman" w:cs="Times New Roman"/>
            <w:sz w:val="24"/>
            <w:lang w:val="en-US"/>
          </w:rPr>
          <w:t>https://doi.org/10.1787/9789264262607-en</w:t>
        </w:r>
      </w:hyperlink>
      <w:r w:rsidRPr="00964628">
        <w:rPr>
          <w:rFonts w:ascii="Times New Roman" w:hAnsi="Times New Roman" w:cs="Times New Roman"/>
          <w:sz w:val="24"/>
          <w:lang w:val="en-US"/>
        </w:rPr>
        <w:t>.</w:t>
      </w:r>
    </w:p>
    <w:p w14:paraId="0B298A5A" w14:textId="7FC2EEC9" w:rsidR="0049014B" w:rsidRPr="00964628" w:rsidRDefault="0049014B" w:rsidP="006F31B4">
      <w:pPr>
        <w:spacing w:line="360" w:lineRule="auto"/>
        <w:ind w:left="360" w:hanging="360"/>
        <w:jc w:val="both"/>
        <w:rPr>
          <w:rFonts w:ascii="Times New Roman" w:hAnsi="Times New Roman" w:cs="Times New Roman"/>
          <w:sz w:val="24"/>
          <w:lang w:val="en-US"/>
        </w:rPr>
      </w:pPr>
    </w:p>
    <w:sectPr w:rsidR="0049014B" w:rsidRPr="00964628" w:rsidSect="00FE5B50">
      <w:footerReference w:type="default" r:id="rId16"/>
      <w:pgSz w:w="12240" w:h="15840" w:code="1"/>
      <w:pgMar w:top="1440" w:right="1080" w:bottom="1440" w:left="1080" w:header="72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D274C" w14:textId="77777777" w:rsidR="005C5E76" w:rsidRDefault="005C5E76" w:rsidP="003C006D">
      <w:pPr>
        <w:spacing w:after="0" w:line="240" w:lineRule="auto"/>
      </w:pPr>
      <w:r>
        <w:separator/>
      </w:r>
    </w:p>
  </w:endnote>
  <w:endnote w:type="continuationSeparator" w:id="0">
    <w:p w14:paraId="08066DB6" w14:textId="77777777" w:rsidR="005C5E76" w:rsidRDefault="005C5E76" w:rsidP="003C0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5262064"/>
      <w:docPartObj>
        <w:docPartGallery w:val="Page Numbers (Bottom of Page)"/>
        <w:docPartUnique/>
      </w:docPartObj>
    </w:sdtPr>
    <w:sdtEndPr>
      <w:rPr>
        <w:rFonts w:ascii="Times New Roman" w:hAnsi="Times New Roman" w:cs="Times New Roman"/>
        <w:noProof/>
        <w:sz w:val="20"/>
      </w:rPr>
    </w:sdtEndPr>
    <w:sdtContent>
      <w:p w14:paraId="6E14613B" w14:textId="054B890B" w:rsidR="000E62CF" w:rsidRPr="00170A76" w:rsidRDefault="000E62CF">
        <w:pPr>
          <w:pStyle w:val="Footer"/>
          <w:jc w:val="center"/>
          <w:rPr>
            <w:rFonts w:ascii="Times New Roman" w:hAnsi="Times New Roman" w:cs="Times New Roman"/>
            <w:sz w:val="20"/>
          </w:rPr>
        </w:pPr>
        <w:r w:rsidRPr="00170A76">
          <w:rPr>
            <w:rFonts w:ascii="Times New Roman" w:hAnsi="Times New Roman" w:cs="Times New Roman"/>
            <w:sz w:val="20"/>
          </w:rPr>
          <w:fldChar w:fldCharType="begin"/>
        </w:r>
        <w:r w:rsidRPr="00170A76">
          <w:rPr>
            <w:rFonts w:ascii="Times New Roman" w:hAnsi="Times New Roman" w:cs="Times New Roman"/>
            <w:sz w:val="20"/>
          </w:rPr>
          <w:instrText xml:space="preserve"> PAGE   \* MERGEFORMAT </w:instrText>
        </w:r>
        <w:r w:rsidRPr="00170A76">
          <w:rPr>
            <w:rFonts w:ascii="Times New Roman" w:hAnsi="Times New Roman" w:cs="Times New Roman"/>
            <w:sz w:val="20"/>
          </w:rPr>
          <w:fldChar w:fldCharType="separate"/>
        </w:r>
        <w:r w:rsidRPr="00170A76">
          <w:rPr>
            <w:rFonts w:ascii="Times New Roman" w:hAnsi="Times New Roman" w:cs="Times New Roman"/>
            <w:noProof/>
            <w:sz w:val="20"/>
          </w:rPr>
          <w:t>2</w:t>
        </w:r>
        <w:r w:rsidRPr="00170A76">
          <w:rPr>
            <w:rFonts w:ascii="Times New Roman" w:hAnsi="Times New Roman" w:cs="Times New Roman"/>
            <w:noProof/>
            <w:sz w:val="20"/>
          </w:rPr>
          <w:fldChar w:fldCharType="end"/>
        </w:r>
      </w:p>
    </w:sdtContent>
  </w:sdt>
  <w:p w14:paraId="369D3B99" w14:textId="77777777" w:rsidR="000E62CF" w:rsidRDefault="000E6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63FA5" w14:textId="77777777" w:rsidR="005C5E76" w:rsidRDefault="005C5E76" w:rsidP="003C006D">
      <w:pPr>
        <w:spacing w:after="0" w:line="240" w:lineRule="auto"/>
      </w:pPr>
      <w:r>
        <w:separator/>
      </w:r>
    </w:p>
  </w:footnote>
  <w:footnote w:type="continuationSeparator" w:id="0">
    <w:p w14:paraId="0801D3BB" w14:textId="77777777" w:rsidR="005C5E76" w:rsidRDefault="005C5E76" w:rsidP="003C006D">
      <w:pPr>
        <w:spacing w:after="0" w:line="240" w:lineRule="auto"/>
      </w:pPr>
      <w:r>
        <w:continuationSeparator/>
      </w:r>
    </w:p>
  </w:footnote>
  <w:footnote w:id="1">
    <w:p w14:paraId="531322AD" w14:textId="056DCA28" w:rsidR="000E62CF" w:rsidRPr="009D5A41" w:rsidRDefault="000E62CF">
      <w:pPr>
        <w:pStyle w:val="FootnoteText"/>
        <w:rPr>
          <w:lang w:val="es-ES_tradnl"/>
        </w:rPr>
      </w:pPr>
      <w:r w:rsidRPr="00F95B85">
        <w:rPr>
          <w:rFonts w:ascii="Times New Roman" w:hAnsi="Times New Roman" w:cs="Times New Roman"/>
          <w:sz w:val="18"/>
          <w:szCs w:val="18"/>
          <w:vertAlign w:val="superscript"/>
        </w:rPr>
        <w:footnoteRef/>
      </w:r>
      <w:r w:rsidRPr="009D5A41">
        <w:rPr>
          <w:rFonts w:ascii="Times New Roman" w:hAnsi="Times New Roman" w:cs="Times New Roman"/>
          <w:sz w:val="18"/>
          <w:szCs w:val="18"/>
          <w:vertAlign w:val="superscript"/>
        </w:rPr>
        <w:t xml:space="preserve"> </w:t>
      </w:r>
      <w:r w:rsidRPr="009D5A41">
        <w:rPr>
          <w:rFonts w:ascii="Times New Roman" w:hAnsi="Times New Roman" w:cs="Times New Roman"/>
          <w:sz w:val="18"/>
          <w:szCs w:val="18"/>
        </w:rPr>
        <w:t xml:space="preserve">En memoria de Edgar </w:t>
      </w:r>
      <w:proofErr w:type="spellStart"/>
      <w:r w:rsidRPr="009D5A41">
        <w:rPr>
          <w:rFonts w:ascii="Times New Roman" w:hAnsi="Times New Roman" w:cs="Times New Roman"/>
          <w:sz w:val="18"/>
          <w:szCs w:val="18"/>
        </w:rPr>
        <w:t>Ayales</w:t>
      </w:r>
      <w:proofErr w:type="spellEnd"/>
      <w:r>
        <w:rPr>
          <w:rFonts w:ascii="Times New Roman" w:hAnsi="Times New Roman" w:cs="Times New Roman"/>
          <w:sz w:val="18"/>
          <w:szCs w:val="18"/>
        </w:rPr>
        <w:t>.</w:t>
      </w:r>
    </w:p>
  </w:footnote>
  <w:footnote w:id="2">
    <w:p w14:paraId="5C96ADD2" w14:textId="537042BD" w:rsidR="000E62CF" w:rsidRPr="00AC3334" w:rsidRDefault="000E62CF" w:rsidP="00C603E9">
      <w:pPr>
        <w:pStyle w:val="FootnoteText"/>
        <w:rPr>
          <w:sz w:val="18"/>
          <w:szCs w:val="18"/>
        </w:rPr>
      </w:pPr>
      <w:r w:rsidRPr="00170A76">
        <w:rPr>
          <w:rFonts w:ascii="Times New Roman" w:hAnsi="Times New Roman" w:cs="Times New Roman"/>
          <w:sz w:val="18"/>
          <w:szCs w:val="18"/>
          <w:vertAlign w:val="superscript"/>
        </w:rPr>
        <w:footnoteRef/>
      </w:r>
      <w:r w:rsidRPr="00D94995">
        <w:rPr>
          <w:rFonts w:ascii="Times New Roman" w:hAnsi="Times New Roman" w:cs="Times New Roman"/>
          <w:sz w:val="18"/>
          <w:szCs w:val="18"/>
        </w:rPr>
        <w:t xml:space="preserve"> </w:t>
      </w:r>
      <w:r w:rsidRPr="009D5A41">
        <w:rPr>
          <w:rFonts w:ascii="Times New Roman" w:hAnsi="Times New Roman" w:cs="Times New Roman"/>
          <w:sz w:val="18"/>
          <w:szCs w:val="18"/>
        </w:rPr>
        <w:t xml:space="preserve">Economista del Grupo Bursátil </w:t>
      </w:r>
      <w:proofErr w:type="spellStart"/>
      <w:r w:rsidRPr="009D5A41">
        <w:rPr>
          <w:rFonts w:ascii="Times New Roman" w:hAnsi="Times New Roman" w:cs="Times New Roman"/>
          <w:sz w:val="18"/>
          <w:szCs w:val="18"/>
        </w:rPr>
        <w:t>Aldesa</w:t>
      </w:r>
      <w:proofErr w:type="spellEnd"/>
      <w:r w:rsidR="008C4013">
        <w:rPr>
          <w:rFonts w:ascii="Times New Roman" w:hAnsi="Times New Roman" w:cs="Times New Roman"/>
          <w:sz w:val="18"/>
          <w:szCs w:val="18"/>
        </w:rPr>
        <w:t>,</w:t>
      </w:r>
      <w:r>
        <w:rPr>
          <w:rFonts w:ascii="Times New Roman" w:hAnsi="Times New Roman" w:cs="Times New Roman"/>
          <w:sz w:val="18"/>
          <w:szCs w:val="18"/>
        </w:rPr>
        <w:t xml:space="preserve"> Líder Principal Fiscal y</w:t>
      </w:r>
      <w:r w:rsidRPr="009D5A41">
        <w:rPr>
          <w:rFonts w:ascii="Times New Roman" w:hAnsi="Times New Roman" w:cs="Times New Roman"/>
          <w:sz w:val="18"/>
          <w:szCs w:val="18"/>
        </w:rPr>
        <w:t xml:space="preserve"> </w:t>
      </w:r>
      <w:r w:rsidRPr="00D94995">
        <w:rPr>
          <w:rFonts w:ascii="Times New Roman" w:hAnsi="Times New Roman" w:cs="Times New Roman"/>
          <w:sz w:val="18"/>
          <w:szCs w:val="18"/>
        </w:rPr>
        <w:t>Consultor de la División Fiscal y Municipal del Banco Interamericano de Desarrollo</w:t>
      </w:r>
      <w:r>
        <w:rPr>
          <w:rFonts w:ascii="Times New Roman" w:hAnsi="Times New Roman" w:cs="Times New Roman"/>
          <w:sz w:val="18"/>
          <w:szCs w:val="18"/>
        </w:rPr>
        <w:t>, respectivamente</w:t>
      </w:r>
      <w:r w:rsidRPr="00D94995">
        <w:rPr>
          <w:rFonts w:ascii="Times New Roman" w:hAnsi="Times New Roman" w:cs="Times New Roman"/>
          <w:sz w:val="18"/>
          <w:szCs w:val="18"/>
        </w:rPr>
        <w:t>.</w:t>
      </w:r>
    </w:p>
  </w:footnote>
  <w:footnote w:id="3">
    <w:p w14:paraId="71344681" w14:textId="2487D8BA" w:rsidR="00105C24" w:rsidRPr="004B110B" w:rsidRDefault="00105C24" w:rsidP="002C4054">
      <w:pPr>
        <w:pStyle w:val="FootnoteText"/>
        <w:jc w:val="both"/>
        <w:rPr>
          <w:rFonts w:ascii="Times New Roman" w:hAnsi="Times New Roman" w:cs="Times New Roman"/>
          <w:sz w:val="18"/>
          <w:szCs w:val="18"/>
        </w:rPr>
      </w:pPr>
      <w:r w:rsidRPr="002C4054">
        <w:rPr>
          <w:rStyle w:val="FootnoteReference"/>
          <w:rFonts w:ascii="Times New Roman" w:hAnsi="Times New Roman" w:cs="Times New Roman"/>
          <w:sz w:val="18"/>
          <w:szCs w:val="18"/>
        </w:rPr>
        <w:footnoteRef/>
      </w:r>
      <w:r w:rsidRPr="002C4054">
        <w:rPr>
          <w:rFonts w:ascii="Times New Roman" w:hAnsi="Times New Roman" w:cs="Times New Roman"/>
          <w:sz w:val="18"/>
          <w:szCs w:val="18"/>
        </w:rPr>
        <w:t xml:space="preserve"> </w:t>
      </w:r>
      <w:r w:rsidR="00084D2F" w:rsidRPr="002C4054">
        <w:rPr>
          <w:rFonts w:ascii="Times New Roman" w:hAnsi="Times New Roman" w:cs="Times New Roman"/>
          <w:sz w:val="18"/>
          <w:szCs w:val="18"/>
        </w:rPr>
        <w:t>De hecho</w:t>
      </w:r>
      <w:r w:rsidR="00730ACC" w:rsidRPr="002C4054">
        <w:rPr>
          <w:rFonts w:ascii="Times New Roman" w:hAnsi="Times New Roman" w:cs="Times New Roman"/>
          <w:sz w:val="18"/>
          <w:szCs w:val="18"/>
        </w:rPr>
        <w:t>,</w:t>
      </w:r>
      <w:r w:rsidR="00084D2F" w:rsidRPr="002C4054">
        <w:rPr>
          <w:rFonts w:ascii="Times New Roman" w:hAnsi="Times New Roman" w:cs="Times New Roman"/>
          <w:sz w:val="18"/>
          <w:szCs w:val="18"/>
        </w:rPr>
        <w:t xml:space="preserve"> es importante que Costa Rica dé una mirada a la eficiencia del su gasto. Por ejemp</w:t>
      </w:r>
      <w:r w:rsidR="00BA1291">
        <w:rPr>
          <w:rFonts w:ascii="Times New Roman" w:hAnsi="Times New Roman" w:cs="Times New Roman"/>
          <w:sz w:val="18"/>
          <w:szCs w:val="18"/>
        </w:rPr>
        <w:t>l</w:t>
      </w:r>
      <w:r w:rsidR="00084D2F" w:rsidRPr="002C4054">
        <w:rPr>
          <w:rFonts w:ascii="Times New Roman" w:hAnsi="Times New Roman" w:cs="Times New Roman"/>
          <w:sz w:val="18"/>
          <w:szCs w:val="18"/>
        </w:rPr>
        <w:t>o</w:t>
      </w:r>
      <w:r w:rsidR="00C50D16" w:rsidRPr="002C4054">
        <w:rPr>
          <w:rFonts w:ascii="Times New Roman" w:hAnsi="Times New Roman" w:cs="Times New Roman"/>
          <w:sz w:val="18"/>
          <w:szCs w:val="18"/>
        </w:rPr>
        <w:t xml:space="preserve">, </w:t>
      </w:r>
      <w:r w:rsidR="00AB395B">
        <w:rPr>
          <w:rFonts w:ascii="Times New Roman" w:hAnsi="Times New Roman" w:cs="Times New Roman"/>
          <w:sz w:val="18"/>
          <w:szCs w:val="18"/>
        </w:rPr>
        <w:t>Costa Rica gast</w:t>
      </w:r>
      <w:r w:rsidR="00A579AA">
        <w:rPr>
          <w:rFonts w:ascii="Times New Roman" w:hAnsi="Times New Roman" w:cs="Times New Roman"/>
          <w:sz w:val="18"/>
          <w:szCs w:val="18"/>
        </w:rPr>
        <w:t>ó en 2016</w:t>
      </w:r>
      <w:r w:rsidR="00C46FD5">
        <w:rPr>
          <w:rFonts w:ascii="Times New Roman" w:hAnsi="Times New Roman" w:cs="Times New Roman"/>
          <w:sz w:val="18"/>
          <w:szCs w:val="18"/>
        </w:rPr>
        <w:t xml:space="preserve"> un 7,1% del PIB en educación, mientras que </w:t>
      </w:r>
      <w:r w:rsidR="00285F45">
        <w:rPr>
          <w:rFonts w:ascii="Times New Roman" w:hAnsi="Times New Roman" w:cs="Times New Roman"/>
          <w:sz w:val="18"/>
          <w:szCs w:val="18"/>
        </w:rPr>
        <w:t xml:space="preserve">América Latina y el Caribe gastó en promedio 4,3% y los miembros de la OCDE un </w:t>
      </w:r>
      <w:r w:rsidR="00487589">
        <w:rPr>
          <w:rFonts w:ascii="Times New Roman" w:hAnsi="Times New Roman" w:cs="Times New Roman"/>
          <w:sz w:val="18"/>
          <w:szCs w:val="18"/>
        </w:rPr>
        <w:t xml:space="preserve">5,2%. Sin embargo, la efectividad </w:t>
      </w:r>
      <w:r w:rsidR="0029092F">
        <w:rPr>
          <w:rFonts w:ascii="Times New Roman" w:hAnsi="Times New Roman" w:cs="Times New Roman"/>
          <w:sz w:val="18"/>
          <w:szCs w:val="18"/>
        </w:rPr>
        <w:t>es limitada. Por ejemplo,</w:t>
      </w:r>
      <w:r w:rsidR="009249D4">
        <w:rPr>
          <w:rFonts w:ascii="Times New Roman" w:hAnsi="Times New Roman" w:cs="Times New Roman"/>
          <w:sz w:val="18"/>
          <w:szCs w:val="18"/>
        </w:rPr>
        <w:t xml:space="preserve"> </w:t>
      </w:r>
      <w:proofErr w:type="spellStart"/>
      <w:r w:rsidR="00D223B5" w:rsidRPr="002C4054">
        <w:rPr>
          <w:rFonts w:ascii="Times New Roman" w:hAnsi="Times New Roman" w:cs="Times New Roman"/>
          <w:sz w:val="18"/>
          <w:szCs w:val="18"/>
        </w:rPr>
        <w:t>Elacqua</w:t>
      </w:r>
      <w:proofErr w:type="spellEnd"/>
      <w:r w:rsidR="00D223B5" w:rsidRPr="002C4054">
        <w:rPr>
          <w:rFonts w:ascii="Times New Roman" w:hAnsi="Times New Roman" w:cs="Times New Roman"/>
          <w:sz w:val="18"/>
          <w:szCs w:val="18"/>
        </w:rPr>
        <w:t xml:space="preserve"> </w:t>
      </w:r>
      <w:r w:rsidR="00730ACC" w:rsidRPr="002C4054">
        <w:rPr>
          <w:rFonts w:ascii="Times New Roman" w:hAnsi="Times New Roman" w:cs="Times New Roman"/>
          <w:sz w:val="18"/>
          <w:szCs w:val="18"/>
        </w:rPr>
        <w:t xml:space="preserve">y Martínez </w:t>
      </w:r>
      <w:r w:rsidR="00D223B5" w:rsidRPr="002C4054">
        <w:rPr>
          <w:rFonts w:ascii="Times New Roman" w:hAnsi="Times New Roman" w:cs="Times New Roman"/>
          <w:sz w:val="18"/>
          <w:szCs w:val="18"/>
        </w:rPr>
        <w:t>(2018)</w:t>
      </w:r>
      <w:r w:rsidR="00730ACC" w:rsidRPr="002C4054">
        <w:rPr>
          <w:rFonts w:ascii="Times New Roman" w:hAnsi="Times New Roman" w:cs="Times New Roman"/>
          <w:sz w:val="18"/>
          <w:szCs w:val="18"/>
        </w:rPr>
        <w:t xml:space="preserve"> calculan </w:t>
      </w:r>
      <w:r w:rsidR="005C4A06" w:rsidRPr="002C4054">
        <w:rPr>
          <w:rFonts w:ascii="Times New Roman" w:hAnsi="Times New Roman" w:cs="Times New Roman"/>
          <w:sz w:val="18"/>
          <w:szCs w:val="18"/>
        </w:rPr>
        <w:t xml:space="preserve">que las escuelas primarias podrían mejorar </w:t>
      </w:r>
      <w:r w:rsidR="002C4054" w:rsidRPr="002C4054">
        <w:rPr>
          <w:rFonts w:ascii="Times New Roman" w:hAnsi="Times New Roman" w:cs="Times New Roman"/>
          <w:sz w:val="18"/>
          <w:szCs w:val="18"/>
        </w:rPr>
        <w:t>alrededor del 18% su productividad, solamente reorganizando sus insumos.</w:t>
      </w:r>
      <w:r w:rsidR="009249D4">
        <w:rPr>
          <w:rFonts w:ascii="Times New Roman" w:hAnsi="Times New Roman" w:cs="Times New Roman"/>
          <w:sz w:val="18"/>
          <w:szCs w:val="18"/>
        </w:rPr>
        <w:t xml:space="preserve"> </w:t>
      </w:r>
      <w:r w:rsidR="00EA42BA">
        <w:rPr>
          <w:rFonts w:ascii="Times New Roman" w:hAnsi="Times New Roman" w:cs="Times New Roman"/>
          <w:sz w:val="18"/>
          <w:szCs w:val="18"/>
        </w:rPr>
        <w:t xml:space="preserve">Para mayor detalle sobre efectividad del gasto en Costa Rica y América Latina, véase </w:t>
      </w:r>
      <w:r w:rsidR="004B110B">
        <w:rPr>
          <w:rFonts w:ascii="Times New Roman" w:hAnsi="Times New Roman" w:cs="Times New Roman"/>
          <w:sz w:val="18"/>
          <w:szCs w:val="18"/>
        </w:rPr>
        <w:t xml:space="preserve">Izquierdo et </w:t>
      </w:r>
      <w:r w:rsidR="004B110B">
        <w:rPr>
          <w:rFonts w:ascii="Times New Roman" w:hAnsi="Times New Roman" w:cs="Times New Roman"/>
          <w:i/>
          <w:sz w:val="18"/>
          <w:szCs w:val="18"/>
        </w:rPr>
        <w:t>al.</w:t>
      </w:r>
      <w:r w:rsidR="004B110B">
        <w:rPr>
          <w:rFonts w:ascii="Times New Roman" w:hAnsi="Times New Roman" w:cs="Times New Roman"/>
          <w:sz w:val="18"/>
          <w:szCs w:val="18"/>
        </w:rPr>
        <w:t xml:space="preserve"> (2018).</w:t>
      </w:r>
    </w:p>
  </w:footnote>
  <w:footnote w:id="4">
    <w:p w14:paraId="38DC049A" w14:textId="27B4E7CB" w:rsidR="000E62CF" w:rsidRPr="009965DB" w:rsidRDefault="000E62CF">
      <w:pPr>
        <w:pStyle w:val="FootnoteText"/>
        <w:rPr>
          <w:rFonts w:ascii="Times New Roman" w:hAnsi="Times New Roman" w:cs="Times New Roman"/>
          <w:sz w:val="18"/>
          <w:szCs w:val="18"/>
        </w:rPr>
      </w:pPr>
      <w:r w:rsidRPr="009965DB">
        <w:rPr>
          <w:rStyle w:val="FootnoteReference"/>
          <w:rFonts w:ascii="Times New Roman" w:hAnsi="Times New Roman" w:cs="Times New Roman"/>
          <w:sz w:val="18"/>
          <w:szCs w:val="18"/>
        </w:rPr>
        <w:footnoteRef/>
      </w:r>
      <w:r w:rsidRPr="009965DB">
        <w:rPr>
          <w:rFonts w:ascii="Times New Roman" w:hAnsi="Times New Roman" w:cs="Times New Roman"/>
          <w:sz w:val="18"/>
          <w:szCs w:val="18"/>
        </w:rPr>
        <w:t xml:space="preserve"> Comparables </w:t>
      </w:r>
      <w:r>
        <w:rPr>
          <w:rFonts w:ascii="Times New Roman" w:hAnsi="Times New Roman" w:cs="Times New Roman"/>
          <w:sz w:val="18"/>
          <w:szCs w:val="18"/>
        </w:rPr>
        <w:t>en su</w:t>
      </w:r>
      <w:r w:rsidRPr="009965DB">
        <w:rPr>
          <w:rFonts w:ascii="Times New Roman" w:hAnsi="Times New Roman" w:cs="Times New Roman"/>
          <w:sz w:val="18"/>
          <w:szCs w:val="18"/>
        </w:rPr>
        <w:t xml:space="preserve"> nivel de ingreso per cápita</w:t>
      </w:r>
      <w:r>
        <w:rPr>
          <w:rFonts w:ascii="Times New Roman" w:hAnsi="Times New Roman" w:cs="Times New Roman"/>
          <w:sz w:val="18"/>
          <w:szCs w:val="18"/>
        </w:rPr>
        <w:t>,</w:t>
      </w:r>
      <w:r w:rsidRPr="009965DB">
        <w:rPr>
          <w:rFonts w:ascii="Times New Roman" w:hAnsi="Times New Roman" w:cs="Times New Roman"/>
          <w:sz w:val="18"/>
          <w:szCs w:val="18"/>
        </w:rPr>
        <w:t xml:space="preserve"> cobertura de salud y pensiones</w:t>
      </w:r>
      <w:r>
        <w:rPr>
          <w:rFonts w:ascii="Times New Roman" w:hAnsi="Times New Roman" w:cs="Times New Roman"/>
          <w:sz w:val="18"/>
          <w:szCs w:val="18"/>
        </w:rPr>
        <w:t>.</w:t>
      </w:r>
    </w:p>
  </w:footnote>
  <w:footnote w:id="5">
    <w:p w14:paraId="56A3E8C7" w14:textId="77777777" w:rsidR="000E62CF" w:rsidRPr="00D75C2C" w:rsidRDefault="000E62CF" w:rsidP="00000CE0">
      <w:pPr>
        <w:pStyle w:val="FootnoteText"/>
        <w:rPr>
          <w:rFonts w:ascii="Times New Roman" w:hAnsi="Times New Roman" w:cs="Times New Roman"/>
          <w:sz w:val="18"/>
          <w:szCs w:val="18"/>
        </w:rPr>
      </w:pPr>
      <w:r w:rsidRPr="00D75C2C">
        <w:rPr>
          <w:rStyle w:val="FootnoteReference"/>
          <w:rFonts w:ascii="Times New Roman" w:hAnsi="Times New Roman" w:cs="Times New Roman"/>
          <w:sz w:val="18"/>
          <w:szCs w:val="18"/>
        </w:rPr>
        <w:footnoteRef/>
      </w:r>
      <w:r w:rsidRPr="00D75C2C">
        <w:rPr>
          <w:rFonts w:ascii="Times New Roman" w:hAnsi="Times New Roman" w:cs="Times New Roman"/>
          <w:sz w:val="18"/>
          <w:szCs w:val="18"/>
        </w:rPr>
        <w:t xml:space="preserve"> Expediente 20.580 y ley de la </w:t>
      </w:r>
      <w:r>
        <w:rPr>
          <w:rFonts w:ascii="Times New Roman" w:hAnsi="Times New Roman" w:cs="Times New Roman"/>
          <w:sz w:val="18"/>
          <w:szCs w:val="18"/>
        </w:rPr>
        <w:t>R</w:t>
      </w:r>
      <w:r w:rsidRPr="00D75C2C">
        <w:rPr>
          <w:rFonts w:ascii="Times New Roman" w:hAnsi="Times New Roman" w:cs="Times New Roman"/>
          <w:sz w:val="18"/>
          <w:szCs w:val="18"/>
        </w:rPr>
        <w:t>epública 9635.</w:t>
      </w:r>
    </w:p>
  </w:footnote>
  <w:footnote w:id="6">
    <w:p w14:paraId="45BE4761" w14:textId="1CC8B74F" w:rsidR="000E62CF" w:rsidRPr="00AC3334" w:rsidRDefault="000E62CF" w:rsidP="004E121C">
      <w:pPr>
        <w:pStyle w:val="FootnoteText"/>
        <w:jc w:val="both"/>
        <w:rPr>
          <w:sz w:val="18"/>
          <w:szCs w:val="18"/>
        </w:rPr>
      </w:pPr>
      <w:r w:rsidRPr="00D75C2C">
        <w:rPr>
          <w:rStyle w:val="FootnoteReference"/>
          <w:rFonts w:ascii="Times New Roman" w:hAnsi="Times New Roman" w:cs="Times New Roman"/>
          <w:sz w:val="18"/>
          <w:szCs w:val="18"/>
        </w:rPr>
        <w:footnoteRef/>
      </w:r>
      <w:r w:rsidRPr="00D75C2C">
        <w:rPr>
          <w:rFonts w:ascii="Times New Roman" w:hAnsi="Times New Roman" w:cs="Times New Roman"/>
          <w:sz w:val="18"/>
          <w:szCs w:val="18"/>
        </w:rPr>
        <w:t xml:space="preserve"> Destinos específicos: “</w:t>
      </w:r>
      <w:r w:rsidRPr="00D75C2C">
        <w:rPr>
          <w:rFonts w:ascii="Times New Roman" w:hAnsi="Times New Roman" w:cs="Times New Roman"/>
          <w:i/>
          <w:sz w:val="18"/>
          <w:szCs w:val="18"/>
        </w:rPr>
        <w:t>son todas aquellas asignaciones presupuestarias predefinidas, tanto por la Constitución Política como por alguna ley, que disponen la realización de un gasto en particular, generalmente en favor de alguna institución pública o grupo de instituciones públicas, y cuyo monto se determina en función de alguna variable de carácter tributario o macroeconómico.</w:t>
      </w:r>
      <w:r w:rsidRPr="00D75C2C">
        <w:rPr>
          <w:rFonts w:ascii="Times New Roman" w:hAnsi="Times New Roman" w:cs="Times New Roman"/>
          <w:sz w:val="18"/>
          <w:szCs w:val="18"/>
        </w:rPr>
        <w:t>” Contraloría General de la República</w:t>
      </w:r>
      <w:r>
        <w:rPr>
          <w:rFonts w:ascii="Times New Roman" w:hAnsi="Times New Roman" w:cs="Times New Roman"/>
          <w:sz w:val="18"/>
          <w:szCs w:val="18"/>
        </w:rPr>
        <w:t>, 2018.</w:t>
      </w:r>
    </w:p>
  </w:footnote>
  <w:footnote w:id="7">
    <w:p w14:paraId="18BAD291" w14:textId="5EF24FB4" w:rsidR="000E62CF" w:rsidRPr="00FB4DF5" w:rsidRDefault="000E62CF" w:rsidP="00996AE9">
      <w:pPr>
        <w:pStyle w:val="FootnoteText"/>
        <w:jc w:val="both"/>
        <w:rPr>
          <w:rFonts w:ascii="Times New Roman" w:hAnsi="Times New Roman" w:cs="Times New Roman"/>
          <w:sz w:val="18"/>
        </w:rPr>
      </w:pPr>
      <w:r w:rsidRPr="00FB4DF5">
        <w:rPr>
          <w:rStyle w:val="FootnoteReference"/>
          <w:rFonts w:ascii="Times New Roman" w:hAnsi="Times New Roman" w:cs="Times New Roman"/>
          <w:sz w:val="18"/>
        </w:rPr>
        <w:footnoteRef/>
      </w:r>
      <w:r w:rsidRPr="00FB4DF5">
        <w:rPr>
          <w:rFonts w:ascii="Times New Roman" w:hAnsi="Times New Roman" w:cs="Times New Roman"/>
          <w:sz w:val="18"/>
        </w:rPr>
        <w:t xml:space="preserve"> Por medio de la Cooperación Técnica </w:t>
      </w:r>
      <w:r>
        <w:rPr>
          <w:rFonts w:ascii="Times New Roman" w:hAnsi="Times New Roman" w:cs="Times New Roman"/>
          <w:sz w:val="18"/>
        </w:rPr>
        <w:t>RG-T2568</w:t>
      </w:r>
      <w:r w:rsidRPr="00FB4DF5">
        <w:rPr>
          <w:rFonts w:ascii="Times New Roman" w:hAnsi="Times New Roman" w:cs="Times New Roman"/>
          <w:sz w:val="18"/>
        </w:rPr>
        <w:t xml:space="preserve">, otorgada por el BID. </w:t>
      </w:r>
      <w:r>
        <w:rPr>
          <w:rFonts w:ascii="Times New Roman" w:hAnsi="Times New Roman" w:cs="Times New Roman"/>
          <w:sz w:val="18"/>
        </w:rPr>
        <w:t xml:space="preserve">Este documento contenía una propuesta de reforma fiscal integral, en el sentido que incluía toda una estrategia para la consolidación de las finanzas públicas (ingresos y gastos) y el fortalecimiento de la institucionalidad fiscal. </w:t>
      </w:r>
    </w:p>
  </w:footnote>
  <w:footnote w:id="8">
    <w:p w14:paraId="3274C0ED" w14:textId="7E8921FC" w:rsidR="000E62CF" w:rsidRPr="00996AE9" w:rsidRDefault="000E62CF" w:rsidP="00996AE9">
      <w:pPr>
        <w:pStyle w:val="FootnoteText"/>
        <w:jc w:val="both"/>
        <w:rPr>
          <w:rFonts w:ascii="Times New Roman" w:hAnsi="Times New Roman" w:cs="Times New Roman"/>
          <w:sz w:val="18"/>
        </w:rPr>
      </w:pPr>
      <w:r w:rsidRPr="00996AE9">
        <w:rPr>
          <w:rStyle w:val="FootnoteReference"/>
          <w:rFonts w:ascii="Times New Roman" w:hAnsi="Times New Roman" w:cs="Times New Roman"/>
          <w:sz w:val="18"/>
        </w:rPr>
        <w:footnoteRef/>
      </w:r>
      <w:r w:rsidRPr="00996AE9">
        <w:rPr>
          <w:rStyle w:val="FootnoteReference"/>
          <w:rFonts w:ascii="Times New Roman" w:hAnsi="Times New Roman" w:cs="Times New Roman"/>
          <w:sz w:val="18"/>
        </w:rPr>
        <w:t xml:space="preserve"> </w:t>
      </w:r>
      <w:r w:rsidRPr="00996AE9">
        <w:rPr>
          <w:rFonts w:ascii="Times New Roman" w:hAnsi="Times New Roman" w:cs="Times New Roman"/>
          <w:sz w:val="18"/>
        </w:rPr>
        <w:t>Seguidamente, el BID junto con l</w:t>
      </w:r>
      <w:r>
        <w:rPr>
          <w:rFonts w:ascii="Times New Roman" w:hAnsi="Times New Roman" w:cs="Times New Roman"/>
          <w:sz w:val="18"/>
        </w:rPr>
        <w:t>os</w:t>
      </w:r>
      <w:r w:rsidRPr="00996AE9">
        <w:rPr>
          <w:rFonts w:ascii="Times New Roman" w:hAnsi="Times New Roman" w:cs="Times New Roman"/>
          <w:sz w:val="18"/>
        </w:rPr>
        <w:t xml:space="preserve"> viceministerio</w:t>
      </w:r>
      <w:r>
        <w:rPr>
          <w:rFonts w:ascii="Times New Roman" w:hAnsi="Times New Roman" w:cs="Times New Roman"/>
          <w:sz w:val="18"/>
        </w:rPr>
        <w:t>s</w:t>
      </w:r>
      <w:r w:rsidRPr="00996AE9">
        <w:rPr>
          <w:rFonts w:ascii="Times New Roman" w:hAnsi="Times New Roman" w:cs="Times New Roman"/>
          <w:sz w:val="18"/>
        </w:rPr>
        <w:t xml:space="preserve"> de hacienda, prepararon una propuesta limitando el crecimiento del gasto corriente y el déficit financiero condicionados a dos variables: (i) el nivel de la razón deuda a PIB y (ii) el crecimiento real.</w:t>
      </w:r>
    </w:p>
  </w:footnote>
  <w:footnote w:id="9">
    <w:p w14:paraId="22814D20" w14:textId="62BC474D" w:rsidR="000E62CF" w:rsidRDefault="000E62CF">
      <w:pPr>
        <w:pStyle w:val="FootnoteText"/>
      </w:pPr>
      <w:r w:rsidRPr="0068191E">
        <w:rPr>
          <w:rStyle w:val="FootnoteReference"/>
          <w:rFonts w:ascii="Times New Roman" w:hAnsi="Times New Roman" w:cs="Times New Roman"/>
          <w:sz w:val="18"/>
        </w:rPr>
        <w:footnoteRef/>
      </w:r>
      <w:r w:rsidRPr="0068191E">
        <w:rPr>
          <w:rFonts w:ascii="Times New Roman" w:hAnsi="Times New Roman" w:cs="Times New Roman"/>
          <w:sz w:val="18"/>
        </w:rPr>
        <w:t xml:space="preserve"> Según lo dispuesto en los términos de la Ley N° 8488.</w:t>
      </w:r>
      <w:r w:rsidRPr="0068191E">
        <w:rPr>
          <w:sz w:val="18"/>
        </w:rPr>
        <w:t xml:space="preserve"> </w:t>
      </w:r>
    </w:p>
  </w:footnote>
  <w:footnote w:id="10">
    <w:p w14:paraId="7C3D32C1" w14:textId="236C0864" w:rsidR="00982988" w:rsidRPr="00C123A8" w:rsidRDefault="00982988" w:rsidP="00C123A8">
      <w:pPr>
        <w:pStyle w:val="FootnoteText"/>
        <w:jc w:val="both"/>
        <w:rPr>
          <w:rFonts w:ascii="Times New Roman" w:hAnsi="Times New Roman" w:cs="Times New Roman"/>
          <w:sz w:val="18"/>
          <w:szCs w:val="18"/>
        </w:rPr>
      </w:pPr>
      <w:r w:rsidRPr="00C123A8">
        <w:rPr>
          <w:rStyle w:val="FootnoteReference"/>
          <w:rFonts w:ascii="Times New Roman" w:hAnsi="Times New Roman" w:cs="Times New Roman"/>
          <w:sz w:val="18"/>
          <w:szCs w:val="18"/>
        </w:rPr>
        <w:footnoteRef/>
      </w:r>
      <w:r w:rsidRPr="00C123A8">
        <w:rPr>
          <w:rFonts w:ascii="Times New Roman" w:hAnsi="Times New Roman" w:cs="Times New Roman"/>
          <w:sz w:val="18"/>
          <w:szCs w:val="18"/>
        </w:rPr>
        <w:t xml:space="preserve"> </w:t>
      </w:r>
      <w:r w:rsidR="00C123A8" w:rsidRPr="00C123A8">
        <w:rPr>
          <w:rFonts w:ascii="Times New Roman" w:hAnsi="Times New Roman" w:cs="Times New Roman"/>
          <w:sz w:val="18"/>
          <w:szCs w:val="18"/>
        </w:rPr>
        <w:t>La definición de recesión contenida en la Ley es “caída del PIB real durante dos trimestres consecutivos, declarada por el Banco Central de Costa Rica”</w:t>
      </w:r>
      <w:r w:rsidR="00D01855">
        <w:rPr>
          <w:rFonts w:ascii="Times New Roman" w:hAnsi="Times New Roman" w:cs="Times New Roman"/>
          <w:sz w:val="18"/>
          <w:szCs w:val="18"/>
        </w:rPr>
        <w:t>.</w:t>
      </w:r>
    </w:p>
  </w:footnote>
  <w:footnote w:id="11">
    <w:p w14:paraId="5C464588" w14:textId="622F0390" w:rsidR="00B23651" w:rsidRPr="003C0321" w:rsidRDefault="00B23651" w:rsidP="003C0321">
      <w:pPr>
        <w:pStyle w:val="FootnoteText"/>
        <w:jc w:val="both"/>
        <w:rPr>
          <w:rFonts w:ascii="Times New Roman" w:hAnsi="Times New Roman" w:cs="Times New Roman"/>
        </w:rPr>
      </w:pPr>
      <w:r w:rsidRPr="003C0321">
        <w:rPr>
          <w:rStyle w:val="FootnoteReference"/>
          <w:rFonts w:ascii="Times New Roman" w:hAnsi="Times New Roman" w:cs="Times New Roman"/>
          <w:sz w:val="18"/>
        </w:rPr>
        <w:footnoteRef/>
      </w:r>
      <w:r w:rsidRPr="003C0321">
        <w:rPr>
          <w:rFonts w:ascii="Times New Roman" w:hAnsi="Times New Roman" w:cs="Times New Roman"/>
          <w:sz w:val="18"/>
        </w:rPr>
        <w:t xml:space="preserve"> </w:t>
      </w:r>
      <w:r w:rsidR="008763E1">
        <w:rPr>
          <w:rFonts w:ascii="Times New Roman" w:hAnsi="Times New Roman" w:cs="Times New Roman"/>
          <w:sz w:val="18"/>
        </w:rPr>
        <w:t xml:space="preserve">El artículo 68 </w:t>
      </w:r>
      <w:r w:rsidR="003F4160">
        <w:rPr>
          <w:rFonts w:ascii="Times New Roman" w:hAnsi="Times New Roman" w:cs="Times New Roman"/>
          <w:sz w:val="18"/>
        </w:rPr>
        <w:t xml:space="preserve">dice lo siguiente </w:t>
      </w:r>
      <w:r w:rsidR="003F4160" w:rsidRPr="003F4160">
        <w:rPr>
          <w:rFonts w:ascii="Times New Roman" w:hAnsi="Times New Roman" w:cs="Times New Roman"/>
          <w:i/>
          <w:sz w:val="18"/>
        </w:rPr>
        <w:t>“</w:t>
      </w:r>
      <w:r w:rsidR="003C0321" w:rsidRPr="003F4160">
        <w:rPr>
          <w:rFonts w:ascii="Times New Roman" w:hAnsi="Times New Roman" w:cs="Times New Roman"/>
          <w:i/>
          <w:sz w:val="18"/>
        </w:rPr>
        <w:t>La Contraloría General de la República, sin perjuicio de otras sanciones previstas por ley, cuando en el ejercicio de sus potestades determine que un servidor de los sujetos pasivos ha cometido infracciones a las normas que integran el ordenamiento de control y fiscalización contemplado en esta Ley o ha provocado lesión a la Hacienda Pública, recomendará al órgano o autoridad administrativa competente, mediante su criterio técnico, que es vinculante, la aplicación de la sanción correspondiente de acuerdo con el mérito del caso. La Contraloría formará expediente contra el eventual infractor, garantizándole, en todo momento, un proceso debido y la oportunidad suficiente de audiencia y de defensa en su favor.</w:t>
      </w:r>
      <w:r w:rsidR="003F4160">
        <w:rPr>
          <w:rFonts w:ascii="Times New Roman" w:hAnsi="Times New Roman" w:cs="Times New Roman"/>
          <w:i/>
          <w:sz w:val="18"/>
        </w:rPr>
        <w:t xml:space="preserve"> (…)</w:t>
      </w:r>
      <w:r w:rsidR="003F4160" w:rsidRPr="003F4160">
        <w:rPr>
          <w:rFonts w:ascii="Times New Roman" w:hAnsi="Times New Roman" w:cs="Times New Roman"/>
          <w:i/>
          <w:sz w:val="18"/>
        </w:rPr>
        <w:t>”</w:t>
      </w:r>
    </w:p>
  </w:footnote>
  <w:footnote w:id="12">
    <w:p w14:paraId="3DD9E5AE" w14:textId="6FF82C9A" w:rsidR="000E62CF" w:rsidRPr="008F4F62" w:rsidRDefault="000E62CF">
      <w:pPr>
        <w:pStyle w:val="FootnoteText"/>
        <w:rPr>
          <w:rFonts w:ascii="Times New Roman" w:hAnsi="Times New Roman" w:cs="Times New Roman"/>
          <w:sz w:val="18"/>
          <w:szCs w:val="18"/>
        </w:rPr>
      </w:pPr>
      <w:r w:rsidRPr="008F4F62">
        <w:rPr>
          <w:rStyle w:val="FootnoteReference"/>
          <w:rFonts w:ascii="Times New Roman" w:hAnsi="Times New Roman" w:cs="Times New Roman"/>
          <w:sz w:val="18"/>
          <w:szCs w:val="18"/>
        </w:rPr>
        <w:footnoteRef/>
      </w:r>
      <w:r w:rsidRPr="008F4F62">
        <w:rPr>
          <w:rFonts w:ascii="Times New Roman" w:hAnsi="Times New Roman" w:cs="Times New Roman"/>
          <w:sz w:val="18"/>
          <w:szCs w:val="18"/>
        </w:rPr>
        <w:t xml:space="preserve"> Ver capítulo introductorio para una discusión sobre los tipos de Marcos Fiscales de Mediano Plazo.  </w:t>
      </w:r>
    </w:p>
  </w:footnote>
  <w:footnote w:id="13">
    <w:p w14:paraId="207DFC6B" w14:textId="1D7450D7" w:rsidR="000E62CF" w:rsidRDefault="000E62CF" w:rsidP="00FE5B50">
      <w:pPr>
        <w:pStyle w:val="FootnoteText"/>
        <w:jc w:val="both"/>
      </w:pPr>
      <w:r w:rsidRPr="00216A8C">
        <w:rPr>
          <w:rStyle w:val="FootnoteReference"/>
          <w:rFonts w:ascii="Times New Roman" w:hAnsi="Times New Roman" w:cs="Times New Roman"/>
          <w:sz w:val="18"/>
        </w:rPr>
        <w:footnoteRef/>
      </w:r>
      <w:r w:rsidRPr="00216A8C">
        <w:rPr>
          <w:rFonts w:ascii="Times New Roman" w:hAnsi="Times New Roman" w:cs="Times New Roman"/>
          <w:sz w:val="18"/>
        </w:rPr>
        <w:t xml:space="preserve"> Siempre y cuando la relación de deuda a activos se encuentre por debajo del 50%. Si sobrepasa este umbral entonces entra dentro de los lineamientos de la deuda por representar un posible pasivo contingente para el </w:t>
      </w:r>
      <w:r>
        <w:rPr>
          <w:rFonts w:ascii="Times New Roman" w:hAnsi="Times New Roman" w:cs="Times New Roman"/>
          <w:sz w:val="18"/>
        </w:rPr>
        <w:t>G</w:t>
      </w:r>
      <w:r w:rsidRPr="00216A8C">
        <w:rPr>
          <w:rFonts w:ascii="Times New Roman" w:hAnsi="Times New Roman" w:cs="Times New Roman"/>
          <w:sz w:val="18"/>
        </w:rPr>
        <w:t xml:space="preserve">obierno </w:t>
      </w:r>
      <w:r>
        <w:rPr>
          <w:rFonts w:ascii="Times New Roman" w:hAnsi="Times New Roman" w:cs="Times New Roman"/>
          <w:sz w:val="18"/>
        </w:rPr>
        <w:t>C</w:t>
      </w:r>
      <w:r w:rsidRPr="00216A8C">
        <w:rPr>
          <w:rFonts w:ascii="Times New Roman" w:hAnsi="Times New Roman" w:cs="Times New Roman"/>
          <w:sz w:val="18"/>
          <w:szCs w:val="18"/>
        </w:rPr>
        <w:t>entral.</w:t>
      </w:r>
      <w:r>
        <w:t xml:space="preserve"> </w:t>
      </w:r>
    </w:p>
  </w:footnote>
  <w:footnote w:id="14">
    <w:p w14:paraId="0B327E91" w14:textId="5B2F1E2C" w:rsidR="000E62CF" w:rsidRPr="0020593B" w:rsidRDefault="000E62CF">
      <w:pPr>
        <w:pStyle w:val="FootnoteText"/>
        <w:rPr>
          <w:rFonts w:ascii="Times New Roman" w:hAnsi="Times New Roman" w:cs="Times New Roman"/>
        </w:rPr>
      </w:pPr>
      <w:r w:rsidRPr="0020593B">
        <w:rPr>
          <w:rStyle w:val="FootnoteReference"/>
          <w:rFonts w:ascii="Times New Roman" w:hAnsi="Times New Roman" w:cs="Times New Roman"/>
          <w:sz w:val="18"/>
        </w:rPr>
        <w:footnoteRef/>
      </w:r>
      <w:r w:rsidRPr="0020593B">
        <w:rPr>
          <w:rFonts w:ascii="Times New Roman" w:hAnsi="Times New Roman" w:cs="Times New Roman"/>
          <w:sz w:val="18"/>
        </w:rPr>
        <w:t xml:space="preserve"> Artículo 15 del capítulo de regla fiscal de la Ley de Fortalecimiento de las Finanzas Públicas.</w:t>
      </w:r>
    </w:p>
  </w:footnote>
  <w:footnote w:id="15">
    <w:p w14:paraId="5A6478E4" w14:textId="77777777" w:rsidR="000E62CF" w:rsidRPr="0068191E" w:rsidRDefault="000E62CF" w:rsidP="00E65848">
      <w:pPr>
        <w:pStyle w:val="FootnoteText"/>
        <w:jc w:val="both"/>
        <w:rPr>
          <w:rFonts w:ascii="Times New Roman" w:hAnsi="Times New Roman" w:cs="Times New Roman"/>
          <w:sz w:val="18"/>
          <w:szCs w:val="18"/>
        </w:rPr>
      </w:pPr>
      <w:r w:rsidRPr="0068191E">
        <w:rPr>
          <w:rStyle w:val="FootnoteReference"/>
          <w:rFonts w:ascii="Times New Roman" w:hAnsi="Times New Roman" w:cs="Times New Roman"/>
          <w:sz w:val="18"/>
          <w:szCs w:val="18"/>
        </w:rPr>
        <w:footnoteRef/>
      </w:r>
      <w:r w:rsidRPr="0068191E">
        <w:rPr>
          <w:rFonts w:ascii="Times New Roman" w:hAnsi="Times New Roman" w:cs="Times New Roman"/>
          <w:sz w:val="18"/>
          <w:szCs w:val="18"/>
        </w:rPr>
        <w:t xml:space="preserve"> Variables como el balance estructural. Ver Cordes </w:t>
      </w:r>
      <w:r w:rsidRPr="0068191E">
        <w:rPr>
          <w:rFonts w:ascii="Times New Roman" w:hAnsi="Times New Roman" w:cs="Times New Roman"/>
          <w:i/>
          <w:sz w:val="18"/>
          <w:szCs w:val="18"/>
        </w:rPr>
        <w:t>et al</w:t>
      </w:r>
      <w:r w:rsidRPr="0068191E">
        <w:rPr>
          <w:rFonts w:ascii="Times New Roman" w:hAnsi="Times New Roman" w:cs="Times New Roman"/>
          <w:sz w:val="18"/>
          <w:szCs w:val="18"/>
        </w:rPr>
        <w:t xml:space="preserve"> (2015). </w:t>
      </w:r>
    </w:p>
  </w:footnote>
  <w:footnote w:id="16">
    <w:p w14:paraId="6B23D131" w14:textId="10E883AF" w:rsidR="000E62CF" w:rsidRPr="003773C6" w:rsidRDefault="000E62CF">
      <w:pPr>
        <w:pStyle w:val="FootnoteText"/>
        <w:rPr>
          <w:rFonts w:ascii="Times New Roman" w:hAnsi="Times New Roman" w:cs="Times New Roman"/>
          <w:sz w:val="18"/>
          <w:szCs w:val="18"/>
        </w:rPr>
      </w:pPr>
      <w:r w:rsidRPr="003773C6">
        <w:rPr>
          <w:rStyle w:val="FootnoteReference"/>
          <w:rFonts w:ascii="Times New Roman" w:hAnsi="Times New Roman" w:cs="Times New Roman"/>
          <w:sz w:val="18"/>
          <w:szCs w:val="18"/>
        </w:rPr>
        <w:footnoteRef/>
      </w:r>
      <w:r w:rsidRPr="003773C6">
        <w:rPr>
          <w:rFonts w:ascii="Times New Roman" w:hAnsi="Times New Roman" w:cs="Times New Roman"/>
          <w:sz w:val="18"/>
          <w:szCs w:val="18"/>
        </w:rPr>
        <w:t xml:space="preserve"> En los últimos </w:t>
      </w:r>
      <w:r>
        <w:rPr>
          <w:rFonts w:ascii="Times New Roman" w:hAnsi="Times New Roman" w:cs="Times New Roman"/>
          <w:sz w:val="18"/>
          <w:szCs w:val="18"/>
        </w:rPr>
        <w:t>6</w:t>
      </w:r>
      <w:r w:rsidRPr="003773C6">
        <w:rPr>
          <w:rFonts w:ascii="Times New Roman" w:hAnsi="Times New Roman" w:cs="Times New Roman"/>
          <w:sz w:val="18"/>
          <w:szCs w:val="18"/>
        </w:rPr>
        <w:t xml:space="preserve"> años, la tasa de inflación media en Costa Rica ha sido de 2,2%, por lo que se ha mantenido contenida dentro del rango meta del Banco Central de Costa Rica (2%-4%).</w:t>
      </w:r>
    </w:p>
  </w:footnote>
  <w:footnote w:id="17">
    <w:p w14:paraId="300DED06" w14:textId="73919180" w:rsidR="000E62CF" w:rsidRPr="00911E26" w:rsidRDefault="000E62CF">
      <w:pPr>
        <w:pStyle w:val="FootnoteText"/>
        <w:rPr>
          <w:rFonts w:ascii="Times New Roman" w:hAnsi="Times New Roman" w:cs="Times New Roman"/>
          <w:sz w:val="18"/>
          <w:szCs w:val="18"/>
        </w:rPr>
      </w:pPr>
      <w:r w:rsidRPr="00911E26">
        <w:rPr>
          <w:rStyle w:val="FootnoteReference"/>
          <w:rFonts w:ascii="Times New Roman" w:hAnsi="Times New Roman" w:cs="Times New Roman"/>
          <w:sz w:val="18"/>
          <w:szCs w:val="18"/>
        </w:rPr>
        <w:footnoteRef/>
      </w:r>
      <w:r w:rsidRPr="00911E26">
        <w:rPr>
          <w:rStyle w:val="FootnoteReference"/>
          <w:rFonts w:ascii="Times New Roman" w:hAnsi="Times New Roman" w:cs="Times New Roman"/>
          <w:sz w:val="18"/>
          <w:szCs w:val="18"/>
        </w:rPr>
        <w:t xml:space="preserve"> </w:t>
      </w:r>
      <w:r>
        <w:rPr>
          <w:rFonts w:ascii="Times New Roman" w:hAnsi="Times New Roman" w:cs="Times New Roman"/>
          <w:sz w:val="18"/>
          <w:szCs w:val="18"/>
        </w:rPr>
        <w:t>L</w:t>
      </w:r>
      <w:r w:rsidRPr="00911E26">
        <w:rPr>
          <w:rFonts w:ascii="Times New Roman" w:hAnsi="Times New Roman" w:cs="Times New Roman"/>
          <w:sz w:val="18"/>
          <w:szCs w:val="18"/>
        </w:rPr>
        <w:t>a elección de objetivos nominales o reales solo es un problema cuando existe poco control a la inflación o severos desbalances fiscales hacen sistemáticos los desvíos en las estimaciones.</w:t>
      </w:r>
    </w:p>
  </w:footnote>
  <w:footnote w:id="18">
    <w:p w14:paraId="1119BBFA" w14:textId="54C94437" w:rsidR="000E62CF" w:rsidRPr="00996AF6" w:rsidRDefault="000E62CF">
      <w:pPr>
        <w:pStyle w:val="FootnoteText"/>
        <w:rPr>
          <w:rFonts w:ascii="Times New Roman" w:hAnsi="Times New Roman" w:cs="Times New Roman"/>
        </w:rPr>
      </w:pPr>
      <w:r w:rsidRPr="00996AF6">
        <w:rPr>
          <w:rStyle w:val="FootnoteReference"/>
          <w:rFonts w:ascii="Times New Roman" w:hAnsi="Times New Roman" w:cs="Times New Roman"/>
          <w:sz w:val="18"/>
        </w:rPr>
        <w:footnoteRef/>
      </w:r>
      <w:r w:rsidRPr="00996AF6">
        <w:rPr>
          <w:rFonts w:ascii="Times New Roman" w:hAnsi="Times New Roman" w:cs="Times New Roman"/>
          <w:sz w:val="18"/>
        </w:rPr>
        <w:t xml:space="preserve"> Refinadora Costarricense de Petróleo.</w:t>
      </w:r>
    </w:p>
  </w:footnote>
  <w:footnote w:id="19">
    <w:p w14:paraId="28C306CA" w14:textId="6E78078E" w:rsidR="000E62CF" w:rsidRPr="00EA0D28" w:rsidRDefault="000E62CF">
      <w:pPr>
        <w:pStyle w:val="FootnoteText"/>
        <w:rPr>
          <w:rFonts w:ascii="Times New Roman" w:hAnsi="Times New Roman" w:cs="Times New Roman"/>
        </w:rPr>
      </w:pPr>
      <w:r w:rsidRPr="00EA0D28">
        <w:rPr>
          <w:rStyle w:val="FootnoteReference"/>
          <w:rFonts w:ascii="Times New Roman" w:hAnsi="Times New Roman" w:cs="Times New Roman"/>
          <w:sz w:val="18"/>
        </w:rPr>
        <w:footnoteRef/>
      </w:r>
      <w:r w:rsidRPr="00EA0D28">
        <w:rPr>
          <w:rFonts w:ascii="Times New Roman" w:hAnsi="Times New Roman" w:cs="Times New Roman"/>
          <w:sz w:val="18"/>
        </w:rPr>
        <w:t xml:space="preserve"> Para mayor detalle, ver el capítulo de la regla fiscal de México.</w:t>
      </w:r>
    </w:p>
  </w:footnote>
  <w:footnote w:id="20">
    <w:p w14:paraId="513E2ACC" w14:textId="19731099" w:rsidR="008F32CD" w:rsidRPr="009E15CE" w:rsidRDefault="008F32CD" w:rsidP="009E15CE">
      <w:pPr>
        <w:pStyle w:val="FootnoteText"/>
        <w:jc w:val="both"/>
        <w:rPr>
          <w:rFonts w:ascii="Times New Roman" w:hAnsi="Times New Roman" w:cs="Times New Roman"/>
        </w:rPr>
      </w:pPr>
      <w:r w:rsidRPr="009E15CE">
        <w:rPr>
          <w:rStyle w:val="FootnoteReference"/>
          <w:rFonts w:ascii="Times New Roman" w:hAnsi="Times New Roman" w:cs="Times New Roman"/>
          <w:sz w:val="18"/>
        </w:rPr>
        <w:footnoteRef/>
      </w:r>
      <w:r w:rsidRPr="009E15CE">
        <w:rPr>
          <w:rFonts w:ascii="Times New Roman" w:hAnsi="Times New Roman" w:cs="Times New Roman"/>
          <w:sz w:val="18"/>
        </w:rPr>
        <w:t xml:space="preserve"> </w:t>
      </w:r>
      <w:r w:rsidR="00A6544E" w:rsidRPr="009E15CE">
        <w:rPr>
          <w:rFonts w:ascii="Times New Roman" w:hAnsi="Times New Roman" w:cs="Times New Roman"/>
          <w:sz w:val="18"/>
        </w:rPr>
        <w:t>Las tasas de interés</w:t>
      </w:r>
      <w:r w:rsidR="009E15CE" w:rsidRPr="009E15CE">
        <w:rPr>
          <w:rFonts w:ascii="Times New Roman" w:hAnsi="Times New Roman" w:cs="Times New Roman"/>
          <w:sz w:val="18"/>
        </w:rPr>
        <w:t>, tanto para dólares como para colones,</w:t>
      </w:r>
      <w:r w:rsidR="00A6544E" w:rsidRPr="009E15CE">
        <w:rPr>
          <w:rFonts w:ascii="Times New Roman" w:hAnsi="Times New Roman" w:cs="Times New Roman"/>
          <w:sz w:val="18"/>
        </w:rPr>
        <w:t xml:space="preserve"> se calcular</w:t>
      </w:r>
      <w:r w:rsidR="00F22C25" w:rsidRPr="009E15CE">
        <w:rPr>
          <w:rFonts w:ascii="Times New Roman" w:hAnsi="Times New Roman" w:cs="Times New Roman"/>
          <w:sz w:val="18"/>
        </w:rPr>
        <w:t>on de forma implícita, es decir, se tomó el pago de intereses dividido entre el saldo de deuda del período anterior</w:t>
      </w:r>
      <w:r w:rsidR="009E15CE" w:rsidRPr="009E15CE">
        <w:rPr>
          <w:rFonts w:ascii="Times New Roman" w:hAnsi="Times New Roman" w:cs="Times New Roman"/>
          <w:sz w:val="18"/>
        </w:rPr>
        <w:t>.</w:t>
      </w:r>
    </w:p>
  </w:footnote>
  <w:footnote w:id="21">
    <w:p w14:paraId="7A392129" w14:textId="69BBA725" w:rsidR="000E62CF" w:rsidRPr="00170A76" w:rsidRDefault="000E62CF" w:rsidP="009E15CE">
      <w:pPr>
        <w:pStyle w:val="FootnoteText"/>
        <w:jc w:val="both"/>
        <w:rPr>
          <w:rFonts w:ascii="Times New Roman" w:hAnsi="Times New Roman" w:cs="Times New Roman"/>
        </w:rPr>
      </w:pPr>
      <w:r w:rsidRPr="00170A76">
        <w:rPr>
          <w:rStyle w:val="FootnoteReference"/>
          <w:rFonts w:ascii="Times New Roman" w:hAnsi="Times New Roman" w:cs="Times New Roman"/>
          <w:sz w:val="18"/>
        </w:rPr>
        <w:footnoteRef/>
      </w:r>
      <w:r w:rsidRPr="00170A76">
        <w:rPr>
          <w:rFonts w:ascii="Times New Roman" w:hAnsi="Times New Roman" w:cs="Times New Roman"/>
          <w:sz w:val="18"/>
        </w:rPr>
        <w:t xml:space="preserve"> Cumplirse sin holgura quiere decir que se utilizaría todo el margen permitido por la regla fiscal para gastar. Pero es posible que el gobierno hubiese presupuestado de manera tal que el crecimiento fuese menor al permitido por la regla (cumplimiento con holgura).</w:t>
      </w:r>
    </w:p>
  </w:footnote>
  <w:footnote w:id="22">
    <w:p w14:paraId="2084D272" w14:textId="43109B81" w:rsidR="000E62CF" w:rsidRPr="004B6B4B" w:rsidRDefault="000E62CF" w:rsidP="009E15CE">
      <w:pPr>
        <w:pStyle w:val="FootnoteText"/>
        <w:jc w:val="both"/>
        <w:rPr>
          <w:rFonts w:ascii="Times New Roman" w:hAnsi="Times New Roman" w:cs="Times New Roman"/>
          <w:sz w:val="18"/>
          <w:szCs w:val="18"/>
        </w:rPr>
      </w:pPr>
      <w:r w:rsidRPr="004B6B4B">
        <w:rPr>
          <w:rStyle w:val="FootnoteReference"/>
          <w:rFonts w:ascii="Times New Roman" w:hAnsi="Times New Roman" w:cs="Times New Roman"/>
          <w:sz w:val="18"/>
          <w:szCs w:val="18"/>
        </w:rPr>
        <w:footnoteRef/>
      </w:r>
      <w:r w:rsidRPr="004B6B4B">
        <w:rPr>
          <w:rFonts w:ascii="Times New Roman" w:hAnsi="Times New Roman" w:cs="Times New Roman"/>
          <w:sz w:val="18"/>
          <w:szCs w:val="18"/>
        </w:rPr>
        <w:t xml:space="preserve"> Espinoza (2016) realizó las estimaciones de la propuesta elaborada por parte del BID y el viceministro de hacienda. </w:t>
      </w:r>
    </w:p>
  </w:footnote>
  <w:footnote w:id="23">
    <w:p w14:paraId="0A630AA1" w14:textId="5CE6079C" w:rsidR="000E62CF" w:rsidRPr="00675B82" w:rsidRDefault="000E62CF">
      <w:pPr>
        <w:pStyle w:val="FootnoteText"/>
        <w:rPr>
          <w:rFonts w:ascii="Times New Roman" w:hAnsi="Times New Roman" w:cs="Times New Roman"/>
        </w:rPr>
      </w:pPr>
      <w:r w:rsidRPr="00675B82">
        <w:rPr>
          <w:rStyle w:val="FootnoteReference"/>
          <w:rFonts w:ascii="Times New Roman" w:hAnsi="Times New Roman" w:cs="Times New Roman"/>
          <w:sz w:val="18"/>
        </w:rPr>
        <w:footnoteRef/>
      </w:r>
      <w:r w:rsidRPr="00675B82">
        <w:rPr>
          <w:rFonts w:ascii="Times New Roman" w:hAnsi="Times New Roman" w:cs="Times New Roman"/>
          <w:sz w:val="18"/>
        </w:rPr>
        <w:t xml:space="preserve"> Para una referencia sobre esta met</w:t>
      </w:r>
      <w:r>
        <w:rPr>
          <w:rFonts w:ascii="Times New Roman" w:hAnsi="Times New Roman" w:cs="Times New Roman"/>
          <w:sz w:val="18"/>
        </w:rPr>
        <w:t xml:space="preserve">odología, véase Blanchard et </w:t>
      </w:r>
      <w:r w:rsidRPr="00675B82">
        <w:rPr>
          <w:rFonts w:ascii="Times New Roman" w:hAnsi="Times New Roman" w:cs="Times New Roman"/>
          <w:i/>
          <w:sz w:val="18"/>
        </w:rPr>
        <w:t>al.</w:t>
      </w:r>
      <w:r>
        <w:rPr>
          <w:rFonts w:ascii="Times New Roman" w:hAnsi="Times New Roman" w:cs="Times New Roman"/>
          <w:i/>
          <w:sz w:val="18"/>
        </w:rPr>
        <w:t xml:space="preserve"> </w:t>
      </w:r>
      <w:r>
        <w:rPr>
          <w:rFonts w:ascii="Times New Roman" w:hAnsi="Times New Roman" w:cs="Times New Roman"/>
          <w:sz w:val="18"/>
        </w:rPr>
        <w:t>(1991).</w:t>
      </w:r>
    </w:p>
  </w:footnote>
  <w:footnote w:id="24">
    <w:p w14:paraId="53366674" w14:textId="5AD0C4C7" w:rsidR="009523E9" w:rsidRPr="00444A72" w:rsidRDefault="009523E9" w:rsidP="00444A72">
      <w:pPr>
        <w:pStyle w:val="FootnoteText"/>
        <w:jc w:val="both"/>
        <w:rPr>
          <w:rFonts w:ascii="Times New Roman" w:hAnsi="Times New Roman" w:cs="Times New Roman"/>
        </w:rPr>
      </w:pPr>
      <w:r w:rsidRPr="00444A72">
        <w:rPr>
          <w:rStyle w:val="FootnoteReference"/>
          <w:rFonts w:ascii="Times New Roman" w:hAnsi="Times New Roman" w:cs="Times New Roman"/>
          <w:sz w:val="18"/>
        </w:rPr>
        <w:footnoteRef/>
      </w:r>
      <w:r w:rsidRPr="00444A72">
        <w:rPr>
          <w:rFonts w:ascii="Times New Roman" w:hAnsi="Times New Roman" w:cs="Times New Roman"/>
          <w:sz w:val="18"/>
        </w:rPr>
        <w:t xml:space="preserve"> </w:t>
      </w:r>
      <w:r w:rsidR="00DB602A" w:rsidRPr="00444A72">
        <w:rPr>
          <w:rFonts w:ascii="Times New Roman" w:hAnsi="Times New Roman" w:cs="Times New Roman"/>
          <w:sz w:val="18"/>
        </w:rPr>
        <w:t xml:space="preserve">Para más información sobre efectividad del gasto en América Latina véase Izquierdo et </w:t>
      </w:r>
      <w:r w:rsidR="00DB602A" w:rsidRPr="00444A72">
        <w:rPr>
          <w:rFonts w:ascii="Times New Roman" w:hAnsi="Times New Roman" w:cs="Times New Roman"/>
          <w:i/>
          <w:sz w:val="18"/>
        </w:rPr>
        <w:t xml:space="preserve">al. </w:t>
      </w:r>
      <w:r w:rsidR="00AE146A" w:rsidRPr="00444A72">
        <w:rPr>
          <w:rFonts w:ascii="Times New Roman" w:hAnsi="Times New Roman" w:cs="Times New Roman"/>
          <w:sz w:val="18"/>
        </w:rPr>
        <w:t xml:space="preserve">(2018), y para referencias sobre alguna experiencia </w:t>
      </w:r>
      <w:r w:rsidR="003F7489" w:rsidRPr="00444A72">
        <w:rPr>
          <w:rFonts w:ascii="Times New Roman" w:hAnsi="Times New Roman" w:cs="Times New Roman"/>
          <w:sz w:val="18"/>
        </w:rPr>
        <w:t xml:space="preserve">en reingeniería del gasto véase la experiencia mexicana en Durán et </w:t>
      </w:r>
      <w:r w:rsidR="001E2831" w:rsidRPr="00444A72">
        <w:rPr>
          <w:rFonts w:ascii="Times New Roman" w:hAnsi="Times New Roman" w:cs="Times New Roman"/>
          <w:i/>
          <w:sz w:val="18"/>
        </w:rPr>
        <w:t xml:space="preserve">al. </w:t>
      </w:r>
      <w:r w:rsidR="001E2831" w:rsidRPr="00444A72">
        <w:rPr>
          <w:rFonts w:ascii="Times New Roman" w:hAnsi="Times New Roman" w:cs="Times New Roman"/>
          <w:sz w:val="18"/>
        </w:rPr>
        <w:t xml:space="preserve">(2018) </w:t>
      </w:r>
      <w:r w:rsidRPr="00444A72">
        <w:rPr>
          <w:rFonts w:ascii="Times New Roman" w:hAnsi="Times New Roman" w:cs="Times New Roman"/>
          <w:sz w:val="18"/>
        </w:rPr>
        <w:t xml:space="preserve">DIA y reingeniería del gasto.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33ABC"/>
    <w:multiLevelType w:val="hybridMultilevel"/>
    <w:tmpl w:val="E98C1CB0"/>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 w15:restartNumberingAfterBreak="0">
    <w:nsid w:val="37FE494F"/>
    <w:multiLevelType w:val="hybridMultilevel"/>
    <w:tmpl w:val="2A566BEA"/>
    <w:lvl w:ilvl="0" w:tplc="63FAFAFC">
      <w:start w:val="1"/>
      <w:numFmt w:val="decimal"/>
      <w:lvlText w:val="%1."/>
      <w:lvlJc w:val="left"/>
      <w:pPr>
        <w:ind w:left="360" w:hanging="360"/>
      </w:pPr>
      <w:rPr>
        <w:rFonts w:hint="default"/>
        <w:b/>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4F675E1C"/>
    <w:multiLevelType w:val="hybridMultilevel"/>
    <w:tmpl w:val="6B40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6074F0"/>
    <w:multiLevelType w:val="hybridMultilevel"/>
    <w:tmpl w:val="C6C2911E"/>
    <w:lvl w:ilvl="0" w:tplc="140A000F">
      <w:start w:val="1"/>
      <w:numFmt w:val="decimal"/>
      <w:lvlText w:val="%1."/>
      <w:lvlJc w:val="left"/>
      <w:pPr>
        <w:ind w:left="1080" w:hanging="360"/>
      </w:p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06D"/>
    <w:rsid w:val="00000CE0"/>
    <w:rsid w:val="00000D91"/>
    <w:rsid w:val="00011C66"/>
    <w:rsid w:val="0001321D"/>
    <w:rsid w:val="000145E3"/>
    <w:rsid w:val="00015AAF"/>
    <w:rsid w:val="000174F3"/>
    <w:rsid w:val="00017B22"/>
    <w:rsid w:val="00024287"/>
    <w:rsid w:val="00026A80"/>
    <w:rsid w:val="00027B7D"/>
    <w:rsid w:val="000300CB"/>
    <w:rsid w:val="000327CA"/>
    <w:rsid w:val="000327ED"/>
    <w:rsid w:val="00033607"/>
    <w:rsid w:val="000355EA"/>
    <w:rsid w:val="0003635D"/>
    <w:rsid w:val="00041F2B"/>
    <w:rsid w:val="00043C8C"/>
    <w:rsid w:val="00052301"/>
    <w:rsid w:val="00054FB6"/>
    <w:rsid w:val="00055C58"/>
    <w:rsid w:val="00066B62"/>
    <w:rsid w:val="00071437"/>
    <w:rsid w:val="00084D2F"/>
    <w:rsid w:val="00086109"/>
    <w:rsid w:val="0009038C"/>
    <w:rsid w:val="000976F0"/>
    <w:rsid w:val="000A15F7"/>
    <w:rsid w:val="000A2036"/>
    <w:rsid w:val="000A3D3C"/>
    <w:rsid w:val="000B651D"/>
    <w:rsid w:val="000C3C54"/>
    <w:rsid w:val="000C3EF3"/>
    <w:rsid w:val="000D0722"/>
    <w:rsid w:val="000D522D"/>
    <w:rsid w:val="000D5E74"/>
    <w:rsid w:val="000E130D"/>
    <w:rsid w:val="000E35ED"/>
    <w:rsid w:val="000E4B93"/>
    <w:rsid w:val="000E62CF"/>
    <w:rsid w:val="000E7A2F"/>
    <w:rsid w:val="000F4C0C"/>
    <w:rsid w:val="000F5184"/>
    <w:rsid w:val="000F5507"/>
    <w:rsid w:val="000F624E"/>
    <w:rsid w:val="000F76E8"/>
    <w:rsid w:val="00100368"/>
    <w:rsid w:val="001012BB"/>
    <w:rsid w:val="00105C24"/>
    <w:rsid w:val="00105EC9"/>
    <w:rsid w:val="00107A47"/>
    <w:rsid w:val="00111587"/>
    <w:rsid w:val="0011324C"/>
    <w:rsid w:val="00113F7F"/>
    <w:rsid w:val="00120EC1"/>
    <w:rsid w:val="0012762B"/>
    <w:rsid w:val="00133A33"/>
    <w:rsid w:val="00133AF8"/>
    <w:rsid w:val="001365D2"/>
    <w:rsid w:val="00140819"/>
    <w:rsid w:val="00140F5E"/>
    <w:rsid w:val="0014228A"/>
    <w:rsid w:val="001425C3"/>
    <w:rsid w:val="00150020"/>
    <w:rsid w:val="001512E0"/>
    <w:rsid w:val="00153F43"/>
    <w:rsid w:val="00155441"/>
    <w:rsid w:val="00155B05"/>
    <w:rsid w:val="0015653E"/>
    <w:rsid w:val="0016518D"/>
    <w:rsid w:val="00165CE9"/>
    <w:rsid w:val="00170A76"/>
    <w:rsid w:val="00170AFC"/>
    <w:rsid w:val="00172327"/>
    <w:rsid w:val="00172995"/>
    <w:rsid w:val="00175BA5"/>
    <w:rsid w:val="00181235"/>
    <w:rsid w:val="00184C54"/>
    <w:rsid w:val="001944C1"/>
    <w:rsid w:val="001979C9"/>
    <w:rsid w:val="001A0A92"/>
    <w:rsid w:val="001A0D85"/>
    <w:rsid w:val="001A281A"/>
    <w:rsid w:val="001A2FF3"/>
    <w:rsid w:val="001B0A85"/>
    <w:rsid w:val="001B0D6E"/>
    <w:rsid w:val="001B23DD"/>
    <w:rsid w:val="001B3399"/>
    <w:rsid w:val="001C3949"/>
    <w:rsid w:val="001D057D"/>
    <w:rsid w:val="001D1004"/>
    <w:rsid w:val="001D2338"/>
    <w:rsid w:val="001D2FA3"/>
    <w:rsid w:val="001D36D0"/>
    <w:rsid w:val="001D4F63"/>
    <w:rsid w:val="001D58C2"/>
    <w:rsid w:val="001D7299"/>
    <w:rsid w:val="001E1431"/>
    <w:rsid w:val="001E1AB7"/>
    <w:rsid w:val="001E26AB"/>
    <w:rsid w:val="001E2831"/>
    <w:rsid w:val="001E66EE"/>
    <w:rsid w:val="001E7CA9"/>
    <w:rsid w:val="001F0D1C"/>
    <w:rsid w:val="001F2CF8"/>
    <w:rsid w:val="001F3093"/>
    <w:rsid w:val="001F61FD"/>
    <w:rsid w:val="002003C9"/>
    <w:rsid w:val="00203426"/>
    <w:rsid w:val="00203B7B"/>
    <w:rsid w:val="00205239"/>
    <w:rsid w:val="0020593B"/>
    <w:rsid w:val="00206471"/>
    <w:rsid w:val="0020680B"/>
    <w:rsid w:val="00206878"/>
    <w:rsid w:val="002071CE"/>
    <w:rsid w:val="002119C8"/>
    <w:rsid w:val="00216A8C"/>
    <w:rsid w:val="0021750E"/>
    <w:rsid w:val="002238DF"/>
    <w:rsid w:val="002246E2"/>
    <w:rsid w:val="00234F6C"/>
    <w:rsid w:val="00235A50"/>
    <w:rsid w:val="002416AD"/>
    <w:rsid w:val="00242A18"/>
    <w:rsid w:val="00252940"/>
    <w:rsid w:val="00254F04"/>
    <w:rsid w:val="00257097"/>
    <w:rsid w:val="00257511"/>
    <w:rsid w:val="00257B43"/>
    <w:rsid w:val="00260D7C"/>
    <w:rsid w:val="00264474"/>
    <w:rsid w:val="00265C69"/>
    <w:rsid w:val="002666C8"/>
    <w:rsid w:val="0026683A"/>
    <w:rsid w:val="002769C0"/>
    <w:rsid w:val="00282429"/>
    <w:rsid w:val="00282A52"/>
    <w:rsid w:val="00285821"/>
    <w:rsid w:val="00285A65"/>
    <w:rsid w:val="00285F45"/>
    <w:rsid w:val="0029092F"/>
    <w:rsid w:val="00291F74"/>
    <w:rsid w:val="00294520"/>
    <w:rsid w:val="00296E9B"/>
    <w:rsid w:val="002A0B46"/>
    <w:rsid w:val="002A3060"/>
    <w:rsid w:val="002A3DF6"/>
    <w:rsid w:val="002A4F7B"/>
    <w:rsid w:val="002A7F04"/>
    <w:rsid w:val="002B268C"/>
    <w:rsid w:val="002B33E0"/>
    <w:rsid w:val="002B4BCD"/>
    <w:rsid w:val="002B57C5"/>
    <w:rsid w:val="002B69B2"/>
    <w:rsid w:val="002C3770"/>
    <w:rsid w:val="002C4054"/>
    <w:rsid w:val="002C51B4"/>
    <w:rsid w:val="002C726C"/>
    <w:rsid w:val="002C7BCE"/>
    <w:rsid w:val="002D5052"/>
    <w:rsid w:val="002D5B83"/>
    <w:rsid w:val="002D7BA5"/>
    <w:rsid w:val="002E088D"/>
    <w:rsid w:val="002E24B1"/>
    <w:rsid w:val="002E33A2"/>
    <w:rsid w:val="002E6580"/>
    <w:rsid w:val="002E7982"/>
    <w:rsid w:val="002F020A"/>
    <w:rsid w:val="002F2A5D"/>
    <w:rsid w:val="002F4C89"/>
    <w:rsid w:val="002F5D2B"/>
    <w:rsid w:val="00301A17"/>
    <w:rsid w:val="00301F8E"/>
    <w:rsid w:val="00304B2A"/>
    <w:rsid w:val="00305559"/>
    <w:rsid w:val="00305D48"/>
    <w:rsid w:val="0030609F"/>
    <w:rsid w:val="00306ECC"/>
    <w:rsid w:val="00314699"/>
    <w:rsid w:val="00322146"/>
    <w:rsid w:val="00324D68"/>
    <w:rsid w:val="003257F2"/>
    <w:rsid w:val="0033135D"/>
    <w:rsid w:val="00331D20"/>
    <w:rsid w:val="00333419"/>
    <w:rsid w:val="003344CE"/>
    <w:rsid w:val="00335096"/>
    <w:rsid w:val="00335E99"/>
    <w:rsid w:val="003416BE"/>
    <w:rsid w:val="00341D3C"/>
    <w:rsid w:val="003421AB"/>
    <w:rsid w:val="003458A6"/>
    <w:rsid w:val="00345C7E"/>
    <w:rsid w:val="00346347"/>
    <w:rsid w:val="00350D88"/>
    <w:rsid w:val="00352EA6"/>
    <w:rsid w:val="00354794"/>
    <w:rsid w:val="003605B0"/>
    <w:rsid w:val="00360B74"/>
    <w:rsid w:val="00361A56"/>
    <w:rsid w:val="00361D2D"/>
    <w:rsid w:val="00366168"/>
    <w:rsid w:val="00367F2B"/>
    <w:rsid w:val="00372ADC"/>
    <w:rsid w:val="00372E18"/>
    <w:rsid w:val="00376990"/>
    <w:rsid w:val="003773C6"/>
    <w:rsid w:val="003857CC"/>
    <w:rsid w:val="00385CBB"/>
    <w:rsid w:val="00386327"/>
    <w:rsid w:val="00387132"/>
    <w:rsid w:val="0038770D"/>
    <w:rsid w:val="00387D44"/>
    <w:rsid w:val="00390186"/>
    <w:rsid w:val="00393D6B"/>
    <w:rsid w:val="003963CA"/>
    <w:rsid w:val="003A0B5F"/>
    <w:rsid w:val="003A23B2"/>
    <w:rsid w:val="003A3E6D"/>
    <w:rsid w:val="003A4FDB"/>
    <w:rsid w:val="003A6A76"/>
    <w:rsid w:val="003B0D77"/>
    <w:rsid w:val="003B332C"/>
    <w:rsid w:val="003B6032"/>
    <w:rsid w:val="003B63E0"/>
    <w:rsid w:val="003C006D"/>
    <w:rsid w:val="003C0321"/>
    <w:rsid w:val="003C62EC"/>
    <w:rsid w:val="003C7BD8"/>
    <w:rsid w:val="003D0467"/>
    <w:rsid w:val="003D1E78"/>
    <w:rsid w:val="003D20F8"/>
    <w:rsid w:val="003D35C3"/>
    <w:rsid w:val="003D37A2"/>
    <w:rsid w:val="003D6096"/>
    <w:rsid w:val="003E1B8C"/>
    <w:rsid w:val="003E290E"/>
    <w:rsid w:val="003E301C"/>
    <w:rsid w:val="003E39BF"/>
    <w:rsid w:val="003E3D4E"/>
    <w:rsid w:val="003E649C"/>
    <w:rsid w:val="003F02A1"/>
    <w:rsid w:val="003F4160"/>
    <w:rsid w:val="003F5BB5"/>
    <w:rsid w:val="003F7489"/>
    <w:rsid w:val="00400545"/>
    <w:rsid w:val="00401F13"/>
    <w:rsid w:val="00403687"/>
    <w:rsid w:val="00405489"/>
    <w:rsid w:val="004057C0"/>
    <w:rsid w:val="00407A86"/>
    <w:rsid w:val="00411057"/>
    <w:rsid w:val="00416CA8"/>
    <w:rsid w:val="0042050A"/>
    <w:rsid w:val="00421113"/>
    <w:rsid w:val="00423487"/>
    <w:rsid w:val="00423CFA"/>
    <w:rsid w:val="00424CF7"/>
    <w:rsid w:val="004255D5"/>
    <w:rsid w:val="00425BFF"/>
    <w:rsid w:val="00430775"/>
    <w:rsid w:val="00430FED"/>
    <w:rsid w:val="00433036"/>
    <w:rsid w:val="004348BD"/>
    <w:rsid w:val="004417AB"/>
    <w:rsid w:val="00444A72"/>
    <w:rsid w:val="004508A9"/>
    <w:rsid w:val="00451720"/>
    <w:rsid w:val="00456821"/>
    <w:rsid w:val="00457389"/>
    <w:rsid w:val="004635C2"/>
    <w:rsid w:val="00464823"/>
    <w:rsid w:val="00471690"/>
    <w:rsid w:val="00473518"/>
    <w:rsid w:val="00473F7F"/>
    <w:rsid w:val="00475AF8"/>
    <w:rsid w:val="00476281"/>
    <w:rsid w:val="00485665"/>
    <w:rsid w:val="00486B63"/>
    <w:rsid w:val="00486FC6"/>
    <w:rsid w:val="00487589"/>
    <w:rsid w:val="0049014B"/>
    <w:rsid w:val="0049244E"/>
    <w:rsid w:val="0049320A"/>
    <w:rsid w:val="0049606A"/>
    <w:rsid w:val="00496E0D"/>
    <w:rsid w:val="00497EF3"/>
    <w:rsid w:val="004A019A"/>
    <w:rsid w:val="004A3A8D"/>
    <w:rsid w:val="004A5440"/>
    <w:rsid w:val="004A753E"/>
    <w:rsid w:val="004B110B"/>
    <w:rsid w:val="004B2131"/>
    <w:rsid w:val="004B5642"/>
    <w:rsid w:val="004B6B4B"/>
    <w:rsid w:val="004C1F7A"/>
    <w:rsid w:val="004C2A1B"/>
    <w:rsid w:val="004C3F04"/>
    <w:rsid w:val="004C5149"/>
    <w:rsid w:val="004C51A3"/>
    <w:rsid w:val="004C63C8"/>
    <w:rsid w:val="004D04CC"/>
    <w:rsid w:val="004D1CE5"/>
    <w:rsid w:val="004D21F8"/>
    <w:rsid w:val="004D39A2"/>
    <w:rsid w:val="004D582A"/>
    <w:rsid w:val="004D624F"/>
    <w:rsid w:val="004E121C"/>
    <w:rsid w:val="004F1FFE"/>
    <w:rsid w:val="004F350E"/>
    <w:rsid w:val="004F60A8"/>
    <w:rsid w:val="004F7A8D"/>
    <w:rsid w:val="00501B79"/>
    <w:rsid w:val="005037BF"/>
    <w:rsid w:val="00503D72"/>
    <w:rsid w:val="00504CC4"/>
    <w:rsid w:val="00505614"/>
    <w:rsid w:val="005076D2"/>
    <w:rsid w:val="005105C8"/>
    <w:rsid w:val="00512D0C"/>
    <w:rsid w:val="00513261"/>
    <w:rsid w:val="005148AB"/>
    <w:rsid w:val="005159FE"/>
    <w:rsid w:val="00515FF5"/>
    <w:rsid w:val="00521E25"/>
    <w:rsid w:val="00522CE1"/>
    <w:rsid w:val="00523B54"/>
    <w:rsid w:val="00524BAA"/>
    <w:rsid w:val="00527C85"/>
    <w:rsid w:val="00532E77"/>
    <w:rsid w:val="00533C1F"/>
    <w:rsid w:val="00535909"/>
    <w:rsid w:val="00536052"/>
    <w:rsid w:val="00543EE9"/>
    <w:rsid w:val="00544087"/>
    <w:rsid w:val="00544D46"/>
    <w:rsid w:val="00546278"/>
    <w:rsid w:val="005465BB"/>
    <w:rsid w:val="00546939"/>
    <w:rsid w:val="00551BF1"/>
    <w:rsid w:val="005521B2"/>
    <w:rsid w:val="00552DC3"/>
    <w:rsid w:val="00556129"/>
    <w:rsid w:val="00557B16"/>
    <w:rsid w:val="00562FC9"/>
    <w:rsid w:val="005655D6"/>
    <w:rsid w:val="00565925"/>
    <w:rsid w:val="00567E46"/>
    <w:rsid w:val="00570F5E"/>
    <w:rsid w:val="00572103"/>
    <w:rsid w:val="005763BE"/>
    <w:rsid w:val="00577553"/>
    <w:rsid w:val="0058293F"/>
    <w:rsid w:val="00582BE3"/>
    <w:rsid w:val="00582BE5"/>
    <w:rsid w:val="00583320"/>
    <w:rsid w:val="00584122"/>
    <w:rsid w:val="0058565B"/>
    <w:rsid w:val="00585B7B"/>
    <w:rsid w:val="00585BCD"/>
    <w:rsid w:val="005861FC"/>
    <w:rsid w:val="00586C32"/>
    <w:rsid w:val="005902EB"/>
    <w:rsid w:val="00590B2D"/>
    <w:rsid w:val="00590D5F"/>
    <w:rsid w:val="0059199A"/>
    <w:rsid w:val="00596300"/>
    <w:rsid w:val="005977A8"/>
    <w:rsid w:val="005979D5"/>
    <w:rsid w:val="005A196B"/>
    <w:rsid w:val="005A5336"/>
    <w:rsid w:val="005A63AA"/>
    <w:rsid w:val="005B08CD"/>
    <w:rsid w:val="005B2D3C"/>
    <w:rsid w:val="005B4EBE"/>
    <w:rsid w:val="005B729F"/>
    <w:rsid w:val="005B7549"/>
    <w:rsid w:val="005B7DBC"/>
    <w:rsid w:val="005C2E59"/>
    <w:rsid w:val="005C4A06"/>
    <w:rsid w:val="005C5C69"/>
    <w:rsid w:val="005C5E76"/>
    <w:rsid w:val="005D2BDB"/>
    <w:rsid w:val="005D42FE"/>
    <w:rsid w:val="005D5FAC"/>
    <w:rsid w:val="005D79B4"/>
    <w:rsid w:val="005D7E3E"/>
    <w:rsid w:val="005E07AF"/>
    <w:rsid w:val="005E1344"/>
    <w:rsid w:val="005E1768"/>
    <w:rsid w:val="005E466C"/>
    <w:rsid w:val="005E4F9C"/>
    <w:rsid w:val="005F17B3"/>
    <w:rsid w:val="005F2D8F"/>
    <w:rsid w:val="005F4471"/>
    <w:rsid w:val="005F70E7"/>
    <w:rsid w:val="006061E2"/>
    <w:rsid w:val="006114CA"/>
    <w:rsid w:val="0061497B"/>
    <w:rsid w:val="00615756"/>
    <w:rsid w:val="00615D0B"/>
    <w:rsid w:val="006218AE"/>
    <w:rsid w:val="0062310D"/>
    <w:rsid w:val="00623CED"/>
    <w:rsid w:val="00624D34"/>
    <w:rsid w:val="006263AF"/>
    <w:rsid w:val="0062676E"/>
    <w:rsid w:val="00627D19"/>
    <w:rsid w:val="00630349"/>
    <w:rsid w:val="00632FAE"/>
    <w:rsid w:val="00634302"/>
    <w:rsid w:val="006349D3"/>
    <w:rsid w:val="0063762B"/>
    <w:rsid w:val="00640AAA"/>
    <w:rsid w:val="00641EDE"/>
    <w:rsid w:val="006449AC"/>
    <w:rsid w:val="00646437"/>
    <w:rsid w:val="0064723B"/>
    <w:rsid w:val="00647F8C"/>
    <w:rsid w:val="006557A8"/>
    <w:rsid w:val="00655BE5"/>
    <w:rsid w:val="00655CA2"/>
    <w:rsid w:val="006659AA"/>
    <w:rsid w:val="006702F0"/>
    <w:rsid w:val="00670632"/>
    <w:rsid w:val="00674925"/>
    <w:rsid w:val="00675B82"/>
    <w:rsid w:val="00681439"/>
    <w:rsid w:val="0068191E"/>
    <w:rsid w:val="00682866"/>
    <w:rsid w:val="006863D5"/>
    <w:rsid w:val="00686DC7"/>
    <w:rsid w:val="006870B4"/>
    <w:rsid w:val="00687FD8"/>
    <w:rsid w:val="00694339"/>
    <w:rsid w:val="00694508"/>
    <w:rsid w:val="00694833"/>
    <w:rsid w:val="006A19AB"/>
    <w:rsid w:val="006A678C"/>
    <w:rsid w:val="006A6D08"/>
    <w:rsid w:val="006A7586"/>
    <w:rsid w:val="006B0B4C"/>
    <w:rsid w:val="006B3DCE"/>
    <w:rsid w:val="006B54AF"/>
    <w:rsid w:val="006B5D10"/>
    <w:rsid w:val="006C175E"/>
    <w:rsid w:val="006C2FAE"/>
    <w:rsid w:val="006C3D76"/>
    <w:rsid w:val="006C4D05"/>
    <w:rsid w:val="006C6A2C"/>
    <w:rsid w:val="006C6FF0"/>
    <w:rsid w:val="006D0A06"/>
    <w:rsid w:val="006D0F50"/>
    <w:rsid w:val="006D11B5"/>
    <w:rsid w:val="006D2E86"/>
    <w:rsid w:val="006F2C9E"/>
    <w:rsid w:val="006F31B4"/>
    <w:rsid w:val="006F4D78"/>
    <w:rsid w:val="007010F8"/>
    <w:rsid w:val="00703EAB"/>
    <w:rsid w:val="007140D7"/>
    <w:rsid w:val="0071440A"/>
    <w:rsid w:val="00714632"/>
    <w:rsid w:val="007147F9"/>
    <w:rsid w:val="00714D43"/>
    <w:rsid w:val="0072027D"/>
    <w:rsid w:val="00724C04"/>
    <w:rsid w:val="00725D4C"/>
    <w:rsid w:val="00727304"/>
    <w:rsid w:val="00730ACC"/>
    <w:rsid w:val="00731991"/>
    <w:rsid w:val="00732928"/>
    <w:rsid w:val="00733269"/>
    <w:rsid w:val="007345BF"/>
    <w:rsid w:val="00734EF4"/>
    <w:rsid w:val="00737C3C"/>
    <w:rsid w:val="00741A21"/>
    <w:rsid w:val="00742BC5"/>
    <w:rsid w:val="00747FF3"/>
    <w:rsid w:val="0075220B"/>
    <w:rsid w:val="00754796"/>
    <w:rsid w:val="00755FBA"/>
    <w:rsid w:val="00760251"/>
    <w:rsid w:val="0076211B"/>
    <w:rsid w:val="007652FC"/>
    <w:rsid w:val="0076627E"/>
    <w:rsid w:val="00775D9E"/>
    <w:rsid w:val="00776B86"/>
    <w:rsid w:val="007817DE"/>
    <w:rsid w:val="007822A7"/>
    <w:rsid w:val="00783612"/>
    <w:rsid w:val="0079287B"/>
    <w:rsid w:val="007930F7"/>
    <w:rsid w:val="007958B1"/>
    <w:rsid w:val="00796B2E"/>
    <w:rsid w:val="007970E4"/>
    <w:rsid w:val="00797CB0"/>
    <w:rsid w:val="007A215B"/>
    <w:rsid w:val="007A2A25"/>
    <w:rsid w:val="007A7D81"/>
    <w:rsid w:val="007B0755"/>
    <w:rsid w:val="007B07E8"/>
    <w:rsid w:val="007B2BE5"/>
    <w:rsid w:val="007B4EEF"/>
    <w:rsid w:val="007B53C2"/>
    <w:rsid w:val="007B5BE5"/>
    <w:rsid w:val="007B5DC8"/>
    <w:rsid w:val="007B5F30"/>
    <w:rsid w:val="007B7798"/>
    <w:rsid w:val="007C2029"/>
    <w:rsid w:val="007C32F5"/>
    <w:rsid w:val="007D183D"/>
    <w:rsid w:val="007D39C3"/>
    <w:rsid w:val="007D466E"/>
    <w:rsid w:val="007D5A3C"/>
    <w:rsid w:val="007D5E30"/>
    <w:rsid w:val="007D719D"/>
    <w:rsid w:val="007E4E65"/>
    <w:rsid w:val="007E575C"/>
    <w:rsid w:val="007E5EDF"/>
    <w:rsid w:val="007F01F8"/>
    <w:rsid w:val="007F15B8"/>
    <w:rsid w:val="007F4601"/>
    <w:rsid w:val="007F58C7"/>
    <w:rsid w:val="007F5CB3"/>
    <w:rsid w:val="007F64E2"/>
    <w:rsid w:val="007F77A8"/>
    <w:rsid w:val="008016F4"/>
    <w:rsid w:val="00802478"/>
    <w:rsid w:val="00804339"/>
    <w:rsid w:val="008049C2"/>
    <w:rsid w:val="00806BF9"/>
    <w:rsid w:val="00807607"/>
    <w:rsid w:val="0081091A"/>
    <w:rsid w:val="00810F1E"/>
    <w:rsid w:val="008228EE"/>
    <w:rsid w:val="00830479"/>
    <w:rsid w:val="00832158"/>
    <w:rsid w:val="00835D0D"/>
    <w:rsid w:val="0083778F"/>
    <w:rsid w:val="00840ACC"/>
    <w:rsid w:val="00843B93"/>
    <w:rsid w:val="00847495"/>
    <w:rsid w:val="00855A59"/>
    <w:rsid w:val="00860551"/>
    <w:rsid w:val="00861A79"/>
    <w:rsid w:val="00864171"/>
    <w:rsid w:val="008644AD"/>
    <w:rsid w:val="008659B6"/>
    <w:rsid w:val="00871704"/>
    <w:rsid w:val="00873F19"/>
    <w:rsid w:val="008763E1"/>
    <w:rsid w:val="0089016A"/>
    <w:rsid w:val="0089058F"/>
    <w:rsid w:val="00890773"/>
    <w:rsid w:val="00890926"/>
    <w:rsid w:val="008914C9"/>
    <w:rsid w:val="00892EC7"/>
    <w:rsid w:val="00894277"/>
    <w:rsid w:val="00894C9C"/>
    <w:rsid w:val="00896120"/>
    <w:rsid w:val="008975C2"/>
    <w:rsid w:val="008A44F2"/>
    <w:rsid w:val="008A796E"/>
    <w:rsid w:val="008B2124"/>
    <w:rsid w:val="008B40A9"/>
    <w:rsid w:val="008B5F10"/>
    <w:rsid w:val="008C2242"/>
    <w:rsid w:val="008C22E8"/>
    <w:rsid w:val="008C2B0B"/>
    <w:rsid w:val="008C4013"/>
    <w:rsid w:val="008C5800"/>
    <w:rsid w:val="008C618A"/>
    <w:rsid w:val="008C6F3D"/>
    <w:rsid w:val="008D6C80"/>
    <w:rsid w:val="008E1829"/>
    <w:rsid w:val="008E34D1"/>
    <w:rsid w:val="008E404E"/>
    <w:rsid w:val="008F0AF1"/>
    <w:rsid w:val="008F32CD"/>
    <w:rsid w:val="008F4F62"/>
    <w:rsid w:val="008F5014"/>
    <w:rsid w:val="0090291D"/>
    <w:rsid w:val="009035A4"/>
    <w:rsid w:val="0090442F"/>
    <w:rsid w:val="00906B66"/>
    <w:rsid w:val="009108B3"/>
    <w:rsid w:val="00911E26"/>
    <w:rsid w:val="00912834"/>
    <w:rsid w:val="00912C0E"/>
    <w:rsid w:val="00914B0D"/>
    <w:rsid w:val="00915B64"/>
    <w:rsid w:val="00915F8D"/>
    <w:rsid w:val="00917CA4"/>
    <w:rsid w:val="00920C54"/>
    <w:rsid w:val="00920E70"/>
    <w:rsid w:val="0092268B"/>
    <w:rsid w:val="009249D4"/>
    <w:rsid w:val="00924D1B"/>
    <w:rsid w:val="00927A5E"/>
    <w:rsid w:val="009309F7"/>
    <w:rsid w:val="00930AD5"/>
    <w:rsid w:val="00936D06"/>
    <w:rsid w:val="00943F09"/>
    <w:rsid w:val="00944479"/>
    <w:rsid w:val="00944D6F"/>
    <w:rsid w:val="00946ED3"/>
    <w:rsid w:val="009472FF"/>
    <w:rsid w:val="009504CE"/>
    <w:rsid w:val="00950F89"/>
    <w:rsid w:val="009523E9"/>
    <w:rsid w:val="00954BC2"/>
    <w:rsid w:val="009557A5"/>
    <w:rsid w:val="009570C4"/>
    <w:rsid w:val="00963EA9"/>
    <w:rsid w:val="00964628"/>
    <w:rsid w:val="00966D40"/>
    <w:rsid w:val="00967B3D"/>
    <w:rsid w:val="00970040"/>
    <w:rsid w:val="0097260C"/>
    <w:rsid w:val="009745EA"/>
    <w:rsid w:val="00977C42"/>
    <w:rsid w:val="00982988"/>
    <w:rsid w:val="00986214"/>
    <w:rsid w:val="00990837"/>
    <w:rsid w:val="00990BB0"/>
    <w:rsid w:val="009950B5"/>
    <w:rsid w:val="0099553C"/>
    <w:rsid w:val="009965DB"/>
    <w:rsid w:val="00996AE9"/>
    <w:rsid w:val="00996AF6"/>
    <w:rsid w:val="009A257A"/>
    <w:rsid w:val="009A28C6"/>
    <w:rsid w:val="009A28D8"/>
    <w:rsid w:val="009A3DE4"/>
    <w:rsid w:val="009A6320"/>
    <w:rsid w:val="009B1E39"/>
    <w:rsid w:val="009B298B"/>
    <w:rsid w:val="009B3C18"/>
    <w:rsid w:val="009B5280"/>
    <w:rsid w:val="009C0646"/>
    <w:rsid w:val="009C10B7"/>
    <w:rsid w:val="009C1845"/>
    <w:rsid w:val="009C42A9"/>
    <w:rsid w:val="009C685B"/>
    <w:rsid w:val="009D1356"/>
    <w:rsid w:val="009D2F00"/>
    <w:rsid w:val="009D437D"/>
    <w:rsid w:val="009D5A41"/>
    <w:rsid w:val="009E15CE"/>
    <w:rsid w:val="009E1936"/>
    <w:rsid w:val="009F0DFA"/>
    <w:rsid w:val="009F6CB2"/>
    <w:rsid w:val="009F77EA"/>
    <w:rsid w:val="009F7BC9"/>
    <w:rsid w:val="00A016AB"/>
    <w:rsid w:val="00A03318"/>
    <w:rsid w:val="00A1170C"/>
    <w:rsid w:val="00A217B3"/>
    <w:rsid w:val="00A26F4C"/>
    <w:rsid w:val="00A2718E"/>
    <w:rsid w:val="00A318E1"/>
    <w:rsid w:val="00A43476"/>
    <w:rsid w:val="00A44E6F"/>
    <w:rsid w:val="00A4734D"/>
    <w:rsid w:val="00A527FF"/>
    <w:rsid w:val="00A568BB"/>
    <w:rsid w:val="00A5764E"/>
    <w:rsid w:val="00A579AA"/>
    <w:rsid w:val="00A60406"/>
    <w:rsid w:val="00A60775"/>
    <w:rsid w:val="00A61113"/>
    <w:rsid w:val="00A6420B"/>
    <w:rsid w:val="00A6480A"/>
    <w:rsid w:val="00A6544E"/>
    <w:rsid w:val="00A662DA"/>
    <w:rsid w:val="00A66967"/>
    <w:rsid w:val="00A66F25"/>
    <w:rsid w:val="00A6761C"/>
    <w:rsid w:val="00A70528"/>
    <w:rsid w:val="00A77FC8"/>
    <w:rsid w:val="00A86DE9"/>
    <w:rsid w:val="00A91144"/>
    <w:rsid w:val="00A911E1"/>
    <w:rsid w:val="00A918C6"/>
    <w:rsid w:val="00A91A5D"/>
    <w:rsid w:val="00A92B63"/>
    <w:rsid w:val="00A95C47"/>
    <w:rsid w:val="00A97F33"/>
    <w:rsid w:val="00AA4C11"/>
    <w:rsid w:val="00AA58A2"/>
    <w:rsid w:val="00AB1018"/>
    <w:rsid w:val="00AB1E8F"/>
    <w:rsid w:val="00AB3127"/>
    <w:rsid w:val="00AB395B"/>
    <w:rsid w:val="00AC3334"/>
    <w:rsid w:val="00AC3A87"/>
    <w:rsid w:val="00AC3DE4"/>
    <w:rsid w:val="00AC4178"/>
    <w:rsid w:val="00AC7A62"/>
    <w:rsid w:val="00AD144B"/>
    <w:rsid w:val="00AD334B"/>
    <w:rsid w:val="00AD4816"/>
    <w:rsid w:val="00AD58EB"/>
    <w:rsid w:val="00AE146A"/>
    <w:rsid w:val="00AE2628"/>
    <w:rsid w:val="00AE36FF"/>
    <w:rsid w:val="00AE3835"/>
    <w:rsid w:val="00AE61FA"/>
    <w:rsid w:val="00AF075C"/>
    <w:rsid w:val="00AF1AAD"/>
    <w:rsid w:val="00AF60E4"/>
    <w:rsid w:val="00B005C1"/>
    <w:rsid w:val="00B025FD"/>
    <w:rsid w:val="00B02765"/>
    <w:rsid w:val="00B031A0"/>
    <w:rsid w:val="00B03C9C"/>
    <w:rsid w:val="00B06832"/>
    <w:rsid w:val="00B11848"/>
    <w:rsid w:val="00B13719"/>
    <w:rsid w:val="00B15BEA"/>
    <w:rsid w:val="00B23651"/>
    <w:rsid w:val="00B24200"/>
    <w:rsid w:val="00B30C96"/>
    <w:rsid w:val="00B3212A"/>
    <w:rsid w:val="00B41F14"/>
    <w:rsid w:val="00B4381A"/>
    <w:rsid w:val="00B46173"/>
    <w:rsid w:val="00B46999"/>
    <w:rsid w:val="00B46AE7"/>
    <w:rsid w:val="00B4767B"/>
    <w:rsid w:val="00B47CEE"/>
    <w:rsid w:val="00B503AE"/>
    <w:rsid w:val="00B510E4"/>
    <w:rsid w:val="00B5430A"/>
    <w:rsid w:val="00B549D7"/>
    <w:rsid w:val="00B54E80"/>
    <w:rsid w:val="00B55665"/>
    <w:rsid w:val="00B57653"/>
    <w:rsid w:val="00B61C7A"/>
    <w:rsid w:val="00B62F2C"/>
    <w:rsid w:val="00B65B7D"/>
    <w:rsid w:val="00B667C4"/>
    <w:rsid w:val="00B67D4B"/>
    <w:rsid w:val="00B72342"/>
    <w:rsid w:val="00B72578"/>
    <w:rsid w:val="00B734D2"/>
    <w:rsid w:val="00B86FDF"/>
    <w:rsid w:val="00B935C5"/>
    <w:rsid w:val="00B9691C"/>
    <w:rsid w:val="00B96D9F"/>
    <w:rsid w:val="00BA08D7"/>
    <w:rsid w:val="00BA1291"/>
    <w:rsid w:val="00BA1AE8"/>
    <w:rsid w:val="00BB46D6"/>
    <w:rsid w:val="00BB4BE8"/>
    <w:rsid w:val="00BB4CBC"/>
    <w:rsid w:val="00BB6D89"/>
    <w:rsid w:val="00BB6EA2"/>
    <w:rsid w:val="00BB795E"/>
    <w:rsid w:val="00BC0B92"/>
    <w:rsid w:val="00BC4F23"/>
    <w:rsid w:val="00BC574A"/>
    <w:rsid w:val="00BC58DE"/>
    <w:rsid w:val="00BD0C14"/>
    <w:rsid w:val="00BD1492"/>
    <w:rsid w:val="00BD3C6A"/>
    <w:rsid w:val="00BD3CC6"/>
    <w:rsid w:val="00BD663A"/>
    <w:rsid w:val="00BD6BD1"/>
    <w:rsid w:val="00BE0FAC"/>
    <w:rsid w:val="00BE1272"/>
    <w:rsid w:val="00BE6A79"/>
    <w:rsid w:val="00BF061A"/>
    <w:rsid w:val="00BF2F62"/>
    <w:rsid w:val="00BF4819"/>
    <w:rsid w:val="00C0122C"/>
    <w:rsid w:val="00C01812"/>
    <w:rsid w:val="00C028EE"/>
    <w:rsid w:val="00C06372"/>
    <w:rsid w:val="00C06529"/>
    <w:rsid w:val="00C07F15"/>
    <w:rsid w:val="00C07FE4"/>
    <w:rsid w:val="00C110CD"/>
    <w:rsid w:val="00C11A9A"/>
    <w:rsid w:val="00C123A8"/>
    <w:rsid w:val="00C13422"/>
    <w:rsid w:val="00C144CE"/>
    <w:rsid w:val="00C16E71"/>
    <w:rsid w:val="00C22F3E"/>
    <w:rsid w:val="00C23391"/>
    <w:rsid w:val="00C24A04"/>
    <w:rsid w:val="00C30D7B"/>
    <w:rsid w:val="00C32CFA"/>
    <w:rsid w:val="00C3423A"/>
    <w:rsid w:val="00C36CD7"/>
    <w:rsid w:val="00C370E6"/>
    <w:rsid w:val="00C40234"/>
    <w:rsid w:val="00C41DB5"/>
    <w:rsid w:val="00C43589"/>
    <w:rsid w:val="00C46FD5"/>
    <w:rsid w:val="00C50183"/>
    <w:rsid w:val="00C507C6"/>
    <w:rsid w:val="00C50D16"/>
    <w:rsid w:val="00C516CC"/>
    <w:rsid w:val="00C53D2B"/>
    <w:rsid w:val="00C56CF7"/>
    <w:rsid w:val="00C603E9"/>
    <w:rsid w:val="00C64BD7"/>
    <w:rsid w:val="00C64FC8"/>
    <w:rsid w:val="00C70D60"/>
    <w:rsid w:val="00C777C3"/>
    <w:rsid w:val="00C8470D"/>
    <w:rsid w:val="00C85193"/>
    <w:rsid w:val="00C8748D"/>
    <w:rsid w:val="00C94C4E"/>
    <w:rsid w:val="00C960E4"/>
    <w:rsid w:val="00C97DFE"/>
    <w:rsid w:val="00CA1EF3"/>
    <w:rsid w:val="00CA567E"/>
    <w:rsid w:val="00CB02C0"/>
    <w:rsid w:val="00CB4EF5"/>
    <w:rsid w:val="00CB5585"/>
    <w:rsid w:val="00CC2EF1"/>
    <w:rsid w:val="00CC6849"/>
    <w:rsid w:val="00CD0177"/>
    <w:rsid w:val="00CD3C22"/>
    <w:rsid w:val="00CD4E68"/>
    <w:rsid w:val="00CD5FFA"/>
    <w:rsid w:val="00CD7CF2"/>
    <w:rsid w:val="00CE13B6"/>
    <w:rsid w:val="00CE28FB"/>
    <w:rsid w:val="00CE492A"/>
    <w:rsid w:val="00CE53D2"/>
    <w:rsid w:val="00CE5EA1"/>
    <w:rsid w:val="00CE6133"/>
    <w:rsid w:val="00CE7447"/>
    <w:rsid w:val="00CF0553"/>
    <w:rsid w:val="00CF1659"/>
    <w:rsid w:val="00CF2454"/>
    <w:rsid w:val="00CF3DDA"/>
    <w:rsid w:val="00CF489C"/>
    <w:rsid w:val="00CF5490"/>
    <w:rsid w:val="00CF59B5"/>
    <w:rsid w:val="00CF6E47"/>
    <w:rsid w:val="00D0039E"/>
    <w:rsid w:val="00D01616"/>
    <w:rsid w:val="00D01855"/>
    <w:rsid w:val="00D018E8"/>
    <w:rsid w:val="00D02FFB"/>
    <w:rsid w:val="00D06672"/>
    <w:rsid w:val="00D11909"/>
    <w:rsid w:val="00D126DD"/>
    <w:rsid w:val="00D169AE"/>
    <w:rsid w:val="00D2190B"/>
    <w:rsid w:val="00D223B5"/>
    <w:rsid w:val="00D23AA7"/>
    <w:rsid w:val="00D24704"/>
    <w:rsid w:val="00D26399"/>
    <w:rsid w:val="00D33552"/>
    <w:rsid w:val="00D36AC3"/>
    <w:rsid w:val="00D36E3A"/>
    <w:rsid w:val="00D40D13"/>
    <w:rsid w:val="00D41BDE"/>
    <w:rsid w:val="00D421E4"/>
    <w:rsid w:val="00D43BDB"/>
    <w:rsid w:val="00D50B70"/>
    <w:rsid w:val="00D533B3"/>
    <w:rsid w:val="00D54B97"/>
    <w:rsid w:val="00D6005A"/>
    <w:rsid w:val="00D605B9"/>
    <w:rsid w:val="00D65A0E"/>
    <w:rsid w:val="00D75816"/>
    <w:rsid w:val="00D75C2C"/>
    <w:rsid w:val="00D75FE9"/>
    <w:rsid w:val="00D77E30"/>
    <w:rsid w:val="00D77F85"/>
    <w:rsid w:val="00D80D70"/>
    <w:rsid w:val="00D80E33"/>
    <w:rsid w:val="00D822C6"/>
    <w:rsid w:val="00D84017"/>
    <w:rsid w:val="00D85B77"/>
    <w:rsid w:val="00D86EBD"/>
    <w:rsid w:val="00D86FDC"/>
    <w:rsid w:val="00D9229E"/>
    <w:rsid w:val="00D94995"/>
    <w:rsid w:val="00D9503D"/>
    <w:rsid w:val="00D954C5"/>
    <w:rsid w:val="00D967AB"/>
    <w:rsid w:val="00DA1286"/>
    <w:rsid w:val="00DA263D"/>
    <w:rsid w:val="00DA5F58"/>
    <w:rsid w:val="00DA6A8C"/>
    <w:rsid w:val="00DA7EBA"/>
    <w:rsid w:val="00DB1A23"/>
    <w:rsid w:val="00DB602A"/>
    <w:rsid w:val="00DB661C"/>
    <w:rsid w:val="00DB6DD9"/>
    <w:rsid w:val="00DB74E2"/>
    <w:rsid w:val="00DC391B"/>
    <w:rsid w:val="00DC6DE0"/>
    <w:rsid w:val="00DD0651"/>
    <w:rsid w:val="00DD5450"/>
    <w:rsid w:val="00DD6E19"/>
    <w:rsid w:val="00DD7BC9"/>
    <w:rsid w:val="00DE56BA"/>
    <w:rsid w:val="00DE5787"/>
    <w:rsid w:val="00DE7C54"/>
    <w:rsid w:val="00DF113B"/>
    <w:rsid w:val="00DF4CB1"/>
    <w:rsid w:val="00DF504C"/>
    <w:rsid w:val="00E0020E"/>
    <w:rsid w:val="00E014AE"/>
    <w:rsid w:val="00E02C04"/>
    <w:rsid w:val="00E03C61"/>
    <w:rsid w:val="00E03C72"/>
    <w:rsid w:val="00E1346B"/>
    <w:rsid w:val="00E16BA3"/>
    <w:rsid w:val="00E21D84"/>
    <w:rsid w:val="00E22D0D"/>
    <w:rsid w:val="00E236CC"/>
    <w:rsid w:val="00E2395A"/>
    <w:rsid w:val="00E31632"/>
    <w:rsid w:val="00E346E5"/>
    <w:rsid w:val="00E355E2"/>
    <w:rsid w:val="00E3786B"/>
    <w:rsid w:val="00E50370"/>
    <w:rsid w:val="00E54FB4"/>
    <w:rsid w:val="00E56F36"/>
    <w:rsid w:val="00E61FF4"/>
    <w:rsid w:val="00E62DF6"/>
    <w:rsid w:val="00E6351F"/>
    <w:rsid w:val="00E6377D"/>
    <w:rsid w:val="00E63985"/>
    <w:rsid w:val="00E65848"/>
    <w:rsid w:val="00E65A39"/>
    <w:rsid w:val="00E66444"/>
    <w:rsid w:val="00E74A0D"/>
    <w:rsid w:val="00E75847"/>
    <w:rsid w:val="00E76792"/>
    <w:rsid w:val="00E77C4A"/>
    <w:rsid w:val="00E810A9"/>
    <w:rsid w:val="00E8128F"/>
    <w:rsid w:val="00E92603"/>
    <w:rsid w:val="00E94092"/>
    <w:rsid w:val="00E94E55"/>
    <w:rsid w:val="00E95DED"/>
    <w:rsid w:val="00E95FAB"/>
    <w:rsid w:val="00E971F3"/>
    <w:rsid w:val="00EA07C5"/>
    <w:rsid w:val="00EA0D28"/>
    <w:rsid w:val="00EA4138"/>
    <w:rsid w:val="00EA42BA"/>
    <w:rsid w:val="00EA5227"/>
    <w:rsid w:val="00EA7044"/>
    <w:rsid w:val="00EB1B35"/>
    <w:rsid w:val="00EB2BAE"/>
    <w:rsid w:val="00EB635A"/>
    <w:rsid w:val="00EC0204"/>
    <w:rsid w:val="00EC0F4A"/>
    <w:rsid w:val="00EC0F60"/>
    <w:rsid w:val="00EC59D8"/>
    <w:rsid w:val="00EC658A"/>
    <w:rsid w:val="00EC6FF8"/>
    <w:rsid w:val="00EC73FC"/>
    <w:rsid w:val="00EC7ACE"/>
    <w:rsid w:val="00ED073C"/>
    <w:rsid w:val="00ED1B41"/>
    <w:rsid w:val="00ED1C6B"/>
    <w:rsid w:val="00EE05DE"/>
    <w:rsid w:val="00EE653D"/>
    <w:rsid w:val="00EF3702"/>
    <w:rsid w:val="00EF39C8"/>
    <w:rsid w:val="00EF4DEC"/>
    <w:rsid w:val="00EF4FF7"/>
    <w:rsid w:val="00EF64BB"/>
    <w:rsid w:val="00EF714C"/>
    <w:rsid w:val="00EF7679"/>
    <w:rsid w:val="00EF77D8"/>
    <w:rsid w:val="00F002B7"/>
    <w:rsid w:val="00F020B2"/>
    <w:rsid w:val="00F031EA"/>
    <w:rsid w:val="00F034B7"/>
    <w:rsid w:val="00F04CEB"/>
    <w:rsid w:val="00F04F7E"/>
    <w:rsid w:val="00F05470"/>
    <w:rsid w:val="00F06E1D"/>
    <w:rsid w:val="00F079E3"/>
    <w:rsid w:val="00F10BF3"/>
    <w:rsid w:val="00F122C9"/>
    <w:rsid w:val="00F1278C"/>
    <w:rsid w:val="00F15894"/>
    <w:rsid w:val="00F22C25"/>
    <w:rsid w:val="00F24E00"/>
    <w:rsid w:val="00F24F7A"/>
    <w:rsid w:val="00F3003E"/>
    <w:rsid w:val="00F31554"/>
    <w:rsid w:val="00F31D99"/>
    <w:rsid w:val="00F31E0C"/>
    <w:rsid w:val="00F33AFD"/>
    <w:rsid w:val="00F43406"/>
    <w:rsid w:val="00F4349E"/>
    <w:rsid w:val="00F443D2"/>
    <w:rsid w:val="00F45EA1"/>
    <w:rsid w:val="00F53B79"/>
    <w:rsid w:val="00F54603"/>
    <w:rsid w:val="00F55131"/>
    <w:rsid w:val="00F5642F"/>
    <w:rsid w:val="00F569F2"/>
    <w:rsid w:val="00F571C6"/>
    <w:rsid w:val="00F608BE"/>
    <w:rsid w:val="00F65C72"/>
    <w:rsid w:val="00F70F6E"/>
    <w:rsid w:val="00F714BE"/>
    <w:rsid w:val="00F74226"/>
    <w:rsid w:val="00F7651B"/>
    <w:rsid w:val="00F84A30"/>
    <w:rsid w:val="00F85036"/>
    <w:rsid w:val="00F86B40"/>
    <w:rsid w:val="00F87778"/>
    <w:rsid w:val="00F90786"/>
    <w:rsid w:val="00F9309A"/>
    <w:rsid w:val="00F95B85"/>
    <w:rsid w:val="00FA1076"/>
    <w:rsid w:val="00FA2251"/>
    <w:rsid w:val="00FA40D1"/>
    <w:rsid w:val="00FB14E7"/>
    <w:rsid w:val="00FB21A9"/>
    <w:rsid w:val="00FB2839"/>
    <w:rsid w:val="00FB3933"/>
    <w:rsid w:val="00FB6F43"/>
    <w:rsid w:val="00FB7684"/>
    <w:rsid w:val="00FC0D46"/>
    <w:rsid w:val="00FC35BB"/>
    <w:rsid w:val="00FC3B18"/>
    <w:rsid w:val="00FC578D"/>
    <w:rsid w:val="00FD2B28"/>
    <w:rsid w:val="00FD3BB8"/>
    <w:rsid w:val="00FD51C5"/>
    <w:rsid w:val="00FE0CB4"/>
    <w:rsid w:val="00FE5B50"/>
    <w:rsid w:val="00FE63DD"/>
    <w:rsid w:val="00FF0376"/>
    <w:rsid w:val="00FF20C8"/>
    <w:rsid w:val="00FF66D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D853"/>
  <w15:chartTrackingRefBased/>
  <w15:docId w15:val="{9518D7F1-3B5B-4782-9701-AA5C0664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00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6D"/>
    <w:pPr>
      <w:ind w:left="720"/>
      <w:contextualSpacing/>
    </w:pPr>
  </w:style>
  <w:style w:type="paragraph" w:styleId="FootnoteText">
    <w:name w:val="footnote text"/>
    <w:basedOn w:val="Normal"/>
    <w:link w:val="FootnoteTextChar"/>
    <w:uiPriority w:val="99"/>
    <w:semiHidden/>
    <w:unhideWhenUsed/>
    <w:rsid w:val="003C00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006D"/>
    <w:rPr>
      <w:sz w:val="20"/>
      <w:szCs w:val="20"/>
    </w:rPr>
  </w:style>
  <w:style w:type="character" w:styleId="FootnoteReference">
    <w:name w:val="footnote reference"/>
    <w:basedOn w:val="DefaultParagraphFont"/>
    <w:uiPriority w:val="99"/>
    <w:semiHidden/>
    <w:unhideWhenUsed/>
    <w:rsid w:val="003C006D"/>
    <w:rPr>
      <w:vertAlign w:val="superscript"/>
    </w:rPr>
  </w:style>
  <w:style w:type="character" w:styleId="CommentReference">
    <w:name w:val="annotation reference"/>
    <w:basedOn w:val="DefaultParagraphFont"/>
    <w:uiPriority w:val="99"/>
    <w:semiHidden/>
    <w:unhideWhenUsed/>
    <w:rsid w:val="003C006D"/>
    <w:rPr>
      <w:sz w:val="16"/>
      <w:szCs w:val="16"/>
    </w:rPr>
  </w:style>
  <w:style w:type="paragraph" w:styleId="CommentText">
    <w:name w:val="annotation text"/>
    <w:basedOn w:val="Normal"/>
    <w:link w:val="CommentTextChar"/>
    <w:uiPriority w:val="99"/>
    <w:semiHidden/>
    <w:unhideWhenUsed/>
    <w:rsid w:val="003C006D"/>
    <w:pPr>
      <w:spacing w:line="240" w:lineRule="auto"/>
    </w:pPr>
    <w:rPr>
      <w:sz w:val="20"/>
      <w:szCs w:val="20"/>
    </w:rPr>
  </w:style>
  <w:style w:type="character" w:customStyle="1" w:styleId="CommentTextChar">
    <w:name w:val="Comment Text Char"/>
    <w:basedOn w:val="DefaultParagraphFont"/>
    <w:link w:val="CommentText"/>
    <w:uiPriority w:val="99"/>
    <w:semiHidden/>
    <w:rsid w:val="003C006D"/>
    <w:rPr>
      <w:sz w:val="20"/>
      <w:szCs w:val="20"/>
    </w:rPr>
  </w:style>
  <w:style w:type="table" w:styleId="TableGrid">
    <w:name w:val="Table Grid"/>
    <w:basedOn w:val="TableNormal"/>
    <w:uiPriority w:val="39"/>
    <w:rsid w:val="003C0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0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06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1321D"/>
    <w:rPr>
      <w:b/>
      <w:bCs/>
    </w:rPr>
  </w:style>
  <w:style w:type="character" w:customStyle="1" w:styleId="CommentSubjectChar">
    <w:name w:val="Comment Subject Char"/>
    <w:basedOn w:val="CommentTextChar"/>
    <w:link w:val="CommentSubject"/>
    <w:uiPriority w:val="99"/>
    <w:semiHidden/>
    <w:rsid w:val="0001321D"/>
    <w:rPr>
      <w:b/>
      <w:bCs/>
      <w:sz w:val="20"/>
      <w:szCs w:val="20"/>
    </w:rPr>
  </w:style>
  <w:style w:type="character" w:styleId="Hyperlink">
    <w:name w:val="Hyperlink"/>
    <w:basedOn w:val="DefaultParagraphFont"/>
    <w:uiPriority w:val="99"/>
    <w:unhideWhenUsed/>
    <w:rsid w:val="0001321D"/>
    <w:rPr>
      <w:color w:val="0563C1" w:themeColor="hyperlink"/>
      <w:u w:val="single"/>
    </w:rPr>
  </w:style>
  <w:style w:type="character" w:styleId="UnresolvedMention">
    <w:name w:val="Unresolved Mention"/>
    <w:basedOn w:val="DefaultParagraphFont"/>
    <w:uiPriority w:val="99"/>
    <w:semiHidden/>
    <w:unhideWhenUsed/>
    <w:rsid w:val="0001321D"/>
    <w:rPr>
      <w:color w:val="605E5C"/>
      <w:shd w:val="clear" w:color="auto" w:fill="E1DFDD"/>
    </w:rPr>
  </w:style>
  <w:style w:type="paragraph" w:styleId="NormalWeb">
    <w:name w:val="Normal (Web)"/>
    <w:basedOn w:val="Normal"/>
    <w:uiPriority w:val="99"/>
    <w:semiHidden/>
    <w:unhideWhenUsed/>
    <w:rsid w:val="00372A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radoResaltado">
    <w:name w:val="Centrado Resaltado"/>
    <w:basedOn w:val="Normal"/>
    <w:link w:val="CentradoResaltadoChar"/>
    <w:uiPriority w:val="1"/>
    <w:qFormat/>
    <w:rsid w:val="00EC0F60"/>
    <w:pPr>
      <w:spacing w:before="240" w:after="240" w:line="240" w:lineRule="auto"/>
      <w:jc w:val="center"/>
    </w:pPr>
    <w:rPr>
      <w:rFonts w:ascii="Franklin Gothic Medium" w:eastAsia="Times New Roman" w:hAnsi="Franklin Gothic Medium" w:cs="Times New Roman"/>
      <w:szCs w:val="24"/>
      <w:lang w:val="es-ES"/>
    </w:rPr>
  </w:style>
  <w:style w:type="character" w:customStyle="1" w:styleId="CentradoResaltadoChar">
    <w:name w:val="Centrado Resaltado Char"/>
    <w:link w:val="CentradoResaltado"/>
    <w:uiPriority w:val="1"/>
    <w:rsid w:val="00EC0F60"/>
    <w:rPr>
      <w:rFonts w:ascii="Franklin Gothic Medium" w:eastAsia="Times New Roman" w:hAnsi="Franklin Gothic Medium" w:cs="Times New Roman"/>
      <w:szCs w:val="24"/>
      <w:lang w:val="es-ES"/>
    </w:rPr>
  </w:style>
  <w:style w:type="paragraph" w:styleId="Caption">
    <w:name w:val="caption"/>
    <w:basedOn w:val="Normal"/>
    <w:next w:val="Normal"/>
    <w:uiPriority w:val="35"/>
    <w:unhideWhenUsed/>
    <w:qFormat/>
    <w:rsid w:val="00EC0F60"/>
    <w:pPr>
      <w:spacing w:before="240" w:after="0" w:line="240" w:lineRule="auto"/>
      <w:ind w:left="454"/>
      <w:jc w:val="both"/>
    </w:pPr>
    <w:rPr>
      <w:rFonts w:ascii="Franklin Gothic Book" w:eastAsia="Times New Roman" w:hAnsi="Franklin Gothic Book" w:cs="Times New Roman"/>
      <w:iCs/>
      <w:color w:val="000000"/>
      <w:sz w:val="16"/>
      <w:szCs w:val="18"/>
      <w:lang w:val="es-ES"/>
    </w:rPr>
  </w:style>
  <w:style w:type="paragraph" w:styleId="Header">
    <w:name w:val="header"/>
    <w:basedOn w:val="Normal"/>
    <w:link w:val="HeaderChar"/>
    <w:uiPriority w:val="99"/>
    <w:unhideWhenUsed/>
    <w:rsid w:val="00E50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370"/>
  </w:style>
  <w:style w:type="paragraph" w:styleId="Footer">
    <w:name w:val="footer"/>
    <w:basedOn w:val="Normal"/>
    <w:link w:val="FooterChar"/>
    <w:uiPriority w:val="99"/>
    <w:unhideWhenUsed/>
    <w:rsid w:val="00E50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370"/>
  </w:style>
  <w:style w:type="character" w:styleId="PlaceholderText">
    <w:name w:val="Placeholder Text"/>
    <w:basedOn w:val="DefaultParagraphFont"/>
    <w:uiPriority w:val="99"/>
    <w:semiHidden/>
    <w:rsid w:val="00366168"/>
    <w:rPr>
      <w:color w:val="808080"/>
    </w:rPr>
  </w:style>
  <w:style w:type="paragraph" w:styleId="Revision">
    <w:name w:val="Revision"/>
    <w:hidden/>
    <w:uiPriority w:val="99"/>
    <w:semiHidden/>
    <w:rsid w:val="003605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7098">
      <w:bodyDiv w:val="1"/>
      <w:marLeft w:val="0"/>
      <w:marRight w:val="0"/>
      <w:marTop w:val="0"/>
      <w:marBottom w:val="0"/>
      <w:divBdr>
        <w:top w:val="none" w:sz="0" w:space="0" w:color="auto"/>
        <w:left w:val="none" w:sz="0" w:space="0" w:color="auto"/>
        <w:bottom w:val="none" w:sz="0" w:space="0" w:color="auto"/>
        <w:right w:val="none" w:sz="0" w:space="0" w:color="auto"/>
      </w:divBdr>
    </w:div>
    <w:div w:id="548952693">
      <w:bodyDiv w:val="1"/>
      <w:marLeft w:val="0"/>
      <w:marRight w:val="0"/>
      <w:marTop w:val="0"/>
      <w:marBottom w:val="0"/>
      <w:divBdr>
        <w:top w:val="none" w:sz="0" w:space="0" w:color="auto"/>
        <w:left w:val="none" w:sz="0" w:space="0" w:color="auto"/>
        <w:bottom w:val="none" w:sz="0" w:space="0" w:color="auto"/>
        <w:right w:val="none" w:sz="0" w:space="0" w:color="auto"/>
      </w:divBdr>
    </w:div>
    <w:div w:id="720784200">
      <w:bodyDiv w:val="1"/>
      <w:marLeft w:val="0"/>
      <w:marRight w:val="0"/>
      <w:marTop w:val="0"/>
      <w:marBottom w:val="0"/>
      <w:divBdr>
        <w:top w:val="none" w:sz="0" w:space="0" w:color="auto"/>
        <w:left w:val="none" w:sz="0" w:space="0" w:color="auto"/>
        <w:bottom w:val="none" w:sz="0" w:space="0" w:color="auto"/>
        <w:right w:val="none" w:sz="0" w:space="0" w:color="auto"/>
      </w:divBdr>
    </w:div>
    <w:div w:id="755978518">
      <w:bodyDiv w:val="1"/>
      <w:marLeft w:val="0"/>
      <w:marRight w:val="0"/>
      <w:marTop w:val="0"/>
      <w:marBottom w:val="0"/>
      <w:divBdr>
        <w:top w:val="none" w:sz="0" w:space="0" w:color="auto"/>
        <w:left w:val="none" w:sz="0" w:space="0" w:color="auto"/>
        <w:bottom w:val="none" w:sz="0" w:space="0" w:color="auto"/>
        <w:right w:val="none" w:sz="0" w:space="0" w:color="auto"/>
      </w:divBdr>
    </w:div>
    <w:div w:id="1469742714">
      <w:bodyDiv w:val="1"/>
      <w:marLeft w:val="0"/>
      <w:marRight w:val="0"/>
      <w:marTop w:val="0"/>
      <w:marBottom w:val="0"/>
      <w:divBdr>
        <w:top w:val="none" w:sz="0" w:space="0" w:color="auto"/>
        <w:left w:val="none" w:sz="0" w:space="0" w:color="auto"/>
        <w:bottom w:val="none" w:sz="0" w:space="0" w:color="auto"/>
        <w:right w:val="none" w:sz="0" w:space="0" w:color="auto"/>
      </w:divBdr>
    </w:div>
    <w:div w:id="1625573010">
      <w:bodyDiv w:val="1"/>
      <w:marLeft w:val="0"/>
      <w:marRight w:val="0"/>
      <w:marTop w:val="0"/>
      <w:marBottom w:val="0"/>
      <w:divBdr>
        <w:top w:val="none" w:sz="0" w:space="0" w:color="auto"/>
        <w:left w:val="none" w:sz="0" w:space="0" w:color="auto"/>
        <w:bottom w:val="none" w:sz="0" w:space="0" w:color="auto"/>
        <w:right w:val="none" w:sz="0" w:space="0" w:color="auto"/>
      </w:divBdr>
    </w:div>
    <w:div w:id="1701471435">
      <w:bodyDiv w:val="1"/>
      <w:marLeft w:val="0"/>
      <w:marRight w:val="0"/>
      <w:marTop w:val="0"/>
      <w:marBottom w:val="0"/>
      <w:divBdr>
        <w:top w:val="none" w:sz="0" w:space="0" w:color="auto"/>
        <w:left w:val="none" w:sz="0" w:space="0" w:color="auto"/>
        <w:bottom w:val="none" w:sz="0" w:space="0" w:color="auto"/>
        <w:right w:val="none" w:sz="0" w:space="0" w:color="auto"/>
      </w:divBdr>
    </w:div>
    <w:div w:id="19406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yperlink" Target="https://doi.org/10.1787/9789264262607-en" TargetMode="Externa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publications.iadb.org/en/publication/13997/latin-america-and-caribbean-fiscal-burden-database" TargetMode="External"/><Relationship Id="rId22" Type="http://schemas.openxmlformats.org/officeDocument/2006/relationships/customXml" Target="../customXml/item5.xml"/><Relationship Id="rId27" Type="http://schemas.openxmlformats.org/officeDocument/2006/relationships/customXml" Target="../customXml/item10.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ayannaq\Documents\Libro\Libro%20de%20Reglas%20Fiscales\Version%20completa\20%20feb.%20Gr&#225;ficos%20del%20Libr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ayannaq\Documents\Libro\Libro%20de%20Reglas%20Fiscales\Version%20completa\20%20feb.%20Gr&#225;ficos%20del%20Libr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LUISCOR\AppData\Local\Microsoft\Windows\INetCache\Content.Outlook\0J968LJ1\Datos%20fiscales_CR.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idbg-my.sharepoint.com/personal/luiscor_iadb_org/Documents/Documentos%20varios/Libro-Reglas-Fiscales-Am&#233;rica-Latina/Costa%20Rica/Ejercicio%20restrospectivo%20regla%20fiscal%20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idbg-my.sharepoint.com/personal/luiscor_iadb_org/Documents/Documentos%20varios/Libro-Reglas-Fiscales-Am&#233;rica-Latina/Costa%20Rica/Ejercicio%20restrospectivo%20regla%20fiscal%20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idbg-my.sharepoint.com/personal/luiscor_iadb_org/Documents/Documentos%20varios/Libro-Reglas-Fiscales-Am&#233;rica-Latina/Costa%20Rica/Ejercicio%20restrospectivo%20regla%20fiscal%202.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048551692771256E-2"/>
          <c:y val="6.29007822384203E-2"/>
          <c:w val="0.9078840596189014"/>
          <c:h val="0.68728356629839871"/>
        </c:manualLayout>
      </c:layout>
      <c:lineChart>
        <c:grouping val="standard"/>
        <c:varyColors val="0"/>
        <c:ser>
          <c:idx val="0"/>
          <c:order val="0"/>
          <c:tx>
            <c:strRef>
              <c:f>'Costa Rica 9.1'!$A$3</c:f>
              <c:strCache>
                <c:ptCount val="1"/>
                <c:pt idx="0">
                  <c:v>Costa Rica (Seg.Social)</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'Costa Rica 9.1'!$B$2:$L$2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9.1'!$B$3:$L$3</c:f>
              <c:numCache>
                <c:formatCode>0</c:formatCode>
                <c:ptCount val="11"/>
                <c:pt idx="0">
                  <c:v>9.1389382685357692</c:v>
                </c:pt>
                <c:pt idx="1">
                  <c:v>9.2789133251921019</c:v>
                </c:pt>
                <c:pt idx="2">
                  <c:v>9.772784412690033</c:v>
                </c:pt>
                <c:pt idx="3">
                  <c:v>10.54813161492052</c:v>
                </c:pt>
                <c:pt idx="4">
                  <c:v>10.810156274141473</c:v>
                </c:pt>
                <c:pt idx="5">
                  <c:v>10.853048614258423</c:v>
                </c:pt>
                <c:pt idx="6">
                  <c:v>10.93792590380399</c:v>
                </c:pt>
                <c:pt idx="7">
                  <c:v>11.195792411757971</c:v>
                </c:pt>
                <c:pt idx="8">
                  <c:v>11.223855492425082</c:v>
                </c:pt>
                <c:pt idx="9">
                  <c:v>11.351524674865672</c:v>
                </c:pt>
                <c:pt idx="10">
                  <c:v>11.5</c:v>
                </c:pt>
              </c:numCache>
            </c:numRef>
          </c:val>
          <c:smooth val="0"/>
          <c:extLst>
            <c:ext xmlns:c16="http://schemas.microsoft.com/office/drawing/2014/chart" uri="{C3380CC4-5D6E-409C-BE32-E72D297353CC}">
              <c16:uniqueId val="{00000000-F354-41C5-90B2-723E8A0170D9}"/>
            </c:ext>
          </c:extLst>
        </c:ser>
        <c:ser>
          <c:idx val="1"/>
          <c:order val="1"/>
          <c:tx>
            <c:strRef>
              <c:f>'Costa Rica 9.1'!$A$4</c:f>
              <c:strCache>
                <c:ptCount val="1"/>
                <c:pt idx="0">
                  <c:v>ALC-7* (Seg.Social)</c:v>
                </c:pt>
              </c:strCache>
            </c:strRef>
          </c:tx>
          <c:spPr>
            <a:ln w="22225" cap="rnd">
              <a:solidFill>
                <a:srgbClr val="FF99CC"/>
              </a:solidFill>
              <a:round/>
            </a:ln>
            <a:effectLst/>
          </c:spPr>
          <c:marker>
            <c:symbol val="square"/>
            <c:size val="6"/>
            <c:spPr>
              <a:solidFill>
                <a:srgbClr val="FF99CC"/>
              </a:solidFill>
              <a:ln w="9525">
                <a:solidFill>
                  <a:srgbClr val="FF99CC"/>
                </a:solidFill>
                <a:round/>
              </a:ln>
              <a:effectLst/>
            </c:spPr>
          </c:marker>
          <c:cat>
            <c:numRef>
              <c:f>'Costa Rica 9.1'!$B$2:$L$2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9.1'!$B$4:$L$4</c:f>
              <c:numCache>
                <c:formatCode>0</c:formatCode>
                <c:ptCount val="11"/>
                <c:pt idx="0">
                  <c:v>5.7863276653497548</c:v>
                </c:pt>
                <c:pt idx="1">
                  <c:v>5.8877190094594374</c:v>
                </c:pt>
                <c:pt idx="2">
                  <c:v>6.2244361468179221</c:v>
                </c:pt>
                <c:pt idx="3">
                  <c:v>6.6570257999934395</c:v>
                </c:pt>
                <c:pt idx="4">
                  <c:v>6.663633777901806</c:v>
                </c:pt>
                <c:pt idx="5">
                  <c:v>6.7093805503107644</c:v>
                </c:pt>
                <c:pt idx="6">
                  <c:v>6.8626693748443603</c:v>
                </c:pt>
                <c:pt idx="7">
                  <c:v>7.1636684600000722</c:v>
                </c:pt>
                <c:pt idx="8">
                  <c:v>7.2370112229989108</c:v>
                </c:pt>
                <c:pt idx="9">
                  <c:v>7.5004509403340505</c:v>
                </c:pt>
                <c:pt idx="10">
                  <c:v>7.6</c:v>
                </c:pt>
              </c:numCache>
            </c:numRef>
          </c:val>
          <c:smooth val="0"/>
          <c:extLst>
            <c:ext xmlns:c16="http://schemas.microsoft.com/office/drawing/2014/chart" uri="{C3380CC4-5D6E-409C-BE32-E72D297353CC}">
              <c16:uniqueId val="{00000001-F354-41C5-90B2-723E8A0170D9}"/>
            </c:ext>
          </c:extLst>
        </c:ser>
        <c:ser>
          <c:idx val="2"/>
          <c:order val="2"/>
          <c:tx>
            <c:strRef>
              <c:f>'Costa Rica 9.1'!$A$5</c:f>
              <c:strCache>
                <c:ptCount val="1"/>
                <c:pt idx="0">
                  <c:v>Costa Rica (Presión Impositiva)</c:v>
                </c:pt>
              </c:strCache>
            </c:strRef>
          </c:tx>
          <c:spPr>
            <a:ln w="22225" cap="rnd">
              <a:solidFill>
                <a:schemeClr val="accent5"/>
              </a:solidFill>
              <a:round/>
            </a:ln>
            <a:effectLst/>
          </c:spPr>
          <c:marker>
            <c:symbol val="triangle"/>
            <c:size val="6"/>
            <c:spPr>
              <a:solidFill>
                <a:schemeClr val="accent5"/>
              </a:solidFill>
              <a:ln w="9525">
                <a:solidFill>
                  <a:schemeClr val="accent5"/>
                </a:solidFill>
                <a:round/>
              </a:ln>
              <a:effectLst/>
            </c:spPr>
          </c:marker>
          <c:cat>
            <c:numRef>
              <c:f>'Costa Rica 9.1'!$B$2:$L$2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9.1'!$B$5:$L$5</c:f>
              <c:numCache>
                <c:formatCode>0</c:formatCode>
                <c:ptCount val="11"/>
                <c:pt idx="0">
                  <c:v>14.227463702345549</c:v>
                </c:pt>
                <c:pt idx="1">
                  <c:v>15.452586304163905</c:v>
                </c:pt>
                <c:pt idx="2">
                  <c:v>15.914789169094034</c:v>
                </c:pt>
                <c:pt idx="3">
                  <c:v>14.042838829597269</c:v>
                </c:pt>
                <c:pt idx="4">
                  <c:v>13.660895840719077</c:v>
                </c:pt>
                <c:pt idx="5">
                  <c:v>13.550519714385301</c:v>
                </c:pt>
                <c:pt idx="6">
                  <c:v>13.493612580460207</c:v>
                </c:pt>
                <c:pt idx="7">
                  <c:v>13.940580326365348</c:v>
                </c:pt>
                <c:pt idx="8">
                  <c:v>13.741914023140277</c:v>
                </c:pt>
                <c:pt idx="9">
                  <c:v>14.05833070342932</c:v>
                </c:pt>
                <c:pt idx="10">
                  <c:v>14</c:v>
                </c:pt>
              </c:numCache>
            </c:numRef>
          </c:val>
          <c:smooth val="0"/>
          <c:extLst>
            <c:ext xmlns:c16="http://schemas.microsoft.com/office/drawing/2014/chart" uri="{C3380CC4-5D6E-409C-BE32-E72D297353CC}">
              <c16:uniqueId val="{00000002-F354-41C5-90B2-723E8A0170D9}"/>
            </c:ext>
          </c:extLst>
        </c:ser>
        <c:ser>
          <c:idx val="3"/>
          <c:order val="3"/>
          <c:tx>
            <c:strRef>
              <c:f>'Costa Rica 9.1'!$A$6</c:f>
              <c:strCache>
                <c:ptCount val="1"/>
                <c:pt idx="0">
                  <c:v>ALC-7* (Presión Impositiva)</c:v>
                </c:pt>
              </c:strCache>
            </c:strRef>
          </c:tx>
          <c:spPr>
            <a:ln w="22225" cap="rnd">
              <a:solidFill>
                <a:srgbClr val="FF0000"/>
              </a:solidFill>
              <a:round/>
            </a:ln>
            <a:effectLst/>
          </c:spPr>
          <c:marker>
            <c:symbol val="x"/>
            <c:size val="6"/>
            <c:spPr>
              <a:noFill/>
              <a:ln w="9525">
                <a:solidFill>
                  <a:srgbClr val="FF0000"/>
                </a:solidFill>
                <a:round/>
              </a:ln>
              <a:effectLst/>
            </c:spPr>
          </c:marker>
          <c:cat>
            <c:numRef>
              <c:f>'Costa Rica 9.1'!$B$2:$L$2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9.1'!$B$6:$L$6</c:f>
              <c:numCache>
                <c:formatCode>0</c:formatCode>
                <c:ptCount val="11"/>
                <c:pt idx="0">
                  <c:v>19.033955445584574</c:v>
                </c:pt>
                <c:pt idx="1">
                  <c:v>19.094102289216302</c:v>
                </c:pt>
                <c:pt idx="2">
                  <c:v>19.290342724108456</c:v>
                </c:pt>
                <c:pt idx="3">
                  <c:v>18.053188809547169</c:v>
                </c:pt>
                <c:pt idx="4">
                  <c:v>18.521076708058668</c:v>
                </c:pt>
                <c:pt idx="5">
                  <c:v>19.111929169288828</c:v>
                </c:pt>
                <c:pt idx="6">
                  <c:v>19.170156029972084</c:v>
                </c:pt>
                <c:pt idx="7">
                  <c:v>19.179916597321114</c:v>
                </c:pt>
                <c:pt idx="8">
                  <c:v>18.934702950800396</c:v>
                </c:pt>
                <c:pt idx="9">
                  <c:v>19.383498280523941</c:v>
                </c:pt>
                <c:pt idx="10">
                  <c:v>19.2</c:v>
                </c:pt>
              </c:numCache>
            </c:numRef>
          </c:val>
          <c:smooth val="0"/>
          <c:extLst>
            <c:ext xmlns:c16="http://schemas.microsoft.com/office/drawing/2014/chart" uri="{C3380CC4-5D6E-409C-BE32-E72D297353CC}">
              <c16:uniqueId val="{00000003-F354-41C5-90B2-723E8A0170D9}"/>
            </c:ext>
          </c:extLst>
        </c:ser>
        <c:dLbls>
          <c:showLegendKey val="0"/>
          <c:showVal val="0"/>
          <c:showCatName val="0"/>
          <c:showSerName val="0"/>
          <c:showPercent val="0"/>
          <c:showBubbleSize val="0"/>
        </c:dLbls>
        <c:marker val="1"/>
        <c:smooth val="0"/>
        <c:axId val="685149616"/>
        <c:axId val="506329744"/>
      </c:lineChart>
      <c:catAx>
        <c:axId val="68514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506329744"/>
        <c:crosses val="autoZero"/>
        <c:auto val="1"/>
        <c:lblAlgn val="ctr"/>
        <c:lblOffset val="100"/>
        <c:noMultiLvlLbl val="0"/>
      </c:catAx>
      <c:valAx>
        <c:axId val="506329744"/>
        <c:scaling>
          <c:orientation val="minMax"/>
          <c:min val="3"/>
        </c:scaling>
        <c:delete val="0"/>
        <c:axPos val="l"/>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685149616"/>
        <c:crosses val="autoZero"/>
        <c:crossBetween val="between"/>
      </c:valAx>
      <c:spPr>
        <a:noFill/>
        <a:ln>
          <a:noFill/>
        </a:ln>
        <a:effectLst/>
      </c:spPr>
    </c:plotArea>
    <c:legend>
      <c:legendPos val="t"/>
      <c:layout>
        <c:manualLayout>
          <c:xMode val="edge"/>
          <c:yMode val="edge"/>
          <c:x val="1.4467683401424762E-2"/>
          <c:y val="0.87104111986001753"/>
          <c:w val="0.97894260835497982"/>
          <c:h val="0.12799405888217463"/>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legend>
    <c:plotVisOnly val="1"/>
    <c:dispBlanksAs val="gap"/>
    <c:showDLblsOverMax val="0"/>
  </c:chart>
  <c:spPr>
    <a:solidFill>
      <a:schemeClr val="lt1"/>
    </a:solidFill>
    <a:ln w="9525" cap="flat" cmpd="sng" algn="ctr">
      <a:no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28320873248245"/>
          <c:y val="2.6874431958141154E-2"/>
          <c:w val="0.862185320540787"/>
          <c:h val="0.74823620348427333"/>
        </c:manualLayout>
      </c:layout>
      <c:lineChart>
        <c:grouping val="standard"/>
        <c:varyColors val="0"/>
        <c:ser>
          <c:idx val="0"/>
          <c:order val="0"/>
          <c:tx>
            <c:strRef>
              <c:f>'Costa Rica  9.2'!$D$1</c:f>
              <c:strCache>
                <c:ptCount val="1"/>
                <c:pt idx="0">
                  <c:v>Costa Rica</c:v>
                </c:pt>
              </c:strCache>
            </c:strRef>
          </c:tx>
          <c:spPr>
            <a:ln w="28575" cap="rnd">
              <a:solidFill>
                <a:schemeClr val="accent5">
                  <a:lumMod val="50000"/>
                </a:schemeClr>
              </a:solidFill>
              <a:round/>
            </a:ln>
            <a:effectLst/>
          </c:spPr>
          <c:marker>
            <c:symbol val="none"/>
          </c:marker>
          <c:cat>
            <c:numRef>
              <c:f>'Costa Rica  9.2'!$C$2:$C$12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9.2'!$D$2:$D$12</c:f>
              <c:numCache>
                <c:formatCode>0.00%</c:formatCode>
                <c:ptCount val="11"/>
                <c:pt idx="0">
                  <c:v>1.1435799561625376E-2</c:v>
                </c:pt>
                <c:pt idx="1">
                  <c:v>1.5692327383580909E-2</c:v>
                </c:pt>
                <c:pt idx="2">
                  <c:v>2.0930050953430784E-2</c:v>
                </c:pt>
                <c:pt idx="3">
                  <c:v>2.1894863793901237E-2</c:v>
                </c:pt>
                <c:pt idx="4">
                  <c:v>2.6176224892487915E-2</c:v>
                </c:pt>
                <c:pt idx="5">
                  <c:v>1.7579710617832655E-2</c:v>
                </c:pt>
                <c:pt idx="6">
                  <c:v>1.6394732735040954E-2</c:v>
                </c:pt>
                <c:pt idx="7">
                  <c:v>1.9381454846254222E-2</c:v>
                </c:pt>
                <c:pt idx="8">
                  <c:v>2.0254207350369122E-2</c:v>
                </c:pt>
                <c:pt idx="9">
                  <c:v>2.1291177241675459E-2</c:v>
                </c:pt>
                <c:pt idx="10">
                  <c:v>2.1466063913662573E-2</c:v>
                </c:pt>
              </c:numCache>
            </c:numRef>
          </c:val>
          <c:smooth val="0"/>
          <c:extLst>
            <c:ext xmlns:c16="http://schemas.microsoft.com/office/drawing/2014/chart" uri="{C3380CC4-5D6E-409C-BE32-E72D297353CC}">
              <c16:uniqueId val="{00000000-65D2-4267-A1C9-3744D2ED3AE7}"/>
            </c:ext>
          </c:extLst>
        </c:ser>
        <c:ser>
          <c:idx val="1"/>
          <c:order val="1"/>
          <c:tx>
            <c:strRef>
              <c:f>'Costa Rica  9.2'!$E$1</c:f>
              <c:strCache>
                <c:ptCount val="1"/>
                <c:pt idx="0">
                  <c:v>América Latina</c:v>
                </c:pt>
              </c:strCache>
            </c:strRef>
          </c:tx>
          <c:spPr>
            <a:ln w="28575" cap="rnd">
              <a:solidFill>
                <a:srgbClr val="FF0000"/>
              </a:solidFill>
              <a:round/>
            </a:ln>
            <a:effectLst/>
          </c:spPr>
          <c:marker>
            <c:symbol val="none"/>
          </c:marker>
          <c:cat>
            <c:numRef>
              <c:f>'Costa Rica  9.2'!$C$2:$C$12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'Costa Rica  9.2'!$E$2:$E$12</c:f>
              <c:numCache>
                <c:formatCode>0%</c:formatCode>
                <c:ptCount val="11"/>
                <c:pt idx="0">
                  <c:v>0.03</c:v>
                </c:pt>
                <c:pt idx="1">
                  <c:v>3.3000000000000002E-2</c:v>
                </c:pt>
                <c:pt idx="2">
                  <c:v>3.6000000000000004E-2</c:v>
                </c:pt>
                <c:pt idx="3">
                  <c:v>3.7999999999999999E-2</c:v>
                </c:pt>
                <c:pt idx="4">
                  <c:v>3.7000000000000005E-2</c:v>
                </c:pt>
                <c:pt idx="5">
                  <c:v>3.7000000000000005E-2</c:v>
                </c:pt>
                <c:pt idx="6">
                  <c:v>0.04</c:v>
                </c:pt>
                <c:pt idx="7">
                  <c:v>4.2999999999999997E-2</c:v>
                </c:pt>
                <c:pt idx="8">
                  <c:v>4.0999999999999995E-2</c:v>
                </c:pt>
                <c:pt idx="9">
                  <c:v>3.6000000000000004E-2</c:v>
                </c:pt>
                <c:pt idx="10">
                  <c:v>3.5000000000000003E-2</c:v>
                </c:pt>
              </c:numCache>
            </c:numRef>
          </c:val>
          <c:smooth val="0"/>
          <c:extLst>
            <c:ext xmlns:c16="http://schemas.microsoft.com/office/drawing/2014/chart" uri="{C3380CC4-5D6E-409C-BE32-E72D297353CC}">
              <c16:uniqueId val="{00000001-65D2-4267-A1C9-3744D2ED3AE7}"/>
            </c:ext>
          </c:extLst>
        </c:ser>
        <c:dLbls>
          <c:showLegendKey val="0"/>
          <c:showVal val="0"/>
          <c:showCatName val="0"/>
          <c:showSerName val="0"/>
          <c:showPercent val="0"/>
          <c:showBubbleSize val="0"/>
        </c:dLbls>
        <c:smooth val="0"/>
        <c:axId val="654296336"/>
        <c:axId val="654296008"/>
      </c:lineChart>
      <c:catAx>
        <c:axId val="65429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654296008"/>
        <c:crosses val="autoZero"/>
        <c:auto val="1"/>
        <c:lblAlgn val="ctr"/>
        <c:lblOffset val="100"/>
        <c:noMultiLvlLbl val="0"/>
      </c:catAx>
      <c:valAx>
        <c:axId val="654296008"/>
        <c:scaling>
          <c:orientation val="minMax"/>
          <c:min val="0"/>
        </c:scaling>
        <c:delete val="0"/>
        <c:axPos val="l"/>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654296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625051562574145E-2"/>
          <c:y val="7.8839204684127098E-2"/>
          <c:w val="0.86276926615049332"/>
          <c:h val="0.76157252838128908"/>
        </c:manualLayout>
      </c:layout>
      <c:barChart>
        <c:barDir val="col"/>
        <c:grouping val="clustered"/>
        <c:varyColors val="0"/>
        <c:ser>
          <c:idx val="1"/>
          <c:order val="1"/>
          <c:tx>
            <c:v>Deuda Total (eje derecho)</c:v>
          </c:tx>
          <c:spPr>
            <a:solidFill>
              <a:srgbClr val="002060"/>
            </a:solidFill>
            <a:ln>
              <a:noFill/>
            </a:ln>
            <a:effectLst/>
          </c:spPr>
          <c:invertIfNegative val="0"/>
          <c:cat>
            <c:numRef>
              <c:f>Hoja1!$C$18:$C$44</c:f>
              <c:numCache>
                <c:formatCode>General</c:formatCode>
                <c:ptCount val="27"/>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numCache>
            </c:numRef>
          </c:cat>
          <c:val>
            <c:numRef>
              <c:f>Hoja1!$U$18:$U$44</c:f>
              <c:numCache>
                <c:formatCode>0.0</c:formatCode>
                <c:ptCount val="27"/>
                <c:pt idx="0">
                  <c:v>29.219814973494863</c:v>
                </c:pt>
                <c:pt idx="1">
                  <c:v>25.375976585389115</c:v>
                </c:pt>
                <c:pt idx="2">
                  <c:v>25.5554084677728</c:v>
                </c:pt>
                <c:pt idx="3">
                  <c:v>27.56999499153406</c:v>
                </c:pt>
                <c:pt idx="4">
                  <c:v>29.310427451066545</c:v>
                </c:pt>
                <c:pt idx="5">
                  <c:v>34.723515403064887</c:v>
                </c:pt>
                <c:pt idx="6">
                  <c:v>33.393548779761957</c:v>
                </c:pt>
                <c:pt idx="7">
                  <c:v>33.652943295936566</c:v>
                </c:pt>
                <c:pt idx="8">
                  <c:v>39.105561206070035</c:v>
                </c:pt>
                <c:pt idx="9">
                  <c:v>38.995531213903853</c:v>
                </c:pt>
                <c:pt idx="10">
                  <c:v>39.697240081029086</c:v>
                </c:pt>
                <c:pt idx="11">
                  <c:v>40.997048816038713</c:v>
                </c:pt>
                <c:pt idx="12">
                  <c:v>40.129194204682918</c:v>
                </c:pt>
                <c:pt idx="13">
                  <c:v>41.213096042152642</c:v>
                </c:pt>
                <c:pt idx="14">
                  <c:v>37.519255214602751</c:v>
                </c:pt>
                <c:pt idx="15">
                  <c:v>33.208616857751636</c:v>
                </c:pt>
                <c:pt idx="16">
                  <c:v>27.101870607048106</c:v>
                </c:pt>
                <c:pt idx="17">
                  <c:v>24.116111353606048</c:v>
                </c:pt>
                <c:pt idx="18">
                  <c:v>26.150811649627443</c:v>
                </c:pt>
                <c:pt idx="19">
                  <c:v>28.378379326893622</c:v>
                </c:pt>
                <c:pt idx="20">
                  <c:v>29.852630275373738</c:v>
                </c:pt>
                <c:pt idx="21">
                  <c:v>34.303977316171434</c:v>
                </c:pt>
                <c:pt idx="22">
                  <c:v>35.940659729986542</c:v>
                </c:pt>
                <c:pt idx="23">
                  <c:v>38.546392563244744</c:v>
                </c:pt>
                <c:pt idx="24">
                  <c:v>40.984552272126734</c:v>
                </c:pt>
                <c:pt idx="25">
                  <c:v>45.208774762192782</c:v>
                </c:pt>
                <c:pt idx="26">
                  <c:v>49.180191610995159</c:v>
                </c:pt>
              </c:numCache>
            </c:numRef>
          </c:val>
          <c:extLst>
            <c:ext xmlns:c16="http://schemas.microsoft.com/office/drawing/2014/chart" uri="{C3380CC4-5D6E-409C-BE32-E72D297353CC}">
              <c16:uniqueId val="{00000000-95CB-480E-8600-4A18E2A92E4B}"/>
            </c:ext>
          </c:extLst>
        </c:ser>
        <c:dLbls>
          <c:showLegendKey val="0"/>
          <c:showVal val="0"/>
          <c:showCatName val="0"/>
          <c:showSerName val="0"/>
          <c:showPercent val="0"/>
          <c:showBubbleSize val="0"/>
        </c:dLbls>
        <c:gapWidth val="219"/>
        <c:overlap val="-27"/>
        <c:axId val="523482848"/>
        <c:axId val="523479240"/>
      </c:barChart>
      <c:lineChart>
        <c:grouping val="standard"/>
        <c:varyColors val="0"/>
        <c:ser>
          <c:idx val="0"/>
          <c:order val="0"/>
          <c:tx>
            <c:strRef>
              <c:f>Hoja1!$S$17</c:f>
              <c:strCache>
                <c:ptCount val="1"/>
                <c:pt idx="0">
                  <c:v>Balance primario</c:v>
                </c:pt>
              </c:strCache>
            </c:strRef>
          </c:tx>
          <c:spPr>
            <a:ln w="19050" cap="rnd">
              <a:solidFill>
                <a:srgbClr val="C00000"/>
              </a:solidFill>
              <a:prstDash val="solid"/>
              <a:round/>
            </a:ln>
            <a:effectLst/>
          </c:spPr>
          <c:marker>
            <c:symbol val="none"/>
          </c:marker>
          <c:cat>
            <c:numRef>
              <c:f>Hoja1!$C$18:$C$44</c:f>
              <c:numCache>
                <c:formatCode>General</c:formatCode>
                <c:ptCount val="27"/>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numCache>
            </c:numRef>
          </c:cat>
          <c:val>
            <c:numRef>
              <c:f>Hoja1!$S$18:$S$44</c:f>
              <c:numCache>
                <c:formatCode>0.0</c:formatCode>
                <c:ptCount val="27"/>
                <c:pt idx="0">
                  <c:v>0.83566078824231749</c:v>
                </c:pt>
                <c:pt idx="1">
                  <c:v>1.3562311962315536</c:v>
                </c:pt>
                <c:pt idx="2">
                  <c:v>0.92584163882747428</c:v>
                </c:pt>
                <c:pt idx="3">
                  <c:v>-2.225492473276026</c:v>
                </c:pt>
                <c:pt idx="4">
                  <c:v>0.8611111297606352</c:v>
                </c:pt>
                <c:pt idx="5">
                  <c:v>0.59975112557761445</c:v>
                </c:pt>
                <c:pt idx="6">
                  <c:v>0.87672613713720859</c:v>
                </c:pt>
                <c:pt idx="7">
                  <c:v>0.76502305417083016</c:v>
                </c:pt>
                <c:pt idx="8">
                  <c:v>1.5873939609068355</c:v>
                </c:pt>
                <c:pt idx="9">
                  <c:v>0.63127748626585134</c:v>
                </c:pt>
                <c:pt idx="10">
                  <c:v>1.0921585585120381</c:v>
                </c:pt>
                <c:pt idx="11">
                  <c:v>1.7697310338970484E-3</c:v>
                </c:pt>
                <c:pt idx="12">
                  <c:v>1.4219483447886245</c:v>
                </c:pt>
                <c:pt idx="13">
                  <c:v>1.3666259767627884</c:v>
                </c:pt>
                <c:pt idx="14">
                  <c:v>2.0307799089242065</c:v>
                </c:pt>
                <c:pt idx="15">
                  <c:v>2.7315173419109557</c:v>
                </c:pt>
                <c:pt idx="16">
                  <c:v>3.5986771745508803</c:v>
                </c:pt>
                <c:pt idx="17">
                  <c:v>2.2948073127017112</c:v>
                </c:pt>
                <c:pt idx="18">
                  <c:v>-1.2153013565646551</c:v>
                </c:pt>
                <c:pt idx="19">
                  <c:v>-2.9588906230861625</c:v>
                </c:pt>
                <c:pt idx="20">
                  <c:v>-1.8529073387072534</c:v>
                </c:pt>
                <c:pt idx="21">
                  <c:v>-2.2654619455804514</c:v>
                </c:pt>
                <c:pt idx="22">
                  <c:v>-2.8300716503973073</c:v>
                </c:pt>
                <c:pt idx="23">
                  <c:v>-3.0518305475124241</c:v>
                </c:pt>
                <c:pt idx="24">
                  <c:v>-2.9535982800554494</c:v>
                </c:pt>
                <c:pt idx="25">
                  <c:v>-2.3968847278602752</c:v>
                </c:pt>
                <c:pt idx="26">
                  <c:v>-3.0572142422163049</c:v>
                </c:pt>
              </c:numCache>
            </c:numRef>
          </c:val>
          <c:smooth val="0"/>
          <c:extLst>
            <c:ext xmlns:c16="http://schemas.microsoft.com/office/drawing/2014/chart" uri="{C3380CC4-5D6E-409C-BE32-E72D297353CC}">
              <c16:uniqueId val="{00000001-95CB-480E-8600-4A18E2A92E4B}"/>
            </c:ext>
          </c:extLst>
        </c:ser>
        <c:ser>
          <c:idx val="2"/>
          <c:order val="2"/>
          <c:spPr>
            <a:ln w="9525" cap="rnd">
              <a:solidFill>
                <a:schemeClr val="tx1"/>
              </a:solidFill>
              <a:round/>
            </a:ln>
            <a:effectLst/>
          </c:spPr>
          <c:marker>
            <c:symbol val="none"/>
          </c:marker>
          <c:val>
            <c:numRef>
              <c:f>Hoja1!$AE$18:$AE$44</c:f>
              <c:numCache>
                <c:formatCode>General</c:formatCode>
                <c:ptCount val="2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smooth val="0"/>
          <c:extLst>
            <c:ext xmlns:c16="http://schemas.microsoft.com/office/drawing/2014/chart" uri="{C3380CC4-5D6E-409C-BE32-E72D297353CC}">
              <c16:uniqueId val="{00000002-95CB-480E-8600-4A18E2A92E4B}"/>
            </c:ext>
          </c:extLst>
        </c:ser>
        <c:dLbls>
          <c:showLegendKey val="0"/>
          <c:showVal val="0"/>
          <c:showCatName val="0"/>
          <c:showSerName val="0"/>
          <c:showPercent val="0"/>
          <c:showBubbleSize val="0"/>
        </c:dLbls>
        <c:marker val="1"/>
        <c:smooth val="0"/>
        <c:axId val="625274816"/>
        <c:axId val="625281376"/>
      </c:lineChart>
      <c:catAx>
        <c:axId val="5234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523479240"/>
        <c:crosses val="autoZero"/>
        <c:auto val="1"/>
        <c:lblAlgn val="ctr"/>
        <c:lblOffset val="100"/>
        <c:noMultiLvlLbl val="0"/>
      </c:catAx>
      <c:valAx>
        <c:axId val="523479240"/>
        <c:scaling>
          <c:orientation val="minMax"/>
        </c:scaling>
        <c:delete val="0"/>
        <c:axPos val="l"/>
        <c:title>
          <c:tx>
            <c:rich>
              <a:bodyPr rot="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a:t>
                </a:r>
              </a:p>
            </c:rich>
          </c:tx>
          <c:layout>
            <c:manualLayout>
              <c:xMode val="edge"/>
              <c:yMode val="edge"/>
              <c:x val="1.0591774081091035E-3"/>
              <c:y val="4.238651631079963E-3"/>
            </c:manualLayout>
          </c:layout>
          <c:overlay val="0"/>
          <c:spPr>
            <a:noFill/>
            <a:ln>
              <a:noFill/>
            </a:ln>
            <a:effectLst/>
          </c:spPr>
          <c:txPr>
            <a:bodyPr rot="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523482848"/>
        <c:crosses val="autoZero"/>
        <c:crossBetween val="between"/>
      </c:valAx>
      <c:valAx>
        <c:axId val="625281376"/>
        <c:scaling>
          <c:orientation val="minMax"/>
        </c:scaling>
        <c:delete val="0"/>
        <c:axPos val="r"/>
        <c:title>
          <c:tx>
            <c:rich>
              <a:bodyPr rot="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a:t>
                </a:r>
              </a:p>
            </c:rich>
          </c:tx>
          <c:layout>
            <c:manualLayout>
              <c:xMode val="edge"/>
              <c:yMode val="edge"/>
              <c:x val="0.96897502728709672"/>
              <c:y val="4.2386516310799743E-3"/>
            </c:manualLayout>
          </c:layout>
          <c:overlay val="0"/>
          <c:spPr>
            <a:noFill/>
            <a:ln>
              <a:noFill/>
            </a:ln>
            <a:effectLst/>
          </c:spPr>
          <c:txPr>
            <a:bodyPr rot="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crossAx val="625274816"/>
        <c:crosses val="max"/>
        <c:crossBetween val="between"/>
      </c:valAx>
      <c:catAx>
        <c:axId val="625274816"/>
        <c:scaling>
          <c:orientation val="minMax"/>
        </c:scaling>
        <c:delete val="1"/>
        <c:axPos val="b"/>
        <c:numFmt formatCode="General" sourceLinked="1"/>
        <c:majorTickMark val="out"/>
        <c:minorTickMark val="none"/>
        <c:tickLblPos val="nextTo"/>
        <c:crossAx val="625281376"/>
        <c:crosses val="autoZero"/>
        <c:auto val="1"/>
        <c:lblAlgn val="ctr"/>
        <c:lblOffset val="100"/>
        <c:noMultiLvlLbl val="0"/>
      </c:catAx>
      <c:spPr>
        <a:noFill/>
        <a:ln>
          <a:noFill/>
        </a:ln>
        <a:effectLst/>
      </c:spPr>
    </c:plotArea>
    <c:legend>
      <c:legendPos val="b"/>
      <c:legendEntry>
        <c:idx val="2"/>
        <c:delete val="1"/>
      </c:legendEntry>
      <c:layout>
        <c:manualLayout>
          <c:xMode val="edge"/>
          <c:yMode val="edge"/>
          <c:x val="0.17406283880717971"/>
          <c:y val="3.383243961793371E-2"/>
          <c:w val="0.60351957917638599"/>
          <c:h val="9.4592129629629623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Deuda con regla fiscal</c:v>
          </c:tx>
          <c:spPr>
            <a:ln w="28575" cap="rnd">
              <a:solidFill>
                <a:schemeClr val="tx1"/>
              </a:solidFill>
              <a:prstDash val="sysDot"/>
              <a:round/>
            </a:ln>
            <a:effectLst/>
          </c:spPr>
          <c:marker>
            <c:symbol val="none"/>
          </c:marker>
          <c:cat>
            <c:numRef>
              <c:f>'Ejercicio desde 2007'!$H$2:$S$2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2007'!$H$22:$S$22</c:f>
              <c:numCache>
                <c:formatCode>0.0%</c:formatCode>
                <c:ptCount val="11"/>
                <c:pt idx="0">
                  <c:v>0.31208329852156252</c:v>
                </c:pt>
                <c:pt idx="1">
                  <c:v>0.27730389819207429</c:v>
                </c:pt>
                <c:pt idx="2">
                  <c:v>0.31628059466695357</c:v>
                </c:pt>
                <c:pt idx="3">
                  <c:v>0.31191671486166733</c:v>
                </c:pt>
                <c:pt idx="4">
                  <c:v>0.3092522329869305</c:v>
                </c:pt>
                <c:pt idx="5">
                  <c:v>0.31541241528592867</c:v>
                </c:pt>
                <c:pt idx="6">
                  <c:v>0.33497630642646975</c:v>
                </c:pt>
                <c:pt idx="7">
                  <c:v>0.36222860742546087</c:v>
                </c:pt>
                <c:pt idx="8">
                  <c:v>0.37996062032150019</c:v>
                </c:pt>
                <c:pt idx="9">
                  <c:v>0.39194947637508953</c:v>
                </c:pt>
                <c:pt idx="10">
                  <c:v>0.41408390462315925</c:v>
                </c:pt>
              </c:numCache>
            </c:numRef>
          </c:val>
          <c:smooth val="0"/>
          <c:extLst>
            <c:ext xmlns:c16="http://schemas.microsoft.com/office/drawing/2014/chart" uri="{C3380CC4-5D6E-409C-BE32-E72D297353CC}">
              <c16:uniqueId val="{00000000-3E1D-43BF-BC1C-BE17E5CC4A65}"/>
            </c:ext>
          </c:extLst>
        </c:ser>
        <c:ser>
          <c:idx val="1"/>
          <c:order val="1"/>
          <c:tx>
            <c:v>Deuda observada</c:v>
          </c:tx>
          <c:spPr>
            <a:ln w="28575" cap="rnd">
              <a:solidFill>
                <a:schemeClr val="bg2">
                  <a:lumMod val="75000"/>
                </a:schemeClr>
              </a:solidFill>
              <a:round/>
            </a:ln>
            <a:effectLst/>
          </c:spPr>
          <c:marker>
            <c:symbol val="none"/>
          </c:marker>
          <c:cat>
            <c:numRef>
              <c:f>'Ejercicio desde 2007'!$H$2:$S$2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2007'!$H$42:$S$42</c:f>
              <c:numCache>
                <c:formatCode>0.0%</c:formatCode>
                <c:ptCount val="11"/>
                <c:pt idx="0">
                  <c:v>0.27101849007343759</c:v>
                </c:pt>
                <c:pt idx="1">
                  <c:v>0.241161000744849</c:v>
                </c:pt>
                <c:pt idx="2">
                  <c:v>0.26150811631953597</c:v>
                </c:pt>
                <c:pt idx="3">
                  <c:v>0.28378379326893644</c:v>
                </c:pt>
                <c:pt idx="4">
                  <c:v>0.29852630275373754</c:v>
                </c:pt>
                <c:pt idx="5">
                  <c:v>0.35342594555859974</c:v>
                </c:pt>
                <c:pt idx="6">
                  <c:v>0.35940659731812685</c:v>
                </c:pt>
                <c:pt idx="7">
                  <c:v>0.38546392565043136</c:v>
                </c:pt>
                <c:pt idx="8">
                  <c:v>0.40984552274213998</c:v>
                </c:pt>
                <c:pt idx="9">
                  <c:v>0.45208774762192727</c:v>
                </c:pt>
                <c:pt idx="10">
                  <c:v>0.49180191610994989</c:v>
                </c:pt>
              </c:numCache>
            </c:numRef>
          </c:val>
          <c:smooth val="0"/>
          <c:extLst>
            <c:ext xmlns:c16="http://schemas.microsoft.com/office/drawing/2014/chart" uri="{C3380CC4-5D6E-409C-BE32-E72D297353CC}">
              <c16:uniqueId val="{00000001-3E1D-43BF-BC1C-BE17E5CC4A65}"/>
            </c:ext>
          </c:extLst>
        </c:ser>
        <c:dLbls>
          <c:showLegendKey val="0"/>
          <c:showVal val="0"/>
          <c:showCatName val="0"/>
          <c:showSerName val="0"/>
          <c:showPercent val="0"/>
          <c:showBubbleSize val="0"/>
        </c:dLbls>
        <c:smooth val="0"/>
        <c:axId val="779068744"/>
        <c:axId val="779065136"/>
      </c:lineChart>
      <c:catAx>
        <c:axId val="779068744"/>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5400000" spcFirstLastPara="1" vertOverflow="ellipsis"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779065136"/>
        <c:crosses val="autoZero"/>
        <c:auto val="1"/>
        <c:lblAlgn val="ctr"/>
        <c:lblOffset val="100"/>
        <c:noMultiLvlLbl val="0"/>
      </c:catAx>
      <c:valAx>
        <c:axId val="779065136"/>
        <c:scaling>
          <c:orientation val="minMax"/>
          <c:max val="0.5"/>
          <c:min val="0.2"/>
        </c:scaling>
        <c:delete val="0"/>
        <c:axPos val="l"/>
        <c:title>
          <c:tx>
            <c:rich>
              <a:bodyPr rot="-54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CR" b="1"/>
                  <a:t>% del PIB</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title>
        <c:numFmt formatCode="0%" sourceLinked="0"/>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779068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Balance primario observado</c:v>
          </c:tx>
          <c:spPr>
            <a:ln w="28575" cap="rnd">
              <a:solidFill>
                <a:schemeClr val="bg2">
                  <a:lumMod val="75000"/>
                </a:schemeClr>
              </a:solidFill>
              <a:round/>
            </a:ln>
            <a:effectLst/>
          </c:spPr>
          <c:marker>
            <c:symbol val="none"/>
          </c:marker>
          <c:cat>
            <c:numRef>
              <c:f>'Ejercicio desde 2007'!$H$2:$S$2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2007'!$B$40:$S$40</c:f>
              <c:numCache>
                <c:formatCode>0.0%</c:formatCode>
                <c:ptCount val="11"/>
                <c:pt idx="0">
                  <c:v>3.5987118404255725E-2</c:v>
                </c:pt>
                <c:pt idx="1">
                  <c:v>2.2948072496378053E-2</c:v>
                </c:pt>
                <c:pt idx="2">
                  <c:v>-1.2153013302617722E-2</c:v>
                </c:pt>
                <c:pt idx="3">
                  <c:v>-2.9588761720650936E-2</c:v>
                </c:pt>
                <c:pt idx="4">
                  <c:v>-1.8529424969705627E-2</c:v>
                </c:pt>
                <c:pt idx="5">
                  <c:v>-2.2652682354989271E-2</c:v>
                </c:pt>
                <c:pt idx="6">
                  <c:v>-2.8300730860170317E-2</c:v>
                </c:pt>
                <c:pt idx="7">
                  <c:v>-3.0518304350499927E-2</c:v>
                </c:pt>
                <c:pt idx="8">
                  <c:v>-2.9582064573679866E-2</c:v>
                </c:pt>
                <c:pt idx="9">
                  <c:v>-2.44285548959782E-2</c:v>
                </c:pt>
                <c:pt idx="10">
                  <c:v>-3.05721424346686E-2</c:v>
                </c:pt>
              </c:numCache>
            </c:numRef>
          </c:val>
          <c:smooth val="0"/>
          <c:extLst>
            <c:ext xmlns:c16="http://schemas.microsoft.com/office/drawing/2014/chart" uri="{C3380CC4-5D6E-409C-BE32-E72D297353CC}">
              <c16:uniqueId val="{00000000-C13B-42D6-98FE-99FB2D9FFE88}"/>
            </c:ext>
          </c:extLst>
        </c:ser>
        <c:ser>
          <c:idx val="1"/>
          <c:order val="1"/>
          <c:tx>
            <c:v>Balance primario con regla fiscal</c:v>
          </c:tx>
          <c:spPr>
            <a:ln w="28575" cap="rnd">
              <a:solidFill>
                <a:sysClr val="windowText" lastClr="000000"/>
              </a:solidFill>
              <a:prstDash val="sysDot"/>
              <a:round/>
            </a:ln>
            <a:effectLst/>
          </c:spPr>
          <c:marker>
            <c:symbol val="none"/>
          </c:marker>
          <c:cat>
            <c:numRef>
              <c:f>'Ejercicio desde 2007'!$H$2:$S$2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2007'!$H$20:$S$20</c:f>
              <c:numCache>
                <c:formatCode>0.0%</c:formatCode>
                <c:ptCount val="11"/>
                <c:pt idx="0">
                  <c:v>1.5132118195161669E-3</c:v>
                </c:pt>
                <c:pt idx="1">
                  <c:v>2.2962047668136105E-2</c:v>
                </c:pt>
                <c:pt idx="2">
                  <c:v>-1.352269214165259E-2</c:v>
                </c:pt>
                <c:pt idx="3" formatCode="0.00%">
                  <c:v>-1.5205334369211496E-2</c:v>
                </c:pt>
                <c:pt idx="4" formatCode="0.00%">
                  <c:v>-9.7984654437720652E-3</c:v>
                </c:pt>
                <c:pt idx="5" formatCode="0.00%">
                  <c:v>-1.391562395027568E-2</c:v>
                </c:pt>
                <c:pt idx="6" formatCode="0.00%">
                  <c:v>-1.6154202153744579E-2</c:v>
                </c:pt>
                <c:pt idx="7" formatCode="0.00%">
                  <c:v>-1.4329927138858655E-2</c:v>
                </c:pt>
                <c:pt idx="8" formatCode="0.00%">
                  <c:v>-9.4013735654681577E-3</c:v>
                </c:pt>
                <c:pt idx="9" formatCode="0.00%">
                  <c:v>-5.9863496484420728E-3</c:v>
                </c:pt>
                <c:pt idx="10" formatCode="0.00%">
                  <c:v>-1.0926224634183756E-2</c:v>
                </c:pt>
              </c:numCache>
            </c:numRef>
          </c:val>
          <c:smooth val="0"/>
          <c:extLst>
            <c:ext xmlns:c16="http://schemas.microsoft.com/office/drawing/2014/chart" uri="{C3380CC4-5D6E-409C-BE32-E72D297353CC}">
              <c16:uniqueId val="{00000001-C13B-42D6-98FE-99FB2D9FFE88}"/>
            </c:ext>
          </c:extLst>
        </c:ser>
        <c:dLbls>
          <c:showLegendKey val="0"/>
          <c:showVal val="0"/>
          <c:showCatName val="0"/>
          <c:showSerName val="0"/>
          <c:showPercent val="0"/>
          <c:showBubbleSize val="0"/>
        </c:dLbls>
        <c:smooth val="0"/>
        <c:axId val="590472528"/>
        <c:axId val="590471872"/>
      </c:lineChart>
      <c:catAx>
        <c:axId val="590472528"/>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5400000" spcFirstLastPara="1" vertOverflow="ellipsis"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590471872"/>
        <c:crosses val="autoZero"/>
        <c:auto val="1"/>
        <c:lblAlgn val="ctr"/>
        <c:lblOffset val="100"/>
        <c:noMultiLvlLbl val="0"/>
      </c:catAx>
      <c:valAx>
        <c:axId val="590471872"/>
        <c:scaling>
          <c:orientation val="minMax"/>
        </c:scaling>
        <c:delete val="0"/>
        <c:axPos val="l"/>
        <c:title>
          <c:tx>
            <c:rich>
              <a:bodyPr rot="-54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CR" b="1"/>
                  <a:t>% del PIB</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title>
        <c:numFmt formatCode="0%" sourceLinked="0"/>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590472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Gasto corriente observado como % del PIB</c:v>
          </c:tx>
          <c:spPr>
            <a:ln w="28575" cap="rnd">
              <a:solidFill>
                <a:schemeClr val="bg1">
                  <a:lumMod val="75000"/>
                </a:schemeClr>
              </a:solidFill>
              <a:round/>
            </a:ln>
            <a:effectLst/>
          </c:spPr>
          <c:marker>
            <c:symbol val="none"/>
          </c:marker>
          <c:cat>
            <c:numRef>
              <c:f>'Ejercicio desde 2007'!$I$2:$S$2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2007'!$I$43:$S$43</c:f>
              <c:numCache>
                <c:formatCode>0.0%</c:formatCode>
                <c:ptCount val="11"/>
                <c:pt idx="0">
                  <c:v>0.13393522853246817</c:v>
                </c:pt>
                <c:pt idx="1">
                  <c:v>0.13158625836843804</c:v>
                </c:pt>
                <c:pt idx="2">
                  <c:v>0.15037951325580662</c:v>
                </c:pt>
                <c:pt idx="3">
                  <c:v>0.16716845427561491</c:v>
                </c:pt>
                <c:pt idx="4">
                  <c:v>0.16687116570123542</c:v>
                </c:pt>
                <c:pt idx="5">
                  <c:v>0.16874572470393467</c:v>
                </c:pt>
                <c:pt idx="6">
                  <c:v>0.17987439397220395</c:v>
                </c:pt>
                <c:pt idx="7">
                  <c:v>0.1785408181387648</c:v>
                </c:pt>
                <c:pt idx="8">
                  <c:v>0.18159406023916311</c:v>
                </c:pt>
                <c:pt idx="9">
                  <c:v>0.18121670717583274</c:v>
                </c:pt>
                <c:pt idx="10">
                  <c:v>0.18715352175350014</c:v>
                </c:pt>
              </c:numCache>
            </c:numRef>
          </c:val>
          <c:smooth val="0"/>
          <c:extLst>
            <c:ext xmlns:c16="http://schemas.microsoft.com/office/drawing/2014/chart" uri="{C3380CC4-5D6E-409C-BE32-E72D297353CC}">
              <c16:uniqueId val="{00000000-7A6E-47CE-B1BE-8D5D767584EF}"/>
            </c:ext>
          </c:extLst>
        </c:ser>
        <c:ser>
          <c:idx val="1"/>
          <c:order val="1"/>
          <c:tx>
            <c:v>Gasto corriente como % del PIb con regla</c:v>
          </c:tx>
          <c:spPr>
            <a:ln w="28575" cap="rnd">
              <a:solidFill>
                <a:schemeClr val="tx1"/>
              </a:solidFill>
              <a:prstDash val="sysDot"/>
              <a:round/>
            </a:ln>
            <a:effectLst/>
          </c:spPr>
          <c:marker>
            <c:symbol val="none"/>
          </c:marker>
          <c:cat>
            <c:numRef>
              <c:f>'Ejercicio desde 2007'!$I$2:$S$2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'Ejercicio desde 2007'!$I$24:$S$24</c:f>
              <c:numCache>
                <c:formatCode>0.0%</c:formatCode>
                <c:ptCount val="11"/>
                <c:pt idx="0">
                  <c:v>0.13803626012720885</c:v>
                </c:pt>
                <c:pt idx="1">
                  <c:v>0.14106593415936483</c:v>
                </c:pt>
                <c:pt idx="2">
                  <c:v>0.1503795133975232</c:v>
                </c:pt>
                <c:pt idx="3">
                  <c:v>0.15334700424857728</c:v>
                </c:pt>
                <c:pt idx="4">
                  <c:v>0.15758315141148743</c:v>
                </c:pt>
                <c:pt idx="5">
                  <c:v>0.1630494899680931</c:v>
                </c:pt>
                <c:pt idx="6">
                  <c:v>0.1600968395880491</c:v>
                </c:pt>
                <c:pt idx="7">
                  <c:v>0.15756724631204588</c:v>
                </c:pt>
                <c:pt idx="8">
                  <c:v>0.15719379002685629</c:v>
                </c:pt>
                <c:pt idx="9">
                  <c:v>0.15860346453349233</c:v>
                </c:pt>
                <c:pt idx="10">
                  <c:v>0.1611814947581878</c:v>
                </c:pt>
              </c:numCache>
            </c:numRef>
          </c:val>
          <c:smooth val="0"/>
          <c:extLst>
            <c:ext xmlns:c16="http://schemas.microsoft.com/office/drawing/2014/chart" uri="{C3380CC4-5D6E-409C-BE32-E72D297353CC}">
              <c16:uniqueId val="{00000001-7A6E-47CE-B1BE-8D5D767584EF}"/>
            </c:ext>
          </c:extLst>
        </c:ser>
        <c:dLbls>
          <c:showLegendKey val="0"/>
          <c:showVal val="0"/>
          <c:showCatName val="0"/>
          <c:showSerName val="0"/>
          <c:showPercent val="0"/>
          <c:showBubbleSize val="0"/>
        </c:dLbls>
        <c:smooth val="0"/>
        <c:axId val="815418056"/>
        <c:axId val="773351464"/>
      </c:lineChart>
      <c:catAx>
        <c:axId val="815418056"/>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5400000" spcFirstLastPara="1" vertOverflow="ellipsis"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773351464"/>
        <c:crosses val="autoZero"/>
        <c:auto val="1"/>
        <c:lblAlgn val="ctr"/>
        <c:lblOffset val="100"/>
        <c:noMultiLvlLbl val="0"/>
      </c:catAx>
      <c:valAx>
        <c:axId val="773351464"/>
        <c:scaling>
          <c:orientation val="minMax"/>
          <c:min val="0.1200000000000000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crossAx val="815418056"/>
        <c:crosses val="autoZero"/>
        <c:crossBetween val="between"/>
      </c:valAx>
      <c:spPr>
        <a:noFill/>
        <a:ln>
          <a:noFill/>
        </a:ln>
        <a:effectLst/>
      </c:spPr>
    </c:plotArea>
    <c:legend>
      <c:legendPos val="b"/>
      <c:layout>
        <c:manualLayout>
          <c:xMode val="edge"/>
          <c:yMode val="edge"/>
          <c:x val="0"/>
          <c:y val="0.83226523767862348"/>
          <c:w val="1"/>
          <c:h val="0.13995698454359873"/>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C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es-CR"/>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327BDA216C67408DD86CB4F926E00C" ma:contentTypeVersion="872" ma:contentTypeDescription="The base project type from which other project content types inherit their information." ma:contentTypeScope="" ma:versionID="02449efa684c768ee149debd8fcda4db">
  <xsd:schema xmlns:xsd="http://www.w3.org/2001/XMLSchema" xmlns:xs="http://www.w3.org/2001/XMLSchema" xmlns:p="http://schemas.microsoft.com/office/2006/metadata/properties" xmlns:ns2="cdc7663a-08f0-4737-9e8c-148ce897a09c" targetNamespace="http://schemas.microsoft.com/office/2006/metadata/properties" ma:root="true" ma:fieldsID="ee336ed75f65da3c1de9b343795deb9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0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327BDA216C67408DD86CB4F926E00C" ma:contentTypeVersion="900" ma:contentTypeDescription="The base project type from which other project content types inherit their information." ma:contentTypeScope="" ma:versionID="951e7317b35bc2e68efb04534ea9ae97">
  <xsd:schema xmlns:xsd="http://www.w3.org/2001/XMLSchema" xmlns:xs="http://www.w3.org/2001/XMLSchema" xmlns:p="http://schemas.microsoft.com/office/2006/metadata/properties" xmlns:ns2="cdc7663a-08f0-4737-9e8c-148ce897a09c" targetNamespace="http://schemas.microsoft.com/office/2006/metadata/properties" ma:root="true" ma:fieldsID="22c1326738ece037cfa0320199d08f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0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Barreix, Alberto Daniel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24</Value>
      <Value>3</Value>
      <Value>142</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CR-L1081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R0002933107</Record_x0020_Number>
    <_dlc_DocId xmlns="cdc7663a-08f0-4737-9e8c-148ce897a09c">EZSHARE-168960212-9</_dlc_DocId>
    <_dlc_DocIdUrl xmlns="cdc7663a-08f0-4737-9e8c-148ce897a09c">
      <Url>https://idbg.sharepoint.com/teams/EZ-CR-LON/CR-L1081/_layouts/15/DocIdRedir.aspx?ID=EZSHARE-168960212-9</Url>
      <Description>EZSHARE-168960212-9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80323C379A84B894CE83F2406570A" ma:contentTypeVersion="1187" ma:contentTypeDescription="A content type to manage public (operations) IDB documents" ma:contentTypeScope="" ma:versionID="dd127f36ccdd4005a1e30d92f442077d">
  <xsd:schema xmlns:xsd="http://www.w3.org/2001/XMLSchema" xmlns:xs="http://www.w3.org/2001/XMLSchema" xmlns:p="http://schemas.microsoft.com/office/2006/metadata/properties" xmlns:ns2="cdc7663a-08f0-4737-9e8c-148ce897a09c" targetNamespace="http://schemas.microsoft.com/office/2006/metadata/properties" ma:root="true" ma:fieldsID="ad13605fb7ab47dcc04516f43d84d4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39EF63-1054-42DB-980A-2577FB2E4E96}">
  <ds:schemaRefs>
    <ds:schemaRef ds:uri="http://schemas.openxmlformats.org/officeDocument/2006/bibliography"/>
  </ds:schemaRefs>
</ds:datastoreItem>
</file>

<file path=customXml/itemProps10.xml><?xml version="1.0" encoding="utf-8"?>
<ds:datastoreItem xmlns:ds="http://schemas.openxmlformats.org/officeDocument/2006/customXml" ds:itemID="{7EFC3E03-F45F-4506-BFF5-E657FE37328F}"/>
</file>

<file path=customXml/itemProps2.xml><?xml version="1.0" encoding="utf-8"?>
<ds:datastoreItem xmlns:ds="http://schemas.openxmlformats.org/officeDocument/2006/customXml" ds:itemID="{44F38FA0-8312-4131-9A22-D09FA7F3CBB5}"/>
</file>

<file path=customXml/itemProps3.xml><?xml version="1.0" encoding="utf-8"?>
<ds:datastoreItem xmlns:ds="http://schemas.openxmlformats.org/officeDocument/2006/customXml" ds:itemID="{2C97F87F-A039-42D4-8894-0522ECA18248}"/>
</file>

<file path=customXml/itemProps4.xml><?xml version="1.0" encoding="utf-8"?>
<ds:datastoreItem xmlns:ds="http://schemas.openxmlformats.org/officeDocument/2006/customXml" ds:itemID="{47DD8B60-4209-44B1-9DAB-EDB7461D9D86}"/>
</file>

<file path=customXml/itemProps5.xml><?xml version="1.0" encoding="utf-8"?>
<ds:datastoreItem xmlns:ds="http://schemas.openxmlformats.org/officeDocument/2006/customXml" ds:itemID="{3E0DCAC4-DB0F-4DB4-B86E-A3B32FE0579D}"/>
</file>

<file path=customXml/itemProps6.xml><?xml version="1.0" encoding="utf-8"?>
<ds:datastoreItem xmlns:ds="http://schemas.openxmlformats.org/officeDocument/2006/customXml" ds:itemID="{20F5AD54-AB87-40E9-8E4F-E297FC50738D}"/>
</file>

<file path=customXml/itemProps7.xml><?xml version="1.0" encoding="utf-8"?>
<ds:datastoreItem xmlns:ds="http://schemas.openxmlformats.org/officeDocument/2006/customXml" ds:itemID="{4DF687D0-9D48-48BB-BDCD-481FB57B2306}"/>
</file>

<file path=customXml/itemProps8.xml><?xml version="1.0" encoding="utf-8"?>
<ds:datastoreItem xmlns:ds="http://schemas.openxmlformats.org/officeDocument/2006/customXml" ds:itemID="{14525EE2-6AF4-43ED-95DD-EA4C3485E0C2}"/>
</file>

<file path=customXml/itemProps9.xml><?xml version="1.0" encoding="utf-8"?>
<ds:datastoreItem xmlns:ds="http://schemas.openxmlformats.org/officeDocument/2006/customXml" ds:itemID="{5D0C8579-0039-44D3-A9E0-E5F2E715CECD}"/>
</file>

<file path=docProps/app.xml><?xml version="1.0" encoding="utf-8"?>
<Properties xmlns="http://schemas.openxmlformats.org/officeDocument/2006/extended-properties" xmlns:vt="http://schemas.openxmlformats.org/officeDocument/2006/docPropsVTypes">
  <Template>Normal</Template>
  <TotalTime>33</TotalTime>
  <Pages>3</Pages>
  <Words>5918</Words>
  <Characters>32550</Characters>
  <Application>Microsoft Office Word</Application>
  <DocSecurity>0</DocSecurity>
  <Lines>271</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Aguero</dc:creator>
  <cp:keywords/>
  <dc:description/>
  <cp:lastModifiedBy>Corrales Lara, Luis Fernando</cp:lastModifiedBy>
  <cp:revision>21</cp:revision>
  <cp:lastPrinted>2019-03-27T18:04:00Z</cp:lastPrinted>
  <dcterms:created xsi:type="dcterms:W3CDTF">2019-03-19T16:27:00Z</dcterms:created>
  <dcterms:modified xsi:type="dcterms:W3CDTF">2019-03-27T18:04:00Z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142;#FISCAL POLICY FOR SUSTAINABILITY AND GROWTH|6e15b5e0-ae82-4b06-920a-eef6dd27cc8b</vt:lpwstr>
  </property>
  <property fmtid="{D5CDD505-2E9C-101B-9397-08002B2CF9AE}" pid="7" name="Fund IDB">
    <vt:lpwstr>24;#ORC|c028a4b2-ad8b-4cf4-9cac-a2ae6a778e23</vt:lpwstr>
  </property>
  <property fmtid="{D5CDD505-2E9C-101B-9397-08002B2CF9AE}" pid="8" name="Country">
    <vt:lpwstr>26;#Costa Rica|70401352-ba64-401d-af16-55c448a66295</vt:lpwstr>
  </property>
  <property fmtid="{D5CDD505-2E9C-101B-9397-08002B2CF9AE}" pid="9" name="Sector IDB">
    <vt:lpwstr>85;#REFORM / MODERNIZATION OF THE STATE|c8fda4a7-691a-4c65-b227-9825197b5cd2</vt:lpwstr>
  </property>
  <property fmtid="{D5CDD505-2E9C-101B-9397-08002B2CF9AE}" pid="10" name="Function Operations IDB">
    <vt:lpwstr>3;#Project Administration|751f71fd-1433-4702-a2db-ff12a4e45594</vt:lpwstr>
  </property>
  <property fmtid="{D5CDD505-2E9C-101B-9397-08002B2CF9AE}" pid="11" name="_dlc_DocIdItemGuid">
    <vt:lpwstr>69e436b3-f187-4769-89ce-1935f941989f</vt:lpwstr>
  </property>
  <property fmtid="{D5CDD505-2E9C-101B-9397-08002B2CF9AE}" pid="12" name="Disclosure Activity">
    <vt:lpwstr>Loan Proposal</vt:lpwstr>
  </property>
  <property fmtid="{D5CDD505-2E9C-101B-9397-08002B2CF9AE}" pid="13" name="ContentTypeId">
    <vt:lpwstr>0x0101001A458A224826124E8B45B1D613300CFC0079F80323C379A84B894CE83F2406570A</vt:lpwstr>
  </property>
</Properties>
</file>