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9DCD2D" w14:textId="77777777" w:rsidR="00D43D6F" w:rsidRDefault="003676C1">
      <w:pPr>
        <w:spacing w:before="200" w:after="200"/>
        <w:jc w:val="center"/>
      </w:pPr>
      <w:r>
        <w:rPr>
          <w:rFonts w:ascii="Arial" w:hAnsi="Arial" w:cs="Arial"/>
          <w:b/>
        </w:rPr>
        <w:t>TC ABSTRACT</w:t>
      </w:r>
    </w:p>
    <w:p w14:paraId="779DCD2E" w14:textId="77777777" w:rsidR="00D43D6F" w:rsidRDefault="003676C1">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24"/>
        <w:gridCol w:w="4996"/>
      </w:tblGrid>
      <w:tr w:rsidR="004F01B7" w14:paraId="779DCD31" w14:textId="77777777" w:rsidTr="068EBDB8">
        <w:trPr>
          <w:jc w:val="center"/>
        </w:trPr>
        <w:tc>
          <w:tcPr>
            <w:tcW w:w="4114" w:type="dxa"/>
          </w:tcPr>
          <w:p w14:paraId="779DCD2F" w14:textId="77777777" w:rsidR="00D43D6F" w:rsidRDefault="003676C1">
            <w:pPr>
              <w:spacing w:before="40" w:after="40"/>
              <w:ind w:left="115" w:hanging="115"/>
            </w:pPr>
            <w:r>
              <w:rPr>
                <w:rFonts w:ascii="Arial" w:hAnsi="Arial" w:cs="Arial"/>
                <w:sz w:val="18"/>
                <w:szCs w:val="18"/>
              </w:rPr>
              <w:t>▪ Country/Region:</w:t>
            </w:r>
          </w:p>
        </w:tc>
        <w:tc>
          <w:tcPr>
            <w:tcW w:w="5128" w:type="dxa"/>
          </w:tcPr>
          <w:p w14:paraId="779DCD30" w14:textId="10E24E95" w:rsidR="00D43D6F" w:rsidRDefault="003676C1">
            <w:pPr>
              <w:spacing w:before="40" w:after="40"/>
            </w:pPr>
            <w:r>
              <w:rPr>
                <w:rFonts w:ascii="Arial" w:hAnsi="Arial" w:cs="Arial"/>
                <w:sz w:val="18"/>
                <w:szCs w:val="18"/>
              </w:rPr>
              <w:t>R</w:t>
            </w:r>
            <w:r w:rsidR="008C2661">
              <w:rPr>
                <w:rFonts w:ascii="Arial" w:hAnsi="Arial" w:cs="Arial"/>
                <w:sz w:val="18"/>
                <w:szCs w:val="18"/>
              </w:rPr>
              <w:t>egional</w:t>
            </w:r>
          </w:p>
        </w:tc>
      </w:tr>
      <w:tr w:rsidR="004F01B7" w14:paraId="779DCD34" w14:textId="77777777" w:rsidTr="068EBDB8">
        <w:trPr>
          <w:jc w:val="center"/>
        </w:trPr>
        <w:tc>
          <w:tcPr>
            <w:tcW w:w="4114" w:type="dxa"/>
          </w:tcPr>
          <w:p w14:paraId="779DCD32" w14:textId="77777777" w:rsidR="00D43D6F" w:rsidRDefault="003676C1">
            <w:pPr>
              <w:spacing w:before="40" w:after="40"/>
              <w:ind w:left="115" w:hanging="115"/>
            </w:pPr>
            <w:r>
              <w:rPr>
                <w:rFonts w:ascii="Arial" w:hAnsi="Arial" w:cs="Arial"/>
                <w:sz w:val="18"/>
                <w:szCs w:val="18"/>
              </w:rPr>
              <w:t>▪ TC Name:</w:t>
            </w:r>
          </w:p>
        </w:tc>
        <w:tc>
          <w:tcPr>
            <w:tcW w:w="5128" w:type="dxa"/>
          </w:tcPr>
          <w:p w14:paraId="779DCD33" w14:textId="77777777" w:rsidR="00D43D6F" w:rsidRDefault="003676C1">
            <w:pPr>
              <w:spacing w:before="40" w:after="40"/>
            </w:pPr>
            <w:r>
              <w:rPr>
                <w:rFonts w:ascii="Arial" w:hAnsi="Arial" w:cs="Arial"/>
                <w:sz w:val="18"/>
                <w:szCs w:val="18"/>
              </w:rPr>
              <w:t>Enabling Energy Storage Markets in LAC for a Resilient, Low-Carbon Multisector Coupling</w:t>
            </w:r>
          </w:p>
        </w:tc>
      </w:tr>
      <w:tr w:rsidR="004F01B7" w14:paraId="779DCD37" w14:textId="77777777" w:rsidTr="068EBDB8">
        <w:trPr>
          <w:jc w:val="center"/>
        </w:trPr>
        <w:tc>
          <w:tcPr>
            <w:tcW w:w="4114" w:type="dxa"/>
          </w:tcPr>
          <w:p w14:paraId="779DCD35" w14:textId="77777777" w:rsidR="00D43D6F" w:rsidRDefault="003676C1">
            <w:pPr>
              <w:spacing w:before="40" w:after="40"/>
              <w:ind w:left="115" w:hanging="115"/>
            </w:pPr>
            <w:r>
              <w:rPr>
                <w:rFonts w:ascii="Arial" w:hAnsi="Arial" w:cs="Arial"/>
                <w:sz w:val="18"/>
                <w:szCs w:val="18"/>
              </w:rPr>
              <w:t>▪ TC Number:</w:t>
            </w:r>
          </w:p>
        </w:tc>
        <w:tc>
          <w:tcPr>
            <w:tcW w:w="5128" w:type="dxa"/>
          </w:tcPr>
          <w:p w14:paraId="779DCD36" w14:textId="77777777" w:rsidR="00D43D6F" w:rsidRDefault="003676C1">
            <w:pPr>
              <w:spacing w:before="40" w:after="40"/>
            </w:pPr>
            <w:r>
              <w:rPr>
                <w:rFonts w:ascii="Arial" w:hAnsi="Arial" w:cs="Arial"/>
                <w:sz w:val="18"/>
                <w:szCs w:val="18"/>
              </w:rPr>
              <w:t>RG-T3801</w:t>
            </w:r>
          </w:p>
        </w:tc>
      </w:tr>
      <w:tr w:rsidR="004F01B7" w:rsidRPr="00CD403D" w14:paraId="779DCD3A" w14:textId="77777777" w:rsidTr="068EBDB8">
        <w:trPr>
          <w:jc w:val="center"/>
        </w:trPr>
        <w:tc>
          <w:tcPr>
            <w:tcW w:w="4114" w:type="dxa"/>
          </w:tcPr>
          <w:p w14:paraId="779DCD38" w14:textId="77777777" w:rsidR="00D43D6F" w:rsidRDefault="003676C1">
            <w:pPr>
              <w:spacing w:before="40" w:after="40"/>
              <w:ind w:left="115" w:hanging="115"/>
            </w:pPr>
            <w:r>
              <w:rPr>
                <w:rFonts w:ascii="Arial" w:hAnsi="Arial" w:cs="Arial"/>
                <w:sz w:val="18"/>
                <w:szCs w:val="18"/>
              </w:rPr>
              <w:t>▪ Team Leader/Members:</w:t>
            </w:r>
          </w:p>
        </w:tc>
        <w:tc>
          <w:tcPr>
            <w:tcW w:w="5128" w:type="dxa"/>
          </w:tcPr>
          <w:p w14:paraId="779DCD39" w14:textId="0FC1A1F2" w:rsidR="00D43D6F" w:rsidRPr="00CD403D" w:rsidRDefault="005D3EEC" w:rsidP="00CD403D">
            <w:pPr>
              <w:spacing w:before="40" w:after="40"/>
              <w:jc w:val="both"/>
            </w:pPr>
            <w:r w:rsidRPr="00CD403D">
              <w:rPr>
                <w:rFonts w:ascii="Arial" w:hAnsi="Arial" w:cs="Arial"/>
                <w:sz w:val="18"/>
                <w:szCs w:val="18"/>
              </w:rPr>
              <w:t xml:space="preserve">Edwin </w:t>
            </w:r>
            <w:proofErr w:type="spellStart"/>
            <w:r w:rsidR="003676C1" w:rsidRPr="00CD403D">
              <w:rPr>
                <w:rFonts w:ascii="Arial" w:hAnsi="Arial" w:cs="Arial"/>
                <w:sz w:val="18"/>
                <w:szCs w:val="18"/>
              </w:rPr>
              <w:t>M</w:t>
            </w:r>
            <w:r w:rsidRPr="00CD403D">
              <w:rPr>
                <w:rFonts w:ascii="Arial" w:hAnsi="Arial" w:cs="Arial"/>
                <w:sz w:val="18"/>
                <w:szCs w:val="18"/>
              </w:rPr>
              <w:t>alagón</w:t>
            </w:r>
            <w:proofErr w:type="spellEnd"/>
            <w:r w:rsidRPr="00CD403D">
              <w:rPr>
                <w:rFonts w:ascii="Arial" w:hAnsi="Arial" w:cs="Arial"/>
                <w:sz w:val="18"/>
                <w:szCs w:val="18"/>
              </w:rPr>
              <w:t xml:space="preserve"> </w:t>
            </w:r>
            <w:r w:rsidR="003676C1" w:rsidRPr="00CD403D">
              <w:rPr>
                <w:rFonts w:ascii="Arial" w:hAnsi="Arial" w:cs="Arial"/>
                <w:sz w:val="18"/>
                <w:szCs w:val="18"/>
              </w:rPr>
              <w:t>(INE/ENE)</w:t>
            </w:r>
            <w:r w:rsidRPr="00CD403D">
              <w:rPr>
                <w:rFonts w:ascii="Arial" w:hAnsi="Arial" w:cs="Arial"/>
                <w:sz w:val="18"/>
                <w:szCs w:val="18"/>
              </w:rPr>
              <w:t>,</w:t>
            </w:r>
            <w:r w:rsidR="003676C1" w:rsidRPr="00CD403D">
              <w:rPr>
                <w:rFonts w:ascii="Arial" w:hAnsi="Arial" w:cs="Arial"/>
                <w:sz w:val="18"/>
                <w:szCs w:val="18"/>
              </w:rPr>
              <w:t xml:space="preserve"> Team Leader; M</w:t>
            </w:r>
            <w:r w:rsidRPr="00CD403D">
              <w:rPr>
                <w:rFonts w:ascii="Arial" w:hAnsi="Arial" w:cs="Arial"/>
                <w:sz w:val="18"/>
                <w:szCs w:val="18"/>
              </w:rPr>
              <w:t xml:space="preserve">arcelino Madrigal </w:t>
            </w:r>
            <w:r w:rsidR="003676C1" w:rsidRPr="00CD403D">
              <w:rPr>
                <w:rFonts w:ascii="Arial" w:hAnsi="Arial" w:cs="Arial"/>
                <w:sz w:val="18"/>
                <w:szCs w:val="18"/>
              </w:rPr>
              <w:t>(INE/ENE)</w:t>
            </w:r>
            <w:r w:rsidRPr="00CD403D">
              <w:rPr>
                <w:rFonts w:ascii="Arial" w:hAnsi="Arial" w:cs="Arial"/>
                <w:sz w:val="18"/>
                <w:szCs w:val="18"/>
              </w:rPr>
              <w:t>,</w:t>
            </w:r>
            <w:r w:rsidR="003676C1" w:rsidRPr="00CD403D">
              <w:rPr>
                <w:rFonts w:ascii="Arial" w:hAnsi="Arial" w:cs="Arial"/>
                <w:sz w:val="18"/>
                <w:szCs w:val="18"/>
              </w:rPr>
              <w:t xml:space="preserve"> Alternate Team Leader; C</w:t>
            </w:r>
            <w:r w:rsidR="007E0AAB" w:rsidRPr="00CD403D">
              <w:rPr>
                <w:rFonts w:ascii="Arial" w:hAnsi="Arial" w:cs="Arial"/>
                <w:sz w:val="18"/>
                <w:szCs w:val="18"/>
              </w:rPr>
              <w:t xml:space="preserve">ecilia Correa </w:t>
            </w:r>
            <w:r w:rsidR="003676C1" w:rsidRPr="00CD403D">
              <w:rPr>
                <w:rFonts w:ascii="Arial" w:hAnsi="Arial" w:cs="Arial"/>
                <w:sz w:val="18"/>
                <w:szCs w:val="18"/>
              </w:rPr>
              <w:t>(INE/ENE);</w:t>
            </w:r>
            <w:r w:rsidR="00073811" w:rsidRPr="00CD403D">
              <w:rPr>
                <w:rFonts w:ascii="Arial" w:hAnsi="Arial" w:cs="Arial"/>
                <w:sz w:val="18"/>
                <w:szCs w:val="18"/>
              </w:rPr>
              <w:t xml:space="preserve"> </w:t>
            </w:r>
            <w:r w:rsidR="003676C1" w:rsidRPr="00CD403D">
              <w:rPr>
                <w:rFonts w:ascii="Arial" w:hAnsi="Arial" w:cs="Arial"/>
                <w:sz w:val="18"/>
                <w:szCs w:val="18"/>
              </w:rPr>
              <w:t>F</w:t>
            </w:r>
            <w:r w:rsidR="00073811" w:rsidRPr="00CD403D">
              <w:rPr>
                <w:rFonts w:ascii="Arial" w:hAnsi="Arial" w:cs="Arial"/>
                <w:sz w:val="18"/>
                <w:szCs w:val="18"/>
              </w:rPr>
              <w:t>idel Márquez</w:t>
            </w:r>
            <w:r w:rsidR="003676C1" w:rsidRPr="00CD403D">
              <w:rPr>
                <w:rFonts w:ascii="Arial" w:hAnsi="Arial" w:cs="Arial"/>
                <w:sz w:val="18"/>
                <w:szCs w:val="18"/>
              </w:rPr>
              <w:t xml:space="preserve"> (INE/ENE); </w:t>
            </w:r>
            <w:r w:rsidR="00073811" w:rsidRPr="00CD403D">
              <w:rPr>
                <w:rFonts w:ascii="Arial" w:hAnsi="Arial" w:cs="Arial"/>
                <w:sz w:val="18"/>
                <w:szCs w:val="18"/>
              </w:rPr>
              <w:t xml:space="preserve">Virginia </w:t>
            </w:r>
            <w:r w:rsidR="003676C1" w:rsidRPr="00CD403D">
              <w:rPr>
                <w:rFonts w:ascii="Arial" w:hAnsi="Arial" w:cs="Arial"/>
                <w:sz w:val="18"/>
                <w:szCs w:val="18"/>
              </w:rPr>
              <w:t>S</w:t>
            </w:r>
            <w:r w:rsidR="00073811" w:rsidRPr="00CD403D">
              <w:rPr>
                <w:rFonts w:ascii="Arial" w:hAnsi="Arial" w:cs="Arial"/>
                <w:sz w:val="18"/>
                <w:szCs w:val="18"/>
              </w:rPr>
              <w:t xml:space="preserve">nyder </w:t>
            </w:r>
            <w:r w:rsidR="003676C1" w:rsidRPr="00CD403D">
              <w:rPr>
                <w:rFonts w:ascii="Arial" w:hAnsi="Arial" w:cs="Arial"/>
                <w:sz w:val="18"/>
                <w:szCs w:val="18"/>
              </w:rPr>
              <w:t xml:space="preserve">(INE/ENE); </w:t>
            </w:r>
            <w:r w:rsidR="00BA60DC" w:rsidRPr="00CD403D">
              <w:rPr>
                <w:rFonts w:ascii="Arial" w:hAnsi="Arial" w:cs="Arial"/>
                <w:sz w:val="18"/>
                <w:szCs w:val="18"/>
              </w:rPr>
              <w:t xml:space="preserve">Michelle </w:t>
            </w:r>
            <w:r w:rsidR="003676C1" w:rsidRPr="00CD403D">
              <w:rPr>
                <w:rFonts w:ascii="Arial" w:hAnsi="Arial" w:cs="Arial"/>
                <w:sz w:val="18"/>
                <w:szCs w:val="18"/>
              </w:rPr>
              <w:t>C</w:t>
            </w:r>
            <w:r w:rsidR="00073811" w:rsidRPr="00CD403D">
              <w:rPr>
                <w:rFonts w:ascii="Arial" w:hAnsi="Arial" w:cs="Arial"/>
                <w:sz w:val="18"/>
                <w:szCs w:val="18"/>
              </w:rPr>
              <w:t xml:space="preserve">arvalho </w:t>
            </w:r>
            <w:r w:rsidR="003676C1" w:rsidRPr="00CD403D">
              <w:rPr>
                <w:rFonts w:ascii="Arial" w:hAnsi="Arial" w:cs="Arial"/>
                <w:sz w:val="18"/>
                <w:szCs w:val="18"/>
              </w:rPr>
              <w:t>(INE/ENE);</w:t>
            </w:r>
            <w:r w:rsidR="00BA60DC" w:rsidRPr="00CD403D">
              <w:rPr>
                <w:rFonts w:ascii="Arial" w:hAnsi="Arial" w:cs="Arial"/>
                <w:sz w:val="18"/>
                <w:szCs w:val="18"/>
              </w:rPr>
              <w:t xml:space="preserve"> Juan Paredes </w:t>
            </w:r>
            <w:r w:rsidR="003676C1" w:rsidRPr="00CD403D">
              <w:rPr>
                <w:rFonts w:ascii="Arial" w:hAnsi="Arial" w:cs="Arial"/>
                <w:sz w:val="18"/>
                <w:szCs w:val="18"/>
              </w:rPr>
              <w:t xml:space="preserve">(INE/ENE); </w:t>
            </w:r>
            <w:r w:rsidR="00ED49D1" w:rsidRPr="00CD403D">
              <w:rPr>
                <w:rFonts w:ascii="Arial" w:hAnsi="Arial" w:cs="Arial"/>
                <w:sz w:val="18"/>
                <w:szCs w:val="18"/>
              </w:rPr>
              <w:t>Augusto Bonzi</w:t>
            </w:r>
            <w:r w:rsidR="003676C1" w:rsidRPr="00CD403D">
              <w:rPr>
                <w:rFonts w:ascii="Arial" w:hAnsi="Arial" w:cs="Arial"/>
                <w:sz w:val="18"/>
                <w:szCs w:val="18"/>
              </w:rPr>
              <w:t>;</w:t>
            </w:r>
            <w:r w:rsidR="004F01B7" w:rsidRPr="00CD403D">
              <w:rPr>
                <w:rFonts w:ascii="Arial" w:hAnsi="Arial" w:cs="Arial"/>
                <w:sz w:val="18"/>
                <w:szCs w:val="18"/>
              </w:rPr>
              <w:t xml:space="preserve"> Sergio </w:t>
            </w:r>
            <w:proofErr w:type="spellStart"/>
            <w:r w:rsidR="004F01B7" w:rsidRPr="00CD403D">
              <w:rPr>
                <w:rFonts w:ascii="Arial" w:hAnsi="Arial" w:cs="Arial"/>
                <w:sz w:val="18"/>
                <w:szCs w:val="18"/>
              </w:rPr>
              <w:t>Ballón</w:t>
            </w:r>
            <w:proofErr w:type="spellEnd"/>
            <w:r w:rsidR="004F01B7" w:rsidRPr="00CD403D">
              <w:rPr>
                <w:rFonts w:ascii="Arial" w:hAnsi="Arial" w:cs="Arial"/>
                <w:sz w:val="18"/>
                <w:szCs w:val="18"/>
              </w:rPr>
              <w:t>; Héctor Baldivieso;</w:t>
            </w:r>
            <w:r w:rsidR="00CA4C25" w:rsidRPr="00CD403D">
              <w:rPr>
                <w:rFonts w:ascii="Arial" w:hAnsi="Arial" w:cs="Arial"/>
                <w:sz w:val="18"/>
                <w:szCs w:val="18"/>
              </w:rPr>
              <w:t xml:space="preserve"> Kenol Thys; Alexandra Planas</w:t>
            </w:r>
            <w:r w:rsidR="00946784" w:rsidRPr="00CD403D">
              <w:rPr>
                <w:rFonts w:ascii="Arial" w:hAnsi="Arial" w:cs="Arial"/>
                <w:sz w:val="18"/>
                <w:szCs w:val="18"/>
              </w:rPr>
              <w:t>; Javier García;</w:t>
            </w:r>
            <w:r w:rsidR="00CD403D" w:rsidRPr="00CD403D">
              <w:rPr>
                <w:rFonts w:ascii="Arial" w:hAnsi="Arial" w:cs="Arial"/>
                <w:sz w:val="18"/>
                <w:szCs w:val="18"/>
              </w:rPr>
              <w:t xml:space="preserve"> Carlos </w:t>
            </w:r>
            <w:proofErr w:type="spellStart"/>
            <w:r w:rsidR="00CD403D" w:rsidRPr="00CD403D">
              <w:rPr>
                <w:rFonts w:ascii="Arial" w:hAnsi="Arial" w:cs="Arial"/>
                <w:sz w:val="18"/>
                <w:szCs w:val="18"/>
              </w:rPr>
              <w:t>E</w:t>
            </w:r>
            <w:r w:rsidR="00CD403D">
              <w:rPr>
                <w:rFonts w:ascii="Arial" w:hAnsi="Arial" w:cs="Arial"/>
                <w:sz w:val="18"/>
                <w:szCs w:val="18"/>
              </w:rPr>
              <w:t>chevarría</w:t>
            </w:r>
            <w:proofErr w:type="spellEnd"/>
            <w:r w:rsidR="00CD403D">
              <w:rPr>
                <w:rFonts w:ascii="Arial" w:hAnsi="Arial" w:cs="Arial"/>
                <w:sz w:val="18"/>
                <w:szCs w:val="18"/>
              </w:rPr>
              <w:t>;</w:t>
            </w:r>
            <w:r w:rsidR="003676C1" w:rsidRPr="00CD403D">
              <w:rPr>
                <w:rFonts w:ascii="Arial" w:hAnsi="Arial" w:cs="Arial"/>
                <w:sz w:val="18"/>
                <w:szCs w:val="18"/>
              </w:rPr>
              <w:t xml:space="preserve"> </w:t>
            </w:r>
            <w:r w:rsidR="00ED49D1" w:rsidRPr="00CD403D">
              <w:rPr>
                <w:rFonts w:ascii="Arial" w:hAnsi="Arial" w:cs="Arial"/>
                <w:sz w:val="18"/>
                <w:szCs w:val="18"/>
              </w:rPr>
              <w:t xml:space="preserve">Stephanie Suber </w:t>
            </w:r>
            <w:r w:rsidR="003676C1" w:rsidRPr="00CD403D">
              <w:rPr>
                <w:rFonts w:ascii="Arial" w:hAnsi="Arial" w:cs="Arial"/>
                <w:sz w:val="18"/>
                <w:szCs w:val="18"/>
              </w:rPr>
              <w:t>(INE/ENE);</w:t>
            </w:r>
            <w:r w:rsidR="004F01B7" w:rsidRPr="00CD403D">
              <w:rPr>
                <w:rFonts w:ascii="Arial" w:hAnsi="Arial" w:cs="Arial"/>
                <w:sz w:val="18"/>
                <w:szCs w:val="18"/>
              </w:rPr>
              <w:t xml:space="preserve"> </w:t>
            </w:r>
            <w:r w:rsidR="003676C1" w:rsidRPr="00CD403D">
              <w:rPr>
                <w:rFonts w:ascii="Arial" w:hAnsi="Arial" w:cs="Arial"/>
                <w:sz w:val="18"/>
                <w:szCs w:val="18"/>
              </w:rPr>
              <w:t>R</w:t>
            </w:r>
            <w:r w:rsidR="00590C41" w:rsidRPr="00CD403D">
              <w:rPr>
                <w:rFonts w:ascii="Arial" w:hAnsi="Arial" w:cs="Arial"/>
                <w:sz w:val="18"/>
                <w:szCs w:val="18"/>
              </w:rPr>
              <w:t>aúl</w:t>
            </w:r>
            <w:r w:rsidR="003676C1" w:rsidRPr="00CD403D">
              <w:rPr>
                <w:rFonts w:ascii="Arial" w:hAnsi="Arial" w:cs="Arial"/>
                <w:sz w:val="18"/>
                <w:szCs w:val="18"/>
              </w:rPr>
              <w:t xml:space="preserve"> </w:t>
            </w:r>
            <w:r w:rsidR="004F01B7" w:rsidRPr="00CD403D">
              <w:rPr>
                <w:rFonts w:ascii="Arial" w:hAnsi="Arial" w:cs="Arial"/>
                <w:sz w:val="18"/>
                <w:szCs w:val="18"/>
              </w:rPr>
              <w:t xml:space="preserve">Rodríguez </w:t>
            </w:r>
            <w:r w:rsidR="003676C1" w:rsidRPr="00CD403D">
              <w:rPr>
                <w:rFonts w:ascii="Arial" w:hAnsi="Arial" w:cs="Arial"/>
                <w:sz w:val="18"/>
                <w:szCs w:val="18"/>
              </w:rPr>
              <w:t xml:space="preserve">(INE/TSP); </w:t>
            </w:r>
            <w:r w:rsidR="004F01B7" w:rsidRPr="00CD403D">
              <w:rPr>
                <w:rFonts w:ascii="Arial" w:hAnsi="Arial" w:cs="Arial"/>
                <w:sz w:val="18"/>
                <w:szCs w:val="18"/>
              </w:rPr>
              <w:t>Mariel Juárez</w:t>
            </w:r>
            <w:r w:rsidR="003676C1" w:rsidRPr="00CD403D">
              <w:rPr>
                <w:rFonts w:ascii="Arial" w:hAnsi="Arial" w:cs="Arial"/>
                <w:sz w:val="18"/>
                <w:szCs w:val="18"/>
              </w:rPr>
              <w:t xml:space="preserve"> (CSD/CCS)</w:t>
            </w:r>
            <w:r w:rsidR="00946784" w:rsidRPr="00CD403D">
              <w:rPr>
                <w:rFonts w:ascii="Arial" w:hAnsi="Arial" w:cs="Arial"/>
                <w:sz w:val="18"/>
                <w:szCs w:val="18"/>
              </w:rPr>
              <w:t>.</w:t>
            </w:r>
          </w:p>
        </w:tc>
      </w:tr>
      <w:tr w:rsidR="004F01B7" w14:paraId="779DCD3D" w14:textId="77777777" w:rsidTr="068EBDB8">
        <w:trPr>
          <w:jc w:val="center"/>
        </w:trPr>
        <w:tc>
          <w:tcPr>
            <w:tcW w:w="4114" w:type="dxa"/>
          </w:tcPr>
          <w:p w14:paraId="779DCD3B" w14:textId="77777777" w:rsidR="00D43D6F" w:rsidRDefault="003676C1">
            <w:pPr>
              <w:spacing w:before="40" w:after="40"/>
              <w:ind w:left="115" w:hanging="115"/>
            </w:pPr>
            <w:r>
              <w:rPr>
                <w:rFonts w:ascii="Arial" w:hAnsi="Arial" w:cs="Arial"/>
                <w:sz w:val="18"/>
                <w:szCs w:val="18"/>
              </w:rPr>
              <w:t>▪ Taxonomy:</w:t>
            </w:r>
          </w:p>
        </w:tc>
        <w:tc>
          <w:tcPr>
            <w:tcW w:w="5128" w:type="dxa"/>
          </w:tcPr>
          <w:p w14:paraId="779DCD3C" w14:textId="77777777" w:rsidR="00D43D6F" w:rsidRDefault="003676C1">
            <w:pPr>
              <w:spacing w:before="40" w:after="40"/>
            </w:pPr>
            <w:r>
              <w:rPr>
                <w:rFonts w:ascii="Arial" w:hAnsi="Arial" w:cs="Arial"/>
                <w:sz w:val="18"/>
                <w:szCs w:val="18"/>
              </w:rPr>
              <w:t>Client Support</w:t>
            </w:r>
          </w:p>
        </w:tc>
      </w:tr>
      <w:tr w:rsidR="004F01B7" w14:paraId="779DCD40" w14:textId="77777777" w:rsidTr="068EBDB8">
        <w:trPr>
          <w:jc w:val="center"/>
        </w:trPr>
        <w:tc>
          <w:tcPr>
            <w:tcW w:w="4114" w:type="dxa"/>
          </w:tcPr>
          <w:p w14:paraId="779DCD3E" w14:textId="77777777" w:rsidR="00D43D6F" w:rsidRDefault="003676C1">
            <w:pPr>
              <w:spacing w:before="40" w:after="40"/>
              <w:ind w:left="115" w:hanging="115"/>
            </w:pPr>
            <w:r>
              <w:rPr>
                <w:rFonts w:ascii="Arial" w:hAnsi="Arial" w:cs="Arial"/>
                <w:sz w:val="18"/>
                <w:szCs w:val="18"/>
              </w:rPr>
              <w:t>▪ Number and name of operation supported by the TC:</w:t>
            </w:r>
          </w:p>
        </w:tc>
        <w:tc>
          <w:tcPr>
            <w:tcW w:w="5128" w:type="dxa"/>
          </w:tcPr>
          <w:p w14:paraId="779DCD3F" w14:textId="77777777" w:rsidR="00D43D6F" w:rsidRDefault="003676C1">
            <w:pPr>
              <w:spacing w:before="40" w:after="40"/>
            </w:pPr>
            <w:r>
              <w:rPr>
                <w:rFonts w:ascii="Arial" w:hAnsi="Arial" w:cs="Arial"/>
                <w:sz w:val="18"/>
                <w:szCs w:val="18"/>
              </w:rPr>
              <w:t>N/A</w:t>
            </w:r>
          </w:p>
        </w:tc>
      </w:tr>
      <w:tr w:rsidR="004F01B7" w14:paraId="779DCD43" w14:textId="77777777" w:rsidTr="068EBDB8">
        <w:trPr>
          <w:jc w:val="center"/>
        </w:trPr>
        <w:tc>
          <w:tcPr>
            <w:tcW w:w="4114" w:type="dxa"/>
          </w:tcPr>
          <w:p w14:paraId="779DCD41" w14:textId="77777777" w:rsidR="00D43D6F" w:rsidRDefault="003676C1">
            <w:pPr>
              <w:spacing w:before="40" w:after="40"/>
              <w:ind w:left="115" w:hanging="115"/>
            </w:pPr>
            <w:r>
              <w:rPr>
                <w:rFonts w:ascii="Arial" w:hAnsi="Arial" w:cs="Arial"/>
                <w:sz w:val="18"/>
                <w:szCs w:val="18"/>
              </w:rPr>
              <w:t>▪ Date of TC Abstract:</w:t>
            </w:r>
          </w:p>
        </w:tc>
        <w:tc>
          <w:tcPr>
            <w:tcW w:w="5128" w:type="dxa"/>
          </w:tcPr>
          <w:p w14:paraId="779DCD42" w14:textId="77777777" w:rsidR="00D43D6F" w:rsidRDefault="003676C1">
            <w:pPr>
              <w:spacing w:before="40" w:after="40"/>
            </w:pPr>
            <w:r>
              <w:rPr>
                <w:rFonts w:ascii="Arial" w:hAnsi="Arial" w:cs="Arial"/>
                <w:sz w:val="18"/>
                <w:szCs w:val="18"/>
              </w:rPr>
              <w:t>13 Nov 2020</w:t>
            </w:r>
          </w:p>
        </w:tc>
      </w:tr>
      <w:tr w:rsidR="004F01B7" w:rsidRPr="00605852" w14:paraId="779DCD46" w14:textId="77777777" w:rsidTr="068EBDB8">
        <w:trPr>
          <w:jc w:val="center"/>
        </w:trPr>
        <w:tc>
          <w:tcPr>
            <w:tcW w:w="4114" w:type="dxa"/>
          </w:tcPr>
          <w:p w14:paraId="779DCD44" w14:textId="77777777" w:rsidR="00D43D6F" w:rsidRDefault="003676C1">
            <w:pPr>
              <w:spacing w:before="40" w:after="40"/>
              <w:ind w:left="115" w:hanging="115"/>
            </w:pPr>
            <w:r>
              <w:rPr>
                <w:rFonts w:ascii="Arial" w:hAnsi="Arial" w:cs="Arial"/>
                <w:sz w:val="18"/>
                <w:szCs w:val="18"/>
              </w:rPr>
              <w:t>▪ Beneficiary:</w:t>
            </w:r>
          </w:p>
        </w:tc>
        <w:tc>
          <w:tcPr>
            <w:tcW w:w="5128" w:type="dxa"/>
          </w:tcPr>
          <w:p w14:paraId="779DCD45" w14:textId="4F544454" w:rsidR="00D43D6F" w:rsidRPr="00605852" w:rsidRDefault="619C35BE" w:rsidP="068EBDB8">
            <w:pPr>
              <w:spacing w:before="40" w:after="40"/>
              <w:rPr>
                <w:rFonts w:ascii="Arial" w:eastAsia="Arial" w:hAnsi="Arial" w:cs="Arial"/>
                <w:sz w:val="18"/>
                <w:szCs w:val="18"/>
                <w:lang w:val="es-419"/>
              </w:rPr>
            </w:pPr>
            <w:r w:rsidRPr="00605852">
              <w:rPr>
                <w:rFonts w:ascii="Arial" w:eastAsia="Arial" w:hAnsi="Arial" w:cs="Arial"/>
                <w:sz w:val="18"/>
                <w:szCs w:val="18"/>
                <w:lang w:val="es-419"/>
              </w:rPr>
              <w:t xml:space="preserve">Bolivia, </w:t>
            </w:r>
            <w:proofErr w:type="spellStart"/>
            <w:r w:rsidRPr="00605852">
              <w:rPr>
                <w:rFonts w:ascii="Arial" w:eastAsia="Arial" w:hAnsi="Arial" w:cs="Arial"/>
                <w:sz w:val="18"/>
                <w:szCs w:val="18"/>
                <w:lang w:val="es-419"/>
              </w:rPr>
              <w:t>Brazil</w:t>
            </w:r>
            <w:proofErr w:type="spellEnd"/>
            <w:r w:rsidRPr="00605852">
              <w:rPr>
                <w:rFonts w:ascii="Arial" w:eastAsia="Arial" w:hAnsi="Arial" w:cs="Arial"/>
                <w:sz w:val="18"/>
                <w:szCs w:val="18"/>
                <w:lang w:val="es-419"/>
              </w:rPr>
              <w:t xml:space="preserve">, Colombia, </w:t>
            </w:r>
            <w:proofErr w:type="spellStart"/>
            <w:r w:rsidRPr="00605852">
              <w:rPr>
                <w:rFonts w:ascii="Arial" w:eastAsia="Arial" w:hAnsi="Arial" w:cs="Arial"/>
                <w:sz w:val="18"/>
                <w:szCs w:val="18"/>
                <w:lang w:val="es-419"/>
              </w:rPr>
              <w:t>Dominican</w:t>
            </w:r>
            <w:proofErr w:type="spellEnd"/>
            <w:r w:rsidRPr="00605852">
              <w:rPr>
                <w:rFonts w:ascii="Arial" w:eastAsia="Arial" w:hAnsi="Arial" w:cs="Arial"/>
                <w:sz w:val="18"/>
                <w:szCs w:val="18"/>
                <w:lang w:val="es-419"/>
              </w:rPr>
              <w:t xml:space="preserve"> </w:t>
            </w:r>
            <w:proofErr w:type="spellStart"/>
            <w:r w:rsidRPr="00605852">
              <w:rPr>
                <w:rFonts w:ascii="Arial" w:eastAsia="Arial" w:hAnsi="Arial" w:cs="Arial"/>
                <w:sz w:val="18"/>
                <w:szCs w:val="18"/>
                <w:lang w:val="es-419"/>
              </w:rPr>
              <w:t>Republic</w:t>
            </w:r>
            <w:proofErr w:type="spellEnd"/>
            <w:r w:rsidRPr="00605852">
              <w:rPr>
                <w:rFonts w:ascii="Arial" w:eastAsia="Arial" w:hAnsi="Arial" w:cs="Arial"/>
                <w:sz w:val="18"/>
                <w:szCs w:val="18"/>
                <w:lang w:val="es-419"/>
              </w:rPr>
              <w:t>, Ecuador</w:t>
            </w:r>
          </w:p>
        </w:tc>
      </w:tr>
      <w:tr w:rsidR="004F01B7" w14:paraId="779DCD49" w14:textId="77777777" w:rsidTr="068EBDB8">
        <w:trPr>
          <w:jc w:val="center"/>
        </w:trPr>
        <w:tc>
          <w:tcPr>
            <w:tcW w:w="4114" w:type="dxa"/>
          </w:tcPr>
          <w:p w14:paraId="779DCD47" w14:textId="77777777" w:rsidR="00D43D6F" w:rsidRDefault="003676C1">
            <w:pPr>
              <w:spacing w:before="40" w:after="40"/>
              <w:ind w:left="115" w:hanging="115"/>
            </w:pPr>
            <w:r>
              <w:rPr>
                <w:rFonts w:ascii="Arial" w:hAnsi="Arial" w:cs="Arial"/>
                <w:sz w:val="18"/>
                <w:szCs w:val="18"/>
              </w:rPr>
              <w:t>▪ Executing Agency:</w:t>
            </w:r>
          </w:p>
        </w:tc>
        <w:tc>
          <w:tcPr>
            <w:tcW w:w="5128" w:type="dxa"/>
          </w:tcPr>
          <w:p w14:paraId="779DCD48" w14:textId="64A88654" w:rsidR="00D43D6F" w:rsidRDefault="0030207F">
            <w:pPr>
              <w:spacing w:before="40" w:after="40"/>
            </w:pPr>
            <w:r>
              <w:rPr>
                <w:rFonts w:ascii="Arial" w:hAnsi="Arial" w:cs="Arial"/>
                <w:sz w:val="18"/>
                <w:szCs w:val="18"/>
              </w:rPr>
              <w:t>Inter-American Development Bank (IDB)</w:t>
            </w:r>
          </w:p>
        </w:tc>
      </w:tr>
      <w:tr w:rsidR="004F01B7" w14:paraId="779DCD4C" w14:textId="77777777" w:rsidTr="068EBDB8">
        <w:trPr>
          <w:jc w:val="center"/>
        </w:trPr>
        <w:tc>
          <w:tcPr>
            <w:tcW w:w="4114" w:type="dxa"/>
          </w:tcPr>
          <w:p w14:paraId="779DCD4A" w14:textId="77777777" w:rsidR="00D43D6F" w:rsidRDefault="003676C1">
            <w:pPr>
              <w:spacing w:before="40" w:after="40"/>
              <w:ind w:left="115" w:hanging="115"/>
            </w:pPr>
            <w:r>
              <w:rPr>
                <w:rFonts w:ascii="Arial" w:hAnsi="Arial" w:cs="Arial"/>
                <w:sz w:val="18"/>
                <w:szCs w:val="18"/>
              </w:rPr>
              <w:t>▪ IDB funding requested:</w:t>
            </w:r>
          </w:p>
        </w:tc>
        <w:tc>
          <w:tcPr>
            <w:tcW w:w="5128" w:type="dxa"/>
          </w:tcPr>
          <w:p w14:paraId="779DCD4B" w14:textId="37621069" w:rsidR="00D43D6F" w:rsidRDefault="003676C1" w:rsidP="0030207F">
            <w:pPr>
              <w:bidi/>
              <w:spacing w:before="40" w:after="40"/>
              <w:jc w:val="right"/>
            </w:pPr>
            <w:r>
              <w:rPr>
                <w:rFonts w:ascii="Arial" w:hAnsi="Arial" w:cs="Arial"/>
                <w:sz w:val="18"/>
                <w:szCs w:val="18"/>
              </w:rPr>
              <w:t>US$</w:t>
            </w:r>
            <w:r w:rsidR="006F732D">
              <w:rPr>
                <w:rFonts w:ascii="Arial" w:hAnsi="Arial" w:cs="Arial"/>
                <w:sz w:val="18"/>
                <w:szCs w:val="18"/>
              </w:rPr>
              <w:t>1,00</w:t>
            </w:r>
            <w:r>
              <w:rPr>
                <w:rFonts w:ascii="Arial" w:hAnsi="Arial" w:cs="Arial"/>
                <w:sz w:val="18"/>
                <w:szCs w:val="18"/>
              </w:rPr>
              <w:t>0</w:t>
            </w:r>
            <w:r w:rsidR="006F732D">
              <w:rPr>
                <w:rFonts w:ascii="Arial" w:hAnsi="Arial" w:cs="Arial"/>
                <w:sz w:val="18"/>
                <w:szCs w:val="18"/>
              </w:rPr>
              <w:t>,000</w:t>
            </w:r>
            <w:r>
              <w:rPr>
                <w:rFonts w:ascii="Arial" w:hAnsi="Arial" w:cs="Arial"/>
                <w:sz w:val="18"/>
                <w:szCs w:val="18"/>
              </w:rPr>
              <w:t>.00</w:t>
            </w:r>
          </w:p>
        </w:tc>
      </w:tr>
      <w:tr w:rsidR="004F01B7" w14:paraId="779DCD4F" w14:textId="77777777" w:rsidTr="068EBDB8">
        <w:trPr>
          <w:jc w:val="center"/>
        </w:trPr>
        <w:tc>
          <w:tcPr>
            <w:tcW w:w="4114" w:type="dxa"/>
          </w:tcPr>
          <w:p w14:paraId="779DCD4D" w14:textId="77777777" w:rsidR="00D43D6F" w:rsidRDefault="003676C1">
            <w:pPr>
              <w:spacing w:before="40" w:after="40"/>
              <w:ind w:left="115" w:hanging="115"/>
            </w:pPr>
            <w:r>
              <w:rPr>
                <w:rFonts w:ascii="Arial" w:hAnsi="Arial" w:cs="Arial"/>
                <w:sz w:val="18"/>
                <w:szCs w:val="18"/>
              </w:rPr>
              <w:t>▪ Local counterpart funding:</w:t>
            </w:r>
          </w:p>
        </w:tc>
        <w:tc>
          <w:tcPr>
            <w:tcW w:w="5128" w:type="dxa"/>
          </w:tcPr>
          <w:p w14:paraId="779DCD4E" w14:textId="77777777" w:rsidR="00D43D6F" w:rsidRDefault="003676C1" w:rsidP="0030207F">
            <w:pPr>
              <w:bidi/>
              <w:spacing w:before="40" w:after="40"/>
              <w:jc w:val="right"/>
            </w:pPr>
            <w:r>
              <w:rPr>
                <w:rFonts w:ascii="Arial" w:hAnsi="Arial" w:cs="Arial"/>
                <w:sz w:val="18"/>
                <w:szCs w:val="18"/>
              </w:rPr>
              <w:t>US$0.00</w:t>
            </w:r>
          </w:p>
        </w:tc>
      </w:tr>
      <w:tr w:rsidR="004F01B7" w14:paraId="779DCD52" w14:textId="77777777" w:rsidTr="068EBDB8">
        <w:trPr>
          <w:jc w:val="center"/>
        </w:trPr>
        <w:tc>
          <w:tcPr>
            <w:tcW w:w="4114" w:type="dxa"/>
          </w:tcPr>
          <w:p w14:paraId="779DCD50" w14:textId="77777777" w:rsidR="00D43D6F" w:rsidRDefault="003676C1">
            <w:pPr>
              <w:spacing w:before="40" w:after="40"/>
              <w:ind w:left="115" w:hanging="115"/>
            </w:pPr>
            <w:r>
              <w:rPr>
                <w:rFonts w:ascii="Arial" w:hAnsi="Arial" w:cs="Arial"/>
                <w:sz w:val="18"/>
                <w:szCs w:val="18"/>
              </w:rPr>
              <w:t>▪ Disbursement period:</w:t>
            </w:r>
          </w:p>
        </w:tc>
        <w:tc>
          <w:tcPr>
            <w:tcW w:w="5128" w:type="dxa"/>
          </w:tcPr>
          <w:p w14:paraId="779DCD51" w14:textId="77777777" w:rsidR="00D43D6F" w:rsidRDefault="003676C1" w:rsidP="0030207F">
            <w:pPr>
              <w:bidi/>
              <w:spacing w:before="40" w:after="40"/>
              <w:jc w:val="right"/>
            </w:pPr>
            <w:r>
              <w:rPr>
                <w:rFonts w:ascii="Arial" w:hAnsi="Arial" w:cs="Arial"/>
                <w:sz w:val="18"/>
                <w:szCs w:val="18"/>
              </w:rPr>
              <w:t>36 months</w:t>
            </w:r>
          </w:p>
        </w:tc>
      </w:tr>
      <w:tr w:rsidR="004F01B7" w14:paraId="779DCD55" w14:textId="77777777" w:rsidTr="068EBDB8">
        <w:trPr>
          <w:jc w:val="center"/>
        </w:trPr>
        <w:tc>
          <w:tcPr>
            <w:tcW w:w="4114" w:type="dxa"/>
          </w:tcPr>
          <w:p w14:paraId="779DCD53" w14:textId="77777777" w:rsidR="00D43D6F" w:rsidRDefault="003676C1">
            <w:pPr>
              <w:spacing w:before="40" w:after="40"/>
              <w:ind w:left="115" w:hanging="115"/>
            </w:pPr>
            <w:r>
              <w:rPr>
                <w:rFonts w:ascii="Arial" w:hAnsi="Arial" w:cs="Arial"/>
                <w:sz w:val="18"/>
                <w:szCs w:val="18"/>
              </w:rPr>
              <w:t>▪ Types of consultants:</w:t>
            </w:r>
          </w:p>
        </w:tc>
        <w:tc>
          <w:tcPr>
            <w:tcW w:w="5128" w:type="dxa"/>
          </w:tcPr>
          <w:p w14:paraId="779DCD54" w14:textId="77777777" w:rsidR="00D43D6F" w:rsidRDefault="003676C1">
            <w:pPr>
              <w:spacing w:before="40" w:after="40"/>
            </w:pPr>
            <w:r>
              <w:rPr>
                <w:rFonts w:ascii="Arial" w:hAnsi="Arial" w:cs="Arial"/>
                <w:sz w:val="18"/>
                <w:szCs w:val="18"/>
              </w:rPr>
              <w:t>Individuals; Firms</w:t>
            </w:r>
          </w:p>
        </w:tc>
      </w:tr>
      <w:tr w:rsidR="004F01B7" w14:paraId="779DCD58" w14:textId="77777777" w:rsidTr="068EBDB8">
        <w:trPr>
          <w:jc w:val="center"/>
        </w:trPr>
        <w:tc>
          <w:tcPr>
            <w:tcW w:w="4114" w:type="dxa"/>
          </w:tcPr>
          <w:p w14:paraId="779DCD56" w14:textId="77777777" w:rsidR="00D43D6F" w:rsidRDefault="003676C1">
            <w:pPr>
              <w:spacing w:before="40" w:after="40"/>
              <w:ind w:left="115" w:hanging="115"/>
            </w:pPr>
            <w:r>
              <w:rPr>
                <w:rFonts w:ascii="Arial" w:hAnsi="Arial" w:cs="Arial"/>
                <w:sz w:val="18"/>
                <w:szCs w:val="18"/>
              </w:rPr>
              <w:t>▪ Prepared by Unit:</w:t>
            </w:r>
          </w:p>
        </w:tc>
        <w:tc>
          <w:tcPr>
            <w:tcW w:w="5128" w:type="dxa"/>
          </w:tcPr>
          <w:p w14:paraId="779DCD57" w14:textId="77777777" w:rsidR="00D43D6F" w:rsidRDefault="003676C1">
            <w:pPr>
              <w:spacing w:before="40" w:after="40"/>
            </w:pPr>
            <w:r>
              <w:rPr>
                <w:rFonts w:ascii="Arial" w:hAnsi="Arial" w:cs="Arial"/>
                <w:sz w:val="18"/>
                <w:szCs w:val="18"/>
              </w:rPr>
              <w:t>INE/ENE - Energy</w:t>
            </w:r>
          </w:p>
        </w:tc>
      </w:tr>
      <w:tr w:rsidR="004F01B7" w14:paraId="779DCD5B" w14:textId="77777777" w:rsidTr="068EBDB8">
        <w:trPr>
          <w:jc w:val="center"/>
        </w:trPr>
        <w:tc>
          <w:tcPr>
            <w:tcW w:w="4114" w:type="dxa"/>
          </w:tcPr>
          <w:p w14:paraId="779DCD59" w14:textId="77777777" w:rsidR="00D43D6F" w:rsidRDefault="003676C1">
            <w:pPr>
              <w:spacing w:before="40" w:after="40"/>
              <w:ind w:left="115" w:hanging="115"/>
            </w:pPr>
            <w:r>
              <w:rPr>
                <w:rFonts w:ascii="Arial" w:hAnsi="Arial" w:cs="Arial"/>
                <w:sz w:val="18"/>
                <w:szCs w:val="18"/>
              </w:rPr>
              <w:t>▪ Unit of Disbursement Responsibility:</w:t>
            </w:r>
          </w:p>
        </w:tc>
        <w:tc>
          <w:tcPr>
            <w:tcW w:w="5128" w:type="dxa"/>
          </w:tcPr>
          <w:p w14:paraId="779DCD5A" w14:textId="77777777" w:rsidR="00D43D6F" w:rsidRDefault="003676C1">
            <w:pPr>
              <w:spacing w:before="40" w:after="40"/>
            </w:pPr>
            <w:r>
              <w:rPr>
                <w:rFonts w:ascii="Arial" w:hAnsi="Arial" w:cs="Arial"/>
                <w:sz w:val="18"/>
                <w:szCs w:val="18"/>
              </w:rPr>
              <w:t>INE/INE - Infrastructure and Energy Sector</w:t>
            </w:r>
          </w:p>
        </w:tc>
      </w:tr>
      <w:tr w:rsidR="004F01B7" w14:paraId="779DCD5E" w14:textId="77777777" w:rsidTr="068EBDB8">
        <w:trPr>
          <w:jc w:val="center"/>
        </w:trPr>
        <w:tc>
          <w:tcPr>
            <w:tcW w:w="4114" w:type="dxa"/>
          </w:tcPr>
          <w:p w14:paraId="779DCD5C" w14:textId="481C5FFD" w:rsidR="00D43D6F" w:rsidRDefault="003676C1">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5128" w:type="dxa"/>
          </w:tcPr>
          <w:p w14:paraId="779DCD5D" w14:textId="039B5092" w:rsidR="00D43D6F" w:rsidRDefault="003676C1">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4F01B7" w14:paraId="779DCD61" w14:textId="77777777" w:rsidTr="068EBDB8">
        <w:trPr>
          <w:jc w:val="center"/>
        </w:trPr>
        <w:tc>
          <w:tcPr>
            <w:tcW w:w="4114" w:type="dxa"/>
          </w:tcPr>
          <w:p w14:paraId="779DCD5F" w14:textId="77777777" w:rsidR="00D43D6F" w:rsidRDefault="003676C1">
            <w:pPr>
              <w:spacing w:before="40" w:after="40"/>
              <w:ind w:left="115" w:hanging="115"/>
            </w:pPr>
            <w:r>
              <w:rPr>
                <w:rFonts w:ascii="Arial" w:hAnsi="Arial" w:cs="Arial"/>
                <w:sz w:val="18"/>
                <w:szCs w:val="18"/>
              </w:rPr>
              <w:t>▪ Alignment to the Update to the Institutional Strategy 2010-2020:</w:t>
            </w:r>
          </w:p>
        </w:tc>
        <w:tc>
          <w:tcPr>
            <w:tcW w:w="5128" w:type="dxa"/>
          </w:tcPr>
          <w:p w14:paraId="779DCD60" w14:textId="0F6A4C03" w:rsidR="00D43D6F" w:rsidRDefault="003676C1">
            <w:pPr>
              <w:spacing w:before="40" w:after="40"/>
            </w:pPr>
            <w:r>
              <w:rPr>
                <w:rFonts w:ascii="Arial" w:hAnsi="Arial" w:cs="Arial"/>
                <w:sz w:val="18"/>
                <w:szCs w:val="18"/>
              </w:rPr>
              <w:t>Productivity and innovation; Institutional capacity and rule of law; Environmental sustainability</w:t>
            </w:r>
          </w:p>
        </w:tc>
      </w:tr>
    </w:tbl>
    <w:p w14:paraId="779DCD65" w14:textId="77777777" w:rsidR="00D43D6F" w:rsidRDefault="003676C1" w:rsidP="00FC7B53">
      <w:pPr>
        <w:spacing w:before="240" w:after="120"/>
        <w:ind w:left="576" w:hanging="576"/>
      </w:pPr>
      <w:r>
        <w:rPr>
          <w:rFonts w:ascii="Arial" w:hAnsi="Arial" w:cs="Arial"/>
          <w:b/>
        </w:rPr>
        <w:t>II.</w:t>
      </w:r>
      <w:r>
        <w:rPr>
          <w:rFonts w:ascii="Arial" w:hAnsi="Arial" w:cs="Arial"/>
          <w:b/>
        </w:rPr>
        <w:tab/>
        <w:t>Objective and Justification</w:t>
      </w:r>
    </w:p>
    <w:p w14:paraId="779DCD66" w14:textId="77777777" w:rsidR="00D43D6F" w:rsidRDefault="003676C1">
      <w:pPr>
        <w:spacing w:before="120" w:after="120"/>
        <w:ind w:left="579" w:hanging="579"/>
        <w:jc w:val="both"/>
      </w:pPr>
      <w:r>
        <w:rPr>
          <w:rFonts w:ascii="Arial" w:hAnsi="Arial" w:cs="Arial"/>
        </w:rPr>
        <w:t>2.1</w:t>
      </w:r>
      <w:r>
        <w:rPr>
          <w:rFonts w:ascii="Arial" w:hAnsi="Arial" w:cs="Arial"/>
        </w:rPr>
        <w:tab/>
        <w:t>Support the enabling of energy storage markets in Latin America and the Caribbean to increase power systems flexibility and to better manage energy supply and demand across sectors, through the strengthening of policies and regulations and the development of innovative storage projects.</w:t>
      </w:r>
    </w:p>
    <w:p w14:paraId="2147CD02" w14:textId="32ADB5D2" w:rsidR="00E6271B" w:rsidRDefault="003676C1">
      <w:pPr>
        <w:spacing w:before="120" w:after="120"/>
        <w:ind w:left="579" w:hanging="579"/>
        <w:jc w:val="both"/>
        <w:rPr>
          <w:rFonts w:ascii="Arial" w:hAnsi="Arial" w:cs="Arial"/>
        </w:rPr>
      </w:pPr>
      <w:r>
        <w:rPr>
          <w:rFonts w:ascii="Arial" w:hAnsi="Arial" w:cs="Arial"/>
        </w:rPr>
        <w:t>2.2</w:t>
      </w:r>
      <w:r>
        <w:rPr>
          <w:rFonts w:ascii="Arial" w:hAnsi="Arial" w:cs="Arial"/>
        </w:rPr>
        <w:tab/>
        <w:t>Stabilizing climate change below 2°C and close to 1.5°C requires getting net-zero carbon emissions by 2050. Decarbonizing the economy could achieve annual savings for Latin America and the Caribbean (LAC) of $621 billion by 2050 if energy and transport sectors reach net-zero emissions. This would create 7.7 million new permanent jobs. Solar and wind power could allow to move away from fossil fuels, which carry $90 billion worth of stranded assets risk in the region’s power sector alone.</w:t>
      </w:r>
      <w:r w:rsidR="007D7B3E">
        <w:rPr>
          <w:rFonts w:ascii="Arial" w:hAnsi="Arial" w:cs="Arial"/>
        </w:rPr>
        <w:t xml:space="preserve"> </w:t>
      </w:r>
      <w:r>
        <w:rPr>
          <w:rFonts w:ascii="Arial" w:hAnsi="Arial" w:cs="Arial"/>
        </w:rPr>
        <w:t>Many renewable energy sources, key for the decarbonization, are variable. Renewable energies are already competitive, and their expansion is needed for the decarbonization of the electricity mix and the electrification of other uses such as industry and transportation. Therefore, tools for temporal and special match between demand and supply are required. Energy storage will be key in providing flexibility to the system and will shape the future of the energy sector (DIA 2020).</w:t>
      </w:r>
    </w:p>
    <w:p w14:paraId="5E8F6EC8" w14:textId="3140291B" w:rsidR="00460C97" w:rsidRDefault="008C2661" w:rsidP="00460C97">
      <w:pPr>
        <w:spacing w:before="120" w:after="120"/>
        <w:ind w:left="579" w:hanging="579"/>
        <w:jc w:val="both"/>
        <w:rPr>
          <w:rFonts w:ascii="Arial" w:hAnsi="Arial" w:cs="Arial"/>
        </w:rPr>
      </w:pPr>
      <w:r>
        <w:rPr>
          <w:rFonts w:ascii="Arial" w:hAnsi="Arial" w:cs="Arial"/>
        </w:rPr>
        <w:t>2.3</w:t>
      </w:r>
      <w:r>
        <w:rPr>
          <w:rFonts w:ascii="Arial" w:hAnsi="Arial" w:cs="Arial"/>
        </w:rPr>
        <w:tab/>
      </w:r>
      <w:r w:rsidR="003676C1">
        <w:rPr>
          <w:rFonts w:ascii="Arial" w:hAnsi="Arial" w:cs="Arial"/>
        </w:rPr>
        <w:t xml:space="preserve">Storage technologies can bring several solutions through centralized and decentralized investments to balance the system and to increase resiliency. The share of renewable energy in the electricity sector is growing in LAC. Yet sectors such as transport, </w:t>
      </w:r>
      <w:r w:rsidR="003676C1">
        <w:rPr>
          <w:rFonts w:ascii="Arial" w:hAnsi="Arial" w:cs="Arial"/>
        </w:rPr>
        <w:lastRenderedPageBreak/>
        <w:t>buildings, and industry, still largely depend on fossil fuels. The electrification of these sectors and the use of other energy sources such as green hydrogen or renewable liquid fuels could be a key to the decarbonization of the economy. This transformation requires deepener sector coupling.</w:t>
      </w:r>
      <w:r w:rsidR="00460C97">
        <w:rPr>
          <w:rFonts w:ascii="Arial" w:hAnsi="Arial" w:cs="Arial"/>
        </w:rPr>
        <w:t xml:space="preserve"> </w:t>
      </w:r>
      <w:r w:rsidR="003676C1">
        <w:rPr>
          <w:rFonts w:ascii="Arial" w:hAnsi="Arial" w:cs="Arial"/>
        </w:rPr>
        <w:t xml:space="preserve">Different storage technologies are being implemented in LAC. Storage technologies can benefit the </w:t>
      </w:r>
      <w:r w:rsidR="00131DB3">
        <w:rPr>
          <w:rFonts w:ascii="Arial" w:hAnsi="Arial" w:cs="Arial"/>
        </w:rPr>
        <w:t>grid,</w:t>
      </w:r>
      <w:r w:rsidR="003676C1">
        <w:rPr>
          <w:rFonts w:ascii="Arial" w:hAnsi="Arial" w:cs="Arial"/>
        </w:rPr>
        <w:t xml:space="preserve"> but new business and regulatory models need to be analyzed to boost their adoption and reduce barriers. </w:t>
      </w:r>
    </w:p>
    <w:p w14:paraId="541A2C40" w14:textId="23E67BE3" w:rsidR="00131DB3" w:rsidRDefault="00460C97" w:rsidP="00460C97">
      <w:pPr>
        <w:spacing w:before="120" w:after="120"/>
        <w:ind w:left="579" w:hanging="579"/>
        <w:jc w:val="both"/>
        <w:rPr>
          <w:rFonts w:ascii="Arial" w:hAnsi="Arial" w:cs="Arial"/>
        </w:rPr>
      </w:pPr>
      <w:r>
        <w:rPr>
          <w:rFonts w:ascii="Arial" w:hAnsi="Arial" w:cs="Arial"/>
        </w:rPr>
        <w:t>2.4</w:t>
      </w:r>
      <w:r>
        <w:rPr>
          <w:rFonts w:ascii="Arial" w:hAnsi="Arial" w:cs="Arial"/>
        </w:rPr>
        <w:tab/>
      </w:r>
      <w:r w:rsidR="003676C1">
        <w:rPr>
          <w:rFonts w:ascii="Arial" w:hAnsi="Arial" w:cs="Arial"/>
        </w:rPr>
        <w:t>LAC has more than 1</w:t>
      </w:r>
      <w:r w:rsidR="00D828A3">
        <w:rPr>
          <w:rFonts w:ascii="Arial" w:hAnsi="Arial" w:cs="Arial"/>
        </w:rPr>
        <w:t>,</w:t>
      </w:r>
      <w:r w:rsidR="003676C1">
        <w:rPr>
          <w:rFonts w:ascii="Arial" w:hAnsi="Arial" w:cs="Arial"/>
        </w:rPr>
        <w:t xml:space="preserve">000 electric buses in operation, which represent at least 200 MW of battery storage capacity. If properly integrated with the grid can help decarbonize both sectors and improve their resiliency. Also, there are many </w:t>
      </w:r>
      <w:proofErr w:type="spellStart"/>
      <w:r w:rsidR="003676C1">
        <w:rPr>
          <w:rFonts w:ascii="Arial" w:hAnsi="Arial" w:cs="Arial"/>
        </w:rPr>
        <w:t>minigrids</w:t>
      </w:r>
      <w:proofErr w:type="spellEnd"/>
      <w:r w:rsidR="003676C1">
        <w:rPr>
          <w:rFonts w:ascii="Arial" w:hAnsi="Arial" w:cs="Arial"/>
        </w:rPr>
        <w:t xml:space="preserve"> with storage. However, experiences on-grid scale services, such as energy shifting, frequency control, or power transmissions deferral are limited. Chile, Mexico, and Colombia have developed specific regulations for storage integration. In other cases, regulatory agencies are starting to work on storage as a reaction requests to connect new storage facilities by the private sector. </w:t>
      </w:r>
    </w:p>
    <w:p w14:paraId="779DCD67" w14:textId="2DCA6A8F" w:rsidR="00D43D6F" w:rsidRPr="00460C97" w:rsidRDefault="00131DB3" w:rsidP="00460C97">
      <w:pPr>
        <w:spacing w:before="120" w:after="120"/>
        <w:ind w:left="579" w:hanging="579"/>
        <w:jc w:val="both"/>
        <w:rPr>
          <w:rFonts w:ascii="Arial" w:hAnsi="Arial" w:cs="Arial"/>
        </w:rPr>
      </w:pPr>
      <w:r>
        <w:rPr>
          <w:rFonts w:ascii="Arial" w:hAnsi="Arial" w:cs="Arial"/>
        </w:rPr>
        <w:t>2.5</w:t>
      </w:r>
      <w:r>
        <w:rPr>
          <w:rFonts w:ascii="Arial" w:hAnsi="Arial" w:cs="Arial"/>
        </w:rPr>
        <w:tab/>
      </w:r>
      <w:r w:rsidR="003676C1">
        <w:rPr>
          <w:rFonts w:ascii="Arial" w:hAnsi="Arial" w:cs="Arial"/>
        </w:rPr>
        <w:t>The development of storage technologies requires understanding of all services storage technologies can provide and value them accordingly. This TC will also evaluate different energy storage technologies to increase participation of variable renewables and the electrification of other energy uses. Resources form the CIF’s Global Energy Storage Program (GESP)</w:t>
      </w:r>
      <w:r w:rsidR="00211282">
        <w:rPr>
          <w:rStyle w:val="FootnoteReference"/>
          <w:rFonts w:ascii="Arial" w:hAnsi="Arial" w:cs="Arial"/>
        </w:rPr>
        <w:footnoteReference w:id="1"/>
      </w:r>
      <w:r w:rsidR="003676C1">
        <w:rPr>
          <w:rFonts w:ascii="Arial" w:hAnsi="Arial" w:cs="Arial"/>
        </w:rPr>
        <w:t xml:space="preserve"> will focus on enabling countries’ policy and regulatory frameworks to foster the creation of energy storage markets needed for the sectors coupling, reduce barriers and benefit from storage flexibilities that end-use sectors may represent, including residential, commercial, industrial and transport sector. This contribution will play a critical role in LAC clean energy transition by reducing power grids congestions, allowing further penetration of renewable energy, increasing the system efficiency, improving grid flexibility and reliability, improving energy access, and promoting the electrification of different sectors</w:t>
      </w:r>
      <w:r w:rsidR="005F3C89">
        <w:rPr>
          <w:rStyle w:val="FootnoteReference"/>
          <w:rFonts w:ascii="Arial" w:hAnsi="Arial" w:cs="Arial"/>
        </w:rPr>
        <w:footnoteReference w:id="2"/>
      </w:r>
      <w:r w:rsidR="003676C1">
        <w:rPr>
          <w:rFonts w:ascii="Arial" w:hAnsi="Arial" w:cs="Arial"/>
        </w:rPr>
        <w:t>.</w:t>
      </w:r>
    </w:p>
    <w:p w14:paraId="779DCD69" w14:textId="77777777" w:rsidR="00D43D6F" w:rsidRDefault="003676C1" w:rsidP="006F732D">
      <w:pPr>
        <w:spacing w:before="240" w:after="120"/>
        <w:ind w:left="576" w:hanging="576"/>
      </w:pPr>
      <w:r>
        <w:rPr>
          <w:rFonts w:ascii="Arial" w:hAnsi="Arial" w:cs="Arial"/>
          <w:b/>
        </w:rPr>
        <w:t>III.</w:t>
      </w:r>
      <w:r>
        <w:rPr>
          <w:rFonts w:ascii="Arial" w:hAnsi="Arial" w:cs="Arial"/>
          <w:b/>
        </w:rPr>
        <w:tab/>
        <w:t>Description of Activities and Outputs</w:t>
      </w:r>
    </w:p>
    <w:p w14:paraId="779DCD6A" w14:textId="20D60B61" w:rsidR="00D43D6F" w:rsidRDefault="003676C1">
      <w:pPr>
        <w:spacing w:before="120" w:after="120"/>
        <w:ind w:left="579" w:hanging="579"/>
        <w:jc w:val="both"/>
      </w:pPr>
      <w:r>
        <w:rPr>
          <w:rFonts w:ascii="Arial" w:hAnsi="Arial" w:cs="Arial"/>
        </w:rPr>
        <w:t>3.1</w:t>
      </w:r>
      <w:r>
        <w:rPr>
          <w:rFonts w:ascii="Arial" w:hAnsi="Arial" w:cs="Arial"/>
        </w:rPr>
        <w:tab/>
      </w:r>
      <w:r>
        <w:rPr>
          <w:rFonts w:ascii="Arial" w:hAnsi="Arial" w:cs="Arial"/>
          <w:b/>
        </w:rPr>
        <w:t xml:space="preserve">Component I: Development of Energy Storage Regulatory Frameworks. </w:t>
      </w:r>
      <w:r>
        <w:rPr>
          <w:rFonts w:ascii="Arial" w:hAnsi="Arial" w:cs="Arial"/>
        </w:rPr>
        <w:t>Will finance the analysis and identification of required changes in regulatory frameworks</w:t>
      </w:r>
      <w:r w:rsidR="002B2218">
        <w:rPr>
          <w:rFonts w:ascii="Arial" w:hAnsi="Arial" w:cs="Arial"/>
        </w:rPr>
        <w:t xml:space="preserve">, </w:t>
      </w:r>
      <w:r w:rsidR="007D64F2">
        <w:rPr>
          <w:rFonts w:ascii="Arial" w:hAnsi="Arial" w:cs="Arial"/>
        </w:rPr>
        <w:t>as well as</w:t>
      </w:r>
      <w:r>
        <w:rPr>
          <w:rFonts w:ascii="Arial" w:hAnsi="Arial" w:cs="Arial"/>
        </w:rPr>
        <w:t xml:space="preserve"> analyze regulatory barriers for the adoption, new entrants, and remuneration of the different storage services.</w:t>
      </w:r>
      <w:r w:rsidR="007D64F2">
        <w:rPr>
          <w:rFonts w:ascii="Arial" w:hAnsi="Arial" w:cs="Arial"/>
        </w:rPr>
        <w:t xml:space="preserve"> It w</w:t>
      </w:r>
      <w:r>
        <w:rPr>
          <w:rFonts w:ascii="Arial" w:hAnsi="Arial" w:cs="Arial"/>
        </w:rPr>
        <w:t>ill</w:t>
      </w:r>
      <w:r w:rsidR="007D64F2">
        <w:rPr>
          <w:rFonts w:ascii="Arial" w:hAnsi="Arial" w:cs="Arial"/>
        </w:rPr>
        <w:t xml:space="preserve"> also</w:t>
      </w:r>
      <w:r>
        <w:rPr>
          <w:rFonts w:ascii="Arial" w:hAnsi="Arial" w:cs="Arial"/>
        </w:rPr>
        <w:t xml:space="preserve"> analyze enabling regulatory frameworks and their relationship with different market </w:t>
      </w:r>
      <w:r w:rsidR="005D3C2A">
        <w:rPr>
          <w:rFonts w:ascii="Arial" w:hAnsi="Arial" w:cs="Arial"/>
        </w:rPr>
        <w:t>designs and</w:t>
      </w:r>
      <w:r>
        <w:rPr>
          <w:rFonts w:ascii="Arial" w:hAnsi="Arial" w:cs="Arial"/>
        </w:rPr>
        <w:t xml:space="preserve"> enabling infrastructure (such as the existence of smart metering). Expected outputs will be regulatory frameworks proposals designed and aligned with the characteristics of LAC.</w:t>
      </w:r>
    </w:p>
    <w:p w14:paraId="779DCD6B" w14:textId="4E7F3A11" w:rsidR="00D43D6F" w:rsidRDefault="003676C1">
      <w:pPr>
        <w:spacing w:before="120" w:after="120"/>
        <w:ind w:left="579" w:hanging="579"/>
        <w:jc w:val="both"/>
      </w:pPr>
      <w:r>
        <w:rPr>
          <w:rFonts w:ascii="Arial" w:hAnsi="Arial" w:cs="Arial"/>
        </w:rPr>
        <w:t>3.2</w:t>
      </w:r>
      <w:r>
        <w:rPr>
          <w:rFonts w:ascii="Arial" w:hAnsi="Arial" w:cs="Arial"/>
        </w:rPr>
        <w:tab/>
      </w:r>
      <w:r>
        <w:rPr>
          <w:rFonts w:ascii="Arial" w:hAnsi="Arial" w:cs="Arial"/>
          <w:b/>
        </w:rPr>
        <w:t xml:space="preserve">Component II: Strengthening of Energy Storage Planning. </w:t>
      </w:r>
      <w:r>
        <w:rPr>
          <w:rFonts w:ascii="Arial" w:hAnsi="Arial" w:cs="Arial"/>
        </w:rPr>
        <w:t>The inclusion of storage in the decision-making of regulators and policy makers require the improvement of storage modeling and support for energy storage planning. This will also su</w:t>
      </w:r>
      <w:r w:rsidR="005D3C2A">
        <w:rPr>
          <w:rFonts w:ascii="Arial" w:hAnsi="Arial" w:cs="Arial"/>
        </w:rPr>
        <w:t>b</w:t>
      </w:r>
      <w:r>
        <w:rPr>
          <w:rFonts w:ascii="Arial" w:hAnsi="Arial" w:cs="Arial"/>
        </w:rPr>
        <w:t>component port power systems modeling and simulations to determine and design feasible storage solutions for power systems. The output of this component will be the improvement of power system modeling that will contribute with energy storage planning.</w:t>
      </w:r>
    </w:p>
    <w:p w14:paraId="779DCD6C" w14:textId="1B07566F" w:rsidR="00D43D6F" w:rsidRDefault="003676C1">
      <w:pPr>
        <w:spacing w:before="120" w:after="120"/>
        <w:ind w:left="579" w:hanging="579"/>
        <w:jc w:val="both"/>
      </w:pPr>
      <w:r>
        <w:rPr>
          <w:rFonts w:ascii="Arial" w:hAnsi="Arial" w:cs="Arial"/>
        </w:rPr>
        <w:t>3.3</w:t>
      </w:r>
      <w:r>
        <w:rPr>
          <w:rFonts w:ascii="Arial" w:hAnsi="Arial" w:cs="Arial"/>
        </w:rPr>
        <w:tab/>
      </w:r>
      <w:r>
        <w:rPr>
          <w:rFonts w:ascii="Arial" w:hAnsi="Arial" w:cs="Arial"/>
          <w:b/>
        </w:rPr>
        <w:t xml:space="preserve">Component III: Energy Storage Projects Support. </w:t>
      </w:r>
      <w:r w:rsidR="00954FC7">
        <w:rPr>
          <w:rFonts w:ascii="Arial" w:hAnsi="Arial" w:cs="Arial"/>
        </w:rPr>
        <w:t>S</w:t>
      </w:r>
      <w:r>
        <w:rPr>
          <w:rFonts w:ascii="Arial" w:hAnsi="Arial" w:cs="Arial"/>
        </w:rPr>
        <w:t>upport energy storage pilot projects through</w:t>
      </w:r>
      <w:r w:rsidR="00E928A6">
        <w:rPr>
          <w:rFonts w:ascii="Arial" w:hAnsi="Arial" w:cs="Arial"/>
        </w:rPr>
        <w:t xml:space="preserve"> the</w:t>
      </w:r>
      <w:r w:rsidR="00954FC7">
        <w:rPr>
          <w:rFonts w:ascii="Arial" w:hAnsi="Arial" w:cs="Arial"/>
        </w:rPr>
        <w:t>:</w:t>
      </w:r>
      <w:r>
        <w:rPr>
          <w:rFonts w:ascii="Arial" w:hAnsi="Arial" w:cs="Arial"/>
        </w:rPr>
        <w:t xml:space="preserve"> (i) development of technical and economic pre-feasibility studies for storage projects; (ii) design of business models for utility-scale, behind the meter and vehicle to grid applications; and (iii) specific support for pilot projects. Expected outputs: </w:t>
      </w:r>
      <w:r w:rsidR="00B837FC">
        <w:rPr>
          <w:rFonts w:ascii="Arial" w:hAnsi="Arial" w:cs="Arial"/>
        </w:rPr>
        <w:t>(</w:t>
      </w:r>
      <w:r w:rsidR="00B55229">
        <w:rPr>
          <w:rFonts w:ascii="Arial" w:hAnsi="Arial" w:cs="Arial"/>
        </w:rPr>
        <w:t>a</w:t>
      </w:r>
      <w:r w:rsidR="00B837FC">
        <w:rPr>
          <w:rFonts w:ascii="Arial" w:hAnsi="Arial" w:cs="Arial"/>
        </w:rPr>
        <w:t xml:space="preserve">) </w:t>
      </w:r>
      <w:r>
        <w:rPr>
          <w:rFonts w:ascii="Arial" w:hAnsi="Arial" w:cs="Arial"/>
        </w:rPr>
        <w:t>prefeasibility studies undertaken</w:t>
      </w:r>
      <w:r w:rsidR="00B837FC">
        <w:rPr>
          <w:rFonts w:ascii="Arial" w:hAnsi="Arial" w:cs="Arial"/>
        </w:rPr>
        <w:t>;</w:t>
      </w:r>
      <w:r>
        <w:rPr>
          <w:rFonts w:ascii="Arial" w:hAnsi="Arial" w:cs="Arial"/>
        </w:rPr>
        <w:t xml:space="preserve"> </w:t>
      </w:r>
      <w:r w:rsidR="00B837FC">
        <w:rPr>
          <w:rFonts w:ascii="Arial" w:hAnsi="Arial" w:cs="Arial"/>
        </w:rPr>
        <w:t>(</w:t>
      </w:r>
      <w:r w:rsidR="00B55229">
        <w:rPr>
          <w:rFonts w:ascii="Arial" w:hAnsi="Arial" w:cs="Arial"/>
        </w:rPr>
        <w:t>b</w:t>
      </w:r>
      <w:r w:rsidR="00B837FC">
        <w:rPr>
          <w:rFonts w:ascii="Arial" w:hAnsi="Arial" w:cs="Arial"/>
        </w:rPr>
        <w:t xml:space="preserve">) </w:t>
      </w:r>
      <w:r>
        <w:rPr>
          <w:rFonts w:ascii="Arial" w:hAnsi="Arial" w:cs="Arial"/>
        </w:rPr>
        <w:t>innovative business models designed</w:t>
      </w:r>
      <w:r w:rsidR="00365648">
        <w:rPr>
          <w:rFonts w:ascii="Arial" w:hAnsi="Arial" w:cs="Arial"/>
        </w:rPr>
        <w:t>;</w:t>
      </w:r>
      <w:r w:rsidR="00B55229">
        <w:rPr>
          <w:rFonts w:ascii="Arial" w:hAnsi="Arial" w:cs="Arial"/>
        </w:rPr>
        <w:t xml:space="preserve"> (c)</w:t>
      </w:r>
      <w:r w:rsidR="00611382">
        <w:rPr>
          <w:rFonts w:ascii="Arial" w:hAnsi="Arial" w:cs="Arial"/>
        </w:rPr>
        <w:t> </w:t>
      </w:r>
      <w:r>
        <w:rPr>
          <w:rFonts w:ascii="Arial" w:hAnsi="Arial" w:cs="Arial"/>
        </w:rPr>
        <w:t xml:space="preserve">engineer designs </w:t>
      </w:r>
      <w:r w:rsidR="006F732D">
        <w:rPr>
          <w:rFonts w:ascii="Arial" w:hAnsi="Arial" w:cs="Arial"/>
        </w:rPr>
        <w:t>developed</w:t>
      </w:r>
      <w:r w:rsidR="00365648">
        <w:rPr>
          <w:rFonts w:ascii="Arial" w:hAnsi="Arial" w:cs="Arial"/>
        </w:rPr>
        <w:t>;</w:t>
      </w:r>
      <w:r>
        <w:rPr>
          <w:rFonts w:ascii="Arial" w:hAnsi="Arial" w:cs="Arial"/>
        </w:rPr>
        <w:t xml:space="preserve"> and</w:t>
      </w:r>
      <w:r w:rsidR="00365648">
        <w:rPr>
          <w:rFonts w:ascii="Arial" w:hAnsi="Arial" w:cs="Arial"/>
        </w:rPr>
        <w:t xml:space="preserve"> (d)</w:t>
      </w:r>
      <w:r>
        <w:rPr>
          <w:rFonts w:ascii="Arial" w:hAnsi="Arial" w:cs="Arial"/>
        </w:rPr>
        <w:t xml:space="preserve"> storage projects implemented.</w:t>
      </w:r>
    </w:p>
    <w:p w14:paraId="779DCD6D" w14:textId="72B2EE0B" w:rsidR="00D43D6F" w:rsidRDefault="003676C1">
      <w:pPr>
        <w:spacing w:before="120" w:after="120"/>
        <w:ind w:left="579" w:hanging="579"/>
        <w:jc w:val="both"/>
      </w:pPr>
      <w:r>
        <w:rPr>
          <w:rFonts w:ascii="Arial" w:hAnsi="Arial" w:cs="Arial"/>
        </w:rPr>
        <w:lastRenderedPageBreak/>
        <w:t>3.4</w:t>
      </w:r>
      <w:r>
        <w:rPr>
          <w:rFonts w:ascii="Arial" w:hAnsi="Arial" w:cs="Arial"/>
        </w:rPr>
        <w:tab/>
      </w:r>
      <w:r>
        <w:rPr>
          <w:rFonts w:ascii="Arial" w:hAnsi="Arial" w:cs="Arial"/>
          <w:b/>
        </w:rPr>
        <w:t xml:space="preserve">Component IV: Knowledge sharing and dissemination. </w:t>
      </w:r>
      <w:r>
        <w:rPr>
          <w:rFonts w:ascii="Arial" w:hAnsi="Arial" w:cs="Arial"/>
        </w:rPr>
        <w:t>Will finance workshops and/or webinars</w:t>
      </w:r>
      <w:r w:rsidR="00DB0EC6">
        <w:rPr>
          <w:rFonts w:ascii="Arial" w:hAnsi="Arial" w:cs="Arial"/>
        </w:rPr>
        <w:t>,</w:t>
      </w:r>
      <w:r>
        <w:rPr>
          <w:rFonts w:ascii="Arial" w:hAnsi="Arial" w:cs="Arial"/>
        </w:rPr>
        <w:t xml:space="preserve"> and technical publications to increase </w:t>
      </w:r>
      <w:r w:rsidR="00DB0EC6">
        <w:rPr>
          <w:rFonts w:ascii="Arial" w:hAnsi="Arial" w:cs="Arial"/>
        </w:rPr>
        <w:t>awareness</w:t>
      </w:r>
      <w:r>
        <w:rPr>
          <w:rFonts w:ascii="Arial" w:hAnsi="Arial" w:cs="Arial"/>
        </w:rPr>
        <w:t xml:space="preserve"> on the value of storage to the energy systems</w:t>
      </w:r>
      <w:r w:rsidR="0080449B">
        <w:rPr>
          <w:rFonts w:ascii="Arial" w:hAnsi="Arial" w:cs="Arial"/>
        </w:rPr>
        <w:t xml:space="preserve"> and</w:t>
      </w:r>
      <w:r>
        <w:rPr>
          <w:rFonts w:ascii="Arial" w:hAnsi="Arial" w:cs="Arial"/>
        </w:rPr>
        <w:t xml:space="preserve"> promoting </w:t>
      </w:r>
      <w:r w:rsidR="0080449B">
        <w:rPr>
          <w:rFonts w:ascii="Arial" w:hAnsi="Arial" w:cs="Arial"/>
        </w:rPr>
        <w:t>t</w:t>
      </w:r>
      <w:r>
        <w:rPr>
          <w:rFonts w:ascii="Arial" w:hAnsi="Arial" w:cs="Arial"/>
        </w:rPr>
        <w:t xml:space="preserve">he development of the technology. Stakeholders </w:t>
      </w:r>
      <w:r w:rsidR="005D1878">
        <w:rPr>
          <w:rFonts w:ascii="Arial" w:hAnsi="Arial" w:cs="Arial"/>
        </w:rPr>
        <w:t xml:space="preserve">will </w:t>
      </w:r>
      <w:r>
        <w:rPr>
          <w:rFonts w:ascii="Arial" w:hAnsi="Arial" w:cs="Arial"/>
        </w:rPr>
        <w:t>include</w:t>
      </w:r>
      <w:r w:rsidR="005D1878">
        <w:rPr>
          <w:rFonts w:ascii="Arial" w:hAnsi="Arial" w:cs="Arial"/>
        </w:rPr>
        <w:t xml:space="preserve"> – among others – </w:t>
      </w:r>
      <w:r>
        <w:rPr>
          <w:rFonts w:ascii="Arial" w:hAnsi="Arial" w:cs="Arial"/>
        </w:rPr>
        <w:t>policymakers, energy regulators, environmental authorities, local governments, local communities, and industries. Will disseminate knowledge and experiences on storage technologies, including results and lessons learned from Component</w:t>
      </w:r>
      <w:r w:rsidR="00C4449D">
        <w:rPr>
          <w:rFonts w:ascii="Arial" w:hAnsi="Arial" w:cs="Arial"/>
        </w:rPr>
        <w:t>s</w:t>
      </w:r>
      <w:r>
        <w:rPr>
          <w:rFonts w:ascii="Arial" w:hAnsi="Arial" w:cs="Arial"/>
        </w:rPr>
        <w:t xml:space="preserve"> I, II, and III.</w:t>
      </w:r>
    </w:p>
    <w:p w14:paraId="779DCD6E" w14:textId="77777777" w:rsidR="00D43D6F" w:rsidRDefault="003676C1" w:rsidP="006F732D">
      <w:pPr>
        <w:spacing w:before="240" w:after="120"/>
        <w:ind w:left="576" w:hanging="576"/>
      </w:pPr>
      <w:r>
        <w:rPr>
          <w:rFonts w:ascii="Arial" w:hAnsi="Arial" w:cs="Arial"/>
          <w:b/>
        </w:rPr>
        <w:t>IV.</w:t>
      </w:r>
      <w:r>
        <w:rPr>
          <w:rFonts w:ascii="Arial" w:hAnsi="Arial" w:cs="Arial"/>
          <w:b/>
        </w:rPr>
        <w:tab/>
        <w:t>Budget</w:t>
      </w:r>
    </w:p>
    <w:p w14:paraId="779DCD6F" w14:textId="77777777" w:rsidR="00D43D6F" w:rsidRDefault="003676C1" w:rsidP="005872E1">
      <w:pPr>
        <w:spacing w:before="120" w:after="120"/>
        <w:jc w:val="center"/>
      </w:pPr>
      <w:r>
        <w:rPr>
          <w:rFonts w:ascii="Arial" w:hAnsi="Arial" w:cs="Arial"/>
          <w:b/>
          <w:sz w:val="18"/>
          <w:szCs w:val="18"/>
        </w:rPr>
        <w:t>Indicative Budget</w:t>
      </w:r>
    </w:p>
    <w:tbl>
      <w:tblPr>
        <w:tblStyle w:val="TableGrid"/>
        <w:tblW w:w="0" w:type="auto"/>
        <w:tblLook w:val="04A0" w:firstRow="1" w:lastRow="0" w:firstColumn="1" w:lastColumn="0" w:noHBand="0" w:noVBand="1"/>
      </w:tblPr>
      <w:tblGrid>
        <w:gridCol w:w="4107"/>
        <w:gridCol w:w="1618"/>
        <w:gridCol w:w="1651"/>
        <w:gridCol w:w="1640"/>
      </w:tblGrid>
      <w:tr w:rsidR="00D43D6F" w14:paraId="779DCD74" w14:textId="77777777" w:rsidTr="00C60203">
        <w:tc>
          <w:tcPr>
            <w:tcW w:w="4225" w:type="dxa"/>
            <w:vAlign w:val="center"/>
          </w:tcPr>
          <w:p w14:paraId="779DCD70" w14:textId="77777777" w:rsidR="00D43D6F" w:rsidRDefault="003676C1" w:rsidP="00AD62A5">
            <w:pPr>
              <w:jc w:val="center"/>
            </w:pPr>
            <w:r>
              <w:rPr>
                <w:rFonts w:ascii="Arial" w:hAnsi="Arial" w:cs="Arial"/>
                <w:b/>
                <w:sz w:val="18"/>
                <w:szCs w:val="18"/>
              </w:rPr>
              <w:t>Activity/Component</w:t>
            </w:r>
          </w:p>
        </w:tc>
        <w:tc>
          <w:tcPr>
            <w:tcW w:w="1477" w:type="dxa"/>
          </w:tcPr>
          <w:p w14:paraId="779DCD71" w14:textId="77777777" w:rsidR="00D43D6F" w:rsidRDefault="003676C1" w:rsidP="00AD62A5">
            <w:pPr>
              <w:jc w:val="center"/>
            </w:pPr>
            <w:r>
              <w:rPr>
                <w:rFonts w:ascii="Arial" w:hAnsi="Arial" w:cs="Arial"/>
                <w:b/>
                <w:sz w:val="18"/>
                <w:szCs w:val="18"/>
              </w:rPr>
              <w:t>IDB/Fund Funding</w:t>
            </w:r>
          </w:p>
        </w:tc>
        <w:tc>
          <w:tcPr>
            <w:tcW w:w="1673" w:type="dxa"/>
          </w:tcPr>
          <w:p w14:paraId="779DCD72" w14:textId="77777777" w:rsidR="00D43D6F" w:rsidRDefault="003676C1" w:rsidP="00AD62A5">
            <w:pPr>
              <w:jc w:val="center"/>
            </w:pPr>
            <w:r>
              <w:rPr>
                <w:rFonts w:ascii="Arial" w:hAnsi="Arial" w:cs="Arial"/>
                <w:b/>
                <w:sz w:val="18"/>
                <w:szCs w:val="18"/>
              </w:rPr>
              <w:t>Counterpart Funding</w:t>
            </w:r>
          </w:p>
        </w:tc>
        <w:tc>
          <w:tcPr>
            <w:tcW w:w="1641" w:type="dxa"/>
          </w:tcPr>
          <w:p w14:paraId="779DCD73" w14:textId="77777777" w:rsidR="00D43D6F" w:rsidRDefault="003676C1" w:rsidP="00AD62A5">
            <w:pPr>
              <w:jc w:val="center"/>
            </w:pPr>
            <w:r>
              <w:rPr>
                <w:rFonts w:ascii="Arial" w:hAnsi="Arial" w:cs="Arial"/>
                <w:b/>
                <w:sz w:val="18"/>
                <w:szCs w:val="18"/>
              </w:rPr>
              <w:t>Total Funding</w:t>
            </w:r>
          </w:p>
        </w:tc>
      </w:tr>
      <w:tr w:rsidR="00D43D6F" w14:paraId="779DCD79" w14:textId="77777777" w:rsidTr="00C60203">
        <w:tc>
          <w:tcPr>
            <w:tcW w:w="4225" w:type="dxa"/>
            <w:vAlign w:val="center"/>
          </w:tcPr>
          <w:p w14:paraId="779DCD75" w14:textId="2BD0C23D" w:rsidR="00D43D6F" w:rsidRDefault="003676C1" w:rsidP="00AD62A5">
            <w:r>
              <w:rPr>
                <w:rFonts w:ascii="Arial" w:hAnsi="Arial" w:cs="Arial"/>
                <w:sz w:val="18"/>
                <w:szCs w:val="18"/>
              </w:rPr>
              <w:t xml:space="preserve">Component </w:t>
            </w:r>
            <w:r w:rsidR="00E25DF4">
              <w:rPr>
                <w:rFonts w:ascii="Arial" w:hAnsi="Arial" w:cs="Arial"/>
                <w:sz w:val="18"/>
                <w:szCs w:val="18"/>
              </w:rPr>
              <w:t>I.</w:t>
            </w:r>
            <w:r>
              <w:rPr>
                <w:rFonts w:ascii="Arial" w:hAnsi="Arial" w:cs="Arial"/>
                <w:sz w:val="18"/>
                <w:szCs w:val="18"/>
              </w:rPr>
              <w:t xml:space="preserve"> Development of Energy Storage Regulatory Frameworks.</w:t>
            </w:r>
          </w:p>
        </w:tc>
        <w:tc>
          <w:tcPr>
            <w:tcW w:w="1477" w:type="dxa"/>
            <w:vAlign w:val="center"/>
          </w:tcPr>
          <w:p w14:paraId="779DCD76" w14:textId="77777777" w:rsidR="00D43D6F" w:rsidRDefault="003676C1" w:rsidP="00AD62A5">
            <w:pPr>
              <w:jc w:val="right"/>
            </w:pPr>
            <w:r>
              <w:rPr>
                <w:rFonts w:ascii="Arial" w:hAnsi="Arial" w:cs="Arial"/>
                <w:sz w:val="18"/>
                <w:szCs w:val="18"/>
              </w:rPr>
              <w:t>US$300,000.00</w:t>
            </w:r>
          </w:p>
        </w:tc>
        <w:tc>
          <w:tcPr>
            <w:tcW w:w="1673" w:type="dxa"/>
            <w:vAlign w:val="center"/>
          </w:tcPr>
          <w:p w14:paraId="779DCD77" w14:textId="77777777" w:rsidR="00D43D6F" w:rsidRDefault="003676C1" w:rsidP="00AD62A5">
            <w:pPr>
              <w:jc w:val="right"/>
            </w:pPr>
            <w:r>
              <w:rPr>
                <w:rFonts w:ascii="Arial" w:hAnsi="Arial" w:cs="Arial"/>
                <w:sz w:val="18"/>
                <w:szCs w:val="18"/>
              </w:rPr>
              <w:t>US$0.00</w:t>
            </w:r>
          </w:p>
        </w:tc>
        <w:tc>
          <w:tcPr>
            <w:tcW w:w="1641" w:type="dxa"/>
            <w:vAlign w:val="center"/>
          </w:tcPr>
          <w:p w14:paraId="779DCD78" w14:textId="77777777" w:rsidR="00D43D6F" w:rsidRDefault="003676C1" w:rsidP="00AD62A5">
            <w:pPr>
              <w:jc w:val="right"/>
            </w:pPr>
            <w:r>
              <w:rPr>
                <w:rFonts w:ascii="Arial" w:hAnsi="Arial" w:cs="Arial"/>
                <w:sz w:val="18"/>
                <w:szCs w:val="18"/>
              </w:rPr>
              <w:t>US$300,000.00</w:t>
            </w:r>
          </w:p>
        </w:tc>
      </w:tr>
      <w:tr w:rsidR="00D43D6F" w14:paraId="779DCD7E" w14:textId="77777777" w:rsidTr="00C60203">
        <w:tc>
          <w:tcPr>
            <w:tcW w:w="4225" w:type="dxa"/>
            <w:vAlign w:val="center"/>
          </w:tcPr>
          <w:p w14:paraId="779DCD7A" w14:textId="686431AA" w:rsidR="00D43D6F" w:rsidRDefault="003676C1" w:rsidP="00AD62A5">
            <w:r>
              <w:rPr>
                <w:rFonts w:ascii="Arial" w:hAnsi="Arial" w:cs="Arial"/>
                <w:sz w:val="18"/>
                <w:szCs w:val="18"/>
              </w:rPr>
              <w:t xml:space="preserve">Component </w:t>
            </w:r>
            <w:r w:rsidR="00E25DF4">
              <w:rPr>
                <w:rFonts w:ascii="Arial" w:hAnsi="Arial" w:cs="Arial"/>
                <w:sz w:val="18"/>
                <w:szCs w:val="18"/>
              </w:rPr>
              <w:t>II</w:t>
            </w:r>
            <w:r w:rsidR="009D0554">
              <w:rPr>
                <w:rFonts w:ascii="Arial" w:hAnsi="Arial" w:cs="Arial"/>
                <w:sz w:val="18"/>
                <w:szCs w:val="18"/>
              </w:rPr>
              <w:t>.</w:t>
            </w:r>
            <w:r>
              <w:rPr>
                <w:rFonts w:ascii="Arial" w:hAnsi="Arial" w:cs="Arial"/>
                <w:sz w:val="18"/>
                <w:szCs w:val="18"/>
              </w:rPr>
              <w:t xml:space="preserve"> Strengthening of Energy Storage Planning</w:t>
            </w:r>
          </w:p>
        </w:tc>
        <w:tc>
          <w:tcPr>
            <w:tcW w:w="1477" w:type="dxa"/>
            <w:vAlign w:val="center"/>
          </w:tcPr>
          <w:p w14:paraId="779DCD7B" w14:textId="77777777" w:rsidR="00D43D6F" w:rsidRDefault="003676C1" w:rsidP="00AD62A5">
            <w:pPr>
              <w:jc w:val="right"/>
            </w:pPr>
            <w:r>
              <w:rPr>
                <w:rFonts w:ascii="Arial" w:hAnsi="Arial" w:cs="Arial"/>
                <w:sz w:val="18"/>
                <w:szCs w:val="18"/>
              </w:rPr>
              <w:t>US$150,000.00</w:t>
            </w:r>
          </w:p>
        </w:tc>
        <w:tc>
          <w:tcPr>
            <w:tcW w:w="1673" w:type="dxa"/>
            <w:vAlign w:val="center"/>
          </w:tcPr>
          <w:p w14:paraId="779DCD7C" w14:textId="77777777" w:rsidR="00D43D6F" w:rsidRDefault="003676C1" w:rsidP="00AD62A5">
            <w:pPr>
              <w:jc w:val="right"/>
            </w:pPr>
            <w:r>
              <w:rPr>
                <w:rFonts w:ascii="Arial" w:hAnsi="Arial" w:cs="Arial"/>
                <w:sz w:val="18"/>
                <w:szCs w:val="18"/>
              </w:rPr>
              <w:t>US$0.00</w:t>
            </w:r>
          </w:p>
        </w:tc>
        <w:tc>
          <w:tcPr>
            <w:tcW w:w="1641" w:type="dxa"/>
            <w:vAlign w:val="center"/>
          </w:tcPr>
          <w:p w14:paraId="779DCD7D" w14:textId="77777777" w:rsidR="00D43D6F" w:rsidRDefault="003676C1" w:rsidP="00AD62A5">
            <w:pPr>
              <w:jc w:val="right"/>
            </w:pPr>
            <w:r>
              <w:rPr>
                <w:rFonts w:ascii="Arial" w:hAnsi="Arial" w:cs="Arial"/>
                <w:sz w:val="18"/>
                <w:szCs w:val="18"/>
              </w:rPr>
              <w:t>US$150,000.00</w:t>
            </w:r>
          </w:p>
        </w:tc>
      </w:tr>
      <w:tr w:rsidR="00D43D6F" w14:paraId="779DCD83" w14:textId="77777777" w:rsidTr="00C60203">
        <w:tc>
          <w:tcPr>
            <w:tcW w:w="4225" w:type="dxa"/>
            <w:vAlign w:val="center"/>
          </w:tcPr>
          <w:p w14:paraId="779DCD7F" w14:textId="73D9027E" w:rsidR="00D43D6F" w:rsidRDefault="003676C1" w:rsidP="00AD62A5">
            <w:r>
              <w:rPr>
                <w:rFonts w:ascii="Arial" w:hAnsi="Arial" w:cs="Arial"/>
                <w:sz w:val="18"/>
                <w:szCs w:val="18"/>
              </w:rPr>
              <w:t xml:space="preserve">Component </w:t>
            </w:r>
            <w:r w:rsidR="00E25DF4">
              <w:rPr>
                <w:rFonts w:ascii="Arial" w:hAnsi="Arial" w:cs="Arial"/>
                <w:sz w:val="18"/>
                <w:szCs w:val="18"/>
              </w:rPr>
              <w:t>III.</w:t>
            </w:r>
            <w:r>
              <w:rPr>
                <w:rFonts w:ascii="Arial" w:hAnsi="Arial" w:cs="Arial"/>
                <w:sz w:val="18"/>
                <w:szCs w:val="18"/>
              </w:rPr>
              <w:t xml:space="preserve"> Energy Storage Projects Support.</w:t>
            </w:r>
          </w:p>
        </w:tc>
        <w:tc>
          <w:tcPr>
            <w:tcW w:w="1477" w:type="dxa"/>
            <w:vAlign w:val="center"/>
          </w:tcPr>
          <w:p w14:paraId="779DCD80" w14:textId="77777777" w:rsidR="00D43D6F" w:rsidRDefault="003676C1" w:rsidP="00AD62A5">
            <w:pPr>
              <w:jc w:val="right"/>
            </w:pPr>
            <w:r>
              <w:rPr>
                <w:rFonts w:ascii="Arial" w:hAnsi="Arial" w:cs="Arial"/>
                <w:sz w:val="18"/>
                <w:szCs w:val="18"/>
              </w:rPr>
              <w:t>US$450,000.00</w:t>
            </w:r>
          </w:p>
        </w:tc>
        <w:tc>
          <w:tcPr>
            <w:tcW w:w="1673" w:type="dxa"/>
            <w:vAlign w:val="center"/>
          </w:tcPr>
          <w:p w14:paraId="779DCD81" w14:textId="77777777" w:rsidR="00D43D6F" w:rsidRDefault="003676C1" w:rsidP="00AD62A5">
            <w:pPr>
              <w:jc w:val="right"/>
            </w:pPr>
            <w:r>
              <w:rPr>
                <w:rFonts w:ascii="Arial" w:hAnsi="Arial" w:cs="Arial"/>
                <w:sz w:val="18"/>
                <w:szCs w:val="18"/>
              </w:rPr>
              <w:t>US$0.00</w:t>
            </w:r>
          </w:p>
        </w:tc>
        <w:tc>
          <w:tcPr>
            <w:tcW w:w="1641" w:type="dxa"/>
            <w:vAlign w:val="center"/>
          </w:tcPr>
          <w:p w14:paraId="779DCD82" w14:textId="77777777" w:rsidR="00D43D6F" w:rsidRDefault="003676C1" w:rsidP="00AD62A5">
            <w:pPr>
              <w:jc w:val="right"/>
            </w:pPr>
            <w:r>
              <w:rPr>
                <w:rFonts w:ascii="Arial" w:hAnsi="Arial" w:cs="Arial"/>
                <w:sz w:val="18"/>
                <w:szCs w:val="18"/>
              </w:rPr>
              <w:t>US$450,000.00</w:t>
            </w:r>
          </w:p>
        </w:tc>
      </w:tr>
      <w:tr w:rsidR="00D43D6F" w14:paraId="779DCD88" w14:textId="77777777" w:rsidTr="00C60203">
        <w:tc>
          <w:tcPr>
            <w:tcW w:w="4225" w:type="dxa"/>
            <w:vAlign w:val="center"/>
          </w:tcPr>
          <w:p w14:paraId="779DCD84" w14:textId="2A1ADFE1" w:rsidR="00D43D6F" w:rsidRDefault="003676C1" w:rsidP="00AD62A5">
            <w:r>
              <w:rPr>
                <w:rFonts w:ascii="Arial" w:hAnsi="Arial" w:cs="Arial"/>
                <w:sz w:val="18"/>
                <w:szCs w:val="18"/>
              </w:rPr>
              <w:t xml:space="preserve">Component </w:t>
            </w:r>
            <w:r w:rsidR="00E25DF4">
              <w:rPr>
                <w:rFonts w:ascii="Arial" w:hAnsi="Arial" w:cs="Arial"/>
                <w:sz w:val="18"/>
                <w:szCs w:val="18"/>
              </w:rPr>
              <w:t>IV.</w:t>
            </w:r>
            <w:r>
              <w:rPr>
                <w:rFonts w:ascii="Arial" w:hAnsi="Arial" w:cs="Arial"/>
                <w:sz w:val="18"/>
                <w:szCs w:val="18"/>
              </w:rPr>
              <w:t xml:space="preserve"> Knowledge sharing and dissemination.</w:t>
            </w:r>
          </w:p>
        </w:tc>
        <w:tc>
          <w:tcPr>
            <w:tcW w:w="1477" w:type="dxa"/>
            <w:vAlign w:val="center"/>
          </w:tcPr>
          <w:p w14:paraId="779DCD85" w14:textId="77777777" w:rsidR="00D43D6F" w:rsidRDefault="003676C1" w:rsidP="00AD62A5">
            <w:pPr>
              <w:jc w:val="right"/>
            </w:pPr>
            <w:r>
              <w:rPr>
                <w:rFonts w:ascii="Arial" w:hAnsi="Arial" w:cs="Arial"/>
                <w:sz w:val="18"/>
                <w:szCs w:val="18"/>
              </w:rPr>
              <w:t>US$100,000.00</w:t>
            </w:r>
          </w:p>
        </w:tc>
        <w:tc>
          <w:tcPr>
            <w:tcW w:w="1673" w:type="dxa"/>
            <w:vAlign w:val="center"/>
          </w:tcPr>
          <w:p w14:paraId="779DCD86" w14:textId="77777777" w:rsidR="00D43D6F" w:rsidRDefault="003676C1" w:rsidP="00AD62A5">
            <w:pPr>
              <w:jc w:val="right"/>
            </w:pPr>
            <w:r>
              <w:rPr>
                <w:rFonts w:ascii="Arial" w:hAnsi="Arial" w:cs="Arial"/>
                <w:sz w:val="18"/>
                <w:szCs w:val="18"/>
              </w:rPr>
              <w:t>US$0.00</w:t>
            </w:r>
          </w:p>
        </w:tc>
        <w:tc>
          <w:tcPr>
            <w:tcW w:w="1641" w:type="dxa"/>
            <w:vAlign w:val="center"/>
          </w:tcPr>
          <w:p w14:paraId="779DCD87" w14:textId="77777777" w:rsidR="00D43D6F" w:rsidRDefault="003676C1" w:rsidP="00AD62A5">
            <w:pPr>
              <w:jc w:val="right"/>
            </w:pPr>
            <w:r>
              <w:rPr>
                <w:rFonts w:ascii="Arial" w:hAnsi="Arial" w:cs="Arial"/>
                <w:sz w:val="18"/>
                <w:szCs w:val="18"/>
              </w:rPr>
              <w:t>US$100,000.00</w:t>
            </w:r>
          </w:p>
        </w:tc>
      </w:tr>
      <w:tr w:rsidR="00D43D6F" w14:paraId="779DCD8D" w14:textId="77777777" w:rsidTr="00C60203">
        <w:tc>
          <w:tcPr>
            <w:tcW w:w="4225" w:type="dxa"/>
            <w:vAlign w:val="center"/>
          </w:tcPr>
          <w:p w14:paraId="779DCD89" w14:textId="77777777" w:rsidR="00D43D6F" w:rsidRDefault="003676C1" w:rsidP="00AD62A5">
            <w:r>
              <w:rPr>
                <w:rFonts w:ascii="Arial" w:hAnsi="Arial" w:cs="Arial"/>
                <w:b/>
                <w:sz w:val="18"/>
                <w:szCs w:val="18"/>
              </w:rPr>
              <w:t>Total</w:t>
            </w:r>
          </w:p>
        </w:tc>
        <w:tc>
          <w:tcPr>
            <w:tcW w:w="1477" w:type="dxa"/>
            <w:vAlign w:val="center"/>
          </w:tcPr>
          <w:p w14:paraId="779DCD8A" w14:textId="77777777" w:rsidR="00D43D6F" w:rsidRDefault="003676C1" w:rsidP="00AD62A5">
            <w:pPr>
              <w:jc w:val="right"/>
            </w:pPr>
            <w:r>
              <w:rPr>
                <w:rFonts w:ascii="Arial" w:hAnsi="Arial" w:cs="Arial"/>
                <w:b/>
                <w:sz w:val="18"/>
                <w:szCs w:val="18"/>
              </w:rPr>
              <w:t>US$1,000,000.00</w:t>
            </w:r>
          </w:p>
        </w:tc>
        <w:tc>
          <w:tcPr>
            <w:tcW w:w="1673" w:type="dxa"/>
            <w:vAlign w:val="center"/>
          </w:tcPr>
          <w:p w14:paraId="779DCD8B" w14:textId="77777777" w:rsidR="00D43D6F" w:rsidRDefault="003676C1" w:rsidP="00AD62A5">
            <w:pPr>
              <w:jc w:val="right"/>
            </w:pPr>
            <w:r>
              <w:rPr>
                <w:rFonts w:ascii="Arial" w:hAnsi="Arial" w:cs="Arial"/>
                <w:b/>
                <w:sz w:val="18"/>
                <w:szCs w:val="18"/>
              </w:rPr>
              <w:t>US$0.00</w:t>
            </w:r>
          </w:p>
        </w:tc>
        <w:tc>
          <w:tcPr>
            <w:tcW w:w="1641" w:type="dxa"/>
            <w:vAlign w:val="center"/>
          </w:tcPr>
          <w:p w14:paraId="779DCD8C" w14:textId="77777777" w:rsidR="00D43D6F" w:rsidRDefault="003676C1" w:rsidP="00AD62A5">
            <w:pPr>
              <w:jc w:val="right"/>
            </w:pPr>
            <w:r>
              <w:rPr>
                <w:rFonts w:ascii="Arial" w:hAnsi="Arial" w:cs="Arial"/>
                <w:b/>
                <w:sz w:val="18"/>
                <w:szCs w:val="18"/>
              </w:rPr>
              <w:t>US$1,000,000.00</w:t>
            </w:r>
          </w:p>
        </w:tc>
      </w:tr>
    </w:tbl>
    <w:p w14:paraId="779DCD8E" w14:textId="77777777" w:rsidR="00D43D6F" w:rsidRDefault="003676C1" w:rsidP="006F732D">
      <w:pPr>
        <w:spacing w:before="240" w:after="120"/>
        <w:ind w:left="576" w:hanging="576"/>
      </w:pPr>
      <w:r>
        <w:rPr>
          <w:rFonts w:ascii="Arial" w:hAnsi="Arial" w:cs="Arial"/>
          <w:b/>
        </w:rPr>
        <w:t>V.</w:t>
      </w:r>
      <w:r>
        <w:rPr>
          <w:rFonts w:ascii="Arial" w:hAnsi="Arial" w:cs="Arial"/>
          <w:b/>
        </w:rPr>
        <w:tab/>
        <w:t>Executing Agency and Execution Structure</w:t>
      </w:r>
    </w:p>
    <w:p w14:paraId="779DCD8F" w14:textId="4F42366E" w:rsidR="00D43D6F" w:rsidRDefault="003676C1">
      <w:pPr>
        <w:spacing w:before="200" w:after="200"/>
        <w:ind w:left="579" w:hanging="579"/>
        <w:jc w:val="both"/>
      </w:pPr>
      <w:r>
        <w:rPr>
          <w:rFonts w:ascii="Arial" w:hAnsi="Arial" w:cs="Arial"/>
        </w:rPr>
        <w:t>5.1</w:t>
      </w:r>
      <w:r>
        <w:rPr>
          <w:rFonts w:ascii="Arial" w:hAnsi="Arial" w:cs="Arial"/>
        </w:rPr>
        <w:tab/>
        <w:t>As requested by the beneficiaries and according to the Operative Guidelines (GN</w:t>
      </w:r>
      <w:r w:rsidR="0017746D">
        <w:rPr>
          <w:rFonts w:ascii="Arial" w:hAnsi="Arial" w:cs="Arial"/>
        </w:rPr>
        <w:noBreakHyphen/>
      </w:r>
      <w:r>
        <w:rPr>
          <w:rFonts w:ascii="Arial" w:hAnsi="Arial" w:cs="Arial"/>
        </w:rPr>
        <w:t>2629</w:t>
      </w:r>
      <w:r w:rsidR="0017746D">
        <w:rPr>
          <w:rFonts w:ascii="Arial" w:hAnsi="Arial" w:cs="Arial"/>
        </w:rPr>
        <w:noBreakHyphen/>
      </w:r>
      <w:r>
        <w:rPr>
          <w:rFonts w:ascii="Arial" w:hAnsi="Arial" w:cs="Arial"/>
        </w:rPr>
        <w:t>1), the IDB, through its Energy Division (INE/ENE) will be the Executing Agency of this regional TC.</w:t>
      </w:r>
    </w:p>
    <w:p w14:paraId="779DCD90" w14:textId="77777777" w:rsidR="00D43D6F" w:rsidRDefault="003676C1">
      <w:pPr>
        <w:spacing w:before="200" w:after="200"/>
        <w:ind w:left="579" w:hanging="579"/>
        <w:jc w:val="both"/>
      </w:pPr>
      <w:r>
        <w:rPr>
          <w:rFonts w:ascii="Arial" w:hAnsi="Arial" w:cs="Arial"/>
        </w:rPr>
        <w:t>5.2</w:t>
      </w:r>
      <w:r>
        <w:rPr>
          <w:rFonts w:ascii="Arial" w:hAnsi="Arial" w:cs="Arial"/>
        </w:rPr>
        <w:tab/>
        <w:t>The Energy Division (INE/ENE) will act as the executing agency of this regional TC due to its ability to leverage its extensive network of internal and external subject-matter experts and well-established relationships with the stakeholders involved.</w:t>
      </w:r>
    </w:p>
    <w:p w14:paraId="779DCD91" w14:textId="77777777" w:rsidR="00D43D6F" w:rsidRDefault="003676C1" w:rsidP="00FC7B53">
      <w:pPr>
        <w:spacing w:before="240" w:after="120"/>
        <w:ind w:left="576" w:hanging="576"/>
      </w:pPr>
      <w:r>
        <w:rPr>
          <w:rFonts w:ascii="Arial" w:hAnsi="Arial" w:cs="Arial"/>
          <w:b/>
        </w:rPr>
        <w:t>VI.</w:t>
      </w:r>
      <w:r>
        <w:rPr>
          <w:rFonts w:ascii="Arial" w:hAnsi="Arial" w:cs="Arial"/>
          <w:b/>
        </w:rPr>
        <w:tab/>
        <w:t>Project Risks and Issues</w:t>
      </w:r>
    </w:p>
    <w:p w14:paraId="4205583D" w14:textId="2525B742" w:rsidR="00A56DE2" w:rsidRDefault="003676C1" w:rsidP="00A56DE2">
      <w:pPr>
        <w:spacing w:before="200" w:after="200"/>
        <w:ind w:left="579" w:hanging="579"/>
        <w:jc w:val="both"/>
        <w:rPr>
          <w:rFonts w:ascii="Arial" w:hAnsi="Arial" w:cs="Arial"/>
        </w:rPr>
      </w:pPr>
      <w:r>
        <w:rPr>
          <w:rFonts w:ascii="Arial" w:hAnsi="Arial" w:cs="Arial"/>
        </w:rPr>
        <w:t>6.1</w:t>
      </w:r>
      <w:r>
        <w:rPr>
          <w:rFonts w:ascii="Arial" w:hAnsi="Arial" w:cs="Arial"/>
        </w:rPr>
        <w:tab/>
        <w:t xml:space="preserve">One risk for the implementation of this </w:t>
      </w:r>
      <w:r w:rsidR="00A56DE2">
        <w:rPr>
          <w:rFonts w:ascii="Arial" w:hAnsi="Arial" w:cs="Arial"/>
        </w:rPr>
        <w:t>TC</w:t>
      </w:r>
      <w:r>
        <w:rPr>
          <w:rFonts w:ascii="Arial" w:hAnsi="Arial" w:cs="Arial"/>
        </w:rPr>
        <w:t xml:space="preserve"> is related to delays in the implementation of activities involving local authorities or site visits. The COVID-19 pandemic has </w:t>
      </w:r>
      <w:r w:rsidR="00A56DE2">
        <w:rPr>
          <w:rFonts w:ascii="Arial" w:hAnsi="Arial" w:cs="Arial"/>
        </w:rPr>
        <w:t>affect</w:t>
      </w:r>
      <w:r>
        <w:rPr>
          <w:rFonts w:ascii="Arial" w:hAnsi="Arial" w:cs="Arial"/>
        </w:rPr>
        <w:t>ed the speed of response from authorities and public companies to different projects because of the teleworking conditions. Similarly, travel restrictions could impact local data gathering for international consulting studies. To mitigate this, the project team will implement all activities in close coordination with IDB country offices and key country stakeholders, including representatives from government, industry, and civil society. In addition, consulting services will foresee the use of remote communication tools to ensure the scope of work completion. Training and dissemination activities will be conducted using virtual tools.</w:t>
      </w:r>
    </w:p>
    <w:p w14:paraId="779DCD92" w14:textId="3ABAA3AB" w:rsidR="00D43D6F" w:rsidRPr="00A56DE2" w:rsidRDefault="00BD6868" w:rsidP="00A56DE2">
      <w:pPr>
        <w:spacing w:before="200" w:after="200"/>
        <w:ind w:left="579" w:hanging="579"/>
        <w:jc w:val="both"/>
        <w:rPr>
          <w:rFonts w:ascii="Arial" w:hAnsi="Arial" w:cs="Arial"/>
        </w:rPr>
      </w:pPr>
      <w:r>
        <w:rPr>
          <w:rFonts w:ascii="Arial" w:hAnsi="Arial" w:cs="Arial"/>
        </w:rPr>
        <w:t>6.2</w:t>
      </w:r>
      <w:r>
        <w:rPr>
          <w:rFonts w:ascii="Arial" w:hAnsi="Arial" w:cs="Arial"/>
        </w:rPr>
        <w:tab/>
      </w:r>
      <w:r w:rsidR="003676C1">
        <w:rPr>
          <w:rFonts w:ascii="Arial" w:hAnsi="Arial" w:cs="Arial"/>
        </w:rPr>
        <w:t>Coordination with multiple institutions and authorities to analyze and review the deliverables from the studies could delay the TC execution. To mitigate the risks the local team members based in the Country Offices will lead the dialogue with the local authorities with support and in coordination with the team leader of this TC. The TC team will conduct regular meetings with the designated focal point in each organization/Ministry established at the beginning of the implementation.</w:t>
      </w:r>
    </w:p>
    <w:p w14:paraId="779DCD93" w14:textId="77777777" w:rsidR="00D43D6F" w:rsidRDefault="003676C1">
      <w:pPr>
        <w:spacing w:before="120" w:after="120"/>
        <w:ind w:left="579" w:hanging="579"/>
      </w:pPr>
      <w:r>
        <w:rPr>
          <w:rFonts w:ascii="Arial" w:hAnsi="Arial" w:cs="Arial"/>
          <w:b/>
        </w:rPr>
        <w:t>VII.</w:t>
      </w:r>
      <w:r>
        <w:rPr>
          <w:rFonts w:ascii="Arial" w:hAnsi="Arial" w:cs="Arial"/>
          <w:b/>
        </w:rPr>
        <w:tab/>
        <w:t>Environmental and Social Classification</w:t>
      </w:r>
    </w:p>
    <w:p w14:paraId="779DCD94" w14:textId="36F83589" w:rsidR="00D43D6F" w:rsidRDefault="003676C1">
      <w:pPr>
        <w:spacing w:before="240" w:after="120"/>
        <w:ind w:left="579" w:hanging="579"/>
        <w:jc w:val="both"/>
      </w:pPr>
      <w:r>
        <w:rPr>
          <w:rFonts w:ascii="Arial" w:hAnsi="Arial" w:cs="Arial"/>
        </w:rPr>
        <w:t>7.1</w:t>
      </w:r>
      <w:r>
        <w:rPr>
          <w:rFonts w:ascii="Arial" w:hAnsi="Arial" w:cs="Arial"/>
        </w:rPr>
        <w:tab/>
        <w:t xml:space="preserve">The ESG classification for this operation is </w:t>
      </w:r>
      <w:r w:rsidR="00426755">
        <w:rPr>
          <w:rFonts w:ascii="Arial" w:hAnsi="Arial" w:cs="Arial"/>
        </w:rPr>
        <w:t xml:space="preserve">Category </w:t>
      </w:r>
      <w:r>
        <w:rPr>
          <w:rFonts w:ascii="Arial" w:hAnsi="Arial" w:cs="Arial"/>
        </w:rPr>
        <w:t>"</w:t>
      </w:r>
      <w:r w:rsidR="00426755">
        <w:rPr>
          <w:rFonts w:ascii="Arial" w:hAnsi="Arial" w:cs="Arial"/>
        </w:rPr>
        <w:t>C</w:t>
      </w:r>
      <w:r>
        <w:rPr>
          <w:rFonts w:ascii="Arial" w:hAnsi="Arial" w:cs="Arial"/>
        </w:rPr>
        <w:t>"</w:t>
      </w:r>
      <w:r w:rsidR="00426755">
        <w:rPr>
          <w:rFonts w:ascii="Arial" w:hAnsi="Arial" w:cs="Arial"/>
        </w:rPr>
        <w:t xml:space="preserve">, as </w:t>
      </w:r>
      <w:r w:rsidR="003176EB">
        <w:rPr>
          <w:rFonts w:ascii="Arial" w:hAnsi="Arial" w:cs="Arial"/>
        </w:rPr>
        <w:t>the TC has no environmental or social implica</w:t>
      </w:r>
      <w:r w:rsidR="005C6E7A">
        <w:rPr>
          <w:rFonts w:ascii="Arial" w:hAnsi="Arial" w:cs="Arial"/>
        </w:rPr>
        <w:t xml:space="preserve">tions. For details, see the </w:t>
      </w:r>
      <w:hyperlink r:id="rId13" w:history="1">
        <w:r w:rsidR="005C6E7A" w:rsidRPr="00AB65C1">
          <w:rPr>
            <w:rStyle w:val="Hyperlink"/>
            <w:rFonts w:ascii="Arial" w:hAnsi="Arial" w:cs="Arial"/>
          </w:rPr>
          <w:t>Safeguard Policy Filter Report</w:t>
        </w:r>
      </w:hyperlink>
      <w:r w:rsidR="005C6E7A">
        <w:rPr>
          <w:rFonts w:ascii="Arial" w:hAnsi="Arial" w:cs="Arial"/>
        </w:rPr>
        <w:t xml:space="preserve"> and the </w:t>
      </w:r>
      <w:hyperlink r:id="rId14" w:history="1">
        <w:r w:rsidR="005C6E7A" w:rsidRPr="00F90197">
          <w:rPr>
            <w:rStyle w:val="Hyperlink"/>
            <w:rFonts w:ascii="Arial" w:hAnsi="Arial" w:cs="Arial"/>
          </w:rPr>
          <w:t>S</w:t>
        </w:r>
        <w:r w:rsidR="003A4440" w:rsidRPr="00F90197">
          <w:rPr>
            <w:rStyle w:val="Hyperlink"/>
            <w:rFonts w:ascii="Arial" w:hAnsi="Arial" w:cs="Arial"/>
          </w:rPr>
          <w:t>afeguard Screening Form</w:t>
        </w:r>
      </w:hyperlink>
      <w:r>
        <w:rPr>
          <w:rFonts w:ascii="Arial" w:hAnsi="Arial" w:cs="Arial"/>
        </w:rPr>
        <w:t>.</w:t>
      </w:r>
    </w:p>
    <w:sectPr w:rsidR="00D43D6F" w:rsidSect="00FC3028">
      <w:footerReference w:type="defaul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978961" w14:textId="77777777" w:rsidR="002B16E6" w:rsidRDefault="002B16E6">
      <w:r>
        <w:separator/>
      </w:r>
    </w:p>
  </w:endnote>
  <w:endnote w:type="continuationSeparator" w:id="0">
    <w:p w14:paraId="5303306B" w14:textId="77777777" w:rsidR="002B16E6" w:rsidRDefault="002B1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9DCD95" w14:textId="23F7DDB1" w:rsidR="00D43D6F" w:rsidRDefault="003676C1">
    <w:pPr>
      <w:pStyle w:val="FooterStyle"/>
      <w:jc w:val="center"/>
    </w:pPr>
    <w:r>
      <w:t xml:space="preserve"> - </w:t>
    </w:r>
    <w:r>
      <w:fldChar w:fldCharType="begin"/>
    </w:r>
    <w:r>
      <w:instrText xml:space="preserve"> PAGE </w:instrText>
    </w:r>
    <w:r>
      <w:fldChar w:fldCharType="separate"/>
    </w:r>
    <w:r w:rsidR="00E777F9">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FDB49D" w14:textId="77777777" w:rsidR="002B16E6" w:rsidRDefault="002B16E6">
      <w:r>
        <w:separator/>
      </w:r>
    </w:p>
  </w:footnote>
  <w:footnote w:type="continuationSeparator" w:id="0">
    <w:p w14:paraId="7D7CDC6B" w14:textId="77777777" w:rsidR="002B16E6" w:rsidRDefault="002B16E6">
      <w:r>
        <w:continuationSeparator/>
      </w:r>
    </w:p>
  </w:footnote>
  <w:footnote w:id="1">
    <w:p w14:paraId="4966AD3E" w14:textId="0B7398A2" w:rsidR="00211282" w:rsidRPr="003B499D" w:rsidRDefault="00211282" w:rsidP="00F43658">
      <w:pPr>
        <w:pStyle w:val="FootnoteText"/>
        <w:ind w:left="180" w:hanging="180"/>
        <w:rPr>
          <w:rFonts w:ascii="Arial" w:hAnsi="Arial" w:cs="Arial"/>
          <w:sz w:val="18"/>
          <w:szCs w:val="18"/>
        </w:rPr>
      </w:pPr>
      <w:r w:rsidRPr="003B499D">
        <w:rPr>
          <w:rStyle w:val="FootnoteReference"/>
          <w:rFonts w:ascii="Arial" w:hAnsi="Arial" w:cs="Arial"/>
          <w:sz w:val="18"/>
          <w:szCs w:val="18"/>
        </w:rPr>
        <w:footnoteRef/>
      </w:r>
      <w:r w:rsidRPr="003B499D">
        <w:rPr>
          <w:rFonts w:ascii="Arial" w:hAnsi="Arial" w:cs="Arial"/>
          <w:sz w:val="18"/>
          <w:szCs w:val="18"/>
        </w:rPr>
        <w:t xml:space="preserve"> </w:t>
      </w:r>
      <w:r w:rsidR="00F43658">
        <w:rPr>
          <w:rFonts w:ascii="Arial" w:hAnsi="Arial" w:cs="Arial"/>
          <w:sz w:val="18"/>
          <w:szCs w:val="18"/>
        </w:rPr>
        <w:tab/>
      </w:r>
      <w:r w:rsidR="007A5E58" w:rsidRPr="003B499D">
        <w:rPr>
          <w:rFonts w:ascii="Arial" w:hAnsi="Arial" w:cs="Arial"/>
          <w:sz w:val="18"/>
          <w:szCs w:val="18"/>
        </w:rPr>
        <w:t>US$600</w:t>
      </w:r>
      <w:r w:rsidR="00DC0B48">
        <w:rPr>
          <w:rFonts w:ascii="Arial" w:hAnsi="Arial" w:cs="Arial"/>
          <w:sz w:val="18"/>
          <w:szCs w:val="18"/>
        </w:rPr>
        <w:t>,</w:t>
      </w:r>
      <w:r w:rsidR="007A5E58" w:rsidRPr="003B499D">
        <w:rPr>
          <w:rFonts w:ascii="Arial" w:hAnsi="Arial" w:cs="Arial"/>
          <w:sz w:val="18"/>
          <w:szCs w:val="18"/>
        </w:rPr>
        <w:t>000</w:t>
      </w:r>
      <w:r w:rsidR="008A6417">
        <w:rPr>
          <w:rFonts w:ascii="Arial" w:hAnsi="Arial" w:cs="Arial"/>
          <w:sz w:val="18"/>
          <w:szCs w:val="18"/>
        </w:rPr>
        <w:t>,</w:t>
      </w:r>
      <w:r w:rsidR="007A5E58" w:rsidRPr="003B499D">
        <w:rPr>
          <w:rFonts w:ascii="Arial" w:hAnsi="Arial" w:cs="Arial"/>
          <w:sz w:val="18"/>
          <w:szCs w:val="18"/>
        </w:rPr>
        <w:t>000</w:t>
      </w:r>
      <w:r w:rsidR="008A6417">
        <w:rPr>
          <w:rFonts w:ascii="Arial" w:hAnsi="Arial" w:cs="Arial"/>
          <w:sz w:val="18"/>
          <w:szCs w:val="18"/>
        </w:rPr>
        <w:t>.00</w:t>
      </w:r>
      <w:r w:rsidR="007A5E58" w:rsidRPr="003B499D">
        <w:rPr>
          <w:rFonts w:ascii="Arial" w:hAnsi="Arial" w:cs="Arial"/>
          <w:sz w:val="18"/>
          <w:szCs w:val="18"/>
        </w:rPr>
        <w:t xml:space="preserve"> fund to be co</w:t>
      </w:r>
      <w:r w:rsidR="00611382">
        <w:rPr>
          <w:rFonts w:ascii="Arial" w:hAnsi="Arial" w:cs="Arial"/>
          <w:sz w:val="18"/>
          <w:szCs w:val="18"/>
        </w:rPr>
        <w:t>-</w:t>
      </w:r>
      <w:r w:rsidR="007A5E58" w:rsidRPr="003B499D">
        <w:rPr>
          <w:rFonts w:ascii="Arial" w:hAnsi="Arial" w:cs="Arial"/>
          <w:sz w:val="18"/>
          <w:szCs w:val="18"/>
        </w:rPr>
        <w:t xml:space="preserve">financed by the </w:t>
      </w:r>
      <w:r w:rsidR="00F2540E" w:rsidRPr="003B499D">
        <w:rPr>
          <w:rFonts w:ascii="Arial" w:hAnsi="Arial" w:cs="Arial"/>
          <w:sz w:val="18"/>
          <w:szCs w:val="18"/>
        </w:rPr>
        <w:t>GCF.</w:t>
      </w:r>
    </w:p>
  </w:footnote>
  <w:footnote w:id="2">
    <w:p w14:paraId="0DAFE613" w14:textId="60ED1FBE" w:rsidR="005F3C89" w:rsidRPr="00C37782" w:rsidRDefault="005F3C89" w:rsidP="00DA672F">
      <w:pPr>
        <w:pStyle w:val="FootnoteText"/>
        <w:ind w:left="180" w:hanging="180"/>
        <w:rPr>
          <w:rFonts w:ascii="Arial" w:hAnsi="Arial" w:cs="Arial"/>
          <w:sz w:val="18"/>
          <w:szCs w:val="18"/>
        </w:rPr>
      </w:pPr>
      <w:r w:rsidRPr="00C37782">
        <w:rPr>
          <w:rStyle w:val="FootnoteReference"/>
          <w:rFonts w:ascii="Arial" w:hAnsi="Arial" w:cs="Arial"/>
          <w:sz w:val="18"/>
          <w:szCs w:val="18"/>
        </w:rPr>
        <w:footnoteRef/>
      </w:r>
      <w:r w:rsidRPr="00C37782">
        <w:rPr>
          <w:rFonts w:ascii="Arial" w:hAnsi="Arial" w:cs="Arial"/>
          <w:sz w:val="18"/>
          <w:szCs w:val="18"/>
        </w:rPr>
        <w:t xml:space="preserve"> </w:t>
      </w:r>
      <w:r w:rsidR="00F43658">
        <w:rPr>
          <w:rFonts w:ascii="Arial" w:hAnsi="Arial" w:cs="Arial"/>
          <w:sz w:val="18"/>
          <w:szCs w:val="18"/>
        </w:rPr>
        <w:tab/>
      </w:r>
      <w:r w:rsidR="002A1F8F" w:rsidRPr="00C37782">
        <w:rPr>
          <w:rFonts w:ascii="Arial" w:hAnsi="Arial" w:cs="Arial"/>
          <w:sz w:val="18"/>
          <w:szCs w:val="18"/>
        </w:rPr>
        <w:t>See</w:t>
      </w:r>
      <w:r w:rsidR="00720160">
        <w:rPr>
          <w:rFonts w:ascii="Arial" w:hAnsi="Arial" w:cs="Arial"/>
          <w:sz w:val="18"/>
          <w:szCs w:val="18"/>
        </w:rPr>
        <w:t>: Cavallo. E</w:t>
      </w:r>
      <w:r w:rsidR="00122617">
        <w:rPr>
          <w:rFonts w:ascii="Arial" w:hAnsi="Arial" w:cs="Arial"/>
          <w:sz w:val="18"/>
          <w:szCs w:val="18"/>
        </w:rPr>
        <w:t>., Powell. A</w:t>
      </w:r>
      <w:r w:rsidR="00F43658">
        <w:rPr>
          <w:rFonts w:ascii="Arial" w:hAnsi="Arial" w:cs="Arial"/>
          <w:sz w:val="18"/>
          <w:szCs w:val="18"/>
        </w:rPr>
        <w:t>,</w:t>
      </w:r>
      <w:r w:rsidR="00122617">
        <w:rPr>
          <w:rFonts w:ascii="Arial" w:hAnsi="Arial" w:cs="Arial"/>
          <w:sz w:val="18"/>
          <w:szCs w:val="18"/>
        </w:rPr>
        <w:t xml:space="preserve"> and </w:t>
      </w:r>
      <w:r w:rsidR="00DC4859">
        <w:rPr>
          <w:rFonts w:ascii="Arial" w:hAnsi="Arial" w:cs="Arial"/>
          <w:sz w:val="18"/>
          <w:szCs w:val="18"/>
        </w:rPr>
        <w:t>Serebrisky. P.</w:t>
      </w:r>
      <w:r w:rsidR="00122617">
        <w:rPr>
          <w:rFonts w:ascii="Arial" w:hAnsi="Arial" w:cs="Arial"/>
          <w:sz w:val="18"/>
          <w:szCs w:val="18"/>
        </w:rPr>
        <w:t xml:space="preserve"> </w:t>
      </w:r>
      <w:hyperlink r:id="rId1" w:history="1">
        <w:r w:rsidR="006E7B3E" w:rsidRPr="0039416A">
          <w:rPr>
            <w:rStyle w:val="Hyperlink"/>
            <w:rFonts w:ascii="Arial" w:hAnsi="Arial" w:cs="Arial"/>
            <w:i/>
            <w:iCs/>
            <w:sz w:val="18"/>
            <w:szCs w:val="18"/>
          </w:rPr>
          <w:t>From Structures to Services</w:t>
        </w:r>
        <w:r w:rsidR="002A1F8F" w:rsidRPr="0039416A">
          <w:rPr>
            <w:rStyle w:val="Hyperlink"/>
            <w:rFonts w:ascii="Arial" w:hAnsi="Arial" w:cs="Arial"/>
            <w:i/>
            <w:iCs/>
            <w:sz w:val="18"/>
            <w:szCs w:val="18"/>
          </w:rPr>
          <w:t xml:space="preserve"> -</w:t>
        </w:r>
        <w:r w:rsidR="00FB24B5" w:rsidRPr="0039416A">
          <w:rPr>
            <w:rStyle w:val="Hyperlink"/>
            <w:rFonts w:ascii="Arial" w:hAnsi="Arial" w:cs="Arial"/>
            <w:i/>
            <w:iCs/>
            <w:sz w:val="18"/>
            <w:szCs w:val="18"/>
          </w:rPr>
          <w:t xml:space="preserve"> </w:t>
        </w:r>
        <w:r w:rsidR="00882799" w:rsidRPr="0039416A">
          <w:rPr>
            <w:rStyle w:val="Hyperlink"/>
            <w:rFonts w:ascii="Arial" w:hAnsi="Arial" w:cs="Arial"/>
            <w:i/>
            <w:iCs/>
            <w:sz w:val="18"/>
            <w:szCs w:val="18"/>
          </w:rPr>
          <w:t>The Path to Better Infrastructure</w:t>
        </w:r>
        <w:r w:rsidR="002A1F8F" w:rsidRPr="0039416A">
          <w:rPr>
            <w:rStyle w:val="Hyperlink"/>
            <w:rFonts w:ascii="Arial" w:hAnsi="Arial" w:cs="Arial"/>
            <w:i/>
            <w:iCs/>
            <w:sz w:val="18"/>
            <w:szCs w:val="18"/>
          </w:rPr>
          <w:t xml:space="preserve"> in Latin America and the Caribbean</w:t>
        </w:r>
      </w:hyperlink>
      <w:r w:rsidR="002A1F8F" w:rsidRPr="00C37782">
        <w:rPr>
          <w:rFonts w:ascii="Arial" w:hAnsi="Arial" w:cs="Arial"/>
          <w:sz w:val="18"/>
          <w:szCs w:val="18"/>
        </w:rPr>
        <w:t>.</w:t>
      </w:r>
      <w:r w:rsidR="003058C3">
        <w:rPr>
          <w:rFonts w:ascii="Arial" w:hAnsi="Arial" w:cs="Arial"/>
          <w:sz w:val="18"/>
          <w:szCs w:val="18"/>
        </w:rPr>
        <w:t xml:space="preserve"> IDB, </w:t>
      </w:r>
      <w:r w:rsidR="00666F90">
        <w:rPr>
          <w:rFonts w:ascii="Arial" w:hAnsi="Arial" w:cs="Arial"/>
          <w:sz w:val="18"/>
          <w:szCs w:val="18"/>
        </w:rPr>
        <w:t xml:space="preserve">July </w:t>
      </w:r>
      <w:r w:rsidR="003058C3">
        <w:rPr>
          <w:rFonts w:ascii="Arial" w:hAnsi="Arial" w:cs="Arial"/>
          <w:sz w:val="18"/>
          <w:szCs w:val="18"/>
        </w:rPr>
        <w:t>2020.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73811"/>
    <w:rsid w:val="00087D66"/>
    <w:rsid w:val="001046D6"/>
    <w:rsid w:val="001057A4"/>
    <w:rsid w:val="00122617"/>
    <w:rsid w:val="00131DB3"/>
    <w:rsid w:val="0017746D"/>
    <w:rsid w:val="001915A3"/>
    <w:rsid w:val="00211282"/>
    <w:rsid w:val="00217F62"/>
    <w:rsid w:val="00271AEB"/>
    <w:rsid w:val="00294ADB"/>
    <w:rsid w:val="002A1F8F"/>
    <w:rsid w:val="002B16E6"/>
    <w:rsid w:val="002B2218"/>
    <w:rsid w:val="0030207F"/>
    <w:rsid w:val="003058C3"/>
    <w:rsid w:val="003176EB"/>
    <w:rsid w:val="00332D88"/>
    <w:rsid w:val="00365648"/>
    <w:rsid w:val="003676C1"/>
    <w:rsid w:val="0039416A"/>
    <w:rsid w:val="003A4440"/>
    <w:rsid w:val="003B0792"/>
    <w:rsid w:val="003B499D"/>
    <w:rsid w:val="00426755"/>
    <w:rsid w:val="00460C97"/>
    <w:rsid w:val="004F01B7"/>
    <w:rsid w:val="0053134A"/>
    <w:rsid w:val="005547B4"/>
    <w:rsid w:val="005872E1"/>
    <w:rsid w:val="00590C41"/>
    <w:rsid w:val="005C6E7A"/>
    <w:rsid w:val="005D1878"/>
    <w:rsid w:val="005D3C2A"/>
    <w:rsid w:val="005D3EEC"/>
    <w:rsid w:val="005F3C89"/>
    <w:rsid w:val="00605852"/>
    <w:rsid w:val="00611382"/>
    <w:rsid w:val="006363A0"/>
    <w:rsid w:val="00666F90"/>
    <w:rsid w:val="00694E16"/>
    <w:rsid w:val="006E7B3E"/>
    <w:rsid w:val="006F732D"/>
    <w:rsid w:val="00720160"/>
    <w:rsid w:val="00741445"/>
    <w:rsid w:val="00767626"/>
    <w:rsid w:val="007A5E58"/>
    <w:rsid w:val="007D03B1"/>
    <w:rsid w:val="007D64F2"/>
    <w:rsid w:val="007D7B3E"/>
    <w:rsid w:val="007E0AAB"/>
    <w:rsid w:val="007E5BF6"/>
    <w:rsid w:val="00803128"/>
    <w:rsid w:val="0080449B"/>
    <w:rsid w:val="00882799"/>
    <w:rsid w:val="008A6417"/>
    <w:rsid w:val="008C2661"/>
    <w:rsid w:val="00946784"/>
    <w:rsid w:val="00954FC7"/>
    <w:rsid w:val="009B46E3"/>
    <w:rsid w:val="009D0554"/>
    <w:rsid w:val="00A17A3A"/>
    <w:rsid w:val="00A56DE2"/>
    <w:rsid w:val="00A906D8"/>
    <w:rsid w:val="00AB5A74"/>
    <w:rsid w:val="00AB65C1"/>
    <w:rsid w:val="00AD62A5"/>
    <w:rsid w:val="00AF6FE1"/>
    <w:rsid w:val="00B30FDC"/>
    <w:rsid w:val="00B55229"/>
    <w:rsid w:val="00B837FC"/>
    <w:rsid w:val="00BA60DC"/>
    <w:rsid w:val="00BD6868"/>
    <w:rsid w:val="00C37782"/>
    <w:rsid w:val="00C4449D"/>
    <w:rsid w:val="00C60203"/>
    <w:rsid w:val="00CA4C25"/>
    <w:rsid w:val="00CD403D"/>
    <w:rsid w:val="00D07469"/>
    <w:rsid w:val="00D43D6F"/>
    <w:rsid w:val="00D828A3"/>
    <w:rsid w:val="00DA672F"/>
    <w:rsid w:val="00DB0EC6"/>
    <w:rsid w:val="00DC0B48"/>
    <w:rsid w:val="00DC4859"/>
    <w:rsid w:val="00E060B5"/>
    <w:rsid w:val="00E25DF4"/>
    <w:rsid w:val="00E6271B"/>
    <w:rsid w:val="00E777F9"/>
    <w:rsid w:val="00E928A6"/>
    <w:rsid w:val="00ED49D1"/>
    <w:rsid w:val="00F071AE"/>
    <w:rsid w:val="00F2540E"/>
    <w:rsid w:val="00F43658"/>
    <w:rsid w:val="00F574D2"/>
    <w:rsid w:val="00F646E8"/>
    <w:rsid w:val="00F90197"/>
    <w:rsid w:val="00FB24B5"/>
    <w:rsid w:val="00FB3307"/>
    <w:rsid w:val="00FC7B53"/>
    <w:rsid w:val="068EBDB8"/>
    <w:rsid w:val="619C35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DCD2D"/>
  <w15:docId w15:val="{9FB4936F-9BED-4793-BA27-E7DEB4F5B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FootnoteText">
    <w:name w:val="footnote text"/>
    <w:basedOn w:val="Normal"/>
    <w:link w:val="FootnoteTextChar"/>
    <w:uiPriority w:val="99"/>
    <w:semiHidden/>
    <w:unhideWhenUsed/>
    <w:rsid w:val="005F3C89"/>
    <w:rPr>
      <w:sz w:val="20"/>
      <w:szCs w:val="20"/>
    </w:rPr>
  </w:style>
  <w:style w:type="character" w:customStyle="1" w:styleId="FootnoteTextChar">
    <w:name w:val="Footnote Text Char"/>
    <w:basedOn w:val="DefaultParagraphFont"/>
    <w:link w:val="FootnoteText"/>
    <w:uiPriority w:val="99"/>
    <w:semiHidden/>
    <w:rsid w:val="005F3C89"/>
    <w:rPr>
      <w:sz w:val="20"/>
      <w:szCs w:val="20"/>
    </w:rPr>
  </w:style>
  <w:style w:type="character" w:styleId="FootnoteReference">
    <w:name w:val="footnote reference"/>
    <w:basedOn w:val="DefaultParagraphFont"/>
    <w:uiPriority w:val="99"/>
    <w:semiHidden/>
    <w:unhideWhenUsed/>
    <w:rsid w:val="005F3C89"/>
    <w:rPr>
      <w:vertAlign w:val="superscript"/>
    </w:rPr>
  </w:style>
  <w:style w:type="character" w:styleId="Hyperlink">
    <w:name w:val="Hyperlink"/>
    <w:basedOn w:val="DefaultParagraphFont"/>
    <w:uiPriority w:val="99"/>
    <w:unhideWhenUsed/>
    <w:rsid w:val="0039416A"/>
    <w:rPr>
      <w:color w:val="0563C1" w:themeColor="hyperlink"/>
      <w:u w:val="single"/>
    </w:rPr>
  </w:style>
  <w:style w:type="character" w:styleId="UnresolvedMention">
    <w:name w:val="Unresolved Mention"/>
    <w:basedOn w:val="DefaultParagraphFont"/>
    <w:uiPriority w:val="99"/>
    <w:semiHidden/>
    <w:unhideWhenUsed/>
    <w:rsid w:val="003941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1896128619-2" TargetMode="Externa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EZSHARE-1896128619-3"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flagships.iadb.org/en/DIA2020/from-structures-to-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C5CB44CB10844448579965CD507ED41" ma:contentTypeVersion="2841" ma:contentTypeDescription="A content type to manage public (operations) IDB documents" ma:contentTypeScope="" ma:versionID="e2e75c7eba7ba82dc334c3453fc89532">
  <xsd:schema xmlns:xsd="http://www.w3.org/2001/XMLSchema" xmlns:xs="http://www.w3.org/2001/XMLSchema" xmlns:p="http://schemas.microsoft.com/office/2006/metadata/properties" xmlns:ns2="cdc7663a-08f0-4737-9e8c-148ce897a09c" targetNamespace="http://schemas.microsoft.com/office/2006/metadata/properties" ma:root="true" ma:fieldsID="aec0a6ee8894a07dc608dae7d62400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8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LOW-CARBON ENERGY TECHNOLOGIES</TermName>
          <TermId xmlns="http://schemas.microsoft.com/office/infopath/2007/PartnerControls">d825adc5-5250-459c-98ae-544e63cfea7b</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CTF</TermName>
          <TermId xmlns="http://schemas.microsoft.com/office/infopath/2007/PartnerControls">09590cec-0e26-4757-bcca-8a4fab00b407</TermId>
        </TermInfo>
      </Terms>
    </g511464f9e53401d84b16fa9b379a574>
    <Related_x0020_SisCor_x0020_Number xmlns="cdc7663a-08f0-4737-9e8c-148ce897a09c" xsi:nil="true"/>
    <TaxCatchAll xmlns="cdc7663a-08f0-4737-9e8c-148ce897a09c">
      <Value>219</Value>
      <Value>45</Value>
      <Value>1241</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RG-T3801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_dlc_DocId xmlns="cdc7663a-08f0-4737-9e8c-148ce897a09c">EZSHARE-1695246147-7</_dlc_DocId>
    <_dlc_DocIdUrl xmlns="cdc7663a-08f0-4737-9e8c-148ce897a09c">
      <Url>https://idbg.sharepoint.com/teams/EZ-RG-TCP/RG-T3801/_layouts/15/DocIdRedir.aspx?ID=EZSHARE-1695246147-7</Url>
      <Description>EZSHARE-1695246147-7</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E65A46-B954-4FA6-A434-EA955E310A89}">
  <ds:schemaRefs>
    <ds:schemaRef ds:uri="http://schemas.microsoft.com/sharepoint/events"/>
  </ds:schemaRefs>
</ds:datastoreItem>
</file>

<file path=customXml/itemProps2.xml><?xml version="1.0" encoding="utf-8"?>
<ds:datastoreItem xmlns:ds="http://schemas.openxmlformats.org/officeDocument/2006/customXml" ds:itemID="{9C34A9E8-3AE0-47B5-BE39-6AF95A2976E9}"/>
</file>

<file path=customXml/itemProps3.xml><?xml version="1.0" encoding="utf-8"?>
<ds:datastoreItem xmlns:ds="http://schemas.openxmlformats.org/officeDocument/2006/customXml" ds:itemID="{D8DB9543-5FA5-430E-A404-E38863697B6D}"/>
</file>

<file path=customXml/itemProps4.xml><?xml version="1.0" encoding="utf-8"?>
<ds:datastoreItem xmlns:ds="http://schemas.openxmlformats.org/officeDocument/2006/customXml" ds:itemID="{E408471D-3C8C-45AE-A863-91A8A038B12A}">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13BB8D7F-F799-44CE-AAC9-B309F2B10786}"/>
</file>

<file path=customXml/itemProps6.xml><?xml version="1.0" encoding="utf-8"?>
<ds:datastoreItem xmlns:ds="http://schemas.openxmlformats.org/officeDocument/2006/customXml" ds:itemID="{E3808DD4-9395-4CE0-85AE-04DF0D1ED3CB}">
  <ds:schemaRefs>
    <ds:schemaRef ds:uri="http://schemas.openxmlformats.org/officeDocument/2006/bibliography"/>
  </ds:schemaRefs>
</ds:datastoreItem>
</file>

<file path=customXml/itemProps7.xml><?xml version="1.0" encoding="utf-8"?>
<ds:datastoreItem xmlns:ds="http://schemas.openxmlformats.org/officeDocument/2006/customXml" ds:itemID="{DE3D9234-3F5E-4E57-B1C9-C848CB9C57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1495</Words>
  <Characters>8528</Characters>
  <Application>Microsoft Office Word</Application>
  <DocSecurity>0</DocSecurity>
  <Lines>71</Lines>
  <Paragraphs>20</Paragraphs>
  <ScaleCrop>false</ScaleCrop>
  <Company/>
  <LinksUpToDate>false</LinksUpToDate>
  <CharactersWithSpaces>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Marquez Barroeta, Fidel</dc:creator>
  <cp:keywords/>
  <cp:lastModifiedBy>Marquez Barroeta, Fidel</cp:lastModifiedBy>
  <cp:revision>89</cp:revision>
  <dcterms:created xsi:type="dcterms:W3CDTF">2021-03-05T20:05:00Z</dcterms:created>
  <dcterms:modified xsi:type="dcterms:W3CDTF">2021-04-07T17:21:00Z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219;#LOW-CARBON ENERGY TECHNOLOGIES|d825adc5-5250-459c-98ae-544e63cfea7b</vt:lpwstr>
  </property>
  <property fmtid="{D5CDD505-2E9C-101B-9397-08002B2CF9AE}" pid="12" name="Fund IDB">
    <vt:lpwstr>1241;#CTF|09590cec-0e26-4757-bcca-8a4fab00b407</vt:lpwstr>
  </property>
  <property fmtid="{D5CDD505-2E9C-101B-9397-08002B2CF9AE}" pid="13" name="Sector IDB">
    <vt:lpwstr>45;#ENERGY|4fed196a-cd0b-4970-87de-42da17f9b203</vt:lpwstr>
  </property>
  <property fmtid="{D5CDD505-2E9C-101B-9397-08002B2CF9AE}" pid="14" name="_dlc_DocIdItemGuid">
    <vt:lpwstr>0c513147-9e83-438b-af9a-34f9dab20551</vt:lpwstr>
  </property>
  <property fmtid="{D5CDD505-2E9C-101B-9397-08002B2CF9AE}" pid="17" name="ContentTypeId">
    <vt:lpwstr>0x0101001A458A224826124E8B45B1D613300CFC003C5CB44CB10844448579965CD507ED41</vt:lpwstr>
  </property>
  <property fmtid="{D5CDD505-2E9C-101B-9397-08002B2CF9AE}" pid="18" name="Series Operations IDB">
    <vt:lpwstr/>
  </property>
</Properties>
</file>