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91E8DB" w14:textId="0B4F7A7A" w:rsidR="004E375E" w:rsidRPr="004E375E" w:rsidRDefault="004E375E" w:rsidP="004E375E">
      <w:pPr>
        <w:spacing w:after="0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4E375E">
        <w:rPr>
          <w:rFonts w:ascii="Arial" w:hAnsi="Arial" w:cs="Arial"/>
          <w:b/>
          <w:sz w:val="24"/>
          <w:szCs w:val="24"/>
          <w:lang w:val="es-ES"/>
        </w:rPr>
        <w:t>Programa para Fortalecer el Sector Eléctrico en Nicaragua</w:t>
      </w:r>
      <w:r>
        <w:rPr>
          <w:rFonts w:ascii="Arial" w:hAnsi="Arial" w:cs="Arial"/>
          <w:b/>
          <w:sz w:val="24"/>
          <w:szCs w:val="24"/>
          <w:lang w:val="es-ES"/>
        </w:rPr>
        <w:t xml:space="preserve"> III</w:t>
      </w:r>
      <w:r w:rsidRPr="004E375E">
        <w:rPr>
          <w:rFonts w:ascii="Arial" w:hAnsi="Arial" w:cs="Arial"/>
          <w:b/>
          <w:sz w:val="24"/>
          <w:szCs w:val="24"/>
          <w:lang w:val="es-ES"/>
        </w:rPr>
        <w:t xml:space="preserve"> </w:t>
      </w:r>
      <w:bookmarkStart w:id="0" w:name="_GoBack"/>
      <w:bookmarkEnd w:id="0"/>
    </w:p>
    <w:p w14:paraId="359EFF03" w14:textId="77777777" w:rsidR="004E375E" w:rsidRPr="004E375E" w:rsidRDefault="004E375E" w:rsidP="004E375E">
      <w:pPr>
        <w:pStyle w:val="Header"/>
        <w:jc w:val="center"/>
        <w:rPr>
          <w:rFonts w:ascii="Arial" w:hAnsi="Arial" w:cs="Arial"/>
          <w:lang w:val="es-ES"/>
        </w:rPr>
      </w:pPr>
      <w:r w:rsidRPr="004E375E">
        <w:rPr>
          <w:rFonts w:ascii="Arial" w:hAnsi="Arial" w:cs="Arial"/>
          <w:b/>
          <w:sz w:val="24"/>
          <w:szCs w:val="24"/>
          <w:lang w:val="es-ES"/>
        </w:rPr>
        <w:t>Matriz de Resultados</w:t>
      </w:r>
      <w:r w:rsidRPr="004E375E" w:rsidDel="00A241C1">
        <w:rPr>
          <w:rFonts w:ascii="Arial" w:hAnsi="Arial" w:cs="Arial"/>
          <w:lang w:val="es-ES"/>
        </w:rPr>
        <w:t xml:space="preserve"> </w:t>
      </w:r>
    </w:p>
    <w:p w14:paraId="62769213" w14:textId="77777777" w:rsidR="004E375E" w:rsidRPr="0027261A" w:rsidRDefault="004E375E" w:rsidP="004510CE">
      <w:pPr>
        <w:rPr>
          <w:rFonts w:ascii="Arial" w:hAnsi="Arial" w:cs="Arial"/>
          <w:sz w:val="20"/>
          <w:szCs w:val="20"/>
          <w:lang w:val="es-E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56"/>
        <w:gridCol w:w="11694"/>
      </w:tblGrid>
      <w:tr w:rsidR="00F8023C" w:rsidRPr="004E375E" w14:paraId="6915A462" w14:textId="77777777" w:rsidTr="0035706F">
        <w:tc>
          <w:tcPr>
            <w:tcW w:w="485" w:type="pct"/>
            <w:tcBorders>
              <w:right w:val="nil"/>
            </w:tcBorders>
            <w:shd w:val="clear" w:color="auto" w:fill="FFFFFF" w:themeFill="background1"/>
          </w:tcPr>
          <w:p w14:paraId="17B0521C" w14:textId="77777777" w:rsidR="00F8023C" w:rsidRPr="0035706F" w:rsidRDefault="00F8023C" w:rsidP="00657BE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35706F">
              <w:rPr>
                <w:rFonts w:ascii="Arial" w:hAnsi="Arial" w:cs="Arial"/>
                <w:sz w:val="20"/>
                <w:szCs w:val="20"/>
                <w:lang w:val="es-ES_tradnl"/>
              </w:rPr>
              <w:t>Objetivo:</w:t>
            </w:r>
          </w:p>
        </w:tc>
        <w:tc>
          <w:tcPr>
            <w:tcW w:w="4515" w:type="pct"/>
            <w:tcBorders>
              <w:left w:val="nil"/>
            </w:tcBorders>
            <w:shd w:val="clear" w:color="auto" w:fill="FFFFFF" w:themeFill="background1"/>
          </w:tcPr>
          <w:p w14:paraId="624AC287" w14:textId="3DE1B68C" w:rsidR="00F8023C" w:rsidRPr="0035706F" w:rsidRDefault="0035706F" w:rsidP="00657BE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E</w:t>
            </w:r>
            <w:r w:rsidRPr="0035706F">
              <w:rPr>
                <w:rFonts w:ascii="Arial" w:hAnsi="Arial" w:cs="Arial"/>
                <w:sz w:val="20"/>
                <w:szCs w:val="20"/>
                <w:lang w:val="es-ES_tradnl"/>
              </w:rPr>
              <w:t>l objetivo general del programa es apoyar al Gobierno de Nicaragua (GNI), en la consolidación de un marco sectorial que garantice la sostenibilidad financiera y operativa del sector.</w:t>
            </w:r>
          </w:p>
        </w:tc>
      </w:tr>
    </w:tbl>
    <w:p w14:paraId="7E5040A7" w14:textId="77777777" w:rsidR="00F8023C" w:rsidRPr="0027261A" w:rsidRDefault="00F8023C" w:rsidP="00F8023C">
      <w:pPr>
        <w:spacing w:after="0" w:line="240" w:lineRule="auto"/>
        <w:rPr>
          <w:rFonts w:ascii="Arial" w:hAnsi="Arial" w:cs="Arial"/>
          <w:sz w:val="20"/>
          <w:szCs w:val="20"/>
          <w:lang w:val="es-AR"/>
        </w:rPr>
      </w:pPr>
    </w:p>
    <w:tbl>
      <w:tblPr>
        <w:tblStyle w:val="TableGrid"/>
        <w:tblW w:w="5000" w:type="pct"/>
        <w:tblCellMar>
          <w:top w:w="43" w:type="dxa"/>
          <w:left w:w="43" w:type="dxa"/>
          <w:bottom w:w="43" w:type="dxa"/>
          <w:right w:w="43" w:type="dxa"/>
        </w:tblCellMar>
        <w:tblLook w:val="04A0" w:firstRow="1" w:lastRow="0" w:firstColumn="1" w:lastColumn="0" w:noHBand="0" w:noVBand="1"/>
      </w:tblPr>
      <w:tblGrid>
        <w:gridCol w:w="2466"/>
        <w:gridCol w:w="7452"/>
        <w:gridCol w:w="3032"/>
      </w:tblGrid>
      <w:tr w:rsidR="00F8023C" w:rsidRPr="0027261A" w14:paraId="695F97E0" w14:textId="77777777" w:rsidTr="006309E9">
        <w:trPr>
          <w:tblHeader/>
        </w:trPr>
        <w:tc>
          <w:tcPr>
            <w:tcW w:w="2543" w:type="dxa"/>
            <w:shd w:val="clear" w:color="auto" w:fill="7F7F7F" w:themeFill="text1" w:themeFillTint="80"/>
          </w:tcPr>
          <w:p w14:paraId="67CD4CF0" w14:textId="77777777" w:rsidR="00F8023C" w:rsidRPr="0027261A" w:rsidRDefault="00F8023C" w:rsidP="00657BE3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s-ES"/>
              </w:rPr>
              <w:t>Impacto</w:t>
            </w:r>
          </w:p>
        </w:tc>
        <w:tc>
          <w:tcPr>
            <w:tcW w:w="7760" w:type="dxa"/>
            <w:shd w:val="clear" w:color="auto" w:fill="7F7F7F" w:themeFill="text1" w:themeFillTint="80"/>
          </w:tcPr>
          <w:p w14:paraId="4A0D8035" w14:textId="77777777" w:rsidR="00F8023C" w:rsidRPr="0027261A" w:rsidRDefault="00F8023C" w:rsidP="00492D97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s-ES"/>
              </w:rPr>
              <w:t>Indicador / Línea de Base / Meta</w:t>
            </w:r>
            <w:r w:rsidR="00A275E9" w:rsidRPr="0027261A">
              <w:rPr>
                <w:rStyle w:val="FootnoteReference"/>
                <w:rFonts w:ascii="Arial" w:hAnsi="Arial" w:cs="Arial"/>
                <w:b/>
                <w:color w:val="FFFFFF" w:themeColor="background1"/>
                <w:sz w:val="20"/>
                <w:szCs w:val="20"/>
                <w:lang w:val="es-ES"/>
              </w:rPr>
              <w:footnoteReference w:id="1"/>
            </w:r>
          </w:p>
        </w:tc>
        <w:tc>
          <w:tcPr>
            <w:tcW w:w="3134" w:type="dxa"/>
            <w:shd w:val="clear" w:color="auto" w:fill="7F7F7F" w:themeFill="text1" w:themeFillTint="80"/>
          </w:tcPr>
          <w:p w14:paraId="42B308A6" w14:textId="77777777" w:rsidR="00F8023C" w:rsidRPr="0027261A" w:rsidRDefault="00F8023C" w:rsidP="00657BE3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s-ES"/>
              </w:rPr>
              <w:t>Forma de Medición</w:t>
            </w:r>
            <w:r w:rsidRPr="0027261A" w:rsidDel="0048548B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s-ES"/>
              </w:rPr>
              <w:t xml:space="preserve"> </w:t>
            </w:r>
          </w:p>
        </w:tc>
      </w:tr>
      <w:tr w:rsidR="00F8023C" w:rsidRPr="004E375E" w14:paraId="30EECD2C" w14:textId="77777777" w:rsidTr="006309E9">
        <w:tc>
          <w:tcPr>
            <w:tcW w:w="2543" w:type="dxa"/>
            <w:vMerge w:val="restart"/>
          </w:tcPr>
          <w:p w14:paraId="135268D5" w14:textId="1F0354F9" w:rsidR="00F8023C" w:rsidRPr="0027261A" w:rsidRDefault="00116E15" w:rsidP="00492D97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I</w:t>
            </w:r>
            <w:r w:rsidR="00F8023C" w:rsidRPr="0027261A">
              <w:rPr>
                <w:rFonts w:ascii="Arial" w:hAnsi="Arial" w:cs="Arial"/>
                <w:sz w:val="20"/>
                <w:szCs w:val="20"/>
                <w:lang w:val="es-ES"/>
              </w:rPr>
              <w:t>ndicadores financieros y de gestión del sector eléctrico</w:t>
            </w: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de Nicaragua</w:t>
            </w:r>
          </w:p>
        </w:tc>
        <w:tc>
          <w:tcPr>
            <w:tcW w:w="7760" w:type="dxa"/>
          </w:tcPr>
          <w:p w14:paraId="5B8C81E7" w14:textId="77777777" w:rsidR="00F8023C" w:rsidRPr="0027261A" w:rsidRDefault="00F8023C" w:rsidP="00657BE3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14:paraId="3860628B" w14:textId="77777777" w:rsidR="00F8023C" w:rsidRPr="0027261A" w:rsidRDefault="00F8023C" w:rsidP="00EE202B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7261A">
              <w:rPr>
                <w:rFonts w:ascii="Arial" w:hAnsi="Arial" w:cs="Arial"/>
                <w:sz w:val="20"/>
                <w:szCs w:val="20"/>
              </w:rPr>
              <w:t>ENATREL</w:t>
            </w:r>
            <w:r w:rsidR="00116E15" w:rsidRPr="0027261A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  <w:r w:rsidRPr="0027261A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DC40AF" w:rsidRPr="0027261A">
              <w:rPr>
                <w:rFonts w:ascii="Arial" w:hAnsi="Arial" w:cs="Arial"/>
                <w:sz w:val="20"/>
                <w:szCs w:val="20"/>
              </w:rPr>
              <w:t xml:space="preserve">Margen </w:t>
            </w:r>
            <w:r w:rsidRPr="0027261A">
              <w:rPr>
                <w:rFonts w:ascii="Arial" w:hAnsi="Arial" w:cs="Arial"/>
                <w:sz w:val="20"/>
                <w:szCs w:val="20"/>
              </w:rPr>
              <w:t>EBITDA)</w:t>
            </w:r>
            <w:r w:rsidR="006714C2" w:rsidRPr="0027261A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"/>
            </w:r>
            <w:r w:rsidRPr="0027261A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50618B4" w14:textId="77777777" w:rsidR="00747D36" w:rsidRPr="0027261A" w:rsidRDefault="00747D36" w:rsidP="00657BE3">
            <w:pPr>
              <w:ind w:left="1008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 2012: </w:t>
            </w:r>
            <w:r w:rsidR="006714C2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 7,2</w:t>
            </w: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%</w:t>
            </w:r>
            <w:r w:rsidR="006714C2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(real)</w:t>
            </w:r>
          </w:p>
          <w:p w14:paraId="55EE5AFA" w14:textId="77777777" w:rsidR="00747D36" w:rsidRPr="0027261A" w:rsidRDefault="00747D36" w:rsidP="00657BE3">
            <w:pPr>
              <w:ind w:left="1008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 2013: </w:t>
            </w:r>
            <w:r w:rsidR="006714C2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 6,3</w:t>
            </w: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%</w:t>
            </w:r>
            <w:r w:rsidR="006714C2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(real)</w:t>
            </w:r>
          </w:p>
          <w:p w14:paraId="342506E4" w14:textId="77777777" w:rsidR="00F8023C" w:rsidRPr="0027261A" w:rsidRDefault="00F8023C" w:rsidP="00657BE3">
            <w:pPr>
              <w:ind w:left="1008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 2014:  </w:t>
            </w:r>
            <w:r w:rsidR="006714C2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22,6% (real)      </w:t>
            </w:r>
            <w:r w:rsidR="006714C2" w:rsidRPr="0027261A">
              <w:rPr>
                <w:rFonts w:ascii="Arial" w:hAnsi="Arial" w:cs="Arial"/>
                <w:sz w:val="20"/>
                <w:szCs w:val="20"/>
                <w:lang w:val="es-ES"/>
              </w:rPr>
              <w:sym w:font="Wingdings" w:char="F0E0"/>
            </w:r>
            <w:r w:rsidR="006714C2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     </w:t>
            </w: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1,6%</w:t>
            </w:r>
            <w:r w:rsidR="006714C2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(meta)</w:t>
            </w:r>
          </w:p>
          <w:p w14:paraId="0B8619CB" w14:textId="77777777" w:rsidR="004510CE" w:rsidRPr="0027261A" w:rsidRDefault="004510CE" w:rsidP="00657BE3">
            <w:pPr>
              <w:ind w:left="1008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 2015:</w:t>
            </w:r>
            <w:r w:rsidR="00790B9F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 28,8% (real)</w:t>
            </w:r>
          </w:p>
          <w:p w14:paraId="329846BB" w14:textId="77777777" w:rsidR="00F8023C" w:rsidRPr="0027261A" w:rsidRDefault="00F8023C" w:rsidP="00657BE3">
            <w:pPr>
              <w:ind w:left="1008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 2016:  </w:t>
            </w:r>
            <w:r w:rsidR="00790B9F" w:rsidRPr="0027261A">
              <w:rPr>
                <w:rFonts w:ascii="Arial" w:hAnsi="Arial" w:cs="Arial"/>
                <w:sz w:val="20"/>
                <w:szCs w:val="20"/>
                <w:lang w:val="es-ES"/>
              </w:rPr>
              <w:t>24,6% (real)</w:t>
            </w:r>
            <w:r w:rsidR="006714C2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     </w:t>
            </w:r>
            <w:r w:rsidR="006714C2" w:rsidRPr="0027261A">
              <w:rPr>
                <w:rFonts w:ascii="Arial" w:hAnsi="Arial" w:cs="Arial"/>
                <w:sz w:val="20"/>
                <w:szCs w:val="20"/>
                <w:lang w:val="es-ES"/>
              </w:rPr>
              <w:sym w:font="Wingdings" w:char="F0E0"/>
            </w:r>
            <w:r w:rsidR="006714C2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     </w:t>
            </w: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5,0%</w:t>
            </w:r>
            <w:r w:rsidR="006714C2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(meta</w:t>
            </w:r>
            <w:r w:rsidR="00BC56DE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2016 y años siguientes</w:t>
            </w:r>
            <w:r w:rsidR="006714C2" w:rsidRPr="0027261A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14:paraId="16DE4070" w14:textId="77777777" w:rsidR="00F8023C" w:rsidRPr="0027261A" w:rsidRDefault="00F8023C" w:rsidP="00657BE3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ENEL</w:t>
            </w:r>
            <w:r w:rsidR="00116E15" w:rsidRPr="0027261A">
              <w:rPr>
                <w:rStyle w:val="FootnoteReference"/>
                <w:rFonts w:ascii="Arial" w:hAnsi="Arial" w:cs="Arial"/>
                <w:sz w:val="20"/>
                <w:szCs w:val="20"/>
                <w:lang w:val="es-ES"/>
              </w:rPr>
              <w:footnoteReference w:id="4"/>
            </w: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(</w:t>
            </w:r>
            <w:r w:rsidR="00DC40AF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Margen </w:t>
            </w: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EBITDA):</w:t>
            </w:r>
            <w:r w:rsidR="003F3E65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                        ENEL sin DOSA</w:t>
            </w:r>
            <w:r w:rsidR="00116E15" w:rsidRPr="0027261A">
              <w:rPr>
                <w:rStyle w:val="FootnoteReference"/>
                <w:rFonts w:ascii="Arial" w:hAnsi="Arial" w:cs="Arial"/>
                <w:sz w:val="20"/>
                <w:szCs w:val="20"/>
                <w:lang w:val="es-ES"/>
              </w:rPr>
              <w:footnoteReference w:id="5"/>
            </w:r>
            <w:r w:rsidR="003F3E65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(</w:t>
            </w:r>
            <w:r w:rsidR="00DB0F24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Margen </w:t>
            </w:r>
            <w:r w:rsidR="003F3E65" w:rsidRPr="0027261A">
              <w:rPr>
                <w:rFonts w:ascii="Arial" w:hAnsi="Arial" w:cs="Arial"/>
                <w:sz w:val="20"/>
                <w:szCs w:val="20"/>
                <w:lang w:val="es-ES"/>
              </w:rPr>
              <w:t>EBITDA)</w:t>
            </w:r>
            <w:r w:rsidR="00DB0F24" w:rsidRPr="0027261A">
              <w:rPr>
                <w:rStyle w:val="FootnoteReference"/>
                <w:rFonts w:ascii="Arial" w:hAnsi="Arial" w:cs="Arial"/>
                <w:sz w:val="20"/>
                <w:szCs w:val="20"/>
                <w:lang w:val="es-ES"/>
              </w:rPr>
              <w:footnoteReference w:id="6"/>
            </w:r>
          </w:p>
          <w:p w14:paraId="4D06B7AA" w14:textId="77777777" w:rsidR="00747D36" w:rsidRPr="0027261A" w:rsidRDefault="00F8023C" w:rsidP="00657BE3">
            <w:pPr>
              <w:ind w:left="1008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 </w:t>
            </w:r>
            <w:r w:rsidR="00747D36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2012: </w:t>
            </w:r>
            <w:r w:rsidR="0068364E" w:rsidRPr="0027261A">
              <w:rPr>
                <w:rFonts w:ascii="Arial" w:hAnsi="Arial" w:cs="Arial"/>
                <w:sz w:val="20"/>
                <w:szCs w:val="20"/>
                <w:lang w:val="es-ES"/>
              </w:rPr>
              <w:t>-</w:t>
            </w:r>
            <w:r w:rsidR="009B0B90" w:rsidRPr="0027261A">
              <w:rPr>
                <w:rFonts w:ascii="Arial" w:hAnsi="Arial" w:cs="Arial"/>
                <w:sz w:val="20"/>
                <w:szCs w:val="20"/>
                <w:lang w:val="es-ES"/>
              </w:rPr>
              <w:t>4</w:t>
            </w:r>
            <w:r w:rsidR="006714C2" w:rsidRPr="0027261A">
              <w:rPr>
                <w:rFonts w:ascii="Arial" w:hAnsi="Arial" w:cs="Arial"/>
                <w:sz w:val="20"/>
                <w:szCs w:val="20"/>
                <w:lang w:val="es-ES"/>
              </w:rPr>
              <w:t>,</w:t>
            </w:r>
            <w:r w:rsidR="009B0B90" w:rsidRPr="0027261A">
              <w:rPr>
                <w:rFonts w:ascii="Arial" w:hAnsi="Arial" w:cs="Arial"/>
                <w:sz w:val="20"/>
                <w:szCs w:val="20"/>
                <w:lang w:val="es-ES"/>
              </w:rPr>
              <w:t>4</w:t>
            </w:r>
            <w:r w:rsidR="0068364E" w:rsidRPr="0027261A">
              <w:rPr>
                <w:rFonts w:ascii="Arial" w:hAnsi="Arial" w:cs="Arial"/>
                <w:sz w:val="20"/>
                <w:szCs w:val="20"/>
                <w:lang w:val="es-ES"/>
              </w:rPr>
              <w:t>%</w:t>
            </w:r>
            <w:r w:rsidR="006714C2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(real)</w:t>
            </w:r>
            <w:r w:rsidR="00D1755D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                                                 </w:t>
            </w:r>
            <w:r w:rsidR="00BC56DE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                             </w:t>
            </w:r>
            <w:r w:rsidR="00D1755D" w:rsidRPr="0027261A">
              <w:rPr>
                <w:rFonts w:ascii="Arial" w:hAnsi="Arial" w:cs="Arial"/>
                <w:sz w:val="20"/>
                <w:szCs w:val="20"/>
                <w:lang w:val="es-ES"/>
              </w:rPr>
              <w:t>37,9%</w:t>
            </w:r>
          </w:p>
          <w:p w14:paraId="15C0D7F7" w14:textId="77777777" w:rsidR="00747D36" w:rsidRPr="0027261A" w:rsidRDefault="00747D36" w:rsidP="00657BE3">
            <w:pPr>
              <w:ind w:left="1008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  2013: </w:t>
            </w:r>
            <w:r w:rsidR="006714C2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9B0B90" w:rsidRPr="0027261A">
              <w:rPr>
                <w:rFonts w:ascii="Arial" w:hAnsi="Arial" w:cs="Arial"/>
                <w:sz w:val="20"/>
                <w:szCs w:val="20"/>
                <w:lang w:val="es-ES"/>
              </w:rPr>
              <w:t>16</w:t>
            </w:r>
            <w:r w:rsidR="0068364E" w:rsidRPr="0027261A">
              <w:rPr>
                <w:rFonts w:ascii="Arial" w:hAnsi="Arial" w:cs="Arial"/>
                <w:sz w:val="20"/>
                <w:szCs w:val="20"/>
                <w:lang w:val="es-ES"/>
              </w:rPr>
              <w:t>,</w:t>
            </w:r>
            <w:r w:rsidR="009B0B90" w:rsidRPr="0027261A">
              <w:rPr>
                <w:rFonts w:ascii="Arial" w:hAnsi="Arial" w:cs="Arial"/>
                <w:sz w:val="20"/>
                <w:szCs w:val="20"/>
                <w:lang w:val="es-ES"/>
              </w:rPr>
              <w:t>0</w:t>
            </w:r>
            <w:r w:rsidR="0068364E" w:rsidRPr="0027261A">
              <w:rPr>
                <w:rFonts w:ascii="Arial" w:hAnsi="Arial" w:cs="Arial"/>
                <w:sz w:val="20"/>
                <w:szCs w:val="20"/>
                <w:lang w:val="es-ES"/>
              </w:rPr>
              <w:t>%</w:t>
            </w:r>
            <w:r w:rsidR="006714C2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(real)</w:t>
            </w:r>
            <w:r w:rsidR="00D1755D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                 </w:t>
            </w:r>
            <w:r w:rsidR="009B0B90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                             </w:t>
            </w:r>
            <w:r w:rsidR="00BC56DE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                             </w:t>
            </w:r>
            <w:r w:rsidR="00D1755D" w:rsidRPr="0027261A">
              <w:rPr>
                <w:rFonts w:ascii="Arial" w:hAnsi="Arial" w:cs="Arial"/>
                <w:sz w:val="20"/>
                <w:szCs w:val="20"/>
                <w:lang w:val="es-ES"/>
              </w:rPr>
              <w:t>56,1%</w:t>
            </w:r>
          </w:p>
          <w:p w14:paraId="2229E517" w14:textId="77777777" w:rsidR="00F8023C" w:rsidRPr="0027261A" w:rsidRDefault="00F8023C" w:rsidP="00657BE3">
            <w:pPr>
              <w:ind w:left="1008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  2014: </w:t>
            </w:r>
            <w:r w:rsidR="006714C2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-1,4% (real)      </w:t>
            </w:r>
            <w:r w:rsidR="006714C2" w:rsidRPr="0027261A">
              <w:rPr>
                <w:rFonts w:ascii="Arial" w:hAnsi="Arial" w:cs="Arial"/>
                <w:sz w:val="20"/>
                <w:szCs w:val="20"/>
                <w:lang w:val="es-ES"/>
              </w:rPr>
              <w:sym w:font="Wingdings" w:char="F0E0"/>
            </w:r>
            <w:r w:rsidR="006714C2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     </w:t>
            </w: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8,0%</w:t>
            </w:r>
            <w:r w:rsidR="006714C2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(meta)</w:t>
            </w:r>
            <w:r w:rsidR="00D1755D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            </w:t>
            </w:r>
            <w:r w:rsidR="00BC56DE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                             </w:t>
            </w:r>
            <w:r w:rsidR="00D1755D" w:rsidRPr="0027261A">
              <w:rPr>
                <w:rFonts w:ascii="Arial" w:hAnsi="Arial" w:cs="Arial"/>
                <w:sz w:val="20"/>
                <w:szCs w:val="20"/>
                <w:lang w:val="es-ES"/>
              </w:rPr>
              <w:t>44,2%</w:t>
            </w:r>
          </w:p>
          <w:p w14:paraId="3C466C56" w14:textId="77777777" w:rsidR="004510CE" w:rsidRPr="0027261A" w:rsidRDefault="004510CE" w:rsidP="00657BE3">
            <w:pPr>
              <w:ind w:left="1008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  2015:</w:t>
            </w:r>
            <w:r w:rsidR="00156887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-1</w:t>
            </w:r>
            <w:r w:rsidR="009B0B90" w:rsidRPr="0027261A">
              <w:rPr>
                <w:rFonts w:ascii="Arial" w:hAnsi="Arial" w:cs="Arial"/>
                <w:sz w:val="20"/>
                <w:szCs w:val="20"/>
                <w:lang w:val="es-ES"/>
              </w:rPr>
              <w:t>1</w:t>
            </w:r>
            <w:r w:rsidR="00156887" w:rsidRPr="0027261A">
              <w:rPr>
                <w:rFonts w:ascii="Arial" w:hAnsi="Arial" w:cs="Arial"/>
                <w:sz w:val="20"/>
                <w:szCs w:val="20"/>
                <w:lang w:val="es-ES"/>
              </w:rPr>
              <w:t>,</w:t>
            </w:r>
            <w:r w:rsidR="009B0B90" w:rsidRPr="0027261A">
              <w:rPr>
                <w:rFonts w:ascii="Arial" w:hAnsi="Arial" w:cs="Arial"/>
                <w:sz w:val="20"/>
                <w:szCs w:val="20"/>
                <w:lang w:val="es-ES"/>
              </w:rPr>
              <w:t>4</w:t>
            </w:r>
            <w:r w:rsidR="00156887" w:rsidRPr="0027261A">
              <w:rPr>
                <w:rFonts w:ascii="Arial" w:hAnsi="Arial" w:cs="Arial"/>
                <w:sz w:val="20"/>
                <w:szCs w:val="20"/>
                <w:lang w:val="es-ES"/>
              </w:rPr>
              <w:t>% (real)</w:t>
            </w:r>
            <w:r w:rsidR="00D1755D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                                               </w:t>
            </w:r>
            <w:r w:rsidR="00BC56DE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                             </w:t>
            </w:r>
            <w:r w:rsidR="00D1755D" w:rsidRPr="0027261A">
              <w:rPr>
                <w:rFonts w:ascii="Arial" w:hAnsi="Arial" w:cs="Arial"/>
                <w:sz w:val="20"/>
                <w:szCs w:val="20"/>
                <w:lang w:val="es-ES"/>
              </w:rPr>
              <w:t>13</w:t>
            </w:r>
            <w:r w:rsidR="00BC56DE" w:rsidRPr="0027261A">
              <w:rPr>
                <w:rFonts w:ascii="Arial" w:hAnsi="Arial" w:cs="Arial"/>
                <w:sz w:val="20"/>
                <w:szCs w:val="20"/>
                <w:lang w:val="es-ES"/>
              </w:rPr>
              <w:t>,</w:t>
            </w:r>
            <w:r w:rsidR="00D1755D" w:rsidRPr="0027261A">
              <w:rPr>
                <w:rFonts w:ascii="Arial" w:hAnsi="Arial" w:cs="Arial"/>
                <w:sz w:val="20"/>
                <w:szCs w:val="20"/>
                <w:lang w:val="es-ES"/>
              </w:rPr>
              <w:t>0%</w:t>
            </w:r>
          </w:p>
          <w:p w14:paraId="74B6F5EE" w14:textId="77777777" w:rsidR="00F8023C" w:rsidRPr="0027261A" w:rsidRDefault="00F8023C" w:rsidP="00657BE3">
            <w:pPr>
              <w:ind w:left="1008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  2016: </w:t>
            </w:r>
            <w:r w:rsidR="00156887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9B0B90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3,6</w:t>
            </w:r>
            <w:r w:rsidR="00156887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% (real)   </w:t>
            </w:r>
            <w:r w:rsidR="006714C2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   </w:t>
            </w:r>
            <w:r w:rsidR="006714C2" w:rsidRPr="0027261A">
              <w:rPr>
                <w:rFonts w:ascii="Arial" w:hAnsi="Arial" w:cs="Arial"/>
                <w:sz w:val="20"/>
                <w:szCs w:val="20"/>
                <w:lang w:val="es-ES"/>
              </w:rPr>
              <w:sym w:font="Wingdings" w:char="F0E0"/>
            </w:r>
            <w:r w:rsidR="006714C2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    </w:t>
            </w: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10,0%</w:t>
            </w:r>
            <w:r w:rsidR="006714C2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(meta</w:t>
            </w:r>
            <w:r w:rsidR="00BC56DE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2016 y años siguientes</w:t>
            </w:r>
            <w:r w:rsidR="006714C2" w:rsidRPr="0027261A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  <w:r w:rsidR="009B0B90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   29,4%</w:t>
            </w:r>
          </w:p>
          <w:p w14:paraId="2A05B1BC" w14:textId="77777777" w:rsidR="00F8023C" w:rsidRPr="0027261A" w:rsidRDefault="00F8023C" w:rsidP="00657BE3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DISNORTE-DISSUR</w:t>
            </w:r>
            <w:r w:rsidR="000E0624" w:rsidRPr="0027261A">
              <w:rPr>
                <w:rStyle w:val="FootnoteReference"/>
                <w:rFonts w:ascii="Arial" w:hAnsi="Arial" w:cs="Arial"/>
                <w:sz w:val="20"/>
                <w:szCs w:val="20"/>
                <w:lang w:val="es-ES"/>
              </w:rPr>
              <w:footnoteReference w:id="7"/>
            </w: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(Índice de recuperación de efectivo</w:t>
            </w:r>
            <w:r w:rsidRPr="0027261A">
              <w:rPr>
                <w:rStyle w:val="FootnoteReference"/>
                <w:rFonts w:ascii="Arial" w:hAnsi="Arial" w:cs="Arial"/>
                <w:sz w:val="20"/>
                <w:szCs w:val="20"/>
                <w:lang w:val="es-ES"/>
              </w:rPr>
              <w:footnoteReference w:id="8"/>
            </w: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= Índice combinado):</w:t>
            </w:r>
          </w:p>
          <w:p w14:paraId="16A9C659" w14:textId="77777777" w:rsidR="0068364E" w:rsidRPr="0027261A" w:rsidRDefault="00F8023C" w:rsidP="00657BE3">
            <w:pPr>
              <w:ind w:left="1008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  </w:t>
            </w:r>
            <w:r w:rsidR="006F2EB2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2009: </w:t>
            </w:r>
            <w:r w:rsidR="00A4763B" w:rsidRPr="0027261A">
              <w:rPr>
                <w:rFonts w:ascii="Arial" w:hAnsi="Arial" w:cs="Arial"/>
                <w:sz w:val="20"/>
                <w:szCs w:val="20"/>
                <w:lang w:val="es-ES"/>
              </w:rPr>
              <w:t>7</w:t>
            </w:r>
            <w:r w:rsidR="0081199E" w:rsidRPr="0027261A">
              <w:rPr>
                <w:rFonts w:ascii="Arial" w:hAnsi="Arial" w:cs="Arial"/>
                <w:sz w:val="20"/>
                <w:szCs w:val="20"/>
                <w:lang w:val="es-ES"/>
              </w:rPr>
              <w:t>4</w:t>
            </w:r>
            <w:r w:rsidR="00A4763B" w:rsidRPr="0027261A">
              <w:rPr>
                <w:rFonts w:ascii="Arial" w:hAnsi="Arial" w:cs="Arial"/>
                <w:sz w:val="20"/>
                <w:szCs w:val="20"/>
                <w:lang w:val="es-ES"/>
              </w:rPr>
              <w:t>,</w:t>
            </w:r>
            <w:r w:rsidR="0081199E" w:rsidRPr="0027261A">
              <w:rPr>
                <w:rFonts w:ascii="Arial" w:hAnsi="Arial" w:cs="Arial"/>
                <w:sz w:val="20"/>
                <w:szCs w:val="20"/>
                <w:lang w:val="es-ES"/>
              </w:rPr>
              <w:t>2</w:t>
            </w:r>
            <w:r w:rsidR="00A4763B" w:rsidRPr="0027261A">
              <w:rPr>
                <w:rFonts w:ascii="Arial" w:hAnsi="Arial" w:cs="Arial"/>
                <w:sz w:val="20"/>
                <w:szCs w:val="20"/>
                <w:lang w:val="es-ES"/>
              </w:rPr>
              <w:t>%</w:t>
            </w:r>
            <w:r w:rsidR="00E94B2A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(real)</w:t>
            </w:r>
          </w:p>
          <w:p w14:paraId="0A2AFF61" w14:textId="77777777" w:rsidR="006F2EB2" w:rsidRPr="0027261A" w:rsidRDefault="006F2EB2" w:rsidP="00657BE3">
            <w:pPr>
              <w:ind w:left="1008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  2010: </w:t>
            </w:r>
            <w:r w:rsidR="00A4763B" w:rsidRPr="0027261A">
              <w:rPr>
                <w:rFonts w:ascii="Arial" w:hAnsi="Arial" w:cs="Arial"/>
                <w:sz w:val="20"/>
                <w:szCs w:val="20"/>
                <w:lang w:val="es-ES"/>
              </w:rPr>
              <w:t>7</w:t>
            </w:r>
            <w:r w:rsidR="0034720A" w:rsidRPr="0027261A">
              <w:rPr>
                <w:rFonts w:ascii="Arial" w:hAnsi="Arial" w:cs="Arial"/>
                <w:sz w:val="20"/>
                <w:szCs w:val="20"/>
                <w:lang w:val="es-ES"/>
              </w:rPr>
              <w:t>2,5</w:t>
            </w:r>
            <w:r w:rsidR="00A4763B" w:rsidRPr="0027261A">
              <w:rPr>
                <w:rFonts w:ascii="Arial" w:hAnsi="Arial" w:cs="Arial"/>
                <w:sz w:val="20"/>
                <w:szCs w:val="20"/>
                <w:lang w:val="es-ES"/>
              </w:rPr>
              <w:t>%</w:t>
            </w:r>
            <w:r w:rsidR="00E94B2A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(real)</w:t>
            </w:r>
          </w:p>
          <w:p w14:paraId="2E93E4CF" w14:textId="77777777" w:rsidR="006F2EB2" w:rsidRPr="0027261A" w:rsidRDefault="006F2EB2" w:rsidP="00657BE3">
            <w:pPr>
              <w:ind w:left="1008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  2011: </w:t>
            </w:r>
            <w:r w:rsidR="00A4763B" w:rsidRPr="0027261A">
              <w:rPr>
                <w:rFonts w:ascii="Arial" w:hAnsi="Arial" w:cs="Arial"/>
                <w:sz w:val="20"/>
                <w:szCs w:val="20"/>
                <w:lang w:val="es-ES"/>
              </w:rPr>
              <w:t>7</w:t>
            </w:r>
            <w:r w:rsidR="0034720A" w:rsidRPr="0027261A">
              <w:rPr>
                <w:rFonts w:ascii="Arial" w:hAnsi="Arial" w:cs="Arial"/>
                <w:sz w:val="20"/>
                <w:szCs w:val="20"/>
                <w:lang w:val="es-ES"/>
              </w:rPr>
              <w:t>6,3</w:t>
            </w:r>
            <w:r w:rsidR="00A4763B" w:rsidRPr="0027261A">
              <w:rPr>
                <w:rFonts w:ascii="Arial" w:hAnsi="Arial" w:cs="Arial"/>
                <w:sz w:val="20"/>
                <w:szCs w:val="20"/>
                <w:lang w:val="es-ES"/>
              </w:rPr>
              <w:t>%</w:t>
            </w:r>
            <w:r w:rsidR="00E94B2A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(real)</w:t>
            </w:r>
          </w:p>
          <w:p w14:paraId="7ABDB85B" w14:textId="77777777" w:rsidR="006F2EB2" w:rsidRPr="0027261A" w:rsidRDefault="006F2EB2" w:rsidP="00657BE3">
            <w:pPr>
              <w:ind w:left="1008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  2012: </w:t>
            </w:r>
            <w:r w:rsidR="00A4763B" w:rsidRPr="0027261A">
              <w:rPr>
                <w:rFonts w:ascii="Arial" w:hAnsi="Arial" w:cs="Arial"/>
                <w:sz w:val="20"/>
                <w:szCs w:val="20"/>
                <w:lang w:val="es-ES"/>
              </w:rPr>
              <w:t>7</w:t>
            </w:r>
            <w:r w:rsidR="0034720A" w:rsidRPr="0027261A">
              <w:rPr>
                <w:rFonts w:ascii="Arial" w:hAnsi="Arial" w:cs="Arial"/>
                <w:sz w:val="20"/>
                <w:szCs w:val="20"/>
                <w:lang w:val="es-ES"/>
              </w:rPr>
              <w:t>5,</w:t>
            </w:r>
            <w:r w:rsidR="00111D6A" w:rsidRPr="0027261A">
              <w:rPr>
                <w:rFonts w:ascii="Arial" w:hAnsi="Arial" w:cs="Arial"/>
                <w:sz w:val="20"/>
                <w:szCs w:val="20"/>
                <w:lang w:val="es-ES"/>
              </w:rPr>
              <w:t>0</w:t>
            </w:r>
            <w:r w:rsidR="00A4763B" w:rsidRPr="0027261A">
              <w:rPr>
                <w:rFonts w:ascii="Arial" w:hAnsi="Arial" w:cs="Arial"/>
                <w:sz w:val="20"/>
                <w:szCs w:val="20"/>
                <w:lang w:val="es-ES"/>
              </w:rPr>
              <w:t>%</w:t>
            </w:r>
            <w:r w:rsidR="00E94B2A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(real)</w:t>
            </w:r>
          </w:p>
          <w:p w14:paraId="5B566F1F" w14:textId="77777777" w:rsidR="006F2EB2" w:rsidRPr="0027261A" w:rsidRDefault="006F2EB2" w:rsidP="00657BE3">
            <w:pPr>
              <w:ind w:left="1008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  2013: </w:t>
            </w:r>
            <w:r w:rsidR="00A4763B" w:rsidRPr="0027261A">
              <w:rPr>
                <w:rFonts w:ascii="Arial" w:hAnsi="Arial" w:cs="Arial"/>
                <w:sz w:val="20"/>
                <w:szCs w:val="20"/>
                <w:lang w:val="es-ES"/>
              </w:rPr>
              <w:t>7</w:t>
            </w:r>
            <w:r w:rsidR="0034720A" w:rsidRPr="0027261A">
              <w:rPr>
                <w:rFonts w:ascii="Arial" w:hAnsi="Arial" w:cs="Arial"/>
                <w:sz w:val="20"/>
                <w:szCs w:val="20"/>
                <w:lang w:val="es-ES"/>
              </w:rPr>
              <w:t>5,0</w:t>
            </w:r>
            <w:r w:rsidR="00A4763B" w:rsidRPr="0027261A">
              <w:rPr>
                <w:rFonts w:ascii="Arial" w:hAnsi="Arial" w:cs="Arial"/>
                <w:sz w:val="20"/>
                <w:szCs w:val="20"/>
                <w:lang w:val="es-ES"/>
              </w:rPr>
              <w:t>%</w:t>
            </w:r>
            <w:r w:rsidR="00E94B2A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(real)</w:t>
            </w:r>
          </w:p>
          <w:p w14:paraId="1DF1E00A" w14:textId="77777777" w:rsidR="00F8023C" w:rsidRPr="0027261A" w:rsidRDefault="0068364E" w:rsidP="00657BE3">
            <w:pPr>
              <w:ind w:left="1008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  </w:t>
            </w:r>
            <w:r w:rsidR="00F8023C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2014: </w:t>
            </w:r>
            <w:r w:rsidR="00111D6A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74,5% (real)      </w:t>
            </w:r>
            <w:r w:rsidR="00111D6A" w:rsidRPr="0027261A">
              <w:rPr>
                <w:rFonts w:ascii="Arial" w:hAnsi="Arial" w:cs="Arial"/>
                <w:sz w:val="20"/>
                <w:szCs w:val="20"/>
                <w:lang w:val="es-ES"/>
              </w:rPr>
              <w:sym w:font="Wingdings" w:char="F0E0"/>
            </w:r>
            <w:r w:rsidR="00111D6A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     </w:t>
            </w:r>
            <w:r w:rsidR="00F8023C" w:rsidRPr="0027261A">
              <w:rPr>
                <w:rFonts w:ascii="Arial" w:hAnsi="Arial" w:cs="Arial"/>
                <w:sz w:val="20"/>
                <w:szCs w:val="20"/>
                <w:lang w:val="es-ES"/>
              </w:rPr>
              <w:t>75,9%</w:t>
            </w:r>
            <w:r w:rsidR="0010567F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(</w:t>
            </w:r>
            <w:r w:rsidR="00111D6A" w:rsidRPr="0027261A">
              <w:rPr>
                <w:rFonts w:ascii="Arial" w:hAnsi="Arial" w:cs="Arial"/>
                <w:sz w:val="20"/>
                <w:szCs w:val="20"/>
                <w:lang w:val="es-ES"/>
              </w:rPr>
              <w:t>meta</w:t>
            </w:r>
            <w:r w:rsidR="0010567F" w:rsidRPr="0027261A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14:paraId="632CA910" w14:textId="77777777" w:rsidR="004510CE" w:rsidRPr="0027261A" w:rsidRDefault="004510CE" w:rsidP="00657BE3">
            <w:pPr>
              <w:ind w:left="1008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  2015:</w:t>
            </w:r>
            <w:r w:rsidR="00633198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5B6E9C" w:rsidRPr="0027261A">
              <w:rPr>
                <w:rFonts w:ascii="Arial" w:hAnsi="Arial" w:cs="Arial"/>
                <w:sz w:val="20"/>
                <w:szCs w:val="20"/>
                <w:lang w:val="es-ES"/>
              </w:rPr>
              <w:t>75,</w:t>
            </w:r>
            <w:r w:rsidR="0034720A" w:rsidRPr="0027261A">
              <w:rPr>
                <w:rFonts w:ascii="Arial" w:hAnsi="Arial" w:cs="Arial"/>
                <w:sz w:val="20"/>
                <w:szCs w:val="20"/>
                <w:lang w:val="es-ES"/>
              </w:rPr>
              <w:t>9</w:t>
            </w:r>
            <w:r w:rsidR="005B6E9C" w:rsidRPr="0027261A">
              <w:rPr>
                <w:rFonts w:ascii="Arial" w:hAnsi="Arial" w:cs="Arial"/>
                <w:sz w:val="20"/>
                <w:szCs w:val="20"/>
                <w:lang w:val="es-ES"/>
              </w:rPr>
              <w:t>% (real)</w:t>
            </w:r>
          </w:p>
          <w:p w14:paraId="435EA4F4" w14:textId="77777777" w:rsidR="00F8023C" w:rsidRPr="0027261A" w:rsidRDefault="00F8023C" w:rsidP="00657BE3">
            <w:pPr>
              <w:ind w:left="1008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  2016: </w:t>
            </w:r>
            <w:r w:rsidR="0034720A" w:rsidRPr="0027261A">
              <w:rPr>
                <w:rFonts w:ascii="Arial" w:hAnsi="Arial" w:cs="Arial"/>
                <w:sz w:val="20"/>
                <w:szCs w:val="20"/>
                <w:lang w:val="es-ES"/>
              </w:rPr>
              <w:t>78,3% (real)</w:t>
            </w:r>
            <w:r w:rsidR="00111D6A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     </w:t>
            </w:r>
            <w:r w:rsidR="00111D6A" w:rsidRPr="0027261A">
              <w:rPr>
                <w:rFonts w:ascii="Arial" w:hAnsi="Arial" w:cs="Arial"/>
                <w:sz w:val="20"/>
                <w:szCs w:val="20"/>
                <w:lang w:val="es-ES"/>
              </w:rPr>
              <w:sym w:font="Wingdings" w:char="F0E0"/>
            </w:r>
            <w:r w:rsidR="00111D6A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     </w:t>
            </w: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80,0%</w:t>
            </w:r>
            <w:r w:rsidR="00111D6A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(meta</w:t>
            </w:r>
            <w:r w:rsidR="00BC56DE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2016 y años siguientes</w:t>
            </w:r>
            <w:r w:rsidR="00111D6A" w:rsidRPr="0027261A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3134" w:type="dxa"/>
          </w:tcPr>
          <w:p w14:paraId="20EAEBD3" w14:textId="77777777" w:rsidR="009D5087" w:rsidRPr="0027261A" w:rsidRDefault="00F8023C" w:rsidP="00657BE3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EBITDA: Estados Financieros de ENEL y ENATREL.</w:t>
            </w:r>
          </w:p>
          <w:p w14:paraId="6F65C68E" w14:textId="77777777" w:rsidR="00F8023C" w:rsidRPr="0027261A" w:rsidRDefault="00F8023C" w:rsidP="00657BE3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14:paraId="2E7F2BAD" w14:textId="77777777" w:rsidR="00F8023C" w:rsidRPr="0027261A" w:rsidRDefault="00F8023C" w:rsidP="00657BE3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Índice de recuperación de </w:t>
            </w:r>
            <w:r w:rsidR="00042D45" w:rsidRPr="0027261A">
              <w:rPr>
                <w:rFonts w:ascii="Arial" w:hAnsi="Arial" w:cs="Arial"/>
                <w:sz w:val="20"/>
                <w:szCs w:val="20"/>
                <w:lang w:val="es-ES"/>
              </w:rPr>
              <w:t>efectivo =</w:t>
            </w:r>
            <w:r w:rsidR="004E0829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índice combinado</w:t>
            </w:r>
            <w:r w:rsidR="00846BFB" w:rsidRPr="0027261A">
              <w:rPr>
                <w:rFonts w:ascii="Arial" w:hAnsi="Arial" w:cs="Arial"/>
                <w:sz w:val="20"/>
                <w:szCs w:val="20"/>
                <w:lang w:val="es-ES"/>
              </w:rPr>
              <w:t>,</w:t>
            </w:r>
            <w:r w:rsidR="00D766B7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publicado por el INE</w:t>
            </w:r>
            <w:r w:rsidR="002F1CA0" w:rsidRPr="0027261A">
              <w:rPr>
                <w:rStyle w:val="FootnoteReference"/>
                <w:rFonts w:ascii="Arial" w:hAnsi="Arial" w:cs="Arial"/>
                <w:sz w:val="20"/>
                <w:szCs w:val="20"/>
                <w:lang w:val="es-ES"/>
              </w:rPr>
              <w:footnoteReference w:id="9"/>
            </w: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según sea su</w:t>
            </w:r>
            <w:r w:rsidR="00B809CD" w:rsidRPr="0027261A">
              <w:rPr>
                <w:rFonts w:ascii="Arial" w:hAnsi="Arial" w:cs="Arial"/>
                <w:sz w:val="20"/>
                <w:szCs w:val="20"/>
                <w:lang w:val="es-ES"/>
              </w:rPr>
              <w:t>ministrado por DISNORTE y DISSUR.</w:t>
            </w:r>
          </w:p>
          <w:p w14:paraId="2F00133D" w14:textId="77777777" w:rsidR="00F8023C" w:rsidRPr="0027261A" w:rsidRDefault="00F8023C" w:rsidP="00657BE3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BC5A7C" w:rsidRPr="004E375E" w14:paraId="33726991" w14:textId="77777777" w:rsidTr="006309E9">
        <w:tc>
          <w:tcPr>
            <w:tcW w:w="2543" w:type="dxa"/>
            <w:vMerge/>
          </w:tcPr>
          <w:p w14:paraId="5441EBCC" w14:textId="77777777" w:rsidR="00BC5A7C" w:rsidRPr="0027261A" w:rsidRDefault="00BC5A7C" w:rsidP="00657BE3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7760" w:type="dxa"/>
          </w:tcPr>
          <w:p w14:paraId="7FFFD0A4" w14:textId="6E0F4736" w:rsidR="00BC5A7C" w:rsidRPr="0027261A" w:rsidRDefault="002A385C" w:rsidP="00657BE3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Participación </w:t>
            </w:r>
            <w:r w:rsidR="00BC5A7C" w:rsidRPr="0027261A">
              <w:rPr>
                <w:rFonts w:ascii="Arial" w:hAnsi="Arial" w:cs="Arial"/>
                <w:sz w:val="20"/>
                <w:szCs w:val="20"/>
                <w:lang w:val="es-ES"/>
              </w:rPr>
              <w:t>de energía</w:t>
            </w: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s</w:t>
            </w:r>
            <w:r w:rsidR="00BC5A7C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renovable</w:t>
            </w: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s</w:t>
            </w:r>
            <w:r w:rsidR="00BC5A7C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en la matriz de generación del SIN</w:t>
            </w:r>
            <w:r w:rsidRPr="0027261A">
              <w:rPr>
                <w:rStyle w:val="FootnoteReference"/>
                <w:rFonts w:ascii="Arial" w:hAnsi="Arial" w:cs="Arial"/>
                <w:sz w:val="20"/>
                <w:szCs w:val="20"/>
                <w:lang w:val="es-ES"/>
              </w:rPr>
              <w:footnoteReference w:id="10"/>
            </w:r>
            <w:r w:rsidR="00BC5A7C" w:rsidRPr="0027261A">
              <w:rPr>
                <w:rFonts w:ascii="Arial" w:hAnsi="Arial" w:cs="Arial"/>
                <w:sz w:val="20"/>
                <w:szCs w:val="20"/>
                <w:lang w:val="es-ES"/>
              </w:rPr>
              <w:t>:</w:t>
            </w:r>
          </w:p>
          <w:p w14:paraId="15B4BC83" w14:textId="77777777" w:rsidR="00BC5A7C" w:rsidRPr="0027261A" w:rsidRDefault="00BC5A7C" w:rsidP="00657BE3">
            <w:pPr>
              <w:ind w:left="7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2012: 4</w:t>
            </w:r>
            <w:r w:rsidR="00BB1D08" w:rsidRPr="0027261A">
              <w:rPr>
                <w:rFonts w:ascii="Arial" w:hAnsi="Arial" w:cs="Arial"/>
                <w:sz w:val="20"/>
                <w:szCs w:val="20"/>
                <w:lang w:val="es-ES_tradnl"/>
              </w:rPr>
              <w:t>3,4</w:t>
            </w:r>
            <w:r w:rsidRPr="0027261A">
              <w:rPr>
                <w:rFonts w:ascii="Arial" w:hAnsi="Arial" w:cs="Arial"/>
                <w:sz w:val="20"/>
                <w:szCs w:val="20"/>
                <w:lang w:val="es-ES_tradnl"/>
              </w:rPr>
              <w:t>%</w:t>
            </w:r>
            <w:r w:rsidR="00B15BA4" w:rsidRPr="0027261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(real)</w:t>
            </w:r>
          </w:p>
          <w:p w14:paraId="51B0997F" w14:textId="77777777" w:rsidR="007011AF" w:rsidRPr="0027261A" w:rsidRDefault="007011AF" w:rsidP="00657BE3">
            <w:pPr>
              <w:ind w:left="7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2013: </w:t>
            </w:r>
            <w:r w:rsidR="00AE2D73" w:rsidRPr="0027261A">
              <w:rPr>
                <w:rFonts w:ascii="Arial" w:hAnsi="Arial" w:cs="Arial"/>
                <w:sz w:val="20"/>
                <w:szCs w:val="20"/>
                <w:lang w:val="es-ES_tradnl"/>
              </w:rPr>
              <w:t>5</w:t>
            </w:r>
            <w:r w:rsidR="00BB1D08" w:rsidRPr="0027261A">
              <w:rPr>
                <w:rFonts w:ascii="Arial" w:hAnsi="Arial" w:cs="Arial"/>
                <w:sz w:val="20"/>
                <w:szCs w:val="20"/>
                <w:lang w:val="es-ES_tradnl"/>
              </w:rPr>
              <w:t>3,1</w:t>
            </w:r>
            <w:r w:rsidR="00AE2D73" w:rsidRPr="0027261A">
              <w:rPr>
                <w:rFonts w:ascii="Arial" w:hAnsi="Arial" w:cs="Arial"/>
                <w:sz w:val="20"/>
                <w:szCs w:val="20"/>
                <w:lang w:val="es-ES_tradnl"/>
              </w:rPr>
              <w:t>%</w:t>
            </w:r>
            <w:r w:rsidR="00B15BA4" w:rsidRPr="0027261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(real)</w:t>
            </w:r>
          </w:p>
          <w:p w14:paraId="7EFD87E8" w14:textId="77777777" w:rsidR="00BC5A7C" w:rsidRPr="0027261A" w:rsidRDefault="00BC5A7C" w:rsidP="00657BE3">
            <w:pPr>
              <w:ind w:left="7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2014: </w:t>
            </w:r>
            <w:r w:rsidR="00B15BA4" w:rsidRPr="0027261A">
              <w:rPr>
                <w:rFonts w:ascii="Arial" w:hAnsi="Arial" w:cs="Arial"/>
                <w:sz w:val="20"/>
                <w:szCs w:val="20"/>
                <w:lang w:val="es-ES_tradnl"/>
              </w:rPr>
              <w:t>5</w:t>
            </w:r>
            <w:r w:rsidR="00BB1D08" w:rsidRPr="0027261A">
              <w:rPr>
                <w:rFonts w:ascii="Arial" w:hAnsi="Arial" w:cs="Arial"/>
                <w:sz w:val="20"/>
                <w:szCs w:val="20"/>
                <w:lang w:val="es-ES_tradnl"/>
              </w:rPr>
              <w:t>4,6</w:t>
            </w:r>
            <w:r w:rsidR="00B15BA4" w:rsidRPr="0027261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% (real)      </w:t>
            </w:r>
            <w:r w:rsidR="00B15BA4" w:rsidRPr="0027261A">
              <w:rPr>
                <w:rFonts w:ascii="Arial" w:hAnsi="Arial" w:cs="Arial"/>
                <w:sz w:val="20"/>
                <w:szCs w:val="20"/>
                <w:lang w:val="es-ES"/>
              </w:rPr>
              <w:sym w:font="Wingdings" w:char="F0E0"/>
            </w:r>
            <w:r w:rsidR="00B15BA4" w:rsidRPr="0027261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    </w:t>
            </w:r>
            <w:r w:rsidRPr="0027261A">
              <w:rPr>
                <w:rFonts w:ascii="Arial" w:hAnsi="Arial" w:cs="Arial"/>
                <w:sz w:val="20"/>
                <w:szCs w:val="20"/>
                <w:lang w:val="es-ES_tradnl"/>
              </w:rPr>
              <w:t>49,0%</w:t>
            </w:r>
            <w:r w:rsidR="003E33D7" w:rsidRPr="0027261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(</w:t>
            </w:r>
            <w:r w:rsidR="00B15BA4" w:rsidRPr="0027261A">
              <w:rPr>
                <w:rFonts w:ascii="Arial" w:hAnsi="Arial" w:cs="Arial"/>
                <w:sz w:val="20"/>
                <w:szCs w:val="20"/>
                <w:lang w:val="es-ES_tradnl"/>
              </w:rPr>
              <w:t>meta</w:t>
            </w:r>
            <w:r w:rsidR="003E33D7" w:rsidRPr="0027261A">
              <w:rPr>
                <w:rFonts w:ascii="Arial" w:hAnsi="Arial" w:cs="Arial"/>
                <w:sz w:val="20"/>
                <w:szCs w:val="20"/>
                <w:lang w:val="es-ES_tradnl"/>
              </w:rPr>
              <w:t>)</w:t>
            </w:r>
          </w:p>
          <w:p w14:paraId="5F53C943" w14:textId="77777777" w:rsidR="00AA0C12" w:rsidRPr="0027261A" w:rsidRDefault="00AA0C12" w:rsidP="00657BE3">
            <w:pPr>
              <w:ind w:left="7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2015:</w:t>
            </w:r>
            <w:r w:rsidR="00BB1D08" w:rsidRPr="0027261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50,6% (real)</w:t>
            </w:r>
          </w:p>
          <w:p w14:paraId="2C5D0474" w14:textId="77777777" w:rsidR="002B3E29" w:rsidRPr="0027261A" w:rsidRDefault="00BC5A7C" w:rsidP="00657BE3">
            <w:pPr>
              <w:ind w:left="7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2016: </w:t>
            </w:r>
            <w:r w:rsidR="00156495" w:rsidRPr="0027261A">
              <w:rPr>
                <w:rFonts w:ascii="Arial" w:hAnsi="Arial" w:cs="Arial"/>
                <w:sz w:val="20"/>
                <w:szCs w:val="20"/>
                <w:lang w:val="es-ES_tradnl"/>
              </w:rPr>
              <w:t>52,8</w:t>
            </w:r>
            <w:r w:rsidR="002A385C" w:rsidRPr="0027261A">
              <w:rPr>
                <w:rFonts w:ascii="Arial" w:hAnsi="Arial" w:cs="Arial"/>
                <w:sz w:val="20"/>
                <w:szCs w:val="20"/>
                <w:lang w:val="es-ES_tradnl"/>
              </w:rPr>
              <w:t>%</w:t>
            </w:r>
            <w:r w:rsidR="00156495" w:rsidRPr="0027261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(real)</w:t>
            </w:r>
            <w:r w:rsidR="00B15BA4" w:rsidRPr="0027261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    </w:t>
            </w:r>
            <w:r w:rsidR="00B15BA4" w:rsidRPr="0027261A">
              <w:rPr>
                <w:rFonts w:ascii="Arial" w:hAnsi="Arial" w:cs="Arial"/>
                <w:sz w:val="20"/>
                <w:szCs w:val="20"/>
                <w:lang w:val="es-ES"/>
              </w:rPr>
              <w:sym w:font="Wingdings" w:char="F0E0"/>
            </w:r>
            <w:r w:rsidR="00B15BA4" w:rsidRPr="0027261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    </w:t>
            </w:r>
            <w:r w:rsidRPr="0027261A">
              <w:rPr>
                <w:rFonts w:ascii="Arial" w:hAnsi="Arial" w:cs="Arial"/>
                <w:sz w:val="20"/>
                <w:szCs w:val="20"/>
                <w:lang w:val="es-ES_tradnl"/>
              </w:rPr>
              <w:t>56,4%</w:t>
            </w:r>
            <w:r w:rsidR="00B15BA4" w:rsidRPr="0027261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(meta</w:t>
            </w:r>
            <w:r w:rsidR="00BC56DE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2016 y años siguientes hasta 2019</w:t>
            </w:r>
            <w:r w:rsidR="00B15BA4" w:rsidRPr="0027261A">
              <w:rPr>
                <w:rFonts w:ascii="Arial" w:hAnsi="Arial" w:cs="Arial"/>
                <w:sz w:val="20"/>
                <w:szCs w:val="20"/>
                <w:lang w:val="es-ES_tradnl"/>
              </w:rPr>
              <w:t>)</w:t>
            </w:r>
            <w:r w:rsidR="00350D6F" w:rsidRPr="0027261A">
              <w:rPr>
                <w:rStyle w:val="FootnoteReference"/>
                <w:rFonts w:ascii="Arial" w:hAnsi="Arial" w:cs="Arial"/>
                <w:sz w:val="20"/>
                <w:szCs w:val="20"/>
                <w:lang w:val="pt-BR"/>
              </w:rPr>
              <w:footnoteReference w:id="11"/>
            </w:r>
          </w:p>
          <w:p w14:paraId="6E5F2831" w14:textId="5B2BE6B7" w:rsidR="00BC5A7C" w:rsidRPr="0027261A" w:rsidRDefault="00BC5A7C" w:rsidP="00657BE3">
            <w:pPr>
              <w:ind w:left="72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3134" w:type="dxa"/>
          </w:tcPr>
          <w:p w14:paraId="5395C34E" w14:textId="77777777" w:rsidR="00BC5A7C" w:rsidRPr="0027261A" w:rsidRDefault="00BC5A7C" w:rsidP="00657BE3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Participación de las fuentes renovables en la matriz eléctrica a nivel de generación </w:t>
            </w:r>
            <w:r w:rsidR="006D57D3" w:rsidRPr="0027261A">
              <w:rPr>
                <w:rFonts w:ascii="Arial" w:hAnsi="Arial" w:cs="Arial"/>
                <w:sz w:val="20"/>
                <w:szCs w:val="20"/>
                <w:lang w:val="es-ES"/>
              </w:rPr>
              <w:t>bruta</w:t>
            </w: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, Fuente INE</w:t>
            </w:r>
          </w:p>
        </w:tc>
      </w:tr>
    </w:tbl>
    <w:p w14:paraId="4748BE89" w14:textId="77777777" w:rsidR="00F8023C" w:rsidRPr="0027261A" w:rsidRDefault="001C08F6" w:rsidP="006F1ABF">
      <w:pPr>
        <w:spacing w:after="0"/>
        <w:jc w:val="center"/>
        <w:rPr>
          <w:rFonts w:ascii="Arial" w:hAnsi="Arial" w:cs="Arial"/>
          <w:b/>
          <w:sz w:val="20"/>
          <w:szCs w:val="20"/>
          <w:lang w:val="es-ES"/>
        </w:rPr>
      </w:pPr>
      <w:r w:rsidRPr="0027261A">
        <w:rPr>
          <w:rFonts w:ascii="Arial" w:hAnsi="Arial" w:cs="Arial"/>
          <w:b/>
          <w:sz w:val="20"/>
          <w:szCs w:val="20"/>
          <w:lang w:val="es-ES"/>
        </w:rPr>
        <w:tab/>
      </w:r>
    </w:p>
    <w:tbl>
      <w:tblPr>
        <w:tblStyle w:val="TableGrid"/>
        <w:tblW w:w="5000" w:type="pct"/>
        <w:tblCellMar>
          <w:top w:w="43" w:type="dxa"/>
          <w:left w:w="43" w:type="dxa"/>
          <w:bottom w:w="43" w:type="dxa"/>
          <w:right w:w="43" w:type="dxa"/>
        </w:tblCellMar>
        <w:tblLook w:val="04A0" w:firstRow="1" w:lastRow="0" w:firstColumn="1" w:lastColumn="0" w:noHBand="0" w:noVBand="1"/>
      </w:tblPr>
      <w:tblGrid>
        <w:gridCol w:w="2475"/>
        <w:gridCol w:w="1250"/>
        <w:gridCol w:w="6467"/>
        <w:gridCol w:w="2758"/>
      </w:tblGrid>
      <w:tr w:rsidR="007458F4" w:rsidRPr="0027261A" w14:paraId="526826F1" w14:textId="77777777" w:rsidTr="006309E9">
        <w:trPr>
          <w:tblHeader/>
        </w:trPr>
        <w:tc>
          <w:tcPr>
            <w:tcW w:w="2567" w:type="dxa"/>
            <w:shd w:val="clear" w:color="auto" w:fill="7F7F7F" w:themeFill="text1" w:themeFillTint="80"/>
          </w:tcPr>
          <w:p w14:paraId="4CC265F6" w14:textId="77777777" w:rsidR="007458F4" w:rsidRPr="0027261A" w:rsidRDefault="007458F4" w:rsidP="00C34D7B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s-ES"/>
              </w:rPr>
              <w:t>Componente/ Objetivos</w:t>
            </w:r>
          </w:p>
        </w:tc>
        <w:tc>
          <w:tcPr>
            <w:tcW w:w="1256" w:type="dxa"/>
            <w:shd w:val="clear" w:color="auto" w:fill="7F7F7F" w:themeFill="text1" w:themeFillTint="80"/>
          </w:tcPr>
          <w:p w14:paraId="58CE6030" w14:textId="77777777" w:rsidR="007458F4" w:rsidRPr="0027261A" w:rsidRDefault="007458F4" w:rsidP="00C34D7B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s-ES"/>
              </w:rPr>
              <w:t>Resultados</w:t>
            </w:r>
          </w:p>
        </w:tc>
        <w:tc>
          <w:tcPr>
            <w:tcW w:w="7835" w:type="dxa"/>
            <w:shd w:val="clear" w:color="auto" w:fill="7F7F7F" w:themeFill="text1" w:themeFillTint="80"/>
          </w:tcPr>
          <w:p w14:paraId="004CF8C5" w14:textId="77777777" w:rsidR="007458F4" w:rsidRPr="0027261A" w:rsidRDefault="007458F4" w:rsidP="00C34D7B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s-ES"/>
              </w:rPr>
              <w:t>Indicador / Línea de Base / Meta</w:t>
            </w:r>
          </w:p>
        </w:tc>
        <w:tc>
          <w:tcPr>
            <w:tcW w:w="3165" w:type="dxa"/>
            <w:shd w:val="clear" w:color="auto" w:fill="7F7F7F" w:themeFill="text1" w:themeFillTint="80"/>
          </w:tcPr>
          <w:p w14:paraId="23F03D30" w14:textId="77777777" w:rsidR="007458F4" w:rsidRPr="0027261A" w:rsidRDefault="007458F4" w:rsidP="00C34D7B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s-ES"/>
              </w:rPr>
              <w:t>Forma de Medición</w:t>
            </w:r>
            <w:r w:rsidRPr="0027261A" w:rsidDel="0048548B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s-ES"/>
              </w:rPr>
              <w:t xml:space="preserve"> </w:t>
            </w:r>
          </w:p>
        </w:tc>
      </w:tr>
      <w:tr w:rsidR="007458F4" w:rsidRPr="004E375E" w14:paraId="7BB5EEB3" w14:textId="77777777" w:rsidTr="006309E9">
        <w:tc>
          <w:tcPr>
            <w:tcW w:w="2567" w:type="dxa"/>
            <w:vMerge w:val="restart"/>
          </w:tcPr>
          <w:p w14:paraId="00AABEE0" w14:textId="77777777" w:rsidR="007458F4" w:rsidRPr="0027261A" w:rsidRDefault="007458F4" w:rsidP="00496127">
            <w:pPr>
              <w:pStyle w:val="ListParagraph"/>
              <w:numPr>
                <w:ilvl w:val="0"/>
                <w:numId w:val="22"/>
              </w:numPr>
              <w:ind w:left="0" w:firstLine="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Sostenibilidad financiera del sector eléctrico: </w:t>
            </w: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Adoptar  un programa de medidas para recuperar la sostenibilidad financiera, técnica, y operativa del sector eléctrico</w:t>
            </w:r>
          </w:p>
        </w:tc>
        <w:tc>
          <w:tcPr>
            <w:tcW w:w="1256" w:type="dxa"/>
          </w:tcPr>
          <w:p w14:paraId="31694A41" w14:textId="77777777" w:rsidR="007458F4" w:rsidRPr="0027261A" w:rsidDel="00E4714F" w:rsidRDefault="007458F4" w:rsidP="00657BE3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Mejora de la calidad del servicio</w:t>
            </w:r>
          </w:p>
        </w:tc>
        <w:tc>
          <w:tcPr>
            <w:tcW w:w="7835" w:type="dxa"/>
          </w:tcPr>
          <w:p w14:paraId="2F525FE7" w14:textId="77777777" w:rsidR="007458F4" w:rsidRPr="0027261A" w:rsidRDefault="007458F4" w:rsidP="00657BE3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i/>
                <w:sz w:val="20"/>
                <w:szCs w:val="20"/>
                <w:lang w:val="es-ES"/>
              </w:rPr>
              <w:t>FMIK = frecuencia media de interrupción por semestre; TTIK = tiempo total de interrupción por semestre en horas</w:t>
            </w:r>
          </w:p>
          <w:p w14:paraId="0636006B" w14:textId="77777777" w:rsidR="00A86C68" w:rsidRPr="0027261A" w:rsidRDefault="00A86C68" w:rsidP="003A6373">
            <w:pPr>
              <w:ind w:left="72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27261A">
              <w:rPr>
                <w:rFonts w:ascii="Arial" w:hAnsi="Arial" w:cs="Arial"/>
                <w:sz w:val="20"/>
                <w:szCs w:val="20"/>
                <w:u w:val="single"/>
                <w:lang w:val="pt-BR"/>
              </w:rPr>
              <w:t>Real</w:t>
            </w: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>:</w:t>
            </w:r>
          </w:p>
          <w:p w14:paraId="60BABC62" w14:textId="77777777" w:rsidR="003A6373" w:rsidRPr="0027261A" w:rsidRDefault="003A6373" w:rsidP="003A6373">
            <w:pPr>
              <w:ind w:left="72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2012 I Sem   (FMIK urbano) – DISNORTE: 2,76     DISSUR: </w:t>
            </w:r>
            <w:r w:rsidR="006B6280" w:rsidRPr="0027261A">
              <w:rPr>
                <w:rFonts w:ascii="Arial" w:hAnsi="Arial" w:cs="Arial"/>
                <w:sz w:val="20"/>
                <w:szCs w:val="20"/>
                <w:lang w:val="pt-BR"/>
              </w:rPr>
              <w:t>3,23</w:t>
            </w:r>
          </w:p>
          <w:p w14:paraId="76D9E3F0" w14:textId="77777777" w:rsidR="003A6373" w:rsidRPr="0027261A" w:rsidRDefault="003A6373" w:rsidP="003A6373">
            <w:pPr>
              <w:ind w:left="72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                      (TTIK urbano) –  DISNORTE: 4,21;      DISSUR: </w:t>
            </w:r>
            <w:r w:rsidR="006B6280" w:rsidRPr="0027261A">
              <w:rPr>
                <w:rFonts w:ascii="Arial" w:hAnsi="Arial" w:cs="Arial"/>
                <w:sz w:val="20"/>
                <w:szCs w:val="20"/>
                <w:lang w:val="pt-BR"/>
              </w:rPr>
              <w:t>4,50</w:t>
            </w:r>
          </w:p>
          <w:p w14:paraId="200A58BD" w14:textId="77777777" w:rsidR="00AE2D73" w:rsidRPr="0027261A" w:rsidRDefault="00AE2D73" w:rsidP="00AE2D73">
            <w:pPr>
              <w:ind w:left="72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2012 II Sem   (FMIK urbano) – DISNORTE: </w:t>
            </w:r>
            <w:r w:rsidR="003A6373" w:rsidRPr="0027261A">
              <w:rPr>
                <w:rFonts w:ascii="Arial" w:hAnsi="Arial" w:cs="Arial"/>
                <w:sz w:val="20"/>
                <w:szCs w:val="20"/>
                <w:lang w:val="pt-BR"/>
              </w:rPr>
              <w:t>2,71</w:t>
            </w: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     DISSUR: </w:t>
            </w:r>
            <w:r w:rsidR="006B6280" w:rsidRPr="0027261A">
              <w:rPr>
                <w:rFonts w:ascii="Arial" w:hAnsi="Arial" w:cs="Arial"/>
                <w:sz w:val="20"/>
                <w:szCs w:val="20"/>
                <w:lang w:val="pt-BR"/>
              </w:rPr>
              <w:t>2,71</w:t>
            </w:r>
          </w:p>
          <w:p w14:paraId="47FB0986" w14:textId="77777777" w:rsidR="00AE2D73" w:rsidRPr="0027261A" w:rsidRDefault="00AE2D73" w:rsidP="00AE2D73">
            <w:pPr>
              <w:ind w:left="72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lastRenderedPageBreak/>
              <w:t xml:space="preserve">                      (TTIK urbano) –  DISNORTE: </w:t>
            </w:r>
            <w:r w:rsidR="003A6373" w:rsidRPr="0027261A">
              <w:rPr>
                <w:rFonts w:ascii="Arial" w:hAnsi="Arial" w:cs="Arial"/>
                <w:sz w:val="20"/>
                <w:szCs w:val="20"/>
                <w:lang w:val="pt-BR"/>
              </w:rPr>
              <w:t>3,49</w:t>
            </w: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;      DISSUR: </w:t>
            </w:r>
            <w:r w:rsidR="006B6280" w:rsidRPr="0027261A">
              <w:rPr>
                <w:rFonts w:ascii="Arial" w:hAnsi="Arial" w:cs="Arial"/>
                <w:sz w:val="20"/>
                <w:szCs w:val="20"/>
                <w:lang w:val="pt-BR"/>
              </w:rPr>
              <w:t>4,34</w:t>
            </w:r>
          </w:p>
          <w:p w14:paraId="04A942BC" w14:textId="77777777" w:rsidR="000C12ED" w:rsidRPr="0027261A" w:rsidRDefault="000C12ED" w:rsidP="000C12ED">
            <w:pPr>
              <w:ind w:left="72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2013 I Sem   (FMIK urbano) – DISNORTE: </w:t>
            </w:r>
            <w:r w:rsidR="003A6373" w:rsidRPr="0027261A">
              <w:rPr>
                <w:rFonts w:ascii="Arial" w:hAnsi="Arial" w:cs="Arial"/>
                <w:sz w:val="20"/>
                <w:szCs w:val="20"/>
                <w:lang w:val="pt-BR"/>
              </w:rPr>
              <w:t>2,34</w:t>
            </w: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     DISSUR: </w:t>
            </w:r>
            <w:r w:rsidR="006B6280" w:rsidRPr="0027261A">
              <w:rPr>
                <w:rFonts w:ascii="Arial" w:hAnsi="Arial" w:cs="Arial"/>
                <w:sz w:val="20"/>
                <w:szCs w:val="20"/>
                <w:lang w:val="pt-BR"/>
              </w:rPr>
              <w:t>2,30</w:t>
            </w:r>
          </w:p>
          <w:p w14:paraId="6C71CCBC" w14:textId="77777777" w:rsidR="000C12ED" w:rsidRPr="0027261A" w:rsidRDefault="000C12ED" w:rsidP="000C12ED">
            <w:pPr>
              <w:ind w:left="72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                      (TTIK urbano) –  DISNORTE: </w:t>
            </w:r>
            <w:r w:rsidR="003A6373" w:rsidRPr="0027261A">
              <w:rPr>
                <w:rFonts w:ascii="Arial" w:hAnsi="Arial" w:cs="Arial"/>
                <w:sz w:val="20"/>
                <w:szCs w:val="20"/>
                <w:lang w:val="pt-BR"/>
              </w:rPr>
              <w:t>3,26</w:t>
            </w: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;      DISSUR: </w:t>
            </w:r>
            <w:r w:rsidR="006B6280" w:rsidRPr="0027261A">
              <w:rPr>
                <w:rFonts w:ascii="Arial" w:hAnsi="Arial" w:cs="Arial"/>
                <w:sz w:val="20"/>
                <w:szCs w:val="20"/>
                <w:lang w:val="pt-BR"/>
              </w:rPr>
              <w:t>3,50</w:t>
            </w:r>
          </w:p>
          <w:p w14:paraId="64C8291A" w14:textId="77777777" w:rsidR="000C12ED" w:rsidRPr="0027261A" w:rsidRDefault="000C12ED" w:rsidP="000C12ED">
            <w:pPr>
              <w:ind w:left="72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2013 II Sem   (FMIK urbano) – DISNORTE: </w:t>
            </w:r>
            <w:r w:rsidR="003A6373" w:rsidRPr="0027261A">
              <w:rPr>
                <w:rFonts w:ascii="Arial" w:hAnsi="Arial" w:cs="Arial"/>
                <w:sz w:val="20"/>
                <w:szCs w:val="20"/>
                <w:lang w:val="pt-BR"/>
              </w:rPr>
              <w:t>3,39</w:t>
            </w: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    DISSUR: </w:t>
            </w:r>
            <w:r w:rsidR="006B6280" w:rsidRPr="0027261A">
              <w:rPr>
                <w:rFonts w:ascii="Arial" w:hAnsi="Arial" w:cs="Arial"/>
                <w:sz w:val="20"/>
                <w:szCs w:val="20"/>
                <w:lang w:val="pt-BR"/>
              </w:rPr>
              <w:t>2,66</w:t>
            </w:r>
          </w:p>
          <w:p w14:paraId="6DDDBE5B" w14:textId="77777777" w:rsidR="000C12ED" w:rsidRPr="0027261A" w:rsidRDefault="000C12ED" w:rsidP="000C12ED">
            <w:pPr>
              <w:ind w:left="72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                      (TTIK urbano) –  DISNORTE: </w:t>
            </w:r>
            <w:r w:rsidR="003A6373" w:rsidRPr="0027261A">
              <w:rPr>
                <w:rFonts w:ascii="Arial" w:hAnsi="Arial" w:cs="Arial"/>
                <w:sz w:val="20"/>
                <w:szCs w:val="20"/>
                <w:lang w:val="pt-BR"/>
              </w:rPr>
              <w:t>5,15</w:t>
            </w: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;      DISSUR: </w:t>
            </w:r>
            <w:r w:rsidR="006B6280" w:rsidRPr="0027261A">
              <w:rPr>
                <w:rFonts w:ascii="Arial" w:hAnsi="Arial" w:cs="Arial"/>
                <w:sz w:val="20"/>
                <w:szCs w:val="20"/>
                <w:lang w:val="pt-BR"/>
              </w:rPr>
              <w:t>5,97</w:t>
            </w:r>
          </w:p>
          <w:p w14:paraId="6EDCA92F" w14:textId="77777777" w:rsidR="003A6373" w:rsidRPr="0027261A" w:rsidRDefault="003A6373" w:rsidP="003A6373">
            <w:pPr>
              <w:ind w:left="72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2014 I Sem   (FMIK urbano) – DISNORTE: 1,96:     DISSUR: </w:t>
            </w:r>
            <w:r w:rsidR="006B6280" w:rsidRPr="0027261A">
              <w:rPr>
                <w:rFonts w:ascii="Arial" w:hAnsi="Arial" w:cs="Arial"/>
                <w:sz w:val="20"/>
                <w:szCs w:val="20"/>
                <w:lang w:val="pt-BR"/>
              </w:rPr>
              <w:t>2,10</w:t>
            </w:r>
          </w:p>
          <w:p w14:paraId="2253614B" w14:textId="77777777" w:rsidR="003A6373" w:rsidRPr="0027261A" w:rsidRDefault="003A6373" w:rsidP="003A6373">
            <w:pPr>
              <w:ind w:left="72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                      (TTIK urbano) –  DISNORTE: 3,67;      DISSUR: </w:t>
            </w:r>
            <w:r w:rsidR="006B6280" w:rsidRPr="0027261A">
              <w:rPr>
                <w:rFonts w:ascii="Arial" w:hAnsi="Arial" w:cs="Arial"/>
                <w:sz w:val="20"/>
                <w:szCs w:val="20"/>
                <w:lang w:val="pt-BR"/>
              </w:rPr>
              <w:t>3,50</w:t>
            </w:r>
          </w:p>
          <w:p w14:paraId="73C83F67" w14:textId="77777777" w:rsidR="00FC3CAB" w:rsidRPr="0027261A" w:rsidRDefault="00FC3CAB" w:rsidP="00FC3CAB">
            <w:pPr>
              <w:ind w:left="72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2014 II Sem   (FMIK urbano) – DISNORTE: </w:t>
            </w:r>
            <w:r w:rsidR="0001178A" w:rsidRPr="0027261A">
              <w:rPr>
                <w:rFonts w:ascii="Arial" w:hAnsi="Arial" w:cs="Arial"/>
                <w:sz w:val="20"/>
                <w:szCs w:val="20"/>
                <w:lang w:val="pt-BR"/>
              </w:rPr>
              <w:t>2,49;</w:t>
            </w: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    DISSUR:</w:t>
            </w:r>
            <w:r w:rsidR="0001178A"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 2,40</w:t>
            </w: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 </w:t>
            </w:r>
          </w:p>
          <w:p w14:paraId="6435455B" w14:textId="77777777" w:rsidR="00FC3CAB" w:rsidRPr="0027261A" w:rsidRDefault="00FC3CAB" w:rsidP="00FC3CAB">
            <w:pPr>
              <w:ind w:left="72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                      (TTIK urbano) –  DISNORTE: </w:t>
            </w:r>
            <w:r w:rsidR="0001178A" w:rsidRPr="0027261A">
              <w:rPr>
                <w:rFonts w:ascii="Arial" w:hAnsi="Arial" w:cs="Arial"/>
                <w:sz w:val="20"/>
                <w:szCs w:val="20"/>
                <w:lang w:val="pt-BR"/>
              </w:rPr>
              <w:t>5,17</w:t>
            </w: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;      DISSUR: </w:t>
            </w:r>
            <w:r w:rsidR="0001178A" w:rsidRPr="0027261A">
              <w:rPr>
                <w:rFonts w:ascii="Arial" w:hAnsi="Arial" w:cs="Arial"/>
                <w:sz w:val="20"/>
                <w:szCs w:val="20"/>
                <w:lang w:val="pt-BR"/>
              </w:rPr>
              <w:t>5,00</w:t>
            </w:r>
          </w:p>
          <w:p w14:paraId="6AB2A679" w14:textId="77777777" w:rsidR="00FC3CAB" w:rsidRPr="0027261A" w:rsidRDefault="00FC3CAB" w:rsidP="00FC3CAB">
            <w:pPr>
              <w:ind w:left="72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2015 I Sem   (FMIK urbano) – DISNORTE: </w:t>
            </w:r>
            <w:r w:rsidR="0001178A" w:rsidRPr="0027261A">
              <w:rPr>
                <w:rFonts w:ascii="Arial" w:hAnsi="Arial" w:cs="Arial"/>
                <w:sz w:val="20"/>
                <w:szCs w:val="20"/>
                <w:lang w:val="pt-BR"/>
              </w:rPr>
              <w:t>2,77;</w:t>
            </w: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     DISSUR:</w:t>
            </w:r>
            <w:r w:rsidR="0001178A"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 2,10</w:t>
            </w: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 </w:t>
            </w:r>
          </w:p>
          <w:p w14:paraId="62A957CE" w14:textId="77777777" w:rsidR="00FC3CAB" w:rsidRPr="0027261A" w:rsidRDefault="00FC3CAB" w:rsidP="00FC3CAB">
            <w:pPr>
              <w:ind w:left="72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                      (TTIK urbano) –  DISNORTE: </w:t>
            </w:r>
            <w:r w:rsidR="0001178A" w:rsidRPr="0027261A">
              <w:rPr>
                <w:rFonts w:ascii="Arial" w:hAnsi="Arial" w:cs="Arial"/>
                <w:sz w:val="20"/>
                <w:szCs w:val="20"/>
                <w:lang w:val="pt-BR"/>
              </w:rPr>
              <w:t>5,51</w:t>
            </w: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;      DISSUR: </w:t>
            </w:r>
            <w:r w:rsidR="0001178A" w:rsidRPr="0027261A">
              <w:rPr>
                <w:rFonts w:ascii="Arial" w:hAnsi="Arial" w:cs="Arial"/>
                <w:sz w:val="20"/>
                <w:szCs w:val="20"/>
                <w:lang w:val="pt-BR"/>
              </w:rPr>
              <w:t>4,80</w:t>
            </w:r>
          </w:p>
          <w:p w14:paraId="159A709A" w14:textId="77777777" w:rsidR="00FC3CAB" w:rsidRPr="0027261A" w:rsidRDefault="00FC3CAB" w:rsidP="00FC3CAB">
            <w:pPr>
              <w:ind w:left="72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2015 II Sem   (FMIK urbano) – DISNORTE: </w:t>
            </w:r>
            <w:r w:rsidR="0001178A" w:rsidRPr="0027261A">
              <w:rPr>
                <w:rFonts w:ascii="Arial" w:hAnsi="Arial" w:cs="Arial"/>
                <w:sz w:val="20"/>
                <w:szCs w:val="20"/>
                <w:lang w:val="pt-BR"/>
              </w:rPr>
              <w:t>1,94;</w:t>
            </w: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     DISSUR:</w:t>
            </w:r>
            <w:r w:rsidR="0001178A"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 2,20</w:t>
            </w: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 </w:t>
            </w:r>
          </w:p>
          <w:p w14:paraId="60DE7399" w14:textId="77777777" w:rsidR="00FC3CAB" w:rsidRPr="0027261A" w:rsidRDefault="00FC3CAB" w:rsidP="00FC3CAB">
            <w:pPr>
              <w:ind w:left="72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                      (TTIK urbano) –  DISNORTE: </w:t>
            </w:r>
            <w:r w:rsidR="0001178A" w:rsidRPr="0027261A">
              <w:rPr>
                <w:rFonts w:ascii="Arial" w:hAnsi="Arial" w:cs="Arial"/>
                <w:sz w:val="20"/>
                <w:szCs w:val="20"/>
                <w:lang w:val="pt-BR"/>
              </w:rPr>
              <w:t>3,41</w:t>
            </w: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;      DISSUR: </w:t>
            </w:r>
            <w:r w:rsidR="0001178A" w:rsidRPr="0027261A">
              <w:rPr>
                <w:rFonts w:ascii="Arial" w:hAnsi="Arial" w:cs="Arial"/>
                <w:sz w:val="20"/>
                <w:szCs w:val="20"/>
                <w:lang w:val="pt-BR"/>
              </w:rPr>
              <w:t>4,20</w:t>
            </w:r>
          </w:p>
          <w:p w14:paraId="5105A280" w14:textId="77777777" w:rsidR="00FC3CAB" w:rsidRPr="0027261A" w:rsidRDefault="00FC3CAB" w:rsidP="00FC3CAB">
            <w:pPr>
              <w:ind w:left="72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2016 I Sem   (FMIK urbano) – DISNORTE: </w:t>
            </w:r>
            <w:r w:rsidR="0001178A" w:rsidRPr="0027261A">
              <w:rPr>
                <w:rFonts w:ascii="Arial" w:hAnsi="Arial" w:cs="Arial"/>
                <w:sz w:val="20"/>
                <w:szCs w:val="20"/>
                <w:lang w:val="pt-BR"/>
              </w:rPr>
              <w:t>2,81;</w:t>
            </w: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    DISSUR: </w:t>
            </w:r>
            <w:r w:rsidR="0063009D" w:rsidRPr="0027261A">
              <w:rPr>
                <w:rFonts w:ascii="Arial" w:hAnsi="Arial" w:cs="Arial"/>
                <w:sz w:val="20"/>
                <w:szCs w:val="20"/>
                <w:lang w:val="pt-BR"/>
              </w:rPr>
              <w:t>2,00</w:t>
            </w:r>
          </w:p>
          <w:p w14:paraId="6037F43F" w14:textId="77777777" w:rsidR="00FC3CAB" w:rsidRPr="0027261A" w:rsidRDefault="00FC3CAB" w:rsidP="00FC3CAB">
            <w:pPr>
              <w:ind w:left="72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                      (TTIK urbano) –  DISNORTE: </w:t>
            </w:r>
            <w:r w:rsidR="0001178A" w:rsidRPr="0027261A">
              <w:rPr>
                <w:rFonts w:ascii="Arial" w:hAnsi="Arial" w:cs="Arial"/>
                <w:sz w:val="20"/>
                <w:szCs w:val="20"/>
                <w:lang w:val="pt-BR"/>
              </w:rPr>
              <w:t>4,63</w:t>
            </w: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>;      DISSUR:</w:t>
            </w:r>
            <w:r w:rsidR="0063009D"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 3,50</w:t>
            </w: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 </w:t>
            </w:r>
          </w:p>
          <w:p w14:paraId="5DA1F65E" w14:textId="77777777" w:rsidR="00FC3CAB" w:rsidRPr="0027261A" w:rsidRDefault="00FC3CAB" w:rsidP="00FC3CAB">
            <w:pPr>
              <w:ind w:left="72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2016 II Sem   (FMIK urbano) – DISNORTE: </w:t>
            </w:r>
            <w:r w:rsidR="0001178A" w:rsidRPr="0027261A">
              <w:rPr>
                <w:rFonts w:ascii="Arial" w:hAnsi="Arial" w:cs="Arial"/>
                <w:sz w:val="20"/>
                <w:szCs w:val="20"/>
                <w:lang w:val="pt-BR"/>
              </w:rPr>
              <w:t>2,90;</w:t>
            </w: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     DISSUR: </w:t>
            </w:r>
            <w:r w:rsidR="0063009D" w:rsidRPr="0027261A">
              <w:rPr>
                <w:rFonts w:ascii="Arial" w:hAnsi="Arial" w:cs="Arial"/>
                <w:sz w:val="20"/>
                <w:szCs w:val="20"/>
                <w:lang w:val="pt-BR"/>
              </w:rPr>
              <w:t>2,20</w:t>
            </w:r>
          </w:p>
          <w:p w14:paraId="29755A0D" w14:textId="77777777" w:rsidR="00FC3CAB" w:rsidRPr="0027261A" w:rsidRDefault="00FC3CAB" w:rsidP="00FC3CAB">
            <w:pPr>
              <w:ind w:left="7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                      </w:t>
            </w:r>
            <w:r w:rsidRPr="0027261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(TTIK urbano) –  DISNORTE: </w:t>
            </w:r>
            <w:r w:rsidR="0001178A" w:rsidRPr="0027261A">
              <w:rPr>
                <w:rFonts w:ascii="Arial" w:hAnsi="Arial" w:cs="Arial"/>
                <w:sz w:val="20"/>
                <w:szCs w:val="20"/>
                <w:lang w:val="es-ES_tradnl"/>
              </w:rPr>
              <w:t>5,90</w:t>
            </w:r>
            <w:r w:rsidRPr="0027261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;      DISSUR: </w:t>
            </w:r>
            <w:r w:rsidR="0063009D" w:rsidRPr="0027261A">
              <w:rPr>
                <w:rFonts w:ascii="Arial" w:hAnsi="Arial" w:cs="Arial"/>
                <w:sz w:val="20"/>
                <w:szCs w:val="20"/>
                <w:lang w:val="es-ES_tradnl"/>
              </w:rPr>
              <w:t>3,70</w:t>
            </w:r>
          </w:p>
          <w:p w14:paraId="160C7FC3" w14:textId="77777777" w:rsidR="00FC3CAB" w:rsidRPr="0027261A" w:rsidRDefault="00FC3CAB" w:rsidP="003A6373">
            <w:pPr>
              <w:ind w:left="72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788E29E9" w14:textId="77777777" w:rsidR="00A86C68" w:rsidRPr="0027261A" w:rsidRDefault="00A86C68" w:rsidP="00657BE3">
            <w:pPr>
              <w:ind w:left="7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261A">
              <w:rPr>
                <w:rFonts w:ascii="Arial" w:hAnsi="Arial" w:cs="Arial"/>
                <w:sz w:val="20"/>
                <w:szCs w:val="20"/>
                <w:u w:val="single"/>
                <w:lang w:val="es-ES_tradnl"/>
              </w:rPr>
              <w:lastRenderedPageBreak/>
              <w:t>Meta</w:t>
            </w:r>
            <w:r w:rsidR="00BC56DE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(2016 y años siguientes)</w:t>
            </w:r>
            <w:r w:rsidR="003F7A26" w:rsidRPr="0027261A">
              <w:rPr>
                <w:rStyle w:val="FootnoteReference"/>
                <w:rFonts w:ascii="Arial" w:hAnsi="Arial" w:cs="Arial"/>
                <w:sz w:val="20"/>
                <w:szCs w:val="20"/>
                <w:u w:val="single"/>
                <w:lang w:val="pt-BR"/>
              </w:rPr>
              <w:footnoteReference w:id="12"/>
            </w:r>
            <w:r w:rsidRPr="0027261A"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</w:p>
          <w:p w14:paraId="4CC137BB" w14:textId="77777777" w:rsidR="007458F4" w:rsidRPr="0027261A" w:rsidRDefault="007458F4" w:rsidP="00657BE3">
            <w:pPr>
              <w:ind w:left="72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>Sem (FMIK urbano) &lt;= 4,1</w:t>
            </w:r>
          </w:p>
          <w:p w14:paraId="2B83E80A" w14:textId="77777777" w:rsidR="007458F4" w:rsidRPr="0027261A" w:rsidRDefault="007458F4" w:rsidP="00C34D7B">
            <w:pPr>
              <w:ind w:left="1008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   </w:t>
            </w:r>
            <w:r w:rsidR="00C51DEA" w:rsidRPr="0027261A">
              <w:rPr>
                <w:rFonts w:ascii="Arial" w:hAnsi="Arial" w:cs="Arial"/>
                <w:sz w:val="20"/>
                <w:szCs w:val="20"/>
                <w:lang w:val="pt-BR"/>
              </w:rPr>
              <w:t>(TTIK urbano)</w:t>
            </w: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 &lt;= 7,0</w:t>
            </w:r>
          </w:p>
        </w:tc>
        <w:tc>
          <w:tcPr>
            <w:tcW w:w="3165" w:type="dxa"/>
          </w:tcPr>
          <w:p w14:paraId="7E69842C" w14:textId="77777777" w:rsidR="007458F4" w:rsidRPr="0027261A" w:rsidRDefault="007458F4" w:rsidP="00657BE3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Indicadores de calidad de servicio, Fuente INE</w:t>
            </w:r>
          </w:p>
          <w:p w14:paraId="31008332" w14:textId="77777777" w:rsidR="007458F4" w:rsidRPr="0027261A" w:rsidRDefault="007458F4" w:rsidP="00C34D7B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7458F4" w:rsidRPr="0027261A" w14:paraId="6B86B52D" w14:textId="77777777" w:rsidTr="006309E9">
        <w:tc>
          <w:tcPr>
            <w:tcW w:w="2567" w:type="dxa"/>
            <w:vMerge/>
          </w:tcPr>
          <w:p w14:paraId="0D934B8E" w14:textId="77777777" w:rsidR="007458F4" w:rsidRPr="0027261A" w:rsidRDefault="007458F4" w:rsidP="00C34D7B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256" w:type="dxa"/>
          </w:tcPr>
          <w:p w14:paraId="66C64A3F" w14:textId="77777777" w:rsidR="007458F4" w:rsidRPr="0027261A" w:rsidDel="00E4714F" w:rsidRDefault="007458F4" w:rsidP="00C34D7B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Mejora en el control de suministro</w:t>
            </w:r>
          </w:p>
        </w:tc>
        <w:tc>
          <w:tcPr>
            <w:tcW w:w="7835" w:type="dxa"/>
          </w:tcPr>
          <w:p w14:paraId="601B2D8C" w14:textId="3E3EDD50" w:rsidR="007458F4" w:rsidRPr="0027261A" w:rsidRDefault="003779AE" w:rsidP="00C34D7B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Número de c</w:t>
            </w:r>
            <w:r w:rsidR="007458F4" w:rsidRPr="0027261A">
              <w:rPr>
                <w:rFonts w:ascii="Arial" w:hAnsi="Arial" w:cs="Arial"/>
                <w:sz w:val="20"/>
                <w:szCs w:val="20"/>
                <w:lang w:val="es-ES"/>
              </w:rPr>
              <w:t>lientes normalizados</w:t>
            </w: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en SIN y SAN</w:t>
            </w:r>
            <w:r w:rsidR="00B005A3" w:rsidRPr="0027261A">
              <w:rPr>
                <w:rStyle w:val="FootnoteReference"/>
                <w:rFonts w:ascii="Arial" w:hAnsi="Arial" w:cs="Arial"/>
                <w:sz w:val="20"/>
                <w:szCs w:val="20"/>
                <w:lang w:val="es-ES"/>
              </w:rPr>
              <w:footnoteReference w:id="13"/>
            </w:r>
            <w:r w:rsidR="007458F4" w:rsidRPr="0027261A">
              <w:rPr>
                <w:rFonts w:ascii="Arial" w:hAnsi="Arial" w:cs="Arial"/>
                <w:sz w:val="20"/>
                <w:szCs w:val="20"/>
                <w:lang w:val="es-ES"/>
              </w:rPr>
              <w:t>:</w:t>
            </w:r>
          </w:p>
          <w:p w14:paraId="18FC89B7" w14:textId="77777777" w:rsidR="007458F4" w:rsidRPr="0027261A" w:rsidRDefault="007458F4" w:rsidP="00C34D7B">
            <w:pPr>
              <w:ind w:left="7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2012: 0</w:t>
            </w:r>
          </w:p>
          <w:p w14:paraId="2B3BDD77" w14:textId="77777777" w:rsidR="007458F4" w:rsidRPr="0027261A" w:rsidRDefault="007458F4" w:rsidP="00C34D7B">
            <w:pPr>
              <w:ind w:left="7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2014: </w:t>
            </w:r>
            <w:r w:rsidR="00A86C68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23.511 (real)      </w:t>
            </w:r>
            <w:r w:rsidR="00A86C68" w:rsidRPr="0027261A">
              <w:rPr>
                <w:rFonts w:ascii="Arial" w:hAnsi="Arial" w:cs="Arial"/>
                <w:sz w:val="20"/>
                <w:szCs w:val="20"/>
                <w:lang w:val="es-ES"/>
              </w:rPr>
              <w:sym w:font="Wingdings" w:char="F0E0"/>
            </w:r>
            <w:r w:rsidR="00A86C68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     </w:t>
            </w: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27</w:t>
            </w:r>
            <w:r w:rsidR="00C6714A" w:rsidRPr="0027261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000</w:t>
            </w:r>
            <w:r w:rsidR="00937757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A86C68" w:rsidRPr="0027261A">
              <w:rPr>
                <w:rFonts w:ascii="Arial" w:hAnsi="Arial" w:cs="Arial"/>
                <w:sz w:val="20"/>
                <w:szCs w:val="20"/>
                <w:lang w:val="es-ES"/>
              </w:rPr>
              <w:t>(meta)</w:t>
            </w:r>
          </w:p>
          <w:p w14:paraId="32ABE99C" w14:textId="77777777" w:rsidR="00187278" w:rsidRPr="0027261A" w:rsidRDefault="00187278" w:rsidP="00C34D7B">
            <w:pPr>
              <w:ind w:left="7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2015: 36.531 (real)</w:t>
            </w:r>
          </w:p>
          <w:p w14:paraId="082DD52D" w14:textId="77777777" w:rsidR="007458F4" w:rsidRPr="0027261A" w:rsidRDefault="007458F4" w:rsidP="00C6714A">
            <w:pPr>
              <w:ind w:left="7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2016: </w:t>
            </w:r>
            <w:r w:rsidR="00E71DBC" w:rsidRPr="0027261A">
              <w:rPr>
                <w:rFonts w:ascii="Arial" w:hAnsi="Arial" w:cs="Arial"/>
                <w:sz w:val="20"/>
                <w:szCs w:val="20"/>
                <w:lang w:val="es-ES"/>
              </w:rPr>
              <w:t>48.113</w:t>
            </w:r>
            <w:r w:rsidR="00F46C9F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(real)</w:t>
            </w:r>
            <w:r w:rsidR="00A86C68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     </w:t>
            </w:r>
            <w:r w:rsidR="00A86C68" w:rsidRPr="0027261A">
              <w:rPr>
                <w:rFonts w:ascii="Arial" w:hAnsi="Arial" w:cs="Arial"/>
                <w:sz w:val="20"/>
                <w:szCs w:val="20"/>
                <w:lang w:val="es-ES"/>
              </w:rPr>
              <w:sym w:font="Wingdings" w:char="F0E0"/>
            </w:r>
            <w:r w:rsidR="00A86C68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     </w:t>
            </w: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96</w:t>
            </w:r>
            <w:r w:rsidR="00C6714A" w:rsidRPr="0027261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000</w:t>
            </w:r>
            <w:r w:rsidR="00A86C68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(meta</w:t>
            </w:r>
            <w:r w:rsidR="00BC56DE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2016 redefinida a 2020</w:t>
            </w:r>
            <w:r w:rsidR="00A86C68" w:rsidRPr="0027261A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  <w:r w:rsidR="00BC56DE" w:rsidRPr="0027261A">
              <w:rPr>
                <w:rStyle w:val="FootnoteReference"/>
                <w:rFonts w:ascii="Arial" w:hAnsi="Arial" w:cs="Arial"/>
                <w:sz w:val="20"/>
                <w:szCs w:val="20"/>
                <w:lang w:val="es-ES"/>
              </w:rPr>
              <w:footnoteReference w:id="14"/>
            </w: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  </w:t>
            </w:r>
          </w:p>
        </w:tc>
        <w:tc>
          <w:tcPr>
            <w:tcW w:w="3165" w:type="dxa"/>
          </w:tcPr>
          <w:p w14:paraId="7FA4ACD0" w14:textId="77777777" w:rsidR="007458F4" w:rsidRPr="0027261A" w:rsidRDefault="007458F4" w:rsidP="00C34D7B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Número de clientes formalizados, Fuente MEM</w:t>
            </w:r>
          </w:p>
        </w:tc>
      </w:tr>
      <w:tr w:rsidR="007458F4" w:rsidRPr="0027261A" w14:paraId="2F9B6341" w14:textId="77777777" w:rsidTr="006309E9">
        <w:tc>
          <w:tcPr>
            <w:tcW w:w="2567" w:type="dxa"/>
            <w:vMerge/>
          </w:tcPr>
          <w:p w14:paraId="29E164E1" w14:textId="77777777" w:rsidR="007458F4" w:rsidRPr="0027261A" w:rsidRDefault="007458F4" w:rsidP="00C34D7B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256" w:type="dxa"/>
          </w:tcPr>
          <w:p w14:paraId="46E7C402" w14:textId="77777777" w:rsidR="007458F4" w:rsidRPr="0027261A" w:rsidDel="00E4714F" w:rsidRDefault="007458F4" w:rsidP="00C34D7B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Ampliación de la cobertura eléctrica</w:t>
            </w:r>
          </w:p>
        </w:tc>
        <w:tc>
          <w:tcPr>
            <w:tcW w:w="7835" w:type="dxa"/>
          </w:tcPr>
          <w:p w14:paraId="44576A60" w14:textId="0CBD0FF2" w:rsidR="007458F4" w:rsidRPr="0027261A" w:rsidRDefault="00521C7A" w:rsidP="00C34D7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_tradnl"/>
              </w:rPr>
              <w:t>Porcentaje de la población nacional con acceso al servicio de electricidad</w:t>
            </w:r>
            <w:r w:rsidR="007458F4" w:rsidRPr="0027261A">
              <w:rPr>
                <w:rStyle w:val="FootnoteReference"/>
                <w:rFonts w:ascii="Arial" w:hAnsi="Arial" w:cs="Arial"/>
                <w:sz w:val="20"/>
                <w:szCs w:val="20"/>
                <w:lang w:val="es-ES"/>
              </w:rPr>
              <w:footnoteReference w:id="15"/>
            </w:r>
            <w:r w:rsidR="007458F4" w:rsidRPr="0027261A"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</w:p>
          <w:p w14:paraId="477FFCA7" w14:textId="77777777" w:rsidR="007458F4" w:rsidRPr="0027261A" w:rsidRDefault="007458F4" w:rsidP="00C34D7B">
            <w:pPr>
              <w:spacing w:line="276" w:lineRule="auto"/>
              <w:ind w:left="72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>2012: 7</w:t>
            </w:r>
            <w:r w:rsidR="009D07D7" w:rsidRPr="0027261A">
              <w:rPr>
                <w:rFonts w:ascii="Arial" w:hAnsi="Arial" w:cs="Arial"/>
                <w:sz w:val="20"/>
                <w:szCs w:val="20"/>
                <w:lang w:val="pt-BR"/>
              </w:rPr>
              <w:t>2</w:t>
            </w: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>,</w:t>
            </w:r>
            <w:r w:rsidR="009D07D7" w:rsidRPr="0027261A">
              <w:rPr>
                <w:rFonts w:ascii="Arial" w:hAnsi="Arial" w:cs="Arial"/>
                <w:sz w:val="20"/>
                <w:szCs w:val="20"/>
                <w:lang w:val="pt-BR"/>
              </w:rPr>
              <w:t>3</w:t>
            </w: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>%</w:t>
            </w:r>
            <w:r w:rsidR="00A86C68"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 (real)</w:t>
            </w:r>
          </w:p>
          <w:p w14:paraId="140C6338" w14:textId="77777777" w:rsidR="00B83463" w:rsidRPr="0027261A" w:rsidRDefault="00B83463" w:rsidP="00C34D7B">
            <w:pPr>
              <w:spacing w:line="276" w:lineRule="auto"/>
              <w:ind w:left="72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>2013: 7</w:t>
            </w:r>
            <w:r w:rsidR="00D60774" w:rsidRPr="0027261A">
              <w:rPr>
                <w:rFonts w:ascii="Arial" w:hAnsi="Arial" w:cs="Arial"/>
                <w:sz w:val="20"/>
                <w:szCs w:val="20"/>
                <w:lang w:val="pt-BR"/>
              </w:rPr>
              <w:t>4</w:t>
            </w: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>,</w:t>
            </w:r>
            <w:r w:rsidR="00D60774" w:rsidRPr="0027261A">
              <w:rPr>
                <w:rFonts w:ascii="Arial" w:hAnsi="Arial" w:cs="Arial"/>
                <w:sz w:val="20"/>
                <w:szCs w:val="20"/>
                <w:lang w:val="pt-BR"/>
              </w:rPr>
              <w:t>6</w:t>
            </w: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>%</w:t>
            </w:r>
            <w:r w:rsidR="00A86C68"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 (real)</w:t>
            </w:r>
          </w:p>
          <w:p w14:paraId="3A4718EF" w14:textId="77777777" w:rsidR="007458F4" w:rsidRPr="0027261A" w:rsidRDefault="007458F4" w:rsidP="00C34D7B">
            <w:pPr>
              <w:spacing w:line="276" w:lineRule="auto"/>
              <w:ind w:left="72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2014: </w:t>
            </w:r>
            <w:r w:rsidR="00D60774" w:rsidRPr="0027261A">
              <w:rPr>
                <w:rFonts w:ascii="Arial" w:hAnsi="Arial" w:cs="Arial"/>
                <w:sz w:val="20"/>
                <w:szCs w:val="20"/>
                <w:lang w:val="pt-BR"/>
              </w:rPr>
              <w:t>77,1</w:t>
            </w:r>
            <w:r w:rsidR="00A86C68"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% (real)      </w:t>
            </w:r>
            <w:r w:rsidR="00A86C68" w:rsidRPr="0027261A">
              <w:rPr>
                <w:rFonts w:ascii="Arial" w:hAnsi="Arial" w:cs="Arial"/>
                <w:sz w:val="20"/>
                <w:szCs w:val="20"/>
                <w:lang w:val="es-ES"/>
              </w:rPr>
              <w:sym w:font="Wingdings" w:char="F0E0"/>
            </w:r>
            <w:r w:rsidR="00A86C68"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      </w:t>
            </w: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>80,1%</w:t>
            </w:r>
            <w:r w:rsidR="00B83463"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 </w:t>
            </w:r>
            <w:r w:rsidR="00A86C68" w:rsidRPr="0027261A">
              <w:rPr>
                <w:rFonts w:ascii="Arial" w:hAnsi="Arial" w:cs="Arial"/>
                <w:sz w:val="20"/>
                <w:szCs w:val="20"/>
                <w:lang w:val="pt-BR"/>
              </w:rPr>
              <w:t>(meta</w:t>
            </w:r>
            <w:r w:rsidR="00B83463" w:rsidRPr="0027261A">
              <w:rPr>
                <w:rFonts w:ascii="Arial" w:hAnsi="Arial" w:cs="Arial"/>
                <w:sz w:val="20"/>
                <w:szCs w:val="20"/>
                <w:lang w:val="pt-BR"/>
              </w:rPr>
              <w:t>)</w:t>
            </w:r>
          </w:p>
          <w:p w14:paraId="54946E80" w14:textId="77777777" w:rsidR="00C54D4E" w:rsidRPr="0027261A" w:rsidRDefault="00C54D4E" w:rsidP="00C34D7B">
            <w:pPr>
              <w:spacing w:line="276" w:lineRule="auto"/>
              <w:ind w:left="72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>2015:</w:t>
            </w:r>
            <w:r w:rsidR="00D60774"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 81,6% (real)</w:t>
            </w:r>
          </w:p>
          <w:p w14:paraId="5D6010FF" w14:textId="77777777" w:rsidR="007458F4" w:rsidRPr="0027261A" w:rsidRDefault="007458F4" w:rsidP="00C34D7B">
            <w:pPr>
              <w:ind w:left="72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2016: </w:t>
            </w:r>
            <w:r w:rsidR="00521C7A" w:rsidRPr="0027261A">
              <w:rPr>
                <w:rFonts w:ascii="Arial" w:hAnsi="Arial" w:cs="Arial"/>
                <w:sz w:val="20"/>
                <w:szCs w:val="20"/>
                <w:lang w:val="pt-BR"/>
              </w:rPr>
              <w:t>85,4% (real)</w:t>
            </w:r>
            <w:r w:rsidR="00605207" w:rsidRPr="0027261A">
              <w:rPr>
                <w:rStyle w:val="FootnoteReference"/>
                <w:rFonts w:ascii="Arial" w:hAnsi="Arial" w:cs="Arial"/>
                <w:sz w:val="20"/>
                <w:szCs w:val="20"/>
                <w:lang w:val="pt-BR"/>
              </w:rPr>
              <w:footnoteReference w:id="16"/>
            </w:r>
            <w:r w:rsidR="00521C7A"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   </w:t>
            </w:r>
            <w:r w:rsidR="00A86C68" w:rsidRPr="0027261A">
              <w:rPr>
                <w:rFonts w:ascii="Arial" w:hAnsi="Arial" w:cs="Arial"/>
                <w:sz w:val="20"/>
                <w:szCs w:val="20"/>
                <w:lang w:val="es-ES"/>
              </w:rPr>
              <w:sym w:font="Wingdings" w:char="F0E0"/>
            </w:r>
            <w:r w:rsidR="00A86C68"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      </w:t>
            </w: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>8</w:t>
            </w:r>
            <w:r w:rsidR="00C54D4E" w:rsidRPr="0027261A">
              <w:rPr>
                <w:rFonts w:ascii="Arial" w:hAnsi="Arial" w:cs="Arial"/>
                <w:sz w:val="20"/>
                <w:szCs w:val="20"/>
                <w:lang w:val="pt-BR"/>
              </w:rPr>
              <w:t>5</w:t>
            </w: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>,5%</w:t>
            </w:r>
            <w:r w:rsidR="00A86C68"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 (meta</w:t>
            </w:r>
            <w:r w:rsidR="00521C7A"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 2016</w:t>
            </w:r>
            <w:r w:rsidR="00A86C68" w:rsidRPr="0027261A">
              <w:rPr>
                <w:rFonts w:ascii="Arial" w:hAnsi="Arial" w:cs="Arial"/>
                <w:sz w:val="20"/>
                <w:szCs w:val="20"/>
                <w:lang w:val="pt-BR"/>
              </w:rPr>
              <w:t>)</w:t>
            </w:r>
          </w:p>
          <w:p w14:paraId="3D5F78F5" w14:textId="77777777" w:rsidR="00521C7A" w:rsidRPr="0027261A" w:rsidRDefault="00521C7A" w:rsidP="00C34D7B">
            <w:pPr>
              <w:ind w:left="72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                                    </w:t>
            </w: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sym w:font="Wingdings" w:char="F0E0"/>
            </w: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    90% (meta 2020)</w:t>
            </w:r>
          </w:p>
        </w:tc>
        <w:tc>
          <w:tcPr>
            <w:tcW w:w="3165" w:type="dxa"/>
          </w:tcPr>
          <w:p w14:paraId="12B02DCB" w14:textId="77777777" w:rsidR="007458F4" w:rsidRPr="0027261A" w:rsidRDefault="007458F4" w:rsidP="00C34D7B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Indicador de cobertura eléctrica, Fuente </w:t>
            </w:r>
            <w:r w:rsidR="00C54D4E" w:rsidRPr="0027261A">
              <w:rPr>
                <w:rFonts w:ascii="Arial" w:hAnsi="Arial" w:cs="Arial"/>
                <w:sz w:val="20"/>
                <w:szCs w:val="20"/>
                <w:lang w:val="es-ES"/>
              </w:rPr>
              <w:t>CEPAL</w:t>
            </w:r>
          </w:p>
          <w:p w14:paraId="0BD96F9C" w14:textId="77777777" w:rsidR="007458F4" w:rsidRPr="0027261A" w:rsidRDefault="007458F4" w:rsidP="00C34D7B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7458F4" w:rsidRPr="004E375E" w14:paraId="1D3A1E0B" w14:textId="77777777" w:rsidTr="006309E9">
        <w:tc>
          <w:tcPr>
            <w:tcW w:w="2567" w:type="dxa"/>
            <w:vMerge/>
          </w:tcPr>
          <w:p w14:paraId="773B7533" w14:textId="77777777" w:rsidR="007458F4" w:rsidRPr="0027261A" w:rsidRDefault="007458F4" w:rsidP="00C34D7B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256" w:type="dxa"/>
          </w:tcPr>
          <w:p w14:paraId="3F0C1565" w14:textId="77777777" w:rsidR="007458F4" w:rsidRPr="0027261A" w:rsidDel="00344798" w:rsidRDefault="007458F4" w:rsidP="00C34D7B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Reducción de pérdidas porcentuales del sistema</w:t>
            </w:r>
          </w:p>
        </w:tc>
        <w:tc>
          <w:tcPr>
            <w:tcW w:w="7835" w:type="dxa"/>
          </w:tcPr>
          <w:p w14:paraId="4D9DA4DF" w14:textId="4C196E23" w:rsidR="007458F4" w:rsidRPr="0027261A" w:rsidRDefault="007458F4" w:rsidP="00C34D7B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Pérdidas porcentuales totales </w:t>
            </w:r>
            <w:r w:rsidR="00881CF6" w:rsidRPr="0027261A">
              <w:rPr>
                <w:rFonts w:ascii="Arial" w:hAnsi="Arial" w:cs="Arial"/>
                <w:sz w:val="20"/>
                <w:szCs w:val="20"/>
                <w:lang w:val="es-ES"/>
              </w:rPr>
              <w:t>en el SIN</w:t>
            </w: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:</w:t>
            </w:r>
          </w:p>
          <w:p w14:paraId="33CAEF68" w14:textId="77777777" w:rsidR="007458F4" w:rsidRPr="0027261A" w:rsidRDefault="007458F4" w:rsidP="00C34D7B">
            <w:pPr>
              <w:ind w:left="72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>2012: 23,</w:t>
            </w:r>
            <w:r w:rsidR="00C6714A" w:rsidRPr="0027261A">
              <w:rPr>
                <w:rFonts w:ascii="Arial" w:hAnsi="Arial" w:cs="Arial"/>
                <w:sz w:val="20"/>
                <w:szCs w:val="20"/>
                <w:lang w:val="pt-BR"/>
              </w:rPr>
              <w:t>1</w:t>
            </w: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>%</w:t>
            </w:r>
            <w:r w:rsidR="00C6714A"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 (real)</w:t>
            </w:r>
          </w:p>
          <w:p w14:paraId="0B4F2DF2" w14:textId="77777777" w:rsidR="00DD5C50" w:rsidRPr="0027261A" w:rsidRDefault="00DD5C50" w:rsidP="00C34D7B">
            <w:pPr>
              <w:ind w:left="72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>2013: 22,8%</w:t>
            </w:r>
            <w:r w:rsidR="00C6714A"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 (real)</w:t>
            </w:r>
          </w:p>
          <w:p w14:paraId="77A24320" w14:textId="77777777" w:rsidR="007458F4" w:rsidRPr="0027261A" w:rsidRDefault="007458F4" w:rsidP="00C34D7B">
            <w:pPr>
              <w:ind w:left="72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2014: </w:t>
            </w:r>
            <w:r w:rsidR="00C6714A" w:rsidRPr="0027261A">
              <w:rPr>
                <w:rFonts w:ascii="Arial" w:hAnsi="Arial" w:cs="Arial"/>
                <w:sz w:val="20"/>
                <w:szCs w:val="20"/>
                <w:lang w:val="pt-BR"/>
              </w:rPr>
              <w:t>23,</w:t>
            </w:r>
            <w:r w:rsidR="00951BDD" w:rsidRPr="0027261A">
              <w:rPr>
                <w:rFonts w:ascii="Arial" w:hAnsi="Arial" w:cs="Arial"/>
                <w:sz w:val="20"/>
                <w:szCs w:val="20"/>
                <w:lang w:val="pt-BR"/>
              </w:rPr>
              <w:t>3</w:t>
            </w:r>
            <w:r w:rsidR="00C6714A" w:rsidRPr="0027261A">
              <w:rPr>
                <w:rFonts w:ascii="Arial" w:hAnsi="Arial" w:cs="Arial"/>
                <w:sz w:val="20"/>
                <w:szCs w:val="20"/>
                <w:lang w:val="pt-BR"/>
              </w:rPr>
              <w:t>% (real)</w:t>
            </w:r>
            <w:r w:rsidR="00951BDD"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 </w:t>
            </w:r>
            <w:r w:rsidR="00C6714A"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      </w:t>
            </w:r>
            <w:r w:rsidR="00C6714A" w:rsidRPr="0027261A">
              <w:rPr>
                <w:rFonts w:ascii="Arial" w:hAnsi="Arial" w:cs="Arial"/>
                <w:sz w:val="20"/>
                <w:szCs w:val="20"/>
                <w:lang w:val="es-ES"/>
              </w:rPr>
              <w:sym w:font="Wingdings" w:char="F0E0"/>
            </w:r>
            <w:r w:rsidR="00C6714A"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      </w:t>
            </w: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>22,25%</w:t>
            </w:r>
            <w:r w:rsidR="003E33D7"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 (</w:t>
            </w:r>
            <w:r w:rsidR="00C6714A" w:rsidRPr="0027261A">
              <w:rPr>
                <w:rFonts w:ascii="Arial" w:hAnsi="Arial" w:cs="Arial"/>
                <w:sz w:val="20"/>
                <w:szCs w:val="20"/>
                <w:lang w:val="pt-BR"/>
              </w:rPr>
              <w:t>meta</w:t>
            </w:r>
            <w:r w:rsidR="003E33D7" w:rsidRPr="0027261A">
              <w:rPr>
                <w:rFonts w:ascii="Arial" w:hAnsi="Arial" w:cs="Arial"/>
                <w:sz w:val="20"/>
                <w:szCs w:val="20"/>
                <w:lang w:val="pt-BR"/>
              </w:rPr>
              <w:t>)</w:t>
            </w:r>
          </w:p>
          <w:p w14:paraId="26F614E4" w14:textId="77777777" w:rsidR="00951BDD" w:rsidRPr="0027261A" w:rsidRDefault="00951BDD" w:rsidP="00C34D7B">
            <w:pPr>
              <w:ind w:left="72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>2015: 24,7% (real)</w:t>
            </w:r>
          </w:p>
          <w:p w14:paraId="498C48D1" w14:textId="77777777" w:rsidR="007458F4" w:rsidRPr="0027261A" w:rsidRDefault="007458F4" w:rsidP="00C34D7B">
            <w:pPr>
              <w:ind w:left="72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2016: </w:t>
            </w:r>
            <w:r w:rsidR="00521C7A" w:rsidRPr="0027261A">
              <w:rPr>
                <w:rFonts w:ascii="Arial" w:hAnsi="Arial" w:cs="Arial"/>
                <w:sz w:val="20"/>
                <w:szCs w:val="20"/>
                <w:lang w:val="pt-BR"/>
              </w:rPr>
              <w:t>23,9% (real)</w:t>
            </w:r>
            <w:r w:rsidR="00914212" w:rsidRPr="0027261A">
              <w:rPr>
                <w:rStyle w:val="FootnoteReference"/>
                <w:rFonts w:ascii="Arial" w:hAnsi="Arial" w:cs="Arial"/>
                <w:sz w:val="20"/>
                <w:szCs w:val="20"/>
                <w:lang w:val="pt-BR"/>
              </w:rPr>
              <w:footnoteReference w:id="17"/>
            </w:r>
            <w:r w:rsidR="00C6714A"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   </w:t>
            </w:r>
            <w:r w:rsidR="00536448"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 </w:t>
            </w:r>
            <w:r w:rsidR="00C6714A" w:rsidRPr="0027261A">
              <w:rPr>
                <w:rFonts w:ascii="Arial" w:hAnsi="Arial" w:cs="Arial"/>
                <w:sz w:val="20"/>
                <w:szCs w:val="20"/>
                <w:lang w:val="es-ES"/>
              </w:rPr>
              <w:sym w:font="Wingdings" w:char="F0E0"/>
            </w:r>
            <w:r w:rsidR="00C6714A"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      </w:t>
            </w: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>21,15%</w:t>
            </w:r>
            <w:r w:rsidR="00C6714A"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 (meta</w:t>
            </w:r>
            <w:r w:rsidR="00521C7A"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 2016 redefinida a 2019</w:t>
            </w:r>
            <w:r w:rsidR="00C6714A" w:rsidRPr="0027261A">
              <w:rPr>
                <w:rFonts w:ascii="Arial" w:hAnsi="Arial" w:cs="Arial"/>
                <w:sz w:val="20"/>
                <w:szCs w:val="20"/>
                <w:lang w:val="pt-BR"/>
              </w:rPr>
              <w:t>)</w:t>
            </w:r>
            <w:r w:rsidR="00350D6F" w:rsidRPr="0027261A">
              <w:rPr>
                <w:rStyle w:val="FootnoteReference"/>
                <w:rFonts w:ascii="Arial" w:hAnsi="Arial" w:cs="Arial"/>
                <w:sz w:val="20"/>
                <w:szCs w:val="20"/>
                <w:lang w:val="pt-BR"/>
              </w:rPr>
              <w:footnoteReference w:id="18"/>
            </w:r>
          </w:p>
        </w:tc>
        <w:tc>
          <w:tcPr>
            <w:tcW w:w="3165" w:type="dxa"/>
          </w:tcPr>
          <w:p w14:paraId="4E39DF58" w14:textId="06A3098A" w:rsidR="007458F4" w:rsidRPr="0027261A" w:rsidRDefault="007458F4" w:rsidP="00C34D7B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Indicador de pérdidas a nivel del total del </w:t>
            </w:r>
            <w:r w:rsidR="00721104" w:rsidRPr="0027261A">
              <w:rPr>
                <w:rFonts w:ascii="Arial" w:hAnsi="Arial" w:cs="Arial"/>
                <w:sz w:val="20"/>
                <w:szCs w:val="20"/>
                <w:lang w:val="es-ES"/>
              </w:rPr>
              <w:t>SIN</w:t>
            </w: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, Fuente </w:t>
            </w:r>
            <w:r w:rsidR="00C6714A" w:rsidRPr="0027261A">
              <w:rPr>
                <w:rFonts w:ascii="Arial" w:hAnsi="Arial" w:cs="Arial"/>
                <w:sz w:val="20"/>
                <w:szCs w:val="20"/>
                <w:lang w:val="es-ES"/>
              </w:rPr>
              <w:t>CEPAL</w:t>
            </w:r>
          </w:p>
        </w:tc>
      </w:tr>
      <w:tr w:rsidR="007458F4" w:rsidRPr="004E375E" w14:paraId="080B4310" w14:textId="77777777" w:rsidTr="006309E9">
        <w:tc>
          <w:tcPr>
            <w:tcW w:w="2567" w:type="dxa"/>
            <w:vMerge w:val="restart"/>
          </w:tcPr>
          <w:p w14:paraId="599F5520" w14:textId="77777777" w:rsidR="007458F4" w:rsidRPr="0027261A" w:rsidRDefault="007458F4" w:rsidP="00492D97">
            <w:pPr>
              <w:pStyle w:val="ListParagraph"/>
              <w:numPr>
                <w:ilvl w:val="0"/>
                <w:numId w:val="22"/>
              </w:numPr>
              <w:ind w:left="0" w:firstLine="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Transparencia de resultados en la gestión del sector:</w:t>
            </w:r>
            <w:r w:rsidRPr="0027261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Establecer mecanismos que mejoren la visibilidad de resultados de las empresas públicas y concesionarias en el sector</w:t>
            </w:r>
          </w:p>
        </w:tc>
        <w:tc>
          <w:tcPr>
            <w:tcW w:w="1256" w:type="dxa"/>
          </w:tcPr>
          <w:p w14:paraId="50919141" w14:textId="77777777" w:rsidR="007458F4" w:rsidRPr="0027261A" w:rsidDel="00AE0AF4" w:rsidRDefault="00030145" w:rsidP="00C34D7B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Información de estados financieros</w:t>
            </w:r>
          </w:p>
        </w:tc>
        <w:tc>
          <w:tcPr>
            <w:tcW w:w="7835" w:type="dxa"/>
          </w:tcPr>
          <w:p w14:paraId="7B7E4247" w14:textId="37B197EC" w:rsidR="007458F4" w:rsidRPr="0027261A" w:rsidRDefault="007458F4" w:rsidP="00C34D7B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Estados Financieros de las empresas estales del sector </w:t>
            </w:r>
            <w:r w:rsidR="00BA02F7" w:rsidRPr="0027261A">
              <w:rPr>
                <w:rFonts w:ascii="Arial" w:hAnsi="Arial" w:cs="Arial"/>
                <w:sz w:val="20"/>
                <w:szCs w:val="20"/>
                <w:lang w:val="es-ES"/>
              </w:rPr>
              <w:t>publicadas</w:t>
            </w: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:</w:t>
            </w:r>
          </w:p>
          <w:p w14:paraId="35C18B90" w14:textId="77777777" w:rsidR="007458F4" w:rsidRPr="0027261A" w:rsidRDefault="007458F4" w:rsidP="00C34D7B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 w:rsidRPr="0027261A">
              <w:rPr>
                <w:rFonts w:ascii="Arial" w:hAnsi="Arial" w:cs="Arial"/>
                <w:sz w:val="20"/>
                <w:szCs w:val="20"/>
              </w:rPr>
              <w:t>2012: 0</w:t>
            </w:r>
          </w:p>
          <w:p w14:paraId="5D13F132" w14:textId="77777777" w:rsidR="00932341" w:rsidRPr="0027261A" w:rsidRDefault="00932341" w:rsidP="00C34D7B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 w:rsidRPr="0027261A">
              <w:rPr>
                <w:rFonts w:ascii="Arial" w:hAnsi="Arial" w:cs="Arial"/>
                <w:sz w:val="20"/>
                <w:szCs w:val="20"/>
              </w:rPr>
              <w:t>2013: ENATREL (</w:t>
            </w:r>
            <w:r w:rsidR="00BA02F7" w:rsidRPr="0027261A">
              <w:rPr>
                <w:rFonts w:ascii="Arial" w:hAnsi="Arial" w:cs="Arial"/>
                <w:sz w:val="20"/>
                <w:szCs w:val="20"/>
              </w:rPr>
              <w:t xml:space="preserve">#1 </w:t>
            </w:r>
            <w:r w:rsidRPr="0027261A">
              <w:rPr>
                <w:rFonts w:ascii="Arial" w:hAnsi="Arial" w:cs="Arial"/>
                <w:sz w:val="20"/>
                <w:szCs w:val="20"/>
              </w:rPr>
              <w:t>real)</w:t>
            </w:r>
          </w:p>
          <w:p w14:paraId="6118FBDB" w14:textId="77777777" w:rsidR="007458F4" w:rsidRPr="0027261A" w:rsidRDefault="007458F4" w:rsidP="00C34D7B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 w:rsidRPr="0027261A">
              <w:rPr>
                <w:rFonts w:ascii="Arial" w:hAnsi="Arial" w:cs="Arial"/>
                <w:sz w:val="20"/>
                <w:szCs w:val="20"/>
              </w:rPr>
              <w:t xml:space="preserve">2014: </w:t>
            </w:r>
            <w:r w:rsidR="00932341" w:rsidRPr="0027261A">
              <w:rPr>
                <w:rFonts w:ascii="Arial" w:hAnsi="Arial" w:cs="Arial"/>
                <w:sz w:val="20"/>
                <w:szCs w:val="20"/>
              </w:rPr>
              <w:t>E</w:t>
            </w:r>
            <w:r w:rsidR="00D60774" w:rsidRPr="0027261A">
              <w:rPr>
                <w:rFonts w:ascii="Arial" w:hAnsi="Arial" w:cs="Arial"/>
                <w:sz w:val="20"/>
                <w:szCs w:val="20"/>
              </w:rPr>
              <w:t>NA</w:t>
            </w:r>
            <w:r w:rsidR="00932341" w:rsidRPr="0027261A">
              <w:rPr>
                <w:rFonts w:ascii="Arial" w:hAnsi="Arial" w:cs="Arial"/>
                <w:sz w:val="20"/>
                <w:szCs w:val="20"/>
              </w:rPr>
              <w:t>TREL (</w:t>
            </w:r>
            <w:r w:rsidR="00BA02F7" w:rsidRPr="0027261A">
              <w:rPr>
                <w:rFonts w:ascii="Arial" w:hAnsi="Arial" w:cs="Arial"/>
                <w:sz w:val="20"/>
                <w:szCs w:val="20"/>
              </w:rPr>
              <w:t xml:space="preserve">#1 </w:t>
            </w:r>
            <w:r w:rsidR="00932341" w:rsidRPr="0027261A">
              <w:rPr>
                <w:rFonts w:ascii="Arial" w:hAnsi="Arial" w:cs="Arial"/>
                <w:sz w:val="20"/>
                <w:szCs w:val="20"/>
              </w:rPr>
              <w:t xml:space="preserve">real)      </w:t>
            </w:r>
            <w:r w:rsidR="00AE5ECA" w:rsidRPr="0027261A"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="00932341" w:rsidRPr="0027261A">
              <w:rPr>
                <w:rFonts w:ascii="Arial" w:hAnsi="Arial" w:cs="Arial"/>
                <w:sz w:val="20"/>
                <w:szCs w:val="20"/>
              </w:rPr>
              <w:sym w:font="Wingdings" w:char="F0E0"/>
            </w:r>
            <w:r w:rsidRPr="0027261A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932341" w:rsidRPr="0027261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7261A">
              <w:rPr>
                <w:rFonts w:ascii="Arial" w:hAnsi="Arial" w:cs="Arial"/>
                <w:sz w:val="20"/>
                <w:szCs w:val="20"/>
              </w:rPr>
              <w:t>ENATREL</w:t>
            </w:r>
            <w:r w:rsidR="00932341" w:rsidRPr="0027261A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BA02F7" w:rsidRPr="0027261A">
              <w:rPr>
                <w:rFonts w:ascii="Arial" w:hAnsi="Arial" w:cs="Arial"/>
                <w:sz w:val="20"/>
                <w:szCs w:val="20"/>
              </w:rPr>
              <w:t xml:space="preserve">#1 </w:t>
            </w:r>
            <w:r w:rsidR="00932341" w:rsidRPr="0027261A">
              <w:rPr>
                <w:rFonts w:ascii="Arial" w:hAnsi="Arial" w:cs="Arial"/>
                <w:sz w:val="20"/>
                <w:szCs w:val="20"/>
              </w:rPr>
              <w:t>meta)</w:t>
            </w:r>
          </w:p>
          <w:p w14:paraId="1682E198" w14:textId="77777777" w:rsidR="00932341" w:rsidRPr="0027261A" w:rsidRDefault="00932341" w:rsidP="00C34D7B">
            <w:pPr>
              <w:ind w:left="7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_tradnl"/>
              </w:rPr>
              <w:t>2015: ENATREL, ENEL</w:t>
            </w:r>
            <w:r w:rsidR="00AE5ECA" w:rsidRPr="0027261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(</w:t>
            </w:r>
            <w:r w:rsidR="00BA02F7" w:rsidRPr="0027261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#2 </w:t>
            </w:r>
            <w:r w:rsidR="00AE5ECA" w:rsidRPr="0027261A">
              <w:rPr>
                <w:rFonts w:ascii="Arial" w:hAnsi="Arial" w:cs="Arial"/>
                <w:sz w:val="20"/>
                <w:szCs w:val="20"/>
                <w:lang w:val="es-ES_tradnl"/>
              </w:rPr>
              <w:t>real)</w:t>
            </w:r>
          </w:p>
          <w:p w14:paraId="36154050" w14:textId="77777777" w:rsidR="007458F4" w:rsidRPr="0027261A" w:rsidRDefault="007458F4" w:rsidP="00536448">
            <w:pPr>
              <w:ind w:left="7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2016: </w:t>
            </w:r>
            <w:r w:rsidR="00175A80" w:rsidRPr="0027261A">
              <w:rPr>
                <w:rFonts w:ascii="Arial" w:hAnsi="Arial" w:cs="Arial"/>
                <w:sz w:val="20"/>
                <w:szCs w:val="20"/>
                <w:lang w:val="es-ES_tradnl"/>
              </w:rPr>
              <w:t>ENATREL, ENEL (</w:t>
            </w:r>
            <w:r w:rsidR="00BA02F7" w:rsidRPr="0027261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#2 </w:t>
            </w:r>
            <w:r w:rsidR="00175A80" w:rsidRPr="0027261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real)   </w:t>
            </w:r>
            <w:r w:rsidR="00932341" w:rsidRPr="0027261A">
              <w:rPr>
                <w:rFonts w:ascii="Arial" w:hAnsi="Arial" w:cs="Arial"/>
                <w:sz w:val="20"/>
                <w:szCs w:val="20"/>
              </w:rPr>
              <w:sym w:font="Wingdings" w:char="F0E0"/>
            </w:r>
            <w:r w:rsidR="00932341" w:rsidRPr="0027261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</w:t>
            </w:r>
            <w:r w:rsidRPr="0027261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ENATREL</w:t>
            </w:r>
            <w:r w:rsidR="00AE5ECA" w:rsidRPr="0027261A">
              <w:rPr>
                <w:rFonts w:ascii="Arial" w:hAnsi="Arial" w:cs="Arial"/>
                <w:sz w:val="20"/>
                <w:szCs w:val="20"/>
                <w:lang w:val="es-ES_tradnl"/>
              </w:rPr>
              <w:t>, ENEL</w:t>
            </w:r>
            <w:r w:rsidR="00932341" w:rsidRPr="0027261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(</w:t>
            </w:r>
            <w:r w:rsidR="00BA02F7" w:rsidRPr="0027261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#2 </w:t>
            </w:r>
            <w:r w:rsidR="00932341" w:rsidRPr="0027261A">
              <w:rPr>
                <w:rFonts w:ascii="Arial" w:hAnsi="Arial" w:cs="Arial"/>
                <w:sz w:val="20"/>
                <w:szCs w:val="20"/>
                <w:lang w:val="es-ES_tradnl"/>
              </w:rPr>
              <w:t>meta</w:t>
            </w:r>
            <w:r w:rsidR="00BA02F7" w:rsidRPr="0027261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2016 y años siguientes)</w:t>
            </w:r>
            <w:r w:rsidR="00932341" w:rsidRPr="0027261A">
              <w:rPr>
                <w:rFonts w:ascii="Arial" w:hAnsi="Arial" w:cs="Arial"/>
                <w:sz w:val="20"/>
                <w:szCs w:val="20"/>
                <w:lang w:val="es-ES_tradnl"/>
              </w:rPr>
              <w:t>)</w:t>
            </w:r>
          </w:p>
        </w:tc>
        <w:tc>
          <w:tcPr>
            <w:tcW w:w="3165" w:type="dxa"/>
          </w:tcPr>
          <w:p w14:paraId="68510A76" w14:textId="77777777" w:rsidR="007458F4" w:rsidRPr="0027261A" w:rsidRDefault="007458F4" w:rsidP="00C34D7B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Estados Financieros de ENEL y ENATREL</w:t>
            </w:r>
          </w:p>
        </w:tc>
      </w:tr>
      <w:tr w:rsidR="007458F4" w:rsidRPr="004E375E" w14:paraId="6D7F3D90" w14:textId="77777777" w:rsidTr="006309E9">
        <w:tc>
          <w:tcPr>
            <w:tcW w:w="2567" w:type="dxa"/>
            <w:vMerge/>
          </w:tcPr>
          <w:p w14:paraId="33186965" w14:textId="77777777" w:rsidR="007458F4" w:rsidRPr="0027261A" w:rsidRDefault="007458F4" w:rsidP="00C34D7B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256" w:type="dxa"/>
          </w:tcPr>
          <w:p w14:paraId="4A902474" w14:textId="77777777" w:rsidR="007458F4" w:rsidRPr="0027261A" w:rsidDel="00AE0AF4" w:rsidRDefault="00030145" w:rsidP="00C34D7B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Información de los indicadores financieros</w:t>
            </w:r>
          </w:p>
        </w:tc>
        <w:tc>
          <w:tcPr>
            <w:tcW w:w="7835" w:type="dxa"/>
          </w:tcPr>
          <w:p w14:paraId="16D34B0A" w14:textId="0FEC9747" w:rsidR="007458F4" w:rsidRPr="0027261A" w:rsidRDefault="00932341" w:rsidP="00C34D7B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(Índice de perdidas, Índice de cobro e Índice de recuperación de efectivo</w:t>
            </w:r>
            <w:r w:rsidR="00873FA5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publicados</w:t>
            </w:r>
            <w:r w:rsidR="007458F4" w:rsidRPr="0027261A">
              <w:rPr>
                <w:rFonts w:ascii="Arial" w:hAnsi="Arial" w:cs="Arial"/>
                <w:sz w:val="20"/>
                <w:szCs w:val="20"/>
                <w:lang w:val="es-ES"/>
              </w:rPr>
              <w:t>:</w:t>
            </w:r>
          </w:p>
          <w:p w14:paraId="42F26A64" w14:textId="77777777" w:rsidR="007458F4" w:rsidRPr="0027261A" w:rsidRDefault="007458F4" w:rsidP="00C34D7B">
            <w:pPr>
              <w:ind w:left="7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2012: 0   </w:t>
            </w:r>
          </w:p>
          <w:p w14:paraId="68E85B29" w14:textId="77777777" w:rsidR="00AE5ECA" w:rsidRPr="0027261A" w:rsidRDefault="007458F4" w:rsidP="00C34D7B">
            <w:pPr>
              <w:spacing w:line="276" w:lineRule="auto"/>
              <w:ind w:left="7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_tradnl"/>
              </w:rPr>
              <w:t>2014: 3</w:t>
            </w:r>
            <w:r w:rsidR="00932341" w:rsidRPr="0027261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(real)</w:t>
            </w:r>
            <w:r w:rsidRPr="0027261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 </w:t>
            </w:r>
            <w:r w:rsidR="00DD5C50" w:rsidRPr="0027261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 </w:t>
            </w:r>
            <w:r w:rsidR="00932341" w:rsidRPr="0027261A">
              <w:rPr>
                <w:rFonts w:ascii="Arial" w:hAnsi="Arial" w:cs="Arial"/>
                <w:sz w:val="20"/>
                <w:szCs w:val="20"/>
                <w:lang w:val="es-ES"/>
              </w:rPr>
              <w:sym w:font="Wingdings" w:char="F0E0"/>
            </w:r>
            <w:r w:rsidR="00DD5C50" w:rsidRPr="0027261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 </w:t>
            </w:r>
            <w:r w:rsidR="00932341" w:rsidRPr="0027261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 </w:t>
            </w:r>
            <w:r w:rsidR="00DD5C50" w:rsidRPr="0027261A">
              <w:rPr>
                <w:rFonts w:ascii="Arial" w:hAnsi="Arial" w:cs="Arial"/>
                <w:sz w:val="20"/>
                <w:szCs w:val="20"/>
                <w:lang w:val="es-ES_tradnl"/>
              </w:rPr>
              <w:t>3</w:t>
            </w:r>
            <w:r w:rsidR="00932341" w:rsidRPr="0027261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(meta)</w:t>
            </w:r>
          </w:p>
          <w:p w14:paraId="34FE361F" w14:textId="77777777" w:rsidR="007458F4" w:rsidRPr="0027261A" w:rsidRDefault="00AE5ECA" w:rsidP="00C34D7B">
            <w:pPr>
              <w:spacing w:line="276" w:lineRule="auto"/>
              <w:ind w:left="7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_tradnl"/>
              </w:rPr>
              <w:t>2015: 3 (real)</w:t>
            </w:r>
            <w:r w:rsidR="007458F4" w:rsidRPr="0027261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</w:p>
          <w:p w14:paraId="176F1144" w14:textId="77777777" w:rsidR="007458F4" w:rsidRPr="0027261A" w:rsidRDefault="007458F4" w:rsidP="00932341">
            <w:pPr>
              <w:ind w:left="7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2016: </w:t>
            </w:r>
            <w:r w:rsidR="00175A80" w:rsidRPr="0027261A">
              <w:rPr>
                <w:rFonts w:ascii="Arial" w:hAnsi="Arial" w:cs="Arial"/>
                <w:sz w:val="20"/>
                <w:szCs w:val="20"/>
                <w:lang w:val="es-ES_tradnl"/>
              </w:rPr>
              <w:t>3 (real)</w:t>
            </w:r>
            <w:r w:rsidR="00446702" w:rsidRPr="0027261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   </w:t>
            </w:r>
            <w:r w:rsidR="00932341" w:rsidRPr="0027261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="00932341" w:rsidRPr="0027261A">
              <w:rPr>
                <w:rFonts w:ascii="Arial" w:hAnsi="Arial" w:cs="Arial"/>
                <w:sz w:val="20"/>
                <w:szCs w:val="20"/>
                <w:lang w:val="es-ES"/>
              </w:rPr>
              <w:sym w:font="Wingdings" w:char="F0E0"/>
            </w:r>
            <w:r w:rsidR="00932341" w:rsidRPr="0027261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    </w:t>
            </w:r>
            <w:r w:rsidRPr="0027261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3 </w:t>
            </w:r>
            <w:r w:rsidR="00932341" w:rsidRPr="0027261A">
              <w:rPr>
                <w:rFonts w:ascii="Arial" w:hAnsi="Arial" w:cs="Arial"/>
                <w:sz w:val="20"/>
                <w:szCs w:val="20"/>
                <w:lang w:val="es-ES_tradnl"/>
              </w:rPr>
              <w:t>(meta</w:t>
            </w:r>
            <w:r w:rsidR="00873FA5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2016 y años siguientes</w:t>
            </w:r>
            <w:r w:rsidR="00932341" w:rsidRPr="0027261A">
              <w:rPr>
                <w:rFonts w:ascii="Arial" w:hAnsi="Arial" w:cs="Arial"/>
                <w:sz w:val="20"/>
                <w:szCs w:val="20"/>
                <w:lang w:val="es-ES_tradnl"/>
              </w:rPr>
              <w:t>)</w:t>
            </w:r>
            <w:r w:rsidRPr="0027261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</w:t>
            </w:r>
          </w:p>
        </w:tc>
        <w:tc>
          <w:tcPr>
            <w:tcW w:w="3165" w:type="dxa"/>
          </w:tcPr>
          <w:p w14:paraId="1AF6148E" w14:textId="77777777" w:rsidR="007458F4" w:rsidRPr="0027261A" w:rsidRDefault="007458F4" w:rsidP="00C34D7B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Índice de recuperación de efectivo (índice combinado), Índice de pérdidas, e Índice de cobro publicado por el INE según sea suministrado por DISNORTE y DISSUR</w:t>
            </w:r>
          </w:p>
        </w:tc>
      </w:tr>
      <w:tr w:rsidR="007458F4" w:rsidRPr="0027261A" w14:paraId="17A46EF1" w14:textId="77777777" w:rsidTr="006309E9">
        <w:tc>
          <w:tcPr>
            <w:tcW w:w="2567" w:type="dxa"/>
            <w:vMerge w:val="restart"/>
          </w:tcPr>
          <w:p w14:paraId="45699D12" w14:textId="77777777" w:rsidR="007458F4" w:rsidRPr="0027261A" w:rsidRDefault="007458F4" w:rsidP="00492D97">
            <w:pPr>
              <w:pStyle w:val="ListParagraph"/>
              <w:numPr>
                <w:ilvl w:val="0"/>
                <w:numId w:val="22"/>
              </w:numPr>
              <w:ind w:left="0" w:firstLine="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Matriz energética sostenible, fomento energías renovables, inversión privada y eficiencia energética: </w:t>
            </w: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Promover el uso de fuentes renovables, la generación distribuida, la participación privada en el sector eléctrico y la eficiencia energética, para alcanzar una matriz energética sostenible</w:t>
            </w:r>
          </w:p>
        </w:tc>
        <w:tc>
          <w:tcPr>
            <w:tcW w:w="1256" w:type="dxa"/>
          </w:tcPr>
          <w:p w14:paraId="7FBB9AC5" w14:textId="77777777" w:rsidR="007458F4" w:rsidRPr="0027261A" w:rsidRDefault="00D73D32" w:rsidP="009157C9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Nueva capacidad de generación renovable instalada en el SIN</w:t>
            </w:r>
          </w:p>
        </w:tc>
        <w:tc>
          <w:tcPr>
            <w:tcW w:w="7835" w:type="dxa"/>
          </w:tcPr>
          <w:p w14:paraId="5B2D7299" w14:textId="77777777" w:rsidR="007458F4" w:rsidRPr="0027261A" w:rsidRDefault="00D73D32" w:rsidP="009157C9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C</w:t>
            </w:r>
            <w:r w:rsidR="007458F4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apacidad </w:t>
            </w:r>
            <w:r w:rsidR="00A56AB8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adicional </w:t>
            </w:r>
            <w:r w:rsidR="007458F4" w:rsidRPr="0027261A">
              <w:rPr>
                <w:rFonts w:ascii="Arial" w:hAnsi="Arial" w:cs="Arial"/>
                <w:sz w:val="20"/>
                <w:szCs w:val="20"/>
                <w:lang w:val="es-ES"/>
              </w:rPr>
              <w:t>de generación renovable instalada en el SIN:</w:t>
            </w:r>
          </w:p>
          <w:p w14:paraId="79923B4F" w14:textId="77777777" w:rsidR="00DD5C50" w:rsidRPr="0027261A" w:rsidRDefault="007458F4" w:rsidP="00DD5C50">
            <w:pPr>
              <w:spacing w:line="276" w:lineRule="auto"/>
              <w:ind w:left="72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>2012:    0 MW</w:t>
            </w:r>
          </w:p>
          <w:p w14:paraId="79FA3CD5" w14:textId="77777777" w:rsidR="007458F4" w:rsidRPr="0027261A" w:rsidRDefault="007458F4" w:rsidP="00196F48">
            <w:pPr>
              <w:spacing w:line="276" w:lineRule="auto"/>
              <w:ind w:left="72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 2014:  </w:t>
            </w:r>
            <w:r w:rsidR="00932341"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54 MW (real)      </w:t>
            </w:r>
            <w:r w:rsidR="00932341" w:rsidRPr="0027261A">
              <w:rPr>
                <w:rFonts w:ascii="Arial" w:hAnsi="Arial" w:cs="Arial"/>
                <w:sz w:val="20"/>
                <w:szCs w:val="20"/>
                <w:lang w:val="es-ES_tradnl"/>
              </w:rPr>
              <w:sym w:font="Wingdings" w:char="F0E0"/>
            </w:r>
            <w:r w:rsidR="00932341"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      </w:t>
            </w: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>69 MW</w:t>
            </w:r>
            <w:r w:rsidR="00DD5C50"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 </w:t>
            </w:r>
            <w:r w:rsidR="00932341" w:rsidRPr="0027261A">
              <w:rPr>
                <w:rFonts w:ascii="Arial" w:hAnsi="Arial" w:cs="Arial"/>
                <w:sz w:val="20"/>
                <w:szCs w:val="20"/>
                <w:lang w:val="pt-BR"/>
              </w:rPr>
              <w:t>(</w:t>
            </w:r>
            <w:r w:rsidR="00DD5C50" w:rsidRPr="0027261A">
              <w:rPr>
                <w:rFonts w:ascii="Arial" w:hAnsi="Arial" w:cs="Arial"/>
                <w:sz w:val="20"/>
                <w:szCs w:val="20"/>
                <w:lang w:val="pt-BR"/>
              </w:rPr>
              <w:t>meta</w:t>
            </w:r>
            <w:r w:rsidR="00932341" w:rsidRPr="0027261A">
              <w:rPr>
                <w:rFonts w:ascii="Arial" w:hAnsi="Arial" w:cs="Arial"/>
                <w:sz w:val="20"/>
                <w:szCs w:val="20"/>
                <w:lang w:val="pt-BR"/>
              </w:rPr>
              <w:t>)</w:t>
            </w:r>
          </w:p>
          <w:p w14:paraId="0FFCB064" w14:textId="77777777" w:rsidR="007458F4" w:rsidRPr="0027261A" w:rsidRDefault="007458F4" w:rsidP="00D110F2">
            <w:pPr>
              <w:spacing w:after="200" w:line="276" w:lineRule="auto"/>
              <w:ind w:left="72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 2016:  </w:t>
            </w:r>
            <w:r w:rsidR="0016724D" w:rsidRPr="0027261A">
              <w:rPr>
                <w:rFonts w:ascii="Arial" w:hAnsi="Arial" w:cs="Arial"/>
                <w:sz w:val="20"/>
                <w:szCs w:val="20"/>
                <w:lang w:val="pt-BR"/>
              </w:rPr>
              <w:t>73 MW (real)</w:t>
            </w:r>
            <w:r w:rsidR="00E86D5F"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      </w:t>
            </w:r>
            <w:r w:rsidR="00932341" w:rsidRPr="0027261A">
              <w:rPr>
                <w:rFonts w:ascii="Arial" w:hAnsi="Arial" w:cs="Arial"/>
                <w:sz w:val="20"/>
                <w:szCs w:val="20"/>
              </w:rPr>
              <w:sym w:font="Wingdings" w:char="F0E0"/>
            </w:r>
            <w:r w:rsidR="00932341"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    </w:t>
            </w:r>
            <w:r w:rsidRPr="0027261A">
              <w:rPr>
                <w:rFonts w:ascii="Arial" w:hAnsi="Arial" w:cs="Arial"/>
                <w:sz w:val="20"/>
                <w:szCs w:val="20"/>
                <w:lang w:val="pt-BR"/>
              </w:rPr>
              <w:t xml:space="preserve">163 MW </w:t>
            </w:r>
            <w:r w:rsidR="00932341" w:rsidRPr="0027261A">
              <w:rPr>
                <w:rFonts w:ascii="Arial" w:hAnsi="Arial" w:cs="Arial"/>
                <w:sz w:val="20"/>
                <w:szCs w:val="20"/>
                <w:lang w:val="pt-BR"/>
              </w:rPr>
              <w:t>(meta</w:t>
            </w:r>
            <w:r w:rsidR="00CE6167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2016 redefinida a 2021</w:t>
            </w:r>
            <w:r w:rsidR="00932341" w:rsidRPr="0027261A">
              <w:rPr>
                <w:rFonts w:ascii="Arial" w:hAnsi="Arial" w:cs="Arial"/>
                <w:sz w:val="20"/>
                <w:szCs w:val="20"/>
                <w:lang w:val="pt-BR"/>
              </w:rPr>
              <w:t>)</w:t>
            </w:r>
            <w:r w:rsidR="00CE6167" w:rsidRPr="0027261A">
              <w:rPr>
                <w:rStyle w:val="FootnoteReference"/>
                <w:rFonts w:ascii="Arial" w:hAnsi="Arial" w:cs="Arial"/>
                <w:sz w:val="20"/>
                <w:szCs w:val="20"/>
                <w:lang w:val="pt-BR"/>
              </w:rPr>
              <w:footnoteReference w:id="19"/>
            </w:r>
          </w:p>
        </w:tc>
        <w:tc>
          <w:tcPr>
            <w:tcW w:w="3165" w:type="dxa"/>
          </w:tcPr>
          <w:p w14:paraId="7D8FDC3A" w14:textId="77777777" w:rsidR="007458F4" w:rsidRPr="0027261A" w:rsidRDefault="007458F4" w:rsidP="00C34D7B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Fuente </w:t>
            </w:r>
            <w:r w:rsidR="00E86D5F" w:rsidRPr="0027261A">
              <w:rPr>
                <w:rFonts w:ascii="Arial" w:hAnsi="Arial" w:cs="Arial"/>
                <w:sz w:val="20"/>
                <w:szCs w:val="20"/>
                <w:lang w:val="es-ES"/>
              </w:rPr>
              <w:t>INE</w:t>
            </w:r>
          </w:p>
          <w:p w14:paraId="13009017" w14:textId="77777777" w:rsidR="007458F4" w:rsidRPr="0027261A" w:rsidRDefault="007458F4" w:rsidP="00C34D7B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7458F4" w:rsidRPr="004E375E" w14:paraId="441B20F2" w14:textId="77777777" w:rsidTr="006309E9">
        <w:tc>
          <w:tcPr>
            <w:tcW w:w="2567" w:type="dxa"/>
            <w:vMerge/>
          </w:tcPr>
          <w:p w14:paraId="1A40C9F4" w14:textId="77777777" w:rsidR="007458F4" w:rsidRPr="0027261A" w:rsidRDefault="007458F4" w:rsidP="00C34D7B">
            <w:pPr>
              <w:spacing w:after="200" w:line="276" w:lineRule="auto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256" w:type="dxa"/>
          </w:tcPr>
          <w:p w14:paraId="4290442C" w14:textId="77777777" w:rsidR="007458F4" w:rsidRPr="0027261A" w:rsidRDefault="00B34F06" w:rsidP="00C34D7B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Reducción acumulado de consumo de energía eléctrica por los programas de eficiencia energética</w:t>
            </w:r>
          </w:p>
        </w:tc>
        <w:tc>
          <w:tcPr>
            <w:tcW w:w="7835" w:type="dxa"/>
          </w:tcPr>
          <w:p w14:paraId="33941E1B" w14:textId="02743C2A" w:rsidR="007458F4" w:rsidRPr="0027261A" w:rsidRDefault="00B34F06" w:rsidP="00C34D7B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E</w:t>
            </w:r>
            <w:r w:rsidR="007458F4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nergía eléctrica </w:t>
            </w: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no </w:t>
            </w:r>
            <w:r w:rsidR="00A56AB8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consumida </w:t>
            </w:r>
            <w:r w:rsidR="00C06688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como resultado de </w:t>
            </w:r>
            <w:r w:rsidR="007458F4" w:rsidRPr="0027261A">
              <w:rPr>
                <w:rFonts w:ascii="Arial" w:hAnsi="Arial" w:cs="Arial"/>
                <w:sz w:val="20"/>
                <w:szCs w:val="20"/>
                <w:lang w:val="es-ES"/>
              </w:rPr>
              <w:t>los programas de eficiencia energética</w:t>
            </w:r>
          </w:p>
          <w:p w14:paraId="5453CEA5" w14:textId="77777777" w:rsidR="007458F4" w:rsidRPr="0027261A" w:rsidRDefault="007458F4" w:rsidP="00C34D7B">
            <w:pPr>
              <w:ind w:left="7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2012:   0</w:t>
            </w:r>
          </w:p>
          <w:p w14:paraId="2E2B6BCE" w14:textId="77777777" w:rsidR="007458F4" w:rsidRPr="0027261A" w:rsidRDefault="007458F4" w:rsidP="00C34D7B">
            <w:pPr>
              <w:ind w:left="7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2014:   </w:t>
            </w:r>
            <w:r w:rsidR="00CA7285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0 (real)      </w:t>
            </w:r>
            <w:r w:rsidR="0016724D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         </w:t>
            </w:r>
            <w:r w:rsidR="00CA7285" w:rsidRPr="0027261A">
              <w:rPr>
                <w:rFonts w:ascii="Arial" w:hAnsi="Arial" w:cs="Arial"/>
                <w:sz w:val="20"/>
                <w:szCs w:val="20"/>
                <w:lang w:val="es-ES"/>
              </w:rPr>
              <w:sym w:font="Wingdings" w:char="F0E0"/>
            </w:r>
            <w:r w:rsidR="00CA7285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     </w:t>
            </w: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57.000 MWh</w:t>
            </w:r>
            <w:r w:rsidR="00CA7285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(meta)</w:t>
            </w:r>
          </w:p>
          <w:p w14:paraId="52D38BD6" w14:textId="77777777" w:rsidR="007458F4" w:rsidRPr="0027261A" w:rsidRDefault="007458F4" w:rsidP="00C34D7B">
            <w:pPr>
              <w:ind w:left="7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2016: </w:t>
            </w:r>
            <w:r w:rsidR="00CA7285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 </w:t>
            </w:r>
            <w:r w:rsidR="0016724D" w:rsidRPr="0027261A">
              <w:rPr>
                <w:rFonts w:ascii="Arial" w:hAnsi="Arial" w:cs="Arial"/>
                <w:sz w:val="20"/>
                <w:szCs w:val="20"/>
                <w:lang w:val="es-ES"/>
              </w:rPr>
              <w:t>101.000 (real)</w:t>
            </w:r>
            <w:r w:rsidR="00CA7285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    </w:t>
            </w:r>
            <w:r w:rsidR="00CA7285" w:rsidRPr="0027261A">
              <w:rPr>
                <w:rFonts w:ascii="Arial" w:hAnsi="Arial" w:cs="Arial"/>
                <w:sz w:val="20"/>
                <w:szCs w:val="20"/>
                <w:lang w:val="es-ES"/>
              </w:rPr>
              <w:sym w:font="Wingdings" w:char="F0E0"/>
            </w:r>
            <w:r w:rsidR="00CA7285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   </w:t>
            </w: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152.000 MWh </w:t>
            </w:r>
            <w:r w:rsidR="00CA7285" w:rsidRPr="0027261A">
              <w:rPr>
                <w:rFonts w:ascii="Arial" w:hAnsi="Arial" w:cs="Arial"/>
                <w:sz w:val="20"/>
                <w:szCs w:val="20"/>
                <w:lang w:val="es-ES"/>
              </w:rPr>
              <w:t>(meta</w:t>
            </w:r>
            <w:r w:rsidR="00CE6167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2016 redefinida a 20</w:t>
            </w:r>
            <w:r w:rsidR="00C06688" w:rsidRPr="0027261A">
              <w:rPr>
                <w:rFonts w:ascii="Arial" w:hAnsi="Arial" w:cs="Arial"/>
                <w:sz w:val="20"/>
                <w:szCs w:val="20"/>
                <w:lang w:val="es-ES"/>
              </w:rPr>
              <w:t>18</w:t>
            </w:r>
            <w:r w:rsidR="00CA7285" w:rsidRPr="0027261A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  <w:r w:rsidR="00ED0328" w:rsidRPr="0027261A">
              <w:rPr>
                <w:rStyle w:val="FootnoteReference"/>
                <w:rFonts w:ascii="Arial" w:hAnsi="Arial" w:cs="Arial"/>
                <w:sz w:val="20"/>
                <w:szCs w:val="20"/>
                <w:lang w:val="es-ES"/>
              </w:rPr>
              <w:footnoteReference w:id="20"/>
            </w: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3165" w:type="dxa"/>
          </w:tcPr>
          <w:p w14:paraId="108F01FC" w14:textId="77777777" w:rsidR="007458F4" w:rsidRPr="0027261A" w:rsidRDefault="007458F4" w:rsidP="00C34D7B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Reducción de consumo por proyectos de eficiencia energética</w:t>
            </w:r>
            <w:r w:rsidR="002A32C2" w:rsidRPr="0027261A">
              <w:rPr>
                <w:rStyle w:val="FootnoteReference"/>
                <w:rFonts w:ascii="Arial" w:hAnsi="Arial" w:cs="Arial"/>
                <w:sz w:val="20"/>
                <w:szCs w:val="20"/>
                <w:lang w:val="es-ES"/>
              </w:rPr>
              <w:footnoteReference w:id="21"/>
            </w: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, Fuente MEM</w:t>
            </w:r>
          </w:p>
          <w:p w14:paraId="4DF4D1A2" w14:textId="77777777" w:rsidR="007458F4" w:rsidRPr="0027261A" w:rsidRDefault="007458F4" w:rsidP="00C34D7B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7458F4" w:rsidRPr="004E375E" w14:paraId="36740661" w14:textId="77777777" w:rsidTr="006309E9">
        <w:tc>
          <w:tcPr>
            <w:tcW w:w="2567" w:type="dxa"/>
          </w:tcPr>
          <w:p w14:paraId="5FCBCFBC" w14:textId="77777777" w:rsidR="007458F4" w:rsidRPr="0027261A" w:rsidRDefault="007458F4" w:rsidP="00492D97">
            <w:pPr>
              <w:pStyle w:val="ListParagraph"/>
              <w:numPr>
                <w:ilvl w:val="0"/>
                <w:numId w:val="22"/>
              </w:numPr>
              <w:ind w:left="0" w:firstLine="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Impulso a la Integración regional del sector eléctrico: </w:t>
            </w: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Impulsar la integración eléctrica regional incrementando la participación del sector eléctrico nacional en el mercado eléctrico regional</w:t>
            </w:r>
          </w:p>
        </w:tc>
        <w:tc>
          <w:tcPr>
            <w:tcW w:w="1256" w:type="dxa"/>
          </w:tcPr>
          <w:p w14:paraId="28ED47C0" w14:textId="77777777" w:rsidR="007458F4" w:rsidRPr="0027261A" w:rsidRDefault="00B34F06" w:rsidP="00C34D7B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Incremento en los intercambios eléctricos de Nicaragua en el MER, importación y exportación de energía</w:t>
            </w:r>
          </w:p>
        </w:tc>
        <w:tc>
          <w:tcPr>
            <w:tcW w:w="7835" w:type="dxa"/>
          </w:tcPr>
          <w:p w14:paraId="31E64C2B" w14:textId="42F68F9F" w:rsidR="007458F4" w:rsidRPr="0027261A" w:rsidRDefault="00C06688" w:rsidP="00C34D7B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Importación y exportación de e</w:t>
            </w:r>
            <w:r w:rsidR="00B34F06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nergía </w:t>
            </w:r>
            <w:r w:rsidR="007458F4" w:rsidRPr="0027261A">
              <w:rPr>
                <w:rFonts w:ascii="Arial" w:hAnsi="Arial" w:cs="Arial"/>
                <w:sz w:val="20"/>
                <w:szCs w:val="20"/>
                <w:lang w:val="es-ES"/>
              </w:rPr>
              <w:t>intercambi</w:t>
            </w:r>
            <w:r w:rsidR="00B34F06" w:rsidRPr="0027261A">
              <w:rPr>
                <w:rFonts w:ascii="Arial" w:hAnsi="Arial" w:cs="Arial"/>
                <w:sz w:val="20"/>
                <w:szCs w:val="20"/>
                <w:lang w:val="es-ES"/>
              </w:rPr>
              <w:t>ada</w:t>
            </w:r>
            <w:r w:rsidR="007458F4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de</w:t>
            </w:r>
            <w:r w:rsidR="00B34F06" w:rsidRPr="0027261A">
              <w:rPr>
                <w:rFonts w:ascii="Arial" w:hAnsi="Arial" w:cs="Arial"/>
                <w:sz w:val="20"/>
                <w:szCs w:val="20"/>
                <w:lang w:val="es-ES"/>
              </w:rPr>
              <w:t>sde</w:t>
            </w:r>
            <w:r w:rsidR="007458F4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Nicaragua en el MER:</w:t>
            </w:r>
          </w:p>
          <w:p w14:paraId="6B04E908" w14:textId="77777777" w:rsidR="007458F4" w:rsidRPr="0027261A" w:rsidRDefault="007458F4" w:rsidP="00C34D7B">
            <w:pPr>
              <w:spacing w:line="276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27261A">
              <w:rPr>
                <w:rFonts w:ascii="Arial" w:hAnsi="Arial" w:cs="Arial"/>
                <w:sz w:val="20"/>
                <w:szCs w:val="20"/>
              </w:rPr>
              <w:t>2012: 23.211 MWh</w:t>
            </w:r>
            <w:r w:rsidR="003B6840" w:rsidRPr="0027261A">
              <w:rPr>
                <w:rFonts w:ascii="Arial" w:hAnsi="Arial" w:cs="Arial"/>
                <w:sz w:val="20"/>
                <w:szCs w:val="20"/>
              </w:rPr>
              <w:t xml:space="preserve"> (real)</w:t>
            </w:r>
          </w:p>
          <w:p w14:paraId="366CC8D3" w14:textId="77777777" w:rsidR="00DD5C50" w:rsidRPr="0027261A" w:rsidRDefault="00DD5C50" w:rsidP="00C34D7B">
            <w:pPr>
              <w:spacing w:line="276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27261A">
              <w:rPr>
                <w:rFonts w:ascii="Arial" w:hAnsi="Arial" w:cs="Arial"/>
                <w:sz w:val="20"/>
                <w:szCs w:val="20"/>
              </w:rPr>
              <w:t>2013: 68.201 MWh</w:t>
            </w:r>
            <w:r w:rsidR="003B6840" w:rsidRPr="0027261A">
              <w:rPr>
                <w:rFonts w:ascii="Arial" w:hAnsi="Arial" w:cs="Arial"/>
                <w:sz w:val="20"/>
                <w:szCs w:val="20"/>
              </w:rPr>
              <w:t xml:space="preserve"> (real)</w:t>
            </w:r>
          </w:p>
          <w:p w14:paraId="0661164E" w14:textId="77777777" w:rsidR="007458F4" w:rsidRPr="0027261A" w:rsidRDefault="007458F4" w:rsidP="00C34D7B">
            <w:pPr>
              <w:spacing w:line="276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27261A">
              <w:rPr>
                <w:rFonts w:ascii="Arial" w:hAnsi="Arial" w:cs="Arial"/>
                <w:sz w:val="20"/>
                <w:szCs w:val="20"/>
              </w:rPr>
              <w:t xml:space="preserve">2014: </w:t>
            </w:r>
            <w:r w:rsidR="003B6840" w:rsidRPr="0027261A">
              <w:rPr>
                <w:rFonts w:ascii="Arial" w:hAnsi="Arial" w:cs="Arial"/>
                <w:sz w:val="20"/>
                <w:szCs w:val="20"/>
              </w:rPr>
              <w:t xml:space="preserve">71.295 MWh (real)      </w:t>
            </w:r>
            <w:r w:rsidR="003B6840" w:rsidRPr="0027261A">
              <w:rPr>
                <w:rFonts w:ascii="Arial" w:hAnsi="Arial" w:cs="Arial"/>
                <w:sz w:val="20"/>
                <w:szCs w:val="20"/>
                <w:lang w:val="es-ES"/>
              </w:rPr>
              <w:sym w:font="Wingdings" w:char="F0E0"/>
            </w:r>
            <w:r w:rsidR="003B6840" w:rsidRPr="0027261A"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="006948D6" w:rsidRPr="0027261A">
              <w:rPr>
                <w:rFonts w:ascii="Arial" w:hAnsi="Arial" w:cs="Arial"/>
                <w:sz w:val="20"/>
                <w:szCs w:val="20"/>
              </w:rPr>
              <w:t>75</w:t>
            </w:r>
            <w:r w:rsidRPr="0027261A">
              <w:rPr>
                <w:rFonts w:ascii="Arial" w:hAnsi="Arial" w:cs="Arial"/>
                <w:sz w:val="20"/>
                <w:szCs w:val="20"/>
              </w:rPr>
              <w:t>.000 MWh</w:t>
            </w:r>
            <w:r w:rsidR="003B6840" w:rsidRPr="0027261A">
              <w:rPr>
                <w:rFonts w:ascii="Arial" w:hAnsi="Arial" w:cs="Arial"/>
                <w:sz w:val="20"/>
                <w:szCs w:val="20"/>
              </w:rPr>
              <w:t xml:space="preserve"> (meta)</w:t>
            </w:r>
          </w:p>
          <w:p w14:paraId="55A16508" w14:textId="77777777" w:rsidR="0016724D" w:rsidRPr="0027261A" w:rsidRDefault="0016724D" w:rsidP="00C34D7B">
            <w:pPr>
              <w:spacing w:line="276" w:lineRule="auto"/>
              <w:ind w:left="7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2015: </w:t>
            </w:r>
            <w:r w:rsidR="00697D7C" w:rsidRPr="0027261A">
              <w:rPr>
                <w:rFonts w:ascii="Arial" w:hAnsi="Arial" w:cs="Arial"/>
                <w:sz w:val="20"/>
                <w:szCs w:val="20"/>
                <w:lang w:val="es-ES_tradnl"/>
              </w:rPr>
              <w:t>55.049 MWh (real)</w:t>
            </w:r>
          </w:p>
          <w:p w14:paraId="2BADD4AD" w14:textId="77777777" w:rsidR="007458F4" w:rsidRPr="0027261A" w:rsidRDefault="007458F4" w:rsidP="006948D6">
            <w:pPr>
              <w:ind w:left="7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2016: </w:t>
            </w:r>
            <w:r w:rsidR="00697D7C" w:rsidRPr="0027261A">
              <w:rPr>
                <w:rFonts w:ascii="Arial" w:hAnsi="Arial" w:cs="Arial"/>
                <w:sz w:val="20"/>
                <w:szCs w:val="20"/>
                <w:lang w:val="es-ES_tradnl"/>
              </w:rPr>
              <w:t>222.689 MWh (real)</w:t>
            </w:r>
            <w:r w:rsidR="003B6840" w:rsidRPr="0027261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  </w:t>
            </w:r>
            <w:r w:rsidR="003B6840" w:rsidRPr="0027261A">
              <w:rPr>
                <w:rFonts w:ascii="Arial" w:hAnsi="Arial" w:cs="Arial"/>
                <w:sz w:val="20"/>
                <w:szCs w:val="20"/>
                <w:lang w:val="es-ES"/>
              </w:rPr>
              <w:sym w:font="Wingdings" w:char="F0E0"/>
            </w:r>
            <w:r w:rsidR="003B6840" w:rsidRPr="0027261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  </w:t>
            </w:r>
            <w:r w:rsidR="006948D6" w:rsidRPr="0027261A">
              <w:rPr>
                <w:rFonts w:ascii="Arial" w:hAnsi="Arial" w:cs="Arial"/>
                <w:sz w:val="20"/>
                <w:szCs w:val="20"/>
                <w:lang w:val="es-ES_tradnl"/>
              </w:rPr>
              <w:t>100</w:t>
            </w:r>
            <w:r w:rsidRPr="0027261A">
              <w:rPr>
                <w:rFonts w:ascii="Arial" w:hAnsi="Arial" w:cs="Arial"/>
                <w:sz w:val="20"/>
                <w:szCs w:val="20"/>
                <w:lang w:val="es-ES_tradnl"/>
              </w:rPr>
              <w:t>.000 MWh</w:t>
            </w:r>
            <w:r w:rsidR="003B6840" w:rsidRPr="0027261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(meta</w:t>
            </w:r>
            <w:r w:rsidR="00C06688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2016 y años siguientes</w:t>
            </w:r>
            <w:r w:rsidR="003B6840" w:rsidRPr="0027261A">
              <w:rPr>
                <w:rFonts w:ascii="Arial" w:hAnsi="Arial" w:cs="Arial"/>
                <w:sz w:val="20"/>
                <w:szCs w:val="20"/>
                <w:lang w:val="es-ES_tradnl"/>
              </w:rPr>
              <w:t>)</w:t>
            </w:r>
            <w:r w:rsidR="00ED0328" w:rsidRPr="0027261A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2"/>
            </w:r>
          </w:p>
        </w:tc>
        <w:tc>
          <w:tcPr>
            <w:tcW w:w="3165" w:type="dxa"/>
          </w:tcPr>
          <w:p w14:paraId="03001D63" w14:textId="77777777" w:rsidR="007458F4" w:rsidRPr="0027261A" w:rsidRDefault="007458F4" w:rsidP="00C34D7B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Niveles de energía comercializada a nivel del MER, Fuente INE</w:t>
            </w:r>
          </w:p>
        </w:tc>
      </w:tr>
    </w:tbl>
    <w:p w14:paraId="1C257F8D" w14:textId="77777777" w:rsidR="00670E7E" w:rsidRPr="0027261A" w:rsidRDefault="00670E7E" w:rsidP="003A1321">
      <w:pPr>
        <w:jc w:val="both"/>
        <w:rPr>
          <w:rFonts w:ascii="Arial" w:hAnsi="Arial" w:cs="Arial"/>
          <w:b/>
          <w:sz w:val="20"/>
          <w:szCs w:val="20"/>
          <w:lang w:val="es-ES_tradnl"/>
        </w:rPr>
      </w:pPr>
    </w:p>
    <w:p w14:paraId="659AF333" w14:textId="77777777" w:rsidR="002A6684" w:rsidRPr="0027261A" w:rsidRDefault="002A6684">
      <w:pPr>
        <w:rPr>
          <w:rFonts w:ascii="Arial" w:hAnsi="Arial" w:cs="Arial"/>
          <w:b/>
          <w:sz w:val="20"/>
          <w:szCs w:val="20"/>
          <w:lang w:val="es-ES_tradnl"/>
        </w:rPr>
      </w:pPr>
      <w:r w:rsidRPr="0027261A">
        <w:rPr>
          <w:rFonts w:ascii="Arial" w:hAnsi="Arial" w:cs="Arial"/>
          <w:b/>
          <w:sz w:val="20"/>
          <w:szCs w:val="20"/>
          <w:lang w:val="es-ES_tradnl"/>
        </w:rPr>
        <w:br w:type="page"/>
      </w:r>
    </w:p>
    <w:tbl>
      <w:tblPr>
        <w:tblStyle w:val="TableGrid"/>
        <w:tblW w:w="5200" w:type="pct"/>
        <w:tblCellMar>
          <w:top w:w="43" w:type="dxa"/>
          <w:left w:w="43" w:type="dxa"/>
          <w:bottom w:w="43" w:type="dxa"/>
          <w:right w:w="43" w:type="dxa"/>
        </w:tblCellMar>
        <w:tblLook w:val="04A0" w:firstRow="1" w:lastRow="0" w:firstColumn="1" w:lastColumn="0" w:noHBand="0" w:noVBand="1"/>
      </w:tblPr>
      <w:tblGrid>
        <w:gridCol w:w="2549"/>
        <w:gridCol w:w="7778"/>
        <w:gridCol w:w="3141"/>
      </w:tblGrid>
      <w:tr w:rsidR="002A6684" w:rsidRPr="0027261A" w14:paraId="7C589F9B" w14:textId="77777777" w:rsidTr="00FC66F1">
        <w:trPr>
          <w:tblHeader/>
        </w:trPr>
        <w:tc>
          <w:tcPr>
            <w:tcW w:w="2549" w:type="dxa"/>
            <w:shd w:val="clear" w:color="auto" w:fill="7F7F7F" w:themeFill="text1" w:themeFillTint="80"/>
          </w:tcPr>
          <w:p w14:paraId="0470E776" w14:textId="77777777" w:rsidR="002A6684" w:rsidRPr="0027261A" w:rsidRDefault="002A6684" w:rsidP="00E8258D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s-ES"/>
              </w:rPr>
              <w:t>Componente /</w:t>
            </w:r>
          </w:p>
          <w:p w14:paraId="7A6C5DF9" w14:textId="77777777" w:rsidR="002A6684" w:rsidRPr="0027261A" w:rsidRDefault="002A6684" w:rsidP="00E8258D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s-ES"/>
              </w:rPr>
              <w:t>Objetivos</w:t>
            </w:r>
          </w:p>
        </w:tc>
        <w:tc>
          <w:tcPr>
            <w:tcW w:w="7778" w:type="dxa"/>
            <w:shd w:val="clear" w:color="auto" w:fill="7F7F7F" w:themeFill="text1" w:themeFillTint="80"/>
          </w:tcPr>
          <w:p w14:paraId="2A5E1DEF" w14:textId="77777777" w:rsidR="002A6684" w:rsidRPr="0027261A" w:rsidRDefault="002A6684" w:rsidP="00E8258D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s-ES"/>
              </w:rPr>
              <w:t xml:space="preserve">Productos PBP </w:t>
            </w:r>
          </w:p>
          <w:p w14:paraId="77AF12B1" w14:textId="77777777" w:rsidR="002A6684" w:rsidRPr="0027261A" w:rsidRDefault="002A6684" w:rsidP="00E8258D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s-ES"/>
              </w:rPr>
              <w:t>Indicadores</w:t>
            </w:r>
          </w:p>
        </w:tc>
        <w:tc>
          <w:tcPr>
            <w:tcW w:w="3141" w:type="dxa"/>
            <w:shd w:val="clear" w:color="auto" w:fill="7F7F7F" w:themeFill="text1" w:themeFillTint="80"/>
          </w:tcPr>
          <w:p w14:paraId="126D0B56" w14:textId="77777777" w:rsidR="002A6684" w:rsidRPr="0027261A" w:rsidRDefault="002A6684" w:rsidP="00E8258D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s-ES"/>
              </w:rPr>
              <w:t>Forma de Medición</w:t>
            </w:r>
            <w:r w:rsidRPr="0027261A" w:rsidDel="0048548B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s-ES"/>
              </w:rPr>
              <w:t xml:space="preserve"> </w:t>
            </w:r>
          </w:p>
        </w:tc>
      </w:tr>
      <w:tr w:rsidR="002A6684" w:rsidRPr="004E375E" w14:paraId="3DB63847" w14:textId="77777777" w:rsidTr="00FC66F1">
        <w:tc>
          <w:tcPr>
            <w:tcW w:w="2549" w:type="dxa"/>
            <w:vMerge w:val="restart"/>
          </w:tcPr>
          <w:p w14:paraId="6EEFF471" w14:textId="77777777" w:rsidR="002A6684" w:rsidRPr="0027261A" w:rsidRDefault="002A6684" w:rsidP="002A6684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Sostenibilidad financiera, técnica y operativa del sector: </w:t>
            </w: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Adoptar  un programa de medidas para recuperar la sostenibilidad financiera, técnica, y operativa del sector eléctrico</w:t>
            </w:r>
          </w:p>
        </w:tc>
        <w:tc>
          <w:tcPr>
            <w:tcW w:w="7778" w:type="dxa"/>
          </w:tcPr>
          <w:p w14:paraId="06818C10" w14:textId="77777777" w:rsidR="002A6684" w:rsidRPr="0027261A" w:rsidRDefault="002A6684" w:rsidP="00E8258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_tradnl"/>
              </w:rPr>
              <w:t>Ley aprobada por la Asamblea Nacional (AN) para implementar acciones de ordenamiento y equilibrio del sector</w:t>
            </w: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14:paraId="32E702C7" w14:textId="77777777" w:rsidR="002A6684" w:rsidRPr="0027261A" w:rsidRDefault="002A6684" w:rsidP="00E8258D">
            <w:pPr>
              <w:ind w:left="7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2013: 1</w:t>
            </w:r>
          </w:p>
          <w:p w14:paraId="63625246" w14:textId="77777777" w:rsidR="00515044" w:rsidRPr="0027261A" w:rsidRDefault="00515044" w:rsidP="00E8258D">
            <w:pPr>
              <w:ind w:left="7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2014: </w:t>
            </w:r>
            <w:r w:rsidR="004C6D0C" w:rsidRPr="0027261A">
              <w:rPr>
                <w:rFonts w:ascii="Arial" w:hAnsi="Arial" w:cs="Arial"/>
                <w:sz w:val="20"/>
                <w:szCs w:val="20"/>
                <w:lang w:val="es-ES"/>
              </w:rPr>
              <w:t>0</w:t>
            </w:r>
          </w:p>
          <w:p w14:paraId="4DFB3A4B" w14:textId="77777777" w:rsidR="00515044" w:rsidRPr="0027261A" w:rsidRDefault="00515044" w:rsidP="00E8258D">
            <w:pPr>
              <w:ind w:left="7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2015: </w:t>
            </w:r>
            <w:r w:rsidR="004C6D0C" w:rsidRPr="0027261A">
              <w:rPr>
                <w:rFonts w:ascii="Arial" w:hAnsi="Arial" w:cs="Arial"/>
                <w:sz w:val="20"/>
                <w:szCs w:val="20"/>
                <w:lang w:val="es-ES"/>
              </w:rPr>
              <w:t>0</w:t>
            </w:r>
          </w:p>
          <w:p w14:paraId="39F83A8B" w14:textId="77777777" w:rsidR="00515044" w:rsidRPr="0027261A" w:rsidRDefault="00515044" w:rsidP="00E8258D">
            <w:pPr>
              <w:ind w:left="7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2016: </w:t>
            </w:r>
            <w:r w:rsidR="004C6D0C" w:rsidRPr="0027261A">
              <w:rPr>
                <w:rFonts w:ascii="Arial" w:hAnsi="Arial" w:cs="Arial"/>
                <w:sz w:val="20"/>
                <w:szCs w:val="20"/>
                <w:lang w:val="es-ES"/>
              </w:rPr>
              <w:t>0</w:t>
            </w:r>
          </w:p>
        </w:tc>
        <w:tc>
          <w:tcPr>
            <w:tcW w:w="3141" w:type="dxa"/>
          </w:tcPr>
          <w:p w14:paraId="02EAC489" w14:textId="77777777" w:rsidR="002A6684" w:rsidRPr="0027261A" w:rsidRDefault="002A6684" w:rsidP="00E8258D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Copia de La Gaceta en la que se publica la Ley No. 839 aprobada por la AN.  </w:t>
            </w:r>
          </w:p>
          <w:p w14:paraId="03826DAD" w14:textId="77777777" w:rsidR="002A6684" w:rsidRPr="0027261A" w:rsidRDefault="002A6684" w:rsidP="00E8258D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2A6684" w:rsidRPr="004E375E" w14:paraId="400BEA40" w14:textId="77777777" w:rsidTr="00FC66F1">
        <w:tc>
          <w:tcPr>
            <w:tcW w:w="2549" w:type="dxa"/>
            <w:vMerge/>
          </w:tcPr>
          <w:p w14:paraId="1299CFA2" w14:textId="77777777" w:rsidR="002A6684" w:rsidRPr="0027261A" w:rsidRDefault="002A6684" w:rsidP="00E8258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7778" w:type="dxa"/>
          </w:tcPr>
          <w:p w14:paraId="31BF27DC" w14:textId="77777777" w:rsidR="002A6684" w:rsidRPr="0027261A" w:rsidRDefault="002A6684" w:rsidP="00E8258D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_tradnl"/>
              </w:rPr>
              <w:t>Resoluciones de ajustes tarifarios aplicables a partir del 15 de abril de 2013:</w:t>
            </w:r>
          </w:p>
          <w:p w14:paraId="0D68EAA2" w14:textId="77777777" w:rsidR="002A6684" w:rsidRPr="0027261A" w:rsidRDefault="002A6684" w:rsidP="00E8258D">
            <w:pPr>
              <w:ind w:left="7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2013: 3</w:t>
            </w:r>
          </w:p>
          <w:p w14:paraId="0CFDF5D0" w14:textId="77777777" w:rsidR="002A6684" w:rsidRPr="0027261A" w:rsidRDefault="002A6684" w:rsidP="00E8258D">
            <w:pPr>
              <w:ind w:left="7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2014: </w:t>
            </w:r>
            <w:r w:rsidR="00FC66F1" w:rsidRPr="0027261A">
              <w:rPr>
                <w:rFonts w:ascii="Arial" w:hAnsi="Arial" w:cs="Arial"/>
                <w:sz w:val="20"/>
                <w:szCs w:val="20"/>
                <w:lang w:val="es-ES"/>
              </w:rPr>
              <w:t>2</w:t>
            </w:r>
          </w:p>
          <w:p w14:paraId="05CBDF71" w14:textId="77777777" w:rsidR="002A6684" w:rsidRPr="0027261A" w:rsidRDefault="002A6684" w:rsidP="00E8258D">
            <w:pPr>
              <w:ind w:left="7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2015: </w:t>
            </w:r>
            <w:r w:rsidR="00FC66F1" w:rsidRPr="0027261A">
              <w:rPr>
                <w:rFonts w:ascii="Arial" w:hAnsi="Arial" w:cs="Arial"/>
                <w:sz w:val="20"/>
                <w:szCs w:val="20"/>
                <w:lang w:val="es-ES"/>
              </w:rPr>
              <w:t>3</w:t>
            </w:r>
          </w:p>
          <w:p w14:paraId="7947B256" w14:textId="77777777" w:rsidR="002A6684" w:rsidRPr="0027261A" w:rsidRDefault="002A6684" w:rsidP="00E8258D">
            <w:pPr>
              <w:ind w:left="7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2016: </w:t>
            </w:r>
            <w:r w:rsidR="00FC66F1" w:rsidRPr="0027261A">
              <w:rPr>
                <w:rFonts w:ascii="Arial" w:hAnsi="Arial" w:cs="Arial"/>
                <w:sz w:val="20"/>
                <w:szCs w:val="20"/>
                <w:lang w:val="es-ES"/>
              </w:rPr>
              <w:t>1</w:t>
            </w:r>
          </w:p>
        </w:tc>
        <w:tc>
          <w:tcPr>
            <w:tcW w:w="3141" w:type="dxa"/>
          </w:tcPr>
          <w:p w14:paraId="4E918799" w14:textId="77777777" w:rsidR="002A6684" w:rsidRPr="0027261A" w:rsidRDefault="002A6684" w:rsidP="00E8258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Link al sitio web del INE donde se han publicado las </w:t>
            </w:r>
            <w:r w:rsidRPr="0027261A">
              <w:rPr>
                <w:rFonts w:ascii="Arial" w:hAnsi="Arial" w:cs="Arial"/>
                <w:sz w:val="20"/>
                <w:szCs w:val="20"/>
                <w:lang w:val="es-MX"/>
              </w:rPr>
              <w:t xml:space="preserve">Resoluciones </w:t>
            </w:r>
          </w:p>
        </w:tc>
      </w:tr>
      <w:tr w:rsidR="002A6684" w:rsidRPr="004E375E" w14:paraId="3B385CCB" w14:textId="77777777" w:rsidTr="00FC66F1">
        <w:tc>
          <w:tcPr>
            <w:tcW w:w="2549" w:type="dxa"/>
            <w:vMerge w:val="restart"/>
          </w:tcPr>
          <w:p w14:paraId="242661C8" w14:textId="77777777" w:rsidR="002A6684" w:rsidRPr="0027261A" w:rsidRDefault="002A6684" w:rsidP="002A6684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Transparencia de resultados en la gestión del sector:</w:t>
            </w:r>
            <w:r w:rsidRPr="0027261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Establecer mecanismos que mejoren la visibilidad de resultados de las empresas públicas y concesionarias en el sector</w:t>
            </w:r>
          </w:p>
        </w:tc>
        <w:tc>
          <w:tcPr>
            <w:tcW w:w="7778" w:type="dxa"/>
          </w:tcPr>
          <w:p w14:paraId="6F8208E6" w14:textId="77777777" w:rsidR="002A6684" w:rsidRPr="0027261A" w:rsidRDefault="002A6684" w:rsidP="00E8258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Publicación de </w:t>
            </w:r>
            <w:r w:rsidRPr="0027261A">
              <w:rPr>
                <w:rFonts w:ascii="Arial" w:hAnsi="Arial" w:cs="Arial"/>
                <w:sz w:val="20"/>
                <w:szCs w:val="20"/>
                <w:lang w:val="es-ES_tradnl"/>
              </w:rPr>
              <w:t>los términos del financiamiento de la tarifa eléctrica para el periodo desde abril de 2013 hasta marzo de 2014</w:t>
            </w: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:</w:t>
            </w:r>
          </w:p>
          <w:p w14:paraId="6A9C5830" w14:textId="77777777" w:rsidR="002A6684" w:rsidRPr="0027261A" w:rsidRDefault="002A6684" w:rsidP="00E8258D">
            <w:pPr>
              <w:ind w:left="7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2013: 1</w:t>
            </w:r>
          </w:p>
          <w:p w14:paraId="0AF0145D" w14:textId="77777777" w:rsidR="002A6684" w:rsidRPr="0027261A" w:rsidRDefault="002A6684" w:rsidP="00E8258D">
            <w:pPr>
              <w:ind w:left="7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2014: 1</w:t>
            </w:r>
          </w:p>
          <w:p w14:paraId="3749EEFB" w14:textId="77777777" w:rsidR="002A6684" w:rsidRPr="0027261A" w:rsidRDefault="002A6684" w:rsidP="00E8258D">
            <w:pPr>
              <w:ind w:left="7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2015: 1</w:t>
            </w:r>
          </w:p>
          <w:p w14:paraId="2A61D9B1" w14:textId="77777777" w:rsidR="002A6684" w:rsidRPr="0027261A" w:rsidRDefault="002A6684" w:rsidP="00E8258D">
            <w:pPr>
              <w:ind w:left="7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2016: 1   </w:t>
            </w:r>
          </w:p>
        </w:tc>
        <w:tc>
          <w:tcPr>
            <w:tcW w:w="3141" w:type="dxa"/>
          </w:tcPr>
          <w:p w14:paraId="06E93239" w14:textId="77777777" w:rsidR="002A6684" w:rsidRPr="0027261A" w:rsidRDefault="002A6684" w:rsidP="00E8258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_tradnl"/>
              </w:rPr>
              <w:t>Link al sitio web del INE donde se han publicado</w:t>
            </w:r>
          </w:p>
        </w:tc>
      </w:tr>
      <w:tr w:rsidR="002A6684" w:rsidRPr="004E375E" w14:paraId="7F00C39E" w14:textId="77777777" w:rsidTr="00FC66F1">
        <w:tc>
          <w:tcPr>
            <w:tcW w:w="2549" w:type="dxa"/>
            <w:vMerge/>
          </w:tcPr>
          <w:p w14:paraId="7C4CB866" w14:textId="77777777" w:rsidR="002A6684" w:rsidRPr="0027261A" w:rsidRDefault="002A6684" w:rsidP="00E8258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7778" w:type="dxa"/>
          </w:tcPr>
          <w:p w14:paraId="264B2D66" w14:textId="77777777" w:rsidR="002A6684" w:rsidRPr="0027261A" w:rsidRDefault="002A6684" w:rsidP="00E8258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Publicación de Estados Financieros de las empresas del sector:</w:t>
            </w:r>
          </w:p>
          <w:p w14:paraId="2D195DC6" w14:textId="77777777" w:rsidR="002A6684" w:rsidRPr="0027261A" w:rsidRDefault="002A6684" w:rsidP="00E8258D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 w:rsidRPr="0027261A">
              <w:rPr>
                <w:rFonts w:ascii="Arial" w:hAnsi="Arial" w:cs="Arial"/>
                <w:sz w:val="20"/>
                <w:szCs w:val="20"/>
              </w:rPr>
              <w:t>2013: 1 (ENATREL)</w:t>
            </w:r>
          </w:p>
          <w:p w14:paraId="412F45DA" w14:textId="77777777" w:rsidR="002A6684" w:rsidRPr="0027261A" w:rsidRDefault="002A6684" w:rsidP="00E8258D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 w:rsidRPr="0027261A">
              <w:rPr>
                <w:rFonts w:ascii="Arial" w:hAnsi="Arial" w:cs="Arial"/>
                <w:sz w:val="20"/>
                <w:szCs w:val="20"/>
              </w:rPr>
              <w:t>2014: 1 (ENATREL)</w:t>
            </w:r>
          </w:p>
          <w:p w14:paraId="4D979CA1" w14:textId="77777777" w:rsidR="002A6684" w:rsidRPr="0027261A" w:rsidRDefault="002A6684" w:rsidP="00E8258D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 w:rsidRPr="0027261A">
              <w:rPr>
                <w:rFonts w:ascii="Arial" w:hAnsi="Arial" w:cs="Arial"/>
                <w:sz w:val="20"/>
                <w:szCs w:val="20"/>
              </w:rPr>
              <w:t>2015: 2 (ENATREL y ENEL)</w:t>
            </w:r>
          </w:p>
          <w:p w14:paraId="4C609D8F" w14:textId="77777777" w:rsidR="002A6684" w:rsidRPr="0027261A" w:rsidRDefault="002A6684" w:rsidP="00E8258D">
            <w:pPr>
              <w:ind w:left="7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2016: 2 (ENATREL y ENEL)</w:t>
            </w:r>
          </w:p>
        </w:tc>
        <w:tc>
          <w:tcPr>
            <w:tcW w:w="3141" w:type="dxa"/>
          </w:tcPr>
          <w:p w14:paraId="31896552" w14:textId="77777777" w:rsidR="002A6684" w:rsidRPr="0027261A" w:rsidRDefault="002A6684" w:rsidP="00E8258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Estados Financieros de ENATREL</w:t>
            </w:r>
            <w:r w:rsidR="00515044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y ENEL</w:t>
            </w: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publicados</w:t>
            </w:r>
          </w:p>
        </w:tc>
      </w:tr>
      <w:tr w:rsidR="002A6684" w:rsidRPr="004E375E" w14:paraId="4CA651BA" w14:textId="77777777" w:rsidTr="00FC66F1">
        <w:tc>
          <w:tcPr>
            <w:tcW w:w="2549" w:type="dxa"/>
            <w:vMerge/>
          </w:tcPr>
          <w:p w14:paraId="5B5D7384" w14:textId="77777777" w:rsidR="002A6684" w:rsidRPr="0027261A" w:rsidRDefault="002A6684" w:rsidP="00E8258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7778" w:type="dxa"/>
          </w:tcPr>
          <w:p w14:paraId="2B25772E" w14:textId="77777777" w:rsidR="002A6684" w:rsidRPr="0027261A" w:rsidRDefault="002A6684" w:rsidP="00E8258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Publicación de </w:t>
            </w:r>
            <w:r w:rsidRPr="0027261A">
              <w:rPr>
                <w:rFonts w:ascii="Arial" w:hAnsi="Arial" w:cs="Arial"/>
                <w:sz w:val="20"/>
                <w:szCs w:val="20"/>
                <w:lang w:val="es-ES_tradnl"/>
              </w:rPr>
              <w:t>los desvíos de costos mayoristas</w:t>
            </w: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:</w:t>
            </w:r>
          </w:p>
          <w:p w14:paraId="5759EC96" w14:textId="77777777" w:rsidR="00992FE0" w:rsidRPr="0027261A" w:rsidRDefault="002A6684" w:rsidP="00E8258D">
            <w:pPr>
              <w:ind w:left="7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2013: 1</w:t>
            </w:r>
          </w:p>
          <w:p w14:paraId="2FD61E45" w14:textId="77777777" w:rsidR="00992FE0" w:rsidRPr="0027261A" w:rsidRDefault="00992FE0" w:rsidP="00E8258D">
            <w:pPr>
              <w:ind w:left="7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2014: 1</w:t>
            </w:r>
          </w:p>
          <w:p w14:paraId="4454067F" w14:textId="77777777" w:rsidR="00992FE0" w:rsidRPr="0027261A" w:rsidRDefault="00992FE0" w:rsidP="00E8258D">
            <w:pPr>
              <w:ind w:left="7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2015: 1</w:t>
            </w:r>
          </w:p>
          <w:p w14:paraId="668A1046" w14:textId="77777777" w:rsidR="002A6684" w:rsidRPr="0027261A" w:rsidRDefault="00992FE0" w:rsidP="00E8258D">
            <w:pPr>
              <w:ind w:left="7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2016: 1</w:t>
            </w:r>
            <w:r w:rsidR="002A6684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  </w:t>
            </w:r>
          </w:p>
        </w:tc>
        <w:tc>
          <w:tcPr>
            <w:tcW w:w="3141" w:type="dxa"/>
          </w:tcPr>
          <w:p w14:paraId="599F3AF9" w14:textId="77777777" w:rsidR="002A6684" w:rsidRPr="0027261A" w:rsidRDefault="002A6684" w:rsidP="00E8258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_tradnl"/>
              </w:rPr>
              <w:t>Link al sitio web del INE donde se han publicado</w:t>
            </w:r>
          </w:p>
        </w:tc>
      </w:tr>
      <w:tr w:rsidR="00BE44E4" w:rsidRPr="004E375E" w14:paraId="1AE955C1" w14:textId="77777777" w:rsidTr="00FC66F1">
        <w:tc>
          <w:tcPr>
            <w:tcW w:w="2549" w:type="dxa"/>
            <w:vMerge w:val="restart"/>
          </w:tcPr>
          <w:p w14:paraId="239A1C4C" w14:textId="77777777" w:rsidR="00BE44E4" w:rsidRPr="0027261A" w:rsidRDefault="00BE44E4" w:rsidP="00BE44E4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Matriz energética sostenible, fomento energías renovables, inversión privada y eficiencia energética: </w:t>
            </w: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Promover el uso de fuentes renovables, la generación distribuida,  la participación privada en el sector eléctrico y la eficiencia energética, para alcanzar una matriz energética sostenible</w:t>
            </w:r>
          </w:p>
        </w:tc>
        <w:tc>
          <w:tcPr>
            <w:tcW w:w="7778" w:type="dxa"/>
          </w:tcPr>
          <w:p w14:paraId="6A3C4D46" w14:textId="77777777" w:rsidR="00BE44E4" w:rsidRPr="0027261A" w:rsidRDefault="00BE44E4" w:rsidP="00BE44E4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_tradnl"/>
              </w:rPr>
              <w:t>Plan Indicativo de Expansión de la Generación</w:t>
            </w: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:</w:t>
            </w:r>
          </w:p>
          <w:p w14:paraId="266D6314" w14:textId="77777777" w:rsidR="00BE44E4" w:rsidRPr="0027261A" w:rsidRDefault="00BE44E4" w:rsidP="00BE44E4">
            <w:pPr>
              <w:ind w:left="7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2013: 1</w:t>
            </w:r>
          </w:p>
          <w:p w14:paraId="4D7EB847" w14:textId="77777777" w:rsidR="00BE44E4" w:rsidRPr="0027261A" w:rsidRDefault="00BE44E4" w:rsidP="00BE44E4">
            <w:pPr>
              <w:ind w:left="7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2014: 0</w:t>
            </w:r>
          </w:p>
          <w:p w14:paraId="1170569C" w14:textId="77777777" w:rsidR="00BE44E4" w:rsidRPr="0027261A" w:rsidRDefault="00BE44E4" w:rsidP="00BE44E4">
            <w:pPr>
              <w:ind w:left="7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2015: 0</w:t>
            </w:r>
          </w:p>
          <w:p w14:paraId="1DB757D8" w14:textId="77777777" w:rsidR="00BE44E4" w:rsidRPr="0027261A" w:rsidRDefault="00BE44E4" w:rsidP="00BE44E4">
            <w:pPr>
              <w:ind w:left="7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2016: 1   </w:t>
            </w:r>
          </w:p>
        </w:tc>
        <w:tc>
          <w:tcPr>
            <w:tcW w:w="3141" w:type="dxa"/>
          </w:tcPr>
          <w:p w14:paraId="1DB1C3A6" w14:textId="77777777" w:rsidR="00BE44E4" w:rsidRPr="0027261A" w:rsidRDefault="00BE44E4" w:rsidP="00BE44E4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_tradnl"/>
              </w:rPr>
              <w:t>Copia del Plan emitido por el MEM</w:t>
            </w:r>
          </w:p>
          <w:p w14:paraId="47AB8A66" w14:textId="77777777" w:rsidR="00BE44E4" w:rsidRPr="0027261A" w:rsidRDefault="00BE44E4" w:rsidP="00BE44E4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BE44E4" w:rsidRPr="004E375E" w14:paraId="26E8CB18" w14:textId="77777777" w:rsidTr="00FC66F1">
        <w:tc>
          <w:tcPr>
            <w:tcW w:w="2549" w:type="dxa"/>
            <w:vMerge/>
          </w:tcPr>
          <w:p w14:paraId="048B99C5" w14:textId="77777777" w:rsidR="00BE44E4" w:rsidRPr="0027261A" w:rsidRDefault="00BE44E4" w:rsidP="00BE44E4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7778" w:type="dxa"/>
          </w:tcPr>
          <w:p w14:paraId="7A96C712" w14:textId="77777777" w:rsidR="00BE44E4" w:rsidRPr="0027261A" w:rsidRDefault="00BE44E4" w:rsidP="00BE44E4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_tradnl"/>
              </w:rPr>
              <w:t>Estudio de seguridad operativa que evalúe el efecto de nuevas incorporaciones de generación con energía renovable en el Sistema Interconectado Nacional</w:t>
            </w: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:</w:t>
            </w:r>
          </w:p>
          <w:p w14:paraId="055FF9B3" w14:textId="77777777" w:rsidR="00BE44E4" w:rsidRPr="0027261A" w:rsidRDefault="00BE44E4" w:rsidP="00BE44E4">
            <w:pPr>
              <w:ind w:left="7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2015: </w:t>
            </w:r>
            <w:r w:rsidR="0004318A" w:rsidRPr="0027261A">
              <w:rPr>
                <w:rFonts w:ascii="Arial" w:hAnsi="Arial" w:cs="Arial"/>
                <w:sz w:val="20"/>
                <w:szCs w:val="20"/>
                <w:lang w:val="es-ES"/>
              </w:rPr>
              <w:t>1</w:t>
            </w:r>
          </w:p>
          <w:p w14:paraId="4DFAFAC1" w14:textId="77777777" w:rsidR="00BE44E4" w:rsidRPr="0027261A" w:rsidRDefault="00BE44E4" w:rsidP="00BE44E4">
            <w:pPr>
              <w:ind w:left="7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2016: 1   </w:t>
            </w:r>
          </w:p>
        </w:tc>
        <w:tc>
          <w:tcPr>
            <w:tcW w:w="3141" w:type="dxa"/>
          </w:tcPr>
          <w:p w14:paraId="307296D4" w14:textId="77777777" w:rsidR="00BE44E4" w:rsidRPr="0027261A" w:rsidRDefault="00BE44E4" w:rsidP="00BE44E4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_tradnl"/>
              </w:rPr>
              <w:t>Copia del Estudio producido por el CNDC</w:t>
            </w:r>
          </w:p>
          <w:p w14:paraId="37111F41" w14:textId="77777777" w:rsidR="00BE44E4" w:rsidRPr="0027261A" w:rsidRDefault="00BE44E4" w:rsidP="00BE44E4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BE44E4" w:rsidRPr="0027261A" w14:paraId="18E66BB0" w14:textId="77777777" w:rsidTr="00FC66F1">
        <w:tc>
          <w:tcPr>
            <w:tcW w:w="2549" w:type="dxa"/>
            <w:vMerge/>
          </w:tcPr>
          <w:p w14:paraId="4BC42053" w14:textId="77777777" w:rsidR="00BE44E4" w:rsidRPr="0027261A" w:rsidRDefault="00BE44E4" w:rsidP="00BE44E4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7778" w:type="dxa"/>
          </w:tcPr>
          <w:p w14:paraId="3E18EA5E" w14:textId="77777777" w:rsidR="00BE44E4" w:rsidRPr="0027261A" w:rsidRDefault="00BE44E4" w:rsidP="00BE44E4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Agencias de gobierno beneficiadas con la capacitación para seguridad operativa y planificación de expansión de sistemas eléctricos:</w:t>
            </w:r>
          </w:p>
          <w:p w14:paraId="5CE3E64C" w14:textId="77777777" w:rsidR="00BE44E4" w:rsidRPr="0027261A" w:rsidRDefault="00BE44E4" w:rsidP="00BE44E4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 w:rsidRPr="0027261A">
              <w:rPr>
                <w:rFonts w:ascii="Arial" w:hAnsi="Arial" w:cs="Arial"/>
                <w:sz w:val="20"/>
                <w:szCs w:val="20"/>
              </w:rPr>
              <w:t>201</w:t>
            </w:r>
            <w:r w:rsidR="0004318A" w:rsidRPr="0027261A">
              <w:rPr>
                <w:rFonts w:ascii="Arial" w:hAnsi="Arial" w:cs="Arial"/>
                <w:sz w:val="20"/>
                <w:szCs w:val="20"/>
              </w:rPr>
              <w:t>5</w:t>
            </w:r>
            <w:r w:rsidRPr="0027261A">
              <w:rPr>
                <w:rFonts w:ascii="Arial" w:hAnsi="Arial" w:cs="Arial"/>
                <w:sz w:val="20"/>
                <w:szCs w:val="20"/>
              </w:rPr>
              <w:t>: 3 (CNDC, ENATREL, MEM)</w:t>
            </w:r>
          </w:p>
          <w:p w14:paraId="2E06DCC2" w14:textId="77777777" w:rsidR="00490B99" w:rsidRPr="0027261A" w:rsidRDefault="00BE44E4" w:rsidP="00BE44E4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 w:rsidRPr="0027261A">
              <w:rPr>
                <w:rFonts w:ascii="Arial" w:hAnsi="Arial" w:cs="Arial"/>
                <w:sz w:val="20"/>
                <w:szCs w:val="20"/>
              </w:rPr>
              <w:t xml:space="preserve">2016: </w:t>
            </w:r>
            <w:r w:rsidR="00490B99" w:rsidRPr="0027261A">
              <w:rPr>
                <w:rFonts w:ascii="Arial" w:hAnsi="Arial" w:cs="Arial"/>
                <w:sz w:val="20"/>
                <w:szCs w:val="20"/>
              </w:rPr>
              <w:t>0</w:t>
            </w:r>
          </w:p>
          <w:p w14:paraId="584FCE93" w14:textId="77777777" w:rsidR="00BE44E4" w:rsidRPr="0027261A" w:rsidRDefault="00490B99" w:rsidP="00BE44E4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 w:rsidRPr="0027261A">
              <w:rPr>
                <w:rFonts w:ascii="Arial" w:hAnsi="Arial" w:cs="Arial"/>
                <w:sz w:val="20"/>
                <w:szCs w:val="20"/>
              </w:rPr>
              <w:t xml:space="preserve">2017: </w:t>
            </w:r>
            <w:r w:rsidR="00BE44E4" w:rsidRPr="0027261A">
              <w:rPr>
                <w:rFonts w:ascii="Arial" w:hAnsi="Arial" w:cs="Arial"/>
                <w:sz w:val="20"/>
                <w:szCs w:val="20"/>
              </w:rPr>
              <w:t>3 (CNDC, ENATREL, MEM)</w:t>
            </w:r>
          </w:p>
        </w:tc>
        <w:tc>
          <w:tcPr>
            <w:tcW w:w="3141" w:type="dxa"/>
          </w:tcPr>
          <w:p w14:paraId="08B4BDEA" w14:textId="77777777" w:rsidR="00BE44E4" w:rsidRPr="0027261A" w:rsidRDefault="00BE44E4" w:rsidP="00BE44E4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Talleres de capacitación</w:t>
            </w:r>
          </w:p>
        </w:tc>
      </w:tr>
      <w:tr w:rsidR="00BE44E4" w:rsidRPr="004E375E" w14:paraId="3FC81B0C" w14:textId="77777777" w:rsidTr="00FC66F1">
        <w:tc>
          <w:tcPr>
            <w:tcW w:w="2549" w:type="dxa"/>
            <w:vMerge/>
          </w:tcPr>
          <w:p w14:paraId="5ABE02D2" w14:textId="77777777" w:rsidR="00BE44E4" w:rsidRPr="0027261A" w:rsidRDefault="00BE44E4" w:rsidP="00BE44E4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7778" w:type="dxa"/>
          </w:tcPr>
          <w:p w14:paraId="467F21DB" w14:textId="77777777" w:rsidR="00BE44E4" w:rsidRPr="0027261A" w:rsidRDefault="00BE44E4" w:rsidP="00BE44E4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Ley de reforma a la Ley de la Industria Eléctrica, para incorporación de generación eléctrica distribuida:</w:t>
            </w:r>
          </w:p>
          <w:p w14:paraId="1642BA29" w14:textId="77777777" w:rsidR="00BE44E4" w:rsidRPr="0027261A" w:rsidRDefault="00BE44E4" w:rsidP="00BE44E4">
            <w:pPr>
              <w:ind w:left="7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201</w:t>
            </w:r>
            <w:r w:rsidR="00462469" w:rsidRPr="0027261A">
              <w:rPr>
                <w:rFonts w:ascii="Arial" w:hAnsi="Arial" w:cs="Arial"/>
                <w:sz w:val="20"/>
                <w:szCs w:val="20"/>
                <w:lang w:val="es-ES"/>
              </w:rPr>
              <w:t>7</w:t>
            </w: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: </w:t>
            </w:r>
            <w:r w:rsidR="00462469" w:rsidRPr="0027261A">
              <w:rPr>
                <w:rFonts w:ascii="Arial" w:hAnsi="Arial" w:cs="Arial"/>
                <w:sz w:val="20"/>
                <w:szCs w:val="20"/>
                <w:lang w:val="es-ES"/>
              </w:rPr>
              <w:t>1</w:t>
            </w: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3141" w:type="dxa"/>
          </w:tcPr>
          <w:p w14:paraId="18EC6414" w14:textId="77777777" w:rsidR="00BE44E4" w:rsidRPr="0027261A" w:rsidRDefault="00A157C9" w:rsidP="00BE44E4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_tradnl"/>
              </w:rPr>
              <w:t>Copia de La Gaceta que incluye la Ley</w:t>
            </w:r>
            <w:r w:rsidR="00E96D4A" w:rsidRPr="0027261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No. 951, Ley de reforma a la Ley No. 272</w:t>
            </w:r>
          </w:p>
        </w:tc>
      </w:tr>
      <w:tr w:rsidR="00BE44E4" w:rsidRPr="004E375E" w14:paraId="45E28E8C" w14:textId="77777777" w:rsidTr="00FC66F1">
        <w:tc>
          <w:tcPr>
            <w:tcW w:w="2549" w:type="dxa"/>
            <w:vMerge/>
          </w:tcPr>
          <w:p w14:paraId="7AC275A5" w14:textId="77777777" w:rsidR="00BE44E4" w:rsidRPr="0027261A" w:rsidRDefault="00BE44E4" w:rsidP="00BE44E4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7778" w:type="dxa"/>
          </w:tcPr>
          <w:p w14:paraId="1128366D" w14:textId="77777777" w:rsidR="00BE44E4" w:rsidRPr="0027261A" w:rsidRDefault="00BE44E4" w:rsidP="00BE44E4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_tradnl"/>
              </w:rPr>
              <w:t>Ley de Eficiencia Energética</w:t>
            </w: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:</w:t>
            </w:r>
          </w:p>
          <w:p w14:paraId="4EBCB443" w14:textId="77777777" w:rsidR="00BE44E4" w:rsidRPr="0027261A" w:rsidRDefault="00BE44E4" w:rsidP="00462469">
            <w:pPr>
              <w:ind w:left="7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201</w:t>
            </w:r>
            <w:r w:rsidR="00462469" w:rsidRPr="0027261A">
              <w:rPr>
                <w:rFonts w:ascii="Arial" w:hAnsi="Arial" w:cs="Arial"/>
                <w:sz w:val="20"/>
                <w:szCs w:val="20"/>
                <w:lang w:val="es-ES"/>
              </w:rPr>
              <w:t>7</w:t>
            </w: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: </w:t>
            </w:r>
            <w:r w:rsidR="00462469" w:rsidRPr="0027261A">
              <w:rPr>
                <w:rFonts w:ascii="Arial" w:hAnsi="Arial" w:cs="Arial"/>
                <w:sz w:val="20"/>
                <w:szCs w:val="20"/>
                <w:lang w:val="es-ES"/>
              </w:rPr>
              <w:t>1</w:t>
            </w:r>
          </w:p>
        </w:tc>
        <w:tc>
          <w:tcPr>
            <w:tcW w:w="3141" w:type="dxa"/>
          </w:tcPr>
          <w:p w14:paraId="385C3ED0" w14:textId="77777777" w:rsidR="00BE44E4" w:rsidRPr="0027261A" w:rsidRDefault="00BE44E4" w:rsidP="00BE44E4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Copia de </w:t>
            </w:r>
            <w:r w:rsidR="00462469" w:rsidRPr="0027261A">
              <w:rPr>
                <w:rFonts w:ascii="Arial" w:hAnsi="Arial" w:cs="Arial"/>
                <w:sz w:val="20"/>
                <w:szCs w:val="20"/>
                <w:lang w:val="es-ES_tradnl"/>
              </w:rPr>
              <w:t>La Gaceta que incluye la</w:t>
            </w:r>
            <w:r w:rsidRPr="0027261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Ley</w:t>
            </w:r>
            <w:r w:rsidR="00E96D4A" w:rsidRPr="0027261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No. 956, Ley de Eficiencia Energética</w:t>
            </w:r>
          </w:p>
        </w:tc>
      </w:tr>
      <w:tr w:rsidR="00BE44E4" w:rsidRPr="004E375E" w14:paraId="32DEF175" w14:textId="77777777" w:rsidTr="00FC66F1">
        <w:tc>
          <w:tcPr>
            <w:tcW w:w="2549" w:type="dxa"/>
          </w:tcPr>
          <w:p w14:paraId="1F837AA9" w14:textId="77777777" w:rsidR="00BE44E4" w:rsidRPr="0027261A" w:rsidRDefault="00BE44E4" w:rsidP="00BE44E4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Impulso a la Integración regional del sector eléctrico: </w:t>
            </w: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Impulsar la integración eléctrica regional incrementando la participación del sector eléctrico nacional en el mercado eléctrico regional</w:t>
            </w:r>
          </w:p>
        </w:tc>
        <w:tc>
          <w:tcPr>
            <w:tcW w:w="7778" w:type="dxa"/>
          </w:tcPr>
          <w:p w14:paraId="12056B28" w14:textId="77777777" w:rsidR="00BE44E4" w:rsidRPr="0027261A" w:rsidRDefault="00A157C9" w:rsidP="00BE44E4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Modificaciones a la </w:t>
            </w:r>
            <w:r w:rsidR="00BE44E4" w:rsidRPr="0027261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Normativa de Operación </w:t>
            </w:r>
            <w:r w:rsidRPr="0027261A">
              <w:rPr>
                <w:rFonts w:ascii="Arial" w:hAnsi="Arial" w:cs="Arial"/>
                <w:sz w:val="20"/>
                <w:szCs w:val="20"/>
                <w:lang w:val="es-ES_tradnl"/>
              </w:rPr>
              <w:t>N</w:t>
            </w:r>
            <w:r w:rsidR="00BE44E4" w:rsidRPr="0027261A">
              <w:rPr>
                <w:rFonts w:ascii="Arial" w:hAnsi="Arial" w:cs="Arial"/>
                <w:sz w:val="20"/>
                <w:szCs w:val="20"/>
                <w:lang w:val="es-ES_tradnl"/>
              </w:rPr>
              <w:t>acional para operar en forma coordinada con el Reglamento del Mercado Eléctrico Regional</w:t>
            </w:r>
            <w:r w:rsidR="00BE44E4" w:rsidRPr="0027261A">
              <w:rPr>
                <w:rFonts w:ascii="Arial" w:hAnsi="Arial" w:cs="Arial"/>
                <w:sz w:val="20"/>
                <w:szCs w:val="20"/>
                <w:lang w:val="es-ES"/>
              </w:rPr>
              <w:t>:</w:t>
            </w:r>
          </w:p>
          <w:p w14:paraId="74EC9520" w14:textId="77777777" w:rsidR="00BE44E4" w:rsidRPr="0027261A" w:rsidRDefault="00BE44E4" w:rsidP="00BE44E4">
            <w:pPr>
              <w:spacing w:line="276" w:lineRule="auto"/>
              <w:ind w:left="7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2013: 1</w:t>
            </w:r>
          </w:p>
          <w:p w14:paraId="3321E449" w14:textId="77777777" w:rsidR="00A157C9" w:rsidRPr="0027261A" w:rsidRDefault="00A157C9" w:rsidP="00BE44E4">
            <w:pPr>
              <w:spacing w:line="276" w:lineRule="auto"/>
              <w:ind w:left="7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2014: 0</w:t>
            </w:r>
          </w:p>
          <w:p w14:paraId="363FA182" w14:textId="77777777" w:rsidR="00A157C9" w:rsidRPr="0027261A" w:rsidRDefault="00A157C9" w:rsidP="00BE44E4">
            <w:pPr>
              <w:spacing w:line="276" w:lineRule="auto"/>
              <w:ind w:left="7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2015: 1</w:t>
            </w:r>
          </w:p>
          <w:p w14:paraId="4223BBAA" w14:textId="77777777" w:rsidR="00A157C9" w:rsidRPr="0027261A" w:rsidRDefault="00A157C9" w:rsidP="00BE44E4">
            <w:pPr>
              <w:spacing w:line="276" w:lineRule="auto"/>
              <w:ind w:left="7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2016: 0</w:t>
            </w:r>
          </w:p>
          <w:p w14:paraId="6FE32E83" w14:textId="77777777" w:rsidR="00BE44E4" w:rsidRPr="0027261A" w:rsidRDefault="00BE44E4" w:rsidP="00BE44E4">
            <w:pPr>
              <w:ind w:left="72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141" w:type="dxa"/>
          </w:tcPr>
          <w:p w14:paraId="797C5BE9" w14:textId="77777777" w:rsidR="00BE44E4" w:rsidRPr="0027261A" w:rsidRDefault="00BE44E4" w:rsidP="00BE44E4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Copia de La Gaceta que incluye la</w:t>
            </w:r>
            <w:r w:rsidR="00462469" w:rsidRPr="0027261A">
              <w:rPr>
                <w:rFonts w:ascii="Arial" w:hAnsi="Arial" w:cs="Arial"/>
                <w:sz w:val="20"/>
                <w:szCs w:val="20"/>
                <w:lang w:val="es-ES"/>
              </w:rPr>
              <w:t>s</w:t>
            </w: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Resoluci</w:t>
            </w:r>
            <w:r w:rsidR="00462469" w:rsidRPr="0027261A">
              <w:rPr>
                <w:rFonts w:ascii="Arial" w:hAnsi="Arial" w:cs="Arial"/>
                <w:sz w:val="20"/>
                <w:szCs w:val="20"/>
                <w:lang w:val="es-ES"/>
              </w:rPr>
              <w:t>ones</w:t>
            </w: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 del </w:t>
            </w:r>
            <w:r w:rsidR="00462469" w:rsidRPr="0027261A">
              <w:rPr>
                <w:rFonts w:ascii="Arial" w:hAnsi="Arial" w:cs="Arial"/>
                <w:sz w:val="20"/>
                <w:szCs w:val="20"/>
                <w:lang w:val="es-ES"/>
              </w:rPr>
              <w:t xml:space="preserve">INE y </w:t>
            </w:r>
            <w:r w:rsidRPr="0027261A">
              <w:rPr>
                <w:rFonts w:ascii="Arial" w:hAnsi="Arial" w:cs="Arial"/>
                <w:sz w:val="20"/>
                <w:szCs w:val="20"/>
                <w:lang w:val="es-ES"/>
              </w:rPr>
              <w:t>MEM</w:t>
            </w:r>
          </w:p>
        </w:tc>
      </w:tr>
    </w:tbl>
    <w:p w14:paraId="2DE1DA11" w14:textId="77777777" w:rsidR="00F8023C" w:rsidRPr="0027261A" w:rsidRDefault="00F8023C" w:rsidP="003A1321">
      <w:pPr>
        <w:jc w:val="both"/>
        <w:rPr>
          <w:rFonts w:ascii="Arial" w:hAnsi="Arial" w:cs="Arial"/>
          <w:b/>
          <w:sz w:val="20"/>
          <w:szCs w:val="20"/>
          <w:lang w:val="es-ES_tradnl"/>
        </w:rPr>
      </w:pPr>
    </w:p>
    <w:sectPr w:rsidR="00F8023C" w:rsidRPr="0027261A" w:rsidSect="008510A6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A7A31B" w14:textId="77777777" w:rsidR="00B8724A" w:rsidRDefault="00B8724A" w:rsidP="00906537">
      <w:pPr>
        <w:spacing w:after="0" w:line="240" w:lineRule="auto"/>
      </w:pPr>
      <w:r>
        <w:separator/>
      </w:r>
    </w:p>
  </w:endnote>
  <w:endnote w:type="continuationSeparator" w:id="0">
    <w:p w14:paraId="522936CC" w14:textId="77777777" w:rsidR="00B8724A" w:rsidRDefault="00B8724A" w:rsidP="00906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080224" w14:textId="77777777" w:rsidR="00B8724A" w:rsidRDefault="00B8724A" w:rsidP="00906537">
      <w:pPr>
        <w:spacing w:after="0" w:line="240" w:lineRule="auto"/>
      </w:pPr>
      <w:r>
        <w:separator/>
      </w:r>
    </w:p>
  </w:footnote>
  <w:footnote w:type="continuationSeparator" w:id="0">
    <w:p w14:paraId="2646E8A9" w14:textId="77777777" w:rsidR="00B8724A" w:rsidRDefault="00B8724A" w:rsidP="00906537">
      <w:pPr>
        <w:spacing w:after="0" w:line="240" w:lineRule="auto"/>
      </w:pPr>
      <w:r>
        <w:continuationSeparator/>
      </w:r>
    </w:p>
  </w:footnote>
  <w:footnote w:id="1">
    <w:p w14:paraId="09585D1C" w14:textId="632EEBA7" w:rsidR="00A275E9" w:rsidRPr="0027261A" w:rsidRDefault="00A275E9" w:rsidP="0027261A">
      <w:pPr>
        <w:pStyle w:val="FootnoteText"/>
        <w:ind w:left="270" w:hanging="270"/>
        <w:rPr>
          <w:rFonts w:ascii="Arial" w:hAnsi="Arial" w:cs="Arial"/>
          <w:sz w:val="18"/>
          <w:szCs w:val="18"/>
          <w:lang w:val="es-ES_tradnl"/>
        </w:rPr>
      </w:pPr>
      <w:r w:rsidRPr="0027261A">
        <w:rPr>
          <w:rStyle w:val="FootnoteReference"/>
          <w:rFonts w:ascii="Arial" w:hAnsi="Arial" w:cs="Arial"/>
          <w:sz w:val="18"/>
          <w:szCs w:val="18"/>
        </w:rPr>
        <w:footnoteRef/>
      </w:r>
      <w:r w:rsidRPr="0027261A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27261A">
        <w:rPr>
          <w:rFonts w:ascii="Arial" w:hAnsi="Arial" w:cs="Arial"/>
          <w:sz w:val="18"/>
          <w:szCs w:val="18"/>
          <w:lang w:val="es-ES_tradnl"/>
        </w:rPr>
        <w:tab/>
      </w:r>
      <w:r w:rsidRPr="0027261A">
        <w:rPr>
          <w:rFonts w:ascii="Arial" w:hAnsi="Arial" w:cs="Arial"/>
          <w:sz w:val="18"/>
          <w:szCs w:val="18"/>
          <w:lang w:val="es-ES_tradnl"/>
        </w:rPr>
        <w:t xml:space="preserve">La primera operación (NI-L1074) de la serie de tres en el PBP, se aprobó en 2013 y por tanto el año de cierre para los indicadores de la matriz de resultados es el 2012; la segunda operación (NI-L1089) se aprobó en 2015 y el año de cierre es 2014; la tercera operación (NI-L1144) se planifica aprobar en 2017 y el año de cierre es 2016. </w:t>
      </w:r>
    </w:p>
  </w:footnote>
  <w:footnote w:id="2">
    <w:p w14:paraId="1DF8BA1D" w14:textId="1A133FA9" w:rsidR="00116E15" w:rsidRPr="0027261A" w:rsidRDefault="00116E15" w:rsidP="0027261A">
      <w:pPr>
        <w:pStyle w:val="FootnoteText"/>
        <w:ind w:left="270" w:hanging="270"/>
        <w:rPr>
          <w:rFonts w:ascii="Arial" w:hAnsi="Arial" w:cs="Arial"/>
          <w:sz w:val="18"/>
          <w:szCs w:val="18"/>
          <w:lang w:val="es-ES_tradnl"/>
        </w:rPr>
      </w:pPr>
      <w:r w:rsidRPr="0027261A">
        <w:rPr>
          <w:rStyle w:val="FootnoteReference"/>
          <w:rFonts w:ascii="Arial" w:hAnsi="Arial" w:cs="Arial"/>
          <w:sz w:val="18"/>
          <w:szCs w:val="18"/>
        </w:rPr>
        <w:footnoteRef/>
      </w:r>
      <w:r w:rsidRPr="0027261A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27261A">
        <w:rPr>
          <w:rFonts w:ascii="Arial" w:hAnsi="Arial" w:cs="Arial"/>
          <w:sz w:val="18"/>
          <w:szCs w:val="18"/>
          <w:lang w:val="es-ES_tradnl"/>
        </w:rPr>
        <w:tab/>
      </w:r>
      <w:r w:rsidRPr="0027261A">
        <w:rPr>
          <w:rFonts w:ascii="Arial" w:hAnsi="Arial" w:cs="Arial"/>
          <w:sz w:val="18"/>
          <w:szCs w:val="18"/>
          <w:lang w:val="es-ES_tradnl"/>
        </w:rPr>
        <w:t>ENATREL: Empresa Nacional de Transmisión Eléctrica.</w:t>
      </w:r>
    </w:p>
  </w:footnote>
  <w:footnote w:id="3">
    <w:p w14:paraId="6A08B430" w14:textId="6F7DEFA3" w:rsidR="006714C2" w:rsidRPr="0027261A" w:rsidRDefault="006714C2" w:rsidP="0027261A">
      <w:pPr>
        <w:pStyle w:val="FootnoteText"/>
        <w:ind w:left="270" w:hanging="270"/>
        <w:rPr>
          <w:rFonts w:ascii="Arial" w:hAnsi="Arial" w:cs="Arial"/>
          <w:sz w:val="18"/>
          <w:szCs w:val="18"/>
          <w:lang w:val="es-ES_tradnl"/>
        </w:rPr>
      </w:pPr>
      <w:r w:rsidRPr="0027261A">
        <w:rPr>
          <w:rStyle w:val="FootnoteReference"/>
          <w:rFonts w:ascii="Arial" w:hAnsi="Arial" w:cs="Arial"/>
          <w:sz w:val="18"/>
          <w:szCs w:val="18"/>
        </w:rPr>
        <w:footnoteRef/>
      </w:r>
      <w:r w:rsidRPr="0027261A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27261A">
        <w:rPr>
          <w:rFonts w:ascii="Arial" w:hAnsi="Arial" w:cs="Arial"/>
          <w:sz w:val="18"/>
          <w:szCs w:val="18"/>
          <w:lang w:val="es-ES_tradnl"/>
        </w:rPr>
        <w:tab/>
      </w:r>
      <w:r w:rsidR="00357625" w:rsidRPr="0027261A">
        <w:rPr>
          <w:rFonts w:ascii="Arial" w:hAnsi="Arial" w:cs="Arial"/>
          <w:sz w:val="18"/>
          <w:szCs w:val="18"/>
          <w:lang w:val="es-ES_tradnl"/>
        </w:rPr>
        <w:t>El Margen EBITDA (</w:t>
      </w:r>
      <w:r w:rsidRPr="0027261A">
        <w:rPr>
          <w:rFonts w:ascii="Arial" w:hAnsi="Arial" w:cs="Arial"/>
          <w:sz w:val="18"/>
          <w:szCs w:val="18"/>
          <w:lang w:val="es-ES_tradnl"/>
        </w:rPr>
        <w:t>Ingresos antes de Intereses, Impuestos, Depreciación y Amortización</w:t>
      </w:r>
      <w:r w:rsidR="00357625" w:rsidRPr="0027261A">
        <w:rPr>
          <w:rFonts w:ascii="Arial" w:hAnsi="Arial" w:cs="Arial"/>
          <w:sz w:val="18"/>
          <w:szCs w:val="18"/>
          <w:lang w:val="es-ES_tradnl"/>
        </w:rPr>
        <w:t xml:space="preserve">) se calcula como la proporción del EBITDA sobre los costos operativos y busca </w:t>
      </w:r>
      <w:r w:rsidR="007B2932" w:rsidRPr="0027261A">
        <w:rPr>
          <w:rFonts w:ascii="Arial" w:hAnsi="Arial" w:cs="Arial"/>
          <w:sz w:val="18"/>
          <w:szCs w:val="18"/>
          <w:lang w:val="es-ES_tradnl"/>
        </w:rPr>
        <w:t>medir la capacidad de generar efectivo por parte de la empresa a partir de su operación</w:t>
      </w:r>
      <w:r w:rsidR="00F756EB" w:rsidRPr="0027261A">
        <w:rPr>
          <w:rFonts w:ascii="Arial" w:hAnsi="Arial" w:cs="Arial"/>
          <w:sz w:val="18"/>
          <w:szCs w:val="18"/>
          <w:lang w:val="es-ES_tradnl"/>
        </w:rPr>
        <w:t>.</w:t>
      </w:r>
    </w:p>
  </w:footnote>
  <w:footnote w:id="4">
    <w:p w14:paraId="6AF5847B" w14:textId="4D5F37BA" w:rsidR="00116E15" w:rsidRPr="0027261A" w:rsidRDefault="00116E15" w:rsidP="0027261A">
      <w:pPr>
        <w:pStyle w:val="FootnoteText"/>
        <w:ind w:left="270" w:hanging="270"/>
        <w:rPr>
          <w:rFonts w:ascii="Arial" w:hAnsi="Arial" w:cs="Arial"/>
          <w:sz w:val="18"/>
          <w:szCs w:val="18"/>
          <w:lang w:val="es-ES_tradnl"/>
        </w:rPr>
      </w:pPr>
      <w:r w:rsidRPr="0027261A">
        <w:rPr>
          <w:rStyle w:val="FootnoteReference"/>
          <w:rFonts w:ascii="Arial" w:hAnsi="Arial" w:cs="Arial"/>
          <w:sz w:val="18"/>
          <w:szCs w:val="18"/>
        </w:rPr>
        <w:footnoteRef/>
      </w:r>
      <w:r w:rsidRPr="0027261A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27261A">
        <w:rPr>
          <w:rFonts w:ascii="Arial" w:hAnsi="Arial" w:cs="Arial"/>
          <w:sz w:val="18"/>
          <w:szCs w:val="18"/>
          <w:lang w:val="es-ES_tradnl"/>
        </w:rPr>
        <w:tab/>
      </w:r>
      <w:r w:rsidRPr="0027261A">
        <w:rPr>
          <w:rFonts w:ascii="Arial" w:hAnsi="Arial" w:cs="Arial"/>
          <w:sz w:val="18"/>
          <w:szCs w:val="18"/>
          <w:lang w:val="es-ES_tradnl"/>
        </w:rPr>
        <w:t>ENEL: Empresa Nicaraguense de Electricidad.</w:t>
      </w:r>
    </w:p>
  </w:footnote>
  <w:footnote w:id="5">
    <w:p w14:paraId="67E843DD" w14:textId="58E9A99E" w:rsidR="00116E15" w:rsidRPr="0027261A" w:rsidRDefault="00116E15" w:rsidP="0027261A">
      <w:pPr>
        <w:pStyle w:val="FootnoteText"/>
        <w:ind w:left="270" w:hanging="270"/>
        <w:rPr>
          <w:rFonts w:ascii="Arial" w:hAnsi="Arial" w:cs="Arial"/>
          <w:sz w:val="18"/>
          <w:szCs w:val="18"/>
          <w:lang w:val="es-ES_tradnl"/>
        </w:rPr>
      </w:pPr>
      <w:r w:rsidRPr="0027261A">
        <w:rPr>
          <w:rStyle w:val="FootnoteReference"/>
          <w:rFonts w:ascii="Arial" w:hAnsi="Arial" w:cs="Arial"/>
          <w:sz w:val="18"/>
          <w:szCs w:val="18"/>
        </w:rPr>
        <w:footnoteRef/>
      </w:r>
      <w:r w:rsidRPr="0027261A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27261A">
        <w:rPr>
          <w:rFonts w:ascii="Arial" w:hAnsi="Arial" w:cs="Arial"/>
          <w:sz w:val="18"/>
          <w:szCs w:val="18"/>
          <w:lang w:val="es-ES_tradnl"/>
        </w:rPr>
        <w:tab/>
      </w:r>
      <w:r w:rsidRPr="0027261A">
        <w:rPr>
          <w:rFonts w:ascii="Arial" w:hAnsi="Arial" w:cs="Arial"/>
          <w:sz w:val="18"/>
          <w:szCs w:val="18"/>
          <w:lang w:val="es-ES_tradnl"/>
        </w:rPr>
        <w:t>DOSA: Dirección Operativa de Sistemas Aislados.</w:t>
      </w:r>
    </w:p>
  </w:footnote>
  <w:footnote w:id="6">
    <w:p w14:paraId="548065C0" w14:textId="171D0471" w:rsidR="00DB0F24" w:rsidRPr="0027261A" w:rsidRDefault="00DB0F24" w:rsidP="0027261A">
      <w:pPr>
        <w:pStyle w:val="FootnoteText"/>
        <w:ind w:left="270" w:hanging="270"/>
        <w:rPr>
          <w:rFonts w:ascii="Arial" w:hAnsi="Arial" w:cs="Arial"/>
          <w:sz w:val="18"/>
          <w:szCs w:val="18"/>
          <w:lang w:val="es-ES_tradnl"/>
        </w:rPr>
      </w:pPr>
      <w:r w:rsidRPr="0027261A">
        <w:rPr>
          <w:rStyle w:val="FootnoteReference"/>
          <w:rFonts w:ascii="Arial" w:hAnsi="Arial" w:cs="Arial"/>
          <w:sz w:val="18"/>
          <w:szCs w:val="18"/>
        </w:rPr>
        <w:footnoteRef/>
      </w:r>
      <w:r w:rsidRPr="0027261A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27261A">
        <w:rPr>
          <w:rFonts w:ascii="Arial" w:hAnsi="Arial" w:cs="Arial"/>
          <w:sz w:val="18"/>
          <w:szCs w:val="18"/>
          <w:lang w:val="es-ES_tradnl"/>
        </w:rPr>
        <w:tab/>
      </w:r>
      <w:r w:rsidRPr="0027261A">
        <w:rPr>
          <w:rFonts w:ascii="Arial" w:hAnsi="Arial" w:cs="Arial"/>
          <w:sz w:val="18"/>
          <w:szCs w:val="18"/>
          <w:lang w:val="es-ES_tradnl"/>
        </w:rPr>
        <w:t xml:space="preserve">ENEL sin DOSA alcanza las </w:t>
      </w:r>
      <w:r w:rsidR="0027261A" w:rsidRPr="0027261A">
        <w:rPr>
          <w:rFonts w:ascii="Arial" w:hAnsi="Arial" w:cs="Arial"/>
          <w:sz w:val="18"/>
          <w:szCs w:val="18"/>
          <w:lang w:val="es-ES_tradnl"/>
        </w:rPr>
        <w:t>metas financieras</w:t>
      </w:r>
      <w:r w:rsidRPr="0027261A">
        <w:rPr>
          <w:rFonts w:ascii="Arial" w:hAnsi="Arial" w:cs="Arial"/>
          <w:sz w:val="18"/>
          <w:szCs w:val="18"/>
          <w:lang w:val="es-ES_tradnl"/>
        </w:rPr>
        <w:t>; es decir, considerando solamente el negocio de generación eléctrica.</w:t>
      </w:r>
    </w:p>
  </w:footnote>
  <w:footnote w:id="7">
    <w:p w14:paraId="5CCC693D" w14:textId="4F40280F" w:rsidR="000E0624" w:rsidRPr="0027261A" w:rsidRDefault="000E0624" w:rsidP="0027261A">
      <w:pPr>
        <w:pStyle w:val="FootnoteText"/>
        <w:ind w:left="270" w:hanging="270"/>
        <w:rPr>
          <w:rFonts w:ascii="Arial" w:hAnsi="Arial" w:cs="Arial"/>
          <w:sz w:val="18"/>
          <w:szCs w:val="18"/>
          <w:lang w:val="es-ES_tradnl"/>
        </w:rPr>
      </w:pPr>
      <w:r w:rsidRPr="0027261A">
        <w:rPr>
          <w:rStyle w:val="FootnoteReference"/>
          <w:rFonts w:ascii="Arial" w:hAnsi="Arial" w:cs="Arial"/>
          <w:sz w:val="18"/>
          <w:szCs w:val="18"/>
        </w:rPr>
        <w:footnoteRef/>
      </w:r>
      <w:r w:rsidRPr="0027261A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27261A">
        <w:rPr>
          <w:rFonts w:ascii="Arial" w:hAnsi="Arial" w:cs="Arial"/>
          <w:sz w:val="18"/>
          <w:szCs w:val="18"/>
          <w:lang w:val="es-ES_tradnl"/>
        </w:rPr>
        <w:tab/>
      </w:r>
      <w:r w:rsidR="0032548F" w:rsidRPr="0027261A">
        <w:rPr>
          <w:rFonts w:ascii="Arial" w:hAnsi="Arial" w:cs="Arial"/>
          <w:sz w:val="18"/>
          <w:szCs w:val="18"/>
          <w:lang w:val="es-ES_tradnl"/>
        </w:rPr>
        <w:t xml:space="preserve">DISNORTE: Empresa Distribuidora de Electricidad del Norte; DISSUR: Empresa Distribuidora de Electricidad del Sur. </w:t>
      </w:r>
    </w:p>
  </w:footnote>
  <w:footnote w:id="8">
    <w:p w14:paraId="28EE37FB" w14:textId="6B4DAC73" w:rsidR="00F8023C" w:rsidRPr="0027261A" w:rsidRDefault="00F8023C" w:rsidP="0027261A">
      <w:pPr>
        <w:pStyle w:val="FootnoteText"/>
        <w:ind w:left="270" w:hanging="270"/>
        <w:rPr>
          <w:rFonts w:ascii="Arial" w:hAnsi="Arial" w:cs="Arial"/>
          <w:sz w:val="18"/>
          <w:szCs w:val="18"/>
          <w:lang w:val="es-ES_tradnl"/>
        </w:rPr>
      </w:pPr>
      <w:r w:rsidRPr="0027261A">
        <w:rPr>
          <w:rStyle w:val="FootnoteReference"/>
          <w:rFonts w:ascii="Arial" w:hAnsi="Arial" w:cs="Arial"/>
          <w:sz w:val="18"/>
          <w:szCs w:val="18"/>
        </w:rPr>
        <w:footnoteRef/>
      </w:r>
      <w:r w:rsidRPr="0027261A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27261A">
        <w:rPr>
          <w:rFonts w:ascii="Arial" w:hAnsi="Arial" w:cs="Arial"/>
          <w:sz w:val="18"/>
          <w:szCs w:val="18"/>
          <w:lang w:val="es-ES_tradnl"/>
        </w:rPr>
        <w:tab/>
      </w:r>
      <w:r w:rsidRPr="0027261A">
        <w:rPr>
          <w:rFonts w:ascii="Arial" w:hAnsi="Arial" w:cs="Arial"/>
          <w:sz w:val="18"/>
          <w:szCs w:val="18"/>
          <w:lang w:val="es-ES_tradnl"/>
        </w:rPr>
        <w:t>E</w:t>
      </w:r>
      <w:r w:rsidR="007B2932" w:rsidRPr="0027261A">
        <w:rPr>
          <w:rFonts w:ascii="Arial" w:hAnsi="Arial" w:cs="Arial"/>
          <w:sz w:val="18"/>
          <w:szCs w:val="18"/>
          <w:lang w:val="es-ES_tradnl"/>
        </w:rPr>
        <w:t>l</w:t>
      </w:r>
      <w:r w:rsidRPr="0027261A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7B2932" w:rsidRPr="0027261A">
        <w:rPr>
          <w:rFonts w:ascii="Arial" w:hAnsi="Arial" w:cs="Arial"/>
          <w:sz w:val="18"/>
          <w:szCs w:val="18"/>
          <w:lang w:val="es-ES_tradnl"/>
        </w:rPr>
        <w:t>índice de recuperación de efectivo</w:t>
      </w:r>
      <w:r w:rsidRPr="0027261A">
        <w:rPr>
          <w:rFonts w:ascii="Arial" w:hAnsi="Arial" w:cs="Arial"/>
          <w:sz w:val="18"/>
          <w:szCs w:val="18"/>
          <w:lang w:val="es-ES_tradnl"/>
        </w:rPr>
        <w:t xml:space="preserve"> se calcula como</w:t>
      </w:r>
      <w:r w:rsidR="007B2932" w:rsidRPr="0027261A">
        <w:rPr>
          <w:rFonts w:ascii="Arial" w:hAnsi="Arial" w:cs="Arial"/>
          <w:sz w:val="18"/>
          <w:szCs w:val="18"/>
          <w:lang w:val="es-ES_tradnl"/>
        </w:rPr>
        <w:t>:</w:t>
      </w:r>
      <w:r w:rsidRPr="0027261A">
        <w:rPr>
          <w:rFonts w:ascii="Arial" w:hAnsi="Arial" w:cs="Arial"/>
          <w:sz w:val="18"/>
          <w:szCs w:val="18"/>
          <w:lang w:val="es-ES_tradnl"/>
        </w:rPr>
        <w:t xml:space="preserve"> Energía Vendida / Energía Generada * Energía Pagada / Energía Facturada y </w:t>
      </w:r>
      <w:r w:rsidR="00F756EB" w:rsidRPr="0027261A">
        <w:rPr>
          <w:rFonts w:ascii="Arial" w:hAnsi="Arial" w:cs="Arial"/>
          <w:sz w:val="18"/>
          <w:szCs w:val="18"/>
          <w:lang w:val="es-ES_tradnl"/>
        </w:rPr>
        <w:t>es</w:t>
      </w:r>
      <w:r w:rsidRPr="0027261A">
        <w:rPr>
          <w:rFonts w:ascii="Arial" w:hAnsi="Arial" w:cs="Arial"/>
          <w:sz w:val="18"/>
          <w:szCs w:val="18"/>
          <w:lang w:val="es-ES_tradnl"/>
        </w:rPr>
        <w:t xml:space="preserve"> promediad</w:t>
      </w:r>
      <w:r w:rsidR="00F756EB" w:rsidRPr="0027261A">
        <w:rPr>
          <w:rFonts w:ascii="Arial" w:hAnsi="Arial" w:cs="Arial"/>
          <w:sz w:val="18"/>
          <w:szCs w:val="18"/>
          <w:lang w:val="es-ES_tradnl"/>
        </w:rPr>
        <w:t xml:space="preserve">o para DISSNORTE y </w:t>
      </w:r>
      <w:r w:rsidRPr="0027261A">
        <w:rPr>
          <w:rFonts w:ascii="Arial" w:hAnsi="Arial" w:cs="Arial"/>
          <w:sz w:val="18"/>
          <w:szCs w:val="18"/>
          <w:lang w:val="es-ES_tradnl"/>
        </w:rPr>
        <w:t>DISSUR.</w:t>
      </w:r>
      <w:r w:rsidR="007B2932" w:rsidRPr="0027261A">
        <w:rPr>
          <w:rFonts w:ascii="Arial" w:hAnsi="Arial" w:cs="Arial"/>
          <w:sz w:val="18"/>
          <w:szCs w:val="18"/>
          <w:lang w:val="es-ES_tradnl"/>
        </w:rPr>
        <w:t xml:space="preserve"> Este índice busca medir de forma consolidada el desempeño de la empresa en cuanto a volumen de pérdidas y efectividad en el cobro de la energía vendida. </w:t>
      </w:r>
    </w:p>
  </w:footnote>
  <w:footnote w:id="9">
    <w:p w14:paraId="55E66476" w14:textId="1DDDB24A" w:rsidR="002F1CA0" w:rsidRPr="0027261A" w:rsidRDefault="002F1CA0" w:rsidP="0027261A">
      <w:pPr>
        <w:pStyle w:val="FootnoteText"/>
        <w:ind w:left="270" w:hanging="270"/>
        <w:rPr>
          <w:rFonts w:ascii="Arial" w:hAnsi="Arial" w:cs="Arial"/>
          <w:sz w:val="18"/>
          <w:szCs w:val="18"/>
          <w:lang w:val="es-ES_tradnl"/>
        </w:rPr>
      </w:pPr>
      <w:r w:rsidRPr="0027261A">
        <w:rPr>
          <w:rStyle w:val="FootnoteReference"/>
          <w:rFonts w:ascii="Arial" w:hAnsi="Arial" w:cs="Arial"/>
          <w:sz w:val="18"/>
          <w:szCs w:val="18"/>
        </w:rPr>
        <w:footnoteRef/>
      </w:r>
      <w:r w:rsidRPr="0027261A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27261A">
        <w:rPr>
          <w:rFonts w:ascii="Arial" w:hAnsi="Arial" w:cs="Arial"/>
          <w:sz w:val="18"/>
          <w:szCs w:val="18"/>
          <w:lang w:val="es-ES_tradnl"/>
        </w:rPr>
        <w:tab/>
      </w:r>
      <w:r w:rsidRPr="0027261A">
        <w:rPr>
          <w:rFonts w:ascii="Arial" w:hAnsi="Arial" w:cs="Arial"/>
          <w:sz w:val="18"/>
          <w:szCs w:val="18"/>
          <w:lang w:val="es-ES_tradnl"/>
        </w:rPr>
        <w:t>INE: Instituto Nicaraguense de Energía.</w:t>
      </w:r>
    </w:p>
  </w:footnote>
  <w:footnote w:id="10">
    <w:p w14:paraId="02A8D943" w14:textId="5D0D73C2" w:rsidR="002A385C" w:rsidRPr="0027261A" w:rsidRDefault="002A385C" w:rsidP="0027261A">
      <w:pPr>
        <w:pStyle w:val="FootnoteText"/>
        <w:ind w:left="270" w:hanging="270"/>
        <w:rPr>
          <w:rFonts w:ascii="Arial" w:hAnsi="Arial" w:cs="Arial"/>
          <w:sz w:val="18"/>
          <w:szCs w:val="18"/>
          <w:lang w:val="es-ES_tradnl"/>
        </w:rPr>
      </w:pPr>
      <w:r w:rsidRPr="0027261A">
        <w:rPr>
          <w:rStyle w:val="FootnoteReference"/>
          <w:rFonts w:ascii="Arial" w:hAnsi="Arial" w:cs="Arial"/>
          <w:sz w:val="18"/>
          <w:szCs w:val="18"/>
        </w:rPr>
        <w:footnoteRef/>
      </w:r>
      <w:r w:rsidRPr="0027261A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27261A">
        <w:rPr>
          <w:rFonts w:ascii="Arial" w:hAnsi="Arial" w:cs="Arial"/>
          <w:sz w:val="18"/>
          <w:szCs w:val="18"/>
          <w:lang w:val="es-ES_tradnl"/>
        </w:rPr>
        <w:tab/>
      </w:r>
      <w:r w:rsidRPr="0027261A">
        <w:rPr>
          <w:rFonts w:ascii="Arial" w:hAnsi="Arial" w:cs="Arial"/>
          <w:sz w:val="18"/>
          <w:szCs w:val="18"/>
          <w:lang w:val="es-ES_tradnl"/>
        </w:rPr>
        <w:t>SIN: Sistema Interconectado Nacional.</w:t>
      </w:r>
    </w:p>
  </w:footnote>
  <w:footnote w:id="11">
    <w:p w14:paraId="22A3A360" w14:textId="22C363E7" w:rsidR="00350D6F" w:rsidRPr="0027261A" w:rsidRDefault="00350D6F" w:rsidP="0027261A">
      <w:pPr>
        <w:pStyle w:val="FootnoteText"/>
        <w:ind w:left="270" w:hanging="270"/>
        <w:rPr>
          <w:rFonts w:ascii="Arial" w:hAnsi="Arial" w:cs="Arial"/>
          <w:sz w:val="18"/>
          <w:szCs w:val="18"/>
          <w:lang w:val="es-ES_tradnl"/>
        </w:rPr>
      </w:pPr>
      <w:r w:rsidRPr="0027261A">
        <w:rPr>
          <w:rFonts w:ascii="Arial" w:hAnsi="Arial" w:cs="Arial"/>
          <w:sz w:val="18"/>
          <w:szCs w:val="18"/>
          <w:vertAlign w:val="superscript"/>
          <w:lang w:val="es-ES_tradnl"/>
        </w:rPr>
        <w:footnoteRef/>
      </w:r>
      <w:r w:rsidR="0027261A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27261A">
        <w:rPr>
          <w:rFonts w:ascii="Arial" w:hAnsi="Arial" w:cs="Arial"/>
          <w:sz w:val="18"/>
          <w:szCs w:val="18"/>
          <w:lang w:val="es-ES_tradnl"/>
        </w:rPr>
        <w:tab/>
      </w:r>
      <w:r w:rsidRPr="0027261A">
        <w:rPr>
          <w:rFonts w:ascii="Arial" w:hAnsi="Arial" w:cs="Arial"/>
          <w:sz w:val="18"/>
          <w:szCs w:val="18"/>
          <w:lang w:val="es-ES_tradnl"/>
        </w:rPr>
        <w:t>De acuerdo al Plan de Expansion de la Generacion 2016-2030, esta meta se alcanzará en 2019.</w:t>
      </w:r>
    </w:p>
  </w:footnote>
  <w:footnote w:id="12">
    <w:p w14:paraId="7ABF7104" w14:textId="3CDC61CB" w:rsidR="003F7A26" w:rsidRPr="0027261A" w:rsidRDefault="003F7A26" w:rsidP="0027261A">
      <w:pPr>
        <w:pStyle w:val="FootnoteText"/>
        <w:ind w:left="270" w:hanging="270"/>
        <w:rPr>
          <w:rFonts w:ascii="Arial" w:hAnsi="Arial" w:cs="Arial"/>
          <w:sz w:val="18"/>
          <w:szCs w:val="18"/>
          <w:lang w:val="es-ES_tradnl"/>
        </w:rPr>
      </w:pPr>
      <w:r w:rsidRPr="0027261A">
        <w:rPr>
          <w:rStyle w:val="FootnoteReference"/>
          <w:rFonts w:ascii="Arial" w:hAnsi="Arial" w:cs="Arial"/>
          <w:sz w:val="18"/>
          <w:szCs w:val="18"/>
        </w:rPr>
        <w:footnoteRef/>
      </w:r>
      <w:r w:rsidRPr="0027261A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27261A">
        <w:rPr>
          <w:rFonts w:ascii="Arial" w:hAnsi="Arial" w:cs="Arial"/>
          <w:sz w:val="18"/>
          <w:szCs w:val="18"/>
          <w:lang w:val="es-ES_tradnl"/>
        </w:rPr>
        <w:tab/>
      </w:r>
      <w:r w:rsidR="005508F6" w:rsidRPr="0027261A">
        <w:rPr>
          <w:rFonts w:ascii="Arial" w:hAnsi="Arial" w:cs="Arial"/>
          <w:sz w:val="18"/>
          <w:szCs w:val="18"/>
          <w:lang w:val="es-ES_tradnl"/>
        </w:rPr>
        <w:t xml:space="preserve">Metas </w:t>
      </w:r>
      <w:r w:rsidR="003779AE" w:rsidRPr="0027261A">
        <w:rPr>
          <w:rFonts w:ascii="Arial" w:hAnsi="Arial" w:cs="Arial"/>
          <w:sz w:val="18"/>
          <w:szCs w:val="18"/>
          <w:lang w:val="es-ES_tradnl"/>
        </w:rPr>
        <w:t xml:space="preserve">semestrales </w:t>
      </w:r>
      <w:r w:rsidR="005508F6" w:rsidRPr="0027261A">
        <w:rPr>
          <w:rFonts w:ascii="Arial" w:hAnsi="Arial" w:cs="Arial"/>
          <w:sz w:val="18"/>
          <w:szCs w:val="18"/>
          <w:lang w:val="es-ES_tradnl"/>
        </w:rPr>
        <w:t xml:space="preserve">establecidas en 2008 y vigentes a la fecha, para los parámetros de indicadores de calidad referidos a la continuidad del servicio eléctrico, mediante el Protocolo de Entendimiento entre el GNI y las distribuidoras DISNORTE/DISSUR. </w:t>
      </w:r>
    </w:p>
  </w:footnote>
  <w:footnote w:id="13">
    <w:p w14:paraId="1D5FA0D0" w14:textId="6DA09085" w:rsidR="00B005A3" w:rsidRPr="0027261A" w:rsidRDefault="00B005A3" w:rsidP="0027261A">
      <w:pPr>
        <w:pStyle w:val="FootnoteText"/>
        <w:ind w:left="270" w:hanging="270"/>
        <w:rPr>
          <w:rFonts w:ascii="Arial" w:hAnsi="Arial" w:cs="Arial"/>
          <w:sz w:val="18"/>
          <w:szCs w:val="18"/>
          <w:lang w:val="es-ES_tradnl"/>
        </w:rPr>
      </w:pPr>
      <w:r w:rsidRPr="0027261A">
        <w:rPr>
          <w:rStyle w:val="FootnoteReference"/>
          <w:rFonts w:ascii="Arial" w:hAnsi="Arial" w:cs="Arial"/>
          <w:sz w:val="18"/>
          <w:szCs w:val="18"/>
        </w:rPr>
        <w:footnoteRef/>
      </w:r>
      <w:r w:rsidRPr="0027261A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27261A">
        <w:rPr>
          <w:rFonts w:ascii="Arial" w:hAnsi="Arial" w:cs="Arial"/>
          <w:sz w:val="18"/>
          <w:szCs w:val="18"/>
          <w:lang w:val="es-ES_tradnl"/>
        </w:rPr>
        <w:tab/>
      </w:r>
      <w:r w:rsidRPr="0027261A">
        <w:rPr>
          <w:rFonts w:ascii="Arial" w:hAnsi="Arial" w:cs="Arial"/>
          <w:sz w:val="18"/>
          <w:szCs w:val="18"/>
          <w:lang w:val="es-ES_tradnl"/>
        </w:rPr>
        <w:t>SAN: Sistema Aislado Nacional.</w:t>
      </w:r>
    </w:p>
  </w:footnote>
  <w:footnote w:id="14">
    <w:p w14:paraId="78A916DD" w14:textId="43D52E1C" w:rsidR="00BC56DE" w:rsidRPr="0027261A" w:rsidRDefault="00BC56DE" w:rsidP="0027261A">
      <w:pPr>
        <w:pStyle w:val="FootnoteText"/>
        <w:ind w:left="270" w:hanging="270"/>
        <w:rPr>
          <w:rFonts w:ascii="Arial" w:hAnsi="Arial" w:cs="Arial"/>
          <w:sz w:val="18"/>
          <w:szCs w:val="18"/>
          <w:lang w:val="es-ES_tradnl"/>
        </w:rPr>
      </w:pPr>
      <w:r w:rsidRPr="0027261A">
        <w:rPr>
          <w:rStyle w:val="FootnoteReference"/>
          <w:rFonts w:ascii="Arial" w:hAnsi="Arial" w:cs="Arial"/>
          <w:sz w:val="18"/>
          <w:szCs w:val="18"/>
        </w:rPr>
        <w:footnoteRef/>
      </w:r>
      <w:r w:rsidRPr="0027261A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27261A">
        <w:rPr>
          <w:rFonts w:ascii="Arial" w:hAnsi="Arial" w:cs="Arial"/>
          <w:sz w:val="18"/>
          <w:szCs w:val="18"/>
          <w:lang w:val="es-ES_tradnl"/>
        </w:rPr>
        <w:tab/>
      </w:r>
      <w:r w:rsidRPr="0027261A">
        <w:rPr>
          <w:rFonts w:ascii="Arial" w:hAnsi="Arial" w:cs="Arial"/>
          <w:sz w:val="18"/>
          <w:szCs w:val="18"/>
          <w:lang w:val="es-ES_tradnl"/>
        </w:rPr>
        <w:t>Considerando el proceso de normalización bajo el PNESER y otros programas, esta meta será alcanzada en 2020.</w:t>
      </w:r>
    </w:p>
  </w:footnote>
  <w:footnote w:id="15">
    <w:p w14:paraId="09DF0B2F" w14:textId="2D1B9E8C" w:rsidR="007458F4" w:rsidRPr="0027261A" w:rsidRDefault="007458F4" w:rsidP="0027261A">
      <w:pPr>
        <w:pStyle w:val="FootnoteText"/>
        <w:ind w:left="270" w:hanging="270"/>
        <w:rPr>
          <w:rFonts w:ascii="Arial" w:hAnsi="Arial" w:cs="Arial"/>
          <w:sz w:val="18"/>
          <w:szCs w:val="18"/>
          <w:lang w:val="es-ES_tradnl"/>
        </w:rPr>
      </w:pPr>
      <w:r w:rsidRPr="0027261A">
        <w:rPr>
          <w:rStyle w:val="FootnoteReference"/>
          <w:rFonts w:ascii="Arial" w:hAnsi="Arial" w:cs="Arial"/>
          <w:sz w:val="18"/>
          <w:szCs w:val="18"/>
        </w:rPr>
        <w:footnoteRef/>
      </w:r>
      <w:r w:rsidRPr="0027261A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27261A">
        <w:rPr>
          <w:rFonts w:ascii="Arial" w:hAnsi="Arial" w:cs="Arial"/>
          <w:sz w:val="18"/>
          <w:szCs w:val="18"/>
          <w:lang w:val="es-ES_tradnl"/>
        </w:rPr>
        <w:tab/>
      </w:r>
      <w:r w:rsidR="0027261A" w:rsidRPr="0027261A">
        <w:rPr>
          <w:rFonts w:ascii="Arial" w:hAnsi="Arial" w:cs="Arial"/>
          <w:sz w:val="18"/>
          <w:szCs w:val="18"/>
          <w:lang w:val="es-ES_tradnl"/>
        </w:rPr>
        <w:t>Información</w:t>
      </w:r>
      <w:r w:rsidR="00AA0A15" w:rsidRPr="0027261A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D60774" w:rsidRPr="0027261A">
        <w:rPr>
          <w:rFonts w:ascii="Arial" w:hAnsi="Arial" w:cs="Arial"/>
          <w:sz w:val="18"/>
          <w:szCs w:val="18"/>
          <w:lang w:val="es-ES_tradnl"/>
        </w:rPr>
        <w:t xml:space="preserve">estadística </w:t>
      </w:r>
      <w:r w:rsidR="00AA0A15" w:rsidRPr="0027261A">
        <w:rPr>
          <w:rFonts w:ascii="Arial" w:hAnsi="Arial" w:cs="Arial"/>
          <w:sz w:val="18"/>
          <w:szCs w:val="18"/>
          <w:lang w:val="es-ES_tradnl"/>
        </w:rPr>
        <w:t xml:space="preserve">publicada por CEPAL </w:t>
      </w:r>
      <w:r w:rsidR="00672EE3" w:rsidRPr="0027261A">
        <w:rPr>
          <w:rFonts w:ascii="Arial" w:hAnsi="Arial" w:cs="Arial"/>
          <w:sz w:val="18"/>
          <w:szCs w:val="18"/>
          <w:lang w:val="es-ES_tradnl"/>
        </w:rPr>
        <w:t>en “</w:t>
      </w:r>
      <w:r w:rsidR="00D60774" w:rsidRPr="0027261A">
        <w:rPr>
          <w:rFonts w:ascii="Arial" w:hAnsi="Arial" w:cs="Arial"/>
          <w:sz w:val="18"/>
          <w:szCs w:val="18"/>
          <w:lang w:val="es-ES_tradnl"/>
        </w:rPr>
        <w:t>Estadísticas del Subsector Elé</w:t>
      </w:r>
      <w:r w:rsidR="00672EE3" w:rsidRPr="0027261A">
        <w:rPr>
          <w:rFonts w:ascii="Arial" w:hAnsi="Arial" w:cs="Arial"/>
          <w:sz w:val="18"/>
          <w:szCs w:val="18"/>
          <w:lang w:val="es-ES_tradnl"/>
        </w:rPr>
        <w:t>ctrico de los Pa</w:t>
      </w:r>
      <w:r w:rsidR="00D60774" w:rsidRPr="0027261A">
        <w:rPr>
          <w:rFonts w:ascii="Arial" w:hAnsi="Arial" w:cs="Arial"/>
          <w:sz w:val="18"/>
          <w:szCs w:val="18"/>
          <w:lang w:val="es-ES_tradnl"/>
        </w:rPr>
        <w:t>í</w:t>
      </w:r>
      <w:r w:rsidR="00672EE3" w:rsidRPr="0027261A">
        <w:rPr>
          <w:rFonts w:ascii="Arial" w:hAnsi="Arial" w:cs="Arial"/>
          <w:sz w:val="18"/>
          <w:szCs w:val="18"/>
          <w:lang w:val="es-ES_tradnl"/>
        </w:rPr>
        <w:t>ses del Sistema de la Integraci</w:t>
      </w:r>
      <w:r w:rsidR="00D60774" w:rsidRPr="0027261A">
        <w:rPr>
          <w:rFonts w:ascii="Arial" w:hAnsi="Arial" w:cs="Arial"/>
          <w:sz w:val="18"/>
          <w:szCs w:val="18"/>
          <w:lang w:val="es-ES_tradnl"/>
        </w:rPr>
        <w:t>ó</w:t>
      </w:r>
      <w:r w:rsidR="00672EE3" w:rsidRPr="0027261A">
        <w:rPr>
          <w:rFonts w:ascii="Arial" w:hAnsi="Arial" w:cs="Arial"/>
          <w:sz w:val="18"/>
          <w:szCs w:val="18"/>
          <w:lang w:val="es-ES_tradnl"/>
        </w:rPr>
        <w:t>n Centroamericana (SICA), 2015”</w:t>
      </w:r>
      <w:r w:rsidR="009B48E0" w:rsidRPr="0027261A">
        <w:rPr>
          <w:rFonts w:ascii="Arial" w:hAnsi="Arial" w:cs="Arial"/>
          <w:sz w:val="18"/>
          <w:szCs w:val="18"/>
          <w:lang w:val="es-ES_tradnl"/>
        </w:rPr>
        <w:t>.</w:t>
      </w:r>
      <w:r w:rsidR="00914212" w:rsidRPr="0027261A">
        <w:rPr>
          <w:rFonts w:ascii="Arial" w:hAnsi="Arial" w:cs="Arial"/>
          <w:sz w:val="18"/>
          <w:szCs w:val="18"/>
          <w:lang w:val="es-ES_tradnl"/>
        </w:rPr>
        <w:t xml:space="preserve"> La información estadística para 2016 aún no ha sido publicada por CEPAL.</w:t>
      </w:r>
    </w:p>
  </w:footnote>
  <w:footnote w:id="16">
    <w:p w14:paraId="4CBCB6F5" w14:textId="6456C24F" w:rsidR="00605207" w:rsidRPr="0027261A" w:rsidRDefault="00605207" w:rsidP="0027261A">
      <w:pPr>
        <w:pStyle w:val="FootnoteText"/>
        <w:ind w:left="270" w:hanging="270"/>
        <w:rPr>
          <w:rFonts w:ascii="Arial" w:hAnsi="Arial" w:cs="Arial"/>
          <w:sz w:val="18"/>
          <w:szCs w:val="18"/>
          <w:lang w:val="es-ES_tradnl"/>
        </w:rPr>
      </w:pPr>
      <w:r w:rsidRPr="0027261A">
        <w:rPr>
          <w:rStyle w:val="FootnoteReference"/>
          <w:rFonts w:ascii="Arial" w:hAnsi="Arial" w:cs="Arial"/>
          <w:sz w:val="18"/>
          <w:szCs w:val="18"/>
        </w:rPr>
        <w:footnoteRef/>
      </w:r>
      <w:r w:rsidRPr="0027261A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27261A">
        <w:rPr>
          <w:rFonts w:ascii="Arial" w:hAnsi="Arial" w:cs="Arial"/>
          <w:sz w:val="18"/>
          <w:szCs w:val="18"/>
          <w:lang w:val="es-ES_tradnl"/>
        </w:rPr>
        <w:tab/>
      </w:r>
      <w:r w:rsidR="006971BA" w:rsidRPr="0027261A">
        <w:rPr>
          <w:rFonts w:ascii="Arial" w:hAnsi="Arial" w:cs="Arial"/>
          <w:sz w:val="18"/>
          <w:szCs w:val="18"/>
          <w:lang w:val="es-ES_tradnl"/>
        </w:rPr>
        <w:t>A partir de los datos estadísticos publicados por el INE sobre usuarios del servicio eléctrico a nivel de país, datos del Banco Central de Nicaragua (BCN) sobre población y siguiendo el procedimiento de la CEPAL, se estima que la cobertura eléctrica en 2016 alcanzó 8</w:t>
      </w:r>
      <w:r w:rsidR="002960FF" w:rsidRPr="0027261A">
        <w:rPr>
          <w:rFonts w:ascii="Arial" w:hAnsi="Arial" w:cs="Arial"/>
          <w:sz w:val="18"/>
          <w:szCs w:val="18"/>
          <w:lang w:val="es-ES_tradnl"/>
        </w:rPr>
        <w:t>5,4</w:t>
      </w:r>
      <w:r w:rsidR="006971BA" w:rsidRPr="0027261A">
        <w:rPr>
          <w:rFonts w:ascii="Arial" w:hAnsi="Arial" w:cs="Arial"/>
          <w:sz w:val="18"/>
          <w:szCs w:val="18"/>
          <w:lang w:val="es-ES_tradnl"/>
        </w:rPr>
        <w:t>%, resultado que tendrá que ser confirmado cuando CEPAL publique las estadísticas 2016.</w:t>
      </w:r>
    </w:p>
  </w:footnote>
  <w:footnote w:id="17">
    <w:p w14:paraId="7EC3A746" w14:textId="179E257F" w:rsidR="00914212" w:rsidRPr="0027261A" w:rsidRDefault="00914212" w:rsidP="0027261A">
      <w:pPr>
        <w:pStyle w:val="FootnoteText"/>
        <w:ind w:left="270" w:hanging="270"/>
        <w:rPr>
          <w:rFonts w:ascii="Arial" w:hAnsi="Arial" w:cs="Arial"/>
          <w:sz w:val="18"/>
          <w:szCs w:val="18"/>
          <w:lang w:val="es-ES_tradnl"/>
        </w:rPr>
      </w:pPr>
      <w:r w:rsidRPr="0027261A">
        <w:rPr>
          <w:rFonts w:ascii="Arial" w:hAnsi="Arial" w:cs="Arial"/>
          <w:sz w:val="18"/>
          <w:szCs w:val="18"/>
          <w:vertAlign w:val="superscript"/>
          <w:lang w:val="es-ES_tradnl"/>
        </w:rPr>
        <w:footnoteRef/>
      </w:r>
      <w:r w:rsidRPr="0027261A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27261A">
        <w:rPr>
          <w:rFonts w:ascii="Arial" w:hAnsi="Arial" w:cs="Arial"/>
          <w:sz w:val="18"/>
          <w:szCs w:val="18"/>
          <w:lang w:val="es-ES_tradnl"/>
        </w:rPr>
        <w:tab/>
      </w:r>
      <w:r w:rsidRPr="0027261A">
        <w:rPr>
          <w:rFonts w:ascii="Arial" w:hAnsi="Arial" w:cs="Arial"/>
          <w:sz w:val="18"/>
          <w:szCs w:val="18"/>
          <w:lang w:val="es-ES_tradnl"/>
        </w:rPr>
        <w:t>A partir de los datos estadísticos publicados por el INE sobre energía disponible y vendida en el SIN, y siguiendo el procedimiento de balance de la CEPAL, se estima que las pérdidas totales en 2016 alcanzaron 23</w:t>
      </w:r>
      <w:r w:rsidR="006971BA" w:rsidRPr="0027261A">
        <w:rPr>
          <w:rFonts w:ascii="Arial" w:hAnsi="Arial" w:cs="Arial"/>
          <w:sz w:val="18"/>
          <w:szCs w:val="18"/>
          <w:lang w:val="es-ES_tradnl"/>
        </w:rPr>
        <w:t>,</w:t>
      </w:r>
      <w:r w:rsidR="00BA36E9" w:rsidRPr="0027261A">
        <w:rPr>
          <w:rFonts w:ascii="Arial" w:hAnsi="Arial" w:cs="Arial"/>
          <w:sz w:val="18"/>
          <w:szCs w:val="18"/>
          <w:lang w:val="es-ES_tradnl"/>
        </w:rPr>
        <w:t>9</w:t>
      </w:r>
      <w:r w:rsidRPr="0027261A">
        <w:rPr>
          <w:rFonts w:ascii="Arial" w:hAnsi="Arial" w:cs="Arial"/>
          <w:sz w:val="18"/>
          <w:szCs w:val="18"/>
          <w:lang w:val="es-ES_tradnl"/>
        </w:rPr>
        <w:t>%, resultado que tendrá que ser confirmado cuando CEPAL publique las estadísticas 2016.</w:t>
      </w:r>
    </w:p>
  </w:footnote>
  <w:footnote w:id="18">
    <w:p w14:paraId="32F51334" w14:textId="709DAE36" w:rsidR="00350D6F" w:rsidRPr="0027261A" w:rsidRDefault="00350D6F" w:rsidP="0027261A">
      <w:pPr>
        <w:pStyle w:val="FootnoteText"/>
        <w:ind w:left="270" w:hanging="270"/>
        <w:rPr>
          <w:rFonts w:ascii="Arial" w:hAnsi="Arial" w:cs="Arial"/>
          <w:sz w:val="18"/>
          <w:szCs w:val="18"/>
          <w:lang w:val="es-ES_tradnl"/>
        </w:rPr>
      </w:pPr>
      <w:r w:rsidRPr="0027261A">
        <w:rPr>
          <w:rFonts w:ascii="Arial" w:hAnsi="Arial" w:cs="Arial"/>
          <w:sz w:val="18"/>
          <w:szCs w:val="18"/>
          <w:vertAlign w:val="superscript"/>
          <w:lang w:val="es-ES_tradnl"/>
        </w:rPr>
        <w:footnoteRef/>
      </w:r>
      <w:r w:rsidR="0027261A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27261A">
        <w:rPr>
          <w:rFonts w:ascii="Arial" w:hAnsi="Arial" w:cs="Arial"/>
          <w:sz w:val="18"/>
          <w:szCs w:val="18"/>
          <w:lang w:val="es-ES_tradnl"/>
        </w:rPr>
        <w:tab/>
      </w:r>
      <w:r w:rsidRPr="0027261A">
        <w:rPr>
          <w:rFonts w:ascii="Arial" w:hAnsi="Arial" w:cs="Arial"/>
          <w:sz w:val="18"/>
          <w:szCs w:val="18"/>
          <w:lang w:val="es-ES_tradnl"/>
        </w:rPr>
        <w:t>La meta se estima alcanzar en 2019, como resultado del aporte del PNESER en la normalizacion de instalaciones irregulares.</w:t>
      </w:r>
    </w:p>
  </w:footnote>
  <w:footnote w:id="19">
    <w:p w14:paraId="7EEE8595" w14:textId="7B589AD1" w:rsidR="00CE6167" w:rsidRPr="0027261A" w:rsidRDefault="00CE6167" w:rsidP="0027261A">
      <w:pPr>
        <w:pStyle w:val="FootnoteText"/>
        <w:ind w:left="270" w:hanging="270"/>
        <w:rPr>
          <w:rFonts w:ascii="Arial" w:hAnsi="Arial" w:cs="Arial"/>
          <w:sz w:val="18"/>
          <w:szCs w:val="18"/>
          <w:lang w:val="es-ES_tradnl"/>
        </w:rPr>
      </w:pPr>
      <w:r w:rsidRPr="0027261A">
        <w:rPr>
          <w:rStyle w:val="FootnoteReference"/>
          <w:rFonts w:ascii="Arial" w:hAnsi="Arial" w:cs="Arial"/>
          <w:sz w:val="18"/>
          <w:szCs w:val="18"/>
        </w:rPr>
        <w:footnoteRef/>
      </w:r>
      <w:r w:rsidRPr="0027261A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27261A">
        <w:rPr>
          <w:rFonts w:ascii="Arial" w:hAnsi="Arial" w:cs="Arial"/>
          <w:sz w:val="18"/>
          <w:szCs w:val="18"/>
          <w:lang w:val="es-ES_tradnl"/>
        </w:rPr>
        <w:tab/>
      </w:r>
      <w:r w:rsidR="00C06688" w:rsidRPr="0027261A">
        <w:rPr>
          <w:rFonts w:ascii="Arial" w:hAnsi="Arial" w:cs="Arial"/>
          <w:sz w:val="18"/>
          <w:szCs w:val="18"/>
          <w:lang w:val="es-ES_tradnl"/>
        </w:rPr>
        <w:t>Meta redefinida a partir del Plan de Expansión de la Generación 2016-2030.</w:t>
      </w:r>
    </w:p>
  </w:footnote>
  <w:footnote w:id="20">
    <w:p w14:paraId="1F87A136" w14:textId="34898F88" w:rsidR="00ED0328" w:rsidRPr="0027261A" w:rsidRDefault="00ED0328" w:rsidP="0027261A">
      <w:pPr>
        <w:pStyle w:val="FootnoteText"/>
        <w:ind w:left="270" w:hanging="270"/>
        <w:rPr>
          <w:rFonts w:ascii="Arial" w:hAnsi="Arial" w:cs="Arial"/>
          <w:sz w:val="18"/>
          <w:szCs w:val="18"/>
          <w:lang w:val="es-ES_tradnl"/>
        </w:rPr>
      </w:pPr>
      <w:r w:rsidRPr="0027261A">
        <w:rPr>
          <w:rStyle w:val="FootnoteReference"/>
          <w:rFonts w:ascii="Arial" w:hAnsi="Arial" w:cs="Arial"/>
          <w:sz w:val="18"/>
          <w:szCs w:val="18"/>
        </w:rPr>
        <w:footnoteRef/>
      </w:r>
      <w:r w:rsidRPr="0027261A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27261A">
        <w:rPr>
          <w:rFonts w:ascii="Arial" w:hAnsi="Arial" w:cs="Arial"/>
          <w:sz w:val="18"/>
          <w:szCs w:val="18"/>
          <w:lang w:val="es-ES_tradnl"/>
        </w:rPr>
        <w:tab/>
      </w:r>
      <w:r w:rsidRPr="0027261A">
        <w:rPr>
          <w:rFonts w:ascii="Arial" w:hAnsi="Arial" w:cs="Arial"/>
          <w:sz w:val="18"/>
          <w:szCs w:val="18"/>
          <w:lang w:val="es-ES_tradnl"/>
        </w:rPr>
        <w:t>La meta se estima alcanzar en 2018, como resultado del aporte del PNESER en proyectos de eficiencia energética.</w:t>
      </w:r>
    </w:p>
  </w:footnote>
  <w:footnote w:id="21">
    <w:p w14:paraId="314066AA" w14:textId="11383658" w:rsidR="002A32C2" w:rsidRPr="0027261A" w:rsidRDefault="002A32C2" w:rsidP="0027261A">
      <w:pPr>
        <w:pStyle w:val="FootnoteText"/>
        <w:ind w:left="270" w:hanging="270"/>
        <w:rPr>
          <w:rFonts w:ascii="Arial" w:hAnsi="Arial" w:cs="Arial"/>
          <w:sz w:val="18"/>
          <w:szCs w:val="18"/>
          <w:lang w:val="es-ES_tradnl"/>
        </w:rPr>
      </w:pPr>
      <w:r w:rsidRPr="0027261A">
        <w:rPr>
          <w:rStyle w:val="FootnoteReference"/>
          <w:rFonts w:ascii="Arial" w:hAnsi="Arial" w:cs="Arial"/>
          <w:sz w:val="18"/>
          <w:szCs w:val="18"/>
        </w:rPr>
        <w:footnoteRef/>
      </w:r>
      <w:r w:rsidRPr="0027261A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27261A">
        <w:rPr>
          <w:rFonts w:ascii="Arial" w:hAnsi="Arial" w:cs="Arial"/>
          <w:sz w:val="18"/>
          <w:szCs w:val="18"/>
          <w:lang w:val="es-ES_tradnl"/>
        </w:rPr>
        <w:tab/>
      </w:r>
      <w:r w:rsidRPr="0027261A">
        <w:rPr>
          <w:rFonts w:ascii="Arial" w:hAnsi="Arial" w:cs="Arial"/>
          <w:sz w:val="18"/>
          <w:szCs w:val="18"/>
          <w:lang w:val="es-ES_tradnl"/>
        </w:rPr>
        <w:t xml:space="preserve">En el marco de los proyectos de eficiencia energetica bajo el PNESER, hasta el 2016 se ha </w:t>
      </w:r>
      <w:r w:rsidR="006D3E72" w:rsidRPr="0027261A">
        <w:rPr>
          <w:rFonts w:ascii="Arial" w:hAnsi="Arial" w:cs="Arial"/>
          <w:sz w:val="18"/>
          <w:szCs w:val="18"/>
          <w:lang w:val="es-ES_tradnl"/>
        </w:rPr>
        <w:t>implementado la sustitución de</w:t>
      </w:r>
      <w:r w:rsidR="0074240B" w:rsidRPr="0027261A">
        <w:rPr>
          <w:rFonts w:ascii="Arial" w:hAnsi="Arial" w:cs="Arial"/>
          <w:sz w:val="18"/>
          <w:szCs w:val="18"/>
          <w:lang w:val="es-ES_tradnl"/>
        </w:rPr>
        <w:t xml:space="preserve"> luminarias/lámparas en</w:t>
      </w:r>
      <w:r w:rsidR="006D3E72" w:rsidRPr="0027261A">
        <w:rPr>
          <w:rFonts w:ascii="Arial" w:hAnsi="Arial" w:cs="Arial"/>
          <w:sz w:val="18"/>
          <w:szCs w:val="18"/>
          <w:lang w:val="es-ES_tradnl"/>
        </w:rPr>
        <w:t xml:space="preserve">: </w:t>
      </w:r>
      <w:r w:rsidR="0074240B" w:rsidRPr="0027261A">
        <w:rPr>
          <w:rFonts w:ascii="Arial" w:hAnsi="Arial" w:cs="Arial"/>
          <w:sz w:val="18"/>
          <w:szCs w:val="18"/>
          <w:lang w:val="es-ES_tradnl"/>
        </w:rPr>
        <w:t xml:space="preserve">sector residencial 1.400.000 lámparas; edificios del sector gobierno 30.000 lámparas; alumbrado público 17.000 luminarias. </w:t>
      </w:r>
    </w:p>
  </w:footnote>
  <w:footnote w:id="22">
    <w:p w14:paraId="0EAF5DA1" w14:textId="1C542BC6" w:rsidR="00ED0328" w:rsidRPr="0027261A" w:rsidRDefault="00ED0328" w:rsidP="0027261A">
      <w:pPr>
        <w:pStyle w:val="FootnoteText"/>
        <w:ind w:left="270" w:hanging="270"/>
        <w:rPr>
          <w:rFonts w:ascii="Arial" w:hAnsi="Arial" w:cs="Arial"/>
          <w:sz w:val="18"/>
          <w:szCs w:val="18"/>
          <w:lang w:val="es-ES_tradnl"/>
        </w:rPr>
      </w:pPr>
      <w:r w:rsidRPr="0027261A">
        <w:rPr>
          <w:rStyle w:val="FootnoteReference"/>
          <w:rFonts w:ascii="Arial" w:hAnsi="Arial" w:cs="Arial"/>
          <w:sz w:val="18"/>
          <w:szCs w:val="18"/>
        </w:rPr>
        <w:footnoteRef/>
      </w:r>
      <w:r w:rsidRPr="0027261A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27261A">
        <w:rPr>
          <w:rFonts w:ascii="Arial" w:hAnsi="Arial" w:cs="Arial"/>
          <w:sz w:val="18"/>
          <w:szCs w:val="18"/>
          <w:lang w:val="es-ES_tradnl"/>
        </w:rPr>
        <w:tab/>
      </w:r>
      <w:r w:rsidRPr="0027261A">
        <w:rPr>
          <w:rFonts w:ascii="Arial" w:hAnsi="Arial" w:cs="Arial"/>
          <w:sz w:val="18"/>
          <w:szCs w:val="18"/>
          <w:lang w:val="es-ES_tradnl"/>
        </w:rPr>
        <w:t xml:space="preserve">Se estima como meta apropiada mantener un mínimo de 100.000 MWh en el intercambio de Nicaragua en el MER en los años </w:t>
      </w:r>
      <w:r w:rsidR="0082627D" w:rsidRPr="0027261A">
        <w:rPr>
          <w:rFonts w:ascii="Arial" w:hAnsi="Arial" w:cs="Arial"/>
          <w:sz w:val="18"/>
          <w:szCs w:val="18"/>
          <w:lang w:val="es-ES_tradnl"/>
        </w:rPr>
        <w:t>posteriores a 2016</w:t>
      </w:r>
      <w:r w:rsidRPr="0027261A">
        <w:rPr>
          <w:rFonts w:ascii="Arial" w:hAnsi="Arial" w:cs="Arial"/>
          <w:sz w:val="18"/>
          <w:szCs w:val="18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18091B" w14:textId="450A95A1" w:rsidR="004E375E" w:rsidRPr="004E375E" w:rsidRDefault="004E375E">
    <w:pPr>
      <w:pStyle w:val="Header"/>
      <w:jc w:val="right"/>
      <w:rPr>
        <w:rFonts w:ascii="Arial" w:hAnsi="Arial" w:cs="Arial"/>
        <w:sz w:val="18"/>
      </w:rPr>
    </w:pPr>
    <w:r w:rsidRPr="004E375E">
      <w:rPr>
        <w:rFonts w:ascii="Arial" w:hAnsi="Arial" w:cs="Arial"/>
        <w:sz w:val="18"/>
      </w:rPr>
      <w:t>NI-L1144</w:t>
    </w:r>
  </w:p>
  <w:p w14:paraId="252EC2D9" w14:textId="57A1A34A" w:rsidR="004E375E" w:rsidRPr="004E375E" w:rsidRDefault="004E375E">
    <w:pPr>
      <w:pStyle w:val="Header"/>
      <w:jc w:val="right"/>
      <w:rPr>
        <w:rFonts w:ascii="Arial" w:hAnsi="Arial" w:cs="Arial"/>
        <w:sz w:val="18"/>
      </w:rPr>
    </w:pPr>
    <w:r w:rsidRPr="004E375E">
      <w:rPr>
        <w:rFonts w:ascii="Arial" w:hAnsi="Arial" w:cs="Arial"/>
        <w:sz w:val="18"/>
      </w:rPr>
      <w:t xml:space="preserve">Página </w:t>
    </w:r>
    <w:sdt>
      <w:sdtPr>
        <w:rPr>
          <w:rFonts w:ascii="Arial" w:hAnsi="Arial" w:cs="Arial"/>
          <w:sz w:val="18"/>
        </w:rPr>
        <w:id w:val="1299568057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4E375E">
          <w:rPr>
            <w:rFonts w:ascii="Arial" w:hAnsi="Arial" w:cs="Arial"/>
            <w:sz w:val="18"/>
          </w:rPr>
          <w:fldChar w:fldCharType="begin"/>
        </w:r>
        <w:r w:rsidRPr="004E375E">
          <w:rPr>
            <w:rFonts w:ascii="Arial" w:hAnsi="Arial" w:cs="Arial"/>
            <w:sz w:val="18"/>
          </w:rPr>
          <w:instrText xml:space="preserve"> PAGE   \* MERGEFORMAT </w:instrText>
        </w:r>
        <w:r w:rsidRPr="004E375E">
          <w:rPr>
            <w:rFonts w:ascii="Arial" w:hAnsi="Arial" w:cs="Arial"/>
            <w:sz w:val="18"/>
          </w:rPr>
          <w:fldChar w:fldCharType="separate"/>
        </w:r>
        <w:r>
          <w:rPr>
            <w:rFonts w:ascii="Arial" w:hAnsi="Arial" w:cs="Arial"/>
            <w:noProof/>
            <w:sz w:val="18"/>
          </w:rPr>
          <w:t>1</w:t>
        </w:r>
        <w:r w:rsidRPr="004E375E">
          <w:rPr>
            <w:rFonts w:ascii="Arial" w:hAnsi="Arial" w:cs="Arial"/>
            <w:noProof/>
            <w:sz w:val="18"/>
          </w:rPr>
          <w:fldChar w:fldCharType="end"/>
        </w:r>
        <w:r w:rsidRPr="004E375E">
          <w:rPr>
            <w:rFonts w:ascii="Arial" w:hAnsi="Arial" w:cs="Arial"/>
            <w:noProof/>
            <w:sz w:val="18"/>
          </w:rPr>
          <w:t xml:space="preserve"> de </w:t>
        </w:r>
        <w:r>
          <w:rPr>
            <w:rFonts w:ascii="Arial" w:hAnsi="Arial" w:cs="Arial"/>
            <w:noProof/>
            <w:sz w:val="18"/>
          </w:rPr>
          <w:t>8</w:t>
        </w:r>
      </w:sdtContent>
    </w:sdt>
  </w:p>
  <w:p w14:paraId="1B2365E0" w14:textId="77777777" w:rsidR="001C54F8" w:rsidRPr="00F736CD" w:rsidRDefault="001C54F8" w:rsidP="004E375E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C7420"/>
    <w:multiLevelType w:val="hybridMultilevel"/>
    <w:tmpl w:val="8E1076E4"/>
    <w:lvl w:ilvl="0" w:tplc="080A0003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37681"/>
    <w:multiLevelType w:val="hybridMultilevel"/>
    <w:tmpl w:val="F11EA162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5679A"/>
    <w:multiLevelType w:val="hybridMultilevel"/>
    <w:tmpl w:val="FBB4D2C6"/>
    <w:lvl w:ilvl="0" w:tplc="2B3625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F146D"/>
    <w:multiLevelType w:val="hybridMultilevel"/>
    <w:tmpl w:val="B5120388"/>
    <w:lvl w:ilvl="0" w:tplc="343A21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DF3705"/>
    <w:multiLevelType w:val="multilevel"/>
    <w:tmpl w:val="9046589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465F8"/>
    <w:multiLevelType w:val="hybridMultilevel"/>
    <w:tmpl w:val="412A532C"/>
    <w:lvl w:ilvl="0" w:tplc="343A215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AF318B"/>
    <w:multiLevelType w:val="multilevel"/>
    <w:tmpl w:val="9046589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453398"/>
    <w:multiLevelType w:val="hybridMultilevel"/>
    <w:tmpl w:val="2D208522"/>
    <w:lvl w:ilvl="0" w:tplc="D682EE5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97EA5"/>
    <w:multiLevelType w:val="hybridMultilevel"/>
    <w:tmpl w:val="C32CED78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437502"/>
    <w:multiLevelType w:val="hybridMultilevel"/>
    <w:tmpl w:val="2B9A3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B24265"/>
    <w:multiLevelType w:val="hybridMultilevel"/>
    <w:tmpl w:val="CE70443C"/>
    <w:lvl w:ilvl="0" w:tplc="343A215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A64B69"/>
    <w:multiLevelType w:val="hybridMultilevel"/>
    <w:tmpl w:val="4F70096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7104A2"/>
    <w:multiLevelType w:val="hybridMultilevel"/>
    <w:tmpl w:val="FF109C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426C60"/>
    <w:multiLevelType w:val="hybridMultilevel"/>
    <w:tmpl w:val="F5B4BF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6B4FBB"/>
    <w:multiLevelType w:val="hybridMultilevel"/>
    <w:tmpl w:val="4F9EF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CA64B1"/>
    <w:multiLevelType w:val="hybridMultilevel"/>
    <w:tmpl w:val="34DA1A0E"/>
    <w:lvl w:ilvl="0" w:tplc="47CCC3E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35AA2"/>
    <w:multiLevelType w:val="hybridMultilevel"/>
    <w:tmpl w:val="13A26C62"/>
    <w:lvl w:ilvl="0" w:tplc="47CCC3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F75876"/>
    <w:multiLevelType w:val="hybridMultilevel"/>
    <w:tmpl w:val="8C5C2F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446594"/>
    <w:multiLevelType w:val="multilevel"/>
    <w:tmpl w:val="412A532C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154F2B"/>
    <w:multiLevelType w:val="hybridMultilevel"/>
    <w:tmpl w:val="BAFCE85A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845D39"/>
    <w:multiLevelType w:val="hybridMultilevel"/>
    <w:tmpl w:val="2A12756A"/>
    <w:lvl w:ilvl="0" w:tplc="343A21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6E4DAE"/>
    <w:multiLevelType w:val="multilevel"/>
    <w:tmpl w:val="C32CED78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4418F7"/>
    <w:multiLevelType w:val="hybridMultilevel"/>
    <w:tmpl w:val="D3143DB0"/>
    <w:lvl w:ilvl="0" w:tplc="04090013">
      <w:start w:val="1"/>
      <w:numFmt w:val="upperRoman"/>
      <w:lvlText w:val="%1."/>
      <w:lvlJc w:val="right"/>
      <w:pPr>
        <w:ind w:left="1822" w:hanging="360"/>
      </w:pPr>
    </w:lvl>
    <w:lvl w:ilvl="1" w:tplc="04090019" w:tentative="1">
      <w:start w:val="1"/>
      <w:numFmt w:val="lowerLetter"/>
      <w:lvlText w:val="%2."/>
      <w:lvlJc w:val="left"/>
      <w:pPr>
        <w:ind w:left="2542" w:hanging="360"/>
      </w:pPr>
    </w:lvl>
    <w:lvl w:ilvl="2" w:tplc="0409001B" w:tentative="1">
      <w:start w:val="1"/>
      <w:numFmt w:val="lowerRoman"/>
      <w:lvlText w:val="%3."/>
      <w:lvlJc w:val="right"/>
      <w:pPr>
        <w:ind w:left="3262" w:hanging="180"/>
      </w:pPr>
    </w:lvl>
    <w:lvl w:ilvl="3" w:tplc="0409000F" w:tentative="1">
      <w:start w:val="1"/>
      <w:numFmt w:val="decimal"/>
      <w:lvlText w:val="%4."/>
      <w:lvlJc w:val="left"/>
      <w:pPr>
        <w:ind w:left="3982" w:hanging="360"/>
      </w:pPr>
    </w:lvl>
    <w:lvl w:ilvl="4" w:tplc="04090019" w:tentative="1">
      <w:start w:val="1"/>
      <w:numFmt w:val="lowerLetter"/>
      <w:lvlText w:val="%5."/>
      <w:lvlJc w:val="left"/>
      <w:pPr>
        <w:ind w:left="4702" w:hanging="360"/>
      </w:pPr>
    </w:lvl>
    <w:lvl w:ilvl="5" w:tplc="0409001B" w:tentative="1">
      <w:start w:val="1"/>
      <w:numFmt w:val="lowerRoman"/>
      <w:lvlText w:val="%6."/>
      <w:lvlJc w:val="right"/>
      <w:pPr>
        <w:ind w:left="5422" w:hanging="180"/>
      </w:pPr>
    </w:lvl>
    <w:lvl w:ilvl="6" w:tplc="0409000F" w:tentative="1">
      <w:start w:val="1"/>
      <w:numFmt w:val="decimal"/>
      <w:lvlText w:val="%7."/>
      <w:lvlJc w:val="left"/>
      <w:pPr>
        <w:ind w:left="6142" w:hanging="360"/>
      </w:pPr>
    </w:lvl>
    <w:lvl w:ilvl="7" w:tplc="04090019" w:tentative="1">
      <w:start w:val="1"/>
      <w:numFmt w:val="lowerLetter"/>
      <w:lvlText w:val="%8."/>
      <w:lvlJc w:val="left"/>
      <w:pPr>
        <w:ind w:left="6862" w:hanging="360"/>
      </w:pPr>
    </w:lvl>
    <w:lvl w:ilvl="8" w:tplc="0409001B" w:tentative="1">
      <w:start w:val="1"/>
      <w:numFmt w:val="lowerRoman"/>
      <w:lvlText w:val="%9."/>
      <w:lvlJc w:val="right"/>
      <w:pPr>
        <w:ind w:left="7582" w:hanging="180"/>
      </w:pPr>
    </w:lvl>
  </w:abstractNum>
  <w:abstractNum w:abstractNumId="23" w15:restartNumberingAfterBreak="0">
    <w:nsid w:val="74B91F4B"/>
    <w:multiLevelType w:val="hybridMultilevel"/>
    <w:tmpl w:val="C51AF9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20"/>
  </w:num>
  <w:num w:numId="7">
    <w:abstractNumId w:val="18"/>
  </w:num>
  <w:num w:numId="8">
    <w:abstractNumId w:val="10"/>
  </w:num>
  <w:num w:numId="9">
    <w:abstractNumId w:val="8"/>
  </w:num>
  <w:num w:numId="10">
    <w:abstractNumId w:val="1"/>
  </w:num>
  <w:num w:numId="11">
    <w:abstractNumId w:val="21"/>
  </w:num>
  <w:num w:numId="12">
    <w:abstractNumId w:val="19"/>
  </w:num>
  <w:num w:numId="13">
    <w:abstractNumId w:val="11"/>
  </w:num>
  <w:num w:numId="14">
    <w:abstractNumId w:val="14"/>
  </w:num>
  <w:num w:numId="15">
    <w:abstractNumId w:val="9"/>
  </w:num>
  <w:num w:numId="16">
    <w:abstractNumId w:val="23"/>
  </w:num>
  <w:num w:numId="17">
    <w:abstractNumId w:val="13"/>
  </w:num>
  <w:num w:numId="18">
    <w:abstractNumId w:val="12"/>
  </w:num>
  <w:num w:numId="19">
    <w:abstractNumId w:val="17"/>
  </w:num>
  <w:num w:numId="20">
    <w:abstractNumId w:val="22"/>
  </w:num>
  <w:num w:numId="21">
    <w:abstractNumId w:val="16"/>
  </w:num>
  <w:num w:numId="22">
    <w:abstractNumId w:val="15"/>
  </w:num>
  <w:num w:numId="23">
    <w:abstractNumId w:val="7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AE8"/>
    <w:rsid w:val="00003CEF"/>
    <w:rsid w:val="00007DB4"/>
    <w:rsid w:val="0001178A"/>
    <w:rsid w:val="00013072"/>
    <w:rsid w:val="00014457"/>
    <w:rsid w:val="00030145"/>
    <w:rsid w:val="00031D82"/>
    <w:rsid w:val="000421CE"/>
    <w:rsid w:val="00042D45"/>
    <w:rsid w:val="0004318A"/>
    <w:rsid w:val="000473D3"/>
    <w:rsid w:val="00054CFA"/>
    <w:rsid w:val="000657C1"/>
    <w:rsid w:val="00072F73"/>
    <w:rsid w:val="00076A30"/>
    <w:rsid w:val="00083AAD"/>
    <w:rsid w:val="000928F3"/>
    <w:rsid w:val="00096526"/>
    <w:rsid w:val="000A0A1A"/>
    <w:rsid w:val="000A0AD7"/>
    <w:rsid w:val="000A134F"/>
    <w:rsid w:val="000A3E1E"/>
    <w:rsid w:val="000A5ABE"/>
    <w:rsid w:val="000B48F1"/>
    <w:rsid w:val="000C12ED"/>
    <w:rsid w:val="000D0C62"/>
    <w:rsid w:val="000D143B"/>
    <w:rsid w:val="000E0624"/>
    <w:rsid w:val="000F22B3"/>
    <w:rsid w:val="000F25D3"/>
    <w:rsid w:val="000F3DFA"/>
    <w:rsid w:val="000F6587"/>
    <w:rsid w:val="000F72AC"/>
    <w:rsid w:val="001028B5"/>
    <w:rsid w:val="0010567F"/>
    <w:rsid w:val="001062B2"/>
    <w:rsid w:val="001062D1"/>
    <w:rsid w:val="00111D6A"/>
    <w:rsid w:val="0011414A"/>
    <w:rsid w:val="00115BEF"/>
    <w:rsid w:val="00115DF9"/>
    <w:rsid w:val="00116E15"/>
    <w:rsid w:val="00120E96"/>
    <w:rsid w:val="0012108E"/>
    <w:rsid w:val="001227DC"/>
    <w:rsid w:val="00124278"/>
    <w:rsid w:val="00131440"/>
    <w:rsid w:val="00135B7D"/>
    <w:rsid w:val="00141061"/>
    <w:rsid w:val="00145D4D"/>
    <w:rsid w:val="00152666"/>
    <w:rsid w:val="00156495"/>
    <w:rsid w:val="00156887"/>
    <w:rsid w:val="001634DC"/>
    <w:rsid w:val="00165158"/>
    <w:rsid w:val="0016724D"/>
    <w:rsid w:val="00175A80"/>
    <w:rsid w:val="00186794"/>
    <w:rsid w:val="00187278"/>
    <w:rsid w:val="001916CC"/>
    <w:rsid w:val="00191ED2"/>
    <w:rsid w:val="00193815"/>
    <w:rsid w:val="00196F48"/>
    <w:rsid w:val="001A3B79"/>
    <w:rsid w:val="001A694A"/>
    <w:rsid w:val="001C08F6"/>
    <w:rsid w:val="001C4078"/>
    <w:rsid w:val="001C4673"/>
    <w:rsid w:val="001C54F8"/>
    <w:rsid w:val="001D37BE"/>
    <w:rsid w:val="001E1D9E"/>
    <w:rsid w:val="001E2EE9"/>
    <w:rsid w:val="001E5940"/>
    <w:rsid w:val="001F0E2A"/>
    <w:rsid w:val="001F4775"/>
    <w:rsid w:val="001F5E0B"/>
    <w:rsid w:val="001F71B9"/>
    <w:rsid w:val="00204502"/>
    <w:rsid w:val="00213BF0"/>
    <w:rsid w:val="002154B5"/>
    <w:rsid w:val="00223427"/>
    <w:rsid w:val="00230B52"/>
    <w:rsid w:val="00246644"/>
    <w:rsid w:val="00254B07"/>
    <w:rsid w:val="002618E5"/>
    <w:rsid w:val="00263A38"/>
    <w:rsid w:val="0026592C"/>
    <w:rsid w:val="0027261A"/>
    <w:rsid w:val="00273CCC"/>
    <w:rsid w:val="00275A6E"/>
    <w:rsid w:val="00280F02"/>
    <w:rsid w:val="00281834"/>
    <w:rsid w:val="00282079"/>
    <w:rsid w:val="002828A4"/>
    <w:rsid w:val="0029144C"/>
    <w:rsid w:val="002960FF"/>
    <w:rsid w:val="002A1B4D"/>
    <w:rsid w:val="002A32C2"/>
    <w:rsid w:val="002A385C"/>
    <w:rsid w:val="002A4652"/>
    <w:rsid w:val="002A6684"/>
    <w:rsid w:val="002B1CD0"/>
    <w:rsid w:val="002B3E29"/>
    <w:rsid w:val="002C1DB3"/>
    <w:rsid w:val="002C2AA2"/>
    <w:rsid w:val="002C400D"/>
    <w:rsid w:val="002C52AC"/>
    <w:rsid w:val="002C578C"/>
    <w:rsid w:val="002C6C5F"/>
    <w:rsid w:val="002D5CF7"/>
    <w:rsid w:val="002E1607"/>
    <w:rsid w:val="002E5B90"/>
    <w:rsid w:val="002F1CA0"/>
    <w:rsid w:val="002F2680"/>
    <w:rsid w:val="002F29EB"/>
    <w:rsid w:val="002F658D"/>
    <w:rsid w:val="003022A7"/>
    <w:rsid w:val="0030310C"/>
    <w:rsid w:val="0030438E"/>
    <w:rsid w:val="00304A3B"/>
    <w:rsid w:val="003054FE"/>
    <w:rsid w:val="003059D7"/>
    <w:rsid w:val="00306DFF"/>
    <w:rsid w:val="00307607"/>
    <w:rsid w:val="00315DE7"/>
    <w:rsid w:val="00317507"/>
    <w:rsid w:val="00322AFF"/>
    <w:rsid w:val="0032548F"/>
    <w:rsid w:val="00325C92"/>
    <w:rsid w:val="0033357F"/>
    <w:rsid w:val="003338C2"/>
    <w:rsid w:val="00341927"/>
    <w:rsid w:val="00344798"/>
    <w:rsid w:val="00347146"/>
    <w:rsid w:val="0034720A"/>
    <w:rsid w:val="00350D6F"/>
    <w:rsid w:val="00352F02"/>
    <w:rsid w:val="003538A0"/>
    <w:rsid w:val="00354982"/>
    <w:rsid w:val="0035567F"/>
    <w:rsid w:val="0035706F"/>
    <w:rsid w:val="00357625"/>
    <w:rsid w:val="003605C7"/>
    <w:rsid w:val="00360E74"/>
    <w:rsid w:val="00362496"/>
    <w:rsid w:val="00364311"/>
    <w:rsid w:val="00371DAE"/>
    <w:rsid w:val="00374806"/>
    <w:rsid w:val="0037626F"/>
    <w:rsid w:val="003779AE"/>
    <w:rsid w:val="003802D7"/>
    <w:rsid w:val="00384480"/>
    <w:rsid w:val="00384BA0"/>
    <w:rsid w:val="0038702E"/>
    <w:rsid w:val="00387198"/>
    <w:rsid w:val="00393095"/>
    <w:rsid w:val="00396534"/>
    <w:rsid w:val="003A05FD"/>
    <w:rsid w:val="003A1321"/>
    <w:rsid w:val="003A1AE8"/>
    <w:rsid w:val="003A6373"/>
    <w:rsid w:val="003B1FAE"/>
    <w:rsid w:val="003B2513"/>
    <w:rsid w:val="003B535F"/>
    <w:rsid w:val="003B6840"/>
    <w:rsid w:val="003C118C"/>
    <w:rsid w:val="003D0A86"/>
    <w:rsid w:val="003D147E"/>
    <w:rsid w:val="003D6356"/>
    <w:rsid w:val="003D732F"/>
    <w:rsid w:val="003E25AA"/>
    <w:rsid w:val="003E33D7"/>
    <w:rsid w:val="003E3E31"/>
    <w:rsid w:val="003E6836"/>
    <w:rsid w:val="003F29D0"/>
    <w:rsid w:val="003F3E65"/>
    <w:rsid w:val="003F616B"/>
    <w:rsid w:val="003F6568"/>
    <w:rsid w:val="003F7342"/>
    <w:rsid w:val="003F7A26"/>
    <w:rsid w:val="004063DE"/>
    <w:rsid w:val="0041188F"/>
    <w:rsid w:val="00414713"/>
    <w:rsid w:val="00415713"/>
    <w:rsid w:val="00432A02"/>
    <w:rsid w:val="004378E4"/>
    <w:rsid w:val="00446702"/>
    <w:rsid w:val="004510CE"/>
    <w:rsid w:val="004528DE"/>
    <w:rsid w:val="00460389"/>
    <w:rsid w:val="00460F75"/>
    <w:rsid w:val="00462469"/>
    <w:rsid w:val="004635FF"/>
    <w:rsid w:val="00463FEF"/>
    <w:rsid w:val="00465778"/>
    <w:rsid w:val="00471103"/>
    <w:rsid w:val="004716A8"/>
    <w:rsid w:val="0048548B"/>
    <w:rsid w:val="00490B99"/>
    <w:rsid w:val="00492D97"/>
    <w:rsid w:val="00495360"/>
    <w:rsid w:val="00496127"/>
    <w:rsid w:val="00497FB4"/>
    <w:rsid w:val="004A41BA"/>
    <w:rsid w:val="004B0183"/>
    <w:rsid w:val="004B259D"/>
    <w:rsid w:val="004B481B"/>
    <w:rsid w:val="004C05F1"/>
    <w:rsid w:val="004C1DEF"/>
    <w:rsid w:val="004C48BC"/>
    <w:rsid w:val="004C6D0C"/>
    <w:rsid w:val="004C739B"/>
    <w:rsid w:val="004D125B"/>
    <w:rsid w:val="004D5AA1"/>
    <w:rsid w:val="004E0829"/>
    <w:rsid w:val="004E375E"/>
    <w:rsid w:val="004E6D44"/>
    <w:rsid w:val="004F0184"/>
    <w:rsid w:val="004F1C35"/>
    <w:rsid w:val="004F72CF"/>
    <w:rsid w:val="004F7595"/>
    <w:rsid w:val="00500673"/>
    <w:rsid w:val="005020FF"/>
    <w:rsid w:val="005032EC"/>
    <w:rsid w:val="00505307"/>
    <w:rsid w:val="00511934"/>
    <w:rsid w:val="00514384"/>
    <w:rsid w:val="00515044"/>
    <w:rsid w:val="00521C7A"/>
    <w:rsid w:val="00523FD2"/>
    <w:rsid w:val="00527F91"/>
    <w:rsid w:val="005304FD"/>
    <w:rsid w:val="00530DAA"/>
    <w:rsid w:val="00531A3C"/>
    <w:rsid w:val="0053243C"/>
    <w:rsid w:val="00535EAB"/>
    <w:rsid w:val="00536448"/>
    <w:rsid w:val="00540096"/>
    <w:rsid w:val="00540B0E"/>
    <w:rsid w:val="00545076"/>
    <w:rsid w:val="005508F6"/>
    <w:rsid w:val="005538EF"/>
    <w:rsid w:val="005554B7"/>
    <w:rsid w:val="0055745A"/>
    <w:rsid w:val="005601A6"/>
    <w:rsid w:val="00560E0E"/>
    <w:rsid w:val="00567372"/>
    <w:rsid w:val="0058140A"/>
    <w:rsid w:val="00581A12"/>
    <w:rsid w:val="00586BD7"/>
    <w:rsid w:val="00591060"/>
    <w:rsid w:val="005933C1"/>
    <w:rsid w:val="00593BA1"/>
    <w:rsid w:val="005A48CF"/>
    <w:rsid w:val="005A595B"/>
    <w:rsid w:val="005B6E9C"/>
    <w:rsid w:val="005B7410"/>
    <w:rsid w:val="005C4F11"/>
    <w:rsid w:val="005C551C"/>
    <w:rsid w:val="005C7BD0"/>
    <w:rsid w:val="005D09AB"/>
    <w:rsid w:val="005D1EFA"/>
    <w:rsid w:val="005D400C"/>
    <w:rsid w:val="005D4F78"/>
    <w:rsid w:val="005D7AAE"/>
    <w:rsid w:val="005D7C2F"/>
    <w:rsid w:val="005E0CE2"/>
    <w:rsid w:val="005F02B3"/>
    <w:rsid w:val="005F0DB7"/>
    <w:rsid w:val="005F410C"/>
    <w:rsid w:val="005F6242"/>
    <w:rsid w:val="006031E7"/>
    <w:rsid w:val="00603E6C"/>
    <w:rsid w:val="00605207"/>
    <w:rsid w:val="00626BE3"/>
    <w:rsid w:val="0063009D"/>
    <w:rsid w:val="006309E9"/>
    <w:rsid w:val="00633198"/>
    <w:rsid w:val="00635F65"/>
    <w:rsid w:val="00637E41"/>
    <w:rsid w:val="00644331"/>
    <w:rsid w:val="00653C6F"/>
    <w:rsid w:val="00660820"/>
    <w:rsid w:val="006644CD"/>
    <w:rsid w:val="00670E7E"/>
    <w:rsid w:val="006714C2"/>
    <w:rsid w:val="00672EE3"/>
    <w:rsid w:val="006745A7"/>
    <w:rsid w:val="0068364E"/>
    <w:rsid w:val="006855F7"/>
    <w:rsid w:val="006927D9"/>
    <w:rsid w:val="0069465B"/>
    <w:rsid w:val="006948D6"/>
    <w:rsid w:val="006971BA"/>
    <w:rsid w:val="00697D7C"/>
    <w:rsid w:val="006A52B6"/>
    <w:rsid w:val="006A7714"/>
    <w:rsid w:val="006B03E0"/>
    <w:rsid w:val="006B6280"/>
    <w:rsid w:val="006B666D"/>
    <w:rsid w:val="006B7D74"/>
    <w:rsid w:val="006C4C16"/>
    <w:rsid w:val="006D2F65"/>
    <w:rsid w:val="006D3E72"/>
    <w:rsid w:val="006D4172"/>
    <w:rsid w:val="006D57D3"/>
    <w:rsid w:val="006D78E8"/>
    <w:rsid w:val="006E0977"/>
    <w:rsid w:val="006E4E62"/>
    <w:rsid w:val="006E501D"/>
    <w:rsid w:val="006E6867"/>
    <w:rsid w:val="006F1ABF"/>
    <w:rsid w:val="006F1FCF"/>
    <w:rsid w:val="006F2C99"/>
    <w:rsid w:val="006F2EB2"/>
    <w:rsid w:val="006F4C30"/>
    <w:rsid w:val="006F5C1B"/>
    <w:rsid w:val="00700CFF"/>
    <w:rsid w:val="007011AF"/>
    <w:rsid w:val="007041E7"/>
    <w:rsid w:val="0070454A"/>
    <w:rsid w:val="00711424"/>
    <w:rsid w:val="00711DC5"/>
    <w:rsid w:val="00713F36"/>
    <w:rsid w:val="00715CEB"/>
    <w:rsid w:val="007209FF"/>
    <w:rsid w:val="00721104"/>
    <w:rsid w:val="007229B5"/>
    <w:rsid w:val="007233AB"/>
    <w:rsid w:val="00724E6C"/>
    <w:rsid w:val="00731700"/>
    <w:rsid w:val="00733419"/>
    <w:rsid w:val="00735B35"/>
    <w:rsid w:val="00737FD4"/>
    <w:rsid w:val="0074014F"/>
    <w:rsid w:val="00740A27"/>
    <w:rsid w:val="007418A4"/>
    <w:rsid w:val="0074240B"/>
    <w:rsid w:val="00743D64"/>
    <w:rsid w:val="007458F4"/>
    <w:rsid w:val="00747D36"/>
    <w:rsid w:val="0075050B"/>
    <w:rsid w:val="0076073D"/>
    <w:rsid w:val="007608D4"/>
    <w:rsid w:val="00763B87"/>
    <w:rsid w:val="007708D4"/>
    <w:rsid w:val="00773252"/>
    <w:rsid w:val="007839AC"/>
    <w:rsid w:val="00790B9F"/>
    <w:rsid w:val="00793354"/>
    <w:rsid w:val="0079619B"/>
    <w:rsid w:val="007A2346"/>
    <w:rsid w:val="007A2956"/>
    <w:rsid w:val="007A5EB6"/>
    <w:rsid w:val="007B2932"/>
    <w:rsid w:val="007C1CF4"/>
    <w:rsid w:val="007C24C5"/>
    <w:rsid w:val="007C3460"/>
    <w:rsid w:val="007F0C86"/>
    <w:rsid w:val="007F7555"/>
    <w:rsid w:val="00801085"/>
    <w:rsid w:val="00801EA6"/>
    <w:rsid w:val="008022AA"/>
    <w:rsid w:val="00804787"/>
    <w:rsid w:val="00805FA8"/>
    <w:rsid w:val="00806884"/>
    <w:rsid w:val="0081199E"/>
    <w:rsid w:val="008140C7"/>
    <w:rsid w:val="00820F2F"/>
    <w:rsid w:val="00825163"/>
    <w:rsid w:val="0082627D"/>
    <w:rsid w:val="00831AD4"/>
    <w:rsid w:val="00846BFB"/>
    <w:rsid w:val="008510A6"/>
    <w:rsid w:val="00852730"/>
    <w:rsid w:val="00860FC9"/>
    <w:rsid w:val="00863752"/>
    <w:rsid w:val="0086426C"/>
    <w:rsid w:val="008652BC"/>
    <w:rsid w:val="00873C43"/>
    <w:rsid w:val="00873FA5"/>
    <w:rsid w:val="00874696"/>
    <w:rsid w:val="00874AD0"/>
    <w:rsid w:val="0087639D"/>
    <w:rsid w:val="00877D54"/>
    <w:rsid w:val="0088109D"/>
    <w:rsid w:val="00881CF6"/>
    <w:rsid w:val="008826D1"/>
    <w:rsid w:val="00882D55"/>
    <w:rsid w:val="00884412"/>
    <w:rsid w:val="0088765D"/>
    <w:rsid w:val="00890B9D"/>
    <w:rsid w:val="00896CF4"/>
    <w:rsid w:val="008A2784"/>
    <w:rsid w:val="008C5E8E"/>
    <w:rsid w:val="008D0D7A"/>
    <w:rsid w:val="008D13C8"/>
    <w:rsid w:val="008D6E36"/>
    <w:rsid w:val="008E5D49"/>
    <w:rsid w:val="008F33C5"/>
    <w:rsid w:val="0090205E"/>
    <w:rsid w:val="00906537"/>
    <w:rsid w:val="009108E7"/>
    <w:rsid w:val="00911598"/>
    <w:rsid w:val="00914212"/>
    <w:rsid w:val="009157C9"/>
    <w:rsid w:val="00917D0A"/>
    <w:rsid w:val="009230A0"/>
    <w:rsid w:val="00924228"/>
    <w:rsid w:val="00925C46"/>
    <w:rsid w:val="0092623E"/>
    <w:rsid w:val="00932341"/>
    <w:rsid w:val="00937757"/>
    <w:rsid w:val="00944AD7"/>
    <w:rsid w:val="0094626F"/>
    <w:rsid w:val="00947AAC"/>
    <w:rsid w:val="00951BDD"/>
    <w:rsid w:val="00957626"/>
    <w:rsid w:val="00960E40"/>
    <w:rsid w:val="009611F1"/>
    <w:rsid w:val="009643C6"/>
    <w:rsid w:val="00966FBE"/>
    <w:rsid w:val="00975F99"/>
    <w:rsid w:val="00976AB4"/>
    <w:rsid w:val="009802A8"/>
    <w:rsid w:val="00981B4C"/>
    <w:rsid w:val="00987CC8"/>
    <w:rsid w:val="00992FE0"/>
    <w:rsid w:val="009B0B90"/>
    <w:rsid w:val="009B1C67"/>
    <w:rsid w:val="009B28F7"/>
    <w:rsid w:val="009B48E0"/>
    <w:rsid w:val="009C20B5"/>
    <w:rsid w:val="009C41AC"/>
    <w:rsid w:val="009C437A"/>
    <w:rsid w:val="009C465D"/>
    <w:rsid w:val="009D0490"/>
    <w:rsid w:val="009D07D7"/>
    <w:rsid w:val="009D249D"/>
    <w:rsid w:val="009D5087"/>
    <w:rsid w:val="009E093C"/>
    <w:rsid w:val="009E1356"/>
    <w:rsid w:val="00A003AC"/>
    <w:rsid w:val="00A11D61"/>
    <w:rsid w:val="00A157C9"/>
    <w:rsid w:val="00A164AE"/>
    <w:rsid w:val="00A166E0"/>
    <w:rsid w:val="00A1790C"/>
    <w:rsid w:val="00A20A36"/>
    <w:rsid w:val="00A23557"/>
    <w:rsid w:val="00A235CC"/>
    <w:rsid w:val="00A241C1"/>
    <w:rsid w:val="00A24814"/>
    <w:rsid w:val="00A275E9"/>
    <w:rsid w:val="00A4256D"/>
    <w:rsid w:val="00A4763B"/>
    <w:rsid w:val="00A503DA"/>
    <w:rsid w:val="00A56AB8"/>
    <w:rsid w:val="00A65A89"/>
    <w:rsid w:val="00A75A7D"/>
    <w:rsid w:val="00A86C68"/>
    <w:rsid w:val="00A92F05"/>
    <w:rsid w:val="00A97D72"/>
    <w:rsid w:val="00AA0A15"/>
    <w:rsid w:val="00AA0C12"/>
    <w:rsid w:val="00AB7319"/>
    <w:rsid w:val="00AC076E"/>
    <w:rsid w:val="00AC4CAC"/>
    <w:rsid w:val="00AD1074"/>
    <w:rsid w:val="00AD2CE1"/>
    <w:rsid w:val="00AD3975"/>
    <w:rsid w:val="00AE0AF4"/>
    <w:rsid w:val="00AE0E42"/>
    <w:rsid w:val="00AE117F"/>
    <w:rsid w:val="00AE14D3"/>
    <w:rsid w:val="00AE2D73"/>
    <w:rsid w:val="00AE5ECA"/>
    <w:rsid w:val="00AF0E3A"/>
    <w:rsid w:val="00AF2F01"/>
    <w:rsid w:val="00AF533A"/>
    <w:rsid w:val="00AF7B28"/>
    <w:rsid w:val="00B005A3"/>
    <w:rsid w:val="00B02853"/>
    <w:rsid w:val="00B1222D"/>
    <w:rsid w:val="00B1543E"/>
    <w:rsid w:val="00B15BA4"/>
    <w:rsid w:val="00B22887"/>
    <w:rsid w:val="00B32EC0"/>
    <w:rsid w:val="00B34F06"/>
    <w:rsid w:val="00B378ED"/>
    <w:rsid w:val="00B71B4C"/>
    <w:rsid w:val="00B748DC"/>
    <w:rsid w:val="00B76FAD"/>
    <w:rsid w:val="00B809A0"/>
    <w:rsid w:val="00B809CD"/>
    <w:rsid w:val="00B81D00"/>
    <w:rsid w:val="00B82D87"/>
    <w:rsid w:val="00B83463"/>
    <w:rsid w:val="00B8724A"/>
    <w:rsid w:val="00BA02F7"/>
    <w:rsid w:val="00BA36E9"/>
    <w:rsid w:val="00BB1D08"/>
    <w:rsid w:val="00BB4CB2"/>
    <w:rsid w:val="00BC01D9"/>
    <w:rsid w:val="00BC07A9"/>
    <w:rsid w:val="00BC1FA9"/>
    <w:rsid w:val="00BC2435"/>
    <w:rsid w:val="00BC2949"/>
    <w:rsid w:val="00BC56DE"/>
    <w:rsid w:val="00BC5A7C"/>
    <w:rsid w:val="00BD0C16"/>
    <w:rsid w:val="00BD6568"/>
    <w:rsid w:val="00BE0074"/>
    <w:rsid w:val="00BE1336"/>
    <w:rsid w:val="00BE1C6A"/>
    <w:rsid w:val="00BE44E4"/>
    <w:rsid w:val="00BF1109"/>
    <w:rsid w:val="00BF3557"/>
    <w:rsid w:val="00BF64D8"/>
    <w:rsid w:val="00BF6B81"/>
    <w:rsid w:val="00BF7F5B"/>
    <w:rsid w:val="00C06688"/>
    <w:rsid w:val="00C079D9"/>
    <w:rsid w:val="00C1099F"/>
    <w:rsid w:val="00C13728"/>
    <w:rsid w:val="00C17420"/>
    <w:rsid w:val="00C26441"/>
    <w:rsid w:val="00C32B46"/>
    <w:rsid w:val="00C353D8"/>
    <w:rsid w:val="00C35610"/>
    <w:rsid w:val="00C45013"/>
    <w:rsid w:val="00C47396"/>
    <w:rsid w:val="00C51DEA"/>
    <w:rsid w:val="00C52962"/>
    <w:rsid w:val="00C54D4E"/>
    <w:rsid w:val="00C56918"/>
    <w:rsid w:val="00C602EC"/>
    <w:rsid w:val="00C647C1"/>
    <w:rsid w:val="00C6714A"/>
    <w:rsid w:val="00C71E8F"/>
    <w:rsid w:val="00C747FD"/>
    <w:rsid w:val="00C86E59"/>
    <w:rsid w:val="00C90B98"/>
    <w:rsid w:val="00C9521A"/>
    <w:rsid w:val="00CA7285"/>
    <w:rsid w:val="00CB2378"/>
    <w:rsid w:val="00CB40DE"/>
    <w:rsid w:val="00CB7DB4"/>
    <w:rsid w:val="00CC3FAE"/>
    <w:rsid w:val="00CC6997"/>
    <w:rsid w:val="00CC77E9"/>
    <w:rsid w:val="00CD5460"/>
    <w:rsid w:val="00CE11E4"/>
    <w:rsid w:val="00CE6167"/>
    <w:rsid w:val="00CF00D8"/>
    <w:rsid w:val="00CF2BFD"/>
    <w:rsid w:val="00D00F2C"/>
    <w:rsid w:val="00D0190B"/>
    <w:rsid w:val="00D04E94"/>
    <w:rsid w:val="00D054C5"/>
    <w:rsid w:val="00D10D07"/>
    <w:rsid w:val="00D110F2"/>
    <w:rsid w:val="00D1755D"/>
    <w:rsid w:val="00D17C22"/>
    <w:rsid w:val="00D267A1"/>
    <w:rsid w:val="00D2768D"/>
    <w:rsid w:val="00D3184F"/>
    <w:rsid w:val="00D31E45"/>
    <w:rsid w:val="00D42BCB"/>
    <w:rsid w:val="00D478F5"/>
    <w:rsid w:val="00D504B8"/>
    <w:rsid w:val="00D50A51"/>
    <w:rsid w:val="00D60774"/>
    <w:rsid w:val="00D7140C"/>
    <w:rsid w:val="00D7275D"/>
    <w:rsid w:val="00D73D32"/>
    <w:rsid w:val="00D766B7"/>
    <w:rsid w:val="00D834DF"/>
    <w:rsid w:val="00D8449E"/>
    <w:rsid w:val="00D869E9"/>
    <w:rsid w:val="00DA09F6"/>
    <w:rsid w:val="00DB0F24"/>
    <w:rsid w:val="00DB10BD"/>
    <w:rsid w:val="00DB2C0A"/>
    <w:rsid w:val="00DC2201"/>
    <w:rsid w:val="00DC40AF"/>
    <w:rsid w:val="00DD01AE"/>
    <w:rsid w:val="00DD0656"/>
    <w:rsid w:val="00DD06D1"/>
    <w:rsid w:val="00DD17F2"/>
    <w:rsid w:val="00DD5C50"/>
    <w:rsid w:val="00DD775C"/>
    <w:rsid w:val="00DE0C95"/>
    <w:rsid w:val="00DE5118"/>
    <w:rsid w:val="00DE5BBC"/>
    <w:rsid w:val="00DF03ED"/>
    <w:rsid w:val="00E02477"/>
    <w:rsid w:val="00E07A1B"/>
    <w:rsid w:val="00E13AFB"/>
    <w:rsid w:val="00E1499B"/>
    <w:rsid w:val="00E23587"/>
    <w:rsid w:val="00E32C37"/>
    <w:rsid w:val="00E357C3"/>
    <w:rsid w:val="00E3786E"/>
    <w:rsid w:val="00E44B5D"/>
    <w:rsid w:val="00E4714F"/>
    <w:rsid w:val="00E50EF8"/>
    <w:rsid w:val="00E565CD"/>
    <w:rsid w:val="00E5766A"/>
    <w:rsid w:val="00E6063A"/>
    <w:rsid w:val="00E634BC"/>
    <w:rsid w:val="00E65412"/>
    <w:rsid w:val="00E70CBC"/>
    <w:rsid w:val="00E71DBC"/>
    <w:rsid w:val="00E80B20"/>
    <w:rsid w:val="00E86D5F"/>
    <w:rsid w:val="00E92FA9"/>
    <w:rsid w:val="00E94A59"/>
    <w:rsid w:val="00E94B2A"/>
    <w:rsid w:val="00E96D4A"/>
    <w:rsid w:val="00EA2C96"/>
    <w:rsid w:val="00EA7140"/>
    <w:rsid w:val="00EB2C5E"/>
    <w:rsid w:val="00EC379C"/>
    <w:rsid w:val="00EC65CB"/>
    <w:rsid w:val="00EC6B34"/>
    <w:rsid w:val="00EC7EAB"/>
    <w:rsid w:val="00ED0328"/>
    <w:rsid w:val="00EE202B"/>
    <w:rsid w:val="00EE7B2F"/>
    <w:rsid w:val="00F11DCA"/>
    <w:rsid w:val="00F12D8D"/>
    <w:rsid w:val="00F22BA7"/>
    <w:rsid w:val="00F46716"/>
    <w:rsid w:val="00F46C9F"/>
    <w:rsid w:val="00F50968"/>
    <w:rsid w:val="00F52944"/>
    <w:rsid w:val="00F5604F"/>
    <w:rsid w:val="00F61CFD"/>
    <w:rsid w:val="00F61EA9"/>
    <w:rsid w:val="00F6271B"/>
    <w:rsid w:val="00F6385E"/>
    <w:rsid w:val="00F67554"/>
    <w:rsid w:val="00F736CD"/>
    <w:rsid w:val="00F74F28"/>
    <w:rsid w:val="00F756EB"/>
    <w:rsid w:val="00F8023C"/>
    <w:rsid w:val="00F94581"/>
    <w:rsid w:val="00F95F7A"/>
    <w:rsid w:val="00F97E06"/>
    <w:rsid w:val="00FA7280"/>
    <w:rsid w:val="00FA7E7C"/>
    <w:rsid w:val="00FB00C6"/>
    <w:rsid w:val="00FB2C3B"/>
    <w:rsid w:val="00FB2FB7"/>
    <w:rsid w:val="00FB529B"/>
    <w:rsid w:val="00FB6728"/>
    <w:rsid w:val="00FC0798"/>
    <w:rsid w:val="00FC3CAB"/>
    <w:rsid w:val="00FC66F1"/>
    <w:rsid w:val="00FD37C2"/>
    <w:rsid w:val="00FE0BDA"/>
    <w:rsid w:val="00FE112C"/>
    <w:rsid w:val="00FF57DE"/>
    <w:rsid w:val="00FF6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79D921A"/>
  <w15:docId w15:val="{240421C4-988B-41CE-9F9B-F933F3DC5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10C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1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51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10A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B03E0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906537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06537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906537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D00F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0F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0F2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0F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0F2C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C54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54F8"/>
  </w:style>
  <w:style w:type="paragraph" w:styleId="Footer">
    <w:name w:val="footer"/>
    <w:basedOn w:val="Normal"/>
    <w:link w:val="FooterChar"/>
    <w:uiPriority w:val="99"/>
    <w:unhideWhenUsed/>
    <w:rsid w:val="001C54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54F8"/>
  </w:style>
  <w:style w:type="character" w:customStyle="1" w:styleId="Heading1Char">
    <w:name w:val="Heading 1 Char"/>
    <w:basedOn w:val="DefaultParagraphFont"/>
    <w:link w:val="Heading1"/>
    <w:uiPriority w:val="9"/>
    <w:rsid w:val="004510C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Revision">
    <w:name w:val="Revision"/>
    <w:hidden/>
    <w:uiPriority w:val="99"/>
    <w:semiHidden/>
    <w:rsid w:val="002F1C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BF623-28E8-457B-AF8A-B4DC4055A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8</Pages>
  <Words>1642</Words>
  <Characters>8774</Characters>
  <Application>Microsoft Office Word</Application>
  <DocSecurity>0</DocSecurity>
  <Lines>487</Lines>
  <Paragraphs>260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Inter-American Development Bank</Company>
  <LinksUpToDate>false</LinksUpToDate>
  <CharactersWithSpaces>10156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hbaldivieso</dc:creator>
  <cp:lastModifiedBy>Suber, Stephanie Anne</cp:lastModifiedBy>
  <cp:revision>14</cp:revision>
  <cp:lastPrinted>2013-08-07T21:44:00Z</cp:lastPrinted>
  <dcterms:created xsi:type="dcterms:W3CDTF">2017-08-23T20:32:00Z</dcterms:created>
  <dcterms:modified xsi:type="dcterms:W3CDTF">2017-09-11T14:29:00Z</dcterms:modified>
</cp:coreProperties>
</file>