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E9601" w14:textId="77777777" w:rsidR="00724B68" w:rsidRPr="008C36B0" w:rsidRDefault="00724B68" w:rsidP="00724B68">
      <w:pPr>
        <w:pStyle w:val="Title"/>
        <w:tabs>
          <w:tab w:val="clear" w:pos="1440"/>
          <w:tab w:val="clear" w:pos="3060"/>
        </w:tabs>
        <w:outlineLvl w:val="9"/>
        <w:rPr>
          <w:smallCaps/>
          <w:sz w:val="22"/>
          <w:szCs w:val="22"/>
          <w:lang w:val="es-ES_tradnl"/>
        </w:rPr>
      </w:pPr>
      <w:bookmarkStart w:id="0" w:name="_GoBack"/>
      <w:bookmarkEnd w:id="0"/>
      <w:r w:rsidRPr="008C36B0">
        <w:rPr>
          <w:smallCaps/>
          <w:sz w:val="22"/>
          <w:szCs w:val="22"/>
          <w:lang w:val="es-ES_tradnl"/>
        </w:rPr>
        <w:t>Documento del Banco Interamericano de Desarrollo</w:t>
      </w:r>
    </w:p>
    <w:p w14:paraId="4AED961B" w14:textId="77777777" w:rsidR="00724B68" w:rsidRPr="008C36B0" w:rsidRDefault="00724B68" w:rsidP="00724B68">
      <w:pPr>
        <w:pStyle w:val="ListParagraph"/>
        <w:spacing w:line="360" w:lineRule="auto"/>
        <w:ind w:left="0"/>
        <w:jc w:val="center"/>
        <w:rPr>
          <w:b/>
          <w:lang w:val="es-ES_tradnl"/>
        </w:rPr>
      </w:pPr>
    </w:p>
    <w:p w14:paraId="17A4594F" w14:textId="77777777" w:rsidR="00724B68" w:rsidRPr="008C36B0" w:rsidRDefault="00724B68" w:rsidP="00724B68">
      <w:pPr>
        <w:tabs>
          <w:tab w:val="left" w:pos="1440"/>
          <w:tab w:val="left" w:pos="3060"/>
        </w:tabs>
        <w:jc w:val="center"/>
        <w:rPr>
          <w:b/>
          <w:smallCaps/>
          <w:lang w:val="es-ES_tradnl"/>
        </w:rPr>
      </w:pPr>
    </w:p>
    <w:p w14:paraId="1702FAD4" w14:textId="77777777" w:rsidR="00724B68" w:rsidRPr="008C36B0" w:rsidRDefault="00724B68" w:rsidP="00724B68">
      <w:pPr>
        <w:tabs>
          <w:tab w:val="left" w:pos="1440"/>
          <w:tab w:val="left" w:pos="3060"/>
        </w:tabs>
        <w:jc w:val="center"/>
        <w:rPr>
          <w:b/>
          <w:smallCaps/>
          <w:lang w:val="es-ES_tradnl"/>
        </w:rPr>
      </w:pPr>
    </w:p>
    <w:p w14:paraId="685D434C" w14:textId="77777777" w:rsidR="00724B68" w:rsidRPr="008C36B0" w:rsidRDefault="00724B68" w:rsidP="00724B68">
      <w:pPr>
        <w:tabs>
          <w:tab w:val="left" w:pos="1440"/>
          <w:tab w:val="left" w:pos="3060"/>
        </w:tabs>
        <w:jc w:val="center"/>
        <w:rPr>
          <w:b/>
          <w:smallCaps/>
          <w:highlight w:val="lightGray"/>
          <w:lang w:val="es-ES_tradnl"/>
        </w:rPr>
      </w:pPr>
      <w:r w:rsidRPr="008C36B0">
        <w:rPr>
          <w:b/>
          <w:smallCaps/>
          <w:highlight w:val="lightGray"/>
          <w:lang w:val="es-ES_tradnl"/>
        </w:rPr>
        <w:t>Nicaragua</w:t>
      </w:r>
    </w:p>
    <w:p w14:paraId="5CEBA1DC" w14:textId="77777777" w:rsidR="00724B68" w:rsidRPr="008C36B0" w:rsidRDefault="00724B68" w:rsidP="00724B68">
      <w:pPr>
        <w:tabs>
          <w:tab w:val="left" w:pos="1440"/>
          <w:tab w:val="left" w:pos="3060"/>
        </w:tabs>
        <w:jc w:val="center"/>
        <w:rPr>
          <w:b/>
          <w:smallCaps/>
          <w:highlight w:val="lightGray"/>
          <w:lang w:val="es-ES_tradnl"/>
        </w:rPr>
      </w:pPr>
    </w:p>
    <w:p w14:paraId="56AD5A4C" w14:textId="77777777" w:rsidR="00724B68" w:rsidRPr="008C36B0" w:rsidRDefault="00724B68" w:rsidP="00724B68">
      <w:pPr>
        <w:tabs>
          <w:tab w:val="left" w:pos="1440"/>
          <w:tab w:val="left" w:pos="3060"/>
        </w:tabs>
        <w:jc w:val="center"/>
        <w:rPr>
          <w:b/>
          <w:smallCaps/>
          <w:highlight w:val="lightGray"/>
          <w:lang w:val="es-ES_tradnl"/>
        </w:rPr>
      </w:pPr>
    </w:p>
    <w:p w14:paraId="536E0C98" w14:textId="77777777" w:rsidR="00724B68" w:rsidRPr="008C36B0" w:rsidRDefault="00724B68" w:rsidP="00724B68">
      <w:pPr>
        <w:tabs>
          <w:tab w:val="left" w:pos="1440"/>
          <w:tab w:val="left" w:pos="3060"/>
        </w:tabs>
        <w:jc w:val="center"/>
        <w:rPr>
          <w:b/>
          <w:smallCaps/>
          <w:highlight w:val="lightGray"/>
          <w:lang w:val="es-ES_tradnl"/>
        </w:rPr>
      </w:pPr>
      <w:r w:rsidRPr="008C36B0">
        <w:rPr>
          <w:b/>
          <w:smallCaps/>
          <w:highlight w:val="lightGray"/>
          <w:lang w:val="es-ES_tradnl"/>
        </w:rPr>
        <w:t>Programa para Fortalecer el Sector Eléctrico en Nicaragua</w:t>
      </w:r>
    </w:p>
    <w:p w14:paraId="3FE60E24" w14:textId="77A86D3A" w:rsidR="00724B68" w:rsidRPr="008C36B0" w:rsidRDefault="00724B68" w:rsidP="00724B68">
      <w:pPr>
        <w:tabs>
          <w:tab w:val="left" w:pos="1440"/>
          <w:tab w:val="left" w:pos="3060"/>
        </w:tabs>
        <w:jc w:val="center"/>
        <w:rPr>
          <w:b/>
          <w:smallCaps/>
          <w:lang w:val="es-ES_tradnl"/>
        </w:rPr>
      </w:pPr>
      <w:r w:rsidRPr="008C36B0">
        <w:rPr>
          <w:b/>
          <w:smallCaps/>
          <w:highlight w:val="lightGray"/>
          <w:lang w:val="es-ES_tradnl"/>
        </w:rPr>
        <w:t>NI-L1</w:t>
      </w:r>
      <w:r w:rsidR="0042677F" w:rsidRPr="008C36B0">
        <w:rPr>
          <w:b/>
          <w:smallCaps/>
          <w:highlight w:val="lightGray"/>
          <w:lang w:val="es-ES_tradnl"/>
        </w:rPr>
        <w:t>144</w:t>
      </w:r>
    </w:p>
    <w:p w14:paraId="77B95CA2" w14:textId="77777777" w:rsidR="00724B68" w:rsidRPr="008C36B0" w:rsidRDefault="00724B68" w:rsidP="00724B68">
      <w:pPr>
        <w:pStyle w:val="Newpage"/>
        <w:rPr>
          <w:rFonts w:cs="Times New Roman"/>
          <w:b w:val="0"/>
          <w:caps/>
          <w:smallCaps w:val="0"/>
          <w:sz w:val="22"/>
          <w:szCs w:val="22"/>
          <w:lang w:val="es-ES_tradnl"/>
        </w:rPr>
      </w:pPr>
    </w:p>
    <w:p w14:paraId="1D239FBA" w14:textId="77777777" w:rsidR="00724B68" w:rsidRPr="008C36B0" w:rsidRDefault="00724B68" w:rsidP="00724B68">
      <w:pPr>
        <w:tabs>
          <w:tab w:val="left" w:pos="1440"/>
          <w:tab w:val="left" w:pos="3060"/>
        </w:tabs>
        <w:jc w:val="center"/>
        <w:rPr>
          <w:smallCaps/>
          <w:lang w:val="es-ES_tradnl"/>
        </w:rPr>
      </w:pPr>
    </w:p>
    <w:p w14:paraId="7AB35332" w14:textId="77777777" w:rsidR="00724B68" w:rsidRPr="008C36B0" w:rsidRDefault="00724B68" w:rsidP="00724B68">
      <w:pPr>
        <w:tabs>
          <w:tab w:val="left" w:pos="1440"/>
          <w:tab w:val="left" w:pos="3060"/>
        </w:tabs>
        <w:jc w:val="center"/>
        <w:outlineLvl w:val="0"/>
        <w:rPr>
          <w:b/>
          <w:smallCaps/>
          <w:lang w:val="es-ES_tradnl"/>
        </w:rPr>
      </w:pPr>
      <w:r w:rsidRPr="008C36B0">
        <w:rPr>
          <w:b/>
          <w:smallCaps/>
          <w:lang w:val="es-ES_tradnl"/>
        </w:rPr>
        <w:t>Anexo de Análisis Económico</w:t>
      </w:r>
    </w:p>
    <w:p w14:paraId="23AA4074" w14:textId="77777777" w:rsidR="00724B68" w:rsidRPr="008C36B0" w:rsidRDefault="00724B68" w:rsidP="00724B68">
      <w:pPr>
        <w:pStyle w:val="ListParagraph"/>
        <w:spacing w:line="360" w:lineRule="auto"/>
        <w:ind w:left="1080"/>
        <w:jc w:val="center"/>
        <w:rPr>
          <w:b/>
          <w:lang w:val="es-ES_tradnl"/>
        </w:rPr>
      </w:pPr>
    </w:p>
    <w:p w14:paraId="55776221" w14:textId="77777777" w:rsidR="00724B68" w:rsidRPr="008C36B0" w:rsidRDefault="00724B68" w:rsidP="00724B68">
      <w:pPr>
        <w:pStyle w:val="ListParagraph"/>
        <w:spacing w:line="360" w:lineRule="auto"/>
        <w:ind w:left="1080"/>
        <w:jc w:val="center"/>
        <w:rPr>
          <w:b/>
          <w:lang w:val="es-ES_tradnl"/>
        </w:rPr>
      </w:pPr>
    </w:p>
    <w:p w14:paraId="5FFC6A79" w14:textId="77777777" w:rsidR="00724B68" w:rsidRPr="008C36B0" w:rsidRDefault="00724B68" w:rsidP="00724B68">
      <w:pPr>
        <w:pStyle w:val="ListParagraph"/>
        <w:spacing w:line="360" w:lineRule="auto"/>
        <w:ind w:left="1080"/>
        <w:jc w:val="center"/>
        <w:rPr>
          <w:b/>
          <w:lang w:val="es-ES_tradnl"/>
        </w:rPr>
      </w:pPr>
    </w:p>
    <w:p w14:paraId="718D7FAB" w14:textId="77777777" w:rsidR="00724B68" w:rsidRPr="008C36B0" w:rsidRDefault="00724B68" w:rsidP="00724B68">
      <w:pPr>
        <w:pStyle w:val="ListParagraph"/>
        <w:spacing w:line="360" w:lineRule="auto"/>
        <w:ind w:left="1080"/>
        <w:jc w:val="center"/>
        <w:rPr>
          <w:b/>
          <w:lang w:val="es-ES_tradnl"/>
        </w:rPr>
      </w:pPr>
    </w:p>
    <w:p w14:paraId="5C67A98C" w14:textId="77777777" w:rsidR="00724B68" w:rsidRPr="008C36B0" w:rsidRDefault="00724B68" w:rsidP="00724B68">
      <w:pPr>
        <w:pStyle w:val="ListParagraph"/>
        <w:spacing w:line="360" w:lineRule="auto"/>
        <w:ind w:left="1080"/>
        <w:jc w:val="center"/>
        <w:rPr>
          <w:b/>
          <w:lang w:val="es-ES_tradnl"/>
        </w:rPr>
      </w:pPr>
    </w:p>
    <w:p w14:paraId="0FE04564" w14:textId="77777777" w:rsidR="00724B68" w:rsidRPr="008C36B0" w:rsidRDefault="00724B68" w:rsidP="00724B68">
      <w:pPr>
        <w:pStyle w:val="ListParagraph"/>
        <w:spacing w:line="360" w:lineRule="auto"/>
        <w:ind w:left="1080"/>
        <w:jc w:val="center"/>
        <w:rPr>
          <w:b/>
          <w:lang w:val="es-ES_tradnl"/>
        </w:rPr>
      </w:pPr>
    </w:p>
    <w:p w14:paraId="29D2C587" w14:textId="77777777" w:rsidR="00724B68" w:rsidRPr="008C36B0" w:rsidRDefault="00724B68" w:rsidP="00724B68">
      <w:pPr>
        <w:pStyle w:val="ListParagraph"/>
        <w:spacing w:line="360" w:lineRule="auto"/>
        <w:ind w:left="1080"/>
        <w:jc w:val="center"/>
        <w:rPr>
          <w:b/>
          <w:lang w:val="es-ES_tradnl"/>
        </w:rPr>
      </w:pPr>
    </w:p>
    <w:p w14:paraId="15F0885D" w14:textId="77777777" w:rsidR="00724B68" w:rsidRPr="008C36B0" w:rsidRDefault="00724B68" w:rsidP="00724B68">
      <w:pPr>
        <w:pStyle w:val="ListParagraph"/>
        <w:spacing w:line="360" w:lineRule="auto"/>
        <w:ind w:left="1080"/>
        <w:jc w:val="center"/>
        <w:rPr>
          <w:b/>
          <w:lang w:val="es-ES_tradnl"/>
        </w:rPr>
      </w:pPr>
    </w:p>
    <w:p w14:paraId="47AC13BA" w14:textId="77777777" w:rsidR="00724B68" w:rsidRPr="008C36B0" w:rsidRDefault="00724B68" w:rsidP="00724B68">
      <w:pPr>
        <w:pStyle w:val="ListParagraph"/>
        <w:spacing w:line="360" w:lineRule="auto"/>
        <w:ind w:left="1080"/>
        <w:jc w:val="center"/>
        <w:rPr>
          <w:b/>
          <w:lang w:val="es-ES_tradnl"/>
        </w:rPr>
      </w:pPr>
    </w:p>
    <w:p w14:paraId="2F7DAC66" w14:textId="77777777" w:rsidR="00724B68" w:rsidRPr="008C36B0" w:rsidRDefault="00724B68" w:rsidP="00724B68">
      <w:pPr>
        <w:pStyle w:val="ListParagraph"/>
        <w:spacing w:line="360" w:lineRule="auto"/>
        <w:ind w:left="1080"/>
        <w:jc w:val="center"/>
        <w:rPr>
          <w:b/>
          <w:lang w:val="es-ES_tradnl"/>
        </w:rPr>
      </w:pPr>
    </w:p>
    <w:p w14:paraId="034B9921" w14:textId="77777777" w:rsidR="00724B68" w:rsidRPr="008C36B0" w:rsidRDefault="00724B68" w:rsidP="00724B68">
      <w:pPr>
        <w:tabs>
          <w:tab w:val="left" w:pos="1440"/>
          <w:tab w:val="left" w:pos="3060"/>
        </w:tabs>
        <w:jc w:val="center"/>
        <w:rPr>
          <w:lang w:val="es-ES_tradnl"/>
        </w:rPr>
      </w:pPr>
    </w:p>
    <w:p w14:paraId="063E32D3" w14:textId="77777777" w:rsidR="00724B68" w:rsidRPr="008C36B0" w:rsidRDefault="00724B68" w:rsidP="00724B68">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ES_tradnl"/>
        </w:rPr>
      </w:pPr>
      <w:r w:rsidRPr="008C36B0">
        <w:rPr>
          <w:sz w:val="22"/>
          <w:szCs w:val="22"/>
          <w:lang w:val="es-ES_tradnl"/>
        </w:rPr>
        <w:t>Este documento fue preparado por:</w:t>
      </w:r>
    </w:p>
    <w:p w14:paraId="1B308619" w14:textId="77777777" w:rsidR="00724B68" w:rsidRPr="008C36B0" w:rsidRDefault="00724B68" w:rsidP="00724B68">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ES_tradnl"/>
        </w:rPr>
      </w:pPr>
      <w:r w:rsidRPr="008C36B0">
        <w:rPr>
          <w:sz w:val="22"/>
          <w:szCs w:val="22"/>
          <w:lang w:val="es-ES_tradnl"/>
        </w:rPr>
        <w:t>Fernando Lecaros, consultor.</w:t>
      </w:r>
    </w:p>
    <w:p w14:paraId="2F953574" w14:textId="482A989D" w:rsidR="00724B68" w:rsidRPr="008C36B0" w:rsidRDefault="0042677F" w:rsidP="00724B68">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ES_tradnl"/>
        </w:rPr>
      </w:pPr>
      <w:r w:rsidRPr="008C36B0">
        <w:rPr>
          <w:sz w:val="22"/>
          <w:szCs w:val="22"/>
          <w:lang w:val="es-ES_tradnl"/>
        </w:rPr>
        <w:t>Ju</w:t>
      </w:r>
      <w:r w:rsidR="00334A89">
        <w:rPr>
          <w:sz w:val="22"/>
          <w:szCs w:val="22"/>
          <w:lang w:val="es-ES_tradnl"/>
        </w:rPr>
        <w:t>l</w:t>
      </w:r>
      <w:r w:rsidRPr="008C36B0">
        <w:rPr>
          <w:sz w:val="22"/>
          <w:szCs w:val="22"/>
          <w:lang w:val="es-ES_tradnl"/>
        </w:rPr>
        <w:t xml:space="preserve">io </w:t>
      </w:r>
      <w:r w:rsidR="00181646">
        <w:rPr>
          <w:sz w:val="22"/>
          <w:szCs w:val="22"/>
          <w:lang w:val="es-ES_tradnl"/>
        </w:rPr>
        <w:t xml:space="preserve">20 </w:t>
      </w:r>
      <w:r w:rsidRPr="008C36B0">
        <w:rPr>
          <w:sz w:val="22"/>
          <w:szCs w:val="22"/>
          <w:lang w:val="es-ES_tradnl"/>
        </w:rPr>
        <w:t>de 2017</w:t>
      </w:r>
    </w:p>
    <w:p w14:paraId="0A307F91" w14:textId="77777777" w:rsidR="00724B68" w:rsidRPr="008C36B0" w:rsidRDefault="00724B68" w:rsidP="00724B68">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ES_tradnl"/>
        </w:rPr>
      </w:pPr>
    </w:p>
    <w:p w14:paraId="019AA666" w14:textId="77777777" w:rsidR="00724B68" w:rsidRPr="008C36B0" w:rsidRDefault="00724B68" w:rsidP="00724B68">
      <w:pPr>
        <w:pStyle w:val="BodyText"/>
        <w:pBdr>
          <w:top w:val="single" w:sz="4" w:space="1" w:color="auto"/>
          <w:left w:val="single" w:sz="4" w:space="4" w:color="auto"/>
          <w:bottom w:val="single" w:sz="4" w:space="1" w:color="auto"/>
          <w:right w:val="single" w:sz="4" w:space="4" w:color="auto"/>
        </w:pBdr>
        <w:tabs>
          <w:tab w:val="left" w:pos="1440"/>
        </w:tabs>
        <w:jc w:val="both"/>
        <w:rPr>
          <w:sz w:val="22"/>
          <w:szCs w:val="22"/>
          <w:lang w:val="es-ES_tradnl"/>
        </w:rPr>
      </w:pPr>
    </w:p>
    <w:p w14:paraId="24EE422E" w14:textId="77777777" w:rsidR="00724B68" w:rsidRPr="008C36B0" w:rsidRDefault="00724B68" w:rsidP="00724B68">
      <w:pPr>
        <w:pStyle w:val="BodyText"/>
        <w:pBdr>
          <w:top w:val="single" w:sz="4" w:space="1" w:color="auto"/>
          <w:left w:val="single" w:sz="4" w:space="4" w:color="auto"/>
          <w:bottom w:val="single" w:sz="4" w:space="1" w:color="auto"/>
          <w:right w:val="single" w:sz="4" w:space="4" w:color="auto"/>
        </w:pBdr>
        <w:tabs>
          <w:tab w:val="left" w:pos="1440"/>
        </w:tabs>
        <w:jc w:val="both"/>
        <w:rPr>
          <w:b/>
          <w:sz w:val="22"/>
          <w:szCs w:val="22"/>
          <w:lang w:val="es-ES_tradnl"/>
        </w:rPr>
      </w:pPr>
    </w:p>
    <w:p w14:paraId="636D937F" w14:textId="77777777" w:rsidR="00724B68" w:rsidRPr="008C36B0" w:rsidRDefault="00724B68" w:rsidP="00724B68">
      <w:pPr>
        <w:jc w:val="center"/>
        <w:rPr>
          <w:b/>
          <w:lang w:val="es-ES_tradnl"/>
        </w:rPr>
      </w:pPr>
      <w:r w:rsidRPr="008C36B0">
        <w:rPr>
          <w:b/>
          <w:lang w:val="es-ES_tradnl"/>
        </w:rPr>
        <w:br w:type="page"/>
      </w:r>
    </w:p>
    <w:p w14:paraId="7DC06658" w14:textId="77777777" w:rsidR="00A63B31" w:rsidRPr="008C36B0" w:rsidRDefault="00A63B31" w:rsidP="00A63B31">
      <w:pPr>
        <w:jc w:val="center"/>
        <w:rPr>
          <w:b/>
          <w:lang w:val="es-ES_tradnl"/>
        </w:rPr>
      </w:pPr>
      <w:r w:rsidRPr="008C36B0">
        <w:rPr>
          <w:b/>
          <w:lang w:val="es-ES_tradnl"/>
        </w:rPr>
        <w:lastRenderedPageBreak/>
        <w:t>NICARAGUA</w:t>
      </w:r>
    </w:p>
    <w:p w14:paraId="59233DCC" w14:textId="77777777" w:rsidR="00A63B31" w:rsidRPr="008C36B0" w:rsidRDefault="00A63B31" w:rsidP="00A63B31">
      <w:pPr>
        <w:jc w:val="center"/>
        <w:rPr>
          <w:b/>
          <w:lang w:val="es-ES_tradnl"/>
        </w:rPr>
      </w:pPr>
      <w:r w:rsidRPr="008C36B0">
        <w:rPr>
          <w:b/>
          <w:lang w:val="es-ES_tradnl"/>
        </w:rPr>
        <w:t>PROGRAMA PARA FORTALECER EL SECTOR ELÉCTRICO EN NICARAGUA</w:t>
      </w:r>
    </w:p>
    <w:p w14:paraId="38069074" w14:textId="575B2992" w:rsidR="00A63B31" w:rsidRPr="008C36B0" w:rsidRDefault="00A63B31" w:rsidP="00A63B31">
      <w:pPr>
        <w:jc w:val="center"/>
        <w:rPr>
          <w:b/>
          <w:lang w:val="es-ES_tradnl"/>
        </w:rPr>
      </w:pPr>
      <w:r w:rsidRPr="008C36B0">
        <w:rPr>
          <w:b/>
          <w:lang w:val="es-ES_tradnl"/>
        </w:rPr>
        <w:t>NI-L1</w:t>
      </w:r>
      <w:r w:rsidR="00310FFB" w:rsidRPr="008C36B0">
        <w:rPr>
          <w:b/>
          <w:lang w:val="es-ES_tradnl"/>
        </w:rPr>
        <w:t>144</w:t>
      </w:r>
    </w:p>
    <w:p w14:paraId="6EE087B5" w14:textId="77777777" w:rsidR="00A63B31" w:rsidRPr="008C36B0" w:rsidRDefault="00A63B31" w:rsidP="00A63B31">
      <w:pPr>
        <w:jc w:val="center"/>
        <w:rPr>
          <w:b/>
          <w:lang w:val="es-ES_tradnl"/>
        </w:rPr>
      </w:pPr>
      <w:r w:rsidRPr="008C36B0">
        <w:rPr>
          <w:b/>
          <w:lang w:val="es-ES_tradnl"/>
        </w:rPr>
        <w:t>Evaluación Económica</w:t>
      </w:r>
    </w:p>
    <w:p w14:paraId="36C3153A" w14:textId="5E48A706" w:rsidR="00A63B31" w:rsidRPr="008C36B0" w:rsidRDefault="00A63B31" w:rsidP="00C114A9">
      <w:pPr>
        <w:pStyle w:val="Banknumbered"/>
      </w:pPr>
      <w:r w:rsidRPr="008C36B0">
        <w:rPr>
          <w:b/>
        </w:rPr>
        <w:t>Introducción.</w:t>
      </w:r>
      <w:r w:rsidRPr="008C36B0">
        <w:t xml:space="preserve">  La operación propuesta </w:t>
      </w:r>
      <w:r w:rsidR="00310FFB" w:rsidRPr="008C36B0">
        <w:t>es el tercer tramo de</w:t>
      </w:r>
      <w:r w:rsidRPr="008C36B0">
        <w:t xml:space="preserve"> un programa de apoyo presupuestario orientado al sector eléctrico mediante el cual se implementarán políticas para la recuperación institucional, financiera y operativa del sector.  La evaluación económica de préstamos basados en políticas difiere de la evaluación de operaciones de inversión puesto que generalmente no hay un enlace explícito entre los valores asociados con el préstamo y transferidos al gobierno y los resultados del programa apoyado.  Sin embargo, la implementación de políticas juega un papel crucial al facilitar la ejecución de programas y proyectos específicos y tiene por lo tanto un valor económico; este anexo provee un análisis de los diferentes resultados que se esperan del programa propuesto y los beneficios asociados con aquellos componentes que se han cuantificado explícitamente.</w:t>
      </w:r>
    </w:p>
    <w:p w14:paraId="75123041" w14:textId="77777777" w:rsidR="00A63B31" w:rsidRPr="008C36B0" w:rsidRDefault="00F63A1A" w:rsidP="00C114A9">
      <w:pPr>
        <w:pStyle w:val="Banknumbered"/>
      </w:pPr>
      <w:r w:rsidRPr="008C36B0">
        <w:t xml:space="preserve">El Programa está diseñado alrededor de </w:t>
      </w:r>
      <w:r w:rsidR="00484C6C" w:rsidRPr="008C36B0">
        <w:t>cuatro ejes sectoriales, a saber:</w:t>
      </w:r>
    </w:p>
    <w:p w14:paraId="55D213D1" w14:textId="77777777" w:rsidR="00484C6C" w:rsidRPr="008C36B0" w:rsidRDefault="00484C6C" w:rsidP="00484C6C">
      <w:pPr>
        <w:pStyle w:val="Bullet"/>
        <w:rPr>
          <w:lang w:val="es-ES_tradnl"/>
        </w:rPr>
      </w:pPr>
      <w:r w:rsidRPr="008C36B0">
        <w:rPr>
          <w:lang w:val="es-ES_tradnl"/>
        </w:rPr>
        <w:t>Sostenibilidad financiera, técnica y operativa del sector;</w:t>
      </w:r>
    </w:p>
    <w:p w14:paraId="774F0978" w14:textId="77777777" w:rsidR="00484C6C" w:rsidRPr="008C36B0" w:rsidRDefault="00484C6C" w:rsidP="00484C6C">
      <w:pPr>
        <w:pStyle w:val="Bullet"/>
        <w:rPr>
          <w:lang w:val="es-ES_tradnl"/>
        </w:rPr>
      </w:pPr>
      <w:r w:rsidRPr="008C36B0">
        <w:rPr>
          <w:lang w:val="es-ES_tradnl"/>
        </w:rPr>
        <w:t>Visibilidad de resultados en la gestión del sector;</w:t>
      </w:r>
    </w:p>
    <w:p w14:paraId="2E2B4AEA" w14:textId="77777777" w:rsidR="00484C6C" w:rsidRPr="008C36B0" w:rsidRDefault="00484C6C" w:rsidP="00484C6C">
      <w:pPr>
        <w:pStyle w:val="Bullet"/>
        <w:rPr>
          <w:lang w:val="es-ES_tradnl"/>
        </w:rPr>
      </w:pPr>
      <w:r w:rsidRPr="008C36B0">
        <w:rPr>
          <w:lang w:val="es-ES_tradnl"/>
        </w:rPr>
        <w:t>Matriz energética sostenible, fomento de las energías renovables, inversión privada, y eficiencia energética; y</w:t>
      </w:r>
    </w:p>
    <w:p w14:paraId="4DE5B279" w14:textId="77777777" w:rsidR="00484C6C" w:rsidRPr="008C36B0" w:rsidRDefault="00484C6C" w:rsidP="00484C6C">
      <w:pPr>
        <w:pStyle w:val="Bullet"/>
        <w:rPr>
          <w:lang w:val="es-ES_tradnl"/>
        </w:rPr>
      </w:pPr>
      <w:r w:rsidRPr="008C36B0">
        <w:rPr>
          <w:lang w:val="es-ES_tradnl"/>
        </w:rPr>
        <w:t>Impulso a la integración regional del sector eléctrico.</w:t>
      </w:r>
    </w:p>
    <w:p w14:paraId="7FFCA006" w14:textId="37AD153B" w:rsidR="00132FF4" w:rsidRDefault="005343A5" w:rsidP="00C114A9">
      <w:pPr>
        <w:pStyle w:val="Banknumbered"/>
      </w:pPr>
      <w:r w:rsidRPr="008C36B0">
        <w:t>Dentro de estas cuatro categorías se establecieron metas con indicadores, dentro de los cuales se escogieron aquellos conducentes a resultados con consecuencias económicas evaluables, los cuales incluyen:</w:t>
      </w:r>
      <w:r w:rsidR="00132FF4" w:rsidRPr="008C36B0">
        <w:t xml:space="preserve"> </w:t>
      </w:r>
      <w:r w:rsidR="002163A4" w:rsidRPr="008C36B0">
        <w:t xml:space="preserve">(i) </w:t>
      </w:r>
      <w:r w:rsidR="000B563B" w:rsidRPr="008C36B0">
        <w:t>a</w:t>
      </w:r>
      <w:r w:rsidR="00132FF4" w:rsidRPr="008C36B0">
        <w:t xml:space="preserve">mpliación de la cobertura eléctrica, </w:t>
      </w:r>
      <w:r w:rsidR="002163A4" w:rsidRPr="008C36B0">
        <w:t xml:space="preserve">(ii) </w:t>
      </w:r>
      <w:r w:rsidR="000B563B" w:rsidRPr="008C36B0">
        <w:t>r</w:t>
      </w:r>
      <w:r w:rsidR="00132FF4" w:rsidRPr="008C36B0">
        <w:t xml:space="preserve">educción de pérdidas totales del sistema, </w:t>
      </w:r>
      <w:r w:rsidR="002163A4" w:rsidRPr="008C36B0">
        <w:t>(i</w:t>
      </w:r>
      <w:r w:rsidR="008355C0" w:rsidRPr="008C36B0">
        <w:t>ii</w:t>
      </w:r>
      <w:r w:rsidR="002163A4" w:rsidRPr="008C36B0">
        <w:t xml:space="preserve">) </w:t>
      </w:r>
      <w:r w:rsidR="000B563B" w:rsidRPr="008C36B0">
        <w:t>i</w:t>
      </w:r>
      <w:r w:rsidR="00132FF4" w:rsidRPr="008C36B0">
        <w:t xml:space="preserve">ncremento de participación de la energía renovable en la matriz de generación del SIN, y </w:t>
      </w:r>
      <w:r w:rsidR="002163A4" w:rsidRPr="008C36B0">
        <w:t>(</w:t>
      </w:r>
      <w:r w:rsidR="008355C0" w:rsidRPr="008C36B0">
        <w:t>i</w:t>
      </w:r>
      <w:r w:rsidR="002163A4" w:rsidRPr="008C36B0">
        <w:t xml:space="preserve">v) </w:t>
      </w:r>
      <w:r w:rsidR="000B563B" w:rsidRPr="008C36B0">
        <w:t>r</w:t>
      </w:r>
      <w:r w:rsidR="00132FF4" w:rsidRPr="008C36B0">
        <w:t>educción de consumo de energía eléctrica</w:t>
      </w:r>
      <w:r w:rsidR="002163A4" w:rsidRPr="008C36B0">
        <w:t xml:space="preserve"> mediante la implementación de medidas de eficiencia energética.</w:t>
      </w:r>
      <w:r w:rsidR="00132FF4" w:rsidRPr="008C36B0">
        <w:t xml:space="preserve"> </w:t>
      </w:r>
      <w:r w:rsidR="00EF5BE0" w:rsidRPr="008C36B0">
        <w:t>Esta metodología reproduce aquella aplicada para la evaluación del programa NI-L1089, preparado en agosto de 2015</w:t>
      </w:r>
      <w:r w:rsidR="00EF5BE0" w:rsidRPr="008C36B0">
        <w:rPr>
          <w:rStyle w:val="FootnoteReference"/>
        </w:rPr>
        <w:footnoteReference w:id="1"/>
      </w:r>
      <w:r w:rsidR="00EF5BE0" w:rsidRPr="008C36B0">
        <w:t>.</w:t>
      </w:r>
    </w:p>
    <w:p w14:paraId="0A252901" w14:textId="77777777" w:rsidR="00334A89" w:rsidRPr="00865ABC" w:rsidRDefault="00334A89" w:rsidP="00334A89">
      <w:pPr>
        <w:keepNext/>
        <w:spacing w:before="240"/>
        <w:rPr>
          <w:b/>
          <w:lang w:val="es-ES_tradnl"/>
        </w:rPr>
      </w:pPr>
      <w:r w:rsidRPr="00865ABC">
        <w:rPr>
          <w:b/>
          <w:lang w:val="es-ES_tradnl"/>
        </w:rPr>
        <w:t>Evaluación de mejoras de la calidad de servicio</w:t>
      </w:r>
    </w:p>
    <w:p w14:paraId="4EA2C1B0" w14:textId="77777777" w:rsidR="00334A89" w:rsidRPr="00865ABC" w:rsidRDefault="00334A89" w:rsidP="00334A89">
      <w:pPr>
        <w:pStyle w:val="Banknumbered"/>
      </w:pPr>
      <w:r w:rsidRPr="00865ABC">
        <w:t>Este componente tiene por objeto la mejora en la confiabilidad del suministro de energía eléctrica.  Los indicadores FMIK y TTIK incluidos en el programa se definen como valores semestrales que se calculan como:</w:t>
      </w:r>
    </w:p>
    <w:p w14:paraId="54ED4ADD" w14:textId="77777777" w:rsidR="00334A89" w:rsidRPr="00865ABC" w:rsidRDefault="00334A89" w:rsidP="00334A89">
      <w:pPr>
        <w:ind w:left="709"/>
        <w:jc w:val="center"/>
        <w:rPr>
          <w:lang w:val="es-ES_tradnl"/>
        </w:rPr>
      </w:pPr>
      <w:r w:rsidRPr="00865ABC">
        <w:rPr>
          <w:lang w:val="es-ES_tradnl"/>
        </w:rPr>
        <w:t xml:space="preserve">FMIK = Frecuencia media de interrupción por kVA instalado = </w:t>
      </w:r>
      <w:r w:rsidRPr="00865ABC">
        <w:rPr>
          <w:noProof/>
          <w:position w:val="-24"/>
        </w:rPr>
        <w:drawing>
          <wp:inline distT="0" distB="0" distL="0" distR="0" wp14:anchorId="6C4A784D" wp14:editId="7FF62578">
            <wp:extent cx="688340" cy="64516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8340" cy="645160"/>
                    </a:xfrm>
                    <a:prstGeom prst="rect">
                      <a:avLst/>
                    </a:prstGeom>
                    <a:solidFill>
                      <a:schemeClr val="bg1">
                        <a:lumMod val="100000"/>
                        <a:lumOff val="0"/>
                      </a:schemeClr>
                    </a:solidFill>
                    <a:ln>
                      <a:noFill/>
                    </a:ln>
                  </pic:spPr>
                </pic:pic>
              </a:graphicData>
            </a:graphic>
          </wp:inline>
        </w:drawing>
      </w:r>
    </w:p>
    <w:p w14:paraId="2E5DD687" w14:textId="77777777" w:rsidR="00334A89" w:rsidRPr="00865ABC" w:rsidRDefault="00334A89" w:rsidP="00334A89">
      <w:pPr>
        <w:ind w:left="1701" w:hanging="992"/>
        <w:jc w:val="both"/>
        <w:rPr>
          <w:lang w:val="es-ES_tradnl"/>
        </w:rPr>
      </w:pPr>
      <w:r w:rsidRPr="00865ABC">
        <w:rPr>
          <w:lang w:val="es-ES_tradnl"/>
        </w:rPr>
        <w:lastRenderedPageBreak/>
        <w:t>Donde kVAfs</w:t>
      </w:r>
      <w:r w:rsidRPr="00865ABC">
        <w:rPr>
          <w:vertAlign w:val="subscript"/>
          <w:lang w:val="es-ES_tradnl"/>
        </w:rPr>
        <w:t>i</w:t>
      </w:r>
      <w:r w:rsidRPr="00865ABC">
        <w:rPr>
          <w:lang w:val="es-ES_tradnl"/>
        </w:rPr>
        <w:t>: Potencia nominal fuera de servicio a causa de la interrupción “i”</w:t>
      </w:r>
    </w:p>
    <w:p w14:paraId="60FBD581" w14:textId="77777777" w:rsidR="00334A89" w:rsidRPr="00865ABC" w:rsidRDefault="00334A89" w:rsidP="00334A89">
      <w:pPr>
        <w:pStyle w:val="BankNormal"/>
        <w:spacing w:before="0"/>
        <w:ind w:left="720" w:firstLine="720"/>
        <w:rPr>
          <w:lang w:val="es-ES_tradnl"/>
        </w:rPr>
      </w:pPr>
      <w:r w:rsidRPr="00865ABC">
        <w:rPr>
          <w:lang w:val="es-ES_tradnl"/>
        </w:rPr>
        <w:t>kVAinst: Potencia nominal total instalada.</w:t>
      </w:r>
    </w:p>
    <w:p w14:paraId="383A953F" w14:textId="77777777" w:rsidR="00334A89" w:rsidRPr="00865ABC" w:rsidRDefault="00334A89" w:rsidP="00334A89">
      <w:pPr>
        <w:pStyle w:val="BankNormal"/>
        <w:spacing w:after="120"/>
        <w:ind w:left="709" w:hanging="349"/>
        <w:rPr>
          <w:lang w:val="es-ES_tradnl"/>
        </w:rPr>
      </w:pPr>
      <w:r w:rsidRPr="00865ABC">
        <w:rPr>
          <w:lang w:val="es-ES_tradnl"/>
        </w:rPr>
        <w:t xml:space="preserve">TTIK = Tiempo total de interrupción por kVA nominal instalado  = </w:t>
      </w:r>
      <w:r w:rsidRPr="00865ABC">
        <w:rPr>
          <w:noProof/>
          <w:position w:val="-24"/>
        </w:rPr>
        <w:drawing>
          <wp:inline distT="0" distB="0" distL="0" distR="0" wp14:anchorId="21086468" wp14:editId="5A00AE57">
            <wp:extent cx="1000760" cy="64516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00760" cy="645160"/>
                    </a:xfrm>
                    <a:prstGeom prst="rect">
                      <a:avLst/>
                    </a:prstGeom>
                    <a:solidFill>
                      <a:schemeClr val="bg1">
                        <a:lumMod val="100000"/>
                        <a:lumOff val="0"/>
                      </a:schemeClr>
                    </a:solidFill>
                    <a:ln>
                      <a:noFill/>
                    </a:ln>
                  </pic:spPr>
                </pic:pic>
              </a:graphicData>
            </a:graphic>
          </wp:inline>
        </w:drawing>
      </w:r>
    </w:p>
    <w:p w14:paraId="3A7C747E" w14:textId="77777777" w:rsidR="00334A89" w:rsidRPr="00865ABC" w:rsidRDefault="00334A89" w:rsidP="00334A89">
      <w:pPr>
        <w:ind w:left="1980" w:hanging="1271"/>
        <w:jc w:val="both"/>
        <w:rPr>
          <w:lang w:val="es-ES_tradnl"/>
        </w:rPr>
      </w:pPr>
      <w:r w:rsidRPr="00865ABC">
        <w:rPr>
          <w:lang w:val="es-ES_tradnl"/>
        </w:rPr>
        <w:t>Donde Tfs</w:t>
      </w:r>
      <w:r w:rsidRPr="00865ABC">
        <w:rPr>
          <w:vertAlign w:val="subscript"/>
          <w:lang w:val="es-ES_tradnl"/>
        </w:rPr>
        <w:t>i</w:t>
      </w:r>
      <w:r w:rsidRPr="00865ABC">
        <w:rPr>
          <w:lang w:val="es-ES_tradnl"/>
        </w:rPr>
        <w:t xml:space="preserve"> : Tiempo fuera de servicio de cada tramo de alimentador primario a causa de la interrupción “i”</w:t>
      </w:r>
    </w:p>
    <w:p w14:paraId="538DE11C" w14:textId="77777777" w:rsidR="00334A89" w:rsidRPr="00865ABC" w:rsidRDefault="00334A89" w:rsidP="00334A89">
      <w:pPr>
        <w:pStyle w:val="BankNormal"/>
        <w:spacing w:before="120"/>
        <w:ind w:firstLine="1440"/>
        <w:rPr>
          <w:lang w:val="es-ES_tradnl"/>
        </w:rPr>
      </w:pPr>
      <w:r w:rsidRPr="00865ABC">
        <w:rPr>
          <w:lang w:val="es-ES_tradnl"/>
        </w:rPr>
        <w:t>n : Número de interrupciones en el período de evaluación y control</w:t>
      </w:r>
    </w:p>
    <w:p w14:paraId="0501D920" w14:textId="77777777" w:rsidR="00334A89" w:rsidRPr="00865ABC" w:rsidRDefault="00334A89" w:rsidP="00334A89">
      <w:pPr>
        <w:pStyle w:val="Banknumbered"/>
      </w:pPr>
      <w:r w:rsidRPr="00865ABC">
        <w:rPr>
          <w:b/>
        </w:rPr>
        <w:t>Beneficios.</w:t>
      </w:r>
      <w:r w:rsidRPr="00865ABC">
        <w:t xml:space="preserve">  El beneficio económico de la mejora en los indicadores de calidad de servicio consiste en la reducción de la energía no suministrada (ENS) con y sin el proyecto.  El Anexo 1 de la Normativa de Calidad del INE provee las siguientes fórmulas para calcular la ENS cuando no se cumplen los límites regulados de los indicadores FMIK y TTIK:</w:t>
      </w:r>
    </w:p>
    <w:p w14:paraId="32F34DF5" w14:textId="77777777" w:rsidR="00334A89" w:rsidRPr="00865ABC" w:rsidRDefault="00334A89" w:rsidP="00334A89">
      <w:pPr>
        <w:rPr>
          <w:lang w:val="es-ES_tradnl"/>
        </w:rPr>
      </w:pPr>
      <w:r w:rsidRPr="00865ABC">
        <w:rPr>
          <w:lang w:val="es-ES_tradnl"/>
        </w:rPr>
        <w:t>Si se excede FMIK:</w:t>
      </w:r>
    </w:p>
    <w:p w14:paraId="3B0285B9" w14:textId="77777777" w:rsidR="00334A89" w:rsidRPr="00865ABC" w:rsidRDefault="00334A89" w:rsidP="00334A89">
      <w:pPr>
        <w:jc w:val="center"/>
        <w:rPr>
          <w:lang w:val="es-ES_tradnl"/>
        </w:rPr>
      </w:pPr>
      <w:r w:rsidRPr="00865ABC">
        <w:rPr>
          <w:lang w:val="es-ES_tradnl"/>
        </w:rPr>
        <w:t>ENS (kWh)=(FMIK</w:t>
      </w:r>
      <w:r w:rsidRPr="00865ABC">
        <w:rPr>
          <w:vertAlign w:val="subscript"/>
          <w:lang w:val="es-ES_tradnl"/>
        </w:rPr>
        <w:t>registrado</w:t>
      </w:r>
      <w:r w:rsidRPr="00865ABC">
        <w:rPr>
          <w:lang w:val="es-ES_tradnl"/>
        </w:rPr>
        <w:t xml:space="preserve"> – FMIK</w:t>
      </w:r>
      <w:r w:rsidRPr="00865ABC">
        <w:rPr>
          <w:vertAlign w:val="subscript"/>
          <w:lang w:val="es-ES_tradnl"/>
        </w:rPr>
        <w:t>normado</w:t>
      </w:r>
      <w:r w:rsidRPr="00865ABC">
        <w:rPr>
          <w:lang w:val="es-ES_tradnl"/>
        </w:rPr>
        <w:t xml:space="preserve"> )*(TTIK/FMIK)</w:t>
      </w:r>
      <w:r w:rsidRPr="00865ABC">
        <w:rPr>
          <w:vertAlign w:val="subscript"/>
          <w:lang w:val="es-ES_tradnl"/>
        </w:rPr>
        <w:t>registrados</w:t>
      </w:r>
      <w:r w:rsidRPr="00865ABC">
        <w:rPr>
          <w:lang w:val="es-ES_tradnl"/>
        </w:rPr>
        <w:t xml:space="preserve"> * Pti.</w:t>
      </w:r>
    </w:p>
    <w:p w14:paraId="6AD0DC40" w14:textId="77777777" w:rsidR="00334A89" w:rsidRPr="00865ABC" w:rsidRDefault="00334A89" w:rsidP="00334A89">
      <w:pPr>
        <w:rPr>
          <w:lang w:val="es-ES_tradnl"/>
        </w:rPr>
      </w:pPr>
      <w:r w:rsidRPr="00865ABC">
        <w:rPr>
          <w:lang w:val="es-ES_tradnl"/>
        </w:rPr>
        <w:t>Si se excede TTIK:</w:t>
      </w:r>
    </w:p>
    <w:p w14:paraId="699E7F7B" w14:textId="77777777" w:rsidR="00334A89" w:rsidRPr="00865ABC" w:rsidRDefault="00334A89" w:rsidP="00334A89">
      <w:pPr>
        <w:jc w:val="center"/>
        <w:rPr>
          <w:lang w:val="es-ES_tradnl"/>
        </w:rPr>
      </w:pPr>
      <w:r w:rsidRPr="00865ABC">
        <w:rPr>
          <w:lang w:val="es-ES_tradnl"/>
        </w:rPr>
        <w:t>ENS (kWh) = (TTIK</w:t>
      </w:r>
      <w:r w:rsidRPr="00865ABC">
        <w:rPr>
          <w:vertAlign w:val="subscript"/>
          <w:lang w:val="es-ES_tradnl"/>
        </w:rPr>
        <w:t>registrado</w:t>
      </w:r>
      <w:r w:rsidRPr="00865ABC">
        <w:rPr>
          <w:lang w:val="es-ES_tradnl"/>
        </w:rPr>
        <w:t xml:space="preserve"> – TTIK</w:t>
      </w:r>
      <w:r w:rsidRPr="00865ABC">
        <w:rPr>
          <w:vertAlign w:val="subscript"/>
          <w:lang w:val="es-ES_tradnl"/>
        </w:rPr>
        <w:t>normado</w:t>
      </w:r>
      <w:r w:rsidRPr="00865ABC">
        <w:rPr>
          <w:lang w:val="es-ES_tradnl"/>
        </w:rPr>
        <w:t>) * Pti.</w:t>
      </w:r>
    </w:p>
    <w:p w14:paraId="008D71D2" w14:textId="77777777" w:rsidR="00334A89" w:rsidRPr="00865ABC" w:rsidRDefault="00334A89" w:rsidP="00334A89">
      <w:pPr>
        <w:rPr>
          <w:lang w:val="es-ES_tradnl"/>
        </w:rPr>
      </w:pPr>
      <w:r w:rsidRPr="00865ABC">
        <w:rPr>
          <w:lang w:val="es-ES_tradnl"/>
        </w:rPr>
        <w:t>Donde Pti es el cociente entre la energía facturada por cada Empresa de Distribución en el semestre inmediato anterior al semestre controlado, y la cantidad total de horas del semestre correspondiente.  Para la evaluación económica interesa calcular la totalidad de la ENS para un valor dado de los parámetros FMIK y TTIK, en cuyo caso se reduce a:</w:t>
      </w:r>
    </w:p>
    <w:p w14:paraId="4D543A7D" w14:textId="77777777" w:rsidR="00334A89" w:rsidRPr="00865ABC" w:rsidRDefault="00334A89" w:rsidP="00334A89">
      <w:pPr>
        <w:jc w:val="center"/>
        <w:rPr>
          <w:lang w:val="es-ES_tradnl"/>
        </w:rPr>
      </w:pPr>
      <w:r w:rsidRPr="00865ABC">
        <w:rPr>
          <w:lang w:val="es-ES_tradnl"/>
        </w:rPr>
        <w:t>ENS (kWh) = TTIK</w:t>
      </w:r>
      <w:r w:rsidRPr="00865ABC">
        <w:rPr>
          <w:vertAlign w:val="subscript"/>
          <w:lang w:val="es-ES_tradnl"/>
        </w:rPr>
        <w:t>registrado</w:t>
      </w:r>
      <w:r w:rsidRPr="00865ABC">
        <w:rPr>
          <w:lang w:val="es-ES_tradnl"/>
        </w:rPr>
        <w:t xml:space="preserve"> * Pti</w:t>
      </w:r>
    </w:p>
    <w:p w14:paraId="3354A5E7" w14:textId="77777777" w:rsidR="00334A89" w:rsidRPr="00865ABC" w:rsidRDefault="00334A89" w:rsidP="00334A89">
      <w:pPr>
        <w:rPr>
          <w:lang w:val="es-ES_tradnl"/>
        </w:rPr>
      </w:pPr>
      <w:r w:rsidRPr="00865ABC">
        <w:rPr>
          <w:lang w:val="es-ES_tradnl"/>
        </w:rPr>
        <w:t>La ENS se valora como mínimo al valor de la tarifa, y lo más razonable es atribuirle un costo de racionamiento.  En la planificación del Plan Indicativo Regional se adopta como costo de la energía no servida un valor de US$800/MWh para déficits inferiores a 2% de la demanda y un valor de US$1500/MWh para déficits superiores</w:t>
      </w:r>
      <w:r w:rsidRPr="00865ABC">
        <w:rPr>
          <w:rStyle w:val="FootnoteReference"/>
          <w:lang w:val="es-ES_tradnl"/>
        </w:rPr>
        <w:footnoteReference w:id="2"/>
      </w:r>
      <w:r w:rsidRPr="00865ABC">
        <w:rPr>
          <w:lang w:val="es-ES_tradnl"/>
        </w:rPr>
        <w:t xml:space="preserve">.  En el presente análisis se adoptó el valor de US$1500/MWh, considerando que los déficits en cuestión son de relativamente corta duración pero inesperados y pueden conllevar pérdidas económicas altas.  Esto equivale a un costo de déficit de aproximadamente 6 veces la tarifa media. </w:t>
      </w:r>
    </w:p>
    <w:p w14:paraId="687C8AC6" w14:textId="300B6736" w:rsidR="00536D69" w:rsidRDefault="00334A89" w:rsidP="00334A89">
      <w:pPr>
        <w:pStyle w:val="Banknumbered"/>
      </w:pPr>
      <w:r w:rsidRPr="00865ABC">
        <w:t xml:space="preserve">Los beneficios se evalúan comparando la ENS sin proyecto, y la ENS con proyecto.  La diferencia de ENS se valora al costo de déficit para obtener los beneficios del proyecto. </w:t>
      </w:r>
      <w:r w:rsidR="00536D69">
        <w:t>En las evaluaciones de los tramos anteriores se utilizó como valor del TTIK sin proyecto el valor registrado en la información</w:t>
      </w:r>
      <w:r w:rsidR="004E5BEE">
        <w:t xml:space="preserve"> del INE para 2012, y reflejada en la matriz de resultados de agosto de 2013. Este valor fue revisado posteriormente por el INE, de tal manera que los índices TTIK reportados para 2012 se encontraban dentro de la norma. La presente evaluación supone que el TTIK en el escenario sin proyecto se </w:t>
      </w:r>
      <w:r w:rsidR="004E5BEE">
        <w:lastRenderedPageBreak/>
        <w:t>deteriora progresivamente por la ausencia de inversiones para mantener la calidad de servicio; los valores utilizados con proyecto son aquellos reportados por el INE hasta 2016.</w:t>
      </w:r>
    </w:p>
    <w:p w14:paraId="516D61B7" w14:textId="0CE4B1D0" w:rsidR="00334A89" w:rsidRPr="00865ABC" w:rsidRDefault="00334A89" w:rsidP="00334A89">
      <w:pPr>
        <w:pStyle w:val="Banknumbered"/>
      </w:pPr>
      <w:r w:rsidRPr="00865ABC">
        <w:t xml:space="preserve"> El Cuadro 1 r</w:t>
      </w:r>
      <w:r>
        <w:t>esume los beneficios calculados, de acuerdo con las estadísticas del INE actualizadas a 2016.</w:t>
      </w:r>
    </w:p>
    <w:p w14:paraId="38694C1F" w14:textId="7A00CB81" w:rsidR="00334A89" w:rsidRDefault="00E96455" w:rsidP="00334A89">
      <w:pPr>
        <w:keepNext/>
        <w:jc w:val="center"/>
        <w:rPr>
          <w:sz w:val="20"/>
          <w:szCs w:val="20"/>
          <w:lang w:val="es-ES_tradnl"/>
        </w:rPr>
      </w:pPr>
      <w:r w:rsidRPr="00E96455">
        <w:rPr>
          <w:sz w:val="20"/>
          <w:szCs w:val="20"/>
          <w:lang w:val="es-ES_tradnl"/>
        </w:rPr>
        <w:fldChar w:fldCharType="begin"/>
      </w:r>
      <w:r w:rsidRPr="00E96455">
        <w:rPr>
          <w:sz w:val="20"/>
          <w:szCs w:val="20"/>
          <w:lang w:val="es-ES_tradnl"/>
        </w:rPr>
        <w:instrText xml:space="preserve"> REF _Ref362015802 \h </w:instrText>
      </w:r>
      <w:r w:rsidRPr="00E96455">
        <w:rPr>
          <w:sz w:val="20"/>
          <w:szCs w:val="20"/>
          <w:lang w:val="es-ES_tradnl"/>
        </w:rPr>
      </w:r>
      <w:r w:rsidRPr="00E96455">
        <w:rPr>
          <w:sz w:val="20"/>
          <w:szCs w:val="20"/>
          <w:lang w:val="es-ES_tradnl"/>
        </w:rPr>
        <w:fldChar w:fldCharType="separate"/>
      </w:r>
      <w:r w:rsidRPr="00E96455">
        <w:rPr>
          <w:sz w:val="20"/>
          <w:szCs w:val="20"/>
          <w:lang w:val="es-ES_tradnl"/>
        </w:rPr>
        <w:t xml:space="preserve">Cuadro </w:t>
      </w:r>
      <w:r w:rsidRPr="00E96455">
        <w:rPr>
          <w:noProof/>
          <w:sz w:val="20"/>
          <w:szCs w:val="20"/>
          <w:lang w:val="es-ES_tradnl"/>
        </w:rPr>
        <w:t>1</w:t>
      </w:r>
      <w:r w:rsidRPr="00E96455">
        <w:rPr>
          <w:sz w:val="20"/>
          <w:szCs w:val="20"/>
          <w:lang w:val="es-ES_tradnl"/>
        </w:rPr>
        <w:fldChar w:fldCharType="end"/>
      </w:r>
      <w:r>
        <w:rPr>
          <w:sz w:val="20"/>
          <w:szCs w:val="20"/>
          <w:lang w:val="es-ES_tradnl"/>
        </w:rPr>
        <w:t>.</w:t>
      </w:r>
      <w:r w:rsidRPr="00E96455">
        <w:rPr>
          <w:sz w:val="20"/>
          <w:szCs w:val="20"/>
          <w:lang w:val="es-ES_tradnl"/>
        </w:rPr>
        <w:t xml:space="preserve"> </w:t>
      </w:r>
      <w:r w:rsidR="00334A89" w:rsidRPr="00E96455">
        <w:rPr>
          <w:sz w:val="20"/>
          <w:szCs w:val="20"/>
          <w:lang w:val="es-ES_tradnl"/>
        </w:rPr>
        <w:t>Valoración de Beneficios de las Mejoras de Calidad de Servicio</w:t>
      </w:r>
    </w:p>
    <w:p w14:paraId="577293D9" w14:textId="2D51EE9F" w:rsidR="00F53BCD" w:rsidRPr="00E96455" w:rsidRDefault="00F53BCD" w:rsidP="00334A89">
      <w:pPr>
        <w:keepNext/>
        <w:jc w:val="center"/>
        <w:rPr>
          <w:sz w:val="20"/>
          <w:szCs w:val="20"/>
          <w:lang w:val="es-ES_tradnl"/>
        </w:rPr>
      </w:pPr>
      <w:r>
        <w:rPr>
          <w:noProof/>
          <w:sz w:val="20"/>
          <w:szCs w:val="20"/>
        </w:rPr>
        <w:drawing>
          <wp:inline distT="0" distB="0" distL="0" distR="0" wp14:anchorId="32224FE5" wp14:editId="24A5F7E5">
            <wp:extent cx="5486400" cy="1689768"/>
            <wp:effectExtent l="0" t="0" r="0" b="12065"/>
            <wp:docPr id="1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86400" cy="1689768"/>
                    </a:xfrm>
                    <a:prstGeom prst="rect">
                      <a:avLst/>
                    </a:prstGeom>
                    <a:noFill/>
                    <a:ln>
                      <a:noFill/>
                    </a:ln>
                  </pic:spPr>
                </pic:pic>
              </a:graphicData>
            </a:graphic>
          </wp:inline>
        </w:drawing>
      </w:r>
    </w:p>
    <w:p w14:paraId="474DF382" w14:textId="3BD43D26" w:rsidR="00334A89" w:rsidRDefault="00334A89" w:rsidP="00F53BCD">
      <w:pPr>
        <w:widowControl w:val="0"/>
        <w:autoSpaceDE w:val="0"/>
        <w:autoSpaceDN w:val="0"/>
        <w:adjustRightInd w:val="0"/>
        <w:spacing w:after="240"/>
        <w:rPr>
          <w:lang w:val="es-ES_tradnl"/>
        </w:rPr>
      </w:pPr>
      <w:r w:rsidRPr="00865ABC">
        <w:rPr>
          <w:b/>
          <w:lang w:val="es-ES_tradnl"/>
        </w:rPr>
        <w:t>Costos.</w:t>
      </w:r>
      <w:r w:rsidRPr="00865ABC">
        <w:rPr>
          <w:lang w:val="es-ES_tradnl"/>
        </w:rPr>
        <w:t xml:space="preserve">  Para el período 2013–2018, los costos de mejora de la calidad de servicio se infieren de las inversiones de las distribuidoras, las cuales tienen un compromiso total de inversión de US$75M sobre dicho período para mejorar la calidad y el control del suministro eléctrico, ampliar la cobertura y reducir pérdidas. </w:t>
      </w:r>
      <w:r>
        <w:rPr>
          <w:lang w:val="es-ES_tradnl"/>
        </w:rPr>
        <w:t xml:space="preserve">Hasta 2015 se había concretado una inversión de US$52.9M, de los cuales </w:t>
      </w:r>
      <w:r w:rsidR="000D1C8C">
        <w:rPr>
          <w:lang w:val="es-ES_tradnl"/>
        </w:rPr>
        <w:t>24% corresponde</w:t>
      </w:r>
      <w:r w:rsidR="00214076">
        <w:rPr>
          <w:lang w:val="es-ES_tradnl"/>
        </w:rPr>
        <w:t>n</w:t>
      </w:r>
      <w:r w:rsidR="000D1C8C">
        <w:rPr>
          <w:lang w:val="es-ES_tradnl"/>
        </w:rPr>
        <w:t xml:space="preserve"> a mejoras en la calidad del servicio; repartiendo el saldo del compromiso de inversión entre 2016 y 2017 y estimando</w:t>
      </w:r>
      <w:r w:rsidRPr="00865ABC">
        <w:rPr>
          <w:lang w:val="es-ES_tradnl"/>
        </w:rPr>
        <w:t xml:space="preserve"> costos de Operación y Mantenimiento </w:t>
      </w:r>
      <w:r w:rsidR="000D1C8C">
        <w:rPr>
          <w:lang w:val="es-ES_tradnl"/>
        </w:rPr>
        <w:t>del orden de 3% de la inversión acumulada se obtiene la estimación de costos del Cuadro 2, junto con los beneficios anuales y los beneficios netos.</w:t>
      </w:r>
    </w:p>
    <w:p w14:paraId="766811D2" w14:textId="59411B76" w:rsidR="00214076" w:rsidRDefault="00E96455" w:rsidP="00214076">
      <w:pPr>
        <w:jc w:val="center"/>
        <w:rPr>
          <w:sz w:val="20"/>
          <w:szCs w:val="20"/>
          <w:lang w:val="es-ES_tradnl"/>
        </w:rPr>
      </w:pPr>
      <w:r>
        <w:rPr>
          <w:sz w:val="20"/>
          <w:szCs w:val="20"/>
          <w:lang w:val="es-ES_tradnl"/>
        </w:rPr>
        <w:t>Cuadro 2</w:t>
      </w:r>
      <w:r w:rsidR="00214076" w:rsidRPr="00865ABC">
        <w:rPr>
          <w:sz w:val="20"/>
          <w:szCs w:val="20"/>
          <w:lang w:val="es-ES_tradnl"/>
        </w:rPr>
        <w:t>. Beneficios Anuales, Costos Anuales, y Beneficios Netos</w:t>
      </w:r>
    </w:p>
    <w:p w14:paraId="5A105EE8" w14:textId="22D7E77E" w:rsidR="00F53BCD" w:rsidRDefault="00F53BCD" w:rsidP="00214076">
      <w:pPr>
        <w:jc w:val="center"/>
        <w:rPr>
          <w:sz w:val="20"/>
          <w:szCs w:val="20"/>
          <w:lang w:val="es-ES_tradnl"/>
        </w:rPr>
      </w:pPr>
      <w:r>
        <w:rPr>
          <w:noProof/>
          <w:sz w:val="20"/>
          <w:szCs w:val="20"/>
        </w:rPr>
        <w:drawing>
          <wp:inline distT="0" distB="0" distL="0" distR="0" wp14:anchorId="306D6A73" wp14:editId="3CC2DBB5">
            <wp:extent cx="5486400" cy="768096"/>
            <wp:effectExtent l="0" t="0" r="0" b="0"/>
            <wp:docPr id="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768096"/>
                    </a:xfrm>
                    <a:prstGeom prst="rect">
                      <a:avLst/>
                    </a:prstGeom>
                    <a:noFill/>
                    <a:ln>
                      <a:noFill/>
                    </a:ln>
                  </pic:spPr>
                </pic:pic>
              </a:graphicData>
            </a:graphic>
          </wp:inline>
        </w:drawing>
      </w:r>
    </w:p>
    <w:p w14:paraId="6F305119" w14:textId="77777777" w:rsidR="00214076" w:rsidRPr="00865ABC" w:rsidRDefault="00214076" w:rsidP="00214076">
      <w:pPr>
        <w:ind w:left="720"/>
        <w:rPr>
          <w:lang w:val="es-ES_tradnl"/>
        </w:rPr>
      </w:pPr>
      <w:r w:rsidRPr="00865ABC">
        <w:rPr>
          <w:lang w:val="es-ES_tradnl"/>
        </w:rPr>
        <w:t>Los resultados económicos se resumen así:</w:t>
      </w:r>
    </w:p>
    <w:p w14:paraId="2BA40F10" w14:textId="225A7ED9" w:rsidR="00214076" w:rsidRPr="00865ABC" w:rsidRDefault="00214076" w:rsidP="00214076">
      <w:pPr>
        <w:ind w:left="720"/>
        <w:rPr>
          <w:lang w:val="es-ES_tradnl"/>
        </w:rPr>
      </w:pPr>
      <w:r w:rsidRPr="00865ABC">
        <w:rPr>
          <w:lang w:val="es-ES_tradnl"/>
        </w:rPr>
        <w:t>VPN de Beneficios (12%)</w:t>
      </w:r>
      <w:r w:rsidRPr="00865ABC">
        <w:rPr>
          <w:lang w:val="es-ES_tradnl"/>
        </w:rPr>
        <w:tab/>
      </w:r>
      <w:r w:rsidRPr="00865ABC">
        <w:rPr>
          <w:lang w:val="es-ES_tradnl"/>
        </w:rPr>
        <w:tab/>
      </w:r>
      <w:r w:rsidRPr="00865ABC">
        <w:rPr>
          <w:lang w:val="es-ES_tradnl"/>
        </w:rPr>
        <w:tab/>
      </w:r>
      <w:r w:rsidR="00F53BCD">
        <w:rPr>
          <w:lang w:val="es-ES_tradnl"/>
        </w:rPr>
        <w:t>16.20</w:t>
      </w:r>
      <w:r w:rsidRPr="00865ABC">
        <w:rPr>
          <w:lang w:val="es-ES_tradnl"/>
        </w:rPr>
        <w:t>M$</w:t>
      </w:r>
    </w:p>
    <w:p w14:paraId="4FE2B0B4" w14:textId="4861F51C" w:rsidR="00214076" w:rsidRPr="00865ABC" w:rsidRDefault="00214076" w:rsidP="00214076">
      <w:pPr>
        <w:spacing w:before="0"/>
        <w:ind w:left="720"/>
        <w:rPr>
          <w:lang w:val="es-ES_tradnl"/>
        </w:rPr>
      </w:pPr>
      <w:r w:rsidRPr="00865ABC">
        <w:rPr>
          <w:lang w:val="es-ES_tradnl"/>
        </w:rPr>
        <w:t>VPN de Costos (12%)</w:t>
      </w:r>
      <w:r w:rsidRPr="00865ABC">
        <w:rPr>
          <w:lang w:val="es-ES_tradnl"/>
        </w:rPr>
        <w:tab/>
      </w:r>
      <w:r w:rsidRPr="00865ABC">
        <w:rPr>
          <w:lang w:val="es-ES_tradnl"/>
        </w:rPr>
        <w:tab/>
      </w:r>
      <w:r w:rsidRPr="00865ABC">
        <w:rPr>
          <w:lang w:val="es-ES_tradnl"/>
        </w:rPr>
        <w:tab/>
      </w:r>
      <w:r w:rsidRPr="00865ABC">
        <w:rPr>
          <w:lang w:val="es-ES_tradnl"/>
        </w:rPr>
        <w:tab/>
      </w:r>
      <w:r>
        <w:rPr>
          <w:lang w:val="es-ES_tradnl"/>
        </w:rPr>
        <w:t>12.41</w:t>
      </w:r>
      <w:r w:rsidRPr="00865ABC">
        <w:rPr>
          <w:lang w:val="es-ES_tradnl"/>
        </w:rPr>
        <w:t>M$</w:t>
      </w:r>
    </w:p>
    <w:p w14:paraId="46A1C5B4" w14:textId="21A89088" w:rsidR="00214076" w:rsidRPr="00865ABC" w:rsidRDefault="00214076" w:rsidP="00214076">
      <w:pPr>
        <w:spacing w:before="0"/>
        <w:ind w:left="720"/>
        <w:rPr>
          <w:lang w:val="es-ES_tradnl"/>
        </w:rPr>
      </w:pPr>
      <w:r w:rsidRPr="00865ABC">
        <w:rPr>
          <w:lang w:val="es-ES_tradnl"/>
        </w:rPr>
        <w:t>Relación B/C</w:t>
      </w:r>
      <w:r w:rsidRPr="00865ABC">
        <w:rPr>
          <w:lang w:val="es-ES_tradnl"/>
        </w:rPr>
        <w:tab/>
      </w:r>
      <w:r w:rsidRPr="00865ABC">
        <w:rPr>
          <w:lang w:val="es-ES_tradnl"/>
        </w:rPr>
        <w:tab/>
      </w:r>
      <w:r w:rsidRPr="00865ABC">
        <w:rPr>
          <w:lang w:val="es-ES_tradnl"/>
        </w:rPr>
        <w:tab/>
      </w:r>
      <w:r w:rsidRPr="00865ABC">
        <w:rPr>
          <w:lang w:val="es-ES_tradnl"/>
        </w:rPr>
        <w:tab/>
      </w:r>
      <w:r w:rsidRPr="00865ABC">
        <w:rPr>
          <w:lang w:val="es-ES_tradnl"/>
        </w:rPr>
        <w:tab/>
        <w:t>1.</w:t>
      </w:r>
      <w:r w:rsidR="00F53BCD">
        <w:rPr>
          <w:lang w:val="es-ES_tradnl"/>
        </w:rPr>
        <w:t>31</w:t>
      </w:r>
    </w:p>
    <w:p w14:paraId="472A5BD6" w14:textId="6DC73A96" w:rsidR="00214076" w:rsidRPr="00865ABC" w:rsidRDefault="00214076" w:rsidP="00214076">
      <w:pPr>
        <w:spacing w:before="0"/>
        <w:ind w:left="720"/>
        <w:rPr>
          <w:lang w:val="es-ES_tradnl"/>
        </w:rPr>
      </w:pPr>
      <w:r w:rsidRPr="00865ABC">
        <w:rPr>
          <w:lang w:val="es-ES_tradnl"/>
        </w:rPr>
        <w:t>Tasa Interna de Retorno Económica</w:t>
      </w:r>
      <w:r w:rsidR="00F53BCD">
        <w:rPr>
          <w:lang w:val="es-ES_tradnl"/>
        </w:rPr>
        <w:t xml:space="preserve"> (TIR)</w:t>
      </w:r>
      <w:r w:rsidRPr="00865ABC">
        <w:rPr>
          <w:lang w:val="es-ES_tradnl"/>
        </w:rPr>
        <w:tab/>
      </w:r>
      <w:r w:rsidR="00F53BCD">
        <w:rPr>
          <w:lang w:val="es-ES_tradnl"/>
        </w:rPr>
        <w:t>12</w:t>
      </w:r>
      <w:r w:rsidRPr="00865ABC">
        <w:rPr>
          <w:lang w:val="es-ES_tradnl"/>
        </w:rPr>
        <w:t>%</w:t>
      </w:r>
    </w:p>
    <w:p w14:paraId="3145C2DD" w14:textId="0F1F76BE" w:rsidR="00214076" w:rsidRPr="00865ABC" w:rsidRDefault="00214076" w:rsidP="00214076">
      <w:pPr>
        <w:rPr>
          <w:lang w:val="es-ES_tradnl"/>
        </w:rPr>
      </w:pPr>
      <w:r w:rsidRPr="00865ABC">
        <w:rPr>
          <w:lang w:val="es-ES_tradnl"/>
        </w:rPr>
        <w:t>Las mejoras de calidad de servicio con los supuestos utilizados son rentables al arrojar valores presentes de beneficios</w:t>
      </w:r>
      <w:r w:rsidR="006C6E80">
        <w:rPr>
          <w:lang w:val="es-ES_tradnl"/>
        </w:rPr>
        <w:t xml:space="preserve"> superiores a los costos</w:t>
      </w:r>
      <w:r w:rsidRPr="00865ABC">
        <w:rPr>
          <w:lang w:val="es-ES_tradnl"/>
        </w:rPr>
        <w:t xml:space="preserve"> para la tasa de descuento de referencia de 12%</w:t>
      </w:r>
      <w:r w:rsidR="00F53BCD">
        <w:rPr>
          <w:lang w:val="es-ES_tradnl"/>
        </w:rPr>
        <w:t>; la TIR está en dicho nivel</w:t>
      </w:r>
      <w:r w:rsidRPr="00865ABC">
        <w:rPr>
          <w:lang w:val="es-ES_tradnl"/>
        </w:rPr>
        <w:t xml:space="preserve">.  Este resultado es conservador porque la reducción en ENS está asociada con la energía facturada y no con la energía efectivamente consumida (legal o ilegalmente); como las pérdidas comerciales son relativamente altas, y que los ‘apagones’ afectan tanto a los consumidores legales como a aquellos que no están siendo facturados (para los cuales hay un valor económico asociado </w:t>
      </w:r>
      <w:r w:rsidRPr="00865ABC">
        <w:rPr>
          <w:lang w:val="es-ES_tradnl"/>
        </w:rPr>
        <w:lastRenderedPageBreak/>
        <w:t>con los cortes de energía), la ENS está subvalorada y el valor económico es superior al calculado en el caso base.  Este efecto se analiza a continuación en el análisis de sensibilidad.</w:t>
      </w:r>
    </w:p>
    <w:p w14:paraId="5C517771" w14:textId="77777777" w:rsidR="00214076" w:rsidRDefault="00214076" w:rsidP="00214076">
      <w:pPr>
        <w:pStyle w:val="Banknumbered"/>
      </w:pPr>
      <w:r w:rsidRPr="00865ABC">
        <w:rPr>
          <w:b/>
        </w:rPr>
        <w:t>Análisis de sensibilidad.</w:t>
      </w:r>
      <w:r w:rsidRPr="00865ABC">
        <w:t xml:space="preserve">  Se realizaron las siguientes variaciones para probar la robustez de los resultados obtenidos:</w:t>
      </w:r>
    </w:p>
    <w:p w14:paraId="3C601E1E" w14:textId="02559CD4" w:rsidR="00214076" w:rsidRPr="00865ABC" w:rsidRDefault="00214076" w:rsidP="00214076">
      <w:pPr>
        <w:pStyle w:val="Bullet"/>
        <w:rPr>
          <w:lang w:val="es-ES_tradnl"/>
        </w:rPr>
      </w:pPr>
      <w:r w:rsidRPr="00865ABC">
        <w:rPr>
          <w:lang w:val="es-ES_tradnl"/>
        </w:rPr>
        <w:t>Incremento de 10% en el monto de la ENS</w:t>
      </w:r>
      <w:r w:rsidR="000F013C">
        <w:rPr>
          <w:lang w:val="es-ES_tradnl"/>
        </w:rPr>
        <w:t xml:space="preserve"> que el proyecto permite reducir</w:t>
      </w:r>
      <w:r w:rsidR="007A6157">
        <w:rPr>
          <w:lang w:val="es-ES_tradnl"/>
        </w:rPr>
        <w:t>, lo cual reflejaría la subestimación mencionada anteriormente</w:t>
      </w:r>
      <w:r w:rsidRPr="00865ABC">
        <w:rPr>
          <w:lang w:val="es-ES_tradnl"/>
        </w:rPr>
        <w:t>;</w:t>
      </w:r>
      <w:r w:rsidR="007A6157">
        <w:rPr>
          <w:lang w:val="es-ES_tradnl"/>
        </w:rPr>
        <w:t xml:space="preserve"> y</w:t>
      </w:r>
    </w:p>
    <w:p w14:paraId="4E70263C" w14:textId="77777777" w:rsidR="00214076" w:rsidRPr="00865ABC" w:rsidRDefault="00214076" w:rsidP="00214076">
      <w:pPr>
        <w:pStyle w:val="Bullet"/>
        <w:rPr>
          <w:lang w:val="es-ES_tradnl"/>
        </w:rPr>
      </w:pPr>
      <w:r w:rsidRPr="00865ABC">
        <w:rPr>
          <w:lang w:val="es-ES_tradnl"/>
        </w:rPr>
        <w:t>Valor de la ENS reducido por 20% a US$1200/MWh</w:t>
      </w:r>
    </w:p>
    <w:p w14:paraId="3F77B49F" w14:textId="77777777" w:rsidR="00214076" w:rsidRPr="00865ABC" w:rsidRDefault="00214076" w:rsidP="00214076">
      <w:pPr>
        <w:rPr>
          <w:lang w:val="es-ES_tradnl"/>
        </w:rPr>
      </w:pPr>
      <w:r w:rsidRPr="00865ABC">
        <w:rPr>
          <w:lang w:val="es-ES_tradnl"/>
        </w:rPr>
        <w:t>El Cuadro 3 resume los resultados obtenidos.</w:t>
      </w:r>
    </w:p>
    <w:p w14:paraId="6E591605" w14:textId="1426D610" w:rsidR="00214076" w:rsidRPr="00E96455" w:rsidRDefault="00214076" w:rsidP="00E96455">
      <w:pPr>
        <w:pStyle w:val="Caption"/>
        <w:spacing w:before="120" w:after="0"/>
        <w:jc w:val="center"/>
        <w:rPr>
          <w:b w:val="0"/>
          <w:color w:val="auto"/>
          <w:sz w:val="20"/>
          <w:szCs w:val="20"/>
          <w:lang w:val="es-ES_tradnl"/>
        </w:rPr>
      </w:pPr>
      <w:r w:rsidRPr="00E96455">
        <w:rPr>
          <w:b w:val="0"/>
          <w:color w:val="auto"/>
          <w:sz w:val="20"/>
          <w:szCs w:val="20"/>
          <w:lang w:val="es-ES_tradnl"/>
        </w:rPr>
        <w:t>Cuadro 3.  Análisis de Sensibilidad de las Mejoras de Calidad de Servicio</w:t>
      </w:r>
    </w:p>
    <w:tbl>
      <w:tblPr>
        <w:tblStyle w:val="TableGrid"/>
        <w:tblW w:w="0" w:type="auto"/>
        <w:jc w:val="center"/>
        <w:tblLook w:val="04A0" w:firstRow="1" w:lastRow="0" w:firstColumn="1" w:lastColumn="0" w:noHBand="0" w:noVBand="1"/>
      </w:tblPr>
      <w:tblGrid>
        <w:gridCol w:w="2103"/>
        <w:gridCol w:w="1397"/>
        <w:gridCol w:w="1503"/>
        <w:gridCol w:w="1522"/>
      </w:tblGrid>
      <w:tr w:rsidR="00F53BCD" w:rsidRPr="00865ABC" w14:paraId="32481442" w14:textId="77777777" w:rsidTr="00667936">
        <w:trPr>
          <w:jc w:val="center"/>
        </w:trPr>
        <w:tc>
          <w:tcPr>
            <w:tcW w:w="2103" w:type="dxa"/>
            <w:vAlign w:val="center"/>
          </w:tcPr>
          <w:p w14:paraId="6AAEAAFC" w14:textId="77777777" w:rsidR="00F53BCD" w:rsidRPr="00865ABC" w:rsidRDefault="00F53BCD" w:rsidP="00214076">
            <w:pPr>
              <w:keepNext/>
              <w:spacing w:before="0"/>
              <w:jc w:val="center"/>
              <w:rPr>
                <w:lang w:val="es-ES_tradnl"/>
              </w:rPr>
            </w:pPr>
          </w:p>
        </w:tc>
        <w:tc>
          <w:tcPr>
            <w:tcW w:w="1397" w:type="dxa"/>
            <w:vAlign w:val="center"/>
          </w:tcPr>
          <w:p w14:paraId="6DCC6385" w14:textId="67E0C15F" w:rsidR="00F53BCD" w:rsidRPr="00865ABC" w:rsidRDefault="00F53BCD" w:rsidP="00667936">
            <w:pPr>
              <w:keepNext/>
              <w:spacing w:before="0"/>
              <w:jc w:val="center"/>
              <w:rPr>
                <w:lang w:val="es-ES_tradnl"/>
              </w:rPr>
            </w:pPr>
            <w:r>
              <w:rPr>
                <w:lang w:val="es-ES_tradnl"/>
              </w:rPr>
              <w:t>Caso Base</w:t>
            </w:r>
          </w:p>
        </w:tc>
        <w:tc>
          <w:tcPr>
            <w:tcW w:w="1503" w:type="dxa"/>
            <w:vAlign w:val="center"/>
          </w:tcPr>
          <w:p w14:paraId="10323F72" w14:textId="1C5343F6" w:rsidR="00F53BCD" w:rsidRPr="00865ABC" w:rsidRDefault="00F53BCD" w:rsidP="00214076">
            <w:pPr>
              <w:keepNext/>
              <w:spacing w:before="0"/>
              <w:jc w:val="center"/>
              <w:rPr>
                <w:lang w:val="es-ES_tradnl"/>
              </w:rPr>
            </w:pPr>
            <w:r w:rsidRPr="00865ABC">
              <w:rPr>
                <w:lang w:val="es-ES_tradnl"/>
              </w:rPr>
              <w:t>ENS</w:t>
            </w:r>
            <w:r>
              <w:rPr>
                <w:lang w:val="es-ES_tradnl"/>
              </w:rPr>
              <w:t xml:space="preserve"> reducida en</w:t>
            </w:r>
            <w:r w:rsidRPr="00865ABC">
              <w:rPr>
                <w:lang w:val="es-ES_tradnl"/>
              </w:rPr>
              <w:t xml:space="preserve"> +10%</w:t>
            </w:r>
          </w:p>
        </w:tc>
        <w:tc>
          <w:tcPr>
            <w:tcW w:w="1522" w:type="dxa"/>
            <w:vAlign w:val="center"/>
          </w:tcPr>
          <w:p w14:paraId="72B8B015" w14:textId="00954D2A" w:rsidR="00F53BCD" w:rsidRPr="00865ABC" w:rsidRDefault="00667936" w:rsidP="00A24FDB">
            <w:pPr>
              <w:keepNext/>
              <w:spacing w:before="0"/>
              <w:jc w:val="center"/>
              <w:rPr>
                <w:lang w:val="es-ES_tradnl"/>
              </w:rPr>
            </w:pPr>
            <w:r>
              <w:rPr>
                <w:lang w:val="es-ES_tradnl"/>
              </w:rPr>
              <w:t>V</w:t>
            </w:r>
            <w:r w:rsidR="00F53BCD">
              <w:rPr>
                <w:lang w:val="es-ES_tradnl"/>
              </w:rPr>
              <w:t xml:space="preserve">alor </w:t>
            </w:r>
            <w:r w:rsidR="00F53BCD" w:rsidRPr="00865ABC">
              <w:rPr>
                <w:lang w:val="es-ES_tradnl"/>
              </w:rPr>
              <w:t xml:space="preserve">ENS </w:t>
            </w:r>
            <w:r w:rsidR="00F53BCD">
              <w:rPr>
                <w:lang w:val="es-ES_tradnl"/>
              </w:rPr>
              <w:t xml:space="preserve">a </w:t>
            </w:r>
            <w:r w:rsidR="00F53BCD" w:rsidRPr="00865ABC">
              <w:rPr>
                <w:lang w:val="es-ES_tradnl"/>
              </w:rPr>
              <w:t>$1200/MWh</w:t>
            </w:r>
          </w:p>
        </w:tc>
      </w:tr>
      <w:tr w:rsidR="00F53BCD" w:rsidRPr="00865ABC" w14:paraId="62C7A8C5" w14:textId="77777777" w:rsidTr="00AA08E0">
        <w:trPr>
          <w:jc w:val="center"/>
        </w:trPr>
        <w:tc>
          <w:tcPr>
            <w:tcW w:w="2103" w:type="dxa"/>
          </w:tcPr>
          <w:p w14:paraId="123E00EB" w14:textId="77777777" w:rsidR="00F53BCD" w:rsidRPr="00865ABC" w:rsidRDefault="00F53BCD" w:rsidP="00214076">
            <w:pPr>
              <w:keepNext/>
              <w:spacing w:before="0"/>
              <w:rPr>
                <w:lang w:val="es-ES_tradnl"/>
              </w:rPr>
            </w:pPr>
            <w:r w:rsidRPr="00865ABC">
              <w:rPr>
                <w:lang w:val="es-ES_tradnl"/>
              </w:rPr>
              <w:t>VPN Beneficios M$</w:t>
            </w:r>
          </w:p>
        </w:tc>
        <w:tc>
          <w:tcPr>
            <w:tcW w:w="1397" w:type="dxa"/>
          </w:tcPr>
          <w:p w14:paraId="4D69DA30" w14:textId="1749787D" w:rsidR="00F53BCD" w:rsidRPr="00865ABC" w:rsidRDefault="00F53BCD" w:rsidP="00214076">
            <w:pPr>
              <w:keepNext/>
              <w:spacing w:before="0"/>
              <w:jc w:val="center"/>
              <w:rPr>
                <w:lang w:val="es-ES_tradnl"/>
              </w:rPr>
            </w:pPr>
            <w:r>
              <w:rPr>
                <w:lang w:val="es-ES_tradnl"/>
              </w:rPr>
              <w:t>$16.20</w:t>
            </w:r>
          </w:p>
        </w:tc>
        <w:tc>
          <w:tcPr>
            <w:tcW w:w="1503" w:type="dxa"/>
            <w:vAlign w:val="bottom"/>
          </w:tcPr>
          <w:p w14:paraId="347D5049" w14:textId="5EF9C70C" w:rsidR="00F53BCD" w:rsidRPr="00865ABC" w:rsidRDefault="00F53BCD" w:rsidP="00A24FDB">
            <w:pPr>
              <w:keepNext/>
              <w:spacing w:before="0"/>
              <w:jc w:val="center"/>
              <w:rPr>
                <w:lang w:val="es-ES_tradnl"/>
              </w:rPr>
            </w:pPr>
            <w:r w:rsidRPr="00865ABC">
              <w:rPr>
                <w:lang w:val="es-ES_tradnl"/>
              </w:rPr>
              <w:t>$</w:t>
            </w:r>
            <w:r>
              <w:rPr>
                <w:lang w:val="es-ES_tradnl"/>
              </w:rPr>
              <w:t>17.82</w:t>
            </w:r>
          </w:p>
        </w:tc>
        <w:tc>
          <w:tcPr>
            <w:tcW w:w="1522" w:type="dxa"/>
            <w:vAlign w:val="bottom"/>
          </w:tcPr>
          <w:p w14:paraId="467DCA53" w14:textId="4A4CA363" w:rsidR="00F53BCD" w:rsidRPr="00865ABC" w:rsidRDefault="00F53BCD" w:rsidP="000F013C">
            <w:pPr>
              <w:keepNext/>
              <w:spacing w:before="0"/>
              <w:jc w:val="center"/>
              <w:rPr>
                <w:lang w:val="es-ES_tradnl"/>
              </w:rPr>
            </w:pPr>
            <w:r w:rsidRPr="00865ABC">
              <w:rPr>
                <w:lang w:val="es-ES_tradnl"/>
              </w:rPr>
              <w:t>$</w:t>
            </w:r>
            <w:r>
              <w:rPr>
                <w:lang w:val="es-ES_tradnl"/>
              </w:rPr>
              <w:t>12.96</w:t>
            </w:r>
          </w:p>
        </w:tc>
      </w:tr>
      <w:tr w:rsidR="00F53BCD" w:rsidRPr="00865ABC" w14:paraId="2DFB7A2D" w14:textId="77777777" w:rsidTr="00AA08E0">
        <w:trPr>
          <w:jc w:val="center"/>
        </w:trPr>
        <w:tc>
          <w:tcPr>
            <w:tcW w:w="2103" w:type="dxa"/>
          </w:tcPr>
          <w:p w14:paraId="20A26682" w14:textId="77777777" w:rsidR="00F53BCD" w:rsidRPr="00865ABC" w:rsidRDefault="00F53BCD" w:rsidP="00214076">
            <w:pPr>
              <w:keepNext/>
              <w:spacing w:before="0"/>
              <w:rPr>
                <w:lang w:val="es-ES_tradnl"/>
              </w:rPr>
            </w:pPr>
            <w:r w:rsidRPr="00865ABC">
              <w:rPr>
                <w:lang w:val="es-ES_tradnl"/>
              </w:rPr>
              <w:t>VPN Costos M$</w:t>
            </w:r>
          </w:p>
        </w:tc>
        <w:tc>
          <w:tcPr>
            <w:tcW w:w="1397" w:type="dxa"/>
          </w:tcPr>
          <w:p w14:paraId="00F5689D" w14:textId="78A017E4" w:rsidR="00F53BCD" w:rsidRPr="00865ABC" w:rsidRDefault="00F53BCD" w:rsidP="00214076">
            <w:pPr>
              <w:keepNext/>
              <w:spacing w:before="0"/>
              <w:jc w:val="center"/>
              <w:rPr>
                <w:lang w:val="es-ES_tradnl"/>
              </w:rPr>
            </w:pPr>
            <w:r>
              <w:rPr>
                <w:lang w:val="es-ES_tradnl"/>
              </w:rPr>
              <w:t>$12.41</w:t>
            </w:r>
          </w:p>
        </w:tc>
        <w:tc>
          <w:tcPr>
            <w:tcW w:w="1503" w:type="dxa"/>
            <w:vAlign w:val="bottom"/>
          </w:tcPr>
          <w:p w14:paraId="5EFA8ED7" w14:textId="614CC59B" w:rsidR="00F53BCD" w:rsidRPr="00865ABC" w:rsidRDefault="00F53BCD" w:rsidP="00A24FDB">
            <w:pPr>
              <w:keepNext/>
              <w:spacing w:before="0"/>
              <w:jc w:val="center"/>
              <w:rPr>
                <w:lang w:val="es-ES_tradnl"/>
              </w:rPr>
            </w:pPr>
            <w:r w:rsidRPr="00865ABC">
              <w:rPr>
                <w:lang w:val="es-ES_tradnl"/>
              </w:rPr>
              <w:t>$</w:t>
            </w:r>
            <w:r>
              <w:rPr>
                <w:lang w:val="es-ES_tradnl"/>
              </w:rPr>
              <w:t>12.41</w:t>
            </w:r>
          </w:p>
        </w:tc>
        <w:tc>
          <w:tcPr>
            <w:tcW w:w="1522" w:type="dxa"/>
            <w:vAlign w:val="bottom"/>
          </w:tcPr>
          <w:p w14:paraId="4D46BE33" w14:textId="77777777" w:rsidR="00F53BCD" w:rsidRPr="00865ABC" w:rsidRDefault="00F53BCD" w:rsidP="00214076">
            <w:pPr>
              <w:keepNext/>
              <w:spacing w:before="0"/>
              <w:jc w:val="center"/>
              <w:rPr>
                <w:lang w:val="es-ES_tradnl"/>
              </w:rPr>
            </w:pPr>
            <w:r w:rsidRPr="00865ABC">
              <w:rPr>
                <w:lang w:val="es-ES_tradnl"/>
              </w:rPr>
              <w:t>$12.41</w:t>
            </w:r>
          </w:p>
        </w:tc>
      </w:tr>
      <w:tr w:rsidR="00F53BCD" w:rsidRPr="00865ABC" w14:paraId="03FAFCD5" w14:textId="77777777" w:rsidTr="00AA08E0">
        <w:trPr>
          <w:jc w:val="center"/>
        </w:trPr>
        <w:tc>
          <w:tcPr>
            <w:tcW w:w="2103" w:type="dxa"/>
          </w:tcPr>
          <w:p w14:paraId="238AED69" w14:textId="77777777" w:rsidR="00F53BCD" w:rsidRPr="00865ABC" w:rsidRDefault="00F53BCD" w:rsidP="00214076">
            <w:pPr>
              <w:keepNext/>
              <w:spacing w:before="0"/>
              <w:rPr>
                <w:lang w:val="es-ES_tradnl"/>
              </w:rPr>
            </w:pPr>
            <w:r w:rsidRPr="00865ABC">
              <w:rPr>
                <w:lang w:val="es-ES_tradnl"/>
              </w:rPr>
              <w:t>Relación B/C</w:t>
            </w:r>
          </w:p>
        </w:tc>
        <w:tc>
          <w:tcPr>
            <w:tcW w:w="1397" w:type="dxa"/>
          </w:tcPr>
          <w:p w14:paraId="5D6AB820" w14:textId="30C186C8" w:rsidR="00F53BCD" w:rsidRPr="00865ABC" w:rsidRDefault="00F53BCD" w:rsidP="00214076">
            <w:pPr>
              <w:keepNext/>
              <w:spacing w:before="0"/>
              <w:jc w:val="center"/>
              <w:rPr>
                <w:lang w:val="es-ES_tradnl"/>
              </w:rPr>
            </w:pPr>
            <w:r>
              <w:rPr>
                <w:lang w:val="es-ES_tradnl"/>
              </w:rPr>
              <w:t>1.31</w:t>
            </w:r>
          </w:p>
        </w:tc>
        <w:tc>
          <w:tcPr>
            <w:tcW w:w="1503" w:type="dxa"/>
            <w:vAlign w:val="bottom"/>
          </w:tcPr>
          <w:p w14:paraId="7C6FA5DB" w14:textId="64893EAD" w:rsidR="00F53BCD" w:rsidRPr="00865ABC" w:rsidRDefault="00F53BCD" w:rsidP="00214076">
            <w:pPr>
              <w:keepNext/>
              <w:spacing w:before="0"/>
              <w:jc w:val="center"/>
              <w:rPr>
                <w:lang w:val="es-ES_tradnl"/>
              </w:rPr>
            </w:pPr>
            <w:r>
              <w:rPr>
                <w:lang w:val="es-ES_tradnl"/>
              </w:rPr>
              <w:t>1.44</w:t>
            </w:r>
          </w:p>
        </w:tc>
        <w:tc>
          <w:tcPr>
            <w:tcW w:w="1522" w:type="dxa"/>
            <w:vAlign w:val="bottom"/>
          </w:tcPr>
          <w:p w14:paraId="623AC741" w14:textId="66121164" w:rsidR="00F53BCD" w:rsidRPr="00865ABC" w:rsidRDefault="00F53BCD" w:rsidP="000F013C">
            <w:pPr>
              <w:keepNext/>
              <w:spacing w:before="0"/>
              <w:jc w:val="center"/>
              <w:rPr>
                <w:lang w:val="es-ES_tradnl"/>
              </w:rPr>
            </w:pPr>
            <w:r>
              <w:rPr>
                <w:lang w:val="es-ES_tradnl"/>
              </w:rPr>
              <w:t>1.04</w:t>
            </w:r>
          </w:p>
        </w:tc>
      </w:tr>
      <w:tr w:rsidR="00F53BCD" w:rsidRPr="00865ABC" w14:paraId="3660C977" w14:textId="77777777" w:rsidTr="00AA08E0">
        <w:trPr>
          <w:jc w:val="center"/>
        </w:trPr>
        <w:tc>
          <w:tcPr>
            <w:tcW w:w="2103" w:type="dxa"/>
          </w:tcPr>
          <w:p w14:paraId="4EC2204A" w14:textId="77777777" w:rsidR="00F53BCD" w:rsidRPr="00865ABC" w:rsidRDefault="00F53BCD" w:rsidP="00214076">
            <w:pPr>
              <w:spacing w:before="0"/>
              <w:rPr>
                <w:lang w:val="es-ES_tradnl"/>
              </w:rPr>
            </w:pPr>
            <w:r w:rsidRPr="00865ABC">
              <w:rPr>
                <w:lang w:val="es-ES_tradnl"/>
              </w:rPr>
              <w:t>TIR Económica</w:t>
            </w:r>
          </w:p>
        </w:tc>
        <w:tc>
          <w:tcPr>
            <w:tcW w:w="1397" w:type="dxa"/>
          </w:tcPr>
          <w:p w14:paraId="7B711B56" w14:textId="4C2F8128" w:rsidR="00F53BCD" w:rsidRPr="00865ABC" w:rsidRDefault="00F53BCD" w:rsidP="00667936">
            <w:pPr>
              <w:keepNext/>
              <w:spacing w:before="0"/>
              <w:jc w:val="center"/>
              <w:rPr>
                <w:lang w:val="es-ES_tradnl"/>
              </w:rPr>
            </w:pPr>
            <w:r>
              <w:rPr>
                <w:lang w:val="es-ES_tradnl"/>
              </w:rPr>
              <w:t>1</w:t>
            </w:r>
            <w:r w:rsidR="00667936">
              <w:rPr>
                <w:lang w:val="es-ES_tradnl"/>
              </w:rPr>
              <w:t>2</w:t>
            </w:r>
            <w:r>
              <w:rPr>
                <w:lang w:val="es-ES_tradnl"/>
              </w:rPr>
              <w:t>%</w:t>
            </w:r>
          </w:p>
        </w:tc>
        <w:tc>
          <w:tcPr>
            <w:tcW w:w="1503" w:type="dxa"/>
            <w:vAlign w:val="bottom"/>
          </w:tcPr>
          <w:p w14:paraId="09888F3E" w14:textId="7FA07CC8" w:rsidR="00F53BCD" w:rsidRPr="00865ABC" w:rsidRDefault="00F53BCD" w:rsidP="007A6157">
            <w:pPr>
              <w:keepNext/>
              <w:spacing w:before="0"/>
              <w:jc w:val="center"/>
              <w:rPr>
                <w:lang w:val="es-ES_tradnl"/>
              </w:rPr>
            </w:pPr>
            <w:r w:rsidRPr="00865ABC">
              <w:rPr>
                <w:lang w:val="es-ES_tradnl"/>
              </w:rPr>
              <w:t>1</w:t>
            </w:r>
            <w:r>
              <w:rPr>
                <w:lang w:val="es-ES_tradnl"/>
              </w:rPr>
              <w:t>5%</w:t>
            </w:r>
          </w:p>
        </w:tc>
        <w:tc>
          <w:tcPr>
            <w:tcW w:w="1522" w:type="dxa"/>
            <w:vAlign w:val="bottom"/>
          </w:tcPr>
          <w:p w14:paraId="56EBFD49" w14:textId="5E3214C6" w:rsidR="00F53BCD" w:rsidRPr="00865ABC" w:rsidRDefault="00F53BCD" w:rsidP="00214076">
            <w:pPr>
              <w:keepNext/>
              <w:spacing w:before="0"/>
              <w:jc w:val="center"/>
              <w:rPr>
                <w:lang w:val="es-ES_tradnl"/>
              </w:rPr>
            </w:pPr>
            <w:r>
              <w:rPr>
                <w:lang w:val="es-ES_tradnl"/>
              </w:rPr>
              <w:t>5.</w:t>
            </w:r>
            <w:r w:rsidRPr="00865ABC">
              <w:rPr>
                <w:lang w:val="es-ES_tradnl"/>
              </w:rPr>
              <w:t>5%</w:t>
            </w:r>
          </w:p>
        </w:tc>
      </w:tr>
    </w:tbl>
    <w:p w14:paraId="3A1D9BF1" w14:textId="36338E8A" w:rsidR="00214076" w:rsidRPr="00865ABC" w:rsidRDefault="007A6157" w:rsidP="00214076">
      <w:pPr>
        <w:rPr>
          <w:lang w:val="es-ES_tradnl"/>
        </w:rPr>
      </w:pPr>
      <w:r>
        <w:rPr>
          <w:lang w:val="es-ES_tradnl"/>
        </w:rPr>
        <w:t xml:space="preserve">Si </w:t>
      </w:r>
      <w:r w:rsidR="000F013C">
        <w:rPr>
          <w:lang w:val="es-ES_tradnl"/>
        </w:rPr>
        <w:t>la reducción de ENS asociada con el proyecto aumenta en 1</w:t>
      </w:r>
      <w:r>
        <w:rPr>
          <w:lang w:val="es-ES_tradnl"/>
        </w:rPr>
        <w:t>0%,</w:t>
      </w:r>
      <w:r w:rsidR="000F013C">
        <w:rPr>
          <w:lang w:val="es-ES_tradnl"/>
        </w:rPr>
        <w:t xml:space="preserve"> la TIR llega a 15%</w:t>
      </w:r>
      <w:r>
        <w:rPr>
          <w:lang w:val="es-ES_tradnl"/>
        </w:rPr>
        <w:t>;</w:t>
      </w:r>
      <w:r w:rsidR="000F013C">
        <w:rPr>
          <w:lang w:val="es-ES_tradnl"/>
        </w:rPr>
        <w:t xml:space="preserve"> </w:t>
      </w:r>
      <w:r>
        <w:rPr>
          <w:lang w:val="es-ES_tradnl"/>
        </w:rPr>
        <w:t>l</w:t>
      </w:r>
      <w:r w:rsidR="00214076" w:rsidRPr="00865ABC">
        <w:rPr>
          <w:lang w:val="es-ES_tradnl"/>
        </w:rPr>
        <w:t>a variable con mayor influencia es el valor asignado a la ENS. La sensi</w:t>
      </w:r>
      <w:r w:rsidR="000F013C">
        <w:rPr>
          <w:lang w:val="es-ES_tradnl"/>
        </w:rPr>
        <w:t>bilidad</w:t>
      </w:r>
      <w:r w:rsidR="00214076" w:rsidRPr="00865ABC">
        <w:rPr>
          <w:lang w:val="es-ES_tradnl"/>
        </w:rPr>
        <w:t xml:space="preserve"> (elasticidad) resultante de la TIR respecto al valor de la ENS es muy alta, del orden de </w:t>
      </w:r>
      <w:r w:rsidR="00E96455">
        <w:rPr>
          <w:lang w:val="es-ES_tradnl"/>
        </w:rPr>
        <w:t>2.7</w:t>
      </w:r>
      <w:r w:rsidR="00214076" w:rsidRPr="00865ABC">
        <w:rPr>
          <w:lang w:val="es-ES_tradnl"/>
        </w:rPr>
        <w:t xml:space="preserve"> (</w:t>
      </w:r>
      <w:r w:rsidR="00E96455">
        <w:rPr>
          <w:lang w:val="es-ES_tradnl"/>
        </w:rPr>
        <w:t>270</w:t>
      </w:r>
      <w:r w:rsidR="00214076" w:rsidRPr="00865ABC">
        <w:rPr>
          <w:lang w:val="es-ES_tradnl"/>
        </w:rPr>
        <w:t>%).</w:t>
      </w:r>
    </w:p>
    <w:p w14:paraId="6BC7DF82" w14:textId="77777777" w:rsidR="00214076" w:rsidRPr="00334A89" w:rsidRDefault="00214076" w:rsidP="00214076">
      <w:pPr>
        <w:spacing w:before="0"/>
        <w:jc w:val="both"/>
        <w:rPr>
          <w:sz w:val="22"/>
        </w:rPr>
      </w:pPr>
    </w:p>
    <w:p w14:paraId="407C281D" w14:textId="77777777" w:rsidR="007E2AAF" w:rsidRPr="008C36B0" w:rsidRDefault="005616AD" w:rsidP="005616AD">
      <w:pPr>
        <w:keepNext/>
        <w:rPr>
          <w:b/>
          <w:lang w:val="es-ES_tradnl"/>
        </w:rPr>
      </w:pPr>
      <w:r w:rsidRPr="008C36B0">
        <w:rPr>
          <w:b/>
          <w:lang w:val="es-ES_tradnl"/>
        </w:rPr>
        <w:t>Evaluación de la ampliación de la cobertura eléctrica</w:t>
      </w:r>
    </w:p>
    <w:p w14:paraId="50DF448E" w14:textId="16B1CF66" w:rsidR="00EF5BE0" w:rsidRPr="008C36B0" w:rsidRDefault="00EF5BE0" w:rsidP="00C114A9">
      <w:pPr>
        <w:pStyle w:val="Banknumbered"/>
      </w:pPr>
      <w:r w:rsidRPr="008C36B0">
        <w:rPr>
          <w:b/>
        </w:rPr>
        <w:t>Resultados a la fecha.</w:t>
      </w:r>
      <w:r w:rsidRPr="008C36B0">
        <w:t xml:space="preserve"> Nicaragua ha tenido un incremento impresionante de la cobertura de electricidad, habiendo pasado de 73.7% en 2012 a 90.1%</w:t>
      </w:r>
      <w:r w:rsidRPr="008C36B0">
        <w:rPr>
          <w:rStyle w:val="FootnoteReference"/>
        </w:rPr>
        <w:footnoteReference w:id="3"/>
      </w:r>
      <w:r w:rsidRPr="008C36B0">
        <w:t xml:space="preserve"> en 2016, tal como se ilustra en la Figura 1:</w:t>
      </w:r>
    </w:p>
    <w:p w14:paraId="01EB3B2A" w14:textId="66743CDF" w:rsidR="00EF5BE0" w:rsidRPr="008C36B0" w:rsidRDefault="00EF5BE0" w:rsidP="00EF5BE0">
      <w:pPr>
        <w:keepNext/>
        <w:jc w:val="center"/>
        <w:rPr>
          <w:sz w:val="20"/>
          <w:szCs w:val="20"/>
          <w:lang w:val="es-ES_tradnl"/>
        </w:rPr>
      </w:pPr>
      <w:r w:rsidRPr="008C36B0">
        <w:rPr>
          <w:sz w:val="20"/>
          <w:szCs w:val="20"/>
          <w:lang w:val="es-ES_tradnl"/>
        </w:rPr>
        <w:t>Figura 1</w:t>
      </w:r>
    </w:p>
    <w:p w14:paraId="1F3B3BF1" w14:textId="24259B10" w:rsidR="00EF5BE0" w:rsidRPr="008C36B0" w:rsidRDefault="00EF5BE0" w:rsidP="00EF5BE0">
      <w:pPr>
        <w:jc w:val="center"/>
        <w:rPr>
          <w:lang w:val="es-ES_tradnl"/>
        </w:rPr>
      </w:pPr>
      <w:r w:rsidRPr="008C36B0">
        <w:rPr>
          <w:noProof/>
        </w:rPr>
        <w:drawing>
          <wp:inline distT="0" distB="0" distL="0" distR="0" wp14:anchorId="38495C0D" wp14:editId="47E43CD8">
            <wp:extent cx="2857500" cy="1873250"/>
            <wp:effectExtent l="0" t="0" r="1270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873250"/>
                    </a:xfrm>
                    <a:prstGeom prst="rect">
                      <a:avLst/>
                    </a:prstGeom>
                    <a:noFill/>
                    <a:ln>
                      <a:noFill/>
                    </a:ln>
                  </pic:spPr>
                </pic:pic>
              </a:graphicData>
            </a:graphic>
          </wp:inline>
        </w:drawing>
      </w:r>
    </w:p>
    <w:p w14:paraId="67A2B8E1" w14:textId="20748BF7" w:rsidR="00EF5BE0" w:rsidRPr="008C36B0" w:rsidRDefault="00EF5BE0" w:rsidP="00EF5BE0">
      <w:pPr>
        <w:rPr>
          <w:lang w:val="es-ES_tradnl"/>
        </w:rPr>
      </w:pPr>
      <w:r w:rsidRPr="008C36B0">
        <w:rPr>
          <w:lang w:val="es-ES_tradnl"/>
        </w:rPr>
        <w:t>Este incremento ha sido posible tanto por el compromiso de inversión de las empresas de distribución como por proyectos financiados por organizaciones multilaterales, como el PNESER, los cuales han apoyado la elec</w:t>
      </w:r>
      <w:r w:rsidR="007A6157">
        <w:rPr>
          <w:lang w:val="es-ES_tradnl"/>
        </w:rPr>
        <w:t>trificación peri-urbana y rural, incluyendo la instalación de sistemas solares en zonas aisladas.</w:t>
      </w:r>
    </w:p>
    <w:p w14:paraId="31A4EA0B" w14:textId="77777777" w:rsidR="00D01A65" w:rsidRPr="008C36B0" w:rsidRDefault="009349D2" w:rsidP="009349D2">
      <w:pPr>
        <w:pStyle w:val="Banknumbered"/>
      </w:pPr>
      <w:r w:rsidRPr="008C36B0">
        <w:rPr>
          <w:b/>
        </w:rPr>
        <w:lastRenderedPageBreak/>
        <w:t>Cuantificación del efecto de los proyectos de electrificación.</w:t>
      </w:r>
      <w:r w:rsidRPr="008C36B0">
        <w:t xml:space="preserve"> Para entender el efecto de los proyectos de electrificación es necesario </w:t>
      </w:r>
      <w:r w:rsidR="00D01A65" w:rsidRPr="008C36B0">
        <w:t>distinguir entre el crecimiento vegetativo del número de consumidores y el aumento propiciado por los proyectos. En el Cuadro 1 se ilustra el efecto de una situación sin proyecto, en el cual se mantiene constante la tasa de electrificación, y la situación con los proyectos de electrificación; la diferencia entre el aumento de consumidores con y sin los proyectos son aquellos directamente beneficiados por dichas iniciativas.</w:t>
      </w:r>
    </w:p>
    <w:p w14:paraId="7545677F" w14:textId="75F312A3" w:rsidR="008C36B0" w:rsidRPr="008C36B0" w:rsidRDefault="00E96455" w:rsidP="00214076">
      <w:pPr>
        <w:keepNext/>
        <w:jc w:val="center"/>
        <w:rPr>
          <w:rFonts w:asciiTheme="majorHAnsi" w:hAnsiTheme="majorHAnsi"/>
          <w:sz w:val="20"/>
          <w:szCs w:val="20"/>
          <w:lang w:val="es-ES_tradnl"/>
        </w:rPr>
      </w:pPr>
      <w:r>
        <w:rPr>
          <w:rFonts w:asciiTheme="majorHAnsi" w:hAnsiTheme="majorHAnsi"/>
          <w:sz w:val="20"/>
          <w:szCs w:val="20"/>
          <w:lang w:val="es-ES_tradnl"/>
        </w:rPr>
        <w:t>Cuadro 4</w:t>
      </w:r>
      <w:r w:rsidR="008C36B0" w:rsidRPr="008C36B0">
        <w:rPr>
          <w:rFonts w:asciiTheme="majorHAnsi" w:hAnsiTheme="majorHAnsi"/>
          <w:sz w:val="20"/>
          <w:szCs w:val="20"/>
          <w:lang w:val="es-ES_tradnl"/>
        </w:rPr>
        <w:t>: Evolución del crecimiento poblacional y los hogares electrificados</w:t>
      </w:r>
    </w:p>
    <w:p w14:paraId="4F05690E" w14:textId="58737488" w:rsidR="009349D2" w:rsidRPr="008C36B0" w:rsidRDefault="00D01A65" w:rsidP="008C36B0">
      <w:pPr>
        <w:spacing w:before="0"/>
        <w:rPr>
          <w:lang w:val="es-ES_tradnl"/>
        </w:rPr>
      </w:pPr>
      <w:r w:rsidRPr="008C36B0">
        <w:rPr>
          <w:lang w:val="es-ES_tradnl"/>
        </w:rPr>
        <w:t xml:space="preserve"> </w:t>
      </w:r>
      <w:r w:rsidR="00D525B7" w:rsidRPr="008C36B0">
        <w:rPr>
          <w:noProof/>
        </w:rPr>
        <w:drawing>
          <wp:inline distT="0" distB="0" distL="0" distR="0" wp14:anchorId="6368BD0C" wp14:editId="7EE42793">
            <wp:extent cx="5486400" cy="1948441"/>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86400" cy="1948441"/>
                    </a:xfrm>
                    <a:prstGeom prst="rect">
                      <a:avLst/>
                    </a:prstGeom>
                    <a:noFill/>
                    <a:ln>
                      <a:noFill/>
                    </a:ln>
                  </pic:spPr>
                </pic:pic>
              </a:graphicData>
            </a:graphic>
          </wp:inline>
        </w:drawing>
      </w:r>
    </w:p>
    <w:p w14:paraId="3CD439C5" w14:textId="3284B6EE" w:rsidR="00D525B7" w:rsidRPr="008C36B0" w:rsidRDefault="00D525B7" w:rsidP="00D525B7">
      <w:pPr>
        <w:spacing w:before="0"/>
        <w:rPr>
          <w:sz w:val="18"/>
          <w:szCs w:val="18"/>
          <w:lang w:val="es-ES_tradnl"/>
        </w:rPr>
      </w:pPr>
      <w:r w:rsidRPr="008C36B0">
        <w:rPr>
          <w:sz w:val="18"/>
          <w:szCs w:val="18"/>
          <w:vertAlign w:val="superscript"/>
          <w:lang w:val="es-ES_tradnl"/>
        </w:rPr>
        <w:t>1</w:t>
      </w:r>
      <w:r w:rsidRPr="008C36B0">
        <w:rPr>
          <w:sz w:val="18"/>
          <w:szCs w:val="18"/>
          <w:lang w:val="es-ES_tradnl"/>
        </w:rPr>
        <w:t xml:space="preserve">Con base en 4.9 personas por hogar   </w:t>
      </w:r>
      <w:r w:rsidRPr="008C36B0">
        <w:rPr>
          <w:sz w:val="18"/>
          <w:szCs w:val="18"/>
          <w:vertAlign w:val="superscript"/>
          <w:lang w:val="es-ES_tradnl"/>
        </w:rPr>
        <w:t>2</w:t>
      </w:r>
      <w:r w:rsidRPr="008C36B0">
        <w:rPr>
          <w:sz w:val="18"/>
          <w:szCs w:val="18"/>
          <w:lang w:val="es-ES_tradnl"/>
        </w:rPr>
        <w:t>Fuente: INE</w:t>
      </w:r>
    </w:p>
    <w:p w14:paraId="25AE23CE" w14:textId="0068FF44" w:rsidR="00D525B7" w:rsidRPr="008C36B0" w:rsidRDefault="00D525B7" w:rsidP="00D525B7">
      <w:pPr>
        <w:rPr>
          <w:szCs w:val="24"/>
          <w:lang w:val="es-ES_tradnl"/>
        </w:rPr>
      </w:pPr>
      <w:r w:rsidRPr="008C36B0">
        <w:rPr>
          <w:szCs w:val="24"/>
          <w:lang w:val="es-ES_tradnl"/>
        </w:rPr>
        <w:t xml:space="preserve">Del Cuadro </w:t>
      </w:r>
      <w:r w:rsidR="00E96455">
        <w:rPr>
          <w:szCs w:val="24"/>
          <w:lang w:val="es-ES_tradnl"/>
        </w:rPr>
        <w:t>4</w:t>
      </w:r>
      <w:r w:rsidRPr="008C36B0">
        <w:rPr>
          <w:szCs w:val="24"/>
          <w:lang w:val="es-ES_tradnl"/>
        </w:rPr>
        <w:t xml:space="preserve"> se deduce que sin los esfuerzos de electrificación, los consumidores se habrían incrementado a razón de unos 10,000 usuarios por año; los proyectos de electrificación han permitido de 30,000 a 60,000 conexiones</w:t>
      </w:r>
      <w:r w:rsidR="00B31048">
        <w:rPr>
          <w:szCs w:val="24"/>
          <w:lang w:val="es-ES_tradnl"/>
        </w:rPr>
        <w:t xml:space="preserve"> por año</w:t>
      </w:r>
      <w:r w:rsidRPr="008C36B0">
        <w:rPr>
          <w:szCs w:val="24"/>
          <w:lang w:val="es-ES_tradnl"/>
        </w:rPr>
        <w:t xml:space="preserve"> adicionales. También se observa que la cobertura incluye los consumidores reportados por las empresas de distribución y las conexiones </w:t>
      </w:r>
      <w:r w:rsidR="008C36B0" w:rsidRPr="008C36B0">
        <w:rPr>
          <w:szCs w:val="24"/>
          <w:lang w:val="es-ES_tradnl"/>
        </w:rPr>
        <w:t>no facturadas, ya sea por fallas en los sistemas comerciales, o por estar asociadas con conexiones ilegales o informales.</w:t>
      </w:r>
    </w:p>
    <w:p w14:paraId="761BBE6B" w14:textId="6F0FED9E" w:rsidR="007E2AAF" w:rsidRPr="008C36B0" w:rsidRDefault="005616AD" w:rsidP="00C114A9">
      <w:pPr>
        <w:pStyle w:val="Banknumbered"/>
      </w:pPr>
      <w:r w:rsidRPr="008C36B0">
        <w:rPr>
          <w:b/>
        </w:rPr>
        <w:t>Metodología</w:t>
      </w:r>
      <w:r w:rsidR="008C36B0">
        <w:rPr>
          <w:b/>
        </w:rPr>
        <w:t xml:space="preserve"> para la evaluación económica</w:t>
      </w:r>
      <w:r w:rsidRPr="008C36B0">
        <w:rPr>
          <w:b/>
        </w:rPr>
        <w:t>.</w:t>
      </w:r>
      <w:r w:rsidRPr="008C36B0">
        <w:t xml:space="preserve">  Cuando se conectan consumidores que hasta la fecha carecen de servicio eléctrico, se generan beneficios económicos por un valor bruto equivalente al excedente del consumidor bajo la curva de demanda ta</w:t>
      </w:r>
      <w:r w:rsidR="00D91A8F">
        <w:t>l como se muestra en la Figura 2</w:t>
      </w:r>
      <w:r w:rsidRPr="008C36B0">
        <w:t>.</w:t>
      </w:r>
    </w:p>
    <w:p w14:paraId="2164FF91" w14:textId="77777777" w:rsidR="005616AD" w:rsidRPr="008C36B0" w:rsidRDefault="00C0415E" w:rsidP="00484C6C">
      <w:pPr>
        <w:rPr>
          <w:lang w:val="es-ES_tradnl"/>
        </w:rPr>
      </w:pPr>
      <w:r w:rsidRPr="008C36B0">
        <w:rPr>
          <w:noProof/>
        </w:rPr>
        <w:drawing>
          <wp:inline distT="0" distB="0" distL="0" distR="0" wp14:anchorId="49D3BB7A" wp14:editId="3F3DC416">
            <wp:extent cx="5486400" cy="2329962"/>
            <wp:effectExtent l="0" t="0" r="0" b="0"/>
            <wp:docPr id="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86400" cy="2329962"/>
                    </a:xfrm>
                    <a:prstGeom prst="rect">
                      <a:avLst/>
                    </a:prstGeom>
                    <a:noFill/>
                    <a:ln>
                      <a:noFill/>
                    </a:ln>
                  </pic:spPr>
                </pic:pic>
              </a:graphicData>
            </a:graphic>
          </wp:inline>
        </w:drawing>
      </w:r>
    </w:p>
    <w:p w14:paraId="3AAD1858" w14:textId="5C6E9B20" w:rsidR="005616AD" w:rsidRPr="008C36B0" w:rsidRDefault="00D91A8F" w:rsidP="007B490B">
      <w:pPr>
        <w:spacing w:before="0"/>
        <w:jc w:val="center"/>
        <w:rPr>
          <w:lang w:val="es-ES_tradnl"/>
        </w:rPr>
      </w:pPr>
      <w:r>
        <w:rPr>
          <w:lang w:val="es-ES_tradnl"/>
        </w:rPr>
        <w:t>Figura 2</w:t>
      </w:r>
    </w:p>
    <w:p w14:paraId="1D8BCA6D" w14:textId="77777777" w:rsidR="007E2AAF" w:rsidRPr="008C36B0" w:rsidRDefault="00516BA5" w:rsidP="00C114A9">
      <w:pPr>
        <w:pStyle w:val="Banknumbered"/>
      </w:pPr>
      <w:r w:rsidRPr="008C36B0">
        <w:rPr>
          <w:b/>
        </w:rPr>
        <w:lastRenderedPageBreak/>
        <w:t>Beneficios.</w:t>
      </w:r>
      <w:r w:rsidRPr="008C36B0">
        <w:t xml:space="preserve">  La cuantificación de los beneficios se lleva cabo siguiendo el siguiente procedimiento:</w:t>
      </w:r>
    </w:p>
    <w:p w14:paraId="16E18500" w14:textId="00434DAA" w:rsidR="00516BA5" w:rsidRPr="008C36B0" w:rsidRDefault="00BF4E6C" w:rsidP="00516BA5">
      <w:pPr>
        <w:pStyle w:val="Bullet"/>
        <w:rPr>
          <w:lang w:val="es-ES_tradnl"/>
        </w:rPr>
      </w:pPr>
      <w:r w:rsidRPr="008C36B0">
        <w:rPr>
          <w:lang w:val="es-ES_tradnl"/>
        </w:rPr>
        <w:t>Estimación de los beneficiados con el programa de electrificación con base en los estimativos de población de Nicaragua y el número promedio de personas por hogar</w:t>
      </w:r>
      <w:r w:rsidR="00D91A8F">
        <w:rPr>
          <w:lang w:val="es-ES_tradnl"/>
        </w:rPr>
        <w:t xml:space="preserve"> tal como se muestra en el Cuadro 1</w:t>
      </w:r>
      <w:r w:rsidR="00730423" w:rsidRPr="008C36B0">
        <w:rPr>
          <w:lang w:val="es-ES_tradnl"/>
        </w:rPr>
        <w:t xml:space="preserve">; </w:t>
      </w:r>
      <w:r w:rsidR="00D91A8F">
        <w:rPr>
          <w:lang w:val="es-ES_tradnl"/>
        </w:rPr>
        <w:t>para capturar el efecto en años posteriores a 2016 se supuso un incremento menor en la cobertura, lo cual refleja la dificultad de llegar a poblaciones más alejadas y dispersas.</w:t>
      </w:r>
      <w:r w:rsidRPr="008C36B0">
        <w:rPr>
          <w:lang w:val="es-ES_tradnl"/>
        </w:rPr>
        <w:t xml:space="preserve"> </w:t>
      </w:r>
    </w:p>
    <w:p w14:paraId="64B81CD3" w14:textId="4A39FFA5" w:rsidR="00BF4E6C" w:rsidRPr="008C36B0" w:rsidRDefault="00BF4E6C" w:rsidP="00B53190">
      <w:pPr>
        <w:pStyle w:val="Bullet"/>
        <w:rPr>
          <w:rFonts w:ascii="Times" w:eastAsiaTheme="minorEastAsia" w:hAnsi="Times" w:cs="Times"/>
          <w:szCs w:val="24"/>
          <w:lang w:val="es-ES_tradnl"/>
        </w:rPr>
      </w:pPr>
      <w:r w:rsidRPr="008C36B0">
        <w:rPr>
          <w:lang w:val="es-ES_tradnl"/>
        </w:rPr>
        <w:t>Asigna</w:t>
      </w:r>
      <w:r w:rsidR="00AB0EDF" w:rsidRPr="008C36B0">
        <w:rPr>
          <w:lang w:val="es-ES_tradnl"/>
        </w:rPr>
        <w:t>ción de</w:t>
      </w:r>
      <w:r w:rsidRPr="008C36B0">
        <w:rPr>
          <w:lang w:val="es-ES_tradnl"/>
        </w:rPr>
        <w:t xml:space="preserve"> un consumo básico a los nuevos clientes de las distribuidoras; este valor se sitúa alrededor de </w:t>
      </w:r>
      <w:r w:rsidR="00886688" w:rsidRPr="008C36B0">
        <w:rPr>
          <w:rFonts w:eastAsiaTheme="minorEastAsia"/>
          <w:szCs w:val="24"/>
          <w:lang w:val="es-ES_tradnl"/>
        </w:rPr>
        <w:t>1.17MWh</w:t>
      </w:r>
      <w:r w:rsidR="00886688" w:rsidRPr="008C36B0">
        <w:rPr>
          <w:rStyle w:val="FootnoteReference"/>
          <w:rFonts w:eastAsiaTheme="minorEastAsia"/>
          <w:szCs w:val="24"/>
          <w:lang w:val="es-ES_tradnl"/>
        </w:rPr>
        <w:footnoteReference w:id="4"/>
      </w:r>
      <w:r w:rsidRPr="008C36B0">
        <w:rPr>
          <w:lang w:val="es-ES_tradnl"/>
        </w:rPr>
        <w:t xml:space="preserve"> anuales por usuario </w:t>
      </w:r>
      <w:r w:rsidR="00886688" w:rsidRPr="008C36B0">
        <w:rPr>
          <w:lang w:val="es-ES_tradnl"/>
        </w:rPr>
        <w:t xml:space="preserve">residencial </w:t>
      </w:r>
      <w:r w:rsidRPr="008C36B0">
        <w:rPr>
          <w:lang w:val="es-ES_tradnl"/>
        </w:rPr>
        <w:t xml:space="preserve">(equivalentes a </w:t>
      </w:r>
      <w:r w:rsidR="00886688" w:rsidRPr="008C36B0">
        <w:rPr>
          <w:lang w:val="es-ES_tradnl"/>
        </w:rPr>
        <w:t xml:space="preserve">97.5kWh </w:t>
      </w:r>
      <w:r w:rsidRPr="008C36B0">
        <w:rPr>
          <w:lang w:val="es-ES_tradnl"/>
        </w:rPr>
        <w:t>mensuales); y</w:t>
      </w:r>
      <w:r w:rsidR="00B31048">
        <w:rPr>
          <w:lang w:val="es-ES_tradnl"/>
        </w:rPr>
        <w:t xml:space="preserve"> </w:t>
      </w:r>
    </w:p>
    <w:p w14:paraId="0636C3F7" w14:textId="7CC0B13F" w:rsidR="00BF4E6C" w:rsidRPr="008C36B0" w:rsidRDefault="00BF4E6C" w:rsidP="00BF4E6C">
      <w:pPr>
        <w:pStyle w:val="Bullet"/>
        <w:spacing w:before="240"/>
        <w:rPr>
          <w:lang w:val="es-ES_tradnl"/>
        </w:rPr>
      </w:pPr>
      <w:r w:rsidRPr="008C36B0">
        <w:rPr>
          <w:lang w:val="es-ES_tradnl"/>
        </w:rPr>
        <w:t xml:space="preserve">Calculando los beneficios asignando </w:t>
      </w:r>
      <w:r w:rsidR="009A54B4" w:rsidRPr="008C36B0">
        <w:rPr>
          <w:lang w:val="es-ES_tradnl"/>
        </w:rPr>
        <w:t>un</w:t>
      </w:r>
      <w:r w:rsidR="00B13C76" w:rsidRPr="008C36B0">
        <w:rPr>
          <w:lang w:val="es-ES_tradnl"/>
        </w:rPr>
        <w:t>a</w:t>
      </w:r>
      <w:r w:rsidR="009A54B4" w:rsidRPr="008C36B0">
        <w:rPr>
          <w:lang w:val="es-ES_tradnl"/>
        </w:rPr>
        <w:t xml:space="preserve"> voluntad de pago máxima (“</w:t>
      </w:r>
      <w:r w:rsidR="009A54B4" w:rsidRPr="00214076">
        <w:t>willingness to pay</w:t>
      </w:r>
      <w:r w:rsidR="00AB0EDF" w:rsidRPr="008C36B0">
        <w:rPr>
          <w:lang w:val="es-ES_tradnl"/>
        </w:rPr>
        <w:t>—WTP</w:t>
      </w:r>
      <w:r w:rsidR="009A54B4" w:rsidRPr="008C36B0">
        <w:rPr>
          <w:lang w:val="es-ES_tradnl"/>
        </w:rPr>
        <w:t>”)</w:t>
      </w:r>
      <w:r w:rsidR="00296A4E" w:rsidRPr="008C36B0">
        <w:rPr>
          <w:lang w:val="es-ES_tradnl"/>
        </w:rPr>
        <w:t xml:space="preserve"> para calcular el excedente del consumidor.  En este caso resulta razonable asignar un valor de alrededor de US$800/</w:t>
      </w:r>
      <w:r w:rsidR="00D91A8F">
        <w:rPr>
          <w:lang w:val="es-ES_tradnl"/>
        </w:rPr>
        <w:t>M</w:t>
      </w:r>
      <w:r w:rsidR="00296A4E" w:rsidRPr="008C36B0">
        <w:rPr>
          <w:lang w:val="es-ES_tradnl"/>
        </w:rPr>
        <w:t>Wh, el cual refleja el costo de déficit</w:t>
      </w:r>
      <w:r w:rsidR="00512D35" w:rsidRPr="008C36B0">
        <w:rPr>
          <w:lang w:val="es-ES_tradnl"/>
        </w:rPr>
        <w:t xml:space="preserve"> </w:t>
      </w:r>
      <w:r w:rsidR="00D91A8F">
        <w:rPr>
          <w:lang w:val="es-ES_tradnl"/>
        </w:rPr>
        <w:t>utilizado en programas de expansión.</w:t>
      </w:r>
      <w:r w:rsidR="00425D42" w:rsidRPr="008C36B0">
        <w:rPr>
          <w:lang w:val="es-ES_tradnl"/>
        </w:rPr>
        <w:t xml:space="preserve"> Además, los beneficios se calculan con el precio vigente para usuarios de </w:t>
      </w:r>
      <w:r w:rsidR="00DB7CDF" w:rsidRPr="008C36B0">
        <w:rPr>
          <w:lang w:val="es-ES_tradnl"/>
        </w:rPr>
        <w:t>97.5</w:t>
      </w:r>
      <w:r w:rsidR="00425D42" w:rsidRPr="008C36B0">
        <w:rPr>
          <w:lang w:val="es-ES_tradnl"/>
        </w:rPr>
        <w:t>kWh por mes</w:t>
      </w:r>
      <w:r w:rsidR="00D91A8F">
        <w:rPr>
          <w:lang w:val="es-ES_tradnl"/>
        </w:rPr>
        <w:t>.</w:t>
      </w:r>
    </w:p>
    <w:p w14:paraId="7E089120" w14:textId="3498DD9E" w:rsidR="00512D35" w:rsidRPr="008C36B0" w:rsidRDefault="00512D35" w:rsidP="00C114A9">
      <w:pPr>
        <w:pStyle w:val="Banknumbered"/>
      </w:pPr>
      <w:r w:rsidRPr="008C36B0">
        <w:t xml:space="preserve">Con los supuestos anteriores se obtienen los beneficios indicados en el Cuadro </w:t>
      </w:r>
      <w:r w:rsidR="00E96455">
        <w:t>5</w:t>
      </w:r>
      <w:r w:rsidRPr="008C36B0">
        <w:t>.</w:t>
      </w:r>
    </w:p>
    <w:p w14:paraId="29B473E2" w14:textId="6005D3D3" w:rsidR="00512D35" w:rsidRPr="005C0B9C" w:rsidRDefault="00512D35" w:rsidP="00512D35">
      <w:pPr>
        <w:keepNext/>
        <w:jc w:val="center"/>
        <w:rPr>
          <w:rFonts w:asciiTheme="majorHAnsi" w:hAnsiTheme="majorHAnsi"/>
          <w:sz w:val="16"/>
          <w:szCs w:val="16"/>
          <w:lang w:val="es-ES_tradnl"/>
        </w:rPr>
      </w:pPr>
      <w:r w:rsidRPr="005C0B9C">
        <w:rPr>
          <w:rFonts w:asciiTheme="majorHAnsi" w:hAnsiTheme="majorHAnsi"/>
          <w:sz w:val="16"/>
          <w:szCs w:val="16"/>
          <w:lang w:val="es-ES_tradnl"/>
        </w:rPr>
        <w:t xml:space="preserve">Cuadro </w:t>
      </w:r>
      <w:r w:rsidR="00E96455">
        <w:rPr>
          <w:rFonts w:asciiTheme="majorHAnsi" w:hAnsiTheme="majorHAnsi"/>
          <w:sz w:val="16"/>
          <w:szCs w:val="16"/>
          <w:lang w:val="es-ES_tradnl"/>
        </w:rPr>
        <w:t>5</w:t>
      </w:r>
      <w:r w:rsidRPr="005C0B9C">
        <w:rPr>
          <w:rFonts w:asciiTheme="majorHAnsi" w:hAnsiTheme="majorHAnsi"/>
          <w:sz w:val="16"/>
          <w:szCs w:val="16"/>
          <w:lang w:val="es-ES_tradnl"/>
        </w:rPr>
        <w:t>.  Evaluación de Beneficios por Incremento de Cobertura</w:t>
      </w:r>
    </w:p>
    <w:p w14:paraId="6FD4B1D4" w14:textId="7C4995EC" w:rsidR="00B30240" w:rsidRPr="008C36B0" w:rsidRDefault="005C0B9C" w:rsidP="00660F0E">
      <w:pPr>
        <w:spacing w:before="0"/>
        <w:rPr>
          <w:lang w:val="es-ES_tradnl"/>
        </w:rPr>
      </w:pPr>
      <w:r>
        <w:rPr>
          <w:noProof/>
        </w:rPr>
        <w:drawing>
          <wp:inline distT="0" distB="0" distL="0" distR="0" wp14:anchorId="534570E0" wp14:editId="45210117">
            <wp:extent cx="5486400" cy="878858"/>
            <wp:effectExtent l="0" t="0" r="0" b="1016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86400" cy="878858"/>
                    </a:xfrm>
                    <a:prstGeom prst="rect">
                      <a:avLst/>
                    </a:prstGeom>
                    <a:noFill/>
                    <a:ln>
                      <a:noFill/>
                    </a:ln>
                  </pic:spPr>
                </pic:pic>
              </a:graphicData>
            </a:graphic>
          </wp:inline>
        </w:drawing>
      </w:r>
    </w:p>
    <w:p w14:paraId="2CBBBEDB" w14:textId="77777777" w:rsidR="00B30240" w:rsidRPr="008C36B0" w:rsidRDefault="00B30240" w:rsidP="00A7500B">
      <w:pPr>
        <w:rPr>
          <w:b/>
          <w:lang w:val="es-ES_tradnl"/>
        </w:rPr>
      </w:pPr>
    </w:p>
    <w:p w14:paraId="2DC3826A" w14:textId="57157DF6" w:rsidR="00484C6C" w:rsidRPr="008C36B0" w:rsidRDefault="00BF4E6C" w:rsidP="00A7500B">
      <w:pPr>
        <w:widowControl w:val="0"/>
        <w:autoSpaceDE w:val="0"/>
        <w:autoSpaceDN w:val="0"/>
        <w:adjustRightInd w:val="0"/>
        <w:spacing w:before="0" w:after="240"/>
        <w:rPr>
          <w:lang w:val="es-ES_tradnl"/>
        </w:rPr>
      </w:pPr>
      <w:r w:rsidRPr="008C36B0">
        <w:rPr>
          <w:b/>
          <w:lang w:val="es-ES_tradnl"/>
        </w:rPr>
        <w:t>Costos.</w:t>
      </w:r>
      <w:r w:rsidRPr="008C36B0">
        <w:rPr>
          <w:lang w:val="es-ES_tradnl"/>
        </w:rPr>
        <w:t xml:space="preserve">  Los costos que se incurren en la cobertura de nuevos usuarios varían de acuerdo a qué tan lejos se encuentran de las redes de las distribuidoras.  En general, los programas de electrificación arrojan valores </w:t>
      </w:r>
      <w:r w:rsidR="00A43E26" w:rsidRPr="008C36B0">
        <w:rPr>
          <w:lang w:val="es-ES_tradnl"/>
        </w:rPr>
        <w:t xml:space="preserve">de inversión de </w:t>
      </w:r>
      <w:r w:rsidRPr="008C36B0">
        <w:rPr>
          <w:lang w:val="es-ES_tradnl"/>
        </w:rPr>
        <w:t>alrededor de US$800 por usuario</w:t>
      </w:r>
      <w:r w:rsidR="008C0FEB" w:rsidRPr="008C36B0">
        <w:rPr>
          <w:lang w:val="es-ES_tradnl"/>
        </w:rPr>
        <w:t xml:space="preserve">. </w:t>
      </w:r>
      <w:r w:rsidR="00B86432" w:rsidRPr="008C36B0">
        <w:rPr>
          <w:lang w:val="es-ES_tradnl"/>
        </w:rPr>
        <w:t xml:space="preserve"> La fuente de recursos correspondiente sería de programas de electrificación como el PNESER</w:t>
      </w:r>
      <w:r w:rsidR="00600D8D" w:rsidRPr="008C36B0">
        <w:rPr>
          <w:lang w:val="es-ES_tradnl"/>
        </w:rPr>
        <w:t xml:space="preserve"> y la contribución de las distribuidoras.  </w:t>
      </w:r>
      <w:r w:rsidR="00A911D4" w:rsidRPr="008C36B0">
        <w:rPr>
          <w:lang w:val="es-ES_tradnl"/>
        </w:rPr>
        <w:t>Según el plan de inversión del quin</w:t>
      </w:r>
      <w:r w:rsidR="00660F0E" w:rsidRPr="008C36B0">
        <w:rPr>
          <w:lang w:val="es-ES_tradnl"/>
        </w:rPr>
        <w:t>quenio</w:t>
      </w:r>
      <w:r w:rsidR="00A911D4" w:rsidRPr="008C36B0">
        <w:rPr>
          <w:lang w:val="es-ES_tradnl"/>
        </w:rPr>
        <w:t xml:space="preserve"> 2013-2018</w:t>
      </w:r>
      <w:r w:rsidR="00E96455">
        <w:rPr>
          <w:lang w:val="es-ES_tradnl"/>
        </w:rPr>
        <w:t>,</w:t>
      </w:r>
      <w:r w:rsidR="00A911D4" w:rsidRPr="008C36B0">
        <w:rPr>
          <w:lang w:val="es-ES_tradnl"/>
        </w:rPr>
        <w:t xml:space="preserve"> se busca invertir </w:t>
      </w:r>
      <w:r w:rsidR="008C7728" w:rsidRPr="008C36B0">
        <w:rPr>
          <w:lang w:val="es-ES_tradnl"/>
        </w:rPr>
        <w:t>US$5.03 millones anuales para solicitudes de nuevos suministros provenientes del crecimiento de la demanda vegetativa, proyectos de electrificación rural (PER) y aumentos de capacidad</w:t>
      </w:r>
      <w:r w:rsidR="008C7728" w:rsidRPr="008C36B0">
        <w:rPr>
          <w:rStyle w:val="FootnoteReference"/>
          <w:lang w:val="es-ES_tradnl"/>
        </w:rPr>
        <w:footnoteReference w:id="5"/>
      </w:r>
      <w:r w:rsidR="008C7728" w:rsidRPr="008C36B0">
        <w:rPr>
          <w:lang w:val="es-ES_tradnl"/>
        </w:rPr>
        <w:t xml:space="preserve">. </w:t>
      </w:r>
      <w:r w:rsidR="00512D35" w:rsidRPr="008C36B0">
        <w:rPr>
          <w:lang w:val="es-ES_tradnl"/>
        </w:rPr>
        <w:t xml:space="preserve">Además de los costos de conexión, deben contabilizarse los costos </w:t>
      </w:r>
      <w:r w:rsidR="00C707F6" w:rsidRPr="008C36B0">
        <w:rPr>
          <w:lang w:val="es-ES_tradnl"/>
        </w:rPr>
        <w:t xml:space="preserve">unitarios </w:t>
      </w:r>
      <w:r w:rsidR="00512D35" w:rsidRPr="008C36B0">
        <w:rPr>
          <w:lang w:val="es-ES_tradnl"/>
        </w:rPr>
        <w:t>de suministro</w:t>
      </w:r>
      <w:r w:rsidR="00660F0E" w:rsidRPr="008C36B0">
        <w:rPr>
          <w:lang w:val="es-ES_tradnl"/>
        </w:rPr>
        <w:t xml:space="preserve"> de las </w:t>
      </w:r>
      <w:r w:rsidR="007B490B" w:rsidRPr="008C36B0">
        <w:rPr>
          <w:lang w:val="es-ES_tradnl"/>
        </w:rPr>
        <w:t>conexiones en cuestión</w:t>
      </w:r>
      <w:r w:rsidR="00512D35" w:rsidRPr="008C36B0">
        <w:rPr>
          <w:lang w:val="es-ES_tradnl"/>
        </w:rPr>
        <w:t>, los cuales se estiman en 250US$/MWh</w:t>
      </w:r>
      <w:r w:rsidR="008C0FEB" w:rsidRPr="008C36B0">
        <w:rPr>
          <w:lang w:val="es-ES_tradnl"/>
        </w:rPr>
        <w:t xml:space="preserve"> (lo cual incluye los costos de operación y mantenimiento de las nuevas conexiones)</w:t>
      </w:r>
      <w:r w:rsidR="00512D35" w:rsidRPr="008C36B0">
        <w:rPr>
          <w:lang w:val="es-ES_tradnl"/>
        </w:rPr>
        <w:t>.</w:t>
      </w:r>
      <w:r w:rsidR="008C0FEB" w:rsidRPr="008C36B0">
        <w:rPr>
          <w:lang w:val="es-ES_tradnl"/>
        </w:rPr>
        <w:t xml:space="preserve"> </w:t>
      </w:r>
    </w:p>
    <w:p w14:paraId="406EF440" w14:textId="69EA6FFD" w:rsidR="00512D35" w:rsidRPr="008C36B0" w:rsidRDefault="00512D35" w:rsidP="00C114A9">
      <w:pPr>
        <w:pStyle w:val="Banknumbered"/>
      </w:pPr>
      <w:r w:rsidRPr="008C36B0">
        <w:t xml:space="preserve">El Cuadro </w:t>
      </w:r>
      <w:r w:rsidR="00E96455">
        <w:t>6</w:t>
      </w:r>
      <w:r w:rsidRPr="008C36B0">
        <w:t xml:space="preserve"> resume el estimativo de costos del programa.</w:t>
      </w:r>
    </w:p>
    <w:p w14:paraId="7B9D099F" w14:textId="195BD2B1" w:rsidR="00BF4E6C" w:rsidRPr="00800B98" w:rsidRDefault="00512D35" w:rsidP="00B607BC">
      <w:pPr>
        <w:keepNext/>
        <w:jc w:val="center"/>
        <w:rPr>
          <w:rFonts w:asciiTheme="majorHAnsi" w:hAnsiTheme="majorHAnsi"/>
          <w:sz w:val="16"/>
          <w:szCs w:val="16"/>
          <w:lang w:val="es-ES_tradnl"/>
        </w:rPr>
      </w:pPr>
      <w:r w:rsidRPr="00800B98">
        <w:rPr>
          <w:rFonts w:asciiTheme="majorHAnsi" w:hAnsiTheme="majorHAnsi"/>
          <w:sz w:val="16"/>
          <w:szCs w:val="16"/>
          <w:lang w:val="es-ES_tradnl"/>
        </w:rPr>
        <w:lastRenderedPageBreak/>
        <w:t xml:space="preserve">Cuadro </w:t>
      </w:r>
      <w:r w:rsidR="00E96455">
        <w:rPr>
          <w:rFonts w:asciiTheme="majorHAnsi" w:hAnsiTheme="majorHAnsi"/>
          <w:sz w:val="16"/>
          <w:szCs w:val="16"/>
          <w:lang w:val="es-ES_tradnl"/>
        </w:rPr>
        <w:t>6</w:t>
      </w:r>
      <w:r w:rsidRPr="00800B98">
        <w:rPr>
          <w:rFonts w:asciiTheme="majorHAnsi" w:hAnsiTheme="majorHAnsi"/>
          <w:sz w:val="16"/>
          <w:szCs w:val="16"/>
          <w:lang w:val="es-ES_tradnl"/>
        </w:rPr>
        <w:t>.  Estimación de Costos por Incremento de Cobertura</w:t>
      </w:r>
    </w:p>
    <w:p w14:paraId="6A1E8373" w14:textId="5A2768E9" w:rsidR="00305BA6" w:rsidRPr="008C36B0" w:rsidRDefault="00800B98" w:rsidP="00B607BC">
      <w:pPr>
        <w:keepNext/>
        <w:jc w:val="center"/>
        <w:rPr>
          <w:sz w:val="22"/>
          <w:lang w:val="es-ES_tradnl"/>
        </w:rPr>
      </w:pPr>
      <w:r>
        <w:rPr>
          <w:noProof/>
          <w:sz w:val="22"/>
        </w:rPr>
        <w:drawing>
          <wp:inline distT="0" distB="0" distL="0" distR="0" wp14:anchorId="69E3BE9E" wp14:editId="387D3E85">
            <wp:extent cx="5486400" cy="714252"/>
            <wp:effectExtent l="0" t="0" r="0" b="0"/>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86400" cy="714252"/>
                    </a:xfrm>
                    <a:prstGeom prst="rect">
                      <a:avLst/>
                    </a:prstGeom>
                    <a:noFill/>
                    <a:ln>
                      <a:noFill/>
                    </a:ln>
                  </pic:spPr>
                </pic:pic>
              </a:graphicData>
            </a:graphic>
          </wp:inline>
        </w:drawing>
      </w:r>
    </w:p>
    <w:p w14:paraId="23CFCDBD" w14:textId="2F3855FB" w:rsidR="00512D35" w:rsidRPr="008C36B0" w:rsidRDefault="00512D35" w:rsidP="00C114A9">
      <w:pPr>
        <w:pStyle w:val="Banknumbered"/>
      </w:pPr>
      <w:r w:rsidRPr="008C36B0">
        <w:rPr>
          <w:b/>
        </w:rPr>
        <w:t>Resultados.</w:t>
      </w:r>
      <w:r w:rsidR="005B0A92" w:rsidRPr="008C36B0">
        <w:t xml:space="preserve">  El Cuadro </w:t>
      </w:r>
      <w:r w:rsidR="00E96455">
        <w:t>7</w:t>
      </w:r>
      <w:r w:rsidR="005B0A92" w:rsidRPr="008C36B0">
        <w:t xml:space="preserve"> resume el flujo de beneficios y costos para el período analizado.</w:t>
      </w:r>
    </w:p>
    <w:p w14:paraId="76148DE5" w14:textId="0ACFE07B" w:rsidR="005B0A92" w:rsidRPr="00800B98" w:rsidRDefault="005B0A92" w:rsidP="007B490B">
      <w:pPr>
        <w:keepNext/>
        <w:jc w:val="center"/>
        <w:rPr>
          <w:rFonts w:asciiTheme="majorHAnsi" w:hAnsiTheme="majorHAnsi"/>
          <w:sz w:val="16"/>
          <w:szCs w:val="16"/>
          <w:lang w:val="es-ES_tradnl"/>
        </w:rPr>
      </w:pPr>
      <w:r w:rsidRPr="00800B98">
        <w:rPr>
          <w:rFonts w:asciiTheme="majorHAnsi" w:hAnsiTheme="majorHAnsi"/>
          <w:sz w:val="16"/>
          <w:szCs w:val="16"/>
          <w:lang w:val="es-ES_tradnl"/>
        </w:rPr>
        <w:t xml:space="preserve">Cuadro </w:t>
      </w:r>
      <w:r w:rsidR="00E96455">
        <w:rPr>
          <w:rFonts w:asciiTheme="majorHAnsi" w:hAnsiTheme="majorHAnsi"/>
          <w:sz w:val="16"/>
          <w:szCs w:val="16"/>
          <w:lang w:val="es-ES_tradnl"/>
        </w:rPr>
        <w:t>7</w:t>
      </w:r>
      <w:r w:rsidRPr="00800B98">
        <w:rPr>
          <w:rFonts w:asciiTheme="majorHAnsi" w:hAnsiTheme="majorHAnsi"/>
          <w:sz w:val="16"/>
          <w:szCs w:val="16"/>
          <w:lang w:val="es-ES_tradnl"/>
        </w:rPr>
        <w:t>.  Beneficios y Costos por Incremento de Cobertura</w:t>
      </w:r>
    </w:p>
    <w:p w14:paraId="0D9479EA" w14:textId="043F6871" w:rsidR="005B0A92" w:rsidRPr="008C36B0" w:rsidRDefault="00800B98" w:rsidP="005B0A92">
      <w:pPr>
        <w:rPr>
          <w:lang w:val="es-ES_tradnl"/>
        </w:rPr>
      </w:pPr>
      <w:r>
        <w:rPr>
          <w:noProof/>
        </w:rPr>
        <w:drawing>
          <wp:inline distT="0" distB="0" distL="0" distR="0" wp14:anchorId="38FCF8D5" wp14:editId="76532BD4">
            <wp:extent cx="5486400" cy="478785"/>
            <wp:effectExtent l="0" t="0" r="0" b="4445"/>
            <wp:docPr id="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486400" cy="478785"/>
                    </a:xfrm>
                    <a:prstGeom prst="rect">
                      <a:avLst/>
                    </a:prstGeom>
                    <a:noFill/>
                    <a:ln>
                      <a:noFill/>
                    </a:ln>
                  </pic:spPr>
                </pic:pic>
              </a:graphicData>
            </a:graphic>
          </wp:inline>
        </w:drawing>
      </w:r>
    </w:p>
    <w:p w14:paraId="7405675E" w14:textId="6BA5676E" w:rsidR="00EF2AE3" w:rsidRPr="008C36B0" w:rsidRDefault="005B0A92" w:rsidP="005B0A92">
      <w:pPr>
        <w:rPr>
          <w:lang w:val="es-ES_tradnl"/>
        </w:rPr>
      </w:pPr>
      <w:r w:rsidRPr="008C36B0">
        <w:rPr>
          <w:lang w:val="es-ES_tradnl"/>
        </w:rPr>
        <w:t>Los resultados económicos se resumen así:</w:t>
      </w:r>
    </w:p>
    <w:p w14:paraId="1F7CA71A" w14:textId="6688C262" w:rsidR="005B0A92" w:rsidRPr="008C36B0" w:rsidRDefault="005B0A92" w:rsidP="005B0A92">
      <w:pPr>
        <w:ind w:left="720"/>
        <w:rPr>
          <w:lang w:val="es-ES_tradnl"/>
        </w:rPr>
      </w:pPr>
      <w:r w:rsidRPr="008C36B0">
        <w:rPr>
          <w:lang w:val="es-ES_tradnl"/>
        </w:rPr>
        <w:t>VPN de Beneficios (12%)</w:t>
      </w:r>
      <w:r w:rsidRPr="008C36B0">
        <w:rPr>
          <w:lang w:val="es-ES_tradnl"/>
        </w:rPr>
        <w:tab/>
      </w:r>
      <w:r w:rsidRPr="008C36B0">
        <w:rPr>
          <w:lang w:val="es-ES_tradnl"/>
        </w:rPr>
        <w:tab/>
      </w:r>
      <w:r w:rsidRPr="008C36B0">
        <w:rPr>
          <w:lang w:val="es-ES_tradnl"/>
        </w:rPr>
        <w:tab/>
      </w:r>
      <w:r w:rsidR="00800B98">
        <w:rPr>
          <w:lang w:val="es-ES_tradnl"/>
        </w:rPr>
        <w:t>618</w:t>
      </w:r>
      <w:r w:rsidR="00EF2AE3" w:rsidRPr="008C36B0">
        <w:rPr>
          <w:lang w:val="es-ES_tradnl"/>
        </w:rPr>
        <w:t>M</w:t>
      </w:r>
      <w:r w:rsidRPr="008C36B0">
        <w:rPr>
          <w:lang w:val="es-ES_tradnl"/>
        </w:rPr>
        <w:t>$</w:t>
      </w:r>
    </w:p>
    <w:p w14:paraId="0C2354DC" w14:textId="73B720AF" w:rsidR="005B0A92" w:rsidRPr="008C36B0" w:rsidRDefault="005B0A92" w:rsidP="005B0A92">
      <w:pPr>
        <w:spacing w:before="0"/>
        <w:ind w:left="720"/>
        <w:rPr>
          <w:lang w:val="es-ES_tradnl"/>
        </w:rPr>
      </w:pPr>
      <w:r w:rsidRPr="008C36B0">
        <w:rPr>
          <w:lang w:val="es-ES_tradnl"/>
        </w:rPr>
        <w:t>VPN de Costos (12%)</w:t>
      </w:r>
      <w:r w:rsidRPr="008C36B0">
        <w:rPr>
          <w:lang w:val="es-ES_tradnl"/>
        </w:rPr>
        <w:tab/>
      </w:r>
      <w:r w:rsidRPr="008C36B0">
        <w:rPr>
          <w:lang w:val="es-ES_tradnl"/>
        </w:rPr>
        <w:tab/>
      </w:r>
      <w:r w:rsidRPr="008C36B0">
        <w:rPr>
          <w:lang w:val="es-ES_tradnl"/>
        </w:rPr>
        <w:tab/>
      </w:r>
      <w:r w:rsidRPr="008C36B0">
        <w:rPr>
          <w:lang w:val="es-ES_tradnl"/>
        </w:rPr>
        <w:tab/>
      </w:r>
      <w:r w:rsidR="00800B98">
        <w:rPr>
          <w:lang w:val="es-ES_tradnl"/>
        </w:rPr>
        <w:t>449</w:t>
      </w:r>
      <w:r w:rsidR="00EF2AE3" w:rsidRPr="008C36B0">
        <w:rPr>
          <w:lang w:val="es-ES_tradnl"/>
        </w:rPr>
        <w:t>M</w:t>
      </w:r>
      <w:r w:rsidRPr="008C36B0">
        <w:rPr>
          <w:lang w:val="es-ES_tradnl"/>
        </w:rPr>
        <w:t>$</w:t>
      </w:r>
    </w:p>
    <w:p w14:paraId="427B292E" w14:textId="16400D2E" w:rsidR="005B0A92" w:rsidRPr="008C36B0" w:rsidRDefault="005B0A92" w:rsidP="005B0A92">
      <w:pPr>
        <w:spacing w:before="0"/>
        <w:ind w:left="720"/>
        <w:rPr>
          <w:lang w:val="es-ES_tradnl"/>
        </w:rPr>
      </w:pPr>
      <w:r w:rsidRPr="008C36B0">
        <w:rPr>
          <w:lang w:val="es-ES_tradnl"/>
        </w:rPr>
        <w:t>Relación B/C</w:t>
      </w:r>
      <w:r w:rsidRPr="008C36B0">
        <w:rPr>
          <w:lang w:val="es-ES_tradnl"/>
        </w:rPr>
        <w:tab/>
      </w:r>
      <w:r w:rsidRPr="008C36B0">
        <w:rPr>
          <w:lang w:val="es-ES_tradnl"/>
        </w:rPr>
        <w:tab/>
      </w:r>
      <w:r w:rsidRPr="008C36B0">
        <w:rPr>
          <w:lang w:val="es-ES_tradnl"/>
        </w:rPr>
        <w:tab/>
      </w:r>
      <w:r w:rsidRPr="008C36B0">
        <w:rPr>
          <w:lang w:val="es-ES_tradnl"/>
        </w:rPr>
        <w:tab/>
      </w:r>
      <w:r w:rsidRPr="008C36B0">
        <w:rPr>
          <w:lang w:val="es-ES_tradnl"/>
        </w:rPr>
        <w:tab/>
        <w:t>1.</w:t>
      </w:r>
      <w:r w:rsidR="000B5B79" w:rsidRPr="008C36B0">
        <w:rPr>
          <w:lang w:val="es-ES_tradnl"/>
        </w:rPr>
        <w:t>3</w:t>
      </w:r>
      <w:r w:rsidR="00A91C36" w:rsidRPr="008C36B0">
        <w:rPr>
          <w:lang w:val="es-ES_tradnl"/>
        </w:rPr>
        <w:t>8</w:t>
      </w:r>
    </w:p>
    <w:p w14:paraId="09E79877" w14:textId="366B4E82" w:rsidR="005B0A92" w:rsidRDefault="005B0A92" w:rsidP="005B0A92">
      <w:pPr>
        <w:spacing w:before="0"/>
        <w:ind w:left="720"/>
        <w:rPr>
          <w:lang w:val="es-ES_tradnl"/>
        </w:rPr>
      </w:pPr>
      <w:r w:rsidRPr="008C36B0">
        <w:rPr>
          <w:lang w:val="es-ES_tradnl"/>
        </w:rPr>
        <w:t>Tasa Interna de Retorno Económica</w:t>
      </w:r>
      <w:r w:rsidRPr="008C36B0">
        <w:rPr>
          <w:lang w:val="es-ES_tradnl"/>
        </w:rPr>
        <w:tab/>
      </w:r>
      <w:r w:rsidRPr="008C36B0">
        <w:rPr>
          <w:lang w:val="es-ES_tradnl"/>
        </w:rPr>
        <w:tab/>
      </w:r>
      <w:r w:rsidR="000B5B79" w:rsidRPr="008C36B0">
        <w:rPr>
          <w:lang w:val="es-ES_tradnl"/>
        </w:rPr>
        <w:t>5</w:t>
      </w:r>
      <w:r w:rsidR="00800B98">
        <w:rPr>
          <w:lang w:val="es-ES_tradnl"/>
        </w:rPr>
        <w:t>7</w:t>
      </w:r>
      <w:r w:rsidRPr="008C36B0">
        <w:rPr>
          <w:lang w:val="es-ES_tradnl"/>
        </w:rPr>
        <w:t>%</w:t>
      </w:r>
    </w:p>
    <w:p w14:paraId="4DAFAB24" w14:textId="7CBAD1FC" w:rsidR="00800B98" w:rsidRDefault="00800B98" w:rsidP="00800B98">
      <w:pPr>
        <w:spacing w:before="0"/>
        <w:rPr>
          <w:lang w:val="es-ES_tradnl"/>
        </w:rPr>
      </w:pPr>
      <w:r>
        <w:rPr>
          <w:lang w:val="es-ES_tradnl"/>
        </w:rPr>
        <w:t>Con estos resultados los proyectos de electrificación se justifican plenamente</w:t>
      </w:r>
      <w:r w:rsidR="006B699F">
        <w:rPr>
          <w:lang w:val="es-ES_tradnl"/>
        </w:rPr>
        <w:t xml:space="preserve"> desde el punto de vista económico</w:t>
      </w:r>
      <w:r>
        <w:rPr>
          <w:lang w:val="es-ES_tradnl"/>
        </w:rPr>
        <w:t>.</w:t>
      </w:r>
    </w:p>
    <w:p w14:paraId="00017690" w14:textId="3E698F32" w:rsidR="00E96455" w:rsidRDefault="00E96455" w:rsidP="00E96455">
      <w:pPr>
        <w:pStyle w:val="Banknumbered"/>
      </w:pPr>
      <w:r w:rsidRPr="00865ABC">
        <w:rPr>
          <w:b/>
        </w:rPr>
        <w:t>Análisis de sensibilidad.</w:t>
      </w:r>
      <w:r w:rsidR="00291CE9">
        <w:t xml:space="preserve"> </w:t>
      </w:r>
      <w:r w:rsidRPr="00865ABC">
        <w:t>Se llevaron a cabo las siguientes variaciones de los parámetros utilizados en la evaluación:</w:t>
      </w:r>
    </w:p>
    <w:p w14:paraId="72A757BD" w14:textId="7455025C" w:rsidR="00291CE9" w:rsidRDefault="00291CE9" w:rsidP="00E96455">
      <w:pPr>
        <w:pStyle w:val="Bullet"/>
        <w:rPr>
          <w:lang w:val="es-ES_tradnl"/>
        </w:rPr>
      </w:pPr>
      <w:r w:rsidRPr="00233F5D">
        <w:rPr>
          <w:b/>
          <w:lang w:val="es-ES_tradnl"/>
        </w:rPr>
        <w:t>Variación en la estimación de la tasa de electrificación.</w:t>
      </w:r>
      <w:r>
        <w:rPr>
          <w:lang w:val="es-ES_tradnl"/>
        </w:rPr>
        <w:t xml:space="preserve"> La CEPAL ha estimado la cobertura de electricidad</w:t>
      </w:r>
      <w:r w:rsidR="00233F5D">
        <w:rPr>
          <w:lang w:val="es-ES_tradnl"/>
        </w:rPr>
        <w:t xml:space="preserve"> de manera indirecta</w:t>
      </w:r>
      <w:r>
        <w:rPr>
          <w:lang w:val="es-ES_tradnl"/>
        </w:rPr>
        <w:t xml:space="preserve"> </w:t>
      </w:r>
      <w:r w:rsidR="00233F5D">
        <w:rPr>
          <w:lang w:val="es-ES_tradnl"/>
        </w:rPr>
        <w:t>mediante (a) el número de suscriptores residenciales de las empresas de distribución dividido por (b) el número estimado de hogares con base en la población y el número de personas por hogar. Esta metodología arroja una cobertura de 4 a 5 puntos porcentuales por debajo de la reportada por el INE. Esta variación es explicable puesto que no tiene en cuenta (a) los usuarios que no están incluidos en el registro de suscriptores de las empresas, ya sea porque están conectados de manera fraudulenta o porque no han sido registrados, y (b) los consumidores que tienen servicios eléctricos provenientes de fuentes no convencionales—principalmente solares—que no pertenecen al universo de suscriptores de las empresas de distribución. Los primeros pueden ser usuarios irregulares, pero gozan del servicio de electricidad y por lo tanto deben ser incluidos dentro de la categoría de población cubierta, y los segundos se han vuelto cada vez más numerosos a medida que se extienden servicios descentralizados de energía auspiciados por diferentes organizaciones, inc</w:t>
      </w:r>
      <w:r w:rsidR="00FA1870">
        <w:rPr>
          <w:lang w:val="es-ES_tradnl"/>
        </w:rPr>
        <w:t>luyendo, por ejemplo, el PNESER, y se reducen los costos de los equipos correspondientes. Idealmente, la tasa de cobertura debería calcularse con base en encuestas de hogares, o su equivalente, y su extrapolación a la población total.</w:t>
      </w:r>
    </w:p>
    <w:p w14:paraId="4E0EECEF" w14:textId="77777777" w:rsidR="00FA1870" w:rsidRDefault="00FA1870" w:rsidP="00E96455">
      <w:pPr>
        <w:pStyle w:val="Bullet"/>
        <w:rPr>
          <w:lang w:val="es-ES_tradnl"/>
        </w:rPr>
      </w:pPr>
      <w:r w:rsidRPr="00FA1870">
        <w:rPr>
          <w:b/>
          <w:lang w:val="es-ES_tradnl"/>
        </w:rPr>
        <w:t xml:space="preserve">Reducción en el valor de la voluntad de pago. </w:t>
      </w:r>
      <w:r w:rsidRPr="00FA1870">
        <w:rPr>
          <w:lang w:val="es-ES_tradnl"/>
        </w:rPr>
        <w:t xml:space="preserve">Este parámetro es incierto y tiene una importante influencia sobre el excedente del consumidor; se llevó a cabo una reducción de 38% respecto al caso base, a </w:t>
      </w:r>
      <w:r w:rsidR="00E96455" w:rsidRPr="00FA1870">
        <w:rPr>
          <w:lang w:val="es-ES_tradnl"/>
        </w:rPr>
        <w:t>US$500/MWh</w:t>
      </w:r>
      <w:r w:rsidRPr="00FA1870">
        <w:rPr>
          <w:lang w:val="es-ES_tradnl"/>
        </w:rPr>
        <w:t>.</w:t>
      </w:r>
    </w:p>
    <w:p w14:paraId="2A643F77" w14:textId="30855D04" w:rsidR="00E96455" w:rsidRPr="00FA1870" w:rsidRDefault="00E96455" w:rsidP="00E96455">
      <w:pPr>
        <w:pStyle w:val="Bullet"/>
        <w:rPr>
          <w:lang w:val="es-ES_tradnl"/>
        </w:rPr>
      </w:pPr>
      <w:r w:rsidRPr="00FA1870">
        <w:rPr>
          <w:b/>
          <w:lang w:val="es-ES_tradnl"/>
        </w:rPr>
        <w:t>Incremento del costo de conexión</w:t>
      </w:r>
      <w:r w:rsidRPr="00FA1870">
        <w:rPr>
          <w:lang w:val="es-ES_tradnl"/>
        </w:rPr>
        <w:t xml:space="preserve"> de US$800 po</w:t>
      </w:r>
      <w:r w:rsidR="00660A01">
        <w:rPr>
          <w:lang w:val="es-ES_tradnl"/>
        </w:rPr>
        <w:t>r usuario a US$1000 por usuario.</w:t>
      </w:r>
    </w:p>
    <w:p w14:paraId="62E38A20" w14:textId="688FB9D5" w:rsidR="00E96455" w:rsidRPr="00865ABC" w:rsidRDefault="00E96455" w:rsidP="00E96455">
      <w:pPr>
        <w:rPr>
          <w:lang w:val="es-ES_tradnl"/>
        </w:rPr>
      </w:pPr>
      <w:r w:rsidRPr="00865ABC">
        <w:rPr>
          <w:lang w:val="es-ES_tradnl"/>
        </w:rPr>
        <w:lastRenderedPageBreak/>
        <w:t xml:space="preserve">El Cuadro </w:t>
      </w:r>
      <w:r>
        <w:rPr>
          <w:lang w:val="es-ES_tradnl"/>
        </w:rPr>
        <w:t>8</w:t>
      </w:r>
      <w:r w:rsidRPr="00865ABC">
        <w:rPr>
          <w:lang w:val="es-ES_tradnl"/>
        </w:rPr>
        <w:t xml:space="preserve"> resume los resultados obtenidos.</w:t>
      </w:r>
    </w:p>
    <w:p w14:paraId="4E36DBEB" w14:textId="5F931382" w:rsidR="00E96455" w:rsidRPr="00865ABC" w:rsidRDefault="00E96455" w:rsidP="00E96455">
      <w:pPr>
        <w:keepNext/>
        <w:jc w:val="center"/>
        <w:rPr>
          <w:sz w:val="22"/>
          <w:lang w:val="es-ES_tradnl"/>
        </w:rPr>
      </w:pPr>
      <w:r w:rsidRPr="00865ABC">
        <w:rPr>
          <w:sz w:val="22"/>
          <w:lang w:val="es-ES_tradnl"/>
        </w:rPr>
        <w:t xml:space="preserve">Cuadro </w:t>
      </w:r>
      <w:r>
        <w:rPr>
          <w:sz w:val="22"/>
          <w:lang w:val="es-ES_tradnl"/>
        </w:rPr>
        <w:t>8</w:t>
      </w:r>
      <w:r w:rsidRPr="00865ABC">
        <w:rPr>
          <w:sz w:val="22"/>
          <w:lang w:val="es-ES_tradnl"/>
        </w:rPr>
        <w:t>.  Análisis de Sensibilidad del Programa de Extensión de Cobertura</w:t>
      </w:r>
    </w:p>
    <w:tbl>
      <w:tblPr>
        <w:tblStyle w:val="TableGrid"/>
        <w:tblW w:w="0" w:type="auto"/>
        <w:jc w:val="center"/>
        <w:tblLook w:val="04A0" w:firstRow="1" w:lastRow="0" w:firstColumn="1" w:lastColumn="0" w:noHBand="0" w:noVBand="1"/>
      </w:tblPr>
      <w:tblGrid>
        <w:gridCol w:w="2154"/>
        <w:gridCol w:w="1374"/>
        <w:gridCol w:w="1530"/>
        <w:gridCol w:w="2121"/>
        <w:gridCol w:w="1677"/>
      </w:tblGrid>
      <w:tr w:rsidR="00FA1870" w:rsidRPr="00865ABC" w14:paraId="7F803B7F" w14:textId="77777777" w:rsidTr="00CF4C7F">
        <w:trPr>
          <w:jc w:val="center"/>
        </w:trPr>
        <w:tc>
          <w:tcPr>
            <w:tcW w:w="2154" w:type="dxa"/>
            <w:vAlign w:val="center"/>
          </w:tcPr>
          <w:p w14:paraId="299FAE99" w14:textId="77777777" w:rsidR="00FA1870" w:rsidRPr="00865ABC" w:rsidRDefault="00FA1870" w:rsidP="00E96455">
            <w:pPr>
              <w:keepNext/>
              <w:spacing w:before="0"/>
              <w:jc w:val="center"/>
              <w:rPr>
                <w:lang w:val="es-ES_tradnl"/>
              </w:rPr>
            </w:pPr>
          </w:p>
        </w:tc>
        <w:tc>
          <w:tcPr>
            <w:tcW w:w="1374" w:type="dxa"/>
            <w:vAlign w:val="center"/>
          </w:tcPr>
          <w:p w14:paraId="6DF9F075" w14:textId="77777777" w:rsidR="00FA1870" w:rsidRPr="00865ABC" w:rsidRDefault="00FA1870" w:rsidP="00E96455">
            <w:pPr>
              <w:keepNext/>
              <w:spacing w:before="0"/>
              <w:jc w:val="center"/>
              <w:rPr>
                <w:lang w:val="es-ES_tradnl"/>
              </w:rPr>
            </w:pPr>
            <w:r w:rsidRPr="00865ABC">
              <w:rPr>
                <w:lang w:val="es-ES_tradnl"/>
              </w:rPr>
              <w:t>Caso Base</w:t>
            </w:r>
          </w:p>
        </w:tc>
        <w:tc>
          <w:tcPr>
            <w:tcW w:w="1530" w:type="dxa"/>
            <w:vAlign w:val="center"/>
          </w:tcPr>
          <w:p w14:paraId="6FCF2F76" w14:textId="18BE1F9E" w:rsidR="00FA1870" w:rsidRPr="00865ABC" w:rsidRDefault="00FA1870" w:rsidP="00FA1870">
            <w:pPr>
              <w:keepNext/>
              <w:spacing w:before="0"/>
              <w:jc w:val="center"/>
              <w:rPr>
                <w:lang w:val="es-ES_tradnl"/>
              </w:rPr>
            </w:pPr>
            <w:r>
              <w:rPr>
                <w:lang w:val="es-ES_tradnl"/>
              </w:rPr>
              <w:t>Cobertura CEPAL</w:t>
            </w:r>
          </w:p>
        </w:tc>
        <w:tc>
          <w:tcPr>
            <w:tcW w:w="2121" w:type="dxa"/>
            <w:vAlign w:val="center"/>
          </w:tcPr>
          <w:p w14:paraId="288AA048" w14:textId="402F40A1" w:rsidR="00FA1870" w:rsidRPr="00865ABC" w:rsidRDefault="00FA1870" w:rsidP="00E96455">
            <w:pPr>
              <w:keepNext/>
              <w:spacing w:before="0"/>
              <w:jc w:val="center"/>
              <w:rPr>
                <w:lang w:val="es-ES_tradnl"/>
              </w:rPr>
            </w:pPr>
            <w:r w:rsidRPr="00865ABC">
              <w:rPr>
                <w:lang w:val="es-ES_tradnl"/>
              </w:rPr>
              <w:t>Voluntad de Pago $500/MWh</w:t>
            </w:r>
          </w:p>
        </w:tc>
        <w:tc>
          <w:tcPr>
            <w:tcW w:w="1677" w:type="dxa"/>
            <w:vAlign w:val="center"/>
          </w:tcPr>
          <w:p w14:paraId="6933B3A9" w14:textId="74E92612" w:rsidR="00FA1870" w:rsidRPr="00865ABC" w:rsidRDefault="00FA1870" w:rsidP="00CF4C7F">
            <w:pPr>
              <w:keepNext/>
              <w:spacing w:before="0"/>
              <w:jc w:val="center"/>
              <w:rPr>
                <w:lang w:val="es-ES_tradnl"/>
              </w:rPr>
            </w:pPr>
            <w:r w:rsidRPr="00865ABC">
              <w:rPr>
                <w:lang w:val="es-ES_tradnl"/>
              </w:rPr>
              <w:t>Costo de Conexión US$1000/ usuario</w:t>
            </w:r>
          </w:p>
        </w:tc>
      </w:tr>
      <w:tr w:rsidR="00FA1870" w:rsidRPr="00865ABC" w14:paraId="2A827492" w14:textId="77777777" w:rsidTr="00660A01">
        <w:trPr>
          <w:jc w:val="center"/>
        </w:trPr>
        <w:tc>
          <w:tcPr>
            <w:tcW w:w="2154" w:type="dxa"/>
          </w:tcPr>
          <w:p w14:paraId="757786EC" w14:textId="77777777" w:rsidR="00FA1870" w:rsidRPr="00865ABC" w:rsidRDefault="00FA1870" w:rsidP="00E96455">
            <w:pPr>
              <w:keepNext/>
              <w:spacing w:before="0"/>
              <w:rPr>
                <w:lang w:val="es-ES_tradnl"/>
              </w:rPr>
            </w:pPr>
            <w:r w:rsidRPr="00865ABC">
              <w:rPr>
                <w:lang w:val="es-ES_tradnl"/>
              </w:rPr>
              <w:t>VPN Beneficios M$</w:t>
            </w:r>
          </w:p>
        </w:tc>
        <w:tc>
          <w:tcPr>
            <w:tcW w:w="1374" w:type="dxa"/>
            <w:vAlign w:val="center"/>
          </w:tcPr>
          <w:p w14:paraId="057FFB75" w14:textId="4FACE5BD" w:rsidR="00FA1870" w:rsidRPr="00865ABC" w:rsidRDefault="00FA1870" w:rsidP="00660A01">
            <w:pPr>
              <w:keepNext/>
              <w:spacing w:before="0"/>
              <w:jc w:val="center"/>
              <w:rPr>
                <w:lang w:val="es-ES_tradnl"/>
              </w:rPr>
            </w:pPr>
            <w:r>
              <w:rPr>
                <w:lang w:val="es-ES_tradnl"/>
              </w:rPr>
              <w:t>$618</w:t>
            </w:r>
          </w:p>
        </w:tc>
        <w:tc>
          <w:tcPr>
            <w:tcW w:w="1530" w:type="dxa"/>
            <w:vAlign w:val="center"/>
          </w:tcPr>
          <w:p w14:paraId="506362C1" w14:textId="6A7D6DE1" w:rsidR="00FA1870" w:rsidRDefault="00660A01" w:rsidP="00660A01">
            <w:pPr>
              <w:keepNext/>
              <w:spacing w:before="0"/>
              <w:jc w:val="center"/>
              <w:rPr>
                <w:lang w:val="es-ES_tradnl"/>
              </w:rPr>
            </w:pPr>
            <w:r>
              <w:rPr>
                <w:lang w:val="es-ES_tradnl"/>
              </w:rPr>
              <w:t>457</w:t>
            </w:r>
          </w:p>
        </w:tc>
        <w:tc>
          <w:tcPr>
            <w:tcW w:w="2121" w:type="dxa"/>
            <w:vAlign w:val="center"/>
          </w:tcPr>
          <w:p w14:paraId="19DE6463" w14:textId="7A5CACF0" w:rsidR="00FA1870" w:rsidRPr="00865ABC" w:rsidRDefault="00FA1870" w:rsidP="00660A01">
            <w:pPr>
              <w:keepNext/>
              <w:spacing w:before="0"/>
              <w:jc w:val="center"/>
              <w:rPr>
                <w:lang w:val="es-ES_tradnl"/>
              </w:rPr>
            </w:pPr>
            <w:r>
              <w:rPr>
                <w:lang w:val="es-ES_tradnl"/>
              </w:rPr>
              <w:t>$432</w:t>
            </w:r>
          </w:p>
        </w:tc>
        <w:tc>
          <w:tcPr>
            <w:tcW w:w="1677" w:type="dxa"/>
            <w:vAlign w:val="center"/>
          </w:tcPr>
          <w:p w14:paraId="03BDFC3D" w14:textId="6197E02B" w:rsidR="00FA1870" w:rsidRPr="00865ABC" w:rsidRDefault="00FA1870" w:rsidP="00660A01">
            <w:pPr>
              <w:keepNext/>
              <w:spacing w:before="0"/>
              <w:jc w:val="center"/>
              <w:rPr>
                <w:lang w:val="es-ES_tradnl"/>
              </w:rPr>
            </w:pPr>
            <w:r>
              <w:rPr>
                <w:lang w:val="es-ES_tradnl"/>
              </w:rPr>
              <w:t>$618</w:t>
            </w:r>
          </w:p>
        </w:tc>
      </w:tr>
      <w:tr w:rsidR="00FA1870" w:rsidRPr="00865ABC" w14:paraId="7F4EF7C2" w14:textId="77777777" w:rsidTr="00660A01">
        <w:trPr>
          <w:jc w:val="center"/>
        </w:trPr>
        <w:tc>
          <w:tcPr>
            <w:tcW w:w="2154" w:type="dxa"/>
          </w:tcPr>
          <w:p w14:paraId="69BED8A8" w14:textId="77777777" w:rsidR="00FA1870" w:rsidRPr="00865ABC" w:rsidRDefault="00FA1870" w:rsidP="00E96455">
            <w:pPr>
              <w:keepNext/>
              <w:spacing w:before="0"/>
              <w:rPr>
                <w:lang w:val="es-ES_tradnl"/>
              </w:rPr>
            </w:pPr>
            <w:r w:rsidRPr="00865ABC">
              <w:rPr>
                <w:lang w:val="es-ES_tradnl"/>
              </w:rPr>
              <w:t>VPN Costos M$</w:t>
            </w:r>
          </w:p>
        </w:tc>
        <w:tc>
          <w:tcPr>
            <w:tcW w:w="1374" w:type="dxa"/>
            <w:vAlign w:val="center"/>
          </w:tcPr>
          <w:p w14:paraId="598A9A25" w14:textId="27D4C1FD" w:rsidR="00FA1870" w:rsidRPr="00865ABC" w:rsidRDefault="00FA1870" w:rsidP="00660A01">
            <w:pPr>
              <w:keepNext/>
              <w:spacing w:before="0"/>
              <w:jc w:val="center"/>
              <w:rPr>
                <w:lang w:val="es-ES_tradnl"/>
              </w:rPr>
            </w:pPr>
            <w:r>
              <w:rPr>
                <w:lang w:val="es-ES_tradnl"/>
              </w:rPr>
              <w:t>$449</w:t>
            </w:r>
          </w:p>
        </w:tc>
        <w:tc>
          <w:tcPr>
            <w:tcW w:w="1530" w:type="dxa"/>
            <w:vAlign w:val="center"/>
          </w:tcPr>
          <w:p w14:paraId="4AAA0688" w14:textId="68ED3836" w:rsidR="00FA1870" w:rsidRDefault="00660A01" w:rsidP="00660A01">
            <w:pPr>
              <w:keepNext/>
              <w:spacing w:before="0"/>
              <w:jc w:val="center"/>
              <w:rPr>
                <w:lang w:val="es-ES_tradnl"/>
              </w:rPr>
            </w:pPr>
            <w:r>
              <w:rPr>
                <w:lang w:val="es-ES_tradnl"/>
              </w:rPr>
              <w:t>438</w:t>
            </w:r>
          </w:p>
        </w:tc>
        <w:tc>
          <w:tcPr>
            <w:tcW w:w="2121" w:type="dxa"/>
            <w:vAlign w:val="center"/>
          </w:tcPr>
          <w:p w14:paraId="3548539C" w14:textId="0C4FB579" w:rsidR="00FA1870" w:rsidRPr="00865ABC" w:rsidRDefault="00FA1870" w:rsidP="00660A01">
            <w:pPr>
              <w:keepNext/>
              <w:spacing w:before="0"/>
              <w:jc w:val="center"/>
              <w:rPr>
                <w:lang w:val="es-ES_tradnl"/>
              </w:rPr>
            </w:pPr>
            <w:r>
              <w:rPr>
                <w:lang w:val="es-ES_tradnl"/>
              </w:rPr>
              <w:t>$449</w:t>
            </w:r>
          </w:p>
        </w:tc>
        <w:tc>
          <w:tcPr>
            <w:tcW w:w="1677" w:type="dxa"/>
            <w:vAlign w:val="center"/>
          </w:tcPr>
          <w:p w14:paraId="32BC5D2B" w14:textId="68F19A8D" w:rsidR="00FA1870" w:rsidRPr="00865ABC" w:rsidRDefault="00FA1870" w:rsidP="00660A01">
            <w:pPr>
              <w:keepNext/>
              <w:spacing w:before="0"/>
              <w:jc w:val="center"/>
              <w:rPr>
                <w:lang w:val="es-ES_tradnl"/>
              </w:rPr>
            </w:pPr>
            <w:r w:rsidRPr="00865ABC">
              <w:rPr>
                <w:lang w:val="es-ES_tradnl"/>
              </w:rPr>
              <w:t>$</w:t>
            </w:r>
            <w:r>
              <w:rPr>
                <w:lang w:val="es-ES_tradnl"/>
              </w:rPr>
              <w:t>483</w:t>
            </w:r>
          </w:p>
        </w:tc>
      </w:tr>
      <w:tr w:rsidR="00FA1870" w:rsidRPr="00865ABC" w14:paraId="5D1AC548" w14:textId="77777777" w:rsidTr="00660A01">
        <w:trPr>
          <w:jc w:val="center"/>
        </w:trPr>
        <w:tc>
          <w:tcPr>
            <w:tcW w:w="2154" w:type="dxa"/>
          </w:tcPr>
          <w:p w14:paraId="1383D613" w14:textId="77777777" w:rsidR="00FA1870" w:rsidRPr="00865ABC" w:rsidRDefault="00FA1870" w:rsidP="00E96455">
            <w:pPr>
              <w:keepNext/>
              <w:spacing w:before="0"/>
              <w:rPr>
                <w:lang w:val="es-ES_tradnl"/>
              </w:rPr>
            </w:pPr>
            <w:r w:rsidRPr="00865ABC">
              <w:rPr>
                <w:lang w:val="es-ES_tradnl"/>
              </w:rPr>
              <w:t>Relación B/C</w:t>
            </w:r>
          </w:p>
        </w:tc>
        <w:tc>
          <w:tcPr>
            <w:tcW w:w="1374" w:type="dxa"/>
            <w:vAlign w:val="center"/>
          </w:tcPr>
          <w:p w14:paraId="43B84F79" w14:textId="77777777" w:rsidR="00FA1870" w:rsidRPr="00865ABC" w:rsidRDefault="00FA1870" w:rsidP="00660A01">
            <w:pPr>
              <w:keepNext/>
              <w:spacing w:before="0"/>
              <w:jc w:val="center"/>
              <w:rPr>
                <w:lang w:val="es-ES_tradnl"/>
              </w:rPr>
            </w:pPr>
            <w:r w:rsidRPr="00865ABC">
              <w:rPr>
                <w:lang w:val="es-ES_tradnl"/>
              </w:rPr>
              <w:t>1.38</w:t>
            </w:r>
          </w:p>
        </w:tc>
        <w:tc>
          <w:tcPr>
            <w:tcW w:w="1530" w:type="dxa"/>
            <w:vAlign w:val="center"/>
          </w:tcPr>
          <w:p w14:paraId="07444BA1" w14:textId="6F9269E6" w:rsidR="00FA1870" w:rsidRPr="00865ABC" w:rsidRDefault="00660A01" w:rsidP="00660A01">
            <w:pPr>
              <w:keepNext/>
              <w:spacing w:before="0"/>
              <w:jc w:val="center"/>
              <w:rPr>
                <w:lang w:val="es-ES_tradnl"/>
              </w:rPr>
            </w:pPr>
            <w:r>
              <w:rPr>
                <w:lang w:val="es-ES_tradnl"/>
              </w:rPr>
              <w:t>1.04</w:t>
            </w:r>
          </w:p>
        </w:tc>
        <w:tc>
          <w:tcPr>
            <w:tcW w:w="2121" w:type="dxa"/>
            <w:vAlign w:val="center"/>
          </w:tcPr>
          <w:p w14:paraId="10CDB41F" w14:textId="77C9796D" w:rsidR="00FA1870" w:rsidRPr="00865ABC" w:rsidRDefault="00FA1870" w:rsidP="00660A01">
            <w:pPr>
              <w:keepNext/>
              <w:spacing w:before="0"/>
              <w:jc w:val="center"/>
              <w:rPr>
                <w:lang w:val="es-ES_tradnl"/>
              </w:rPr>
            </w:pPr>
            <w:r w:rsidRPr="00865ABC">
              <w:rPr>
                <w:lang w:val="es-ES_tradnl"/>
              </w:rPr>
              <w:t>0.96</w:t>
            </w:r>
          </w:p>
        </w:tc>
        <w:tc>
          <w:tcPr>
            <w:tcW w:w="1677" w:type="dxa"/>
            <w:vAlign w:val="center"/>
          </w:tcPr>
          <w:p w14:paraId="3E83B099" w14:textId="77777777" w:rsidR="00FA1870" w:rsidRPr="00865ABC" w:rsidRDefault="00FA1870" w:rsidP="00660A01">
            <w:pPr>
              <w:keepNext/>
              <w:spacing w:before="0"/>
              <w:jc w:val="center"/>
              <w:rPr>
                <w:lang w:val="es-ES_tradnl"/>
              </w:rPr>
            </w:pPr>
            <w:r w:rsidRPr="00865ABC">
              <w:rPr>
                <w:lang w:val="es-ES_tradnl"/>
              </w:rPr>
              <w:t>1.28</w:t>
            </w:r>
          </w:p>
        </w:tc>
      </w:tr>
      <w:tr w:rsidR="00FA1870" w:rsidRPr="00865ABC" w14:paraId="17196DAF" w14:textId="77777777" w:rsidTr="00660A01">
        <w:trPr>
          <w:jc w:val="center"/>
        </w:trPr>
        <w:tc>
          <w:tcPr>
            <w:tcW w:w="2154" w:type="dxa"/>
          </w:tcPr>
          <w:p w14:paraId="670F43FB" w14:textId="77777777" w:rsidR="00FA1870" w:rsidRPr="00865ABC" w:rsidRDefault="00FA1870" w:rsidP="00E96455">
            <w:pPr>
              <w:spacing w:before="0"/>
              <w:rPr>
                <w:lang w:val="es-ES_tradnl"/>
              </w:rPr>
            </w:pPr>
            <w:r w:rsidRPr="00865ABC">
              <w:rPr>
                <w:lang w:val="es-ES_tradnl"/>
              </w:rPr>
              <w:t>TIR Económica</w:t>
            </w:r>
          </w:p>
        </w:tc>
        <w:tc>
          <w:tcPr>
            <w:tcW w:w="1374" w:type="dxa"/>
            <w:vAlign w:val="center"/>
          </w:tcPr>
          <w:p w14:paraId="4FAFD271" w14:textId="59DBFC8A" w:rsidR="00FA1870" w:rsidRPr="00865ABC" w:rsidRDefault="00FA1870" w:rsidP="00660A01">
            <w:pPr>
              <w:spacing w:before="0"/>
              <w:jc w:val="center"/>
              <w:rPr>
                <w:lang w:val="es-ES_tradnl"/>
              </w:rPr>
            </w:pPr>
            <w:r w:rsidRPr="00865ABC">
              <w:rPr>
                <w:lang w:val="es-ES_tradnl"/>
              </w:rPr>
              <w:t>5</w:t>
            </w:r>
            <w:r>
              <w:rPr>
                <w:lang w:val="es-ES_tradnl"/>
              </w:rPr>
              <w:t>7</w:t>
            </w:r>
            <w:r w:rsidRPr="00865ABC">
              <w:rPr>
                <w:lang w:val="es-ES_tradnl"/>
              </w:rPr>
              <w:t>%</w:t>
            </w:r>
          </w:p>
        </w:tc>
        <w:tc>
          <w:tcPr>
            <w:tcW w:w="1530" w:type="dxa"/>
            <w:vAlign w:val="center"/>
          </w:tcPr>
          <w:p w14:paraId="02ABED60" w14:textId="5EF5872D" w:rsidR="00FA1870" w:rsidRPr="00865ABC" w:rsidRDefault="00660A01" w:rsidP="00660A01">
            <w:pPr>
              <w:spacing w:before="0"/>
              <w:jc w:val="center"/>
              <w:rPr>
                <w:lang w:val="es-ES_tradnl"/>
              </w:rPr>
            </w:pPr>
            <w:r>
              <w:rPr>
                <w:lang w:val="es-ES_tradnl"/>
              </w:rPr>
              <w:t>16%</w:t>
            </w:r>
          </w:p>
        </w:tc>
        <w:tc>
          <w:tcPr>
            <w:tcW w:w="2121" w:type="dxa"/>
            <w:vAlign w:val="center"/>
          </w:tcPr>
          <w:p w14:paraId="27292639" w14:textId="62160ADF" w:rsidR="00FA1870" w:rsidRPr="00865ABC" w:rsidRDefault="00FA1870" w:rsidP="00660A01">
            <w:pPr>
              <w:spacing w:before="0"/>
              <w:jc w:val="center"/>
              <w:rPr>
                <w:lang w:val="es-ES_tradnl"/>
              </w:rPr>
            </w:pPr>
            <w:r w:rsidRPr="00865ABC">
              <w:rPr>
                <w:lang w:val="es-ES_tradnl"/>
              </w:rPr>
              <w:t>8%</w:t>
            </w:r>
          </w:p>
        </w:tc>
        <w:tc>
          <w:tcPr>
            <w:tcW w:w="1677" w:type="dxa"/>
            <w:vAlign w:val="center"/>
          </w:tcPr>
          <w:p w14:paraId="70AC2522" w14:textId="724643E8" w:rsidR="00FA1870" w:rsidRPr="00865ABC" w:rsidRDefault="00FA1870" w:rsidP="00660A01">
            <w:pPr>
              <w:spacing w:before="0"/>
              <w:jc w:val="center"/>
              <w:rPr>
                <w:lang w:val="es-ES_tradnl"/>
              </w:rPr>
            </w:pPr>
            <w:r w:rsidRPr="00865ABC">
              <w:rPr>
                <w:lang w:val="es-ES_tradnl"/>
              </w:rPr>
              <w:t>3</w:t>
            </w:r>
            <w:r>
              <w:rPr>
                <w:lang w:val="es-ES_tradnl"/>
              </w:rPr>
              <w:t>9</w:t>
            </w:r>
            <w:r w:rsidRPr="00865ABC">
              <w:rPr>
                <w:lang w:val="es-ES_tradnl"/>
              </w:rPr>
              <w:t>%</w:t>
            </w:r>
          </w:p>
        </w:tc>
      </w:tr>
    </w:tbl>
    <w:p w14:paraId="074E1EED" w14:textId="5CA9A262" w:rsidR="00660A01" w:rsidRDefault="00660A01" w:rsidP="00E96455">
      <w:pPr>
        <w:rPr>
          <w:lang w:val="es-ES_tradnl"/>
        </w:rPr>
      </w:pPr>
      <w:r>
        <w:rPr>
          <w:lang w:val="es-ES_tradnl"/>
        </w:rPr>
        <w:t>La viabilidad del programa de extensión de cobertura se mantiene con los supuestos de la CEPAL y el aumento del costo de conexión por usuario.</w:t>
      </w:r>
      <w:r w:rsidRPr="00660A01">
        <w:rPr>
          <w:lang w:val="es-ES_tradnl"/>
        </w:rPr>
        <w:t xml:space="preserve"> </w:t>
      </w:r>
      <w:r w:rsidRPr="00865ABC">
        <w:rPr>
          <w:lang w:val="es-ES_tradnl"/>
        </w:rPr>
        <w:t xml:space="preserve">La variable que ejerce una mayor influencia sobre los resultados es la voluntad de pago; si ésta se reduce a US$500/MWh, se obtiene una TIR del </w:t>
      </w:r>
      <w:r>
        <w:rPr>
          <w:lang w:val="es-ES_tradnl"/>
        </w:rPr>
        <w:t>8</w:t>
      </w:r>
      <w:r w:rsidRPr="00865ABC">
        <w:rPr>
          <w:lang w:val="es-ES_tradnl"/>
        </w:rPr>
        <w:t xml:space="preserve">% en cuyo caso es </w:t>
      </w:r>
      <w:r>
        <w:rPr>
          <w:lang w:val="es-ES_tradnl"/>
        </w:rPr>
        <w:t xml:space="preserve">económicamente </w:t>
      </w:r>
      <w:r w:rsidRPr="00865ABC">
        <w:rPr>
          <w:lang w:val="es-ES_tradnl"/>
        </w:rPr>
        <w:t>dudo</w:t>
      </w:r>
      <w:r>
        <w:rPr>
          <w:lang w:val="es-ES_tradnl"/>
        </w:rPr>
        <w:t>sa la ampliación de cobertura.</w:t>
      </w:r>
    </w:p>
    <w:p w14:paraId="45918E71" w14:textId="760B7195" w:rsidR="00E96455" w:rsidRPr="00865ABC" w:rsidRDefault="00E96455" w:rsidP="00E96455">
      <w:pPr>
        <w:rPr>
          <w:lang w:val="es-ES_tradnl"/>
        </w:rPr>
      </w:pPr>
      <w:r w:rsidRPr="00865ABC">
        <w:rPr>
          <w:lang w:val="es-ES_tradnl"/>
        </w:rPr>
        <w:t>Conviene anotar que la evaluación económica es favorable al tener en cuenta el excedente del consumidor, que constituye un beneficio no-monetario. El punto de equilibrio de la voluntad de pago para una TIR de 12% se sitúa alrededor de $525/MWh.</w:t>
      </w:r>
      <w:r w:rsidR="00307B62">
        <w:rPr>
          <w:lang w:val="es-ES_tradnl"/>
        </w:rPr>
        <w:t xml:space="preserve"> Este valor es relativamente bajo de acuerdo con diferentes evaluaciones empíricas</w:t>
      </w:r>
      <w:r w:rsidR="00AD2A4C">
        <w:rPr>
          <w:lang w:val="es-ES_tradnl"/>
        </w:rPr>
        <w:t>; en particular, se ha evaluado la WTP para Nicaragua</w:t>
      </w:r>
      <w:r w:rsidR="00AD2A4C">
        <w:rPr>
          <w:rStyle w:val="FootnoteReference"/>
          <w:lang w:val="es-ES_tradnl"/>
        </w:rPr>
        <w:footnoteReference w:id="6"/>
      </w:r>
      <w:r w:rsidR="003B28D9">
        <w:rPr>
          <w:lang w:val="es-ES_tradnl"/>
        </w:rPr>
        <w:t>, que arroja un valor del orden de $1900/MWh en proyectos de electrificación rural</w:t>
      </w:r>
      <w:r w:rsidR="00660A01">
        <w:rPr>
          <w:lang w:val="es-ES_tradnl"/>
        </w:rPr>
        <w:t>, con lo cual se obtendría una justificación aún mayor para el proyecto</w:t>
      </w:r>
      <w:r w:rsidR="003B28D9">
        <w:rPr>
          <w:lang w:val="es-ES_tradnl"/>
        </w:rPr>
        <w:t>.</w:t>
      </w:r>
    </w:p>
    <w:p w14:paraId="0B70274F" w14:textId="2994F286" w:rsidR="000C6C10" w:rsidRPr="008C36B0" w:rsidRDefault="000C6C10" w:rsidP="00C114A9">
      <w:pPr>
        <w:pStyle w:val="Banknumbered"/>
      </w:pPr>
      <w:r w:rsidRPr="008C36B0">
        <w:rPr>
          <w:b/>
        </w:rPr>
        <w:t>Aspectos financieros.</w:t>
      </w:r>
      <w:r w:rsidRPr="008C36B0">
        <w:t xml:space="preserve">  Cabe anotar que si bien la extensión de cobertura es ampliamente justificable del punto de vista económico, no lo es necesariamente desde el punto de vista financiero.  En efecto, </w:t>
      </w:r>
      <w:r w:rsidR="00425D42" w:rsidRPr="008C36B0">
        <w:t xml:space="preserve">los costos de suministro (alrededor de US$250/MWh) son </w:t>
      </w:r>
      <w:r w:rsidR="007B490B" w:rsidRPr="008C36B0">
        <w:t>superiores</w:t>
      </w:r>
      <w:r w:rsidR="00425D42" w:rsidRPr="008C36B0">
        <w:t xml:space="preserve"> al recaudo tarifario (</w:t>
      </w:r>
      <w:r w:rsidR="007B490B" w:rsidRPr="008C36B0">
        <w:t xml:space="preserve">alrededor de </w:t>
      </w:r>
      <w:r w:rsidR="00425D42" w:rsidRPr="008C36B0">
        <w:t>US$</w:t>
      </w:r>
      <w:r w:rsidR="007B490B" w:rsidRPr="008C36B0">
        <w:t>1</w:t>
      </w:r>
      <w:r w:rsidR="00800B98">
        <w:t>9</w:t>
      </w:r>
      <w:r w:rsidR="000B5B79" w:rsidRPr="008C36B0">
        <w:t>5</w:t>
      </w:r>
      <w:r w:rsidR="00425D42" w:rsidRPr="008C36B0">
        <w:t>/MWh</w:t>
      </w:r>
      <w:r w:rsidR="007B490B" w:rsidRPr="008C36B0">
        <w:t xml:space="preserve"> para usuarios residenciales</w:t>
      </w:r>
      <w:r w:rsidR="00425D42" w:rsidRPr="008C36B0">
        <w:t>), resultando en una pérdida para la empresa de distribución.  Por esta razón el peso de la inversión en extensiones de cobertura de servicios eléctricos no puede recaer enteramente en la empresa de distribución y requiere subsidios de otras entidades.  De ahí que las empresas de distribución sólo puedan contribuir con una fracción de la inversión requerida.</w:t>
      </w:r>
    </w:p>
    <w:p w14:paraId="68A0B52C" w14:textId="77777777" w:rsidR="00BF4E6C" w:rsidRPr="008C36B0" w:rsidRDefault="00672A1A" w:rsidP="00800B98">
      <w:pPr>
        <w:keepNext/>
        <w:rPr>
          <w:b/>
          <w:lang w:val="es-ES_tradnl"/>
        </w:rPr>
      </w:pPr>
      <w:r w:rsidRPr="008C36B0">
        <w:rPr>
          <w:b/>
          <w:lang w:val="es-ES_tradnl"/>
        </w:rPr>
        <w:t>Evaluación de la reducción de pérdidas</w:t>
      </w:r>
    </w:p>
    <w:p w14:paraId="3D298B4A" w14:textId="10304B78" w:rsidR="00865ABC" w:rsidRPr="008C36B0" w:rsidRDefault="00865ABC" w:rsidP="00C114A9">
      <w:pPr>
        <w:pStyle w:val="Banknumbered"/>
      </w:pPr>
      <w:r w:rsidRPr="008C36B0">
        <w:t xml:space="preserve">Las cifras del INE indican una evolución de las pérdidas tal como se ilustra en el Cuadro </w:t>
      </w:r>
      <w:r w:rsidR="00FD2F82">
        <w:t>9</w:t>
      </w:r>
      <w:r w:rsidRPr="008C36B0">
        <w:t>.</w:t>
      </w:r>
    </w:p>
    <w:p w14:paraId="674A7748" w14:textId="78846DA3" w:rsidR="00865ABC" w:rsidRPr="003E592F" w:rsidRDefault="00865ABC" w:rsidP="00865ABC">
      <w:pPr>
        <w:jc w:val="center"/>
        <w:rPr>
          <w:sz w:val="20"/>
          <w:szCs w:val="20"/>
          <w:lang w:val="es-ES_tradnl"/>
        </w:rPr>
      </w:pPr>
      <w:r w:rsidRPr="003E592F">
        <w:rPr>
          <w:sz w:val="20"/>
          <w:szCs w:val="20"/>
          <w:lang w:val="es-ES_tradnl"/>
        </w:rPr>
        <w:t xml:space="preserve">Cuadro </w:t>
      </w:r>
      <w:r w:rsidR="00FD2F82" w:rsidRPr="003E592F">
        <w:rPr>
          <w:sz w:val="20"/>
          <w:szCs w:val="20"/>
          <w:lang w:val="es-ES_tradnl"/>
        </w:rPr>
        <w:t>9</w:t>
      </w:r>
      <w:r w:rsidRPr="003E592F">
        <w:rPr>
          <w:sz w:val="20"/>
          <w:szCs w:val="20"/>
          <w:lang w:val="es-ES_tradnl"/>
        </w:rPr>
        <w:t>—Evolución de las Pérdidas</w:t>
      </w:r>
      <w:r w:rsidR="003E592F" w:rsidRPr="003E592F">
        <w:rPr>
          <w:sz w:val="20"/>
          <w:szCs w:val="20"/>
          <w:lang w:val="es-ES_tradnl"/>
        </w:rPr>
        <w:t xml:space="preserve"> de Distribución</w:t>
      </w:r>
      <w:r w:rsidRPr="003E592F">
        <w:rPr>
          <w:sz w:val="20"/>
          <w:szCs w:val="20"/>
          <w:lang w:val="es-ES_tradnl"/>
        </w:rPr>
        <w:t xml:space="preserve"> en el SNI</w:t>
      </w:r>
    </w:p>
    <w:tbl>
      <w:tblPr>
        <w:tblStyle w:val="TableGrid"/>
        <w:tblW w:w="0" w:type="auto"/>
        <w:jc w:val="center"/>
        <w:tblLook w:val="04A0" w:firstRow="1" w:lastRow="0" w:firstColumn="1" w:lastColumn="0" w:noHBand="0" w:noVBand="1"/>
      </w:tblPr>
      <w:tblGrid>
        <w:gridCol w:w="1255"/>
        <w:gridCol w:w="666"/>
        <w:gridCol w:w="666"/>
        <w:gridCol w:w="666"/>
        <w:gridCol w:w="666"/>
        <w:gridCol w:w="666"/>
        <w:gridCol w:w="666"/>
      </w:tblGrid>
      <w:tr w:rsidR="00865ABC" w:rsidRPr="008C36B0" w14:paraId="33C9C06E" w14:textId="77777777" w:rsidTr="00865ABC">
        <w:trPr>
          <w:jc w:val="center"/>
        </w:trPr>
        <w:tc>
          <w:tcPr>
            <w:tcW w:w="0" w:type="auto"/>
          </w:tcPr>
          <w:p w14:paraId="3251BB1D" w14:textId="77777777" w:rsidR="00865ABC" w:rsidRPr="008C36B0" w:rsidRDefault="00865ABC" w:rsidP="00865ABC">
            <w:pPr>
              <w:rPr>
                <w:lang w:val="es-ES_tradnl"/>
              </w:rPr>
            </w:pPr>
          </w:p>
        </w:tc>
        <w:tc>
          <w:tcPr>
            <w:tcW w:w="0" w:type="auto"/>
          </w:tcPr>
          <w:p w14:paraId="048428F2" w14:textId="5A498F3B" w:rsidR="00865ABC" w:rsidRPr="008C36B0" w:rsidRDefault="00865ABC" w:rsidP="00865ABC">
            <w:pPr>
              <w:rPr>
                <w:lang w:val="es-ES_tradnl"/>
              </w:rPr>
            </w:pPr>
            <w:r w:rsidRPr="008C36B0">
              <w:rPr>
                <w:lang w:val="es-ES_tradnl"/>
              </w:rPr>
              <w:t>2011</w:t>
            </w:r>
          </w:p>
        </w:tc>
        <w:tc>
          <w:tcPr>
            <w:tcW w:w="0" w:type="auto"/>
          </w:tcPr>
          <w:p w14:paraId="5D23847C" w14:textId="5308B9C7" w:rsidR="00865ABC" w:rsidRPr="008C36B0" w:rsidRDefault="00865ABC" w:rsidP="00865ABC">
            <w:pPr>
              <w:rPr>
                <w:lang w:val="es-ES_tradnl"/>
              </w:rPr>
            </w:pPr>
            <w:r w:rsidRPr="008C36B0">
              <w:rPr>
                <w:lang w:val="es-ES_tradnl"/>
              </w:rPr>
              <w:t>2012</w:t>
            </w:r>
          </w:p>
        </w:tc>
        <w:tc>
          <w:tcPr>
            <w:tcW w:w="0" w:type="auto"/>
          </w:tcPr>
          <w:p w14:paraId="369E6835" w14:textId="10CBDDFD" w:rsidR="00865ABC" w:rsidRPr="008C36B0" w:rsidRDefault="00865ABC" w:rsidP="00865ABC">
            <w:pPr>
              <w:rPr>
                <w:lang w:val="es-ES_tradnl"/>
              </w:rPr>
            </w:pPr>
            <w:r w:rsidRPr="008C36B0">
              <w:rPr>
                <w:lang w:val="es-ES_tradnl"/>
              </w:rPr>
              <w:t>2013</w:t>
            </w:r>
          </w:p>
        </w:tc>
        <w:tc>
          <w:tcPr>
            <w:tcW w:w="0" w:type="auto"/>
          </w:tcPr>
          <w:p w14:paraId="761086F4" w14:textId="780FEC74" w:rsidR="00865ABC" w:rsidRPr="008C36B0" w:rsidRDefault="00865ABC" w:rsidP="00865ABC">
            <w:pPr>
              <w:rPr>
                <w:lang w:val="es-ES_tradnl"/>
              </w:rPr>
            </w:pPr>
            <w:r w:rsidRPr="008C36B0">
              <w:rPr>
                <w:lang w:val="es-ES_tradnl"/>
              </w:rPr>
              <w:t>2014</w:t>
            </w:r>
          </w:p>
        </w:tc>
        <w:tc>
          <w:tcPr>
            <w:tcW w:w="0" w:type="auto"/>
          </w:tcPr>
          <w:p w14:paraId="30329A35" w14:textId="423CD1BD" w:rsidR="00865ABC" w:rsidRPr="008C36B0" w:rsidRDefault="00865ABC" w:rsidP="00865ABC">
            <w:pPr>
              <w:rPr>
                <w:lang w:val="es-ES_tradnl"/>
              </w:rPr>
            </w:pPr>
            <w:r w:rsidRPr="008C36B0">
              <w:rPr>
                <w:lang w:val="es-ES_tradnl"/>
              </w:rPr>
              <w:t>2015</w:t>
            </w:r>
          </w:p>
        </w:tc>
        <w:tc>
          <w:tcPr>
            <w:tcW w:w="0" w:type="auto"/>
          </w:tcPr>
          <w:p w14:paraId="73162657" w14:textId="6B3745DA" w:rsidR="00865ABC" w:rsidRPr="008C36B0" w:rsidRDefault="00865ABC" w:rsidP="00865ABC">
            <w:pPr>
              <w:rPr>
                <w:lang w:val="es-ES_tradnl"/>
              </w:rPr>
            </w:pPr>
            <w:r w:rsidRPr="008C36B0">
              <w:rPr>
                <w:lang w:val="es-ES_tradnl"/>
              </w:rPr>
              <w:t>2016</w:t>
            </w:r>
          </w:p>
        </w:tc>
      </w:tr>
      <w:tr w:rsidR="00865ABC" w:rsidRPr="008C36B0" w14:paraId="7191C288" w14:textId="77777777" w:rsidTr="00865ABC">
        <w:trPr>
          <w:jc w:val="center"/>
        </w:trPr>
        <w:tc>
          <w:tcPr>
            <w:tcW w:w="0" w:type="auto"/>
          </w:tcPr>
          <w:p w14:paraId="5DE81A4B" w14:textId="60330A02" w:rsidR="00865ABC" w:rsidRPr="008C36B0" w:rsidRDefault="00865ABC" w:rsidP="00865ABC">
            <w:pPr>
              <w:rPr>
                <w:lang w:val="es-ES_tradnl"/>
              </w:rPr>
            </w:pPr>
            <w:r w:rsidRPr="008C36B0">
              <w:rPr>
                <w:lang w:val="es-ES_tradnl"/>
              </w:rPr>
              <w:t>Pérdidas (%)</w:t>
            </w:r>
          </w:p>
        </w:tc>
        <w:tc>
          <w:tcPr>
            <w:tcW w:w="0" w:type="auto"/>
          </w:tcPr>
          <w:p w14:paraId="2C45A363" w14:textId="57BDA1D3" w:rsidR="00865ABC" w:rsidRPr="008C36B0" w:rsidRDefault="00865ABC" w:rsidP="00865ABC">
            <w:pPr>
              <w:rPr>
                <w:lang w:val="es-ES_tradnl"/>
              </w:rPr>
            </w:pPr>
            <w:r w:rsidRPr="008C36B0">
              <w:rPr>
                <w:lang w:val="es-ES_tradnl"/>
              </w:rPr>
              <w:t>21.96</w:t>
            </w:r>
          </w:p>
        </w:tc>
        <w:tc>
          <w:tcPr>
            <w:tcW w:w="0" w:type="auto"/>
          </w:tcPr>
          <w:p w14:paraId="0699D546" w14:textId="427FB67A" w:rsidR="00865ABC" w:rsidRPr="008C36B0" w:rsidRDefault="00865ABC" w:rsidP="00865ABC">
            <w:pPr>
              <w:rPr>
                <w:lang w:val="es-ES_tradnl"/>
              </w:rPr>
            </w:pPr>
            <w:r w:rsidRPr="008C36B0">
              <w:rPr>
                <w:lang w:val="es-ES_tradnl"/>
              </w:rPr>
              <w:t>20.86</w:t>
            </w:r>
          </w:p>
        </w:tc>
        <w:tc>
          <w:tcPr>
            <w:tcW w:w="0" w:type="auto"/>
          </w:tcPr>
          <w:p w14:paraId="56979CC5" w14:textId="388850F2" w:rsidR="00865ABC" w:rsidRPr="008C36B0" w:rsidRDefault="00865ABC" w:rsidP="00865ABC">
            <w:pPr>
              <w:rPr>
                <w:lang w:val="es-ES_tradnl"/>
              </w:rPr>
            </w:pPr>
            <w:r w:rsidRPr="008C36B0">
              <w:rPr>
                <w:lang w:val="es-ES_tradnl"/>
              </w:rPr>
              <w:t>20.75</w:t>
            </w:r>
          </w:p>
        </w:tc>
        <w:tc>
          <w:tcPr>
            <w:tcW w:w="0" w:type="auto"/>
          </w:tcPr>
          <w:p w14:paraId="11661034" w14:textId="60961999" w:rsidR="00865ABC" w:rsidRPr="008C36B0" w:rsidRDefault="00865ABC" w:rsidP="00865ABC">
            <w:pPr>
              <w:rPr>
                <w:lang w:val="es-ES_tradnl"/>
              </w:rPr>
            </w:pPr>
            <w:r w:rsidRPr="008C36B0">
              <w:rPr>
                <w:lang w:val="es-ES_tradnl"/>
              </w:rPr>
              <w:t>20.99</w:t>
            </w:r>
          </w:p>
        </w:tc>
        <w:tc>
          <w:tcPr>
            <w:tcW w:w="0" w:type="auto"/>
          </w:tcPr>
          <w:p w14:paraId="1DC8FA73" w14:textId="7960D992" w:rsidR="00865ABC" w:rsidRPr="008C36B0" w:rsidRDefault="00865ABC" w:rsidP="00865ABC">
            <w:pPr>
              <w:rPr>
                <w:lang w:val="es-ES_tradnl"/>
              </w:rPr>
            </w:pPr>
            <w:r w:rsidRPr="008C36B0">
              <w:rPr>
                <w:lang w:val="es-ES_tradnl"/>
              </w:rPr>
              <w:t>20.61</w:t>
            </w:r>
          </w:p>
        </w:tc>
        <w:tc>
          <w:tcPr>
            <w:tcW w:w="0" w:type="auto"/>
          </w:tcPr>
          <w:p w14:paraId="13885E2E" w14:textId="1387B1D3" w:rsidR="00865ABC" w:rsidRPr="008C36B0" w:rsidRDefault="00865ABC" w:rsidP="00865ABC">
            <w:pPr>
              <w:rPr>
                <w:lang w:val="es-ES_tradnl"/>
              </w:rPr>
            </w:pPr>
            <w:r w:rsidRPr="008C36B0">
              <w:rPr>
                <w:lang w:val="es-ES_tradnl"/>
              </w:rPr>
              <w:t>19.79</w:t>
            </w:r>
          </w:p>
        </w:tc>
      </w:tr>
    </w:tbl>
    <w:p w14:paraId="2ECEF2A1" w14:textId="5D40BE88" w:rsidR="00865ABC" w:rsidRPr="008C36B0" w:rsidRDefault="00865ABC" w:rsidP="00865ABC">
      <w:pPr>
        <w:rPr>
          <w:lang w:val="es-ES_tradnl"/>
        </w:rPr>
      </w:pPr>
      <w:r w:rsidRPr="008C36B0">
        <w:rPr>
          <w:lang w:val="es-ES_tradnl"/>
        </w:rPr>
        <w:t xml:space="preserve">Las pérdidas </w:t>
      </w:r>
      <w:r w:rsidR="00AC068E" w:rsidRPr="008C36B0">
        <w:rPr>
          <w:lang w:val="es-ES_tradnl"/>
        </w:rPr>
        <w:t xml:space="preserve">de distribución se dividen en pérdidas técnicas y en pérdidas comerciales. La reducción de pérdidas observada es consistente con las inversiones del INE mediante las cuales se han reforzado los sistemas de distribución, logrando una reducción de pérdidas </w:t>
      </w:r>
      <w:r w:rsidR="006D4D3F" w:rsidRPr="008C36B0">
        <w:rPr>
          <w:lang w:val="es-ES_tradnl"/>
        </w:rPr>
        <w:t>comerciales de acuerdo con las inversiones pactadas con la empresa de distribución,</w:t>
      </w:r>
      <w:r w:rsidR="00AC068E" w:rsidRPr="008C36B0">
        <w:rPr>
          <w:lang w:val="es-ES_tradnl"/>
        </w:rPr>
        <w:t xml:space="preserve"> primordialmente, del orden de un punto porcentual entre 2012 y 2016. </w:t>
      </w:r>
      <w:r w:rsidR="00AC068E" w:rsidRPr="008C36B0">
        <w:rPr>
          <w:lang w:val="es-ES_tradnl"/>
        </w:rPr>
        <w:lastRenderedPageBreak/>
        <w:t xml:space="preserve">Aunque no es factible tener una distinción entre pérdidas técnicas y comerciales, las primeras son típicamente del orden de 8%, lo cual implica que la empresa distribuidora mantiene un nivel de energía no facturada, ya sea por motivos técnicos o por robo, del orden de 12%. </w:t>
      </w:r>
    </w:p>
    <w:p w14:paraId="23A133CE" w14:textId="74F95087" w:rsidR="00A626D8" w:rsidRPr="008C36B0" w:rsidRDefault="00672A1A" w:rsidP="00C114A9">
      <w:pPr>
        <w:pStyle w:val="Banknumbered"/>
      </w:pPr>
      <w:r w:rsidRPr="008C36B0">
        <w:rPr>
          <w:b/>
        </w:rPr>
        <w:t xml:space="preserve">Metodología. </w:t>
      </w:r>
      <w:r w:rsidR="002D09DC" w:rsidRPr="008C36B0">
        <w:t xml:space="preserve">El cuadro </w:t>
      </w:r>
      <w:r w:rsidR="00FD2F82">
        <w:t>10</w:t>
      </w:r>
      <w:r w:rsidRPr="008C36B0">
        <w:t xml:space="preserve"> ilustra la reducción de pérdidas comerciales obtenida con el proyecto, </w:t>
      </w:r>
      <w:r w:rsidR="00DA2A81" w:rsidRPr="008C36B0">
        <w:t>de acuerdo con los datos del INE</w:t>
      </w:r>
      <w:r w:rsidRPr="008C36B0">
        <w:t>:</w:t>
      </w:r>
      <w:r w:rsidR="00A626D8" w:rsidRPr="008C36B0" w:rsidDel="00A626D8">
        <w:t xml:space="preserve"> </w:t>
      </w:r>
    </w:p>
    <w:p w14:paraId="0143D52B" w14:textId="1EEC3398" w:rsidR="002D09DC" w:rsidRPr="008C36B0" w:rsidRDefault="002D09DC" w:rsidP="000177FB">
      <w:pPr>
        <w:keepNext/>
        <w:jc w:val="center"/>
        <w:rPr>
          <w:sz w:val="22"/>
          <w:lang w:val="es-ES_tradnl"/>
        </w:rPr>
      </w:pPr>
      <w:r w:rsidRPr="008C36B0">
        <w:rPr>
          <w:sz w:val="22"/>
          <w:lang w:val="es-ES_tradnl"/>
        </w:rPr>
        <w:t xml:space="preserve">Cuadro </w:t>
      </w:r>
      <w:r w:rsidR="00FD2F82">
        <w:rPr>
          <w:sz w:val="22"/>
          <w:lang w:val="es-ES_tradnl"/>
        </w:rPr>
        <w:t>10</w:t>
      </w:r>
      <w:r w:rsidRPr="008C36B0">
        <w:rPr>
          <w:sz w:val="22"/>
          <w:lang w:val="es-ES_tradnl"/>
        </w:rPr>
        <w:t xml:space="preserve">: Evolución de las Pérdidas </w:t>
      </w:r>
      <w:r w:rsidR="00391048" w:rsidRPr="008C36B0">
        <w:rPr>
          <w:sz w:val="22"/>
          <w:lang w:val="es-ES_tradnl"/>
        </w:rPr>
        <w:t>de Distribución</w:t>
      </w:r>
    </w:p>
    <w:p w14:paraId="762AF0AF" w14:textId="2091DCC8" w:rsidR="00DA2A81" w:rsidRPr="008C36B0" w:rsidRDefault="00DA2A81" w:rsidP="000177FB">
      <w:pPr>
        <w:keepNext/>
        <w:jc w:val="center"/>
        <w:rPr>
          <w:sz w:val="22"/>
          <w:lang w:val="es-ES_tradnl"/>
        </w:rPr>
      </w:pPr>
      <w:r w:rsidRPr="008C36B0">
        <w:rPr>
          <w:noProof/>
          <w:sz w:val="22"/>
        </w:rPr>
        <w:drawing>
          <wp:inline distT="0" distB="0" distL="0" distR="0" wp14:anchorId="6A7E2440" wp14:editId="1B0DD4D2">
            <wp:extent cx="5486400" cy="941033"/>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86400" cy="941033"/>
                    </a:xfrm>
                    <a:prstGeom prst="rect">
                      <a:avLst/>
                    </a:prstGeom>
                    <a:noFill/>
                    <a:ln>
                      <a:noFill/>
                    </a:ln>
                  </pic:spPr>
                </pic:pic>
              </a:graphicData>
            </a:graphic>
          </wp:inline>
        </w:drawing>
      </w:r>
    </w:p>
    <w:p w14:paraId="6587F17D" w14:textId="77777777" w:rsidR="007A7496" w:rsidRPr="008C36B0" w:rsidRDefault="007A7496" w:rsidP="00C114A9">
      <w:pPr>
        <w:pStyle w:val="Banknumbered"/>
      </w:pPr>
      <w:r w:rsidRPr="008C36B0">
        <w:t>La reducción de las pérdidas comerciales tiene dos tipos de beneficios:</w:t>
      </w:r>
    </w:p>
    <w:p w14:paraId="2B484039" w14:textId="77777777" w:rsidR="007A7496" w:rsidRPr="008C36B0" w:rsidRDefault="007A7496" w:rsidP="007A7496">
      <w:pPr>
        <w:pStyle w:val="Bullet"/>
        <w:numPr>
          <w:ilvl w:val="0"/>
          <w:numId w:val="7"/>
        </w:numPr>
        <w:tabs>
          <w:tab w:val="clear" w:pos="2880"/>
          <w:tab w:val="clear" w:pos="4230"/>
          <w:tab w:val="clear" w:pos="4500"/>
        </w:tabs>
        <w:rPr>
          <w:lang w:val="es-ES_tradnl"/>
        </w:rPr>
      </w:pPr>
      <w:r w:rsidRPr="008C36B0">
        <w:rPr>
          <w:lang w:val="es-ES_tradnl"/>
        </w:rPr>
        <w:t xml:space="preserve">Beneficios </w:t>
      </w:r>
      <w:r w:rsidRPr="008C36B0">
        <w:rPr>
          <w:i/>
          <w:lang w:val="es-ES_tradnl"/>
        </w:rPr>
        <w:t>económicos</w:t>
      </w:r>
      <w:r w:rsidRPr="008C36B0">
        <w:rPr>
          <w:lang w:val="es-ES_tradnl"/>
        </w:rPr>
        <w:t xml:space="preserve"> asociados a la reacción de usuarios que tienen que pagar por la energía consumida y por lo tanto reducen su consumo debido al efecto de elasticidad-precio; se propone valorar estos beneficios como la ganancia neta teniendo en cuenta la variación del excedente del consumidor y el costo de generación ahorrado;</w:t>
      </w:r>
    </w:p>
    <w:p w14:paraId="0DD48F32" w14:textId="77777777" w:rsidR="007A7496" w:rsidRPr="008C36B0" w:rsidRDefault="007A7496" w:rsidP="007A7496">
      <w:pPr>
        <w:pStyle w:val="Bullet"/>
        <w:numPr>
          <w:ilvl w:val="0"/>
          <w:numId w:val="7"/>
        </w:numPr>
        <w:tabs>
          <w:tab w:val="clear" w:pos="2880"/>
          <w:tab w:val="clear" w:pos="4230"/>
          <w:tab w:val="clear" w:pos="4500"/>
        </w:tabs>
        <w:rPr>
          <w:lang w:val="es-ES_tradnl"/>
        </w:rPr>
      </w:pPr>
      <w:r w:rsidRPr="008C36B0">
        <w:rPr>
          <w:lang w:val="es-ES_tradnl"/>
        </w:rPr>
        <w:t xml:space="preserve">Beneficios </w:t>
      </w:r>
      <w:r w:rsidRPr="008C36B0">
        <w:rPr>
          <w:i/>
          <w:lang w:val="es-ES_tradnl"/>
        </w:rPr>
        <w:t>financieros</w:t>
      </w:r>
      <w:r w:rsidRPr="008C36B0">
        <w:rPr>
          <w:lang w:val="es-ES_tradnl"/>
        </w:rPr>
        <w:t xml:space="preserve"> asociados con la transferencia del excedente del consumidor de los usuarios al productor, o, en otras palabras, la recuperación de energía no facturada; se propone valorar esta energía de acuerdo con la tarifa media de venta de la empresa, además del menor costo de generación</w:t>
      </w:r>
    </w:p>
    <w:p w14:paraId="2E862564" w14:textId="79760730" w:rsidR="007A7496" w:rsidRPr="008C36B0" w:rsidRDefault="007A7496" w:rsidP="007A7496">
      <w:pPr>
        <w:rPr>
          <w:lang w:val="es-ES_tradnl"/>
        </w:rPr>
      </w:pPr>
      <w:r w:rsidRPr="008C36B0">
        <w:rPr>
          <w:lang w:val="es-ES_tradnl"/>
        </w:rPr>
        <w:t xml:space="preserve">La metodología se ilustra en la Figura </w:t>
      </w:r>
      <w:r w:rsidR="00FD2F82">
        <w:rPr>
          <w:lang w:val="es-ES_tradnl"/>
        </w:rPr>
        <w:t>3</w:t>
      </w:r>
      <w:r w:rsidRPr="008C36B0">
        <w:rPr>
          <w:lang w:val="es-ES_tradnl"/>
        </w:rPr>
        <w:t>:</w:t>
      </w:r>
    </w:p>
    <w:p w14:paraId="6B5537F4" w14:textId="66EF060E" w:rsidR="007A7496" w:rsidRPr="008C36B0" w:rsidRDefault="007A7496" w:rsidP="007A7496">
      <w:pPr>
        <w:rPr>
          <w:lang w:val="es-ES_tradnl"/>
        </w:rPr>
      </w:pPr>
      <w:r w:rsidRPr="008C36B0">
        <w:rPr>
          <w:noProof/>
        </w:rPr>
        <w:drawing>
          <wp:inline distT="0" distB="0" distL="0" distR="0" wp14:anchorId="2144B927" wp14:editId="7AC84629">
            <wp:extent cx="5784850" cy="3003550"/>
            <wp:effectExtent l="19050" t="0" r="635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a:srcRect/>
                    <a:stretch>
                      <a:fillRect/>
                    </a:stretch>
                  </pic:blipFill>
                  <pic:spPr bwMode="auto">
                    <a:xfrm>
                      <a:off x="0" y="0"/>
                      <a:ext cx="5784850" cy="3003550"/>
                    </a:xfrm>
                    <a:prstGeom prst="rect">
                      <a:avLst/>
                    </a:prstGeom>
                    <a:noFill/>
                    <a:ln w="9525">
                      <a:noFill/>
                      <a:miter lim="800000"/>
                      <a:headEnd/>
                      <a:tailEnd/>
                    </a:ln>
                  </pic:spPr>
                </pic:pic>
              </a:graphicData>
            </a:graphic>
          </wp:inline>
        </w:drawing>
      </w:r>
    </w:p>
    <w:p w14:paraId="3F50888C" w14:textId="2C04C0FA" w:rsidR="007A7496" w:rsidRPr="008C36B0" w:rsidRDefault="007A7496" w:rsidP="002D09DC">
      <w:pPr>
        <w:spacing w:before="0"/>
        <w:jc w:val="center"/>
        <w:rPr>
          <w:sz w:val="22"/>
          <w:lang w:val="es-ES_tradnl"/>
        </w:rPr>
      </w:pPr>
      <w:r w:rsidRPr="008C36B0">
        <w:rPr>
          <w:sz w:val="22"/>
          <w:lang w:val="es-ES_tradnl"/>
        </w:rPr>
        <w:t xml:space="preserve">Figura </w:t>
      </w:r>
      <w:r w:rsidR="00FD2F82">
        <w:rPr>
          <w:sz w:val="22"/>
          <w:lang w:val="es-ES_tradnl"/>
        </w:rPr>
        <w:t>3</w:t>
      </w:r>
      <w:r w:rsidRPr="008C36B0">
        <w:rPr>
          <w:sz w:val="22"/>
          <w:lang w:val="es-ES_tradnl"/>
        </w:rPr>
        <w:t>—Curva de Demanda antes y después de medidas de reducción de pérdidas</w:t>
      </w:r>
    </w:p>
    <w:p w14:paraId="0F9334E9" w14:textId="77777777" w:rsidR="007A7496" w:rsidRPr="008C36B0" w:rsidRDefault="007A7496" w:rsidP="007A7496">
      <w:pPr>
        <w:rPr>
          <w:lang w:val="es-ES_tradnl"/>
        </w:rPr>
      </w:pPr>
      <w:r w:rsidRPr="008C36B0">
        <w:rPr>
          <w:lang w:val="es-ES_tradnl"/>
        </w:rPr>
        <w:lastRenderedPageBreak/>
        <w:t>En esta figura, el punto de consumo inicial</w:t>
      </w:r>
      <w:r w:rsidR="00445027" w:rsidRPr="008C36B0">
        <w:rPr>
          <w:lang w:val="es-ES_tradnl"/>
        </w:rPr>
        <w:t xml:space="preserve"> de aquellos usuarios responsables de las pérdidas comerciales</w:t>
      </w:r>
      <w:r w:rsidRPr="008C36B0">
        <w:rPr>
          <w:lang w:val="es-ES_tradnl"/>
        </w:rPr>
        <w:t xml:space="preserve"> es (P</w:t>
      </w:r>
      <w:r w:rsidRPr="008C36B0">
        <w:rPr>
          <w:vertAlign w:val="subscript"/>
          <w:lang w:val="es-ES_tradnl"/>
        </w:rPr>
        <w:t>0</w:t>
      </w:r>
      <w:r w:rsidRPr="008C36B0">
        <w:rPr>
          <w:lang w:val="es-ES_tradnl"/>
        </w:rPr>
        <w:t>, Q</w:t>
      </w:r>
      <w:r w:rsidRPr="008C36B0">
        <w:rPr>
          <w:vertAlign w:val="subscript"/>
          <w:lang w:val="es-ES_tradnl"/>
        </w:rPr>
        <w:t>0</w:t>
      </w:r>
      <w:r w:rsidRPr="008C36B0">
        <w:rPr>
          <w:lang w:val="es-ES_tradnl"/>
        </w:rPr>
        <w:t>), con un precio bajo y un consumo alto, y al recuperar las pérdidas el nuevo punto de consumo es (P</w:t>
      </w:r>
      <w:r w:rsidRPr="008C36B0">
        <w:rPr>
          <w:vertAlign w:val="subscript"/>
          <w:lang w:val="es-ES_tradnl"/>
        </w:rPr>
        <w:t>1</w:t>
      </w:r>
      <w:r w:rsidRPr="008C36B0">
        <w:rPr>
          <w:lang w:val="es-ES_tradnl"/>
        </w:rPr>
        <w:t>, Q</w:t>
      </w:r>
      <w:r w:rsidRPr="008C36B0">
        <w:rPr>
          <w:vertAlign w:val="subscript"/>
          <w:lang w:val="es-ES_tradnl"/>
        </w:rPr>
        <w:t>1</w:t>
      </w:r>
      <w:r w:rsidRPr="008C36B0">
        <w:rPr>
          <w:lang w:val="es-ES_tradnl"/>
        </w:rPr>
        <w:t>).  En el proceso ocurre:</w:t>
      </w:r>
    </w:p>
    <w:p w14:paraId="1D617E27" w14:textId="77777777" w:rsidR="007A7496" w:rsidRPr="008C36B0" w:rsidRDefault="007A7496" w:rsidP="007A7496">
      <w:pPr>
        <w:pStyle w:val="Bullet"/>
        <w:numPr>
          <w:ilvl w:val="0"/>
          <w:numId w:val="7"/>
        </w:numPr>
        <w:tabs>
          <w:tab w:val="clear" w:pos="2880"/>
          <w:tab w:val="clear" w:pos="4230"/>
          <w:tab w:val="clear" w:pos="4500"/>
        </w:tabs>
        <w:rPr>
          <w:lang w:val="es-ES_tradnl"/>
        </w:rPr>
      </w:pPr>
      <w:r w:rsidRPr="008C36B0">
        <w:rPr>
          <w:lang w:val="es-ES_tradnl"/>
        </w:rPr>
        <w:t>El excedente del consumidor se reduce por un valor igual al área D;</w:t>
      </w:r>
    </w:p>
    <w:p w14:paraId="403157CA" w14:textId="77777777" w:rsidR="007A7496" w:rsidRPr="008C36B0" w:rsidRDefault="007A7496" w:rsidP="007A7496">
      <w:pPr>
        <w:pStyle w:val="Bullet"/>
        <w:numPr>
          <w:ilvl w:val="0"/>
          <w:numId w:val="7"/>
        </w:numPr>
        <w:tabs>
          <w:tab w:val="clear" w:pos="2880"/>
          <w:tab w:val="clear" w:pos="4230"/>
          <w:tab w:val="clear" w:pos="4500"/>
        </w:tabs>
        <w:rPr>
          <w:lang w:val="es-ES_tradnl"/>
        </w:rPr>
      </w:pPr>
      <w:r w:rsidRPr="008C36B0">
        <w:rPr>
          <w:lang w:val="es-ES_tradnl"/>
        </w:rPr>
        <w:t>El productor ahorra la totalidad del costo para suministrar el consumo Q</w:t>
      </w:r>
      <w:r w:rsidRPr="008C36B0">
        <w:rPr>
          <w:vertAlign w:val="subscript"/>
          <w:lang w:val="es-ES_tradnl"/>
        </w:rPr>
        <w:t>0</w:t>
      </w:r>
      <w:r w:rsidR="00425D42" w:rsidRPr="008C36B0">
        <w:rPr>
          <w:vertAlign w:val="subscript"/>
          <w:lang w:val="es-ES_tradnl"/>
        </w:rPr>
        <w:t>–</w:t>
      </w:r>
      <w:r w:rsidRPr="008C36B0">
        <w:rPr>
          <w:lang w:val="es-ES_tradnl"/>
        </w:rPr>
        <w:t>Q</w:t>
      </w:r>
      <w:r w:rsidRPr="008C36B0">
        <w:rPr>
          <w:vertAlign w:val="subscript"/>
          <w:lang w:val="es-ES_tradnl"/>
        </w:rPr>
        <w:t>1</w:t>
      </w:r>
      <w:r w:rsidRPr="008C36B0">
        <w:rPr>
          <w:lang w:val="es-ES_tradnl"/>
        </w:rPr>
        <w:t>, equivalente al área E+D+G.  Como el consumidor estaba pagando el área G, el ahorro del productor es D+E;</w:t>
      </w:r>
    </w:p>
    <w:p w14:paraId="4001AE02" w14:textId="77777777" w:rsidR="007A7496" w:rsidRPr="008C36B0" w:rsidRDefault="007A7496" w:rsidP="007A7496">
      <w:pPr>
        <w:pStyle w:val="Bullet"/>
        <w:numPr>
          <w:ilvl w:val="0"/>
          <w:numId w:val="7"/>
        </w:numPr>
        <w:tabs>
          <w:tab w:val="clear" w:pos="2880"/>
          <w:tab w:val="clear" w:pos="4230"/>
          <w:tab w:val="clear" w:pos="4500"/>
        </w:tabs>
        <w:rPr>
          <w:lang w:val="es-ES_tradnl"/>
        </w:rPr>
      </w:pPr>
      <w:r w:rsidRPr="008C36B0">
        <w:rPr>
          <w:lang w:val="es-ES_tradnl"/>
        </w:rPr>
        <w:t>El bienestar neto recuperado es por lo tanto D+E</w:t>
      </w:r>
      <w:r w:rsidR="00425D42" w:rsidRPr="008C36B0">
        <w:rPr>
          <w:lang w:val="es-ES_tradnl"/>
        </w:rPr>
        <w:t>–</w:t>
      </w:r>
      <w:r w:rsidRPr="008C36B0">
        <w:rPr>
          <w:lang w:val="es-ES_tradnl"/>
        </w:rPr>
        <w:t>D= Área E.  Esto constituye el beneficio económico de la reducción de pérdidas.</w:t>
      </w:r>
    </w:p>
    <w:p w14:paraId="1B7D6376" w14:textId="77777777" w:rsidR="007A7496" w:rsidRPr="008C36B0" w:rsidRDefault="007A7496" w:rsidP="007A7496">
      <w:pPr>
        <w:rPr>
          <w:lang w:val="es-ES_tradnl"/>
        </w:rPr>
      </w:pPr>
      <w:r w:rsidRPr="008C36B0">
        <w:rPr>
          <w:lang w:val="es-ES_tradnl"/>
        </w:rPr>
        <w:t>Desde el punto de vista financiero:</w:t>
      </w:r>
    </w:p>
    <w:p w14:paraId="345D6C73" w14:textId="77777777" w:rsidR="007A7496" w:rsidRPr="008C36B0" w:rsidRDefault="007A7496" w:rsidP="007A7496">
      <w:pPr>
        <w:pStyle w:val="Bullet"/>
        <w:numPr>
          <w:ilvl w:val="0"/>
          <w:numId w:val="7"/>
        </w:numPr>
        <w:tabs>
          <w:tab w:val="clear" w:pos="2880"/>
          <w:tab w:val="clear" w:pos="4230"/>
          <w:tab w:val="clear" w:pos="4500"/>
        </w:tabs>
        <w:rPr>
          <w:lang w:val="es-ES_tradnl"/>
        </w:rPr>
      </w:pPr>
      <w:r w:rsidRPr="008C36B0">
        <w:rPr>
          <w:lang w:val="es-ES_tradnl"/>
        </w:rPr>
        <w:t>El productor ahorra las áreas D+E por el menor consumo; y</w:t>
      </w:r>
    </w:p>
    <w:p w14:paraId="7F1655A9" w14:textId="77777777" w:rsidR="007A7496" w:rsidRPr="008C36B0" w:rsidRDefault="007A7496" w:rsidP="007A7496">
      <w:pPr>
        <w:pStyle w:val="Bullet"/>
        <w:numPr>
          <w:ilvl w:val="0"/>
          <w:numId w:val="7"/>
        </w:numPr>
        <w:tabs>
          <w:tab w:val="clear" w:pos="2880"/>
          <w:tab w:val="clear" w:pos="4230"/>
          <w:tab w:val="clear" w:pos="4500"/>
        </w:tabs>
        <w:rPr>
          <w:lang w:val="es-ES_tradnl"/>
        </w:rPr>
      </w:pPr>
      <w:r w:rsidRPr="008C36B0">
        <w:rPr>
          <w:lang w:val="es-ES_tradnl"/>
        </w:rPr>
        <w:t>Los consumidores pagan ahora el área C, que antes no pagaban;</w:t>
      </w:r>
    </w:p>
    <w:p w14:paraId="16E12517" w14:textId="77777777" w:rsidR="007A7496" w:rsidRPr="008C36B0" w:rsidRDefault="007A7496" w:rsidP="007A7496">
      <w:pPr>
        <w:pStyle w:val="Bullet"/>
        <w:numPr>
          <w:ilvl w:val="0"/>
          <w:numId w:val="7"/>
        </w:numPr>
        <w:tabs>
          <w:tab w:val="clear" w:pos="2880"/>
          <w:tab w:val="clear" w:pos="4230"/>
          <w:tab w:val="clear" w:pos="4500"/>
        </w:tabs>
        <w:rPr>
          <w:lang w:val="es-ES_tradnl"/>
        </w:rPr>
      </w:pPr>
      <w:r w:rsidRPr="008C36B0">
        <w:rPr>
          <w:lang w:val="es-ES_tradnl"/>
        </w:rPr>
        <w:t>Por lo tanto el beneficio financiero de la reducción de pérdidas está dado por el área C+E+D.</w:t>
      </w:r>
    </w:p>
    <w:p w14:paraId="56589E06" w14:textId="77777777" w:rsidR="007A7496" w:rsidRPr="008C36B0" w:rsidRDefault="007A7496" w:rsidP="007A7496">
      <w:pPr>
        <w:rPr>
          <w:lang w:val="es-ES_tradnl"/>
        </w:rPr>
      </w:pPr>
      <w:r w:rsidRPr="008C36B0">
        <w:rPr>
          <w:lang w:val="es-ES_tradnl"/>
        </w:rPr>
        <w:t>Nótese que los beneficios anotados se generan aunque el costo de suministro esté todavía por encima de la tarifa P</w:t>
      </w:r>
      <w:r w:rsidRPr="008C36B0">
        <w:rPr>
          <w:vertAlign w:val="subscript"/>
          <w:lang w:val="es-ES_tradnl"/>
        </w:rPr>
        <w:t>1</w:t>
      </w:r>
      <w:r w:rsidRPr="008C36B0">
        <w:rPr>
          <w:lang w:val="es-ES_tradnl"/>
        </w:rPr>
        <w:t>.</w:t>
      </w:r>
    </w:p>
    <w:p w14:paraId="2AEE21BC" w14:textId="3015BFB4" w:rsidR="00DA2A81" w:rsidRPr="008C36B0" w:rsidRDefault="00862FDB" w:rsidP="00C114A9">
      <w:pPr>
        <w:pStyle w:val="Banknumbered"/>
      </w:pPr>
      <w:r w:rsidRPr="008C36B0">
        <w:t>L</w:t>
      </w:r>
      <w:r w:rsidR="00672A1A" w:rsidRPr="008C36B0">
        <w:t xml:space="preserve">a evaluación económica y la evaluación financiera </w:t>
      </w:r>
      <w:r w:rsidRPr="008C36B0">
        <w:t>se lleva</w:t>
      </w:r>
      <w:r w:rsidR="002D09DC" w:rsidRPr="008C36B0">
        <w:t>n</w:t>
      </w:r>
      <w:r w:rsidRPr="008C36B0">
        <w:t xml:space="preserve"> a cabo </w:t>
      </w:r>
      <w:r w:rsidR="00672A1A" w:rsidRPr="008C36B0">
        <w:t>estimando los beneficios correspondientes mediante la metodología ilustrada en el punto anterior, usando suposiciones razonables respecto a la elasticidad precio de la demanda.  Desde el punto de vista de costos, será necesario tener un estimativo razonable, ojalá producido por DISNORTE/DISSUR.  En cuanto a resultados esperados, se espera obtener tasas de retorno económicas razonables, y tasas de retorno financieras muy altas, lo cual es característico de este tipo de intervenciones.</w:t>
      </w:r>
      <w:r w:rsidR="00ED4E8C" w:rsidRPr="008C36B0">
        <w:t xml:space="preserve">  </w:t>
      </w:r>
    </w:p>
    <w:p w14:paraId="1510F09E" w14:textId="5A7AA9A0" w:rsidR="00BF4E6C" w:rsidRPr="008C36B0" w:rsidRDefault="00CF7126" w:rsidP="00C114A9">
      <w:pPr>
        <w:pStyle w:val="Banknumbered"/>
      </w:pPr>
      <w:r w:rsidRPr="008C36B0">
        <w:rPr>
          <w:b/>
        </w:rPr>
        <w:t>Costos.</w:t>
      </w:r>
      <w:r w:rsidRPr="008C36B0">
        <w:t xml:space="preserve">  </w:t>
      </w:r>
      <w:r w:rsidR="007A7496" w:rsidRPr="008C36B0">
        <w:t xml:space="preserve">Los costos económicos de la reducción de pérdidas corresponden a las inversiones necesarias para llevar a cabo el programa, y son principalmente inversiones en sistemas de control y en instalación de medidores, además de los costos de operación y mantenimiento.  </w:t>
      </w:r>
      <w:r w:rsidR="00600D8D" w:rsidRPr="008C36B0">
        <w:t xml:space="preserve">Para una reducción efectiva de pérdidas se requiere además llevar a cabo inversiones de soporte como la normalización de redes y la instalación de alumbrado público.  Estos costos provendrán de recursos de las distribuidoras; se </w:t>
      </w:r>
      <w:r w:rsidR="00DA2A81" w:rsidRPr="008C36B0">
        <w:t>utilizan los valores aceptados por el INE en su vigilancia de las empresas de distribución</w:t>
      </w:r>
      <w:r w:rsidR="003745CB" w:rsidRPr="008C36B0">
        <w:rPr>
          <w:rStyle w:val="FootnoteReference"/>
        </w:rPr>
        <w:footnoteReference w:id="7"/>
      </w:r>
      <w:r w:rsidR="00463E78" w:rsidRPr="008C36B0">
        <w:t>.</w:t>
      </w:r>
    </w:p>
    <w:p w14:paraId="45EBA93A" w14:textId="441BA856" w:rsidR="00BC3C9F" w:rsidRPr="008C36B0" w:rsidRDefault="00BC3C9F" w:rsidP="00C114A9">
      <w:pPr>
        <w:pStyle w:val="Banknumbered"/>
      </w:pPr>
      <w:r w:rsidRPr="008C36B0">
        <w:rPr>
          <w:b/>
        </w:rPr>
        <w:t>Resultados.</w:t>
      </w:r>
      <w:r w:rsidRPr="008C36B0">
        <w:t xml:space="preserve">  El Cuadro </w:t>
      </w:r>
      <w:r w:rsidR="00FD2F82">
        <w:t>11</w:t>
      </w:r>
      <w:r w:rsidRPr="008C36B0">
        <w:t xml:space="preserve"> resume el análisis económico, prolongando los beneficios sobre un período de </w:t>
      </w:r>
      <w:r w:rsidR="00C707F6" w:rsidRPr="008C36B0">
        <w:t xml:space="preserve">12 </w:t>
      </w:r>
      <w:r w:rsidRPr="008C36B0">
        <w:t>años.</w:t>
      </w:r>
    </w:p>
    <w:p w14:paraId="7CC7E903" w14:textId="022DE8B1" w:rsidR="00BC3C9F" w:rsidRPr="008C36B0" w:rsidRDefault="00BC3C9F" w:rsidP="002D09DC">
      <w:pPr>
        <w:keepNext/>
        <w:spacing w:before="60"/>
        <w:jc w:val="center"/>
        <w:rPr>
          <w:sz w:val="22"/>
          <w:lang w:val="es-ES_tradnl"/>
        </w:rPr>
      </w:pPr>
      <w:r w:rsidRPr="008C36B0">
        <w:rPr>
          <w:sz w:val="22"/>
          <w:lang w:val="es-ES_tradnl"/>
        </w:rPr>
        <w:lastRenderedPageBreak/>
        <w:t xml:space="preserve">Cuadro </w:t>
      </w:r>
      <w:r w:rsidR="00FD2F82">
        <w:rPr>
          <w:sz w:val="22"/>
          <w:lang w:val="es-ES_tradnl"/>
        </w:rPr>
        <w:t>11</w:t>
      </w:r>
      <w:r w:rsidRPr="008C36B0">
        <w:rPr>
          <w:sz w:val="22"/>
          <w:lang w:val="es-ES_tradnl"/>
        </w:rPr>
        <w:t>.  Análisis Económico de la Reducción de Pérdidas</w:t>
      </w:r>
      <w:r w:rsidR="00391048" w:rsidRPr="008C36B0">
        <w:rPr>
          <w:sz w:val="22"/>
          <w:lang w:val="es-ES_tradnl"/>
        </w:rPr>
        <w:t xml:space="preserve"> de Distribución</w:t>
      </w:r>
    </w:p>
    <w:p w14:paraId="7118F8C3" w14:textId="1552CFEF" w:rsidR="00DA2A81" w:rsidRPr="008C36B0" w:rsidRDefault="00DA2A81" w:rsidP="002D09DC">
      <w:pPr>
        <w:keepNext/>
        <w:spacing w:before="60"/>
        <w:jc w:val="center"/>
        <w:rPr>
          <w:sz w:val="22"/>
          <w:lang w:val="es-ES_tradnl"/>
        </w:rPr>
      </w:pPr>
      <w:r w:rsidRPr="008C36B0">
        <w:rPr>
          <w:noProof/>
          <w:sz w:val="22"/>
        </w:rPr>
        <w:drawing>
          <wp:inline distT="0" distB="0" distL="0" distR="0" wp14:anchorId="6F5C6020" wp14:editId="7717A2E9">
            <wp:extent cx="5486400" cy="2006353"/>
            <wp:effectExtent l="0" t="0" r="0" b="635"/>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86400" cy="2006353"/>
                    </a:xfrm>
                    <a:prstGeom prst="rect">
                      <a:avLst/>
                    </a:prstGeom>
                    <a:noFill/>
                    <a:ln>
                      <a:noFill/>
                    </a:ln>
                  </pic:spPr>
                </pic:pic>
              </a:graphicData>
            </a:graphic>
          </wp:inline>
        </w:drawing>
      </w:r>
    </w:p>
    <w:p w14:paraId="3A5852D7" w14:textId="21387379" w:rsidR="007E7C55" w:rsidRPr="008C36B0" w:rsidRDefault="006A670B" w:rsidP="00862FDB">
      <w:pPr>
        <w:keepNext/>
        <w:rPr>
          <w:lang w:val="es-ES_tradnl"/>
        </w:rPr>
      </w:pPr>
      <w:r w:rsidRPr="008C36B0">
        <w:rPr>
          <w:lang w:val="es-ES_tradnl"/>
        </w:rPr>
        <w:t>El análisis arroja los siguientes parámetros económicos:</w:t>
      </w:r>
    </w:p>
    <w:p w14:paraId="7326E03C" w14:textId="067C3CAE" w:rsidR="006A670B" w:rsidRPr="008C36B0" w:rsidRDefault="006A670B" w:rsidP="006A670B">
      <w:pPr>
        <w:ind w:left="720"/>
        <w:rPr>
          <w:lang w:val="es-ES_tradnl"/>
        </w:rPr>
      </w:pPr>
      <w:r w:rsidRPr="008C36B0">
        <w:rPr>
          <w:lang w:val="es-ES_tradnl"/>
        </w:rPr>
        <w:t>VPN de Beneficios (12%)</w:t>
      </w:r>
      <w:r w:rsidRPr="008C36B0">
        <w:rPr>
          <w:lang w:val="es-ES_tradnl"/>
        </w:rPr>
        <w:tab/>
      </w:r>
      <w:r w:rsidRPr="008C36B0">
        <w:rPr>
          <w:lang w:val="es-ES_tradnl"/>
        </w:rPr>
        <w:tab/>
      </w:r>
      <w:r w:rsidRPr="008C36B0">
        <w:rPr>
          <w:lang w:val="es-ES_tradnl"/>
        </w:rPr>
        <w:tab/>
      </w:r>
      <w:r w:rsidR="00DA2A81" w:rsidRPr="008C36B0">
        <w:rPr>
          <w:lang w:val="es-ES_tradnl"/>
        </w:rPr>
        <w:t>48.75</w:t>
      </w:r>
      <w:r w:rsidR="0008461D" w:rsidRPr="008C36B0">
        <w:rPr>
          <w:lang w:val="es-ES_tradnl"/>
        </w:rPr>
        <w:t>M</w:t>
      </w:r>
      <w:r w:rsidRPr="008C36B0">
        <w:rPr>
          <w:lang w:val="es-ES_tradnl"/>
        </w:rPr>
        <w:t>$</w:t>
      </w:r>
    </w:p>
    <w:p w14:paraId="357558C1" w14:textId="034A850B" w:rsidR="006A670B" w:rsidRPr="008C36B0" w:rsidRDefault="006A670B" w:rsidP="006A670B">
      <w:pPr>
        <w:spacing w:before="0"/>
        <w:ind w:left="720"/>
        <w:rPr>
          <w:lang w:val="es-ES_tradnl"/>
        </w:rPr>
      </w:pPr>
      <w:r w:rsidRPr="008C36B0">
        <w:rPr>
          <w:lang w:val="es-ES_tradnl"/>
        </w:rPr>
        <w:t>VPN de Costos (12%)</w:t>
      </w:r>
      <w:r w:rsidRPr="008C36B0">
        <w:rPr>
          <w:lang w:val="es-ES_tradnl"/>
        </w:rPr>
        <w:tab/>
      </w:r>
      <w:r w:rsidRPr="008C36B0">
        <w:rPr>
          <w:lang w:val="es-ES_tradnl"/>
        </w:rPr>
        <w:tab/>
      </w:r>
      <w:r w:rsidRPr="008C36B0">
        <w:rPr>
          <w:lang w:val="es-ES_tradnl"/>
        </w:rPr>
        <w:tab/>
      </w:r>
      <w:r w:rsidRPr="008C36B0">
        <w:rPr>
          <w:lang w:val="es-ES_tradnl"/>
        </w:rPr>
        <w:tab/>
      </w:r>
      <w:r w:rsidR="0008461D" w:rsidRPr="008C36B0">
        <w:rPr>
          <w:lang w:val="es-ES_tradnl"/>
        </w:rPr>
        <w:t>15</w:t>
      </w:r>
      <w:r w:rsidR="00DA2A81" w:rsidRPr="008C36B0">
        <w:rPr>
          <w:lang w:val="es-ES_tradnl"/>
        </w:rPr>
        <w:t>.2</w:t>
      </w:r>
      <w:r w:rsidRPr="008C36B0">
        <w:rPr>
          <w:lang w:val="es-ES_tradnl"/>
        </w:rPr>
        <w:t>M$</w:t>
      </w:r>
    </w:p>
    <w:p w14:paraId="71DAC0CC" w14:textId="1C6290C1" w:rsidR="006A670B" w:rsidRPr="008C36B0" w:rsidRDefault="006A670B" w:rsidP="006A670B">
      <w:pPr>
        <w:spacing w:before="0"/>
        <w:ind w:left="720"/>
        <w:rPr>
          <w:lang w:val="es-ES_tradnl"/>
        </w:rPr>
      </w:pPr>
      <w:r w:rsidRPr="008C36B0">
        <w:rPr>
          <w:lang w:val="es-ES_tradnl"/>
        </w:rPr>
        <w:t>Relación B/C</w:t>
      </w:r>
      <w:r w:rsidRPr="008C36B0">
        <w:rPr>
          <w:lang w:val="es-ES_tradnl"/>
        </w:rPr>
        <w:tab/>
      </w:r>
      <w:r w:rsidRPr="008C36B0">
        <w:rPr>
          <w:lang w:val="es-ES_tradnl"/>
        </w:rPr>
        <w:tab/>
      </w:r>
      <w:r w:rsidRPr="008C36B0">
        <w:rPr>
          <w:lang w:val="es-ES_tradnl"/>
        </w:rPr>
        <w:tab/>
      </w:r>
      <w:r w:rsidRPr="008C36B0">
        <w:rPr>
          <w:lang w:val="es-ES_tradnl"/>
        </w:rPr>
        <w:tab/>
      </w:r>
      <w:r w:rsidRPr="008C36B0">
        <w:rPr>
          <w:lang w:val="es-ES_tradnl"/>
        </w:rPr>
        <w:tab/>
      </w:r>
      <w:r w:rsidR="00DA2A81" w:rsidRPr="008C36B0">
        <w:rPr>
          <w:lang w:val="es-ES_tradnl"/>
        </w:rPr>
        <w:t>3.2</w:t>
      </w:r>
    </w:p>
    <w:p w14:paraId="70234665" w14:textId="721F45FF" w:rsidR="006A670B" w:rsidRPr="008C36B0" w:rsidRDefault="006A670B" w:rsidP="006A670B">
      <w:pPr>
        <w:spacing w:before="0"/>
        <w:ind w:left="720"/>
        <w:rPr>
          <w:lang w:val="es-ES_tradnl"/>
        </w:rPr>
      </w:pPr>
      <w:r w:rsidRPr="008C36B0">
        <w:rPr>
          <w:lang w:val="es-ES_tradnl"/>
        </w:rPr>
        <w:t>Tasa Interna de Retorno Económica</w:t>
      </w:r>
      <w:r w:rsidRPr="008C36B0">
        <w:rPr>
          <w:lang w:val="es-ES_tradnl"/>
        </w:rPr>
        <w:tab/>
      </w:r>
      <w:r w:rsidRPr="008C36B0">
        <w:rPr>
          <w:lang w:val="es-ES_tradnl"/>
        </w:rPr>
        <w:tab/>
      </w:r>
      <w:r w:rsidR="00DA2A81" w:rsidRPr="008C36B0">
        <w:rPr>
          <w:lang w:val="es-ES_tradnl"/>
        </w:rPr>
        <w:t>103</w:t>
      </w:r>
      <w:r w:rsidRPr="008C36B0">
        <w:rPr>
          <w:lang w:val="es-ES_tradnl"/>
        </w:rPr>
        <w:t>%</w:t>
      </w:r>
    </w:p>
    <w:p w14:paraId="71BEE8C1" w14:textId="4910D53A" w:rsidR="00AD2A4C" w:rsidRPr="00865ABC" w:rsidRDefault="00AD2A4C" w:rsidP="00AD2A4C">
      <w:pPr>
        <w:pStyle w:val="Banknumbered"/>
      </w:pPr>
      <w:r w:rsidRPr="00865ABC">
        <w:rPr>
          <w:b/>
        </w:rPr>
        <w:t>Análisis de sensibilidad.</w:t>
      </w:r>
      <w:r w:rsidRPr="00865ABC">
        <w:t xml:space="preserve">  El parámetro más incierto en la evaluación económica, y también el más determinante en cuanto a los resultados es la elasticidad-precio de la demanda.  Entre menos elástica menores son los beneficios económicos, tal como se muestra en el Cuadro 1</w:t>
      </w:r>
      <w:r w:rsidR="00FD2F82">
        <w:t>2</w:t>
      </w:r>
      <w:r w:rsidRPr="00865ABC">
        <w:t>.</w:t>
      </w:r>
    </w:p>
    <w:p w14:paraId="43F42DCD" w14:textId="7EFF6C46" w:rsidR="00AD2A4C" w:rsidRPr="00865ABC" w:rsidRDefault="00AD2A4C" w:rsidP="00AD2A4C">
      <w:pPr>
        <w:keepNext/>
        <w:jc w:val="center"/>
        <w:rPr>
          <w:sz w:val="22"/>
          <w:lang w:val="es-ES_tradnl"/>
        </w:rPr>
      </w:pPr>
      <w:r w:rsidRPr="00865ABC">
        <w:rPr>
          <w:sz w:val="22"/>
          <w:lang w:val="es-ES_tradnl"/>
        </w:rPr>
        <w:t>Cuadro 1</w:t>
      </w:r>
      <w:r w:rsidR="00FD2F82">
        <w:rPr>
          <w:sz w:val="22"/>
          <w:lang w:val="es-ES_tradnl"/>
        </w:rPr>
        <w:t>2</w:t>
      </w:r>
      <w:r w:rsidRPr="00865ABC">
        <w:rPr>
          <w:sz w:val="22"/>
          <w:lang w:val="es-ES_tradnl"/>
        </w:rPr>
        <w:t>.  Sensibilidad a la Elasticidad-Precio de la Demanda</w:t>
      </w:r>
    </w:p>
    <w:tbl>
      <w:tblPr>
        <w:tblStyle w:val="TableGrid"/>
        <w:tblW w:w="0" w:type="auto"/>
        <w:jc w:val="center"/>
        <w:tblLook w:val="04A0" w:firstRow="1" w:lastRow="0" w:firstColumn="1" w:lastColumn="0" w:noHBand="0" w:noVBand="1"/>
      </w:tblPr>
      <w:tblGrid>
        <w:gridCol w:w="2448"/>
        <w:gridCol w:w="1260"/>
        <w:gridCol w:w="1260"/>
        <w:gridCol w:w="1260"/>
        <w:gridCol w:w="1260"/>
      </w:tblGrid>
      <w:tr w:rsidR="00AD2A4C" w:rsidRPr="00865ABC" w14:paraId="3A3E25E7" w14:textId="77777777" w:rsidTr="00AD2A4C">
        <w:trPr>
          <w:trHeight w:val="230"/>
          <w:jc w:val="center"/>
        </w:trPr>
        <w:tc>
          <w:tcPr>
            <w:tcW w:w="2448" w:type="dxa"/>
          </w:tcPr>
          <w:p w14:paraId="098DDB6E" w14:textId="77777777" w:rsidR="00AD2A4C" w:rsidRPr="00865ABC" w:rsidRDefault="00AD2A4C" w:rsidP="00AD2A4C">
            <w:pPr>
              <w:spacing w:before="0"/>
              <w:rPr>
                <w:lang w:val="es-ES_tradnl"/>
              </w:rPr>
            </w:pPr>
            <w:r w:rsidRPr="00865ABC">
              <w:rPr>
                <w:lang w:val="es-ES_tradnl"/>
              </w:rPr>
              <w:t>Elasticidad Precio</w:t>
            </w:r>
          </w:p>
        </w:tc>
        <w:tc>
          <w:tcPr>
            <w:tcW w:w="1260" w:type="dxa"/>
          </w:tcPr>
          <w:p w14:paraId="2227C927" w14:textId="77777777" w:rsidR="00AD2A4C" w:rsidRPr="00865ABC" w:rsidRDefault="00AD2A4C" w:rsidP="00AD2A4C">
            <w:pPr>
              <w:spacing w:before="0"/>
              <w:jc w:val="center"/>
              <w:rPr>
                <w:lang w:val="es-ES_tradnl"/>
              </w:rPr>
            </w:pPr>
            <w:r w:rsidRPr="00865ABC">
              <w:rPr>
                <w:lang w:val="es-ES_tradnl"/>
              </w:rPr>
              <w:t>–0.4</w:t>
            </w:r>
          </w:p>
        </w:tc>
        <w:tc>
          <w:tcPr>
            <w:tcW w:w="1260" w:type="dxa"/>
          </w:tcPr>
          <w:p w14:paraId="6B5CADDD" w14:textId="77777777" w:rsidR="00AD2A4C" w:rsidRPr="00865ABC" w:rsidRDefault="00AD2A4C" w:rsidP="00AD2A4C">
            <w:pPr>
              <w:spacing w:before="0"/>
              <w:jc w:val="center"/>
              <w:rPr>
                <w:lang w:val="es-ES_tradnl"/>
              </w:rPr>
            </w:pPr>
            <w:r w:rsidRPr="00865ABC">
              <w:rPr>
                <w:lang w:val="es-ES_tradnl"/>
              </w:rPr>
              <w:t>–0.3</w:t>
            </w:r>
          </w:p>
        </w:tc>
        <w:tc>
          <w:tcPr>
            <w:tcW w:w="1260" w:type="dxa"/>
          </w:tcPr>
          <w:p w14:paraId="5D86E92D" w14:textId="77777777" w:rsidR="00AD2A4C" w:rsidRPr="00865ABC" w:rsidRDefault="00AD2A4C" w:rsidP="00AD2A4C">
            <w:pPr>
              <w:spacing w:before="0"/>
              <w:jc w:val="center"/>
              <w:rPr>
                <w:lang w:val="es-ES_tradnl"/>
              </w:rPr>
            </w:pPr>
            <w:r w:rsidRPr="00865ABC">
              <w:rPr>
                <w:lang w:val="es-ES_tradnl"/>
              </w:rPr>
              <w:t>–0.2</w:t>
            </w:r>
          </w:p>
        </w:tc>
        <w:tc>
          <w:tcPr>
            <w:tcW w:w="1260" w:type="dxa"/>
          </w:tcPr>
          <w:p w14:paraId="1BAC40C9" w14:textId="77777777" w:rsidR="00AD2A4C" w:rsidRPr="00865ABC" w:rsidRDefault="00AD2A4C" w:rsidP="00AD2A4C">
            <w:pPr>
              <w:spacing w:before="0"/>
              <w:jc w:val="center"/>
              <w:rPr>
                <w:lang w:val="es-ES_tradnl"/>
              </w:rPr>
            </w:pPr>
            <w:r w:rsidRPr="00865ABC">
              <w:rPr>
                <w:lang w:val="es-ES_tradnl"/>
              </w:rPr>
              <w:t>–0.1</w:t>
            </w:r>
          </w:p>
        </w:tc>
      </w:tr>
      <w:tr w:rsidR="00AD2A4C" w:rsidRPr="00865ABC" w14:paraId="20E37A1E" w14:textId="77777777" w:rsidTr="00AD2A4C">
        <w:trPr>
          <w:trHeight w:val="230"/>
          <w:jc w:val="center"/>
        </w:trPr>
        <w:tc>
          <w:tcPr>
            <w:tcW w:w="2448" w:type="dxa"/>
          </w:tcPr>
          <w:p w14:paraId="7D40E24F" w14:textId="77777777" w:rsidR="00AD2A4C" w:rsidRPr="00865ABC" w:rsidRDefault="00AD2A4C" w:rsidP="00AD2A4C">
            <w:pPr>
              <w:spacing w:before="0"/>
              <w:ind w:right="-515"/>
              <w:rPr>
                <w:lang w:val="es-ES_tradnl"/>
              </w:rPr>
            </w:pPr>
            <w:r w:rsidRPr="00865ABC">
              <w:rPr>
                <w:lang w:val="es-ES_tradnl"/>
              </w:rPr>
              <w:t>VPN Beneficios (M$)</w:t>
            </w:r>
          </w:p>
        </w:tc>
        <w:tc>
          <w:tcPr>
            <w:tcW w:w="1260" w:type="dxa"/>
            <w:vAlign w:val="bottom"/>
          </w:tcPr>
          <w:p w14:paraId="3D36F745" w14:textId="722BD0D4" w:rsidR="00AD2A4C" w:rsidRPr="00865ABC" w:rsidRDefault="00AD2A4C" w:rsidP="003B28D9">
            <w:pPr>
              <w:spacing w:before="0"/>
              <w:ind w:right="-515"/>
              <w:rPr>
                <w:lang w:val="es-ES_tradnl"/>
              </w:rPr>
            </w:pPr>
            <w:r w:rsidRPr="00865ABC">
              <w:rPr>
                <w:lang w:val="es-ES_tradnl"/>
              </w:rPr>
              <w:t>$</w:t>
            </w:r>
            <w:r w:rsidR="003B28D9">
              <w:rPr>
                <w:lang w:val="es-ES_tradnl"/>
              </w:rPr>
              <w:t>4</w:t>
            </w:r>
            <w:r w:rsidRPr="00865ABC">
              <w:rPr>
                <w:lang w:val="es-ES_tradnl"/>
              </w:rPr>
              <w:t>9</w:t>
            </w:r>
          </w:p>
        </w:tc>
        <w:tc>
          <w:tcPr>
            <w:tcW w:w="1260" w:type="dxa"/>
            <w:vAlign w:val="bottom"/>
          </w:tcPr>
          <w:p w14:paraId="00B8F49A" w14:textId="53D03601" w:rsidR="00AD2A4C" w:rsidRPr="00865ABC" w:rsidRDefault="00AD2A4C" w:rsidP="003B28D9">
            <w:pPr>
              <w:spacing w:before="0"/>
              <w:ind w:right="-515"/>
              <w:rPr>
                <w:lang w:val="es-ES_tradnl"/>
              </w:rPr>
            </w:pPr>
            <w:r w:rsidRPr="00865ABC">
              <w:rPr>
                <w:lang w:val="es-ES_tradnl"/>
              </w:rPr>
              <w:t>$</w:t>
            </w:r>
            <w:r w:rsidR="003B28D9">
              <w:rPr>
                <w:lang w:val="es-ES_tradnl"/>
              </w:rPr>
              <w:t>33</w:t>
            </w:r>
            <w:r w:rsidRPr="00865ABC">
              <w:rPr>
                <w:lang w:val="es-ES_tradnl"/>
              </w:rPr>
              <w:t xml:space="preserve"> </w:t>
            </w:r>
          </w:p>
        </w:tc>
        <w:tc>
          <w:tcPr>
            <w:tcW w:w="1260" w:type="dxa"/>
            <w:vAlign w:val="bottom"/>
          </w:tcPr>
          <w:p w14:paraId="528C65F3" w14:textId="0CB99D11" w:rsidR="00AD2A4C" w:rsidRPr="00865ABC" w:rsidRDefault="00AD2A4C" w:rsidP="00AD2A4C">
            <w:pPr>
              <w:spacing w:before="0"/>
              <w:ind w:right="-515"/>
              <w:rPr>
                <w:lang w:val="es-ES_tradnl"/>
              </w:rPr>
            </w:pPr>
            <w:r w:rsidRPr="00865ABC">
              <w:rPr>
                <w:lang w:val="es-ES_tradnl"/>
              </w:rPr>
              <w:t>$</w:t>
            </w:r>
            <w:r w:rsidR="003B28D9">
              <w:rPr>
                <w:lang w:val="es-ES_tradnl"/>
              </w:rPr>
              <w:t>19.6</w:t>
            </w:r>
            <w:r w:rsidRPr="00865ABC">
              <w:rPr>
                <w:lang w:val="es-ES_tradnl"/>
              </w:rPr>
              <w:t xml:space="preserve">40 </w:t>
            </w:r>
          </w:p>
        </w:tc>
        <w:tc>
          <w:tcPr>
            <w:tcW w:w="1260" w:type="dxa"/>
            <w:vAlign w:val="bottom"/>
          </w:tcPr>
          <w:p w14:paraId="6F300958" w14:textId="6D69B72F" w:rsidR="00AD2A4C" w:rsidRPr="00865ABC" w:rsidRDefault="00AD2A4C" w:rsidP="003B28D9">
            <w:pPr>
              <w:spacing w:before="0"/>
              <w:ind w:right="-515"/>
              <w:rPr>
                <w:lang w:val="es-ES_tradnl"/>
              </w:rPr>
            </w:pPr>
            <w:r w:rsidRPr="00865ABC">
              <w:rPr>
                <w:lang w:val="es-ES_tradnl"/>
              </w:rPr>
              <w:t>$</w:t>
            </w:r>
            <w:r w:rsidR="003B28D9">
              <w:rPr>
                <w:lang w:val="es-ES_tradnl"/>
              </w:rPr>
              <w:t>8.9</w:t>
            </w:r>
          </w:p>
        </w:tc>
      </w:tr>
      <w:tr w:rsidR="00AD2A4C" w:rsidRPr="00865ABC" w14:paraId="24D906A5" w14:textId="77777777" w:rsidTr="00AD2A4C">
        <w:trPr>
          <w:trHeight w:val="230"/>
          <w:jc w:val="center"/>
        </w:trPr>
        <w:tc>
          <w:tcPr>
            <w:tcW w:w="2448" w:type="dxa"/>
          </w:tcPr>
          <w:p w14:paraId="51D0A232" w14:textId="77777777" w:rsidR="00AD2A4C" w:rsidRPr="00865ABC" w:rsidRDefault="00AD2A4C" w:rsidP="00AD2A4C">
            <w:pPr>
              <w:spacing w:before="0"/>
              <w:rPr>
                <w:lang w:val="es-ES_tradnl"/>
              </w:rPr>
            </w:pPr>
            <w:r w:rsidRPr="00865ABC">
              <w:rPr>
                <w:lang w:val="es-ES_tradnl"/>
              </w:rPr>
              <w:t>VPN Costos (12%)</w:t>
            </w:r>
          </w:p>
        </w:tc>
        <w:tc>
          <w:tcPr>
            <w:tcW w:w="1260" w:type="dxa"/>
            <w:vAlign w:val="bottom"/>
          </w:tcPr>
          <w:p w14:paraId="4BEB3513" w14:textId="77777777" w:rsidR="00AD2A4C" w:rsidRPr="00865ABC" w:rsidRDefault="00AD2A4C" w:rsidP="00AD2A4C">
            <w:pPr>
              <w:spacing w:before="0"/>
              <w:ind w:right="-515"/>
              <w:rPr>
                <w:lang w:val="es-ES_tradnl"/>
              </w:rPr>
            </w:pPr>
            <w:r w:rsidRPr="00865ABC">
              <w:rPr>
                <w:lang w:val="es-ES_tradnl"/>
              </w:rPr>
              <w:t xml:space="preserve">$15.2 </w:t>
            </w:r>
          </w:p>
        </w:tc>
        <w:tc>
          <w:tcPr>
            <w:tcW w:w="1260" w:type="dxa"/>
            <w:vAlign w:val="bottom"/>
          </w:tcPr>
          <w:p w14:paraId="195FFCBC" w14:textId="77777777" w:rsidR="00AD2A4C" w:rsidRPr="00865ABC" w:rsidRDefault="00AD2A4C" w:rsidP="00AD2A4C">
            <w:pPr>
              <w:spacing w:before="0"/>
              <w:ind w:right="-515"/>
              <w:rPr>
                <w:lang w:val="es-ES_tradnl"/>
              </w:rPr>
            </w:pPr>
            <w:r w:rsidRPr="00865ABC">
              <w:rPr>
                <w:lang w:val="es-ES_tradnl"/>
              </w:rPr>
              <w:t xml:space="preserve">$15.2 </w:t>
            </w:r>
          </w:p>
        </w:tc>
        <w:tc>
          <w:tcPr>
            <w:tcW w:w="1260" w:type="dxa"/>
            <w:vAlign w:val="bottom"/>
          </w:tcPr>
          <w:p w14:paraId="126F822E" w14:textId="77777777" w:rsidR="00AD2A4C" w:rsidRPr="00865ABC" w:rsidRDefault="00AD2A4C" w:rsidP="00AD2A4C">
            <w:pPr>
              <w:spacing w:before="0"/>
              <w:ind w:right="-515"/>
              <w:rPr>
                <w:lang w:val="es-ES_tradnl"/>
              </w:rPr>
            </w:pPr>
            <w:r w:rsidRPr="00865ABC">
              <w:rPr>
                <w:lang w:val="es-ES_tradnl"/>
              </w:rPr>
              <w:t xml:space="preserve">$15.2 </w:t>
            </w:r>
          </w:p>
        </w:tc>
        <w:tc>
          <w:tcPr>
            <w:tcW w:w="1260" w:type="dxa"/>
            <w:vAlign w:val="bottom"/>
          </w:tcPr>
          <w:p w14:paraId="5AE1D5EF" w14:textId="77777777" w:rsidR="00AD2A4C" w:rsidRPr="00865ABC" w:rsidRDefault="00AD2A4C" w:rsidP="00AD2A4C">
            <w:pPr>
              <w:spacing w:before="0"/>
              <w:ind w:right="-515"/>
              <w:rPr>
                <w:lang w:val="es-ES_tradnl"/>
              </w:rPr>
            </w:pPr>
            <w:r w:rsidRPr="00865ABC">
              <w:rPr>
                <w:lang w:val="es-ES_tradnl"/>
              </w:rPr>
              <w:t xml:space="preserve">$15.2 </w:t>
            </w:r>
          </w:p>
        </w:tc>
      </w:tr>
      <w:tr w:rsidR="00AD2A4C" w:rsidRPr="00865ABC" w14:paraId="6F63017F" w14:textId="77777777" w:rsidTr="00AD2A4C">
        <w:trPr>
          <w:trHeight w:val="230"/>
          <w:jc w:val="center"/>
        </w:trPr>
        <w:tc>
          <w:tcPr>
            <w:tcW w:w="2448" w:type="dxa"/>
          </w:tcPr>
          <w:p w14:paraId="34E0B318" w14:textId="77777777" w:rsidR="00AD2A4C" w:rsidRPr="00865ABC" w:rsidRDefault="00AD2A4C" w:rsidP="00AD2A4C">
            <w:pPr>
              <w:spacing w:before="0"/>
              <w:rPr>
                <w:lang w:val="es-ES_tradnl"/>
              </w:rPr>
            </w:pPr>
            <w:r w:rsidRPr="00865ABC">
              <w:rPr>
                <w:lang w:val="es-ES_tradnl"/>
              </w:rPr>
              <w:t>Relación B/C</w:t>
            </w:r>
          </w:p>
        </w:tc>
        <w:tc>
          <w:tcPr>
            <w:tcW w:w="1260" w:type="dxa"/>
            <w:vAlign w:val="bottom"/>
          </w:tcPr>
          <w:p w14:paraId="2B4380AD" w14:textId="3BB92CE7" w:rsidR="00AD2A4C" w:rsidRPr="00865ABC" w:rsidRDefault="003B28D9" w:rsidP="00AD2A4C">
            <w:pPr>
              <w:spacing w:before="0"/>
              <w:ind w:right="-515"/>
              <w:rPr>
                <w:lang w:val="es-ES_tradnl"/>
              </w:rPr>
            </w:pPr>
            <w:r>
              <w:rPr>
                <w:lang w:val="es-ES_tradnl"/>
              </w:rPr>
              <w:t>3.2</w:t>
            </w:r>
          </w:p>
        </w:tc>
        <w:tc>
          <w:tcPr>
            <w:tcW w:w="1260" w:type="dxa"/>
            <w:vAlign w:val="bottom"/>
          </w:tcPr>
          <w:p w14:paraId="57AC4855" w14:textId="71DEADD2" w:rsidR="00AD2A4C" w:rsidRPr="00865ABC" w:rsidRDefault="003B28D9" w:rsidP="00AD2A4C">
            <w:pPr>
              <w:spacing w:before="0"/>
              <w:ind w:right="-515"/>
              <w:rPr>
                <w:lang w:val="es-ES_tradnl"/>
              </w:rPr>
            </w:pPr>
            <w:r>
              <w:rPr>
                <w:lang w:val="es-ES_tradnl"/>
              </w:rPr>
              <w:t>2.1</w:t>
            </w:r>
          </w:p>
        </w:tc>
        <w:tc>
          <w:tcPr>
            <w:tcW w:w="1260" w:type="dxa"/>
            <w:vAlign w:val="bottom"/>
          </w:tcPr>
          <w:p w14:paraId="075FDCC5" w14:textId="5EDCA740" w:rsidR="00AD2A4C" w:rsidRPr="00865ABC" w:rsidRDefault="003B28D9" w:rsidP="00AD2A4C">
            <w:pPr>
              <w:spacing w:before="0"/>
              <w:ind w:right="-515"/>
              <w:rPr>
                <w:lang w:val="es-ES_tradnl"/>
              </w:rPr>
            </w:pPr>
            <w:r>
              <w:rPr>
                <w:lang w:val="es-ES_tradnl"/>
              </w:rPr>
              <w:t>1.3</w:t>
            </w:r>
          </w:p>
        </w:tc>
        <w:tc>
          <w:tcPr>
            <w:tcW w:w="1260" w:type="dxa"/>
            <w:vAlign w:val="bottom"/>
          </w:tcPr>
          <w:p w14:paraId="03A516A9" w14:textId="249B7256" w:rsidR="00AD2A4C" w:rsidRPr="00865ABC" w:rsidRDefault="003B28D9" w:rsidP="00AD2A4C">
            <w:pPr>
              <w:spacing w:before="0"/>
              <w:ind w:right="-515"/>
              <w:rPr>
                <w:lang w:val="es-ES_tradnl"/>
              </w:rPr>
            </w:pPr>
            <w:r>
              <w:rPr>
                <w:lang w:val="es-ES_tradnl"/>
              </w:rPr>
              <w:t>0.59</w:t>
            </w:r>
            <w:r w:rsidR="00AD2A4C" w:rsidRPr="00865ABC">
              <w:rPr>
                <w:lang w:val="es-ES_tradnl"/>
              </w:rPr>
              <w:t xml:space="preserve"> </w:t>
            </w:r>
          </w:p>
        </w:tc>
      </w:tr>
      <w:tr w:rsidR="00AD2A4C" w:rsidRPr="00865ABC" w14:paraId="2271A99D" w14:textId="77777777" w:rsidTr="00AD2A4C">
        <w:trPr>
          <w:trHeight w:val="230"/>
          <w:jc w:val="center"/>
        </w:trPr>
        <w:tc>
          <w:tcPr>
            <w:tcW w:w="2448" w:type="dxa"/>
          </w:tcPr>
          <w:p w14:paraId="443D5681" w14:textId="77777777" w:rsidR="00AD2A4C" w:rsidRPr="00865ABC" w:rsidRDefault="00AD2A4C" w:rsidP="00AD2A4C">
            <w:pPr>
              <w:spacing w:before="0"/>
              <w:rPr>
                <w:lang w:val="es-ES_tradnl"/>
              </w:rPr>
            </w:pPr>
            <w:r w:rsidRPr="00865ABC">
              <w:rPr>
                <w:lang w:val="es-ES_tradnl"/>
              </w:rPr>
              <w:t>TIR Económica</w:t>
            </w:r>
          </w:p>
        </w:tc>
        <w:tc>
          <w:tcPr>
            <w:tcW w:w="1260" w:type="dxa"/>
            <w:vAlign w:val="bottom"/>
          </w:tcPr>
          <w:p w14:paraId="002C65F7" w14:textId="4B8AF3C1" w:rsidR="00AD2A4C" w:rsidRPr="00865ABC" w:rsidRDefault="003B28D9" w:rsidP="00AD2A4C">
            <w:pPr>
              <w:spacing w:before="0"/>
              <w:ind w:right="-515"/>
              <w:rPr>
                <w:lang w:val="es-ES_tradnl"/>
              </w:rPr>
            </w:pPr>
            <w:r>
              <w:rPr>
                <w:lang w:val="es-ES_tradnl"/>
              </w:rPr>
              <w:t>103</w:t>
            </w:r>
            <w:r w:rsidR="00AD2A4C" w:rsidRPr="00865ABC">
              <w:rPr>
                <w:lang w:val="es-ES_tradnl"/>
              </w:rPr>
              <w:t>%</w:t>
            </w:r>
          </w:p>
        </w:tc>
        <w:tc>
          <w:tcPr>
            <w:tcW w:w="1260" w:type="dxa"/>
            <w:vAlign w:val="bottom"/>
          </w:tcPr>
          <w:p w14:paraId="425052B4" w14:textId="1D9C3568" w:rsidR="00AD2A4C" w:rsidRPr="00865ABC" w:rsidRDefault="003B28D9" w:rsidP="00AD2A4C">
            <w:pPr>
              <w:spacing w:before="0"/>
              <w:ind w:right="-515"/>
              <w:rPr>
                <w:lang w:val="es-ES_tradnl"/>
              </w:rPr>
            </w:pPr>
            <w:r>
              <w:rPr>
                <w:lang w:val="es-ES_tradnl"/>
              </w:rPr>
              <w:t>47</w:t>
            </w:r>
            <w:r w:rsidR="00AD2A4C" w:rsidRPr="00865ABC">
              <w:rPr>
                <w:lang w:val="es-ES_tradnl"/>
              </w:rPr>
              <w:t>%</w:t>
            </w:r>
          </w:p>
        </w:tc>
        <w:tc>
          <w:tcPr>
            <w:tcW w:w="1260" w:type="dxa"/>
            <w:vAlign w:val="bottom"/>
          </w:tcPr>
          <w:p w14:paraId="1E81900C" w14:textId="4361E633" w:rsidR="00AD2A4C" w:rsidRPr="00865ABC" w:rsidRDefault="003B28D9" w:rsidP="00AD2A4C">
            <w:pPr>
              <w:spacing w:before="0"/>
              <w:ind w:right="-515"/>
              <w:rPr>
                <w:lang w:val="es-ES_tradnl"/>
              </w:rPr>
            </w:pPr>
            <w:r>
              <w:rPr>
                <w:lang w:val="es-ES_tradnl"/>
              </w:rPr>
              <w:t>20</w:t>
            </w:r>
            <w:r w:rsidR="00AD2A4C" w:rsidRPr="00865ABC">
              <w:rPr>
                <w:lang w:val="es-ES_tradnl"/>
              </w:rPr>
              <w:t>%</w:t>
            </w:r>
          </w:p>
        </w:tc>
        <w:tc>
          <w:tcPr>
            <w:tcW w:w="1260" w:type="dxa"/>
            <w:vAlign w:val="bottom"/>
          </w:tcPr>
          <w:p w14:paraId="6B7FD740" w14:textId="6B291020" w:rsidR="00AD2A4C" w:rsidRPr="00865ABC" w:rsidRDefault="003B28D9" w:rsidP="00AD2A4C">
            <w:pPr>
              <w:spacing w:before="0"/>
              <w:ind w:right="-515"/>
              <w:rPr>
                <w:lang w:val="es-ES_tradnl"/>
              </w:rPr>
            </w:pPr>
            <w:r>
              <w:rPr>
                <w:lang w:val="es-ES_tradnl"/>
              </w:rPr>
              <w:t>-1</w:t>
            </w:r>
            <w:r w:rsidR="00AD2A4C" w:rsidRPr="00865ABC">
              <w:rPr>
                <w:lang w:val="es-ES_tradnl"/>
              </w:rPr>
              <w:t>%</w:t>
            </w:r>
          </w:p>
        </w:tc>
      </w:tr>
    </w:tbl>
    <w:p w14:paraId="7D84AD25" w14:textId="77777777" w:rsidR="00AD2A4C" w:rsidRPr="00865ABC" w:rsidRDefault="00AD2A4C" w:rsidP="00AD2A4C">
      <w:pPr>
        <w:rPr>
          <w:lang w:val="es-ES_tradnl"/>
        </w:rPr>
      </w:pPr>
      <w:r w:rsidRPr="00865ABC">
        <w:rPr>
          <w:lang w:val="es-ES_tradnl"/>
        </w:rPr>
        <w:t>Los resultados económicos varían dramáticamente dependiendo de la elasticidad precio supuesta.  En estudios de otros sistemas</w:t>
      </w:r>
      <w:r w:rsidRPr="00865ABC">
        <w:rPr>
          <w:rStyle w:val="FootnoteReference"/>
          <w:lang w:val="es-ES_tradnl"/>
        </w:rPr>
        <w:footnoteReference w:id="8"/>
      </w:r>
      <w:r w:rsidRPr="00865ABC">
        <w:rPr>
          <w:lang w:val="es-ES_tradnl"/>
        </w:rPr>
        <w:t xml:space="preserve">, la elasticidad de largo plazo es del orden de      –0.3 a –0.4, pero la de corto plazo es de –0.2 a –0.1.  Esto sugiere que el proyecto es económicamente factible y que los parámetros de evaluación están entre los que arrojan los extremos indicados.  </w:t>
      </w:r>
    </w:p>
    <w:p w14:paraId="65F35EB9" w14:textId="5AC63D83" w:rsidR="00AD2A4C" w:rsidRPr="00865ABC" w:rsidRDefault="00AD2A4C" w:rsidP="00AD2A4C">
      <w:pPr>
        <w:pStyle w:val="Banknumbered"/>
      </w:pPr>
      <w:r w:rsidRPr="00865ABC">
        <w:t>Otro parámetro que se incluye en la sensibilidad es la relación P</w:t>
      </w:r>
      <w:r w:rsidRPr="00865ABC">
        <w:rPr>
          <w:vertAlign w:val="subscript"/>
        </w:rPr>
        <w:t>0</w:t>
      </w:r>
      <w:r w:rsidRPr="00865ABC">
        <w:t>/P</w:t>
      </w:r>
      <w:r w:rsidRPr="00865ABC">
        <w:rPr>
          <w:vertAlign w:val="subscript"/>
        </w:rPr>
        <w:t>1</w:t>
      </w:r>
      <w:r w:rsidRPr="00865ABC">
        <w:t xml:space="preserve"> entre el precio pagado antes y después de la reducción de pérdidas; entre más alta esta relación menor es el monto de pérdidas recuperado.  El caso base supone una relación de 0.1; los resultados económicos para diferentes valores de esta relación se ilustran en el Cuadro 1</w:t>
      </w:r>
      <w:r w:rsidR="00FD2F82">
        <w:t>3</w:t>
      </w:r>
      <w:r w:rsidRPr="00865ABC">
        <w:t>.</w:t>
      </w:r>
    </w:p>
    <w:p w14:paraId="4485C9D4" w14:textId="70898BB4" w:rsidR="00AD2A4C" w:rsidRPr="00865ABC" w:rsidRDefault="00AD2A4C" w:rsidP="00AD2A4C">
      <w:pPr>
        <w:keepNext/>
        <w:jc w:val="center"/>
        <w:rPr>
          <w:sz w:val="22"/>
          <w:lang w:val="es-ES_tradnl"/>
        </w:rPr>
      </w:pPr>
      <w:r w:rsidRPr="00865ABC">
        <w:rPr>
          <w:sz w:val="22"/>
          <w:lang w:val="es-ES_tradnl"/>
        </w:rPr>
        <w:lastRenderedPageBreak/>
        <w:t>Cuadro 1</w:t>
      </w:r>
      <w:r w:rsidR="00FD2F82">
        <w:rPr>
          <w:sz w:val="22"/>
          <w:lang w:val="es-ES_tradnl"/>
        </w:rPr>
        <w:t>3</w:t>
      </w:r>
      <w:r w:rsidRPr="00865ABC">
        <w:rPr>
          <w:sz w:val="22"/>
          <w:lang w:val="es-ES_tradnl"/>
        </w:rPr>
        <w:t>.  Sensibilidad a la Relación P</w:t>
      </w:r>
      <w:r w:rsidRPr="00865ABC">
        <w:rPr>
          <w:sz w:val="22"/>
          <w:vertAlign w:val="subscript"/>
          <w:lang w:val="es-ES_tradnl"/>
        </w:rPr>
        <w:t>0</w:t>
      </w:r>
      <w:r w:rsidRPr="00865ABC">
        <w:rPr>
          <w:sz w:val="22"/>
          <w:lang w:val="es-ES_tradnl"/>
        </w:rPr>
        <w:t>/P</w:t>
      </w:r>
      <w:r w:rsidRPr="00865ABC">
        <w:rPr>
          <w:sz w:val="22"/>
          <w:vertAlign w:val="subscript"/>
          <w:lang w:val="es-ES_tradnl"/>
        </w:rPr>
        <w:t>1</w:t>
      </w:r>
    </w:p>
    <w:tbl>
      <w:tblPr>
        <w:tblStyle w:val="TableGrid"/>
        <w:tblW w:w="0" w:type="auto"/>
        <w:jc w:val="center"/>
        <w:tblLook w:val="04A0" w:firstRow="1" w:lastRow="0" w:firstColumn="1" w:lastColumn="0" w:noHBand="0" w:noVBand="1"/>
      </w:tblPr>
      <w:tblGrid>
        <w:gridCol w:w="2448"/>
        <w:gridCol w:w="1260"/>
        <w:gridCol w:w="1260"/>
        <w:gridCol w:w="1260"/>
      </w:tblGrid>
      <w:tr w:rsidR="00AD2A4C" w:rsidRPr="00865ABC" w14:paraId="2CAFA029" w14:textId="77777777" w:rsidTr="00AD2A4C">
        <w:trPr>
          <w:trHeight w:val="230"/>
          <w:jc w:val="center"/>
        </w:trPr>
        <w:tc>
          <w:tcPr>
            <w:tcW w:w="2448" w:type="dxa"/>
          </w:tcPr>
          <w:p w14:paraId="5B9CB610" w14:textId="77777777" w:rsidR="00AD2A4C" w:rsidRPr="00865ABC" w:rsidRDefault="00AD2A4C" w:rsidP="00AD2A4C">
            <w:pPr>
              <w:keepNext/>
              <w:spacing w:before="0"/>
              <w:rPr>
                <w:szCs w:val="20"/>
                <w:lang w:val="es-ES_tradnl"/>
              </w:rPr>
            </w:pPr>
            <w:r w:rsidRPr="00865ABC">
              <w:rPr>
                <w:szCs w:val="20"/>
                <w:lang w:val="es-ES_tradnl"/>
              </w:rPr>
              <w:t>P</w:t>
            </w:r>
            <w:r w:rsidRPr="00865ABC">
              <w:rPr>
                <w:szCs w:val="20"/>
                <w:vertAlign w:val="subscript"/>
                <w:lang w:val="es-ES_tradnl"/>
              </w:rPr>
              <w:t>0</w:t>
            </w:r>
            <w:r w:rsidRPr="00865ABC">
              <w:rPr>
                <w:szCs w:val="20"/>
                <w:lang w:val="es-ES_tradnl"/>
              </w:rPr>
              <w:t>/P</w:t>
            </w:r>
            <w:r w:rsidRPr="00865ABC">
              <w:rPr>
                <w:szCs w:val="20"/>
                <w:vertAlign w:val="subscript"/>
                <w:lang w:val="es-ES_tradnl"/>
              </w:rPr>
              <w:t>1</w:t>
            </w:r>
          </w:p>
        </w:tc>
        <w:tc>
          <w:tcPr>
            <w:tcW w:w="1260" w:type="dxa"/>
          </w:tcPr>
          <w:p w14:paraId="26015ACE" w14:textId="77777777" w:rsidR="00AD2A4C" w:rsidRPr="00865ABC" w:rsidRDefault="00AD2A4C" w:rsidP="00AD2A4C">
            <w:pPr>
              <w:keepNext/>
              <w:spacing w:before="0"/>
              <w:jc w:val="center"/>
              <w:rPr>
                <w:szCs w:val="20"/>
                <w:lang w:val="es-ES_tradnl"/>
              </w:rPr>
            </w:pPr>
            <w:r w:rsidRPr="00865ABC">
              <w:rPr>
                <w:szCs w:val="20"/>
                <w:lang w:val="es-ES_tradnl"/>
              </w:rPr>
              <w:t>0.1</w:t>
            </w:r>
          </w:p>
        </w:tc>
        <w:tc>
          <w:tcPr>
            <w:tcW w:w="1260" w:type="dxa"/>
          </w:tcPr>
          <w:p w14:paraId="1D056642" w14:textId="77777777" w:rsidR="00AD2A4C" w:rsidRPr="00865ABC" w:rsidRDefault="00AD2A4C" w:rsidP="00AD2A4C">
            <w:pPr>
              <w:keepNext/>
              <w:spacing w:before="0"/>
              <w:jc w:val="center"/>
              <w:rPr>
                <w:szCs w:val="20"/>
                <w:lang w:val="es-ES_tradnl"/>
              </w:rPr>
            </w:pPr>
            <w:r w:rsidRPr="00865ABC">
              <w:rPr>
                <w:szCs w:val="20"/>
                <w:lang w:val="es-ES_tradnl"/>
              </w:rPr>
              <w:t>0.3</w:t>
            </w:r>
          </w:p>
        </w:tc>
        <w:tc>
          <w:tcPr>
            <w:tcW w:w="1260" w:type="dxa"/>
          </w:tcPr>
          <w:p w14:paraId="7330A826" w14:textId="77777777" w:rsidR="00AD2A4C" w:rsidRPr="00865ABC" w:rsidRDefault="00AD2A4C" w:rsidP="00AD2A4C">
            <w:pPr>
              <w:keepNext/>
              <w:spacing w:before="0"/>
              <w:jc w:val="center"/>
              <w:rPr>
                <w:szCs w:val="20"/>
                <w:lang w:val="es-ES_tradnl"/>
              </w:rPr>
            </w:pPr>
            <w:r w:rsidRPr="00865ABC">
              <w:rPr>
                <w:szCs w:val="20"/>
                <w:lang w:val="es-ES_tradnl"/>
              </w:rPr>
              <w:t>0.4</w:t>
            </w:r>
          </w:p>
        </w:tc>
      </w:tr>
      <w:tr w:rsidR="00AD2A4C" w:rsidRPr="00865ABC" w14:paraId="337224E0" w14:textId="77777777" w:rsidTr="00AD2A4C">
        <w:trPr>
          <w:trHeight w:val="230"/>
          <w:jc w:val="center"/>
        </w:trPr>
        <w:tc>
          <w:tcPr>
            <w:tcW w:w="2448" w:type="dxa"/>
          </w:tcPr>
          <w:p w14:paraId="689FFD2A" w14:textId="77777777" w:rsidR="00AD2A4C" w:rsidRPr="00865ABC" w:rsidRDefault="00AD2A4C" w:rsidP="00AD2A4C">
            <w:pPr>
              <w:keepNext/>
              <w:spacing w:before="0"/>
              <w:ind w:right="-515"/>
              <w:rPr>
                <w:lang w:val="es-ES_tradnl"/>
              </w:rPr>
            </w:pPr>
            <w:r w:rsidRPr="00865ABC">
              <w:rPr>
                <w:lang w:val="es-ES_tradnl"/>
              </w:rPr>
              <w:t>VPN Beneficios (M$)</w:t>
            </w:r>
          </w:p>
        </w:tc>
        <w:tc>
          <w:tcPr>
            <w:tcW w:w="1260" w:type="dxa"/>
            <w:vAlign w:val="bottom"/>
          </w:tcPr>
          <w:p w14:paraId="5CC01DE8" w14:textId="7896888D" w:rsidR="00AD2A4C" w:rsidRPr="00865ABC" w:rsidRDefault="003B28D9" w:rsidP="00AD2A4C">
            <w:pPr>
              <w:keepNext/>
              <w:spacing w:before="0"/>
              <w:ind w:right="-515"/>
              <w:rPr>
                <w:lang w:val="es-ES_tradnl"/>
              </w:rPr>
            </w:pPr>
            <w:r>
              <w:rPr>
                <w:lang w:val="es-ES_tradnl"/>
              </w:rPr>
              <w:t>$4</w:t>
            </w:r>
            <w:r w:rsidR="00AD2A4C" w:rsidRPr="00865ABC">
              <w:rPr>
                <w:lang w:val="es-ES_tradnl"/>
              </w:rPr>
              <w:t xml:space="preserve">9 </w:t>
            </w:r>
          </w:p>
        </w:tc>
        <w:tc>
          <w:tcPr>
            <w:tcW w:w="1260" w:type="dxa"/>
            <w:vAlign w:val="bottom"/>
          </w:tcPr>
          <w:p w14:paraId="51482B77" w14:textId="1A0C66F0" w:rsidR="00AD2A4C" w:rsidRPr="00865ABC" w:rsidRDefault="00AD2A4C" w:rsidP="003B28D9">
            <w:pPr>
              <w:keepNext/>
              <w:spacing w:before="0"/>
              <w:ind w:right="-515"/>
              <w:rPr>
                <w:lang w:val="es-ES_tradnl"/>
              </w:rPr>
            </w:pPr>
            <w:r w:rsidRPr="00865ABC">
              <w:rPr>
                <w:lang w:val="es-ES_tradnl"/>
              </w:rPr>
              <w:t>$</w:t>
            </w:r>
            <w:r w:rsidR="003B28D9">
              <w:rPr>
                <w:lang w:val="es-ES_tradnl"/>
              </w:rPr>
              <w:t>1</w:t>
            </w:r>
            <w:r w:rsidRPr="00865ABC">
              <w:rPr>
                <w:lang w:val="es-ES_tradnl"/>
              </w:rPr>
              <w:t xml:space="preserve">9 </w:t>
            </w:r>
          </w:p>
        </w:tc>
        <w:tc>
          <w:tcPr>
            <w:tcW w:w="1260" w:type="dxa"/>
            <w:vAlign w:val="bottom"/>
          </w:tcPr>
          <w:p w14:paraId="58B85A6E" w14:textId="61BFBBFD" w:rsidR="00AD2A4C" w:rsidRPr="00865ABC" w:rsidRDefault="00AD2A4C" w:rsidP="003B28D9">
            <w:pPr>
              <w:keepNext/>
              <w:spacing w:before="0"/>
              <w:ind w:right="-515"/>
              <w:rPr>
                <w:lang w:val="es-ES_tradnl"/>
              </w:rPr>
            </w:pPr>
            <w:r w:rsidRPr="00865ABC">
              <w:rPr>
                <w:lang w:val="es-ES_tradnl"/>
              </w:rPr>
              <w:t>$</w:t>
            </w:r>
            <w:r w:rsidR="003B28D9">
              <w:rPr>
                <w:lang w:val="es-ES_tradnl"/>
              </w:rPr>
              <w:t>12</w:t>
            </w:r>
          </w:p>
        </w:tc>
      </w:tr>
      <w:tr w:rsidR="00AD2A4C" w:rsidRPr="00865ABC" w14:paraId="50FB2190" w14:textId="77777777" w:rsidTr="00AD2A4C">
        <w:trPr>
          <w:trHeight w:val="230"/>
          <w:jc w:val="center"/>
        </w:trPr>
        <w:tc>
          <w:tcPr>
            <w:tcW w:w="2448" w:type="dxa"/>
          </w:tcPr>
          <w:p w14:paraId="3CFD62F7" w14:textId="77777777" w:rsidR="00AD2A4C" w:rsidRPr="00865ABC" w:rsidRDefault="00AD2A4C" w:rsidP="00AD2A4C">
            <w:pPr>
              <w:keepNext/>
              <w:spacing w:before="0"/>
              <w:rPr>
                <w:lang w:val="es-ES_tradnl"/>
              </w:rPr>
            </w:pPr>
            <w:r w:rsidRPr="00865ABC">
              <w:rPr>
                <w:lang w:val="es-ES_tradnl"/>
              </w:rPr>
              <w:t>VPN Costos (12%)</w:t>
            </w:r>
          </w:p>
        </w:tc>
        <w:tc>
          <w:tcPr>
            <w:tcW w:w="1260" w:type="dxa"/>
            <w:vAlign w:val="bottom"/>
          </w:tcPr>
          <w:p w14:paraId="5FCA8368" w14:textId="77777777" w:rsidR="00AD2A4C" w:rsidRPr="00865ABC" w:rsidRDefault="00AD2A4C" w:rsidP="00AD2A4C">
            <w:pPr>
              <w:keepNext/>
              <w:spacing w:before="0"/>
              <w:ind w:right="-515"/>
              <w:rPr>
                <w:lang w:val="es-ES_tradnl"/>
              </w:rPr>
            </w:pPr>
            <w:r w:rsidRPr="00865ABC">
              <w:rPr>
                <w:lang w:val="es-ES_tradnl"/>
              </w:rPr>
              <w:t xml:space="preserve">$15.2 </w:t>
            </w:r>
          </w:p>
        </w:tc>
        <w:tc>
          <w:tcPr>
            <w:tcW w:w="1260" w:type="dxa"/>
            <w:vAlign w:val="bottom"/>
          </w:tcPr>
          <w:p w14:paraId="77201946" w14:textId="77777777" w:rsidR="00AD2A4C" w:rsidRPr="00865ABC" w:rsidRDefault="00AD2A4C" w:rsidP="00AD2A4C">
            <w:pPr>
              <w:keepNext/>
              <w:spacing w:before="0"/>
              <w:ind w:right="-515"/>
              <w:rPr>
                <w:lang w:val="es-ES_tradnl"/>
              </w:rPr>
            </w:pPr>
            <w:r w:rsidRPr="00865ABC">
              <w:rPr>
                <w:lang w:val="es-ES_tradnl"/>
              </w:rPr>
              <w:t>$15.2</w:t>
            </w:r>
          </w:p>
        </w:tc>
        <w:tc>
          <w:tcPr>
            <w:tcW w:w="1260" w:type="dxa"/>
            <w:vAlign w:val="bottom"/>
          </w:tcPr>
          <w:p w14:paraId="2576933C" w14:textId="77777777" w:rsidR="00AD2A4C" w:rsidRPr="00865ABC" w:rsidRDefault="00AD2A4C" w:rsidP="00AD2A4C">
            <w:pPr>
              <w:keepNext/>
              <w:spacing w:before="0"/>
              <w:ind w:right="-515"/>
              <w:rPr>
                <w:lang w:val="es-ES_tradnl"/>
              </w:rPr>
            </w:pPr>
            <w:r w:rsidRPr="00865ABC">
              <w:rPr>
                <w:lang w:val="es-ES_tradnl"/>
              </w:rPr>
              <w:t xml:space="preserve">$15.2 </w:t>
            </w:r>
          </w:p>
        </w:tc>
      </w:tr>
      <w:tr w:rsidR="00AD2A4C" w:rsidRPr="00865ABC" w14:paraId="12C13E49" w14:textId="77777777" w:rsidTr="00AD2A4C">
        <w:trPr>
          <w:trHeight w:val="230"/>
          <w:jc w:val="center"/>
        </w:trPr>
        <w:tc>
          <w:tcPr>
            <w:tcW w:w="2448" w:type="dxa"/>
          </w:tcPr>
          <w:p w14:paraId="4D437711" w14:textId="77777777" w:rsidR="00AD2A4C" w:rsidRPr="00865ABC" w:rsidRDefault="00AD2A4C" w:rsidP="00AD2A4C">
            <w:pPr>
              <w:keepNext/>
              <w:spacing w:before="0"/>
              <w:rPr>
                <w:lang w:val="es-ES_tradnl"/>
              </w:rPr>
            </w:pPr>
            <w:r w:rsidRPr="00865ABC">
              <w:rPr>
                <w:lang w:val="es-ES_tradnl"/>
              </w:rPr>
              <w:t>Relación B/C</w:t>
            </w:r>
          </w:p>
        </w:tc>
        <w:tc>
          <w:tcPr>
            <w:tcW w:w="1260" w:type="dxa"/>
            <w:vAlign w:val="bottom"/>
          </w:tcPr>
          <w:p w14:paraId="303B9447" w14:textId="7A0AEDC0" w:rsidR="00AD2A4C" w:rsidRPr="00865ABC" w:rsidRDefault="003B28D9" w:rsidP="003B28D9">
            <w:pPr>
              <w:keepNext/>
              <w:spacing w:before="0"/>
              <w:ind w:right="-515"/>
              <w:rPr>
                <w:lang w:val="es-ES_tradnl"/>
              </w:rPr>
            </w:pPr>
            <w:r>
              <w:rPr>
                <w:lang w:val="es-ES_tradnl"/>
              </w:rPr>
              <w:t>3.2</w:t>
            </w:r>
            <w:r w:rsidR="00AD2A4C" w:rsidRPr="00865ABC">
              <w:rPr>
                <w:lang w:val="es-ES_tradnl"/>
              </w:rPr>
              <w:t xml:space="preserve"> </w:t>
            </w:r>
          </w:p>
        </w:tc>
        <w:tc>
          <w:tcPr>
            <w:tcW w:w="1260" w:type="dxa"/>
            <w:vAlign w:val="bottom"/>
          </w:tcPr>
          <w:p w14:paraId="78B43E1B" w14:textId="4888C63D" w:rsidR="00AD2A4C" w:rsidRPr="00865ABC" w:rsidRDefault="003B28D9" w:rsidP="003B28D9">
            <w:pPr>
              <w:keepNext/>
              <w:spacing w:before="0"/>
              <w:ind w:right="-515"/>
              <w:rPr>
                <w:lang w:val="es-ES_tradnl"/>
              </w:rPr>
            </w:pPr>
            <w:r>
              <w:rPr>
                <w:lang w:val="es-ES_tradnl"/>
              </w:rPr>
              <w:t>1.3</w:t>
            </w:r>
          </w:p>
        </w:tc>
        <w:tc>
          <w:tcPr>
            <w:tcW w:w="1260" w:type="dxa"/>
            <w:vAlign w:val="bottom"/>
          </w:tcPr>
          <w:p w14:paraId="35BF9B9A" w14:textId="79ED0DA0" w:rsidR="00AD2A4C" w:rsidRPr="00865ABC" w:rsidRDefault="003B28D9" w:rsidP="003B28D9">
            <w:pPr>
              <w:keepNext/>
              <w:spacing w:before="0"/>
              <w:ind w:right="-515"/>
              <w:rPr>
                <w:lang w:val="es-ES_tradnl"/>
              </w:rPr>
            </w:pPr>
            <w:r>
              <w:rPr>
                <w:lang w:val="es-ES_tradnl"/>
              </w:rPr>
              <w:t>0.76</w:t>
            </w:r>
            <w:r w:rsidR="00AD2A4C" w:rsidRPr="00865ABC">
              <w:rPr>
                <w:lang w:val="es-ES_tradnl"/>
              </w:rPr>
              <w:t xml:space="preserve"> </w:t>
            </w:r>
          </w:p>
        </w:tc>
      </w:tr>
      <w:tr w:rsidR="00AD2A4C" w:rsidRPr="00865ABC" w14:paraId="2480114B" w14:textId="77777777" w:rsidTr="00AD2A4C">
        <w:trPr>
          <w:trHeight w:val="230"/>
          <w:jc w:val="center"/>
        </w:trPr>
        <w:tc>
          <w:tcPr>
            <w:tcW w:w="2448" w:type="dxa"/>
          </w:tcPr>
          <w:p w14:paraId="1A7F3A1C" w14:textId="77777777" w:rsidR="00AD2A4C" w:rsidRPr="00865ABC" w:rsidRDefault="00AD2A4C" w:rsidP="00AD2A4C">
            <w:pPr>
              <w:spacing w:before="0"/>
              <w:rPr>
                <w:lang w:val="es-ES_tradnl"/>
              </w:rPr>
            </w:pPr>
            <w:r w:rsidRPr="00865ABC">
              <w:rPr>
                <w:lang w:val="es-ES_tradnl"/>
              </w:rPr>
              <w:t>TIR Económica</w:t>
            </w:r>
          </w:p>
        </w:tc>
        <w:tc>
          <w:tcPr>
            <w:tcW w:w="1260" w:type="dxa"/>
            <w:vAlign w:val="bottom"/>
          </w:tcPr>
          <w:p w14:paraId="1DE4F182" w14:textId="6FD3D11C" w:rsidR="00AD2A4C" w:rsidRPr="00865ABC" w:rsidRDefault="003B28D9" w:rsidP="00AD2A4C">
            <w:pPr>
              <w:spacing w:before="0"/>
              <w:ind w:right="-515"/>
              <w:rPr>
                <w:lang w:val="es-ES_tradnl"/>
              </w:rPr>
            </w:pPr>
            <w:r>
              <w:rPr>
                <w:lang w:val="es-ES_tradnl"/>
              </w:rPr>
              <w:t>103</w:t>
            </w:r>
            <w:r w:rsidR="00AD2A4C" w:rsidRPr="00865ABC">
              <w:rPr>
                <w:lang w:val="es-ES_tradnl"/>
              </w:rPr>
              <w:t>%</w:t>
            </w:r>
          </w:p>
        </w:tc>
        <w:tc>
          <w:tcPr>
            <w:tcW w:w="1260" w:type="dxa"/>
            <w:vAlign w:val="bottom"/>
          </w:tcPr>
          <w:p w14:paraId="7311B794" w14:textId="47A499FA" w:rsidR="00AD2A4C" w:rsidRPr="00865ABC" w:rsidRDefault="003B28D9" w:rsidP="00AD2A4C">
            <w:pPr>
              <w:spacing w:before="0"/>
              <w:ind w:right="-515"/>
              <w:rPr>
                <w:lang w:val="es-ES_tradnl"/>
              </w:rPr>
            </w:pPr>
            <w:r>
              <w:rPr>
                <w:lang w:val="es-ES_tradnl"/>
              </w:rPr>
              <w:t>20</w:t>
            </w:r>
            <w:r w:rsidR="00AD2A4C" w:rsidRPr="00865ABC">
              <w:rPr>
                <w:lang w:val="es-ES_tradnl"/>
              </w:rPr>
              <w:t>%</w:t>
            </w:r>
          </w:p>
        </w:tc>
        <w:tc>
          <w:tcPr>
            <w:tcW w:w="1260" w:type="dxa"/>
            <w:vAlign w:val="bottom"/>
          </w:tcPr>
          <w:p w14:paraId="09BCA12E" w14:textId="09216C51" w:rsidR="00AD2A4C" w:rsidRPr="00865ABC" w:rsidRDefault="003B28D9" w:rsidP="00AD2A4C">
            <w:pPr>
              <w:spacing w:before="0"/>
              <w:ind w:right="-515"/>
              <w:rPr>
                <w:lang w:val="es-ES_tradnl"/>
              </w:rPr>
            </w:pPr>
            <w:r>
              <w:rPr>
                <w:lang w:val="es-ES_tradnl"/>
              </w:rPr>
              <w:t>5</w:t>
            </w:r>
            <w:r w:rsidR="00AD2A4C" w:rsidRPr="00865ABC">
              <w:rPr>
                <w:lang w:val="es-ES_tradnl"/>
              </w:rPr>
              <w:t>%</w:t>
            </w:r>
          </w:p>
        </w:tc>
      </w:tr>
    </w:tbl>
    <w:p w14:paraId="0C9B7C54" w14:textId="7F991D60" w:rsidR="006A670B" w:rsidRPr="008C36B0" w:rsidRDefault="006469E4" w:rsidP="00C114A9">
      <w:pPr>
        <w:pStyle w:val="Banknumbered"/>
      </w:pPr>
      <w:r w:rsidRPr="008C36B0">
        <w:rPr>
          <w:b/>
        </w:rPr>
        <w:t>Aspectos financieros.</w:t>
      </w:r>
      <w:r w:rsidRPr="008C36B0">
        <w:t xml:space="preserve">  </w:t>
      </w:r>
      <w:r w:rsidR="00B73436" w:rsidRPr="008C36B0">
        <w:t xml:space="preserve">La distribuidora recupera energía no cobrada y además reduce costos al disminuirse la demanda por efecto de la elasticidad precio.  El efecto de ésta en los resultados financieros es menor que en el caso del análisis económico.  El Cuadro </w:t>
      </w:r>
      <w:r w:rsidR="00656B75" w:rsidRPr="008C36B0">
        <w:t>1</w:t>
      </w:r>
      <w:r w:rsidR="00FD2F82">
        <w:t>4</w:t>
      </w:r>
      <w:r w:rsidR="00B73436" w:rsidRPr="008C36B0">
        <w:t xml:space="preserve"> muestra los parámetros de la evaluación financiera desde el punto de vista de la distribuidora.  Se omite la TIR financiera que es indefinida (infinita) puesto que los beneficios de la reducción de pérdidas comerciales se materializan de manera inmediata.</w:t>
      </w:r>
    </w:p>
    <w:p w14:paraId="43FD5BC3" w14:textId="630D5926" w:rsidR="00B73436" w:rsidRPr="008C36B0" w:rsidRDefault="00B73436" w:rsidP="00656B75">
      <w:pPr>
        <w:keepNext/>
        <w:jc w:val="center"/>
        <w:rPr>
          <w:sz w:val="22"/>
          <w:lang w:val="es-ES_tradnl"/>
        </w:rPr>
      </w:pPr>
      <w:r w:rsidRPr="008C36B0">
        <w:rPr>
          <w:sz w:val="22"/>
          <w:lang w:val="es-ES_tradnl"/>
        </w:rPr>
        <w:t xml:space="preserve">Cuadro </w:t>
      </w:r>
      <w:r w:rsidR="00656B75" w:rsidRPr="008C36B0">
        <w:rPr>
          <w:sz w:val="22"/>
          <w:lang w:val="es-ES_tradnl"/>
        </w:rPr>
        <w:t>1</w:t>
      </w:r>
      <w:r w:rsidR="00FD2F82">
        <w:rPr>
          <w:sz w:val="22"/>
          <w:lang w:val="es-ES_tradnl"/>
        </w:rPr>
        <w:t>4</w:t>
      </w:r>
      <w:r w:rsidRPr="008C36B0">
        <w:rPr>
          <w:sz w:val="22"/>
          <w:lang w:val="es-ES_tradnl"/>
        </w:rPr>
        <w:t>.  Sensibilidad Financiera a la Elasticidad-Precio de la Demanda</w:t>
      </w:r>
    </w:p>
    <w:tbl>
      <w:tblPr>
        <w:tblStyle w:val="TableGrid"/>
        <w:tblW w:w="0" w:type="auto"/>
        <w:jc w:val="center"/>
        <w:tblLook w:val="04A0" w:firstRow="1" w:lastRow="0" w:firstColumn="1" w:lastColumn="0" w:noHBand="0" w:noVBand="1"/>
      </w:tblPr>
      <w:tblGrid>
        <w:gridCol w:w="2844"/>
        <w:gridCol w:w="1161"/>
        <w:gridCol w:w="1161"/>
        <w:gridCol w:w="1161"/>
        <w:gridCol w:w="1161"/>
      </w:tblGrid>
      <w:tr w:rsidR="00B73436" w:rsidRPr="008C36B0" w14:paraId="3FA299F2" w14:textId="77777777" w:rsidTr="00477AB3">
        <w:trPr>
          <w:trHeight w:val="230"/>
          <w:jc w:val="center"/>
        </w:trPr>
        <w:tc>
          <w:tcPr>
            <w:tcW w:w="2844" w:type="dxa"/>
          </w:tcPr>
          <w:p w14:paraId="69B618FC" w14:textId="77777777" w:rsidR="00B73436" w:rsidRPr="008C36B0" w:rsidRDefault="00B73436" w:rsidP="00656B75">
            <w:pPr>
              <w:keepNext/>
              <w:spacing w:before="0"/>
              <w:rPr>
                <w:lang w:val="es-ES_tradnl"/>
              </w:rPr>
            </w:pPr>
            <w:r w:rsidRPr="008C36B0">
              <w:rPr>
                <w:lang w:val="es-ES_tradnl"/>
              </w:rPr>
              <w:t>Elasticidad Precio</w:t>
            </w:r>
          </w:p>
        </w:tc>
        <w:tc>
          <w:tcPr>
            <w:tcW w:w="1161" w:type="dxa"/>
          </w:tcPr>
          <w:p w14:paraId="09E970E3" w14:textId="77777777" w:rsidR="00B73436" w:rsidRPr="008C36B0" w:rsidRDefault="00B73436" w:rsidP="00656B75">
            <w:pPr>
              <w:keepNext/>
              <w:spacing w:before="0"/>
              <w:jc w:val="center"/>
              <w:rPr>
                <w:lang w:val="es-ES_tradnl"/>
              </w:rPr>
            </w:pPr>
            <w:r w:rsidRPr="008C36B0">
              <w:rPr>
                <w:lang w:val="es-ES_tradnl"/>
              </w:rPr>
              <w:t>–0.4</w:t>
            </w:r>
          </w:p>
        </w:tc>
        <w:tc>
          <w:tcPr>
            <w:tcW w:w="1161" w:type="dxa"/>
          </w:tcPr>
          <w:p w14:paraId="5B9C792C" w14:textId="77777777" w:rsidR="00B73436" w:rsidRPr="008C36B0" w:rsidRDefault="00B73436" w:rsidP="00656B75">
            <w:pPr>
              <w:keepNext/>
              <w:spacing w:before="0"/>
              <w:jc w:val="center"/>
              <w:rPr>
                <w:lang w:val="es-ES_tradnl"/>
              </w:rPr>
            </w:pPr>
            <w:r w:rsidRPr="008C36B0">
              <w:rPr>
                <w:lang w:val="es-ES_tradnl"/>
              </w:rPr>
              <w:t>–0.3</w:t>
            </w:r>
          </w:p>
        </w:tc>
        <w:tc>
          <w:tcPr>
            <w:tcW w:w="1161" w:type="dxa"/>
          </w:tcPr>
          <w:p w14:paraId="1CE17C7B" w14:textId="77777777" w:rsidR="00B73436" w:rsidRPr="008C36B0" w:rsidRDefault="00B73436" w:rsidP="00656B75">
            <w:pPr>
              <w:keepNext/>
              <w:spacing w:before="0"/>
              <w:jc w:val="center"/>
              <w:rPr>
                <w:lang w:val="es-ES_tradnl"/>
              </w:rPr>
            </w:pPr>
            <w:r w:rsidRPr="008C36B0">
              <w:rPr>
                <w:lang w:val="es-ES_tradnl"/>
              </w:rPr>
              <w:t>–0.2</w:t>
            </w:r>
          </w:p>
        </w:tc>
        <w:tc>
          <w:tcPr>
            <w:tcW w:w="1161" w:type="dxa"/>
          </w:tcPr>
          <w:p w14:paraId="117138F4" w14:textId="77777777" w:rsidR="00B73436" w:rsidRPr="008C36B0" w:rsidRDefault="00B73436" w:rsidP="00656B75">
            <w:pPr>
              <w:keepNext/>
              <w:spacing w:before="0"/>
              <w:jc w:val="center"/>
              <w:rPr>
                <w:lang w:val="es-ES_tradnl"/>
              </w:rPr>
            </w:pPr>
            <w:r w:rsidRPr="008C36B0">
              <w:rPr>
                <w:lang w:val="es-ES_tradnl"/>
              </w:rPr>
              <w:t>–0.1</w:t>
            </w:r>
          </w:p>
        </w:tc>
      </w:tr>
      <w:tr w:rsidR="006C33C0" w:rsidRPr="008C36B0" w14:paraId="020F4C97" w14:textId="77777777" w:rsidTr="00A7500B">
        <w:trPr>
          <w:trHeight w:val="230"/>
          <w:jc w:val="center"/>
        </w:trPr>
        <w:tc>
          <w:tcPr>
            <w:tcW w:w="2844" w:type="dxa"/>
          </w:tcPr>
          <w:p w14:paraId="5BF8A052" w14:textId="77777777" w:rsidR="006C33C0" w:rsidRPr="008C36B0" w:rsidRDefault="006C33C0" w:rsidP="00862FDB">
            <w:pPr>
              <w:keepNext/>
              <w:spacing w:before="0"/>
              <w:ind w:right="-515"/>
              <w:rPr>
                <w:lang w:val="es-ES_tradnl"/>
              </w:rPr>
            </w:pPr>
            <w:r w:rsidRPr="008C36B0">
              <w:rPr>
                <w:lang w:val="es-ES_tradnl"/>
              </w:rPr>
              <w:t>VPN Beneficios Financieros(M$)</w:t>
            </w:r>
          </w:p>
        </w:tc>
        <w:tc>
          <w:tcPr>
            <w:tcW w:w="1161" w:type="dxa"/>
            <w:vAlign w:val="bottom"/>
          </w:tcPr>
          <w:p w14:paraId="6C2B4799" w14:textId="5F130CD2" w:rsidR="006C33C0" w:rsidRPr="008C36B0" w:rsidRDefault="006C33C0" w:rsidP="00D34380">
            <w:pPr>
              <w:keepNext/>
              <w:spacing w:before="0"/>
              <w:jc w:val="center"/>
              <w:rPr>
                <w:szCs w:val="20"/>
                <w:lang w:val="es-ES_tradnl"/>
              </w:rPr>
            </w:pPr>
            <w:r w:rsidRPr="008C36B0">
              <w:rPr>
                <w:rFonts w:eastAsia="Times New Roman"/>
                <w:color w:val="000000"/>
                <w:szCs w:val="20"/>
                <w:lang w:val="es-ES_tradnl"/>
              </w:rPr>
              <w:t>$</w:t>
            </w:r>
            <w:r w:rsidR="00D34380">
              <w:rPr>
                <w:rFonts w:eastAsia="Times New Roman"/>
                <w:color w:val="000000"/>
                <w:szCs w:val="20"/>
                <w:lang w:val="es-ES_tradnl"/>
              </w:rPr>
              <w:t>190</w:t>
            </w:r>
          </w:p>
        </w:tc>
        <w:tc>
          <w:tcPr>
            <w:tcW w:w="1161" w:type="dxa"/>
            <w:vAlign w:val="bottom"/>
          </w:tcPr>
          <w:p w14:paraId="5366A24E" w14:textId="6FE45A9E" w:rsidR="006C33C0" w:rsidRPr="008C36B0" w:rsidRDefault="006C33C0" w:rsidP="00D34380">
            <w:pPr>
              <w:keepNext/>
              <w:spacing w:before="0"/>
              <w:jc w:val="center"/>
              <w:rPr>
                <w:szCs w:val="20"/>
                <w:lang w:val="es-ES_tradnl"/>
              </w:rPr>
            </w:pPr>
            <w:r w:rsidRPr="008C36B0">
              <w:rPr>
                <w:rFonts w:eastAsia="Times New Roman"/>
                <w:color w:val="000000"/>
                <w:szCs w:val="20"/>
                <w:lang w:val="es-ES_tradnl"/>
              </w:rPr>
              <w:t>$</w:t>
            </w:r>
            <w:r w:rsidR="00D34380">
              <w:rPr>
                <w:rFonts w:eastAsia="Times New Roman"/>
                <w:color w:val="000000"/>
                <w:szCs w:val="20"/>
                <w:lang w:val="es-ES_tradnl"/>
              </w:rPr>
              <w:t>162</w:t>
            </w:r>
            <w:r w:rsidRPr="008C36B0">
              <w:rPr>
                <w:rFonts w:eastAsia="Times New Roman"/>
                <w:color w:val="000000"/>
                <w:szCs w:val="20"/>
                <w:lang w:val="es-ES_tradnl"/>
              </w:rPr>
              <w:t xml:space="preserve"> </w:t>
            </w:r>
          </w:p>
        </w:tc>
        <w:tc>
          <w:tcPr>
            <w:tcW w:w="1161" w:type="dxa"/>
            <w:vAlign w:val="bottom"/>
          </w:tcPr>
          <w:p w14:paraId="236D6F91" w14:textId="3DA2C506" w:rsidR="006C33C0" w:rsidRPr="008C36B0" w:rsidRDefault="006C33C0" w:rsidP="00D34380">
            <w:pPr>
              <w:keepNext/>
              <w:spacing w:before="0"/>
              <w:jc w:val="center"/>
              <w:rPr>
                <w:szCs w:val="20"/>
                <w:lang w:val="es-ES_tradnl"/>
              </w:rPr>
            </w:pPr>
            <w:r w:rsidRPr="008C36B0">
              <w:rPr>
                <w:rFonts w:eastAsia="Times New Roman"/>
                <w:color w:val="000000"/>
                <w:szCs w:val="20"/>
                <w:lang w:val="es-ES_tradnl"/>
              </w:rPr>
              <w:t>$</w:t>
            </w:r>
            <w:r w:rsidR="00D34380">
              <w:rPr>
                <w:rFonts w:eastAsia="Times New Roman"/>
                <w:color w:val="000000"/>
                <w:szCs w:val="20"/>
                <w:lang w:val="es-ES_tradnl"/>
              </w:rPr>
              <w:t>138</w:t>
            </w:r>
            <w:r w:rsidRPr="008C36B0">
              <w:rPr>
                <w:rFonts w:eastAsia="Times New Roman"/>
                <w:color w:val="000000"/>
                <w:szCs w:val="20"/>
                <w:lang w:val="es-ES_tradnl"/>
              </w:rPr>
              <w:t xml:space="preserve"> </w:t>
            </w:r>
          </w:p>
        </w:tc>
        <w:tc>
          <w:tcPr>
            <w:tcW w:w="1161" w:type="dxa"/>
            <w:vAlign w:val="bottom"/>
          </w:tcPr>
          <w:p w14:paraId="385DD05D" w14:textId="717339B5" w:rsidR="006C33C0" w:rsidRPr="008C36B0" w:rsidRDefault="006C33C0" w:rsidP="00D34380">
            <w:pPr>
              <w:keepNext/>
              <w:spacing w:before="0"/>
              <w:jc w:val="center"/>
              <w:rPr>
                <w:szCs w:val="20"/>
                <w:lang w:val="es-ES_tradnl"/>
              </w:rPr>
            </w:pPr>
            <w:r w:rsidRPr="008C36B0">
              <w:rPr>
                <w:rFonts w:eastAsia="Times New Roman"/>
                <w:color w:val="000000"/>
                <w:szCs w:val="20"/>
                <w:lang w:val="es-ES_tradnl"/>
              </w:rPr>
              <w:t>$</w:t>
            </w:r>
            <w:r w:rsidR="00D34380">
              <w:rPr>
                <w:rFonts w:eastAsia="Times New Roman"/>
                <w:color w:val="000000"/>
                <w:szCs w:val="20"/>
                <w:lang w:val="es-ES_tradnl"/>
              </w:rPr>
              <w:t>119</w:t>
            </w:r>
            <w:r w:rsidRPr="008C36B0">
              <w:rPr>
                <w:rFonts w:eastAsia="Times New Roman"/>
                <w:color w:val="000000"/>
                <w:szCs w:val="20"/>
                <w:lang w:val="es-ES_tradnl"/>
              </w:rPr>
              <w:t xml:space="preserve"> </w:t>
            </w:r>
          </w:p>
        </w:tc>
      </w:tr>
      <w:tr w:rsidR="006C33C0" w:rsidRPr="008C36B0" w14:paraId="34AE5C3F" w14:textId="77777777" w:rsidTr="00A7500B">
        <w:trPr>
          <w:trHeight w:val="230"/>
          <w:jc w:val="center"/>
        </w:trPr>
        <w:tc>
          <w:tcPr>
            <w:tcW w:w="2844" w:type="dxa"/>
          </w:tcPr>
          <w:p w14:paraId="1FF9F74D" w14:textId="77777777" w:rsidR="006C33C0" w:rsidRPr="008C36B0" w:rsidRDefault="006C33C0" w:rsidP="00B73436">
            <w:pPr>
              <w:spacing w:before="0"/>
              <w:rPr>
                <w:lang w:val="es-ES_tradnl"/>
              </w:rPr>
            </w:pPr>
            <w:r w:rsidRPr="008C36B0">
              <w:rPr>
                <w:lang w:val="es-ES_tradnl"/>
              </w:rPr>
              <w:t>VPN Costos (12%)</w:t>
            </w:r>
          </w:p>
        </w:tc>
        <w:tc>
          <w:tcPr>
            <w:tcW w:w="1161" w:type="dxa"/>
            <w:vAlign w:val="bottom"/>
          </w:tcPr>
          <w:p w14:paraId="53911286" w14:textId="025572F5" w:rsidR="006C33C0" w:rsidRPr="008C36B0" w:rsidRDefault="006C33C0" w:rsidP="003F29BF">
            <w:pPr>
              <w:spacing w:before="0"/>
              <w:jc w:val="center"/>
              <w:rPr>
                <w:szCs w:val="20"/>
                <w:lang w:val="es-ES_tradnl"/>
              </w:rPr>
            </w:pPr>
            <w:r w:rsidRPr="008C36B0">
              <w:rPr>
                <w:rFonts w:eastAsia="Times New Roman"/>
                <w:color w:val="000000"/>
                <w:szCs w:val="20"/>
                <w:lang w:val="es-ES_tradnl"/>
              </w:rPr>
              <w:t>$15.</w:t>
            </w:r>
            <w:r w:rsidR="003F29BF" w:rsidRPr="008C36B0">
              <w:rPr>
                <w:rFonts w:eastAsia="Times New Roman"/>
                <w:color w:val="000000"/>
                <w:szCs w:val="20"/>
                <w:lang w:val="es-ES_tradnl"/>
              </w:rPr>
              <w:t>2</w:t>
            </w:r>
            <w:r w:rsidRPr="008C36B0">
              <w:rPr>
                <w:rFonts w:eastAsia="Times New Roman"/>
                <w:color w:val="000000"/>
                <w:szCs w:val="20"/>
                <w:lang w:val="es-ES_tradnl"/>
              </w:rPr>
              <w:t xml:space="preserve"> </w:t>
            </w:r>
          </w:p>
        </w:tc>
        <w:tc>
          <w:tcPr>
            <w:tcW w:w="1161" w:type="dxa"/>
            <w:vAlign w:val="bottom"/>
          </w:tcPr>
          <w:p w14:paraId="7F808F71" w14:textId="2327C39F" w:rsidR="006C33C0" w:rsidRPr="008C36B0" w:rsidRDefault="006C33C0" w:rsidP="003F29BF">
            <w:pPr>
              <w:spacing w:before="0"/>
              <w:jc w:val="center"/>
              <w:rPr>
                <w:szCs w:val="20"/>
                <w:lang w:val="es-ES_tradnl"/>
              </w:rPr>
            </w:pPr>
            <w:r w:rsidRPr="008C36B0">
              <w:rPr>
                <w:rFonts w:eastAsia="Times New Roman"/>
                <w:color w:val="000000"/>
                <w:szCs w:val="20"/>
                <w:lang w:val="es-ES_tradnl"/>
              </w:rPr>
              <w:t>$15.</w:t>
            </w:r>
            <w:r w:rsidR="003F29BF" w:rsidRPr="008C36B0">
              <w:rPr>
                <w:rFonts w:eastAsia="Times New Roman"/>
                <w:color w:val="000000"/>
                <w:szCs w:val="20"/>
                <w:lang w:val="es-ES_tradnl"/>
              </w:rPr>
              <w:t>2</w:t>
            </w:r>
            <w:r w:rsidRPr="008C36B0">
              <w:rPr>
                <w:rFonts w:eastAsia="Times New Roman"/>
                <w:color w:val="000000"/>
                <w:szCs w:val="20"/>
                <w:lang w:val="es-ES_tradnl"/>
              </w:rPr>
              <w:t xml:space="preserve"> </w:t>
            </w:r>
          </w:p>
        </w:tc>
        <w:tc>
          <w:tcPr>
            <w:tcW w:w="1161" w:type="dxa"/>
            <w:vAlign w:val="bottom"/>
          </w:tcPr>
          <w:p w14:paraId="020BF06B" w14:textId="47888175" w:rsidR="006C33C0" w:rsidRPr="008C36B0" w:rsidRDefault="006C33C0" w:rsidP="003F29BF">
            <w:pPr>
              <w:spacing w:before="0"/>
              <w:jc w:val="center"/>
              <w:rPr>
                <w:szCs w:val="20"/>
                <w:lang w:val="es-ES_tradnl"/>
              </w:rPr>
            </w:pPr>
            <w:r w:rsidRPr="008C36B0">
              <w:rPr>
                <w:rFonts w:eastAsia="Times New Roman"/>
                <w:color w:val="000000"/>
                <w:szCs w:val="20"/>
                <w:lang w:val="es-ES_tradnl"/>
              </w:rPr>
              <w:t>$15.</w:t>
            </w:r>
            <w:r w:rsidR="003F29BF" w:rsidRPr="008C36B0">
              <w:rPr>
                <w:rFonts w:eastAsia="Times New Roman"/>
                <w:color w:val="000000"/>
                <w:szCs w:val="20"/>
                <w:lang w:val="es-ES_tradnl"/>
              </w:rPr>
              <w:t>2</w:t>
            </w:r>
            <w:r w:rsidRPr="008C36B0">
              <w:rPr>
                <w:rFonts w:eastAsia="Times New Roman"/>
                <w:color w:val="000000"/>
                <w:szCs w:val="20"/>
                <w:lang w:val="es-ES_tradnl"/>
              </w:rPr>
              <w:t xml:space="preserve"> </w:t>
            </w:r>
          </w:p>
        </w:tc>
        <w:tc>
          <w:tcPr>
            <w:tcW w:w="1161" w:type="dxa"/>
            <w:vAlign w:val="bottom"/>
          </w:tcPr>
          <w:p w14:paraId="1F12F0D8" w14:textId="5ADB360D" w:rsidR="006C33C0" w:rsidRPr="008C36B0" w:rsidRDefault="006C33C0" w:rsidP="003F29BF">
            <w:pPr>
              <w:spacing w:before="0"/>
              <w:jc w:val="center"/>
              <w:rPr>
                <w:szCs w:val="20"/>
                <w:lang w:val="es-ES_tradnl"/>
              </w:rPr>
            </w:pPr>
            <w:r w:rsidRPr="008C36B0">
              <w:rPr>
                <w:rFonts w:eastAsia="Times New Roman"/>
                <w:color w:val="000000"/>
                <w:szCs w:val="20"/>
                <w:lang w:val="es-ES_tradnl"/>
              </w:rPr>
              <w:t>$15.</w:t>
            </w:r>
            <w:r w:rsidR="003F29BF" w:rsidRPr="008C36B0">
              <w:rPr>
                <w:rFonts w:eastAsia="Times New Roman"/>
                <w:color w:val="000000"/>
                <w:szCs w:val="20"/>
                <w:lang w:val="es-ES_tradnl"/>
              </w:rPr>
              <w:t>2</w:t>
            </w:r>
            <w:r w:rsidRPr="008C36B0">
              <w:rPr>
                <w:rFonts w:eastAsia="Times New Roman"/>
                <w:color w:val="000000"/>
                <w:szCs w:val="20"/>
                <w:lang w:val="es-ES_tradnl"/>
              </w:rPr>
              <w:t xml:space="preserve"> </w:t>
            </w:r>
          </w:p>
        </w:tc>
      </w:tr>
      <w:tr w:rsidR="006C33C0" w:rsidRPr="008C36B0" w14:paraId="71CB7F05" w14:textId="77777777" w:rsidTr="00A7500B">
        <w:trPr>
          <w:trHeight w:val="230"/>
          <w:jc w:val="center"/>
        </w:trPr>
        <w:tc>
          <w:tcPr>
            <w:tcW w:w="2844" w:type="dxa"/>
          </w:tcPr>
          <w:p w14:paraId="2015BC33" w14:textId="77777777" w:rsidR="006C33C0" w:rsidRPr="008C36B0" w:rsidRDefault="006C33C0" w:rsidP="00B73436">
            <w:pPr>
              <w:spacing w:before="0"/>
              <w:rPr>
                <w:lang w:val="es-ES_tradnl"/>
              </w:rPr>
            </w:pPr>
            <w:r w:rsidRPr="008C36B0">
              <w:rPr>
                <w:lang w:val="es-ES_tradnl"/>
              </w:rPr>
              <w:t>Relación B/C Financiera</w:t>
            </w:r>
          </w:p>
        </w:tc>
        <w:tc>
          <w:tcPr>
            <w:tcW w:w="1161" w:type="dxa"/>
            <w:vAlign w:val="bottom"/>
          </w:tcPr>
          <w:p w14:paraId="7CE1A5CC" w14:textId="3BF66DD2" w:rsidR="006C33C0" w:rsidRPr="008C36B0" w:rsidRDefault="00D34380" w:rsidP="003F29BF">
            <w:pPr>
              <w:spacing w:before="0"/>
              <w:jc w:val="center"/>
              <w:rPr>
                <w:szCs w:val="20"/>
                <w:lang w:val="es-ES_tradnl"/>
              </w:rPr>
            </w:pPr>
            <w:r>
              <w:rPr>
                <w:szCs w:val="20"/>
                <w:lang w:val="es-ES_tradnl"/>
              </w:rPr>
              <w:t>13</w:t>
            </w:r>
          </w:p>
        </w:tc>
        <w:tc>
          <w:tcPr>
            <w:tcW w:w="1161" w:type="dxa"/>
            <w:vAlign w:val="bottom"/>
          </w:tcPr>
          <w:p w14:paraId="77A288EE" w14:textId="7D662558" w:rsidR="006C33C0" w:rsidRPr="008C36B0" w:rsidRDefault="00D34380" w:rsidP="00B73436">
            <w:pPr>
              <w:spacing w:before="0"/>
              <w:jc w:val="center"/>
              <w:rPr>
                <w:szCs w:val="20"/>
                <w:lang w:val="es-ES_tradnl"/>
              </w:rPr>
            </w:pPr>
            <w:r>
              <w:rPr>
                <w:szCs w:val="20"/>
                <w:lang w:val="es-ES_tradnl"/>
              </w:rPr>
              <w:t>11</w:t>
            </w:r>
          </w:p>
        </w:tc>
        <w:tc>
          <w:tcPr>
            <w:tcW w:w="1161" w:type="dxa"/>
            <w:vAlign w:val="bottom"/>
          </w:tcPr>
          <w:p w14:paraId="316BFC30" w14:textId="0473C25F" w:rsidR="006C33C0" w:rsidRPr="008C36B0" w:rsidRDefault="00D34380" w:rsidP="000F4265">
            <w:pPr>
              <w:spacing w:before="0"/>
              <w:jc w:val="center"/>
              <w:rPr>
                <w:szCs w:val="20"/>
                <w:lang w:val="es-ES_tradnl"/>
              </w:rPr>
            </w:pPr>
            <w:r>
              <w:rPr>
                <w:szCs w:val="20"/>
                <w:lang w:val="es-ES_tradnl"/>
              </w:rPr>
              <w:t>9</w:t>
            </w:r>
          </w:p>
        </w:tc>
        <w:tc>
          <w:tcPr>
            <w:tcW w:w="1161" w:type="dxa"/>
            <w:vAlign w:val="bottom"/>
          </w:tcPr>
          <w:p w14:paraId="16B67C4E" w14:textId="177E7D1A" w:rsidR="00CF77FC" w:rsidRPr="008C36B0" w:rsidRDefault="00D34380" w:rsidP="00CF77FC">
            <w:pPr>
              <w:spacing w:before="0"/>
              <w:jc w:val="center"/>
              <w:rPr>
                <w:rFonts w:eastAsia="Times New Roman"/>
                <w:color w:val="000000"/>
                <w:szCs w:val="20"/>
                <w:lang w:val="es-ES_tradnl"/>
              </w:rPr>
            </w:pPr>
            <w:r>
              <w:rPr>
                <w:rFonts w:eastAsia="Times New Roman"/>
                <w:color w:val="000000"/>
                <w:szCs w:val="20"/>
                <w:lang w:val="es-ES_tradnl"/>
              </w:rPr>
              <w:t>8</w:t>
            </w:r>
          </w:p>
        </w:tc>
      </w:tr>
    </w:tbl>
    <w:p w14:paraId="26D4D5FC" w14:textId="49F526C5" w:rsidR="006A670B" w:rsidRPr="008C36B0" w:rsidRDefault="00477AB3" w:rsidP="006A670B">
      <w:pPr>
        <w:rPr>
          <w:lang w:val="es-ES_tradnl"/>
        </w:rPr>
      </w:pPr>
      <w:r w:rsidRPr="008C36B0">
        <w:rPr>
          <w:lang w:val="es-ES_tradnl"/>
        </w:rPr>
        <w:t>Esto confirma que las inversiones en recuperación de pérdidas son generalmente extremadamente rentables para el distribuidor.</w:t>
      </w:r>
      <w:r w:rsidR="00656B75" w:rsidRPr="008C36B0">
        <w:rPr>
          <w:lang w:val="es-ES_tradnl"/>
        </w:rPr>
        <w:t xml:space="preserve">  Inclusive cuando la relación P</w:t>
      </w:r>
      <w:r w:rsidR="00656B75" w:rsidRPr="008C36B0">
        <w:rPr>
          <w:vertAlign w:val="subscript"/>
          <w:lang w:val="es-ES_tradnl"/>
        </w:rPr>
        <w:t>0</w:t>
      </w:r>
      <w:r w:rsidR="00656B75" w:rsidRPr="008C36B0">
        <w:rPr>
          <w:lang w:val="es-ES_tradnl"/>
        </w:rPr>
        <w:t>/P</w:t>
      </w:r>
      <w:r w:rsidR="00656B75" w:rsidRPr="008C36B0">
        <w:rPr>
          <w:vertAlign w:val="subscript"/>
          <w:lang w:val="es-ES_tradnl"/>
        </w:rPr>
        <w:t>1</w:t>
      </w:r>
      <w:r w:rsidR="00656B75" w:rsidRPr="008C36B0">
        <w:rPr>
          <w:lang w:val="es-ES_tradnl"/>
        </w:rPr>
        <w:t xml:space="preserve"> es de 0.4, la relación B/C </w:t>
      </w:r>
      <w:r w:rsidR="00D34380">
        <w:rPr>
          <w:lang w:val="es-ES_tradnl"/>
        </w:rPr>
        <w:t xml:space="preserve">financiera </w:t>
      </w:r>
      <w:r w:rsidR="00656B75" w:rsidRPr="008C36B0">
        <w:rPr>
          <w:lang w:val="es-ES_tradnl"/>
        </w:rPr>
        <w:t xml:space="preserve">es de </w:t>
      </w:r>
      <w:r w:rsidR="00D34380">
        <w:rPr>
          <w:lang w:val="es-ES_tradnl"/>
        </w:rPr>
        <w:t>6</w:t>
      </w:r>
      <w:r w:rsidR="00656B75" w:rsidRPr="008C36B0">
        <w:rPr>
          <w:lang w:val="es-ES_tradnl"/>
        </w:rPr>
        <w:t xml:space="preserve">.  Esto confirma que para el distribuidor es rentable tomar medidas para </w:t>
      </w:r>
      <w:r w:rsidR="00106EA3" w:rsidRPr="008C36B0">
        <w:rPr>
          <w:lang w:val="es-ES_tradnl"/>
        </w:rPr>
        <w:t xml:space="preserve">la </w:t>
      </w:r>
      <w:r w:rsidR="00656B75" w:rsidRPr="008C36B0">
        <w:rPr>
          <w:lang w:val="es-ES_tradnl"/>
        </w:rPr>
        <w:t>reducción de fraude</w:t>
      </w:r>
      <w:r w:rsidR="00106EA3" w:rsidRPr="008C36B0">
        <w:rPr>
          <w:lang w:val="es-ES_tradnl"/>
        </w:rPr>
        <w:t>s</w:t>
      </w:r>
      <w:r w:rsidR="00656B75" w:rsidRPr="008C36B0">
        <w:rPr>
          <w:lang w:val="es-ES_tradnl"/>
        </w:rPr>
        <w:t>, inclusive cuando éste</w:t>
      </w:r>
      <w:r w:rsidR="00D34380">
        <w:rPr>
          <w:lang w:val="es-ES_tradnl"/>
        </w:rPr>
        <w:t xml:space="preserve"> último</w:t>
      </w:r>
      <w:r w:rsidR="00656B75" w:rsidRPr="008C36B0">
        <w:rPr>
          <w:lang w:val="es-ES_tradnl"/>
        </w:rPr>
        <w:t xml:space="preserve"> no es especialmente alto.</w:t>
      </w:r>
    </w:p>
    <w:p w14:paraId="4E21DF11" w14:textId="77777777" w:rsidR="00DA691C" w:rsidRPr="008C36B0" w:rsidRDefault="00DA691C" w:rsidP="00C73F0D">
      <w:pPr>
        <w:keepNext/>
        <w:rPr>
          <w:b/>
          <w:lang w:val="es-ES_tradnl"/>
        </w:rPr>
      </w:pPr>
      <w:r w:rsidRPr="008C36B0">
        <w:rPr>
          <w:b/>
          <w:lang w:val="es-ES_tradnl"/>
        </w:rPr>
        <w:t>Evaluación del incentivo a la energía renovable en la matriz energética</w:t>
      </w:r>
    </w:p>
    <w:p w14:paraId="047763B3" w14:textId="77777777" w:rsidR="00DA691C" w:rsidRPr="008C36B0" w:rsidRDefault="00DA691C" w:rsidP="00C114A9">
      <w:pPr>
        <w:pStyle w:val="Banknumbered"/>
      </w:pPr>
      <w:r w:rsidRPr="008C36B0">
        <w:t>La transformación de la matriz energética y la penetración de renovables conducen a una reducción de los costos de generación del sistema eléctrico de Nicaragua.  Para que se materialicen estos beneficios se requiere una inversión en plantas de generación más eficientes.</w:t>
      </w:r>
    </w:p>
    <w:p w14:paraId="7338794E" w14:textId="38CE2DBA" w:rsidR="00DA691C" w:rsidRPr="008C36B0" w:rsidRDefault="00DA691C" w:rsidP="00C114A9">
      <w:pPr>
        <w:pStyle w:val="Banknumbered"/>
      </w:pPr>
      <w:r w:rsidRPr="008C36B0">
        <w:rPr>
          <w:b/>
        </w:rPr>
        <w:t>Metodología.</w:t>
      </w:r>
      <w:r w:rsidRPr="008C36B0">
        <w:t xml:space="preserve">  Los beneficios de la reducción en los costos de generación pueden evaluarse mediante los ahorros operativos asociados con las plantas menos eficientes del sistema.  Una aproximación a estos beneficios puede obtenerse mediante la información consignada en el </w:t>
      </w:r>
      <w:r w:rsidR="003145CA" w:rsidRPr="008C36B0">
        <w:t xml:space="preserve">Plan Indicativo de Expansión de la Generación Eléctrica 2013-2027 </w:t>
      </w:r>
      <w:r w:rsidRPr="008C36B0">
        <w:t>preparado por el Ministerio de Energía y Minas</w:t>
      </w:r>
      <w:r w:rsidR="003145CA" w:rsidRPr="008C36B0">
        <w:t xml:space="preserve">, Centro Nacional de Despacho de Carga </w:t>
      </w:r>
      <w:r w:rsidRPr="008C36B0">
        <w:t>y por ENATREL.  La siguiente figura ilustra la evolución del costo marginal de corto plazo durante el período de planeamiento:</w:t>
      </w:r>
    </w:p>
    <w:p w14:paraId="75281F39" w14:textId="3BE16704" w:rsidR="00B607BC" w:rsidRPr="008C36B0" w:rsidRDefault="00560962" w:rsidP="00287EFE">
      <w:pPr>
        <w:pStyle w:val="Banknumbered"/>
        <w:keepNext/>
        <w:numPr>
          <w:ilvl w:val="0"/>
          <w:numId w:val="0"/>
        </w:numPr>
        <w:jc w:val="center"/>
      </w:pPr>
      <w:r w:rsidRPr="008C36B0">
        <w:lastRenderedPageBreak/>
        <w:t xml:space="preserve">Figura </w:t>
      </w:r>
      <w:r w:rsidR="00FD2F82">
        <w:t>4</w:t>
      </w:r>
      <w:r w:rsidR="00E54D02" w:rsidRPr="008C36B0">
        <w:t>. Costo Marginal de Corto Plazo</w:t>
      </w:r>
    </w:p>
    <w:p w14:paraId="14DDD80D" w14:textId="17B83F60" w:rsidR="00C707F6" w:rsidRPr="008C36B0" w:rsidRDefault="00E54D02" w:rsidP="00287EFE">
      <w:pPr>
        <w:pStyle w:val="Banknumbered"/>
        <w:keepNext/>
        <w:numPr>
          <w:ilvl w:val="0"/>
          <w:numId w:val="0"/>
        </w:numPr>
        <w:jc w:val="center"/>
      </w:pPr>
      <w:r w:rsidRPr="008C36B0">
        <w:t xml:space="preserve">(Escenario </w:t>
      </w:r>
      <w:r w:rsidR="00560962" w:rsidRPr="008C36B0">
        <w:t xml:space="preserve">de </w:t>
      </w:r>
      <w:r w:rsidRPr="008C36B0">
        <w:t>mínimo costo</w:t>
      </w:r>
      <w:r w:rsidR="00B607BC" w:rsidRPr="008C36B0">
        <w:t xml:space="preserve"> con</w:t>
      </w:r>
      <w:r w:rsidRPr="008C36B0">
        <w:t xml:space="preserve"> demanda media)</w:t>
      </w:r>
      <w:r w:rsidR="003145CA" w:rsidRPr="008C36B0">
        <w:rPr>
          <w:rStyle w:val="FootnoteReference"/>
        </w:rPr>
        <w:footnoteReference w:id="9"/>
      </w:r>
    </w:p>
    <w:p w14:paraId="231FE5E7" w14:textId="05775FC8" w:rsidR="00E54D02" w:rsidRPr="008C36B0" w:rsidRDefault="00B607BC" w:rsidP="00B607BC">
      <w:pPr>
        <w:tabs>
          <w:tab w:val="left" w:pos="2924"/>
        </w:tabs>
        <w:jc w:val="center"/>
        <w:rPr>
          <w:lang w:val="es-ES_tradnl"/>
        </w:rPr>
      </w:pPr>
      <w:r w:rsidRPr="008C36B0">
        <w:rPr>
          <w:noProof/>
        </w:rPr>
        <w:drawing>
          <wp:inline distT="0" distB="0" distL="0" distR="0" wp14:anchorId="38EE1AFB" wp14:editId="3C556922">
            <wp:extent cx="3924300" cy="2571750"/>
            <wp:effectExtent l="0" t="0" r="12700" b="1905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589296C7" w14:textId="61A00939" w:rsidR="00DA691C" w:rsidRPr="008C36B0" w:rsidRDefault="00DA691C" w:rsidP="00DA691C">
      <w:pPr>
        <w:pStyle w:val="BankNormal"/>
        <w:spacing w:before="120"/>
        <w:jc w:val="center"/>
        <w:rPr>
          <w:lang w:val="es-ES_tradnl"/>
        </w:rPr>
      </w:pPr>
    </w:p>
    <w:p w14:paraId="0AAF2A6F" w14:textId="77777777" w:rsidR="003A31FA" w:rsidRPr="008C36B0" w:rsidRDefault="003A31FA" w:rsidP="00C114A9">
      <w:pPr>
        <w:pStyle w:val="Banknumbered"/>
      </w:pPr>
      <w:r w:rsidRPr="008C36B0">
        <w:t>El beneficio asociado con la energía renovable se puede medir en términos de costos unitarios como la diferencia entre los costos marginales de generación en 2013–2014, del orden de US$140/MWh</w:t>
      </w:r>
      <w:r w:rsidR="00B3452D" w:rsidRPr="008C36B0">
        <w:t xml:space="preserve"> y los costos marginales de generación</w:t>
      </w:r>
      <w:r w:rsidR="006C4593" w:rsidRPr="008C36B0">
        <w:t xml:space="preserve"> de renovables, que son nulos.</w:t>
      </w:r>
    </w:p>
    <w:p w14:paraId="7CFBAB81" w14:textId="25E41048" w:rsidR="006C4593" w:rsidRPr="008C36B0" w:rsidRDefault="006C4593" w:rsidP="00C114A9">
      <w:pPr>
        <w:pStyle w:val="Banknumbered"/>
      </w:pPr>
      <w:r w:rsidRPr="008C36B0">
        <w:t xml:space="preserve">El plan de instalación de energía renovable se ilustra en el </w:t>
      </w:r>
      <w:r w:rsidR="00FE2172" w:rsidRPr="008C36B0">
        <w:t>Cuadro 1</w:t>
      </w:r>
      <w:r w:rsidR="00FD2F82">
        <w:t>5</w:t>
      </w:r>
      <w:r w:rsidRPr="008C36B0">
        <w:t>:</w:t>
      </w:r>
    </w:p>
    <w:p w14:paraId="5DEF6321" w14:textId="31B33035" w:rsidR="006C4593" w:rsidRPr="008C36B0" w:rsidRDefault="00FE2172" w:rsidP="00287EFE">
      <w:pPr>
        <w:pStyle w:val="BankNormal"/>
        <w:keepNext/>
        <w:spacing w:before="120"/>
        <w:jc w:val="center"/>
        <w:rPr>
          <w:b/>
          <w:sz w:val="18"/>
          <w:szCs w:val="18"/>
          <w:lang w:val="es-ES_tradnl"/>
        </w:rPr>
      </w:pPr>
      <w:r w:rsidRPr="008C36B0">
        <w:rPr>
          <w:b/>
          <w:sz w:val="18"/>
          <w:szCs w:val="18"/>
          <w:lang w:val="es-ES_tradnl"/>
        </w:rPr>
        <w:t>Cuadro 1</w:t>
      </w:r>
      <w:r w:rsidR="00FD2F82">
        <w:rPr>
          <w:b/>
          <w:sz w:val="18"/>
          <w:szCs w:val="18"/>
          <w:lang w:val="es-ES_tradnl"/>
        </w:rPr>
        <w:t>5</w:t>
      </w:r>
      <w:r w:rsidRPr="008C36B0">
        <w:rPr>
          <w:b/>
          <w:sz w:val="18"/>
          <w:szCs w:val="18"/>
          <w:lang w:val="es-ES_tradnl"/>
        </w:rPr>
        <w:t>.  Plan de Instalación y Capacidades de Energía Renovable</w:t>
      </w:r>
      <w:r w:rsidR="00474F00" w:rsidRPr="008C36B0">
        <w:rPr>
          <w:b/>
          <w:sz w:val="18"/>
          <w:szCs w:val="18"/>
          <w:lang w:val="es-ES_tradnl"/>
        </w:rPr>
        <w:t xml:space="preserve"> (MW)</w:t>
      </w:r>
    </w:p>
    <w:p w14:paraId="57BA38AA" w14:textId="76074621" w:rsidR="00A647EE" w:rsidRPr="008C36B0" w:rsidRDefault="00A647EE" w:rsidP="00BF70AB">
      <w:pPr>
        <w:pStyle w:val="BankNormal"/>
        <w:spacing w:before="120"/>
        <w:jc w:val="center"/>
        <w:rPr>
          <w:b/>
          <w:sz w:val="18"/>
          <w:szCs w:val="18"/>
          <w:lang w:val="es-ES_tradnl"/>
        </w:rPr>
      </w:pPr>
      <w:r w:rsidRPr="008C36B0">
        <w:rPr>
          <w:b/>
          <w:noProof/>
          <w:sz w:val="18"/>
          <w:szCs w:val="18"/>
        </w:rPr>
        <w:drawing>
          <wp:inline distT="0" distB="0" distL="0" distR="0" wp14:anchorId="09E8A3D8" wp14:editId="40944656">
            <wp:extent cx="5486400" cy="2635702"/>
            <wp:effectExtent l="0" t="0" r="0" b="6350"/>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86400" cy="2635702"/>
                    </a:xfrm>
                    <a:prstGeom prst="rect">
                      <a:avLst/>
                    </a:prstGeom>
                    <a:noFill/>
                    <a:ln>
                      <a:noFill/>
                    </a:ln>
                  </pic:spPr>
                </pic:pic>
              </a:graphicData>
            </a:graphic>
          </wp:inline>
        </w:drawing>
      </w:r>
    </w:p>
    <w:p w14:paraId="730F9FCD" w14:textId="29DD07C9" w:rsidR="006C4593" w:rsidRPr="008C36B0" w:rsidRDefault="001C2B59" w:rsidP="00A647EE">
      <w:pPr>
        <w:pStyle w:val="Banknumbered"/>
      </w:pPr>
      <w:r w:rsidRPr="008C36B0">
        <w:t xml:space="preserve"> </w:t>
      </w:r>
      <w:r w:rsidR="00A25D17" w:rsidRPr="008C36B0">
        <w:rPr>
          <w:b/>
        </w:rPr>
        <w:t>Costos.</w:t>
      </w:r>
      <w:r w:rsidR="00FE2172" w:rsidRPr="008C36B0">
        <w:t xml:space="preserve">  Los costos de la energía renovable están compuestos por los costos de inversión y por los costos de operación y mantenimiento.  Los costos unitarios de inversión y el plan de inversiones correspondiente se muestra en el Cuadro 1</w:t>
      </w:r>
      <w:r w:rsidR="00FD2F82">
        <w:t>6</w:t>
      </w:r>
      <w:r w:rsidR="00FE2172" w:rsidRPr="008C36B0">
        <w:t>.</w:t>
      </w:r>
    </w:p>
    <w:p w14:paraId="39726400" w14:textId="04DEAF2F" w:rsidR="006C4593" w:rsidRPr="008C36B0" w:rsidRDefault="00FE2172" w:rsidP="00FE2172">
      <w:pPr>
        <w:pStyle w:val="BankNormal"/>
        <w:keepNext/>
        <w:spacing w:before="120"/>
        <w:jc w:val="center"/>
        <w:rPr>
          <w:sz w:val="20"/>
          <w:lang w:val="es-ES_tradnl"/>
        </w:rPr>
      </w:pPr>
      <w:r w:rsidRPr="008C36B0">
        <w:rPr>
          <w:sz w:val="20"/>
          <w:lang w:val="es-ES_tradnl"/>
        </w:rPr>
        <w:lastRenderedPageBreak/>
        <w:t>Cuadro 1</w:t>
      </w:r>
      <w:r w:rsidR="00FD2F82">
        <w:rPr>
          <w:sz w:val="20"/>
          <w:lang w:val="es-ES_tradnl"/>
        </w:rPr>
        <w:t>6</w:t>
      </w:r>
      <w:r w:rsidRPr="008C36B0">
        <w:rPr>
          <w:sz w:val="20"/>
          <w:lang w:val="es-ES_tradnl"/>
        </w:rPr>
        <w:t>.  Plan de Inversiones de Energía Renovable</w:t>
      </w:r>
      <w:r w:rsidR="00BF70AB" w:rsidRPr="008C36B0">
        <w:rPr>
          <w:sz w:val="20"/>
          <w:lang w:val="es-ES_tradnl"/>
        </w:rPr>
        <w:t xml:space="preserve"> (M$)</w:t>
      </w:r>
    </w:p>
    <w:p w14:paraId="74731675" w14:textId="129FDECE" w:rsidR="006C4593" w:rsidRPr="008C36B0" w:rsidRDefault="00A647EE" w:rsidP="00D65CE7">
      <w:pPr>
        <w:pStyle w:val="BankNormal"/>
        <w:spacing w:before="0"/>
        <w:jc w:val="center"/>
        <w:rPr>
          <w:lang w:val="es-ES_tradnl"/>
        </w:rPr>
      </w:pPr>
      <w:r w:rsidRPr="008C36B0">
        <w:rPr>
          <w:noProof/>
        </w:rPr>
        <w:drawing>
          <wp:inline distT="0" distB="0" distL="0" distR="0" wp14:anchorId="62428B8B" wp14:editId="64E04351">
            <wp:extent cx="5486400" cy="2411684"/>
            <wp:effectExtent l="0" t="0" r="0" b="1905"/>
            <wp:docPr id="2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86400" cy="2411684"/>
                    </a:xfrm>
                    <a:prstGeom prst="rect">
                      <a:avLst/>
                    </a:prstGeom>
                    <a:noFill/>
                    <a:ln>
                      <a:noFill/>
                    </a:ln>
                  </pic:spPr>
                </pic:pic>
              </a:graphicData>
            </a:graphic>
          </wp:inline>
        </w:drawing>
      </w:r>
    </w:p>
    <w:p w14:paraId="7E318B20" w14:textId="1DAEBEDC" w:rsidR="006C4593" w:rsidRPr="008C36B0" w:rsidRDefault="001A51B6" w:rsidP="00A647EE">
      <w:pPr>
        <w:pStyle w:val="Banknumbered"/>
      </w:pPr>
      <w:r w:rsidRPr="008C36B0">
        <w:t>Los costos de operación y mantenimiento se estiman de acuerdo con el Plan de Expansión mencionado</w:t>
      </w:r>
      <w:r w:rsidR="00E2145B" w:rsidRPr="008C36B0">
        <w:t>; los costos totales de energía renovable se resumen</w:t>
      </w:r>
      <w:r w:rsidRPr="008C36B0">
        <w:t xml:space="preserve"> en el Cuadro 1</w:t>
      </w:r>
      <w:r w:rsidR="00FD2F82">
        <w:t>7</w:t>
      </w:r>
      <w:r w:rsidRPr="008C36B0">
        <w:t>.</w:t>
      </w:r>
    </w:p>
    <w:p w14:paraId="4DB337F2" w14:textId="55465F73" w:rsidR="006C4593" w:rsidRPr="008C36B0" w:rsidRDefault="001A51B6" w:rsidP="00474F00">
      <w:pPr>
        <w:pStyle w:val="BankNormal"/>
        <w:keepNext/>
        <w:spacing w:before="120"/>
        <w:jc w:val="center"/>
        <w:rPr>
          <w:sz w:val="22"/>
          <w:szCs w:val="22"/>
          <w:lang w:val="es-ES_tradnl"/>
        </w:rPr>
      </w:pPr>
      <w:r w:rsidRPr="008C36B0">
        <w:rPr>
          <w:sz w:val="22"/>
          <w:szCs w:val="22"/>
          <w:lang w:val="es-ES_tradnl"/>
        </w:rPr>
        <w:t>Cuadro 1</w:t>
      </w:r>
      <w:r w:rsidR="00FD2F82">
        <w:rPr>
          <w:sz w:val="22"/>
          <w:szCs w:val="22"/>
          <w:lang w:val="es-ES_tradnl"/>
        </w:rPr>
        <w:t>7</w:t>
      </w:r>
      <w:r w:rsidRPr="008C36B0">
        <w:rPr>
          <w:sz w:val="22"/>
          <w:szCs w:val="22"/>
          <w:lang w:val="es-ES_tradnl"/>
        </w:rPr>
        <w:t xml:space="preserve">.  </w:t>
      </w:r>
      <w:r w:rsidR="00E2145B" w:rsidRPr="008C36B0">
        <w:rPr>
          <w:sz w:val="22"/>
          <w:szCs w:val="22"/>
          <w:lang w:val="es-ES_tradnl"/>
        </w:rPr>
        <w:t xml:space="preserve">Resumen de Costos Totales Asociados con Energía Renovable </w:t>
      </w:r>
    </w:p>
    <w:p w14:paraId="6F76195A" w14:textId="44348242" w:rsidR="006C4593" w:rsidRPr="008C36B0" w:rsidRDefault="00543B22" w:rsidP="001A51B6">
      <w:pPr>
        <w:pStyle w:val="BankNormal"/>
        <w:spacing w:before="0"/>
        <w:rPr>
          <w:lang w:val="es-ES_tradnl"/>
        </w:rPr>
      </w:pPr>
      <w:r w:rsidRPr="008C36B0">
        <w:rPr>
          <w:lang w:val="es-ES_tradnl"/>
        </w:rPr>
        <w:t xml:space="preserve"> </w:t>
      </w:r>
      <w:r w:rsidR="00E2145B" w:rsidRPr="008C36B0">
        <w:rPr>
          <w:noProof/>
        </w:rPr>
        <w:drawing>
          <wp:inline distT="0" distB="0" distL="0" distR="0" wp14:anchorId="3E8C3AB3" wp14:editId="227245A2">
            <wp:extent cx="5486400" cy="605176"/>
            <wp:effectExtent l="0" t="0" r="0" b="4445"/>
            <wp:docPr id="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0" cy="605176"/>
                    </a:xfrm>
                    <a:prstGeom prst="rect">
                      <a:avLst/>
                    </a:prstGeom>
                    <a:noFill/>
                    <a:ln>
                      <a:noFill/>
                    </a:ln>
                  </pic:spPr>
                </pic:pic>
              </a:graphicData>
            </a:graphic>
          </wp:inline>
        </w:drawing>
      </w:r>
    </w:p>
    <w:p w14:paraId="544DC0BB" w14:textId="1D91F762" w:rsidR="001A51B6" w:rsidRPr="008C36B0" w:rsidRDefault="001A51B6" w:rsidP="00474F00">
      <w:pPr>
        <w:pStyle w:val="BankNormal"/>
        <w:spacing w:before="0"/>
        <w:rPr>
          <w:lang w:val="es-ES_tradnl"/>
        </w:rPr>
      </w:pPr>
    </w:p>
    <w:p w14:paraId="45E7B9FF" w14:textId="363A6F92" w:rsidR="00DA691C" w:rsidRPr="008C36B0" w:rsidRDefault="00132931" w:rsidP="00C114A9">
      <w:pPr>
        <w:pStyle w:val="Banknumbered"/>
      </w:pPr>
      <w:r w:rsidRPr="008C36B0">
        <w:rPr>
          <w:b/>
        </w:rPr>
        <w:t>Beneficios.</w:t>
      </w:r>
      <w:r w:rsidRPr="008C36B0">
        <w:t xml:space="preserve">  Los beneficios se valoran de acuerdo con la energía producida por las centrales y valorada al costo marginal de corto plazo del sistema, el cual refleja los costos de las centrales más caras del mismo.  La producción de las centrales de energía renovable se muestra en el Cuadro 1</w:t>
      </w:r>
      <w:r w:rsidR="00FD2F82">
        <w:t>8</w:t>
      </w:r>
      <w:r w:rsidRPr="008C36B0">
        <w:t>.</w:t>
      </w:r>
    </w:p>
    <w:p w14:paraId="65D75356" w14:textId="25D7D273" w:rsidR="00132931" w:rsidRPr="008C36B0" w:rsidRDefault="00132931" w:rsidP="00656B75">
      <w:pPr>
        <w:pStyle w:val="BankNormal"/>
        <w:keepNext/>
        <w:spacing w:before="120"/>
        <w:jc w:val="center"/>
        <w:rPr>
          <w:sz w:val="20"/>
          <w:lang w:val="es-ES_tradnl"/>
        </w:rPr>
      </w:pPr>
      <w:r w:rsidRPr="008C36B0">
        <w:rPr>
          <w:sz w:val="20"/>
          <w:lang w:val="es-ES_tradnl"/>
        </w:rPr>
        <w:t>Cuadro 1</w:t>
      </w:r>
      <w:r w:rsidR="00FD2F82">
        <w:rPr>
          <w:sz w:val="20"/>
          <w:lang w:val="es-ES_tradnl"/>
        </w:rPr>
        <w:t>8</w:t>
      </w:r>
      <w:r w:rsidRPr="008C36B0">
        <w:rPr>
          <w:sz w:val="20"/>
          <w:lang w:val="es-ES_tradnl"/>
        </w:rPr>
        <w:t>.  Generación Anual (GWh) de Energía Renovable</w:t>
      </w:r>
    </w:p>
    <w:p w14:paraId="10A4F312" w14:textId="063E6125" w:rsidR="00132931" w:rsidRPr="008C36B0" w:rsidRDefault="00E55C2F" w:rsidP="00132931">
      <w:pPr>
        <w:pStyle w:val="BankNormal"/>
        <w:spacing w:before="0"/>
        <w:rPr>
          <w:lang w:val="es-ES_tradnl"/>
        </w:rPr>
      </w:pPr>
      <w:r w:rsidRPr="008C36B0">
        <w:rPr>
          <w:noProof/>
        </w:rPr>
        <w:drawing>
          <wp:inline distT="0" distB="0" distL="0" distR="0" wp14:anchorId="12BADA45" wp14:editId="2F8555E7">
            <wp:extent cx="5486400" cy="2392620"/>
            <wp:effectExtent l="0" t="0" r="0" b="0"/>
            <wp:docPr id="23"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86400" cy="2392620"/>
                    </a:xfrm>
                    <a:prstGeom prst="rect">
                      <a:avLst/>
                    </a:prstGeom>
                    <a:noFill/>
                    <a:ln>
                      <a:noFill/>
                    </a:ln>
                  </pic:spPr>
                </pic:pic>
              </a:graphicData>
            </a:graphic>
          </wp:inline>
        </w:drawing>
      </w:r>
    </w:p>
    <w:p w14:paraId="230DB170" w14:textId="09A34251" w:rsidR="00132931" w:rsidRPr="008C36B0" w:rsidRDefault="00132931" w:rsidP="00DA691C">
      <w:pPr>
        <w:pStyle w:val="BankNormal"/>
        <w:spacing w:before="120"/>
        <w:rPr>
          <w:lang w:val="es-ES_tradnl"/>
        </w:rPr>
      </w:pPr>
      <w:r w:rsidRPr="008C36B0">
        <w:rPr>
          <w:lang w:val="es-ES_tradnl"/>
        </w:rPr>
        <w:t>Los beneficios correspondientes se ilustran en el Cuadro 1</w:t>
      </w:r>
      <w:r w:rsidR="00FD2F82">
        <w:rPr>
          <w:lang w:val="es-ES_tradnl"/>
        </w:rPr>
        <w:t>9</w:t>
      </w:r>
      <w:r w:rsidRPr="008C36B0">
        <w:rPr>
          <w:lang w:val="es-ES_tradnl"/>
        </w:rPr>
        <w:t>.</w:t>
      </w:r>
    </w:p>
    <w:p w14:paraId="5F5CDC7E" w14:textId="22BA2F98" w:rsidR="00132931" w:rsidRPr="008C36B0" w:rsidRDefault="00133EBC" w:rsidP="00A04A8F">
      <w:pPr>
        <w:pStyle w:val="BankNormal"/>
        <w:keepNext/>
        <w:spacing w:before="120"/>
        <w:jc w:val="center"/>
        <w:rPr>
          <w:sz w:val="20"/>
          <w:lang w:val="es-ES_tradnl"/>
        </w:rPr>
      </w:pPr>
      <w:r w:rsidRPr="008C36B0">
        <w:rPr>
          <w:sz w:val="20"/>
          <w:lang w:val="es-ES_tradnl"/>
        </w:rPr>
        <w:lastRenderedPageBreak/>
        <w:t>Cuadro 1</w:t>
      </w:r>
      <w:r w:rsidR="00FD2F82">
        <w:rPr>
          <w:sz w:val="20"/>
          <w:lang w:val="es-ES_tradnl"/>
        </w:rPr>
        <w:t>9</w:t>
      </w:r>
      <w:r w:rsidRPr="008C36B0">
        <w:rPr>
          <w:sz w:val="20"/>
          <w:lang w:val="es-ES_tradnl"/>
        </w:rPr>
        <w:t>.  Beneficios Anuales de Energía Renovable</w:t>
      </w:r>
    </w:p>
    <w:p w14:paraId="0883C091" w14:textId="40F6CA9D" w:rsidR="00132931" w:rsidRPr="008C36B0" w:rsidRDefault="00A04A8F" w:rsidP="00133EBC">
      <w:pPr>
        <w:pStyle w:val="BankNormal"/>
        <w:spacing w:before="0"/>
        <w:rPr>
          <w:lang w:val="es-ES_tradnl"/>
        </w:rPr>
      </w:pPr>
      <w:r w:rsidRPr="008C36B0">
        <w:rPr>
          <w:noProof/>
        </w:rPr>
        <w:drawing>
          <wp:inline distT="0" distB="0" distL="0" distR="0" wp14:anchorId="3796AC18" wp14:editId="72F0E588">
            <wp:extent cx="5486400" cy="465466"/>
            <wp:effectExtent l="0" t="0" r="0" b="0"/>
            <wp:docPr id="2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86400" cy="465466"/>
                    </a:xfrm>
                    <a:prstGeom prst="rect">
                      <a:avLst/>
                    </a:prstGeom>
                    <a:noFill/>
                    <a:ln>
                      <a:noFill/>
                    </a:ln>
                  </pic:spPr>
                </pic:pic>
              </a:graphicData>
            </a:graphic>
          </wp:inline>
        </w:drawing>
      </w:r>
    </w:p>
    <w:p w14:paraId="417F38A4" w14:textId="5A6CC40C" w:rsidR="00DA691C" w:rsidRPr="008C36B0" w:rsidRDefault="00DA691C" w:rsidP="00DA691C">
      <w:pPr>
        <w:pStyle w:val="BankNormal"/>
        <w:spacing w:before="120"/>
        <w:rPr>
          <w:lang w:val="es-ES_tradnl"/>
        </w:rPr>
      </w:pPr>
      <w:r w:rsidRPr="008C36B0">
        <w:rPr>
          <w:lang w:val="es-ES_tradnl"/>
        </w:rPr>
        <w:t>En el  corto plazo el costo marginal refleja el costo de centrales térmicas a base de fuel oil y de diesel, alrededor de US¢14/kWh.  En el largo plazo, el costo marginal se sitúa alrededor de US¢1</w:t>
      </w:r>
      <w:r w:rsidR="00A04A8F" w:rsidRPr="008C36B0">
        <w:rPr>
          <w:lang w:val="es-ES_tradnl"/>
        </w:rPr>
        <w:t>2</w:t>
      </w:r>
      <w:r w:rsidRPr="008C36B0">
        <w:rPr>
          <w:lang w:val="es-ES_tradnl"/>
        </w:rPr>
        <w:t xml:space="preserve">/kWh, con la sustitución de las centrales térmicas.  </w:t>
      </w:r>
    </w:p>
    <w:p w14:paraId="5DD3261C" w14:textId="016E00FC" w:rsidR="0083634C" w:rsidRPr="008C36B0" w:rsidRDefault="00133EBC" w:rsidP="00C114A9">
      <w:pPr>
        <w:pStyle w:val="Banknumbered"/>
      </w:pPr>
      <w:r w:rsidRPr="008C36B0">
        <w:rPr>
          <w:b/>
        </w:rPr>
        <w:t>Resultados.</w:t>
      </w:r>
      <w:r w:rsidRPr="008C36B0">
        <w:t xml:space="preserve">  Con la valoración de costos y beneficios se obtienen los siguientes parámetros de la evaluación económica:</w:t>
      </w:r>
    </w:p>
    <w:p w14:paraId="285D7D31" w14:textId="02D1049B" w:rsidR="00133EBC" w:rsidRPr="008C36B0" w:rsidRDefault="00133EBC" w:rsidP="00133EBC">
      <w:pPr>
        <w:keepNext/>
        <w:ind w:left="720"/>
        <w:rPr>
          <w:lang w:val="es-ES_tradnl"/>
        </w:rPr>
      </w:pPr>
      <w:r w:rsidRPr="008C36B0">
        <w:rPr>
          <w:lang w:val="es-ES_tradnl"/>
        </w:rPr>
        <w:t>VPN de Beneficios (12%)</w:t>
      </w:r>
      <w:r w:rsidRPr="008C36B0">
        <w:rPr>
          <w:lang w:val="es-ES_tradnl"/>
        </w:rPr>
        <w:tab/>
      </w:r>
      <w:r w:rsidRPr="008C36B0">
        <w:rPr>
          <w:lang w:val="es-ES_tradnl"/>
        </w:rPr>
        <w:tab/>
      </w:r>
      <w:r w:rsidRPr="008C36B0">
        <w:rPr>
          <w:lang w:val="es-ES_tradnl"/>
        </w:rPr>
        <w:tab/>
      </w:r>
      <w:r w:rsidR="00A923F3" w:rsidRPr="008C36B0">
        <w:rPr>
          <w:lang w:val="es-ES_tradnl"/>
        </w:rPr>
        <w:t>1345</w:t>
      </w:r>
      <w:r w:rsidR="0083634C" w:rsidRPr="008C36B0">
        <w:rPr>
          <w:lang w:val="es-ES_tradnl"/>
        </w:rPr>
        <w:t>M</w:t>
      </w:r>
      <w:r w:rsidRPr="008C36B0">
        <w:rPr>
          <w:lang w:val="es-ES_tradnl"/>
        </w:rPr>
        <w:t>$</w:t>
      </w:r>
    </w:p>
    <w:p w14:paraId="259876C0" w14:textId="4FC64BC3" w:rsidR="00133EBC" w:rsidRPr="008C36B0" w:rsidRDefault="00133EBC" w:rsidP="00133EBC">
      <w:pPr>
        <w:spacing w:before="0"/>
        <w:ind w:left="720"/>
        <w:rPr>
          <w:lang w:val="es-ES_tradnl"/>
        </w:rPr>
      </w:pPr>
      <w:r w:rsidRPr="008C36B0">
        <w:rPr>
          <w:lang w:val="es-ES_tradnl"/>
        </w:rPr>
        <w:t>VPN de Costos (12%)</w:t>
      </w:r>
      <w:r w:rsidRPr="008C36B0">
        <w:rPr>
          <w:lang w:val="es-ES_tradnl"/>
        </w:rPr>
        <w:tab/>
      </w:r>
      <w:r w:rsidRPr="008C36B0">
        <w:rPr>
          <w:lang w:val="es-ES_tradnl"/>
        </w:rPr>
        <w:tab/>
      </w:r>
      <w:r w:rsidRPr="008C36B0">
        <w:rPr>
          <w:lang w:val="es-ES_tradnl"/>
        </w:rPr>
        <w:tab/>
      </w:r>
      <w:r w:rsidRPr="008C36B0">
        <w:rPr>
          <w:lang w:val="es-ES_tradnl"/>
        </w:rPr>
        <w:tab/>
      </w:r>
      <w:r w:rsidR="00A923F3" w:rsidRPr="008C36B0">
        <w:rPr>
          <w:lang w:val="es-ES_tradnl"/>
        </w:rPr>
        <w:t>1319</w:t>
      </w:r>
      <w:r w:rsidR="0083634C" w:rsidRPr="008C36B0">
        <w:rPr>
          <w:lang w:val="es-ES_tradnl"/>
        </w:rPr>
        <w:t>M</w:t>
      </w:r>
      <w:r w:rsidRPr="008C36B0">
        <w:rPr>
          <w:lang w:val="es-ES_tradnl"/>
        </w:rPr>
        <w:t>$</w:t>
      </w:r>
    </w:p>
    <w:p w14:paraId="65107532" w14:textId="6DE16971" w:rsidR="00133EBC" w:rsidRPr="008C36B0" w:rsidRDefault="00133EBC" w:rsidP="00133EBC">
      <w:pPr>
        <w:spacing w:before="0"/>
        <w:ind w:left="720"/>
        <w:rPr>
          <w:lang w:val="es-ES_tradnl"/>
        </w:rPr>
      </w:pPr>
      <w:r w:rsidRPr="008C36B0">
        <w:rPr>
          <w:lang w:val="es-ES_tradnl"/>
        </w:rPr>
        <w:t>Relación B/C</w:t>
      </w:r>
      <w:r w:rsidRPr="008C36B0">
        <w:rPr>
          <w:lang w:val="es-ES_tradnl"/>
        </w:rPr>
        <w:tab/>
      </w:r>
      <w:r w:rsidRPr="008C36B0">
        <w:rPr>
          <w:lang w:val="es-ES_tradnl"/>
        </w:rPr>
        <w:tab/>
      </w:r>
      <w:r w:rsidRPr="008C36B0">
        <w:rPr>
          <w:lang w:val="es-ES_tradnl"/>
        </w:rPr>
        <w:tab/>
      </w:r>
      <w:r w:rsidRPr="008C36B0">
        <w:rPr>
          <w:lang w:val="es-ES_tradnl"/>
        </w:rPr>
        <w:tab/>
      </w:r>
      <w:r w:rsidRPr="008C36B0">
        <w:rPr>
          <w:lang w:val="es-ES_tradnl"/>
        </w:rPr>
        <w:tab/>
      </w:r>
      <w:r w:rsidR="00A923F3" w:rsidRPr="008C36B0">
        <w:rPr>
          <w:lang w:val="es-ES_tradnl"/>
        </w:rPr>
        <w:t>1.02</w:t>
      </w:r>
    </w:p>
    <w:p w14:paraId="436CEA03" w14:textId="69BAE3C8" w:rsidR="00133EBC" w:rsidRPr="008C36B0" w:rsidRDefault="00133EBC" w:rsidP="00133EBC">
      <w:pPr>
        <w:spacing w:before="0"/>
        <w:ind w:left="720"/>
        <w:rPr>
          <w:lang w:val="es-ES_tradnl"/>
        </w:rPr>
      </w:pPr>
      <w:r w:rsidRPr="008C36B0">
        <w:rPr>
          <w:lang w:val="es-ES_tradnl"/>
        </w:rPr>
        <w:t>Tasa Interna de Retorno Económica</w:t>
      </w:r>
      <w:r w:rsidRPr="008C36B0">
        <w:rPr>
          <w:lang w:val="es-ES_tradnl"/>
        </w:rPr>
        <w:tab/>
      </w:r>
      <w:r w:rsidRPr="008C36B0">
        <w:rPr>
          <w:lang w:val="es-ES_tradnl"/>
        </w:rPr>
        <w:tab/>
      </w:r>
      <w:r w:rsidR="0083634C" w:rsidRPr="008C36B0">
        <w:rPr>
          <w:lang w:val="es-ES_tradnl"/>
        </w:rPr>
        <w:t>1</w:t>
      </w:r>
      <w:r w:rsidR="00A923F3" w:rsidRPr="008C36B0">
        <w:rPr>
          <w:lang w:val="es-ES_tradnl"/>
        </w:rPr>
        <w:t>2</w:t>
      </w:r>
      <w:r w:rsidRPr="008C36B0">
        <w:rPr>
          <w:lang w:val="es-ES_tradnl"/>
        </w:rPr>
        <w:t>%</w:t>
      </w:r>
    </w:p>
    <w:p w14:paraId="445A4FAE" w14:textId="491CED48" w:rsidR="00672A1A" w:rsidRPr="008C36B0" w:rsidRDefault="00724B68" w:rsidP="00484C6C">
      <w:pPr>
        <w:rPr>
          <w:lang w:val="es-ES_tradnl"/>
        </w:rPr>
      </w:pPr>
      <w:r w:rsidRPr="008C36B0">
        <w:rPr>
          <w:lang w:val="es-ES_tradnl"/>
        </w:rPr>
        <w:t xml:space="preserve">La evaluación económica del caso base indica que </w:t>
      </w:r>
      <w:r w:rsidR="00785BB9" w:rsidRPr="008C36B0">
        <w:rPr>
          <w:lang w:val="es-ES_tradnl"/>
        </w:rPr>
        <w:t xml:space="preserve">las inversiones en energía renovable se justifican, </w:t>
      </w:r>
      <w:r w:rsidRPr="008C36B0">
        <w:rPr>
          <w:lang w:val="es-ES_tradnl"/>
        </w:rPr>
        <w:t xml:space="preserve">al arrojar una tasa de descuento comparable con la tasa límite de </w:t>
      </w:r>
      <w:r w:rsidR="00C707F6" w:rsidRPr="008C36B0">
        <w:rPr>
          <w:lang w:val="es-ES_tradnl"/>
        </w:rPr>
        <w:t>1</w:t>
      </w:r>
      <w:r w:rsidR="00B607BC" w:rsidRPr="008C36B0">
        <w:rPr>
          <w:lang w:val="es-ES_tradnl"/>
        </w:rPr>
        <w:t>2</w:t>
      </w:r>
      <w:r w:rsidRPr="008C36B0">
        <w:rPr>
          <w:lang w:val="es-ES_tradnl"/>
        </w:rPr>
        <w:t>%.</w:t>
      </w:r>
      <w:r w:rsidR="00785BB9" w:rsidRPr="008C36B0">
        <w:rPr>
          <w:lang w:val="es-ES_tradnl"/>
        </w:rPr>
        <w:t xml:space="preserve">  </w:t>
      </w:r>
    </w:p>
    <w:p w14:paraId="57AF90D7" w14:textId="5E63884E" w:rsidR="00133EBC" w:rsidRPr="008C36B0" w:rsidRDefault="00724B68" w:rsidP="00C114A9">
      <w:pPr>
        <w:pStyle w:val="Banknumbered"/>
      </w:pPr>
      <w:r w:rsidRPr="008C36B0">
        <w:rPr>
          <w:b/>
        </w:rPr>
        <w:t>Análisis de sensibilidad.</w:t>
      </w:r>
      <w:r w:rsidRPr="008C36B0">
        <w:t xml:space="preserve">  Los dos parámetros que más influyen en la evaluación económica, y que se pueden considerar como altamente inciertos son los costos de inversión y el costo marginal de corto plazo, el cual refleja los precios de los combustibles líquidos.  Se evaluaron los siguientes escenarios: (a) incremento de los costos de inversión en 10%, </w:t>
      </w:r>
      <w:r w:rsidR="00AC3993" w:rsidRPr="008C36B0">
        <w:t xml:space="preserve">y </w:t>
      </w:r>
      <w:r w:rsidRPr="008C36B0">
        <w:t>(b) incremento en el costo marginal de corto plazo de 10%</w:t>
      </w:r>
      <w:r w:rsidR="00AC3993" w:rsidRPr="008C36B0">
        <w:t xml:space="preserve">.  Los resultados se ilustran en el Cuadro </w:t>
      </w:r>
      <w:r w:rsidR="00FD2F82">
        <w:t>20</w:t>
      </w:r>
      <w:r w:rsidR="00AC3993" w:rsidRPr="008C36B0">
        <w:t>.</w:t>
      </w:r>
    </w:p>
    <w:p w14:paraId="05545EA7" w14:textId="4CD7175F" w:rsidR="00133EBC" w:rsidRPr="008C36B0" w:rsidRDefault="00AC3993" w:rsidP="00287EFE">
      <w:pPr>
        <w:keepNext/>
        <w:jc w:val="center"/>
        <w:rPr>
          <w:sz w:val="22"/>
          <w:lang w:val="es-ES_tradnl"/>
        </w:rPr>
      </w:pPr>
      <w:r w:rsidRPr="008C36B0">
        <w:rPr>
          <w:sz w:val="22"/>
          <w:lang w:val="es-ES_tradnl"/>
        </w:rPr>
        <w:t xml:space="preserve">Cuadro </w:t>
      </w:r>
      <w:r w:rsidR="00FD2F82">
        <w:rPr>
          <w:sz w:val="22"/>
          <w:lang w:val="es-ES_tradnl"/>
        </w:rPr>
        <w:t>20</w:t>
      </w:r>
      <w:r w:rsidRPr="008C36B0">
        <w:rPr>
          <w:sz w:val="22"/>
          <w:lang w:val="es-ES_tradnl"/>
        </w:rPr>
        <w:t>.  Variación de Resultados Económicos</w:t>
      </w:r>
    </w:p>
    <w:tbl>
      <w:tblPr>
        <w:tblStyle w:val="TableGrid"/>
        <w:tblW w:w="0" w:type="auto"/>
        <w:jc w:val="center"/>
        <w:tblLook w:val="04A0" w:firstRow="1" w:lastRow="0" w:firstColumn="1" w:lastColumn="0" w:noHBand="0" w:noVBand="1"/>
      </w:tblPr>
      <w:tblGrid>
        <w:gridCol w:w="2952"/>
        <w:gridCol w:w="2376"/>
        <w:gridCol w:w="2250"/>
      </w:tblGrid>
      <w:tr w:rsidR="00AC3993" w:rsidRPr="008C36B0" w14:paraId="313B9F09" w14:textId="77777777" w:rsidTr="00AC3993">
        <w:trPr>
          <w:jc w:val="center"/>
        </w:trPr>
        <w:tc>
          <w:tcPr>
            <w:tcW w:w="2952" w:type="dxa"/>
          </w:tcPr>
          <w:p w14:paraId="10BFD848" w14:textId="77777777" w:rsidR="00AC3993" w:rsidRPr="008C36B0" w:rsidRDefault="00AC3993" w:rsidP="00287EFE">
            <w:pPr>
              <w:keepNext/>
              <w:spacing w:before="0"/>
              <w:rPr>
                <w:lang w:val="es-ES_tradnl"/>
              </w:rPr>
            </w:pPr>
          </w:p>
        </w:tc>
        <w:tc>
          <w:tcPr>
            <w:tcW w:w="2376" w:type="dxa"/>
          </w:tcPr>
          <w:p w14:paraId="2AD8EAB2" w14:textId="77777777" w:rsidR="00AC3993" w:rsidRPr="008C36B0" w:rsidRDefault="00AC3993" w:rsidP="00287EFE">
            <w:pPr>
              <w:keepNext/>
              <w:spacing w:before="0"/>
              <w:rPr>
                <w:lang w:val="es-ES_tradnl"/>
              </w:rPr>
            </w:pPr>
            <w:r w:rsidRPr="008C36B0">
              <w:rPr>
                <w:lang w:val="es-ES_tradnl"/>
              </w:rPr>
              <w:t>Incremento Inversión 10%</w:t>
            </w:r>
          </w:p>
        </w:tc>
        <w:tc>
          <w:tcPr>
            <w:tcW w:w="2250" w:type="dxa"/>
          </w:tcPr>
          <w:p w14:paraId="5EB06C67" w14:textId="77777777" w:rsidR="00AC3993" w:rsidRPr="008C36B0" w:rsidRDefault="00AC3993" w:rsidP="00287EFE">
            <w:pPr>
              <w:keepNext/>
              <w:spacing w:before="0"/>
              <w:rPr>
                <w:lang w:val="es-ES_tradnl"/>
              </w:rPr>
            </w:pPr>
            <w:r w:rsidRPr="008C36B0">
              <w:rPr>
                <w:lang w:val="es-ES_tradnl"/>
              </w:rPr>
              <w:t>Incremento CMCP 10%</w:t>
            </w:r>
          </w:p>
        </w:tc>
      </w:tr>
      <w:tr w:rsidR="0083634C" w:rsidRPr="008C36B0" w14:paraId="25EB0E84" w14:textId="77777777" w:rsidTr="00A7500B">
        <w:trPr>
          <w:jc w:val="center"/>
        </w:trPr>
        <w:tc>
          <w:tcPr>
            <w:tcW w:w="2952" w:type="dxa"/>
          </w:tcPr>
          <w:p w14:paraId="5750DA29" w14:textId="77777777" w:rsidR="0083634C" w:rsidRPr="008C36B0" w:rsidRDefault="0083634C" w:rsidP="00287EFE">
            <w:pPr>
              <w:keepNext/>
              <w:spacing w:before="0"/>
              <w:rPr>
                <w:lang w:val="es-ES_tradnl"/>
              </w:rPr>
            </w:pPr>
            <w:r w:rsidRPr="008C36B0">
              <w:rPr>
                <w:lang w:val="es-ES_tradnl"/>
              </w:rPr>
              <w:t>VPN Beneficios (12%)</w:t>
            </w:r>
          </w:p>
        </w:tc>
        <w:tc>
          <w:tcPr>
            <w:tcW w:w="2376" w:type="dxa"/>
            <w:vAlign w:val="bottom"/>
          </w:tcPr>
          <w:p w14:paraId="53CE3215" w14:textId="772846FB" w:rsidR="0083634C" w:rsidRPr="008C36B0" w:rsidRDefault="0083634C" w:rsidP="00287EFE">
            <w:pPr>
              <w:keepNext/>
              <w:spacing w:before="0"/>
              <w:rPr>
                <w:lang w:val="es-ES_tradnl"/>
              </w:rPr>
            </w:pPr>
            <w:r w:rsidRPr="008C36B0">
              <w:rPr>
                <w:lang w:val="es-ES_tradnl"/>
              </w:rPr>
              <w:t>$</w:t>
            </w:r>
            <w:r w:rsidR="00390B62" w:rsidRPr="008C36B0">
              <w:rPr>
                <w:lang w:val="es-ES_tradnl"/>
              </w:rPr>
              <w:t>1,345</w:t>
            </w:r>
          </w:p>
        </w:tc>
        <w:tc>
          <w:tcPr>
            <w:tcW w:w="2250" w:type="dxa"/>
            <w:vAlign w:val="bottom"/>
          </w:tcPr>
          <w:p w14:paraId="28642BA5" w14:textId="527C9B9E" w:rsidR="0083634C" w:rsidRPr="008C36B0" w:rsidRDefault="006B6F81" w:rsidP="00287EFE">
            <w:pPr>
              <w:keepNext/>
              <w:spacing w:before="0"/>
              <w:rPr>
                <w:lang w:val="es-ES_tradnl"/>
              </w:rPr>
            </w:pPr>
            <w:r w:rsidRPr="008C36B0">
              <w:rPr>
                <w:lang w:val="es-ES_tradnl"/>
              </w:rPr>
              <w:t>$ 1,479</w:t>
            </w:r>
          </w:p>
        </w:tc>
      </w:tr>
      <w:tr w:rsidR="0083634C" w:rsidRPr="008C36B0" w14:paraId="2BB00D63" w14:textId="77777777" w:rsidTr="00A7500B">
        <w:trPr>
          <w:jc w:val="center"/>
        </w:trPr>
        <w:tc>
          <w:tcPr>
            <w:tcW w:w="2952" w:type="dxa"/>
          </w:tcPr>
          <w:p w14:paraId="4598B2EC" w14:textId="77777777" w:rsidR="0083634C" w:rsidRPr="008C36B0" w:rsidRDefault="0083634C" w:rsidP="00287EFE">
            <w:pPr>
              <w:keepNext/>
              <w:spacing w:before="0"/>
              <w:rPr>
                <w:lang w:val="es-ES_tradnl"/>
              </w:rPr>
            </w:pPr>
            <w:r w:rsidRPr="008C36B0">
              <w:rPr>
                <w:lang w:val="es-ES_tradnl"/>
              </w:rPr>
              <w:t>VPN Costos (12%)</w:t>
            </w:r>
          </w:p>
        </w:tc>
        <w:tc>
          <w:tcPr>
            <w:tcW w:w="2376" w:type="dxa"/>
            <w:vAlign w:val="bottom"/>
          </w:tcPr>
          <w:p w14:paraId="0E14E0D4" w14:textId="18612F1E" w:rsidR="0083634C" w:rsidRPr="008C36B0" w:rsidRDefault="0083634C" w:rsidP="00287EFE">
            <w:pPr>
              <w:keepNext/>
              <w:spacing w:before="0"/>
              <w:rPr>
                <w:lang w:val="es-ES_tradnl"/>
              </w:rPr>
            </w:pPr>
            <w:r w:rsidRPr="008C36B0">
              <w:rPr>
                <w:lang w:val="es-ES_tradnl"/>
              </w:rPr>
              <w:t>$</w:t>
            </w:r>
            <w:r w:rsidR="00390B62" w:rsidRPr="008C36B0">
              <w:rPr>
                <w:lang w:val="es-ES_tradnl"/>
              </w:rPr>
              <w:t>1,450</w:t>
            </w:r>
          </w:p>
        </w:tc>
        <w:tc>
          <w:tcPr>
            <w:tcW w:w="2250" w:type="dxa"/>
            <w:vAlign w:val="bottom"/>
          </w:tcPr>
          <w:p w14:paraId="5201D75E" w14:textId="54D9A196" w:rsidR="0083634C" w:rsidRPr="008C36B0" w:rsidRDefault="0083634C" w:rsidP="00287EFE">
            <w:pPr>
              <w:keepNext/>
              <w:spacing w:before="0"/>
              <w:rPr>
                <w:lang w:val="es-ES_tradnl"/>
              </w:rPr>
            </w:pPr>
            <w:r w:rsidRPr="008C36B0">
              <w:rPr>
                <w:lang w:val="es-ES_tradnl"/>
              </w:rPr>
              <w:t xml:space="preserve">$ </w:t>
            </w:r>
            <w:r w:rsidR="006B6F81" w:rsidRPr="008C36B0">
              <w:rPr>
                <w:lang w:val="es-ES_tradnl"/>
              </w:rPr>
              <w:t>1,319</w:t>
            </w:r>
          </w:p>
        </w:tc>
      </w:tr>
      <w:tr w:rsidR="0083634C" w:rsidRPr="008C36B0" w14:paraId="09B3FE0F" w14:textId="77777777" w:rsidTr="00A7500B">
        <w:trPr>
          <w:jc w:val="center"/>
        </w:trPr>
        <w:tc>
          <w:tcPr>
            <w:tcW w:w="2952" w:type="dxa"/>
          </w:tcPr>
          <w:p w14:paraId="1BFE5972" w14:textId="77777777" w:rsidR="0083634C" w:rsidRPr="008C36B0" w:rsidRDefault="0083634C" w:rsidP="00287EFE">
            <w:pPr>
              <w:keepNext/>
              <w:spacing w:before="0"/>
              <w:rPr>
                <w:lang w:val="es-ES_tradnl"/>
              </w:rPr>
            </w:pPr>
            <w:r w:rsidRPr="008C36B0">
              <w:rPr>
                <w:lang w:val="es-ES_tradnl"/>
              </w:rPr>
              <w:t>Relación B/C</w:t>
            </w:r>
          </w:p>
        </w:tc>
        <w:tc>
          <w:tcPr>
            <w:tcW w:w="2376" w:type="dxa"/>
            <w:vAlign w:val="bottom"/>
          </w:tcPr>
          <w:p w14:paraId="07BA3306" w14:textId="7B59802E" w:rsidR="0083634C" w:rsidRPr="008C36B0" w:rsidRDefault="0083634C" w:rsidP="00287EFE">
            <w:pPr>
              <w:keepNext/>
              <w:spacing w:before="0"/>
              <w:rPr>
                <w:lang w:val="es-ES_tradnl"/>
              </w:rPr>
            </w:pPr>
            <w:r w:rsidRPr="008C36B0">
              <w:rPr>
                <w:lang w:val="es-ES_tradnl"/>
              </w:rPr>
              <w:t>0.</w:t>
            </w:r>
            <w:r w:rsidR="00390B62" w:rsidRPr="008C36B0">
              <w:rPr>
                <w:lang w:val="es-ES_tradnl"/>
              </w:rPr>
              <w:t>93</w:t>
            </w:r>
          </w:p>
        </w:tc>
        <w:tc>
          <w:tcPr>
            <w:tcW w:w="2250" w:type="dxa"/>
            <w:vAlign w:val="bottom"/>
          </w:tcPr>
          <w:p w14:paraId="0D442109" w14:textId="49F7A0B8" w:rsidR="0083634C" w:rsidRPr="008C36B0" w:rsidRDefault="0083634C" w:rsidP="00287EFE">
            <w:pPr>
              <w:keepNext/>
              <w:spacing w:before="0"/>
              <w:rPr>
                <w:lang w:val="es-ES_tradnl"/>
              </w:rPr>
            </w:pPr>
            <w:r w:rsidRPr="008C36B0">
              <w:rPr>
                <w:lang w:val="es-ES_tradnl"/>
              </w:rPr>
              <w:t>1.</w:t>
            </w:r>
            <w:r w:rsidR="006B6F81" w:rsidRPr="008C36B0">
              <w:rPr>
                <w:lang w:val="es-ES_tradnl"/>
              </w:rPr>
              <w:t>12</w:t>
            </w:r>
          </w:p>
        </w:tc>
      </w:tr>
      <w:tr w:rsidR="0083634C" w:rsidRPr="008C36B0" w14:paraId="7198DF11" w14:textId="77777777" w:rsidTr="00A7500B">
        <w:trPr>
          <w:jc w:val="center"/>
        </w:trPr>
        <w:tc>
          <w:tcPr>
            <w:tcW w:w="2952" w:type="dxa"/>
          </w:tcPr>
          <w:p w14:paraId="59264A3B" w14:textId="77777777" w:rsidR="0083634C" w:rsidRPr="008C36B0" w:rsidRDefault="0083634C" w:rsidP="00AC3993">
            <w:pPr>
              <w:spacing w:before="0"/>
              <w:rPr>
                <w:lang w:val="es-ES_tradnl"/>
              </w:rPr>
            </w:pPr>
            <w:r w:rsidRPr="008C36B0">
              <w:rPr>
                <w:lang w:val="es-ES_tradnl"/>
              </w:rPr>
              <w:t>TIR Económica</w:t>
            </w:r>
          </w:p>
        </w:tc>
        <w:tc>
          <w:tcPr>
            <w:tcW w:w="2376" w:type="dxa"/>
            <w:vAlign w:val="bottom"/>
          </w:tcPr>
          <w:p w14:paraId="2CFAAFE6" w14:textId="50A2D254" w:rsidR="0083634C" w:rsidRPr="008C36B0" w:rsidRDefault="0083634C" w:rsidP="00390B62">
            <w:pPr>
              <w:spacing w:before="0"/>
              <w:rPr>
                <w:lang w:val="es-ES_tradnl"/>
              </w:rPr>
            </w:pPr>
            <w:r w:rsidRPr="008C36B0">
              <w:rPr>
                <w:lang w:val="es-ES_tradnl"/>
              </w:rPr>
              <w:t>1</w:t>
            </w:r>
            <w:r w:rsidR="00390B62" w:rsidRPr="008C36B0">
              <w:rPr>
                <w:lang w:val="es-ES_tradnl"/>
              </w:rPr>
              <w:t>1</w:t>
            </w:r>
            <w:r w:rsidRPr="008C36B0">
              <w:rPr>
                <w:lang w:val="es-ES_tradnl"/>
              </w:rPr>
              <w:t>%</w:t>
            </w:r>
          </w:p>
        </w:tc>
        <w:tc>
          <w:tcPr>
            <w:tcW w:w="2250" w:type="dxa"/>
            <w:vAlign w:val="bottom"/>
          </w:tcPr>
          <w:p w14:paraId="283AC4B3" w14:textId="3FE90A89" w:rsidR="0083634C" w:rsidRPr="008C36B0" w:rsidRDefault="0083634C" w:rsidP="006B6F81">
            <w:pPr>
              <w:spacing w:before="0"/>
              <w:rPr>
                <w:lang w:val="es-ES_tradnl"/>
              </w:rPr>
            </w:pPr>
            <w:r w:rsidRPr="008C36B0">
              <w:rPr>
                <w:lang w:val="es-ES_tradnl"/>
              </w:rPr>
              <w:t>1</w:t>
            </w:r>
            <w:r w:rsidR="006B6F81" w:rsidRPr="008C36B0">
              <w:rPr>
                <w:lang w:val="es-ES_tradnl"/>
              </w:rPr>
              <w:t>4</w:t>
            </w:r>
            <w:r w:rsidRPr="008C36B0">
              <w:rPr>
                <w:lang w:val="es-ES_tradnl"/>
              </w:rPr>
              <w:t>%</w:t>
            </w:r>
          </w:p>
        </w:tc>
      </w:tr>
    </w:tbl>
    <w:p w14:paraId="10B2796D" w14:textId="2E17CE0E" w:rsidR="00AC3993" w:rsidRPr="008C36B0" w:rsidRDefault="00E86E6A" w:rsidP="00484C6C">
      <w:pPr>
        <w:rPr>
          <w:lang w:val="es-ES_tradnl"/>
        </w:rPr>
      </w:pPr>
      <w:r w:rsidRPr="008C36B0">
        <w:rPr>
          <w:lang w:val="es-ES_tradnl"/>
        </w:rPr>
        <w:t xml:space="preserve">La sensibilidad arroja resultados </w:t>
      </w:r>
      <w:r w:rsidR="00785BB9" w:rsidRPr="008C36B0">
        <w:rPr>
          <w:lang w:val="es-ES_tradnl"/>
        </w:rPr>
        <w:t>adecuados</w:t>
      </w:r>
      <w:r w:rsidRPr="008C36B0">
        <w:rPr>
          <w:lang w:val="es-ES_tradnl"/>
        </w:rPr>
        <w:t xml:space="preserve"> para la evaluación económica, indicando que la política de transformación de la matriz energética es razonable y se justifica económicamente.</w:t>
      </w:r>
    </w:p>
    <w:p w14:paraId="29E913F4" w14:textId="77777777" w:rsidR="00FE544A" w:rsidRPr="008C36B0" w:rsidRDefault="00FE544A" w:rsidP="00FE544A">
      <w:pPr>
        <w:rPr>
          <w:b/>
          <w:lang w:val="es-ES_tradnl"/>
        </w:rPr>
      </w:pPr>
      <w:r w:rsidRPr="008C36B0">
        <w:rPr>
          <w:b/>
          <w:lang w:val="es-ES_tradnl"/>
        </w:rPr>
        <w:t>Evaluación del programa de eficiencia energética</w:t>
      </w:r>
    </w:p>
    <w:p w14:paraId="6DAF4ACF" w14:textId="16E567F1" w:rsidR="00AC3993" w:rsidRPr="008C36B0" w:rsidRDefault="002D67E3" w:rsidP="00C114A9">
      <w:pPr>
        <w:pStyle w:val="Banknumbered"/>
      </w:pPr>
      <w:r w:rsidRPr="008C36B0">
        <w:t>El programa de eficiencia energética consiste en la sustitución de 4 millones de bujías incandescentes en el sector residencial con un costo de US$11.3 millones, y la sustitución de 50000 lámparas fluorescentes magnética por electrónicas en el sector gobierno a un costo de US$2.8 millones.</w:t>
      </w:r>
      <w:r w:rsidR="00287EFE">
        <w:t xml:space="preserve"> Este programa se llevó a cabo entre 2014 y 2016.</w:t>
      </w:r>
    </w:p>
    <w:p w14:paraId="78D5D8DD" w14:textId="77777777" w:rsidR="002D67E3" w:rsidRPr="008C36B0" w:rsidRDefault="002D67E3" w:rsidP="00C114A9">
      <w:pPr>
        <w:pStyle w:val="Banknumbered"/>
      </w:pPr>
      <w:r w:rsidRPr="008C36B0">
        <w:rPr>
          <w:b/>
        </w:rPr>
        <w:t>Metodología.</w:t>
      </w:r>
      <w:r w:rsidRPr="008C36B0">
        <w:t xml:space="preserve">  Los beneficios del programa se traducen en una reducción de los costos de generación por el menor consumo de las lámparas que se instalarán comparado con las bujías incandescentes y las lámparas fluorescentes magnéticas.  El beneficio correspondiente se valora al costo marginal de generación, el cual se aplica a los siguientes valores sustituidos (valores acumulados a la fecha):</w:t>
      </w:r>
    </w:p>
    <w:p w14:paraId="3EED8541" w14:textId="77777777" w:rsidR="00133EBC" w:rsidRPr="008C36B0" w:rsidRDefault="002D67E3" w:rsidP="002D67E3">
      <w:pPr>
        <w:ind w:left="720"/>
        <w:rPr>
          <w:lang w:val="es-ES_tradnl"/>
        </w:rPr>
      </w:pPr>
      <w:r w:rsidRPr="008C36B0">
        <w:rPr>
          <w:lang w:val="es-ES_tradnl"/>
        </w:rPr>
        <w:t>2014: 90 GWh</w:t>
      </w:r>
    </w:p>
    <w:p w14:paraId="391DE8E7" w14:textId="77777777" w:rsidR="002D67E3" w:rsidRPr="008C36B0" w:rsidRDefault="002D67E3" w:rsidP="002D67E3">
      <w:pPr>
        <w:spacing w:before="0"/>
        <w:ind w:left="720"/>
        <w:rPr>
          <w:lang w:val="es-ES_tradnl"/>
        </w:rPr>
      </w:pPr>
      <w:r w:rsidRPr="008C36B0">
        <w:rPr>
          <w:lang w:val="es-ES_tradnl"/>
        </w:rPr>
        <w:t>2015: 180 GWh</w:t>
      </w:r>
    </w:p>
    <w:p w14:paraId="4B7CBB09" w14:textId="77777777" w:rsidR="002D67E3" w:rsidRPr="008C36B0" w:rsidRDefault="002D67E3" w:rsidP="002D67E3">
      <w:pPr>
        <w:spacing w:before="0"/>
        <w:ind w:left="720"/>
        <w:rPr>
          <w:lang w:val="es-ES_tradnl"/>
        </w:rPr>
      </w:pPr>
      <w:r w:rsidRPr="008C36B0">
        <w:rPr>
          <w:lang w:val="es-ES_tradnl"/>
        </w:rPr>
        <w:lastRenderedPageBreak/>
        <w:t>2016: 221 GWh</w:t>
      </w:r>
    </w:p>
    <w:p w14:paraId="0B202F4D" w14:textId="35702E58" w:rsidR="002D67E3" w:rsidRPr="008C36B0" w:rsidRDefault="00541188" w:rsidP="00C114A9">
      <w:pPr>
        <w:pStyle w:val="Banknumbered"/>
      </w:pPr>
      <w:r w:rsidRPr="008C36B0">
        <w:rPr>
          <w:b/>
        </w:rPr>
        <w:t>Resultados.</w:t>
      </w:r>
      <w:r w:rsidR="00275E9B" w:rsidRPr="008C36B0">
        <w:t xml:space="preserve">  El Cuadro </w:t>
      </w:r>
      <w:r w:rsidR="00FD2F82">
        <w:t>21</w:t>
      </w:r>
      <w:r w:rsidR="00275E9B" w:rsidRPr="008C36B0">
        <w:t xml:space="preserve"> resume los costos y beneficios del programa.</w:t>
      </w:r>
      <w:r w:rsidR="00F03139" w:rsidRPr="008C36B0">
        <w:t xml:space="preserve">  Éstos se extienden hasta 2019 suponiendo que los equipos a instalar tienen una vida útil de 5 años.</w:t>
      </w:r>
    </w:p>
    <w:p w14:paraId="6CC34714" w14:textId="73760ADA" w:rsidR="00275E9B" w:rsidRPr="008C36B0" w:rsidRDefault="00275E9B" w:rsidP="00275E9B">
      <w:pPr>
        <w:keepNext/>
        <w:jc w:val="center"/>
        <w:rPr>
          <w:sz w:val="22"/>
          <w:lang w:val="es-ES_tradnl"/>
        </w:rPr>
      </w:pPr>
      <w:r w:rsidRPr="008C36B0">
        <w:rPr>
          <w:sz w:val="22"/>
          <w:lang w:val="es-ES_tradnl"/>
        </w:rPr>
        <w:t xml:space="preserve">Cuadro </w:t>
      </w:r>
      <w:r w:rsidR="00FD2F82">
        <w:rPr>
          <w:sz w:val="22"/>
          <w:lang w:val="es-ES_tradnl"/>
        </w:rPr>
        <w:t>21</w:t>
      </w:r>
      <w:r w:rsidRPr="008C36B0">
        <w:rPr>
          <w:sz w:val="22"/>
          <w:lang w:val="es-ES_tradnl"/>
        </w:rPr>
        <w:t>-Beneficios y Costos del Programa de Eficiencia Energética</w:t>
      </w:r>
    </w:p>
    <w:p w14:paraId="1A8ACD9E" w14:textId="77777777" w:rsidR="002D67E3" w:rsidRPr="008C36B0" w:rsidRDefault="00275E9B" w:rsidP="00275E9B">
      <w:pPr>
        <w:spacing w:before="0"/>
        <w:rPr>
          <w:lang w:val="es-ES_tradnl"/>
        </w:rPr>
      </w:pPr>
      <w:r w:rsidRPr="008C36B0">
        <w:rPr>
          <w:noProof/>
        </w:rPr>
        <w:drawing>
          <wp:inline distT="0" distB="0" distL="0" distR="0" wp14:anchorId="0462F946" wp14:editId="6401B424">
            <wp:extent cx="5486400" cy="1296287"/>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86400" cy="1296287"/>
                    </a:xfrm>
                    <a:prstGeom prst="rect">
                      <a:avLst/>
                    </a:prstGeom>
                    <a:noFill/>
                    <a:ln>
                      <a:noFill/>
                    </a:ln>
                  </pic:spPr>
                </pic:pic>
              </a:graphicData>
            </a:graphic>
          </wp:inline>
        </w:drawing>
      </w:r>
    </w:p>
    <w:p w14:paraId="59FEE9E8" w14:textId="77777777" w:rsidR="002D67E3" w:rsidRPr="008C36B0" w:rsidRDefault="00F03139" w:rsidP="00484C6C">
      <w:pPr>
        <w:rPr>
          <w:lang w:val="es-ES_tradnl"/>
        </w:rPr>
      </w:pPr>
      <w:r w:rsidRPr="008C36B0">
        <w:rPr>
          <w:lang w:val="es-ES_tradnl"/>
        </w:rPr>
        <w:t>Con estos valores se obtienen los siguientes parámetros económicos:</w:t>
      </w:r>
    </w:p>
    <w:p w14:paraId="23605C60" w14:textId="77777777" w:rsidR="00F03139" w:rsidRPr="008C36B0" w:rsidRDefault="00F03139" w:rsidP="00F03139">
      <w:pPr>
        <w:keepNext/>
        <w:ind w:left="720"/>
        <w:rPr>
          <w:lang w:val="es-ES_tradnl"/>
        </w:rPr>
      </w:pPr>
      <w:r w:rsidRPr="008C36B0">
        <w:rPr>
          <w:lang w:val="es-ES_tradnl"/>
        </w:rPr>
        <w:t>VPN de Beneficios (12%)</w:t>
      </w:r>
      <w:r w:rsidRPr="008C36B0">
        <w:rPr>
          <w:lang w:val="es-ES_tradnl"/>
        </w:rPr>
        <w:tab/>
      </w:r>
      <w:r w:rsidRPr="008C36B0">
        <w:rPr>
          <w:lang w:val="es-ES_tradnl"/>
        </w:rPr>
        <w:tab/>
      </w:r>
      <w:r w:rsidRPr="008C36B0">
        <w:rPr>
          <w:lang w:val="es-ES_tradnl"/>
        </w:rPr>
        <w:tab/>
        <w:t>108 M$</w:t>
      </w:r>
    </w:p>
    <w:p w14:paraId="42C4825A" w14:textId="77777777" w:rsidR="00F03139" w:rsidRPr="008C36B0" w:rsidRDefault="00F03139" w:rsidP="00F03139">
      <w:pPr>
        <w:spacing w:before="0"/>
        <w:ind w:left="720"/>
        <w:rPr>
          <w:lang w:val="es-ES_tradnl"/>
        </w:rPr>
      </w:pPr>
      <w:r w:rsidRPr="008C36B0">
        <w:rPr>
          <w:lang w:val="es-ES_tradnl"/>
        </w:rPr>
        <w:t>VPN de Costos (12%)</w:t>
      </w:r>
      <w:r w:rsidRPr="008C36B0">
        <w:rPr>
          <w:lang w:val="es-ES_tradnl"/>
        </w:rPr>
        <w:tab/>
      </w:r>
      <w:r w:rsidRPr="008C36B0">
        <w:rPr>
          <w:lang w:val="es-ES_tradnl"/>
        </w:rPr>
        <w:tab/>
      </w:r>
      <w:r w:rsidRPr="008C36B0">
        <w:rPr>
          <w:lang w:val="es-ES_tradnl"/>
        </w:rPr>
        <w:tab/>
      </w:r>
      <w:r w:rsidRPr="008C36B0">
        <w:rPr>
          <w:lang w:val="es-ES_tradnl"/>
        </w:rPr>
        <w:tab/>
        <w:t>11.5 M$</w:t>
      </w:r>
    </w:p>
    <w:p w14:paraId="07C9885F" w14:textId="77777777" w:rsidR="00F03139" w:rsidRPr="008C36B0" w:rsidRDefault="00F03139" w:rsidP="00F03139">
      <w:pPr>
        <w:spacing w:before="0"/>
        <w:ind w:left="720"/>
        <w:rPr>
          <w:lang w:val="es-ES_tradnl"/>
        </w:rPr>
      </w:pPr>
      <w:r w:rsidRPr="008C36B0">
        <w:rPr>
          <w:lang w:val="es-ES_tradnl"/>
        </w:rPr>
        <w:t>Relación B/C</w:t>
      </w:r>
      <w:r w:rsidRPr="008C36B0">
        <w:rPr>
          <w:lang w:val="es-ES_tradnl"/>
        </w:rPr>
        <w:tab/>
      </w:r>
      <w:r w:rsidRPr="008C36B0">
        <w:rPr>
          <w:lang w:val="es-ES_tradnl"/>
        </w:rPr>
        <w:tab/>
      </w:r>
      <w:r w:rsidRPr="008C36B0">
        <w:rPr>
          <w:lang w:val="es-ES_tradnl"/>
        </w:rPr>
        <w:tab/>
      </w:r>
      <w:r w:rsidRPr="008C36B0">
        <w:rPr>
          <w:lang w:val="es-ES_tradnl"/>
        </w:rPr>
        <w:tab/>
      </w:r>
      <w:r w:rsidRPr="008C36B0">
        <w:rPr>
          <w:lang w:val="es-ES_tradnl"/>
        </w:rPr>
        <w:tab/>
        <w:t>9.3</w:t>
      </w:r>
    </w:p>
    <w:p w14:paraId="59815789" w14:textId="29EEE053" w:rsidR="00275E9B" w:rsidRPr="008C36B0" w:rsidRDefault="00F03139" w:rsidP="00484C6C">
      <w:pPr>
        <w:rPr>
          <w:lang w:val="es-ES_tradnl"/>
        </w:rPr>
      </w:pPr>
      <w:r w:rsidRPr="008C36B0">
        <w:rPr>
          <w:lang w:val="es-ES_tradnl"/>
        </w:rPr>
        <w:t>La TIR del programa es indefinida puesto que los beneficios anuales superan los costos anuales a lo largo del programa.</w:t>
      </w:r>
      <w:r w:rsidR="001050E1" w:rsidRPr="008C36B0">
        <w:rPr>
          <w:lang w:val="es-ES_tradnl"/>
        </w:rPr>
        <w:t xml:space="preserve">  Esto ocurre porque no existe un rezago visible entre la inversión y la materialización de beneficios: las bombillas se compran y se instalan con un rezago de días, o semanas a lo sumo.  </w:t>
      </w:r>
    </w:p>
    <w:p w14:paraId="5208175B" w14:textId="77777777" w:rsidR="00275E9B" w:rsidRPr="008C36B0" w:rsidRDefault="00F03139" w:rsidP="00C114A9">
      <w:pPr>
        <w:pStyle w:val="Banknumbered"/>
      </w:pPr>
      <w:r w:rsidRPr="008C36B0">
        <w:rPr>
          <w:b/>
        </w:rPr>
        <w:t>Análisis de sensibilidad.</w:t>
      </w:r>
      <w:r w:rsidRPr="008C36B0">
        <w:t xml:space="preserve">  Un análisis paramétrico indica que los costos del programa tendrían que aumentar por </w:t>
      </w:r>
      <w:r w:rsidR="008518CF" w:rsidRPr="008C36B0">
        <w:t>un factor de 9 para llegar al umbral de una TIR de 12%.  Con los valores indicados el programa se justifica ampliamente.</w:t>
      </w:r>
    </w:p>
    <w:p w14:paraId="1B74F02D" w14:textId="77777777" w:rsidR="00275E9B" w:rsidRPr="008C36B0" w:rsidRDefault="008518CF" w:rsidP="00484C6C">
      <w:pPr>
        <w:rPr>
          <w:b/>
          <w:lang w:val="es-ES_tradnl"/>
        </w:rPr>
      </w:pPr>
      <w:r w:rsidRPr="008C36B0">
        <w:rPr>
          <w:b/>
          <w:lang w:val="es-ES_tradnl"/>
        </w:rPr>
        <w:t>Resumen</w:t>
      </w:r>
    </w:p>
    <w:p w14:paraId="702EBA53" w14:textId="7AB3BA0A" w:rsidR="008518CF" w:rsidRPr="008C36B0" w:rsidRDefault="008518CF" w:rsidP="008518CF">
      <w:pPr>
        <w:rPr>
          <w:lang w:val="es-ES_tradnl"/>
        </w:rPr>
      </w:pPr>
      <w:r w:rsidRPr="008C36B0">
        <w:rPr>
          <w:lang w:val="es-ES_tradnl"/>
        </w:rPr>
        <w:t xml:space="preserve">El Cuadro </w:t>
      </w:r>
      <w:r w:rsidR="00FD2F82">
        <w:rPr>
          <w:lang w:val="es-ES_tradnl"/>
        </w:rPr>
        <w:t>22</w:t>
      </w:r>
      <w:r w:rsidRPr="008C36B0">
        <w:rPr>
          <w:lang w:val="es-ES_tradnl"/>
        </w:rPr>
        <w:t xml:space="preserve"> resume los resultados de la evaluación económica para los cinco componentes del PBL propuesto.</w:t>
      </w:r>
    </w:p>
    <w:p w14:paraId="4BAEE309" w14:textId="193341D7" w:rsidR="008518CF" w:rsidRPr="008C36B0" w:rsidRDefault="008518CF" w:rsidP="00656B75">
      <w:pPr>
        <w:keepNext/>
        <w:jc w:val="center"/>
        <w:rPr>
          <w:sz w:val="22"/>
          <w:lang w:val="es-ES_tradnl"/>
        </w:rPr>
      </w:pPr>
      <w:r w:rsidRPr="008C36B0">
        <w:rPr>
          <w:sz w:val="22"/>
          <w:lang w:val="es-ES_tradnl"/>
        </w:rPr>
        <w:t xml:space="preserve">Cuadro </w:t>
      </w:r>
      <w:r w:rsidR="00FD2F82">
        <w:rPr>
          <w:sz w:val="22"/>
          <w:lang w:val="es-ES_tradnl"/>
        </w:rPr>
        <w:t>22</w:t>
      </w:r>
      <w:r w:rsidRPr="008C36B0">
        <w:rPr>
          <w:sz w:val="22"/>
          <w:lang w:val="es-ES_tradnl"/>
        </w:rPr>
        <w:t>- Resumen de la Evaluación Económica por Componente</w:t>
      </w:r>
    </w:p>
    <w:tbl>
      <w:tblPr>
        <w:tblStyle w:val="TableGrid"/>
        <w:tblW w:w="0" w:type="auto"/>
        <w:tblInd w:w="-72" w:type="dxa"/>
        <w:tblLayout w:type="fixed"/>
        <w:tblCellMar>
          <w:left w:w="115" w:type="dxa"/>
          <w:right w:w="115" w:type="dxa"/>
        </w:tblCellMar>
        <w:tblLook w:val="04A0" w:firstRow="1" w:lastRow="0" w:firstColumn="1" w:lastColumn="0" w:noHBand="0" w:noVBand="1"/>
      </w:tblPr>
      <w:tblGrid>
        <w:gridCol w:w="2977"/>
        <w:gridCol w:w="1890"/>
        <w:gridCol w:w="1620"/>
        <w:gridCol w:w="1350"/>
        <w:gridCol w:w="1091"/>
      </w:tblGrid>
      <w:tr w:rsidR="00862FDB" w:rsidRPr="008C36B0" w14:paraId="3DE61F5E" w14:textId="77777777" w:rsidTr="00862FDB">
        <w:tc>
          <w:tcPr>
            <w:tcW w:w="2977" w:type="dxa"/>
            <w:shd w:val="clear" w:color="auto" w:fill="E0E0E0"/>
          </w:tcPr>
          <w:p w14:paraId="0F48A4DE" w14:textId="77777777" w:rsidR="008518CF" w:rsidRPr="008C36B0" w:rsidRDefault="008518CF" w:rsidP="00656B75">
            <w:pPr>
              <w:keepNext/>
              <w:spacing w:before="0"/>
              <w:jc w:val="center"/>
              <w:rPr>
                <w:lang w:val="es-ES_tradnl"/>
              </w:rPr>
            </w:pPr>
            <w:r w:rsidRPr="008C36B0">
              <w:rPr>
                <w:lang w:val="es-ES_tradnl"/>
              </w:rPr>
              <w:t>Componente</w:t>
            </w:r>
          </w:p>
        </w:tc>
        <w:tc>
          <w:tcPr>
            <w:tcW w:w="1890" w:type="dxa"/>
            <w:shd w:val="clear" w:color="auto" w:fill="E0E0E0"/>
          </w:tcPr>
          <w:p w14:paraId="70E98EE5" w14:textId="77777777" w:rsidR="008518CF" w:rsidRPr="008C36B0" w:rsidRDefault="008518CF" w:rsidP="00656B75">
            <w:pPr>
              <w:keepNext/>
              <w:spacing w:before="0"/>
              <w:jc w:val="center"/>
              <w:rPr>
                <w:lang w:val="es-ES_tradnl"/>
              </w:rPr>
            </w:pPr>
            <w:r w:rsidRPr="008C36B0">
              <w:rPr>
                <w:lang w:val="es-ES_tradnl"/>
              </w:rPr>
              <w:t>VPN Beneficios M$</w:t>
            </w:r>
          </w:p>
        </w:tc>
        <w:tc>
          <w:tcPr>
            <w:tcW w:w="1620" w:type="dxa"/>
            <w:shd w:val="clear" w:color="auto" w:fill="E0E0E0"/>
          </w:tcPr>
          <w:p w14:paraId="4B1BD483" w14:textId="77777777" w:rsidR="008518CF" w:rsidRPr="008C36B0" w:rsidRDefault="008518CF" w:rsidP="00656B75">
            <w:pPr>
              <w:keepNext/>
              <w:spacing w:before="0"/>
              <w:jc w:val="center"/>
              <w:rPr>
                <w:lang w:val="es-ES_tradnl"/>
              </w:rPr>
            </w:pPr>
            <w:r w:rsidRPr="008C36B0">
              <w:rPr>
                <w:lang w:val="es-ES_tradnl"/>
              </w:rPr>
              <w:t>VPN Costos M$</w:t>
            </w:r>
          </w:p>
        </w:tc>
        <w:tc>
          <w:tcPr>
            <w:tcW w:w="1350" w:type="dxa"/>
            <w:shd w:val="clear" w:color="auto" w:fill="E0E0E0"/>
          </w:tcPr>
          <w:p w14:paraId="05B48008" w14:textId="77777777" w:rsidR="008518CF" w:rsidRPr="008C36B0" w:rsidRDefault="008518CF" w:rsidP="00656B75">
            <w:pPr>
              <w:keepNext/>
              <w:spacing w:before="0"/>
              <w:jc w:val="center"/>
              <w:rPr>
                <w:lang w:val="es-ES_tradnl"/>
              </w:rPr>
            </w:pPr>
            <w:r w:rsidRPr="008C36B0">
              <w:rPr>
                <w:lang w:val="es-ES_tradnl"/>
              </w:rPr>
              <w:t>Relación B/C</w:t>
            </w:r>
          </w:p>
        </w:tc>
        <w:tc>
          <w:tcPr>
            <w:tcW w:w="1091" w:type="dxa"/>
            <w:shd w:val="clear" w:color="auto" w:fill="E0E0E0"/>
          </w:tcPr>
          <w:p w14:paraId="78A06F98" w14:textId="77777777" w:rsidR="008518CF" w:rsidRPr="008C36B0" w:rsidRDefault="008518CF" w:rsidP="00656B75">
            <w:pPr>
              <w:keepNext/>
              <w:spacing w:before="0"/>
              <w:jc w:val="center"/>
              <w:rPr>
                <w:lang w:val="es-ES_tradnl"/>
              </w:rPr>
            </w:pPr>
            <w:r w:rsidRPr="008C36B0">
              <w:rPr>
                <w:lang w:val="es-ES_tradnl"/>
              </w:rPr>
              <w:t>TIR %</w:t>
            </w:r>
          </w:p>
        </w:tc>
      </w:tr>
      <w:tr w:rsidR="00862FDB" w:rsidRPr="008C36B0" w14:paraId="7AA4E9A2" w14:textId="77777777" w:rsidTr="00862FDB">
        <w:tc>
          <w:tcPr>
            <w:tcW w:w="2977" w:type="dxa"/>
          </w:tcPr>
          <w:p w14:paraId="404E2A72" w14:textId="5CDD3319" w:rsidR="008518CF" w:rsidRPr="008C36B0" w:rsidRDefault="00D34380" w:rsidP="00656B75">
            <w:pPr>
              <w:keepNext/>
              <w:spacing w:before="0"/>
              <w:rPr>
                <w:lang w:val="es-ES_tradnl"/>
              </w:rPr>
            </w:pPr>
            <w:r>
              <w:rPr>
                <w:lang w:val="es-ES_tradnl"/>
              </w:rPr>
              <w:t>Mejoras de Calidad de Servicio</w:t>
            </w:r>
          </w:p>
        </w:tc>
        <w:tc>
          <w:tcPr>
            <w:tcW w:w="1890" w:type="dxa"/>
            <w:vAlign w:val="center"/>
          </w:tcPr>
          <w:p w14:paraId="11BF3454" w14:textId="30BBC664" w:rsidR="008518CF" w:rsidRPr="008C36B0" w:rsidRDefault="003E592F" w:rsidP="00543EE5">
            <w:pPr>
              <w:keepNext/>
              <w:spacing w:before="0"/>
              <w:jc w:val="center"/>
              <w:rPr>
                <w:lang w:val="es-ES_tradnl"/>
              </w:rPr>
            </w:pPr>
            <w:r>
              <w:rPr>
                <w:lang w:val="es-ES_tradnl"/>
              </w:rPr>
              <w:t>16.2</w:t>
            </w:r>
          </w:p>
        </w:tc>
        <w:tc>
          <w:tcPr>
            <w:tcW w:w="1620" w:type="dxa"/>
            <w:vAlign w:val="center"/>
          </w:tcPr>
          <w:p w14:paraId="6F4736FB" w14:textId="2EB6B901" w:rsidR="008518CF" w:rsidRPr="008C36B0" w:rsidRDefault="00FD2F82" w:rsidP="003E592F">
            <w:pPr>
              <w:keepNext/>
              <w:spacing w:before="0"/>
              <w:jc w:val="center"/>
              <w:rPr>
                <w:lang w:val="es-ES_tradnl"/>
              </w:rPr>
            </w:pPr>
            <w:r>
              <w:rPr>
                <w:lang w:val="es-ES_tradnl"/>
              </w:rPr>
              <w:t>12.4</w:t>
            </w:r>
          </w:p>
        </w:tc>
        <w:tc>
          <w:tcPr>
            <w:tcW w:w="1350" w:type="dxa"/>
            <w:vAlign w:val="center"/>
          </w:tcPr>
          <w:p w14:paraId="1A152B6E" w14:textId="5106FA3A" w:rsidR="008518CF" w:rsidRPr="008C36B0" w:rsidRDefault="00FD2F82" w:rsidP="003E592F">
            <w:pPr>
              <w:keepNext/>
              <w:spacing w:before="0"/>
              <w:jc w:val="center"/>
              <w:rPr>
                <w:lang w:val="es-ES_tradnl"/>
              </w:rPr>
            </w:pPr>
            <w:r>
              <w:rPr>
                <w:lang w:val="es-ES_tradnl"/>
              </w:rPr>
              <w:t>1.</w:t>
            </w:r>
            <w:r w:rsidR="003E592F">
              <w:rPr>
                <w:lang w:val="es-ES_tradnl"/>
              </w:rPr>
              <w:t>31</w:t>
            </w:r>
          </w:p>
        </w:tc>
        <w:tc>
          <w:tcPr>
            <w:tcW w:w="1091" w:type="dxa"/>
            <w:vAlign w:val="center"/>
          </w:tcPr>
          <w:p w14:paraId="392FD255" w14:textId="450562D5" w:rsidR="008518CF" w:rsidRPr="008C36B0" w:rsidRDefault="003E592F" w:rsidP="003E592F">
            <w:pPr>
              <w:keepNext/>
              <w:spacing w:before="0"/>
              <w:jc w:val="center"/>
              <w:rPr>
                <w:lang w:val="es-ES_tradnl"/>
              </w:rPr>
            </w:pPr>
            <w:r>
              <w:rPr>
                <w:lang w:val="es-ES_tradnl"/>
              </w:rPr>
              <w:t>12</w:t>
            </w:r>
            <w:r w:rsidR="00FD2F82">
              <w:rPr>
                <w:lang w:val="es-ES_tradnl"/>
              </w:rPr>
              <w:t>%</w:t>
            </w:r>
          </w:p>
        </w:tc>
      </w:tr>
      <w:tr w:rsidR="00862FDB" w:rsidRPr="008C36B0" w14:paraId="396383D6" w14:textId="77777777" w:rsidTr="00862FDB">
        <w:tc>
          <w:tcPr>
            <w:tcW w:w="2977" w:type="dxa"/>
          </w:tcPr>
          <w:p w14:paraId="23A3D521" w14:textId="77777777" w:rsidR="008518CF" w:rsidRPr="008C36B0" w:rsidRDefault="0062233F" w:rsidP="00656B75">
            <w:pPr>
              <w:keepNext/>
              <w:spacing w:before="0"/>
              <w:ind w:right="205"/>
              <w:rPr>
                <w:lang w:val="es-ES_tradnl"/>
              </w:rPr>
            </w:pPr>
            <w:r w:rsidRPr="008C36B0">
              <w:rPr>
                <w:lang w:val="es-ES_tradnl"/>
              </w:rPr>
              <w:t>Ampliación de la Cobertura Eléctrica</w:t>
            </w:r>
          </w:p>
        </w:tc>
        <w:tc>
          <w:tcPr>
            <w:tcW w:w="1890" w:type="dxa"/>
            <w:vAlign w:val="center"/>
          </w:tcPr>
          <w:p w14:paraId="5F340E68" w14:textId="2064B141" w:rsidR="008518CF" w:rsidRPr="008C36B0" w:rsidRDefault="00D06CCC" w:rsidP="00652D41">
            <w:pPr>
              <w:keepNext/>
              <w:spacing w:before="0"/>
              <w:jc w:val="center"/>
              <w:rPr>
                <w:lang w:val="es-ES_tradnl"/>
              </w:rPr>
            </w:pPr>
            <w:r>
              <w:rPr>
                <w:lang w:val="es-ES_tradnl"/>
              </w:rPr>
              <w:t>618</w:t>
            </w:r>
          </w:p>
        </w:tc>
        <w:tc>
          <w:tcPr>
            <w:tcW w:w="1620" w:type="dxa"/>
            <w:vAlign w:val="center"/>
          </w:tcPr>
          <w:p w14:paraId="6B198731" w14:textId="2BF66F71" w:rsidR="008518CF" w:rsidRPr="008C36B0" w:rsidRDefault="00D06CCC" w:rsidP="00656B75">
            <w:pPr>
              <w:keepNext/>
              <w:spacing w:before="0"/>
              <w:jc w:val="center"/>
              <w:rPr>
                <w:lang w:val="es-ES_tradnl"/>
              </w:rPr>
            </w:pPr>
            <w:r>
              <w:rPr>
                <w:lang w:val="es-ES_tradnl"/>
              </w:rPr>
              <w:t>449</w:t>
            </w:r>
          </w:p>
        </w:tc>
        <w:tc>
          <w:tcPr>
            <w:tcW w:w="1350" w:type="dxa"/>
            <w:vAlign w:val="center"/>
          </w:tcPr>
          <w:p w14:paraId="4D6453B8" w14:textId="65D4D3EA" w:rsidR="008518CF" w:rsidRPr="008C36B0" w:rsidRDefault="0062233F" w:rsidP="003E592F">
            <w:pPr>
              <w:keepNext/>
              <w:spacing w:before="0"/>
              <w:jc w:val="center"/>
              <w:rPr>
                <w:lang w:val="es-ES_tradnl"/>
              </w:rPr>
            </w:pPr>
            <w:r w:rsidRPr="008C36B0">
              <w:rPr>
                <w:lang w:val="es-ES_tradnl"/>
              </w:rPr>
              <w:t>1.</w:t>
            </w:r>
            <w:r w:rsidR="003E592F">
              <w:rPr>
                <w:lang w:val="es-ES_tradnl"/>
              </w:rPr>
              <w:t>38</w:t>
            </w:r>
          </w:p>
        </w:tc>
        <w:tc>
          <w:tcPr>
            <w:tcW w:w="1091" w:type="dxa"/>
            <w:vAlign w:val="center"/>
          </w:tcPr>
          <w:p w14:paraId="1CEC897F" w14:textId="25773322" w:rsidR="008518CF" w:rsidRPr="008C36B0" w:rsidRDefault="00543EE5" w:rsidP="00D06CCC">
            <w:pPr>
              <w:keepNext/>
              <w:spacing w:before="0"/>
              <w:jc w:val="center"/>
              <w:rPr>
                <w:lang w:val="es-ES_tradnl"/>
              </w:rPr>
            </w:pPr>
            <w:r w:rsidRPr="008C36B0">
              <w:rPr>
                <w:lang w:val="es-ES_tradnl"/>
              </w:rPr>
              <w:t>5</w:t>
            </w:r>
            <w:r w:rsidR="00D06CCC">
              <w:rPr>
                <w:lang w:val="es-ES_tradnl"/>
              </w:rPr>
              <w:t>7</w:t>
            </w:r>
            <w:r w:rsidR="0062233F" w:rsidRPr="008C36B0">
              <w:rPr>
                <w:lang w:val="es-ES_tradnl"/>
              </w:rPr>
              <w:t>%</w:t>
            </w:r>
          </w:p>
        </w:tc>
      </w:tr>
      <w:tr w:rsidR="00862FDB" w:rsidRPr="008C36B0" w14:paraId="39176E38" w14:textId="77777777" w:rsidTr="00862FDB">
        <w:tc>
          <w:tcPr>
            <w:tcW w:w="2977" w:type="dxa"/>
          </w:tcPr>
          <w:p w14:paraId="39C57326" w14:textId="77777777" w:rsidR="008518CF" w:rsidRPr="008C36B0" w:rsidRDefault="0062233F" w:rsidP="00656B75">
            <w:pPr>
              <w:keepNext/>
              <w:spacing w:before="0"/>
              <w:rPr>
                <w:lang w:val="es-ES_tradnl"/>
              </w:rPr>
            </w:pPr>
            <w:r w:rsidRPr="008C36B0">
              <w:rPr>
                <w:lang w:val="es-ES_tradnl"/>
              </w:rPr>
              <w:t>Reducción de Pérdidas</w:t>
            </w:r>
          </w:p>
        </w:tc>
        <w:tc>
          <w:tcPr>
            <w:tcW w:w="1890" w:type="dxa"/>
            <w:vAlign w:val="center"/>
          </w:tcPr>
          <w:p w14:paraId="66DF3A71" w14:textId="0EE36B18" w:rsidR="008518CF" w:rsidRPr="008C36B0" w:rsidRDefault="00D06CCC" w:rsidP="00656B75">
            <w:pPr>
              <w:keepNext/>
              <w:spacing w:before="0"/>
              <w:jc w:val="center"/>
              <w:rPr>
                <w:lang w:val="es-ES_tradnl"/>
              </w:rPr>
            </w:pPr>
            <w:r>
              <w:rPr>
                <w:lang w:val="es-ES_tradnl"/>
              </w:rPr>
              <w:t>4</w:t>
            </w:r>
            <w:r w:rsidR="00543EE5" w:rsidRPr="008C36B0">
              <w:rPr>
                <w:lang w:val="es-ES_tradnl"/>
              </w:rPr>
              <w:t>9</w:t>
            </w:r>
          </w:p>
        </w:tc>
        <w:tc>
          <w:tcPr>
            <w:tcW w:w="1620" w:type="dxa"/>
            <w:vAlign w:val="center"/>
          </w:tcPr>
          <w:p w14:paraId="1CD1DF63" w14:textId="0B1D3D1A" w:rsidR="008518CF" w:rsidRPr="008C36B0" w:rsidRDefault="00543EE5" w:rsidP="00656B75">
            <w:pPr>
              <w:keepNext/>
              <w:spacing w:before="0"/>
              <w:jc w:val="center"/>
              <w:rPr>
                <w:lang w:val="es-ES_tradnl"/>
              </w:rPr>
            </w:pPr>
            <w:r w:rsidRPr="008C36B0">
              <w:rPr>
                <w:lang w:val="es-ES_tradnl"/>
              </w:rPr>
              <w:t>15</w:t>
            </w:r>
          </w:p>
        </w:tc>
        <w:tc>
          <w:tcPr>
            <w:tcW w:w="1350" w:type="dxa"/>
            <w:vAlign w:val="center"/>
          </w:tcPr>
          <w:p w14:paraId="3A73A6BE" w14:textId="1866F8A6" w:rsidR="008518CF" w:rsidRPr="008C36B0" w:rsidRDefault="00D06CCC" w:rsidP="00543EE5">
            <w:pPr>
              <w:keepNext/>
              <w:spacing w:before="0"/>
              <w:jc w:val="center"/>
              <w:rPr>
                <w:lang w:val="es-ES_tradnl"/>
              </w:rPr>
            </w:pPr>
            <w:r>
              <w:rPr>
                <w:lang w:val="es-ES_tradnl"/>
              </w:rPr>
              <w:t>3.2</w:t>
            </w:r>
          </w:p>
        </w:tc>
        <w:tc>
          <w:tcPr>
            <w:tcW w:w="1091" w:type="dxa"/>
            <w:vAlign w:val="center"/>
          </w:tcPr>
          <w:p w14:paraId="01D08F55" w14:textId="7BA00995" w:rsidR="008518CF" w:rsidRPr="008C36B0" w:rsidRDefault="00D06CCC" w:rsidP="00656B75">
            <w:pPr>
              <w:keepNext/>
              <w:spacing w:before="0"/>
              <w:jc w:val="center"/>
              <w:rPr>
                <w:lang w:val="es-ES_tradnl"/>
              </w:rPr>
            </w:pPr>
            <w:r>
              <w:rPr>
                <w:lang w:val="es-ES_tradnl"/>
              </w:rPr>
              <w:t>103</w:t>
            </w:r>
            <w:r w:rsidR="0062233F" w:rsidRPr="008C36B0">
              <w:rPr>
                <w:lang w:val="es-ES_tradnl"/>
              </w:rPr>
              <w:t>%</w:t>
            </w:r>
          </w:p>
        </w:tc>
      </w:tr>
      <w:tr w:rsidR="00862FDB" w:rsidRPr="008C36B0" w14:paraId="0BBFC8D0" w14:textId="77777777" w:rsidTr="00862FDB">
        <w:tc>
          <w:tcPr>
            <w:tcW w:w="2977" w:type="dxa"/>
          </w:tcPr>
          <w:p w14:paraId="52EC38FB" w14:textId="77777777" w:rsidR="008518CF" w:rsidRPr="008C36B0" w:rsidRDefault="0062233F" w:rsidP="00656B75">
            <w:pPr>
              <w:keepNext/>
              <w:spacing w:before="0"/>
              <w:rPr>
                <w:lang w:val="es-ES_tradnl"/>
              </w:rPr>
            </w:pPr>
            <w:r w:rsidRPr="008C36B0">
              <w:rPr>
                <w:lang w:val="es-ES_tradnl"/>
              </w:rPr>
              <w:t>Incentivo a la Energía Renovable</w:t>
            </w:r>
          </w:p>
        </w:tc>
        <w:tc>
          <w:tcPr>
            <w:tcW w:w="1890" w:type="dxa"/>
            <w:vAlign w:val="center"/>
          </w:tcPr>
          <w:p w14:paraId="4B52CF79" w14:textId="7A33D84D" w:rsidR="008518CF" w:rsidRPr="008C36B0" w:rsidRDefault="00D06CCC" w:rsidP="00656B75">
            <w:pPr>
              <w:keepNext/>
              <w:spacing w:before="0"/>
              <w:jc w:val="center"/>
              <w:rPr>
                <w:lang w:val="es-ES_tradnl"/>
              </w:rPr>
            </w:pPr>
            <w:r>
              <w:rPr>
                <w:lang w:val="es-ES_tradnl"/>
              </w:rPr>
              <w:t>1345</w:t>
            </w:r>
          </w:p>
        </w:tc>
        <w:tc>
          <w:tcPr>
            <w:tcW w:w="1620" w:type="dxa"/>
            <w:vAlign w:val="center"/>
          </w:tcPr>
          <w:p w14:paraId="42EE2A13" w14:textId="28683D87" w:rsidR="008518CF" w:rsidRPr="008C36B0" w:rsidRDefault="00D06CCC" w:rsidP="00D06CCC">
            <w:pPr>
              <w:keepNext/>
              <w:spacing w:before="0"/>
              <w:jc w:val="center"/>
              <w:rPr>
                <w:lang w:val="es-ES_tradnl"/>
              </w:rPr>
            </w:pPr>
            <w:r>
              <w:rPr>
                <w:lang w:val="es-ES_tradnl"/>
              </w:rPr>
              <w:t>1319</w:t>
            </w:r>
          </w:p>
        </w:tc>
        <w:tc>
          <w:tcPr>
            <w:tcW w:w="1350" w:type="dxa"/>
            <w:vAlign w:val="center"/>
          </w:tcPr>
          <w:p w14:paraId="45D101EE" w14:textId="474773F2" w:rsidR="008518CF" w:rsidRPr="008C36B0" w:rsidRDefault="00D06CCC" w:rsidP="00D06CCC">
            <w:pPr>
              <w:keepNext/>
              <w:spacing w:before="0"/>
              <w:jc w:val="center"/>
              <w:rPr>
                <w:lang w:val="es-ES_tradnl"/>
              </w:rPr>
            </w:pPr>
            <w:r>
              <w:rPr>
                <w:lang w:val="es-ES_tradnl"/>
              </w:rPr>
              <w:t>1.02</w:t>
            </w:r>
          </w:p>
        </w:tc>
        <w:tc>
          <w:tcPr>
            <w:tcW w:w="1091" w:type="dxa"/>
            <w:vAlign w:val="center"/>
          </w:tcPr>
          <w:p w14:paraId="7E43D7EE" w14:textId="4B01C9C4" w:rsidR="008518CF" w:rsidRPr="008C36B0" w:rsidRDefault="0062233F" w:rsidP="00D06CCC">
            <w:pPr>
              <w:keepNext/>
              <w:spacing w:before="0"/>
              <w:jc w:val="center"/>
              <w:rPr>
                <w:lang w:val="es-ES_tradnl"/>
              </w:rPr>
            </w:pPr>
            <w:r w:rsidRPr="008C36B0">
              <w:rPr>
                <w:lang w:val="es-ES_tradnl"/>
              </w:rPr>
              <w:t>1</w:t>
            </w:r>
            <w:r w:rsidR="00D06CCC">
              <w:rPr>
                <w:lang w:val="es-ES_tradnl"/>
              </w:rPr>
              <w:t>2</w:t>
            </w:r>
            <w:r w:rsidRPr="008C36B0">
              <w:rPr>
                <w:lang w:val="es-ES_tradnl"/>
              </w:rPr>
              <w:t>%</w:t>
            </w:r>
          </w:p>
        </w:tc>
      </w:tr>
      <w:tr w:rsidR="00862FDB" w:rsidRPr="008C36B0" w14:paraId="45473F51" w14:textId="77777777" w:rsidTr="00862FDB">
        <w:tc>
          <w:tcPr>
            <w:tcW w:w="2977" w:type="dxa"/>
          </w:tcPr>
          <w:p w14:paraId="57879712" w14:textId="77777777" w:rsidR="008518CF" w:rsidRPr="008C36B0" w:rsidRDefault="0062233F" w:rsidP="008518CF">
            <w:pPr>
              <w:spacing w:before="0"/>
              <w:rPr>
                <w:lang w:val="es-ES_tradnl"/>
              </w:rPr>
            </w:pPr>
            <w:r w:rsidRPr="008C36B0">
              <w:rPr>
                <w:lang w:val="es-ES_tradnl"/>
              </w:rPr>
              <w:t>Eficiencia Energética</w:t>
            </w:r>
          </w:p>
        </w:tc>
        <w:tc>
          <w:tcPr>
            <w:tcW w:w="1890" w:type="dxa"/>
            <w:vAlign w:val="center"/>
          </w:tcPr>
          <w:p w14:paraId="07BB80A2" w14:textId="77777777" w:rsidR="008518CF" w:rsidRPr="008C36B0" w:rsidRDefault="0062233F" w:rsidP="0062233F">
            <w:pPr>
              <w:spacing w:before="0"/>
              <w:jc w:val="center"/>
              <w:rPr>
                <w:lang w:val="es-ES_tradnl"/>
              </w:rPr>
            </w:pPr>
            <w:r w:rsidRPr="008C36B0">
              <w:rPr>
                <w:lang w:val="es-ES_tradnl"/>
              </w:rPr>
              <w:t>108</w:t>
            </w:r>
          </w:p>
        </w:tc>
        <w:tc>
          <w:tcPr>
            <w:tcW w:w="1620" w:type="dxa"/>
            <w:vAlign w:val="center"/>
          </w:tcPr>
          <w:p w14:paraId="3F427A54" w14:textId="77777777" w:rsidR="008518CF" w:rsidRPr="008C36B0" w:rsidRDefault="0062233F" w:rsidP="0062233F">
            <w:pPr>
              <w:spacing w:before="0"/>
              <w:jc w:val="center"/>
              <w:rPr>
                <w:lang w:val="es-ES_tradnl"/>
              </w:rPr>
            </w:pPr>
            <w:r w:rsidRPr="008C36B0">
              <w:rPr>
                <w:lang w:val="es-ES_tradnl"/>
              </w:rPr>
              <w:t>11.5</w:t>
            </w:r>
          </w:p>
        </w:tc>
        <w:tc>
          <w:tcPr>
            <w:tcW w:w="1350" w:type="dxa"/>
            <w:vAlign w:val="center"/>
          </w:tcPr>
          <w:p w14:paraId="745BBA2F" w14:textId="77777777" w:rsidR="008518CF" w:rsidRPr="008C36B0" w:rsidRDefault="0062233F" w:rsidP="0062233F">
            <w:pPr>
              <w:spacing w:before="0"/>
              <w:jc w:val="center"/>
              <w:rPr>
                <w:lang w:val="es-ES_tradnl"/>
              </w:rPr>
            </w:pPr>
            <w:r w:rsidRPr="008C36B0">
              <w:rPr>
                <w:lang w:val="es-ES_tradnl"/>
              </w:rPr>
              <w:t>9.3</w:t>
            </w:r>
          </w:p>
        </w:tc>
        <w:tc>
          <w:tcPr>
            <w:tcW w:w="1091" w:type="dxa"/>
            <w:vAlign w:val="center"/>
          </w:tcPr>
          <w:p w14:paraId="7E029CD3" w14:textId="77777777" w:rsidR="008518CF" w:rsidRPr="008C36B0" w:rsidRDefault="0062233F" w:rsidP="0062233F">
            <w:pPr>
              <w:spacing w:before="0"/>
              <w:jc w:val="center"/>
              <w:rPr>
                <w:lang w:val="es-ES_tradnl"/>
              </w:rPr>
            </w:pPr>
            <w:r w:rsidRPr="008C36B0">
              <w:rPr>
                <w:lang w:val="es-ES_tradnl"/>
              </w:rPr>
              <w:t>Indefinido</w:t>
            </w:r>
          </w:p>
        </w:tc>
      </w:tr>
    </w:tbl>
    <w:p w14:paraId="5954D938" w14:textId="77777777" w:rsidR="008518CF" w:rsidRDefault="008518CF" w:rsidP="00484C6C">
      <w:pPr>
        <w:rPr>
          <w:lang w:val="es-ES_tradnl"/>
        </w:rPr>
      </w:pPr>
    </w:p>
    <w:tbl>
      <w:tblPr>
        <w:tblStyle w:val="TableGrid"/>
        <w:tblW w:w="8190" w:type="dxa"/>
        <w:jc w:val="center"/>
        <w:tblLayout w:type="fixed"/>
        <w:tblLook w:val="04A0" w:firstRow="1" w:lastRow="0" w:firstColumn="1" w:lastColumn="0" w:noHBand="0" w:noVBand="1"/>
      </w:tblPr>
      <w:tblGrid>
        <w:gridCol w:w="1710"/>
        <w:gridCol w:w="810"/>
        <w:gridCol w:w="2070"/>
        <w:gridCol w:w="720"/>
        <w:gridCol w:w="2070"/>
        <w:gridCol w:w="810"/>
      </w:tblGrid>
      <w:tr w:rsidR="000B655B" w:rsidRPr="005E0AA3" w14:paraId="22A646CE" w14:textId="77777777" w:rsidTr="000B655B">
        <w:trPr>
          <w:trHeight w:val="332"/>
          <w:jc w:val="center"/>
        </w:trPr>
        <w:tc>
          <w:tcPr>
            <w:tcW w:w="8190" w:type="dxa"/>
            <w:gridSpan w:val="6"/>
            <w:vAlign w:val="center"/>
          </w:tcPr>
          <w:p w14:paraId="066D1AB5" w14:textId="77777777" w:rsidR="000B655B" w:rsidRPr="00DB0C5F" w:rsidRDefault="000B655B" w:rsidP="000B655B">
            <w:pPr>
              <w:pStyle w:val="Paragraph"/>
              <w:tabs>
                <w:tab w:val="clear" w:pos="720"/>
              </w:tabs>
              <w:spacing w:before="0" w:after="0"/>
              <w:ind w:left="0" w:firstLine="0"/>
              <w:jc w:val="center"/>
              <w:rPr>
                <w:b/>
                <w:lang w:val="es-ES_tradnl"/>
              </w:rPr>
            </w:pPr>
            <w:r>
              <w:rPr>
                <w:b/>
                <w:lang w:val="es-ES_tradnl"/>
              </w:rPr>
              <w:t>Resumen de Resultados del Análisis Costo-Beneficio</w:t>
            </w:r>
          </w:p>
        </w:tc>
      </w:tr>
      <w:tr w:rsidR="000B655B" w:rsidRPr="005E0AA3" w14:paraId="27FF3B9E" w14:textId="77777777" w:rsidTr="000B655B">
        <w:trPr>
          <w:jc w:val="center"/>
        </w:trPr>
        <w:tc>
          <w:tcPr>
            <w:tcW w:w="1710" w:type="dxa"/>
            <w:vMerge w:val="restart"/>
            <w:vAlign w:val="center"/>
          </w:tcPr>
          <w:p w14:paraId="5FF71763" w14:textId="77777777" w:rsidR="000B655B" w:rsidRPr="00DB0C5F" w:rsidRDefault="000B655B" w:rsidP="000B655B">
            <w:pPr>
              <w:pStyle w:val="Paragraph"/>
              <w:tabs>
                <w:tab w:val="clear" w:pos="720"/>
              </w:tabs>
              <w:spacing w:before="0" w:after="0"/>
              <w:ind w:left="0" w:firstLine="0"/>
              <w:jc w:val="center"/>
              <w:rPr>
                <w:b/>
                <w:lang w:val="es-ES_tradnl"/>
              </w:rPr>
            </w:pPr>
            <w:r w:rsidRPr="00DB0C5F">
              <w:rPr>
                <w:b/>
                <w:lang w:val="es-ES_tradnl"/>
              </w:rPr>
              <w:t>Acción analizada</w:t>
            </w:r>
          </w:p>
        </w:tc>
        <w:tc>
          <w:tcPr>
            <w:tcW w:w="810" w:type="dxa"/>
            <w:vMerge w:val="restart"/>
            <w:vAlign w:val="center"/>
          </w:tcPr>
          <w:p w14:paraId="254926E7" w14:textId="77777777" w:rsidR="000B655B" w:rsidRPr="00DB0C5F" w:rsidRDefault="000B655B" w:rsidP="000B655B">
            <w:pPr>
              <w:pStyle w:val="Paragraph"/>
              <w:tabs>
                <w:tab w:val="clear" w:pos="720"/>
              </w:tabs>
              <w:spacing w:before="0" w:after="0"/>
              <w:ind w:left="0" w:firstLine="0"/>
              <w:jc w:val="center"/>
              <w:rPr>
                <w:b/>
                <w:lang w:val="es-ES_tradnl"/>
              </w:rPr>
            </w:pPr>
            <w:r w:rsidRPr="00DB0C5F">
              <w:rPr>
                <w:b/>
                <w:lang w:val="es-ES_tradnl"/>
              </w:rPr>
              <w:t>TIRE</w:t>
            </w:r>
          </w:p>
        </w:tc>
        <w:tc>
          <w:tcPr>
            <w:tcW w:w="5670" w:type="dxa"/>
            <w:gridSpan w:val="4"/>
          </w:tcPr>
          <w:p w14:paraId="02664204" w14:textId="77777777" w:rsidR="000B655B" w:rsidRPr="00DB0C5F" w:rsidRDefault="000B655B" w:rsidP="000B655B">
            <w:pPr>
              <w:pStyle w:val="Paragraph"/>
              <w:tabs>
                <w:tab w:val="clear" w:pos="720"/>
              </w:tabs>
              <w:spacing w:before="0" w:after="0"/>
              <w:ind w:left="0" w:firstLine="0"/>
              <w:jc w:val="center"/>
              <w:rPr>
                <w:b/>
                <w:lang w:val="es-ES_tradnl"/>
              </w:rPr>
            </w:pPr>
            <w:r w:rsidRPr="00DB0C5F">
              <w:rPr>
                <w:b/>
                <w:lang w:val="es-ES_tradnl"/>
              </w:rPr>
              <w:t>Análisis de sensibilidad</w:t>
            </w:r>
          </w:p>
        </w:tc>
      </w:tr>
      <w:tr w:rsidR="000B655B" w:rsidRPr="005E0AA3" w14:paraId="0A2D6D90" w14:textId="77777777" w:rsidTr="000B655B">
        <w:trPr>
          <w:jc w:val="center"/>
        </w:trPr>
        <w:tc>
          <w:tcPr>
            <w:tcW w:w="1710" w:type="dxa"/>
            <w:vMerge/>
          </w:tcPr>
          <w:p w14:paraId="059EDDAB" w14:textId="77777777" w:rsidR="000B655B" w:rsidRDefault="000B655B" w:rsidP="000B655B">
            <w:pPr>
              <w:pStyle w:val="Paragraph"/>
              <w:tabs>
                <w:tab w:val="clear" w:pos="720"/>
              </w:tabs>
              <w:spacing w:before="0" w:after="0"/>
              <w:ind w:left="0" w:firstLine="0"/>
              <w:rPr>
                <w:lang w:val="es-ES_tradnl"/>
              </w:rPr>
            </w:pPr>
          </w:p>
        </w:tc>
        <w:tc>
          <w:tcPr>
            <w:tcW w:w="810" w:type="dxa"/>
            <w:vMerge/>
          </w:tcPr>
          <w:p w14:paraId="3AAA9541" w14:textId="77777777" w:rsidR="000B655B" w:rsidRDefault="000B655B" w:rsidP="000B655B">
            <w:pPr>
              <w:pStyle w:val="Paragraph"/>
              <w:tabs>
                <w:tab w:val="clear" w:pos="720"/>
              </w:tabs>
              <w:spacing w:before="0" w:after="0"/>
              <w:ind w:left="0" w:firstLine="0"/>
              <w:jc w:val="center"/>
              <w:rPr>
                <w:lang w:val="es-ES_tradnl"/>
              </w:rPr>
            </w:pPr>
          </w:p>
        </w:tc>
        <w:tc>
          <w:tcPr>
            <w:tcW w:w="2070" w:type="dxa"/>
          </w:tcPr>
          <w:p w14:paraId="3D2CB7EE" w14:textId="77777777" w:rsidR="000B655B" w:rsidRPr="00DB0C5F" w:rsidRDefault="000B655B" w:rsidP="000B655B">
            <w:pPr>
              <w:pStyle w:val="Paragraph"/>
              <w:tabs>
                <w:tab w:val="clear" w:pos="720"/>
              </w:tabs>
              <w:spacing w:before="0" w:after="0"/>
              <w:ind w:left="0" w:firstLine="0"/>
              <w:jc w:val="center"/>
              <w:rPr>
                <w:b/>
                <w:lang w:val="es-ES_tradnl"/>
              </w:rPr>
            </w:pPr>
            <w:r w:rsidRPr="00DB0C5F">
              <w:rPr>
                <w:b/>
                <w:lang w:val="es-ES_tradnl"/>
              </w:rPr>
              <w:t>Variable</w:t>
            </w:r>
          </w:p>
        </w:tc>
        <w:tc>
          <w:tcPr>
            <w:tcW w:w="720" w:type="dxa"/>
          </w:tcPr>
          <w:p w14:paraId="7798ECB7" w14:textId="77777777" w:rsidR="000B655B" w:rsidRPr="00DB0C5F" w:rsidRDefault="000B655B" w:rsidP="000B655B">
            <w:pPr>
              <w:pStyle w:val="Paragraph"/>
              <w:tabs>
                <w:tab w:val="clear" w:pos="720"/>
              </w:tabs>
              <w:spacing w:before="0" w:after="0"/>
              <w:ind w:left="0" w:firstLine="0"/>
              <w:jc w:val="center"/>
              <w:rPr>
                <w:b/>
                <w:lang w:val="es-ES_tradnl"/>
              </w:rPr>
            </w:pPr>
            <w:r w:rsidRPr="00DB0C5F">
              <w:rPr>
                <w:b/>
                <w:lang w:val="es-ES_tradnl"/>
              </w:rPr>
              <w:t>TIRE</w:t>
            </w:r>
          </w:p>
        </w:tc>
        <w:tc>
          <w:tcPr>
            <w:tcW w:w="2070" w:type="dxa"/>
          </w:tcPr>
          <w:p w14:paraId="40BE1EB8" w14:textId="77777777" w:rsidR="000B655B" w:rsidRPr="00DB0C5F" w:rsidRDefault="000B655B" w:rsidP="000B655B">
            <w:pPr>
              <w:pStyle w:val="Paragraph"/>
              <w:tabs>
                <w:tab w:val="clear" w:pos="720"/>
              </w:tabs>
              <w:spacing w:before="0" w:after="0"/>
              <w:ind w:left="0" w:firstLine="0"/>
              <w:jc w:val="center"/>
              <w:rPr>
                <w:b/>
                <w:lang w:val="es-ES_tradnl"/>
              </w:rPr>
            </w:pPr>
            <w:r w:rsidRPr="00DB0C5F">
              <w:rPr>
                <w:b/>
                <w:lang w:val="es-ES_tradnl"/>
              </w:rPr>
              <w:t>Variable</w:t>
            </w:r>
          </w:p>
        </w:tc>
        <w:tc>
          <w:tcPr>
            <w:tcW w:w="810" w:type="dxa"/>
          </w:tcPr>
          <w:p w14:paraId="58AD4498" w14:textId="77777777" w:rsidR="000B655B" w:rsidRPr="00DB0C5F" w:rsidRDefault="000B655B" w:rsidP="000B655B">
            <w:pPr>
              <w:pStyle w:val="Paragraph"/>
              <w:tabs>
                <w:tab w:val="clear" w:pos="720"/>
              </w:tabs>
              <w:spacing w:before="0" w:after="0"/>
              <w:ind w:left="0" w:firstLine="0"/>
              <w:jc w:val="center"/>
              <w:rPr>
                <w:b/>
                <w:lang w:val="es-ES_tradnl"/>
              </w:rPr>
            </w:pPr>
            <w:r w:rsidRPr="00DB0C5F">
              <w:rPr>
                <w:b/>
                <w:lang w:val="es-ES_tradnl"/>
              </w:rPr>
              <w:t>TIRE</w:t>
            </w:r>
          </w:p>
        </w:tc>
      </w:tr>
      <w:tr w:rsidR="000B655B" w:rsidRPr="005E0AA3" w14:paraId="58FA7E45" w14:textId="77777777" w:rsidTr="000B655B">
        <w:trPr>
          <w:jc w:val="center"/>
        </w:trPr>
        <w:tc>
          <w:tcPr>
            <w:tcW w:w="1710" w:type="dxa"/>
          </w:tcPr>
          <w:p w14:paraId="0BD0E7D6" w14:textId="77777777" w:rsidR="000B655B" w:rsidRPr="005E0AA3" w:rsidRDefault="000B655B" w:rsidP="009A2080">
            <w:pPr>
              <w:pStyle w:val="Paragraph"/>
              <w:tabs>
                <w:tab w:val="clear" w:pos="720"/>
              </w:tabs>
              <w:spacing w:before="0" w:after="0"/>
              <w:ind w:left="0" w:firstLine="0"/>
              <w:jc w:val="left"/>
              <w:rPr>
                <w:lang w:val="es-ES_tradnl"/>
              </w:rPr>
            </w:pPr>
            <w:r>
              <w:rPr>
                <w:lang w:val="es-ES_tradnl"/>
              </w:rPr>
              <w:t>Mejora de la calidad del servicio</w:t>
            </w:r>
          </w:p>
        </w:tc>
        <w:tc>
          <w:tcPr>
            <w:tcW w:w="810" w:type="dxa"/>
          </w:tcPr>
          <w:p w14:paraId="685AAAE5" w14:textId="2901D33F" w:rsidR="000B655B" w:rsidRPr="005E0AA3" w:rsidRDefault="0075556B" w:rsidP="0075556B">
            <w:pPr>
              <w:pStyle w:val="Paragraph"/>
              <w:tabs>
                <w:tab w:val="clear" w:pos="720"/>
              </w:tabs>
              <w:spacing w:before="0" w:after="0"/>
              <w:ind w:left="0" w:firstLine="0"/>
              <w:jc w:val="center"/>
              <w:rPr>
                <w:lang w:val="es-ES_tradnl"/>
              </w:rPr>
            </w:pPr>
            <w:r>
              <w:rPr>
                <w:lang w:val="es-ES_tradnl"/>
              </w:rPr>
              <w:t>12</w:t>
            </w:r>
            <w:r w:rsidR="000B655B">
              <w:rPr>
                <w:lang w:val="es-ES_tradnl"/>
              </w:rPr>
              <w:t>%</w:t>
            </w:r>
          </w:p>
        </w:tc>
        <w:tc>
          <w:tcPr>
            <w:tcW w:w="2070" w:type="dxa"/>
          </w:tcPr>
          <w:p w14:paraId="795B0F32" w14:textId="75FCFFCE" w:rsidR="000B655B" w:rsidRPr="005E0AA3" w:rsidRDefault="0075556B" w:rsidP="0075556B">
            <w:pPr>
              <w:pStyle w:val="Paragraph"/>
              <w:tabs>
                <w:tab w:val="clear" w:pos="720"/>
              </w:tabs>
              <w:spacing w:before="0" w:after="0"/>
              <w:ind w:left="0" w:firstLine="0"/>
              <w:jc w:val="left"/>
              <w:rPr>
                <w:lang w:val="es-ES_tradnl"/>
              </w:rPr>
            </w:pPr>
            <w:r>
              <w:rPr>
                <w:lang w:val="es-ES_tradnl"/>
              </w:rPr>
              <w:t>Menor E</w:t>
            </w:r>
            <w:r w:rsidR="000B655B">
              <w:rPr>
                <w:lang w:val="es-ES_tradnl"/>
              </w:rPr>
              <w:t xml:space="preserve">nergía no Suministrada (ENS) </w:t>
            </w:r>
            <w:r>
              <w:rPr>
                <w:lang w:val="es-ES_tradnl"/>
              </w:rPr>
              <w:t>(-10%)</w:t>
            </w:r>
          </w:p>
        </w:tc>
        <w:tc>
          <w:tcPr>
            <w:tcW w:w="720" w:type="dxa"/>
          </w:tcPr>
          <w:p w14:paraId="3562E29B" w14:textId="29C04E3A" w:rsidR="000B655B" w:rsidRPr="005E0AA3" w:rsidRDefault="0075556B" w:rsidP="000B655B">
            <w:pPr>
              <w:pStyle w:val="Paragraph"/>
              <w:tabs>
                <w:tab w:val="clear" w:pos="720"/>
              </w:tabs>
              <w:spacing w:before="0" w:after="0"/>
              <w:ind w:left="0" w:firstLine="0"/>
              <w:jc w:val="center"/>
              <w:rPr>
                <w:lang w:val="es-ES_tradnl"/>
              </w:rPr>
            </w:pPr>
            <w:r>
              <w:rPr>
                <w:lang w:val="es-ES_tradnl"/>
              </w:rPr>
              <w:t>15</w:t>
            </w:r>
            <w:r w:rsidR="000B655B">
              <w:rPr>
                <w:lang w:val="es-ES_tradnl"/>
              </w:rPr>
              <w:t>%</w:t>
            </w:r>
          </w:p>
        </w:tc>
        <w:tc>
          <w:tcPr>
            <w:tcW w:w="2070" w:type="dxa"/>
          </w:tcPr>
          <w:p w14:paraId="2D9C2E73" w14:textId="5D7774A0" w:rsidR="000B655B" w:rsidRPr="005E0AA3" w:rsidRDefault="0075556B" w:rsidP="0075556B">
            <w:pPr>
              <w:pStyle w:val="Paragraph"/>
              <w:tabs>
                <w:tab w:val="clear" w:pos="720"/>
              </w:tabs>
              <w:spacing w:before="0" w:after="0"/>
              <w:ind w:left="0" w:firstLine="0"/>
              <w:jc w:val="left"/>
              <w:rPr>
                <w:lang w:val="es-ES_tradnl"/>
              </w:rPr>
            </w:pPr>
            <w:r>
              <w:rPr>
                <w:lang w:val="es-ES_tradnl"/>
              </w:rPr>
              <w:t xml:space="preserve">Menor Valor Monetario </w:t>
            </w:r>
            <w:r w:rsidR="000B655B">
              <w:rPr>
                <w:lang w:val="es-ES_tradnl"/>
              </w:rPr>
              <w:t xml:space="preserve">de la Energía no Suministrada (ENS) </w:t>
            </w:r>
            <w:r>
              <w:rPr>
                <w:lang w:val="es-ES_tradnl"/>
              </w:rPr>
              <w:t>(-20%)</w:t>
            </w:r>
          </w:p>
        </w:tc>
        <w:tc>
          <w:tcPr>
            <w:tcW w:w="810" w:type="dxa"/>
          </w:tcPr>
          <w:p w14:paraId="5BAEB8F5" w14:textId="12911F85" w:rsidR="000B655B" w:rsidRPr="005E0AA3" w:rsidRDefault="0075556B" w:rsidP="0075556B">
            <w:pPr>
              <w:pStyle w:val="Paragraph"/>
              <w:tabs>
                <w:tab w:val="clear" w:pos="720"/>
              </w:tabs>
              <w:spacing w:before="0" w:after="0"/>
              <w:ind w:left="0" w:firstLine="0"/>
              <w:jc w:val="center"/>
              <w:rPr>
                <w:lang w:val="es-ES_tradnl"/>
              </w:rPr>
            </w:pPr>
            <w:r>
              <w:rPr>
                <w:lang w:val="es-ES_tradnl"/>
              </w:rPr>
              <w:t>5.5</w:t>
            </w:r>
            <w:r w:rsidR="000B655B">
              <w:rPr>
                <w:lang w:val="es-ES_tradnl"/>
              </w:rPr>
              <w:t>%</w:t>
            </w:r>
          </w:p>
        </w:tc>
      </w:tr>
      <w:tr w:rsidR="000B655B" w:rsidRPr="005E0AA3" w14:paraId="3A9F0906" w14:textId="77777777" w:rsidTr="000B655B">
        <w:trPr>
          <w:jc w:val="center"/>
        </w:trPr>
        <w:tc>
          <w:tcPr>
            <w:tcW w:w="1710" w:type="dxa"/>
          </w:tcPr>
          <w:p w14:paraId="1CCB1328" w14:textId="77777777" w:rsidR="000B655B" w:rsidRPr="005E0AA3" w:rsidRDefault="000B655B" w:rsidP="009A2080">
            <w:pPr>
              <w:pStyle w:val="Paragraph"/>
              <w:tabs>
                <w:tab w:val="clear" w:pos="720"/>
              </w:tabs>
              <w:spacing w:before="0" w:after="0"/>
              <w:ind w:left="0" w:firstLine="0"/>
              <w:rPr>
                <w:lang w:val="es-ES_tradnl"/>
              </w:rPr>
            </w:pPr>
            <w:r>
              <w:rPr>
                <w:lang w:val="es-ES_tradnl"/>
              </w:rPr>
              <w:t>Aumento de la cobertura eléctrica</w:t>
            </w:r>
          </w:p>
        </w:tc>
        <w:tc>
          <w:tcPr>
            <w:tcW w:w="810" w:type="dxa"/>
          </w:tcPr>
          <w:p w14:paraId="35AAA333" w14:textId="77777777" w:rsidR="000B655B" w:rsidRPr="005E0AA3" w:rsidRDefault="000B655B" w:rsidP="000B655B">
            <w:pPr>
              <w:pStyle w:val="Paragraph"/>
              <w:tabs>
                <w:tab w:val="clear" w:pos="720"/>
              </w:tabs>
              <w:spacing w:before="0" w:after="0"/>
              <w:ind w:left="0" w:firstLine="0"/>
              <w:jc w:val="center"/>
              <w:rPr>
                <w:lang w:val="es-ES_tradnl"/>
              </w:rPr>
            </w:pPr>
            <w:r>
              <w:rPr>
                <w:lang w:val="es-ES_tradnl"/>
              </w:rPr>
              <w:t>57%</w:t>
            </w:r>
          </w:p>
        </w:tc>
        <w:tc>
          <w:tcPr>
            <w:tcW w:w="2070" w:type="dxa"/>
          </w:tcPr>
          <w:p w14:paraId="6E43A1CF" w14:textId="479341BC" w:rsidR="000B655B" w:rsidRPr="005E0AA3" w:rsidRDefault="0075556B" w:rsidP="0075556B">
            <w:pPr>
              <w:pStyle w:val="Paragraph"/>
              <w:tabs>
                <w:tab w:val="clear" w:pos="720"/>
              </w:tabs>
              <w:spacing w:before="0" w:after="0"/>
              <w:ind w:left="0" w:firstLine="0"/>
              <w:jc w:val="left"/>
              <w:rPr>
                <w:lang w:val="es-ES_tradnl"/>
              </w:rPr>
            </w:pPr>
            <w:r>
              <w:rPr>
                <w:lang w:val="es-ES_tradnl"/>
              </w:rPr>
              <w:t>Menor Voluntad de Pago (-38%)</w:t>
            </w:r>
          </w:p>
        </w:tc>
        <w:tc>
          <w:tcPr>
            <w:tcW w:w="720" w:type="dxa"/>
          </w:tcPr>
          <w:p w14:paraId="33A36A93" w14:textId="77CEAF04" w:rsidR="000B655B" w:rsidRPr="005E0AA3" w:rsidRDefault="0075556B" w:rsidP="000B655B">
            <w:pPr>
              <w:pStyle w:val="Paragraph"/>
              <w:tabs>
                <w:tab w:val="clear" w:pos="720"/>
              </w:tabs>
              <w:spacing w:before="0" w:after="0"/>
              <w:ind w:left="0" w:firstLine="0"/>
              <w:jc w:val="center"/>
              <w:rPr>
                <w:lang w:val="es-ES_tradnl"/>
              </w:rPr>
            </w:pPr>
            <w:r>
              <w:rPr>
                <w:lang w:val="es-ES_tradnl"/>
              </w:rPr>
              <w:t>8</w:t>
            </w:r>
            <w:r w:rsidR="000B655B">
              <w:rPr>
                <w:lang w:val="es-ES_tradnl"/>
              </w:rPr>
              <w:t>%</w:t>
            </w:r>
          </w:p>
        </w:tc>
        <w:tc>
          <w:tcPr>
            <w:tcW w:w="2070" w:type="dxa"/>
          </w:tcPr>
          <w:p w14:paraId="1F3C644B" w14:textId="77777777" w:rsidR="000B655B" w:rsidRPr="005E0AA3" w:rsidRDefault="000B655B" w:rsidP="000B655B">
            <w:pPr>
              <w:pStyle w:val="Paragraph"/>
              <w:tabs>
                <w:tab w:val="clear" w:pos="720"/>
              </w:tabs>
              <w:spacing w:before="0" w:after="0"/>
              <w:ind w:left="0" w:firstLine="0"/>
              <w:jc w:val="left"/>
              <w:rPr>
                <w:lang w:val="es-ES_tradnl"/>
              </w:rPr>
            </w:pPr>
            <w:r>
              <w:rPr>
                <w:lang w:val="es-ES_tradnl"/>
              </w:rPr>
              <w:t xml:space="preserve">Incremento del 25% en los costos de </w:t>
            </w:r>
            <w:r>
              <w:rPr>
                <w:lang w:val="es-ES_tradnl"/>
              </w:rPr>
              <w:lastRenderedPageBreak/>
              <w:t>conexión por usuario</w:t>
            </w:r>
          </w:p>
        </w:tc>
        <w:tc>
          <w:tcPr>
            <w:tcW w:w="810" w:type="dxa"/>
          </w:tcPr>
          <w:p w14:paraId="6AE05162" w14:textId="296A2745" w:rsidR="000B655B" w:rsidRPr="005E0AA3" w:rsidRDefault="0075556B" w:rsidP="000B655B">
            <w:pPr>
              <w:pStyle w:val="Paragraph"/>
              <w:tabs>
                <w:tab w:val="clear" w:pos="720"/>
              </w:tabs>
              <w:spacing w:before="0" w:after="0"/>
              <w:ind w:left="0" w:firstLine="0"/>
              <w:jc w:val="center"/>
              <w:rPr>
                <w:lang w:val="es-ES_tradnl"/>
              </w:rPr>
            </w:pPr>
            <w:r>
              <w:rPr>
                <w:lang w:val="es-ES_tradnl"/>
              </w:rPr>
              <w:lastRenderedPageBreak/>
              <w:t>39</w:t>
            </w:r>
            <w:r w:rsidR="000B655B">
              <w:rPr>
                <w:lang w:val="es-ES_tradnl"/>
              </w:rPr>
              <w:t>%</w:t>
            </w:r>
          </w:p>
        </w:tc>
      </w:tr>
      <w:tr w:rsidR="000B655B" w:rsidRPr="005E0AA3" w14:paraId="2F5576C0" w14:textId="77777777" w:rsidTr="000B655B">
        <w:trPr>
          <w:jc w:val="center"/>
        </w:trPr>
        <w:tc>
          <w:tcPr>
            <w:tcW w:w="1710" w:type="dxa"/>
          </w:tcPr>
          <w:p w14:paraId="0229FEBB" w14:textId="77777777" w:rsidR="000B655B" w:rsidRPr="005E0AA3" w:rsidRDefault="000B655B" w:rsidP="009A2080">
            <w:pPr>
              <w:pStyle w:val="Paragraph"/>
              <w:tabs>
                <w:tab w:val="clear" w:pos="720"/>
              </w:tabs>
              <w:spacing w:before="0" w:after="0"/>
              <w:ind w:left="0" w:firstLine="0"/>
              <w:jc w:val="left"/>
              <w:rPr>
                <w:lang w:val="es-ES_tradnl"/>
              </w:rPr>
            </w:pPr>
            <w:r>
              <w:rPr>
                <w:lang w:val="es-ES_tradnl"/>
              </w:rPr>
              <w:t>Acciones para la reducción de pérdidas</w:t>
            </w:r>
          </w:p>
        </w:tc>
        <w:tc>
          <w:tcPr>
            <w:tcW w:w="810" w:type="dxa"/>
          </w:tcPr>
          <w:p w14:paraId="201DED5B" w14:textId="77777777" w:rsidR="000B655B" w:rsidRPr="005E0AA3" w:rsidRDefault="000B655B" w:rsidP="000B655B">
            <w:pPr>
              <w:pStyle w:val="Paragraph"/>
              <w:tabs>
                <w:tab w:val="clear" w:pos="720"/>
              </w:tabs>
              <w:spacing w:before="0" w:after="0"/>
              <w:ind w:left="0" w:firstLine="0"/>
              <w:jc w:val="center"/>
              <w:rPr>
                <w:lang w:val="es-ES_tradnl"/>
              </w:rPr>
            </w:pPr>
            <w:r>
              <w:rPr>
                <w:lang w:val="es-ES_tradnl"/>
              </w:rPr>
              <w:t>103%</w:t>
            </w:r>
          </w:p>
        </w:tc>
        <w:tc>
          <w:tcPr>
            <w:tcW w:w="2070" w:type="dxa"/>
          </w:tcPr>
          <w:p w14:paraId="37276FFD" w14:textId="322111CC" w:rsidR="000B655B" w:rsidRPr="005E0AA3" w:rsidRDefault="000B655B" w:rsidP="000B655B">
            <w:pPr>
              <w:pStyle w:val="Paragraph"/>
              <w:tabs>
                <w:tab w:val="clear" w:pos="720"/>
              </w:tabs>
              <w:spacing w:before="0" w:after="0"/>
              <w:ind w:left="0" w:firstLine="0"/>
              <w:jc w:val="left"/>
              <w:rPr>
                <w:lang w:val="es-ES_tradnl"/>
              </w:rPr>
            </w:pPr>
            <w:r>
              <w:rPr>
                <w:lang w:val="es-ES_tradnl"/>
              </w:rPr>
              <w:t xml:space="preserve">Usuarios </w:t>
            </w:r>
            <w:r w:rsidR="0075556B">
              <w:rPr>
                <w:lang w:val="es-ES_tradnl"/>
              </w:rPr>
              <w:t xml:space="preserve">25% </w:t>
            </w:r>
            <w:r>
              <w:rPr>
                <w:lang w:val="es-ES_tradnl"/>
              </w:rPr>
              <w:t>menos sensibles a las variaciones de los precios</w:t>
            </w:r>
          </w:p>
        </w:tc>
        <w:tc>
          <w:tcPr>
            <w:tcW w:w="720" w:type="dxa"/>
          </w:tcPr>
          <w:p w14:paraId="7F0002AA" w14:textId="5C1B04F6" w:rsidR="000B655B" w:rsidRPr="005E0AA3" w:rsidRDefault="0075556B" w:rsidP="000B655B">
            <w:pPr>
              <w:pStyle w:val="Paragraph"/>
              <w:tabs>
                <w:tab w:val="clear" w:pos="720"/>
              </w:tabs>
              <w:spacing w:before="0" w:after="0"/>
              <w:ind w:left="0" w:firstLine="0"/>
              <w:jc w:val="center"/>
              <w:rPr>
                <w:lang w:val="es-ES_tradnl"/>
              </w:rPr>
            </w:pPr>
            <w:r>
              <w:rPr>
                <w:lang w:val="es-ES_tradnl"/>
              </w:rPr>
              <w:t>47</w:t>
            </w:r>
            <w:r w:rsidR="000B655B">
              <w:rPr>
                <w:lang w:val="es-ES_tradnl"/>
              </w:rPr>
              <w:t>%</w:t>
            </w:r>
          </w:p>
        </w:tc>
        <w:tc>
          <w:tcPr>
            <w:tcW w:w="2070" w:type="dxa"/>
          </w:tcPr>
          <w:p w14:paraId="3E733815" w14:textId="215F990D" w:rsidR="000B655B" w:rsidRPr="005E0AA3" w:rsidRDefault="009A2080" w:rsidP="009A2080">
            <w:pPr>
              <w:pStyle w:val="Paragraph"/>
              <w:tabs>
                <w:tab w:val="clear" w:pos="720"/>
              </w:tabs>
              <w:spacing w:before="0" w:after="0"/>
              <w:ind w:left="0" w:firstLine="0"/>
              <w:jc w:val="left"/>
              <w:rPr>
                <w:lang w:val="es-ES_tradnl"/>
              </w:rPr>
            </w:pPr>
            <w:r>
              <w:rPr>
                <w:lang w:val="es-ES_tradnl"/>
              </w:rPr>
              <w:t>Menor voluntad de pago relativa a la tarifa</w:t>
            </w:r>
          </w:p>
        </w:tc>
        <w:tc>
          <w:tcPr>
            <w:tcW w:w="810" w:type="dxa"/>
          </w:tcPr>
          <w:p w14:paraId="653B4F13" w14:textId="0FB4EFA9" w:rsidR="000B655B" w:rsidRPr="005E0AA3" w:rsidRDefault="009A2080" w:rsidP="000B655B">
            <w:pPr>
              <w:pStyle w:val="Paragraph"/>
              <w:tabs>
                <w:tab w:val="clear" w:pos="720"/>
              </w:tabs>
              <w:spacing w:before="0" w:after="0"/>
              <w:ind w:left="0" w:firstLine="0"/>
              <w:jc w:val="center"/>
              <w:rPr>
                <w:lang w:val="es-ES_tradnl"/>
              </w:rPr>
            </w:pPr>
            <w:r>
              <w:rPr>
                <w:lang w:val="es-ES_tradnl"/>
              </w:rPr>
              <w:t>20</w:t>
            </w:r>
            <w:r w:rsidR="000B655B">
              <w:rPr>
                <w:lang w:val="es-ES_tradnl"/>
              </w:rPr>
              <w:t>%</w:t>
            </w:r>
          </w:p>
        </w:tc>
      </w:tr>
      <w:tr w:rsidR="000B655B" w:rsidRPr="005E0AA3" w14:paraId="7589CDD0" w14:textId="77777777" w:rsidTr="000B655B">
        <w:trPr>
          <w:jc w:val="center"/>
        </w:trPr>
        <w:tc>
          <w:tcPr>
            <w:tcW w:w="1710" w:type="dxa"/>
          </w:tcPr>
          <w:p w14:paraId="7CB97E56" w14:textId="77777777" w:rsidR="000B655B" w:rsidRPr="005E0AA3" w:rsidRDefault="000B655B" w:rsidP="009A2080">
            <w:pPr>
              <w:pStyle w:val="Paragraph"/>
              <w:tabs>
                <w:tab w:val="clear" w:pos="720"/>
              </w:tabs>
              <w:spacing w:before="0" w:after="0"/>
              <w:ind w:left="0" w:firstLine="0"/>
              <w:jc w:val="left"/>
              <w:rPr>
                <w:lang w:val="es-ES_tradnl"/>
              </w:rPr>
            </w:pPr>
            <w:r>
              <w:rPr>
                <w:lang w:val="es-ES_tradnl"/>
              </w:rPr>
              <w:t>T</w:t>
            </w:r>
            <w:r w:rsidRPr="00DB0C5F">
              <w:rPr>
                <w:lang w:val="es-ES_tradnl"/>
              </w:rPr>
              <w:t>ransformación de la matriz energética actual a través de fuentes de energía renovable</w:t>
            </w:r>
          </w:p>
        </w:tc>
        <w:tc>
          <w:tcPr>
            <w:tcW w:w="810" w:type="dxa"/>
          </w:tcPr>
          <w:p w14:paraId="73309A3B" w14:textId="77777777" w:rsidR="000B655B" w:rsidRPr="005E0AA3" w:rsidRDefault="000B655B" w:rsidP="000B655B">
            <w:pPr>
              <w:pStyle w:val="Paragraph"/>
              <w:tabs>
                <w:tab w:val="clear" w:pos="720"/>
              </w:tabs>
              <w:spacing w:before="0" w:after="0"/>
              <w:ind w:left="0" w:firstLine="0"/>
              <w:jc w:val="center"/>
              <w:rPr>
                <w:lang w:val="es-ES_tradnl"/>
              </w:rPr>
            </w:pPr>
            <w:r>
              <w:rPr>
                <w:lang w:val="es-ES_tradnl"/>
              </w:rPr>
              <w:t>12%</w:t>
            </w:r>
          </w:p>
        </w:tc>
        <w:tc>
          <w:tcPr>
            <w:tcW w:w="2070" w:type="dxa"/>
          </w:tcPr>
          <w:p w14:paraId="2A99C657" w14:textId="77777777" w:rsidR="000B655B" w:rsidRPr="005E0AA3" w:rsidRDefault="000B655B" w:rsidP="000B655B">
            <w:pPr>
              <w:pStyle w:val="Paragraph"/>
              <w:tabs>
                <w:tab w:val="clear" w:pos="720"/>
              </w:tabs>
              <w:spacing w:before="0" w:after="0"/>
              <w:ind w:left="0" w:firstLine="0"/>
              <w:jc w:val="left"/>
              <w:rPr>
                <w:lang w:val="es-ES_tradnl"/>
              </w:rPr>
            </w:pPr>
            <w:r>
              <w:rPr>
                <w:lang w:val="es-ES_tradnl"/>
              </w:rPr>
              <w:t>Aumento del 10% en los costos de inversión</w:t>
            </w:r>
          </w:p>
        </w:tc>
        <w:tc>
          <w:tcPr>
            <w:tcW w:w="720" w:type="dxa"/>
          </w:tcPr>
          <w:p w14:paraId="685AC9A6" w14:textId="77777777" w:rsidR="000B655B" w:rsidRPr="005E0AA3" w:rsidRDefault="000B655B" w:rsidP="000B655B">
            <w:pPr>
              <w:pStyle w:val="Paragraph"/>
              <w:tabs>
                <w:tab w:val="clear" w:pos="720"/>
              </w:tabs>
              <w:spacing w:before="0" w:after="0"/>
              <w:ind w:left="0" w:firstLine="0"/>
              <w:jc w:val="center"/>
              <w:rPr>
                <w:lang w:val="es-ES_tradnl"/>
              </w:rPr>
            </w:pPr>
            <w:r>
              <w:rPr>
                <w:lang w:val="es-ES_tradnl"/>
              </w:rPr>
              <w:t>11%</w:t>
            </w:r>
          </w:p>
        </w:tc>
        <w:tc>
          <w:tcPr>
            <w:tcW w:w="2070" w:type="dxa"/>
          </w:tcPr>
          <w:p w14:paraId="7DF6E188" w14:textId="77777777" w:rsidR="000B655B" w:rsidRPr="005E0AA3" w:rsidRDefault="000B655B" w:rsidP="000B655B">
            <w:pPr>
              <w:pStyle w:val="Paragraph"/>
              <w:tabs>
                <w:tab w:val="clear" w:pos="720"/>
              </w:tabs>
              <w:spacing w:before="0" w:after="0"/>
              <w:ind w:left="0" w:firstLine="0"/>
              <w:jc w:val="left"/>
              <w:rPr>
                <w:lang w:val="es-ES_tradnl"/>
              </w:rPr>
            </w:pPr>
            <w:r>
              <w:rPr>
                <w:lang w:val="es-ES_tradnl"/>
              </w:rPr>
              <w:t>Incremento del 10% en el costo marginal de largo plazo</w:t>
            </w:r>
          </w:p>
        </w:tc>
        <w:tc>
          <w:tcPr>
            <w:tcW w:w="810" w:type="dxa"/>
          </w:tcPr>
          <w:p w14:paraId="033724C2" w14:textId="77777777" w:rsidR="000B655B" w:rsidRPr="005E0AA3" w:rsidRDefault="000B655B" w:rsidP="000B655B">
            <w:pPr>
              <w:pStyle w:val="Paragraph"/>
              <w:tabs>
                <w:tab w:val="clear" w:pos="720"/>
              </w:tabs>
              <w:spacing w:before="0" w:after="0"/>
              <w:ind w:left="0" w:firstLine="0"/>
              <w:jc w:val="center"/>
              <w:rPr>
                <w:lang w:val="es-ES_tradnl"/>
              </w:rPr>
            </w:pPr>
            <w:r>
              <w:rPr>
                <w:lang w:val="es-ES_tradnl"/>
              </w:rPr>
              <w:t>14%</w:t>
            </w:r>
          </w:p>
        </w:tc>
      </w:tr>
    </w:tbl>
    <w:p w14:paraId="5FA635DC" w14:textId="77777777" w:rsidR="000B655B" w:rsidRPr="008C36B0" w:rsidRDefault="000B655B" w:rsidP="00484C6C">
      <w:pPr>
        <w:rPr>
          <w:lang w:val="es-ES_tradnl"/>
        </w:rPr>
      </w:pPr>
    </w:p>
    <w:sectPr w:rsidR="000B655B" w:rsidRPr="008C36B0" w:rsidSect="00FF7BCF">
      <w:headerReference w:type="default" r:id="rId28"/>
      <w:footnotePr>
        <w:numRestart w:val="eachPage"/>
      </w:footnotePr>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721E8" w14:textId="77777777" w:rsidR="00425D18" w:rsidRDefault="00425D18" w:rsidP="001672F7">
      <w:pPr>
        <w:spacing w:before="0"/>
      </w:pPr>
      <w:r>
        <w:separator/>
      </w:r>
    </w:p>
  </w:endnote>
  <w:endnote w:type="continuationSeparator" w:id="0">
    <w:p w14:paraId="5F31E969" w14:textId="77777777" w:rsidR="00425D18" w:rsidRDefault="00425D18" w:rsidP="001672F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Palatino Linotype"/>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58886" w14:textId="77777777" w:rsidR="00425D18" w:rsidRDefault="00425D18" w:rsidP="001672F7">
      <w:pPr>
        <w:spacing w:before="0"/>
      </w:pPr>
      <w:r>
        <w:separator/>
      </w:r>
    </w:p>
  </w:footnote>
  <w:footnote w:type="continuationSeparator" w:id="0">
    <w:p w14:paraId="1D321E10" w14:textId="77777777" w:rsidR="00425D18" w:rsidRDefault="00425D18" w:rsidP="001672F7">
      <w:pPr>
        <w:spacing w:before="0"/>
      </w:pPr>
      <w:r>
        <w:continuationSeparator/>
      </w:r>
    </w:p>
  </w:footnote>
  <w:footnote w:id="1">
    <w:p w14:paraId="0614391A" w14:textId="77777777" w:rsidR="0075556B" w:rsidRPr="00EF5BE0" w:rsidRDefault="0075556B" w:rsidP="00EF5BE0">
      <w:pPr>
        <w:pStyle w:val="FootnoteText"/>
        <w:rPr>
          <w:sz w:val="20"/>
          <w:szCs w:val="20"/>
          <w:lang w:val="es-ES_tradnl"/>
        </w:rPr>
      </w:pPr>
      <w:r w:rsidRPr="00EF5BE0">
        <w:rPr>
          <w:rStyle w:val="FootnoteReference"/>
          <w:sz w:val="20"/>
          <w:szCs w:val="20"/>
          <w:lang w:val="es-ES_tradnl"/>
        </w:rPr>
        <w:footnoteRef/>
      </w:r>
      <w:r w:rsidRPr="00EF5BE0">
        <w:rPr>
          <w:sz w:val="20"/>
          <w:szCs w:val="20"/>
          <w:lang w:val="es-ES_tradnl"/>
        </w:rPr>
        <w:t xml:space="preserve"> Programa para fortalecer el sector eléctrico en Nicaragua NI-L-1089 Anexo de Análisis Económico, agosto 5 de 2015</w:t>
      </w:r>
    </w:p>
  </w:footnote>
  <w:footnote w:id="2">
    <w:p w14:paraId="672D2129" w14:textId="77777777" w:rsidR="0075556B" w:rsidRPr="00722187" w:rsidRDefault="0075556B" w:rsidP="00334A89">
      <w:pPr>
        <w:pStyle w:val="FootnoteText"/>
        <w:rPr>
          <w:sz w:val="22"/>
          <w:szCs w:val="22"/>
          <w:lang w:val="es-ES_tradnl"/>
        </w:rPr>
      </w:pPr>
      <w:r w:rsidRPr="00722187">
        <w:rPr>
          <w:rStyle w:val="FootnoteReference"/>
          <w:sz w:val="22"/>
          <w:szCs w:val="22"/>
          <w:lang w:val="es-ES_tradnl"/>
        </w:rPr>
        <w:footnoteRef/>
      </w:r>
      <w:r w:rsidRPr="00722187">
        <w:rPr>
          <w:sz w:val="22"/>
          <w:szCs w:val="22"/>
          <w:lang w:val="es-ES_tradnl"/>
        </w:rPr>
        <w:t xml:space="preserve"> Consejo de Electrificación de América Central, “Plan Indicativo Regional </w:t>
      </w:r>
      <w:r>
        <w:rPr>
          <w:sz w:val="22"/>
          <w:szCs w:val="22"/>
          <w:lang w:val="es-ES_tradnl"/>
        </w:rPr>
        <w:t xml:space="preserve">de la Expansión de la Generación </w:t>
      </w:r>
      <w:r w:rsidRPr="00722187">
        <w:rPr>
          <w:sz w:val="22"/>
          <w:szCs w:val="22"/>
          <w:lang w:val="es-ES_tradnl"/>
        </w:rPr>
        <w:t>201</w:t>
      </w:r>
      <w:r>
        <w:rPr>
          <w:sz w:val="22"/>
          <w:szCs w:val="22"/>
          <w:lang w:val="es-ES_tradnl"/>
        </w:rPr>
        <w:t>2</w:t>
      </w:r>
      <w:r w:rsidRPr="00722187">
        <w:rPr>
          <w:sz w:val="22"/>
          <w:szCs w:val="22"/>
          <w:lang w:val="es-ES_tradnl"/>
        </w:rPr>
        <w:t>–202</w:t>
      </w:r>
      <w:r>
        <w:rPr>
          <w:sz w:val="22"/>
          <w:szCs w:val="22"/>
          <w:lang w:val="es-ES_tradnl"/>
        </w:rPr>
        <w:t>7</w:t>
      </w:r>
      <w:r w:rsidRPr="00722187">
        <w:rPr>
          <w:sz w:val="22"/>
          <w:szCs w:val="22"/>
          <w:lang w:val="es-ES_tradnl"/>
        </w:rPr>
        <w:t>”, Sec. 5.</w:t>
      </w:r>
      <w:r>
        <w:rPr>
          <w:sz w:val="22"/>
          <w:szCs w:val="22"/>
          <w:lang w:val="es-ES_tradnl"/>
        </w:rPr>
        <w:t>4</w:t>
      </w:r>
      <w:r w:rsidRPr="00722187">
        <w:rPr>
          <w:sz w:val="22"/>
          <w:szCs w:val="22"/>
          <w:lang w:val="es-ES_tradnl"/>
        </w:rPr>
        <w:t xml:space="preserve">, p. </w:t>
      </w:r>
      <w:r>
        <w:rPr>
          <w:sz w:val="22"/>
          <w:szCs w:val="22"/>
          <w:lang w:val="es-ES_tradnl"/>
        </w:rPr>
        <w:t>33</w:t>
      </w:r>
    </w:p>
  </w:footnote>
  <w:footnote w:id="3">
    <w:p w14:paraId="736B90FC" w14:textId="4F7D9147" w:rsidR="0075556B" w:rsidRPr="00EF5BE0" w:rsidRDefault="0075556B">
      <w:pPr>
        <w:pStyle w:val="FootnoteText"/>
        <w:rPr>
          <w:sz w:val="20"/>
          <w:szCs w:val="20"/>
          <w:lang w:val="es-ES_tradnl"/>
        </w:rPr>
      </w:pPr>
      <w:r w:rsidRPr="00EF5BE0">
        <w:rPr>
          <w:rStyle w:val="FootnoteReference"/>
          <w:sz w:val="20"/>
          <w:szCs w:val="20"/>
          <w:lang w:val="es-ES_tradnl"/>
        </w:rPr>
        <w:footnoteRef/>
      </w:r>
      <w:r w:rsidRPr="00EF5BE0">
        <w:rPr>
          <w:sz w:val="20"/>
          <w:szCs w:val="20"/>
          <w:lang w:val="es-ES_tradnl"/>
        </w:rPr>
        <w:t xml:space="preserve"> Fuente: Ministerio de Energía y Minas (MEM) </w:t>
      </w:r>
    </w:p>
  </w:footnote>
  <w:footnote w:id="4">
    <w:p w14:paraId="4D382657" w14:textId="5FD34F55" w:rsidR="0075556B" w:rsidRPr="00EF5BE0" w:rsidRDefault="0075556B" w:rsidP="00A7500B">
      <w:pPr>
        <w:widowControl w:val="0"/>
        <w:autoSpaceDE w:val="0"/>
        <w:autoSpaceDN w:val="0"/>
        <w:adjustRightInd w:val="0"/>
        <w:spacing w:before="0" w:after="240"/>
        <w:rPr>
          <w:rFonts w:ascii="Times" w:eastAsiaTheme="minorEastAsia" w:hAnsi="Times" w:cs="Times"/>
          <w:szCs w:val="24"/>
          <w:lang w:val="es-ES_tradnl"/>
        </w:rPr>
      </w:pPr>
      <w:r w:rsidRPr="00EF5BE0">
        <w:rPr>
          <w:rStyle w:val="FootnoteReference"/>
          <w:lang w:val="es-ES_tradnl"/>
        </w:rPr>
        <w:footnoteRef/>
      </w:r>
      <w:r w:rsidRPr="00EF5BE0">
        <w:rPr>
          <w:lang w:val="es-ES_tradnl"/>
        </w:rPr>
        <w:t xml:space="preserve"> </w:t>
      </w:r>
      <w:r w:rsidRPr="00EF5BE0">
        <w:rPr>
          <w:sz w:val="20"/>
          <w:szCs w:val="20"/>
          <w:lang w:val="es-ES_tradnl"/>
        </w:rPr>
        <w:t>Instituto Nicaragüense De Energía, Estadísticas del Sector Eléctrico, Consumo Promedio (MWh/Cliente)</w:t>
      </w:r>
    </w:p>
  </w:footnote>
  <w:footnote w:id="5">
    <w:p w14:paraId="09CB9881" w14:textId="4807B24C" w:rsidR="0075556B" w:rsidRPr="00EF5BE0" w:rsidRDefault="0075556B">
      <w:pPr>
        <w:pStyle w:val="FootnoteText"/>
        <w:rPr>
          <w:lang w:val="es-ES_tradnl"/>
        </w:rPr>
      </w:pPr>
      <w:r>
        <w:rPr>
          <w:rStyle w:val="FootnoteReference"/>
        </w:rPr>
        <w:footnoteRef/>
      </w:r>
      <w:r w:rsidRPr="00EF5BE0">
        <w:rPr>
          <w:rStyle w:val="FootnoteReference"/>
          <w:lang w:val="es-ES_tradnl"/>
        </w:rPr>
        <w:footnoteRef/>
      </w:r>
      <w:r w:rsidRPr="00EF5BE0">
        <w:rPr>
          <w:lang w:val="es-ES_tradnl"/>
        </w:rPr>
        <w:t xml:space="preserve"> Informe-de-Gestión-del-INE-2013.pdf pg.26</w:t>
      </w:r>
    </w:p>
  </w:footnote>
  <w:footnote w:id="6">
    <w:p w14:paraId="633361CE" w14:textId="77777777" w:rsidR="0075556B" w:rsidRPr="00307B62" w:rsidRDefault="0075556B" w:rsidP="00AD2A4C">
      <w:pPr>
        <w:pStyle w:val="FootnoteText"/>
        <w:rPr>
          <w:sz w:val="20"/>
          <w:szCs w:val="20"/>
        </w:rPr>
      </w:pPr>
      <w:r w:rsidRPr="00307B62">
        <w:rPr>
          <w:rStyle w:val="FootnoteReference"/>
          <w:sz w:val="20"/>
          <w:szCs w:val="20"/>
        </w:rPr>
        <w:footnoteRef/>
      </w:r>
      <w:r w:rsidRPr="00307B62">
        <w:rPr>
          <w:sz w:val="20"/>
          <w:szCs w:val="20"/>
        </w:rPr>
        <w:t xml:space="preserve"> The Welfare Impact of Rural Electrification: a Reassessment of the Costs and Benefits, The World Bank, 2008</w:t>
      </w:r>
      <w:r>
        <w:rPr>
          <w:sz w:val="20"/>
          <w:szCs w:val="20"/>
        </w:rPr>
        <w:t>, p. 41</w:t>
      </w:r>
    </w:p>
  </w:footnote>
  <w:footnote w:id="7">
    <w:p w14:paraId="0C0AF1AA" w14:textId="5D207B63" w:rsidR="0075556B" w:rsidRPr="00287EFE" w:rsidRDefault="0075556B">
      <w:pPr>
        <w:pStyle w:val="FootnoteText"/>
        <w:rPr>
          <w:sz w:val="22"/>
          <w:szCs w:val="22"/>
          <w:lang w:val="es-ES_tradnl"/>
        </w:rPr>
      </w:pPr>
      <w:r w:rsidRPr="00287EFE">
        <w:rPr>
          <w:rStyle w:val="FootnoteReference"/>
          <w:sz w:val="22"/>
          <w:szCs w:val="22"/>
          <w:lang w:val="es-ES_tradnl"/>
        </w:rPr>
        <w:footnoteRef/>
      </w:r>
      <w:r w:rsidRPr="00287EFE">
        <w:rPr>
          <w:sz w:val="22"/>
          <w:szCs w:val="22"/>
          <w:lang w:val="es-ES_tradnl"/>
        </w:rPr>
        <w:t xml:space="preserve"> Informe-de-Gestión-del-INE-2016.pdf </w:t>
      </w:r>
    </w:p>
  </w:footnote>
  <w:footnote w:id="8">
    <w:p w14:paraId="60242AD5" w14:textId="77777777" w:rsidR="0075556B" w:rsidRPr="00862FDB" w:rsidRDefault="0075556B" w:rsidP="00AD2A4C">
      <w:pPr>
        <w:pStyle w:val="FootnoteText"/>
        <w:rPr>
          <w:sz w:val="20"/>
          <w:szCs w:val="20"/>
        </w:rPr>
      </w:pPr>
      <w:r w:rsidRPr="00862FDB">
        <w:rPr>
          <w:rStyle w:val="FootnoteReference"/>
          <w:sz w:val="20"/>
          <w:szCs w:val="20"/>
        </w:rPr>
        <w:footnoteRef/>
      </w:r>
      <w:r w:rsidRPr="00862FDB">
        <w:rPr>
          <w:sz w:val="20"/>
          <w:szCs w:val="20"/>
        </w:rPr>
        <w:t xml:space="preserve"> Dahl, Carol. </w:t>
      </w:r>
      <w:r w:rsidRPr="00862FDB">
        <w:rPr>
          <w:i/>
          <w:sz w:val="20"/>
          <w:szCs w:val="20"/>
        </w:rPr>
        <w:t>A Global Survey of Electricity Demand Elasticities</w:t>
      </w:r>
      <w:r w:rsidRPr="00862FDB">
        <w:rPr>
          <w:sz w:val="20"/>
          <w:szCs w:val="20"/>
        </w:rPr>
        <w:t>, 34th IAEE International Conference: Institutions, Efficiency and Evolving Energy Technologies, June 19-23, 2011.</w:t>
      </w:r>
    </w:p>
  </w:footnote>
  <w:footnote w:id="9">
    <w:p w14:paraId="1263FE60" w14:textId="1DDCB40D" w:rsidR="0075556B" w:rsidRPr="00EF5BE0" w:rsidRDefault="0075556B">
      <w:pPr>
        <w:pStyle w:val="FootnoteText"/>
        <w:rPr>
          <w:sz w:val="20"/>
          <w:szCs w:val="20"/>
          <w:lang w:val="es-ES_tradnl"/>
        </w:rPr>
      </w:pPr>
      <w:r w:rsidRPr="00EF5BE0">
        <w:rPr>
          <w:rStyle w:val="FootnoteReference"/>
          <w:sz w:val="20"/>
          <w:szCs w:val="20"/>
          <w:lang w:val="es-ES_tradnl"/>
        </w:rPr>
        <w:footnoteRef/>
      </w:r>
      <w:r w:rsidRPr="00EF5BE0">
        <w:rPr>
          <w:sz w:val="20"/>
          <w:szCs w:val="20"/>
          <w:lang w:val="es-ES_tradnl"/>
        </w:rPr>
        <w:t xml:space="preserve"> Se toman basados en el Plan de Expansión de la Generación Eléctrica 2016-2030.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7D949" w14:textId="2D614E95" w:rsidR="0075556B" w:rsidRDefault="0075556B" w:rsidP="00FF7BCF">
    <w:pPr>
      <w:pStyle w:val="Header"/>
      <w:jc w:val="right"/>
    </w:pPr>
    <w:r>
      <w:rPr>
        <w:rStyle w:val="PageNumber"/>
      </w:rPr>
      <w:fldChar w:fldCharType="begin"/>
    </w:r>
    <w:r>
      <w:rPr>
        <w:rStyle w:val="PageNumber"/>
      </w:rPr>
      <w:instrText xml:space="preserve"> PAGE </w:instrText>
    </w:r>
    <w:r>
      <w:rPr>
        <w:rStyle w:val="PageNumber"/>
      </w:rPr>
      <w:fldChar w:fldCharType="separate"/>
    </w:r>
    <w:r w:rsidR="008E3381">
      <w:rPr>
        <w:rStyle w:val="PageNumber"/>
        <w:noProof/>
      </w:rPr>
      <w:t>2</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F146D"/>
    <w:multiLevelType w:val="hybridMultilevel"/>
    <w:tmpl w:val="B5120388"/>
    <w:lvl w:ilvl="0" w:tplc="343A215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E0B6CF3"/>
    <w:multiLevelType w:val="hybridMultilevel"/>
    <w:tmpl w:val="7F2077CE"/>
    <w:lvl w:ilvl="0" w:tplc="8FF8919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21957E02"/>
    <w:multiLevelType w:val="multilevel"/>
    <w:tmpl w:val="5A9440E4"/>
    <w:lvl w:ilvl="0">
      <w:start w:val="1"/>
      <w:numFmt w:val="bullet"/>
      <w:lvlText w:val=""/>
      <w:lvlJc w:val="left"/>
      <w:pPr>
        <w:ind w:left="720" w:hanging="36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CC4232B"/>
    <w:multiLevelType w:val="hybridMultilevel"/>
    <w:tmpl w:val="457C0C7A"/>
    <w:lvl w:ilvl="0" w:tplc="135E55C0">
      <w:start w:val="1"/>
      <w:numFmt w:val="decimal"/>
      <w:pStyle w:val="Banknumbered"/>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20E0823"/>
    <w:multiLevelType w:val="singleLevel"/>
    <w:tmpl w:val="BAF03870"/>
    <w:lvl w:ilvl="0">
      <w:start w:val="1"/>
      <w:numFmt w:val="bullet"/>
      <w:lvlText w:val="•"/>
      <w:lvlJc w:val="left"/>
      <w:pPr>
        <w:tabs>
          <w:tab w:val="num" w:pos="1080"/>
        </w:tabs>
        <w:ind w:left="1080" w:hanging="360"/>
      </w:pPr>
      <w:rPr>
        <w:rFonts w:ascii="Times New Roman" w:hAnsi="Times New Roman" w:hint="default"/>
        <w:sz w:val="28"/>
      </w:rPr>
    </w:lvl>
  </w:abstractNum>
  <w:abstractNum w:abstractNumId="5" w15:restartNumberingAfterBreak="0">
    <w:nsid w:val="4BFE123A"/>
    <w:multiLevelType w:val="hybridMultilevel"/>
    <w:tmpl w:val="CE6475F0"/>
    <w:lvl w:ilvl="0" w:tplc="959877E2">
      <w:start w:val="1"/>
      <w:numFmt w:val="bullet"/>
      <w:pStyle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6E0263"/>
    <w:multiLevelType w:val="hybridMultilevel"/>
    <w:tmpl w:val="667616C6"/>
    <w:lvl w:ilvl="0" w:tplc="5B18FE5C">
      <w:start w:val="1"/>
      <w:numFmt w:val="decimal"/>
      <w:pStyle w:val="BankNormalNumbered"/>
      <w:lvlText w:val="%1."/>
      <w:lvlJc w:val="left"/>
      <w:pPr>
        <w:tabs>
          <w:tab w:val="num" w:pos="720"/>
        </w:tabs>
        <w:ind w:left="0" w:firstLine="0"/>
      </w:pPr>
      <w:rPr>
        <w:rFonts w:hint="default"/>
      </w:rPr>
    </w:lvl>
    <w:lvl w:ilvl="1" w:tplc="04090019">
      <w:start w:val="1"/>
      <w:numFmt w:val="lowerLetter"/>
      <w:lvlText w:val="(%2)"/>
      <w:lvlJc w:val="left"/>
      <w:pPr>
        <w:tabs>
          <w:tab w:val="num" w:pos="1440"/>
        </w:tabs>
        <w:ind w:left="144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5AD4A2D"/>
    <w:multiLevelType w:val="hybridMultilevel"/>
    <w:tmpl w:val="FC90B92E"/>
    <w:lvl w:ilvl="0" w:tplc="6DDC100C">
      <w:start w:val="1"/>
      <w:numFmt w:val="decimal"/>
      <w:lvlText w:val="(%1)"/>
      <w:lvlJc w:val="left"/>
      <w:pPr>
        <w:ind w:left="360" w:hanging="360"/>
      </w:pPr>
      <w:rPr>
        <w:rFonts w:cstheme="minorBid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4"/>
  </w:num>
  <w:num w:numId="3">
    <w:abstractNumId w:val="6"/>
  </w:num>
  <w:num w:numId="4">
    <w:abstractNumId w:val="3"/>
  </w:num>
  <w:num w:numId="5">
    <w:abstractNumId w:val="5"/>
  </w:num>
  <w:num w:numId="6">
    <w:abstractNumId w:val="2"/>
  </w:num>
  <w:num w:numId="7">
    <w:abstractNumId w:val="1"/>
  </w:num>
  <w:num w:numId="8">
    <w:abstractNumId w:val="3"/>
  </w:num>
  <w:num w:numId="9">
    <w:abstractNumId w:val="7"/>
  </w:num>
  <w:num w:numId="10">
    <w:abstractNumId w:val="0"/>
  </w:num>
  <w:num w:numId="11">
    <w:abstractNumId w:val="5"/>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31"/>
    <w:rsid w:val="000177FB"/>
    <w:rsid w:val="0005546C"/>
    <w:rsid w:val="0008461D"/>
    <w:rsid w:val="000930E1"/>
    <w:rsid w:val="0009595E"/>
    <w:rsid w:val="000A79EB"/>
    <w:rsid w:val="000B2E67"/>
    <w:rsid w:val="000B563B"/>
    <w:rsid w:val="000B5B79"/>
    <w:rsid w:val="000B655B"/>
    <w:rsid w:val="000B69F6"/>
    <w:rsid w:val="000C6C10"/>
    <w:rsid w:val="000D1C8C"/>
    <w:rsid w:val="000D4658"/>
    <w:rsid w:val="000E19B1"/>
    <w:rsid w:val="000E37A5"/>
    <w:rsid w:val="000F013C"/>
    <w:rsid w:val="000F4265"/>
    <w:rsid w:val="001050E1"/>
    <w:rsid w:val="00106EA3"/>
    <w:rsid w:val="00123939"/>
    <w:rsid w:val="00132931"/>
    <w:rsid w:val="00132FF4"/>
    <w:rsid w:val="00133087"/>
    <w:rsid w:val="00133EBC"/>
    <w:rsid w:val="0013439C"/>
    <w:rsid w:val="00160034"/>
    <w:rsid w:val="00166840"/>
    <w:rsid w:val="001672F7"/>
    <w:rsid w:val="00181646"/>
    <w:rsid w:val="0018523E"/>
    <w:rsid w:val="001928FA"/>
    <w:rsid w:val="001A056F"/>
    <w:rsid w:val="001A51B6"/>
    <w:rsid w:val="001A65BD"/>
    <w:rsid w:val="001A7C7A"/>
    <w:rsid w:val="001C2B59"/>
    <w:rsid w:val="001D00DB"/>
    <w:rsid w:val="001E5827"/>
    <w:rsid w:val="001F6DC4"/>
    <w:rsid w:val="00214076"/>
    <w:rsid w:val="002163A4"/>
    <w:rsid w:val="00233F5D"/>
    <w:rsid w:val="002672AC"/>
    <w:rsid w:val="00275E9B"/>
    <w:rsid w:val="00287EFE"/>
    <w:rsid w:val="00291CE9"/>
    <w:rsid w:val="00296241"/>
    <w:rsid w:val="00296A4E"/>
    <w:rsid w:val="002A0878"/>
    <w:rsid w:val="002D09DC"/>
    <w:rsid w:val="002D67E3"/>
    <w:rsid w:val="002E5AE7"/>
    <w:rsid w:val="002F3507"/>
    <w:rsid w:val="002F69DE"/>
    <w:rsid w:val="00305BA6"/>
    <w:rsid w:val="00307B62"/>
    <w:rsid w:val="00310FFB"/>
    <w:rsid w:val="00314103"/>
    <w:rsid w:val="003145CA"/>
    <w:rsid w:val="00320287"/>
    <w:rsid w:val="00334A89"/>
    <w:rsid w:val="003521E2"/>
    <w:rsid w:val="0035616D"/>
    <w:rsid w:val="003745CB"/>
    <w:rsid w:val="0037546B"/>
    <w:rsid w:val="00390B62"/>
    <w:rsid w:val="00391048"/>
    <w:rsid w:val="003913ED"/>
    <w:rsid w:val="003A31FA"/>
    <w:rsid w:val="003A6EF0"/>
    <w:rsid w:val="003B28D9"/>
    <w:rsid w:val="003B352C"/>
    <w:rsid w:val="003B768F"/>
    <w:rsid w:val="003C3545"/>
    <w:rsid w:val="003D6E7E"/>
    <w:rsid w:val="003E592F"/>
    <w:rsid w:val="003F06F9"/>
    <w:rsid w:val="003F0DA5"/>
    <w:rsid w:val="003F29BF"/>
    <w:rsid w:val="00425D18"/>
    <w:rsid w:val="00425D42"/>
    <w:rsid w:val="0042677F"/>
    <w:rsid w:val="00440E1E"/>
    <w:rsid w:val="0044153B"/>
    <w:rsid w:val="00445027"/>
    <w:rsid w:val="00451BD4"/>
    <w:rsid w:val="00463E78"/>
    <w:rsid w:val="00474F00"/>
    <w:rsid w:val="00477AB3"/>
    <w:rsid w:val="00484C6C"/>
    <w:rsid w:val="004B3DA7"/>
    <w:rsid w:val="004E5BEE"/>
    <w:rsid w:val="004F0CB4"/>
    <w:rsid w:val="004F6116"/>
    <w:rsid w:val="00505BCF"/>
    <w:rsid w:val="00512D35"/>
    <w:rsid w:val="00512E81"/>
    <w:rsid w:val="00516BA5"/>
    <w:rsid w:val="00533605"/>
    <w:rsid w:val="005343A5"/>
    <w:rsid w:val="00536D69"/>
    <w:rsid w:val="00541188"/>
    <w:rsid w:val="00543B22"/>
    <w:rsid w:val="00543EE5"/>
    <w:rsid w:val="00547B7B"/>
    <w:rsid w:val="00560962"/>
    <w:rsid w:val="005616AD"/>
    <w:rsid w:val="00562DF3"/>
    <w:rsid w:val="00577EDC"/>
    <w:rsid w:val="0059032E"/>
    <w:rsid w:val="005B0A92"/>
    <w:rsid w:val="005B105F"/>
    <w:rsid w:val="005C0B9C"/>
    <w:rsid w:val="005E4282"/>
    <w:rsid w:val="005F1114"/>
    <w:rsid w:val="00600D8D"/>
    <w:rsid w:val="00603A4C"/>
    <w:rsid w:val="0062233F"/>
    <w:rsid w:val="0063315D"/>
    <w:rsid w:val="006469E4"/>
    <w:rsid w:val="00652D41"/>
    <w:rsid w:val="00656B75"/>
    <w:rsid w:val="00660A01"/>
    <w:rsid w:val="00660F0E"/>
    <w:rsid w:val="00667936"/>
    <w:rsid w:val="00671571"/>
    <w:rsid w:val="00672A1A"/>
    <w:rsid w:val="00673288"/>
    <w:rsid w:val="006769D7"/>
    <w:rsid w:val="006A670B"/>
    <w:rsid w:val="006B3178"/>
    <w:rsid w:val="006B699F"/>
    <w:rsid w:val="006B6F81"/>
    <w:rsid w:val="006C33C0"/>
    <w:rsid w:val="006C4593"/>
    <w:rsid w:val="006C6E80"/>
    <w:rsid w:val="006D309F"/>
    <w:rsid w:val="006D4D3F"/>
    <w:rsid w:val="006F72A5"/>
    <w:rsid w:val="00705020"/>
    <w:rsid w:val="00710C1C"/>
    <w:rsid w:val="00722187"/>
    <w:rsid w:val="00723FDF"/>
    <w:rsid w:val="00724266"/>
    <w:rsid w:val="00724B68"/>
    <w:rsid w:val="00730423"/>
    <w:rsid w:val="00732EFE"/>
    <w:rsid w:val="00733265"/>
    <w:rsid w:val="00746354"/>
    <w:rsid w:val="0075556B"/>
    <w:rsid w:val="00773B0F"/>
    <w:rsid w:val="00785BB9"/>
    <w:rsid w:val="00787CC5"/>
    <w:rsid w:val="007A6157"/>
    <w:rsid w:val="007A7496"/>
    <w:rsid w:val="007B490B"/>
    <w:rsid w:val="007C04F3"/>
    <w:rsid w:val="007D3DB0"/>
    <w:rsid w:val="007D400B"/>
    <w:rsid w:val="007D794C"/>
    <w:rsid w:val="007E2AAF"/>
    <w:rsid w:val="007E7C55"/>
    <w:rsid w:val="00800B98"/>
    <w:rsid w:val="00804582"/>
    <w:rsid w:val="00811FE6"/>
    <w:rsid w:val="00820A48"/>
    <w:rsid w:val="00825209"/>
    <w:rsid w:val="008355C0"/>
    <w:rsid w:val="0083634C"/>
    <w:rsid w:val="008518CF"/>
    <w:rsid w:val="008525A5"/>
    <w:rsid w:val="00862FDB"/>
    <w:rsid w:val="00865ABC"/>
    <w:rsid w:val="00886688"/>
    <w:rsid w:val="008902B4"/>
    <w:rsid w:val="008A3D2E"/>
    <w:rsid w:val="008A49EA"/>
    <w:rsid w:val="008C0FEB"/>
    <w:rsid w:val="008C36B0"/>
    <w:rsid w:val="008C7728"/>
    <w:rsid w:val="008D3793"/>
    <w:rsid w:val="008E3381"/>
    <w:rsid w:val="00913D30"/>
    <w:rsid w:val="0092173B"/>
    <w:rsid w:val="009349D2"/>
    <w:rsid w:val="009477E7"/>
    <w:rsid w:val="0098628B"/>
    <w:rsid w:val="009A07BA"/>
    <w:rsid w:val="009A2080"/>
    <w:rsid w:val="009A54B4"/>
    <w:rsid w:val="009A7D6D"/>
    <w:rsid w:val="009C0F10"/>
    <w:rsid w:val="009F7F43"/>
    <w:rsid w:val="00A04A8F"/>
    <w:rsid w:val="00A206BC"/>
    <w:rsid w:val="00A24FDB"/>
    <w:rsid w:val="00A25D17"/>
    <w:rsid w:val="00A349E2"/>
    <w:rsid w:val="00A43E26"/>
    <w:rsid w:val="00A559F0"/>
    <w:rsid w:val="00A626D8"/>
    <w:rsid w:val="00A63B31"/>
    <w:rsid w:val="00A647EE"/>
    <w:rsid w:val="00A719B9"/>
    <w:rsid w:val="00A7500B"/>
    <w:rsid w:val="00A833FC"/>
    <w:rsid w:val="00A911D4"/>
    <w:rsid w:val="00A91C36"/>
    <w:rsid w:val="00A923F3"/>
    <w:rsid w:val="00A943BB"/>
    <w:rsid w:val="00AA08E0"/>
    <w:rsid w:val="00AB0EDF"/>
    <w:rsid w:val="00AC068E"/>
    <w:rsid w:val="00AC3993"/>
    <w:rsid w:val="00AD2A4C"/>
    <w:rsid w:val="00AD7298"/>
    <w:rsid w:val="00AF6B1B"/>
    <w:rsid w:val="00B13C76"/>
    <w:rsid w:val="00B22237"/>
    <w:rsid w:val="00B30240"/>
    <w:rsid w:val="00B31048"/>
    <w:rsid w:val="00B3452D"/>
    <w:rsid w:val="00B4558F"/>
    <w:rsid w:val="00B53190"/>
    <w:rsid w:val="00B607BC"/>
    <w:rsid w:val="00B73436"/>
    <w:rsid w:val="00B86432"/>
    <w:rsid w:val="00BB5722"/>
    <w:rsid w:val="00BC3C9F"/>
    <w:rsid w:val="00BD5209"/>
    <w:rsid w:val="00BF4088"/>
    <w:rsid w:val="00BF4E6C"/>
    <w:rsid w:val="00BF70AB"/>
    <w:rsid w:val="00BF7E68"/>
    <w:rsid w:val="00C030BF"/>
    <w:rsid w:val="00C0415E"/>
    <w:rsid w:val="00C114A9"/>
    <w:rsid w:val="00C357BA"/>
    <w:rsid w:val="00C647FA"/>
    <w:rsid w:val="00C707F6"/>
    <w:rsid w:val="00C73F0D"/>
    <w:rsid w:val="00C808AC"/>
    <w:rsid w:val="00C87662"/>
    <w:rsid w:val="00CA667B"/>
    <w:rsid w:val="00CB4130"/>
    <w:rsid w:val="00CC1F6B"/>
    <w:rsid w:val="00CD0B0C"/>
    <w:rsid w:val="00CD0BE6"/>
    <w:rsid w:val="00CD3B7F"/>
    <w:rsid w:val="00CE2B33"/>
    <w:rsid w:val="00CF4C7F"/>
    <w:rsid w:val="00CF7126"/>
    <w:rsid w:val="00CF77FC"/>
    <w:rsid w:val="00D01A65"/>
    <w:rsid w:val="00D06CCC"/>
    <w:rsid w:val="00D34380"/>
    <w:rsid w:val="00D45379"/>
    <w:rsid w:val="00D525B7"/>
    <w:rsid w:val="00D537D7"/>
    <w:rsid w:val="00D60487"/>
    <w:rsid w:val="00D647B4"/>
    <w:rsid w:val="00D65CE7"/>
    <w:rsid w:val="00D72C27"/>
    <w:rsid w:val="00D74796"/>
    <w:rsid w:val="00D91A8F"/>
    <w:rsid w:val="00D93E11"/>
    <w:rsid w:val="00DA2A81"/>
    <w:rsid w:val="00DA691C"/>
    <w:rsid w:val="00DB7CDF"/>
    <w:rsid w:val="00DC776A"/>
    <w:rsid w:val="00DD7D1F"/>
    <w:rsid w:val="00DE2C50"/>
    <w:rsid w:val="00DF5D7A"/>
    <w:rsid w:val="00E01AEA"/>
    <w:rsid w:val="00E2145B"/>
    <w:rsid w:val="00E5405A"/>
    <w:rsid w:val="00E54D02"/>
    <w:rsid w:val="00E55C2F"/>
    <w:rsid w:val="00E63006"/>
    <w:rsid w:val="00E86E6A"/>
    <w:rsid w:val="00E907A7"/>
    <w:rsid w:val="00E96455"/>
    <w:rsid w:val="00EB7E7F"/>
    <w:rsid w:val="00EC4E57"/>
    <w:rsid w:val="00ED4E8C"/>
    <w:rsid w:val="00EE77CD"/>
    <w:rsid w:val="00EF0C33"/>
    <w:rsid w:val="00EF2AE3"/>
    <w:rsid w:val="00EF5BE0"/>
    <w:rsid w:val="00F023B1"/>
    <w:rsid w:val="00F03139"/>
    <w:rsid w:val="00F463F4"/>
    <w:rsid w:val="00F53BCD"/>
    <w:rsid w:val="00F634D5"/>
    <w:rsid w:val="00F63A1A"/>
    <w:rsid w:val="00F922B4"/>
    <w:rsid w:val="00F96478"/>
    <w:rsid w:val="00FA1870"/>
    <w:rsid w:val="00FD1C4F"/>
    <w:rsid w:val="00FD2F82"/>
    <w:rsid w:val="00FE2172"/>
    <w:rsid w:val="00FE544A"/>
    <w:rsid w:val="00FE69F0"/>
    <w:rsid w:val="00FF7B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CD13FE"/>
  <w15:docId w15:val="{8351F8A4-6FDE-4448-A8E4-DC3007794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63B31"/>
    <w:pPr>
      <w:spacing w:before="120"/>
    </w:pPr>
    <w:rPr>
      <w:rFonts w:ascii="Times New Roman" w:eastAsiaTheme="minorHAnsi" w:hAnsi="Times New Roman"/>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Numbered">
    <w:name w:val="Bank Normal Numbered"/>
    <w:basedOn w:val="BankNormal"/>
    <w:rsid w:val="003F06F9"/>
    <w:pPr>
      <w:numPr>
        <w:numId w:val="3"/>
      </w:numPr>
    </w:pPr>
    <w:rPr>
      <w:szCs w:val="24"/>
    </w:rPr>
  </w:style>
  <w:style w:type="paragraph" w:customStyle="1" w:styleId="BankNormal">
    <w:name w:val="BankNormal"/>
    <w:basedOn w:val="Normal"/>
    <w:rsid w:val="003F06F9"/>
    <w:pPr>
      <w:spacing w:before="240"/>
    </w:pPr>
    <w:rPr>
      <w:rFonts w:eastAsia="Times New Roman" w:cs="Times New Roman"/>
      <w:szCs w:val="20"/>
    </w:rPr>
  </w:style>
  <w:style w:type="paragraph" w:customStyle="1" w:styleId="Bullet">
    <w:name w:val="Bullet"/>
    <w:basedOn w:val="Normal"/>
    <w:link w:val="BulletChar"/>
    <w:qFormat/>
    <w:rsid w:val="00484C6C"/>
    <w:pPr>
      <w:numPr>
        <w:numId w:val="5"/>
      </w:numPr>
      <w:tabs>
        <w:tab w:val="left" w:pos="2880"/>
        <w:tab w:val="left" w:pos="4230"/>
        <w:tab w:val="left" w:pos="4500"/>
      </w:tabs>
    </w:pPr>
    <w:rPr>
      <w:rFonts w:eastAsia="Times New Roman" w:cs="Times New Roman"/>
      <w:color w:val="000000"/>
      <w:szCs w:val="20"/>
    </w:rPr>
  </w:style>
  <w:style w:type="paragraph" w:customStyle="1" w:styleId="Banknumbered">
    <w:name w:val="Bank numbered"/>
    <w:link w:val="BanknumberedChar"/>
    <w:qFormat/>
    <w:rsid w:val="00A647EE"/>
    <w:pPr>
      <w:numPr>
        <w:numId w:val="4"/>
      </w:numPr>
      <w:spacing w:before="120"/>
      <w:ind w:left="0" w:firstLine="0"/>
    </w:pPr>
    <w:rPr>
      <w:rFonts w:ascii="Times New Roman" w:eastAsiaTheme="minorHAnsi" w:hAnsi="Times New Roman"/>
      <w:lang w:val="es-ES_tradnl"/>
    </w:rPr>
  </w:style>
  <w:style w:type="character" w:customStyle="1" w:styleId="BanknumberedChar">
    <w:name w:val="Bank numbered Char"/>
    <w:basedOn w:val="DefaultParagraphFont"/>
    <w:link w:val="Banknumbered"/>
    <w:rsid w:val="00A647EE"/>
    <w:rPr>
      <w:rFonts w:ascii="Times New Roman" w:eastAsiaTheme="minorHAnsi" w:hAnsi="Times New Roman"/>
      <w:lang w:val="es-ES_tradnl"/>
    </w:rPr>
  </w:style>
  <w:style w:type="table" w:styleId="TableGrid">
    <w:name w:val="Table Grid"/>
    <w:basedOn w:val="TableNormal"/>
    <w:rsid w:val="005343A5"/>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73288"/>
    <w:pPr>
      <w:spacing w:before="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73288"/>
    <w:rPr>
      <w:rFonts w:ascii="Lucida Grande" w:eastAsiaTheme="minorHAnsi" w:hAnsi="Lucida Grande" w:cs="Lucida Grande"/>
      <w:sz w:val="18"/>
      <w:szCs w:val="18"/>
    </w:rPr>
  </w:style>
  <w:style w:type="paragraph" w:styleId="FootnoteText">
    <w:name w:val="footnote text"/>
    <w:basedOn w:val="Normal"/>
    <w:link w:val="FootnoteTextChar"/>
    <w:uiPriority w:val="99"/>
    <w:unhideWhenUsed/>
    <w:rsid w:val="001672F7"/>
    <w:pPr>
      <w:spacing w:before="0"/>
    </w:pPr>
    <w:rPr>
      <w:szCs w:val="24"/>
    </w:rPr>
  </w:style>
  <w:style w:type="character" w:customStyle="1" w:styleId="FootnoteTextChar">
    <w:name w:val="Footnote Text Char"/>
    <w:basedOn w:val="DefaultParagraphFont"/>
    <w:link w:val="FootnoteText"/>
    <w:uiPriority w:val="99"/>
    <w:rsid w:val="001672F7"/>
    <w:rPr>
      <w:rFonts w:ascii="Times New Roman" w:eastAsiaTheme="minorHAnsi" w:hAnsi="Times New Roman"/>
    </w:rPr>
  </w:style>
  <w:style w:type="character" w:styleId="FootnoteReference">
    <w:name w:val="footnote reference"/>
    <w:basedOn w:val="DefaultParagraphFont"/>
    <w:uiPriority w:val="99"/>
    <w:unhideWhenUsed/>
    <w:rsid w:val="001672F7"/>
    <w:rPr>
      <w:vertAlign w:val="superscript"/>
    </w:rPr>
  </w:style>
  <w:style w:type="character" w:customStyle="1" w:styleId="BulletChar">
    <w:name w:val="Bullet Char"/>
    <w:basedOn w:val="DefaultParagraphFont"/>
    <w:link w:val="Bullet"/>
    <w:rsid w:val="00672A1A"/>
    <w:rPr>
      <w:rFonts w:ascii="Times New Roman" w:eastAsia="Times New Roman" w:hAnsi="Times New Roman" w:cs="Times New Roman"/>
      <w:color w:val="000000"/>
      <w:szCs w:val="20"/>
    </w:rPr>
  </w:style>
  <w:style w:type="paragraph" w:styleId="Header">
    <w:name w:val="header"/>
    <w:basedOn w:val="Normal"/>
    <w:link w:val="HeaderChar"/>
    <w:uiPriority w:val="99"/>
    <w:unhideWhenUsed/>
    <w:rsid w:val="00FF7BCF"/>
    <w:pPr>
      <w:tabs>
        <w:tab w:val="center" w:pos="4320"/>
        <w:tab w:val="right" w:pos="8640"/>
      </w:tabs>
      <w:spacing w:before="0"/>
    </w:pPr>
  </w:style>
  <w:style w:type="character" w:customStyle="1" w:styleId="HeaderChar">
    <w:name w:val="Header Char"/>
    <w:basedOn w:val="DefaultParagraphFont"/>
    <w:link w:val="Header"/>
    <w:uiPriority w:val="99"/>
    <w:rsid w:val="00FF7BCF"/>
    <w:rPr>
      <w:rFonts w:ascii="Times New Roman" w:eastAsiaTheme="minorHAnsi" w:hAnsi="Times New Roman"/>
      <w:szCs w:val="22"/>
    </w:rPr>
  </w:style>
  <w:style w:type="paragraph" w:styleId="Footer">
    <w:name w:val="footer"/>
    <w:basedOn w:val="Normal"/>
    <w:link w:val="FooterChar"/>
    <w:uiPriority w:val="99"/>
    <w:unhideWhenUsed/>
    <w:rsid w:val="00FF7BCF"/>
    <w:pPr>
      <w:tabs>
        <w:tab w:val="center" w:pos="4320"/>
        <w:tab w:val="right" w:pos="8640"/>
      </w:tabs>
      <w:spacing w:before="0"/>
    </w:pPr>
  </w:style>
  <w:style w:type="character" w:customStyle="1" w:styleId="FooterChar">
    <w:name w:val="Footer Char"/>
    <w:basedOn w:val="DefaultParagraphFont"/>
    <w:link w:val="Footer"/>
    <w:uiPriority w:val="99"/>
    <w:rsid w:val="00FF7BCF"/>
    <w:rPr>
      <w:rFonts w:ascii="Times New Roman" w:eastAsiaTheme="minorHAnsi" w:hAnsi="Times New Roman"/>
      <w:szCs w:val="22"/>
    </w:rPr>
  </w:style>
  <w:style w:type="character" w:styleId="PageNumber">
    <w:name w:val="page number"/>
    <w:basedOn w:val="DefaultParagraphFont"/>
    <w:uiPriority w:val="99"/>
    <w:semiHidden/>
    <w:unhideWhenUsed/>
    <w:rsid w:val="00FF7BCF"/>
  </w:style>
  <w:style w:type="paragraph" w:styleId="ListParagraph">
    <w:name w:val="List Paragraph"/>
    <w:basedOn w:val="Normal"/>
    <w:link w:val="ListParagraphChar"/>
    <w:uiPriority w:val="34"/>
    <w:qFormat/>
    <w:rsid w:val="00724B68"/>
    <w:pPr>
      <w:ind w:left="720"/>
      <w:contextualSpacing/>
    </w:pPr>
    <w:rPr>
      <w:rFonts w:eastAsia="Calibri" w:cs="Times New Roman"/>
    </w:rPr>
  </w:style>
  <w:style w:type="paragraph" w:styleId="Title">
    <w:name w:val="Title"/>
    <w:basedOn w:val="Normal"/>
    <w:link w:val="TitleChar"/>
    <w:qFormat/>
    <w:rsid w:val="00724B68"/>
    <w:pPr>
      <w:tabs>
        <w:tab w:val="left" w:pos="1440"/>
        <w:tab w:val="left" w:pos="3060"/>
      </w:tabs>
      <w:jc w:val="center"/>
      <w:outlineLvl w:val="0"/>
    </w:pPr>
    <w:rPr>
      <w:rFonts w:eastAsia="Times New Roman" w:cs="Times New Roman"/>
      <w:szCs w:val="20"/>
    </w:rPr>
  </w:style>
  <w:style w:type="character" w:customStyle="1" w:styleId="TitleChar">
    <w:name w:val="Title Char"/>
    <w:basedOn w:val="DefaultParagraphFont"/>
    <w:link w:val="Title"/>
    <w:rsid w:val="00724B68"/>
    <w:rPr>
      <w:rFonts w:ascii="Times New Roman" w:eastAsia="Times New Roman" w:hAnsi="Times New Roman" w:cs="Times New Roman"/>
      <w:szCs w:val="20"/>
    </w:rPr>
  </w:style>
  <w:style w:type="paragraph" w:customStyle="1" w:styleId="Newpage">
    <w:name w:val="Newpage"/>
    <w:basedOn w:val="Normal"/>
    <w:rsid w:val="00724B68"/>
    <w:pPr>
      <w:tabs>
        <w:tab w:val="left" w:pos="1440"/>
        <w:tab w:val="left" w:pos="3060"/>
      </w:tabs>
      <w:jc w:val="center"/>
    </w:pPr>
    <w:rPr>
      <w:rFonts w:eastAsia="Times New Roman" w:cs="Arial"/>
      <w:b/>
      <w:smallCaps/>
      <w:szCs w:val="20"/>
    </w:rPr>
  </w:style>
  <w:style w:type="paragraph" w:styleId="BodyText">
    <w:name w:val="Body Text"/>
    <w:basedOn w:val="Normal"/>
    <w:link w:val="BodyTextChar"/>
    <w:rsid w:val="00724B68"/>
    <w:pPr>
      <w:tabs>
        <w:tab w:val="left" w:pos="3060"/>
      </w:tabs>
      <w:jc w:val="center"/>
    </w:pPr>
    <w:rPr>
      <w:rFonts w:eastAsia="Times New Roman" w:cs="Times New Roman"/>
      <w:szCs w:val="20"/>
    </w:rPr>
  </w:style>
  <w:style w:type="character" w:customStyle="1" w:styleId="BodyTextChar">
    <w:name w:val="Body Text Char"/>
    <w:basedOn w:val="DefaultParagraphFont"/>
    <w:link w:val="BodyText"/>
    <w:rsid w:val="00724B68"/>
    <w:rPr>
      <w:rFonts w:ascii="Times New Roman" w:eastAsia="Times New Roman" w:hAnsi="Times New Roman" w:cs="Times New Roman"/>
      <w:szCs w:val="20"/>
    </w:rPr>
  </w:style>
  <w:style w:type="character" w:styleId="CommentReference">
    <w:name w:val="annotation reference"/>
    <w:basedOn w:val="DefaultParagraphFont"/>
    <w:unhideWhenUsed/>
    <w:rsid w:val="002F3507"/>
    <w:rPr>
      <w:sz w:val="18"/>
      <w:szCs w:val="18"/>
    </w:rPr>
  </w:style>
  <w:style w:type="paragraph" w:styleId="CommentText">
    <w:name w:val="annotation text"/>
    <w:basedOn w:val="Normal"/>
    <w:link w:val="CommentTextChar"/>
    <w:unhideWhenUsed/>
    <w:rsid w:val="002F3507"/>
    <w:rPr>
      <w:szCs w:val="24"/>
    </w:rPr>
  </w:style>
  <w:style w:type="character" w:customStyle="1" w:styleId="CommentTextChar">
    <w:name w:val="Comment Text Char"/>
    <w:basedOn w:val="DefaultParagraphFont"/>
    <w:link w:val="CommentText"/>
    <w:rsid w:val="002F3507"/>
    <w:rPr>
      <w:rFonts w:ascii="Times New Roman" w:eastAsiaTheme="minorHAnsi" w:hAnsi="Times New Roman"/>
    </w:rPr>
  </w:style>
  <w:style w:type="paragraph" w:styleId="CommentSubject">
    <w:name w:val="annotation subject"/>
    <w:basedOn w:val="CommentText"/>
    <w:next w:val="CommentText"/>
    <w:link w:val="CommentSubjectChar"/>
    <w:uiPriority w:val="99"/>
    <w:semiHidden/>
    <w:unhideWhenUsed/>
    <w:rsid w:val="002F3507"/>
    <w:rPr>
      <w:b/>
      <w:bCs/>
      <w:sz w:val="20"/>
      <w:szCs w:val="20"/>
    </w:rPr>
  </w:style>
  <w:style w:type="character" w:customStyle="1" w:styleId="CommentSubjectChar">
    <w:name w:val="Comment Subject Char"/>
    <w:basedOn w:val="CommentTextChar"/>
    <w:link w:val="CommentSubject"/>
    <w:uiPriority w:val="99"/>
    <w:semiHidden/>
    <w:rsid w:val="002F3507"/>
    <w:rPr>
      <w:rFonts w:ascii="Times New Roman" w:eastAsiaTheme="minorHAnsi" w:hAnsi="Times New Roman"/>
      <w:b/>
      <w:bCs/>
      <w:sz w:val="20"/>
      <w:szCs w:val="20"/>
    </w:rPr>
  </w:style>
  <w:style w:type="character" w:customStyle="1" w:styleId="ListParagraphChar">
    <w:name w:val="List Paragraph Char"/>
    <w:basedOn w:val="DefaultParagraphFont"/>
    <w:link w:val="ListParagraph"/>
    <w:uiPriority w:val="34"/>
    <w:rsid w:val="00D60487"/>
    <w:rPr>
      <w:rFonts w:ascii="Times New Roman" w:eastAsia="Calibri" w:hAnsi="Times New Roman" w:cs="Times New Roman"/>
      <w:szCs w:val="22"/>
    </w:rPr>
  </w:style>
  <w:style w:type="paragraph" w:styleId="Revision">
    <w:name w:val="Revision"/>
    <w:hidden/>
    <w:uiPriority w:val="99"/>
    <w:semiHidden/>
    <w:rsid w:val="00A626D8"/>
    <w:rPr>
      <w:rFonts w:ascii="Times New Roman" w:eastAsiaTheme="minorHAnsi" w:hAnsi="Times New Roman"/>
      <w:szCs w:val="22"/>
    </w:rPr>
  </w:style>
  <w:style w:type="paragraph" w:styleId="Caption">
    <w:name w:val="caption"/>
    <w:basedOn w:val="Normal"/>
    <w:next w:val="Normal"/>
    <w:uiPriority w:val="35"/>
    <w:unhideWhenUsed/>
    <w:qFormat/>
    <w:rsid w:val="00E96455"/>
    <w:pPr>
      <w:spacing w:before="0" w:after="200"/>
    </w:pPr>
    <w:rPr>
      <w:b/>
      <w:bCs/>
      <w:color w:val="4F81BD" w:themeColor="accent1"/>
      <w:sz w:val="18"/>
      <w:szCs w:val="18"/>
    </w:rPr>
  </w:style>
  <w:style w:type="paragraph" w:customStyle="1" w:styleId="Paragraph">
    <w:name w:val="Paragraph"/>
    <w:aliases w:val="paragraph,p,PARAGRAPH,PG,pa,at"/>
    <w:basedOn w:val="BodyTextIndent"/>
    <w:link w:val="ParagraphChar"/>
    <w:rsid w:val="000B655B"/>
    <w:pPr>
      <w:tabs>
        <w:tab w:val="num" w:pos="720"/>
      </w:tabs>
      <w:ind w:left="720" w:hanging="720"/>
      <w:jc w:val="both"/>
      <w:outlineLvl w:val="1"/>
    </w:pPr>
    <w:rPr>
      <w:rFonts w:eastAsia="Times New Roman" w:cs="Times New Roman"/>
      <w:szCs w:val="20"/>
      <w:lang w:val="es-ES"/>
    </w:rPr>
  </w:style>
  <w:style w:type="character" w:customStyle="1" w:styleId="ParagraphChar">
    <w:name w:val="Paragraph Char"/>
    <w:basedOn w:val="DefaultParagraphFont"/>
    <w:link w:val="Paragraph"/>
    <w:rsid w:val="000B655B"/>
    <w:rPr>
      <w:rFonts w:ascii="Times New Roman" w:eastAsia="Times New Roman" w:hAnsi="Times New Roman" w:cs="Times New Roman"/>
      <w:szCs w:val="20"/>
      <w:lang w:val="es-ES"/>
    </w:rPr>
  </w:style>
  <w:style w:type="paragraph" w:styleId="BodyTextIndent">
    <w:name w:val="Body Text Indent"/>
    <w:basedOn w:val="Normal"/>
    <w:link w:val="BodyTextIndentChar"/>
    <w:uiPriority w:val="99"/>
    <w:semiHidden/>
    <w:unhideWhenUsed/>
    <w:rsid w:val="000B655B"/>
    <w:pPr>
      <w:spacing w:after="120"/>
      <w:ind w:left="360"/>
    </w:pPr>
  </w:style>
  <w:style w:type="character" w:customStyle="1" w:styleId="BodyTextIndentChar">
    <w:name w:val="Body Text Indent Char"/>
    <w:basedOn w:val="DefaultParagraphFont"/>
    <w:link w:val="BodyTextIndent"/>
    <w:uiPriority w:val="99"/>
    <w:semiHidden/>
    <w:rsid w:val="000B655B"/>
    <w:rPr>
      <w:rFonts w:ascii="Times New Roman" w:eastAsiaTheme="minorHAnsi" w:hAnsi="Times New Roman"/>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097856">
      <w:bodyDiv w:val="1"/>
      <w:marLeft w:val="0"/>
      <w:marRight w:val="0"/>
      <w:marTop w:val="0"/>
      <w:marBottom w:val="0"/>
      <w:divBdr>
        <w:top w:val="none" w:sz="0" w:space="0" w:color="auto"/>
        <w:left w:val="none" w:sz="0" w:space="0" w:color="auto"/>
        <w:bottom w:val="none" w:sz="0" w:space="0" w:color="auto"/>
        <w:right w:val="none" w:sz="0" w:space="0" w:color="auto"/>
      </w:divBdr>
    </w:div>
    <w:div w:id="380638522">
      <w:bodyDiv w:val="1"/>
      <w:marLeft w:val="0"/>
      <w:marRight w:val="0"/>
      <w:marTop w:val="0"/>
      <w:marBottom w:val="0"/>
      <w:divBdr>
        <w:top w:val="none" w:sz="0" w:space="0" w:color="auto"/>
        <w:left w:val="none" w:sz="0" w:space="0" w:color="auto"/>
        <w:bottom w:val="none" w:sz="0" w:space="0" w:color="auto"/>
        <w:right w:val="none" w:sz="0" w:space="0" w:color="auto"/>
      </w:divBdr>
    </w:div>
    <w:div w:id="501820504">
      <w:bodyDiv w:val="1"/>
      <w:marLeft w:val="0"/>
      <w:marRight w:val="0"/>
      <w:marTop w:val="0"/>
      <w:marBottom w:val="0"/>
      <w:divBdr>
        <w:top w:val="none" w:sz="0" w:space="0" w:color="auto"/>
        <w:left w:val="none" w:sz="0" w:space="0" w:color="auto"/>
        <w:bottom w:val="none" w:sz="0" w:space="0" w:color="auto"/>
        <w:right w:val="none" w:sz="0" w:space="0" w:color="auto"/>
      </w:divBdr>
    </w:div>
    <w:div w:id="610627446">
      <w:bodyDiv w:val="1"/>
      <w:marLeft w:val="0"/>
      <w:marRight w:val="0"/>
      <w:marTop w:val="0"/>
      <w:marBottom w:val="0"/>
      <w:divBdr>
        <w:top w:val="none" w:sz="0" w:space="0" w:color="auto"/>
        <w:left w:val="none" w:sz="0" w:space="0" w:color="auto"/>
        <w:bottom w:val="none" w:sz="0" w:space="0" w:color="auto"/>
        <w:right w:val="none" w:sz="0" w:space="0" w:color="auto"/>
      </w:divBdr>
    </w:div>
    <w:div w:id="824467016">
      <w:bodyDiv w:val="1"/>
      <w:marLeft w:val="0"/>
      <w:marRight w:val="0"/>
      <w:marTop w:val="0"/>
      <w:marBottom w:val="0"/>
      <w:divBdr>
        <w:top w:val="none" w:sz="0" w:space="0" w:color="auto"/>
        <w:left w:val="none" w:sz="0" w:space="0" w:color="auto"/>
        <w:bottom w:val="none" w:sz="0" w:space="0" w:color="auto"/>
        <w:right w:val="none" w:sz="0" w:space="0" w:color="auto"/>
      </w:divBdr>
    </w:div>
    <w:div w:id="843521356">
      <w:bodyDiv w:val="1"/>
      <w:marLeft w:val="0"/>
      <w:marRight w:val="0"/>
      <w:marTop w:val="0"/>
      <w:marBottom w:val="0"/>
      <w:divBdr>
        <w:top w:val="none" w:sz="0" w:space="0" w:color="auto"/>
        <w:left w:val="none" w:sz="0" w:space="0" w:color="auto"/>
        <w:bottom w:val="none" w:sz="0" w:space="0" w:color="auto"/>
        <w:right w:val="none" w:sz="0" w:space="0" w:color="auto"/>
      </w:divBdr>
    </w:div>
    <w:div w:id="872353095">
      <w:bodyDiv w:val="1"/>
      <w:marLeft w:val="0"/>
      <w:marRight w:val="0"/>
      <w:marTop w:val="0"/>
      <w:marBottom w:val="0"/>
      <w:divBdr>
        <w:top w:val="none" w:sz="0" w:space="0" w:color="auto"/>
        <w:left w:val="none" w:sz="0" w:space="0" w:color="auto"/>
        <w:bottom w:val="none" w:sz="0" w:space="0" w:color="auto"/>
        <w:right w:val="none" w:sz="0" w:space="0" w:color="auto"/>
      </w:divBdr>
    </w:div>
    <w:div w:id="874149891">
      <w:bodyDiv w:val="1"/>
      <w:marLeft w:val="0"/>
      <w:marRight w:val="0"/>
      <w:marTop w:val="0"/>
      <w:marBottom w:val="0"/>
      <w:divBdr>
        <w:top w:val="none" w:sz="0" w:space="0" w:color="auto"/>
        <w:left w:val="none" w:sz="0" w:space="0" w:color="auto"/>
        <w:bottom w:val="none" w:sz="0" w:space="0" w:color="auto"/>
        <w:right w:val="none" w:sz="0" w:space="0" w:color="auto"/>
      </w:divBdr>
    </w:div>
    <w:div w:id="955721956">
      <w:bodyDiv w:val="1"/>
      <w:marLeft w:val="0"/>
      <w:marRight w:val="0"/>
      <w:marTop w:val="0"/>
      <w:marBottom w:val="0"/>
      <w:divBdr>
        <w:top w:val="none" w:sz="0" w:space="0" w:color="auto"/>
        <w:left w:val="none" w:sz="0" w:space="0" w:color="auto"/>
        <w:bottom w:val="none" w:sz="0" w:space="0" w:color="auto"/>
        <w:right w:val="none" w:sz="0" w:space="0" w:color="auto"/>
      </w:divBdr>
    </w:div>
    <w:div w:id="1077556685">
      <w:bodyDiv w:val="1"/>
      <w:marLeft w:val="0"/>
      <w:marRight w:val="0"/>
      <w:marTop w:val="0"/>
      <w:marBottom w:val="0"/>
      <w:divBdr>
        <w:top w:val="none" w:sz="0" w:space="0" w:color="auto"/>
        <w:left w:val="none" w:sz="0" w:space="0" w:color="auto"/>
        <w:bottom w:val="none" w:sz="0" w:space="0" w:color="auto"/>
        <w:right w:val="none" w:sz="0" w:space="0" w:color="auto"/>
      </w:divBdr>
    </w:div>
    <w:div w:id="1161038807">
      <w:bodyDiv w:val="1"/>
      <w:marLeft w:val="0"/>
      <w:marRight w:val="0"/>
      <w:marTop w:val="0"/>
      <w:marBottom w:val="0"/>
      <w:divBdr>
        <w:top w:val="none" w:sz="0" w:space="0" w:color="auto"/>
        <w:left w:val="none" w:sz="0" w:space="0" w:color="auto"/>
        <w:bottom w:val="none" w:sz="0" w:space="0" w:color="auto"/>
        <w:right w:val="none" w:sz="0" w:space="0" w:color="auto"/>
      </w:divBdr>
    </w:div>
    <w:div w:id="1245215380">
      <w:bodyDiv w:val="1"/>
      <w:marLeft w:val="0"/>
      <w:marRight w:val="0"/>
      <w:marTop w:val="0"/>
      <w:marBottom w:val="0"/>
      <w:divBdr>
        <w:top w:val="none" w:sz="0" w:space="0" w:color="auto"/>
        <w:left w:val="none" w:sz="0" w:space="0" w:color="auto"/>
        <w:bottom w:val="none" w:sz="0" w:space="0" w:color="auto"/>
        <w:right w:val="none" w:sz="0" w:space="0" w:color="auto"/>
      </w:divBdr>
    </w:div>
    <w:div w:id="1445342497">
      <w:bodyDiv w:val="1"/>
      <w:marLeft w:val="0"/>
      <w:marRight w:val="0"/>
      <w:marTop w:val="0"/>
      <w:marBottom w:val="0"/>
      <w:divBdr>
        <w:top w:val="none" w:sz="0" w:space="0" w:color="auto"/>
        <w:left w:val="none" w:sz="0" w:space="0" w:color="auto"/>
        <w:bottom w:val="none" w:sz="0" w:space="0" w:color="auto"/>
        <w:right w:val="none" w:sz="0" w:space="0" w:color="auto"/>
      </w:divBdr>
    </w:div>
    <w:div w:id="1511261859">
      <w:bodyDiv w:val="1"/>
      <w:marLeft w:val="0"/>
      <w:marRight w:val="0"/>
      <w:marTop w:val="0"/>
      <w:marBottom w:val="0"/>
      <w:divBdr>
        <w:top w:val="none" w:sz="0" w:space="0" w:color="auto"/>
        <w:left w:val="none" w:sz="0" w:space="0" w:color="auto"/>
        <w:bottom w:val="none" w:sz="0" w:space="0" w:color="auto"/>
        <w:right w:val="none" w:sz="0" w:space="0" w:color="auto"/>
      </w:divBdr>
    </w:div>
    <w:div w:id="1530798751">
      <w:bodyDiv w:val="1"/>
      <w:marLeft w:val="0"/>
      <w:marRight w:val="0"/>
      <w:marTop w:val="0"/>
      <w:marBottom w:val="0"/>
      <w:divBdr>
        <w:top w:val="none" w:sz="0" w:space="0" w:color="auto"/>
        <w:left w:val="none" w:sz="0" w:space="0" w:color="auto"/>
        <w:bottom w:val="none" w:sz="0" w:space="0" w:color="auto"/>
        <w:right w:val="none" w:sz="0" w:space="0" w:color="auto"/>
      </w:divBdr>
    </w:div>
    <w:div w:id="1927227619">
      <w:bodyDiv w:val="1"/>
      <w:marLeft w:val="0"/>
      <w:marRight w:val="0"/>
      <w:marTop w:val="0"/>
      <w:marBottom w:val="0"/>
      <w:divBdr>
        <w:top w:val="none" w:sz="0" w:space="0" w:color="auto"/>
        <w:left w:val="none" w:sz="0" w:space="0" w:color="auto"/>
        <w:bottom w:val="none" w:sz="0" w:space="0" w:color="auto"/>
        <w:right w:val="none" w:sz="0" w:space="0" w:color="auto"/>
      </w:divBdr>
    </w:div>
    <w:div w:id="20557345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chart" Target="charts/chart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emf"/><Relationship Id="rId25"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5.emf"/><Relationship Id="rId28" Type="http://schemas.openxmlformats.org/officeDocument/2006/relationships/header" Target="header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Workbook5"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18"/>
    </mc:Choice>
    <mc:Fallback>
      <c:style val="18"/>
    </mc:Fallback>
  </mc:AlternateContent>
  <c:chart>
    <c:autoTitleDeleted val="0"/>
    <c:plotArea>
      <c:layout/>
      <c:lineChart>
        <c:grouping val="standard"/>
        <c:varyColors val="0"/>
        <c:ser>
          <c:idx val="0"/>
          <c:order val="0"/>
          <c:marker>
            <c:symbol val="none"/>
          </c:marker>
          <c:dLbls>
            <c:spPr>
              <a:noFill/>
              <a:ln>
                <a:noFill/>
              </a:ln>
              <a:effectLst/>
            </c:spPr>
            <c:txPr>
              <a:bodyPr/>
              <a:lstStyle/>
              <a:p>
                <a:pPr>
                  <a:defRPr sz="800">
                    <a:latin typeface="Arial"/>
                    <a:cs typeface="Arial"/>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Sheet2!$B$2:$P$2</c:f>
              <c:numCache>
                <c:formatCode>General</c:formatCode>
                <c:ptCount val="15"/>
                <c:pt idx="0">
                  <c:v>2011</c:v>
                </c:pt>
                <c:pt idx="1">
                  <c:v>2012</c:v>
                </c:pt>
                <c:pt idx="2">
                  <c:v>2013</c:v>
                </c:pt>
                <c:pt idx="3">
                  <c:v>2014</c:v>
                </c:pt>
                <c:pt idx="4">
                  <c:v>2015</c:v>
                </c:pt>
                <c:pt idx="5">
                  <c:v>2016</c:v>
                </c:pt>
                <c:pt idx="6">
                  <c:v>2017</c:v>
                </c:pt>
                <c:pt idx="7">
                  <c:v>2018</c:v>
                </c:pt>
                <c:pt idx="8">
                  <c:v>2019</c:v>
                </c:pt>
                <c:pt idx="9">
                  <c:v>2020</c:v>
                </c:pt>
                <c:pt idx="10">
                  <c:v>2021</c:v>
                </c:pt>
                <c:pt idx="11">
                  <c:v>2022</c:v>
                </c:pt>
                <c:pt idx="12">
                  <c:v>2023</c:v>
                </c:pt>
                <c:pt idx="13">
                  <c:v>2024</c:v>
                </c:pt>
                <c:pt idx="14">
                  <c:v>2025</c:v>
                </c:pt>
              </c:numCache>
            </c:numRef>
          </c:cat>
          <c:val>
            <c:numRef>
              <c:f>Sheet2!$B$3:$P$3</c:f>
              <c:numCache>
                <c:formatCode>General</c:formatCode>
                <c:ptCount val="15"/>
                <c:pt idx="0">
                  <c:v>140</c:v>
                </c:pt>
                <c:pt idx="1">
                  <c:v>140</c:v>
                </c:pt>
                <c:pt idx="2">
                  <c:v>140</c:v>
                </c:pt>
                <c:pt idx="3">
                  <c:v>153</c:v>
                </c:pt>
                <c:pt idx="4">
                  <c:v>124</c:v>
                </c:pt>
                <c:pt idx="5">
                  <c:v>71</c:v>
                </c:pt>
                <c:pt idx="6">
                  <c:v>45</c:v>
                </c:pt>
                <c:pt idx="7">
                  <c:v>46</c:v>
                </c:pt>
                <c:pt idx="8">
                  <c:v>69</c:v>
                </c:pt>
                <c:pt idx="9">
                  <c:v>90</c:v>
                </c:pt>
                <c:pt idx="10">
                  <c:v>114</c:v>
                </c:pt>
                <c:pt idx="11">
                  <c:v>111</c:v>
                </c:pt>
                <c:pt idx="12">
                  <c:v>107</c:v>
                </c:pt>
                <c:pt idx="13">
                  <c:v>113</c:v>
                </c:pt>
                <c:pt idx="14">
                  <c:v>80</c:v>
                </c:pt>
              </c:numCache>
            </c:numRef>
          </c:val>
          <c:smooth val="0"/>
          <c:extLst>
            <c:ext xmlns:c16="http://schemas.microsoft.com/office/drawing/2014/chart" uri="{C3380CC4-5D6E-409C-BE32-E72D297353CC}">
              <c16:uniqueId val="{00000000-3B14-4BC2-A3DA-697D2E51761D}"/>
            </c:ext>
          </c:extLst>
        </c:ser>
        <c:dLbls>
          <c:showLegendKey val="0"/>
          <c:showVal val="0"/>
          <c:showCatName val="0"/>
          <c:showSerName val="0"/>
          <c:showPercent val="0"/>
          <c:showBubbleSize val="0"/>
        </c:dLbls>
        <c:smooth val="0"/>
        <c:axId val="-2112973656"/>
        <c:axId val="-2122569320"/>
      </c:lineChart>
      <c:catAx>
        <c:axId val="-2112973656"/>
        <c:scaling>
          <c:orientation val="minMax"/>
        </c:scaling>
        <c:delete val="0"/>
        <c:axPos val="b"/>
        <c:numFmt formatCode="General" sourceLinked="1"/>
        <c:majorTickMark val="out"/>
        <c:minorTickMark val="none"/>
        <c:tickLblPos val="nextTo"/>
        <c:txPr>
          <a:bodyPr/>
          <a:lstStyle/>
          <a:p>
            <a:pPr>
              <a:defRPr sz="900">
                <a:latin typeface="Arial"/>
                <a:cs typeface="Arial"/>
              </a:defRPr>
            </a:pPr>
            <a:endParaRPr lang="en-US"/>
          </a:p>
        </c:txPr>
        <c:crossAx val="-2122569320"/>
        <c:crosses val="autoZero"/>
        <c:auto val="1"/>
        <c:lblAlgn val="ctr"/>
        <c:lblOffset val="100"/>
        <c:noMultiLvlLbl val="0"/>
      </c:catAx>
      <c:valAx>
        <c:axId val="-2122569320"/>
        <c:scaling>
          <c:orientation val="minMax"/>
        </c:scaling>
        <c:delete val="0"/>
        <c:axPos val="l"/>
        <c:title>
          <c:tx>
            <c:rich>
              <a:bodyPr rot="-5400000" vert="horz"/>
              <a:lstStyle/>
              <a:p>
                <a:pPr>
                  <a:defRPr>
                    <a:latin typeface="Arial"/>
                    <a:cs typeface="Arial"/>
                  </a:defRPr>
                </a:pPr>
                <a:r>
                  <a:rPr lang="en-US">
                    <a:latin typeface="Arial"/>
                    <a:cs typeface="Arial"/>
                  </a:rPr>
                  <a:t>$/MWh</a:t>
                </a:r>
              </a:p>
            </c:rich>
          </c:tx>
          <c:overlay val="0"/>
        </c:title>
        <c:numFmt formatCode="General" sourceLinked="1"/>
        <c:majorTickMark val="out"/>
        <c:minorTickMark val="none"/>
        <c:tickLblPos val="nextTo"/>
        <c:txPr>
          <a:bodyPr/>
          <a:lstStyle/>
          <a:p>
            <a:pPr>
              <a:defRPr>
                <a:latin typeface="Arial"/>
                <a:cs typeface="Arial"/>
              </a:defRPr>
            </a:pPr>
            <a:endParaRPr lang="en-US"/>
          </a:p>
        </c:txPr>
        <c:crossAx val="-211297365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C989E-CC44-4ACB-96C5-94E164F8D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4549</Words>
  <Characters>25933</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 Lecaros</dc:creator>
  <cp:lastModifiedBy>Aragon Salinas, Rodrigo Nicolas</cp:lastModifiedBy>
  <cp:revision>2</cp:revision>
  <dcterms:created xsi:type="dcterms:W3CDTF">2017-08-17T01:01:00Z</dcterms:created>
  <dcterms:modified xsi:type="dcterms:W3CDTF">2017-08-17T01:01:00Z</dcterms:modified>
</cp:coreProperties>
</file>