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36206" w14:textId="77777777" w:rsidR="005B72F7" w:rsidRPr="003D2F44" w:rsidRDefault="005B72F7" w:rsidP="00373527">
      <w:pPr>
        <w:pStyle w:val="Title"/>
        <w:tabs>
          <w:tab w:val="clear" w:pos="1440"/>
          <w:tab w:val="clear" w:pos="3060"/>
        </w:tabs>
        <w:outlineLvl w:val="9"/>
        <w:rPr>
          <w:smallCaps/>
          <w:szCs w:val="24"/>
          <w:lang w:val="es-ES_tradnl"/>
        </w:rPr>
      </w:pPr>
      <w:r w:rsidRPr="003D2F44">
        <w:rPr>
          <w:smallCaps/>
          <w:szCs w:val="24"/>
          <w:lang w:val="es-ES_tradnl"/>
        </w:rPr>
        <w:t>Documento del Banco Interamericano de Desarrollo</w:t>
      </w:r>
    </w:p>
    <w:p w14:paraId="6FC44902" w14:textId="77777777" w:rsidR="005B72F7" w:rsidRPr="003D2F44" w:rsidRDefault="005B72F7" w:rsidP="00373527">
      <w:pPr>
        <w:ind w:left="1080"/>
        <w:jc w:val="center"/>
        <w:rPr>
          <w:b/>
          <w:szCs w:val="24"/>
        </w:rPr>
      </w:pPr>
    </w:p>
    <w:p w14:paraId="5831C0D8" w14:textId="77777777" w:rsidR="005B72F7" w:rsidRPr="003D2F44" w:rsidRDefault="005B72F7" w:rsidP="00373527">
      <w:pPr>
        <w:tabs>
          <w:tab w:val="left" w:pos="1440"/>
          <w:tab w:val="left" w:pos="3060"/>
        </w:tabs>
        <w:jc w:val="center"/>
        <w:rPr>
          <w:b/>
          <w:smallCaps/>
          <w:szCs w:val="24"/>
        </w:rPr>
      </w:pPr>
    </w:p>
    <w:p w14:paraId="07C006B3" w14:textId="77777777" w:rsidR="005B72F7" w:rsidRPr="003D2F44" w:rsidRDefault="005B72F7" w:rsidP="00373527">
      <w:pPr>
        <w:tabs>
          <w:tab w:val="left" w:pos="1440"/>
          <w:tab w:val="left" w:pos="3060"/>
        </w:tabs>
        <w:jc w:val="center"/>
        <w:rPr>
          <w:b/>
          <w:smallCaps/>
          <w:szCs w:val="24"/>
        </w:rPr>
      </w:pPr>
    </w:p>
    <w:p w14:paraId="6CCDA78A" w14:textId="77777777" w:rsidR="005B72F7" w:rsidRPr="003D2F44" w:rsidRDefault="005B72F7" w:rsidP="00373527">
      <w:pPr>
        <w:tabs>
          <w:tab w:val="left" w:pos="1440"/>
          <w:tab w:val="left" w:pos="3060"/>
        </w:tabs>
        <w:jc w:val="center"/>
        <w:rPr>
          <w:b/>
          <w:smallCaps/>
          <w:szCs w:val="24"/>
        </w:rPr>
      </w:pPr>
    </w:p>
    <w:p w14:paraId="28A140E9" w14:textId="77777777" w:rsidR="005B72F7" w:rsidRPr="003D2F44" w:rsidRDefault="005B72F7" w:rsidP="00373527">
      <w:pPr>
        <w:tabs>
          <w:tab w:val="left" w:pos="1440"/>
          <w:tab w:val="left" w:pos="3060"/>
        </w:tabs>
        <w:jc w:val="center"/>
        <w:rPr>
          <w:b/>
          <w:smallCaps/>
          <w:szCs w:val="24"/>
        </w:rPr>
      </w:pPr>
    </w:p>
    <w:p w14:paraId="4D43F426" w14:textId="77777777" w:rsidR="005B72F7" w:rsidRPr="003D2F44" w:rsidRDefault="005B72F7" w:rsidP="00373527">
      <w:pPr>
        <w:tabs>
          <w:tab w:val="left" w:pos="1440"/>
          <w:tab w:val="left" w:pos="3060"/>
        </w:tabs>
        <w:jc w:val="center"/>
        <w:rPr>
          <w:b/>
          <w:smallCaps/>
          <w:szCs w:val="24"/>
        </w:rPr>
      </w:pPr>
    </w:p>
    <w:p w14:paraId="42FA36E9" w14:textId="77777777" w:rsidR="005B72F7" w:rsidRPr="003D2F44" w:rsidRDefault="005B72F7" w:rsidP="00373527">
      <w:pPr>
        <w:tabs>
          <w:tab w:val="left" w:pos="1440"/>
          <w:tab w:val="left" w:pos="3060"/>
        </w:tabs>
        <w:jc w:val="center"/>
        <w:rPr>
          <w:b/>
          <w:smallCaps/>
          <w:szCs w:val="24"/>
        </w:rPr>
      </w:pPr>
    </w:p>
    <w:p w14:paraId="14197212" w14:textId="77777777" w:rsidR="005B72F7" w:rsidRPr="003D2F44" w:rsidRDefault="005B72F7" w:rsidP="00373527">
      <w:pPr>
        <w:tabs>
          <w:tab w:val="left" w:pos="1440"/>
          <w:tab w:val="left" w:pos="3060"/>
        </w:tabs>
        <w:jc w:val="center"/>
        <w:rPr>
          <w:b/>
          <w:smallCaps/>
          <w:szCs w:val="24"/>
        </w:rPr>
      </w:pPr>
    </w:p>
    <w:p w14:paraId="2F39E5D2" w14:textId="77777777" w:rsidR="005B72F7" w:rsidRPr="003D2F44" w:rsidRDefault="005B72F7" w:rsidP="00373527">
      <w:pPr>
        <w:tabs>
          <w:tab w:val="left" w:pos="1440"/>
          <w:tab w:val="left" w:pos="3060"/>
        </w:tabs>
        <w:jc w:val="center"/>
        <w:rPr>
          <w:b/>
          <w:smallCaps/>
          <w:szCs w:val="24"/>
        </w:rPr>
      </w:pPr>
      <w:r w:rsidRPr="003D2F44">
        <w:rPr>
          <w:b/>
          <w:smallCaps/>
          <w:szCs w:val="24"/>
        </w:rPr>
        <w:t>República de Nicaragua</w:t>
      </w:r>
    </w:p>
    <w:p w14:paraId="5B32757D" w14:textId="77777777" w:rsidR="005B72F7" w:rsidRPr="003D2F44" w:rsidRDefault="005B72F7" w:rsidP="00373527">
      <w:pPr>
        <w:tabs>
          <w:tab w:val="left" w:pos="1440"/>
          <w:tab w:val="left" w:pos="3060"/>
        </w:tabs>
        <w:jc w:val="center"/>
        <w:rPr>
          <w:smallCaps/>
          <w:szCs w:val="24"/>
          <w:highlight w:val="lightGray"/>
        </w:rPr>
      </w:pPr>
    </w:p>
    <w:p w14:paraId="39D23233" w14:textId="77777777" w:rsidR="005B72F7" w:rsidRPr="003D2F44" w:rsidRDefault="005B72F7" w:rsidP="00373527">
      <w:pPr>
        <w:tabs>
          <w:tab w:val="left" w:pos="1440"/>
          <w:tab w:val="left" w:pos="3060"/>
        </w:tabs>
        <w:jc w:val="center"/>
        <w:rPr>
          <w:b/>
          <w:smallCaps/>
          <w:szCs w:val="24"/>
          <w:highlight w:val="lightGray"/>
        </w:rPr>
      </w:pPr>
    </w:p>
    <w:p w14:paraId="4FDC96AF" w14:textId="77777777" w:rsidR="005B72F7" w:rsidRPr="003D2F44" w:rsidRDefault="005B72F7" w:rsidP="00373527">
      <w:pPr>
        <w:tabs>
          <w:tab w:val="left" w:pos="1440"/>
          <w:tab w:val="left" w:pos="3060"/>
        </w:tabs>
        <w:jc w:val="center"/>
        <w:rPr>
          <w:b/>
          <w:smallCaps/>
          <w:szCs w:val="24"/>
          <w:highlight w:val="lightGray"/>
        </w:rPr>
      </w:pPr>
    </w:p>
    <w:p w14:paraId="5C8D8E57" w14:textId="77777777" w:rsidR="005B72F7" w:rsidRPr="003D2F44" w:rsidRDefault="005B72F7" w:rsidP="00373527">
      <w:pPr>
        <w:tabs>
          <w:tab w:val="left" w:pos="1440"/>
          <w:tab w:val="left" w:pos="3060"/>
        </w:tabs>
        <w:jc w:val="center"/>
        <w:rPr>
          <w:b/>
          <w:smallCaps/>
          <w:szCs w:val="24"/>
          <w:highlight w:val="lightGray"/>
        </w:rPr>
      </w:pPr>
    </w:p>
    <w:p w14:paraId="3D9A867C" w14:textId="77777777" w:rsidR="005B72F7" w:rsidRPr="003D2F44" w:rsidRDefault="005B72F7" w:rsidP="00373527">
      <w:pPr>
        <w:tabs>
          <w:tab w:val="left" w:pos="1440"/>
          <w:tab w:val="left" w:pos="3060"/>
        </w:tabs>
        <w:jc w:val="center"/>
        <w:rPr>
          <w:b/>
          <w:smallCaps/>
          <w:szCs w:val="24"/>
          <w:highlight w:val="lightGray"/>
        </w:rPr>
      </w:pPr>
    </w:p>
    <w:p w14:paraId="6C260595" w14:textId="62C9E1C4" w:rsidR="005B72F7" w:rsidRDefault="005B72F7" w:rsidP="00373527">
      <w:pPr>
        <w:tabs>
          <w:tab w:val="left" w:pos="1440"/>
          <w:tab w:val="left" w:pos="3060"/>
        </w:tabs>
        <w:jc w:val="center"/>
        <w:rPr>
          <w:b/>
          <w:bCs/>
          <w:smallCaps/>
          <w:szCs w:val="24"/>
        </w:rPr>
      </w:pPr>
      <w:r w:rsidRPr="003D2F44">
        <w:rPr>
          <w:b/>
          <w:bCs/>
          <w:smallCaps/>
          <w:szCs w:val="24"/>
        </w:rPr>
        <w:t>PROGRAMA PARA FORTALECER EL SECTOR ELÉCTRICO EN NICARAGUA</w:t>
      </w:r>
      <w:r w:rsidR="000750F8">
        <w:rPr>
          <w:b/>
          <w:bCs/>
          <w:smallCaps/>
          <w:szCs w:val="24"/>
        </w:rPr>
        <w:t xml:space="preserve"> II</w:t>
      </w:r>
      <w:r w:rsidR="00712313">
        <w:rPr>
          <w:b/>
          <w:bCs/>
          <w:smallCaps/>
          <w:szCs w:val="24"/>
        </w:rPr>
        <w:t>I</w:t>
      </w:r>
    </w:p>
    <w:p w14:paraId="09B10A5C" w14:textId="77777777" w:rsidR="000750F8" w:rsidRPr="003D2F44" w:rsidRDefault="000750F8" w:rsidP="00373527">
      <w:pPr>
        <w:tabs>
          <w:tab w:val="left" w:pos="1440"/>
          <w:tab w:val="left" w:pos="3060"/>
        </w:tabs>
        <w:jc w:val="center"/>
        <w:rPr>
          <w:b/>
          <w:bCs/>
          <w:smallCaps/>
          <w:szCs w:val="24"/>
        </w:rPr>
      </w:pPr>
    </w:p>
    <w:p w14:paraId="67E72E2E" w14:textId="77777777" w:rsidR="005B72F7" w:rsidRPr="003D2F44" w:rsidRDefault="005B72F7" w:rsidP="00373527">
      <w:pPr>
        <w:tabs>
          <w:tab w:val="left" w:pos="1440"/>
          <w:tab w:val="left" w:pos="3060"/>
        </w:tabs>
        <w:jc w:val="center"/>
        <w:rPr>
          <w:b/>
          <w:bCs/>
          <w:smallCaps/>
          <w:sz w:val="32"/>
          <w:szCs w:val="32"/>
        </w:rPr>
      </w:pPr>
    </w:p>
    <w:p w14:paraId="2AE394D8" w14:textId="77777777" w:rsidR="005B72F7" w:rsidRPr="003D2F44" w:rsidRDefault="005B72F7" w:rsidP="00373527">
      <w:pPr>
        <w:tabs>
          <w:tab w:val="left" w:pos="1440"/>
          <w:tab w:val="left" w:pos="3060"/>
        </w:tabs>
        <w:jc w:val="center"/>
        <w:rPr>
          <w:b/>
          <w:bCs/>
          <w:smallCaps/>
          <w:sz w:val="32"/>
          <w:szCs w:val="32"/>
        </w:rPr>
      </w:pPr>
    </w:p>
    <w:p w14:paraId="77D1FF27" w14:textId="77777777" w:rsidR="005B72F7" w:rsidRPr="003D2F44" w:rsidRDefault="005B72F7" w:rsidP="00373527">
      <w:pPr>
        <w:tabs>
          <w:tab w:val="left" w:pos="1440"/>
          <w:tab w:val="left" w:pos="3060"/>
        </w:tabs>
        <w:jc w:val="center"/>
        <w:rPr>
          <w:b/>
          <w:bCs/>
          <w:smallCaps/>
          <w:sz w:val="32"/>
          <w:szCs w:val="32"/>
        </w:rPr>
      </w:pPr>
    </w:p>
    <w:p w14:paraId="4E366F75" w14:textId="22EB764C" w:rsidR="005B72F7" w:rsidRPr="003D2F44" w:rsidRDefault="005B72F7" w:rsidP="00373527">
      <w:pPr>
        <w:tabs>
          <w:tab w:val="left" w:pos="1440"/>
          <w:tab w:val="left" w:pos="3060"/>
        </w:tabs>
        <w:jc w:val="center"/>
        <w:rPr>
          <w:b/>
          <w:bCs/>
          <w:smallCaps/>
          <w:sz w:val="32"/>
          <w:szCs w:val="32"/>
        </w:rPr>
      </w:pPr>
      <w:r w:rsidRPr="003D2F44">
        <w:rPr>
          <w:b/>
          <w:bCs/>
          <w:smallCaps/>
          <w:sz w:val="32"/>
          <w:szCs w:val="32"/>
        </w:rPr>
        <w:t>NI-L1</w:t>
      </w:r>
      <w:r w:rsidR="00712313">
        <w:rPr>
          <w:b/>
          <w:bCs/>
          <w:smallCaps/>
          <w:sz w:val="32"/>
          <w:szCs w:val="32"/>
        </w:rPr>
        <w:t>144</w:t>
      </w:r>
    </w:p>
    <w:p w14:paraId="195EB1C0" w14:textId="77777777" w:rsidR="005B72F7" w:rsidRPr="003D2F44" w:rsidRDefault="005B72F7" w:rsidP="00373527">
      <w:pPr>
        <w:pStyle w:val="Newpage"/>
        <w:rPr>
          <w:rFonts w:cs="Times New Roman"/>
          <w:b w:val="0"/>
          <w:caps/>
          <w:smallCaps w:val="0"/>
          <w:szCs w:val="24"/>
        </w:rPr>
      </w:pPr>
    </w:p>
    <w:p w14:paraId="60D5C8D9" w14:textId="77777777" w:rsidR="005B72F7" w:rsidRPr="003D2F44" w:rsidRDefault="005B72F7" w:rsidP="00373527">
      <w:pPr>
        <w:tabs>
          <w:tab w:val="left" w:pos="1440"/>
          <w:tab w:val="left" w:pos="3060"/>
        </w:tabs>
        <w:jc w:val="center"/>
        <w:rPr>
          <w:smallCaps/>
          <w:szCs w:val="24"/>
        </w:rPr>
      </w:pPr>
    </w:p>
    <w:p w14:paraId="04870C38" w14:textId="77777777" w:rsidR="005B72F7" w:rsidRPr="003D2F44" w:rsidRDefault="005B72F7" w:rsidP="00373527">
      <w:pPr>
        <w:tabs>
          <w:tab w:val="left" w:pos="1440"/>
          <w:tab w:val="left" w:pos="3060"/>
        </w:tabs>
        <w:jc w:val="center"/>
        <w:outlineLvl w:val="0"/>
        <w:rPr>
          <w:b/>
          <w:smallCaps/>
          <w:szCs w:val="24"/>
        </w:rPr>
      </w:pPr>
      <w:r w:rsidRPr="003D2F44">
        <w:rPr>
          <w:b/>
          <w:smallCaps/>
          <w:szCs w:val="24"/>
        </w:rPr>
        <w:t>Plan de Monitoreo y Evaluación</w:t>
      </w:r>
    </w:p>
    <w:p w14:paraId="2AD6C2D9" w14:textId="77777777" w:rsidR="005B72F7" w:rsidRPr="003D2F44" w:rsidRDefault="005B72F7" w:rsidP="00373527">
      <w:pPr>
        <w:jc w:val="center"/>
        <w:rPr>
          <w:smallCaps/>
          <w:szCs w:val="24"/>
        </w:rPr>
      </w:pPr>
      <w:r w:rsidRPr="003D2F44">
        <w:rPr>
          <w:smallCaps/>
          <w:szCs w:val="24"/>
        </w:rPr>
        <w:br w:type="page"/>
      </w:r>
      <w:r w:rsidRPr="003D2F44">
        <w:rPr>
          <w:smallCaps/>
          <w:szCs w:val="24"/>
        </w:rPr>
        <w:lastRenderedPageBreak/>
        <w:t>Índice</w:t>
      </w:r>
    </w:p>
    <w:p w14:paraId="0BFDC45E" w14:textId="77777777" w:rsidR="005B72F7" w:rsidRPr="003D2F44" w:rsidRDefault="005B72F7" w:rsidP="009B04BB">
      <w:pPr>
        <w:ind w:left="1080"/>
        <w:jc w:val="both"/>
        <w:rPr>
          <w:szCs w:val="24"/>
        </w:rPr>
      </w:pPr>
    </w:p>
    <w:p w14:paraId="21631335" w14:textId="77777777" w:rsidR="005B72F7" w:rsidRPr="003D2F44" w:rsidRDefault="005B72F7" w:rsidP="009B04BB">
      <w:pPr>
        <w:ind w:left="1080"/>
        <w:jc w:val="both"/>
        <w:rPr>
          <w:szCs w:val="24"/>
        </w:rPr>
      </w:pPr>
    </w:p>
    <w:p w14:paraId="70E48F8C" w14:textId="77777777" w:rsidR="005B72F7" w:rsidRPr="003D2F44" w:rsidRDefault="005B72F7" w:rsidP="009B04BB">
      <w:pPr>
        <w:jc w:val="both"/>
        <w:rPr>
          <w:szCs w:val="24"/>
        </w:rPr>
      </w:pPr>
    </w:p>
    <w:p w14:paraId="0B63F003" w14:textId="77777777" w:rsidR="005B72F7" w:rsidRPr="003D2F44" w:rsidRDefault="005B72F7" w:rsidP="009B04BB">
      <w:pPr>
        <w:jc w:val="both"/>
        <w:rPr>
          <w:szCs w:val="24"/>
        </w:rPr>
      </w:pPr>
    </w:p>
    <w:p w14:paraId="13FB6A33" w14:textId="77777777" w:rsidR="005B72F7" w:rsidRPr="003D2F44" w:rsidRDefault="005B72F7" w:rsidP="009B04BB">
      <w:pPr>
        <w:jc w:val="both"/>
        <w:rPr>
          <w:szCs w:val="24"/>
        </w:rPr>
      </w:pPr>
    </w:p>
    <w:p w14:paraId="2F25E877" w14:textId="77777777" w:rsidR="005B72F7" w:rsidRPr="003D2F44" w:rsidRDefault="005B72F7" w:rsidP="009B04BB">
      <w:pPr>
        <w:jc w:val="both"/>
        <w:rPr>
          <w:b/>
          <w:szCs w:val="24"/>
        </w:rPr>
      </w:pPr>
      <w:r w:rsidRPr="003D2F44">
        <w:rPr>
          <w:b/>
          <w:szCs w:val="24"/>
        </w:rPr>
        <w:t>Plan de Monitoreo y Evaluación</w:t>
      </w:r>
    </w:p>
    <w:p w14:paraId="5C53F113" w14:textId="77777777" w:rsidR="005B72F7" w:rsidRPr="003D2F44" w:rsidRDefault="005B72F7" w:rsidP="009B04BB">
      <w:pPr>
        <w:jc w:val="both"/>
        <w:rPr>
          <w:szCs w:val="24"/>
        </w:rPr>
      </w:pPr>
    </w:p>
    <w:p w14:paraId="1B54498F" w14:textId="77777777" w:rsidR="005B72F7" w:rsidRPr="003D2F44" w:rsidRDefault="009F3764" w:rsidP="00167968">
      <w:pPr>
        <w:numPr>
          <w:ilvl w:val="0"/>
          <w:numId w:val="1"/>
        </w:numPr>
        <w:contextualSpacing/>
        <w:jc w:val="both"/>
        <w:rPr>
          <w:szCs w:val="24"/>
        </w:rPr>
      </w:pPr>
      <w:r>
        <w:rPr>
          <w:szCs w:val="24"/>
        </w:rPr>
        <w:t>Introducción………………………………………………………………………</w:t>
      </w:r>
      <w:r w:rsidR="005B72F7" w:rsidRPr="003D2F44">
        <w:rPr>
          <w:szCs w:val="24"/>
        </w:rPr>
        <w:t>3</w:t>
      </w:r>
    </w:p>
    <w:p w14:paraId="0B96BCC2" w14:textId="77777777" w:rsidR="005B72F7" w:rsidRPr="003D2F44" w:rsidRDefault="005B72F7" w:rsidP="009B04BB">
      <w:pPr>
        <w:ind w:left="1080"/>
        <w:jc w:val="both"/>
        <w:rPr>
          <w:szCs w:val="24"/>
        </w:rPr>
      </w:pPr>
    </w:p>
    <w:p w14:paraId="30D40EBB" w14:textId="77777777" w:rsidR="005B72F7" w:rsidRPr="003D2F44" w:rsidRDefault="005B72F7" w:rsidP="00167968">
      <w:pPr>
        <w:numPr>
          <w:ilvl w:val="0"/>
          <w:numId w:val="1"/>
        </w:numPr>
        <w:contextualSpacing/>
        <w:jc w:val="both"/>
        <w:rPr>
          <w:szCs w:val="24"/>
        </w:rPr>
      </w:pPr>
      <w:r w:rsidRPr="003D2F44">
        <w:rPr>
          <w:szCs w:val="24"/>
        </w:rPr>
        <w:t>Monitoreo</w:t>
      </w:r>
    </w:p>
    <w:p w14:paraId="5245F4DF" w14:textId="77777777" w:rsidR="005B72F7" w:rsidRPr="009F3764" w:rsidRDefault="009F3764" w:rsidP="00167968">
      <w:pPr>
        <w:pStyle w:val="ListParagraph"/>
        <w:numPr>
          <w:ilvl w:val="1"/>
          <w:numId w:val="3"/>
        </w:numPr>
        <w:contextualSpacing/>
        <w:jc w:val="both"/>
        <w:rPr>
          <w:szCs w:val="24"/>
        </w:rPr>
      </w:pPr>
      <w:r>
        <w:rPr>
          <w:szCs w:val="24"/>
        </w:rPr>
        <w:t>Indicadores de Producto………………………………………………………</w:t>
      </w:r>
      <w:r w:rsidR="005B72F7" w:rsidRPr="009F3764">
        <w:rPr>
          <w:szCs w:val="24"/>
        </w:rPr>
        <w:t>3</w:t>
      </w:r>
    </w:p>
    <w:p w14:paraId="60D00027" w14:textId="77777777" w:rsidR="005B72F7" w:rsidRPr="003D2F44" w:rsidRDefault="005B72F7" w:rsidP="009B04BB">
      <w:pPr>
        <w:ind w:left="1440"/>
        <w:jc w:val="both"/>
        <w:rPr>
          <w:szCs w:val="24"/>
        </w:rPr>
      </w:pPr>
    </w:p>
    <w:p w14:paraId="26A2BCA6" w14:textId="77777777" w:rsidR="005B72F7" w:rsidRPr="003D2F44" w:rsidRDefault="009F3764" w:rsidP="00167968">
      <w:pPr>
        <w:numPr>
          <w:ilvl w:val="0"/>
          <w:numId w:val="1"/>
        </w:numPr>
        <w:contextualSpacing/>
        <w:jc w:val="both"/>
        <w:rPr>
          <w:szCs w:val="24"/>
        </w:rPr>
      </w:pPr>
      <w:r>
        <w:rPr>
          <w:szCs w:val="24"/>
        </w:rPr>
        <w:t>Evaluación………………………………………………………………………..5</w:t>
      </w:r>
    </w:p>
    <w:p w14:paraId="4C2BF609" w14:textId="77777777" w:rsidR="005B72F7" w:rsidRPr="009F3764" w:rsidRDefault="009F3764" w:rsidP="00167968">
      <w:pPr>
        <w:pStyle w:val="ListParagraph"/>
        <w:numPr>
          <w:ilvl w:val="1"/>
          <w:numId w:val="10"/>
        </w:numPr>
        <w:jc w:val="both"/>
        <w:rPr>
          <w:szCs w:val="24"/>
        </w:rPr>
      </w:pPr>
      <w:r w:rsidRPr="009F3764">
        <w:rPr>
          <w:szCs w:val="24"/>
        </w:rPr>
        <w:t>Principales preguntas de evaluación</w:t>
      </w:r>
      <w:r>
        <w:rPr>
          <w:szCs w:val="24"/>
        </w:rPr>
        <w:t>………………………………………….5</w:t>
      </w:r>
    </w:p>
    <w:p w14:paraId="4D8A86EB" w14:textId="77777777" w:rsidR="009F3764" w:rsidRDefault="009F3764" w:rsidP="00167968">
      <w:pPr>
        <w:pStyle w:val="ListParagraph"/>
        <w:numPr>
          <w:ilvl w:val="1"/>
          <w:numId w:val="10"/>
        </w:numPr>
        <w:jc w:val="both"/>
        <w:rPr>
          <w:szCs w:val="24"/>
        </w:rPr>
      </w:pPr>
      <w:r>
        <w:rPr>
          <w:szCs w:val="24"/>
        </w:rPr>
        <w:t>Conocimiento existente – evaluación económica……………………….……5</w:t>
      </w:r>
    </w:p>
    <w:p w14:paraId="5666C26E" w14:textId="77777777" w:rsidR="009F3764" w:rsidRPr="009F3764" w:rsidRDefault="009F3764" w:rsidP="00167968">
      <w:pPr>
        <w:pStyle w:val="ListParagraph"/>
        <w:numPr>
          <w:ilvl w:val="1"/>
          <w:numId w:val="10"/>
        </w:numPr>
        <w:jc w:val="both"/>
        <w:rPr>
          <w:szCs w:val="24"/>
        </w:rPr>
      </w:pPr>
      <w:r w:rsidRPr="009F3764">
        <w:t>Principales indicadores de efectos directos</w:t>
      </w:r>
      <w:r w:rsidR="00BC1CB6">
        <w:t>…………………………..……….6</w:t>
      </w:r>
    </w:p>
    <w:p w14:paraId="3F3DE6BA" w14:textId="77777777" w:rsidR="009F3764" w:rsidRPr="009F3764" w:rsidRDefault="009F3764" w:rsidP="00167968">
      <w:pPr>
        <w:pStyle w:val="ListParagraph"/>
        <w:numPr>
          <w:ilvl w:val="1"/>
          <w:numId w:val="10"/>
        </w:numPr>
        <w:jc w:val="both"/>
        <w:rPr>
          <w:szCs w:val="24"/>
        </w:rPr>
      </w:pPr>
      <w:r w:rsidRPr="009F3764">
        <w:t>Metodología de evaluación</w:t>
      </w:r>
      <w:r w:rsidR="00E51388">
        <w:t>…………………………………………...………7</w:t>
      </w:r>
    </w:p>
    <w:p w14:paraId="44C95592" w14:textId="77777777" w:rsidR="009F3764" w:rsidRPr="009F3764" w:rsidRDefault="009F3764" w:rsidP="00167968">
      <w:pPr>
        <w:pStyle w:val="ListParagraph"/>
        <w:numPr>
          <w:ilvl w:val="1"/>
          <w:numId w:val="10"/>
        </w:numPr>
        <w:tabs>
          <w:tab w:val="left" w:pos="8820"/>
        </w:tabs>
        <w:jc w:val="both"/>
        <w:rPr>
          <w:szCs w:val="24"/>
        </w:rPr>
      </w:pPr>
      <w:r w:rsidRPr="009F3764">
        <w:t>Recopilación de datos</w:t>
      </w:r>
      <w:r w:rsidR="00E51388">
        <w:t>…………………………………</w:t>
      </w:r>
      <w:r w:rsidR="00BC1CB6">
        <w:t>……………………...9</w:t>
      </w:r>
    </w:p>
    <w:p w14:paraId="7AE4A05F" w14:textId="77777777" w:rsidR="009F3764" w:rsidRPr="009F3764" w:rsidRDefault="009F3764" w:rsidP="00167968">
      <w:pPr>
        <w:pStyle w:val="ListParagraph"/>
        <w:numPr>
          <w:ilvl w:val="1"/>
          <w:numId w:val="10"/>
        </w:numPr>
        <w:jc w:val="both"/>
        <w:rPr>
          <w:szCs w:val="24"/>
        </w:rPr>
      </w:pPr>
      <w:r w:rsidRPr="009F3764">
        <w:t>Información de los resultados</w:t>
      </w:r>
      <w:r w:rsidR="00E51388">
        <w:t>………………………………...</w:t>
      </w:r>
      <w:r w:rsidR="00BC1CB6">
        <w:t>……</w:t>
      </w:r>
      <w:r w:rsidR="00E51388">
        <w:t>.</w:t>
      </w:r>
      <w:r w:rsidR="00BC1CB6">
        <w:t>……..…11</w:t>
      </w:r>
    </w:p>
    <w:p w14:paraId="2FE950A7" w14:textId="4664246B" w:rsidR="00712313" w:rsidRDefault="009F3764" w:rsidP="00167968">
      <w:pPr>
        <w:pStyle w:val="ListParagraph"/>
        <w:numPr>
          <w:ilvl w:val="1"/>
          <w:numId w:val="10"/>
        </w:numPr>
        <w:jc w:val="both"/>
      </w:pPr>
      <w:r w:rsidRPr="009F3764">
        <w:t>Coordinación, plan de trabajo y presupuesto</w:t>
      </w:r>
      <w:r w:rsidR="00E51388">
        <w:t>…………………...</w:t>
      </w:r>
      <w:r>
        <w:t>……</w:t>
      </w:r>
      <w:r w:rsidR="00E51388">
        <w:t>.</w:t>
      </w:r>
      <w:r>
        <w:t>....</w:t>
      </w:r>
      <w:r w:rsidR="00BC1CB6">
        <w:t>...…11</w:t>
      </w:r>
    </w:p>
    <w:p w14:paraId="11B4210A" w14:textId="68F13F76" w:rsidR="009F3764" w:rsidRPr="00712313" w:rsidRDefault="00712313" w:rsidP="00712313">
      <w:pPr>
        <w:spacing w:after="200" w:line="276" w:lineRule="auto"/>
      </w:pPr>
      <w:r>
        <w:br w:type="page"/>
      </w:r>
    </w:p>
    <w:p w14:paraId="1F63C5F9" w14:textId="77777777" w:rsidR="005B72F7" w:rsidRPr="003D2F44" w:rsidRDefault="00BC1CB6" w:rsidP="00167968">
      <w:pPr>
        <w:pStyle w:val="Chapter"/>
        <w:numPr>
          <w:ilvl w:val="0"/>
          <w:numId w:val="4"/>
        </w:numPr>
        <w:tabs>
          <w:tab w:val="clear" w:pos="1440"/>
          <w:tab w:val="left" w:pos="720"/>
        </w:tabs>
        <w:ind w:hanging="1425"/>
        <w:jc w:val="both"/>
        <w:rPr>
          <w:lang w:val="es-ES_tradnl"/>
        </w:rPr>
      </w:pPr>
      <w:r>
        <w:rPr>
          <w:noProof/>
          <w:lang w:val="es-ES_tradnl"/>
        </w:rPr>
        <w:lastRenderedPageBreak/>
        <w:t>Introducció</w:t>
      </w:r>
      <w:r w:rsidR="005B72F7" w:rsidRPr="003D2F44">
        <w:rPr>
          <w:noProof/>
          <w:lang w:val="es-ES_tradnl"/>
        </w:rPr>
        <w:t>n</w:t>
      </w:r>
    </w:p>
    <w:p w14:paraId="51AE95C2" w14:textId="5B1F040C" w:rsidR="005B72F7" w:rsidRPr="00712313" w:rsidRDefault="005B72F7" w:rsidP="000361BD">
      <w:pPr>
        <w:pStyle w:val="Banknumbered"/>
        <w:numPr>
          <w:ilvl w:val="0"/>
          <w:numId w:val="0"/>
        </w:numPr>
        <w:ind w:left="360"/>
        <w:jc w:val="both"/>
        <w:rPr>
          <w:bCs/>
        </w:rPr>
      </w:pPr>
      <w:r w:rsidRPr="003D2F44">
        <w:rPr>
          <w:bCs/>
        </w:rPr>
        <w:t xml:space="preserve">Este documento tiene la finalidad de presentar los aspectos correspondientes al </w:t>
      </w:r>
      <w:r w:rsidR="000767AB" w:rsidRPr="003D2F44">
        <w:rPr>
          <w:bCs/>
        </w:rPr>
        <w:t xml:space="preserve">plan de monitoreo de esta </w:t>
      </w:r>
      <w:r w:rsidR="000767AB" w:rsidRPr="000361BD">
        <w:rPr>
          <w:lang w:val="es-ES_tradnl"/>
        </w:rPr>
        <w:t>operación</w:t>
      </w:r>
      <w:r w:rsidR="000767AB" w:rsidRPr="003D2F44">
        <w:rPr>
          <w:bCs/>
        </w:rPr>
        <w:t xml:space="preserve"> y evaluación del Programa</w:t>
      </w:r>
      <w:r w:rsidR="00712313">
        <w:rPr>
          <w:bCs/>
        </w:rPr>
        <w:t xml:space="preserve"> </w:t>
      </w:r>
      <w:r w:rsidR="00712313" w:rsidRPr="00712313">
        <w:rPr>
          <w:bCs/>
        </w:rPr>
        <w:t>para Fortalecer el Sector Eléctrico en Nicaragua</w:t>
      </w:r>
      <w:r w:rsidR="00712313">
        <w:rPr>
          <w:bCs/>
        </w:rPr>
        <w:t xml:space="preserve"> III</w:t>
      </w:r>
      <w:r w:rsidRPr="003D2F44">
        <w:rPr>
          <w:bCs/>
        </w:rPr>
        <w:t>.</w:t>
      </w:r>
    </w:p>
    <w:p w14:paraId="31B40513" w14:textId="77777777" w:rsidR="000767AB" w:rsidRPr="003D2F44" w:rsidRDefault="000767AB" w:rsidP="000361BD">
      <w:pPr>
        <w:pStyle w:val="Banknumbered"/>
        <w:numPr>
          <w:ilvl w:val="0"/>
          <w:numId w:val="0"/>
        </w:numPr>
        <w:ind w:left="360"/>
        <w:jc w:val="both"/>
        <w:rPr>
          <w:lang w:val="es-ES_tradnl"/>
        </w:rPr>
      </w:pPr>
      <w:r w:rsidRPr="003D2F44">
        <w:rPr>
          <w:lang w:val="es-ES_tradnl"/>
        </w:rPr>
        <w:t>El Equipo de Proyecto del BID será responsable del seguimiento del Programa. Los principales indicadores que se usarán para el monitoreo y evaluación de este Programa son los que se presentan en la Matriz de Resultados</w:t>
      </w:r>
    </w:p>
    <w:p w14:paraId="62337C52" w14:textId="77777777" w:rsidR="00495F5B" w:rsidRPr="003D2F44" w:rsidRDefault="00495F5B" w:rsidP="000361BD">
      <w:pPr>
        <w:pStyle w:val="Banknumbered"/>
        <w:numPr>
          <w:ilvl w:val="0"/>
          <w:numId w:val="0"/>
        </w:numPr>
        <w:ind w:left="360"/>
        <w:jc w:val="both"/>
        <w:rPr>
          <w:lang w:val="es-ES_tradnl"/>
        </w:rPr>
      </w:pPr>
      <w:r w:rsidRPr="003D2F44">
        <w:rPr>
          <w:lang w:val="es-ES_tradnl"/>
        </w:rPr>
        <w:t xml:space="preserve">El objetivo general del Programa para Fortalecer el Sector Eléctrico es apoyar al Gobierno de Nicaragua (GNI), en la consolidación de un marco sectorial que garantice la sostenibilidad financiera y operativa del sector. </w:t>
      </w:r>
    </w:p>
    <w:p w14:paraId="6C354E7F" w14:textId="77777777" w:rsidR="005B72F7" w:rsidRPr="003D2F44" w:rsidRDefault="00495F5B" w:rsidP="000361BD">
      <w:pPr>
        <w:pStyle w:val="Banknumbered"/>
        <w:numPr>
          <w:ilvl w:val="0"/>
          <w:numId w:val="0"/>
        </w:numPr>
        <w:ind w:left="360"/>
        <w:jc w:val="both"/>
        <w:rPr>
          <w:lang w:val="es-ES_tradnl"/>
        </w:rPr>
      </w:pPr>
      <w:r w:rsidRPr="003D2F44">
        <w:rPr>
          <w:lang w:val="es-ES_tradnl"/>
        </w:rPr>
        <w:t>Los objetivos específicos del Programa son: (i) garantizar la sostenibilidad financiera, técnica y operativa del sector eléctrico, (ii) mejorar la visibilidad de los resultados en la gestión del sector; (iii) promover una matriz energética sostenible, fomentando las energías renovables, la inversión privada y la eficiencia energética; y (iv) impulsar la integración regional del sector eléctrico</w:t>
      </w:r>
      <w:r w:rsidR="005B72F7" w:rsidRPr="003D2F44">
        <w:rPr>
          <w:lang w:val="es-ES_tradnl"/>
        </w:rPr>
        <w:t>.</w:t>
      </w:r>
    </w:p>
    <w:p w14:paraId="54114FE1" w14:textId="7F02E7F4" w:rsidR="005B72F7" w:rsidRPr="003D2F44" w:rsidRDefault="005B72F7" w:rsidP="000361BD">
      <w:pPr>
        <w:pStyle w:val="Banknumbered"/>
        <w:numPr>
          <w:ilvl w:val="0"/>
          <w:numId w:val="0"/>
        </w:numPr>
        <w:ind w:left="360"/>
        <w:jc w:val="both"/>
      </w:pPr>
      <w:r w:rsidRPr="003D2F44">
        <w:rPr>
          <w:rFonts w:eastAsia="Arial Unicode MS"/>
          <w:bCs/>
        </w:rPr>
        <w:t>Con esta operación s</w:t>
      </w:r>
      <w:r w:rsidRPr="003D2F44">
        <w:t>e espera</w:t>
      </w:r>
      <w:r w:rsidRPr="003D2F44">
        <w:rPr>
          <w:rFonts w:eastAsia="Arial Unicode MS"/>
          <w:bCs/>
        </w:rPr>
        <w:t xml:space="preserve"> la adopción e implementación escalonada de políticas sectoriales de corto, </w:t>
      </w:r>
      <w:r w:rsidRPr="000361BD">
        <w:rPr>
          <w:lang w:val="es-ES_tradnl"/>
        </w:rPr>
        <w:t>mediano</w:t>
      </w:r>
      <w:r w:rsidRPr="003D2F44">
        <w:rPr>
          <w:rFonts w:eastAsia="Arial Unicode MS"/>
          <w:bCs/>
        </w:rPr>
        <w:t xml:space="preserve"> y largo plazo, necesarias para impulsar una oferta adecuada y eficiente de energía </w:t>
      </w:r>
      <w:r w:rsidR="00712313" w:rsidRPr="003D2F44">
        <w:rPr>
          <w:rFonts w:eastAsia="Arial Unicode MS"/>
          <w:bCs/>
        </w:rPr>
        <w:t>eléctrica,</w:t>
      </w:r>
      <w:r w:rsidRPr="003D2F44">
        <w:rPr>
          <w:rFonts w:eastAsia="Arial Unicode MS"/>
          <w:bCs/>
        </w:rPr>
        <w:t xml:space="preserve"> así como la sostenibilidad financiera y operativa de las empresas del sector eléctrico</w:t>
      </w:r>
      <w:r w:rsidRPr="003D2F44">
        <w:t xml:space="preserve">. </w:t>
      </w:r>
    </w:p>
    <w:p w14:paraId="37323A63" w14:textId="77777777" w:rsidR="005B72F7" w:rsidRPr="003D2F44" w:rsidRDefault="005B72F7" w:rsidP="00167968">
      <w:pPr>
        <w:pStyle w:val="Chapter"/>
        <w:numPr>
          <w:ilvl w:val="0"/>
          <w:numId w:val="4"/>
        </w:numPr>
        <w:tabs>
          <w:tab w:val="clear" w:pos="1440"/>
          <w:tab w:val="left" w:pos="720"/>
        </w:tabs>
        <w:spacing w:after="0"/>
        <w:ind w:hanging="1335"/>
        <w:jc w:val="both"/>
        <w:rPr>
          <w:noProof/>
          <w:lang w:val="es-ES_tradnl"/>
        </w:rPr>
      </w:pPr>
      <w:r w:rsidRPr="003D2F44">
        <w:rPr>
          <w:noProof/>
          <w:lang w:val="es-ES_tradnl"/>
        </w:rPr>
        <w:t xml:space="preserve">Monitoreo </w:t>
      </w:r>
    </w:p>
    <w:p w14:paraId="1CF6C507" w14:textId="2DE7748B" w:rsidR="000767AB" w:rsidRDefault="000767AB" w:rsidP="000361BD">
      <w:pPr>
        <w:pStyle w:val="Banknumbered"/>
        <w:numPr>
          <w:ilvl w:val="0"/>
          <w:numId w:val="0"/>
        </w:numPr>
        <w:ind w:left="360"/>
        <w:jc w:val="both"/>
      </w:pPr>
      <w:r w:rsidRPr="003D2F44">
        <w:t xml:space="preserve">Los productos del Programa corresponden a las condiciones de Política detalladas en la Matriz de Políticas y en la de Medios de Verificación, por consiguiente, el monitoreo del cumplimiento de los </w:t>
      </w:r>
      <w:r w:rsidRPr="000361BD">
        <w:rPr>
          <w:lang w:val="es-ES_tradnl"/>
        </w:rPr>
        <w:t>productos</w:t>
      </w:r>
      <w:r w:rsidRPr="003D2F44">
        <w:t xml:space="preserve"> de e</w:t>
      </w:r>
      <w:r w:rsidR="00712313">
        <w:t xml:space="preserve">ste PBL se realizó de manera </w:t>
      </w:r>
      <w:r w:rsidR="00712313" w:rsidRPr="00712313">
        <w:rPr>
          <w:i/>
        </w:rPr>
        <w:t>ex</w:t>
      </w:r>
      <w:r w:rsidRPr="00712313">
        <w:rPr>
          <w:i/>
        </w:rPr>
        <w:t>–ante</w:t>
      </w:r>
      <w:r w:rsidRPr="003D2F44">
        <w:t xml:space="preserve"> y no requerirá nuevos instrumentos de coordinación, establecimiento de un plan de trabajo o presupuesto previos al desembolso.</w:t>
      </w:r>
    </w:p>
    <w:p w14:paraId="41F167F2" w14:textId="77777777" w:rsidR="00373527" w:rsidRPr="003D2F44" w:rsidRDefault="00373527" w:rsidP="000361BD">
      <w:pPr>
        <w:pStyle w:val="Banknumbered"/>
        <w:numPr>
          <w:ilvl w:val="0"/>
          <w:numId w:val="0"/>
        </w:numPr>
        <w:ind w:left="360"/>
        <w:jc w:val="both"/>
      </w:pPr>
    </w:p>
    <w:p w14:paraId="652D96EA" w14:textId="77777777" w:rsidR="000767AB" w:rsidRPr="003D2F44" w:rsidRDefault="000767AB" w:rsidP="00167968">
      <w:pPr>
        <w:pStyle w:val="Subtitle"/>
        <w:numPr>
          <w:ilvl w:val="0"/>
          <w:numId w:val="5"/>
        </w:numPr>
        <w:jc w:val="both"/>
        <w:rPr>
          <w:rFonts w:ascii="Times New Roman" w:hAnsi="Times New Roman"/>
          <w:i/>
          <w:lang w:val="es-ES_tradnl"/>
        </w:rPr>
      </w:pPr>
      <w:bookmarkStart w:id="0" w:name="_Toc334085429"/>
      <w:r w:rsidRPr="003D2F44">
        <w:rPr>
          <w:rFonts w:ascii="Times New Roman" w:hAnsi="Times New Roman"/>
          <w:i/>
          <w:lang w:val="es-ES_tradnl"/>
        </w:rPr>
        <w:t>Indicadores de Producto</w:t>
      </w:r>
      <w:bookmarkEnd w:id="0"/>
    </w:p>
    <w:p w14:paraId="21036D58" w14:textId="77777777" w:rsidR="000767AB" w:rsidRPr="003D2F44" w:rsidRDefault="000767AB" w:rsidP="000361BD">
      <w:pPr>
        <w:pStyle w:val="Banknumbered"/>
        <w:numPr>
          <w:ilvl w:val="0"/>
          <w:numId w:val="0"/>
        </w:numPr>
        <w:ind w:left="360"/>
        <w:jc w:val="both"/>
      </w:pPr>
      <w:r w:rsidRPr="003D2F44">
        <w:t xml:space="preserve">Los indicadores de productos definidos como las condiciones de política y sus respectivos medios de verificación se </w:t>
      </w:r>
      <w:r w:rsidRPr="000361BD">
        <w:rPr>
          <w:lang w:val="es-ES_tradnl"/>
        </w:rPr>
        <w:t>encuentran</w:t>
      </w:r>
      <w:r w:rsidRPr="003D2F44">
        <w:t xml:space="preserve"> descritos en la Tabla 1. Dado que estos productos son alcanzados una vez se realiza el desembolso se obvia la parte de la frecuencia de medición.</w:t>
      </w:r>
    </w:p>
    <w:p w14:paraId="1B8696BF" w14:textId="77777777" w:rsidR="005B72F7" w:rsidRPr="003D2F44" w:rsidRDefault="005B72F7" w:rsidP="009B04BB">
      <w:pPr>
        <w:pStyle w:val="BodyText2"/>
        <w:spacing w:before="120" w:line="240" w:lineRule="auto"/>
        <w:ind w:left="720"/>
        <w:jc w:val="both"/>
      </w:pPr>
    </w:p>
    <w:p w14:paraId="1551E5B2" w14:textId="40000F84" w:rsidR="00134076" w:rsidRPr="003D2F44" w:rsidRDefault="00134076" w:rsidP="009B04BB">
      <w:pPr>
        <w:pStyle w:val="Paragraph"/>
        <w:tabs>
          <w:tab w:val="clear" w:pos="720"/>
        </w:tabs>
        <w:ind w:hanging="360"/>
        <w:rPr>
          <w:b/>
          <w:lang w:val="es-ES_tradnl"/>
        </w:rPr>
      </w:pPr>
      <w:r w:rsidRPr="003D2F44">
        <w:rPr>
          <w:b/>
          <w:lang w:val="es-ES_tradnl"/>
        </w:rPr>
        <w:t xml:space="preserve">Tabla 1. Productos </w:t>
      </w:r>
      <w:r w:rsidR="00B50C11">
        <w:rPr>
          <w:b/>
          <w:lang w:val="es-ES_tradnl"/>
        </w:rPr>
        <w:t>Tercer</w:t>
      </w:r>
      <w:r w:rsidR="00B50C11" w:rsidRPr="003D2F44">
        <w:rPr>
          <w:b/>
          <w:lang w:val="es-ES_tradnl"/>
        </w:rPr>
        <w:t xml:space="preserve"> </w:t>
      </w:r>
      <w:r w:rsidRPr="003D2F44">
        <w:rPr>
          <w:b/>
          <w:lang w:val="es-ES_tradnl"/>
        </w:rPr>
        <w:t>Programático.</w:t>
      </w:r>
    </w:p>
    <w:tbl>
      <w:tblPr>
        <w:tblW w:w="5000" w:type="pct"/>
        <w:jc w:val="center"/>
        <w:tblCellMar>
          <w:left w:w="30" w:type="dxa"/>
          <w:right w:w="30" w:type="dxa"/>
        </w:tblCellMar>
        <w:tblLook w:val="0000" w:firstRow="0" w:lastRow="0" w:firstColumn="0" w:lastColumn="0" w:noHBand="0" w:noVBand="0"/>
      </w:tblPr>
      <w:tblGrid>
        <w:gridCol w:w="2317"/>
        <w:gridCol w:w="2891"/>
        <w:gridCol w:w="870"/>
        <w:gridCol w:w="739"/>
        <w:gridCol w:w="823"/>
        <w:gridCol w:w="2568"/>
      </w:tblGrid>
      <w:tr w:rsidR="009B04BB" w:rsidRPr="00F70C39" w14:paraId="2652697E" w14:textId="77777777" w:rsidTr="009B04BB">
        <w:trPr>
          <w:tblHeader/>
          <w:jc w:val="center"/>
        </w:trPr>
        <w:tc>
          <w:tcPr>
            <w:tcW w:w="1135"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01E59C02" w14:textId="77777777" w:rsidR="009B04BB" w:rsidRPr="00765EE6" w:rsidRDefault="009B04BB" w:rsidP="009B04BB">
            <w:pPr>
              <w:jc w:val="both"/>
              <w:rPr>
                <w:b/>
                <w:color w:val="FFFFFF" w:themeColor="background1"/>
                <w:szCs w:val="24"/>
                <w:lang w:val="es-ES"/>
              </w:rPr>
            </w:pPr>
            <w:r w:rsidRPr="00F70C39">
              <w:rPr>
                <w:b/>
                <w:color w:val="FFFFFF" w:themeColor="background1"/>
                <w:szCs w:val="24"/>
                <w:lang w:val="es-ES"/>
              </w:rPr>
              <w:t>Componente/ Objetivos</w:t>
            </w:r>
          </w:p>
        </w:tc>
        <w:tc>
          <w:tcPr>
            <w:tcW w:w="1416"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09EB0FF" w14:textId="77777777" w:rsidR="009B04BB" w:rsidRPr="00765EE6" w:rsidRDefault="009B04BB" w:rsidP="009B04BB">
            <w:pPr>
              <w:jc w:val="both"/>
              <w:rPr>
                <w:b/>
                <w:color w:val="FFFFFF" w:themeColor="background1"/>
                <w:szCs w:val="24"/>
                <w:lang w:val="es-ES"/>
              </w:rPr>
            </w:pPr>
            <w:r w:rsidRPr="00765EE6">
              <w:rPr>
                <w:b/>
                <w:color w:val="FFFFFF" w:themeColor="background1"/>
                <w:szCs w:val="24"/>
                <w:lang w:val="es-ES"/>
              </w:rPr>
              <w:t>Producto</w:t>
            </w:r>
          </w:p>
        </w:tc>
        <w:tc>
          <w:tcPr>
            <w:tcW w:w="426"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2F9104A" w14:textId="77777777" w:rsidR="009B04BB" w:rsidRPr="00765EE6" w:rsidRDefault="009B04BB" w:rsidP="009B04BB">
            <w:pPr>
              <w:jc w:val="both"/>
              <w:rPr>
                <w:b/>
                <w:color w:val="FFFFFF" w:themeColor="background1"/>
                <w:szCs w:val="24"/>
                <w:lang w:val="es-ES"/>
              </w:rPr>
            </w:pPr>
            <w:r w:rsidRPr="00765EE6">
              <w:rPr>
                <w:b/>
                <w:color w:val="FFFFFF" w:themeColor="background1"/>
                <w:szCs w:val="24"/>
                <w:lang w:val="es-ES"/>
              </w:rPr>
              <w:t>Unidad</w:t>
            </w:r>
          </w:p>
        </w:tc>
        <w:tc>
          <w:tcPr>
            <w:tcW w:w="362"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6531BDE3" w14:textId="598DEDFB" w:rsidR="009B04BB" w:rsidRPr="00765EE6" w:rsidRDefault="009B04BB" w:rsidP="00712313">
            <w:pPr>
              <w:jc w:val="both"/>
              <w:rPr>
                <w:b/>
                <w:color w:val="FFFFFF" w:themeColor="background1"/>
                <w:szCs w:val="24"/>
                <w:lang w:val="es-ES"/>
              </w:rPr>
            </w:pPr>
            <w:r w:rsidRPr="00765EE6">
              <w:rPr>
                <w:b/>
                <w:color w:val="FFFFFF" w:themeColor="background1"/>
                <w:szCs w:val="24"/>
                <w:lang w:val="es-ES"/>
              </w:rPr>
              <w:t>Base (201</w:t>
            </w:r>
            <w:r w:rsidR="00712313">
              <w:rPr>
                <w:b/>
                <w:color w:val="FFFFFF" w:themeColor="background1"/>
                <w:szCs w:val="24"/>
                <w:lang w:val="es-ES"/>
              </w:rPr>
              <w:t>6</w:t>
            </w:r>
            <w:r w:rsidRPr="00765EE6">
              <w:rPr>
                <w:b/>
                <w:color w:val="FFFFFF" w:themeColor="background1"/>
                <w:szCs w:val="24"/>
                <w:lang w:val="es-ES"/>
              </w:rPr>
              <w:t>)</w:t>
            </w:r>
          </w:p>
        </w:tc>
        <w:tc>
          <w:tcPr>
            <w:tcW w:w="403"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404EA533" w14:textId="0824331B" w:rsidR="009B04BB" w:rsidRPr="00765EE6" w:rsidRDefault="009B04BB" w:rsidP="009B04BB">
            <w:pPr>
              <w:jc w:val="both"/>
              <w:rPr>
                <w:b/>
                <w:color w:val="FFFFFF" w:themeColor="background1"/>
                <w:szCs w:val="24"/>
                <w:lang w:val="es-ES"/>
              </w:rPr>
            </w:pPr>
            <w:r w:rsidRPr="00765EE6">
              <w:rPr>
                <w:b/>
                <w:color w:val="FFFFFF" w:themeColor="background1"/>
                <w:szCs w:val="24"/>
                <w:lang w:val="es-ES"/>
              </w:rPr>
              <w:t>201</w:t>
            </w:r>
            <w:r w:rsidR="00712313">
              <w:rPr>
                <w:b/>
                <w:color w:val="FFFFFF" w:themeColor="background1"/>
                <w:szCs w:val="24"/>
                <w:lang w:val="es-ES"/>
              </w:rPr>
              <w:t>7</w:t>
            </w:r>
            <w:r w:rsidRPr="009B04BB">
              <w:rPr>
                <w:color w:val="FFFFFF" w:themeColor="background1"/>
                <w:szCs w:val="24"/>
                <w:vertAlign w:val="superscript"/>
                <w:lang w:val="es-ES"/>
              </w:rPr>
              <w:footnoteReference w:id="1"/>
            </w:r>
          </w:p>
        </w:tc>
        <w:tc>
          <w:tcPr>
            <w:tcW w:w="1258" w:type="pct"/>
            <w:tcBorders>
              <w:top w:val="single" w:sz="6" w:space="0" w:color="auto"/>
              <w:left w:val="single" w:sz="6" w:space="0" w:color="auto"/>
              <w:bottom w:val="single" w:sz="6" w:space="0" w:color="auto"/>
              <w:right w:val="single" w:sz="6" w:space="0" w:color="auto"/>
            </w:tcBorders>
            <w:shd w:val="clear" w:color="auto" w:fill="7F7F7F" w:themeFill="text1" w:themeFillTint="80"/>
            <w:vAlign w:val="center"/>
          </w:tcPr>
          <w:p w14:paraId="24247969" w14:textId="77777777" w:rsidR="009B04BB" w:rsidRPr="00765EE6" w:rsidRDefault="009B04BB" w:rsidP="009B04BB">
            <w:pPr>
              <w:jc w:val="both"/>
              <w:rPr>
                <w:b/>
                <w:color w:val="FFFFFF" w:themeColor="background1"/>
                <w:szCs w:val="24"/>
                <w:lang w:val="es-ES"/>
              </w:rPr>
            </w:pPr>
            <w:r w:rsidRPr="00765EE6">
              <w:rPr>
                <w:b/>
                <w:color w:val="FFFFFF" w:themeColor="background1"/>
                <w:szCs w:val="24"/>
                <w:lang w:val="es-ES"/>
              </w:rPr>
              <w:t>Medio de Verificación</w:t>
            </w:r>
          </w:p>
        </w:tc>
      </w:tr>
      <w:tr w:rsidR="009B04BB" w:rsidRPr="00F70C39" w14:paraId="4486B7BA" w14:textId="77777777" w:rsidTr="009B04BB">
        <w:trPr>
          <w:jc w:val="center"/>
        </w:trPr>
        <w:tc>
          <w:tcPr>
            <w:tcW w:w="1135" w:type="pct"/>
            <w:vMerge w:val="restart"/>
            <w:tcBorders>
              <w:top w:val="single" w:sz="6" w:space="0" w:color="auto"/>
              <w:left w:val="single" w:sz="6" w:space="0" w:color="auto"/>
              <w:right w:val="single" w:sz="4" w:space="0" w:color="auto"/>
            </w:tcBorders>
            <w:shd w:val="clear" w:color="auto" w:fill="auto"/>
          </w:tcPr>
          <w:p w14:paraId="42A5D107" w14:textId="101B3BC3" w:rsidR="009B04BB" w:rsidRPr="00F70C39" w:rsidRDefault="009B04BB" w:rsidP="00167968">
            <w:pPr>
              <w:pStyle w:val="ListParagraph"/>
              <w:numPr>
                <w:ilvl w:val="0"/>
                <w:numId w:val="11"/>
              </w:numPr>
              <w:ind w:left="0" w:firstLine="0"/>
              <w:contextualSpacing/>
              <w:jc w:val="both"/>
              <w:rPr>
                <w:b/>
                <w:sz w:val="20"/>
                <w:lang w:val="es-ES"/>
              </w:rPr>
            </w:pPr>
            <w:r w:rsidRPr="00F70C39">
              <w:rPr>
                <w:b/>
                <w:sz w:val="20"/>
                <w:lang w:val="es-ES"/>
              </w:rPr>
              <w:t xml:space="preserve">Sostenibilidad financiera del sector eléctrico: </w:t>
            </w:r>
            <w:r w:rsidR="00712313">
              <w:rPr>
                <w:sz w:val="20"/>
                <w:lang w:val="es-ES"/>
              </w:rPr>
              <w:t xml:space="preserve">Adoptar </w:t>
            </w:r>
            <w:r w:rsidRPr="00F70C39">
              <w:rPr>
                <w:sz w:val="20"/>
                <w:lang w:val="es-ES"/>
              </w:rPr>
              <w:t>un programa de medidas para recuperar la sostenibilidad financiera del sector eléctrico</w:t>
            </w: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6E50D39B" w14:textId="77777777" w:rsidR="009B04BB" w:rsidRPr="00F70C39" w:rsidRDefault="009B04BB" w:rsidP="009B04BB">
            <w:pPr>
              <w:autoSpaceDE w:val="0"/>
              <w:autoSpaceDN w:val="0"/>
              <w:adjustRightInd w:val="0"/>
              <w:jc w:val="both"/>
              <w:rPr>
                <w:color w:val="000000"/>
                <w:sz w:val="20"/>
                <w:lang w:val="es-ES"/>
              </w:rPr>
            </w:pPr>
            <w:r w:rsidRPr="00F70C39">
              <w:rPr>
                <w:sz w:val="20"/>
                <w:lang w:val="es-ES"/>
              </w:rPr>
              <w:t xml:space="preserve">Factor de Expansión de Pérdidas (FEP) reconocido en tarifas </w:t>
            </w:r>
          </w:p>
        </w:tc>
        <w:tc>
          <w:tcPr>
            <w:tcW w:w="426" w:type="pct"/>
            <w:tcBorders>
              <w:top w:val="single" w:sz="4" w:space="0" w:color="auto"/>
              <w:left w:val="single" w:sz="4" w:space="0" w:color="auto"/>
              <w:bottom w:val="single" w:sz="4" w:space="0" w:color="auto"/>
              <w:right w:val="single" w:sz="4" w:space="0" w:color="auto"/>
            </w:tcBorders>
          </w:tcPr>
          <w:p w14:paraId="2DD2C7E3"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0A4B1C92"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7E93BCFD"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04C63FB5" w14:textId="77777777" w:rsidR="009B04BB" w:rsidRPr="00F70C39" w:rsidRDefault="009B04BB" w:rsidP="009B04BB">
            <w:pPr>
              <w:autoSpaceDE w:val="0"/>
              <w:autoSpaceDN w:val="0"/>
              <w:adjustRightInd w:val="0"/>
              <w:jc w:val="both"/>
              <w:rPr>
                <w:color w:val="000000"/>
                <w:sz w:val="20"/>
                <w:lang w:val="es-ES"/>
              </w:rPr>
            </w:pPr>
            <w:r>
              <w:rPr>
                <w:sz w:val="20"/>
                <w:lang w:val="es-ES"/>
              </w:rPr>
              <w:t>Publicación de INE</w:t>
            </w:r>
            <w:r w:rsidRPr="00F70C39">
              <w:rPr>
                <w:sz w:val="20"/>
                <w:lang w:val="es-ES"/>
              </w:rPr>
              <w:t xml:space="preserve"> en su sitio web </w:t>
            </w:r>
            <w:r>
              <w:rPr>
                <w:sz w:val="20"/>
                <w:lang w:val="es-ES"/>
              </w:rPr>
              <w:t xml:space="preserve">de </w:t>
            </w:r>
            <w:r w:rsidRPr="00F70C39">
              <w:rPr>
                <w:sz w:val="20"/>
                <w:lang w:val="es-ES"/>
              </w:rPr>
              <w:t>las resoluciones respectivas.</w:t>
            </w:r>
          </w:p>
        </w:tc>
      </w:tr>
      <w:tr w:rsidR="009B04BB" w:rsidRPr="00F70C39" w14:paraId="7F93AF13" w14:textId="77777777" w:rsidTr="009B04BB">
        <w:trPr>
          <w:jc w:val="center"/>
        </w:trPr>
        <w:tc>
          <w:tcPr>
            <w:tcW w:w="1135" w:type="pct"/>
            <w:vMerge/>
            <w:tcBorders>
              <w:left w:val="single" w:sz="6" w:space="0" w:color="auto"/>
              <w:right w:val="single" w:sz="4" w:space="0" w:color="auto"/>
            </w:tcBorders>
            <w:shd w:val="clear" w:color="auto" w:fill="auto"/>
          </w:tcPr>
          <w:p w14:paraId="7F434484"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52A87603" w14:textId="77777777" w:rsidR="009B04BB" w:rsidRPr="00F70C39" w:rsidRDefault="009B04BB" w:rsidP="009B04BB">
            <w:pPr>
              <w:autoSpaceDE w:val="0"/>
              <w:autoSpaceDN w:val="0"/>
              <w:adjustRightInd w:val="0"/>
              <w:jc w:val="both"/>
              <w:rPr>
                <w:color w:val="000000"/>
                <w:sz w:val="20"/>
                <w:lang w:val="es-ES"/>
              </w:rPr>
            </w:pPr>
            <w:r w:rsidRPr="00F70C39">
              <w:rPr>
                <w:sz w:val="20"/>
                <w:lang w:val="es-ES"/>
              </w:rPr>
              <w:t>Subsidio de los asentamientos renovado por 5 años.</w:t>
            </w:r>
            <w:r w:rsidRPr="00F70C39">
              <w:rPr>
                <w:color w:val="000000"/>
                <w:sz w:val="20"/>
                <w:lang w:val="es-ES"/>
              </w:rPr>
              <w:t xml:space="preserve"> </w:t>
            </w:r>
          </w:p>
        </w:tc>
        <w:tc>
          <w:tcPr>
            <w:tcW w:w="426" w:type="pct"/>
            <w:tcBorders>
              <w:top w:val="single" w:sz="4" w:space="0" w:color="auto"/>
              <w:left w:val="single" w:sz="4" w:space="0" w:color="auto"/>
              <w:bottom w:val="single" w:sz="4" w:space="0" w:color="auto"/>
              <w:right w:val="single" w:sz="4" w:space="0" w:color="auto"/>
            </w:tcBorders>
          </w:tcPr>
          <w:p w14:paraId="23C426E3"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3714851E"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2943A1A6" w14:textId="6F14D72F" w:rsidR="009B04BB" w:rsidRPr="00F70C39" w:rsidRDefault="00FA44C0" w:rsidP="009B04BB">
            <w:pPr>
              <w:autoSpaceDE w:val="0"/>
              <w:autoSpaceDN w:val="0"/>
              <w:adjustRightInd w:val="0"/>
              <w:jc w:val="both"/>
              <w:rPr>
                <w:color w:val="000000"/>
                <w:sz w:val="20"/>
                <w:lang w:val="es-ES"/>
              </w:rPr>
            </w:pPr>
            <w:r>
              <w:rPr>
                <w:color w:val="000000"/>
                <w:sz w:val="20"/>
                <w:lang w:val="es-ES"/>
              </w:rPr>
              <w:t>3</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229D174D" w14:textId="5F578BF8" w:rsidR="009B04BB" w:rsidRPr="00F70C39" w:rsidRDefault="00FA44C0" w:rsidP="00FA44C0">
            <w:pPr>
              <w:jc w:val="both"/>
              <w:rPr>
                <w:color w:val="000000"/>
                <w:sz w:val="20"/>
                <w:lang w:val="es-ES"/>
              </w:rPr>
            </w:pPr>
            <w:r w:rsidRPr="001753C8">
              <w:rPr>
                <w:sz w:val="20"/>
              </w:rPr>
              <w:t>Enlace a las Resoluciones</w:t>
            </w:r>
            <w:r>
              <w:rPr>
                <w:sz w:val="20"/>
              </w:rPr>
              <w:t xml:space="preserve"> de </w:t>
            </w:r>
            <w:r>
              <w:rPr>
                <w:sz w:val="20"/>
                <w:lang w:val="es-NI"/>
              </w:rPr>
              <w:t>Subsidio para asentamientos</w:t>
            </w:r>
          </w:p>
        </w:tc>
      </w:tr>
      <w:tr w:rsidR="00FA44C0" w:rsidRPr="00F70C39" w14:paraId="0E152A9F"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5FB05E64" w14:textId="77777777" w:rsidR="00FA44C0" w:rsidRPr="00F70C39" w:rsidRDefault="00FA44C0" w:rsidP="00FA44C0">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0C221127" w14:textId="77777777" w:rsidR="00FA44C0" w:rsidRPr="00F70C39" w:rsidRDefault="00FA44C0" w:rsidP="00FA44C0">
            <w:pPr>
              <w:autoSpaceDE w:val="0"/>
              <w:autoSpaceDN w:val="0"/>
              <w:adjustRightInd w:val="0"/>
              <w:jc w:val="both"/>
              <w:rPr>
                <w:color w:val="000000"/>
                <w:sz w:val="20"/>
                <w:lang w:val="es-ES"/>
              </w:rPr>
            </w:pPr>
            <w:r w:rsidRPr="00F70C39">
              <w:rPr>
                <w:sz w:val="20"/>
                <w:lang w:val="es-ES"/>
              </w:rPr>
              <w:t xml:space="preserve">Costos financieros por retraso de pago a los generadores </w:t>
            </w:r>
            <w:r>
              <w:rPr>
                <w:sz w:val="20"/>
                <w:lang w:val="es-ES"/>
              </w:rPr>
              <w:t>incluidos en la tarifa.</w:t>
            </w:r>
          </w:p>
        </w:tc>
        <w:tc>
          <w:tcPr>
            <w:tcW w:w="426" w:type="pct"/>
            <w:tcBorders>
              <w:top w:val="single" w:sz="4" w:space="0" w:color="auto"/>
              <w:left w:val="single" w:sz="4" w:space="0" w:color="auto"/>
              <w:bottom w:val="single" w:sz="4" w:space="0" w:color="auto"/>
              <w:right w:val="single" w:sz="4" w:space="0" w:color="auto"/>
            </w:tcBorders>
          </w:tcPr>
          <w:p w14:paraId="11F8AB16" w14:textId="77777777" w:rsidR="00FA44C0" w:rsidRPr="00F70C39" w:rsidRDefault="00FA44C0" w:rsidP="00FA44C0">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0BC81B06" w14:textId="77777777" w:rsidR="00FA44C0" w:rsidRPr="00F70C39" w:rsidRDefault="00FA44C0" w:rsidP="00FA44C0">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16C17938" w14:textId="5EF0B9D8" w:rsidR="00FA44C0" w:rsidRPr="00F70C39" w:rsidRDefault="00FA44C0" w:rsidP="00FA44C0">
            <w:pPr>
              <w:autoSpaceDE w:val="0"/>
              <w:autoSpaceDN w:val="0"/>
              <w:adjustRightInd w:val="0"/>
              <w:jc w:val="both"/>
              <w:rPr>
                <w:color w:val="000000"/>
                <w:sz w:val="20"/>
                <w:lang w:val="es-ES"/>
              </w:rPr>
            </w:pPr>
            <w:r>
              <w:rPr>
                <w:color w:val="000000"/>
                <w:sz w:val="20"/>
                <w:lang w:val="es-ES"/>
              </w:rPr>
              <w:t>3</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31373441" w14:textId="698F9DB3" w:rsidR="00FA44C0" w:rsidRDefault="002901A8" w:rsidP="00FA44C0">
            <w:pPr>
              <w:contextualSpacing/>
              <w:jc w:val="both"/>
              <w:rPr>
                <w:sz w:val="20"/>
              </w:rPr>
            </w:pPr>
            <w:r>
              <w:rPr>
                <w:sz w:val="20"/>
              </w:rPr>
              <w:t xml:space="preserve">(i) </w:t>
            </w:r>
            <w:r w:rsidR="00FA44C0" w:rsidRPr="00FA44C0">
              <w:rPr>
                <w:sz w:val="20"/>
              </w:rPr>
              <w:t>Certificaciones del INE de la conciliación de deudas entre generadores y las distribuidoras DISNORTE y DISSUR;</w:t>
            </w:r>
          </w:p>
          <w:p w14:paraId="7A0F35A2" w14:textId="5DE99CF1" w:rsidR="00FA44C0" w:rsidRPr="001753C8" w:rsidRDefault="002901A8" w:rsidP="00FA44C0">
            <w:pPr>
              <w:contextualSpacing/>
              <w:jc w:val="both"/>
              <w:rPr>
                <w:sz w:val="20"/>
              </w:rPr>
            </w:pPr>
            <w:r>
              <w:rPr>
                <w:sz w:val="20"/>
              </w:rPr>
              <w:t xml:space="preserve">(ii) </w:t>
            </w:r>
            <w:r w:rsidR="00FA44C0" w:rsidRPr="00FA44C0">
              <w:rPr>
                <w:sz w:val="20"/>
              </w:rPr>
              <w:t xml:space="preserve">Fotocopia de los títulos emitidos, por parte de las distribuidoras DISNORTE y DISSUR a favor de cada generador, redimibles con los </w:t>
            </w:r>
            <w:r w:rsidR="00FA44C0" w:rsidRPr="00FA44C0">
              <w:rPr>
                <w:sz w:val="20"/>
              </w:rPr>
              <w:lastRenderedPageBreak/>
              <w:t>recursos que se gene</w:t>
            </w:r>
            <w:r w:rsidR="00FA44C0">
              <w:rPr>
                <w:sz w:val="20"/>
              </w:rPr>
              <w:t>ren cuando se traslade a tarifa;</w:t>
            </w:r>
          </w:p>
          <w:p w14:paraId="17540A20" w14:textId="62534692" w:rsidR="00FA44C0" w:rsidRPr="00712313" w:rsidRDefault="002901A8" w:rsidP="00FA44C0">
            <w:pPr>
              <w:contextualSpacing/>
              <w:jc w:val="both"/>
              <w:rPr>
                <w:color w:val="000000"/>
                <w:sz w:val="20"/>
                <w:highlight w:val="yellow"/>
                <w:lang w:val="es-ES"/>
              </w:rPr>
            </w:pPr>
            <w:r>
              <w:rPr>
                <w:sz w:val="20"/>
              </w:rPr>
              <w:t xml:space="preserve">(iii) </w:t>
            </w:r>
            <w:r w:rsidR="00FA44C0" w:rsidRPr="00FA44C0">
              <w:rPr>
                <w:sz w:val="20"/>
              </w:rPr>
              <w:t>Carta del INE confirmando que los costos serán trasladados a tarifa</w:t>
            </w:r>
          </w:p>
        </w:tc>
      </w:tr>
      <w:tr w:rsidR="000C637D" w:rsidRPr="00F70C39" w14:paraId="7AA9B3C5"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5D10C3B1" w14:textId="77777777" w:rsidR="000C637D" w:rsidRPr="00F70C39" w:rsidRDefault="000C637D" w:rsidP="000C637D">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67304466" w14:textId="77777777" w:rsidR="000C637D" w:rsidRPr="00F70C39" w:rsidRDefault="000C637D" w:rsidP="000C637D">
            <w:pPr>
              <w:autoSpaceDE w:val="0"/>
              <w:autoSpaceDN w:val="0"/>
              <w:adjustRightInd w:val="0"/>
              <w:jc w:val="both"/>
              <w:rPr>
                <w:sz w:val="20"/>
                <w:lang w:val="es-ES"/>
              </w:rPr>
            </w:pPr>
            <w:r>
              <w:rPr>
                <w:sz w:val="20"/>
                <w:lang w:val="es-ES"/>
              </w:rPr>
              <w:t xml:space="preserve">Aplicación de la </w:t>
            </w:r>
            <w:r w:rsidRPr="00F70C39">
              <w:rPr>
                <w:sz w:val="20"/>
                <w:lang w:val="es-ES"/>
              </w:rPr>
              <w:t>Normativa Anti-Fraude (Ley No. 661 sobre el uso responsable de la energía)</w:t>
            </w:r>
          </w:p>
        </w:tc>
        <w:tc>
          <w:tcPr>
            <w:tcW w:w="426" w:type="pct"/>
            <w:tcBorders>
              <w:top w:val="single" w:sz="4" w:space="0" w:color="auto"/>
              <w:left w:val="single" w:sz="4" w:space="0" w:color="auto"/>
              <w:bottom w:val="single" w:sz="4" w:space="0" w:color="auto"/>
              <w:right w:val="single" w:sz="4" w:space="0" w:color="auto"/>
            </w:tcBorders>
          </w:tcPr>
          <w:p w14:paraId="41BCFADC" w14:textId="77777777" w:rsidR="000C637D" w:rsidRPr="00F70C39" w:rsidRDefault="000C637D" w:rsidP="000C637D">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09F0A2CA" w14:textId="77777777" w:rsidR="000C637D" w:rsidRPr="00F70C39" w:rsidRDefault="000C637D" w:rsidP="000C637D">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6FA1E331" w14:textId="77777777" w:rsidR="000C637D" w:rsidRPr="00F70C39" w:rsidRDefault="000C637D" w:rsidP="000C637D">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3095B767" w14:textId="1A690D11" w:rsidR="000C637D" w:rsidRPr="00F70C39" w:rsidRDefault="000C637D" w:rsidP="000C637D">
            <w:pPr>
              <w:jc w:val="both"/>
              <w:rPr>
                <w:sz w:val="20"/>
                <w:lang w:val="es-ES"/>
              </w:rPr>
            </w:pPr>
            <w:r>
              <w:rPr>
                <w:sz w:val="20"/>
              </w:rPr>
              <w:t>Informes anuales del</w:t>
            </w:r>
            <w:r w:rsidRPr="00994916">
              <w:rPr>
                <w:sz w:val="20"/>
              </w:rPr>
              <w:t xml:space="preserve"> INE a</w:t>
            </w:r>
            <w:r>
              <w:rPr>
                <w:sz w:val="20"/>
              </w:rPr>
              <w:t xml:space="preserve"> la Asamblea Nacional sobre las gestiones realizadas en aplicación de las disposiciones de la Ley 661, </w:t>
            </w:r>
            <w:r w:rsidRPr="00994916">
              <w:rPr>
                <w:sz w:val="20"/>
              </w:rPr>
              <w:t>desde la fecha del desembolso de la operación anterior</w:t>
            </w:r>
            <w:hyperlink r:id="rId8" w:history="1"/>
          </w:p>
        </w:tc>
      </w:tr>
      <w:tr w:rsidR="009B04BB" w:rsidRPr="00F70C39" w14:paraId="165A2FF5"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5B628619"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6DBF5EE5" w14:textId="6CE76F9D" w:rsidR="009B04BB" w:rsidRPr="00F70C39" w:rsidRDefault="00712313" w:rsidP="009B04BB">
            <w:pPr>
              <w:autoSpaceDE w:val="0"/>
              <w:autoSpaceDN w:val="0"/>
              <w:adjustRightInd w:val="0"/>
              <w:jc w:val="both"/>
              <w:rPr>
                <w:color w:val="000000"/>
                <w:sz w:val="20"/>
                <w:lang w:val="es-ES"/>
              </w:rPr>
            </w:pPr>
            <w:r>
              <w:rPr>
                <w:sz w:val="20"/>
                <w:lang w:val="es-ES"/>
              </w:rPr>
              <w:t>Obligación de ejecutar</w:t>
            </w:r>
            <w:r w:rsidR="009B04BB" w:rsidRPr="00F70C39">
              <w:rPr>
                <w:sz w:val="20"/>
                <w:lang w:val="es-ES"/>
              </w:rPr>
              <w:t xml:space="preserve"> un plan de inversiones por la suma de US$75 millones en un período de 5 años, para mejorar la calidad y el control de suministro eléctrico, ampliar la cobertura y contribuir a reducir pérdidas.</w:t>
            </w:r>
          </w:p>
        </w:tc>
        <w:tc>
          <w:tcPr>
            <w:tcW w:w="426" w:type="pct"/>
            <w:tcBorders>
              <w:top w:val="single" w:sz="4" w:space="0" w:color="auto"/>
              <w:left w:val="single" w:sz="4" w:space="0" w:color="auto"/>
              <w:bottom w:val="single" w:sz="4" w:space="0" w:color="auto"/>
              <w:right w:val="single" w:sz="4" w:space="0" w:color="auto"/>
            </w:tcBorders>
          </w:tcPr>
          <w:p w14:paraId="61A87405"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1677D556"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0E3FFED7"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4820333B" w14:textId="47A6E5C9" w:rsidR="009B04BB" w:rsidRPr="00F70C39" w:rsidRDefault="00FA44C0" w:rsidP="009B04BB">
            <w:pPr>
              <w:autoSpaceDE w:val="0"/>
              <w:autoSpaceDN w:val="0"/>
              <w:adjustRightInd w:val="0"/>
              <w:jc w:val="both"/>
              <w:rPr>
                <w:color w:val="000000"/>
                <w:sz w:val="20"/>
                <w:lang w:val="es-ES"/>
              </w:rPr>
            </w:pPr>
            <w:r w:rsidRPr="009C761E">
              <w:rPr>
                <w:sz w:val="20"/>
              </w:rPr>
              <w:t xml:space="preserve">Fotocopia de carta de los Coordinadores del Equipo Multi-institucional a DISSUR </w:t>
            </w:r>
            <w:r>
              <w:rPr>
                <w:sz w:val="20"/>
              </w:rPr>
              <w:t xml:space="preserve">y </w:t>
            </w:r>
            <w:r w:rsidRPr="009C761E">
              <w:rPr>
                <w:sz w:val="20"/>
              </w:rPr>
              <w:t>DISNORTE</w:t>
            </w:r>
            <w:r>
              <w:rPr>
                <w:sz w:val="20"/>
              </w:rPr>
              <w:t xml:space="preserve"> </w:t>
            </w:r>
            <w:r w:rsidRPr="009C761E">
              <w:rPr>
                <w:sz w:val="20"/>
              </w:rPr>
              <w:t xml:space="preserve">sobre montos verificados de inversiones </w:t>
            </w:r>
            <w:r>
              <w:rPr>
                <w:sz w:val="20"/>
              </w:rPr>
              <w:t xml:space="preserve">julio-diciembre </w:t>
            </w:r>
            <w:r w:rsidRPr="009C761E">
              <w:rPr>
                <w:sz w:val="20"/>
              </w:rPr>
              <w:t>201</w:t>
            </w:r>
            <w:r>
              <w:rPr>
                <w:sz w:val="20"/>
              </w:rPr>
              <w:t>6</w:t>
            </w:r>
          </w:p>
        </w:tc>
      </w:tr>
      <w:tr w:rsidR="009B04BB" w:rsidRPr="00F70C39" w14:paraId="53E86AD5"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1CEE9576"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07E87FFA" w14:textId="662A03F2" w:rsidR="009B04BB" w:rsidRPr="00F70C39" w:rsidRDefault="009B04BB" w:rsidP="009B04BB">
            <w:pPr>
              <w:autoSpaceDE w:val="0"/>
              <w:autoSpaceDN w:val="0"/>
              <w:adjustRightInd w:val="0"/>
              <w:jc w:val="both"/>
              <w:rPr>
                <w:sz w:val="20"/>
                <w:lang w:val="es-ES"/>
              </w:rPr>
            </w:pPr>
            <w:r w:rsidRPr="00F70C39">
              <w:rPr>
                <w:sz w:val="20"/>
                <w:lang w:val="es-ES"/>
              </w:rPr>
              <w:t>Revisiones</w:t>
            </w:r>
            <w:r w:rsidR="00712313">
              <w:rPr>
                <w:sz w:val="20"/>
                <w:lang w:val="es-ES"/>
              </w:rPr>
              <w:t xml:space="preserve"> periódicas de tarifa emitidas </w:t>
            </w:r>
            <w:r w:rsidRPr="00F70C39">
              <w:rPr>
                <w:sz w:val="20"/>
                <w:lang w:val="es-ES"/>
              </w:rPr>
              <w:t>por parte del INE</w:t>
            </w:r>
            <w:r w:rsidR="000C637D" w:rsidRPr="005335FB">
              <w:rPr>
                <w:sz w:val="20"/>
              </w:rPr>
              <w:t xml:space="preserve"> </w:t>
            </w:r>
            <w:r w:rsidR="000C637D">
              <w:rPr>
                <w:sz w:val="20"/>
              </w:rPr>
              <w:t>donde</w:t>
            </w:r>
            <w:r w:rsidR="000C637D" w:rsidRPr="005335FB">
              <w:rPr>
                <w:sz w:val="20"/>
              </w:rPr>
              <w:t xml:space="preserve"> se asegura que el precio de energía compensa el 100% de los costos de abastecimiento, transmisión y distribución</w:t>
            </w:r>
          </w:p>
        </w:tc>
        <w:tc>
          <w:tcPr>
            <w:tcW w:w="426" w:type="pct"/>
            <w:tcBorders>
              <w:top w:val="single" w:sz="4" w:space="0" w:color="auto"/>
              <w:left w:val="single" w:sz="4" w:space="0" w:color="auto"/>
              <w:bottom w:val="single" w:sz="4" w:space="0" w:color="auto"/>
              <w:right w:val="single" w:sz="4" w:space="0" w:color="auto"/>
            </w:tcBorders>
          </w:tcPr>
          <w:p w14:paraId="7D823E75"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08A307E4"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71727331" w14:textId="53C8EE87" w:rsidR="009B04BB" w:rsidRPr="00F70C39" w:rsidRDefault="00DD7852" w:rsidP="009B04BB">
            <w:pPr>
              <w:autoSpaceDE w:val="0"/>
              <w:autoSpaceDN w:val="0"/>
              <w:adjustRightInd w:val="0"/>
              <w:jc w:val="both"/>
              <w:rPr>
                <w:color w:val="000000"/>
                <w:sz w:val="20"/>
                <w:lang w:val="es-ES"/>
              </w:rPr>
            </w:pPr>
            <w:r>
              <w:rPr>
                <w:color w:val="000000"/>
                <w:sz w:val="20"/>
                <w:lang w:val="es-ES"/>
              </w:rPr>
              <w:t>2</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6C856EA0" w14:textId="7231D7A8" w:rsidR="00FA44C0" w:rsidRPr="00FA44C0" w:rsidRDefault="00FA44C0" w:rsidP="00FA44C0">
            <w:pPr>
              <w:autoSpaceDE w:val="0"/>
              <w:autoSpaceDN w:val="0"/>
              <w:adjustRightInd w:val="0"/>
              <w:jc w:val="both"/>
              <w:rPr>
                <w:sz w:val="20"/>
                <w:lang w:val="es-ES"/>
              </w:rPr>
            </w:pPr>
            <w:r w:rsidRPr="00FA44C0">
              <w:rPr>
                <w:sz w:val="20"/>
                <w:lang w:val="es-ES"/>
              </w:rPr>
              <w:t>(i) Resoluciones emitidas por el INE de ajuste tarifario para la actualización del costo de abastecimiento, transmisión y distribución desde la fecha del desembolso de la segunda operación;</w:t>
            </w:r>
          </w:p>
          <w:p w14:paraId="4EBA15F0" w14:textId="55F1DC78" w:rsidR="009B04BB" w:rsidRPr="00F70C39" w:rsidRDefault="00FA44C0" w:rsidP="00FA44C0">
            <w:pPr>
              <w:autoSpaceDE w:val="0"/>
              <w:autoSpaceDN w:val="0"/>
              <w:adjustRightInd w:val="0"/>
              <w:jc w:val="both"/>
              <w:rPr>
                <w:color w:val="000000"/>
                <w:sz w:val="20"/>
                <w:lang w:val="es-ES"/>
              </w:rPr>
            </w:pPr>
            <w:r w:rsidRPr="00FA44C0">
              <w:rPr>
                <w:sz w:val="20"/>
                <w:lang w:val="es-ES"/>
              </w:rPr>
              <w:t>(ii) Informe del INE sobre la evolución de la tarifa y su relación con el costo de abastecimiento.</w:t>
            </w:r>
          </w:p>
        </w:tc>
      </w:tr>
      <w:tr w:rsidR="000C637D" w:rsidRPr="00F70C39" w14:paraId="73D0D85C"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165754A2" w14:textId="77777777" w:rsidR="000C637D" w:rsidRPr="00F70C39" w:rsidRDefault="000C637D" w:rsidP="000C637D">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2F5689DE" w14:textId="1BA94259" w:rsidR="000C637D" w:rsidRPr="000C637D" w:rsidRDefault="000C637D" w:rsidP="000C637D">
            <w:pPr>
              <w:autoSpaceDE w:val="0"/>
              <w:autoSpaceDN w:val="0"/>
              <w:adjustRightInd w:val="0"/>
              <w:jc w:val="both"/>
              <w:rPr>
                <w:color w:val="000000"/>
                <w:sz w:val="20"/>
                <w:lang w:val="es-ES"/>
              </w:rPr>
            </w:pPr>
            <w:r w:rsidRPr="000C637D">
              <w:rPr>
                <w:sz w:val="20"/>
                <w:lang w:val="es-ES"/>
              </w:rPr>
              <w:t>Medidas de ajustes sobre los subsidios del sector eléctrico aprobadas</w:t>
            </w:r>
          </w:p>
        </w:tc>
        <w:tc>
          <w:tcPr>
            <w:tcW w:w="426" w:type="pct"/>
            <w:tcBorders>
              <w:top w:val="single" w:sz="4" w:space="0" w:color="auto"/>
              <w:left w:val="single" w:sz="4" w:space="0" w:color="auto"/>
              <w:bottom w:val="single" w:sz="4" w:space="0" w:color="auto"/>
              <w:right w:val="single" w:sz="4" w:space="0" w:color="auto"/>
            </w:tcBorders>
          </w:tcPr>
          <w:p w14:paraId="25F3DA46" w14:textId="77777777" w:rsidR="000C637D" w:rsidRPr="00F70C39" w:rsidRDefault="000C637D" w:rsidP="000C637D">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170973FE" w14:textId="77777777" w:rsidR="000C637D" w:rsidRPr="00F70C39" w:rsidRDefault="000C637D" w:rsidP="000C637D">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60B39277" w14:textId="77777777" w:rsidR="000C637D" w:rsidRPr="00F70C39" w:rsidRDefault="000C637D" w:rsidP="000C637D">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6406CC19" w14:textId="317BDBEA" w:rsidR="000C637D" w:rsidRPr="000C637D" w:rsidRDefault="000C637D" w:rsidP="000C637D">
            <w:pPr>
              <w:jc w:val="both"/>
              <w:rPr>
                <w:sz w:val="20"/>
              </w:rPr>
            </w:pPr>
            <w:r>
              <w:rPr>
                <w:sz w:val="20"/>
              </w:rPr>
              <w:t xml:space="preserve">Oficio del </w:t>
            </w:r>
            <w:r w:rsidRPr="0062349D">
              <w:rPr>
                <w:sz w:val="20"/>
              </w:rPr>
              <w:t xml:space="preserve">Gabinete Económico </w:t>
            </w:r>
            <w:r>
              <w:rPr>
                <w:sz w:val="20"/>
              </w:rPr>
              <w:t xml:space="preserve">a la Presidencia, </w:t>
            </w:r>
            <w:r w:rsidRPr="0062349D">
              <w:rPr>
                <w:sz w:val="20"/>
              </w:rPr>
              <w:t>remitiendo</w:t>
            </w:r>
            <w:r>
              <w:rPr>
                <w:sz w:val="20"/>
              </w:rPr>
              <w:t xml:space="preserve"> el esquema completo de medidas de ajuste aprobadas por el Gabinete Económico para los subsidios del sector eléctrico, las metas a alcanzar, </w:t>
            </w:r>
            <w:r w:rsidRPr="0062349D">
              <w:rPr>
                <w:sz w:val="20"/>
              </w:rPr>
              <w:t>la</w:t>
            </w:r>
            <w:r>
              <w:rPr>
                <w:sz w:val="20"/>
              </w:rPr>
              <w:t>s acciones y el cronograma para su implementación</w:t>
            </w:r>
          </w:p>
        </w:tc>
      </w:tr>
      <w:tr w:rsidR="009B04BB" w:rsidRPr="00F70C39" w14:paraId="6A870630" w14:textId="77777777" w:rsidTr="009B04BB">
        <w:trPr>
          <w:jc w:val="center"/>
        </w:trPr>
        <w:tc>
          <w:tcPr>
            <w:tcW w:w="1135" w:type="pct"/>
            <w:vMerge w:val="restart"/>
            <w:tcBorders>
              <w:top w:val="single" w:sz="6" w:space="0" w:color="auto"/>
              <w:left w:val="single" w:sz="6" w:space="0" w:color="auto"/>
              <w:right w:val="single" w:sz="4" w:space="0" w:color="auto"/>
            </w:tcBorders>
            <w:shd w:val="clear" w:color="auto" w:fill="auto"/>
          </w:tcPr>
          <w:p w14:paraId="2E09363D" w14:textId="5CD20CC5" w:rsidR="009B04BB" w:rsidRPr="00F70C39" w:rsidRDefault="009B04BB" w:rsidP="00167968">
            <w:pPr>
              <w:pStyle w:val="ListParagraph"/>
              <w:numPr>
                <w:ilvl w:val="0"/>
                <w:numId w:val="12"/>
              </w:numPr>
              <w:ind w:left="0" w:firstLine="0"/>
              <w:contextualSpacing/>
              <w:jc w:val="both"/>
              <w:rPr>
                <w:b/>
                <w:sz w:val="20"/>
                <w:lang w:val="es-ES"/>
              </w:rPr>
            </w:pPr>
            <w:r w:rsidRPr="00F70C39">
              <w:rPr>
                <w:b/>
                <w:sz w:val="20"/>
                <w:lang w:val="es-ES"/>
              </w:rPr>
              <w:t>Transparencia de resultados en la gestión del sector:</w:t>
            </w:r>
            <w:r w:rsidRPr="00F70C39">
              <w:rPr>
                <w:sz w:val="20"/>
                <w:lang w:val="es-ES"/>
              </w:rPr>
              <w:t xml:space="preserve"> Establecer mecanis</w:t>
            </w:r>
            <w:r w:rsidR="00DD7852">
              <w:rPr>
                <w:sz w:val="20"/>
                <w:lang w:val="es-ES"/>
              </w:rPr>
              <w:t xml:space="preserve">- </w:t>
            </w:r>
            <w:r w:rsidRPr="00F70C39">
              <w:rPr>
                <w:sz w:val="20"/>
                <w:lang w:val="es-ES"/>
              </w:rPr>
              <w:t>mos que mejoren la transparencia de resultados de las empresas públicas y concesionarias en el sector</w:t>
            </w: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32727C88" w14:textId="77777777" w:rsidR="009B04BB" w:rsidRPr="00F70C39" w:rsidRDefault="009B04BB" w:rsidP="009B04BB">
            <w:pPr>
              <w:autoSpaceDE w:val="0"/>
              <w:autoSpaceDN w:val="0"/>
              <w:adjustRightInd w:val="0"/>
              <w:jc w:val="both"/>
              <w:rPr>
                <w:color w:val="000000"/>
                <w:sz w:val="20"/>
                <w:lang w:val="es-ES"/>
              </w:rPr>
            </w:pPr>
            <w:r w:rsidRPr="00F70C39">
              <w:rPr>
                <w:sz w:val="20"/>
                <w:lang w:val="es-ES"/>
              </w:rPr>
              <w:t>Términos de financiamiento de la tarifa eléctrica con vigencia posterior a marzo de 2014 publicados por INE</w:t>
            </w:r>
          </w:p>
        </w:tc>
        <w:tc>
          <w:tcPr>
            <w:tcW w:w="426" w:type="pct"/>
            <w:tcBorders>
              <w:top w:val="single" w:sz="4" w:space="0" w:color="auto"/>
              <w:left w:val="single" w:sz="4" w:space="0" w:color="auto"/>
              <w:bottom w:val="single" w:sz="4" w:space="0" w:color="auto"/>
              <w:right w:val="single" w:sz="4" w:space="0" w:color="auto"/>
            </w:tcBorders>
          </w:tcPr>
          <w:p w14:paraId="6D2033FC"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07774ECD"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0716B284" w14:textId="349E0B77" w:rsidR="009B04BB" w:rsidRPr="00F70C39" w:rsidRDefault="00D12681" w:rsidP="009B04BB">
            <w:pPr>
              <w:autoSpaceDE w:val="0"/>
              <w:autoSpaceDN w:val="0"/>
              <w:adjustRightInd w:val="0"/>
              <w:jc w:val="both"/>
              <w:rPr>
                <w:color w:val="000000"/>
                <w:sz w:val="20"/>
                <w:lang w:val="es-ES"/>
              </w:rPr>
            </w:pPr>
            <w:r>
              <w:rPr>
                <w:color w:val="000000"/>
                <w:sz w:val="20"/>
                <w:lang w:val="es-ES"/>
              </w:rPr>
              <w:t>2</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3EEE0D91" w14:textId="059ECE64" w:rsidR="00C1708F" w:rsidRDefault="00692812" w:rsidP="00C1708F">
            <w:pPr>
              <w:jc w:val="both"/>
              <w:rPr>
                <w:sz w:val="20"/>
              </w:rPr>
            </w:pPr>
            <w:r>
              <w:rPr>
                <w:sz w:val="20"/>
              </w:rPr>
              <w:t xml:space="preserve">(i) </w:t>
            </w:r>
            <w:r w:rsidR="00C1708F" w:rsidRPr="00330D23">
              <w:rPr>
                <w:sz w:val="20"/>
              </w:rPr>
              <w:t xml:space="preserve">Publicación en el sitio WEB de INE de los contratos de financiamiento; y </w:t>
            </w:r>
          </w:p>
          <w:p w14:paraId="0CCB3398" w14:textId="10894F39" w:rsidR="00C1708F" w:rsidRPr="00692812" w:rsidRDefault="00D12681" w:rsidP="00C1708F">
            <w:pPr>
              <w:jc w:val="both"/>
              <w:rPr>
                <w:sz w:val="20"/>
              </w:rPr>
            </w:pPr>
            <w:r>
              <w:rPr>
                <w:sz w:val="20"/>
              </w:rPr>
              <w:t>(ii</w:t>
            </w:r>
            <w:r w:rsidR="00C1708F" w:rsidRPr="00330D23">
              <w:rPr>
                <w:sz w:val="20"/>
              </w:rPr>
              <w:t>) balance del estado del financiamiento de la tarifa eléctrica a la fecha.</w:t>
            </w:r>
          </w:p>
        </w:tc>
      </w:tr>
      <w:tr w:rsidR="009B04BB" w:rsidRPr="00F70C39" w14:paraId="3335C678"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59055393"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3C641D12" w14:textId="6C83A008" w:rsidR="009B04BB" w:rsidRPr="00436AE3" w:rsidRDefault="009B04BB" w:rsidP="009B04BB">
            <w:pPr>
              <w:autoSpaceDE w:val="0"/>
              <w:autoSpaceDN w:val="0"/>
              <w:adjustRightInd w:val="0"/>
              <w:jc w:val="both"/>
              <w:rPr>
                <w:color w:val="000000"/>
                <w:sz w:val="20"/>
                <w:lang w:val="es-ES"/>
              </w:rPr>
            </w:pPr>
            <w:r w:rsidRPr="00436AE3">
              <w:rPr>
                <w:sz w:val="20"/>
                <w:lang w:val="es-ES"/>
              </w:rPr>
              <w:t>Estados financieros auditados de ENEL correspondientes al año 201</w:t>
            </w:r>
            <w:r w:rsidR="00E46AB6" w:rsidRPr="00436AE3">
              <w:rPr>
                <w:sz w:val="20"/>
                <w:lang w:val="es-ES"/>
              </w:rPr>
              <w:t>6</w:t>
            </w:r>
          </w:p>
        </w:tc>
        <w:tc>
          <w:tcPr>
            <w:tcW w:w="426" w:type="pct"/>
            <w:tcBorders>
              <w:top w:val="single" w:sz="4" w:space="0" w:color="auto"/>
              <w:left w:val="single" w:sz="4" w:space="0" w:color="auto"/>
              <w:bottom w:val="single" w:sz="4" w:space="0" w:color="auto"/>
              <w:right w:val="single" w:sz="4" w:space="0" w:color="auto"/>
            </w:tcBorders>
          </w:tcPr>
          <w:p w14:paraId="67BC203E"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372DC929"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728AED2D"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56B9DBE5" w14:textId="77777777" w:rsidR="009B04BB" w:rsidRPr="00F70C39" w:rsidRDefault="009B04BB" w:rsidP="009B04BB">
            <w:pPr>
              <w:jc w:val="both"/>
              <w:rPr>
                <w:color w:val="000000"/>
                <w:sz w:val="20"/>
                <w:lang w:val="es-ES"/>
              </w:rPr>
            </w:pPr>
            <w:r>
              <w:rPr>
                <w:sz w:val="20"/>
                <w:lang w:val="es-ES"/>
              </w:rPr>
              <w:t>Publicación de ENEL</w:t>
            </w:r>
            <w:r w:rsidRPr="00F70C39">
              <w:rPr>
                <w:sz w:val="20"/>
                <w:lang w:val="es-ES"/>
              </w:rPr>
              <w:t xml:space="preserve"> en su sitio web </w:t>
            </w:r>
            <w:r>
              <w:rPr>
                <w:sz w:val="20"/>
                <w:lang w:val="es-ES"/>
              </w:rPr>
              <w:t xml:space="preserve">de </w:t>
            </w:r>
            <w:r w:rsidRPr="00F70C39">
              <w:rPr>
                <w:sz w:val="20"/>
                <w:lang w:val="es-ES"/>
              </w:rPr>
              <w:t>l</w:t>
            </w:r>
            <w:r>
              <w:rPr>
                <w:sz w:val="20"/>
                <w:lang w:val="es-ES"/>
              </w:rPr>
              <w:t>o</w:t>
            </w:r>
            <w:r w:rsidRPr="00F70C39">
              <w:rPr>
                <w:sz w:val="20"/>
                <w:lang w:val="es-ES"/>
              </w:rPr>
              <w:t xml:space="preserve">s </w:t>
            </w:r>
            <w:r>
              <w:rPr>
                <w:sz w:val="20"/>
                <w:lang w:val="es-ES"/>
              </w:rPr>
              <w:t>Estados Financieros</w:t>
            </w:r>
            <w:r w:rsidRPr="00F70C39">
              <w:rPr>
                <w:sz w:val="20"/>
                <w:lang w:val="es-ES"/>
              </w:rPr>
              <w:t>.</w:t>
            </w:r>
          </w:p>
        </w:tc>
      </w:tr>
      <w:tr w:rsidR="009B04BB" w:rsidRPr="00F70C39" w14:paraId="19EB094D"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310BC11C"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2AFC2F02" w14:textId="0F1011D4" w:rsidR="009B04BB" w:rsidRPr="00436AE3" w:rsidRDefault="009B04BB" w:rsidP="009B04BB">
            <w:pPr>
              <w:autoSpaceDE w:val="0"/>
              <w:autoSpaceDN w:val="0"/>
              <w:adjustRightInd w:val="0"/>
              <w:jc w:val="both"/>
              <w:rPr>
                <w:color w:val="000000"/>
                <w:sz w:val="20"/>
                <w:lang w:val="es-ES"/>
              </w:rPr>
            </w:pPr>
            <w:r w:rsidRPr="00436AE3">
              <w:rPr>
                <w:sz w:val="20"/>
                <w:lang w:val="es-ES"/>
              </w:rPr>
              <w:t>Estados financieros auditados de ENATREL correspondientes al año 201</w:t>
            </w:r>
            <w:r w:rsidR="00E46AB6" w:rsidRPr="00436AE3">
              <w:rPr>
                <w:sz w:val="20"/>
                <w:lang w:val="es-ES"/>
              </w:rPr>
              <w:t>5 y en proceso de validación del EFA a 2016</w:t>
            </w:r>
          </w:p>
        </w:tc>
        <w:tc>
          <w:tcPr>
            <w:tcW w:w="426" w:type="pct"/>
            <w:tcBorders>
              <w:top w:val="single" w:sz="4" w:space="0" w:color="auto"/>
              <w:left w:val="single" w:sz="4" w:space="0" w:color="auto"/>
              <w:bottom w:val="single" w:sz="4" w:space="0" w:color="auto"/>
              <w:right w:val="single" w:sz="4" w:space="0" w:color="auto"/>
            </w:tcBorders>
          </w:tcPr>
          <w:p w14:paraId="27A41F6B"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5E560E7B"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267670E2"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28D54CAB" w14:textId="3D1D2428" w:rsidR="009B04BB" w:rsidRPr="00F70C39" w:rsidRDefault="009B04BB" w:rsidP="009B04BB">
            <w:pPr>
              <w:jc w:val="both"/>
              <w:rPr>
                <w:sz w:val="20"/>
                <w:lang w:val="es-ES"/>
              </w:rPr>
            </w:pPr>
            <w:r>
              <w:rPr>
                <w:sz w:val="20"/>
                <w:lang w:val="es-ES"/>
              </w:rPr>
              <w:t>Publicación de ENATREL</w:t>
            </w:r>
            <w:r w:rsidRPr="00F70C39">
              <w:rPr>
                <w:sz w:val="20"/>
                <w:lang w:val="es-ES"/>
              </w:rPr>
              <w:t xml:space="preserve"> en su sitio web </w:t>
            </w:r>
            <w:r>
              <w:rPr>
                <w:sz w:val="20"/>
                <w:lang w:val="es-ES"/>
              </w:rPr>
              <w:t xml:space="preserve">de </w:t>
            </w:r>
            <w:r w:rsidRPr="00F70C39">
              <w:rPr>
                <w:sz w:val="20"/>
                <w:lang w:val="es-ES"/>
              </w:rPr>
              <w:t>l</w:t>
            </w:r>
            <w:r>
              <w:rPr>
                <w:sz w:val="20"/>
                <w:lang w:val="es-ES"/>
              </w:rPr>
              <w:t>o</w:t>
            </w:r>
            <w:r w:rsidRPr="00F70C39">
              <w:rPr>
                <w:sz w:val="20"/>
                <w:lang w:val="es-ES"/>
              </w:rPr>
              <w:t xml:space="preserve">s </w:t>
            </w:r>
            <w:r>
              <w:rPr>
                <w:sz w:val="20"/>
                <w:lang w:val="es-ES"/>
              </w:rPr>
              <w:t xml:space="preserve">Estados </w:t>
            </w:r>
            <w:r w:rsidRPr="00436AE3">
              <w:rPr>
                <w:sz w:val="20"/>
                <w:lang w:val="es-ES"/>
              </w:rPr>
              <w:t>Financieros</w:t>
            </w:r>
            <w:r w:rsidR="00E46AB6">
              <w:rPr>
                <w:sz w:val="20"/>
                <w:lang w:val="es-ES"/>
              </w:rPr>
              <w:t xml:space="preserve"> y copia del EFA de 2016</w:t>
            </w:r>
            <w:r w:rsidRPr="00F70C39">
              <w:rPr>
                <w:sz w:val="20"/>
                <w:lang w:val="es-ES"/>
              </w:rPr>
              <w:t>.</w:t>
            </w:r>
          </w:p>
        </w:tc>
      </w:tr>
      <w:tr w:rsidR="00436AE3" w:rsidRPr="00F70C39" w14:paraId="3633905D"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68D085E5" w14:textId="77777777" w:rsidR="00436AE3" w:rsidRPr="00F70C39" w:rsidRDefault="00436AE3" w:rsidP="00436AE3">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22AD8181" w14:textId="77777777" w:rsidR="00436AE3" w:rsidRPr="00F70C39" w:rsidRDefault="00436AE3" w:rsidP="00436AE3">
            <w:pPr>
              <w:autoSpaceDE w:val="0"/>
              <w:autoSpaceDN w:val="0"/>
              <w:adjustRightInd w:val="0"/>
              <w:jc w:val="both"/>
              <w:rPr>
                <w:color w:val="000000"/>
                <w:sz w:val="20"/>
                <w:lang w:val="es-ES"/>
              </w:rPr>
            </w:pPr>
            <w:r w:rsidRPr="00F70C39">
              <w:rPr>
                <w:sz w:val="20"/>
                <w:lang w:val="es-ES"/>
              </w:rPr>
              <w:t>Índice de Recuperación de Efectivo (índice combinado), Índice de pérdidas, e Índice de cobro según sea suministrado por DISNORTE y DISSUR</w:t>
            </w:r>
          </w:p>
        </w:tc>
        <w:tc>
          <w:tcPr>
            <w:tcW w:w="426" w:type="pct"/>
            <w:tcBorders>
              <w:top w:val="single" w:sz="4" w:space="0" w:color="auto"/>
              <w:left w:val="single" w:sz="4" w:space="0" w:color="auto"/>
              <w:bottom w:val="single" w:sz="4" w:space="0" w:color="auto"/>
              <w:right w:val="single" w:sz="4" w:space="0" w:color="auto"/>
            </w:tcBorders>
          </w:tcPr>
          <w:p w14:paraId="754DE722" w14:textId="77777777" w:rsidR="00436AE3" w:rsidRPr="00F70C39" w:rsidRDefault="00436AE3" w:rsidP="00436AE3">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48A9092C" w14:textId="77777777" w:rsidR="00436AE3" w:rsidRPr="00F70C39" w:rsidRDefault="00436AE3" w:rsidP="00436AE3">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17D1C6B6" w14:textId="77777777" w:rsidR="00436AE3" w:rsidRPr="00F70C39" w:rsidRDefault="00436AE3" w:rsidP="00436AE3">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65C0F2E8" w14:textId="2A13FC73" w:rsidR="00436AE3" w:rsidRPr="00F70C39" w:rsidRDefault="00436AE3" w:rsidP="00436AE3">
            <w:pPr>
              <w:autoSpaceDE w:val="0"/>
              <w:autoSpaceDN w:val="0"/>
              <w:adjustRightInd w:val="0"/>
              <w:jc w:val="both"/>
              <w:rPr>
                <w:color w:val="000000"/>
                <w:sz w:val="20"/>
                <w:lang w:val="es-ES"/>
              </w:rPr>
            </w:pPr>
            <w:r w:rsidRPr="000D0673">
              <w:rPr>
                <w:sz w:val="20"/>
              </w:rPr>
              <w:t xml:space="preserve">Publicación en el sitio WEB de INE del índice de recuperación de efectivo, el índice de perdidas y el índice de cobro correspondiente al período desde el desembolso de la segunda </w:t>
            </w:r>
            <w:r w:rsidRPr="000D0673">
              <w:rPr>
                <w:sz w:val="20"/>
              </w:rPr>
              <w:lastRenderedPageBreak/>
              <w:t>operación a 2016, o al año inmediatamente anterior a aquel en que se realice el desembolso</w:t>
            </w:r>
            <w:r>
              <w:rPr>
                <w:sz w:val="20"/>
              </w:rPr>
              <w:t>.</w:t>
            </w:r>
          </w:p>
        </w:tc>
      </w:tr>
      <w:tr w:rsidR="009B04BB" w:rsidRPr="00F70C39" w14:paraId="045B1DCF" w14:textId="77777777" w:rsidTr="009B04BB">
        <w:trPr>
          <w:jc w:val="center"/>
        </w:trPr>
        <w:tc>
          <w:tcPr>
            <w:tcW w:w="1135" w:type="pct"/>
            <w:vMerge/>
            <w:tcBorders>
              <w:left w:val="single" w:sz="6" w:space="0" w:color="auto"/>
              <w:bottom w:val="single" w:sz="6" w:space="0" w:color="auto"/>
              <w:right w:val="single" w:sz="4" w:space="0" w:color="auto"/>
            </w:tcBorders>
            <w:shd w:val="clear" w:color="auto" w:fill="auto"/>
          </w:tcPr>
          <w:p w14:paraId="733610B4" w14:textId="77777777" w:rsidR="009B04BB" w:rsidRPr="00F70C39" w:rsidRDefault="009B04BB" w:rsidP="009B04BB">
            <w:pPr>
              <w:autoSpaceDE w:val="0"/>
              <w:autoSpaceDN w:val="0"/>
              <w:adjustRightInd w:val="0"/>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7C2BD02F" w14:textId="77777777" w:rsidR="009B04BB" w:rsidRPr="00F70C39" w:rsidRDefault="009B04BB" w:rsidP="009B04BB">
            <w:pPr>
              <w:autoSpaceDE w:val="0"/>
              <w:autoSpaceDN w:val="0"/>
              <w:adjustRightInd w:val="0"/>
              <w:jc w:val="both"/>
              <w:rPr>
                <w:color w:val="000000"/>
                <w:sz w:val="20"/>
                <w:lang w:val="es-ES"/>
              </w:rPr>
            </w:pPr>
            <w:r>
              <w:rPr>
                <w:sz w:val="20"/>
                <w:lang w:val="es-ES"/>
              </w:rPr>
              <w:t>D</w:t>
            </w:r>
            <w:r w:rsidRPr="008F1421">
              <w:rPr>
                <w:sz w:val="20"/>
                <w:lang w:val="es-ES"/>
              </w:rPr>
              <w:t>esvíos de costos mayoristas.</w:t>
            </w:r>
          </w:p>
        </w:tc>
        <w:tc>
          <w:tcPr>
            <w:tcW w:w="426" w:type="pct"/>
            <w:tcBorders>
              <w:top w:val="single" w:sz="4" w:space="0" w:color="auto"/>
              <w:left w:val="single" w:sz="4" w:space="0" w:color="auto"/>
              <w:bottom w:val="single" w:sz="4" w:space="0" w:color="auto"/>
              <w:right w:val="single" w:sz="4" w:space="0" w:color="auto"/>
            </w:tcBorders>
          </w:tcPr>
          <w:p w14:paraId="37DE9296"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70AA538A"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5153C72C"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160CCE82" w14:textId="77777777" w:rsidR="009B04BB" w:rsidRPr="00F70C39" w:rsidRDefault="009B04BB" w:rsidP="009B04BB">
            <w:pPr>
              <w:autoSpaceDE w:val="0"/>
              <w:autoSpaceDN w:val="0"/>
              <w:adjustRightInd w:val="0"/>
              <w:jc w:val="both"/>
              <w:rPr>
                <w:color w:val="000000"/>
                <w:sz w:val="20"/>
                <w:lang w:val="es-ES"/>
              </w:rPr>
            </w:pPr>
            <w:r w:rsidRPr="008F1421">
              <w:rPr>
                <w:sz w:val="20"/>
                <w:lang w:val="es-ES"/>
              </w:rPr>
              <w:t>Publicación mensual del INE en su sitio web de los desvíos de costos mayoristas</w:t>
            </w:r>
          </w:p>
        </w:tc>
      </w:tr>
      <w:tr w:rsidR="009B04BB" w:rsidRPr="00F70C39" w14:paraId="335E656A" w14:textId="77777777" w:rsidTr="009B04BB">
        <w:trPr>
          <w:jc w:val="center"/>
        </w:trPr>
        <w:tc>
          <w:tcPr>
            <w:tcW w:w="1135" w:type="pct"/>
            <w:vMerge w:val="restart"/>
            <w:tcBorders>
              <w:top w:val="single" w:sz="6" w:space="0" w:color="auto"/>
              <w:left w:val="single" w:sz="6" w:space="0" w:color="auto"/>
              <w:right w:val="single" w:sz="6" w:space="0" w:color="auto"/>
            </w:tcBorders>
            <w:shd w:val="clear" w:color="auto" w:fill="auto"/>
          </w:tcPr>
          <w:p w14:paraId="369333BD" w14:textId="0B7FA4AC" w:rsidR="009B04BB" w:rsidRPr="00F70C39" w:rsidRDefault="009B04BB" w:rsidP="00167968">
            <w:pPr>
              <w:pStyle w:val="ListParagraph"/>
              <w:numPr>
                <w:ilvl w:val="0"/>
                <w:numId w:val="13"/>
              </w:numPr>
              <w:ind w:left="0" w:firstLine="0"/>
              <w:contextualSpacing/>
              <w:jc w:val="both"/>
              <w:rPr>
                <w:b/>
                <w:sz w:val="20"/>
                <w:lang w:val="es-ES"/>
              </w:rPr>
            </w:pPr>
            <w:r w:rsidRPr="00F70C39">
              <w:rPr>
                <w:b/>
                <w:sz w:val="20"/>
                <w:lang w:val="es-ES"/>
              </w:rPr>
              <w:t xml:space="preserve">Matriz energética sostenible, fomento energías renovables, inversión privada y eficiencia energética: </w:t>
            </w:r>
            <w:r w:rsidRPr="00F70C39">
              <w:rPr>
                <w:sz w:val="20"/>
                <w:lang w:val="es-ES"/>
              </w:rPr>
              <w:t xml:space="preserve">Promover el uso de fuentes renovables, la generación </w:t>
            </w:r>
            <w:r w:rsidR="00E46AB6" w:rsidRPr="00F70C39">
              <w:rPr>
                <w:sz w:val="20"/>
                <w:lang w:val="es-ES"/>
              </w:rPr>
              <w:t>distribuida, la</w:t>
            </w:r>
            <w:r w:rsidRPr="00F70C39">
              <w:rPr>
                <w:sz w:val="20"/>
                <w:lang w:val="es-ES"/>
              </w:rPr>
              <w:t xml:space="preserve"> participación privada en el sector eléctrico y la eficiencia energética, para alcanzar una matriz energética sostenible</w:t>
            </w:r>
          </w:p>
        </w:tc>
        <w:tc>
          <w:tcPr>
            <w:tcW w:w="1416" w:type="pct"/>
            <w:tcBorders>
              <w:top w:val="single" w:sz="4" w:space="0" w:color="auto"/>
              <w:left w:val="single" w:sz="6" w:space="0" w:color="auto"/>
              <w:bottom w:val="single" w:sz="4" w:space="0" w:color="auto"/>
              <w:right w:val="single" w:sz="6" w:space="0" w:color="auto"/>
            </w:tcBorders>
            <w:shd w:val="clear" w:color="auto" w:fill="auto"/>
          </w:tcPr>
          <w:p w14:paraId="4834B393" w14:textId="2CEBAA11" w:rsidR="009B04BB" w:rsidRPr="00436AE3" w:rsidRDefault="00117F07" w:rsidP="009B04BB">
            <w:pPr>
              <w:jc w:val="both"/>
              <w:rPr>
                <w:sz w:val="20"/>
              </w:rPr>
            </w:pPr>
            <w:r w:rsidRPr="00436AE3">
              <w:rPr>
                <w:sz w:val="20"/>
              </w:rPr>
              <w:t xml:space="preserve">Líneas </w:t>
            </w:r>
            <w:r w:rsidR="009B04BB" w:rsidRPr="00436AE3">
              <w:rPr>
                <w:sz w:val="20"/>
              </w:rPr>
              <w:t>de acción para mejorar los procesos en la contratación de energía y potencia en el mercado mayorista como estímulo a la inversión privada</w:t>
            </w:r>
            <w:r w:rsidRPr="00436AE3">
              <w:rPr>
                <w:sz w:val="20"/>
              </w:rPr>
              <w:t xml:space="preserve"> aprobada</w:t>
            </w:r>
            <w:r w:rsidR="009B04BB" w:rsidRPr="00436AE3">
              <w:rPr>
                <w:sz w:val="20"/>
              </w:rPr>
              <w:t>.</w:t>
            </w:r>
          </w:p>
        </w:tc>
        <w:tc>
          <w:tcPr>
            <w:tcW w:w="426" w:type="pct"/>
            <w:tcBorders>
              <w:top w:val="single" w:sz="4" w:space="0" w:color="auto"/>
              <w:left w:val="single" w:sz="6" w:space="0" w:color="auto"/>
              <w:bottom w:val="single" w:sz="4" w:space="0" w:color="auto"/>
              <w:right w:val="single" w:sz="6" w:space="0" w:color="auto"/>
            </w:tcBorders>
          </w:tcPr>
          <w:p w14:paraId="28D9E70B" w14:textId="77777777" w:rsidR="009B04BB" w:rsidRPr="00F70C39" w:rsidRDefault="009B04BB" w:rsidP="009B04BB">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6" w:space="0" w:color="auto"/>
              <w:bottom w:val="single" w:sz="4" w:space="0" w:color="auto"/>
              <w:right w:val="single" w:sz="6" w:space="0" w:color="auto"/>
            </w:tcBorders>
          </w:tcPr>
          <w:p w14:paraId="4A816644"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6" w:space="0" w:color="auto"/>
              <w:bottom w:val="single" w:sz="4" w:space="0" w:color="auto"/>
              <w:right w:val="single" w:sz="6" w:space="0" w:color="auto"/>
            </w:tcBorders>
          </w:tcPr>
          <w:p w14:paraId="613D0D4D" w14:textId="77777777" w:rsidR="009B04BB" w:rsidRPr="00F70C39" w:rsidRDefault="009B04BB" w:rsidP="009B04BB">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6" w:space="0" w:color="auto"/>
              <w:bottom w:val="single" w:sz="4" w:space="0" w:color="auto"/>
              <w:right w:val="single" w:sz="6" w:space="0" w:color="auto"/>
            </w:tcBorders>
            <w:shd w:val="clear" w:color="auto" w:fill="auto"/>
          </w:tcPr>
          <w:p w14:paraId="7E343190" w14:textId="0596A76C" w:rsidR="009B04BB" w:rsidRPr="00436AE3" w:rsidRDefault="00436AE3" w:rsidP="009B04BB">
            <w:pPr>
              <w:jc w:val="both"/>
              <w:rPr>
                <w:sz w:val="20"/>
              </w:rPr>
            </w:pPr>
            <w:r>
              <w:rPr>
                <w:sz w:val="20"/>
              </w:rPr>
              <w:t xml:space="preserve">Oficio del </w:t>
            </w:r>
            <w:r w:rsidRPr="0062349D">
              <w:rPr>
                <w:sz w:val="20"/>
              </w:rPr>
              <w:t xml:space="preserve">Gabinete </w:t>
            </w:r>
            <w:r>
              <w:rPr>
                <w:sz w:val="20"/>
              </w:rPr>
              <w:t xml:space="preserve">de </w:t>
            </w:r>
            <w:r w:rsidRPr="0062349D">
              <w:rPr>
                <w:sz w:val="20"/>
              </w:rPr>
              <w:t>E</w:t>
            </w:r>
            <w:r>
              <w:rPr>
                <w:sz w:val="20"/>
              </w:rPr>
              <w:t>nergía</w:t>
            </w:r>
            <w:r w:rsidRPr="0062349D">
              <w:rPr>
                <w:sz w:val="20"/>
              </w:rPr>
              <w:t xml:space="preserve"> </w:t>
            </w:r>
            <w:r>
              <w:rPr>
                <w:sz w:val="20"/>
              </w:rPr>
              <w:t xml:space="preserve">al MEM, </w:t>
            </w:r>
            <w:r w:rsidRPr="0062349D">
              <w:rPr>
                <w:sz w:val="20"/>
              </w:rPr>
              <w:t>remitiendo</w:t>
            </w:r>
            <w:r>
              <w:rPr>
                <w:sz w:val="20"/>
              </w:rPr>
              <w:t xml:space="preserve"> el esquema completo de </w:t>
            </w:r>
            <w:r w:rsidRPr="0062349D">
              <w:rPr>
                <w:sz w:val="20"/>
              </w:rPr>
              <w:t>líneas de acción para mejorar los procesos en la contratación de energía y potencia en el mercado mayorista como estímulo a la inversión privada</w:t>
            </w:r>
            <w:r>
              <w:rPr>
                <w:sz w:val="20"/>
              </w:rPr>
              <w:t xml:space="preserve"> e incluyendo las metas a alcanzar, </w:t>
            </w:r>
            <w:r w:rsidRPr="0062349D">
              <w:rPr>
                <w:sz w:val="20"/>
              </w:rPr>
              <w:t>la</w:t>
            </w:r>
            <w:r>
              <w:rPr>
                <w:sz w:val="20"/>
              </w:rPr>
              <w:t>s acciones y el cronograma, hasta la implementación de la primera licitación.</w:t>
            </w:r>
          </w:p>
        </w:tc>
      </w:tr>
      <w:tr w:rsidR="00436AE3" w:rsidRPr="00F70C39" w14:paraId="5109C964" w14:textId="77777777" w:rsidTr="009B04BB">
        <w:trPr>
          <w:jc w:val="center"/>
        </w:trPr>
        <w:tc>
          <w:tcPr>
            <w:tcW w:w="1135" w:type="pct"/>
            <w:vMerge/>
            <w:tcBorders>
              <w:left w:val="single" w:sz="6" w:space="0" w:color="auto"/>
              <w:right w:val="single" w:sz="4" w:space="0" w:color="auto"/>
            </w:tcBorders>
            <w:shd w:val="clear" w:color="auto" w:fill="auto"/>
          </w:tcPr>
          <w:p w14:paraId="47654FFA" w14:textId="77777777" w:rsidR="00436AE3" w:rsidRPr="00F70C39" w:rsidRDefault="00436AE3" w:rsidP="00436AE3">
            <w:pPr>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14B9F3B4" w14:textId="6BDAE984" w:rsidR="00436AE3" w:rsidRPr="00436AE3" w:rsidRDefault="00436AE3" w:rsidP="00436AE3">
            <w:pPr>
              <w:jc w:val="both"/>
              <w:rPr>
                <w:sz w:val="20"/>
              </w:rPr>
            </w:pPr>
            <w:r w:rsidRPr="00436AE3">
              <w:rPr>
                <w:sz w:val="20"/>
              </w:rPr>
              <w:t>Nuevos proyectos de energía renovable incorporados en el Plan Indicativo de Expansión.</w:t>
            </w:r>
          </w:p>
        </w:tc>
        <w:tc>
          <w:tcPr>
            <w:tcW w:w="426" w:type="pct"/>
            <w:tcBorders>
              <w:top w:val="single" w:sz="4" w:space="0" w:color="auto"/>
              <w:left w:val="single" w:sz="4" w:space="0" w:color="auto"/>
              <w:bottom w:val="single" w:sz="4" w:space="0" w:color="auto"/>
              <w:right w:val="single" w:sz="4" w:space="0" w:color="auto"/>
            </w:tcBorders>
          </w:tcPr>
          <w:p w14:paraId="3CC6F79D" w14:textId="77777777" w:rsidR="00436AE3" w:rsidRPr="00F70C39" w:rsidRDefault="00436AE3" w:rsidP="00436AE3">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381616DB" w14:textId="77777777" w:rsidR="00436AE3" w:rsidRPr="00F70C39" w:rsidRDefault="00436AE3" w:rsidP="00436AE3">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42779AB6" w14:textId="0089F40B" w:rsidR="00436AE3" w:rsidRPr="00F70C39" w:rsidRDefault="002901A8" w:rsidP="00436AE3">
            <w:pPr>
              <w:autoSpaceDE w:val="0"/>
              <w:autoSpaceDN w:val="0"/>
              <w:adjustRightInd w:val="0"/>
              <w:jc w:val="both"/>
              <w:rPr>
                <w:color w:val="000000"/>
                <w:sz w:val="20"/>
                <w:lang w:val="es-ES"/>
              </w:rPr>
            </w:pPr>
            <w:r>
              <w:rPr>
                <w:color w:val="000000"/>
                <w:sz w:val="20"/>
                <w:lang w:val="es-ES"/>
              </w:rPr>
              <w:t>2</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31FB70F4" w14:textId="25DD33DB" w:rsidR="002901A8" w:rsidRDefault="002901A8" w:rsidP="00436AE3">
            <w:pPr>
              <w:jc w:val="both"/>
              <w:rPr>
                <w:sz w:val="20"/>
              </w:rPr>
            </w:pPr>
            <w:r>
              <w:rPr>
                <w:sz w:val="20"/>
              </w:rPr>
              <w:t xml:space="preserve">(i) </w:t>
            </w:r>
            <w:r w:rsidR="00D12681" w:rsidRPr="00D12681">
              <w:rPr>
                <w:sz w:val="20"/>
              </w:rPr>
              <w:t>Plan Indicativo de Expansión de la Generación aprobado</w:t>
            </w:r>
            <w:r w:rsidR="00D12681">
              <w:rPr>
                <w:sz w:val="20"/>
              </w:rPr>
              <w:t>,</w:t>
            </w:r>
            <w:r w:rsidR="00D12681" w:rsidRPr="00D12681">
              <w:rPr>
                <w:sz w:val="20"/>
              </w:rPr>
              <w:t xml:space="preserve"> inclu</w:t>
            </w:r>
            <w:r w:rsidR="00D12681">
              <w:rPr>
                <w:sz w:val="20"/>
              </w:rPr>
              <w:t xml:space="preserve">yendo proyectos </w:t>
            </w:r>
            <w:r w:rsidR="00D12681" w:rsidRPr="00D12681">
              <w:rPr>
                <w:sz w:val="20"/>
              </w:rPr>
              <w:t>basados en recursos renovables</w:t>
            </w:r>
            <w:r>
              <w:rPr>
                <w:sz w:val="20"/>
              </w:rPr>
              <w:t>,</w:t>
            </w:r>
            <w:r w:rsidR="00D12681" w:rsidRPr="00D12681">
              <w:rPr>
                <w:sz w:val="20"/>
              </w:rPr>
              <w:t xml:space="preserve"> y  elaborado con base en la metodología de seguridad operativa definida por ENATREL-CNDC</w:t>
            </w:r>
            <w:r>
              <w:rPr>
                <w:sz w:val="20"/>
              </w:rPr>
              <w:t>;</w:t>
            </w:r>
          </w:p>
          <w:p w14:paraId="01771914" w14:textId="21AEA0BF" w:rsidR="00436AE3" w:rsidRPr="00FC26B6" w:rsidRDefault="002901A8" w:rsidP="00436AE3">
            <w:pPr>
              <w:jc w:val="both"/>
              <w:rPr>
                <w:color w:val="000000"/>
                <w:sz w:val="20"/>
                <w:highlight w:val="yellow"/>
                <w:lang w:val="es-ES"/>
              </w:rPr>
            </w:pPr>
            <w:r>
              <w:rPr>
                <w:sz w:val="20"/>
              </w:rPr>
              <w:t xml:space="preserve">(ii) </w:t>
            </w:r>
            <w:r w:rsidRPr="00BC4F7C">
              <w:rPr>
                <w:sz w:val="20"/>
              </w:rPr>
              <w:t>Oficio de</w:t>
            </w:r>
            <w:r>
              <w:rPr>
                <w:sz w:val="20"/>
              </w:rPr>
              <w:t>l CNDC a</w:t>
            </w:r>
            <w:r w:rsidRPr="00BC4F7C">
              <w:rPr>
                <w:sz w:val="20"/>
              </w:rPr>
              <w:t xml:space="preserve"> </w:t>
            </w:r>
            <w:r>
              <w:rPr>
                <w:sz w:val="20"/>
              </w:rPr>
              <w:t xml:space="preserve">ENATREL confirmando que los </w:t>
            </w:r>
            <w:r w:rsidRPr="005335FB">
              <w:rPr>
                <w:sz w:val="20"/>
              </w:rPr>
              <w:t>Plan</w:t>
            </w:r>
            <w:r>
              <w:rPr>
                <w:sz w:val="20"/>
              </w:rPr>
              <w:t>es</w:t>
            </w:r>
            <w:r w:rsidRPr="005335FB">
              <w:rPr>
                <w:sz w:val="20"/>
              </w:rPr>
              <w:t xml:space="preserve"> Indicativo</w:t>
            </w:r>
            <w:r>
              <w:rPr>
                <w:sz w:val="20"/>
              </w:rPr>
              <w:t>s</w:t>
            </w:r>
            <w:r w:rsidRPr="005335FB">
              <w:rPr>
                <w:sz w:val="20"/>
              </w:rPr>
              <w:t xml:space="preserve"> de Expansión de Generación</w:t>
            </w:r>
            <w:r>
              <w:rPr>
                <w:sz w:val="20"/>
              </w:rPr>
              <w:t xml:space="preserve"> y Transmisión 2017-2026 garantizarían el cumplimiento de los criterios de calidad, seguridad y desempeño, adjuntando la evaluación correspondiente y el Plan de Expansión de la Transmisión.</w:t>
            </w:r>
          </w:p>
        </w:tc>
      </w:tr>
      <w:tr w:rsidR="002901A8" w:rsidRPr="00F70C39" w14:paraId="09D80AFD" w14:textId="77777777" w:rsidTr="009B04BB">
        <w:trPr>
          <w:jc w:val="center"/>
        </w:trPr>
        <w:tc>
          <w:tcPr>
            <w:tcW w:w="1135" w:type="pct"/>
            <w:vMerge/>
            <w:tcBorders>
              <w:left w:val="single" w:sz="6" w:space="0" w:color="auto"/>
              <w:right w:val="single" w:sz="4" w:space="0" w:color="auto"/>
            </w:tcBorders>
            <w:shd w:val="clear" w:color="auto" w:fill="auto"/>
          </w:tcPr>
          <w:p w14:paraId="7F7FD2D9" w14:textId="77777777" w:rsidR="002901A8" w:rsidRPr="00F70C39" w:rsidRDefault="002901A8" w:rsidP="002901A8">
            <w:pPr>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65C8CC1C" w14:textId="21045625" w:rsidR="002901A8" w:rsidRPr="002901A8" w:rsidRDefault="002901A8" w:rsidP="002901A8">
            <w:pPr>
              <w:jc w:val="both"/>
              <w:rPr>
                <w:color w:val="000000"/>
                <w:sz w:val="20"/>
                <w:lang w:val="es-ES"/>
              </w:rPr>
            </w:pPr>
            <w:r>
              <w:rPr>
                <w:color w:val="000000"/>
                <w:sz w:val="20"/>
                <w:lang w:val="es-ES"/>
              </w:rPr>
              <w:t>N</w:t>
            </w:r>
            <w:r w:rsidRPr="002901A8">
              <w:rPr>
                <w:color w:val="000000"/>
                <w:sz w:val="20"/>
                <w:lang w:val="es-ES"/>
              </w:rPr>
              <w:t>ormativa para generación eléctrica distribuida en el país, con el fin de lograr una normativa consensuada con todos los agentes del mercado.</w:t>
            </w:r>
          </w:p>
        </w:tc>
        <w:tc>
          <w:tcPr>
            <w:tcW w:w="426" w:type="pct"/>
            <w:tcBorders>
              <w:top w:val="single" w:sz="4" w:space="0" w:color="auto"/>
              <w:left w:val="single" w:sz="4" w:space="0" w:color="auto"/>
              <w:bottom w:val="single" w:sz="4" w:space="0" w:color="auto"/>
              <w:right w:val="single" w:sz="4" w:space="0" w:color="auto"/>
            </w:tcBorders>
          </w:tcPr>
          <w:p w14:paraId="634B42FC" w14:textId="77777777" w:rsidR="002901A8" w:rsidRPr="00F70C39" w:rsidRDefault="002901A8" w:rsidP="002901A8">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59559E34"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44A316DE" w14:textId="31872FB4" w:rsidR="002901A8" w:rsidRPr="00F70C39" w:rsidRDefault="002901A8" w:rsidP="002901A8">
            <w:pPr>
              <w:autoSpaceDE w:val="0"/>
              <w:autoSpaceDN w:val="0"/>
              <w:adjustRightInd w:val="0"/>
              <w:jc w:val="both"/>
              <w:rPr>
                <w:color w:val="000000"/>
                <w:sz w:val="20"/>
                <w:lang w:val="es-ES"/>
              </w:rPr>
            </w:pPr>
            <w:r>
              <w:rPr>
                <w:color w:val="000000"/>
                <w:sz w:val="20"/>
                <w:lang w:val="es-ES"/>
              </w:rPr>
              <w:t>2</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63F588D5" w14:textId="362B9518" w:rsidR="002901A8" w:rsidRDefault="002901A8" w:rsidP="002901A8">
            <w:pPr>
              <w:jc w:val="both"/>
              <w:rPr>
                <w:sz w:val="20"/>
              </w:rPr>
            </w:pPr>
            <w:r>
              <w:rPr>
                <w:sz w:val="20"/>
              </w:rPr>
              <w:t>(i) Copia de La Gaceta Diario Oficial con la aprobación por parte de la Asamblea Nacional (AN) a la Reforma a la Ley No. 272 – Ley de la Industria Eléctrica, estableciendo base legal para la normativa de generación eléctrica distribuida;</w:t>
            </w:r>
          </w:p>
          <w:p w14:paraId="3FB124A8" w14:textId="5D8F4532" w:rsidR="002901A8" w:rsidRPr="00FC26B6" w:rsidRDefault="002901A8" w:rsidP="002901A8">
            <w:pPr>
              <w:autoSpaceDE w:val="0"/>
              <w:autoSpaceDN w:val="0"/>
              <w:adjustRightInd w:val="0"/>
              <w:jc w:val="both"/>
              <w:rPr>
                <w:color w:val="000000"/>
                <w:sz w:val="20"/>
                <w:highlight w:val="yellow"/>
                <w:lang w:val="es-ES"/>
              </w:rPr>
            </w:pPr>
            <w:r>
              <w:rPr>
                <w:sz w:val="20"/>
              </w:rPr>
              <w:t>(ii) N</w:t>
            </w:r>
            <w:r w:rsidRPr="006C68E6">
              <w:rPr>
                <w:sz w:val="20"/>
              </w:rPr>
              <w:t>ormativa para generación eléctrica distribuida aprobada</w:t>
            </w:r>
            <w:r>
              <w:rPr>
                <w:sz w:val="20"/>
              </w:rPr>
              <w:t xml:space="preserve"> por el MEM</w:t>
            </w:r>
            <w:r w:rsidRPr="006C68E6">
              <w:rPr>
                <w:sz w:val="20"/>
              </w:rPr>
              <w:t>.</w:t>
            </w:r>
          </w:p>
        </w:tc>
      </w:tr>
      <w:tr w:rsidR="002901A8" w:rsidRPr="00F70C39" w14:paraId="5679FF00" w14:textId="77777777" w:rsidTr="009B04BB">
        <w:trPr>
          <w:jc w:val="center"/>
        </w:trPr>
        <w:tc>
          <w:tcPr>
            <w:tcW w:w="1135" w:type="pct"/>
            <w:vMerge/>
            <w:tcBorders>
              <w:left w:val="single" w:sz="6" w:space="0" w:color="auto"/>
              <w:right w:val="single" w:sz="4" w:space="0" w:color="auto"/>
            </w:tcBorders>
            <w:shd w:val="clear" w:color="auto" w:fill="auto"/>
          </w:tcPr>
          <w:p w14:paraId="402A4A1A" w14:textId="77777777" w:rsidR="002901A8" w:rsidRPr="00F70C39" w:rsidRDefault="002901A8" w:rsidP="002901A8">
            <w:pPr>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31699825" w14:textId="394118CF" w:rsidR="002901A8" w:rsidRPr="002901A8" w:rsidRDefault="002901A8" w:rsidP="002901A8">
            <w:pPr>
              <w:jc w:val="both"/>
              <w:rPr>
                <w:color w:val="000000"/>
                <w:sz w:val="20"/>
                <w:lang w:val="es-ES"/>
              </w:rPr>
            </w:pPr>
            <w:r w:rsidRPr="002901A8">
              <w:rPr>
                <w:color w:val="000000"/>
                <w:sz w:val="20"/>
                <w:lang w:val="es-ES"/>
              </w:rPr>
              <w:t>Ley de Eficiencia Energética aprobada.</w:t>
            </w:r>
          </w:p>
        </w:tc>
        <w:tc>
          <w:tcPr>
            <w:tcW w:w="426" w:type="pct"/>
            <w:tcBorders>
              <w:top w:val="single" w:sz="4" w:space="0" w:color="auto"/>
              <w:left w:val="single" w:sz="4" w:space="0" w:color="auto"/>
              <w:bottom w:val="single" w:sz="4" w:space="0" w:color="auto"/>
              <w:right w:val="single" w:sz="4" w:space="0" w:color="auto"/>
            </w:tcBorders>
          </w:tcPr>
          <w:p w14:paraId="3AFE8EF8" w14:textId="77777777" w:rsidR="002901A8" w:rsidRPr="00F70C39" w:rsidRDefault="002901A8" w:rsidP="002901A8">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52BF9D87"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1C0B314A"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746EB746" w14:textId="0EBE4B6E" w:rsidR="002901A8" w:rsidRPr="002901A8" w:rsidRDefault="002901A8" w:rsidP="002901A8">
            <w:pPr>
              <w:jc w:val="both"/>
              <w:rPr>
                <w:sz w:val="20"/>
              </w:rPr>
            </w:pPr>
            <w:r>
              <w:rPr>
                <w:sz w:val="20"/>
              </w:rPr>
              <w:t>Evidencia de la remisión de l</w:t>
            </w:r>
            <w:r w:rsidRPr="00F416A7">
              <w:rPr>
                <w:sz w:val="20"/>
              </w:rPr>
              <w:t xml:space="preserve">a Presidencia </w:t>
            </w:r>
            <w:r>
              <w:rPr>
                <w:sz w:val="20"/>
              </w:rPr>
              <w:t xml:space="preserve">de la República a la </w:t>
            </w:r>
            <w:r w:rsidRPr="00F416A7">
              <w:rPr>
                <w:sz w:val="20"/>
              </w:rPr>
              <w:t>secretaría de la A</w:t>
            </w:r>
            <w:r>
              <w:rPr>
                <w:sz w:val="20"/>
              </w:rPr>
              <w:t>N,</w:t>
            </w:r>
            <w:r w:rsidRPr="00F416A7">
              <w:rPr>
                <w:sz w:val="20"/>
              </w:rPr>
              <w:t xml:space="preserve"> </w:t>
            </w:r>
            <w:r>
              <w:rPr>
                <w:sz w:val="20"/>
              </w:rPr>
              <w:t xml:space="preserve">de la iniciativa </w:t>
            </w:r>
            <w:r w:rsidRPr="00446E21">
              <w:rPr>
                <w:sz w:val="20"/>
              </w:rPr>
              <w:t>de Ley de Eficiencia Energética</w:t>
            </w:r>
            <w:r>
              <w:rPr>
                <w:sz w:val="20"/>
              </w:rPr>
              <w:t>, adjuntando el texto de la Ley propuesta.</w:t>
            </w:r>
          </w:p>
        </w:tc>
      </w:tr>
      <w:tr w:rsidR="002901A8" w:rsidRPr="00F70C39" w14:paraId="44DFFB29" w14:textId="77777777" w:rsidTr="009B04BB">
        <w:trPr>
          <w:jc w:val="center"/>
        </w:trPr>
        <w:tc>
          <w:tcPr>
            <w:tcW w:w="1135" w:type="pct"/>
            <w:vMerge/>
            <w:tcBorders>
              <w:left w:val="single" w:sz="6" w:space="0" w:color="auto"/>
              <w:right w:val="single" w:sz="4" w:space="0" w:color="auto"/>
            </w:tcBorders>
            <w:shd w:val="clear" w:color="auto" w:fill="auto"/>
          </w:tcPr>
          <w:p w14:paraId="21388588" w14:textId="77777777" w:rsidR="002901A8" w:rsidRPr="00F70C39" w:rsidRDefault="002901A8" w:rsidP="002901A8">
            <w:pPr>
              <w:jc w:val="both"/>
              <w:rPr>
                <w:bCs/>
                <w:sz w:val="20"/>
                <w:lang w:val="es-ES"/>
              </w:rPr>
            </w:pPr>
          </w:p>
        </w:tc>
        <w:tc>
          <w:tcPr>
            <w:tcW w:w="1416" w:type="pct"/>
            <w:tcBorders>
              <w:top w:val="single" w:sz="4" w:space="0" w:color="auto"/>
              <w:left w:val="single" w:sz="4" w:space="0" w:color="auto"/>
              <w:bottom w:val="single" w:sz="4" w:space="0" w:color="auto"/>
              <w:right w:val="single" w:sz="4" w:space="0" w:color="auto"/>
            </w:tcBorders>
            <w:shd w:val="clear" w:color="auto" w:fill="auto"/>
          </w:tcPr>
          <w:p w14:paraId="106786C7" w14:textId="77777777" w:rsidR="002901A8" w:rsidRPr="00F70C39" w:rsidRDefault="002901A8" w:rsidP="002901A8">
            <w:pPr>
              <w:jc w:val="both"/>
              <w:rPr>
                <w:color w:val="000000"/>
                <w:sz w:val="20"/>
                <w:lang w:val="es-ES"/>
              </w:rPr>
            </w:pPr>
            <w:r>
              <w:rPr>
                <w:color w:val="000000"/>
                <w:sz w:val="20"/>
                <w:lang w:val="es-ES"/>
              </w:rPr>
              <w:t>P</w:t>
            </w:r>
            <w:r w:rsidRPr="000430EF">
              <w:rPr>
                <w:color w:val="000000"/>
                <w:sz w:val="20"/>
                <w:lang w:val="es-ES"/>
              </w:rPr>
              <w:t>ropuesta de Programa Nacional de Eficiencia Energética.</w:t>
            </w:r>
          </w:p>
        </w:tc>
        <w:tc>
          <w:tcPr>
            <w:tcW w:w="426" w:type="pct"/>
            <w:tcBorders>
              <w:top w:val="single" w:sz="4" w:space="0" w:color="auto"/>
              <w:left w:val="single" w:sz="4" w:space="0" w:color="auto"/>
              <w:bottom w:val="single" w:sz="4" w:space="0" w:color="auto"/>
              <w:right w:val="single" w:sz="4" w:space="0" w:color="auto"/>
            </w:tcBorders>
          </w:tcPr>
          <w:p w14:paraId="6EAA47FF" w14:textId="77777777" w:rsidR="002901A8" w:rsidRPr="00F70C39" w:rsidRDefault="002901A8" w:rsidP="002901A8">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4" w:space="0" w:color="auto"/>
              <w:bottom w:val="single" w:sz="4" w:space="0" w:color="auto"/>
              <w:right w:val="single" w:sz="4" w:space="0" w:color="auto"/>
            </w:tcBorders>
          </w:tcPr>
          <w:p w14:paraId="1598FB53"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4" w:space="0" w:color="auto"/>
              <w:bottom w:val="single" w:sz="4" w:space="0" w:color="auto"/>
              <w:right w:val="single" w:sz="4" w:space="0" w:color="auto"/>
            </w:tcBorders>
          </w:tcPr>
          <w:p w14:paraId="28EE5208"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4" w:space="0" w:color="auto"/>
              <w:bottom w:val="single" w:sz="4" w:space="0" w:color="auto"/>
              <w:right w:val="single" w:sz="4" w:space="0" w:color="auto"/>
            </w:tcBorders>
            <w:shd w:val="clear" w:color="auto" w:fill="auto"/>
          </w:tcPr>
          <w:p w14:paraId="4302D2A8" w14:textId="0BA1F40E" w:rsidR="002901A8" w:rsidRPr="00221D4A" w:rsidRDefault="002901A8" w:rsidP="002901A8">
            <w:pPr>
              <w:jc w:val="both"/>
              <w:rPr>
                <w:sz w:val="20"/>
              </w:rPr>
            </w:pPr>
            <w:r w:rsidRPr="00221D4A">
              <w:rPr>
                <w:sz w:val="20"/>
              </w:rPr>
              <w:t xml:space="preserve">Certificación del punto del acta de la sesión del Gabinete de Energía en que consta la aprobación del Programa </w:t>
            </w:r>
            <w:r w:rsidRPr="00221D4A">
              <w:rPr>
                <w:sz w:val="20"/>
              </w:rPr>
              <w:lastRenderedPageBreak/>
              <w:t>Na</w:t>
            </w:r>
            <w:r>
              <w:rPr>
                <w:sz w:val="20"/>
              </w:rPr>
              <w:t xml:space="preserve">cional de Eficiencia Energética, </w:t>
            </w:r>
            <w:r w:rsidRPr="00221D4A">
              <w:rPr>
                <w:sz w:val="20"/>
              </w:rPr>
              <w:t>adjuntando el texto del Programa aprobado.</w:t>
            </w:r>
          </w:p>
          <w:p w14:paraId="59CDBD32" w14:textId="13A02709" w:rsidR="002901A8" w:rsidRPr="00F70C39" w:rsidRDefault="002901A8" w:rsidP="002901A8">
            <w:pPr>
              <w:autoSpaceDE w:val="0"/>
              <w:autoSpaceDN w:val="0"/>
              <w:adjustRightInd w:val="0"/>
              <w:jc w:val="both"/>
              <w:rPr>
                <w:color w:val="000000"/>
                <w:sz w:val="20"/>
                <w:lang w:val="es-ES"/>
              </w:rPr>
            </w:pPr>
          </w:p>
        </w:tc>
      </w:tr>
      <w:tr w:rsidR="002901A8" w:rsidRPr="00F70C39" w14:paraId="71F181E4" w14:textId="77777777" w:rsidTr="009B04BB">
        <w:trPr>
          <w:jc w:val="center"/>
        </w:trPr>
        <w:tc>
          <w:tcPr>
            <w:tcW w:w="1135" w:type="pct"/>
            <w:tcBorders>
              <w:top w:val="single" w:sz="6" w:space="0" w:color="auto"/>
              <w:left w:val="single" w:sz="6" w:space="0" w:color="auto"/>
              <w:bottom w:val="single" w:sz="6" w:space="0" w:color="auto"/>
              <w:right w:val="single" w:sz="6" w:space="0" w:color="auto"/>
            </w:tcBorders>
            <w:shd w:val="clear" w:color="auto" w:fill="auto"/>
          </w:tcPr>
          <w:p w14:paraId="5FB31F1F" w14:textId="0F52B327" w:rsidR="002901A8" w:rsidRPr="00F70C39" w:rsidRDefault="002901A8" w:rsidP="002901A8">
            <w:pPr>
              <w:pStyle w:val="ListParagraph"/>
              <w:numPr>
                <w:ilvl w:val="0"/>
                <w:numId w:val="14"/>
              </w:numPr>
              <w:ind w:left="0" w:firstLine="0"/>
              <w:contextualSpacing/>
              <w:jc w:val="both"/>
              <w:rPr>
                <w:b/>
                <w:sz w:val="20"/>
                <w:lang w:val="es-ES"/>
              </w:rPr>
            </w:pPr>
            <w:r w:rsidRPr="00F70C39">
              <w:rPr>
                <w:b/>
                <w:sz w:val="20"/>
                <w:lang w:val="es-ES"/>
              </w:rPr>
              <w:lastRenderedPageBreak/>
              <w:t xml:space="preserve">Impulso a la Integración regional del sector eléctrico: </w:t>
            </w:r>
            <w:r w:rsidRPr="00F70C39">
              <w:rPr>
                <w:sz w:val="20"/>
                <w:lang w:val="es-ES"/>
              </w:rPr>
              <w:t>Impulsar la integración eléctrica regional incrementando la participación del sector eléctrico nacional en el mercado eléctrico regional</w:t>
            </w:r>
          </w:p>
        </w:tc>
        <w:tc>
          <w:tcPr>
            <w:tcW w:w="1416" w:type="pct"/>
            <w:tcBorders>
              <w:top w:val="single" w:sz="4" w:space="0" w:color="auto"/>
              <w:left w:val="single" w:sz="6" w:space="0" w:color="auto"/>
              <w:bottom w:val="single" w:sz="4" w:space="0" w:color="auto"/>
              <w:right w:val="single" w:sz="6" w:space="0" w:color="auto"/>
            </w:tcBorders>
            <w:shd w:val="clear" w:color="auto" w:fill="auto"/>
          </w:tcPr>
          <w:p w14:paraId="75BDD02F" w14:textId="77777777" w:rsidR="002901A8" w:rsidRPr="00F70C39" w:rsidRDefault="002901A8" w:rsidP="002901A8">
            <w:pPr>
              <w:jc w:val="both"/>
              <w:rPr>
                <w:sz w:val="20"/>
                <w:lang w:val="es-ES"/>
              </w:rPr>
            </w:pPr>
            <w:r>
              <w:rPr>
                <w:sz w:val="20"/>
                <w:lang w:val="es-ES"/>
              </w:rPr>
              <w:t>A</w:t>
            </w:r>
            <w:r w:rsidRPr="000430EF">
              <w:rPr>
                <w:sz w:val="20"/>
                <w:lang w:val="es-ES"/>
              </w:rPr>
              <w:t>justes a las regulaciones y normativas nacionales que, como resultado de las evaluaciones periódicas que realiza la Comisión Regional de Interconexión Eléctrica (CRIE), resulten necesarios para mantener la adecuada integración de Nicaragua con la regulación regional del sector y para garantizar que la línea del Sistema de Interconexión Eléctrica para los Países de América Central (SIEPAC) mantiene su capacidad de transmisión para el sistema regional.</w:t>
            </w:r>
          </w:p>
        </w:tc>
        <w:tc>
          <w:tcPr>
            <w:tcW w:w="426" w:type="pct"/>
            <w:tcBorders>
              <w:top w:val="single" w:sz="4" w:space="0" w:color="auto"/>
              <w:left w:val="single" w:sz="6" w:space="0" w:color="auto"/>
              <w:bottom w:val="single" w:sz="4" w:space="0" w:color="auto"/>
              <w:right w:val="single" w:sz="6" w:space="0" w:color="auto"/>
            </w:tcBorders>
          </w:tcPr>
          <w:p w14:paraId="0DE898CF" w14:textId="77777777" w:rsidR="002901A8" w:rsidRPr="00F70C39" w:rsidRDefault="002901A8" w:rsidP="002901A8">
            <w:pPr>
              <w:autoSpaceDE w:val="0"/>
              <w:autoSpaceDN w:val="0"/>
              <w:adjustRightInd w:val="0"/>
              <w:jc w:val="both"/>
              <w:rPr>
                <w:color w:val="000000"/>
                <w:sz w:val="20"/>
                <w:lang w:val="es-ES"/>
              </w:rPr>
            </w:pPr>
            <w:r w:rsidRPr="00F70C39">
              <w:rPr>
                <w:color w:val="000000"/>
                <w:sz w:val="20"/>
                <w:lang w:val="es-ES"/>
              </w:rPr>
              <w:t>(SI/NO)</w:t>
            </w:r>
          </w:p>
        </w:tc>
        <w:tc>
          <w:tcPr>
            <w:tcW w:w="362" w:type="pct"/>
            <w:tcBorders>
              <w:top w:val="single" w:sz="4" w:space="0" w:color="auto"/>
              <w:left w:val="single" w:sz="6" w:space="0" w:color="auto"/>
              <w:bottom w:val="single" w:sz="4" w:space="0" w:color="auto"/>
              <w:right w:val="single" w:sz="6" w:space="0" w:color="auto"/>
            </w:tcBorders>
          </w:tcPr>
          <w:p w14:paraId="2F3AE8E2"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0</w:t>
            </w:r>
          </w:p>
        </w:tc>
        <w:tc>
          <w:tcPr>
            <w:tcW w:w="403" w:type="pct"/>
            <w:tcBorders>
              <w:top w:val="single" w:sz="4" w:space="0" w:color="auto"/>
              <w:left w:val="single" w:sz="6" w:space="0" w:color="auto"/>
              <w:bottom w:val="single" w:sz="4" w:space="0" w:color="auto"/>
              <w:right w:val="single" w:sz="6" w:space="0" w:color="auto"/>
            </w:tcBorders>
          </w:tcPr>
          <w:p w14:paraId="0204FBF9" w14:textId="77777777" w:rsidR="002901A8" w:rsidRPr="00F70C39" w:rsidRDefault="002901A8" w:rsidP="002901A8">
            <w:pPr>
              <w:autoSpaceDE w:val="0"/>
              <w:autoSpaceDN w:val="0"/>
              <w:adjustRightInd w:val="0"/>
              <w:jc w:val="both"/>
              <w:rPr>
                <w:color w:val="000000"/>
                <w:sz w:val="20"/>
                <w:lang w:val="es-ES"/>
              </w:rPr>
            </w:pPr>
            <w:r>
              <w:rPr>
                <w:color w:val="000000"/>
                <w:sz w:val="20"/>
                <w:lang w:val="es-ES"/>
              </w:rPr>
              <w:t>1</w:t>
            </w:r>
          </w:p>
        </w:tc>
        <w:tc>
          <w:tcPr>
            <w:tcW w:w="1258" w:type="pct"/>
            <w:tcBorders>
              <w:top w:val="single" w:sz="4" w:space="0" w:color="auto"/>
              <w:left w:val="single" w:sz="6" w:space="0" w:color="auto"/>
              <w:bottom w:val="single" w:sz="4" w:space="0" w:color="auto"/>
              <w:right w:val="single" w:sz="6" w:space="0" w:color="auto"/>
            </w:tcBorders>
            <w:shd w:val="clear" w:color="auto" w:fill="auto"/>
          </w:tcPr>
          <w:p w14:paraId="14433914" w14:textId="564CC1A8" w:rsidR="002901A8" w:rsidRPr="00F70C39" w:rsidRDefault="002901A8" w:rsidP="002901A8">
            <w:pPr>
              <w:autoSpaceDE w:val="0"/>
              <w:autoSpaceDN w:val="0"/>
              <w:adjustRightInd w:val="0"/>
              <w:jc w:val="both"/>
              <w:rPr>
                <w:color w:val="000000"/>
                <w:sz w:val="20"/>
                <w:lang w:val="es-ES"/>
              </w:rPr>
            </w:pPr>
            <w:r w:rsidRPr="009173E4">
              <w:rPr>
                <w:sz w:val="20"/>
              </w:rPr>
              <w:t xml:space="preserve">Oficio </w:t>
            </w:r>
            <w:r>
              <w:rPr>
                <w:sz w:val="20"/>
              </w:rPr>
              <w:t>del</w:t>
            </w:r>
            <w:r w:rsidRPr="009173E4">
              <w:rPr>
                <w:sz w:val="20"/>
              </w:rPr>
              <w:t xml:space="preserve"> INE al MHCP </w:t>
            </w:r>
            <w:r>
              <w:rPr>
                <w:sz w:val="20"/>
              </w:rPr>
              <w:t xml:space="preserve">incluyendo: (i) </w:t>
            </w:r>
            <w:r w:rsidRPr="009173E4">
              <w:rPr>
                <w:sz w:val="20"/>
              </w:rPr>
              <w:t>detall</w:t>
            </w:r>
            <w:r>
              <w:rPr>
                <w:sz w:val="20"/>
              </w:rPr>
              <w:t>e</w:t>
            </w:r>
            <w:r w:rsidRPr="009173E4">
              <w:rPr>
                <w:sz w:val="20"/>
              </w:rPr>
              <w:t xml:space="preserve"> cronoló</w:t>
            </w:r>
            <w:r>
              <w:rPr>
                <w:sz w:val="20"/>
              </w:rPr>
              <w:t>-</w:t>
            </w:r>
            <w:r w:rsidRPr="009173E4">
              <w:rPr>
                <w:sz w:val="20"/>
              </w:rPr>
              <w:t>gic</w:t>
            </w:r>
            <w:r>
              <w:rPr>
                <w:sz w:val="20"/>
              </w:rPr>
              <w:t>o de</w:t>
            </w:r>
            <w:r w:rsidRPr="009173E4">
              <w:rPr>
                <w:sz w:val="20"/>
              </w:rPr>
              <w:t xml:space="preserve"> las modificaciones a la</w:t>
            </w:r>
            <w:r>
              <w:rPr>
                <w:sz w:val="20"/>
              </w:rPr>
              <w:t>s regulaciones y normativas na-cionales,</w:t>
            </w:r>
            <w:r w:rsidRPr="009173E4">
              <w:rPr>
                <w:sz w:val="20"/>
              </w:rPr>
              <w:t xml:space="preserve"> como resultado de la emisión de nuevas re</w:t>
            </w:r>
            <w:r>
              <w:rPr>
                <w:sz w:val="20"/>
              </w:rPr>
              <w:t>soluciones por parte de la CRIE; y (ii) los enlaces de p</w:t>
            </w:r>
            <w:r w:rsidRPr="00C63D14">
              <w:rPr>
                <w:sz w:val="20"/>
              </w:rPr>
              <w:t xml:space="preserve">ublicación </w:t>
            </w:r>
            <w:r>
              <w:rPr>
                <w:sz w:val="20"/>
              </w:rPr>
              <w:t xml:space="preserve">de las modificaciones a las regulacio-nes y normativas nacionales, </w:t>
            </w:r>
            <w:r w:rsidRPr="00C63D14">
              <w:rPr>
                <w:sz w:val="20"/>
              </w:rPr>
              <w:t xml:space="preserve">en </w:t>
            </w:r>
            <w:r>
              <w:rPr>
                <w:sz w:val="20"/>
              </w:rPr>
              <w:t>el</w:t>
            </w:r>
            <w:r w:rsidRPr="00C63D14">
              <w:rPr>
                <w:sz w:val="20"/>
              </w:rPr>
              <w:t xml:space="preserve"> sitio web</w:t>
            </w:r>
            <w:r>
              <w:rPr>
                <w:sz w:val="20"/>
              </w:rPr>
              <w:t xml:space="preserve"> del INE. En caso de que las nuevas resoluciones de la CRIE a partir de la fecha de desembolso del programa anterior no hayan requerido de modificaciones a las regulacio-nes y normativas nacionales, se deberá así indicarlo en el oficio.</w:t>
            </w:r>
          </w:p>
        </w:tc>
      </w:tr>
    </w:tbl>
    <w:p w14:paraId="5910FF90" w14:textId="77777777" w:rsidR="000767AB" w:rsidRPr="003D2F44" w:rsidRDefault="000767AB" w:rsidP="009B04BB">
      <w:pPr>
        <w:pStyle w:val="BodyText2"/>
        <w:spacing w:before="120" w:line="240" w:lineRule="auto"/>
        <w:ind w:left="720"/>
        <w:jc w:val="both"/>
      </w:pPr>
    </w:p>
    <w:p w14:paraId="7C291B57" w14:textId="77777777" w:rsidR="005B72F7" w:rsidRPr="003D2F44" w:rsidRDefault="005B72F7" w:rsidP="00167968">
      <w:pPr>
        <w:pStyle w:val="Chapter"/>
        <w:numPr>
          <w:ilvl w:val="0"/>
          <w:numId w:val="4"/>
        </w:numPr>
        <w:tabs>
          <w:tab w:val="clear" w:pos="1440"/>
          <w:tab w:val="left" w:pos="720"/>
        </w:tabs>
        <w:spacing w:after="0"/>
        <w:ind w:hanging="1425"/>
        <w:jc w:val="both"/>
        <w:rPr>
          <w:noProof/>
          <w:lang w:val="es-ES_tradnl"/>
        </w:rPr>
      </w:pPr>
      <w:r w:rsidRPr="003D2F44">
        <w:rPr>
          <w:noProof/>
          <w:lang w:val="es-ES_tradnl"/>
        </w:rPr>
        <w:t>Evaluación</w:t>
      </w:r>
    </w:p>
    <w:p w14:paraId="500AC540" w14:textId="77777777" w:rsidR="00571C50" w:rsidRDefault="00571C50" w:rsidP="000361BD">
      <w:pPr>
        <w:pStyle w:val="Banknumbered"/>
        <w:numPr>
          <w:ilvl w:val="0"/>
          <w:numId w:val="0"/>
        </w:numPr>
        <w:ind w:left="360"/>
        <w:jc w:val="both"/>
        <w:rPr>
          <w:lang w:val="es-ES_tradnl"/>
        </w:rPr>
      </w:pPr>
      <w:r w:rsidRPr="003D2F44">
        <w:rPr>
          <w:lang w:val="es-ES_tradnl"/>
        </w:rPr>
        <w:t xml:space="preserve">En esta sección se presenta la metodología para la evaluación de los resultados del Programa, y se incluyen, entre otros aspectos, las principales preguntas de evaluación, los indicadores de resultados e impactos, la metodología para la recolección de datos, el plan de trabajo y el presupuesto. </w:t>
      </w:r>
    </w:p>
    <w:p w14:paraId="483E10C6" w14:textId="77777777" w:rsidR="000361BD" w:rsidRPr="003D2F44" w:rsidRDefault="000361BD" w:rsidP="000361BD">
      <w:pPr>
        <w:pStyle w:val="Banknumbered"/>
        <w:numPr>
          <w:ilvl w:val="0"/>
          <w:numId w:val="0"/>
        </w:numPr>
        <w:ind w:left="360"/>
        <w:jc w:val="both"/>
        <w:rPr>
          <w:lang w:val="es-ES_tradnl"/>
        </w:rPr>
      </w:pPr>
    </w:p>
    <w:p w14:paraId="101664AF" w14:textId="77777777" w:rsidR="00571C50" w:rsidRPr="003D2F44" w:rsidRDefault="00571C50" w:rsidP="00167968">
      <w:pPr>
        <w:pStyle w:val="Subtitle"/>
        <w:numPr>
          <w:ilvl w:val="0"/>
          <w:numId w:val="6"/>
        </w:numPr>
        <w:jc w:val="both"/>
        <w:rPr>
          <w:rFonts w:ascii="Times New Roman" w:hAnsi="Times New Roman"/>
          <w:i/>
          <w:lang w:val="es-ES_tradnl"/>
        </w:rPr>
      </w:pPr>
      <w:r w:rsidRPr="003D2F44">
        <w:rPr>
          <w:rFonts w:ascii="Times New Roman" w:hAnsi="Times New Roman"/>
          <w:i/>
          <w:lang w:val="es-ES_tradnl"/>
        </w:rPr>
        <w:t xml:space="preserve">Principales preguntas de evaluación </w:t>
      </w:r>
    </w:p>
    <w:p w14:paraId="46213E81" w14:textId="77777777" w:rsidR="00571C50" w:rsidRPr="003D2F44" w:rsidRDefault="00571C50" w:rsidP="000361BD">
      <w:pPr>
        <w:pStyle w:val="Banknumbered"/>
        <w:numPr>
          <w:ilvl w:val="0"/>
          <w:numId w:val="0"/>
        </w:numPr>
        <w:ind w:left="360"/>
        <w:jc w:val="both"/>
        <w:rPr>
          <w:lang w:val="es-ES_tradnl"/>
        </w:rPr>
      </w:pPr>
      <w:r w:rsidRPr="003D2F44">
        <w:rPr>
          <w:lang w:val="es-ES_tradnl"/>
        </w:rPr>
        <w:t xml:space="preserve">El objetivo general del Programa para Fortalecer el Sector Eléctrico es apoyar al Gobierno de Nicaragua (GNI), en la consolidación de un marco sectorial que garantice la sostenibilidad financiera y operativa del sector. </w:t>
      </w:r>
    </w:p>
    <w:p w14:paraId="0467A5CC" w14:textId="053BE1B7" w:rsidR="00571C50" w:rsidRPr="003D2F44" w:rsidRDefault="00571C50" w:rsidP="000361BD">
      <w:pPr>
        <w:pStyle w:val="Banknumbered"/>
        <w:numPr>
          <w:ilvl w:val="0"/>
          <w:numId w:val="0"/>
        </w:numPr>
        <w:ind w:left="360"/>
        <w:jc w:val="both"/>
        <w:rPr>
          <w:lang w:val="es-ES_tradnl"/>
        </w:rPr>
      </w:pPr>
      <w:r w:rsidRPr="003D2F44">
        <w:rPr>
          <w:lang w:val="es-ES_tradnl"/>
        </w:rPr>
        <w:t>A continuación</w:t>
      </w:r>
      <w:r w:rsidR="002901A8">
        <w:rPr>
          <w:lang w:val="es-ES_tradnl"/>
        </w:rPr>
        <w:t>, se enuncian lo</w:t>
      </w:r>
      <w:r w:rsidRPr="003D2F44">
        <w:rPr>
          <w:lang w:val="es-ES_tradnl"/>
        </w:rPr>
        <w:t xml:space="preserve">s principales </w:t>
      </w:r>
      <w:r w:rsidR="002901A8">
        <w:rPr>
          <w:lang w:val="es-ES_tradnl"/>
        </w:rPr>
        <w:t>objetivos</w:t>
      </w:r>
      <w:r w:rsidRPr="003D2F44">
        <w:rPr>
          <w:lang w:val="es-ES_tradnl"/>
        </w:rPr>
        <w:t xml:space="preserve"> con las que se pretende evaluar el desarrollo del Programa:</w:t>
      </w:r>
    </w:p>
    <w:p w14:paraId="175028CD" w14:textId="05787D64" w:rsidR="00571C50" w:rsidRPr="003D2F44" w:rsidRDefault="00571C50" w:rsidP="00167968">
      <w:pPr>
        <w:pStyle w:val="Paragraph"/>
        <w:numPr>
          <w:ilvl w:val="1"/>
          <w:numId w:val="1"/>
        </w:numPr>
        <w:rPr>
          <w:lang w:val="es-ES_tradnl"/>
        </w:rPr>
      </w:pPr>
      <w:r w:rsidRPr="003D2F44">
        <w:rPr>
          <w:lang w:val="es-ES_tradnl"/>
        </w:rPr>
        <w:t xml:space="preserve">El desarrollo de una Nueva Matriz Energética Sostenible </w:t>
      </w:r>
      <w:r w:rsidR="002901A8">
        <w:rPr>
          <w:lang w:val="es-ES_tradnl"/>
        </w:rPr>
        <w:t xml:space="preserve">que </w:t>
      </w:r>
      <w:r w:rsidRPr="003D2F44">
        <w:rPr>
          <w:lang w:val="es-ES_tradnl"/>
        </w:rPr>
        <w:t>contribuy</w:t>
      </w:r>
      <w:r w:rsidR="002901A8">
        <w:rPr>
          <w:lang w:val="es-ES_tradnl"/>
        </w:rPr>
        <w:t>a</w:t>
      </w:r>
      <w:r w:rsidRPr="003D2F44">
        <w:rPr>
          <w:lang w:val="es-ES_tradnl"/>
        </w:rPr>
        <w:t xml:space="preserve"> a la estabilidad macroeconómica de Nicaragua</w:t>
      </w:r>
    </w:p>
    <w:p w14:paraId="793A01F5" w14:textId="0CDDBE54" w:rsidR="00571C50" w:rsidRPr="003D2F44" w:rsidRDefault="00611411" w:rsidP="00167968">
      <w:pPr>
        <w:pStyle w:val="Paragraph"/>
        <w:numPr>
          <w:ilvl w:val="1"/>
          <w:numId w:val="1"/>
        </w:numPr>
        <w:rPr>
          <w:lang w:val="es-ES_tradnl"/>
        </w:rPr>
      </w:pPr>
      <w:r>
        <w:rPr>
          <w:lang w:val="es-ES_tradnl"/>
        </w:rPr>
        <w:t xml:space="preserve">Promover </w:t>
      </w:r>
      <w:r w:rsidRPr="003D2F44">
        <w:rPr>
          <w:lang w:val="es-ES_tradnl"/>
        </w:rPr>
        <w:t>el desarrollo de los recursos de Nica</w:t>
      </w:r>
      <w:r>
        <w:rPr>
          <w:lang w:val="es-ES_tradnl"/>
        </w:rPr>
        <w:t>ragua</w:t>
      </w:r>
      <w:r w:rsidRPr="003D2F44">
        <w:rPr>
          <w:lang w:val="es-ES_tradnl"/>
        </w:rPr>
        <w:t xml:space="preserve"> </w:t>
      </w:r>
      <w:r>
        <w:rPr>
          <w:lang w:val="es-ES_tradnl"/>
        </w:rPr>
        <w:t>por medio d</w:t>
      </w:r>
      <w:r w:rsidR="00571C50" w:rsidRPr="003D2F44">
        <w:rPr>
          <w:lang w:val="es-ES_tradnl"/>
        </w:rPr>
        <w:t>el Programa para Fortalecer el Sector Eléctrico</w:t>
      </w:r>
    </w:p>
    <w:p w14:paraId="416A0AC4" w14:textId="77777777" w:rsidR="00CD2BD6" w:rsidRPr="003D2F44" w:rsidRDefault="00CD2BD6" w:rsidP="009B04BB">
      <w:pPr>
        <w:pStyle w:val="Paragraph"/>
        <w:tabs>
          <w:tab w:val="clear" w:pos="720"/>
        </w:tabs>
        <w:ind w:left="1440" w:firstLine="0"/>
        <w:rPr>
          <w:lang w:val="es-ES_tradnl"/>
        </w:rPr>
      </w:pPr>
    </w:p>
    <w:p w14:paraId="1C2BD74C" w14:textId="77777777" w:rsidR="00571C50" w:rsidRPr="003D2F44" w:rsidRDefault="00571C50" w:rsidP="00167968">
      <w:pPr>
        <w:pStyle w:val="Subtitle"/>
        <w:numPr>
          <w:ilvl w:val="0"/>
          <w:numId w:val="6"/>
        </w:numPr>
        <w:jc w:val="both"/>
        <w:rPr>
          <w:rFonts w:ascii="Times New Roman" w:hAnsi="Times New Roman"/>
          <w:i/>
          <w:lang w:val="es-ES_tradnl"/>
        </w:rPr>
      </w:pPr>
      <w:bookmarkStart w:id="1" w:name="_Toc334085432"/>
      <w:r w:rsidRPr="003D2F44">
        <w:rPr>
          <w:rFonts w:ascii="Times New Roman" w:hAnsi="Times New Roman"/>
          <w:i/>
          <w:lang w:val="es-ES_tradnl"/>
        </w:rPr>
        <w:t>Conocimiento existente – evaluación económica</w:t>
      </w:r>
      <w:bookmarkEnd w:id="1"/>
    </w:p>
    <w:p w14:paraId="58EF4D22" w14:textId="77777777" w:rsidR="00653EAE" w:rsidRPr="003D2F44" w:rsidRDefault="00CD2BD6" w:rsidP="000361BD">
      <w:pPr>
        <w:pStyle w:val="Banknumbered"/>
        <w:numPr>
          <w:ilvl w:val="0"/>
          <w:numId w:val="0"/>
        </w:numPr>
        <w:ind w:left="360"/>
        <w:jc w:val="both"/>
        <w:rPr>
          <w:lang w:val="es-ES_tradnl"/>
        </w:rPr>
      </w:pPr>
      <w:r w:rsidRPr="003D2F44">
        <w:rPr>
          <w:lang w:val="es-ES_tradnl"/>
        </w:rPr>
        <w:t xml:space="preserve">Se realizó una evaluación económica de análisis costo beneficio ex ante. </w:t>
      </w:r>
      <w:r w:rsidR="00653EAE" w:rsidRPr="003D2F44">
        <w:rPr>
          <w:lang w:val="es-ES_tradnl"/>
        </w:rPr>
        <w:t xml:space="preserve"> La aproximación a la evaluación económica del Programa consiste en hacer la estimación de beneficios y costos económicos de los resultados identificables y cuantificables asociados con el mismo</w:t>
      </w:r>
      <w:r w:rsidRPr="003D2F44">
        <w:rPr>
          <w:lang w:val="es-ES_tradnl"/>
        </w:rPr>
        <w:t>, los cuales se describen a continuación:</w:t>
      </w:r>
    </w:p>
    <w:p w14:paraId="495512F8" w14:textId="77777777" w:rsidR="00910F35" w:rsidRDefault="00653EAE" w:rsidP="00910F35">
      <w:pPr>
        <w:pStyle w:val="Heading2"/>
      </w:pPr>
      <w:r w:rsidRPr="003D2F44">
        <w:lastRenderedPageBreak/>
        <w:t xml:space="preserve">Mejoría de la Calidad del Servicio. </w:t>
      </w:r>
    </w:p>
    <w:p w14:paraId="6F6EF8FA" w14:textId="4467487F" w:rsidR="00653EAE" w:rsidRDefault="00653EAE" w:rsidP="00910F35">
      <w:pPr>
        <w:pStyle w:val="Banknumbered"/>
        <w:numPr>
          <w:ilvl w:val="0"/>
          <w:numId w:val="0"/>
        </w:numPr>
        <w:jc w:val="both"/>
        <w:rPr>
          <w:lang w:val="es-ES_tradnl"/>
        </w:rPr>
      </w:pPr>
      <w:r w:rsidRPr="00BA154C">
        <w:rPr>
          <w:lang w:val="es-ES_tradnl"/>
        </w:rPr>
        <w:t xml:space="preserve">Una expectativa del Programa es </w:t>
      </w:r>
      <w:r w:rsidR="00BA5D01" w:rsidRPr="00BA154C">
        <w:rPr>
          <w:lang w:val="es-ES_tradnl"/>
        </w:rPr>
        <w:t xml:space="preserve">la </w:t>
      </w:r>
      <w:r w:rsidRPr="00BA154C">
        <w:rPr>
          <w:lang w:val="es-ES_tradnl"/>
        </w:rPr>
        <w:t xml:space="preserve">de reducir la Frecuencia Media de Interrupción del Servicio Eléctrico por Semestre (FMIK), que actualmente cuenta con índices de 4,82 para DISNORTE y 4,45 para DISSUR, a un índice menor o igual a 4,1 en zonas urbanas en el corto plazo. En adición a lo anterior, también se pretende la reducción del Tiempo Total de Interrupción por Semestre (TTIK), que actualmente cuenta con índices de 8,84 para DISNORTE y 8,19 para DISSUR, a un índice menor o igual a 7 en zonas urbanas. Esta actividad implica una inversión anual de las distribuidoras de US$2,0 millones. La mejoría del FMIK y TTIK se evalúa en términos de efectividad de los costos de inversión y de los costos de mantenimiento y operación de las empresas de distribución. El beneficio económico de la mejora de los </w:t>
      </w:r>
      <w:r w:rsidR="00BA5D01" w:rsidRPr="00BA154C">
        <w:rPr>
          <w:lang w:val="es-ES_tradnl"/>
        </w:rPr>
        <w:t>índices consiste</w:t>
      </w:r>
      <w:r w:rsidRPr="00BA154C">
        <w:rPr>
          <w:lang w:val="es-ES_tradnl"/>
        </w:rPr>
        <w:t xml:space="preserve"> en la reducción de la energía no suministrada. La Tasa Interna de Retorno Económica (TIRE) resultante es de 23%.</w:t>
      </w:r>
    </w:p>
    <w:p w14:paraId="639AB1AB" w14:textId="77777777" w:rsidR="00E9217D" w:rsidRPr="003D2F44" w:rsidRDefault="00E9217D" w:rsidP="00910F35">
      <w:pPr>
        <w:pStyle w:val="Banknumbered"/>
        <w:numPr>
          <w:ilvl w:val="0"/>
          <w:numId w:val="0"/>
        </w:numPr>
        <w:jc w:val="both"/>
        <w:rPr>
          <w:lang w:val="es-ES_tradnl"/>
        </w:rPr>
      </w:pPr>
    </w:p>
    <w:p w14:paraId="16C0E813" w14:textId="77777777" w:rsidR="00E9217D" w:rsidRDefault="00653EAE" w:rsidP="00910F35">
      <w:pPr>
        <w:pStyle w:val="Heading2"/>
      </w:pPr>
      <w:r w:rsidRPr="003D2F44">
        <w:t xml:space="preserve">Ampliación de la Cobertura Eléctrica. </w:t>
      </w:r>
    </w:p>
    <w:p w14:paraId="7960A8C4" w14:textId="1ACBC7E9" w:rsidR="00E9217D" w:rsidRPr="008C36B0" w:rsidRDefault="00E9217D" w:rsidP="00910F35">
      <w:pPr>
        <w:pStyle w:val="Banknumbered"/>
        <w:numPr>
          <w:ilvl w:val="0"/>
          <w:numId w:val="0"/>
        </w:numPr>
      </w:pPr>
      <w:r w:rsidRPr="008C36B0">
        <w:t>Nicaragua ha tenido un incremento impresionante de la cobertura de electricidad, habiendo pasado de 73.7% en 2012 a 90.1%</w:t>
      </w:r>
      <w:r w:rsidRPr="008C36B0">
        <w:rPr>
          <w:rStyle w:val="FootnoteReference"/>
        </w:rPr>
        <w:footnoteReference w:id="2"/>
      </w:r>
      <w:r w:rsidRPr="008C36B0">
        <w:t xml:space="preserve"> en 2016, tal como se ilustra en la Figura 1:</w:t>
      </w:r>
    </w:p>
    <w:p w14:paraId="0C375AD2" w14:textId="77777777" w:rsidR="00E9217D" w:rsidRPr="008C36B0" w:rsidRDefault="00E9217D" w:rsidP="00910F35">
      <w:pPr>
        <w:keepNext/>
        <w:jc w:val="center"/>
        <w:rPr>
          <w:sz w:val="20"/>
        </w:rPr>
      </w:pPr>
      <w:r w:rsidRPr="008C36B0">
        <w:rPr>
          <w:sz w:val="20"/>
        </w:rPr>
        <w:t>Figura 1</w:t>
      </w:r>
    </w:p>
    <w:p w14:paraId="42A3E841" w14:textId="77777777" w:rsidR="00E9217D" w:rsidRPr="008C36B0" w:rsidRDefault="00E9217D" w:rsidP="00910F35">
      <w:pPr>
        <w:jc w:val="center"/>
      </w:pPr>
      <w:r w:rsidRPr="008C36B0">
        <w:rPr>
          <w:noProof/>
          <w:lang w:val="en-US"/>
        </w:rPr>
        <w:drawing>
          <wp:inline distT="0" distB="0" distL="0" distR="0" wp14:anchorId="3AF54875" wp14:editId="6EE98CD0">
            <wp:extent cx="2857500" cy="1873250"/>
            <wp:effectExtent l="0" t="0" r="12700"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1873250"/>
                    </a:xfrm>
                    <a:prstGeom prst="rect">
                      <a:avLst/>
                    </a:prstGeom>
                    <a:noFill/>
                    <a:ln>
                      <a:noFill/>
                    </a:ln>
                  </pic:spPr>
                </pic:pic>
              </a:graphicData>
            </a:graphic>
          </wp:inline>
        </w:drawing>
      </w:r>
    </w:p>
    <w:p w14:paraId="2511E7C5" w14:textId="2F42FAFD" w:rsidR="00E9217D" w:rsidRDefault="00E9217D" w:rsidP="00910F35">
      <w:r w:rsidRPr="008C36B0">
        <w:t>Este incremento ha sido posible tanto por el compromiso de inversión de las empresas de distribución como por proyectos financiados por organizaciones multilaterales, como el PNESER, los cuales han apoyado la electrificación peri-urbana y rural.</w:t>
      </w:r>
    </w:p>
    <w:p w14:paraId="0C967F83" w14:textId="72DE1BFF" w:rsidR="00E9217D" w:rsidRDefault="00E9217D" w:rsidP="00910F35">
      <w:pPr>
        <w:pStyle w:val="Banknumbered"/>
        <w:numPr>
          <w:ilvl w:val="0"/>
          <w:numId w:val="0"/>
        </w:numPr>
      </w:pPr>
      <w:r w:rsidRPr="008C36B0">
        <w:t>Para entender el efecto de los proyectos de electrificación es necesario distinguir entre el crecimiento vegetativo del número de consumidores y el aumento propiciado por los proyectos. En el Cuadro 1 se ilustra el efecto de una situación sin proyecto, en el cual se mantiene constante la tasa de electrificación, y la situación con los proyectos de electrificación; la diferencia entre el aumento de consumidores con y sin los proyectos son aquellos directamente beneficiados por dichas iniciativas.</w:t>
      </w:r>
    </w:p>
    <w:p w14:paraId="4DE4FBA6" w14:textId="77777777" w:rsidR="00E9217D" w:rsidRPr="008C36B0" w:rsidRDefault="00E9217D" w:rsidP="00910F35">
      <w:pPr>
        <w:pStyle w:val="Banknumbered"/>
        <w:numPr>
          <w:ilvl w:val="0"/>
          <w:numId w:val="0"/>
        </w:numPr>
      </w:pPr>
    </w:p>
    <w:p w14:paraId="04A67DD7" w14:textId="77777777" w:rsidR="00E9217D" w:rsidRPr="008C36B0" w:rsidRDefault="00E9217D" w:rsidP="00910F35">
      <w:pPr>
        <w:keepNext/>
        <w:ind w:left="360"/>
        <w:jc w:val="center"/>
        <w:rPr>
          <w:rFonts w:asciiTheme="majorHAnsi" w:hAnsiTheme="majorHAnsi"/>
          <w:sz w:val="20"/>
        </w:rPr>
      </w:pPr>
      <w:r w:rsidRPr="008C36B0">
        <w:rPr>
          <w:rFonts w:asciiTheme="majorHAnsi" w:hAnsiTheme="majorHAnsi"/>
          <w:sz w:val="20"/>
        </w:rPr>
        <w:lastRenderedPageBreak/>
        <w:t>Cuadro 1: Evolución del crecimiento poblacional y los hogares electrificados</w:t>
      </w:r>
    </w:p>
    <w:p w14:paraId="02364BE5" w14:textId="77777777" w:rsidR="00E9217D" w:rsidRPr="008C36B0" w:rsidRDefault="00E9217D" w:rsidP="00910F35">
      <w:pPr>
        <w:ind w:left="360"/>
      </w:pPr>
      <w:r w:rsidRPr="008C36B0">
        <w:t xml:space="preserve"> </w:t>
      </w:r>
      <w:r w:rsidRPr="008C36B0">
        <w:rPr>
          <w:noProof/>
          <w:lang w:val="en-US"/>
        </w:rPr>
        <w:drawing>
          <wp:inline distT="0" distB="0" distL="0" distR="0" wp14:anchorId="078C09FF" wp14:editId="226830D7">
            <wp:extent cx="5486400" cy="1948441"/>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948441"/>
                    </a:xfrm>
                    <a:prstGeom prst="rect">
                      <a:avLst/>
                    </a:prstGeom>
                    <a:noFill/>
                    <a:ln>
                      <a:noFill/>
                    </a:ln>
                  </pic:spPr>
                </pic:pic>
              </a:graphicData>
            </a:graphic>
          </wp:inline>
        </w:drawing>
      </w:r>
    </w:p>
    <w:p w14:paraId="780A38CD" w14:textId="77777777" w:rsidR="00E9217D" w:rsidRPr="008C36B0" w:rsidRDefault="00E9217D" w:rsidP="00910F35">
      <w:pPr>
        <w:ind w:left="360"/>
        <w:rPr>
          <w:sz w:val="18"/>
          <w:szCs w:val="18"/>
        </w:rPr>
      </w:pPr>
      <w:r w:rsidRPr="008C36B0">
        <w:rPr>
          <w:sz w:val="18"/>
          <w:szCs w:val="18"/>
          <w:vertAlign w:val="superscript"/>
        </w:rPr>
        <w:t>1</w:t>
      </w:r>
      <w:r w:rsidRPr="008C36B0">
        <w:rPr>
          <w:sz w:val="18"/>
          <w:szCs w:val="18"/>
        </w:rPr>
        <w:t xml:space="preserve">Con base en 4.9 personas por hogar   </w:t>
      </w:r>
      <w:r w:rsidRPr="008C36B0">
        <w:rPr>
          <w:sz w:val="18"/>
          <w:szCs w:val="18"/>
          <w:vertAlign w:val="superscript"/>
        </w:rPr>
        <w:t>2</w:t>
      </w:r>
      <w:r w:rsidRPr="008C36B0">
        <w:rPr>
          <w:sz w:val="18"/>
          <w:szCs w:val="18"/>
        </w:rPr>
        <w:t>Fuente: INE</w:t>
      </w:r>
    </w:p>
    <w:p w14:paraId="7696271B" w14:textId="77777777" w:rsidR="00910F35" w:rsidRDefault="00910F35" w:rsidP="00910F35">
      <w:pPr>
        <w:rPr>
          <w:szCs w:val="24"/>
        </w:rPr>
      </w:pPr>
    </w:p>
    <w:p w14:paraId="37A38FAE" w14:textId="243DEC12" w:rsidR="00E9217D" w:rsidRDefault="00E9217D" w:rsidP="00910F35">
      <w:pPr>
        <w:ind w:left="360"/>
        <w:rPr>
          <w:szCs w:val="24"/>
        </w:rPr>
      </w:pPr>
      <w:r w:rsidRPr="008C36B0">
        <w:rPr>
          <w:szCs w:val="24"/>
        </w:rPr>
        <w:t>Del Cuadro 1 se deduce que, sin los esfuerzos de electrificación, los consumidores se habrían incrementado a razón de unos 10,000 usuarios por año; los proyectos de electrificación han permitido de 30,000 a 60,000 conexiones adicionales. También se observa que la cobertura incluye los consumidores reportados por las empresas de distribución y las conexiones no facturadas, ya sea por fallas en los sistemas comerciales, o por estar asociadas con conexiones ilegales o informales.</w:t>
      </w:r>
    </w:p>
    <w:p w14:paraId="55C9B752" w14:textId="2106D878" w:rsidR="00E9217D" w:rsidRDefault="00E9217D" w:rsidP="00910F35">
      <w:pPr>
        <w:rPr>
          <w:szCs w:val="24"/>
        </w:rPr>
      </w:pPr>
    </w:p>
    <w:p w14:paraId="6330EB15" w14:textId="77777777" w:rsidR="00E9217D" w:rsidRPr="008C36B0" w:rsidRDefault="00E9217D" w:rsidP="00910F35">
      <w:pPr>
        <w:pStyle w:val="Banknumbered"/>
        <w:numPr>
          <w:ilvl w:val="0"/>
          <w:numId w:val="0"/>
        </w:numPr>
        <w:ind w:left="360"/>
      </w:pPr>
      <w:r w:rsidRPr="008C36B0">
        <w:t>Cuando se conectan consumidores que hasta la fecha carecen de servicio eléctrico, se generan beneficios económicos por un valor bruto equivalente al excedente del consumidor bajo la curva de demanda ta</w:t>
      </w:r>
      <w:r>
        <w:t>l como se muestra en la Figura 2</w:t>
      </w:r>
      <w:r w:rsidRPr="008C36B0">
        <w:t>.</w:t>
      </w:r>
    </w:p>
    <w:p w14:paraId="337E9C70" w14:textId="7F9B8321" w:rsidR="00910F35" w:rsidRPr="008C36B0" w:rsidRDefault="00910F35" w:rsidP="00910F35">
      <w:pPr>
        <w:jc w:val="center"/>
      </w:pPr>
      <w:r>
        <w:t xml:space="preserve">Figura 2. </w:t>
      </w:r>
    </w:p>
    <w:p w14:paraId="66B76044" w14:textId="77777777" w:rsidR="00E9217D" w:rsidRPr="008C36B0" w:rsidRDefault="00E9217D" w:rsidP="00910F35">
      <w:r w:rsidRPr="008C36B0">
        <w:rPr>
          <w:noProof/>
          <w:lang w:val="en-US"/>
        </w:rPr>
        <w:drawing>
          <wp:inline distT="0" distB="0" distL="0" distR="0" wp14:anchorId="5E6A1979" wp14:editId="27602720">
            <wp:extent cx="5486400" cy="2329962"/>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329962"/>
                    </a:xfrm>
                    <a:prstGeom prst="rect">
                      <a:avLst/>
                    </a:prstGeom>
                    <a:noFill/>
                    <a:ln>
                      <a:noFill/>
                    </a:ln>
                  </pic:spPr>
                </pic:pic>
              </a:graphicData>
            </a:graphic>
          </wp:inline>
        </w:drawing>
      </w:r>
    </w:p>
    <w:p w14:paraId="06AE3E79" w14:textId="52D5107D" w:rsidR="00E9217D" w:rsidRPr="008C36B0" w:rsidRDefault="00E9217D" w:rsidP="00910F35">
      <w:pPr>
        <w:pStyle w:val="Banknumbered"/>
        <w:numPr>
          <w:ilvl w:val="0"/>
          <w:numId w:val="0"/>
        </w:numPr>
      </w:pPr>
      <w:r w:rsidRPr="008C36B0">
        <w:t>La cuantificación de los beneficios se lleva cabo siguiendo el siguiente procedimiento:</w:t>
      </w:r>
    </w:p>
    <w:p w14:paraId="659F58CF" w14:textId="77777777" w:rsidR="00E9217D" w:rsidRPr="008C36B0" w:rsidRDefault="00E9217D" w:rsidP="00910F35">
      <w:pPr>
        <w:pStyle w:val="Bullet"/>
        <w:ind w:left="360"/>
        <w:rPr>
          <w:lang w:val="es-ES_tradnl"/>
        </w:rPr>
      </w:pPr>
      <w:r w:rsidRPr="008C36B0">
        <w:rPr>
          <w:lang w:val="es-ES_tradnl"/>
        </w:rPr>
        <w:t>Estimación de los beneficiados con el programa de electrificación con base en los estimativos de población de Nicaragua y el número promedio de personas por hogar</w:t>
      </w:r>
      <w:r>
        <w:rPr>
          <w:lang w:val="es-ES_tradnl"/>
        </w:rPr>
        <w:t xml:space="preserve"> tal como se muestra en el Cuadro 1</w:t>
      </w:r>
      <w:r w:rsidRPr="008C36B0">
        <w:rPr>
          <w:lang w:val="es-ES_tradnl"/>
        </w:rPr>
        <w:t xml:space="preserve">; </w:t>
      </w:r>
      <w:r>
        <w:rPr>
          <w:lang w:val="es-ES_tradnl"/>
        </w:rPr>
        <w:t>para capturar el efecto en años posteriores a 2016 se supuso un incremento menor en la cobertura, lo cual refleja la dificultad de llegar a poblaciones más alejadas y dispersas.</w:t>
      </w:r>
      <w:r w:rsidRPr="008C36B0">
        <w:rPr>
          <w:lang w:val="es-ES_tradnl"/>
        </w:rPr>
        <w:t xml:space="preserve"> </w:t>
      </w:r>
    </w:p>
    <w:p w14:paraId="2D1EE786" w14:textId="77777777" w:rsidR="00E9217D" w:rsidRPr="008C36B0" w:rsidRDefault="00E9217D" w:rsidP="00910F35">
      <w:pPr>
        <w:pStyle w:val="Bullet"/>
        <w:ind w:left="360"/>
        <w:rPr>
          <w:rFonts w:ascii="Times" w:eastAsiaTheme="minorEastAsia" w:hAnsi="Times" w:cs="Times"/>
          <w:szCs w:val="24"/>
          <w:lang w:val="es-ES_tradnl"/>
        </w:rPr>
      </w:pPr>
      <w:r w:rsidRPr="008C36B0">
        <w:rPr>
          <w:lang w:val="es-ES_tradnl"/>
        </w:rPr>
        <w:t xml:space="preserve">Asignación de un consumo básico a los nuevos clientes de las distribuidoras; este valor se sitúa alrededor de </w:t>
      </w:r>
      <w:r w:rsidRPr="008C36B0">
        <w:rPr>
          <w:rFonts w:eastAsiaTheme="minorEastAsia"/>
          <w:szCs w:val="24"/>
          <w:lang w:val="es-ES_tradnl"/>
        </w:rPr>
        <w:t>1.17MWh</w:t>
      </w:r>
      <w:r w:rsidRPr="008C36B0">
        <w:rPr>
          <w:rStyle w:val="FootnoteReference"/>
          <w:rFonts w:eastAsiaTheme="minorEastAsia"/>
          <w:szCs w:val="24"/>
          <w:lang w:val="es-ES_tradnl"/>
        </w:rPr>
        <w:footnoteReference w:id="3"/>
      </w:r>
      <w:r w:rsidRPr="008C36B0">
        <w:rPr>
          <w:lang w:val="es-ES_tradnl"/>
        </w:rPr>
        <w:t xml:space="preserve"> anuales por usuario residencial (equivalentes a 97.5kWh mensuales); y</w:t>
      </w:r>
    </w:p>
    <w:p w14:paraId="15A4CFDB" w14:textId="77777777" w:rsidR="00E9217D" w:rsidRPr="00BA154C" w:rsidRDefault="00E9217D" w:rsidP="00910F35">
      <w:pPr>
        <w:pStyle w:val="Bullet"/>
        <w:ind w:left="360"/>
        <w:rPr>
          <w:lang w:val="es-ES_tradnl"/>
        </w:rPr>
      </w:pPr>
      <w:r w:rsidRPr="00BA154C">
        <w:rPr>
          <w:lang w:val="es-ES_tradnl"/>
        </w:rPr>
        <w:lastRenderedPageBreak/>
        <w:t>Calculando los beneficios asignando una voluntad de pago máxima (“willingness to pay—WTP”) para calcular el excedente del consumidor.  En este caso resulta razonable asignar un valor de alrededor de US$800/MWh, el cual refleja el costo de déficit utilizado en programas de expansión. Además, los beneficios se calculan con el precio vigente para usuarios de 97.5kWh por mes.</w:t>
      </w:r>
    </w:p>
    <w:p w14:paraId="6EC6C5AB" w14:textId="77777777" w:rsidR="00E9217D" w:rsidRPr="008C36B0" w:rsidRDefault="00E9217D" w:rsidP="00910F35">
      <w:pPr>
        <w:pStyle w:val="Banknumbered"/>
        <w:numPr>
          <w:ilvl w:val="0"/>
          <w:numId w:val="0"/>
        </w:numPr>
      </w:pPr>
      <w:r w:rsidRPr="008C36B0">
        <w:t>Con los supuestos anteriores se obtienen los beneficios indicados en el Cuadro 4.</w:t>
      </w:r>
    </w:p>
    <w:p w14:paraId="5A9A2B67" w14:textId="77777777" w:rsidR="00E9217D" w:rsidRPr="005C0B9C" w:rsidRDefault="00E9217D" w:rsidP="00910F35">
      <w:pPr>
        <w:keepNext/>
        <w:jc w:val="center"/>
        <w:rPr>
          <w:rFonts w:asciiTheme="majorHAnsi" w:hAnsiTheme="majorHAnsi"/>
          <w:sz w:val="16"/>
          <w:szCs w:val="16"/>
        </w:rPr>
      </w:pPr>
      <w:r w:rsidRPr="005C0B9C">
        <w:rPr>
          <w:rFonts w:asciiTheme="majorHAnsi" w:hAnsiTheme="majorHAnsi"/>
          <w:sz w:val="16"/>
          <w:szCs w:val="16"/>
        </w:rPr>
        <w:t>Cuadro 4.  Evaluación de Beneficios por Incremento de Cobertura</w:t>
      </w:r>
    </w:p>
    <w:p w14:paraId="677FF90A" w14:textId="77777777" w:rsidR="00E9217D" w:rsidRPr="008C36B0" w:rsidRDefault="00E9217D" w:rsidP="00910F35">
      <w:pPr>
        <w:ind w:left="360"/>
      </w:pPr>
      <w:r>
        <w:rPr>
          <w:noProof/>
          <w:lang w:val="en-US"/>
        </w:rPr>
        <w:drawing>
          <wp:inline distT="0" distB="0" distL="0" distR="0" wp14:anchorId="2EC9CD3E" wp14:editId="0ED39C77">
            <wp:extent cx="5486400" cy="878858"/>
            <wp:effectExtent l="0" t="0" r="0" b="1016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86400" cy="878858"/>
                    </a:xfrm>
                    <a:prstGeom prst="rect">
                      <a:avLst/>
                    </a:prstGeom>
                    <a:noFill/>
                    <a:ln>
                      <a:noFill/>
                    </a:ln>
                  </pic:spPr>
                </pic:pic>
              </a:graphicData>
            </a:graphic>
          </wp:inline>
        </w:drawing>
      </w:r>
    </w:p>
    <w:p w14:paraId="3381E0AE" w14:textId="77777777" w:rsidR="00E9217D" w:rsidRPr="008C36B0" w:rsidRDefault="00E9217D" w:rsidP="00910F35">
      <w:pPr>
        <w:rPr>
          <w:b/>
        </w:rPr>
      </w:pPr>
    </w:p>
    <w:p w14:paraId="18954A35" w14:textId="0B2DC438" w:rsidR="00E9217D" w:rsidRPr="008C36B0" w:rsidRDefault="00E9217D" w:rsidP="00681757">
      <w:pPr>
        <w:widowControl w:val="0"/>
        <w:autoSpaceDE w:val="0"/>
        <w:autoSpaceDN w:val="0"/>
        <w:adjustRightInd w:val="0"/>
        <w:spacing w:after="240"/>
      </w:pPr>
      <w:r w:rsidRPr="008C36B0">
        <w:t>Los costos que se incurren en la cobertura de nuevos usuarios varían de acuerdo a qué tan lejos se encuentran de las redes de las distribuidoras.  En general, los programas de electrificación arrojan valores de inversión de alrededor de US$800 por usuario.  La fuente de recursos correspondiente sería de programas de electrificación como el PNESER y la contribución de las distribuidoras.  Según el plan de inversión del quinquenio 2013-2018 se busca invertir US$5.03 millones anuales para solicitudes de nuevos suministros provenientes del crecimiento de la demanda vegetativa, proyectos de electrificación rural (PER) y aumentos de capacidad</w:t>
      </w:r>
      <w:r w:rsidRPr="008C36B0">
        <w:rPr>
          <w:rStyle w:val="FootnoteReference"/>
        </w:rPr>
        <w:footnoteReference w:id="4"/>
      </w:r>
      <w:r w:rsidRPr="008C36B0">
        <w:t xml:space="preserve">. Además de los costos de conexión, deben contabilizarse los costos unitarios de suministro de las conexiones en cuestión, los cuales se estiman en 250US$/MWh (lo cual incluye los costos de operación y mantenimiento de las nuevas conexiones). </w:t>
      </w:r>
    </w:p>
    <w:p w14:paraId="324C824F" w14:textId="77777777" w:rsidR="00E9217D" w:rsidRPr="008C36B0" w:rsidRDefault="00E9217D" w:rsidP="00681757">
      <w:pPr>
        <w:pStyle w:val="Banknumbered"/>
        <w:numPr>
          <w:ilvl w:val="0"/>
          <w:numId w:val="0"/>
        </w:numPr>
      </w:pPr>
      <w:r w:rsidRPr="008C36B0">
        <w:t>El Cuadro 5 resume el estimativo de costos del programa.</w:t>
      </w:r>
    </w:p>
    <w:p w14:paraId="3C2FED3C" w14:textId="77777777" w:rsidR="00E9217D" w:rsidRPr="00800B98" w:rsidRDefault="00E9217D" w:rsidP="00681757">
      <w:pPr>
        <w:keepNext/>
        <w:jc w:val="center"/>
        <w:rPr>
          <w:rFonts w:asciiTheme="majorHAnsi" w:hAnsiTheme="majorHAnsi"/>
          <w:sz w:val="16"/>
          <w:szCs w:val="16"/>
        </w:rPr>
      </w:pPr>
      <w:r w:rsidRPr="00800B98">
        <w:rPr>
          <w:rFonts w:asciiTheme="majorHAnsi" w:hAnsiTheme="majorHAnsi"/>
          <w:sz w:val="16"/>
          <w:szCs w:val="16"/>
        </w:rPr>
        <w:t>Cuadro 5.  Estimación de Costos por Incremento de Cobertura</w:t>
      </w:r>
    </w:p>
    <w:p w14:paraId="15ACFD27" w14:textId="77777777" w:rsidR="00E9217D" w:rsidRPr="008C36B0" w:rsidRDefault="00E9217D" w:rsidP="00681757">
      <w:pPr>
        <w:keepNext/>
        <w:jc w:val="center"/>
        <w:rPr>
          <w:sz w:val="22"/>
        </w:rPr>
      </w:pPr>
      <w:r>
        <w:rPr>
          <w:noProof/>
          <w:sz w:val="22"/>
          <w:lang w:val="en-US"/>
        </w:rPr>
        <w:drawing>
          <wp:inline distT="0" distB="0" distL="0" distR="0" wp14:anchorId="67264C02" wp14:editId="433ECD35">
            <wp:extent cx="5486400" cy="714252"/>
            <wp:effectExtent l="0" t="0" r="0" b="0"/>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714252"/>
                    </a:xfrm>
                    <a:prstGeom prst="rect">
                      <a:avLst/>
                    </a:prstGeom>
                    <a:noFill/>
                    <a:ln>
                      <a:noFill/>
                    </a:ln>
                  </pic:spPr>
                </pic:pic>
              </a:graphicData>
            </a:graphic>
          </wp:inline>
        </w:drawing>
      </w:r>
    </w:p>
    <w:p w14:paraId="2878794B" w14:textId="0977E21D" w:rsidR="00E9217D" w:rsidRPr="008C36B0" w:rsidRDefault="00E9217D" w:rsidP="00681757">
      <w:pPr>
        <w:pStyle w:val="Banknumbered"/>
        <w:numPr>
          <w:ilvl w:val="0"/>
          <w:numId w:val="0"/>
        </w:numPr>
      </w:pPr>
      <w:r w:rsidRPr="008C36B0">
        <w:t>El Cuadro 6 resume el flujo de beneficios y costos para el período analizado.</w:t>
      </w:r>
    </w:p>
    <w:p w14:paraId="30D1E799" w14:textId="77777777" w:rsidR="00E9217D" w:rsidRPr="00800B98" w:rsidRDefault="00E9217D" w:rsidP="00681757">
      <w:pPr>
        <w:keepNext/>
        <w:jc w:val="center"/>
        <w:rPr>
          <w:rFonts w:asciiTheme="majorHAnsi" w:hAnsiTheme="majorHAnsi"/>
          <w:sz w:val="16"/>
          <w:szCs w:val="16"/>
        </w:rPr>
      </w:pPr>
      <w:r w:rsidRPr="00800B98">
        <w:rPr>
          <w:rFonts w:asciiTheme="majorHAnsi" w:hAnsiTheme="majorHAnsi"/>
          <w:sz w:val="16"/>
          <w:szCs w:val="16"/>
        </w:rPr>
        <w:t>Cuadro 6.  Beneficios y Costos por Incremento de Cobertura</w:t>
      </w:r>
    </w:p>
    <w:p w14:paraId="7FAE98A4" w14:textId="77777777" w:rsidR="00E9217D" w:rsidRPr="008C36B0" w:rsidRDefault="00E9217D" w:rsidP="00681757">
      <w:r>
        <w:rPr>
          <w:noProof/>
          <w:lang w:val="en-US"/>
        </w:rPr>
        <w:drawing>
          <wp:inline distT="0" distB="0" distL="0" distR="0" wp14:anchorId="5B5333FB" wp14:editId="21FE1A33">
            <wp:extent cx="5486400" cy="478785"/>
            <wp:effectExtent l="0" t="0" r="0" b="444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478785"/>
                    </a:xfrm>
                    <a:prstGeom prst="rect">
                      <a:avLst/>
                    </a:prstGeom>
                    <a:noFill/>
                    <a:ln>
                      <a:noFill/>
                    </a:ln>
                  </pic:spPr>
                </pic:pic>
              </a:graphicData>
            </a:graphic>
          </wp:inline>
        </w:drawing>
      </w:r>
    </w:p>
    <w:p w14:paraId="6822D764" w14:textId="77777777" w:rsidR="00E9217D" w:rsidRPr="008C36B0" w:rsidRDefault="00E9217D" w:rsidP="00681757">
      <w:r w:rsidRPr="008C36B0">
        <w:t>Los resultados económicos se resumen así:</w:t>
      </w:r>
    </w:p>
    <w:p w14:paraId="1BAE156F" w14:textId="77777777" w:rsidR="00E9217D" w:rsidRPr="008C36B0" w:rsidRDefault="00E9217D" w:rsidP="00681757">
      <w:r w:rsidRPr="008C36B0">
        <w:t>VPN de Beneficios (12%)</w:t>
      </w:r>
      <w:r w:rsidRPr="008C36B0">
        <w:tab/>
      </w:r>
      <w:r w:rsidRPr="008C36B0">
        <w:tab/>
      </w:r>
      <w:r w:rsidRPr="008C36B0">
        <w:tab/>
      </w:r>
      <w:r>
        <w:t>618</w:t>
      </w:r>
      <w:r w:rsidRPr="008C36B0">
        <w:t>M$</w:t>
      </w:r>
    </w:p>
    <w:p w14:paraId="007911B4" w14:textId="77777777" w:rsidR="00E9217D" w:rsidRPr="008C36B0" w:rsidRDefault="00E9217D" w:rsidP="00681757">
      <w:r w:rsidRPr="008C36B0">
        <w:t>VPN de Costos (12%)</w:t>
      </w:r>
      <w:r w:rsidRPr="008C36B0">
        <w:tab/>
      </w:r>
      <w:r w:rsidRPr="008C36B0">
        <w:tab/>
      </w:r>
      <w:r w:rsidRPr="008C36B0">
        <w:tab/>
      </w:r>
      <w:r w:rsidRPr="008C36B0">
        <w:tab/>
      </w:r>
      <w:r>
        <w:t>449</w:t>
      </w:r>
      <w:r w:rsidRPr="008C36B0">
        <w:t>M$</w:t>
      </w:r>
    </w:p>
    <w:p w14:paraId="3FA8D9B8" w14:textId="77777777" w:rsidR="00E9217D" w:rsidRPr="008C36B0" w:rsidRDefault="00E9217D" w:rsidP="00681757">
      <w:r w:rsidRPr="008C36B0">
        <w:t>Relación B/C</w:t>
      </w:r>
      <w:r w:rsidRPr="008C36B0">
        <w:tab/>
      </w:r>
      <w:r w:rsidRPr="008C36B0">
        <w:tab/>
      </w:r>
      <w:r w:rsidRPr="008C36B0">
        <w:tab/>
      </w:r>
      <w:r w:rsidRPr="008C36B0">
        <w:tab/>
      </w:r>
      <w:r w:rsidRPr="008C36B0">
        <w:tab/>
        <w:t>1.38</w:t>
      </w:r>
    </w:p>
    <w:p w14:paraId="4BB52B94" w14:textId="0106017A" w:rsidR="00E9217D" w:rsidRDefault="00E9217D" w:rsidP="00681757">
      <w:r w:rsidRPr="008C36B0">
        <w:t>Tasa Interna de Retorno Económica</w:t>
      </w:r>
      <w:r w:rsidRPr="008C36B0">
        <w:tab/>
      </w:r>
      <w:r w:rsidRPr="008C36B0">
        <w:tab/>
        <w:t>5</w:t>
      </w:r>
      <w:r>
        <w:t>7</w:t>
      </w:r>
      <w:r w:rsidRPr="008C36B0">
        <w:t>%</w:t>
      </w:r>
    </w:p>
    <w:p w14:paraId="5E7357BF" w14:textId="77777777" w:rsidR="008C6F1E" w:rsidRDefault="008C6F1E" w:rsidP="00681757"/>
    <w:p w14:paraId="1EAB2845" w14:textId="71B8185C" w:rsidR="00E9217D" w:rsidRPr="008C36B0" w:rsidRDefault="00E9217D" w:rsidP="00910F35">
      <w:r>
        <w:t>Con estos resultados los proyectos de electrificación se justifican plenamente.</w:t>
      </w:r>
      <w:r w:rsidR="008C6F1E">
        <w:t xml:space="preserve"> </w:t>
      </w:r>
      <w:r w:rsidRPr="008C36B0">
        <w:t xml:space="preserve">Cabe anotar </w:t>
      </w:r>
      <w:r w:rsidR="008C6F1E" w:rsidRPr="008C36B0">
        <w:t>que,</w:t>
      </w:r>
      <w:r w:rsidRPr="008C36B0">
        <w:t xml:space="preserve"> si bien la extensión de cobertura es ampliamente justificable del punto de vista económico, no lo es necesariamente desde el punto de vista financiero.  En efecto, los costos de suministro (alrededor de US$250/MWh) son superiores al recaudo tarifario (alrededor de US$1</w:t>
      </w:r>
      <w:r>
        <w:t>9</w:t>
      </w:r>
      <w:r w:rsidRPr="008C36B0">
        <w:t>5/MWh para usuarios residenciales), resultando en una pérdida para la empresa de distribución.  Por esta razón el peso de la inversión en extensiones de cobertura de servicios eléctricos no puede recaer enteramente en la empresa de distribución y requiere subsidios de otras entidades.  De ahí que las empresas de distribución sólo puedan contribuir con una fracción de la inversión requerida.</w:t>
      </w:r>
    </w:p>
    <w:p w14:paraId="314C8329" w14:textId="77777777" w:rsidR="00910F35" w:rsidRPr="008C36B0" w:rsidRDefault="00910F35" w:rsidP="00910F35">
      <w:pPr>
        <w:pStyle w:val="Heading2"/>
      </w:pPr>
      <w:r w:rsidRPr="008C36B0">
        <w:lastRenderedPageBreak/>
        <w:t>Evaluación de la reducción de pérdidas</w:t>
      </w:r>
    </w:p>
    <w:p w14:paraId="5F509AD4" w14:textId="4915946B" w:rsidR="00910F35" w:rsidRPr="008C36B0" w:rsidRDefault="00910F35" w:rsidP="00910F35">
      <w:pPr>
        <w:pStyle w:val="Banknumbered"/>
        <w:numPr>
          <w:ilvl w:val="0"/>
          <w:numId w:val="0"/>
        </w:numPr>
      </w:pPr>
      <w:r w:rsidRPr="008C36B0">
        <w:t xml:space="preserve">Las cifras del INE indican una evolución de las pérdidas tal como se ilustra en el Cuadro </w:t>
      </w:r>
      <w:r w:rsidR="008C6F1E">
        <w:t>7</w:t>
      </w:r>
      <w:r w:rsidRPr="008C36B0">
        <w:t>.</w:t>
      </w:r>
    </w:p>
    <w:p w14:paraId="025ABDBA" w14:textId="77777777" w:rsidR="00414AA5" w:rsidRDefault="00414AA5" w:rsidP="00910F35">
      <w:pPr>
        <w:jc w:val="center"/>
      </w:pPr>
    </w:p>
    <w:p w14:paraId="3250962D" w14:textId="3A5C4F4B" w:rsidR="00910F35" w:rsidRPr="008C36B0" w:rsidRDefault="008C6F1E" w:rsidP="00910F35">
      <w:pPr>
        <w:jc w:val="center"/>
      </w:pPr>
      <w:r>
        <w:t>Cuadro 7</w:t>
      </w:r>
      <w:r w:rsidR="00910F35" w:rsidRPr="008C36B0">
        <w:t>—Evolución de las Pérdidas en el SNI</w:t>
      </w:r>
    </w:p>
    <w:tbl>
      <w:tblPr>
        <w:tblStyle w:val="TableGrid"/>
        <w:tblW w:w="0" w:type="auto"/>
        <w:jc w:val="center"/>
        <w:tblLook w:val="04A0" w:firstRow="1" w:lastRow="0" w:firstColumn="1" w:lastColumn="0" w:noHBand="0" w:noVBand="1"/>
      </w:tblPr>
      <w:tblGrid>
        <w:gridCol w:w="1427"/>
        <w:gridCol w:w="742"/>
        <w:gridCol w:w="742"/>
        <w:gridCol w:w="742"/>
        <w:gridCol w:w="742"/>
        <w:gridCol w:w="742"/>
        <w:gridCol w:w="742"/>
      </w:tblGrid>
      <w:tr w:rsidR="00910F35" w:rsidRPr="008C36B0" w14:paraId="2FD561E0" w14:textId="77777777" w:rsidTr="00F51B90">
        <w:trPr>
          <w:jc w:val="center"/>
        </w:trPr>
        <w:tc>
          <w:tcPr>
            <w:tcW w:w="0" w:type="auto"/>
          </w:tcPr>
          <w:p w14:paraId="589E0A0C" w14:textId="77777777" w:rsidR="00910F35" w:rsidRPr="008C36B0" w:rsidRDefault="00910F35" w:rsidP="00F51B90"/>
        </w:tc>
        <w:tc>
          <w:tcPr>
            <w:tcW w:w="0" w:type="auto"/>
          </w:tcPr>
          <w:p w14:paraId="41F4560F" w14:textId="77777777" w:rsidR="00910F35" w:rsidRPr="008C36B0" w:rsidRDefault="00910F35" w:rsidP="00F51B90">
            <w:r w:rsidRPr="008C36B0">
              <w:t>2011</w:t>
            </w:r>
          </w:p>
        </w:tc>
        <w:tc>
          <w:tcPr>
            <w:tcW w:w="0" w:type="auto"/>
          </w:tcPr>
          <w:p w14:paraId="55966646" w14:textId="77777777" w:rsidR="00910F35" w:rsidRPr="008C36B0" w:rsidRDefault="00910F35" w:rsidP="00F51B90">
            <w:r w:rsidRPr="008C36B0">
              <w:t>2012</w:t>
            </w:r>
          </w:p>
        </w:tc>
        <w:tc>
          <w:tcPr>
            <w:tcW w:w="0" w:type="auto"/>
          </w:tcPr>
          <w:p w14:paraId="05DE69B1" w14:textId="77777777" w:rsidR="00910F35" w:rsidRPr="008C36B0" w:rsidRDefault="00910F35" w:rsidP="00F51B90">
            <w:r w:rsidRPr="008C36B0">
              <w:t>2013</w:t>
            </w:r>
          </w:p>
        </w:tc>
        <w:tc>
          <w:tcPr>
            <w:tcW w:w="0" w:type="auto"/>
          </w:tcPr>
          <w:p w14:paraId="4089721C" w14:textId="77777777" w:rsidR="00910F35" w:rsidRPr="008C36B0" w:rsidRDefault="00910F35" w:rsidP="00F51B90">
            <w:r w:rsidRPr="008C36B0">
              <w:t>2014</w:t>
            </w:r>
          </w:p>
        </w:tc>
        <w:tc>
          <w:tcPr>
            <w:tcW w:w="0" w:type="auto"/>
          </w:tcPr>
          <w:p w14:paraId="73EB6899" w14:textId="77777777" w:rsidR="00910F35" w:rsidRPr="008C36B0" w:rsidRDefault="00910F35" w:rsidP="00F51B90">
            <w:r w:rsidRPr="008C36B0">
              <w:t>2015</w:t>
            </w:r>
          </w:p>
        </w:tc>
        <w:tc>
          <w:tcPr>
            <w:tcW w:w="0" w:type="auto"/>
          </w:tcPr>
          <w:p w14:paraId="291899EA" w14:textId="77777777" w:rsidR="00910F35" w:rsidRPr="008C36B0" w:rsidRDefault="00910F35" w:rsidP="00F51B90">
            <w:r w:rsidRPr="008C36B0">
              <w:t>2016</w:t>
            </w:r>
          </w:p>
        </w:tc>
      </w:tr>
      <w:tr w:rsidR="00910F35" w:rsidRPr="008C36B0" w14:paraId="410BEEDC" w14:textId="77777777" w:rsidTr="00F51B90">
        <w:trPr>
          <w:jc w:val="center"/>
        </w:trPr>
        <w:tc>
          <w:tcPr>
            <w:tcW w:w="0" w:type="auto"/>
          </w:tcPr>
          <w:p w14:paraId="2818AD3C" w14:textId="77777777" w:rsidR="00910F35" w:rsidRPr="008C36B0" w:rsidRDefault="00910F35" w:rsidP="00F51B90">
            <w:r w:rsidRPr="008C36B0">
              <w:t>Pérdidas (%)</w:t>
            </w:r>
          </w:p>
        </w:tc>
        <w:tc>
          <w:tcPr>
            <w:tcW w:w="0" w:type="auto"/>
          </w:tcPr>
          <w:p w14:paraId="55BAAEFD" w14:textId="77777777" w:rsidR="00910F35" w:rsidRPr="008C36B0" w:rsidRDefault="00910F35" w:rsidP="00F51B90">
            <w:r w:rsidRPr="008C36B0">
              <w:t>21.96</w:t>
            </w:r>
          </w:p>
        </w:tc>
        <w:tc>
          <w:tcPr>
            <w:tcW w:w="0" w:type="auto"/>
          </w:tcPr>
          <w:p w14:paraId="75D7F1BB" w14:textId="77777777" w:rsidR="00910F35" w:rsidRPr="008C36B0" w:rsidRDefault="00910F35" w:rsidP="00F51B90">
            <w:r w:rsidRPr="008C36B0">
              <w:t>20.86</w:t>
            </w:r>
          </w:p>
        </w:tc>
        <w:tc>
          <w:tcPr>
            <w:tcW w:w="0" w:type="auto"/>
          </w:tcPr>
          <w:p w14:paraId="78617A42" w14:textId="77777777" w:rsidR="00910F35" w:rsidRPr="008C36B0" w:rsidRDefault="00910F35" w:rsidP="00F51B90">
            <w:r w:rsidRPr="008C36B0">
              <w:t>20.75</w:t>
            </w:r>
          </w:p>
        </w:tc>
        <w:tc>
          <w:tcPr>
            <w:tcW w:w="0" w:type="auto"/>
          </w:tcPr>
          <w:p w14:paraId="4E9C2266" w14:textId="77777777" w:rsidR="00910F35" w:rsidRPr="008C36B0" w:rsidRDefault="00910F35" w:rsidP="00F51B90">
            <w:r w:rsidRPr="008C36B0">
              <w:t>20.99</w:t>
            </w:r>
          </w:p>
        </w:tc>
        <w:tc>
          <w:tcPr>
            <w:tcW w:w="0" w:type="auto"/>
          </w:tcPr>
          <w:p w14:paraId="56E07699" w14:textId="77777777" w:rsidR="00910F35" w:rsidRPr="008C36B0" w:rsidRDefault="00910F35" w:rsidP="00F51B90">
            <w:r w:rsidRPr="008C36B0">
              <w:t>20.61</w:t>
            </w:r>
          </w:p>
        </w:tc>
        <w:tc>
          <w:tcPr>
            <w:tcW w:w="0" w:type="auto"/>
          </w:tcPr>
          <w:p w14:paraId="7C32B9B9" w14:textId="77777777" w:rsidR="00910F35" w:rsidRPr="008C36B0" w:rsidRDefault="00910F35" w:rsidP="00F51B90">
            <w:r w:rsidRPr="008C36B0">
              <w:t>19.79</w:t>
            </w:r>
          </w:p>
        </w:tc>
      </w:tr>
    </w:tbl>
    <w:p w14:paraId="79E0F7BE" w14:textId="77777777" w:rsidR="00414AA5" w:rsidRDefault="00414AA5" w:rsidP="00910F35"/>
    <w:p w14:paraId="01D7431F" w14:textId="1AEFBAE1" w:rsidR="00910F35" w:rsidRPr="008C36B0" w:rsidRDefault="00910F35" w:rsidP="00910F35">
      <w:r w:rsidRPr="008C36B0">
        <w:t xml:space="preserve">Las pérdidas de distribución se dividen en pérdidas técnicas y en pérdidas comerciales. La reducción de pérdidas observada es consistente con las inversiones del INE mediante las cuales se han reforzado los sistemas de distribución, logrando una reducción de pérdidas comerciales de acuerdo con las inversiones pactadas con la empresa de distribución, primordialmente, del orden de un punto porcentual entre 2012 y 2016. Aunque no es factible tener una distinción entre pérdidas técnicas y comerciales, las primeras son típicamente del orden de 8%, lo cual implica que la empresa distribuidora mantiene un nivel de energía no facturada, ya sea por motivos técnicos o por robo, del orden de 12%. </w:t>
      </w:r>
    </w:p>
    <w:p w14:paraId="3A369D88" w14:textId="3E62C18E" w:rsidR="00910F35" w:rsidRPr="008C36B0" w:rsidRDefault="00910F35" w:rsidP="00414AA5">
      <w:pPr>
        <w:pStyle w:val="Banknumbered"/>
        <w:numPr>
          <w:ilvl w:val="0"/>
          <w:numId w:val="0"/>
        </w:numPr>
      </w:pPr>
      <w:r w:rsidRPr="008C36B0">
        <w:t>El cuadro 8 ilustra la reducción de pérdidas comerciales obtenida con el proyecto, de acuerdo con los datos del INE:</w:t>
      </w:r>
      <w:r w:rsidRPr="008C36B0" w:rsidDel="00A626D8">
        <w:t xml:space="preserve"> </w:t>
      </w:r>
    </w:p>
    <w:p w14:paraId="5C4636C2" w14:textId="77777777" w:rsidR="00910F35" w:rsidRPr="008C36B0" w:rsidRDefault="00910F35" w:rsidP="00910F35">
      <w:pPr>
        <w:keepNext/>
        <w:jc w:val="center"/>
        <w:rPr>
          <w:sz w:val="22"/>
        </w:rPr>
      </w:pPr>
      <w:r w:rsidRPr="008C36B0">
        <w:rPr>
          <w:sz w:val="22"/>
        </w:rPr>
        <w:t>Cuadro 8: Evolución de las Pérdidas de Distribución</w:t>
      </w:r>
    </w:p>
    <w:p w14:paraId="0CAFA4D8" w14:textId="77777777" w:rsidR="00910F35" w:rsidRPr="008C36B0" w:rsidRDefault="00910F35" w:rsidP="00910F35">
      <w:pPr>
        <w:keepNext/>
        <w:jc w:val="center"/>
        <w:rPr>
          <w:sz w:val="22"/>
        </w:rPr>
      </w:pPr>
      <w:r w:rsidRPr="008C36B0">
        <w:rPr>
          <w:noProof/>
          <w:sz w:val="22"/>
          <w:lang w:val="en-US"/>
        </w:rPr>
        <w:drawing>
          <wp:inline distT="0" distB="0" distL="0" distR="0" wp14:anchorId="0A6E6AD9" wp14:editId="4905CBD7">
            <wp:extent cx="5486400" cy="941033"/>
            <wp:effectExtent l="0" t="0" r="0" b="0"/>
            <wp:docPr id="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941033"/>
                    </a:xfrm>
                    <a:prstGeom prst="rect">
                      <a:avLst/>
                    </a:prstGeom>
                    <a:noFill/>
                    <a:ln>
                      <a:noFill/>
                    </a:ln>
                  </pic:spPr>
                </pic:pic>
              </a:graphicData>
            </a:graphic>
          </wp:inline>
        </w:drawing>
      </w:r>
    </w:p>
    <w:p w14:paraId="4953A951" w14:textId="77777777" w:rsidR="00910F35" w:rsidRPr="008C36B0" w:rsidRDefault="00910F35" w:rsidP="00414AA5">
      <w:pPr>
        <w:pStyle w:val="Banknumbered"/>
        <w:numPr>
          <w:ilvl w:val="0"/>
          <w:numId w:val="0"/>
        </w:numPr>
      </w:pPr>
      <w:r w:rsidRPr="008C36B0">
        <w:t>La reducción de las pérdidas comerciales tiene dos tipos de beneficios:</w:t>
      </w:r>
    </w:p>
    <w:p w14:paraId="299360C5"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 xml:space="preserve">Beneficios </w:t>
      </w:r>
      <w:r w:rsidRPr="008C36B0">
        <w:rPr>
          <w:i/>
          <w:lang w:val="es-ES_tradnl"/>
        </w:rPr>
        <w:t>económicos</w:t>
      </w:r>
      <w:r w:rsidRPr="008C36B0">
        <w:rPr>
          <w:lang w:val="es-ES_tradnl"/>
        </w:rPr>
        <w:t xml:space="preserve"> asociados a la reacción de usuarios que tienen que pagar por la energía consumida y por lo tanto reducen su consumo debido al efecto de elasticidad-precio; se propone valorar estos beneficios como la ganancia neta teniendo en cuenta la variación del excedente del consumidor y el costo de generación ahorrado;</w:t>
      </w:r>
    </w:p>
    <w:p w14:paraId="5154A273" w14:textId="6BB6D61F" w:rsidR="00910F35" w:rsidRDefault="00910F35" w:rsidP="00910F35">
      <w:pPr>
        <w:pStyle w:val="Bullet"/>
        <w:numPr>
          <w:ilvl w:val="0"/>
          <w:numId w:val="19"/>
        </w:numPr>
        <w:tabs>
          <w:tab w:val="clear" w:pos="2880"/>
          <w:tab w:val="clear" w:pos="4230"/>
          <w:tab w:val="clear" w:pos="4500"/>
        </w:tabs>
        <w:rPr>
          <w:lang w:val="es-ES_tradnl"/>
        </w:rPr>
      </w:pPr>
      <w:r w:rsidRPr="008C36B0">
        <w:rPr>
          <w:lang w:val="es-ES_tradnl"/>
        </w:rPr>
        <w:t xml:space="preserve">Beneficios </w:t>
      </w:r>
      <w:r w:rsidRPr="00414AA5">
        <w:rPr>
          <w:i/>
          <w:lang w:val="es-ES_tradnl"/>
        </w:rPr>
        <w:t>financieros</w:t>
      </w:r>
      <w:r w:rsidRPr="008C36B0">
        <w:rPr>
          <w:lang w:val="es-ES_tradnl"/>
        </w:rPr>
        <w:t xml:space="preserve"> asociados con la transferencia del excedente del consumidor de los usuarios al productor, o, en otras palabras, la recuperación de energía no facturada; se propone valorar esta energía de acuerdo con la tarifa media de venta de la empresa, además del menor costo de generación</w:t>
      </w:r>
      <w:r w:rsidR="00414AA5">
        <w:rPr>
          <w:lang w:val="es-ES_tradnl"/>
        </w:rPr>
        <w:t xml:space="preserve">. </w:t>
      </w:r>
      <w:r w:rsidRPr="008C36B0">
        <w:rPr>
          <w:lang w:val="es-ES_tradnl"/>
        </w:rPr>
        <w:t>La metodología se ilustra en la Figura 2:</w:t>
      </w:r>
    </w:p>
    <w:p w14:paraId="6041505B" w14:textId="77777777" w:rsidR="00414AA5" w:rsidRPr="008C36B0" w:rsidRDefault="00414AA5" w:rsidP="00414AA5">
      <w:pPr>
        <w:pStyle w:val="Bullet"/>
        <w:numPr>
          <w:ilvl w:val="0"/>
          <w:numId w:val="0"/>
        </w:numPr>
        <w:tabs>
          <w:tab w:val="clear" w:pos="2880"/>
          <w:tab w:val="clear" w:pos="4230"/>
          <w:tab w:val="clear" w:pos="4500"/>
        </w:tabs>
        <w:ind w:left="1080"/>
        <w:rPr>
          <w:lang w:val="es-ES_tradnl"/>
        </w:rPr>
      </w:pPr>
    </w:p>
    <w:p w14:paraId="14701524" w14:textId="77777777" w:rsidR="00414AA5" w:rsidRPr="008C36B0" w:rsidRDefault="00414AA5" w:rsidP="00414AA5">
      <w:pPr>
        <w:keepNext/>
        <w:jc w:val="center"/>
        <w:rPr>
          <w:sz w:val="22"/>
        </w:rPr>
      </w:pPr>
      <w:r w:rsidRPr="008C36B0">
        <w:rPr>
          <w:sz w:val="22"/>
        </w:rPr>
        <w:lastRenderedPageBreak/>
        <w:t>Figura 2—Curva de Demanda antes y después de medidas de reducción de pérdidas</w:t>
      </w:r>
    </w:p>
    <w:p w14:paraId="36E902E0" w14:textId="77777777" w:rsidR="00910F35" w:rsidRPr="008C36B0" w:rsidRDefault="00910F35" w:rsidP="00910F35">
      <w:r w:rsidRPr="008C36B0">
        <w:rPr>
          <w:noProof/>
          <w:lang w:val="en-US"/>
        </w:rPr>
        <w:drawing>
          <wp:inline distT="0" distB="0" distL="0" distR="0" wp14:anchorId="7E69DC1B" wp14:editId="3E2DF251">
            <wp:extent cx="5784850" cy="3003550"/>
            <wp:effectExtent l="1905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srcRect/>
                    <a:stretch>
                      <a:fillRect/>
                    </a:stretch>
                  </pic:blipFill>
                  <pic:spPr bwMode="auto">
                    <a:xfrm>
                      <a:off x="0" y="0"/>
                      <a:ext cx="5784850" cy="3003550"/>
                    </a:xfrm>
                    <a:prstGeom prst="rect">
                      <a:avLst/>
                    </a:prstGeom>
                    <a:noFill/>
                    <a:ln w="9525">
                      <a:noFill/>
                      <a:miter lim="800000"/>
                      <a:headEnd/>
                      <a:tailEnd/>
                    </a:ln>
                  </pic:spPr>
                </pic:pic>
              </a:graphicData>
            </a:graphic>
          </wp:inline>
        </w:drawing>
      </w:r>
    </w:p>
    <w:p w14:paraId="7D32A3D3" w14:textId="77777777" w:rsidR="00910F35" w:rsidRPr="008C36B0" w:rsidRDefault="00910F35" w:rsidP="00910F35">
      <w:r w:rsidRPr="008C36B0">
        <w:t>En esta figura, el punto de consumo inicial de aquellos usuarios responsables de las pérdidas comerciales es (P</w:t>
      </w:r>
      <w:r w:rsidRPr="008C36B0">
        <w:rPr>
          <w:vertAlign w:val="subscript"/>
        </w:rPr>
        <w:t>0</w:t>
      </w:r>
      <w:r w:rsidRPr="008C36B0">
        <w:t>, Q</w:t>
      </w:r>
      <w:r w:rsidRPr="008C36B0">
        <w:rPr>
          <w:vertAlign w:val="subscript"/>
        </w:rPr>
        <w:t>0</w:t>
      </w:r>
      <w:r w:rsidRPr="008C36B0">
        <w:t>), con un precio bajo y un consumo alto, y al recuperar las pérdidas el nuevo punto de consumo es (P</w:t>
      </w:r>
      <w:r w:rsidRPr="008C36B0">
        <w:rPr>
          <w:vertAlign w:val="subscript"/>
        </w:rPr>
        <w:t>1</w:t>
      </w:r>
      <w:r w:rsidRPr="008C36B0">
        <w:t>, Q</w:t>
      </w:r>
      <w:r w:rsidRPr="008C36B0">
        <w:rPr>
          <w:vertAlign w:val="subscript"/>
        </w:rPr>
        <w:t>1</w:t>
      </w:r>
      <w:r w:rsidRPr="008C36B0">
        <w:t>).  En el proceso ocurre:</w:t>
      </w:r>
    </w:p>
    <w:p w14:paraId="1AC3DDCD"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El excedente del consumidor se reduce por un valor igual al área D;</w:t>
      </w:r>
    </w:p>
    <w:p w14:paraId="6720B698"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El productor ahorra la totalidad del costo para suministrar el consumo Q</w:t>
      </w:r>
      <w:r w:rsidRPr="008C36B0">
        <w:rPr>
          <w:vertAlign w:val="subscript"/>
          <w:lang w:val="es-ES_tradnl"/>
        </w:rPr>
        <w:t>0–</w:t>
      </w:r>
      <w:r w:rsidRPr="008C36B0">
        <w:rPr>
          <w:lang w:val="es-ES_tradnl"/>
        </w:rPr>
        <w:t>Q</w:t>
      </w:r>
      <w:r w:rsidRPr="008C36B0">
        <w:rPr>
          <w:vertAlign w:val="subscript"/>
          <w:lang w:val="es-ES_tradnl"/>
        </w:rPr>
        <w:t>1</w:t>
      </w:r>
      <w:r w:rsidRPr="008C36B0">
        <w:rPr>
          <w:lang w:val="es-ES_tradnl"/>
        </w:rPr>
        <w:t>, equivalente al área E+D+G.  Como el consumidor estaba pagando el área G, el ahorro del productor es D+E;</w:t>
      </w:r>
    </w:p>
    <w:p w14:paraId="6D09DD1A"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El bienestar neto recuperado es por lo tanto D+E–D= Área E.  Esto constituye el beneficio económico de la reducción de pérdidas.</w:t>
      </w:r>
    </w:p>
    <w:p w14:paraId="2E742043" w14:textId="77777777" w:rsidR="00910F35" w:rsidRPr="008C36B0" w:rsidRDefault="00910F35" w:rsidP="00910F35">
      <w:r w:rsidRPr="008C36B0">
        <w:t>Desde el punto de vista financiero:</w:t>
      </w:r>
    </w:p>
    <w:p w14:paraId="380680E2"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El productor ahorra las áreas D+E por el menor consumo; y</w:t>
      </w:r>
    </w:p>
    <w:p w14:paraId="6C8B3012" w14:textId="77777777"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Los consumidores pagan ahora el área C, que antes no pagaban;</w:t>
      </w:r>
    </w:p>
    <w:p w14:paraId="32C017CE" w14:textId="6E0ED9ED" w:rsidR="00910F35" w:rsidRPr="008C36B0" w:rsidRDefault="00910F35" w:rsidP="00910F35">
      <w:pPr>
        <w:pStyle w:val="Bullet"/>
        <w:numPr>
          <w:ilvl w:val="0"/>
          <w:numId w:val="19"/>
        </w:numPr>
        <w:tabs>
          <w:tab w:val="clear" w:pos="2880"/>
          <w:tab w:val="clear" w:pos="4230"/>
          <w:tab w:val="clear" w:pos="4500"/>
        </w:tabs>
        <w:rPr>
          <w:lang w:val="es-ES_tradnl"/>
        </w:rPr>
      </w:pPr>
      <w:r w:rsidRPr="008C36B0">
        <w:rPr>
          <w:lang w:val="es-ES_tradnl"/>
        </w:rPr>
        <w:t>Por lo tanto</w:t>
      </w:r>
      <w:r w:rsidR="00414AA5">
        <w:rPr>
          <w:lang w:val="es-ES_tradnl"/>
        </w:rPr>
        <w:t>,</w:t>
      </w:r>
      <w:r w:rsidRPr="008C36B0">
        <w:rPr>
          <w:lang w:val="es-ES_tradnl"/>
        </w:rPr>
        <w:t xml:space="preserve"> el beneficio financiero de la reducción de pérdidas está dado por el área C+E+D.</w:t>
      </w:r>
    </w:p>
    <w:p w14:paraId="0E5DF7A8" w14:textId="2EA68D37" w:rsidR="00910F35" w:rsidRPr="008C36B0" w:rsidRDefault="00910F35" w:rsidP="00910F35">
      <w:r w:rsidRPr="008C36B0">
        <w:t>Nótese que los beneficios anotados se generan</w:t>
      </w:r>
      <w:r w:rsidR="00414AA5">
        <w:t>,</w:t>
      </w:r>
      <w:r w:rsidRPr="008C36B0">
        <w:t xml:space="preserve"> aunque el costo de suministro esté todavía por encima de la tarifa P</w:t>
      </w:r>
      <w:r w:rsidRPr="008C36B0">
        <w:rPr>
          <w:vertAlign w:val="subscript"/>
        </w:rPr>
        <w:t>1</w:t>
      </w:r>
      <w:r w:rsidRPr="008C36B0">
        <w:t>.</w:t>
      </w:r>
    </w:p>
    <w:p w14:paraId="45F295E3" w14:textId="77777777" w:rsidR="00910F35" w:rsidRPr="008C36B0" w:rsidRDefault="00910F35" w:rsidP="00414AA5">
      <w:pPr>
        <w:pStyle w:val="Banknumbered"/>
        <w:numPr>
          <w:ilvl w:val="0"/>
          <w:numId w:val="0"/>
        </w:numPr>
      </w:pPr>
      <w:r w:rsidRPr="008C36B0">
        <w:t xml:space="preserve">La evaluación económica y la evaluación financiera se llevan a cabo estimando los beneficios correspondientes mediante la metodología ilustrada en el punto anterior, usando suposiciones razonables respecto a la elasticidad precio de la demanda.  Desde el punto de vista de costos, será necesario tener un estimativo razonable, ojalá producido por DISNORTE/DISSUR.  En cuanto a resultados esperados, se espera obtener tasas de retorno económicas razonables, y tasas de retorno financieras muy altas, lo cual es característico de este tipo de intervenciones.  </w:t>
      </w:r>
    </w:p>
    <w:p w14:paraId="066D059A" w14:textId="1D4D8214" w:rsidR="00910F35" w:rsidRPr="008C36B0" w:rsidRDefault="00910F35" w:rsidP="00414AA5">
      <w:pPr>
        <w:pStyle w:val="Banknumbered"/>
        <w:numPr>
          <w:ilvl w:val="0"/>
          <w:numId w:val="0"/>
        </w:numPr>
      </w:pPr>
      <w:r w:rsidRPr="008C36B0">
        <w:t>Los costos económicos de la reducción de pérdidas corresponden a las inversiones necesarias para llevar a cabo el programa, y son principalmente inversiones en sistemas de control y en instalación de medidores, además de los costos de operación y mantenimiento.  Para una reducción efectiva de pérdidas se requiere además llevar a cabo inversiones de soporte como la normalización de redes y la instalación de alumbrado público.  Estos costos provendrán de recursos de las distribuidoras; se utilizan los valores aceptados por el INE en su vigilancia de las empresas de distribución</w:t>
      </w:r>
      <w:r w:rsidRPr="008C36B0">
        <w:rPr>
          <w:rStyle w:val="FootnoteReference"/>
        </w:rPr>
        <w:footnoteReference w:id="5"/>
      </w:r>
      <w:r w:rsidRPr="008C36B0">
        <w:t>.</w:t>
      </w:r>
    </w:p>
    <w:p w14:paraId="1F7C9A26" w14:textId="44939B3E" w:rsidR="00910F35" w:rsidRPr="008C36B0" w:rsidRDefault="00910F35" w:rsidP="00414AA5">
      <w:pPr>
        <w:pStyle w:val="Banknumbered"/>
        <w:numPr>
          <w:ilvl w:val="0"/>
          <w:numId w:val="0"/>
        </w:numPr>
      </w:pPr>
      <w:r w:rsidRPr="008C36B0">
        <w:lastRenderedPageBreak/>
        <w:t>El Cuadro 9 resume el análisis económico, prolongando los beneficios sobre un período de 12 años.</w:t>
      </w:r>
    </w:p>
    <w:p w14:paraId="0A3255EF" w14:textId="77777777" w:rsidR="00910F35" w:rsidRPr="008C36B0" w:rsidRDefault="00910F35" w:rsidP="00910F35">
      <w:pPr>
        <w:keepNext/>
        <w:spacing w:before="60"/>
        <w:jc w:val="center"/>
        <w:rPr>
          <w:sz w:val="22"/>
        </w:rPr>
      </w:pPr>
      <w:r w:rsidRPr="008C36B0">
        <w:rPr>
          <w:sz w:val="22"/>
        </w:rPr>
        <w:t>Cuadro 9.  Análisis Económico de la Reducción de Pérdidas de Distribución</w:t>
      </w:r>
    </w:p>
    <w:p w14:paraId="48177928" w14:textId="77777777" w:rsidR="00910F35" w:rsidRPr="008C36B0" w:rsidRDefault="00910F35" w:rsidP="00910F35">
      <w:pPr>
        <w:keepNext/>
        <w:spacing w:before="60"/>
        <w:jc w:val="center"/>
        <w:rPr>
          <w:sz w:val="22"/>
        </w:rPr>
      </w:pPr>
      <w:r w:rsidRPr="008C36B0">
        <w:rPr>
          <w:noProof/>
          <w:sz w:val="22"/>
          <w:lang w:val="en-US"/>
        </w:rPr>
        <w:drawing>
          <wp:inline distT="0" distB="0" distL="0" distR="0" wp14:anchorId="03B5E6AB" wp14:editId="745EEE68">
            <wp:extent cx="5486400" cy="2006353"/>
            <wp:effectExtent l="0" t="0" r="0" b="635"/>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2006353"/>
                    </a:xfrm>
                    <a:prstGeom prst="rect">
                      <a:avLst/>
                    </a:prstGeom>
                    <a:noFill/>
                    <a:ln>
                      <a:noFill/>
                    </a:ln>
                  </pic:spPr>
                </pic:pic>
              </a:graphicData>
            </a:graphic>
          </wp:inline>
        </w:drawing>
      </w:r>
    </w:p>
    <w:p w14:paraId="478FCA5F" w14:textId="77777777" w:rsidR="00910F35" w:rsidRPr="008C36B0" w:rsidRDefault="00910F35" w:rsidP="00910F35">
      <w:pPr>
        <w:keepNext/>
      </w:pPr>
      <w:r w:rsidRPr="008C36B0">
        <w:t>El análisis arroja los siguientes parámetros económicos:</w:t>
      </w:r>
    </w:p>
    <w:p w14:paraId="72538C5B" w14:textId="77777777" w:rsidR="00910F35" w:rsidRPr="008C36B0" w:rsidRDefault="00910F35" w:rsidP="00910F35">
      <w:pPr>
        <w:ind w:left="720"/>
      </w:pPr>
      <w:r w:rsidRPr="008C36B0">
        <w:t>VPN de Beneficios (12%)</w:t>
      </w:r>
      <w:r w:rsidRPr="008C36B0">
        <w:tab/>
      </w:r>
      <w:r w:rsidRPr="008C36B0">
        <w:tab/>
      </w:r>
      <w:r w:rsidRPr="008C36B0">
        <w:tab/>
        <w:t>48.75M$</w:t>
      </w:r>
    </w:p>
    <w:p w14:paraId="0A3C63D7" w14:textId="77777777" w:rsidR="00910F35" w:rsidRPr="008C36B0" w:rsidRDefault="00910F35" w:rsidP="00910F35">
      <w:pPr>
        <w:ind w:left="720"/>
      </w:pPr>
      <w:r w:rsidRPr="008C36B0">
        <w:t>VPN de Costos (12%)</w:t>
      </w:r>
      <w:r w:rsidRPr="008C36B0">
        <w:tab/>
      </w:r>
      <w:r w:rsidRPr="008C36B0">
        <w:tab/>
      </w:r>
      <w:r w:rsidRPr="008C36B0">
        <w:tab/>
      </w:r>
      <w:r w:rsidRPr="008C36B0">
        <w:tab/>
        <w:t>15.2M$</w:t>
      </w:r>
    </w:p>
    <w:p w14:paraId="49CEEE6B" w14:textId="77777777" w:rsidR="00910F35" w:rsidRPr="008C36B0" w:rsidRDefault="00910F35" w:rsidP="00910F35">
      <w:pPr>
        <w:ind w:left="720"/>
      </w:pPr>
      <w:r w:rsidRPr="008C36B0">
        <w:t>Relación B/C</w:t>
      </w:r>
      <w:r w:rsidRPr="008C36B0">
        <w:tab/>
      </w:r>
      <w:r w:rsidRPr="008C36B0">
        <w:tab/>
      </w:r>
      <w:r w:rsidRPr="008C36B0">
        <w:tab/>
      </w:r>
      <w:r w:rsidRPr="008C36B0">
        <w:tab/>
      </w:r>
      <w:r w:rsidRPr="008C36B0">
        <w:tab/>
        <w:t>3.2</w:t>
      </w:r>
    </w:p>
    <w:p w14:paraId="229D6B5F" w14:textId="77777777" w:rsidR="00910F35" w:rsidRPr="008C36B0" w:rsidRDefault="00910F35" w:rsidP="00910F35">
      <w:pPr>
        <w:ind w:left="720"/>
      </w:pPr>
      <w:r w:rsidRPr="008C36B0">
        <w:t>Tasa Interna de Retorno Económica</w:t>
      </w:r>
      <w:r w:rsidRPr="008C36B0">
        <w:tab/>
      </w:r>
      <w:r w:rsidRPr="008C36B0">
        <w:tab/>
        <w:t>103%</w:t>
      </w:r>
    </w:p>
    <w:p w14:paraId="0C2CCF97" w14:textId="328DE70C" w:rsidR="00910F35" w:rsidRDefault="00910F35" w:rsidP="00414AA5">
      <w:pPr>
        <w:pStyle w:val="Banknumbered"/>
        <w:numPr>
          <w:ilvl w:val="0"/>
          <w:numId w:val="0"/>
        </w:numPr>
      </w:pPr>
      <w:r w:rsidRPr="008C36B0">
        <w:t>La distribuidora recupera energía no cobrada y además reduce costos al disminuirse la demanda por efecto de la elasticidad precio.  El efecto de ésta en los resultados financieros es menor que en el caso del análisis económico.  El Cuadro 12 muestra los parámetros de la evaluación financiera desde el punto de vista de la distribuidora.  Se omite la TIR financiera que es indefinida (infinita) puesto que los beneficios de la reducción de pérdidas comerciales se materializan de manera inmediata.</w:t>
      </w:r>
    </w:p>
    <w:p w14:paraId="08E58A4F" w14:textId="77777777" w:rsidR="00414AA5" w:rsidRPr="008C36B0" w:rsidRDefault="00414AA5" w:rsidP="00414AA5">
      <w:pPr>
        <w:pStyle w:val="Banknumbered"/>
        <w:numPr>
          <w:ilvl w:val="0"/>
          <w:numId w:val="0"/>
        </w:numPr>
      </w:pPr>
    </w:p>
    <w:p w14:paraId="2E24908C" w14:textId="77777777" w:rsidR="00910F35" w:rsidRPr="008C36B0" w:rsidRDefault="00910F35" w:rsidP="00910F35">
      <w:pPr>
        <w:keepNext/>
        <w:jc w:val="center"/>
        <w:rPr>
          <w:sz w:val="22"/>
        </w:rPr>
      </w:pPr>
      <w:r w:rsidRPr="008C36B0">
        <w:rPr>
          <w:sz w:val="22"/>
        </w:rPr>
        <w:t>Cuadro 12.  Sensibilidad Financiera a la Elasticidad-Precio de la Demanda</w:t>
      </w:r>
    </w:p>
    <w:tbl>
      <w:tblPr>
        <w:tblStyle w:val="TableGrid"/>
        <w:tblW w:w="0" w:type="auto"/>
        <w:jc w:val="center"/>
        <w:tblLook w:val="04A0" w:firstRow="1" w:lastRow="0" w:firstColumn="1" w:lastColumn="0" w:noHBand="0" w:noVBand="1"/>
      </w:tblPr>
      <w:tblGrid>
        <w:gridCol w:w="2844"/>
        <w:gridCol w:w="1161"/>
        <w:gridCol w:w="1161"/>
        <w:gridCol w:w="1161"/>
        <w:gridCol w:w="1161"/>
      </w:tblGrid>
      <w:tr w:rsidR="00910F35" w:rsidRPr="008C36B0" w14:paraId="097AA28C" w14:textId="77777777" w:rsidTr="00F51B90">
        <w:trPr>
          <w:trHeight w:val="230"/>
          <w:jc w:val="center"/>
        </w:trPr>
        <w:tc>
          <w:tcPr>
            <w:tcW w:w="2844" w:type="dxa"/>
          </w:tcPr>
          <w:p w14:paraId="4BCA29A5" w14:textId="77777777" w:rsidR="00910F35" w:rsidRPr="008C36B0" w:rsidRDefault="00910F35" w:rsidP="00F51B90">
            <w:pPr>
              <w:keepNext/>
            </w:pPr>
            <w:r w:rsidRPr="008C36B0">
              <w:t>Elasticidad Precio</w:t>
            </w:r>
          </w:p>
        </w:tc>
        <w:tc>
          <w:tcPr>
            <w:tcW w:w="1161" w:type="dxa"/>
          </w:tcPr>
          <w:p w14:paraId="25AC702A" w14:textId="77777777" w:rsidR="00910F35" w:rsidRPr="008C36B0" w:rsidRDefault="00910F35" w:rsidP="00F51B90">
            <w:pPr>
              <w:keepNext/>
              <w:jc w:val="center"/>
            </w:pPr>
            <w:r w:rsidRPr="008C36B0">
              <w:t>–0.4</w:t>
            </w:r>
          </w:p>
        </w:tc>
        <w:tc>
          <w:tcPr>
            <w:tcW w:w="1161" w:type="dxa"/>
          </w:tcPr>
          <w:p w14:paraId="6357D133" w14:textId="77777777" w:rsidR="00910F35" w:rsidRPr="008C36B0" w:rsidRDefault="00910F35" w:rsidP="00F51B90">
            <w:pPr>
              <w:keepNext/>
              <w:jc w:val="center"/>
            </w:pPr>
            <w:r w:rsidRPr="008C36B0">
              <w:t>–0.3</w:t>
            </w:r>
          </w:p>
        </w:tc>
        <w:tc>
          <w:tcPr>
            <w:tcW w:w="1161" w:type="dxa"/>
          </w:tcPr>
          <w:p w14:paraId="3B01787B" w14:textId="77777777" w:rsidR="00910F35" w:rsidRPr="008C36B0" w:rsidRDefault="00910F35" w:rsidP="00F51B90">
            <w:pPr>
              <w:keepNext/>
              <w:jc w:val="center"/>
            </w:pPr>
            <w:r w:rsidRPr="008C36B0">
              <w:t>–0.2</w:t>
            </w:r>
          </w:p>
        </w:tc>
        <w:tc>
          <w:tcPr>
            <w:tcW w:w="1161" w:type="dxa"/>
          </w:tcPr>
          <w:p w14:paraId="4277D030" w14:textId="77777777" w:rsidR="00910F35" w:rsidRPr="008C36B0" w:rsidRDefault="00910F35" w:rsidP="00F51B90">
            <w:pPr>
              <w:keepNext/>
              <w:jc w:val="center"/>
            </w:pPr>
            <w:r w:rsidRPr="008C36B0">
              <w:t>–0.1</w:t>
            </w:r>
          </w:p>
        </w:tc>
      </w:tr>
      <w:tr w:rsidR="00910F35" w:rsidRPr="008C36B0" w14:paraId="19B5B12A" w14:textId="77777777" w:rsidTr="00F51B90">
        <w:trPr>
          <w:trHeight w:val="230"/>
          <w:jc w:val="center"/>
        </w:trPr>
        <w:tc>
          <w:tcPr>
            <w:tcW w:w="2844" w:type="dxa"/>
          </w:tcPr>
          <w:p w14:paraId="40BA97EC" w14:textId="77777777" w:rsidR="00910F35" w:rsidRPr="008C36B0" w:rsidRDefault="00910F35" w:rsidP="00F51B90">
            <w:pPr>
              <w:keepNext/>
              <w:ind w:right="-515"/>
            </w:pPr>
            <w:r w:rsidRPr="008C36B0">
              <w:t>VPN Beneficios Financieros(M$)</w:t>
            </w:r>
          </w:p>
        </w:tc>
        <w:tc>
          <w:tcPr>
            <w:tcW w:w="1161" w:type="dxa"/>
            <w:vAlign w:val="bottom"/>
          </w:tcPr>
          <w:p w14:paraId="51630203" w14:textId="77777777" w:rsidR="00910F35" w:rsidRPr="008C36B0" w:rsidRDefault="00910F35" w:rsidP="00F51B90">
            <w:pPr>
              <w:keepNext/>
              <w:jc w:val="center"/>
            </w:pPr>
            <w:r w:rsidRPr="008C36B0">
              <w:rPr>
                <w:color w:val="000000"/>
              </w:rPr>
              <w:t xml:space="preserve">$191 </w:t>
            </w:r>
          </w:p>
        </w:tc>
        <w:tc>
          <w:tcPr>
            <w:tcW w:w="1161" w:type="dxa"/>
            <w:vAlign w:val="bottom"/>
          </w:tcPr>
          <w:p w14:paraId="5E511FA7" w14:textId="77777777" w:rsidR="00910F35" w:rsidRPr="008C36B0" w:rsidRDefault="00910F35" w:rsidP="00F51B90">
            <w:pPr>
              <w:keepNext/>
              <w:jc w:val="center"/>
            </w:pPr>
            <w:r w:rsidRPr="008C36B0">
              <w:rPr>
                <w:color w:val="000000"/>
              </w:rPr>
              <w:t xml:space="preserve">$162 </w:t>
            </w:r>
          </w:p>
        </w:tc>
        <w:tc>
          <w:tcPr>
            <w:tcW w:w="1161" w:type="dxa"/>
            <w:vAlign w:val="bottom"/>
          </w:tcPr>
          <w:p w14:paraId="69383F74" w14:textId="77777777" w:rsidR="00910F35" w:rsidRPr="008C36B0" w:rsidRDefault="00910F35" w:rsidP="00F51B90">
            <w:pPr>
              <w:keepNext/>
              <w:jc w:val="center"/>
            </w:pPr>
            <w:r w:rsidRPr="008C36B0">
              <w:rPr>
                <w:color w:val="000000"/>
              </w:rPr>
              <w:t xml:space="preserve">$138 </w:t>
            </w:r>
          </w:p>
        </w:tc>
        <w:tc>
          <w:tcPr>
            <w:tcW w:w="1161" w:type="dxa"/>
            <w:vAlign w:val="bottom"/>
          </w:tcPr>
          <w:p w14:paraId="2DE733A9" w14:textId="77777777" w:rsidR="00910F35" w:rsidRPr="008C36B0" w:rsidRDefault="00910F35" w:rsidP="00F51B90">
            <w:pPr>
              <w:keepNext/>
              <w:jc w:val="center"/>
            </w:pPr>
            <w:r w:rsidRPr="008C36B0">
              <w:rPr>
                <w:color w:val="000000"/>
              </w:rPr>
              <w:t xml:space="preserve">$119 </w:t>
            </w:r>
          </w:p>
        </w:tc>
      </w:tr>
      <w:tr w:rsidR="00910F35" w:rsidRPr="008C36B0" w14:paraId="0DDB9BDA" w14:textId="77777777" w:rsidTr="00F51B90">
        <w:trPr>
          <w:trHeight w:val="230"/>
          <w:jc w:val="center"/>
        </w:trPr>
        <w:tc>
          <w:tcPr>
            <w:tcW w:w="2844" w:type="dxa"/>
          </w:tcPr>
          <w:p w14:paraId="6A5A58C5" w14:textId="77777777" w:rsidR="00910F35" w:rsidRPr="008C36B0" w:rsidRDefault="00910F35" w:rsidP="00F51B90">
            <w:r w:rsidRPr="008C36B0">
              <w:t>VPN Costos (12%)</w:t>
            </w:r>
          </w:p>
        </w:tc>
        <w:tc>
          <w:tcPr>
            <w:tcW w:w="1161" w:type="dxa"/>
            <w:vAlign w:val="bottom"/>
          </w:tcPr>
          <w:p w14:paraId="270C6678" w14:textId="77777777" w:rsidR="00910F35" w:rsidRPr="008C36B0" w:rsidRDefault="00910F35" w:rsidP="00F51B90">
            <w:pPr>
              <w:jc w:val="center"/>
            </w:pPr>
            <w:r w:rsidRPr="008C36B0">
              <w:rPr>
                <w:color w:val="000000"/>
              </w:rPr>
              <w:t xml:space="preserve">$15.2 </w:t>
            </w:r>
          </w:p>
        </w:tc>
        <w:tc>
          <w:tcPr>
            <w:tcW w:w="1161" w:type="dxa"/>
            <w:vAlign w:val="bottom"/>
          </w:tcPr>
          <w:p w14:paraId="21C3C876" w14:textId="77777777" w:rsidR="00910F35" w:rsidRPr="008C36B0" w:rsidRDefault="00910F35" w:rsidP="00F51B90">
            <w:pPr>
              <w:jc w:val="center"/>
            </w:pPr>
            <w:r w:rsidRPr="008C36B0">
              <w:rPr>
                <w:color w:val="000000"/>
              </w:rPr>
              <w:t xml:space="preserve">$15.2 </w:t>
            </w:r>
          </w:p>
        </w:tc>
        <w:tc>
          <w:tcPr>
            <w:tcW w:w="1161" w:type="dxa"/>
            <w:vAlign w:val="bottom"/>
          </w:tcPr>
          <w:p w14:paraId="6EEE198D" w14:textId="77777777" w:rsidR="00910F35" w:rsidRPr="008C36B0" w:rsidRDefault="00910F35" w:rsidP="00F51B90">
            <w:pPr>
              <w:jc w:val="center"/>
            </w:pPr>
            <w:r w:rsidRPr="008C36B0">
              <w:rPr>
                <w:color w:val="000000"/>
              </w:rPr>
              <w:t xml:space="preserve">$15.2 </w:t>
            </w:r>
          </w:p>
        </w:tc>
        <w:tc>
          <w:tcPr>
            <w:tcW w:w="1161" w:type="dxa"/>
            <w:vAlign w:val="bottom"/>
          </w:tcPr>
          <w:p w14:paraId="3F572963" w14:textId="77777777" w:rsidR="00910F35" w:rsidRPr="008C36B0" w:rsidRDefault="00910F35" w:rsidP="00F51B90">
            <w:pPr>
              <w:jc w:val="center"/>
            </w:pPr>
            <w:r w:rsidRPr="008C36B0">
              <w:rPr>
                <w:color w:val="000000"/>
              </w:rPr>
              <w:t xml:space="preserve">$15.2 </w:t>
            </w:r>
          </w:p>
        </w:tc>
      </w:tr>
      <w:tr w:rsidR="00910F35" w:rsidRPr="008C36B0" w14:paraId="17D07EE2" w14:textId="77777777" w:rsidTr="00F51B90">
        <w:trPr>
          <w:trHeight w:val="230"/>
          <w:jc w:val="center"/>
        </w:trPr>
        <w:tc>
          <w:tcPr>
            <w:tcW w:w="2844" w:type="dxa"/>
          </w:tcPr>
          <w:p w14:paraId="3CF6A85A" w14:textId="77777777" w:rsidR="00910F35" w:rsidRPr="008C36B0" w:rsidRDefault="00910F35" w:rsidP="00F51B90">
            <w:r w:rsidRPr="008C36B0">
              <w:t>Relación B/C Financiera</w:t>
            </w:r>
          </w:p>
        </w:tc>
        <w:tc>
          <w:tcPr>
            <w:tcW w:w="1161" w:type="dxa"/>
            <w:vAlign w:val="bottom"/>
          </w:tcPr>
          <w:p w14:paraId="5DA55A56" w14:textId="77777777" w:rsidR="00910F35" w:rsidRPr="008C36B0" w:rsidRDefault="00910F35" w:rsidP="00F51B90">
            <w:pPr>
              <w:jc w:val="center"/>
            </w:pPr>
            <w:r w:rsidRPr="008C36B0">
              <w:t>25</w:t>
            </w:r>
          </w:p>
        </w:tc>
        <w:tc>
          <w:tcPr>
            <w:tcW w:w="1161" w:type="dxa"/>
            <w:vAlign w:val="bottom"/>
          </w:tcPr>
          <w:p w14:paraId="2B8786AF" w14:textId="77777777" w:rsidR="00910F35" w:rsidRPr="008C36B0" w:rsidRDefault="00910F35" w:rsidP="00F51B90">
            <w:pPr>
              <w:jc w:val="center"/>
            </w:pPr>
            <w:r w:rsidRPr="008C36B0">
              <w:t>11</w:t>
            </w:r>
          </w:p>
        </w:tc>
        <w:tc>
          <w:tcPr>
            <w:tcW w:w="1161" w:type="dxa"/>
            <w:vAlign w:val="bottom"/>
          </w:tcPr>
          <w:p w14:paraId="0946C191" w14:textId="77777777" w:rsidR="00910F35" w:rsidRPr="008C36B0" w:rsidRDefault="00910F35" w:rsidP="00F51B90">
            <w:pPr>
              <w:jc w:val="center"/>
            </w:pPr>
            <w:r w:rsidRPr="008C36B0">
              <w:t>9</w:t>
            </w:r>
          </w:p>
        </w:tc>
        <w:tc>
          <w:tcPr>
            <w:tcW w:w="1161" w:type="dxa"/>
            <w:vAlign w:val="bottom"/>
          </w:tcPr>
          <w:p w14:paraId="7A7C90EB" w14:textId="77777777" w:rsidR="00910F35" w:rsidRPr="008C36B0" w:rsidRDefault="00910F35" w:rsidP="00F51B90">
            <w:pPr>
              <w:jc w:val="center"/>
              <w:rPr>
                <w:color w:val="000000"/>
              </w:rPr>
            </w:pPr>
            <w:r w:rsidRPr="008C36B0">
              <w:rPr>
                <w:color w:val="000000"/>
              </w:rPr>
              <w:t>8</w:t>
            </w:r>
          </w:p>
        </w:tc>
      </w:tr>
    </w:tbl>
    <w:p w14:paraId="754D89E2" w14:textId="77777777" w:rsidR="00414AA5" w:rsidRDefault="00414AA5" w:rsidP="00910F35"/>
    <w:p w14:paraId="34A07327" w14:textId="7B822278" w:rsidR="00910F35" w:rsidRDefault="00910F35" w:rsidP="00910F35">
      <w:r w:rsidRPr="008C36B0">
        <w:t>Esto confirma que las inversiones en recuperación de pérdidas son generalmente extremadamente rentables para el distribuidor.  Inclusive cuando la relación P</w:t>
      </w:r>
      <w:r w:rsidRPr="008C36B0">
        <w:rPr>
          <w:vertAlign w:val="subscript"/>
        </w:rPr>
        <w:t>0</w:t>
      </w:r>
      <w:r w:rsidRPr="008C36B0">
        <w:t>/P</w:t>
      </w:r>
      <w:r w:rsidRPr="008C36B0">
        <w:rPr>
          <w:vertAlign w:val="subscript"/>
        </w:rPr>
        <w:t>1</w:t>
      </w:r>
      <w:r w:rsidRPr="008C36B0">
        <w:t xml:space="preserve"> es de 0.4, la relación B/C es de 12.  Esto confirma que para el distribuidor es rentable tomar medidas para la reducción de fraudes, inclusive cuando éste no es especialmente alto.</w:t>
      </w:r>
    </w:p>
    <w:p w14:paraId="4A71416A" w14:textId="77777777" w:rsidR="00414AA5" w:rsidRPr="008C36B0" w:rsidRDefault="00414AA5" w:rsidP="00910F35"/>
    <w:p w14:paraId="4445B585" w14:textId="77777777" w:rsidR="00414AA5" w:rsidRPr="008C36B0" w:rsidRDefault="00414AA5" w:rsidP="00414AA5">
      <w:pPr>
        <w:pStyle w:val="Heading2"/>
      </w:pPr>
      <w:r w:rsidRPr="008C36B0">
        <w:t>Evaluación del incentivo a la energía renovable en la matriz energética</w:t>
      </w:r>
    </w:p>
    <w:p w14:paraId="415186D5" w14:textId="77777777" w:rsidR="00414AA5" w:rsidRPr="008C36B0" w:rsidRDefault="00414AA5" w:rsidP="00414AA5">
      <w:pPr>
        <w:pStyle w:val="Banknumbered"/>
        <w:numPr>
          <w:ilvl w:val="0"/>
          <w:numId w:val="0"/>
        </w:numPr>
      </w:pPr>
      <w:r w:rsidRPr="008C36B0">
        <w:t>La transformación de la matriz energética y la penetración de renovables conducen a una reducción de los costos de generación del sistema eléctrico de Nicaragua.  Para que se materialicen estos beneficios se requiere una inversión en plantas de generación más eficientes.</w:t>
      </w:r>
    </w:p>
    <w:p w14:paraId="6FAE7936" w14:textId="56EFF426" w:rsidR="00414AA5" w:rsidRPr="008C36B0" w:rsidRDefault="00414AA5" w:rsidP="00414AA5">
      <w:pPr>
        <w:pStyle w:val="Banknumbered"/>
        <w:numPr>
          <w:ilvl w:val="0"/>
          <w:numId w:val="0"/>
        </w:numPr>
      </w:pPr>
      <w:r w:rsidRPr="008C36B0">
        <w:t>Los beneficios de la reducción en los costos de generación pueden evaluarse mediante los ahorros operativos asociados con las plantas menos eficientes del sistema.  Una aproximación a estos beneficios puede obtenerse mediante la información consignada en el Plan Indicativo de Expansión de la Generación Eléctrica 2013-2027 preparado por el Ministerio de Energía y Minas, Centro Nacional de Despacho de Carga y por ENATREL.  La siguiente figura ilustra la evolución del costo marginal de corto plazo durante el período de planeamiento:</w:t>
      </w:r>
    </w:p>
    <w:p w14:paraId="136CF2AC" w14:textId="77777777" w:rsidR="00414AA5" w:rsidRPr="008C36B0" w:rsidRDefault="00414AA5" w:rsidP="00414AA5">
      <w:pPr>
        <w:pStyle w:val="Banknumbered"/>
        <w:keepNext/>
        <w:numPr>
          <w:ilvl w:val="0"/>
          <w:numId w:val="0"/>
        </w:numPr>
        <w:jc w:val="center"/>
      </w:pPr>
      <w:r w:rsidRPr="008C36B0">
        <w:lastRenderedPageBreak/>
        <w:t>Figura 3. Costo Marginal de Corto Plazo</w:t>
      </w:r>
    </w:p>
    <w:p w14:paraId="55A6733F" w14:textId="77777777" w:rsidR="00414AA5" w:rsidRPr="008C36B0" w:rsidRDefault="00414AA5" w:rsidP="00414AA5">
      <w:pPr>
        <w:pStyle w:val="Banknumbered"/>
        <w:keepNext/>
        <w:numPr>
          <w:ilvl w:val="0"/>
          <w:numId w:val="0"/>
        </w:numPr>
        <w:jc w:val="center"/>
      </w:pPr>
      <w:r w:rsidRPr="008C36B0">
        <w:t>(Escenario de mínimo costo con demanda media)</w:t>
      </w:r>
      <w:r w:rsidRPr="008C36B0">
        <w:rPr>
          <w:rStyle w:val="FootnoteReference"/>
        </w:rPr>
        <w:footnoteReference w:id="6"/>
      </w:r>
    </w:p>
    <w:p w14:paraId="6DA00BA7" w14:textId="77777777" w:rsidR="00414AA5" w:rsidRPr="008C36B0" w:rsidRDefault="00414AA5" w:rsidP="00414AA5">
      <w:pPr>
        <w:tabs>
          <w:tab w:val="left" w:pos="2924"/>
        </w:tabs>
        <w:jc w:val="center"/>
      </w:pPr>
      <w:r w:rsidRPr="008C36B0">
        <w:rPr>
          <w:noProof/>
          <w:lang w:val="en-US"/>
        </w:rPr>
        <w:drawing>
          <wp:inline distT="0" distB="0" distL="0" distR="0" wp14:anchorId="483CF04D" wp14:editId="64DB89C5">
            <wp:extent cx="3924300" cy="2571750"/>
            <wp:effectExtent l="0" t="0" r="12700" b="19050"/>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FEC08B8" w14:textId="77777777" w:rsidR="00414AA5" w:rsidRPr="008C36B0" w:rsidRDefault="00414AA5" w:rsidP="00414AA5">
      <w:pPr>
        <w:pStyle w:val="BankNormal"/>
        <w:spacing w:before="120"/>
        <w:jc w:val="center"/>
        <w:rPr>
          <w:lang w:val="es-ES_tradnl"/>
        </w:rPr>
      </w:pPr>
    </w:p>
    <w:p w14:paraId="515263AE" w14:textId="3AD4D218" w:rsidR="00414AA5" w:rsidRPr="008C36B0" w:rsidRDefault="00414AA5" w:rsidP="00414AA5">
      <w:pPr>
        <w:pStyle w:val="Banknumbered"/>
        <w:numPr>
          <w:ilvl w:val="0"/>
          <w:numId w:val="0"/>
        </w:numPr>
      </w:pPr>
      <w:r w:rsidRPr="008C36B0">
        <w:t>El beneficio asociado con la energía renovable se puede medir en términos de costos unitarios como la diferencia entre los costos marginales de generación en 2013–2014, del orden de US$140/MWh y los costos marginales de generación de renovables, que son nulos.</w:t>
      </w:r>
      <w:r>
        <w:t xml:space="preserve"> </w:t>
      </w:r>
      <w:r w:rsidRPr="008C36B0">
        <w:t>El plan de instalación de energía renovable se ilustra en el Cuadro 13:</w:t>
      </w:r>
    </w:p>
    <w:p w14:paraId="60C6E28D" w14:textId="77777777" w:rsidR="00414AA5" w:rsidRPr="008C36B0" w:rsidRDefault="00414AA5" w:rsidP="00414AA5">
      <w:pPr>
        <w:pStyle w:val="BankNormal"/>
        <w:keepNext/>
        <w:spacing w:before="120"/>
        <w:jc w:val="center"/>
        <w:rPr>
          <w:b/>
          <w:sz w:val="18"/>
          <w:szCs w:val="18"/>
          <w:lang w:val="es-ES_tradnl"/>
        </w:rPr>
      </w:pPr>
      <w:r w:rsidRPr="008C36B0">
        <w:rPr>
          <w:b/>
          <w:sz w:val="18"/>
          <w:szCs w:val="18"/>
          <w:lang w:val="es-ES_tradnl"/>
        </w:rPr>
        <w:t>Cuadro 13.  Plan de Instalación y Capacidades de Energía Renovable (MW)</w:t>
      </w:r>
    </w:p>
    <w:p w14:paraId="48EE1AFB" w14:textId="77777777" w:rsidR="00414AA5" w:rsidRPr="008C36B0" w:rsidRDefault="00414AA5" w:rsidP="00414AA5">
      <w:pPr>
        <w:pStyle w:val="BankNormal"/>
        <w:spacing w:before="120"/>
        <w:jc w:val="center"/>
        <w:rPr>
          <w:b/>
          <w:sz w:val="18"/>
          <w:szCs w:val="18"/>
          <w:lang w:val="es-ES_tradnl"/>
        </w:rPr>
      </w:pPr>
      <w:r w:rsidRPr="008C36B0">
        <w:rPr>
          <w:b/>
          <w:noProof/>
          <w:sz w:val="18"/>
          <w:szCs w:val="18"/>
        </w:rPr>
        <w:drawing>
          <wp:inline distT="0" distB="0" distL="0" distR="0" wp14:anchorId="55413590" wp14:editId="41B0BDD6">
            <wp:extent cx="5486400" cy="2635702"/>
            <wp:effectExtent l="0" t="0" r="0" b="635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86400" cy="2635702"/>
                    </a:xfrm>
                    <a:prstGeom prst="rect">
                      <a:avLst/>
                    </a:prstGeom>
                    <a:noFill/>
                    <a:ln>
                      <a:noFill/>
                    </a:ln>
                  </pic:spPr>
                </pic:pic>
              </a:graphicData>
            </a:graphic>
          </wp:inline>
        </w:drawing>
      </w:r>
    </w:p>
    <w:p w14:paraId="718DEE44" w14:textId="5BD0DB3B" w:rsidR="00414AA5" w:rsidRPr="008C36B0" w:rsidRDefault="00414AA5" w:rsidP="00414AA5">
      <w:pPr>
        <w:pStyle w:val="Banknumbered"/>
        <w:numPr>
          <w:ilvl w:val="0"/>
          <w:numId w:val="0"/>
        </w:numPr>
      </w:pPr>
      <w:r w:rsidRPr="008C36B0">
        <w:t>Los costos de la energía renovable están compuestos por los costos de inversión y por los costos de operación y mantenimiento.  Los costos unitarios de inversión y el plan de inversiones correspondiente se muestra en el Cuadro 14.</w:t>
      </w:r>
    </w:p>
    <w:p w14:paraId="6CFA93CC" w14:textId="77777777" w:rsidR="00414AA5" w:rsidRPr="008C36B0" w:rsidRDefault="00414AA5" w:rsidP="00414AA5">
      <w:pPr>
        <w:pStyle w:val="BankNormal"/>
        <w:keepNext/>
        <w:spacing w:before="120"/>
        <w:jc w:val="center"/>
        <w:rPr>
          <w:sz w:val="20"/>
          <w:lang w:val="es-ES_tradnl"/>
        </w:rPr>
      </w:pPr>
      <w:r w:rsidRPr="008C36B0">
        <w:rPr>
          <w:sz w:val="20"/>
          <w:lang w:val="es-ES_tradnl"/>
        </w:rPr>
        <w:lastRenderedPageBreak/>
        <w:t>Cuadro 14.  Plan de Inversiones de Energía Renovable (M$)</w:t>
      </w:r>
    </w:p>
    <w:p w14:paraId="6404E4EE" w14:textId="77777777" w:rsidR="00414AA5" w:rsidRPr="008C36B0" w:rsidRDefault="00414AA5" w:rsidP="00414AA5">
      <w:pPr>
        <w:pStyle w:val="BankNormal"/>
        <w:spacing w:before="0"/>
        <w:jc w:val="center"/>
        <w:rPr>
          <w:lang w:val="es-ES_tradnl"/>
        </w:rPr>
      </w:pPr>
      <w:r w:rsidRPr="008C36B0">
        <w:rPr>
          <w:noProof/>
        </w:rPr>
        <w:drawing>
          <wp:inline distT="0" distB="0" distL="0" distR="0" wp14:anchorId="346FA37E" wp14:editId="39DFF011">
            <wp:extent cx="5486400" cy="2411684"/>
            <wp:effectExtent l="0" t="0" r="0" b="1905"/>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2411684"/>
                    </a:xfrm>
                    <a:prstGeom prst="rect">
                      <a:avLst/>
                    </a:prstGeom>
                    <a:noFill/>
                    <a:ln>
                      <a:noFill/>
                    </a:ln>
                  </pic:spPr>
                </pic:pic>
              </a:graphicData>
            </a:graphic>
          </wp:inline>
        </w:drawing>
      </w:r>
    </w:p>
    <w:p w14:paraId="2ACF66FD" w14:textId="77777777" w:rsidR="00414AA5" w:rsidRPr="008C36B0" w:rsidRDefault="00414AA5" w:rsidP="00414AA5">
      <w:pPr>
        <w:pStyle w:val="Banknumbered"/>
        <w:numPr>
          <w:ilvl w:val="0"/>
          <w:numId w:val="0"/>
        </w:numPr>
      </w:pPr>
      <w:r w:rsidRPr="008C36B0">
        <w:t>Los costos de operación y mantenimiento se estiman de acuerdo con el Plan de Expansión mencionado; los costos totales de energía renovable se resumen en el Cuadro 15.</w:t>
      </w:r>
    </w:p>
    <w:p w14:paraId="71AEBA4B" w14:textId="77777777" w:rsidR="00414AA5" w:rsidRPr="008C36B0" w:rsidRDefault="00414AA5" w:rsidP="00414AA5">
      <w:pPr>
        <w:pStyle w:val="BankNormal"/>
        <w:keepNext/>
        <w:spacing w:before="120"/>
        <w:jc w:val="center"/>
        <w:rPr>
          <w:sz w:val="22"/>
          <w:szCs w:val="22"/>
          <w:lang w:val="es-ES_tradnl"/>
        </w:rPr>
      </w:pPr>
      <w:r w:rsidRPr="008C36B0">
        <w:rPr>
          <w:sz w:val="22"/>
          <w:szCs w:val="22"/>
          <w:lang w:val="es-ES_tradnl"/>
        </w:rPr>
        <w:t xml:space="preserve">Cuadro 15.  Resumen de Costos Totales Asociados con Energía Renovable </w:t>
      </w:r>
    </w:p>
    <w:p w14:paraId="572DCCE6" w14:textId="77777777" w:rsidR="00414AA5" w:rsidRPr="008C36B0" w:rsidRDefault="00414AA5" w:rsidP="00414AA5">
      <w:pPr>
        <w:pStyle w:val="BankNormal"/>
        <w:spacing w:before="0"/>
        <w:rPr>
          <w:lang w:val="es-ES_tradnl"/>
        </w:rPr>
      </w:pPr>
      <w:r w:rsidRPr="008C36B0">
        <w:rPr>
          <w:lang w:val="es-ES_tradnl"/>
        </w:rPr>
        <w:t xml:space="preserve"> </w:t>
      </w:r>
      <w:r w:rsidRPr="008C36B0">
        <w:rPr>
          <w:noProof/>
        </w:rPr>
        <w:drawing>
          <wp:inline distT="0" distB="0" distL="0" distR="0" wp14:anchorId="5F09871A" wp14:editId="0B90E2DD">
            <wp:extent cx="5486400" cy="605176"/>
            <wp:effectExtent l="0" t="0" r="0" b="4445"/>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86400" cy="605176"/>
                    </a:xfrm>
                    <a:prstGeom prst="rect">
                      <a:avLst/>
                    </a:prstGeom>
                    <a:noFill/>
                    <a:ln>
                      <a:noFill/>
                    </a:ln>
                  </pic:spPr>
                </pic:pic>
              </a:graphicData>
            </a:graphic>
          </wp:inline>
        </w:drawing>
      </w:r>
    </w:p>
    <w:p w14:paraId="131A84ED" w14:textId="77777777" w:rsidR="00414AA5" w:rsidRPr="008C36B0" w:rsidRDefault="00414AA5" w:rsidP="00414AA5">
      <w:pPr>
        <w:pStyle w:val="BankNormal"/>
        <w:spacing w:before="0"/>
        <w:rPr>
          <w:lang w:val="es-ES_tradnl"/>
        </w:rPr>
      </w:pPr>
    </w:p>
    <w:p w14:paraId="7B6A24C0" w14:textId="7C55E5C9" w:rsidR="00414AA5" w:rsidRPr="008C36B0" w:rsidRDefault="00414AA5" w:rsidP="00414AA5">
      <w:pPr>
        <w:pStyle w:val="Banknumbered"/>
        <w:numPr>
          <w:ilvl w:val="0"/>
          <w:numId w:val="0"/>
        </w:numPr>
      </w:pPr>
      <w:r w:rsidRPr="008C36B0">
        <w:t>Los beneficios se valoran de acuerdo con la energía producida por las centrales y valorada al costo marginal de corto plazo del sistema, el cual refleja los costos de las centrales más caras del mismo.  La producción de las centrales de energía renovable se muestra en el Cuadro 17.</w:t>
      </w:r>
    </w:p>
    <w:p w14:paraId="3210E3D8" w14:textId="77777777" w:rsidR="00414AA5" w:rsidRPr="008C36B0" w:rsidRDefault="00414AA5" w:rsidP="00414AA5">
      <w:pPr>
        <w:pStyle w:val="BankNormal"/>
        <w:keepNext/>
        <w:spacing w:before="120"/>
        <w:jc w:val="center"/>
        <w:rPr>
          <w:sz w:val="20"/>
          <w:lang w:val="es-ES_tradnl"/>
        </w:rPr>
      </w:pPr>
      <w:r w:rsidRPr="008C36B0">
        <w:rPr>
          <w:sz w:val="20"/>
          <w:lang w:val="es-ES_tradnl"/>
        </w:rPr>
        <w:t>Cuadro 17.  Generación Anual (GWh) de Energía Renovable</w:t>
      </w:r>
    </w:p>
    <w:p w14:paraId="4D01A651" w14:textId="77777777" w:rsidR="00414AA5" w:rsidRPr="008C36B0" w:rsidRDefault="00414AA5" w:rsidP="00414AA5">
      <w:pPr>
        <w:pStyle w:val="BankNormal"/>
        <w:spacing w:before="0"/>
        <w:rPr>
          <w:lang w:val="es-ES_tradnl"/>
        </w:rPr>
      </w:pPr>
      <w:r w:rsidRPr="008C36B0">
        <w:rPr>
          <w:noProof/>
        </w:rPr>
        <w:drawing>
          <wp:inline distT="0" distB="0" distL="0" distR="0" wp14:anchorId="505BF9C6" wp14:editId="7389F153">
            <wp:extent cx="5486400" cy="239262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2392620"/>
                    </a:xfrm>
                    <a:prstGeom prst="rect">
                      <a:avLst/>
                    </a:prstGeom>
                    <a:noFill/>
                    <a:ln>
                      <a:noFill/>
                    </a:ln>
                  </pic:spPr>
                </pic:pic>
              </a:graphicData>
            </a:graphic>
          </wp:inline>
        </w:drawing>
      </w:r>
    </w:p>
    <w:p w14:paraId="53564AE4" w14:textId="77777777" w:rsidR="00414AA5" w:rsidRPr="008C36B0" w:rsidRDefault="00414AA5" w:rsidP="00414AA5">
      <w:pPr>
        <w:pStyle w:val="BankNormal"/>
        <w:spacing w:before="120"/>
        <w:rPr>
          <w:lang w:val="es-ES_tradnl"/>
        </w:rPr>
      </w:pPr>
      <w:r w:rsidRPr="008C36B0">
        <w:rPr>
          <w:lang w:val="es-ES_tradnl"/>
        </w:rPr>
        <w:t>Los beneficios correspondientes se ilustran en el Cuadro 18.</w:t>
      </w:r>
    </w:p>
    <w:p w14:paraId="3083E206" w14:textId="77777777" w:rsidR="00414AA5" w:rsidRPr="008C36B0" w:rsidRDefault="00414AA5" w:rsidP="00414AA5">
      <w:pPr>
        <w:pStyle w:val="BankNormal"/>
        <w:keepNext/>
        <w:spacing w:before="120"/>
        <w:jc w:val="center"/>
        <w:rPr>
          <w:sz w:val="20"/>
          <w:lang w:val="es-ES_tradnl"/>
        </w:rPr>
      </w:pPr>
      <w:r w:rsidRPr="008C36B0">
        <w:rPr>
          <w:sz w:val="20"/>
          <w:lang w:val="es-ES_tradnl"/>
        </w:rPr>
        <w:t>Cuadro 18.  Beneficios Anuales de Energía Renovable</w:t>
      </w:r>
    </w:p>
    <w:p w14:paraId="4E82C7D0" w14:textId="77777777" w:rsidR="00414AA5" w:rsidRPr="008C36B0" w:rsidRDefault="00414AA5" w:rsidP="00414AA5">
      <w:pPr>
        <w:pStyle w:val="BankNormal"/>
        <w:spacing w:before="0"/>
        <w:rPr>
          <w:lang w:val="es-ES_tradnl"/>
        </w:rPr>
      </w:pPr>
      <w:r w:rsidRPr="008C36B0">
        <w:rPr>
          <w:noProof/>
        </w:rPr>
        <w:drawing>
          <wp:inline distT="0" distB="0" distL="0" distR="0" wp14:anchorId="0DFBF989" wp14:editId="16A0C454">
            <wp:extent cx="5486400" cy="465466"/>
            <wp:effectExtent l="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465466"/>
                    </a:xfrm>
                    <a:prstGeom prst="rect">
                      <a:avLst/>
                    </a:prstGeom>
                    <a:noFill/>
                    <a:ln>
                      <a:noFill/>
                    </a:ln>
                  </pic:spPr>
                </pic:pic>
              </a:graphicData>
            </a:graphic>
          </wp:inline>
        </w:drawing>
      </w:r>
    </w:p>
    <w:p w14:paraId="0A3842EB" w14:textId="584F2671" w:rsidR="00414AA5" w:rsidRPr="008C36B0" w:rsidRDefault="00414AA5" w:rsidP="00414AA5">
      <w:pPr>
        <w:pStyle w:val="BankNormal"/>
        <w:spacing w:before="120"/>
        <w:rPr>
          <w:lang w:val="es-ES_tradnl"/>
        </w:rPr>
      </w:pPr>
      <w:r w:rsidRPr="008C36B0">
        <w:rPr>
          <w:lang w:val="es-ES_tradnl"/>
        </w:rPr>
        <w:t xml:space="preserve">En el corto plazo el costo marginal refleja el costo de centrales térmicas a base de fuel oil y de diesel, alrededor de US¢14/kWh.  En el largo plazo, el costo marginal se sitúa alrededor de US¢12/kWh, con la sustitución de las centrales térmicas.  </w:t>
      </w:r>
    </w:p>
    <w:p w14:paraId="2B6BE85F" w14:textId="7FD27F7F" w:rsidR="00414AA5" w:rsidRPr="008C36B0" w:rsidRDefault="00414AA5" w:rsidP="00414AA5">
      <w:pPr>
        <w:pStyle w:val="Banknumbered"/>
        <w:numPr>
          <w:ilvl w:val="0"/>
          <w:numId w:val="0"/>
        </w:numPr>
      </w:pPr>
      <w:r w:rsidRPr="008C36B0">
        <w:lastRenderedPageBreak/>
        <w:t>Con la valoración de costos y beneficios se obtienen los siguientes parámetros de la evaluación económica:</w:t>
      </w:r>
    </w:p>
    <w:p w14:paraId="65BE446C" w14:textId="77777777" w:rsidR="00414AA5" w:rsidRPr="008C36B0" w:rsidRDefault="00414AA5" w:rsidP="00414AA5">
      <w:pPr>
        <w:keepNext/>
        <w:ind w:left="720"/>
      </w:pPr>
      <w:r w:rsidRPr="008C36B0">
        <w:t>VPN de Beneficios (12%)</w:t>
      </w:r>
      <w:r w:rsidRPr="008C36B0">
        <w:tab/>
      </w:r>
      <w:r w:rsidRPr="008C36B0">
        <w:tab/>
      </w:r>
      <w:r w:rsidRPr="008C36B0">
        <w:tab/>
        <w:t>1345M$</w:t>
      </w:r>
    </w:p>
    <w:p w14:paraId="4F53E11D" w14:textId="77777777" w:rsidR="00414AA5" w:rsidRPr="008C36B0" w:rsidRDefault="00414AA5" w:rsidP="00414AA5">
      <w:pPr>
        <w:ind w:left="720"/>
      </w:pPr>
      <w:r w:rsidRPr="008C36B0">
        <w:t>VPN de Costos (12%)</w:t>
      </w:r>
      <w:r w:rsidRPr="008C36B0">
        <w:tab/>
      </w:r>
      <w:r w:rsidRPr="008C36B0">
        <w:tab/>
      </w:r>
      <w:r w:rsidRPr="008C36B0">
        <w:tab/>
      </w:r>
      <w:r w:rsidRPr="008C36B0">
        <w:tab/>
        <w:t>1319M$</w:t>
      </w:r>
    </w:p>
    <w:p w14:paraId="5FEFF55E" w14:textId="77777777" w:rsidR="00414AA5" w:rsidRPr="008C36B0" w:rsidRDefault="00414AA5" w:rsidP="00414AA5">
      <w:pPr>
        <w:ind w:left="720"/>
      </w:pPr>
      <w:r w:rsidRPr="008C36B0">
        <w:t>Relación B/C</w:t>
      </w:r>
      <w:r w:rsidRPr="008C36B0">
        <w:tab/>
      </w:r>
      <w:r w:rsidRPr="008C36B0">
        <w:tab/>
      </w:r>
      <w:r w:rsidRPr="008C36B0">
        <w:tab/>
      </w:r>
      <w:r w:rsidRPr="008C36B0">
        <w:tab/>
      </w:r>
      <w:r w:rsidRPr="008C36B0">
        <w:tab/>
        <w:t>1.02</w:t>
      </w:r>
    </w:p>
    <w:p w14:paraId="13A4FD34" w14:textId="77777777" w:rsidR="00414AA5" w:rsidRPr="008C36B0" w:rsidRDefault="00414AA5" w:rsidP="00414AA5">
      <w:pPr>
        <w:ind w:left="720"/>
      </w:pPr>
      <w:r w:rsidRPr="008C36B0">
        <w:t>Tasa Interna de Retorno Económica</w:t>
      </w:r>
      <w:r w:rsidRPr="008C36B0">
        <w:tab/>
      </w:r>
      <w:r w:rsidRPr="008C36B0">
        <w:tab/>
        <w:t>12%</w:t>
      </w:r>
    </w:p>
    <w:p w14:paraId="3B927681" w14:textId="77777777" w:rsidR="00414AA5" w:rsidRPr="008C36B0" w:rsidRDefault="00414AA5" w:rsidP="00414AA5">
      <w:r w:rsidRPr="008C36B0">
        <w:t xml:space="preserve">La evaluación económica del caso base indica que las inversiones en energía renovable se justifican, al arrojar una tasa de descuento comparable con la tasa límite de 12%.  </w:t>
      </w:r>
    </w:p>
    <w:p w14:paraId="7CD8F8B1" w14:textId="77E1DCAC" w:rsidR="00414AA5" w:rsidRPr="008C36B0" w:rsidRDefault="00414AA5" w:rsidP="00414AA5">
      <w:pPr>
        <w:pStyle w:val="Banknumbered"/>
        <w:numPr>
          <w:ilvl w:val="0"/>
          <w:numId w:val="0"/>
        </w:numPr>
      </w:pPr>
      <w:r w:rsidRPr="008C36B0">
        <w:t>Los dos parámetros que más influyen en la evaluación económica, y que se pueden considerar como altamente inciertos son los costos de inversión y el costo marginal de corto plazo, el cual refleja los precios de los combustibles líquidos.  Se evaluaron los siguientes escenarios: (a) incremento de los costos de inversión en 10%, y (b) incremento en el costo marginal de corto plazo de 10%.  Los resultados se ilustran en el Cuadro 19.</w:t>
      </w:r>
    </w:p>
    <w:p w14:paraId="2AC9A998" w14:textId="77777777" w:rsidR="00414AA5" w:rsidRPr="008C36B0" w:rsidRDefault="00414AA5" w:rsidP="00414AA5">
      <w:pPr>
        <w:keepNext/>
        <w:jc w:val="center"/>
        <w:rPr>
          <w:sz w:val="22"/>
        </w:rPr>
      </w:pPr>
      <w:r w:rsidRPr="008C36B0">
        <w:rPr>
          <w:sz w:val="22"/>
        </w:rPr>
        <w:t>Cuadro 19.  Variación de Resultados Económicos</w:t>
      </w:r>
    </w:p>
    <w:tbl>
      <w:tblPr>
        <w:tblStyle w:val="TableGrid"/>
        <w:tblW w:w="0" w:type="auto"/>
        <w:jc w:val="center"/>
        <w:tblLook w:val="04A0" w:firstRow="1" w:lastRow="0" w:firstColumn="1" w:lastColumn="0" w:noHBand="0" w:noVBand="1"/>
      </w:tblPr>
      <w:tblGrid>
        <w:gridCol w:w="2952"/>
        <w:gridCol w:w="2376"/>
        <w:gridCol w:w="2250"/>
      </w:tblGrid>
      <w:tr w:rsidR="00414AA5" w:rsidRPr="008C36B0" w14:paraId="2E9D6FD4" w14:textId="77777777" w:rsidTr="00F51B90">
        <w:trPr>
          <w:jc w:val="center"/>
        </w:trPr>
        <w:tc>
          <w:tcPr>
            <w:tcW w:w="2952" w:type="dxa"/>
          </w:tcPr>
          <w:p w14:paraId="157BF979" w14:textId="77777777" w:rsidR="00414AA5" w:rsidRPr="008C36B0" w:rsidRDefault="00414AA5" w:rsidP="00F51B90">
            <w:pPr>
              <w:keepNext/>
            </w:pPr>
          </w:p>
        </w:tc>
        <w:tc>
          <w:tcPr>
            <w:tcW w:w="2376" w:type="dxa"/>
          </w:tcPr>
          <w:p w14:paraId="501E54D9" w14:textId="77777777" w:rsidR="00414AA5" w:rsidRPr="008C36B0" w:rsidRDefault="00414AA5" w:rsidP="00F51B90">
            <w:pPr>
              <w:keepNext/>
            </w:pPr>
            <w:r w:rsidRPr="008C36B0">
              <w:t>Incremento Inversión 10%</w:t>
            </w:r>
          </w:p>
        </w:tc>
        <w:tc>
          <w:tcPr>
            <w:tcW w:w="2250" w:type="dxa"/>
          </w:tcPr>
          <w:p w14:paraId="36A9E405" w14:textId="77777777" w:rsidR="00414AA5" w:rsidRPr="008C36B0" w:rsidRDefault="00414AA5" w:rsidP="00F51B90">
            <w:pPr>
              <w:keepNext/>
            </w:pPr>
            <w:r w:rsidRPr="008C36B0">
              <w:t>Incremento CMCP 10%</w:t>
            </w:r>
          </w:p>
        </w:tc>
      </w:tr>
      <w:tr w:rsidR="00414AA5" w:rsidRPr="008C36B0" w14:paraId="0F31D28F" w14:textId="77777777" w:rsidTr="00F51B90">
        <w:trPr>
          <w:jc w:val="center"/>
        </w:trPr>
        <w:tc>
          <w:tcPr>
            <w:tcW w:w="2952" w:type="dxa"/>
          </w:tcPr>
          <w:p w14:paraId="68D7F3F3" w14:textId="77777777" w:rsidR="00414AA5" w:rsidRPr="008C36B0" w:rsidRDefault="00414AA5" w:rsidP="00F51B90">
            <w:pPr>
              <w:keepNext/>
            </w:pPr>
            <w:r w:rsidRPr="008C36B0">
              <w:t>VPN Beneficios (12%)</w:t>
            </w:r>
          </w:p>
        </w:tc>
        <w:tc>
          <w:tcPr>
            <w:tcW w:w="2376" w:type="dxa"/>
            <w:vAlign w:val="bottom"/>
          </w:tcPr>
          <w:p w14:paraId="3FB6AC9C" w14:textId="77777777" w:rsidR="00414AA5" w:rsidRPr="008C36B0" w:rsidRDefault="00414AA5" w:rsidP="00F51B90">
            <w:pPr>
              <w:keepNext/>
            </w:pPr>
            <w:r w:rsidRPr="008C36B0">
              <w:t>$1,345</w:t>
            </w:r>
          </w:p>
        </w:tc>
        <w:tc>
          <w:tcPr>
            <w:tcW w:w="2250" w:type="dxa"/>
            <w:vAlign w:val="bottom"/>
          </w:tcPr>
          <w:p w14:paraId="5E08B5C3" w14:textId="77777777" w:rsidR="00414AA5" w:rsidRPr="008C36B0" w:rsidRDefault="00414AA5" w:rsidP="00F51B90">
            <w:pPr>
              <w:keepNext/>
            </w:pPr>
            <w:r w:rsidRPr="008C36B0">
              <w:t>$ 1,479</w:t>
            </w:r>
          </w:p>
        </w:tc>
      </w:tr>
      <w:tr w:rsidR="00414AA5" w:rsidRPr="008C36B0" w14:paraId="4D80834B" w14:textId="77777777" w:rsidTr="00F51B90">
        <w:trPr>
          <w:jc w:val="center"/>
        </w:trPr>
        <w:tc>
          <w:tcPr>
            <w:tcW w:w="2952" w:type="dxa"/>
          </w:tcPr>
          <w:p w14:paraId="05676DD4" w14:textId="77777777" w:rsidR="00414AA5" w:rsidRPr="008C36B0" w:rsidRDefault="00414AA5" w:rsidP="00F51B90">
            <w:pPr>
              <w:keepNext/>
            </w:pPr>
            <w:r w:rsidRPr="008C36B0">
              <w:t>VPN Costos (12%)</w:t>
            </w:r>
          </w:p>
        </w:tc>
        <w:tc>
          <w:tcPr>
            <w:tcW w:w="2376" w:type="dxa"/>
            <w:vAlign w:val="bottom"/>
          </w:tcPr>
          <w:p w14:paraId="6BED0221" w14:textId="77777777" w:rsidR="00414AA5" w:rsidRPr="008C36B0" w:rsidRDefault="00414AA5" w:rsidP="00F51B90">
            <w:pPr>
              <w:keepNext/>
            </w:pPr>
            <w:r w:rsidRPr="008C36B0">
              <w:t>$1,450</w:t>
            </w:r>
          </w:p>
        </w:tc>
        <w:tc>
          <w:tcPr>
            <w:tcW w:w="2250" w:type="dxa"/>
            <w:vAlign w:val="bottom"/>
          </w:tcPr>
          <w:p w14:paraId="7E779AF4" w14:textId="77777777" w:rsidR="00414AA5" w:rsidRPr="008C36B0" w:rsidRDefault="00414AA5" w:rsidP="00F51B90">
            <w:pPr>
              <w:keepNext/>
            </w:pPr>
            <w:r w:rsidRPr="008C36B0">
              <w:t>$ 1,319</w:t>
            </w:r>
          </w:p>
        </w:tc>
      </w:tr>
      <w:tr w:rsidR="00414AA5" w:rsidRPr="008C36B0" w14:paraId="4CF56588" w14:textId="77777777" w:rsidTr="00F51B90">
        <w:trPr>
          <w:jc w:val="center"/>
        </w:trPr>
        <w:tc>
          <w:tcPr>
            <w:tcW w:w="2952" w:type="dxa"/>
          </w:tcPr>
          <w:p w14:paraId="5639A970" w14:textId="77777777" w:rsidR="00414AA5" w:rsidRPr="008C36B0" w:rsidRDefault="00414AA5" w:rsidP="00F51B90">
            <w:pPr>
              <w:keepNext/>
            </w:pPr>
            <w:r w:rsidRPr="008C36B0">
              <w:t>Relación B/C</w:t>
            </w:r>
          </w:p>
        </w:tc>
        <w:tc>
          <w:tcPr>
            <w:tcW w:w="2376" w:type="dxa"/>
            <w:vAlign w:val="bottom"/>
          </w:tcPr>
          <w:p w14:paraId="7D261BAE" w14:textId="77777777" w:rsidR="00414AA5" w:rsidRPr="008C36B0" w:rsidRDefault="00414AA5" w:rsidP="00F51B90">
            <w:pPr>
              <w:keepNext/>
            </w:pPr>
            <w:r w:rsidRPr="008C36B0">
              <w:t>0.93</w:t>
            </w:r>
          </w:p>
        </w:tc>
        <w:tc>
          <w:tcPr>
            <w:tcW w:w="2250" w:type="dxa"/>
            <w:vAlign w:val="bottom"/>
          </w:tcPr>
          <w:p w14:paraId="3A00D4ED" w14:textId="77777777" w:rsidR="00414AA5" w:rsidRPr="008C36B0" w:rsidRDefault="00414AA5" w:rsidP="00F51B90">
            <w:pPr>
              <w:keepNext/>
            </w:pPr>
            <w:r w:rsidRPr="008C36B0">
              <w:t>1.12</w:t>
            </w:r>
          </w:p>
        </w:tc>
      </w:tr>
      <w:tr w:rsidR="00414AA5" w:rsidRPr="008C36B0" w14:paraId="233C1538" w14:textId="77777777" w:rsidTr="00F51B90">
        <w:trPr>
          <w:jc w:val="center"/>
        </w:trPr>
        <w:tc>
          <w:tcPr>
            <w:tcW w:w="2952" w:type="dxa"/>
          </w:tcPr>
          <w:p w14:paraId="7D44FFA6" w14:textId="77777777" w:rsidR="00414AA5" w:rsidRPr="008C36B0" w:rsidRDefault="00414AA5" w:rsidP="00F51B90">
            <w:r w:rsidRPr="008C36B0">
              <w:t>TIR Económica</w:t>
            </w:r>
          </w:p>
        </w:tc>
        <w:tc>
          <w:tcPr>
            <w:tcW w:w="2376" w:type="dxa"/>
            <w:vAlign w:val="bottom"/>
          </w:tcPr>
          <w:p w14:paraId="5B107D10" w14:textId="77777777" w:rsidR="00414AA5" w:rsidRPr="008C36B0" w:rsidRDefault="00414AA5" w:rsidP="00F51B90">
            <w:r w:rsidRPr="008C36B0">
              <w:t>11%</w:t>
            </w:r>
          </w:p>
        </w:tc>
        <w:tc>
          <w:tcPr>
            <w:tcW w:w="2250" w:type="dxa"/>
            <w:vAlign w:val="bottom"/>
          </w:tcPr>
          <w:p w14:paraId="229AAF19" w14:textId="77777777" w:rsidR="00414AA5" w:rsidRPr="008C36B0" w:rsidRDefault="00414AA5" w:rsidP="00F51B90">
            <w:r w:rsidRPr="008C36B0">
              <w:t>14%</w:t>
            </w:r>
          </w:p>
        </w:tc>
      </w:tr>
    </w:tbl>
    <w:p w14:paraId="5306D597" w14:textId="275848A2" w:rsidR="00414AA5" w:rsidRDefault="00414AA5" w:rsidP="00414AA5">
      <w:r w:rsidRPr="008C36B0">
        <w:t>La sensibilidad arroja resultados adecuados para la evaluación económica, indicando que la política de transformación de la matriz energética es razonable y se justifica económicamente.</w:t>
      </w:r>
    </w:p>
    <w:p w14:paraId="00E731EB" w14:textId="77777777" w:rsidR="00414AA5" w:rsidRPr="008C36B0" w:rsidRDefault="00414AA5" w:rsidP="00414AA5"/>
    <w:p w14:paraId="12E0380C" w14:textId="77777777" w:rsidR="00414AA5" w:rsidRPr="008C36B0" w:rsidRDefault="00414AA5" w:rsidP="00414AA5">
      <w:pPr>
        <w:pStyle w:val="Heading2"/>
      </w:pPr>
      <w:r w:rsidRPr="008C36B0">
        <w:t>Evaluación del programa de eficiencia energética</w:t>
      </w:r>
    </w:p>
    <w:p w14:paraId="3ED2DE48" w14:textId="77777777" w:rsidR="00414AA5" w:rsidRPr="008C36B0" w:rsidRDefault="00414AA5" w:rsidP="00414AA5">
      <w:pPr>
        <w:pStyle w:val="Banknumbered"/>
        <w:numPr>
          <w:ilvl w:val="0"/>
          <w:numId w:val="0"/>
        </w:numPr>
      </w:pPr>
      <w:r w:rsidRPr="008C36B0">
        <w:t>El programa de eficiencia energética consiste en la sustitución de 4 millones de bujías incandescentes en el sector residencial con un costo de US$11.3 millones, y la sustitución de 50000 lámparas fluorescentes magnética por electrónicas en el sector gobierno a un costo de US$2.8 millones.</w:t>
      </w:r>
      <w:r>
        <w:t xml:space="preserve"> Este programa se llevó a cabo entre 2014 y 2016.</w:t>
      </w:r>
    </w:p>
    <w:p w14:paraId="3AA6334B" w14:textId="49CD751E" w:rsidR="00414AA5" w:rsidRPr="008C36B0" w:rsidRDefault="00414AA5" w:rsidP="00414AA5">
      <w:pPr>
        <w:pStyle w:val="Banknumbered"/>
        <w:numPr>
          <w:ilvl w:val="0"/>
          <w:numId w:val="0"/>
        </w:numPr>
      </w:pPr>
      <w:r w:rsidRPr="008C36B0">
        <w:t>Los beneficios del programa se traducen en una reducción de los costos de generación por el menor consumo de las lámparas que se instalarán comparado con las bujías incandescentes y las lámparas fluorescentes magnéticas.  El beneficio correspondiente se valora al costo marginal de generación, el cual se aplica a los siguientes valores sustituidos (valores acumulados a la fecha):</w:t>
      </w:r>
    </w:p>
    <w:p w14:paraId="150A947F" w14:textId="77777777" w:rsidR="00414AA5" w:rsidRPr="008C36B0" w:rsidRDefault="00414AA5" w:rsidP="00414AA5">
      <w:pPr>
        <w:ind w:left="720"/>
      </w:pPr>
      <w:r w:rsidRPr="008C36B0">
        <w:t>2014: 90 GWh</w:t>
      </w:r>
    </w:p>
    <w:p w14:paraId="51EF9438" w14:textId="77777777" w:rsidR="00414AA5" w:rsidRPr="008C36B0" w:rsidRDefault="00414AA5" w:rsidP="00414AA5">
      <w:pPr>
        <w:ind w:left="720"/>
      </w:pPr>
      <w:r w:rsidRPr="008C36B0">
        <w:t>2015: 180 GWh</w:t>
      </w:r>
    </w:p>
    <w:p w14:paraId="6F15F824" w14:textId="77777777" w:rsidR="00414AA5" w:rsidRPr="008C36B0" w:rsidRDefault="00414AA5" w:rsidP="00414AA5">
      <w:pPr>
        <w:ind w:left="720"/>
      </w:pPr>
      <w:r w:rsidRPr="008C36B0">
        <w:t>2016: 221 GWh</w:t>
      </w:r>
    </w:p>
    <w:p w14:paraId="38DD6814" w14:textId="44B9AC0E" w:rsidR="00414AA5" w:rsidRPr="008C36B0" w:rsidRDefault="00414AA5" w:rsidP="00414AA5">
      <w:pPr>
        <w:pStyle w:val="Banknumbered"/>
        <w:numPr>
          <w:ilvl w:val="0"/>
          <w:numId w:val="0"/>
        </w:numPr>
      </w:pPr>
      <w:r w:rsidRPr="008C36B0">
        <w:t>El Cuadro 18 resume los costos y beneficios del programa.  Éstos se extienden hasta 2019 suponiendo que los equipos a instalar tienen una vida útil de 5 años.</w:t>
      </w:r>
    </w:p>
    <w:p w14:paraId="20EE896E" w14:textId="77777777" w:rsidR="00414AA5" w:rsidRPr="008C36B0" w:rsidRDefault="00414AA5" w:rsidP="00414AA5">
      <w:pPr>
        <w:keepNext/>
        <w:jc w:val="center"/>
        <w:rPr>
          <w:sz w:val="22"/>
        </w:rPr>
      </w:pPr>
      <w:r w:rsidRPr="008C36B0">
        <w:rPr>
          <w:sz w:val="22"/>
        </w:rPr>
        <w:t>Cuadro 18-Beneficios y Costos del Programa de Eficiencia Energética</w:t>
      </w:r>
    </w:p>
    <w:p w14:paraId="7A1B0358" w14:textId="77777777" w:rsidR="00414AA5" w:rsidRPr="008C36B0" w:rsidRDefault="00414AA5" w:rsidP="00414AA5">
      <w:r w:rsidRPr="008C36B0">
        <w:rPr>
          <w:noProof/>
          <w:lang w:val="en-US"/>
        </w:rPr>
        <w:drawing>
          <wp:inline distT="0" distB="0" distL="0" distR="0" wp14:anchorId="705A206F" wp14:editId="4C9B34F7">
            <wp:extent cx="5486400" cy="1296287"/>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1296287"/>
                    </a:xfrm>
                    <a:prstGeom prst="rect">
                      <a:avLst/>
                    </a:prstGeom>
                    <a:noFill/>
                    <a:ln>
                      <a:noFill/>
                    </a:ln>
                  </pic:spPr>
                </pic:pic>
              </a:graphicData>
            </a:graphic>
          </wp:inline>
        </w:drawing>
      </w:r>
    </w:p>
    <w:p w14:paraId="795C449F" w14:textId="77777777" w:rsidR="00414AA5" w:rsidRPr="008C36B0" w:rsidRDefault="00414AA5" w:rsidP="00414AA5">
      <w:r w:rsidRPr="008C36B0">
        <w:t>Con estos valores se obtienen los siguientes parámetros económicos:</w:t>
      </w:r>
    </w:p>
    <w:p w14:paraId="63C17920" w14:textId="77777777" w:rsidR="00414AA5" w:rsidRPr="008C36B0" w:rsidRDefault="00414AA5" w:rsidP="00414AA5">
      <w:pPr>
        <w:keepNext/>
        <w:ind w:left="720"/>
      </w:pPr>
      <w:r w:rsidRPr="008C36B0">
        <w:lastRenderedPageBreak/>
        <w:t>VPN de Beneficios (12%)</w:t>
      </w:r>
      <w:r w:rsidRPr="008C36B0">
        <w:tab/>
      </w:r>
      <w:r w:rsidRPr="008C36B0">
        <w:tab/>
      </w:r>
      <w:r w:rsidRPr="008C36B0">
        <w:tab/>
        <w:t>108 M$</w:t>
      </w:r>
    </w:p>
    <w:p w14:paraId="1050BA16" w14:textId="77777777" w:rsidR="00414AA5" w:rsidRPr="008C36B0" w:rsidRDefault="00414AA5" w:rsidP="00414AA5">
      <w:pPr>
        <w:ind w:left="720"/>
      </w:pPr>
      <w:r w:rsidRPr="008C36B0">
        <w:t>VPN de Costos (12%)</w:t>
      </w:r>
      <w:r w:rsidRPr="008C36B0">
        <w:tab/>
      </w:r>
      <w:r w:rsidRPr="008C36B0">
        <w:tab/>
      </w:r>
      <w:r w:rsidRPr="008C36B0">
        <w:tab/>
      </w:r>
      <w:r w:rsidRPr="008C36B0">
        <w:tab/>
        <w:t>11.5 M$</w:t>
      </w:r>
    </w:p>
    <w:p w14:paraId="03FFA255" w14:textId="77777777" w:rsidR="00414AA5" w:rsidRPr="008C36B0" w:rsidRDefault="00414AA5" w:rsidP="00414AA5">
      <w:pPr>
        <w:ind w:left="720"/>
      </w:pPr>
      <w:r w:rsidRPr="008C36B0">
        <w:t>Relación B/C</w:t>
      </w:r>
      <w:r w:rsidRPr="008C36B0">
        <w:tab/>
      </w:r>
      <w:r w:rsidRPr="008C36B0">
        <w:tab/>
      </w:r>
      <w:r w:rsidRPr="008C36B0">
        <w:tab/>
      </w:r>
      <w:r w:rsidRPr="008C36B0">
        <w:tab/>
      </w:r>
      <w:r w:rsidRPr="008C36B0">
        <w:tab/>
        <w:t>9.3</w:t>
      </w:r>
    </w:p>
    <w:p w14:paraId="01033D2C" w14:textId="77777777" w:rsidR="00414AA5" w:rsidRPr="008C36B0" w:rsidRDefault="00414AA5" w:rsidP="00414AA5">
      <w:r w:rsidRPr="008C36B0">
        <w:t xml:space="preserve">La TIR del programa es indefinida puesto que los beneficios anuales superan los costos anuales a lo largo del programa.  Esto ocurre porque no existe un rezago visible entre la inversión y la materialización de beneficios: las bombillas se compran y se instalan con un rezago de días, o semanas a lo sumo.  </w:t>
      </w:r>
    </w:p>
    <w:p w14:paraId="744E6D7D" w14:textId="0B87EA2A" w:rsidR="00414AA5" w:rsidRDefault="00414AA5" w:rsidP="00414AA5">
      <w:pPr>
        <w:pStyle w:val="Banknumbered"/>
        <w:numPr>
          <w:ilvl w:val="0"/>
          <w:numId w:val="0"/>
        </w:numPr>
      </w:pPr>
      <w:r w:rsidRPr="008C36B0">
        <w:t>Un análisis paramétrico indica que los costos del programa tendrían que aumentar por un factor de 9 para llegar al umbral de una TIR de 12%.  Con los valores indicados el programa se justifica ampliamente.</w:t>
      </w:r>
    </w:p>
    <w:p w14:paraId="285FEBC2" w14:textId="77777777" w:rsidR="00414AA5" w:rsidRPr="008C36B0" w:rsidRDefault="00414AA5" w:rsidP="00414AA5">
      <w:pPr>
        <w:pStyle w:val="Banknumbered"/>
        <w:numPr>
          <w:ilvl w:val="0"/>
          <w:numId w:val="0"/>
        </w:numPr>
      </w:pPr>
    </w:p>
    <w:p w14:paraId="7FCB5090" w14:textId="77777777" w:rsidR="00414AA5" w:rsidRPr="008C36B0" w:rsidRDefault="00414AA5" w:rsidP="00414AA5">
      <w:pPr>
        <w:pStyle w:val="Heading2"/>
      </w:pPr>
      <w:r w:rsidRPr="008C36B0">
        <w:t>Resumen</w:t>
      </w:r>
    </w:p>
    <w:p w14:paraId="35DEAF4E" w14:textId="77777777" w:rsidR="00414AA5" w:rsidRPr="008C36B0" w:rsidRDefault="00414AA5" w:rsidP="00414AA5">
      <w:r w:rsidRPr="008C36B0">
        <w:t>El Cuadro 19 resume los resultados de la evaluación económica para los cinco componentes del PBL propuesto.</w:t>
      </w:r>
    </w:p>
    <w:p w14:paraId="3AF81B14" w14:textId="77777777" w:rsidR="00414AA5" w:rsidRPr="008C36B0" w:rsidRDefault="00414AA5" w:rsidP="00414AA5">
      <w:pPr>
        <w:keepNext/>
        <w:jc w:val="center"/>
        <w:rPr>
          <w:sz w:val="22"/>
        </w:rPr>
      </w:pPr>
      <w:r w:rsidRPr="008C36B0">
        <w:rPr>
          <w:sz w:val="22"/>
        </w:rPr>
        <w:t>Cuadro 19- Resumen de la Evaluación Económica por Componente</w:t>
      </w:r>
    </w:p>
    <w:tbl>
      <w:tblPr>
        <w:tblStyle w:val="TableGrid"/>
        <w:tblW w:w="0" w:type="auto"/>
        <w:tblInd w:w="-72" w:type="dxa"/>
        <w:tblLayout w:type="fixed"/>
        <w:tblCellMar>
          <w:left w:w="115" w:type="dxa"/>
          <w:right w:w="115" w:type="dxa"/>
        </w:tblCellMar>
        <w:tblLook w:val="04A0" w:firstRow="1" w:lastRow="0" w:firstColumn="1" w:lastColumn="0" w:noHBand="0" w:noVBand="1"/>
      </w:tblPr>
      <w:tblGrid>
        <w:gridCol w:w="2977"/>
        <w:gridCol w:w="1890"/>
        <w:gridCol w:w="1620"/>
        <w:gridCol w:w="1350"/>
        <w:gridCol w:w="1230"/>
      </w:tblGrid>
      <w:tr w:rsidR="00414AA5" w:rsidRPr="008C36B0" w14:paraId="13DE6D51" w14:textId="77777777" w:rsidTr="00AD4254">
        <w:tc>
          <w:tcPr>
            <w:tcW w:w="2977" w:type="dxa"/>
            <w:shd w:val="clear" w:color="auto" w:fill="E0E0E0"/>
          </w:tcPr>
          <w:p w14:paraId="5B339CA4" w14:textId="77777777" w:rsidR="00414AA5" w:rsidRPr="008C36B0" w:rsidRDefault="00414AA5" w:rsidP="00F51B90">
            <w:pPr>
              <w:keepNext/>
              <w:jc w:val="center"/>
            </w:pPr>
            <w:r w:rsidRPr="008C36B0">
              <w:t>Componente</w:t>
            </w:r>
          </w:p>
        </w:tc>
        <w:tc>
          <w:tcPr>
            <w:tcW w:w="1890" w:type="dxa"/>
            <w:shd w:val="clear" w:color="auto" w:fill="E0E0E0"/>
          </w:tcPr>
          <w:p w14:paraId="660D1944" w14:textId="77777777" w:rsidR="00414AA5" w:rsidRPr="008C36B0" w:rsidRDefault="00414AA5" w:rsidP="00F51B90">
            <w:pPr>
              <w:keepNext/>
              <w:jc w:val="center"/>
            </w:pPr>
            <w:r w:rsidRPr="008C36B0">
              <w:t>VPN Beneficios M$</w:t>
            </w:r>
          </w:p>
        </w:tc>
        <w:tc>
          <w:tcPr>
            <w:tcW w:w="1620" w:type="dxa"/>
            <w:shd w:val="clear" w:color="auto" w:fill="E0E0E0"/>
          </w:tcPr>
          <w:p w14:paraId="1F8F2FCE" w14:textId="77777777" w:rsidR="00414AA5" w:rsidRPr="008C36B0" w:rsidRDefault="00414AA5" w:rsidP="00F51B90">
            <w:pPr>
              <w:keepNext/>
              <w:jc w:val="center"/>
            </w:pPr>
            <w:r w:rsidRPr="008C36B0">
              <w:t>VPN Costos M$</w:t>
            </w:r>
          </w:p>
        </w:tc>
        <w:tc>
          <w:tcPr>
            <w:tcW w:w="1350" w:type="dxa"/>
            <w:shd w:val="clear" w:color="auto" w:fill="E0E0E0"/>
          </w:tcPr>
          <w:p w14:paraId="5329AD1A" w14:textId="77777777" w:rsidR="00414AA5" w:rsidRPr="008C36B0" w:rsidRDefault="00414AA5" w:rsidP="00F51B90">
            <w:pPr>
              <w:keepNext/>
              <w:jc w:val="center"/>
            </w:pPr>
            <w:r w:rsidRPr="008C36B0">
              <w:t>Relación B/C</w:t>
            </w:r>
          </w:p>
        </w:tc>
        <w:tc>
          <w:tcPr>
            <w:tcW w:w="1230" w:type="dxa"/>
            <w:shd w:val="clear" w:color="auto" w:fill="E0E0E0"/>
          </w:tcPr>
          <w:p w14:paraId="00E2B24A" w14:textId="77777777" w:rsidR="00414AA5" w:rsidRPr="008C36B0" w:rsidRDefault="00414AA5" w:rsidP="00F51B90">
            <w:pPr>
              <w:keepNext/>
              <w:jc w:val="center"/>
            </w:pPr>
            <w:r w:rsidRPr="008C36B0">
              <w:t>TIR %</w:t>
            </w:r>
          </w:p>
        </w:tc>
      </w:tr>
      <w:tr w:rsidR="00414AA5" w:rsidRPr="008C36B0" w14:paraId="285BE1F4" w14:textId="77777777" w:rsidTr="00AD4254">
        <w:tc>
          <w:tcPr>
            <w:tcW w:w="2977" w:type="dxa"/>
          </w:tcPr>
          <w:p w14:paraId="57148B40" w14:textId="77777777" w:rsidR="00414AA5" w:rsidRPr="008C36B0" w:rsidRDefault="00414AA5" w:rsidP="00F51B90">
            <w:pPr>
              <w:keepNext/>
            </w:pPr>
          </w:p>
        </w:tc>
        <w:tc>
          <w:tcPr>
            <w:tcW w:w="1890" w:type="dxa"/>
            <w:vAlign w:val="center"/>
          </w:tcPr>
          <w:p w14:paraId="4A2EFEE3" w14:textId="77777777" w:rsidR="00414AA5" w:rsidRPr="008C36B0" w:rsidRDefault="00414AA5" w:rsidP="00F51B90">
            <w:pPr>
              <w:keepNext/>
              <w:jc w:val="center"/>
            </w:pPr>
          </w:p>
        </w:tc>
        <w:tc>
          <w:tcPr>
            <w:tcW w:w="1620" w:type="dxa"/>
            <w:vAlign w:val="center"/>
          </w:tcPr>
          <w:p w14:paraId="07F52A87" w14:textId="77777777" w:rsidR="00414AA5" w:rsidRPr="008C36B0" w:rsidRDefault="00414AA5" w:rsidP="00F51B90">
            <w:pPr>
              <w:keepNext/>
              <w:jc w:val="center"/>
            </w:pPr>
          </w:p>
        </w:tc>
        <w:tc>
          <w:tcPr>
            <w:tcW w:w="1350" w:type="dxa"/>
            <w:vAlign w:val="center"/>
          </w:tcPr>
          <w:p w14:paraId="636D2B46" w14:textId="77777777" w:rsidR="00414AA5" w:rsidRPr="008C36B0" w:rsidRDefault="00414AA5" w:rsidP="00F51B90">
            <w:pPr>
              <w:keepNext/>
              <w:jc w:val="center"/>
            </w:pPr>
          </w:p>
        </w:tc>
        <w:tc>
          <w:tcPr>
            <w:tcW w:w="1230" w:type="dxa"/>
            <w:vAlign w:val="center"/>
          </w:tcPr>
          <w:p w14:paraId="6E21F90A" w14:textId="77777777" w:rsidR="00414AA5" w:rsidRPr="008C36B0" w:rsidRDefault="00414AA5" w:rsidP="00F51B90">
            <w:pPr>
              <w:keepNext/>
              <w:jc w:val="center"/>
            </w:pPr>
          </w:p>
        </w:tc>
      </w:tr>
      <w:tr w:rsidR="00414AA5" w:rsidRPr="008C36B0" w14:paraId="2EE2ED21" w14:textId="77777777" w:rsidTr="00AD4254">
        <w:tc>
          <w:tcPr>
            <w:tcW w:w="2977" w:type="dxa"/>
          </w:tcPr>
          <w:p w14:paraId="67F82814" w14:textId="77777777" w:rsidR="00414AA5" w:rsidRPr="008C36B0" w:rsidRDefault="00414AA5" w:rsidP="00F51B90">
            <w:pPr>
              <w:keepNext/>
              <w:ind w:right="205"/>
            </w:pPr>
            <w:r w:rsidRPr="008C36B0">
              <w:t>Ampliación de la Cobertura Eléctrica</w:t>
            </w:r>
          </w:p>
        </w:tc>
        <w:tc>
          <w:tcPr>
            <w:tcW w:w="1890" w:type="dxa"/>
            <w:vAlign w:val="center"/>
          </w:tcPr>
          <w:p w14:paraId="36266A52" w14:textId="77777777" w:rsidR="00414AA5" w:rsidRPr="008C36B0" w:rsidRDefault="00414AA5" w:rsidP="00F51B90">
            <w:pPr>
              <w:keepNext/>
              <w:jc w:val="center"/>
            </w:pPr>
            <w:r>
              <w:t>618</w:t>
            </w:r>
          </w:p>
        </w:tc>
        <w:tc>
          <w:tcPr>
            <w:tcW w:w="1620" w:type="dxa"/>
            <w:vAlign w:val="center"/>
          </w:tcPr>
          <w:p w14:paraId="7AC9AA92" w14:textId="77777777" w:rsidR="00414AA5" w:rsidRPr="008C36B0" w:rsidRDefault="00414AA5" w:rsidP="00F51B90">
            <w:pPr>
              <w:keepNext/>
              <w:jc w:val="center"/>
            </w:pPr>
            <w:r>
              <w:t>449</w:t>
            </w:r>
          </w:p>
        </w:tc>
        <w:tc>
          <w:tcPr>
            <w:tcW w:w="1350" w:type="dxa"/>
            <w:vAlign w:val="center"/>
          </w:tcPr>
          <w:p w14:paraId="25A19AA0" w14:textId="77777777" w:rsidR="00414AA5" w:rsidRPr="008C36B0" w:rsidRDefault="00414AA5" w:rsidP="00F51B90">
            <w:pPr>
              <w:keepNext/>
              <w:jc w:val="center"/>
            </w:pPr>
            <w:r w:rsidRPr="008C36B0">
              <w:t>1.4</w:t>
            </w:r>
          </w:p>
        </w:tc>
        <w:tc>
          <w:tcPr>
            <w:tcW w:w="1230" w:type="dxa"/>
            <w:vAlign w:val="center"/>
          </w:tcPr>
          <w:p w14:paraId="43B5C211" w14:textId="77777777" w:rsidR="00414AA5" w:rsidRPr="008C36B0" w:rsidRDefault="00414AA5" w:rsidP="00F51B90">
            <w:pPr>
              <w:keepNext/>
              <w:jc w:val="center"/>
            </w:pPr>
            <w:r w:rsidRPr="008C36B0">
              <w:t>5</w:t>
            </w:r>
            <w:r>
              <w:t>7</w:t>
            </w:r>
            <w:r w:rsidRPr="008C36B0">
              <w:t>%</w:t>
            </w:r>
          </w:p>
        </w:tc>
      </w:tr>
      <w:tr w:rsidR="00414AA5" w:rsidRPr="008C36B0" w14:paraId="4B4183AA" w14:textId="77777777" w:rsidTr="00AD4254">
        <w:tc>
          <w:tcPr>
            <w:tcW w:w="2977" w:type="dxa"/>
          </w:tcPr>
          <w:p w14:paraId="52AFD47E" w14:textId="77777777" w:rsidR="00414AA5" w:rsidRPr="008C36B0" w:rsidRDefault="00414AA5" w:rsidP="00F51B90">
            <w:pPr>
              <w:keepNext/>
            </w:pPr>
            <w:r w:rsidRPr="008C36B0">
              <w:t>Reducción de Pérdidas</w:t>
            </w:r>
          </w:p>
        </w:tc>
        <w:tc>
          <w:tcPr>
            <w:tcW w:w="1890" w:type="dxa"/>
            <w:vAlign w:val="center"/>
          </w:tcPr>
          <w:p w14:paraId="3E77C6E2" w14:textId="77777777" w:rsidR="00414AA5" w:rsidRPr="008C36B0" w:rsidRDefault="00414AA5" w:rsidP="00F51B90">
            <w:pPr>
              <w:keepNext/>
              <w:jc w:val="center"/>
            </w:pPr>
            <w:r>
              <w:t>4</w:t>
            </w:r>
            <w:r w:rsidRPr="008C36B0">
              <w:t>9</w:t>
            </w:r>
          </w:p>
        </w:tc>
        <w:tc>
          <w:tcPr>
            <w:tcW w:w="1620" w:type="dxa"/>
            <w:vAlign w:val="center"/>
          </w:tcPr>
          <w:p w14:paraId="14158F2A" w14:textId="77777777" w:rsidR="00414AA5" w:rsidRPr="008C36B0" w:rsidRDefault="00414AA5" w:rsidP="00F51B90">
            <w:pPr>
              <w:keepNext/>
              <w:jc w:val="center"/>
            </w:pPr>
            <w:r w:rsidRPr="008C36B0">
              <w:t>15</w:t>
            </w:r>
          </w:p>
        </w:tc>
        <w:tc>
          <w:tcPr>
            <w:tcW w:w="1350" w:type="dxa"/>
            <w:vAlign w:val="center"/>
          </w:tcPr>
          <w:p w14:paraId="1A22078A" w14:textId="77777777" w:rsidR="00414AA5" w:rsidRPr="008C36B0" w:rsidRDefault="00414AA5" w:rsidP="00F51B90">
            <w:pPr>
              <w:keepNext/>
              <w:jc w:val="center"/>
            </w:pPr>
            <w:r>
              <w:t>3.2</w:t>
            </w:r>
          </w:p>
        </w:tc>
        <w:tc>
          <w:tcPr>
            <w:tcW w:w="1230" w:type="dxa"/>
            <w:vAlign w:val="center"/>
          </w:tcPr>
          <w:p w14:paraId="26880556" w14:textId="77777777" w:rsidR="00414AA5" w:rsidRPr="008C36B0" w:rsidRDefault="00414AA5" w:rsidP="00F51B90">
            <w:pPr>
              <w:keepNext/>
              <w:jc w:val="center"/>
            </w:pPr>
            <w:r>
              <w:t>103</w:t>
            </w:r>
            <w:r w:rsidRPr="008C36B0">
              <w:t>%</w:t>
            </w:r>
          </w:p>
        </w:tc>
      </w:tr>
      <w:tr w:rsidR="00414AA5" w:rsidRPr="008C36B0" w14:paraId="014FA2D5" w14:textId="77777777" w:rsidTr="00AD4254">
        <w:tc>
          <w:tcPr>
            <w:tcW w:w="2977" w:type="dxa"/>
          </w:tcPr>
          <w:p w14:paraId="2B64FF47" w14:textId="77777777" w:rsidR="00414AA5" w:rsidRPr="008C36B0" w:rsidRDefault="00414AA5" w:rsidP="00F51B90">
            <w:pPr>
              <w:keepNext/>
            </w:pPr>
            <w:r w:rsidRPr="008C36B0">
              <w:t>Incentivo a la Energía Renovable</w:t>
            </w:r>
          </w:p>
        </w:tc>
        <w:tc>
          <w:tcPr>
            <w:tcW w:w="1890" w:type="dxa"/>
            <w:vAlign w:val="center"/>
          </w:tcPr>
          <w:p w14:paraId="5CA21D8F" w14:textId="77777777" w:rsidR="00414AA5" w:rsidRPr="008C36B0" w:rsidRDefault="00414AA5" w:rsidP="00F51B90">
            <w:pPr>
              <w:keepNext/>
              <w:jc w:val="center"/>
            </w:pPr>
            <w:r>
              <w:t>1345</w:t>
            </w:r>
          </w:p>
        </w:tc>
        <w:tc>
          <w:tcPr>
            <w:tcW w:w="1620" w:type="dxa"/>
            <w:vAlign w:val="center"/>
          </w:tcPr>
          <w:p w14:paraId="5254DDD3" w14:textId="77777777" w:rsidR="00414AA5" w:rsidRPr="008C36B0" w:rsidRDefault="00414AA5" w:rsidP="00F51B90">
            <w:pPr>
              <w:keepNext/>
              <w:jc w:val="center"/>
            </w:pPr>
            <w:r>
              <w:t>1319</w:t>
            </w:r>
          </w:p>
        </w:tc>
        <w:tc>
          <w:tcPr>
            <w:tcW w:w="1350" w:type="dxa"/>
            <w:vAlign w:val="center"/>
          </w:tcPr>
          <w:p w14:paraId="1CCED08E" w14:textId="77777777" w:rsidR="00414AA5" w:rsidRPr="008C36B0" w:rsidRDefault="00414AA5" w:rsidP="00F51B90">
            <w:pPr>
              <w:keepNext/>
              <w:jc w:val="center"/>
            </w:pPr>
            <w:r>
              <w:t>1.02</w:t>
            </w:r>
          </w:p>
        </w:tc>
        <w:tc>
          <w:tcPr>
            <w:tcW w:w="1230" w:type="dxa"/>
            <w:vAlign w:val="center"/>
          </w:tcPr>
          <w:p w14:paraId="45239673" w14:textId="77777777" w:rsidR="00414AA5" w:rsidRPr="008C36B0" w:rsidRDefault="00414AA5" w:rsidP="00F51B90">
            <w:pPr>
              <w:keepNext/>
              <w:jc w:val="center"/>
            </w:pPr>
            <w:r w:rsidRPr="008C36B0">
              <w:t>1</w:t>
            </w:r>
            <w:r>
              <w:t>2</w:t>
            </w:r>
            <w:r w:rsidRPr="008C36B0">
              <w:t>%</w:t>
            </w:r>
          </w:p>
        </w:tc>
      </w:tr>
      <w:tr w:rsidR="00414AA5" w:rsidRPr="008C36B0" w14:paraId="1FAF210E" w14:textId="77777777" w:rsidTr="00AD4254">
        <w:tc>
          <w:tcPr>
            <w:tcW w:w="2977" w:type="dxa"/>
          </w:tcPr>
          <w:p w14:paraId="67266BD1" w14:textId="77777777" w:rsidR="00414AA5" w:rsidRPr="008C36B0" w:rsidRDefault="00414AA5" w:rsidP="00F51B90">
            <w:r w:rsidRPr="008C36B0">
              <w:t>Eficiencia Energética</w:t>
            </w:r>
          </w:p>
        </w:tc>
        <w:tc>
          <w:tcPr>
            <w:tcW w:w="1890" w:type="dxa"/>
            <w:vAlign w:val="center"/>
          </w:tcPr>
          <w:p w14:paraId="480311BC" w14:textId="77777777" w:rsidR="00414AA5" w:rsidRPr="008C36B0" w:rsidRDefault="00414AA5" w:rsidP="00F51B90">
            <w:pPr>
              <w:jc w:val="center"/>
            </w:pPr>
            <w:r w:rsidRPr="008C36B0">
              <w:t>108</w:t>
            </w:r>
          </w:p>
        </w:tc>
        <w:tc>
          <w:tcPr>
            <w:tcW w:w="1620" w:type="dxa"/>
            <w:vAlign w:val="center"/>
          </w:tcPr>
          <w:p w14:paraId="38CC3250" w14:textId="77777777" w:rsidR="00414AA5" w:rsidRPr="008C36B0" w:rsidRDefault="00414AA5" w:rsidP="00F51B90">
            <w:pPr>
              <w:jc w:val="center"/>
            </w:pPr>
            <w:r w:rsidRPr="008C36B0">
              <w:t>11.5</w:t>
            </w:r>
          </w:p>
        </w:tc>
        <w:tc>
          <w:tcPr>
            <w:tcW w:w="1350" w:type="dxa"/>
            <w:vAlign w:val="center"/>
          </w:tcPr>
          <w:p w14:paraId="0CB2F8D0" w14:textId="77777777" w:rsidR="00414AA5" w:rsidRPr="008C36B0" w:rsidRDefault="00414AA5" w:rsidP="00F51B90">
            <w:pPr>
              <w:jc w:val="center"/>
            </w:pPr>
            <w:r w:rsidRPr="008C36B0">
              <w:t>9.3</w:t>
            </w:r>
          </w:p>
        </w:tc>
        <w:tc>
          <w:tcPr>
            <w:tcW w:w="1230" w:type="dxa"/>
            <w:vAlign w:val="center"/>
          </w:tcPr>
          <w:p w14:paraId="48FFFD8F" w14:textId="77777777" w:rsidR="00414AA5" w:rsidRPr="008C36B0" w:rsidRDefault="00414AA5" w:rsidP="00F51B90">
            <w:pPr>
              <w:jc w:val="center"/>
            </w:pPr>
            <w:r w:rsidRPr="008C36B0">
              <w:t>Indefinido</w:t>
            </w:r>
          </w:p>
        </w:tc>
      </w:tr>
    </w:tbl>
    <w:p w14:paraId="1C93E237" w14:textId="77777777" w:rsidR="00414AA5" w:rsidRPr="008C36B0" w:rsidRDefault="00414AA5" w:rsidP="00414AA5"/>
    <w:p w14:paraId="582A648F" w14:textId="77777777" w:rsidR="004D648B" w:rsidRPr="003D2F44" w:rsidRDefault="004D648B" w:rsidP="009B04BB">
      <w:pPr>
        <w:pStyle w:val="Paragraph"/>
        <w:tabs>
          <w:tab w:val="clear" w:pos="720"/>
        </w:tabs>
        <w:ind w:left="705" w:firstLine="0"/>
        <w:rPr>
          <w:lang w:val="es-ES_tradnl"/>
        </w:rPr>
      </w:pPr>
    </w:p>
    <w:p w14:paraId="6D609B30" w14:textId="77777777" w:rsidR="00653EAE" w:rsidRPr="003D2F44" w:rsidRDefault="00653EAE" w:rsidP="00167968">
      <w:pPr>
        <w:pStyle w:val="Subtitle"/>
        <w:numPr>
          <w:ilvl w:val="0"/>
          <w:numId w:val="6"/>
        </w:numPr>
        <w:jc w:val="both"/>
        <w:rPr>
          <w:rFonts w:ascii="Times New Roman" w:hAnsi="Times New Roman"/>
          <w:i/>
          <w:lang w:val="es-ES_tradnl"/>
        </w:rPr>
      </w:pPr>
      <w:bookmarkStart w:id="2" w:name="_Toc334085433"/>
      <w:r w:rsidRPr="003D2F44">
        <w:rPr>
          <w:rFonts w:ascii="Times New Roman" w:hAnsi="Times New Roman"/>
          <w:i/>
          <w:lang w:val="es-ES_tradnl"/>
        </w:rPr>
        <w:t>Principales indicadores de efectos directos</w:t>
      </w:r>
      <w:bookmarkEnd w:id="2"/>
    </w:p>
    <w:p w14:paraId="2E2E6717" w14:textId="74470BE5" w:rsidR="00373527" w:rsidRPr="00BA154C" w:rsidRDefault="00653EAE" w:rsidP="00373527">
      <w:pPr>
        <w:pStyle w:val="Banknumbered"/>
        <w:numPr>
          <w:ilvl w:val="0"/>
          <w:numId w:val="0"/>
        </w:numPr>
        <w:ind w:left="360"/>
        <w:jc w:val="both"/>
        <w:rPr>
          <w:b/>
          <w:lang w:val="es-ES_tradnl"/>
        </w:rPr>
      </w:pPr>
      <w:r w:rsidRPr="00BA154C">
        <w:rPr>
          <w:b/>
          <w:lang w:val="es-ES_tradnl"/>
        </w:rPr>
        <w:t>En la Tabla 2. Se detallan los principales indicadores de impacto y de resultados a ser evaluados</w:t>
      </w:r>
    </w:p>
    <w:p w14:paraId="2AD473C1" w14:textId="77777777" w:rsidR="00BA154C" w:rsidRPr="007531D3" w:rsidRDefault="00BA154C" w:rsidP="00BA154C">
      <w:pPr>
        <w:rPr>
          <w:sz w:val="20"/>
          <w:lang w:val="es-AR"/>
        </w:rPr>
      </w:pPr>
    </w:p>
    <w:tbl>
      <w:tblPr>
        <w:tblStyle w:val="TableGrid"/>
        <w:tblW w:w="5000" w:type="pct"/>
        <w:tblCellMar>
          <w:top w:w="43" w:type="dxa"/>
          <w:left w:w="43" w:type="dxa"/>
          <w:bottom w:w="43" w:type="dxa"/>
          <w:right w:w="43" w:type="dxa"/>
        </w:tblCellMar>
        <w:tblLook w:val="04A0" w:firstRow="1" w:lastRow="0" w:firstColumn="1" w:lastColumn="0" w:noHBand="0" w:noVBand="1"/>
      </w:tblPr>
      <w:tblGrid>
        <w:gridCol w:w="2016"/>
        <w:gridCol w:w="5752"/>
        <w:gridCol w:w="2446"/>
      </w:tblGrid>
      <w:tr w:rsidR="00BA154C" w:rsidRPr="00CF2BFD" w14:paraId="7B20660A" w14:textId="77777777" w:rsidTr="007C63F9">
        <w:trPr>
          <w:tblHeader/>
        </w:trPr>
        <w:tc>
          <w:tcPr>
            <w:tcW w:w="2543" w:type="dxa"/>
            <w:shd w:val="clear" w:color="auto" w:fill="7F7F7F" w:themeFill="text1" w:themeFillTint="80"/>
          </w:tcPr>
          <w:p w14:paraId="33697ECB" w14:textId="77777777" w:rsidR="00BA154C" w:rsidRPr="00CF2BFD" w:rsidRDefault="00BA154C" w:rsidP="007C63F9">
            <w:pPr>
              <w:jc w:val="center"/>
              <w:rPr>
                <w:b/>
                <w:color w:val="FFFFFF" w:themeColor="background1"/>
                <w:szCs w:val="24"/>
                <w:lang w:val="es-ES"/>
              </w:rPr>
            </w:pPr>
            <w:r>
              <w:rPr>
                <w:b/>
                <w:color w:val="FFFFFF" w:themeColor="background1"/>
                <w:szCs w:val="24"/>
                <w:lang w:val="es-ES"/>
              </w:rPr>
              <w:t>Impacto</w:t>
            </w:r>
          </w:p>
        </w:tc>
        <w:tc>
          <w:tcPr>
            <w:tcW w:w="7760" w:type="dxa"/>
            <w:shd w:val="clear" w:color="auto" w:fill="7F7F7F" w:themeFill="text1" w:themeFillTint="80"/>
          </w:tcPr>
          <w:p w14:paraId="7131F6C1" w14:textId="77777777" w:rsidR="00BA154C" w:rsidRPr="00CF2BFD" w:rsidRDefault="00BA154C" w:rsidP="007C63F9">
            <w:pPr>
              <w:jc w:val="center"/>
              <w:rPr>
                <w:b/>
                <w:color w:val="FFFFFF" w:themeColor="background1"/>
                <w:szCs w:val="24"/>
                <w:lang w:val="es-ES"/>
              </w:rPr>
            </w:pPr>
            <w:r>
              <w:rPr>
                <w:b/>
                <w:color w:val="FFFFFF" w:themeColor="background1"/>
                <w:szCs w:val="24"/>
                <w:lang w:val="es-ES"/>
              </w:rPr>
              <w:t>Indicador / Línea de Base / Meta</w:t>
            </w:r>
          </w:p>
        </w:tc>
        <w:tc>
          <w:tcPr>
            <w:tcW w:w="3134" w:type="dxa"/>
            <w:shd w:val="clear" w:color="auto" w:fill="7F7F7F" w:themeFill="text1" w:themeFillTint="80"/>
          </w:tcPr>
          <w:p w14:paraId="24D42F1E" w14:textId="77777777" w:rsidR="00BA154C" w:rsidRPr="00CF2BFD" w:rsidRDefault="00BA154C" w:rsidP="007C63F9">
            <w:pPr>
              <w:jc w:val="center"/>
              <w:rPr>
                <w:b/>
                <w:color w:val="FFFFFF" w:themeColor="background1"/>
                <w:szCs w:val="24"/>
                <w:lang w:val="es-ES"/>
              </w:rPr>
            </w:pPr>
            <w:r w:rsidRPr="00CF2BFD">
              <w:rPr>
                <w:b/>
                <w:color w:val="FFFFFF" w:themeColor="background1"/>
                <w:szCs w:val="24"/>
                <w:lang w:val="es-ES"/>
              </w:rPr>
              <w:t>Forma de Medición</w:t>
            </w:r>
            <w:r w:rsidRPr="00CF2BFD" w:rsidDel="0048548B">
              <w:rPr>
                <w:b/>
                <w:color w:val="FFFFFF" w:themeColor="background1"/>
                <w:szCs w:val="24"/>
                <w:lang w:val="es-ES"/>
              </w:rPr>
              <w:t xml:space="preserve"> </w:t>
            </w:r>
          </w:p>
        </w:tc>
      </w:tr>
      <w:tr w:rsidR="00BA154C" w:rsidRPr="00F52944" w14:paraId="45E00DEB" w14:textId="77777777" w:rsidTr="007C63F9">
        <w:tc>
          <w:tcPr>
            <w:tcW w:w="2543" w:type="dxa"/>
            <w:vMerge w:val="restart"/>
          </w:tcPr>
          <w:p w14:paraId="24F78D2A" w14:textId="77777777" w:rsidR="00BA154C" w:rsidRPr="00CF2BFD" w:rsidRDefault="00BA154C" w:rsidP="007C63F9">
            <w:pPr>
              <w:pStyle w:val="ListParagraph"/>
              <w:ind w:left="0"/>
              <w:rPr>
                <w:sz w:val="20"/>
                <w:lang w:val="es-ES"/>
              </w:rPr>
            </w:pPr>
            <w:r>
              <w:rPr>
                <w:sz w:val="20"/>
                <w:lang w:val="es-ES"/>
              </w:rPr>
              <w:t xml:space="preserve">Mejora sostenida en los indicadores financieros, y de gestión </w:t>
            </w:r>
            <w:r w:rsidRPr="00CF2BFD">
              <w:rPr>
                <w:sz w:val="20"/>
                <w:lang w:val="es-ES"/>
              </w:rPr>
              <w:t>del sector eléctrico</w:t>
            </w:r>
            <w:r>
              <w:rPr>
                <w:sz w:val="20"/>
                <w:lang w:val="es-ES"/>
              </w:rPr>
              <w:t xml:space="preserve"> garantiza beneficios para los usuarios del servicio eléctrico</w:t>
            </w:r>
          </w:p>
        </w:tc>
        <w:tc>
          <w:tcPr>
            <w:tcW w:w="7760" w:type="dxa"/>
          </w:tcPr>
          <w:p w14:paraId="47EF3DBA" w14:textId="77777777" w:rsidR="00BA154C" w:rsidRPr="0033357F" w:rsidRDefault="00BA154C" w:rsidP="007C63F9">
            <w:pPr>
              <w:rPr>
                <w:sz w:val="20"/>
                <w:lang w:val="es-ES"/>
              </w:rPr>
            </w:pPr>
            <w:r w:rsidRPr="0033357F">
              <w:rPr>
                <w:sz w:val="20"/>
                <w:lang w:val="es-ES"/>
              </w:rPr>
              <w:t xml:space="preserve"> </w:t>
            </w:r>
          </w:p>
          <w:p w14:paraId="401FEE9F" w14:textId="77777777" w:rsidR="00BA154C" w:rsidRPr="00115BEF" w:rsidRDefault="00BA154C" w:rsidP="00BA154C">
            <w:pPr>
              <w:pStyle w:val="ListParagraph"/>
              <w:numPr>
                <w:ilvl w:val="0"/>
                <w:numId w:val="20"/>
              </w:numPr>
              <w:spacing w:line="276" w:lineRule="auto"/>
              <w:contextualSpacing/>
              <w:rPr>
                <w:sz w:val="20"/>
              </w:rPr>
            </w:pPr>
            <w:r w:rsidRPr="00115BEF">
              <w:rPr>
                <w:sz w:val="20"/>
              </w:rPr>
              <w:t>ENATREL (EBITDA)</w:t>
            </w:r>
            <w:r>
              <w:rPr>
                <w:rStyle w:val="FootnoteReference"/>
                <w:sz w:val="20"/>
              </w:rPr>
              <w:footnoteReference w:id="7"/>
            </w:r>
            <w:r w:rsidRPr="00115BEF">
              <w:rPr>
                <w:sz w:val="20"/>
              </w:rPr>
              <w:t>:</w:t>
            </w:r>
          </w:p>
          <w:p w14:paraId="241232BD" w14:textId="77777777" w:rsidR="00BA154C" w:rsidRDefault="00BA154C" w:rsidP="007C63F9">
            <w:pPr>
              <w:ind w:left="1008"/>
              <w:rPr>
                <w:sz w:val="20"/>
                <w:lang w:val="es-ES"/>
              </w:rPr>
            </w:pPr>
            <w:r w:rsidRPr="006714C2">
              <w:rPr>
                <w:sz w:val="20"/>
                <w:lang w:val="es-ES"/>
              </w:rPr>
              <w:t xml:space="preserve">  </w:t>
            </w:r>
            <w:r>
              <w:rPr>
                <w:sz w:val="20"/>
                <w:lang w:val="es-ES"/>
              </w:rPr>
              <w:t>2012:   7,2% (real)</w:t>
            </w:r>
          </w:p>
          <w:p w14:paraId="6931427E" w14:textId="77777777" w:rsidR="00BA154C" w:rsidRPr="00CF2BFD" w:rsidRDefault="00BA154C" w:rsidP="007C63F9">
            <w:pPr>
              <w:ind w:left="1008"/>
              <w:rPr>
                <w:sz w:val="20"/>
                <w:lang w:val="es-ES"/>
              </w:rPr>
            </w:pPr>
            <w:r>
              <w:rPr>
                <w:sz w:val="20"/>
                <w:lang w:val="es-ES"/>
              </w:rPr>
              <w:t xml:space="preserve">  2013:   6,3% (real)</w:t>
            </w:r>
          </w:p>
          <w:p w14:paraId="21D0C0B4" w14:textId="77777777" w:rsidR="00BA154C" w:rsidRDefault="00BA154C" w:rsidP="007C63F9">
            <w:pPr>
              <w:ind w:left="1008"/>
              <w:rPr>
                <w:sz w:val="20"/>
                <w:lang w:val="es-ES"/>
              </w:rPr>
            </w:pPr>
            <w:r w:rsidRPr="00CF2BFD">
              <w:rPr>
                <w:sz w:val="20"/>
                <w:lang w:val="es-ES"/>
              </w:rPr>
              <w:t xml:space="preserve">  2014:  </w:t>
            </w:r>
            <w:r>
              <w:rPr>
                <w:sz w:val="20"/>
                <w:lang w:val="es-ES"/>
              </w:rPr>
              <w:t xml:space="preserve">22,6% (real)      </w:t>
            </w:r>
            <w:r w:rsidRPr="006714C2">
              <w:rPr>
                <w:sz w:val="20"/>
                <w:lang w:val="es-ES"/>
              </w:rPr>
              <w:sym w:font="Wingdings" w:char="F0E0"/>
            </w:r>
            <w:r>
              <w:rPr>
                <w:sz w:val="20"/>
                <w:lang w:val="es-ES"/>
              </w:rPr>
              <w:t xml:space="preserve">      </w:t>
            </w:r>
            <w:r w:rsidRPr="00CF2BFD">
              <w:rPr>
                <w:sz w:val="20"/>
                <w:lang w:val="es-ES"/>
              </w:rPr>
              <w:t>1,6%</w:t>
            </w:r>
            <w:r>
              <w:rPr>
                <w:sz w:val="20"/>
                <w:lang w:val="es-ES"/>
              </w:rPr>
              <w:t xml:space="preserve"> (meta)</w:t>
            </w:r>
          </w:p>
          <w:p w14:paraId="607D8691" w14:textId="77777777" w:rsidR="00BA154C" w:rsidRDefault="00BA154C" w:rsidP="007C63F9">
            <w:pPr>
              <w:ind w:left="1008"/>
              <w:rPr>
                <w:sz w:val="20"/>
                <w:lang w:val="es-ES"/>
              </w:rPr>
            </w:pPr>
            <w:r>
              <w:rPr>
                <w:sz w:val="20"/>
                <w:lang w:val="es-ES"/>
              </w:rPr>
              <w:t xml:space="preserve">  2015:  28,8% (real)</w:t>
            </w:r>
          </w:p>
          <w:p w14:paraId="4AA045F6" w14:textId="77777777" w:rsidR="00BA154C" w:rsidRPr="007B1BE7" w:rsidRDefault="00BA154C" w:rsidP="007C63F9">
            <w:pPr>
              <w:ind w:left="1008"/>
              <w:rPr>
                <w:sz w:val="20"/>
                <w:lang w:val="es-ES"/>
              </w:rPr>
            </w:pPr>
            <w:r>
              <w:rPr>
                <w:sz w:val="20"/>
                <w:lang w:val="es-ES"/>
              </w:rPr>
              <w:t xml:space="preserve">  </w:t>
            </w:r>
            <w:r w:rsidRPr="007B1BE7">
              <w:rPr>
                <w:sz w:val="20"/>
                <w:lang w:val="es-ES"/>
              </w:rPr>
              <w:t xml:space="preserve">2016:  </w:t>
            </w:r>
            <w:r>
              <w:rPr>
                <w:sz w:val="20"/>
                <w:lang w:val="es-ES"/>
              </w:rPr>
              <w:t xml:space="preserve">24,6% (real)      </w:t>
            </w:r>
            <w:r w:rsidRPr="006714C2">
              <w:rPr>
                <w:sz w:val="20"/>
                <w:lang w:val="es-ES"/>
              </w:rPr>
              <w:sym w:font="Wingdings" w:char="F0E0"/>
            </w:r>
            <w:r>
              <w:rPr>
                <w:sz w:val="20"/>
                <w:lang w:val="es-ES"/>
              </w:rPr>
              <w:t xml:space="preserve">      </w:t>
            </w:r>
            <w:r w:rsidRPr="007B1BE7">
              <w:rPr>
                <w:sz w:val="20"/>
                <w:lang w:val="es-ES"/>
              </w:rPr>
              <w:t>5,0%</w:t>
            </w:r>
            <w:r>
              <w:rPr>
                <w:sz w:val="20"/>
                <w:lang w:val="es-ES"/>
              </w:rPr>
              <w:t xml:space="preserve"> (meta)</w:t>
            </w:r>
          </w:p>
          <w:p w14:paraId="01A8CDAE" w14:textId="77777777" w:rsidR="00BA154C" w:rsidRPr="00CF2BFD" w:rsidRDefault="00BA154C" w:rsidP="00BA154C">
            <w:pPr>
              <w:pStyle w:val="ListParagraph"/>
              <w:numPr>
                <w:ilvl w:val="0"/>
                <w:numId w:val="20"/>
              </w:numPr>
              <w:contextualSpacing/>
              <w:rPr>
                <w:sz w:val="20"/>
                <w:lang w:val="es-ES"/>
              </w:rPr>
            </w:pPr>
            <w:r w:rsidRPr="00CF2BFD">
              <w:rPr>
                <w:sz w:val="20"/>
                <w:lang w:val="es-ES"/>
              </w:rPr>
              <w:t>ENEL (EBITDA):</w:t>
            </w:r>
            <w:r>
              <w:rPr>
                <w:sz w:val="20"/>
                <w:lang w:val="es-ES"/>
              </w:rPr>
              <w:t xml:space="preserve">                                                        ENEL sin DOSA (EBITDA)</w:t>
            </w:r>
          </w:p>
          <w:p w14:paraId="43E7417C" w14:textId="77777777" w:rsidR="00BA154C" w:rsidRDefault="00BA154C" w:rsidP="007C63F9">
            <w:pPr>
              <w:ind w:left="1008"/>
              <w:rPr>
                <w:sz w:val="20"/>
                <w:lang w:val="es-ES"/>
              </w:rPr>
            </w:pPr>
            <w:r w:rsidRPr="00CF2BFD">
              <w:rPr>
                <w:sz w:val="20"/>
                <w:lang w:val="es-ES"/>
              </w:rPr>
              <w:t xml:space="preserve">  </w:t>
            </w:r>
            <w:r>
              <w:rPr>
                <w:sz w:val="20"/>
                <w:lang w:val="es-ES"/>
              </w:rPr>
              <w:t xml:space="preserve"> 2012: -4,4% (real)                                                  37,9%</w:t>
            </w:r>
          </w:p>
          <w:p w14:paraId="19C81182" w14:textId="77777777" w:rsidR="00BA154C" w:rsidRPr="00CF2BFD" w:rsidRDefault="00BA154C" w:rsidP="007C63F9">
            <w:pPr>
              <w:ind w:left="1008"/>
              <w:rPr>
                <w:sz w:val="20"/>
                <w:lang w:val="es-ES"/>
              </w:rPr>
            </w:pPr>
            <w:r>
              <w:rPr>
                <w:sz w:val="20"/>
                <w:lang w:val="es-ES"/>
              </w:rPr>
              <w:t xml:space="preserve">   2013:  16,0% (real)                                                56,1%</w:t>
            </w:r>
          </w:p>
          <w:p w14:paraId="2B5476E7" w14:textId="77777777" w:rsidR="00BA154C" w:rsidRDefault="00BA154C" w:rsidP="007C63F9">
            <w:pPr>
              <w:ind w:left="1008"/>
              <w:rPr>
                <w:sz w:val="20"/>
                <w:lang w:val="es-ES"/>
              </w:rPr>
            </w:pPr>
            <w:r w:rsidRPr="00CF2BFD">
              <w:rPr>
                <w:sz w:val="20"/>
                <w:lang w:val="es-ES"/>
              </w:rPr>
              <w:t xml:space="preserve">   2014: </w:t>
            </w:r>
            <w:r>
              <w:rPr>
                <w:sz w:val="20"/>
                <w:lang w:val="es-ES"/>
              </w:rPr>
              <w:t xml:space="preserve">-1,4% (real)      </w:t>
            </w:r>
            <w:r w:rsidRPr="006714C2">
              <w:rPr>
                <w:sz w:val="20"/>
                <w:lang w:val="es-ES"/>
              </w:rPr>
              <w:sym w:font="Wingdings" w:char="F0E0"/>
            </w:r>
            <w:r>
              <w:rPr>
                <w:sz w:val="20"/>
                <w:lang w:val="es-ES"/>
              </w:rPr>
              <w:t xml:space="preserve">      </w:t>
            </w:r>
            <w:r w:rsidRPr="00CF2BFD">
              <w:rPr>
                <w:sz w:val="20"/>
                <w:lang w:val="es-ES"/>
              </w:rPr>
              <w:t xml:space="preserve"> 8,0%</w:t>
            </w:r>
            <w:r>
              <w:rPr>
                <w:sz w:val="20"/>
                <w:lang w:val="es-ES"/>
              </w:rPr>
              <w:t xml:space="preserve"> (meta)             44,2%</w:t>
            </w:r>
          </w:p>
          <w:p w14:paraId="62624B1E" w14:textId="77777777" w:rsidR="00BA154C" w:rsidRPr="00CF2BFD" w:rsidRDefault="00BA154C" w:rsidP="007C63F9">
            <w:pPr>
              <w:ind w:left="1008"/>
              <w:rPr>
                <w:sz w:val="20"/>
                <w:lang w:val="es-ES"/>
              </w:rPr>
            </w:pPr>
            <w:r>
              <w:rPr>
                <w:sz w:val="20"/>
                <w:lang w:val="es-ES"/>
              </w:rPr>
              <w:t xml:space="preserve">   2015: -11,4% (real)                                                13.0%</w:t>
            </w:r>
          </w:p>
          <w:p w14:paraId="6FE89783" w14:textId="77777777" w:rsidR="00BA154C" w:rsidRPr="00CF2BFD" w:rsidRDefault="00BA154C" w:rsidP="007C63F9">
            <w:pPr>
              <w:ind w:left="1008"/>
              <w:rPr>
                <w:sz w:val="20"/>
                <w:lang w:val="es-ES"/>
              </w:rPr>
            </w:pPr>
            <w:r w:rsidRPr="00CF2BFD">
              <w:rPr>
                <w:sz w:val="20"/>
                <w:lang w:val="es-ES"/>
              </w:rPr>
              <w:t xml:space="preserve">   2016: </w:t>
            </w:r>
            <w:r>
              <w:rPr>
                <w:sz w:val="20"/>
                <w:lang w:val="es-ES"/>
              </w:rPr>
              <w:t xml:space="preserve">  3,6% (real)       </w:t>
            </w:r>
            <w:r w:rsidRPr="006714C2">
              <w:rPr>
                <w:sz w:val="20"/>
                <w:lang w:val="es-ES"/>
              </w:rPr>
              <w:sym w:font="Wingdings" w:char="F0E0"/>
            </w:r>
            <w:r>
              <w:rPr>
                <w:sz w:val="20"/>
                <w:lang w:val="es-ES"/>
              </w:rPr>
              <w:t xml:space="preserve">     </w:t>
            </w:r>
            <w:r w:rsidRPr="00CF2BFD">
              <w:rPr>
                <w:sz w:val="20"/>
                <w:lang w:val="es-ES"/>
              </w:rPr>
              <w:t>10,0%</w:t>
            </w:r>
            <w:r>
              <w:rPr>
                <w:sz w:val="20"/>
                <w:lang w:val="es-ES"/>
              </w:rPr>
              <w:t xml:space="preserve"> (meta)            29,4%</w:t>
            </w:r>
          </w:p>
          <w:p w14:paraId="49095FB8" w14:textId="77777777" w:rsidR="00BA154C" w:rsidRPr="00CF2BFD" w:rsidRDefault="00BA154C" w:rsidP="00BA154C">
            <w:pPr>
              <w:pStyle w:val="ListParagraph"/>
              <w:numPr>
                <w:ilvl w:val="0"/>
                <w:numId w:val="20"/>
              </w:numPr>
              <w:contextualSpacing/>
              <w:rPr>
                <w:sz w:val="20"/>
                <w:lang w:val="es-ES"/>
              </w:rPr>
            </w:pPr>
            <w:r>
              <w:rPr>
                <w:sz w:val="20"/>
                <w:lang w:val="es-ES"/>
              </w:rPr>
              <w:t>DISNORTE-DISSUR (Í</w:t>
            </w:r>
            <w:r w:rsidRPr="00CF2BFD">
              <w:rPr>
                <w:sz w:val="20"/>
                <w:lang w:val="es-ES"/>
              </w:rPr>
              <w:t>ndice de recuperación de efectivo</w:t>
            </w:r>
            <w:r>
              <w:rPr>
                <w:rStyle w:val="FootnoteReference"/>
                <w:sz w:val="20"/>
                <w:lang w:val="es-ES"/>
              </w:rPr>
              <w:footnoteReference w:id="8"/>
            </w:r>
            <w:r>
              <w:rPr>
                <w:sz w:val="20"/>
                <w:lang w:val="es-ES"/>
              </w:rPr>
              <w:t xml:space="preserve"> </w:t>
            </w:r>
            <w:r w:rsidRPr="00CF2BFD">
              <w:rPr>
                <w:sz w:val="20"/>
                <w:lang w:val="es-ES"/>
              </w:rPr>
              <w:t>= Índice combinado):</w:t>
            </w:r>
          </w:p>
          <w:p w14:paraId="07A9FBAD" w14:textId="77777777" w:rsidR="00BA154C" w:rsidRDefault="00BA154C" w:rsidP="007C63F9">
            <w:pPr>
              <w:ind w:left="1008"/>
              <w:rPr>
                <w:sz w:val="20"/>
                <w:lang w:val="es-ES"/>
              </w:rPr>
            </w:pPr>
            <w:r w:rsidRPr="00CF2BFD">
              <w:rPr>
                <w:sz w:val="20"/>
                <w:lang w:val="es-ES"/>
              </w:rPr>
              <w:t xml:space="preserve">   </w:t>
            </w:r>
            <w:r>
              <w:rPr>
                <w:sz w:val="20"/>
                <w:lang w:val="es-ES"/>
              </w:rPr>
              <w:t>2009: 74,2% (real)</w:t>
            </w:r>
          </w:p>
          <w:p w14:paraId="1F28C98E" w14:textId="77777777" w:rsidR="00BA154C" w:rsidRDefault="00BA154C" w:rsidP="007C63F9">
            <w:pPr>
              <w:ind w:left="1008"/>
              <w:rPr>
                <w:sz w:val="20"/>
                <w:lang w:val="es-ES"/>
              </w:rPr>
            </w:pPr>
            <w:r>
              <w:rPr>
                <w:sz w:val="20"/>
                <w:lang w:val="es-ES"/>
              </w:rPr>
              <w:lastRenderedPageBreak/>
              <w:t xml:space="preserve">   2010: 72,5% (real)</w:t>
            </w:r>
          </w:p>
          <w:p w14:paraId="7AC91EC7" w14:textId="77777777" w:rsidR="00BA154C" w:rsidRDefault="00BA154C" w:rsidP="007C63F9">
            <w:pPr>
              <w:ind w:left="1008"/>
              <w:rPr>
                <w:sz w:val="20"/>
                <w:lang w:val="es-ES"/>
              </w:rPr>
            </w:pPr>
            <w:r>
              <w:rPr>
                <w:sz w:val="20"/>
                <w:lang w:val="es-ES"/>
              </w:rPr>
              <w:t xml:space="preserve">   2011: 76,3% (real)</w:t>
            </w:r>
          </w:p>
          <w:p w14:paraId="10AEC277" w14:textId="77777777" w:rsidR="00BA154C" w:rsidRDefault="00BA154C" w:rsidP="007C63F9">
            <w:pPr>
              <w:ind w:left="1008"/>
              <w:rPr>
                <w:sz w:val="20"/>
                <w:lang w:val="es-ES"/>
              </w:rPr>
            </w:pPr>
            <w:r>
              <w:rPr>
                <w:sz w:val="20"/>
                <w:lang w:val="es-ES"/>
              </w:rPr>
              <w:t xml:space="preserve">   2012: 75,0% (real)</w:t>
            </w:r>
          </w:p>
          <w:p w14:paraId="1B67009C" w14:textId="77777777" w:rsidR="00BA154C" w:rsidRDefault="00BA154C" w:rsidP="007C63F9">
            <w:pPr>
              <w:ind w:left="1008"/>
              <w:rPr>
                <w:sz w:val="20"/>
                <w:lang w:val="es-ES"/>
              </w:rPr>
            </w:pPr>
            <w:r>
              <w:rPr>
                <w:sz w:val="20"/>
                <w:lang w:val="es-ES"/>
              </w:rPr>
              <w:t xml:space="preserve">   2013: 75,0% (real)</w:t>
            </w:r>
          </w:p>
          <w:p w14:paraId="598F2F0C" w14:textId="77777777" w:rsidR="00BA154C" w:rsidRDefault="00BA154C" w:rsidP="007C63F9">
            <w:pPr>
              <w:ind w:left="1008"/>
              <w:rPr>
                <w:sz w:val="20"/>
                <w:lang w:val="es-ES"/>
              </w:rPr>
            </w:pPr>
            <w:r>
              <w:rPr>
                <w:sz w:val="20"/>
                <w:lang w:val="es-ES"/>
              </w:rPr>
              <w:t xml:space="preserve">   </w:t>
            </w:r>
            <w:r w:rsidRPr="00CF2BFD">
              <w:rPr>
                <w:sz w:val="20"/>
                <w:lang w:val="es-ES"/>
              </w:rPr>
              <w:t xml:space="preserve">2014: </w:t>
            </w:r>
            <w:r>
              <w:rPr>
                <w:sz w:val="20"/>
                <w:lang w:val="es-ES"/>
              </w:rPr>
              <w:t xml:space="preserve">74,5% (real)      </w:t>
            </w:r>
            <w:r w:rsidRPr="00111D6A">
              <w:rPr>
                <w:sz w:val="20"/>
                <w:lang w:val="es-ES"/>
              </w:rPr>
              <w:sym w:font="Wingdings" w:char="F0E0"/>
            </w:r>
            <w:r>
              <w:rPr>
                <w:sz w:val="20"/>
                <w:lang w:val="es-ES"/>
              </w:rPr>
              <w:t xml:space="preserve">      </w:t>
            </w:r>
            <w:r w:rsidRPr="00CF2BFD">
              <w:rPr>
                <w:sz w:val="20"/>
                <w:lang w:val="es-ES"/>
              </w:rPr>
              <w:t>75,9%</w:t>
            </w:r>
            <w:r>
              <w:rPr>
                <w:sz w:val="20"/>
                <w:lang w:val="es-ES"/>
              </w:rPr>
              <w:t xml:space="preserve"> (meta)</w:t>
            </w:r>
          </w:p>
          <w:p w14:paraId="650CB90C" w14:textId="77777777" w:rsidR="00BA154C" w:rsidRPr="00CF2BFD" w:rsidRDefault="00BA154C" w:rsidP="007C63F9">
            <w:pPr>
              <w:ind w:left="1008"/>
              <w:rPr>
                <w:sz w:val="20"/>
                <w:lang w:val="es-ES"/>
              </w:rPr>
            </w:pPr>
            <w:r>
              <w:rPr>
                <w:sz w:val="20"/>
                <w:lang w:val="es-ES"/>
              </w:rPr>
              <w:t xml:space="preserve">   2015: 75,9% (real)</w:t>
            </w:r>
          </w:p>
          <w:p w14:paraId="3423EB75" w14:textId="77777777" w:rsidR="00BA154C" w:rsidRPr="00CF2BFD" w:rsidRDefault="00BA154C" w:rsidP="007C63F9">
            <w:pPr>
              <w:ind w:left="1008"/>
              <w:rPr>
                <w:sz w:val="20"/>
                <w:lang w:val="es-ES"/>
              </w:rPr>
            </w:pPr>
            <w:r w:rsidRPr="00CF2BFD">
              <w:rPr>
                <w:sz w:val="20"/>
                <w:lang w:val="es-ES"/>
              </w:rPr>
              <w:t xml:space="preserve">   2016: </w:t>
            </w:r>
            <w:r>
              <w:rPr>
                <w:sz w:val="20"/>
                <w:lang w:val="es-ES"/>
              </w:rPr>
              <w:t xml:space="preserve">78,3% (real)      </w:t>
            </w:r>
            <w:r w:rsidRPr="00111D6A">
              <w:rPr>
                <w:sz w:val="20"/>
                <w:lang w:val="es-ES"/>
              </w:rPr>
              <w:sym w:font="Wingdings" w:char="F0E0"/>
            </w:r>
            <w:r>
              <w:rPr>
                <w:sz w:val="20"/>
                <w:lang w:val="es-ES"/>
              </w:rPr>
              <w:t xml:space="preserve">      </w:t>
            </w:r>
            <w:r w:rsidRPr="00CF2BFD">
              <w:rPr>
                <w:sz w:val="20"/>
                <w:lang w:val="es-ES"/>
              </w:rPr>
              <w:t>80,0%</w:t>
            </w:r>
            <w:r>
              <w:rPr>
                <w:sz w:val="20"/>
                <w:lang w:val="es-ES"/>
              </w:rPr>
              <w:t xml:space="preserve"> (meta)</w:t>
            </w:r>
            <w:r w:rsidRPr="00CF2BFD">
              <w:rPr>
                <w:sz w:val="20"/>
                <w:lang w:val="es-ES"/>
              </w:rPr>
              <w:t xml:space="preserve"> </w:t>
            </w:r>
          </w:p>
        </w:tc>
        <w:tc>
          <w:tcPr>
            <w:tcW w:w="3134" w:type="dxa"/>
          </w:tcPr>
          <w:p w14:paraId="610CC922" w14:textId="77777777" w:rsidR="00BA154C" w:rsidRDefault="00BA154C" w:rsidP="007C63F9">
            <w:pPr>
              <w:rPr>
                <w:sz w:val="20"/>
                <w:lang w:val="es-ES"/>
              </w:rPr>
            </w:pPr>
            <w:r>
              <w:rPr>
                <w:sz w:val="20"/>
                <w:lang w:val="es-ES"/>
              </w:rPr>
              <w:lastRenderedPageBreak/>
              <w:t xml:space="preserve">EBITDA: </w:t>
            </w:r>
            <w:r w:rsidRPr="0033357F">
              <w:rPr>
                <w:sz w:val="20"/>
                <w:lang w:val="es-ES"/>
              </w:rPr>
              <w:t>Estado</w:t>
            </w:r>
            <w:r>
              <w:rPr>
                <w:sz w:val="20"/>
                <w:lang w:val="es-ES"/>
              </w:rPr>
              <w:t>s Financieros de ENEL y ENATREL.</w:t>
            </w:r>
          </w:p>
          <w:p w14:paraId="428D1131" w14:textId="77777777" w:rsidR="00BA154C" w:rsidRDefault="00BA154C" w:rsidP="007C63F9">
            <w:pPr>
              <w:rPr>
                <w:sz w:val="20"/>
                <w:lang w:val="es-ES"/>
              </w:rPr>
            </w:pPr>
            <w:r w:rsidRPr="0033357F">
              <w:rPr>
                <w:sz w:val="20"/>
                <w:lang w:val="es-ES"/>
              </w:rPr>
              <w:t xml:space="preserve"> </w:t>
            </w:r>
          </w:p>
          <w:p w14:paraId="38D95799" w14:textId="77777777" w:rsidR="00BA154C" w:rsidRPr="0033357F" w:rsidRDefault="00BA154C" w:rsidP="007C63F9">
            <w:pPr>
              <w:rPr>
                <w:sz w:val="20"/>
                <w:lang w:val="es-ES"/>
              </w:rPr>
            </w:pPr>
            <w:r>
              <w:rPr>
                <w:sz w:val="20"/>
                <w:lang w:val="es-ES"/>
              </w:rPr>
              <w:t>Í</w:t>
            </w:r>
            <w:r w:rsidRPr="00FC0798">
              <w:rPr>
                <w:sz w:val="20"/>
                <w:lang w:val="es-ES"/>
              </w:rPr>
              <w:t xml:space="preserve">ndice de recuperación de </w:t>
            </w:r>
            <w:r>
              <w:rPr>
                <w:sz w:val="20"/>
                <w:lang w:val="es-ES"/>
              </w:rPr>
              <w:t>efectivo</w:t>
            </w:r>
            <w:r w:rsidRPr="00FC0798">
              <w:rPr>
                <w:sz w:val="20"/>
                <w:lang w:val="es-ES"/>
              </w:rPr>
              <w:t xml:space="preserve"> </w:t>
            </w:r>
            <w:r>
              <w:rPr>
                <w:sz w:val="20"/>
                <w:lang w:val="es-ES"/>
              </w:rPr>
              <w:t xml:space="preserve">= </w:t>
            </w:r>
            <w:r w:rsidRPr="00FC0798">
              <w:rPr>
                <w:sz w:val="20"/>
                <w:lang w:val="es-ES"/>
              </w:rPr>
              <w:t>índice combinado</w:t>
            </w:r>
            <w:r>
              <w:rPr>
                <w:sz w:val="20"/>
                <w:lang w:val="es-ES"/>
              </w:rPr>
              <w:t>, publicado por el INE según sea suministrado por DISNORTE y DISSUR.</w:t>
            </w:r>
          </w:p>
          <w:p w14:paraId="05025769" w14:textId="77777777" w:rsidR="00BA154C" w:rsidRPr="00000E23" w:rsidRDefault="00BA154C" w:rsidP="007C63F9">
            <w:pPr>
              <w:rPr>
                <w:sz w:val="20"/>
                <w:lang w:val="es-ES"/>
              </w:rPr>
            </w:pPr>
          </w:p>
        </w:tc>
      </w:tr>
      <w:tr w:rsidR="00BA154C" w:rsidRPr="00F52944" w14:paraId="477E8FAF" w14:textId="77777777" w:rsidTr="007C63F9">
        <w:tc>
          <w:tcPr>
            <w:tcW w:w="2543" w:type="dxa"/>
            <w:vMerge/>
          </w:tcPr>
          <w:p w14:paraId="3F82C1BE" w14:textId="77777777" w:rsidR="00BA154C" w:rsidRPr="00CF2BFD" w:rsidRDefault="00BA154C" w:rsidP="007C63F9">
            <w:pPr>
              <w:rPr>
                <w:sz w:val="20"/>
                <w:lang w:val="es-ES"/>
              </w:rPr>
            </w:pPr>
          </w:p>
        </w:tc>
        <w:tc>
          <w:tcPr>
            <w:tcW w:w="7760" w:type="dxa"/>
          </w:tcPr>
          <w:p w14:paraId="164F79E8" w14:textId="77777777" w:rsidR="00BA154C" w:rsidRPr="00000E23" w:rsidRDefault="00BA154C" w:rsidP="007C63F9">
            <w:pPr>
              <w:rPr>
                <w:sz w:val="20"/>
                <w:lang w:val="es-ES"/>
              </w:rPr>
            </w:pPr>
            <w:r>
              <w:rPr>
                <w:sz w:val="20"/>
                <w:lang w:val="es-ES"/>
              </w:rPr>
              <w:t>Porcentaje</w:t>
            </w:r>
            <w:r w:rsidRPr="00000E23">
              <w:rPr>
                <w:sz w:val="20"/>
                <w:lang w:val="es-ES"/>
              </w:rPr>
              <w:t xml:space="preserve"> de energía </w:t>
            </w:r>
            <w:r>
              <w:rPr>
                <w:sz w:val="20"/>
                <w:lang w:val="es-ES"/>
              </w:rPr>
              <w:t xml:space="preserve">de fuente </w:t>
            </w:r>
            <w:r w:rsidRPr="00000E23">
              <w:rPr>
                <w:sz w:val="20"/>
                <w:lang w:val="es-ES"/>
              </w:rPr>
              <w:t>renovable en la matriz de generación del SIN:</w:t>
            </w:r>
          </w:p>
          <w:p w14:paraId="020471A2" w14:textId="77777777" w:rsidR="00BA154C" w:rsidRPr="00446702" w:rsidRDefault="00BA154C" w:rsidP="007C63F9">
            <w:pPr>
              <w:ind w:left="720"/>
              <w:rPr>
                <w:sz w:val="20"/>
                <w:lang w:val="pt-BR"/>
              </w:rPr>
            </w:pPr>
            <w:r w:rsidRPr="00E86D5F">
              <w:rPr>
                <w:sz w:val="20"/>
              </w:rPr>
              <w:t xml:space="preserve"> </w:t>
            </w:r>
            <w:r w:rsidRPr="00446702">
              <w:rPr>
                <w:sz w:val="20"/>
                <w:lang w:val="pt-BR"/>
              </w:rPr>
              <w:t>2012: 43,4% (real)</w:t>
            </w:r>
          </w:p>
          <w:p w14:paraId="7F87F7BD" w14:textId="77777777" w:rsidR="00BA154C" w:rsidRPr="00446702" w:rsidRDefault="00BA154C" w:rsidP="007C63F9">
            <w:pPr>
              <w:ind w:left="720"/>
              <w:rPr>
                <w:sz w:val="20"/>
                <w:lang w:val="pt-BR"/>
              </w:rPr>
            </w:pPr>
            <w:r w:rsidRPr="00446702">
              <w:rPr>
                <w:sz w:val="20"/>
                <w:lang w:val="pt-BR"/>
              </w:rPr>
              <w:t xml:space="preserve"> 2013: 53,1% (real)</w:t>
            </w:r>
          </w:p>
          <w:p w14:paraId="1E380E18" w14:textId="77777777" w:rsidR="00BA154C" w:rsidRPr="00446702" w:rsidRDefault="00BA154C" w:rsidP="007C63F9">
            <w:pPr>
              <w:ind w:left="720"/>
              <w:rPr>
                <w:sz w:val="20"/>
                <w:lang w:val="pt-BR"/>
              </w:rPr>
            </w:pPr>
            <w:r w:rsidRPr="00446702">
              <w:rPr>
                <w:sz w:val="20"/>
                <w:lang w:val="pt-BR"/>
              </w:rPr>
              <w:t xml:space="preserve"> 2014: 54,6% (real)      </w:t>
            </w:r>
            <w:r w:rsidRPr="00B15BA4">
              <w:rPr>
                <w:sz w:val="20"/>
                <w:lang w:val="es-ES"/>
              </w:rPr>
              <w:sym w:font="Wingdings" w:char="F0E0"/>
            </w:r>
            <w:r w:rsidRPr="00446702">
              <w:rPr>
                <w:sz w:val="20"/>
                <w:lang w:val="pt-BR"/>
              </w:rPr>
              <w:t xml:space="preserve">      49,0% (meta)</w:t>
            </w:r>
          </w:p>
          <w:p w14:paraId="67815FA5" w14:textId="77777777" w:rsidR="00BA154C" w:rsidRPr="00446702" w:rsidRDefault="00BA154C" w:rsidP="007C63F9">
            <w:pPr>
              <w:ind w:left="720"/>
              <w:rPr>
                <w:sz w:val="20"/>
                <w:lang w:val="pt-BR"/>
              </w:rPr>
            </w:pPr>
            <w:r w:rsidRPr="00446702">
              <w:rPr>
                <w:sz w:val="20"/>
                <w:lang w:val="pt-BR"/>
              </w:rPr>
              <w:t xml:space="preserve"> 2015: 50,6% (real)</w:t>
            </w:r>
          </w:p>
          <w:p w14:paraId="693F2E3B" w14:textId="77777777" w:rsidR="00BA154C" w:rsidRPr="00446702" w:rsidRDefault="00BA154C" w:rsidP="007C63F9">
            <w:pPr>
              <w:ind w:left="720"/>
              <w:rPr>
                <w:sz w:val="20"/>
                <w:lang w:val="pt-BR"/>
              </w:rPr>
            </w:pPr>
            <w:r w:rsidRPr="00446702">
              <w:rPr>
                <w:sz w:val="20"/>
                <w:lang w:val="pt-BR"/>
              </w:rPr>
              <w:t xml:space="preserve"> 2016: </w:t>
            </w:r>
            <w:r>
              <w:rPr>
                <w:sz w:val="20"/>
                <w:lang w:val="pt-BR"/>
              </w:rPr>
              <w:t>52,8 (real)</w:t>
            </w:r>
            <w:r w:rsidRPr="00446702">
              <w:rPr>
                <w:sz w:val="20"/>
                <w:lang w:val="pt-BR"/>
              </w:rPr>
              <w:t xml:space="preserve">      </w:t>
            </w:r>
            <w:r w:rsidRPr="00B15BA4">
              <w:rPr>
                <w:sz w:val="20"/>
                <w:lang w:val="es-ES"/>
              </w:rPr>
              <w:sym w:font="Wingdings" w:char="F0E0"/>
            </w:r>
            <w:r w:rsidRPr="00446702">
              <w:rPr>
                <w:sz w:val="20"/>
                <w:lang w:val="pt-BR"/>
              </w:rPr>
              <w:t xml:space="preserve">      56,4% (meta)    </w:t>
            </w:r>
          </w:p>
        </w:tc>
        <w:tc>
          <w:tcPr>
            <w:tcW w:w="3134" w:type="dxa"/>
          </w:tcPr>
          <w:p w14:paraId="37DD7FDA" w14:textId="77777777" w:rsidR="00BA154C" w:rsidRPr="005C4F11" w:rsidRDefault="00BA154C" w:rsidP="007C63F9">
            <w:pPr>
              <w:rPr>
                <w:sz w:val="20"/>
                <w:lang w:val="es-ES"/>
              </w:rPr>
            </w:pPr>
            <w:r w:rsidRPr="0033357F">
              <w:rPr>
                <w:sz w:val="20"/>
                <w:lang w:val="es-ES"/>
              </w:rPr>
              <w:t xml:space="preserve">Participación de las fuentes renovables en la matriz eléctrica a nivel de generación </w:t>
            </w:r>
            <w:r>
              <w:rPr>
                <w:sz w:val="20"/>
                <w:lang w:val="es-ES"/>
              </w:rPr>
              <w:t>bruta</w:t>
            </w:r>
            <w:r w:rsidRPr="0033357F">
              <w:rPr>
                <w:sz w:val="20"/>
                <w:lang w:val="es-ES"/>
              </w:rPr>
              <w:t>, Fuente INE</w:t>
            </w:r>
          </w:p>
        </w:tc>
      </w:tr>
    </w:tbl>
    <w:p w14:paraId="5D5AFCF9" w14:textId="77777777" w:rsidR="00BA154C" w:rsidRPr="00CF2BFD" w:rsidRDefault="00BA154C" w:rsidP="00BA154C">
      <w:pPr>
        <w:jc w:val="center"/>
        <w:rPr>
          <w:b/>
          <w:szCs w:val="24"/>
          <w:lang w:val="es-ES"/>
        </w:rPr>
      </w:pPr>
      <w:r>
        <w:rPr>
          <w:b/>
          <w:szCs w:val="24"/>
          <w:lang w:val="es-ES"/>
        </w:rPr>
        <w:tab/>
      </w:r>
    </w:p>
    <w:tbl>
      <w:tblPr>
        <w:tblStyle w:val="TableGrid"/>
        <w:tblW w:w="5000" w:type="pct"/>
        <w:tblCellMar>
          <w:top w:w="43" w:type="dxa"/>
          <w:left w:w="43" w:type="dxa"/>
          <w:bottom w:w="43" w:type="dxa"/>
          <w:right w:w="43" w:type="dxa"/>
        </w:tblCellMar>
        <w:tblLook w:val="04A0" w:firstRow="1" w:lastRow="0" w:firstColumn="1" w:lastColumn="0" w:noHBand="0" w:noVBand="1"/>
      </w:tblPr>
      <w:tblGrid>
        <w:gridCol w:w="2274"/>
        <w:gridCol w:w="1213"/>
        <w:gridCol w:w="4592"/>
        <w:gridCol w:w="2135"/>
      </w:tblGrid>
      <w:tr w:rsidR="00BA154C" w:rsidRPr="00CF2BFD" w14:paraId="470DCEED" w14:textId="77777777" w:rsidTr="007C63F9">
        <w:trPr>
          <w:tblHeader/>
        </w:trPr>
        <w:tc>
          <w:tcPr>
            <w:tcW w:w="2567" w:type="dxa"/>
            <w:shd w:val="clear" w:color="auto" w:fill="7F7F7F" w:themeFill="text1" w:themeFillTint="80"/>
          </w:tcPr>
          <w:p w14:paraId="06A7B27B" w14:textId="77777777" w:rsidR="00BA154C" w:rsidRPr="00CF2BFD" w:rsidRDefault="00BA154C" w:rsidP="007C63F9">
            <w:pPr>
              <w:jc w:val="center"/>
              <w:rPr>
                <w:b/>
                <w:color w:val="FFFFFF" w:themeColor="background1"/>
                <w:szCs w:val="24"/>
                <w:lang w:val="es-ES"/>
              </w:rPr>
            </w:pPr>
            <w:r>
              <w:rPr>
                <w:b/>
                <w:color w:val="FFFFFF" w:themeColor="background1"/>
                <w:szCs w:val="24"/>
                <w:lang w:val="es-ES"/>
              </w:rPr>
              <w:t>Componente/ Objetivos</w:t>
            </w:r>
          </w:p>
        </w:tc>
        <w:tc>
          <w:tcPr>
            <w:tcW w:w="1256" w:type="dxa"/>
            <w:shd w:val="clear" w:color="auto" w:fill="7F7F7F" w:themeFill="text1" w:themeFillTint="80"/>
          </w:tcPr>
          <w:p w14:paraId="6A76B9E0" w14:textId="77777777" w:rsidR="00BA154C" w:rsidRDefault="00BA154C" w:rsidP="007C63F9">
            <w:pPr>
              <w:jc w:val="center"/>
              <w:rPr>
                <w:b/>
                <w:color w:val="FFFFFF" w:themeColor="background1"/>
                <w:szCs w:val="24"/>
                <w:lang w:val="es-ES"/>
              </w:rPr>
            </w:pPr>
            <w:r>
              <w:rPr>
                <w:b/>
                <w:color w:val="FFFFFF" w:themeColor="background1"/>
                <w:szCs w:val="24"/>
                <w:lang w:val="es-ES"/>
              </w:rPr>
              <w:t>Resultados</w:t>
            </w:r>
          </w:p>
        </w:tc>
        <w:tc>
          <w:tcPr>
            <w:tcW w:w="7835" w:type="dxa"/>
            <w:shd w:val="clear" w:color="auto" w:fill="7F7F7F" w:themeFill="text1" w:themeFillTint="80"/>
          </w:tcPr>
          <w:p w14:paraId="67C5B21F" w14:textId="77777777" w:rsidR="00BA154C" w:rsidRPr="00CF2BFD" w:rsidRDefault="00BA154C" w:rsidP="007C63F9">
            <w:pPr>
              <w:jc w:val="center"/>
              <w:rPr>
                <w:b/>
                <w:color w:val="FFFFFF" w:themeColor="background1"/>
                <w:szCs w:val="24"/>
                <w:lang w:val="es-ES"/>
              </w:rPr>
            </w:pPr>
            <w:r>
              <w:rPr>
                <w:b/>
                <w:color w:val="FFFFFF" w:themeColor="background1"/>
                <w:szCs w:val="24"/>
                <w:lang w:val="es-ES"/>
              </w:rPr>
              <w:t>Indicador / Línea de Base / Meta</w:t>
            </w:r>
          </w:p>
        </w:tc>
        <w:tc>
          <w:tcPr>
            <w:tcW w:w="3165" w:type="dxa"/>
            <w:shd w:val="clear" w:color="auto" w:fill="7F7F7F" w:themeFill="text1" w:themeFillTint="80"/>
          </w:tcPr>
          <w:p w14:paraId="264F30BF" w14:textId="77777777" w:rsidR="00BA154C" w:rsidRPr="00CF2BFD" w:rsidRDefault="00BA154C" w:rsidP="007C63F9">
            <w:pPr>
              <w:jc w:val="center"/>
              <w:rPr>
                <w:b/>
                <w:color w:val="FFFFFF" w:themeColor="background1"/>
                <w:szCs w:val="24"/>
                <w:lang w:val="es-ES"/>
              </w:rPr>
            </w:pPr>
            <w:r w:rsidRPr="00CF2BFD">
              <w:rPr>
                <w:b/>
                <w:color w:val="FFFFFF" w:themeColor="background1"/>
                <w:szCs w:val="24"/>
                <w:lang w:val="es-ES"/>
              </w:rPr>
              <w:t>Forma de Medición</w:t>
            </w:r>
            <w:r w:rsidRPr="00CF2BFD" w:rsidDel="0048548B">
              <w:rPr>
                <w:b/>
                <w:color w:val="FFFFFF" w:themeColor="background1"/>
                <w:szCs w:val="24"/>
                <w:lang w:val="es-ES"/>
              </w:rPr>
              <w:t xml:space="preserve"> </w:t>
            </w:r>
          </w:p>
        </w:tc>
      </w:tr>
      <w:tr w:rsidR="00BA154C" w:rsidRPr="00F52944" w14:paraId="429AFAB6" w14:textId="77777777" w:rsidTr="007C63F9">
        <w:tc>
          <w:tcPr>
            <w:tcW w:w="2567" w:type="dxa"/>
            <w:vMerge w:val="restart"/>
          </w:tcPr>
          <w:p w14:paraId="77C83522" w14:textId="77777777" w:rsidR="00BA154C" w:rsidRPr="00492D97" w:rsidRDefault="00BA154C" w:rsidP="00BA154C">
            <w:pPr>
              <w:pStyle w:val="ListParagraph"/>
              <w:numPr>
                <w:ilvl w:val="0"/>
                <w:numId w:val="7"/>
              </w:numPr>
              <w:ind w:left="0" w:firstLine="0"/>
              <w:contextualSpacing/>
              <w:rPr>
                <w:b/>
                <w:sz w:val="20"/>
                <w:lang w:val="es-ES"/>
              </w:rPr>
            </w:pPr>
            <w:r w:rsidRPr="00492D97">
              <w:rPr>
                <w:b/>
                <w:sz w:val="20"/>
              </w:rPr>
              <w:t>Sostenibilidad financiera del sector</w:t>
            </w:r>
            <w:r>
              <w:rPr>
                <w:b/>
                <w:sz w:val="20"/>
              </w:rPr>
              <w:t xml:space="preserve"> eléctrico</w:t>
            </w:r>
            <w:r w:rsidRPr="00492D97">
              <w:rPr>
                <w:b/>
                <w:sz w:val="20"/>
              </w:rPr>
              <w:t xml:space="preserve">: </w:t>
            </w:r>
            <w:r w:rsidRPr="00A11D61">
              <w:rPr>
                <w:sz w:val="20"/>
                <w:lang w:val="es-ES"/>
              </w:rPr>
              <w:t>Adoptar  un programa de medidas para recuperar la sostenibilidad financiera, técnica, y operativa del sector eléctrico</w:t>
            </w:r>
          </w:p>
        </w:tc>
        <w:tc>
          <w:tcPr>
            <w:tcW w:w="1256" w:type="dxa"/>
          </w:tcPr>
          <w:p w14:paraId="56AB4DCA" w14:textId="77777777" w:rsidR="00BA154C" w:rsidRPr="0033357F" w:rsidDel="00E4714F" w:rsidRDefault="00BA154C" w:rsidP="007C63F9">
            <w:pPr>
              <w:rPr>
                <w:sz w:val="20"/>
                <w:lang w:val="es-ES"/>
              </w:rPr>
            </w:pPr>
            <w:r>
              <w:rPr>
                <w:sz w:val="20"/>
                <w:lang w:val="es-ES"/>
              </w:rPr>
              <w:t>Mejora de la calidad del servicio</w:t>
            </w:r>
          </w:p>
        </w:tc>
        <w:tc>
          <w:tcPr>
            <w:tcW w:w="7835" w:type="dxa"/>
          </w:tcPr>
          <w:p w14:paraId="04D422B7" w14:textId="77777777" w:rsidR="00BA154C" w:rsidRPr="0033357F" w:rsidRDefault="00BA154C" w:rsidP="007C63F9">
            <w:pPr>
              <w:rPr>
                <w:sz w:val="20"/>
                <w:lang w:val="es-ES"/>
              </w:rPr>
            </w:pPr>
            <w:r w:rsidRPr="0033357F">
              <w:rPr>
                <w:i/>
                <w:sz w:val="20"/>
                <w:lang w:val="es-ES"/>
              </w:rPr>
              <w:t>FMIK = frecuencia media de interrupción por semestre; TTIK = tiempo total de interrupción por semestre</w:t>
            </w:r>
            <w:r>
              <w:rPr>
                <w:i/>
                <w:sz w:val="20"/>
                <w:lang w:val="es-ES"/>
              </w:rPr>
              <w:t xml:space="preserve"> en horas</w:t>
            </w:r>
          </w:p>
          <w:p w14:paraId="59448246" w14:textId="77777777" w:rsidR="00BA154C" w:rsidRDefault="00BA154C" w:rsidP="007C63F9">
            <w:pPr>
              <w:ind w:left="720"/>
              <w:rPr>
                <w:sz w:val="20"/>
                <w:lang w:val="pt-BR"/>
              </w:rPr>
            </w:pPr>
            <w:r w:rsidRPr="00846BFB">
              <w:rPr>
                <w:sz w:val="20"/>
                <w:u w:val="single"/>
                <w:lang w:val="pt-BR"/>
              </w:rPr>
              <w:t>Real</w:t>
            </w:r>
            <w:r>
              <w:rPr>
                <w:sz w:val="20"/>
                <w:lang w:val="pt-BR"/>
              </w:rPr>
              <w:t>:</w:t>
            </w:r>
          </w:p>
          <w:p w14:paraId="34468F52" w14:textId="77777777" w:rsidR="00BA154C" w:rsidRPr="005C4F11" w:rsidRDefault="00BA154C" w:rsidP="007C63F9">
            <w:pPr>
              <w:ind w:left="720"/>
              <w:rPr>
                <w:sz w:val="20"/>
                <w:lang w:val="pt-BR"/>
              </w:rPr>
            </w:pPr>
            <w:r w:rsidRPr="005C4F11">
              <w:rPr>
                <w:sz w:val="20"/>
                <w:lang w:val="pt-BR"/>
              </w:rPr>
              <w:t xml:space="preserve">2012 I Sem </w:t>
            </w:r>
            <w:r>
              <w:rPr>
                <w:sz w:val="20"/>
                <w:lang w:val="pt-BR"/>
              </w:rPr>
              <w:t xml:space="preserve">  </w:t>
            </w:r>
            <w:r w:rsidRPr="005C4F11">
              <w:rPr>
                <w:sz w:val="20"/>
                <w:lang w:val="pt-BR"/>
              </w:rPr>
              <w:t xml:space="preserve">(FMIK urbano) – DISNORTE: </w:t>
            </w:r>
            <w:r>
              <w:rPr>
                <w:sz w:val="20"/>
                <w:lang w:val="pt-BR"/>
              </w:rPr>
              <w:t>2,76</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3,23</w:t>
            </w:r>
          </w:p>
          <w:p w14:paraId="11F5191B" w14:textId="77777777" w:rsidR="00BA154C" w:rsidRDefault="00BA154C" w:rsidP="007C63F9">
            <w:pPr>
              <w:ind w:left="720"/>
              <w:rPr>
                <w:sz w:val="20"/>
                <w:lang w:val="pt-BR"/>
              </w:rPr>
            </w:pPr>
            <w:r w:rsidRPr="005C4F11">
              <w:rPr>
                <w:sz w:val="20"/>
                <w:lang w:val="pt-BR"/>
              </w:rPr>
              <w:t xml:space="preserve">                   </w:t>
            </w:r>
            <w:r>
              <w:rPr>
                <w:sz w:val="20"/>
                <w:lang w:val="pt-BR"/>
              </w:rPr>
              <w:t xml:space="preserve">   </w:t>
            </w:r>
            <w:r w:rsidRPr="005C4F11">
              <w:rPr>
                <w:sz w:val="20"/>
                <w:lang w:val="pt-BR"/>
              </w:rPr>
              <w:t xml:space="preserve">(TTIK urbano) – </w:t>
            </w:r>
            <w:r>
              <w:rPr>
                <w:sz w:val="20"/>
                <w:lang w:val="pt-BR"/>
              </w:rPr>
              <w:t xml:space="preserve"> </w:t>
            </w:r>
            <w:r w:rsidRPr="005C4F11">
              <w:rPr>
                <w:sz w:val="20"/>
                <w:lang w:val="pt-BR"/>
              </w:rPr>
              <w:t xml:space="preserve">DISNORTE: </w:t>
            </w:r>
            <w:r>
              <w:rPr>
                <w:sz w:val="20"/>
                <w:lang w:val="pt-BR"/>
              </w:rPr>
              <w:t>4,21</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4,50</w:t>
            </w:r>
          </w:p>
          <w:p w14:paraId="02D0CBE5" w14:textId="77777777" w:rsidR="00BA154C" w:rsidRPr="005C4F11" w:rsidRDefault="00BA154C" w:rsidP="007C63F9">
            <w:pPr>
              <w:ind w:left="720"/>
              <w:rPr>
                <w:sz w:val="20"/>
                <w:lang w:val="pt-BR"/>
              </w:rPr>
            </w:pPr>
            <w:r w:rsidRPr="005C4F11">
              <w:rPr>
                <w:sz w:val="20"/>
                <w:lang w:val="pt-BR"/>
              </w:rPr>
              <w:t>201</w:t>
            </w:r>
            <w:r>
              <w:rPr>
                <w:sz w:val="20"/>
                <w:lang w:val="pt-BR"/>
              </w:rPr>
              <w:t>2</w:t>
            </w:r>
            <w:r w:rsidRPr="005C4F11">
              <w:rPr>
                <w:sz w:val="20"/>
                <w:lang w:val="pt-BR"/>
              </w:rPr>
              <w:t xml:space="preserve"> </w:t>
            </w:r>
            <w:r>
              <w:rPr>
                <w:sz w:val="20"/>
                <w:lang w:val="pt-BR"/>
              </w:rPr>
              <w:t>I</w:t>
            </w:r>
            <w:r w:rsidRPr="005C4F11">
              <w:rPr>
                <w:sz w:val="20"/>
                <w:lang w:val="pt-BR"/>
              </w:rPr>
              <w:t xml:space="preserve">I Sem </w:t>
            </w:r>
            <w:r>
              <w:rPr>
                <w:sz w:val="20"/>
                <w:lang w:val="pt-BR"/>
              </w:rPr>
              <w:t xml:space="preserve">  </w:t>
            </w:r>
            <w:r w:rsidRPr="005C4F11">
              <w:rPr>
                <w:sz w:val="20"/>
                <w:lang w:val="pt-BR"/>
              </w:rPr>
              <w:t xml:space="preserve">(FMIK urbano) – DISNORTE: </w:t>
            </w:r>
            <w:r>
              <w:rPr>
                <w:sz w:val="20"/>
                <w:lang w:val="pt-BR"/>
              </w:rPr>
              <w:t>2,71</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2,71</w:t>
            </w:r>
          </w:p>
          <w:p w14:paraId="1F2AD4AE" w14:textId="77777777" w:rsidR="00BA154C" w:rsidRPr="005C4F11" w:rsidRDefault="00BA154C" w:rsidP="007C63F9">
            <w:pPr>
              <w:ind w:left="720"/>
              <w:rPr>
                <w:sz w:val="20"/>
                <w:lang w:val="pt-BR"/>
              </w:rPr>
            </w:pPr>
            <w:r w:rsidRPr="005C4F11">
              <w:rPr>
                <w:sz w:val="20"/>
                <w:lang w:val="pt-BR"/>
              </w:rPr>
              <w:t xml:space="preserve">                   </w:t>
            </w:r>
            <w:r>
              <w:rPr>
                <w:sz w:val="20"/>
                <w:lang w:val="pt-BR"/>
              </w:rPr>
              <w:t xml:space="preserve">   </w:t>
            </w:r>
            <w:r w:rsidRPr="005C4F11">
              <w:rPr>
                <w:sz w:val="20"/>
                <w:lang w:val="pt-BR"/>
              </w:rPr>
              <w:t xml:space="preserve">(TTIK urbano) – </w:t>
            </w:r>
            <w:r>
              <w:rPr>
                <w:sz w:val="20"/>
                <w:lang w:val="pt-BR"/>
              </w:rPr>
              <w:t xml:space="preserve"> </w:t>
            </w:r>
            <w:r w:rsidRPr="005C4F11">
              <w:rPr>
                <w:sz w:val="20"/>
                <w:lang w:val="pt-BR"/>
              </w:rPr>
              <w:t xml:space="preserve">DISNORTE: </w:t>
            </w:r>
            <w:r>
              <w:rPr>
                <w:sz w:val="20"/>
                <w:lang w:val="pt-BR"/>
              </w:rPr>
              <w:t>3,49</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4,34</w:t>
            </w:r>
          </w:p>
          <w:p w14:paraId="492DCB70" w14:textId="77777777" w:rsidR="00BA154C" w:rsidRPr="005C4F11" w:rsidRDefault="00BA154C" w:rsidP="007C63F9">
            <w:pPr>
              <w:ind w:left="720"/>
              <w:rPr>
                <w:sz w:val="20"/>
                <w:lang w:val="pt-BR"/>
              </w:rPr>
            </w:pPr>
            <w:r w:rsidRPr="005C4F11">
              <w:rPr>
                <w:sz w:val="20"/>
                <w:lang w:val="pt-BR"/>
              </w:rPr>
              <w:t>201</w:t>
            </w:r>
            <w:r>
              <w:rPr>
                <w:sz w:val="20"/>
                <w:lang w:val="pt-BR"/>
              </w:rPr>
              <w:t>3</w:t>
            </w:r>
            <w:r w:rsidRPr="005C4F11">
              <w:rPr>
                <w:sz w:val="20"/>
                <w:lang w:val="pt-BR"/>
              </w:rPr>
              <w:t xml:space="preserve"> I Sem </w:t>
            </w:r>
            <w:r>
              <w:rPr>
                <w:sz w:val="20"/>
                <w:lang w:val="pt-BR"/>
              </w:rPr>
              <w:t xml:space="preserve">  </w:t>
            </w:r>
            <w:r w:rsidRPr="005C4F11">
              <w:rPr>
                <w:sz w:val="20"/>
                <w:lang w:val="pt-BR"/>
              </w:rPr>
              <w:t xml:space="preserve">(FMIK urbano) – DISNORTE: </w:t>
            </w:r>
            <w:r>
              <w:rPr>
                <w:sz w:val="20"/>
                <w:lang w:val="pt-BR"/>
              </w:rPr>
              <w:t>2,34</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2,30</w:t>
            </w:r>
          </w:p>
          <w:p w14:paraId="7CE26951" w14:textId="77777777" w:rsidR="00BA154C" w:rsidRDefault="00BA154C" w:rsidP="007C63F9">
            <w:pPr>
              <w:ind w:left="720"/>
              <w:rPr>
                <w:sz w:val="20"/>
                <w:lang w:val="pt-BR"/>
              </w:rPr>
            </w:pPr>
            <w:r w:rsidRPr="005C4F11">
              <w:rPr>
                <w:sz w:val="20"/>
                <w:lang w:val="pt-BR"/>
              </w:rPr>
              <w:t xml:space="preserve">                   </w:t>
            </w:r>
            <w:r>
              <w:rPr>
                <w:sz w:val="20"/>
                <w:lang w:val="pt-BR"/>
              </w:rPr>
              <w:t xml:space="preserve">   </w:t>
            </w:r>
            <w:r w:rsidRPr="005C4F11">
              <w:rPr>
                <w:sz w:val="20"/>
                <w:lang w:val="pt-BR"/>
              </w:rPr>
              <w:t xml:space="preserve">(TTIK urbano) – </w:t>
            </w:r>
            <w:r>
              <w:rPr>
                <w:sz w:val="20"/>
                <w:lang w:val="pt-BR"/>
              </w:rPr>
              <w:t xml:space="preserve"> </w:t>
            </w:r>
            <w:r w:rsidRPr="005C4F11">
              <w:rPr>
                <w:sz w:val="20"/>
                <w:lang w:val="pt-BR"/>
              </w:rPr>
              <w:t xml:space="preserve">DISNORTE: </w:t>
            </w:r>
            <w:r>
              <w:rPr>
                <w:sz w:val="20"/>
                <w:lang w:val="pt-BR"/>
              </w:rPr>
              <w:t>3,26</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3,50</w:t>
            </w:r>
          </w:p>
          <w:p w14:paraId="14EF3C45" w14:textId="77777777" w:rsidR="00BA154C" w:rsidRPr="005C4F11" w:rsidRDefault="00BA154C" w:rsidP="007C63F9">
            <w:pPr>
              <w:ind w:left="720"/>
              <w:rPr>
                <w:sz w:val="20"/>
                <w:lang w:val="pt-BR"/>
              </w:rPr>
            </w:pPr>
            <w:r w:rsidRPr="005C4F11">
              <w:rPr>
                <w:sz w:val="20"/>
                <w:lang w:val="pt-BR"/>
              </w:rPr>
              <w:t>201</w:t>
            </w:r>
            <w:r>
              <w:rPr>
                <w:sz w:val="20"/>
                <w:lang w:val="pt-BR"/>
              </w:rPr>
              <w:t>3</w:t>
            </w:r>
            <w:r w:rsidRPr="005C4F11">
              <w:rPr>
                <w:sz w:val="20"/>
                <w:lang w:val="pt-BR"/>
              </w:rPr>
              <w:t xml:space="preserve"> </w:t>
            </w:r>
            <w:r>
              <w:rPr>
                <w:sz w:val="20"/>
                <w:lang w:val="pt-BR"/>
              </w:rPr>
              <w:t>I</w:t>
            </w:r>
            <w:r w:rsidRPr="005C4F11">
              <w:rPr>
                <w:sz w:val="20"/>
                <w:lang w:val="pt-BR"/>
              </w:rPr>
              <w:t xml:space="preserve">I Sem </w:t>
            </w:r>
            <w:r>
              <w:rPr>
                <w:sz w:val="20"/>
                <w:lang w:val="pt-BR"/>
              </w:rPr>
              <w:t xml:space="preserve">  </w:t>
            </w:r>
            <w:r w:rsidRPr="005C4F11">
              <w:rPr>
                <w:sz w:val="20"/>
                <w:lang w:val="pt-BR"/>
              </w:rPr>
              <w:t xml:space="preserve">(FMIK urbano) – DISNORTE: </w:t>
            </w:r>
            <w:r>
              <w:rPr>
                <w:sz w:val="20"/>
                <w:lang w:val="pt-BR"/>
              </w:rPr>
              <w:t>3,39</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2,66</w:t>
            </w:r>
          </w:p>
          <w:p w14:paraId="38E7CFA6" w14:textId="77777777" w:rsidR="00BA154C" w:rsidRDefault="00BA154C" w:rsidP="007C63F9">
            <w:pPr>
              <w:ind w:left="720"/>
              <w:rPr>
                <w:sz w:val="20"/>
                <w:lang w:val="pt-BR"/>
              </w:rPr>
            </w:pPr>
            <w:r w:rsidRPr="005C4F11">
              <w:rPr>
                <w:sz w:val="20"/>
                <w:lang w:val="pt-BR"/>
              </w:rPr>
              <w:t xml:space="preserve">                   </w:t>
            </w:r>
            <w:r>
              <w:rPr>
                <w:sz w:val="20"/>
                <w:lang w:val="pt-BR"/>
              </w:rPr>
              <w:t xml:space="preserve">   </w:t>
            </w:r>
            <w:r w:rsidRPr="005C4F11">
              <w:rPr>
                <w:sz w:val="20"/>
                <w:lang w:val="pt-BR"/>
              </w:rPr>
              <w:t xml:space="preserve">(TTIK urbano) – </w:t>
            </w:r>
            <w:r>
              <w:rPr>
                <w:sz w:val="20"/>
                <w:lang w:val="pt-BR"/>
              </w:rPr>
              <w:t xml:space="preserve"> </w:t>
            </w:r>
            <w:r w:rsidRPr="005C4F11">
              <w:rPr>
                <w:sz w:val="20"/>
                <w:lang w:val="pt-BR"/>
              </w:rPr>
              <w:t xml:space="preserve">DISNORTE: </w:t>
            </w:r>
            <w:r>
              <w:rPr>
                <w:sz w:val="20"/>
                <w:lang w:val="pt-BR"/>
              </w:rPr>
              <w:t>5,15</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5,97</w:t>
            </w:r>
          </w:p>
          <w:p w14:paraId="3015F011" w14:textId="77777777" w:rsidR="00BA154C" w:rsidRPr="005C4F11" w:rsidRDefault="00BA154C" w:rsidP="007C63F9">
            <w:pPr>
              <w:ind w:left="720"/>
              <w:rPr>
                <w:sz w:val="20"/>
                <w:lang w:val="pt-BR"/>
              </w:rPr>
            </w:pPr>
            <w:r w:rsidRPr="005C4F11">
              <w:rPr>
                <w:sz w:val="20"/>
                <w:lang w:val="pt-BR"/>
              </w:rPr>
              <w:t>201</w:t>
            </w:r>
            <w:r>
              <w:rPr>
                <w:sz w:val="20"/>
                <w:lang w:val="pt-BR"/>
              </w:rPr>
              <w:t>4</w:t>
            </w:r>
            <w:r w:rsidRPr="005C4F11">
              <w:rPr>
                <w:sz w:val="20"/>
                <w:lang w:val="pt-BR"/>
              </w:rPr>
              <w:t xml:space="preserve"> I Sem </w:t>
            </w:r>
            <w:r>
              <w:rPr>
                <w:sz w:val="20"/>
                <w:lang w:val="pt-BR"/>
              </w:rPr>
              <w:t xml:space="preserve">  </w:t>
            </w:r>
            <w:r w:rsidRPr="005C4F11">
              <w:rPr>
                <w:sz w:val="20"/>
                <w:lang w:val="pt-BR"/>
              </w:rPr>
              <w:t xml:space="preserve">(FMIK urbano) – DISNORTE: </w:t>
            </w:r>
            <w:r>
              <w:rPr>
                <w:sz w:val="20"/>
                <w:lang w:val="pt-BR"/>
              </w:rPr>
              <w:t>1,96:</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2,10</w:t>
            </w:r>
          </w:p>
          <w:p w14:paraId="54A79112" w14:textId="77777777" w:rsidR="00BA154C" w:rsidRDefault="00BA154C" w:rsidP="007C63F9">
            <w:pPr>
              <w:ind w:left="720"/>
              <w:rPr>
                <w:sz w:val="20"/>
                <w:lang w:val="pt-BR"/>
              </w:rPr>
            </w:pPr>
            <w:r w:rsidRPr="005C4F11">
              <w:rPr>
                <w:sz w:val="20"/>
                <w:lang w:val="pt-BR"/>
              </w:rPr>
              <w:t xml:space="preserve">                   </w:t>
            </w:r>
            <w:r>
              <w:rPr>
                <w:sz w:val="20"/>
                <w:lang w:val="pt-BR"/>
              </w:rPr>
              <w:t xml:space="preserve">   </w:t>
            </w:r>
            <w:r w:rsidRPr="005C4F11">
              <w:rPr>
                <w:sz w:val="20"/>
                <w:lang w:val="pt-BR"/>
              </w:rPr>
              <w:t xml:space="preserve">(TTIK urbano) – </w:t>
            </w:r>
            <w:r>
              <w:rPr>
                <w:sz w:val="20"/>
                <w:lang w:val="pt-BR"/>
              </w:rPr>
              <w:t xml:space="preserve"> </w:t>
            </w:r>
            <w:r w:rsidRPr="005C4F11">
              <w:rPr>
                <w:sz w:val="20"/>
                <w:lang w:val="pt-BR"/>
              </w:rPr>
              <w:t xml:space="preserve">DISNORTE: </w:t>
            </w:r>
            <w:r>
              <w:rPr>
                <w:sz w:val="20"/>
                <w:lang w:val="pt-BR"/>
              </w:rPr>
              <w:t>3,67</w:t>
            </w:r>
            <w:r w:rsidRPr="005C4F11">
              <w:rPr>
                <w:sz w:val="20"/>
                <w:lang w:val="pt-BR"/>
              </w:rPr>
              <w:t xml:space="preserve">; </w:t>
            </w:r>
            <w:r>
              <w:rPr>
                <w:sz w:val="20"/>
                <w:lang w:val="pt-BR"/>
              </w:rPr>
              <w:t xml:space="preserve">     </w:t>
            </w:r>
            <w:r w:rsidRPr="005C4F11">
              <w:rPr>
                <w:sz w:val="20"/>
                <w:lang w:val="pt-BR"/>
              </w:rPr>
              <w:t xml:space="preserve">DISSUR: </w:t>
            </w:r>
            <w:r>
              <w:rPr>
                <w:sz w:val="20"/>
                <w:lang w:val="pt-BR"/>
              </w:rPr>
              <w:t>3,50</w:t>
            </w:r>
          </w:p>
          <w:p w14:paraId="3B7531A9" w14:textId="77777777" w:rsidR="00BA154C" w:rsidRPr="00715CEB" w:rsidRDefault="00BA154C" w:rsidP="007C63F9">
            <w:pPr>
              <w:ind w:left="720"/>
              <w:rPr>
                <w:sz w:val="20"/>
                <w:lang w:val="pt-BR"/>
              </w:rPr>
            </w:pPr>
            <w:r w:rsidRPr="00715CEB">
              <w:rPr>
                <w:sz w:val="20"/>
                <w:lang w:val="pt-BR"/>
              </w:rPr>
              <w:t xml:space="preserve">2014 II Sem   (FMIK urbano) – DISNORTE: 2,49;    DISSUR: 2,40 </w:t>
            </w:r>
          </w:p>
          <w:p w14:paraId="19FEFD3C" w14:textId="77777777" w:rsidR="00BA154C" w:rsidRPr="00715CEB" w:rsidRDefault="00BA154C" w:rsidP="007C63F9">
            <w:pPr>
              <w:ind w:left="720"/>
              <w:rPr>
                <w:sz w:val="20"/>
                <w:lang w:val="pt-BR"/>
              </w:rPr>
            </w:pPr>
            <w:r w:rsidRPr="00715CEB">
              <w:rPr>
                <w:sz w:val="20"/>
                <w:lang w:val="pt-BR"/>
              </w:rPr>
              <w:t xml:space="preserve">                      (TTIK urbano) –  DISNORTE: 5,17;      DISSUR: 5,00</w:t>
            </w:r>
          </w:p>
          <w:p w14:paraId="66459C4B" w14:textId="77777777" w:rsidR="00BA154C" w:rsidRPr="00715CEB" w:rsidRDefault="00BA154C" w:rsidP="007C63F9">
            <w:pPr>
              <w:ind w:left="720"/>
              <w:rPr>
                <w:sz w:val="20"/>
                <w:lang w:val="pt-BR"/>
              </w:rPr>
            </w:pPr>
            <w:r w:rsidRPr="00715CEB">
              <w:rPr>
                <w:sz w:val="20"/>
                <w:lang w:val="pt-BR"/>
              </w:rPr>
              <w:t xml:space="preserve">2015 I Sem   (FMIK urbano) – DISNORTE: 2,77;     DISSUR: 2,10 </w:t>
            </w:r>
          </w:p>
          <w:p w14:paraId="1789DD9D" w14:textId="77777777" w:rsidR="00BA154C" w:rsidRPr="00715CEB" w:rsidRDefault="00BA154C" w:rsidP="007C63F9">
            <w:pPr>
              <w:ind w:left="720"/>
              <w:rPr>
                <w:sz w:val="20"/>
                <w:lang w:val="pt-BR"/>
              </w:rPr>
            </w:pPr>
            <w:r w:rsidRPr="00715CEB">
              <w:rPr>
                <w:sz w:val="20"/>
                <w:lang w:val="pt-BR"/>
              </w:rPr>
              <w:t xml:space="preserve">                      (TTIK urbano) –  DISNORTE: 5,51;      DISSUR: 4,80</w:t>
            </w:r>
          </w:p>
          <w:p w14:paraId="1F0786E3" w14:textId="77777777" w:rsidR="00BA154C" w:rsidRPr="00715CEB" w:rsidRDefault="00BA154C" w:rsidP="007C63F9">
            <w:pPr>
              <w:ind w:left="720"/>
              <w:rPr>
                <w:sz w:val="20"/>
                <w:lang w:val="pt-BR"/>
              </w:rPr>
            </w:pPr>
            <w:r w:rsidRPr="00715CEB">
              <w:rPr>
                <w:sz w:val="20"/>
                <w:lang w:val="pt-BR"/>
              </w:rPr>
              <w:t xml:space="preserve">2015 II Sem   (FMIK urbano) – DISNORTE: 1,94;     DISSUR: 2,20 </w:t>
            </w:r>
          </w:p>
          <w:p w14:paraId="7ECE6470" w14:textId="77777777" w:rsidR="00BA154C" w:rsidRPr="00715CEB" w:rsidRDefault="00BA154C" w:rsidP="007C63F9">
            <w:pPr>
              <w:ind w:left="720"/>
              <w:rPr>
                <w:sz w:val="20"/>
                <w:lang w:val="pt-BR"/>
              </w:rPr>
            </w:pPr>
            <w:r w:rsidRPr="00715CEB">
              <w:rPr>
                <w:sz w:val="20"/>
                <w:lang w:val="pt-BR"/>
              </w:rPr>
              <w:t xml:space="preserve">                      (TTIK urbano) –  DISNORTE: 3,41;      DISSUR: 4,20</w:t>
            </w:r>
          </w:p>
          <w:p w14:paraId="4EF022CF" w14:textId="77777777" w:rsidR="00BA154C" w:rsidRPr="00715CEB" w:rsidRDefault="00BA154C" w:rsidP="007C63F9">
            <w:pPr>
              <w:ind w:left="720"/>
              <w:rPr>
                <w:sz w:val="20"/>
                <w:lang w:val="pt-BR"/>
              </w:rPr>
            </w:pPr>
            <w:r w:rsidRPr="00715CEB">
              <w:rPr>
                <w:sz w:val="20"/>
                <w:lang w:val="pt-BR"/>
              </w:rPr>
              <w:t>2016 I Sem   (FMIK urbano) – DISNORTE: 2,81;    DISSUR: 2,00</w:t>
            </w:r>
          </w:p>
          <w:p w14:paraId="6D743E6E" w14:textId="77777777" w:rsidR="00BA154C" w:rsidRPr="00715CEB" w:rsidRDefault="00BA154C" w:rsidP="007C63F9">
            <w:pPr>
              <w:ind w:left="720"/>
              <w:rPr>
                <w:sz w:val="20"/>
                <w:lang w:val="pt-BR"/>
              </w:rPr>
            </w:pPr>
            <w:r w:rsidRPr="00715CEB">
              <w:rPr>
                <w:sz w:val="20"/>
                <w:lang w:val="pt-BR"/>
              </w:rPr>
              <w:lastRenderedPageBreak/>
              <w:t xml:space="preserve">                      (TTIK urbano) –  DISNORTE: 4,63;      DISSUR: 3,50 </w:t>
            </w:r>
          </w:p>
          <w:p w14:paraId="1F8BFCFF" w14:textId="77777777" w:rsidR="00BA154C" w:rsidRPr="00715CEB" w:rsidRDefault="00BA154C" w:rsidP="007C63F9">
            <w:pPr>
              <w:ind w:left="720"/>
              <w:rPr>
                <w:sz w:val="20"/>
                <w:lang w:val="pt-BR"/>
              </w:rPr>
            </w:pPr>
            <w:r w:rsidRPr="00715CEB">
              <w:rPr>
                <w:sz w:val="20"/>
                <w:lang w:val="pt-BR"/>
              </w:rPr>
              <w:t>2016 II Sem   (FMIK urbano) – DISNORTE: 2,90;     DISSUR: 2,20</w:t>
            </w:r>
          </w:p>
          <w:p w14:paraId="58758000" w14:textId="77777777" w:rsidR="00BA154C" w:rsidRDefault="00BA154C" w:rsidP="007C63F9">
            <w:pPr>
              <w:ind w:left="720"/>
              <w:rPr>
                <w:sz w:val="20"/>
                <w:lang w:val="pt-BR"/>
              </w:rPr>
            </w:pPr>
            <w:r w:rsidRPr="00715CEB">
              <w:rPr>
                <w:sz w:val="20"/>
                <w:lang w:val="pt-BR"/>
              </w:rPr>
              <w:t xml:space="preserve">                      (TTIK urbano) –  DISNORTE: 5,90;      DISSUR: 3,70</w:t>
            </w:r>
          </w:p>
          <w:p w14:paraId="2EBC7723" w14:textId="77777777" w:rsidR="00BA154C" w:rsidRDefault="00BA154C" w:rsidP="007C63F9">
            <w:pPr>
              <w:ind w:left="720"/>
              <w:rPr>
                <w:sz w:val="20"/>
                <w:lang w:val="pt-BR"/>
              </w:rPr>
            </w:pPr>
          </w:p>
          <w:p w14:paraId="0F334C37" w14:textId="77777777" w:rsidR="00BA154C" w:rsidRDefault="00BA154C" w:rsidP="007C63F9">
            <w:pPr>
              <w:ind w:left="720"/>
              <w:rPr>
                <w:sz w:val="20"/>
                <w:lang w:val="pt-BR"/>
              </w:rPr>
            </w:pPr>
            <w:r w:rsidRPr="00846BFB">
              <w:rPr>
                <w:sz w:val="20"/>
                <w:u w:val="single"/>
                <w:lang w:val="pt-BR"/>
              </w:rPr>
              <w:t>Meta</w:t>
            </w:r>
            <w:r>
              <w:rPr>
                <w:sz w:val="20"/>
                <w:lang w:val="pt-BR"/>
              </w:rPr>
              <w:t>:</w:t>
            </w:r>
          </w:p>
          <w:p w14:paraId="3DFF8CEF" w14:textId="77777777" w:rsidR="00BA154C" w:rsidRPr="005C4F11" w:rsidRDefault="00BA154C" w:rsidP="007C63F9">
            <w:pPr>
              <w:ind w:left="720"/>
              <w:rPr>
                <w:sz w:val="20"/>
                <w:lang w:val="pt-BR"/>
              </w:rPr>
            </w:pPr>
            <w:r w:rsidRPr="005C4F11">
              <w:rPr>
                <w:sz w:val="20"/>
                <w:lang w:val="pt-BR"/>
              </w:rPr>
              <w:t>Sem (FMIK urbano) &lt;=</w:t>
            </w:r>
            <w:r>
              <w:rPr>
                <w:sz w:val="20"/>
                <w:lang w:val="pt-BR"/>
              </w:rPr>
              <w:t xml:space="preserve"> </w:t>
            </w:r>
            <w:r w:rsidRPr="005C4F11">
              <w:rPr>
                <w:sz w:val="20"/>
                <w:lang w:val="pt-BR"/>
              </w:rPr>
              <w:t>4,1</w:t>
            </w:r>
          </w:p>
          <w:p w14:paraId="0FCE7416" w14:textId="77777777" w:rsidR="00BA154C" w:rsidRPr="00846BFB" w:rsidRDefault="00BA154C" w:rsidP="007C63F9">
            <w:pPr>
              <w:ind w:left="1008"/>
              <w:rPr>
                <w:sz w:val="20"/>
                <w:lang w:val="pt-BR"/>
              </w:rPr>
            </w:pPr>
            <w:r w:rsidRPr="005C4F11">
              <w:rPr>
                <w:sz w:val="20"/>
                <w:lang w:val="pt-BR"/>
              </w:rPr>
              <w:t xml:space="preserve">   </w:t>
            </w:r>
            <w:r>
              <w:rPr>
                <w:sz w:val="20"/>
                <w:lang w:val="pt-BR"/>
              </w:rPr>
              <w:t>(TTIK urbano)</w:t>
            </w:r>
            <w:r w:rsidRPr="00846BFB">
              <w:rPr>
                <w:sz w:val="20"/>
                <w:lang w:val="pt-BR"/>
              </w:rPr>
              <w:t xml:space="preserve"> &lt;= 7,0</w:t>
            </w:r>
          </w:p>
        </w:tc>
        <w:tc>
          <w:tcPr>
            <w:tcW w:w="3165" w:type="dxa"/>
          </w:tcPr>
          <w:p w14:paraId="7E481980" w14:textId="77777777" w:rsidR="00BA154C" w:rsidRPr="0033357F" w:rsidRDefault="00BA154C" w:rsidP="007C63F9">
            <w:pPr>
              <w:rPr>
                <w:sz w:val="20"/>
                <w:lang w:val="es-ES"/>
              </w:rPr>
            </w:pPr>
            <w:r w:rsidRPr="0033357F">
              <w:rPr>
                <w:sz w:val="20"/>
                <w:lang w:val="es-ES"/>
              </w:rPr>
              <w:lastRenderedPageBreak/>
              <w:t>Indicadores de calidad de servicio, Fuente INE</w:t>
            </w:r>
          </w:p>
          <w:p w14:paraId="2F073578" w14:textId="77777777" w:rsidR="00BA154C" w:rsidRPr="00000E23" w:rsidRDefault="00BA154C" w:rsidP="007C63F9">
            <w:pPr>
              <w:rPr>
                <w:sz w:val="20"/>
                <w:lang w:val="es-ES"/>
              </w:rPr>
            </w:pPr>
          </w:p>
        </w:tc>
      </w:tr>
      <w:tr w:rsidR="00BA154C" w:rsidRPr="005C4F11" w14:paraId="7681A8F8" w14:textId="77777777" w:rsidTr="007C63F9">
        <w:tc>
          <w:tcPr>
            <w:tcW w:w="2567" w:type="dxa"/>
            <w:vMerge/>
          </w:tcPr>
          <w:p w14:paraId="4E90E1D9" w14:textId="77777777" w:rsidR="00BA154C" w:rsidRPr="00CF2BFD" w:rsidRDefault="00BA154C" w:rsidP="007C63F9">
            <w:pPr>
              <w:rPr>
                <w:sz w:val="20"/>
                <w:lang w:val="es-ES"/>
              </w:rPr>
            </w:pPr>
          </w:p>
        </w:tc>
        <w:tc>
          <w:tcPr>
            <w:tcW w:w="1256" w:type="dxa"/>
          </w:tcPr>
          <w:p w14:paraId="2735117C" w14:textId="77777777" w:rsidR="00BA154C" w:rsidRPr="00000E23" w:rsidDel="00E4714F" w:rsidRDefault="00BA154C" w:rsidP="007C63F9">
            <w:pPr>
              <w:rPr>
                <w:sz w:val="20"/>
                <w:lang w:val="es-ES"/>
              </w:rPr>
            </w:pPr>
            <w:r>
              <w:rPr>
                <w:sz w:val="20"/>
                <w:lang w:val="es-ES"/>
              </w:rPr>
              <w:t>Mejora en el control de suministro</w:t>
            </w:r>
          </w:p>
        </w:tc>
        <w:tc>
          <w:tcPr>
            <w:tcW w:w="7835" w:type="dxa"/>
          </w:tcPr>
          <w:p w14:paraId="39EC78BF" w14:textId="77777777" w:rsidR="00BA154C" w:rsidRPr="00000E23" w:rsidRDefault="00BA154C" w:rsidP="007C63F9">
            <w:pPr>
              <w:rPr>
                <w:sz w:val="20"/>
                <w:lang w:val="es-ES"/>
              </w:rPr>
            </w:pPr>
            <w:r>
              <w:rPr>
                <w:sz w:val="20"/>
                <w:lang w:val="es-ES"/>
              </w:rPr>
              <w:t>C</w:t>
            </w:r>
            <w:r w:rsidRPr="00000E23">
              <w:rPr>
                <w:sz w:val="20"/>
                <w:lang w:val="es-ES"/>
              </w:rPr>
              <w:t>lientes normalizados:</w:t>
            </w:r>
          </w:p>
          <w:p w14:paraId="3FE101CA" w14:textId="77777777" w:rsidR="00BA154C" w:rsidRPr="00000E23" w:rsidRDefault="00BA154C" w:rsidP="007C63F9">
            <w:pPr>
              <w:ind w:left="720"/>
              <w:rPr>
                <w:sz w:val="20"/>
                <w:lang w:val="es-ES"/>
              </w:rPr>
            </w:pPr>
            <w:r w:rsidRPr="00000E23">
              <w:rPr>
                <w:sz w:val="20"/>
                <w:lang w:val="es-ES"/>
              </w:rPr>
              <w:t>2012: 0</w:t>
            </w:r>
          </w:p>
          <w:p w14:paraId="360E8A62" w14:textId="77777777" w:rsidR="00BA154C" w:rsidRDefault="00BA154C" w:rsidP="007C63F9">
            <w:pPr>
              <w:ind w:left="720"/>
              <w:rPr>
                <w:sz w:val="20"/>
                <w:lang w:val="es-ES"/>
              </w:rPr>
            </w:pPr>
            <w:r w:rsidRPr="00000E23">
              <w:rPr>
                <w:sz w:val="20"/>
                <w:lang w:val="es-ES"/>
              </w:rPr>
              <w:t xml:space="preserve">2014: </w:t>
            </w:r>
            <w:r>
              <w:rPr>
                <w:sz w:val="20"/>
                <w:lang w:val="es-ES"/>
              </w:rPr>
              <w:t xml:space="preserve">23.511 (real)      </w:t>
            </w:r>
            <w:r w:rsidRPr="00A86C68">
              <w:rPr>
                <w:sz w:val="20"/>
                <w:lang w:val="es-ES"/>
              </w:rPr>
              <w:sym w:font="Wingdings" w:char="F0E0"/>
            </w:r>
            <w:r>
              <w:rPr>
                <w:sz w:val="20"/>
                <w:lang w:val="es-ES"/>
              </w:rPr>
              <w:t xml:space="preserve">      </w:t>
            </w:r>
            <w:r w:rsidRPr="00000E23">
              <w:rPr>
                <w:sz w:val="20"/>
                <w:lang w:val="es-ES"/>
              </w:rPr>
              <w:t>27</w:t>
            </w:r>
            <w:r>
              <w:rPr>
                <w:sz w:val="20"/>
                <w:lang w:val="es-ES"/>
              </w:rPr>
              <w:t>.</w:t>
            </w:r>
            <w:r w:rsidRPr="00000E23">
              <w:rPr>
                <w:sz w:val="20"/>
                <w:lang w:val="es-ES"/>
              </w:rPr>
              <w:t>000</w:t>
            </w:r>
            <w:r>
              <w:rPr>
                <w:sz w:val="20"/>
                <w:lang w:val="es-ES"/>
              </w:rPr>
              <w:t xml:space="preserve"> (meta)</w:t>
            </w:r>
          </w:p>
          <w:p w14:paraId="66DFAFEF" w14:textId="77777777" w:rsidR="00BA154C" w:rsidRPr="00000E23" w:rsidRDefault="00BA154C" w:rsidP="007C63F9">
            <w:pPr>
              <w:ind w:left="720"/>
              <w:rPr>
                <w:sz w:val="20"/>
                <w:lang w:val="es-ES"/>
              </w:rPr>
            </w:pPr>
            <w:r>
              <w:rPr>
                <w:sz w:val="20"/>
                <w:lang w:val="es-ES"/>
              </w:rPr>
              <w:t>2015: 36.531 (real)</w:t>
            </w:r>
          </w:p>
          <w:p w14:paraId="2E6D57F7" w14:textId="77777777" w:rsidR="00BA154C" w:rsidRPr="0033357F" w:rsidRDefault="00BA154C" w:rsidP="007C63F9">
            <w:pPr>
              <w:ind w:left="720"/>
              <w:rPr>
                <w:sz w:val="20"/>
                <w:lang w:val="es-ES"/>
              </w:rPr>
            </w:pPr>
            <w:r w:rsidRPr="00000E23">
              <w:rPr>
                <w:sz w:val="20"/>
                <w:lang w:val="es-ES"/>
              </w:rPr>
              <w:t xml:space="preserve">2016: </w:t>
            </w:r>
            <w:r>
              <w:rPr>
                <w:sz w:val="20"/>
                <w:lang w:val="es-ES"/>
              </w:rPr>
              <w:t xml:space="preserve">48.113 (real)      </w:t>
            </w:r>
            <w:r w:rsidRPr="00A86C68">
              <w:rPr>
                <w:sz w:val="20"/>
                <w:lang w:val="es-ES"/>
              </w:rPr>
              <w:sym w:font="Wingdings" w:char="F0E0"/>
            </w:r>
            <w:r>
              <w:rPr>
                <w:sz w:val="20"/>
                <w:lang w:val="es-ES"/>
              </w:rPr>
              <w:t xml:space="preserve">      </w:t>
            </w:r>
            <w:r w:rsidRPr="00000E23">
              <w:rPr>
                <w:sz w:val="20"/>
                <w:lang w:val="es-ES"/>
              </w:rPr>
              <w:t>96</w:t>
            </w:r>
            <w:r>
              <w:rPr>
                <w:sz w:val="20"/>
                <w:lang w:val="es-ES"/>
              </w:rPr>
              <w:t>.</w:t>
            </w:r>
            <w:r w:rsidRPr="00000E23">
              <w:rPr>
                <w:sz w:val="20"/>
                <w:lang w:val="es-ES"/>
              </w:rPr>
              <w:t>000</w:t>
            </w:r>
            <w:r>
              <w:rPr>
                <w:sz w:val="20"/>
                <w:lang w:val="es-ES"/>
              </w:rPr>
              <w:t xml:space="preserve"> (meta)</w:t>
            </w:r>
            <w:r w:rsidRPr="00000E23">
              <w:rPr>
                <w:sz w:val="20"/>
                <w:lang w:val="es-ES"/>
              </w:rPr>
              <w:t xml:space="preserve">   </w:t>
            </w:r>
          </w:p>
        </w:tc>
        <w:tc>
          <w:tcPr>
            <w:tcW w:w="3165" w:type="dxa"/>
          </w:tcPr>
          <w:p w14:paraId="33D4670A" w14:textId="77777777" w:rsidR="00BA154C" w:rsidRPr="0033357F" w:rsidRDefault="00BA154C" w:rsidP="007C63F9">
            <w:pPr>
              <w:rPr>
                <w:sz w:val="20"/>
                <w:lang w:val="es-ES"/>
              </w:rPr>
            </w:pPr>
            <w:r w:rsidRPr="0033357F">
              <w:rPr>
                <w:sz w:val="20"/>
                <w:lang w:val="es-ES"/>
              </w:rPr>
              <w:t>Número de clientes formalizados, Fuente MEM</w:t>
            </w:r>
          </w:p>
        </w:tc>
      </w:tr>
      <w:tr w:rsidR="00BA154C" w:rsidRPr="005C4F11" w14:paraId="79E41CE0" w14:textId="77777777" w:rsidTr="007C63F9">
        <w:tc>
          <w:tcPr>
            <w:tcW w:w="2567" w:type="dxa"/>
            <w:vMerge/>
          </w:tcPr>
          <w:p w14:paraId="673C3717" w14:textId="77777777" w:rsidR="00BA154C" w:rsidRPr="00CF2BFD" w:rsidRDefault="00BA154C" w:rsidP="007C63F9">
            <w:pPr>
              <w:rPr>
                <w:sz w:val="20"/>
                <w:lang w:val="es-ES"/>
              </w:rPr>
            </w:pPr>
          </w:p>
        </w:tc>
        <w:tc>
          <w:tcPr>
            <w:tcW w:w="1256" w:type="dxa"/>
          </w:tcPr>
          <w:p w14:paraId="0C1A5715" w14:textId="77777777" w:rsidR="00BA154C" w:rsidRPr="00000E23" w:rsidDel="00E4714F" w:rsidRDefault="00BA154C" w:rsidP="007C63F9">
            <w:pPr>
              <w:rPr>
                <w:sz w:val="20"/>
                <w:lang w:val="es-ES"/>
              </w:rPr>
            </w:pPr>
            <w:r>
              <w:rPr>
                <w:sz w:val="20"/>
                <w:lang w:val="es-ES"/>
              </w:rPr>
              <w:t>Ampliación de la cobertura eléctrica</w:t>
            </w:r>
          </w:p>
        </w:tc>
        <w:tc>
          <w:tcPr>
            <w:tcW w:w="7835" w:type="dxa"/>
          </w:tcPr>
          <w:p w14:paraId="698B7F6B" w14:textId="77777777" w:rsidR="00BA154C" w:rsidRPr="008D6E36" w:rsidRDefault="00BA154C" w:rsidP="007C63F9">
            <w:pPr>
              <w:rPr>
                <w:sz w:val="20"/>
                <w:lang w:val="pt-BR"/>
              </w:rPr>
            </w:pPr>
            <w:r w:rsidRPr="008D6E36">
              <w:rPr>
                <w:sz w:val="20"/>
                <w:lang w:val="pt-BR"/>
              </w:rPr>
              <w:t>Cobertura eléctrica</w:t>
            </w:r>
            <w:r>
              <w:rPr>
                <w:rStyle w:val="FootnoteReference"/>
                <w:sz w:val="20"/>
                <w:lang w:val="es-ES"/>
              </w:rPr>
              <w:footnoteReference w:id="9"/>
            </w:r>
            <w:r w:rsidRPr="008D6E36">
              <w:rPr>
                <w:sz w:val="20"/>
                <w:lang w:val="pt-BR"/>
              </w:rPr>
              <w:t>:</w:t>
            </w:r>
          </w:p>
          <w:p w14:paraId="27A40DF4" w14:textId="77777777" w:rsidR="00BA154C" w:rsidRPr="008D6E36" w:rsidRDefault="00BA154C" w:rsidP="007C63F9">
            <w:pPr>
              <w:spacing w:line="276" w:lineRule="auto"/>
              <w:ind w:left="720"/>
              <w:rPr>
                <w:sz w:val="20"/>
                <w:lang w:val="pt-BR"/>
              </w:rPr>
            </w:pPr>
            <w:r w:rsidRPr="008D6E36">
              <w:rPr>
                <w:sz w:val="20"/>
                <w:lang w:val="pt-BR"/>
              </w:rPr>
              <w:t>2012: 72,3% (real)</w:t>
            </w:r>
          </w:p>
          <w:p w14:paraId="5BB81A90" w14:textId="77777777" w:rsidR="00BA154C" w:rsidRPr="008D6E36" w:rsidRDefault="00BA154C" w:rsidP="007C63F9">
            <w:pPr>
              <w:spacing w:line="276" w:lineRule="auto"/>
              <w:ind w:left="720"/>
              <w:rPr>
                <w:sz w:val="20"/>
                <w:lang w:val="pt-BR"/>
              </w:rPr>
            </w:pPr>
            <w:r w:rsidRPr="008D6E36">
              <w:rPr>
                <w:sz w:val="20"/>
                <w:lang w:val="pt-BR"/>
              </w:rPr>
              <w:t>2013: 74,6% (real)</w:t>
            </w:r>
          </w:p>
          <w:p w14:paraId="40DFE6BF" w14:textId="77777777" w:rsidR="00BA154C" w:rsidRPr="008D6E36" w:rsidRDefault="00BA154C" w:rsidP="007C63F9">
            <w:pPr>
              <w:spacing w:line="276" w:lineRule="auto"/>
              <w:ind w:left="720"/>
              <w:rPr>
                <w:sz w:val="20"/>
                <w:lang w:val="pt-BR"/>
              </w:rPr>
            </w:pPr>
            <w:r w:rsidRPr="008D6E36">
              <w:rPr>
                <w:sz w:val="20"/>
                <w:lang w:val="pt-BR"/>
              </w:rPr>
              <w:t xml:space="preserve">2014: 77,1% (real)      </w:t>
            </w:r>
            <w:r w:rsidRPr="00A86C68">
              <w:rPr>
                <w:sz w:val="20"/>
                <w:lang w:val="es-ES"/>
              </w:rPr>
              <w:sym w:font="Wingdings" w:char="F0E0"/>
            </w:r>
            <w:r w:rsidRPr="008D6E36">
              <w:rPr>
                <w:sz w:val="20"/>
                <w:lang w:val="pt-BR"/>
              </w:rPr>
              <w:t xml:space="preserve">      80,1% (meta)</w:t>
            </w:r>
          </w:p>
          <w:p w14:paraId="68A3FE75" w14:textId="77777777" w:rsidR="00BA154C" w:rsidRPr="008D6E36" w:rsidRDefault="00BA154C" w:rsidP="007C63F9">
            <w:pPr>
              <w:spacing w:line="276" w:lineRule="auto"/>
              <w:ind w:left="720"/>
              <w:rPr>
                <w:sz w:val="20"/>
                <w:lang w:val="pt-BR"/>
              </w:rPr>
            </w:pPr>
            <w:r w:rsidRPr="008D6E36">
              <w:rPr>
                <w:sz w:val="20"/>
                <w:lang w:val="pt-BR"/>
              </w:rPr>
              <w:t>2015: 81,6% (real)</w:t>
            </w:r>
          </w:p>
          <w:p w14:paraId="7665BCDF" w14:textId="77777777" w:rsidR="00BA154C" w:rsidRPr="008D6E36" w:rsidRDefault="00BA154C" w:rsidP="007C63F9">
            <w:pPr>
              <w:ind w:left="720"/>
              <w:rPr>
                <w:sz w:val="20"/>
                <w:lang w:val="pt-BR"/>
              </w:rPr>
            </w:pPr>
            <w:r w:rsidRPr="008D6E36">
              <w:rPr>
                <w:sz w:val="20"/>
                <w:lang w:val="pt-BR"/>
              </w:rPr>
              <w:t xml:space="preserve">2016: </w:t>
            </w:r>
            <w:r w:rsidRPr="00914212">
              <w:rPr>
                <w:sz w:val="20"/>
                <w:lang w:val="pt-BR"/>
              </w:rPr>
              <w:t>n/d</w:t>
            </w:r>
            <w:r w:rsidRPr="008D6E36">
              <w:rPr>
                <w:sz w:val="20"/>
                <w:lang w:val="pt-BR"/>
              </w:rPr>
              <w:t xml:space="preserve">                     </w:t>
            </w:r>
            <w:r w:rsidRPr="00A86C68">
              <w:rPr>
                <w:sz w:val="20"/>
                <w:lang w:val="es-ES"/>
              </w:rPr>
              <w:sym w:font="Wingdings" w:char="F0E0"/>
            </w:r>
            <w:r w:rsidRPr="008D6E36">
              <w:rPr>
                <w:sz w:val="20"/>
                <w:lang w:val="pt-BR"/>
              </w:rPr>
              <w:t xml:space="preserve">      85,5% (meta)</w:t>
            </w:r>
          </w:p>
        </w:tc>
        <w:tc>
          <w:tcPr>
            <w:tcW w:w="3165" w:type="dxa"/>
          </w:tcPr>
          <w:p w14:paraId="380BA635" w14:textId="77777777" w:rsidR="00BA154C" w:rsidRPr="0033357F" w:rsidRDefault="00BA154C" w:rsidP="007C63F9">
            <w:pPr>
              <w:rPr>
                <w:sz w:val="20"/>
                <w:lang w:val="es-ES"/>
              </w:rPr>
            </w:pPr>
            <w:r w:rsidRPr="0033357F">
              <w:rPr>
                <w:sz w:val="20"/>
                <w:lang w:val="es-ES"/>
              </w:rPr>
              <w:t xml:space="preserve">Indicador de cobertura eléctrica, Fuente </w:t>
            </w:r>
            <w:r>
              <w:rPr>
                <w:sz w:val="20"/>
                <w:lang w:val="es-ES"/>
              </w:rPr>
              <w:t>CEPAL</w:t>
            </w:r>
          </w:p>
          <w:p w14:paraId="31F40803" w14:textId="77777777" w:rsidR="00BA154C" w:rsidRPr="005C4F11" w:rsidRDefault="00BA154C" w:rsidP="007C63F9">
            <w:pPr>
              <w:rPr>
                <w:sz w:val="20"/>
                <w:lang w:val="es-ES"/>
              </w:rPr>
            </w:pPr>
          </w:p>
        </w:tc>
      </w:tr>
      <w:tr w:rsidR="00BA154C" w:rsidRPr="00F52944" w14:paraId="0A533439" w14:textId="77777777" w:rsidTr="007C63F9">
        <w:tc>
          <w:tcPr>
            <w:tcW w:w="2567" w:type="dxa"/>
            <w:vMerge/>
          </w:tcPr>
          <w:p w14:paraId="3F34A9A6" w14:textId="77777777" w:rsidR="00BA154C" w:rsidRPr="00CF2BFD" w:rsidRDefault="00BA154C" w:rsidP="007C63F9">
            <w:pPr>
              <w:rPr>
                <w:sz w:val="20"/>
                <w:lang w:val="es-ES"/>
              </w:rPr>
            </w:pPr>
          </w:p>
        </w:tc>
        <w:tc>
          <w:tcPr>
            <w:tcW w:w="1256" w:type="dxa"/>
          </w:tcPr>
          <w:p w14:paraId="625D0AE9" w14:textId="77777777" w:rsidR="00BA154C" w:rsidRPr="00000E23" w:rsidDel="00344798" w:rsidRDefault="00BA154C" w:rsidP="007C63F9">
            <w:pPr>
              <w:rPr>
                <w:sz w:val="20"/>
                <w:lang w:val="es-ES"/>
              </w:rPr>
            </w:pPr>
            <w:r>
              <w:rPr>
                <w:sz w:val="20"/>
                <w:lang w:val="es-ES"/>
              </w:rPr>
              <w:t>Reducción de pérdidas porcentuales del sistema</w:t>
            </w:r>
          </w:p>
        </w:tc>
        <w:tc>
          <w:tcPr>
            <w:tcW w:w="7835" w:type="dxa"/>
          </w:tcPr>
          <w:p w14:paraId="26788308" w14:textId="77777777" w:rsidR="00BA154C" w:rsidRPr="00000E23" w:rsidRDefault="00BA154C" w:rsidP="007C63F9">
            <w:pPr>
              <w:rPr>
                <w:sz w:val="20"/>
                <w:lang w:val="es-ES"/>
              </w:rPr>
            </w:pPr>
            <w:r>
              <w:rPr>
                <w:sz w:val="20"/>
                <w:lang w:val="es-ES"/>
              </w:rPr>
              <w:t>P</w:t>
            </w:r>
            <w:r w:rsidRPr="00000E23">
              <w:rPr>
                <w:sz w:val="20"/>
                <w:lang w:val="es-ES"/>
              </w:rPr>
              <w:t xml:space="preserve">érdidas </w:t>
            </w:r>
            <w:r>
              <w:rPr>
                <w:sz w:val="20"/>
                <w:lang w:val="es-ES"/>
              </w:rPr>
              <w:t xml:space="preserve">porcentuales </w:t>
            </w:r>
            <w:r w:rsidRPr="00000E23">
              <w:rPr>
                <w:sz w:val="20"/>
                <w:lang w:val="es-ES"/>
              </w:rPr>
              <w:t>totales del sistema:</w:t>
            </w:r>
          </w:p>
          <w:p w14:paraId="7847A371" w14:textId="77777777" w:rsidR="00BA154C" w:rsidRPr="0030310C" w:rsidRDefault="00BA154C" w:rsidP="007C63F9">
            <w:pPr>
              <w:ind w:left="720"/>
              <w:rPr>
                <w:sz w:val="20"/>
                <w:lang w:val="pt-BR"/>
              </w:rPr>
            </w:pPr>
            <w:r w:rsidRPr="0030310C">
              <w:rPr>
                <w:sz w:val="20"/>
                <w:lang w:val="pt-BR"/>
              </w:rPr>
              <w:t>2012: 23,1% (real)</w:t>
            </w:r>
          </w:p>
          <w:p w14:paraId="6F562893" w14:textId="77777777" w:rsidR="00BA154C" w:rsidRPr="0030310C" w:rsidRDefault="00BA154C" w:rsidP="007C63F9">
            <w:pPr>
              <w:ind w:left="720"/>
              <w:rPr>
                <w:sz w:val="20"/>
                <w:lang w:val="pt-BR"/>
              </w:rPr>
            </w:pPr>
            <w:r w:rsidRPr="0030310C">
              <w:rPr>
                <w:sz w:val="20"/>
                <w:lang w:val="pt-BR"/>
              </w:rPr>
              <w:t>2013: 22,8% (real)</w:t>
            </w:r>
          </w:p>
          <w:p w14:paraId="575F796D" w14:textId="77777777" w:rsidR="00BA154C" w:rsidRDefault="00BA154C" w:rsidP="007C63F9">
            <w:pPr>
              <w:ind w:left="720"/>
              <w:rPr>
                <w:sz w:val="20"/>
                <w:lang w:val="pt-BR"/>
              </w:rPr>
            </w:pPr>
            <w:r w:rsidRPr="0030310C">
              <w:rPr>
                <w:sz w:val="20"/>
                <w:lang w:val="pt-BR"/>
              </w:rPr>
              <w:t>2014: 23,</w:t>
            </w:r>
            <w:r>
              <w:rPr>
                <w:sz w:val="20"/>
                <w:lang w:val="pt-BR"/>
              </w:rPr>
              <w:t>3</w:t>
            </w:r>
            <w:r w:rsidRPr="0030310C">
              <w:rPr>
                <w:sz w:val="20"/>
                <w:lang w:val="pt-BR"/>
              </w:rPr>
              <w:t>% (real)</w:t>
            </w:r>
            <w:r>
              <w:rPr>
                <w:sz w:val="20"/>
                <w:lang w:val="pt-BR"/>
              </w:rPr>
              <w:t xml:space="preserve"> </w:t>
            </w:r>
            <w:r w:rsidRPr="0030310C">
              <w:rPr>
                <w:sz w:val="20"/>
                <w:lang w:val="pt-BR"/>
              </w:rPr>
              <w:t xml:space="preserve">      </w:t>
            </w:r>
            <w:r w:rsidRPr="00C6714A">
              <w:rPr>
                <w:sz w:val="20"/>
                <w:lang w:val="es-ES"/>
              </w:rPr>
              <w:sym w:font="Wingdings" w:char="F0E0"/>
            </w:r>
            <w:r w:rsidRPr="0030310C">
              <w:rPr>
                <w:sz w:val="20"/>
                <w:lang w:val="pt-BR"/>
              </w:rPr>
              <w:t xml:space="preserve">      22,25% (meta)</w:t>
            </w:r>
          </w:p>
          <w:p w14:paraId="04C22557" w14:textId="77777777" w:rsidR="00BA154C" w:rsidRPr="0030310C" w:rsidRDefault="00BA154C" w:rsidP="007C63F9">
            <w:pPr>
              <w:ind w:left="720"/>
              <w:rPr>
                <w:sz w:val="20"/>
                <w:lang w:val="pt-BR"/>
              </w:rPr>
            </w:pPr>
            <w:r>
              <w:rPr>
                <w:sz w:val="20"/>
                <w:lang w:val="pt-BR"/>
              </w:rPr>
              <w:t>2015: 24,7% (real)</w:t>
            </w:r>
          </w:p>
          <w:p w14:paraId="271F2CCF" w14:textId="77777777" w:rsidR="00BA154C" w:rsidRPr="0030310C" w:rsidRDefault="00BA154C" w:rsidP="007C63F9">
            <w:pPr>
              <w:ind w:left="720"/>
              <w:rPr>
                <w:sz w:val="20"/>
                <w:lang w:val="pt-BR"/>
              </w:rPr>
            </w:pPr>
            <w:r w:rsidRPr="0030310C">
              <w:rPr>
                <w:sz w:val="20"/>
                <w:lang w:val="pt-BR"/>
              </w:rPr>
              <w:t xml:space="preserve">2016: </w:t>
            </w:r>
            <w:r w:rsidRPr="00914212">
              <w:rPr>
                <w:sz w:val="20"/>
                <w:lang w:val="pt-BR"/>
              </w:rPr>
              <w:t>n/d</w:t>
            </w:r>
            <w:r>
              <w:rPr>
                <w:rStyle w:val="FootnoteReference"/>
                <w:sz w:val="20"/>
                <w:lang w:val="pt-BR"/>
              </w:rPr>
              <w:footnoteReference w:id="10"/>
            </w:r>
            <w:r w:rsidRPr="0030310C">
              <w:rPr>
                <w:sz w:val="20"/>
                <w:lang w:val="pt-BR"/>
              </w:rPr>
              <w:t xml:space="preserve">                      </w:t>
            </w:r>
            <w:r w:rsidRPr="00C6714A">
              <w:rPr>
                <w:sz w:val="20"/>
                <w:lang w:val="es-ES"/>
              </w:rPr>
              <w:sym w:font="Wingdings" w:char="F0E0"/>
            </w:r>
            <w:r w:rsidRPr="0030310C">
              <w:rPr>
                <w:sz w:val="20"/>
                <w:lang w:val="pt-BR"/>
              </w:rPr>
              <w:t xml:space="preserve">      21,15% (meta)</w:t>
            </w:r>
          </w:p>
        </w:tc>
        <w:tc>
          <w:tcPr>
            <w:tcW w:w="3165" w:type="dxa"/>
          </w:tcPr>
          <w:p w14:paraId="7206CF7F" w14:textId="77777777" w:rsidR="00BA154C" w:rsidRPr="0033357F" w:rsidRDefault="00BA154C" w:rsidP="007C63F9">
            <w:pPr>
              <w:rPr>
                <w:sz w:val="20"/>
                <w:lang w:val="es-ES"/>
              </w:rPr>
            </w:pPr>
            <w:r w:rsidRPr="0033357F">
              <w:rPr>
                <w:sz w:val="20"/>
                <w:lang w:val="es-ES"/>
              </w:rPr>
              <w:t xml:space="preserve">Indicador de pérdidas a nivel del total del sistema, Fuente </w:t>
            </w:r>
            <w:r>
              <w:rPr>
                <w:sz w:val="20"/>
                <w:lang w:val="es-ES"/>
              </w:rPr>
              <w:t>CEPAL</w:t>
            </w:r>
          </w:p>
        </w:tc>
      </w:tr>
      <w:tr w:rsidR="00BA154C" w:rsidRPr="00F52944" w14:paraId="75C8EF17" w14:textId="77777777" w:rsidTr="007C63F9">
        <w:tc>
          <w:tcPr>
            <w:tcW w:w="2567" w:type="dxa"/>
            <w:vMerge w:val="restart"/>
          </w:tcPr>
          <w:p w14:paraId="35073690" w14:textId="77777777" w:rsidR="00BA154C" w:rsidRPr="00492D97" w:rsidRDefault="00BA154C" w:rsidP="00BA154C">
            <w:pPr>
              <w:pStyle w:val="ListParagraph"/>
              <w:numPr>
                <w:ilvl w:val="0"/>
                <w:numId w:val="7"/>
              </w:numPr>
              <w:ind w:left="0" w:firstLine="0"/>
              <w:contextualSpacing/>
              <w:rPr>
                <w:b/>
                <w:sz w:val="20"/>
                <w:lang w:val="es-ES"/>
              </w:rPr>
            </w:pPr>
            <w:r>
              <w:rPr>
                <w:b/>
                <w:sz w:val="20"/>
              </w:rPr>
              <w:t>Transparencia</w:t>
            </w:r>
            <w:r w:rsidRPr="00492D97">
              <w:rPr>
                <w:b/>
                <w:sz w:val="20"/>
              </w:rPr>
              <w:t xml:space="preserve"> de resultados en la gestión del sector:</w:t>
            </w:r>
            <w:r w:rsidRPr="00492D97">
              <w:rPr>
                <w:sz w:val="20"/>
              </w:rPr>
              <w:t xml:space="preserve"> </w:t>
            </w:r>
            <w:r w:rsidRPr="00492D97">
              <w:rPr>
                <w:sz w:val="20"/>
                <w:lang w:val="es-ES"/>
              </w:rPr>
              <w:t>Establecer mecanismos que mejoren la visibilidad de resultados de las empresas públicas y concesionarias en el sector</w:t>
            </w:r>
          </w:p>
        </w:tc>
        <w:tc>
          <w:tcPr>
            <w:tcW w:w="1256" w:type="dxa"/>
          </w:tcPr>
          <w:p w14:paraId="70C51391" w14:textId="77777777" w:rsidR="00BA154C" w:rsidDel="00AE0AF4" w:rsidRDefault="00BA154C" w:rsidP="007C63F9">
            <w:pPr>
              <w:rPr>
                <w:sz w:val="20"/>
                <w:lang w:val="es-ES"/>
              </w:rPr>
            </w:pPr>
            <w:r>
              <w:rPr>
                <w:sz w:val="20"/>
                <w:lang w:val="es-ES"/>
              </w:rPr>
              <w:t>Información de estados financieros</w:t>
            </w:r>
          </w:p>
        </w:tc>
        <w:tc>
          <w:tcPr>
            <w:tcW w:w="7835" w:type="dxa"/>
          </w:tcPr>
          <w:p w14:paraId="538C9909" w14:textId="77777777" w:rsidR="00BA154C" w:rsidRPr="0033357F" w:rsidRDefault="00BA154C" w:rsidP="007C63F9">
            <w:pPr>
              <w:rPr>
                <w:sz w:val="20"/>
                <w:lang w:val="es-ES"/>
              </w:rPr>
            </w:pPr>
            <w:r w:rsidRPr="0033357F">
              <w:rPr>
                <w:sz w:val="20"/>
                <w:lang w:val="es-ES"/>
              </w:rPr>
              <w:t xml:space="preserve">Estados Financieros de las empresas </w:t>
            </w:r>
            <w:r>
              <w:rPr>
                <w:sz w:val="20"/>
                <w:lang w:val="es-ES"/>
              </w:rPr>
              <w:t xml:space="preserve">estales </w:t>
            </w:r>
            <w:r w:rsidRPr="0033357F">
              <w:rPr>
                <w:sz w:val="20"/>
                <w:lang w:val="es-ES"/>
              </w:rPr>
              <w:t>del sector</w:t>
            </w:r>
            <w:r>
              <w:rPr>
                <w:sz w:val="20"/>
                <w:lang w:val="es-ES"/>
              </w:rPr>
              <w:t xml:space="preserve"> disponible para análisis de los agentes del sector y la población de Nicaragua</w:t>
            </w:r>
            <w:r w:rsidRPr="0033357F">
              <w:rPr>
                <w:sz w:val="20"/>
                <w:lang w:val="es-ES"/>
              </w:rPr>
              <w:t>:</w:t>
            </w:r>
          </w:p>
          <w:p w14:paraId="53D7D5BF" w14:textId="77777777" w:rsidR="00BA154C" w:rsidRPr="00BA154C" w:rsidRDefault="00BA154C" w:rsidP="007C63F9">
            <w:pPr>
              <w:ind w:left="720"/>
              <w:rPr>
                <w:sz w:val="20"/>
                <w:lang w:val="en-US"/>
              </w:rPr>
            </w:pPr>
            <w:r w:rsidRPr="00BA154C">
              <w:rPr>
                <w:sz w:val="20"/>
                <w:lang w:val="en-US"/>
              </w:rPr>
              <w:t>2012: 0</w:t>
            </w:r>
          </w:p>
          <w:p w14:paraId="1A2FD44F" w14:textId="77777777" w:rsidR="00BA154C" w:rsidRPr="00BA154C" w:rsidRDefault="00BA154C" w:rsidP="007C63F9">
            <w:pPr>
              <w:ind w:left="720"/>
              <w:rPr>
                <w:sz w:val="20"/>
                <w:lang w:val="en-US"/>
              </w:rPr>
            </w:pPr>
            <w:r w:rsidRPr="00BA154C">
              <w:rPr>
                <w:sz w:val="20"/>
                <w:lang w:val="en-US"/>
              </w:rPr>
              <w:t>2013: ENATREL (real)</w:t>
            </w:r>
          </w:p>
          <w:p w14:paraId="37F09EF6" w14:textId="77777777" w:rsidR="00BA154C" w:rsidRPr="00BA154C" w:rsidRDefault="00BA154C" w:rsidP="007C63F9">
            <w:pPr>
              <w:ind w:left="720"/>
              <w:rPr>
                <w:sz w:val="20"/>
                <w:lang w:val="en-US"/>
              </w:rPr>
            </w:pPr>
            <w:r w:rsidRPr="00BA154C">
              <w:rPr>
                <w:sz w:val="20"/>
                <w:lang w:val="en-US"/>
              </w:rPr>
              <w:t xml:space="preserve">2014: ENATREL (real)               </w:t>
            </w:r>
            <w:r w:rsidRPr="00932341">
              <w:rPr>
                <w:sz w:val="20"/>
              </w:rPr>
              <w:sym w:font="Wingdings" w:char="F0E0"/>
            </w:r>
            <w:r w:rsidRPr="00BA154C">
              <w:rPr>
                <w:sz w:val="20"/>
                <w:lang w:val="en-US"/>
              </w:rPr>
              <w:t xml:space="preserve">      ENATREL (meta)</w:t>
            </w:r>
          </w:p>
          <w:p w14:paraId="250F090D" w14:textId="77777777" w:rsidR="00BA154C" w:rsidRPr="00BA154C" w:rsidRDefault="00BA154C" w:rsidP="007C63F9">
            <w:pPr>
              <w:ind w:left="720"/>
              <w:rPr>
                <w:sz w:val="20"/>
                <w:lang w:val="en-US"/>
              </w:rPr>
            </w:pPr>
            <w:r w:rsidRPr="00BA154C">
              <w:rPr>
                <w:sz w:val="20"/>
                <w:lang w:val="en-US"/>
              </w:rPr>
              <w:t>2015: ENATREL, ENEL (real)</w:t>
            </w:r>
          </w:p>
          <w:p w14:paraId="4CDB0EB7" w14:textId="77777777" w:rsidR="00BA154C" w:rsidRPr="00BA154C" w:rsidRDefault="00BA154C" w:rsidP="007C63F9">
            <w:pPr>
              <w:ind w:left="720"/>
              <w:rPr>
                <w:sz w:val="20"/>
                <w:lang w:val="en-US"/>
              </w:rPr>
            </w:pPr>
            <w:r w:rsidRPr="00BA154C">
              <w:rPr>
                <w:sz w:val="20"/>
                <w:lang w:val="en-US"/>
              </w:rPr>
              <w:t xml:space="preserve">2016: ENATREL, ENEL (real)   </w:t>
            </w:r>
            <w:r w:rsidRPr="00932341">
              <w:rPr>
                <w:sz w:val="20"/>
              </w:rPr>
              <w:sym w:font="Wingdings" w:char="F0E0"/>
            </w:r>
            <w:r w:rsidRPr="00BA154C">
              <w:rPr>
                <w:sz w:val="20"/>
                <w:lang w:val="en-US"/>
              </w:rPr>
              <w:t xml:space="preserve">      ENATREL, ENEL (meta)</w:t>
            </w:r>
          </w:p>
        </w:tc>
        <w:tc>
          <w:tcPr>
            <w:tcW w:w="3165" w:type="dxa"/>
          </w:tcPr>
          <w:p w14:paraId="0AD057E7" w14:textId="77777777" w:rsidR="00BA154C" w:rsidRPr="00CF2BFD" w:rsidRDefault="00BA154C" w:rsidP="007C63F9">
            <w:pPr>
              <w:rPr>
                <w:sz w:val="20"/>
                <w:lang w:val="es-ES"/>
              </w:rPr>
            </w:pPr>
            <w:r w:rsidRPr="00CF2BFD">
              <w:rPr>
                <w:sz w:val="20"/>
                <w:lang w:val="es-ES"/>
              </w:rPr>
              <w:t>Estados</w:t>
            </w:r>
            <w:r>
              <w:rPr>
                <w:sz w:val="20"/>
                <w:lang w:val="es-ES"/>
              </w:rPr>
              <w:t xml:space="preserve"> Financieros de ENEL y ENATREL</w:t>
            </w:r>
          </w:p>
        </w:tc>
      </w:tr>
      <w:tr w:rsidR="00BA154C" w:rsidRPr="00F52944" w14:paraId="2E8F96EE" w14:textId="77777777" w:rsidTr="007C63F9">
        <w:tc>
          <w:tcPr>
            <w:tcW w:w="2567" w:type="dxa"/>
            <w:vMerge/>
          </w:tcPr>
          <w:p w14:paraId="38892BB5" w14:textId="77777777" w:rsidR="00BA154C" w:rsidRPr="00CF2BFD" w:rsidRDefault="00BA154C" w:rsidP="007C63F9">
            <w:pPr>
              <w:rPr>
                <w:sz w:val="20"/>
                <w:lang w:val="es-ES"/>
              </w:rPr>
            </w:pPr>
          </w:p>
        </w:tc>
        <w:tc>
          <w:tcPr>
            <w:tcW w:w="1256" w:type="dxa"/>
          </w:tcPr>
          <w:p w14:paraId="015E9D64" w14:textId="77777777" w:rsidR="00BA154C" w:rsidDel="00AE0AF4" w:rsidRDefault="00BA154C" w:rsidP="007C63F9">
            <w:pPr>
              <w:rPr>
                <w:sz w:val="20"/>
                <w:lang w:val="es-ES"/>
              </w:rPr>
            </w:pPr>
            <w:r>
              <w:rPr>
                <w:sz w:val="20"/>
                <w:lang w:val="es-ES"/>
              </w:rPr>
              <w:t>Información de los indicadores financieros</w:t>
            </w:r>
          </w:p>
        </w:tc>
        <w:tc>
          <w:tcPr>
            <w:tcW w:w="7835" w:type="dxa"/>
          </w:tcPr>
          <w:p w14:paraId="25C8C89E" w14:textId="77777777" w:rsidR="00BA154C" w:rsidRPr="0033357F" w:rsidRDefault="00BA154C" w:rsidP="007C63F9">
            <w:pPr>
              <w:rPr>
                <w:sz w:val="20"/>
                <w:lang w:val="es-ES"/>
              </w:rPr>
            </w:pPr>
            <w:r w:rsidRPr="0033357F">
              <w:rPr>
                <w:sz w:val="20"/>
                <w:lang w:val="es-ES"/>
              </w:rPr>
              <w:t xml:space="preserve">Indicadores Financieros de las Distribuidoras </w:t>
            </w:r>
            <w:r w:rsidRPr="00EE707F">
              <w:rPr>
                <w:sz w:val="20"/>
                <w:lang w:val="es-ES"/>
              </w:rPr>
              <w:t>(Índice de perdidas, Índice de cobro e Índice de recuperación de efectivo)</w:t>
            </w:r>
            <w:r>
              <w:rPr>
                <w:sz w:val="20"/>
                <w:lang w:val="es-ES"/>
              </w:rPr>
              <w:t xml:space="preserve"> disponibles para análisis de los agentes del sector y la población de Nicaragua</w:t>
            </w:r>
            <w:r w:rsidRPr="0033357F">
              <w:rPr>
                <w:sz w:val="20"/>
                <w:lang w:val="es-ES"/>
              </w:rPr>
              <w:t>::</w:t>
            </w:r>
          </w:p>
          <w:p w14:paraId="22C50D39" w14:textId="77777777" w:rsidR="00BA154C" w:rsidRPr="00E86D5F" w:rsidRDefault="00BA154C" w:rsidP="007C63F9">
            <w:pPr>
              <w:ind w:left="720"/>
              <w:rPr>
                <w:sz w:val="20"/>
                <w:lang w:val="pt-BR"/>
              </w:rPr>
            </w:pPr>
            <w:r w:rsidRPr="00E86D5F">
              <w:rPr>
                <w:sz w:val="20"/>
                <w:lang w:val="pt-BR"/>
              </w:rPr>
              <w:t xml:space="preserve">2012: 0   </w:t>
            </w:r>
          </w:p>
          <w:p w14:paraId="7C990F0B" w14:textId="77777777" w:rsidR="00BA154C" w:rsidRPr="00E86D5F" w:rsidRDefault="00BA154C" w:rsidP="007C63F9">
            <w:pPr>
              <w:spacing w:line="276" w:lineRule="auto"/>
              <w:ind w:left="720"/>
              <w:rPr>
                <w:sz w:val="20"/>
                <w:lang w:val="pt-BR"/>
              </w:rPr>
            </w:pPr>
            <w:r w:rsidRPr="00E86D5F">
              <w:rPr>
                <w:sz w:val="20"/>
                <w:lang w:val="pt-BR"/>
              </w:rPr>
              <w:t xml:space="preserve">2014: 3 (real)      </w:t>
            </w:r>
            <w:r w:rsidRPr="00932341">
              <w:rPr>
                <w:sz w:val="20"/>
                <w:lang w:val="es-ES"/>
              </w:rPr>
              <w:sym w:font="Wingdings" w:char="F0E0"/>
            </w:r>
            <w:r w:rsidRPr="00E86D5F">
              <w:rPr>
                <w:sz w:val="20"/>
                <w:lang w:val="pt-BR"/>
              </w:rPr>
              <w:t xml:space="preserve">      3 (meta)</w:t>
            </w:r>
          </w:p>
          <w:p w14:paraId="16E31E8F" w14:textId="77777777" w:rsidR="00BA154C" w:rsidRPr="00E86D5F" w:rsidRDefault="00BA154C" w:rsidP="007C63F9">
            <w:pPr>
              <w:spacing w:line="276" w:lineRule="auto"/>
              <w:ind w:left="720"/>
              <w:rPr>
                <w:sz w:val="20"/>
                <w:lang w:val="pt-BR"/>
              </w:rPr>
            </w:pPr>
            <w:r w:rsidRPr="00E86D5F">
              <w:rPr>
                <w:sz w:val="20"/>
                <w:lang w:val="pt-BR"/>
              </w:rPr>
              <w:t xml:space="preserve">2015: 3 (real) </w:t>
            </w:r>
          </w:p>
          <w:p w14:paraId="22181211" w14:textId="77777777" w:rsidR="00BA154C" w:rsidRPr="00E86D5F" w:rsidRDefault="00BA154C" w:rsidP="007C63F9">
            <w:pPr>
              <w:ind w:left="720"/>
              <w:rPr>
                <w:sz w:val="20"/>
                <w:lang w:val="pt-BR"/>
              </w:rPr>
            </w:pPr>
            <w:r w:rsidRPr="00E86D5F">
              <w:rPr>
                <w:sz w:val="20"/>
                <w:lang w:val="pt-BR"/>
              </w:rPr>
              <w:t xml:space="preserve">2016: 3 (real)      </w:t>
            </w:r>
            <w:r w:rsidRPr="00932341">
              <w:rPr>
                <w:sz w:val="20"/>
                <w:lang w:val="es-ES"/>
              </w:rPr>
              <w:sym w:font="Wingdings" w:char="F0E0"/>
            </w:r>
            <w:r w:rsidRPr="00E86D5F">
              <w:rPr>
                <w:sz w:val="20"/>
                <w:lang w:val="pt-BR"/>
              </w:rPr>
              <w:t xml:space="preserve">      3 (meta)  </w:t>
            </w:r>
          </w:p>
        </w:tc>
        <w:tc>
          <w:tcPr>
            <w:tcW w:w="3165" w:type="dxa"/>
          </w:tcPr>
          <w:p w14:paraId="1079DFE9" w14:textId="77777777" w:rsidR="00BA154C" w:rsidRPr="00CF2BFD" w:rsidRDefault="00BA154C" w:rsidP="007C63F9">
            <w:pPr>
              <w:rPr>
                <w:sz w:val="20"/>
                <w:lang w:val="es-ES"/>
              </w:rPr>
            </w:pPr>
            <w:r>
              <w:rPr>
                <w:sz w:val="20"/>
                <w:lang w:val="es-ES"/>
              </w:rPr>
              <w:t>Í</w:t>
            </w:r>
            <w:r w:rsidRPr="00FC0798">
              <w:rPr>
                <w:sz w:val="20"/>
                <w:lang w:val="es-ES"/>
              </w:rPr>
              <w:t xml:space="preserve">ndice de recuperación de </w:t>
            </w:r>
            <w:r>
              <w:rPr>
                <w:sz w:val="20"/>
                <w:lang w:val="es-ES"/>
              </w:rPr>
              <w:t>efectivo</w:t>
            </w:r>
            <w:r w:rsidRPr="00FC0798">
              <w:rPr>
                <w:sz w:val="20"/>
                <w:lang w:val="es-ES"/>
              </w:rPr>
              <w:t xml:space="preserve"> (índice combinado)</w:t>
            </w:r>
            <w:r>
              <w:rPr>
                <w:sz w:val="20"/>
                <w:lang w:val="es-ES"/>
              </w:rPr>
              <w:t>, Índice de pérdidas, e Í</w:t>
            </w:r>
            <w:r w:rsidRPr="00FC0798">
              <w:rPr>
                <w:sz w:val="20"/>
                <w:lang w:val="es-ES"/>
              </w:rPr>
              <w:t>ndice de cobro</w:t>
            </w:r>
            <w:r>
              <w:rPr>
                <w:sz w:val="20"/>
                <w:lang w:val="es-ES"/>
              </w:rPr>
              <w:t xml:space="preserve"> publicado por el INE según sea suministrado por DISNORTE y DISSUR</w:t>
            </w:r>
          </w:p>
        </w:tc>
      </w:tr>
      <w:tr w:rsidR="00BA154C" w:rsidRPr="00A241C1" w14:paraId="565E7F65" w14:textId="77777777" w:rsidTr="007C63F9">
        <w:tc>
          <w:tcPr>
            <w:tcW w:w="2567" w:type="dxa"/>
            <w:vMerge w:val="restart"/>
          </w:tcPr>
          <w:p w14:paraId="559E0585" w14:textId="77777777" w:rsidR="00BA154C" w:rsidRPr="00492D97" w:rsidRDefault="00BA154C" w:rsidP="00BA154C">
            <w:pPr>
              <w:pStyle w:val="ListParagraph"/>
              <w:numPr>
                <w:ilvl w:val="0"/>
                <w:numId w:val="7"/>
              </w:numPr>
              <w:ind w:left="0" w:firstLine="0"/>
              <w:contextualSpacing/>
              <w:rPr>
                <w:b/>
                <w:sz w:val="20"/>
                <w:lang w:val="es-ES"/>
              </w:rPr>
            </w:pPr>
            <w:r w:rsidRPr="00492D97">
              <w:rPr>
                <w:b/>
                <w:sz w:val="20"/>
              </w:rPr>
              <w:lastRenderedPageBreak/>
              <w:t xml:space="preserve">Matriz energética sostenible, fomento energías renovables, inversión privada y eficiencia energética: </w:t>
            </w:r>
            <w:r w:rsidRPr="00492D97">
              <w:rPr>
                <w:sz w:val="20"/>
                <w:lang w:val="es-ES"/>
              </w:rPr>
              <w:t>Promover el uso de fuentes renovables, la generación distribuida, la participación privada en el sector eléctrico y la eficiencia energética, para alcanzar una matriz energética sostenible</w:t>
            </w:r>
          </w:p>
        </w:tc>
        <w:tc>
          <w:tcPr>
            <w:tcW w:w="1256" w:type="dxa"/>
          </w:tcPr>
          <w:p w14:paraId="2A46B016" w14:textId="77777777" w:rsidR="00BA154C" w:rsidRPr="009157C9" w:rsidRDefault="00BA154C" w:rsidP="007C63F9">
            <w:pPr>
              <w:rPr>
                <w:sz w:val="20"/>
                <w:lang w:val="es-ES"/>
              </w:rPr>
            </w:pPr>
            <w:r w:rsidRPr="009157C9">
              <w:rPr>
                <w:sz w:val="20"/>
                <w:lang w:val="es-ES"/>
              </w:rPr>
              <w:t>Nuev</w:t>
            </w:r>
            <w:r>
              <w:rPr>
                <w:sz w:val="20"/>
                <w:lang w:val="es-ES"/>
              </w:rPr>
              <w:t>a</w:t>
            </w:r>
            <w:r w:rsidRPr="009157C9">
              <w:rPr>
                <w:sz w:val="20"/>
                <w:lang w:val="es-ES"/>
              </w:rPr>
              <w:t xml:space="preserve"> </w:t>
            </w:r>
            <w:r>
              <w:rPr>
                <w:sz w:val="20"/>
                <w:lang w:val="es-ES"/>
              </w:rPr>
              <w:t>capacidad</w:t>
            </w:r>
            <w:r w:rsidRPr="009157C9">
              <w:rPr>
                <w:sz w:val="20"/>
                <w:lang w:val="es-ES"/>
              </w:rPr>
              <w:t xml:space="preserve"> de generación renovable instalad</w:t>
            </w:r>
            <w:r>
              <w:rPr>
                <w:sz w:val="20"/>
                <w:lang w:val="es-ES"/>
              </w:rPr>
              <w:t>a</w:t>
            </w:r>
            <w:r w:rsidRPr="009157C9">
              <w:rPr>
                <w:sz w:val="20"/>
                <w:lang w:val="es-ES"/>
              </w:rPr>
              <w:t xml:space="preserve"> en el </w:t>
            </w:r>
            <w:r>
              <w:rPr>
                <w:sz w:val="20"/>
                <w:lang w:val="es-ES"/>
              </w:rPr>
              <w:t>SIN</w:t>
            </w:r>
          </w:p>
        </w:tc>
        <w:tc>
          <w:tcPr>
            <w:tcW w:w="7835" w:type="dxa"/>
          </w:tcPr>
          <w:p w14:paraId="74DDFDA0" w14:textId="77777777" w:rsidR="00BA154C" w:rsidRPr="009157C9" w:rsidRDefault="00BA154C" w:rsidP="007C63F9">
            <w:pPr>
              <w:spacing w:line="276" w:lineRule="auto"/>
              <w:rPr>
                <w:sz w:val="20"/>
                <w:lang w:val="es-ES"/>
              </w:rPr>
            </w:pPr>
            <w:r>
              <w:rPr>
                <w:sz w:val="20"/>
                <w:lang w:val="es-ES"/>
              </w:rPr>
              <w:t>Capacidad</w:t>
            </w:r>
            <w:r w:rsidRPr="009157C9">
              <w:rPr>
                <w:sz w:val="20"/>
                <w:lang w:val="es-ES"/>
              </w:rPr>
              <w:t xml:space="preserve"> </w:t>
            </w:r>
            <w:r>
              <w:rPr>
                <w:sz w:val="20"/>
                <w:lang w:val="es-ES"/>
              </w:rPr>
              <w:t xml:space="preserve">adicional </w:t>
            </w:r>
            <w:r w:rsidRPr="009157C9">
              <w:rPr>
                <w:sz w:val="20"/>
                <w:lang w:val="es-ES"/>
              </w:rPr>
              <w:t>de generación renovable instalad</w:t>
            </w:r>
            <w:r>
              <w:rPr>
                <w:sz w:val="20"/>
                <w:lang w:val="es-ES"/>
              </w:rPr>
              <w:t>a</w:t>
            </w:r>
            <w:r w:rsidRPr="009157C9">
              <w:rPr>
                <w:sz w:val="20"/>
                <w:lang w:val="es-ES"/>
              </w:rPr>
              <w:t xml:space="preserve"> en el </w:t>
            </w:r>
            <w:r>
              <w:rPr>
                <w:sz w:val="20"/>
                <w:lang w:val="es-ES"/>
              </w:rPr>
              <w:t>SIN</w:t>
            </w:r>
            <w:r w:rsidRPr="009157C9">
              <w:rPr>
                <w:sz w:val="20"/>
                <w:lang w:val="es-ES"/>
              </w:rPr>
              <w:t>:</w:t>
            </w:r>
          </w:p>
          <w:p w14:paraId="0357E7D4" w14:textId="77777777" w:rsidR="00BA154C" w:rsidRPr="00E86D5F" w:rsidRDefault="00BA154C" w:rsidP="007C63F9">
            <w:pPr>
              <w:spacing w:line="276" w:lineRule="auto"/>
              <w:ind w:left="720"/>
              <w:rPr>
                <w:sz w:val="20"/>
                <w:lang w:val="pt-BR"/>
              </w:rPr>
            </w:pPr>
            <w:r w:rsidRPr="009157C9">
              <w:rPr>
                <w:sz w:val="20"/>
              </w:rPr>
              <w:t xml:space="preserve"> </w:t>
            </w:r>
            <w:r w:rsidRPr="00E86D5F">
              <w:rPr>
                <w:sz w:val="20"/>
                <w:lang w:val="pt-BR"/>
              </w:rPr>
              <w:t>2012:    0 MW</w:t>
            </w:r>
          </w:p>
          <w:p w14:paraId="5E655780" w14:textId="77777777" w:rsidR="00BA154C" w:rsidRPr="00E86D5F" w:rsidRDefault="00BA154C" w:rsidP="007C63F9">
            <w:pPr>
              <w:spacing w:line="276" w:lineRule="auto"/>
              <w:ind w:left="720"/>
              <w:rPr>
                <w:sz w:val="20"/>
                <w:lang w:val="pt-BR"/>
              </w:rPr>
            </w:pPr>
            <w:r w:rsidRPr="00E86D5F">
              <w:rPr>
                <w:sz w:val="20"/>
                <w:lang w:val="pt-BR"/>
              </w:rPr>
              <w:t xml:space="preserve"> 2014:  54 MW (real)      </w:t>
            </w:r>
            <w:r w:rsidRPr="00932341">
              <w:rPr>
                <w:sz w:val="20"/>
              </w:rPr>
              <w:sym w:font="Wingdings" w:char="F0E0"/>
            </w:r>
            <w:r w:rsidRPr="00E86D5F">
              <w:rPr>
                <w:sz w:val="20"/>
                <w:lang w:val="pt-BR"/>
              </w:rPr>
              <w:t xml:space="preserve">      69 MW (meta)</w:t>
            </w:r>
          </w:p>
          <w:p w14:paraId="70DABF22" w14:textId="77777777" w:rsidR="00BA154C" w:rsidRPr="00E86D5F" w:rsidRDefault="00BA154C" w:rsidP="007C63F9">
            <w:pPr>
              <w:spacing w:after="200" w:line="276" w:lineRule="auto"/>
              <w:ind w:left="720"/>
              <w:rPr>
                <w:sz w:val="20"/>
                <w:lang w:val="pt-BR"/>
              </w:rPr>
            </w:pPr>
            <w:r w:rsidRPr="00E86D5F">
              <w:rPr>
                <w:sz w:val="20"/>
                <w:lang w:val="pt-BR"/>
              </w:rPr>
              <w:t xml:space="preserve"> 2016:  </w:t>
            </w:r>
            <w:r>
              <w:rPr>
                <w:sz w:val="20"/>
                <w:lang w:val="pt-BR"/>
              </w:rPr>
              <w:t xml:space="preserve">73 MW (real)      </w:t>
            </w:r>
            <w:r w:rsidRPr="00932341">
              <w:rPr>
                <w:sz w:val="20"/>
              </w:rPr>
              <w:sym w:font="Wingdings" w:char="F0E0"/>
            </w:r>
            <w:r w:rsidRPr="00E86D5F">
              <w:rPr>
                <w:sz w:val="20"/>
                <w:lang w:val="pt-BR"/>
              </w:rPr>
              <w:t xml:space="preserve">    163 MW (meta)</w:t>
            </w:r>
          </w:p>
        </w:tc>
        <w:tc>
          <w:tcPr>
            <w:tcW w:w="3165" w:type="dxa"/>
          </w:tcPr>
          <w:p w14:paraId="12E3824D" w14:textId="77777777" w:rsidR="00BA154C" w:rsidRPr="0033357F" w:rsidRDefault="00BA154C" w:rsidP="007C63F9">
            <w:pPr>
              <w:rPr>
                <w:sz w:val="20"/>
                <w:lang w:val="es-ES"/>
              </w:rPr>
            </w:pPr>
            <w:r w:rsidRPr="0033357F">
              <w:rPr>
                <w:sz w:val="20"/>
                <w:lang w:val="es-ES"/>
              </w:rPr>
              <w:t xml:space="preserve">Fuente </w:t>
            </w:r>
            <w:r>
              <w:rPr>
                <w:sz w:val="20"/>
                <w:lang w:val="es-ES"/>
              </w:rPr>
              <w:t>INE</w:t>
            </w:r>
          </w:p>
          <w:p w14:paraId="3D0A7CB2" w14:textId="77777777" w:rsidR="00BA154C" w:rsidRPr="0033357F" w:rsidRDefault="00BA154C" w:rsidP="007C63F9">
            <w:pPr>
              <w:rPr>
                <w:sz w:val="20"/>
                <w:lang w:val="es-ES"/>
              </w:rPr>
            </w:pPr>
          </w:p>
        </w:tc>
      </w:tr>
      <w:tr w:rsidR="00BA154C" w:rsidRPr="00F52944" w14:paraId="09A3680A" w14:textId="77777777" w:rsidTr="007C63F9">
        <w:tc>
          <w:tcPr>
            <w:tcW w:w="2567" w:type="dxa"/>
            <w:vMerge/>
          </w:tcPr>
          <w:p w14:paraId="024A3184" w14:textId="77777777" w:rsidR="00BA154C" w:rsidRPr="00492D97" w:rsidRDefault="00BA154C" w:rsidP="007C63F9">
            <w:pPr>
              <w:spacing w:after="200" w:line="276" w:lineRule="auto"/>
              <w:rPr>
                <w:b/>
                <w:sz w:val="20"/>
                <w:lang w:val="es-ES"/>
              </w:rPr>
            </w:pPr>
          </w:p>
        </w:tc>
        <w:tc>
          <w:tcPr>
            <w:tcW w:w="1256" w:type="dxa"/>
          </w:tcPr>
          <w:p w14:paraId="735A5709" w14:textId="77777777" w:rsidR="00BA154C" w:rsidRPr="00000E23" w:rsidRDefault="00BA154C" w:rsidP="007C63F9">
            <w:pPr>
              <w:rPr>
                <w:sz w:val="20"/>
                <w:lang w:val="es-ES"/>
              </w:rPr>
            </w:pPr>
            <w:r w:rsidRPr="00000E23">
              <w:rPr>
                <w:sz w:val="20"/>
                <w:lang w:val="es-ES"/>
              </w:rPr>
              <w:t>Reducción acumulado de consumo de energía eléctrica por los programas de eficiencia energética</w:t>
            </w:r>
          </w:p>
        </w:tc>
        <w:tc>
          <w:tcPr>
            <w:tcW w:w="7835" w:type="dxa"/>
          </w:tcPr>
          <w:p w14:paraId="6BC9FC6A" w14:textId="77777777" w:rsidR="00BA154C" w:rsidRPr="00000E23" w:rsidRDefault="00BA154C" w:rsidP="007C63F9">
            <w:pPr>
              <w:rPr>
                <w:sz w:val="20"/>
                <w:lang w:val="es-ES"/>
              </w:rPr>
            </w:pPr>
            <w:r>
              <w:rPr>
                <w:sz w:val="20"/>
                <w:lang w:val="es-ES"/>
              </w:rPr>
              <w:t>E</w:t>
            </w:r>
            <w:r w:rsidRPr="00000E23">
              <w:rPr>
                <w:sz w:val="20"/>
                <w:lang w:val="es-ES"/>
              </w:rPr>
              <w:t xml:space="preserve">nergía eléctrica </w:t>
            </w:r>
            <w:r>
              <w:rPr>
                <w:sz w:val="20"/>
                <w:lang w:val="es-ES"/>
              </w:rPr>
              <w:t xml:space="preserve">no consumida </w:t>
            </w:r>
            <w:r w:rsidRPr="00000E23">
              <w:rPr>
                <w:sz w:val="20"/>
                <w:lang w:val="es-ES"/>
              </w:rPr>
              <w:t>por los programas de eficiencia energética</w:t>
            </w:r>
          </w:p>
          <w:p w14:paraId="3EE560EC" w14:textId="77777777" w:rsidR="00BA154C" w:rsidRPr="00000E23" w:rsidRDefault="00BA154C" w:rsidP="007C63F9">
            <w:pPr>
              <w:ind w:left="720"/>
              <w:rPr>
                <w:sz w:val="20"/>
                <w:lang w:val="es-ES"/>
              </w:rPr>
            </w:pPr>
            <w:r w:rsidRPr="00000E23">
              <w:rPr>
                <w:sz w:val="20"/>
                <w:lang w:val="es-ES"/>
              </w:rPr>
              <w:t xml:space="preserve"> 2012: </w:t>
            </w:r>
            <w:r>
              <w:rPr>
                <w:sz w:val="20"/>
                <w:lang w:val="es-ES"/>
              </w:rPr>
              <w:t xml:space="preserve">  </w:t>
            </w:r>
            <w:r w:rsidRPr="00000E23">
              <w:rPr>
                <w:sz w:val="20"/>
                <w:lang w:val="es-ES"/>
              </w:rPr>
              <w:t>0</w:t>
            </w:r>
          </w:p>
          <w:p w14:paraId="00C425AA" w14:textId="77777777" w:rsidR="00BA154C" w:rsidRPr="00000E23" w:rsidRDefault="00BA154C" w:rsidP="007C63F9">
            <w:pPr>
              <w:ind w:left="720"/>
              <w:rPr>
                <w:sz w:val="20"/>
                <w:lang w:val="es-ES"/>
              </w:rPr>
            </w:pPr>
            <w:r w:rsidRPr="00000E23">
              <w:rPr>
                <w:sz w:val="20"/>
                <w:lang w:val="es-ES"/>
              </w:rPr>
              <w:t xml:space="preserve"> 2014: </w:t>
            </w:r>
            <w:r>
              <w:rPr>
                <w:sz w:val="20"/>
                <w:lang w:val="es-ES"/>
              </w:rPr>
              <w:t xml:space="preserve">  0 (real)                </w:t>
            </w:r>
            <w:r w:rsidRPr="00CA7285">
              <w:rPr>
                <w:sz w:val="20"/>
                <w:lang w:val="es-ES"/>
              </w:rPr>
              <w:sym w:font="Wingdings" w:char="F0E0"/>
            </w:r>
            <w:r>
              <w:rPr>
                <w:sz w:val="20"/>
                <w:lang w:val="es-ES"/>
              </w:rPr>
              <w:t xml:space="preserve">      57</w:t>
            </w:r>
            <w:r w:rsidRPr="00000E23">
              <w:rPr>
                <w:sz w:val="20"/>
                <w:lang w:val="es-ES"/>
              </w:rPr>
              <w:t>.000 MWh</w:t>
            </w:r>
            <w:r>
              <w:rPr>
                <w:sz w:val="20"/>
                <w:lang w:val="es-ES"/>
              </w:rPr>
              <w:t xml:space="preserve"> (meta)</w:t>
            </w:r>
          </w:p>
          <w:p w14:paraId="7FE59BC2" w14:textId="77777777" w:rsidR="00BA154C" w:rsidRPr="00000E23" w:rsidRDefault="00BA154C" w:rsidP="007C63F9">
            <w:pPr>
              <w:ind w:left="720"/>
              <w:rPr>
                <w:sz w:val="20"/>
                <w:lang w:val="es-ES"/>
              </w:rPr>
            </w:pPr>
            <w:r w:rsidRPr="00000E23">
              <w:rPr>
                <w:sz w:val="20"/>
                <w:lang w:val="es-ES"/>
              </w:rPr>
              <w:t xml:space="preserve"> </w:t>
            </w:r>
            <w:r>
              <w:rPr>
                <w:sz w:val="20"/>
                <w:lang w:val="es-ES"/>
              </w:rPr>
              <w:t xml:space="preserve">2016:   101.000 (real)     </w:t>
            </w:r>
            <w:r w:rsidRPr="00CA7285">
              <w:rPr>
                <w:sz w:val="20"/>
                <w:lang w:val="es-ES"/>
              </w:rPr>
              <w:sym w:font="Wingdings" w:char="F0E0"/>
            </w:r>
            <w:r>
              <w:rPr>
                <w:sz w:val="20"/>
                <w:lang w:val="es-ES"/>
              </w:rPr>
              <w:t xml:space="preserve">    152</w:t>
            </w:r>
            <w:r w:rsidRPr="00000E23">
              <w:rPr>
                <w:sz w:val="20"/>
                <w:lang w:val="es-ES"/>
              </w:rPr>
              <w:t xml:space="preserve">.000 MWh </w:t>
            </w:r>
            <w:r>
              <w:rPr>
                <w:sz w:val="20"/>
                <w:lang w:val="es-ES"/>
              </w:rPr>
              <w:t>(meta)</w:t>
            </w:r>
            <w:r w:rsidRPr="00000E23">
              <w:rPr>
                <w:sz w:val="20"/>
                <w:lang w:val="es-ES"/>
              </w:rPr>
              <w:t xml:space="preserve"> </w:t>
            </w:r>
          </w:p>
        </w:tc>
        <w:tc>
          <w:tcPr>
            <w:tcW w:w="3165" w:type="dxa"/>
          </w:tcPr>
          <w:p w14:paraId="269559BD" w14:textId="77777777" w:rsidR="00BA154C" w:rsidRPr="0033357F" w:rsidRDefault="00BA154C" w:rsidP="007C63F9">
            <w:pPr>
              <w:rPr>
                <w:sz w:val="20"/>
                <w:lang w:val="es-ES"/>
              </w:rPr>
            </w:pPr>
            <w:r w:rsidRPr="0033357F">
              <w:rPr>
                <w:sz w:val="20"/>
                <w:lang w:val="es-ES"/>
              </w:rPr>
              <w:t>Reducción de consumo por proyectos de eficiencia energética, Fuente MEM</w:t>
            </w:r>
          </w:p>
          <w:p w14:paraId="4AA07B34" w14:textId="77777777" w:rsidR="00BA154C" w:rsidRPr="0033357F" w:rsidRDefault="00BA154C" w:rsidP="007C63F9">
            <w:pPr>
              <w:rPr>
                <w:sz w:val="20"/>
                <w:lang w:val="es-ES"/>
              </w:rPr>
            </w:pPr>
          </w:p>
        </w:tc>
      </w:tr>
      <w:tr w:rsidR="00BA154C" w:rsidRPr="00F52944" w14:paraId="3C7E5C33" w14:textId="77777777" w:rsidTr="007C63F9">
        <w:tc>
          <w:tcPr>
            <w:tcW w:w="2567" w:type="dxa"/>
          </w:tcPr>
          <w:p w14:paraId="5CDAFB8F" w14:textId="77777777" w:rsidR="00BA154C" w:rsidRPr="00492D97" w:rsidRDefault="00BA154C" w:rsidP="00BA154C">
            <w:pPr>
              <w:pStyle w:val="ListParagraph"/>
              <w:numPr>
                <w:ilvl w:val="0"/>
                <w:numId w:val="7"/>
              </w:numPr>
              <w:ind w:left="0" w:firstLine="0"/>
              <w:contextualSpacing/>
              <w:rPr>
                <w:b/>
                <w:sz w:val="20"/>
                <w:lang w:val="es-ES"/>
              </w:rPr>
            </w:pPr>
            <w:r w:rsidRPr="00492D97">
              <w:rPr>
                <w:b/>
                <w:sz w:val="20"/>
              </w:rPr>
              <w:t xml:space="preserve">Impulso a la Integración regional del sector eléctrico: </w:t>
            </w:r>
            <w:r w:rsidRPr="00492D97">
              <w:rPr>
                <w:sz w:val="20"/>
                <w:lang w:val="es-ES"/>
              </w:rPr>
              <w:t>Impulsar la integración eléctrica regional incrementando la participación del sector eléctrico nacional en el mercado eléctrico regional</w:t>
            </w:r>
          </w:p>
        </w:tc>
        <w:tc>
          <w:tcPr>
            <w:tcW w:w="1256" w:type="dxa"/>
          </w:tcPr>
          <w:p w14:paraId="57F17211" w14:textId="77777777" w:rsidR="00BA154C" w:rsidRDefault="00BA154C" w:rsidP="007C63F9">
            <w:pPr>
              <w:rPr>
                <w:sz w:val="20"/>
                <w:lang w:val="es-ES"/>
              </w:rPr>
            </w:pPr>
            <w:r>
              <w:rPr>
                <w:sz w:val="20"/>
                <w:lang w:val="es-ES"/>
              </w:rPr>
              <w:t>Incremento en los</w:t>
            </w:r>
            <w:r w:rsidRPr="00CF2BFD">
              <w:rPr>
                <w:sz w:val="20"/>
                <w:lang w:val="es-ES"/>
              </w:rPr>
              <w:t xml:space="preserve"> intercambio</w:t>
            </w:r>
            <w:r>
              <w:rPr>
                <w:sz w:val="20"/>
                <w:lang w:val="es-ES"/>
              </w:rPr>
              <w:t>s</w:t>
            </w:r>
            <w:r w:rsidRPr="00CF2BFD">
              <w:rPr>
                <w:sz w:val="20"/>
                <w:lang w:val="es-ES"/>
              </w:rPr>
              <w:t xml:space="preserve"> eléctrico</w:t>
            </w:r>
            <w:r>
              <w:rPr>
                <w:sz w:val="20"/>
                <w:lang w:val="es-ES"/>
              </w:rPr>
              <w:t>s</w:t>
            </w:r>
            <w:r w:rsidRPr="00CF2BFD">
              <w:rPr>
                <w:sz w:val="20"/>
                <w:lang w:val="es-ES"/>
              </w:rPr>
              <w:t xml:space="preserve"> de Nicaragua en el MER, importación y exportación de energía</w:t>
            </w:r>
          </w:p>
        </w:tc>
        <w:tc>
          <w:tcPr>
            <w:tcW w:w="7835" w:type="dxa"/>
          </w:tcPr>
          <w:p w14:paraId="64B1DD33" w14:textId="77777777" w:rsidR="00BA154C" w:rsidRPr="00CF2BFD" w:rsidRDefault="00BA154C" w:rsidP="007C63F9">
            <w:pPr>
              <w:rPr>
                <w:sz w:val="20"/>
                <w:lang w:val="es-ES"/>
              </w:rPr>
            </w:pPr>
            <w:r>
              <w:rPr>
                <w:sz w:val="20"/>
                <w:lang w:val="es-ES"/>
              </w:rPr>
              <w:t xml:space="preserve">Energía </w:t>
            </w:r>
            <w:r w:rsidRPr="00CF2BFD">
              <w:rPr>
                <w:sz w:val="20"/>
                <w:lang w:val="es-ES"/>
              </w:rPr>
              <w:t>intercambi</w:t>
            </w:r>
            <w:r>
              <w:rPr>
                <w:sz w:val="20"/>
                <w:lang w:val="es-ES"/>
              </w:rPr>
              <w:t>ada</w:t>
            </w:r>
            <w:r w:rsidRPr="00CF2BFD">
              <w:rPr>
                <w:sz w:val="20"/>
                <w:lang w:val="es-ES"/>
              </w:rPr>
              <w:t xml:space="preserve"> de</w:t>
            </w:r>
            <w:r>
              <w:rPr>
                <w:sz w:val="20"/>
                <w:lang w:val="es-ES"/>
              </w:rPr>
              <w:t>sde</w:t>
            </w:r>
            <w:r w:rsidRPr="00CF2BFD">
              <w:rPr>
                <w:sz w:val="20"/>
                <w:lang w:val="es-ES"/>
              </w:rPr>
              <w:t xml:space="preserve"> Nicaragua en el MER, importación y exportación de energía:</w:t>
            </w:r>
          </w:p>
          <w:p w14:paraId="167FE45E" w14:textId="77777777" w:rsidR="00BA154C" w:rsidRPr="00BA154C" w:rsidRDefault="00BA154C" w:rsidP="007C63F9">
            <w:pPr>
              <w:spacing w:line="276" w:lineRule="auto"/>
              <w:ind w:left="720"/>
              <w:rPr>
                <w:sz w:val="20"/>
                <w:lang w:val="en-US"/>
              </w:rPr>
            </w:pPr>
            <w:r w:rsidRPr="00BA154C">
              <w:rPr>
                <w:sz w:val="20"/>
                <w:lang w:val="en-US"/>
              </w:rPr>
              <w:t>2012: 23.211 MWh (real)</w:t>
            </w:r>
          </w:p>
          <w:p w14:paraId="4368A0C5" w14:textId="77777777" w:rsidR="00BA154C" w:rsidRPr="00BA154C" w:rsidRDefault="00BA154C" w:rsidP="007C63F9">
            <w:pPr>
              <w:spacing w:line="276" w:lineRule="auto"/>
              <w:ind w:left="720"/>
              <w:rPr>
                <w:sz w:val="20"/>
                <w:lang w:val="en-US"/>
              </w:rPr>
            </w:pPr>
            <w:r w:rsidRPr="00BA154C">
              <w:rPr>
                <w:sz w:val="20"/>
                <w:lang w:val="en-US"/>
              </w:rPr>
              <w:t>2013: 68.201 MWh (real)</w:t>
            </w:r>
          </w:p>
          <w:p w14:paraId="1FEC8F5E" w14:textId="77777777" w:rsidR="00BA154C" w:rsidRPr="00BA154C" w:rsidRDefault="00BA154C" w:rsidP="007C63F9">
            <w:pPr>
              <w:spacing w:line="276" w:lineRule="auto"/>
              <w:ind w:left="720"/>
              <w:rPr>
                <w:sz w:val="20"/>
                <w:lang w:val="en-US"/>
              </w:rPr>
            </w:pPr>
            <w:r w:rsidRPr="00BA154C">
              <w:rPr>
                <w:sz w:val="20"/>
                <w:lang w:val="en-US"/>
              </w:rPr>
              <w:t xml:space="preserve">2014: 71.295 MWh (real)      </w:t>
            </w:r>
            <w:r w:rsidRPr="003B6840">
              <w:rPr>
                <w:sz w:val="20"/>
                <w:lang w:val="es-ES"/>
              </w:rPr>
              <w:sym w:font="Wingdings" w:char="F0E0"/>
            </w:r>
            <w:r w:rsidRPr="00BA154C">
              <w:rPr>
                <w:sz w:val="20"/>
                <w:lang w:val="en-US"/>
              </w:rPr>
              <w:t xml:space="preserve">      75.000 MWh (meta)</w:t>
            </w:r>
          </w:p>
          <w:p w14:paraId="5144CEE8" w14:textId="77777777" w:rsidR="00BA154C" w:rsidRPr="00BA154C" w:rsidRDefault="00BA154C" w:rsidP="007C63F9">
            <w:pPr>
              <w:spacing w:line="276" w:lineRule="auto"/>
              <w:ind w:left="720"/>
              <w:rPr>
                <w:sz w:val="20"/>
                <w:lang w:val="en-US"/>
              </w:rPr>
            </w:pPr>
            <w:r w:rsidRPr="00BA154C">
              <w:rPr>
                <w:sz w:val="20"/>
                <w:lang w:val="en-US"/>
              </w:rPr>
              <w:t>2015: 55.049 MWh (real)</w:t>
            </w:r>
          </w:p>
          <w:p w14:paraId="57C2783D" w14:textId="77777777" w:rsidR="00BA154C" w:rsidRPr="00BA154C" w:rsidRDefault="00BA154C" w:rsidP="007C63F9">
            <w:pPr>
              <w:ind w:left="720"/>
              <w:rPr>
                <w:sz w:val="20"/>
                <w:lang w:val="en-US"/>
              </w:rPr>
            </w:pPr>
            <w:r w:rsidRPr="00BA154C">
              <w:rPr>
                <w:sz w:val="20"/>
                <w:lang w:val="en-US"/>
              </w:rPr>
              <w:t xml:space="preserve">2016: 222.689 MWh (real)    </w:t>
            </w:r>
            <w:r w:rsidRPr="003B6840">
              <w:rPr>
                <w:sz w:val="20"/>
                <w:lang w:val="es-ES"/>
              </w:rPr>
              <w:sym w:font="Wingdings" w:char="F0E0"/>
            </w:r>
            <w:r w:rsidRPr="00BA154C">
              <w:rPr>
                <w:sz w:val="20"/>
                <w:lang w:val="en-US"/>
              </w:rPr>
              <w:t xml:space="preserve">    100.000 MWh (meta)</w:t>
            </w:r>
          </w:p>
        </w:tc>
        <w:tc>
          <w:tcPr>
            <w:tcW w:w="3165" w:type="dxa"/>
          </w:tcPr>
          <w:p w14:paraId="5A8BB3D2" w14:textId="77777777" w:rsidR="00BA154C" w:rsidRPr="00CF2BFD" w:rsidRDefault="00BA154C" w:rsidP="007C63F9">
            <w:pPr>
              <w:rPr>
                <w:sz w:val="20"/>
                <w:lang w:val="es-ES"/>
              </w:rPr>
            </w:pPr>
            <w:r w:rsidRPr="00CF2BFD">
              <w:rPr>
                <w:sz w:val="20"/>
                <w:lang w:val="es-ES"/>
              </w:rPr>
              <w:t>Niveles de energía comercializada a nivel del MER, Fuente INE</w:t>
            </w:r>
          </w:p>
        </w:tc>
      </w:tr>
    </w:tbl>
    <w:p w14:paraId="56A3F35B" w14:textId="77777777" w:rsidR="00BA154C" w:rsidRDefault="00BA154C" w:rsidP="00BA154C">
      <w:pPr>
        <w:jc w:val="both"/>
        <w:rPr>
          <w:b/>
          <w:szCs w:val="24"/>
        </w:rPr>
      </w:pPr>
    </w:p>
    <w:p w14:paraId="44BAE19A" w14:textId="0D9AECE9" w:rsidR="00653EAE" w:rsidRPr="003D2F44" w:rsidRDefault="00653EAE" w:rsidP="00167968">
      <w:pPr>
        <w:pStyle w:val="Subtitle"/>
        <w:numPr>
          <w:ilvl w:val="0"/>
          <w:numId w:val="6"/>
        </w:numPr>
        <w:jc w:val="both"/>
        <w:rPr>
          <w:rFonts w:ascii="Times New Roman" w:hAnsi="Times New Roman"/>
          <w:i/>
          <w:lang w:val="es-ES_tradnl"/>
        </w:rPr>
      </w:pPr>
      <w:bookmarkStart w:id="3" w:name="_Toc334085434"/>
      <w:r w:rsidRPr="003D2F44">
        <w:rPr>
          <w:rFonts w:ascii="Times New Roman" w:hAnsi="Times New Roman"/>
          <w:i/>
          <w:lang w:val="es-ES_tradnl"/>
        </w:rPr>
        <w:t>Metodología de evaluación</w:t>
      </w:r>
      <w:bookmarkEnd w:id="3"/>
    </w:p>
    <w:p w14:paraId="506D9EDF" w14:textId="77777777" w:rsidR="00C42088" w:rsidRPr="003D2F44" w:rsidRDefault="00C42088" w:rsidP="000361BD">
      <w:pPr>
        <w:pStyle w:val="Banknumbered"/>
        <w:numPr>
          <w:ilvl w:val="0"/>
          <w:numId w:val="0"/>
        </w:numPr>
        <w:ind w:left="360"/>
        <w:jc w:val="both"/>
        <w:rPr>
          <w:lang w:val="es-ES_tradnl"/>
        </w:rPr>
      </w:pPr>
      <w:r w:rsidRPr="003D2F44">
        <w:rPr>
          <w:lang w:val="es-ES_tradnl"/>
        </w:rPr>
        <w:t xml:space="preserve">Dentro </w:t>
      </w:r>
      <w:r w:rsidR="00992EA6" w:rsidRPr="003D2F44">
        <w:rPr>
          <w:lang w:val="es-ES_tradnl"/>
        </w:rPr>
        <w:t xml:space="preserve">el Programa </w:t>
      </w:r>
      <w:r w:rsidRPr="003D2F44">
        <w:rPr>
          <w:lang w:val="es-ES_tradnl"/>
        </w:rPr>
        <w:t>se establecieron metas con indicadores, dentro de los cuales se escogieron aquellos conducentes a resultados con consecuencias económicas evaluables, los cuales incluyen: Mejora de la calidad del servicio, Ampliación de la cobertura eléctrica, Reducción de pérdidas totales del sistema, Incremento de participación de la energía renovable en la matriz de generación del SIN, y Reducción de consumo de energía eléctrica.</w:t>
      </w:r>
    </w:p>
    <w:p w14:paraId="1874A742" w14:textId="77777777" w:rsidR="00C42088" w:rsidRPr="003D2F44" w:rsidRDefault="00C42088" w:rsidP="000361BD">
      <w:pPr>
        <w:pStyle w:val="Banknumbered"/>
        <w:numPr>
          <w:ilvl w:val="0"/>
          <w:numId w:val="0"/>
        </w:numPr>
        <w:ind w:left="360"/>
        <w:jc w:val="both"/>
        <w:rPr>
          <w:lang w:val="es-ES_tradnl"/>
        </w:rPr>
      </w:pPr>
      <w:r w:rsidRPr="003D2F44">
        <w:rPr>
          <w:lang w:val="es-ES_tradnl"/>
        </w:rPr>
        <w:t>El Programa está diseñado alrededor de cuatro ejes sectoriales, que son:</w:t>
      </w:r>
    </w:p>
    <w:p w14:paraId="4E414513" w14:textId="77777777" w:rsidR="00992EA6" w:rsidRPr="003D2F44" w:rsidRDefault="00992EA6" w:rsidP="00167968">
      <w:pPr>
        <w:pStyle w:val="Banknumbered"/>
        <w:numPr>
          <w:ilvl w:val="0"/>
          <w:numId w:val="9"/>
        </w:numPr>
        <w:jc w:val="both"/>
        <w:rPr>
          <w:rFonts w:eastAsia="Calibri" w:cs="Times New Roman"/>
          <w:b/>
          <w:szCs w:val="22"/>
          <w:lang w:val="es-ES_tradnl" w:eastAsia="x-none"/>
        </w:rPr>
      </w:pPr>
      <w:r w:rsidRPr="003D2F44">
        <w:rPr>
          <w:rFonts w:eastAsia="Calibri" w:cs="Times New Roman"/>
          <w:b/>
          <w:szCs w:val="22"/>
          <w:lang w:val="es-ES_tradnl" w:eastAsia="x-none"/>
        </w:rPr>
        <w:t xml:space="preserve">Mejora de la calidad del servicio </w:t>
      </w:r>
    </w:p>
    <w:p w14:paraId="3903C949" w14:textId="77777777" w:rsidR="00992EA6" w:rsidRPr="003D2F44" w:rsidRDefault="00992EA6" w:rsidP="000361BD">
      <w:pPr>
        <w:pStyle w:val="Banknumbered"/>
        <w:numPr>
          <w:ilvl w:val="0"/>
          <w:numId w:val="0"/>
        </w:numPr>
        <w:ind w:left="360"/>
        <w:jc w:val="both"/>
        <w:rPr>
          <w:lang w:val="es-ES_tradnl"/>
        </w:rPr>
      </w:pPr>
      <w:r w:rsidRPr="003D2F44">
        <w:rPr>
          <w:lang w:val="es-ES_tradnl"/>
        </w:rPr>
        <w:t>Este componente tiene por objeto la mejora en la confiabilidad del suministro de energía eléctrica.  Los indicadores FMIK y TTIK incluidos en el programa se definen como valores semestrales que se calculan como:</w:t>
      </w:r>
    </w:p>
    <w:p w14:paraId="614DD820" w14:textId="77777777" w:rsidR="00992EA6" w:rsidRPr="003D2F44" w:rsidRDefault="00992EA6" w:rsidP="009B04BB">
      <w:pPr>
        <w:ind w:left="709"/>
        <w:jc w:val="both"/>
      </w:pPr>
      <w:r w:rsidRPr="003D2F44">
        <w:t xml:space="preserve">FMIK = Frecuencia media de interrupción por kVA instalado = </w:t>
      </w:r>
      <w:r w:rsidRPr="003D2F44">
        <w:rPr>
          <w:noProof/>
          <w:position w:val="-24"/>
          <w:lang w:val="en-US"/>
        </w:rPr>
        <w:drawing>
          <wp:inline distT="0" distB="0" distL="0" distR="0" wp14:anchorId="6C988019" wp14:editId="31772057">
            <wp:extent cx="688340" cy="6451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88340" cy="645160"/>
                    </a:xfrm>
                    <a:prstGeom prst="rect">
                      <a:avLst/>
                    </a:prstGeom>
                    <a:solidFill>
                      <a:schemeClr val="bg1">
                        <a:lumMod val="100000"/>
                        <a:lumOff val="0"/>
                      </a:schemeClr>
                    </a:solidFill>
                    <a:ln>
                      <a:noFill/>
                    </a:ln>
                  </pic:spPr>
                </pic:pic>
              </a:graphicData>
            </a:graphic>
          </wp:inline>
        </w:drawing>
      </w:r>
    </w:p>
    <w:p w14:paraId="02691EF7" w14:textId="77777777" w:rsidR="00992EA6" w:rsidRPr="003D2F44" w:rsidRDefault="00992EA6" w:rsidP="009B04BB">
      <w:pPr>
        <w:ind w:left="1701" w:hanging="992"/>
        <w:jc w:val="both"/>
      </w:pPr>
      <w:r w:rsidRPr="003D2F44">
        <w:t>Donde kVAfs</w:t>
      </w:r>
      <w:r w:rsidRPr="003D2F44">
        <w:rPr>
          <w:vertAlign w:val="subscript"/>
        </w:rPr>
        <w:t>i</w:t>
      </w:r>
      <w:r w:rsidRPr="003D2F44">
        <w:t>: Potencia nominal fuera de servicio a causa de la interrupción “i”</w:t>
      </w:r>
    </w:p>
    <w:p w14:paraId="15D5AD52" w14:textId="77777777" w:rsidR="00992EA6" w:rsidRPr="003D2F44" w:rsidRDefault="00992EA6" w:rsidP="009B04BB">
      <w:pPr>
        <w:pStyle w:val="BankNormal"/>
        <w:spacing w:before="0"/>
        <w:ind w:left="720" w:firstLine="720"/>
        <w:jc w:val="both"/>
        <w:rPr>
          <w:lang w:val="es-ES_tradnl"/>
        </w:rPr>
      </w:pPr>
      <w:r w:rsidRPr="003D2F44">
        <w:rPr>
          <w:lang w:val="es-ES_tradnl"/>
        </w:rPr>
        <w:t>kVAinst: Potencia nominal total instalada.</w:t>
      </w:r>
    </w:p>
    <w:p w14:paraId="4166D020" w14:textId="77777777" w:rsidR="00992EA6" w:rsidRPr="003D2F44" w:rsidRDefault="00992EA6" w:rsidP="009B04BB">
      <w:pPr>
        <w:pStyle w:val="BankNormal"/>
        <w:spacing w:after="120"/>
        <w:ind w:left="709" w:hanging="349"/>
        <w:jc w:val="both"/>
        <w:rPr>
          <w:lang w:val="es-ES_tradnl"/>
        </w:rPr>
      </w:pPr>
      <w:r w:rsidRPr="003D2F44">
        <w:rPr>
          <w:lang w:val="es-ES_tradnl"/>
        </w:rPr>
        <w:t xml:space="preserve">TTIK = Tiempo total de interrupción por kVA nominal instalado  = </w:t>
      </w:r>
      <w:r w:rsidRPr="003D2F44">
        <w:rPr>
          <w:noProof/>
          <w:position w:val="-24"/>
        </w:rPr>
        <w:drawing>
          <wp:inline distT="0" distB="0" distL="0" distR="0" wp14:anchorId="42207AC1" wp14:editId="73120D16">
            <wp:extent cx="1000760" cy="6451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0760" cy="645160"/>
                    </a:xfrm>
                    <a:prstGeom prst="rect">
                      <a:avLst/>
                    </a:prstGeom>
                    <a:solidFill>
                      <a:schemeClr val="bg1">
                        <a:lumMod val="100000"/>
                        <a:lumOff val="0"/>
                      </a:schemeClr>
                    </a:solidFill>
                    <a:ln>
                      <a:noFill/>
                    </a:ln>
                  </pic:spPr>
                </pic:pic>
              </a:graphicData>
            </a:graphic>
          </wp:inline>
        </w:drawing>
      </w:r>
    </w:p>
    <w:p w14:paraId="204B21FC" w14:textId="77777777" w:rsidR="00992EA6" w:rsidRPr="003D2F44" w:rsidRDefault="00992EA6" w:rsidP="009B04BB">
      <w:pPr>
        <w:ind w:left="1980" w:hanging="1271"/>
        <w:jc w:val="both"/>
      </w:pPr>
      <w:r w:rsidRPr="003D2F44">
        <w:lastRenderedPageBreak/>
        <w:t>Donde Tfs</w:t>
      </w:r>
      <w:r w:rsidRPr="003D2F44">
        <w:rPr>
          <w:vertAlign w:val="subscript"/>
        </w:rPr>
        <w:t>i</w:t>
      </w:r>
      <w:r w:rsidRPr="003D2F44">
        <w:t xml:space="preserve"> : Tiempo fuera de servicio de cada tramo de alimentador primario a causa de la interrupción “i”</w:t>
      </w:r>
    </w:p>
    <w:p w14:paraId="7D638986" w14:textId="77777777" w:rsidR="00992EA6" w:rsidRPr="003D2F44" w:rsidRDefault="00992EA6" w:rsidP="009B04BB">
      <w:pPr>
        <w:ind w:left="1980" w:hanging="1271"/>
        <w:jc w:val="both"/>
      </w:pPr>
    </w:p>
    <w:p w14:paraId="6E9FD6BC" w14:textId="77777777" w:rsidR="00992EA6" w:rsidRPr="003D2F44" w:rsidRDefault="00992EA6" w:rsidP="009B04BB">
      <w:pPr>
        <w:ind w:left="1980" w:hanging="1271"/>
        <w:jc w:val="both"/>
      </w:pPr>
    </w:p>
    <w:p w14:paraId="04FDCA49" w14:textId="77777777" w:rsidR="00992EA6" w:rsidRPr="003D2F44" w:rsidRDefault="00992EA6" w:rsidP="009B04BB">
      <w:pPr>
        <w:pStyle w:val="Paragraph"/>
        <w:tabs>
          <w:tab w:val="clear" w:pos="720"/>
        </w:tabs>
        <w:ind w:hanging="360"/>
        <w:rPr>
          <w:lang w:val="es-ES_tradnl"/>
        </w:rPr>
      </w:pPr>
    </w:p>
    <w:p w14:paraId="1745F9DC" w14:textId="77777777" w:rsidR="00992EA6" w:rsidRPr="003D2F44" w:rsidRDefault="00992EA6" w:rsidP="00167968">
      <w:pPr>
        <w:pStyle w:val="Banknumbered"/>
        <w:numPr>
          <w:ilvl w:val="0"/>
          <w:numId w:val="9"/>
        </w:numPr>
        <w:jc w:val="both"/>
        <w:rPr>
          <w:rFonts w:eastAsia="Calibri" w:cs="Times New Roman"/>
          <w:b/>
          <w:szCs w:val="22"/>
          <w:lang w:val="es-ES_tradnl" w:eastAsia="x-none"/>
        </w:rPr>
      </w:pPr>
      <w:r w:rsidRPr="003D2F44">
        <w:rPr>
          <w:rFonts w:eastAsia="Calibri" w:cs="Times New Roman"/>
          <w:b/>
          <w:szCs w:val="22"/>
          <w:lang w:val="es-ES_tradnl" w:eastAsia="x-none"/>
        </w:rPr>
        <w:t>Evaluación de la ampliación de la cobertura eléctrica</w:t>
      </w:r>
    </w:p>
    <w:p w14:paraId="728F2E42" w14:textId="77777777" w:rsidR="00992EA6" w:rsidRPr="003D2F44" w:rsidRDefault="00992EA6" w:rsidP="009B04BB">
      <w:pPr>
        <w:pStyle w:val="Banknumbered"/>
        <w:numPr>
          <w:ilvl w:val="0"/>
          <w:numId w:val="0"/>
        </w:numPr>
        <w:ind w:left="720"/>
        <w:jc w:val="both"/>
        <w:rPr>
          <w:lang w:val="es-ES_tradnl"/>
        </w:rPr>
      </w:pPr>
      <w:r w:rsidRPr="003D2F44">
        <w:rPr>
          <w:lang w:val="es-ES_tradnl"/>
        </w:rPr>
        <w:t>Cuando se conectan consumidores que hasta la fecha carecen de servicio eléctrico, se generan beneficios económicos por un valor bruto equivalente al excedente del consumidor bajo la curva de demanda tal como se muestra en la Figura 1.</w:t>
      </w:r>
    </w:p>
    <w:p w14:paraId="79EE82CC" w14:textId="77777777" w:rsidR="00992EA6" w:rsidRPr="003D2F44" w:rsidRDefault="00992EA6" w:rsidP="000361BD">
      <w:pPr>
        <w:jc w:val="center"/>
      </w:pPr>
      <w:r w:rsidRPr="003D2F44">
        <w:rPr>
          <w:noProof/>
          <w:lang w:val="en-US"/>
        </w:rPr>
        <w:drawing>
          <wp:inline distT="0" distB="0" distL="0" distR="0" wp14:anchorId="168CF011" wp14:editId="37E28562">
            <wp:extent cx="5486400" cy="2563495"/>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2563495"/>
                    </a:xfrm>
                    <a:prstGeom prst="rect">
                      <a:avLst/>
                    </a:prstGeom>
                    <a:noFill/>
                    <a:ln>
                      <a:noFill/>
                    </a:ln>
                  </pic:spPr>
                </pic:pic>
              </a:graphicData>
            </a:graphic>
          </wp:inline>
        </w:drawing>
      </w:r>
    </w:p>
    <w:p w14:paraId="4E1CD0CF" w14:textId="77777777" w:rsidR="00992EA6" w:rsidRPr="003D2F44" w:rsidRDefault="00992EA6" w:rsidP="000361BD">
      <w:pPr>
        <w:jc w:val="center"/>
      </w:pPr>
      <w:r w:rsidRPr="003D2F44">
        <w:t>Figura 1</w:t>
      </w:r>
    </w:p>
    <w:p w14:paraId="4283630D" w14:textId="77777777" w:rsidR="00653EAE" w:rsidRPr="003D2F44" w:rsidRDefault="00653EAE" w:rsidP="009B04BB">
      <w:pPr>
        <w:pStyle w:val="Paragraph"/>
        <w:tabs>
          <w:tab w:val="clear" w:pos="720"/>
        </w:tabs>
        <w:ind w:left="705" w:firstLine="0"/>
        <w:rPr>
          <w:lang w:val="es-ES_tradnl"/>
        </w:rPr>
      </w:pPr>
    </w:p>
    <w:p w14:paraId="457BB8FF" w14:textId="77777777" w:rsidR="00992EA6" w:rsidRPr="003D2F44" w:rsidRDefault="00992EA6" w:rsidP="009B04BB">
      <w:pPr>
        <w:pStyle w:val="Banknumbered"/>
        <w:numPr>
          <w:ilvl w:val="0"/>
          <w:numId w:val="0"/>
        </w:numPr>
        <w:ind w:left="360"/>
        <w:jc w:val="both"/>
        <w:rPr>
          <w:lang w:val="es-ES_tradnl"/>
        </w:rPr>
      </w:pPr>
      <w:r w:rsidRPr="003D2F44">
        <w:rPr>
          <w:b/>
          <w:lang w:val="es-ES_tradnl"/>
        </w:rPr>
        <w:t>Beneficios.</w:t>
      </w:r>
      <w:r w:rsidRPr="003D2F44">
        <w:rPr>
          <w:lang w:val="es-ES_tradnl"/>
        </w:rPr>
        <w:t xml:space="preserve">  La cuantificación de los beneficios se lleva cabo siguiendo el siguiente procedimiento:</w:t>
      </w:r>
    </w:p>
    <w:p w14:paraId="3674EF38" w14:textId="77777777" w:rsidR="00C42088" w:rsidRPr="003D2F44" w:rsidRDefault="00992EA6" w:rsidP="009B04BB">
      <w:pPr>
        <w:pStyle w:val="Banknumbered"/>
        <w:numPr>
          <w:ilvl w:val="0"/>
          <w:numId w:val="0"/>
        </w:numPr>
        <w:ind w:left="360"/>
        <w:jc w:val="both"/>
        <w:rPr>
          <w:lang w:val="es-ES_tradnl"/>
        </w:rPr>
      </w:pPr>
      <w:r w:rsidRPr="003D2F44">
        <w:rPr>
          <w:lang w:val="es-ES_tradnl"/>
        </w:rPr>
        <w:t>Estimación de los beneficia</w:t>
      </w:r>
      <w:r w:rsidR="006D63BE">
        <w:rPr>
          <w:lang w:val="es-ES_tradnl"/>
        </w:rPr>
        <w:t>rios d</w:t>
      </w:r>
      <w:r w:rsidRPr="003D2F44">
        <w:rPr>
          <w:lang w:val="es-ES_tradnl"/>
        </w:rPr>
        <w:t>el programa de electrificación con base en los estima</w:t>
      </w:r>
      <w:r w:rsidR="006D63BE">
        <w:rPr>
          <w:lang w:val="es-ES_tradnl"/>
        </w:rPr>
        <w:t xml:space="preserve">dos </w:t>
      </w:r>
      <w:r w:rsidRPr="003D2F44">
        <w:rPr>
          <w:lang w:val="es-ES_tradnl"/>
        </w:rPr>
        <w:t>de población de Nicaragua y el número promedio de personas por hogar, asimilando los hogares beneficiados con nuevos consumidores; estableciendo una meta de cobertura para 201</w:t>
      </w:r>
      <w:r w:rsidR="009B04BB">
        <w:rPr>
          <w:lang w:val="es-ES_tradnl"/>
        </w:rPr>
        <w:t>6</w:t>
      </w:r>
      <w:r w:rsidRPr="003D2F44">
        <w:rPr>
          <w:lang w:val="es-ES_tradnl"/>
        </w:rPr>
        <w:t xml:space="preserve"> de 8</w:t>
      </w:r>
      <w:r w:rsidR="006D63BE">
        <w:rPr>
          <w:lang w:val="es-ES_tradnl"/>
        </w:rPr>
        <w:t>6,5</w:t>
      </w:r>
      <w:r w:rsidRPr="003D2F44">
        <w:rPr>
          <w:lang w:val="es-ES_tradnl"/>
        </w:rPr>
        <w:t xml:space="preserve">%, esto implica la conexión de nuevos usuarios, además del crecimiento vegetativo, de unas </w:t>
      </w:r>
      <w:r w:rsidR="000361BD">
        <w:rPr>
          <w:lang w:val="es-ES_tradnl"/>
        </w:rPr>
        <w:t>96</w:t>
      </w:r>
      <w:r w:rsidRPr="003D2F44">
        <w:rPr>
          <w:lang w:val="es-ES_tradnl"/>
        </w:rPr>
        <w:t>000 viviendas entre 2013 y 201</w:t>
      </w:r>
      <w:r w:rsidR="006D63BE">
        <w:rPr>
          <w:lang w:val="es-ES_tradnl"/>
        </w:rPr>
        <w:t>6</w:t>
      </w:r>
      <w:r w:rsidRPr="003D2F44">
        <w:rPr>
          <w:lang w:val="es-ES_tradnl"/>
        </w:rPr>
        <w:t xml:space="preserve">, a razón de </w:t>
      </w:r>
      <w:r w:rsidR="000361BD">
        <w:rPr>
          <w:lang w:val="es-ES_tradnl"/>
        </w:rPr>
        <w:t>300</w:t>
      </w:r>
      <w:r w:rsidRPr="003D2F44">
        <w:rPr>
          <w:lang w:val="es-ES_tradnl"/>
        </w:rPr>
        <w:t>00 viviendas anuales</w:t>
      </w:r>
      <w:r w:rsidR="006D63BE">
        <w:rPr>
          <w:lang w:val="es-ES_tradnl"/>
        </w:rPr>
        <w:t>.</w:t>
      </w:r>
    </w:p>
    <w:p w14:paraId="3F0A165A" w14:textId="77777777" w:rsidR="00C42088" w:rsidRPr="003D2F44" w:rsidRDefault="00C42088" w:rsidP="009B04BB">
      <w:pPr>
        <w:pStyle w:val="Paragraph"/>
        <w:tabs>
          <w:tab w:val="clear" w:pos="720"/>
        </w:tabs>
        <w:ind w:left="705" w:firstLine="0"/>
        <w:rPr>
          <w:lang w:val="es-ES_tradnl"/>
        </w:rPr>
      </w:pPr>
    </w:p>
    <w:p w14:paraId="010860D4" w14:textId="77777777" w:rsidR="00992EA6" w:rsidRPr="003D2F44" w:rsidRDefault="00992EA6" w:rsidP="00167968">
      <w:pPr>
        <w:pStyle w:val="Banknumbered"/>
        <w:numPr>
          <w:ilvl w:val="0"/>
          <w:numId w:val="9"/>
        </w:numPr>
        <w:jc w:val="both"/>
        <w:rPr>
          <w:rFonts w:eastAsia="Calibri" w:cs="Times New Roman"/>
          <w:b/>
          <w:szCs w:val="22"/>
          <w:lang w:val="es-ES_tradnl" w:eastAsia="x-none"/>
        </w:rPr>
      </w:pPr>
      <w:r w:rsidRPr="003D2F44">
        <w:rPr>
          <w:rFonts w:eastAsia="Calibri" w:cs="Times New Roman"/>
          <w:b/>
          <w:szCs w:val="22"/>
          <w:lang w:val="es-ES_tradnl" w:eastAsia="x-none"/>
        </w:rPr>
        <w:t>Evaluación de la reducción de pérdidas</w:t>
      </w:r>
    </w:p>
    <w:p w14:paraId="3977483C" w14:textId="77777777" w:rsidR="00992EA6" w:rsidRPr="003D2F44" w:rsidRDefault="00992EA6" w:rsidP="009B04BB">
      <w:pPr>
        <w:pStyle w:val="Banknumbered"/>
        <w:numPr>
          <w:ilvl w:val="0"/>
          <w:numId w:val="0"/>
        </w:numPr>
        <w:ind w:left="360"/>
        <w:jc w:val="both"/>
        <w:rPr>
          <w:lang w:val="es-ES_tradnl"/>
        </w:rPr>
      </w:pPr>
      <w:r w:rsidRPr="003D2F44">
        <w:rPr>
          <w:b/>
          <w:lang w:val="es-ES_tradnl"/>
        </w:rPr>
        <w:t>Metodología</w:t>
      </w:r>
      <w:r w:rsidRPr="003D2F44">
        <w:rPr>
          <w:lang w:val="es-ES_tradnl"/>
        </w:rPr>
        <w:t xml:space="preserve">.  Una meta razonable y consistente con los logros en años anteriores, sería una reducción de </w:t>
      </w:r>
      <w:r w:rsidR="0060309F">
        <w:rPr>
          <w:lang w:val="es-ES_tradnl"/>
        </w:rPr>
        <w:t>medio</w:t>
      </w:r>
      <w:r w:rsidRPr="003D2F44">
        <w:rPr>
          <w:lang w:val="es-ES_tradnl"/>
        </w:rPr>
        <w:t xml:space="preserve"> punto porcentual por año en los próximos </w:t>
      </w:r>
      <w:r w:rsidR="0060309F">
        <w:rPr>
          <w:lang w:val="es-ES_tradnl"/>
        </w:rPr>
        <w:t xml:space="preserve">dos </w:t>
      </w:r>
      <w:r w:rsidRPr="003D2F44">
        <w:rPr>
          <w:lang w:val="es-ES_tradnl"/>
        </w:rPr>
        <w:t>años. La siguiente tabla ilustra la reducción de pérdidas comerciales obtenida con el proyecto:</w:t>
      </w:r>
    </w:p>
    <w:p w14:paraId="301AE783" w14:textId="77777777" w:rsidR="00CD2BD6" w:rsidRPr="003D2F44" w:rsidRDefault="00CD2BD6" w:rsidP="009B04BB">
      <w:pPr>
        <w:pStyle w:val="Banknumbered"/>
        <w:numPr>
          <w:ilvl w:val="0"/>
          <w:numId w:val="0"/>
        </w:numPr>
        <w:ind w:left="360"/>
        <w:jc w:val="both"/>
        <w:rPr>
          <w:lang w:val="es-ES_tradnl"/>
        </w:rPr>
      </w:pPr>
    </w:p>
    <w:tbl>
      <w:tblPr>
        <w:tblStyle w:val="TableGrid"/>
        <w:tblW w:w="0" w:type="auto"/>
        <w:jc w:val="center"/>
        <w:tblLook w:val="04A0" w:firstRow="1" w:lastRow="0" w:firstColumn="1" w:lastColumn="0" w:noHBand="0" w:noVBand="1"/>
      </w:tblPr>
      <w:tblGrid>
        <w:gridCol w:w="3060"/>
        <w:gridCol w:w="827"/>
        <w:gridCol w:w="880"/>
        <w:gridCol w:w="942"/>
        <w:gridCol w:w="942"/>
        <w:gridCol w:w="942"/>
      </w:tblGrid>
      <w:tr w:rsidR="0060309F" w:rsidRPr="003D2F44" w14:paraId="0FC97CD3" w14:textId="77777777" w:rsidTr="000361BD">
        <w:trPr>
          <w:jc w:val="center"/>
        </w:trPr>
        <w:tc>
          <w:tcPr>
            <w:tcW w:w="3060" w:type="dxa"/>
          </w:tcPr>
          <w:p w14:paraId="133056FF"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Año</w:t>
            </w:r>
          </w:p>
        </w:tc>
        <w:tc>
          <w:tcPr>
            <w:tcW w:w="827" w:type="dxa"/>
          </w:tcPr>
          <w:p w14:paraId="40863646"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2012</w:t>
            </w:r>
          </w:p>
        </w:tc>
        <w:tc>
          <w:tcPr>
            <w:tcW w:w="880" w:type="dxa"/>
          </w:tcPr>
          <w:p w14:paraId="77DCF9C3"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2013</w:t>
            </w:r>
          </w:p>
        </w:tc>
        <w:tc>
          <w:tcPr>
            <w:tcW w:w="942" w:type="dxa"/>
          </w:tcPr>
          <w:p w14:paraId="7366A1FA"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2014</w:t>
            </w:r>
          </w:p>
        </w:tc>
        <w:tc>
          <w:tcPr>
            <w:tcW w:w="942" w:type="dxa"/>
          </w:tcPr>
          <w:p w14:paraId="4360E2A4"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2015</w:t>
            </w:r>
          </w:p>
        </w:tc>
        <w:tc>
          <w:tcPr>
            <w:tcW w:w="942" w:type="dxa"/>
          </w:tcPr>
          <w:p w14:paraId="76E379ED" w14:textId="77777777" w:rsidR="0060309F" w:rsidRPr="003D2F44" w:rsidRDefault="0060309F" w:rsidP="009B04BB">
            <w:pPr>
              <w:pStyle w:val="BankNormal"/>
              <w:spacing w:before="0"/>
              <w:jc w:val="both"/>
              <w:rPr>
                <w:rFonts w:ascii="Arial Narrow" w:hAnsi="Arial Narrow"/>
                <w:lang w:val="es-ES_tradnl"/>
              </w:rPr>
            </w:pPr>
            <w:r w:rsidRPr="003D2F44">
              <w:rPr>
                <w:rFonts w:ascii="Arial Narrow" w:hAnsi="Arial Narrow"/>
                <w:lang w:val="es-ES_tradnl"/>
              </w:rPr>
              <w:t>2016</w:t>
            </w:r>
          </w:p>
        </w:tc>
      </w:tr>
      <w:tr w:rsidR="0060309F" w:rsidRPr="003D2F44" w14:paraId="0B70236C" w14:textId="77777777" w:rsidTr="000361BD">
        <w:trPr>
          <w:jc w:val="center"/>
        </w:trPr>
        <w:tc>
          <w:tcPr>
            <w:tcW w:w="3060" w:type="dxa"/>
          </w:tcPr>
          <w:p w14:paraId="3FC66AB7" w14:textId="77777777" w:rsidR="0060309F" w:rsidRPr="003D2F44" w:rsidRDefault="0060309F" w:rsidP="0060309F">
            <w:pPr>
              <w:pStyle w:val="BankNormal"/>
              <w:spacing w:before="0"/>
              <w:jc w:val="both"/>
              <w:rPr>
                <w:rFonts w:ascii="Arial Narrow" w:hAnsi="Arial Narrow"/>
                <w:lang w:val="es-ES_tradnl"/>
              </w:rPr>
            </w:pPr>
            <w:r w:rsidRPr="003D2F44">
              <w:rPr>
                <w:rFonts w:ascii="Arial Narrow" w:hAnsi="Arial Narrow"/>
                <w:lang w:val="es-ES_tradnl"/>
              </w:rPr>
              <w:t xml:space="preserve">Pérdidas </w:t>
            </w:r>
            <w:r>
              <w:rPr>
                <w:rFonts w:ascii="Arial Narrow" w:hAnsi="Arial Narrow"/>
                <w:lang w:val="es-ES_tradnl"/>
              </w:rPr>
              <w:t xml:space="preserve">totales </w:t>
            </w:r>
            <w:r w:rsidRPr="003D2F44">
              <w:rPr>
                <w:rFonts w:ascii="Arial Narrow" w:hAnsi="Arial Narrow"/>
                <w:lang w:val="es-ES_tradnl"/>
              </w:rPr>
              <w:t>de</w:t>
            </w:r>
            <w:r>
              <w:rPr>
                <w:rFonts w:ascii="Arial Narrow" w:hAnsi="Arial Narrow"/>
                <w:lang w:val="es-ES_tradnl"/>
              </w:rPr>
              <w:t xml:space="preserve">l sistema </w:t>
            </w:r>
            <w:r w:rsidRPr="003D2F44">
              <w:rPr>
                <w:rFonts w:ascii="Arial Narrow" w:hAnsi="Arial Narrow"/>
                <w:lang w:val="es-ES_tradnl"/>
              </w:rPr>
              <w:t>%</w:t>
            </w:r>
          </w:p>
        </w:tc>
        <w:tc>
          <w:tcPr>
            <w:tcW w:w="827" w:type="dxa"/>
          </w:tcPr>
          <w:p w14:paraId="39F8D3EF" w14:textId="77777777" w:rsidR="0060309F" w:rsidRPr="003D2F44" w:rsidRDefault="0060309F" w:rsidP="0060309F">
            <w:pPr>
              <w:pStyle w:val="BankNormal"/>
              <w:spacing w:before="0"/>
              <w:jc w:val="both"/>
              <w:rPr>
                <w:rFonts w:ascii="Arial Narrow" w:hAnsi="Arial Narrow"/>
                <w:lang w:val="es-ES_tradnl"/>
              </w:rPr>
            </w:pPr>
            <w:r w:rsidRPr="003D2F44">
              <w:rPr>
                <w:rFonts w:ascii="Arial Narrow" w:hAnsi="Arial Narrow"/>
                <w:lang w:val="es-ES_tradnl"/>
              </w:rPr>
              <w:t>2</w:t>
            </w:r>
            <w:r>
              <w:rPr>
                <w:rFonts w:ascii="Arial Narrow" w:hAnsi="Arial Narrow"/>
                <w:lang w:val="es-ES_tradnl"/>
              </w:rPr>
              <w:t>3,32</w:t>
            </w:r>
          </w:p>
        </w:tc>
        <w:tc>
          <w:tcPr>
            <w:tcW w:w="880" w:type="dxa"/>
          </w:tcPr>
          <w:p w14:paraId="19E74F6B" w14:textId="77777777" w:rsidR="0060309F" w:rsidRPr="003D2F44" w:rsidRDefault="0060309F" w:rsidP="0060309F">
            <w:pPr>
              <w:pStyle w:val="BankNormal"/>
              <w:spacing w:before="0"/>
              <w:jc w:val="both"/>
              <w:rPr>
                <w:rFonts w:ascii="Arial Narrow" w:hAnsi="Arial Narrow"/>
                <w:lang w:val="es-ES_tradnl"/>
              </w:rPr>
            </w:pPr>
            <w:r>
              <w:rPr>
                <w:rFonts w:ascii="Arial Narrow" w:hAnsi="Arial Narrow"/>
                <w:lang w:val="es-ES_tradnl"/>
              </w:rPr>
              <w:t>22,78</w:t>
            </w:r>
          </w:p>
        </w:tc>
        <w:tc>
          <w:tcPr>
            <w:tcW w:w="942" w:type="dxa"/>
          </w:tcPr>
          <w:p w14:paraId="59DE7C4F" w14:textId="77777777" w:rsidR="0060309F" w:rsidRPr="003D2F44" w:rsidRDefault="0060309F" w:rsidP="009B04BB">
            <w:pPr>
              <w:pStyle w:val="BankNormal"/>
              <w:spacing w:before="0"/>
              <w:jc w:val="both"/>
              <w:rPr>
                <w:rFonts w:ascii="Arial Narrow" w:hAnsi="Arial Narrow"/>
                <w:lang w:val="es-ES_tradnl"/>
              </w:rPr>
            </w:pPr>
            <w:r>
              <w:rPr>
                <w:rFonts w:ascii="Arial Narrow" w:hAnsi="Arial Narrow"/>
                <w:lang w:val="es-ES_tradnl"/>
              </w:rPr>
              <w:t>22,25</w:t>
            </w:r>
          </w:p>
        </w:tc>
        <w:tc>
          <w:tcPr>
            <w:tcW w:w="942" w:type="dxa"/>
          </w:tcPr>
          <w:p w14:paraId="4753C4A1" w14:textId="77777777" w:rsidR="0060309F" w:rsidRPr="003D2F44" w:rsidRDefault="0060309F" w:rsidP="0060309F">
            <w:pPr>
              <w:pStyle w:val="BankNormal"/>
              <w:spacing w:before="0"/>
              <w:jc w:val="both"/>
              <w:rPr>
                <w:rFonts w:ascii="Arial Narrow" w:hAnsi="Arial Narrow"/>
                <w:lang w:val="es-ES_tradnl"/>
              </w:rPr>
            </w:pPr>
            <w:r>
              <w:rPr>
                <w:rFonts w:ascii="Arial Narrow" w:hAnsi="Arial Narrow"/>
                <w:lang w:val="es-ES_tradnl"/>
              </w:rPr>
              <w:t>21,75</w:t>
            </w:r>
          </w:p>
        </w:tc>
        <w:tc>
          <w:tcPr>
            <w:tcW w:w="942" w:type="dxa"/>
          </w:tcPr>
          <w:p w14:paraId="73AB3DD6" w14:textId="77777777" w:rsidR="0060309F" w:rsidRPr="003D2F44" w:rsidRDefault="0060309F" w:rsidP="0060309F">
            <w:pPr>
              <w:pStyle w:val="BankNormal"/>
              <w:spacing w:before="0"/>
              <w:jc w:val="both"/>
              <w:rPr>
                <w:rFonts w:ascii="Arial Narrow" w:hAnsi="Arial Narrow"/>
                <w:lang w:val="es-ES_tradnl"/>
              </w:rPr>
            </w:pPr>
            <w:r>
              <w:rPr>
                <w:rFonts w:ascii="Arial Narrow" w:hAnsi="Arial Narrow"/>
                <w:lang w:val="es-ES_tradnl"/>
              </w:rPr>
              <w:t>21,15</w:t>
            </w:r>
          </w:p>
        </w:tc>
      </w:tr>
    </w:tbl>
    <w:p w14:paraId="680B9044" w14:textId="77777777" w:rsidR="00653EAE" w:rsidRPr="003D2F44" w:rsidRDefault="00653EAE" w:rsidP="009B04BB">
      <w:pPr>
        <w:pStyle w:val="Paragraph"/>
        <w:tabs>
          <w:tab w:val="clear" w:pos="720"/>
        </w:tabs>
        <w:ind w:left="705" w:firstLine="0"/>
        <w:rPr>
          <w:lang w:val="es-ES_tradnl"/>
        </w:rPr>
      </w:pPr>
    </w:p>
    <w:p w14:paraId="1EAA7D16" w14:textId="77777777" w:rsidR="00992EA6" w:rsidRPr="003D2F44" w:rsidRDefault="00992EA6" w:rsidP="00167968">
      <w:pPr>
        <w:pStyle w:val="Banknumbered"/>
        <w:numPr>
          <w:ilvl w:val="0"/>
          <w:numId w:val="9"/>
        </w:numPr>
        <w:jc w:val="both"/>
        <w:rPr>
          <w:rFonts w:eastAsia="Calibri" w:cs="Times New Roman"/>
          <w:b/>
          <w:szCs w:val="22"/>
          <w:lang w:val="es-ES_tradnl" w:eastAsia="x-none"/>
        </w:rPr>
      </w:pPr>
      <w:r w:rsidRPr="003D2F44">
        <w:rPr>
          <w:rFonts w:eastAsia="Calibri" w:cs="Times New Roman"/>
          <w:b/>
          <w:szCs w:val="22"/>
          <w:lang w:val="es-ES_tradnl" w:eastAsia="x-none"/>
        </w:rPr>
        <w:t>Evaluación del incentivo a la energía renovable en la matriz energética</w:t>
      </w:r>
    </w:p>
    <w:p w14:paraId="0D8D7C8D" w14:textId="77777777" w:rsidR="00653EAE" w:rsidRDefault="00992EA6" w:rsidP="006D63BE">
      <w:pPr>
        <w:pStyle w:val="Banknumbered"/>
        <w:numPr>
          <w:ilvl w:val="0"/>
          <w:numId w:val="0"/>
        </w:numPr>
        <w:ind w:left="360"/>
        <w:jc w:val="both"/>
        <w:rPr>
          <w:lang w:val="es-ES_tradnl"/>
        </w:rPr>
      </w:pPr>
      <w:r w:rsidRPr="003D2F44">
        <w:rPr>
          <w:b/>
          <w:lang w:val="es-ES_tradnl"/>
        </w:rPr>
        <w:t>Metodología.</w:t>
      </w:r>
      <w:r w:rsidRPr="003D2F44">
        <w:rPr>
          <w:lang w:val="es-ES_tradnl"/>
        </w:rPr>
        <w:t xml:space="preserve">  Los beneficios de la reducción en los costos de generación pueden evaluarse mediante los ahorros operativos asociados con las plantas menos eficientes del sistema.  Una aproximación a estos </w:t>
      </w:r>
      <w:r w:rsidRPr="003D2F44">
        <w:rPr>
          <w:lang w:val="es-ES_tradnl"/>
        </w:rPr>
        <w:lastRenderedPageBreak/>
        <w:t>beneficios puede obtenerse mediante la información consignada en el Plan Indicativo de Generación 2011–2025 preparado por el Ministerio de Energía y Minas y por ENATREL</w:t>
      </w:r>
      <w:r w:rsidR="00CD2BD6" w:rsidRPr="003D2F44">
        <w:rPr>
          <w:lang w:val="es-ES_tradnl"/>
        </w:rPr>
        <w:t>.</w:t>
      </w:r>
      <w:r w:rsidR="00874513">
        <w:rPr>
          <w:lang w:val="es-ES_tradnl"/>
        </w:rPr>
        <w:t xml:space="preserve"> </w:t>
      </w:r>
      <w:r w:rsidR="00874513" w:rsidRPr="00874513">
        <w:rPr>
          <w:lang w:val="es-ES_tradnl"/>
        </w:rPr>
        <w:t>La siguiente figura ilustra la evolución del costo marginal de corto plazo durante el período de planeamiento</w:t>
      </w:r>
      <w:r w:rsidR="00874513">
        <w:rPr>
          <w:lang w:val="es-ES_tradnl"/>
        </w:rPr>
        <w:t>:</w:t>
      </w:r>
    </w:p>
    <w:p w14:paraId="07EFF29C" w14:textId="77777777" w:rsidR="00874513" w:rsidRDefault="00874513" w:rsidP="0060309F">
      <w:pPr>
        <w:pStyle w:val="Paragraph"/>
        <w:tabs>
          <w:tab w:val="clear" w:pos="720"/>
        </w:tabs>
        <w:ind w:left="705" w:firstLine="0"/>
        <w:jc w:val="center"/>
        <w:rPr>
          <w:lang w:val="es-ES_tradnl"/>
        </w:rPr>
      </w:pPr>
      <w:r>
        <w:rPr>
          <w:noProof/>
          <w:lang w:val="en-US" w:eastAsia="en-US"/>
        </w:rPr>
        <w:drawing>
          <wp:inline distT="0" distB="0" distL="0" distR="0" wp14:anchorId="0823C5D7" wp14:editId="5F697649">
            <wp:extent cx="3912235" cy="2877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12235" cy="2877820"/>
                    </a:xfrm>
                    <a:prstGeom prst="rect">
                      <a:avLst/>
                    </a:prstGeom>
                    <a:noFill/>
                    <a:ln>
                      <a:noFill/>
                    </a:ln>
                  </pic:spPr>
                </pic:pic>
              </a:graphicData>
            </a:graphic>
          </wp:inline>
        </w:drawing>
      </w:r>
    </w:p>
    <w:p w14:paraId="1B3B05CB" w14:textId="77777777" w:rsidR="00874513" w:rsidRPr="003D2F44" w:rsidRDefault="00874513" w:rsidP="0060309F">
      <w:pPr>
        <w:pStyle w:val="Banknumbered"/>
        <w:numPr>
          <w:ilvl w:val="0"/>
          <w:numId w:val="0"/>
        </w:numPr>
        <w:ind w:left="360"/>
        <w:jc w:val="both"/>
        <w:rPr>
          <w:lang w:val="es-ES_tradnl"/>
        </w:rPr>
      </w:pPr>
      <w:r w:rsidRPr="00874513">
        <w:rPr>
          <w:lang w:val="es-ES_tradnl"/>
        </w:rPr>
        <w:t>El beneficio asociado con la energía renovable se puede medir en términos de costos unitarios como la diferencia entre los costos marginales de generación en 2013–2014, del orden de US$140/MWh y los costos marginales de generación de renovables, que son nulos</w:t>
      </w:r>
      <w:r>
        <w:rPr>
          <w:lang w:val="es-ES_tradnl"/>
        </w:rPr>
        <w:t>.</w:t>
      </w:r>
    </w:p>
    <w:p w14:paraId="4259FC49" w14:textId="77777777" w:rsidR="00CD2BD6" w:rsidRPr="003D2F44" w:rsidRDefault="00CD2BD6" w:rsidP="009B04BB">
      <w:pPr>
        <w:pStyle w:val="Paragraph"/>
        <w:tabs>
          <w:tab w:val="clear" w:pos="720"/>
        </w:tabs>
        <w:ind w:left="705" w:firstLine="0"/>
        <w:rPr>
          <w:lang w:val="es-ES_tradnl"/>
        </w:rPr>
      </w:pPr>
    </w:p>
    <w:p w14:paraId="11305790" w14:textId="77777777" w:rsidR="00992EA6" w:rsidRPr="003D2F44" w:rsidRDefault="00992EA6" w:rsidP="00167968">
      <w:pPr>
        <w:pStyle w:val="Banknumbered"/>
        <w:numPr>
          <w:ilvl w:val="0"/>
          <w:numId w:val="9"/>
        </w:numPr>
        <w:jc w:val="both"/>
        <w:rPr>
          <w:rFonts w:eastAsia="Calibri" w:cs="Times New Roman"/>
          <w:b/>
          <w:szCs w:val="22"/>
          <w:lang w:val="es-ES_tradnl" w:eastAsia="x-none"/>
        </w:rPr>
      </w:pPr>
      <w:r w:rsidRPr="003D2F44">
        <w:rPr>
          <w:rFonts w:eastAsia="Calibri" w:cs="Times New Roman"/>
          <w:b/>
          <w:szCs w:val="22"/>
          <w:lang w:val="es-ES_tradnl" w:eastAsia="x-none"/>
        </w:rPr>
        <w:t>Evaluación del programa de eficiencia energética</w:t>
      </w:r>
    </w:p>
    <w:p w14:paraId="069BD707" w14:textId="77777777" w:rsidR="00CD2BD6" w:rsidRDefault="00992EA6" w:rsidP="000361BD">
      <w:pPr>
        <w:pStyle w:val="Banknumbered"/>
        <w:numPr>
          <w:ilvl w:val="0"/>
          <w:numId w:val="0"/>
        </w:numPr>
        <w:ind w:left="360"/>
        <w:jc w:val="both"/>
        <w:rPr>
          <w:lang w:val="es-ES_tradnl"/>
        </w:rPr>
      </w:pPr>
      <w:r w:rsidRPr="003D2F44">
        <w:rPr>
          <w:b/>
          <w:lang w:val="es-ES_tradnl"/>
        </w:rPr>
        <w:t>Metodología.</w:t>
      </w:r>
      <w:r w:rsidRPr="003D2F44">
        <w:rPr>
          <w:lang w:val="es-ES_tradnl"/>
        </w:rPr>
        <w:t xml:space="preserve">  Los beneficios del programa se traducen en una reducción de los costos de generación por el menor consumo de las lámparas que se instalarán </w:t>
      </w:r>
      <w:r w:rsidR="000361BD" w:rsidRPr="003D2F44">
        <w:rPr>
          <w:lang w:val="es-ES_tradnl"/>
        </w:rPr>
        <w:t>comparados</w:t>
      </w:r>
      <w:r w:rsidRPr="003D2F44">
        <w:rPr>
          <w:lang w:val="es-ES_tradnl"/>
        </w:rPr>
        <w:t xml:space="preserve"> con las bujías incandescentes y las lámparas fluorescentes magnéticas.  El beneficio correspondiente se valora al costo marginal de generación, el cual se aplica a los siguientes valores sustituidos (valores acumulados a la fecha):</w:t>
      </w:r>
    </w:p>
    <w:p w14:paraId="2394E55C" w14:textId="77777777" w:rsidR="000361BD" w:rsidRPr="003D2F44" w:rsidRDefault="000361BD" w:rsidP="000361BD">
      <w:pPr>
        <w:pStyle w:val="Banknumbered"/>
        <w:numPr>
          <w:ilvl w:val="0"/>
          <w:numId w:val="0"/>
        </w:numPr>
        <w:ind w:left="360"/>
        <w:jc w:val="both"/>
        <w:rPr>
          <w:lang w:val="es-ES_tradnl"/>
        </w:rPr>
      </w:pPr>
    </w:p>
    <w:p w14:paraId="222FCEA5" w14:textId="77777777" w:rsidR="00992EA6" w:rsidRPr="003D2F44" w:rsidRDefault="00992EA6" w:rsidP="009B04BB">
      <w:pPr>
        <w:ind w:left="720"/>
        <w:jc w:val="both"/>
      </w:pPr>
      <w:r w:rsidRPr="003D2F44">
        <w:t>2014: 90 GWh</w:t>
      </w:r>
    </w:p>
    <w:p w14:paraId="1F1749B7" w14:textId="77777777" w:rsidR="00992EA6" w:rsidRPr="003D2F44" w:rsidRDefault="00992EA6" w:rsidP="009B04BB">
      <w:pPr>
        <w:ind w:left="720"/>
        <w:jc w:val="both"/>
      </w:pPr>
      <w:r w:rsidRPr="003D2F44">
        <w:t>2015: 180 GWh</w:t>
      </w:r>
    </w:p>
    <w:p w14:paraId="5B73A6AE" w14:textId="77777777" w:rsidR="00992EA6" w:rsidRPr="003D2F44" w:rsidRDefault="00992EA6" w:rsidP="009B04BB">
      <w:pPr>
        <w:ind w:left="720"/>
        <w:jc w:val="both"/>
      </w:pPr>
      <w:r w:rsidRPr="003D2F44">
        <w:t>2016: 221 GWh</w:t>
      </w:r>
    </w:p>
    <w:p w14:paraId="7ECE39B3" w14:textId="77777777" w:rsidR="00653EAE" w:rsidRPr="003D2F44" w:rsidRDefault="00653EAE" w:rsidP="009B04BB">
      <w:pPr>
        <w:pStyle w:val="Paragraph"/>
        <w:tabs>
          <w:tab w:val="clear" w:pos="720"/>
        </w:tabs>
        <w:ind w:left="705" w:firstLine="0"/>
        <w:rPr>
          <w:lang w:val="es-ES_tradnl"/>
        </w:rPr>
      </w:pPr>
    </w:p>
    <w:p w14:paraId="488875B9" w14:textId="77777777" w:rsidR="00992EA6" w:rsidRPr="003D2F44" w:rsidRDefault="00992EA6" w:rsidP="00167968">
      <w:pPr>
        <w:pStyle w:val="Subtitle"/>
        <w:numPr>
          <w:ilvl w:val="0"/>
          <w:numId w:val="6"/>
        </w:numPr>
        <w:jc w:val="both"/>
        <w:rPr>
          <w:rFonts w:ascii="Times New Roman" w:hAnsi="Times New Roman"/>
          <w:i/>
          <w:lang w:val="es-ES_tradnl"/>
        </w:rPr>
      </w:pPr>
      <w:bookmarkStart w:id="4" w:name="_Toc334085435"/>
      <w:r w:rsidRPr="003D2F44">
        <w:rPr>
          <w:rFonts w:ascii="Times New Roman" w:hAnsi="Times New Roman"/>
          <w:i/>
          <w:lang w:val="es-ES_tradnl"/>
        </w:rPr>
        <w:t>Recopilación de datos</w:t>
      </w:r>
      <w:bookmarkEnd w:id="4"/>
    </w:p>
    <w:p w14:paraId="3619110D" w14:textId="77777777" w:rsidR="000361BD" w:rsidRDefault="00DA16BE" w:rsidP="0060309F">
      <w:pPr>
        <w:pStyle w:val="Banknumbered"/>
        <w:numPr>
          <w:ilvl w:val="0"/>
          <w:numId w:val="0"/>
        </w:numPr>
        <w:ind w:left="360"/>
        <w:jc w:val="both"/>
        <w:rPr>
          <w:lang w:val="es-ES_tradnl"/>
        </w:rPr>
      </w:pPr>
      <w:r w:rsidRPr="003D2F44">
        <w:rPr>
          <w:lang w:val="es-ES_tradnl"/>
        </w:rPr>
        <w:tab/>
        <w:t>En su carácter de ejecutor, el MHCP tendrá las siguientes responsabilidades: i) entregar informes y evidencia del cumplimiento de las condiciones de la operación, y todo otro informe que el BID pueda requerir; ii) impulsar las acciones tendientes al logro de los objetivos de política definidos en el Programa y en particular aquéllas incluidas como mecanismos activadores para la segunda y tercera operación; y iii) reunir, archivar y entregar al BID toda la información, indicadores y parámetros que contribuyan a que el Gobierno Nicaragua y BID puedan dar seguimiento, medir y evaluar los r</w:t>
      </w:r>
      <w:r w:rsidR="000361BD">
        <w:rPr>
          <w:lang w:val="es-ES_tradnl"/>
        </w:rPr>
        <w:t>esultados del Programa</w:t>
      </w:r>
    </w:p>
    <w:p w14:paraId="7AAFE733" w14:textId="77777777" w:rsidR="00DA16BE" w:rsidRPr="003D2F44" w:rsidRDefault="00DA16BE" w:rsidP="0060309F">
      <w:pPr>
        <w:pStyle w:val="Banknumbered"/>
        <w:numPr>
          <w:ilvl w:val="0"/>
          <w:numId w:val="0"/>
        </w:numPr>
        <w:ind w:left="360"/>
        <w:jc w:val="both"/>
        <w:rPr>
          <w:lang w:val="es-ES_tradnl"/>
        </w:rPr>
      </w:pPr>
      <w:r w:rsidRPr="003D2F44">
        <w:rPr>
          <w:lang w:val="es-ES_tradnl"/>
        </w:rPr>
        <w:t>El MCHP suministrará al BID toda la información necesaria para la preparación de la evaluación final y el ACB. Para ello y tal como se muestra en la Tabla 1 y 2, el MHCP recopilará toda la información resultante del monitoreo anual de los indicadores de resultados realizado por el MEM, INE, ENEL, ENATREL, DISNORTE y DISSUR</w:t>
      </w:r>
      <w:r w:rsidR="000816AE" w:rsidRPr="003D2F44">
        <w:rPr>
          <w:lang w:val="es-ES_tradnl"/>
        </w:rPr>
        <w:t>.</w:t>
      </w:r>
      <w:r w:rsidRPr="003D2F44">
        <w:rPr>
          <w:lang w:val="es-ES_tradnl"/>
        </w:rPr>
        <w:t xml:space="preserve"> </w:t>
      </w:r>
    </w:p>
    <w:p w14:paraId="49459AAB" w14:textId="77777777" w:rsidR="00DA16BE" w:rsidRPr="003D2F44" w:rsidRDefault="00DA16BE" w:rsidP="0060309F">
      <w:pPr>
        <w:pStyle w:val="Banknumbered"/>
        <w:numPr>
          <w:ilvl w:val="0"/>
          <w:numId w:val="0"/>
        </w:numPr>
        <w:ind w:left="360"/>
        <w:jc w:val="both"/>
        <w:rPr>
          <w:lang w:val="es-ES_tradnl"/>
        </w:rPr>
      </w:pPr>
      <w:r w:rsidRPr="003D2F44">
        <w:rPr>
          <w:lang w:val="es-ES_tradnl"/>
        </w:rPr>
        <w:lastRenderedPageBreak/>
        <w:t>Por parte del BID, el Equipo de Proyecto de la División de Energía que prestan servicios en la Sede de Nicaragua (INE/ENE) estará a cargo del seguimiento del programa. El Prestatario y el BID han acordado efectuar reuniones de seguimiento, en fechas a definir de común acuerdo. Luego de completada cada operación individual del Programa, el Equipo de Proyecto producirá una versión simplificada del informe de avance de proyecto, revisando la evolución de los indicadores del Programa (Tabla 1), a fin de identificar los avances y de apoyar la propuesta de modificaciones que pudiesen requerirse para alcanzar las metas del Programa.</w:t>
      </w:r>
    </w:p>
    <w:p w14:paraId="0E4B77CD" w14:textId="77777777" w:rsidR="00DA16BE" w:rsidRPr="003D2F44" w:rsidRDefault="00DA16BE" w:rsidP="0060309F">
      <w:pPr>
        <w:pStyle w:val="Banknumbered"/>
        <w:numPr>
          <w:ilvl w:val="0"/>
          <w:numId w:val="0"/>
        </w:numPr>
        <w:ind w:left="360"/>
        <w:jc w:val="both"/>
        <w:rPr>
          <w:lang w:val="es-ES_tradnl"/>
        </w:rPr>
      </w:pPr>
      <w:r w:rsidRPr="003D2F44">
        <w:rPr>
          <w:lang w:val="es-ES_tradnl"/>
        </w:rPr>
        <w:t>Finalizando el Programa, El BID contratará consultores individuales para la preparación de la evaluación final y el ACB expost.</w:t>
      </w:r>
    </w:p>
    <w:p w14:paraId="003FB99C" w14:textId="77777777" w:rsidR="00DA16BE" w:rsidRPr="003D2F44" w:rsidRDefault="00DA16BE" w:rsidP="0060309F">
      <w:pPr>
        <w:pStyle w:val="Banknumbered"/>
        <w:numPr>
          <w:ilvl w:val="0"/>
          <w:numId w:val="0"/>
        </w:numPr>
        <w:ind w:left="360"/>
        <w:jc w:val="both"/>
        <w:rPr>
          <w:lang w:val="es-ES_tradnl"/>
        </w:rPr>
      </w:pPr>
      <w:r w:rsidRPr="003D2F44">
        <w:rPr>
          <w:lang w:val="es-ES_tradnl"/>
        </w:rPr>
        <w:t>El BID preparará los Términos de Referencia (TdR) para el desarrollo de la evaluación económica, los cuales seguirán la metodología básica descrita previamente y considerarán las fuentes de verificación  presentadas en la siguiente tabla:</w:t>
      </w:r>
    </w:p>
    <w:p w14:paraId="27C049C0" w14:textId="77777777" w:rsidR="00DA16BE" w:rsidRPr="003D2F44" w:rsidRDefault="00DA16BE" w:rsidP="009B04BB">
      <w:pPr>
        <w:pStyle w:val="Paragraph"/>
        <w:ind w:left="705"/>
        <w:rPr>
          <w:lang w:val="es-ES_tradnl"/>
        </w:rPr>
      </w:pPr>
    </w:p>
    <w:p w14:paraId="16DA0772" w14:textId="77777777" w:rsidR="00DA16BE" w:rsidRPr="003D2F44" w:rsidRDefault="000816AE" w:rsidP="009B04BB">
      <w:pPr>
        <w:pStyle w:val="Paragraph"/>
        <w:tabs>
          <w:tab w:val="clear" w:pos="720"/>
        </w:tabs>
        <w:ind w:hanging="360"/>
        <w:rPr>
          <w:b/>
          <w:lang w:val="es-ES_tradnl"/>
        </w:rPr>
      </w:pPr>
      <w:r w:rsidRPr="003D2F44">
        <w:rPr>
          <w:b/>
          <w:lang w:val="es-ES_tradnl"/>
        </w:rPr>
        <w:t>T</w:t>
      </w:r>
      <w:r w:rsidR="00DA16BE" w:rsidRPr="003D2F44">
        <w:rPr>
          <w:b/>
          <w:lang w:val="es-ES_tradnl"/>
        </w:rPr>
        <w:t>abla 3. Metodología de Monitoreo y Evaluación.</w:t>
      </w:r>
    </w:p>
    <w:tbl>
      <w:tblPr>
        <w:tblW w:w="5092"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A0" w:firstRow="1" w:lastRow="0" w:firstColumn="1" w:lastColumn="0" w:noHBand="0" w:noVBand="0"/>
      </w:tblPr>
      <w:tblGrid>
        <w:gridCol w:w="1211"/>
        <w:gridCol w:w="1215"/>
        <w:gridCol w:w="1493"/>
        <w:gridCol w:w="1169"/>
        <w:gridCol w:w="1186"/>
        <w:gridCol w:w="961"/>
        <w:gridCol w:w="1069"/>
        <w:gridCol w:w="1069"/>
        <w:gridCol w:w="1009"/>
      </w:tblGrid>
      <w:tr w:rsidR="00DA16BE" w:rsidRPr="003D2F44" w14:paraId="51F39507" w14:textId="77777777" w:rsidTr="00167968">
        <w:trPr>
          <w:cantSplit/>
          <w:tblHeader/>
          <w:jc w:val="center"/>
        </w:trPr>
        <w:tc>
          <w:tcPr>
            <w:tcW w:w="1123" w:type="dxa"/>
            <w:shd w:val="clear" w:color="auto" w:fill="D9D9D9"/>
            <w:tcMar>
              <w:left w:w="43" w:type="dxa"/>
              <w:right w:w="43" w:type="dxa"/>
            </w:tcMar>
            <w:vAlign w:val="center"/>
          </w:tcPr>
          <w:p w14:paraId="455C6739" w14:textId="77777777" w:rsidR="00DA16BE" w:rsidRPr="003D2F44" w:rsidRDefault="00DA16BE" w:rsidP="009B04BB">
            <w:pPr>
              <w:autoSpaceDE w:val="0"/>
              <w:autoSpaceDN w:val="0"/>
              <w:adjustRightInd w:val="0"/>
              <w:jc w:val="both"/>
              <w:rPr>
                <w:b/>
                <w:bCs/>
                <w:sz w:val="16"/>
                <w:szCs w:val="16"/>
              </w:rPr>
            </w:pPr>
            <w:r w:rsidRPr="003D2F44">
              <w:rPr>
                <w:b/>
                <w:bCs/>
                <w:sz w:val="16"/>
                <w:szCs w:val="16"/>
              </w:rPr>
              <w:t>Objetivo</w:t>
            </w:r>
          </w:p>
        </w:tc>
        <w:tc>
          <w:tcPr>
            <w:tcW w:w="1126" w:type="dxa"/>
            <w:shd w:val="clear" w:color="auto" w:fill="D9D9D9"/>
            <w:tcMar>
              <w:left w:w="43" w:type="dxa"/>
              <w:right w:w="43" w:type="dxa"/>
            </w:tcMar>
            <w:vAlign w:val="center"/>
          </w:tcPr>
          <w:p w14:paraId="04F0C223" w14:textId="77777777" w:rsidR="00DA16BE" w:rsidRPr="003D2F44" w:rsidRDefault="00DA16BE" w:rsidP="009B04BB">
            <w:pPr>
              <w:jc w:val="both"/>
              <w:rPr>
                <w:b/>
                <w:bCs/>
                <w:sz w:val="16"/>
                <w:szCs w:val="16"/>
              </w:rPr>
            </w:pPr>
            <w:r w:rsidRPr="003D2F44">
              <w:rPr>
                <w:b/>
                <w:bCs/>
                <w:sz w:val="16"/>
                <w:szCs w:val="16"/>
              </w:rPr>
              <w:t>Resultados esperados</w:t>
            </w:r>
          </w:p>
        </w:tc>
        <w:tc>
          <w:tcPr>
            <w:tcW w:w="1383" w:type="dxa"/>
            <w:shd w:val="clear" w:color="auto" w:fill="D9D9D9"/>
            <w:tcMar>
              <w:left w:w="43" w:type="dxa"/>
              <w:right w:w="43" w:type="dxa"/>
            </w:tcMar>
            <w:vAlign w:val="center"/>
          </w:tcPr>
          <w:p w14:paraId="235476AF" w14:textId="77777777" w:rsidR="00DA16BE" w:rsidRPr="003D2F44" w:rsidRDefault="00DA16BE" w:rsidP="009B04BB">
            <w:pPr>
              <w:jc w:val="both"/>
              <w:rPr>
                <w:b/>
                <w:bCs/>
                <w:sz w:val="16"/>
                <w:szCs w:val="16"/>
              </w:rPr>
            </w:pPr>
            <w:r w:rsidRPr="003D2F44">
              <w:rPr>
                <w:b/>
                <w:bCs/>
                <w:sz w:val="16"/>
                <w:szCs w:val="16"/>
              </w:rPr>
              <w:t>Indicador</w:t>
            </w:r>
          </w:p>
        </w:tc>
        <w:tc>
          <w:tcPr>
            <w:tcW w:w="1083" w:type="dxa"/>
            <w:shd w:val="clear" w:color="auto" w:fill="D9D9D9"/>
            <w:tcMar>
              <w:left w:w="43" w:type="dxa"/>
              <w:right w:w="43" w:type="dxa"/>
            </w:tcMar>
            <w:vAlign w:val="center"/>
          </w:tcPr>
          <w:p w14:paraId="7A59D35D" w14:textId="77777777" w:rsidR="00DA16BE" w:rsidRPr="003D2F44" w:rsidRDefault="00DA16BE" w:rsidP="009B04BB">
            <w:pPr>
              <w:jc w:val="both"/>
              <w:rPr>
                <w:b/>
                <w:bCs/>
                <w:sz w:val="16"/>
                <w:szCs w:val="16"/>
              </w:rPr>
            </w:pPr>
            <w:r w:rsidRPr="003D2F44">
              <w:rPr>
                <w:b/>
                <w:bCs/>
                <w:sz w:val="16"/>
                <w:szCs w:val="16"/>
              </w:rPr>
              <w:t>Línea Base</w:t>
            </w:r>
          </w:p>
        </w:tc>
        <w:tc>
          <w:tcPr>
            <w:tcW w:w="1099" w:type="dxa"/>
            <w:shd w:val="clear" w:color="auto" w:fill="D9D9D9"/>
            <w:tcMar>
              <w:left w:w="43" w:type="dxa"/>
              <w:right w:w="43" w:type="dxa"/>
            </w:tcMar>
            <w:vAlign w:val="center"/>
          </w:tcPr>
          <w:p w14:paraId="630E950A" w14:textId="77777777" w:rsidR="00DA16BE" w:rsidRPr="003D2F44" w:rsidRDefault="00DA16BE" w:rsidP="00167968">
            <w:pPr>
              <w:jc w:val="both"/>
              <w:rPr>
                <w:b/>
                <w:bCs/>
                <w:sz w:val="16"/>
                <w:szCs w:val="16"/>
              </w:rPr>
            </w:pPr>
            <w:r w:rsidRPr="003D2F44">
              <w:rPr>
                <w:b/>
                <w:bCs/>
                <w:sz w:val="16"/>
                <w:szCs w:val="16"/>
              </w:rPr>
              <w:t>Meta 201</w:t>
            </w:r>
            <w:r w:rsidR="00167968">
              <w:rPr>
                <w:b/>
                <w:bCs/>
                <w:sz w:val="16"/>
                <w:szCs w:val="16"/>
              </w:rPr>
              <w:t>6</w:t>
            </w:r>
          </w:p>
        </w:tc>
        <w:tc>
          <w:tcPr>
            <w:tcW w:w="890" w:type="dxa"/>
            <w:shd w:val="clear" w:color="auto" w:fill="D9D9D9"/>
            <w:tcMar>
              <w:left w:w="43" w:type="dxa"/>
              <w:right w:w="43" w:type="dxa"/>
            </w:tcMar>
            <w:vAlign w:val="center"/>
          </w:tcPr>
          <w:p w14:paraId="41787D05" w14:textId="77777777" w:rsidR="00DA16BE" w:rsidRPr="003D2F44" w:rsidRDefault="00DA16BE" w:rsidP="009B04BB">
            <w:pPr>
              <w:jc w:val="both"/>
              <w:rPr>
                <w:b/>
                <w:bCs/>
                <w:sz w:val="16"/>
                <w:szCs w:val="16"/>
              </w:rPr>
            </w:pPr>
            <w:r w:rsidRPr="003D2F44">
              <w:rPr>
                <w:b/>
                <w:bCs/>
                <w:sz w:val="16"/>
                <w:szCs w:val="16"/>
              </w:rPr>
              <w:t>Frecuencia de Medición</w:t>
            </w:r>
          </w:p>
        </w:tc>
        <w:tc>
          <w:tcPr>
            <w:tcW w:w="990" w:type="dxa"/>
            <w:shd w:val="clear" w:color="auto" w:fill="D9D9D9"/>
            <w:tcMar>
              <w:left w:w="43" w:type="dxa"/>
              <w:right w:w="43" w:type="dxa"/>
            </w:tcMar>
            <w:vAlign w:val="center"/>
          </w:tcPr>
          <w:p w14:paraId="4661013B" w14:textId="77777777" w:rsidR="00DA16BE" w:rsidRPr="003D2F44" w:rsidRDefault="00DA16BE" w:rsidP="009B04BB">
            <w:pPr>
              <w:jc w:val="both"/>
              <w:rPr>
                <w:b/>
                <w:bCs/>
                <w:sz w:val="16"/>
                <w:szCs w:val="16"/>
              </w:rPr>
            </w:pPr>
            <w:r w:rsidRPr="003D2F44">
              <w:rPr>
                <w:b/>
                <w:bCs/>
                <w:sz w:val="16"/>
                <w:szCs w:val="16"/>
              </w:rPr>
              <w:t>Fuente de Verificación</w:t>
            </w:r>
          </w:p>
        </w:tc>
        <w:tc>
          <w:tcPr>
            <w:tcW w:w="990" w:type="dxa"/>
            <w:shd w:val="clear" w:color="auto" w:fill="D9D9D9"/>
            <w:tcMar>
              <w:left w:w="43" w:type="dxa"/>
              <w:right w:w="43" w:type="dxa"/>
            </w:tcMar>
            <w:vAlign w:val="center"/>
          </w:tcPr>
          <w:p w14:paraId="12791B2A" w14:textId="77777777" w:rsidR="00DA16BE" w:rsidRPr="003D2F44" w:rsidRDefault="00DA16BE" w:rsidP="009B04BB">
            <w:pPr>
              <w:jc w:val="both"/>
              <w:rPr>
                <w:b/>
                <w:bCs/>
                <w:sz w:val="16"/>
                <w:szCs w:val="16"/>
              </w:rPr>
            </w:pPr>
            <w:r w:rsidRPr="003D2F44">
              <w:rPr>
                <w:b/>
                <w:bCs/>
                <w:sz w:val="16"/>
                <w:szCs w:val="16"/>
              </w:rPr>
              <w:t>Responsable</w:t>
            </w:r>
          </w:p>
        </w:tc>
        <w:tc>
          <w:tcPr>
            <w:tcW w:w="935" w:type="dxa"/>
            <w:shd w:val="clear" w:color="auto" w:fill="D9D9D9"/>
            <w:tcMar>
              <w:left w:w="43" w:type="dxa"/>
              <w:right w:w="43" w:type="dxa"/>
            </w:tcMar>
            <w:vAlign w:val="center"/>
          </w:tcPr>
          <w:p w14:paraId="4B13CEDB" w14:textId="77777777" w:rsidR="00DA16BE" w:rsidRPr="003D2F44" w:rsidRDefault="00DA16BE" w:rsidP="009B04BB">
            <w:pPr>
              <w:jc w:val="both"/>
              <w:rPr>
                <w:b/>
                <w:bCs/>
                <w:sz w:val="16"/>
                <w:szCs w:val="16"/>
              </w:rPr>
            </w:pPr>
            <w:r w:rsidRPr="003D2F44">
              <w:rPr>
                <w:b/>
                <w:bCs/>
                <w:sz w:val="16"/>
                <w:szCs w:val="16"/>
              </w:rPr>
              <w:t>Presupuesto estimado US$</w:t>
            </w:r>
          </w:p>
        </w:tc>
      </w:tr>
      <w:tr w:rsidR="00DA16BE" w:rsidRPr="003D2F44" w14:paraId="516E4811" w14:textId="77777777" w:rsidTr="00167968">
        <w:trPr>
          <w:cantSplit/>
          <w:jc w:val="center"/>
        </w:trPr>
        <w:tc>
          <w:tcPr>
            <w:tcW w:w="1123" w:type="dxa"/>
            <w:vMerge w:val="restart"/>
          </w:tcPr>
          <w:p w14:paraId="08A915D9" w14:textId="77777777" w:rsidR="00DA16BE" w:rsidRPr="003D2F44" w:rsidRDefault="00DA16BE" w:rsidP="009B04BB">
            <w:pPr>
              <w:jc w:val="both"/>
              <w:rPr>
                <w:sz w:val="16"/>
                <w:szCs w:val="16"/>
              </w:rPr>
            </w:pPr>
            <w:r w:rsidRPr="003D2F44">
              <w:rPr>
                <w:sz w:val="16"/>
                <w:szCs w:val="16"/>
              </w:rPr>
              <w:t>Adoptar un programa de medidas para recuperar la sos</w:t>
            </w:r>
            <w:r w:rsidR="000361BD">
              <w:rPr>
                <w:sz w:val="16"/>
                <w:szCs w:val="16"/>
              </w:rPr>
              <w:t>tenibilidad financiera, técnica</w:t>
            </w:r>
            <w:r w:rsidRPr="003D2F44">
              <w:rPr>
                <w:sz w:val="16"/>
                <w:szCs w:val="16"/>
              </w:rPr>
              <w:t xml:space="preserve"> y operativa del sector eléctrico</w:t>
            </w:r>
          </w:p>
        </w:tc>
        <w:tc>
          <w:tcPr>
            <w:tcW w:w="1126" w:type="dxa"/>
            <w:vAlign w:val="center"/>
          </w:tcPr>
          <w:p w14:paraId="59B7D350" w14:textId="77777777" w:rsidR="00DA16BE" w:rsidRPr="003D2F44" w:rsidRDefault="00DA16BE" w:rsidP="009B04BB">
            <w:pPr>
              <w:pStyle w:val="BodyText"/>
              <w:jc w:val="both"/>
              <w:rPr>
                <w:sz w:val="16"/>
                <w:szCs w:val="16"/>
                <w:lang w:val="es-ES_tradnl"/>
              </w:rPr>
            </w:pPr>
            <w:r w:rsidRPr="003D2F44">
              <w:rPr>
                <w:sz w:val="16"/>
                <w:szCs w:val="16"/>
                <w:lang w:val="es-ES_tradnl"/>
              </w:rPr>
              <w:t>Mejora en los indicadores financieros y de gestión</w:t>
            </w:r>
          </w:p>
        </w:tc>
        <w:tc>
          <w:tcPr>
            <w:tcW w:w="1383" w:type="dxa"/>
            <w:vAlign w:val="center"/>
          </w:tcPr>
          <w:p w14:paraId="7C3287B7" w14:textId="77777777" w:rsidR="00DA16BE" w:rsidRPr="003D2F44" w:rsidRDefault="00DA16BE" w:rsidP="009B04BB">
            <w:pPr>
              <w:pStyle w:val="BodyText"/>
              <w:jc w:val="both"/>
              <w:rPr>
                <w:sz w:val="16"/>
                <w:szCs w:val="16"/>
                <w:lang w:val="es-ES_tradnl"/>
              </w:rPr>
            </w:pPr>
          </w:p>
          <w:p w14:paraId="398D67A6" w14:textId="77777777" w:rsidR="00DA16BE" w:rsidRPr="003D2F44" w:rsidRDefault="00DA16BE" w:rsidP="009B04BB">
            <w:pPr>
              <w:pStyle w:val="BodyText"/>
              <w:jc w:val="both"/>
              <w:rPr>
                <w:sz w:val="16"/>
                <w:szCs w:val="16"/>
                <w:lang w:val="es-ES_tradnl"/>
              </w:rPr>
            </w:pPr>
            <w:r w:rsidRPr="003D2F44">
              <w:rPr>
                <w:sz w:val="16"/>
                <w:szCs w:val="16"/>
                <w:lang w:val="es-ES_tradnl"/>
              </w:rPr>
              <w:t>EBITDA (%)</w:t>
            </w:r>
          </w:p>
          <w:p w14:paraId="00CE2200" w14:textId="77777777" w:rsidR="00DA16BE" w:rsidRPr="003D2F44" w:rsidRDefault="00DA16BE" w:rsidP="009B04BB">
            <w:pPr>
              <w:pStyle w:val="BodyText"/>
              <w:jc w:val="both"/>
              <w:rPr>
                <w:sz w:val="16"/>
                <w:szCs w:val="16"/>
                <w:lang w:val="es-ES_tradnl"/>
              </w:rPr>
            </w:pPr>
          </w:p>
          <w:p w14:paraId="7EFB138B" w14:textId="77777777" w:rsidR="00DA16BE" w:rsidRPr="003D2F44" w:rsidRDefault="00DA16BE" w:rsidP="009B04BB">
            <w:pPr>
              <w:pStyle w:val="BodyText"/>
              <w:jc w:val="both"/>
              <w:rPr>
                <w:sz w:val="16"/>
                <w:szCs w:val="16"/>
                <w:lang w:val="es-ES_tradnl"/>
              </w:rPr>
            </w:pPr>
            <w:r w:rsidRPr="003D2F44">
              <w:rPr>
                <w:sz w:val="16"/>
                <w:szCs w:val="16"/>
                <w:lang w:val="es-ES_tradnl"/>
              </w:rPr>
              <w:t>Índice de recuperación de efectivo (IRE) (%)</w:t>
            </w:r>
          </w:p>
          <w:p w14:paraId="0129A886" w14:textId="77777777" w:rsidR="00DA16BE" w:rsidRPr="003D2F44" w:rsidRDefault="00DA16BE" w:rsidP="009B04BB">
            <w:pPr>
              <w:pStyle w:val="BodyText"/>
              <w:jc w:val="both"/>
              <w:rPr>
                <w:sz w:val="16"/>
                <w:szCs w:val="16"/>
                <w:lang w:val="es-ES_tradnl"/>
              </w:rPr>
            </w:pPr>
          </w:p>
        </w:tc>
        <w:tc>
          <w:tcPr>
            <w:tcW w:w="1083" w:type="dxa"/>
            <w:vAlign w:val="center"/>
          </w:tcPr>
          <w:p w14:paraId="3632C06C" w14:textId="77777777" w:rsidR="00DA16BE" w:rsidRPr="003D2F44" w:rsidRDefault="00DA16BE" w:rsidP="009B04BB">
            <w:pPr>
              <w:pStyle w:val="BodyText"/>
              <w:jc w:val="both"/>
              <w:rPr>
                <w:sz w:val="16"/>
                <w:szCs w:val="16"/>
                <w:lang w:val="es-ES_tradnl"/>
              </w:rPr>
            </w:pPr>
            <w:r w:rsidRPr="003D2F44">
              <w:rPr>
                <w:sz w:val="16"/>
                <w:szCs w:val="16"/>
                <w:lang w:val="es-ES_tradnl"/>
              </w:rPr>
              <w:t>EBITDA</w:t>
            </w:r>
          </w:p>
          <w:p w14:paraId="540CBB5D" w14:textId="77777777" w:rsidR="00DA16BE" w:rsidRPr="003D2F44" w:rsidRDefault="00DA16BE" w:rsidP="009B04BB">
            <w:pPr>
              <w:pStyle w:val="BodyText"/>
              <w:jc w:val="both"/>
              <w:rPr>
                <w:sz w:val="16"/>
                <w:szCs w:val="16"/>
                <w:lang w:val="es-ES_tradnl"/>
              </w:rPr>
            </w:pPr>
            <w:r w:rsidRPr="003D2F44">
              <w:rPr>
                <w:sz w:val="16"/>
                <w:szCs w:val="16"/>
                <w:lang w:val="es-ES_tradnl"/>
              </w:rPr>
              <w:t>ENATREL=-3,3%</w:t>
            </w:r>
          </w:p>
          <w:p w14:paraId="077CB2B5" w14:textId="77777777" w:rsidR="00DA16BE" w:rsidRPr="003D2F44" w:rsidRDefault="00DA16BE" w:rsidP="009B04BB">
            <w:pPr>
              <w:pStyle w:val="BodyText"/>
              <w:jc w:val="both"/>
              <w:rPr>
                <w:sz w:val="16"/>
                <w:szCs w:val="16"/>
                <w:lang w:val="es-ES_tradnl"/>
              </w:rPr>
            </w:pPr>
            <w:r w:rsidRPr="003D2F44">
              <w:rPr>
                <w:sz w:val="16"/>
                <w:szCs w:val="16"/>
                <w:lang w:val="es-ES_tradnl"/>
              </w:rPr>
              <w:t>ENEL=5,4%</w:t>
            </w:r>
          </w:p>
          <w:p w14:paraId="55E08E03" w14:textId="77777777" w:rsidR="00DA16BE" w:rsidRPr="003D2F44" w:rsidRDefault="00DA16BE" w:rsidP="009B04BB">
            <w:pPr>
              <w:pStyle w:val="BodyText"/>
              <w:jc w:val="both"/>
              <w:rPr>
                <w:sz w:val="16"/>
                <w:szCs w:val="16"/>
                <w:lang w:val="es-ES_tradnl"/>
              </w:rPr>
            </w:pPr>
          </w:p>
          <w:p w14:paraId="22B4F523" w14:textId="77777777" w:rsidR="00DA16BE" w:rsidRPr="003D2F44" w:rsidRDefault="00DA16BE" w:rsidP="009B04BB">
            <w:pPr>
              <w:pStyle w:val="BodyText"/>
              <w:jc w:val="both"/>
              <w:rPr>
                <w:sz w:val="16"/>
                <w:szCs w:val="16"/>
                <w:lang w:val="es-ES_tradnl"/>
              </w:rPr>
            </w:pPr>
            <w:r w:rsidRPr="003D2F44">
              <w:rPr>
                <w:sz w:val="16"/>
                <w:szCs w:val="16"/>
                <w:lang w:val="es-ES_tradnl"/>
              </w:rPr>
              <w:t>IRE</w:t>
            </w:r>
          </w:p>
          <w:p w14:paraId="132D16B6" w14:textId="77777777" w:rsidR="00DA16BE" w:rsidRPr="003D2F44" w:rsidRDefault="00DA16BE" w:rsidP="009B04BB">
            <w:pPr>
              <w:pStyle w:val="BodyText"/>
              <w:jc w:val="both"/>
              <w:rPr>
                <w:sz w:val="16"/>
                <w:szCs w:val="16"/>
                <w:lang w:val="es-ES_tradnl"/>
              </w:rPr>
            </w:pPr>
            <w:r w:rsidRPr="003D2F44">
              <w:rPr>
                <w:sz w:val="16"/>
                <w:szCs w:val="16"/>
                <w:lang w:val="es-ES_tradnl"/>
              </w:rPr>
              <w:t>DN-DS=71,8%</w:t>
            </w:r>
          </w:p>
          <w:p w14:paraId="43CCF32C" w14:textId="77777777" w:rsidR="00DA16BE" w:rsidRPr="003D2F44" w:rsidRDefault="00DA16BE" w:rsidP="009B04BB">
            <w:pPr>
              <w:pStyle w:val="BodyText"/>
              <w:jc w:val="both"/>
              <w:rPr>
                <w:sz w:val="16"/>
                <w:szCs w:val="16"/>
                <w:lang w:val="es-ES_tradnl"/>
              </w:rPr>
            </w:pPr>
          </w:p>
        </w:tc>
        <w:tc>
          <w:tcPr>
            <w:tcW w:w="1099" w:type="dxa"/>
            <w:vAlign w:val="center"/>
          </w:tcPr>
          <w:p w14:paraId="2899BB86" w14:textId="77777777" w:rsidR="00DA16BE" w:rsidRPr="003D2F44" w:rsidRDefault="00DA16BE" w:rsidP="009B04BB">
            <w:pPr>
              <w:pStyle w:val="BodyText"/>
              <w:jc w:val="both"/>
              <w:rPr>
                <w:sz w:val="16"/>
                <w:szCs w:val="16"/>
                <w:lang w:val="es-ES_tradnl"/>
              </w:rPr>
            </w:pPr>
            <w:r w:rsidRPr="003D2F44">
              <w:rPr>
                <w:sz w:val="16"/>
                <w:szCs w:val="16"/>
                <w:lang w:val="es-ES_tradnl"/>
              </w:rPr>
              <w:t>EBITDA</w:t>
            </w:r>
          </w:p>
          <w:p w14:paraId="2CBBC3AC" w14:textId="77777777" w:rsidR="00DA16BE" w:rsidRPr="003D2F44" w:rsidRDefault="00DA16BE" w:rsidP="009B04BB">
            <w:pPr>
              <w:pStyle w:val="BodyText"/>
              <w:jc w:val="both"/>
              <w:rPr>
                <w:sz w:val="16"/>
                <w:szCs w:val="16"/>
                <w:lang w:val="es-ES_tradnl"/>
              </w:rPr>
            </w:pPr>
            <w:r w:rsidRPr="003D2F44">
              <w:rPr>
                <w:sz w:val="16"/>
                <w:szCs w:val="16"/>
                <w:lang w:val="es-ES_tradnl"/>
              </w:rPr>
              <w:t>ENATREL=-</w:t>
            </w:r>
            <w:r w:rsidR="00167968">
              <w:rPr>
                <w:sz w:val="16"/>
                <w:szCs w:val="16"/>
                <w:lang w:val="es-ES_tradnl"/>
              </w:rPr>
              <w:t>5</w:t>
            </w:r>
            <w:r w:rsidRPr="003D2F44">
              <w:rPr>
                <w:sz w:val="16"/>
                <w:szCs w:val="16"/>
                <w:lang w:val="es-ES_tradnl"/>
              </w:rPr>
              <w:t>%</w:t>
            </w:r>
          </w:p>
          <w:p w14:paraId="3A4E559B" w14:textId="77777777" w:rsidR="00DA16BE" w:rsidRPr="003D2F44" w:rsidRDefault="00DA16BE" w:rsidP="009B04BB">
            <w:pPr>
              <w:pStyle w:val="BodyText"/>
              <w:jc w:val="both"/>
              <w:rPr>
                <w:sz w:val="16"/>
                <w:szCs w:val="16"/>
                <w:lang w:val="es-ES_tradnl"/>
              </w:rPr>
            </w:pPr>
            <w:r w:rsidRPr="003D2F44">
              <w:rPr>
                <w:sz w:val="16"/>
                <w:szCs w:val="16"/>
                <w:lang w:val="es-ES_tradnl"/>
              </w:rPr>
              <w:t>ENEL=</w:t>
            </w:r>
            <w:r w:rsidR="00167968">
              <w:rPr>
                <w:sz w:val="16"/>
                <w:szCs w:val="16"/>
                <w:lang w:val="es-ES_tradnl"/>
              </w:rPr>
              <w:t>10</w:t>
            </w:r>
            <w:r w:rsidRPr="003D2F44">
              <w:rPr>
                <w:sz w:val="16"/>
                <w:szCs w:val="16"/>
                <w:lang w:val="es-ES_tradnl"/>
              </w:rPr>
              <w:t>%</w:t>
            </w:r>
          </w:p>
          <w:p w14:paraId="6A36F705" w14:textId="77777777" w:rsidR="00DA16BE" w:rsidRPr="003D2F44" w:rsidRDefault="00DA16BE" w:rsidP="009B04BB">
            <w:pPr>
              <w:pStyle w:val="BodyText"/>
              <w:jc w:val="both"/>
              <w:rPr>
                <w:sz w:val="16"/>
                <w:szCs w:val="16"/>
                <w:lang w:val="es-ES_tradnl"/>
              </w:rPr>
            </w:pPr>
          </w:p>
          <w:p w14:paraId="59AF613E" w14:textId="77777777" w:rsidR="00DA16BE" w:rsidRPr="003D2F44" w:rsidRDefault="00DA16BE" w:rsidP="009B04BB">
            <w:pPr>
              <w:pStyle w:val="BodyText"/>
              <w:jc w:val="both"/>
              <w:rPr>
                <w:sz w:val="16"/>
                <w:szCs w:val="16"/>
                <w:lang w:val="es-ES_tradnl"/>
              </w:rPr>
            </w:pPr>
            <w:r w:rsidRPr="003D2F44">
              <w:rPr>
                <w:sz w:val="16"/>
                <w:szCs w:val="16"/>
                <w:lang w:val="es-ES_tradnl"/>
              </w:rPr>
              <w:t>IRE</w:t>
            </w:r>
          </w:p>
          <w:p w14:paraId="38326CFA" w14:textId="77777777" w:rsidR="00DA16BE" w:rsidRPr="003D2F44" w:rsidRDefault="00DA16BE" w:rsidP="009B04BB">
            <w:pPr>
              <w:pStyle w:val="BodyText"/>
              <w:jc w:val="both"/>
              <w:rPr>
                <w:sz w:val="16"/>
                <w:szCs w:val="16"/>
                <w:lang w:val="es-ES_tradnl"/>
              </w:rPr>
            </w:pPr>
            <w:r w:rsidRPr="003D2F44">
              <w:rPr>
                <w:sz w:val="16"/>
                <w:szCs w:val="16"/>
                <w:lang w:val="es-ES_tradnl"/>
              </w:rPr>
              <w:t>DN-DS=</w:t>
            </w:r>
            <w:r w:rsidR="00167968">
              <w:rPr>
                <w:sz w:val="16"/>
                <w:szCs w:val="16"/>
                <w:lang w:val="es-ES_tradnl"/>
              </w:rPr>
              <w:t>80</w:t>
            </w:r>
            <w:r w:rsidRPr="003D2F44">
              <w:rPr>
                <w:sz w:val="16"/>
                <w:szCs w:val="16"/>
                <w:lang w:val="es-ES_tradnl"/>
              </w:rPr>
              <w:t>%</w:t>
            </w:r>
          </w:p>
          <w:p w14:paraId="018B8A6A" w14:textId="77777777" w:rsidR="00DA16BE" w:rsidRPr="003D2F44" w:rsidRDefault="00DA16BE" w:rsidP="009B04BB">
            <w:pPr>
              <w:pStyle w:val="BodyText"/>
              <w:jc w:val="both"/>
              <w:rPr>
                <w:sz w:val="16"/>
                <w:szCs w:val="16"/>
                <w:lang w:val="es-ES_tradnl"/>
              </w:rPr>
            </w:pPr>
          </w:p>
        </w:tc>
        <w:tc>
          <w:tcPr>
            <w:tcW w:w="890" w:type="dxa"/>
            <w:vMerge w:val="restart"/>
            <w:vAlign w:val="center"/>
          </w:tcPr>
          <w:p w14:paraId="6149C4F2" w14:textId="77777777" w:rsidR="00DA16BE" w:rsidRPr="003D2F44" w:rsidRDefault="00DA16BE" w:rsidP="009B04BB">
            <w:pPr>
              <w:pStyle w:val="BodyText"/>
              <w:jc w:val="both"/>
              <w:rPr>
                <w:sz w:val="16"/>
                <w:szCs w:val="16"/>
                <w:lang w:val="es-ES_tradnl"/>
              </w:rPr>
            </w:pPr>
            <w:r w:rsidRPr="003D2F44">
              <w:rPr>
                <w:sz w:val="16"/>
                <w:szCs w:val="16"/>
                <w:lang w:val="es-ES_tradnl"/>
              </w:rPr>
              <w:t>Anual</w:t>
            </w:r>
          </w:p>
        </w:tc>
        <w:tc>
          <w:tcPr>
            <w:tcW w:w="990" w:type="dxa"/>
            <w:vMerge w:val="restart"/>
            <w:vAlign w:val="center"/>
          </w:tcPr>
          <w:p w14:paraId="661559D8" w14:textId="77777777" w:rsidR="00DA16BE" w:rsidRPr="003D2F44" w:rsidRDefault="00DA16BE" w:rsidP="009B04BB">
            <w:pPr>
              <w:pStyle w:val="BodyText"/>
              <w:jc w:val="both"/>
              <w:rPr>
                <w:sz w:val="16"/>
                <w:szCs w:val="16"/>
                <w:lang w:val="es-ES_tradnl"/>
              </w:rPr>
            </w:pPr>
            <w:r w:rsidRPr="003D2F44">
              <w:rPr>
                <w:sz w:val="16"/>
                <w:szCs w:val="16"/>
                <w:lang w:val="es-ES_tradnl"/>
              </w:rPr>
              <w:t>Estados Financieros ENEL, ENATREL</w:t>
            </w:r>
          </w:p>
          <w:p w14:paraId="5C24A848" w14:textId="77777777" w:rsidR="00DA16BE" w:rsidRPr="003D2F44" w:rsidRDefault="00DA16BE" w:rsidP="009B04BB">
            <w:pPr>
              <w:pStyle w:val="BodyText"/>
              <w:jc w:val="both"/>
              <w:rPr>
                <w:sz w:val="16"/>
                <w:szCs w:val="16"/>
                <w:lang w:val="es-ES_tradnl"/>
              </w:rPr>
            </w:pPr>
          </w:p>
          <w:p w14:paraId="0558B2D1" w14:textId="77777777" w:rsidR="00DA16BE" w:rsidRPr="003D2F44" w:rsidRDefault="00DA16BE" w:rsidP="009B04BB">
            <w:pPr>
              <w:pStyle w:val="BodyText"/>
              <w:jc w:val="both"/>
              <w:rPr>
                <w:sz w:val="16"/>
                <w:szCs w:val="16"/>
                <w:lang w:val="es-ES_tradnl"/>
              </w:rPr>
            </w:pPr>
            <w:r w:rsidRPr="003D2F44">
              <w:rPr>
                <w:sz w:val="16"/>
                <w:szCs w:val="16"/>
                <w:lang w:val="es-ES_tradnl"/>
              </w:rPr>
              <w:t>Índice de recuperación de caja (índice combinado) publicado por el INE según sea suministrado por DISNORTE y DISSUR</w:t>
            </w:r>
          </w:p>
          <w:p w14:paraId="36D0BB8A" w14:textId="77777777" w:rsidR="00DA16BE" w:rsidRPr="003D2F44" w:rsidRDefault="00DA16BE" w:rsidP="009B04BB">
            <w:pPr>
              <w:pStyle w:val="BodyText"/>
              <w:jc w:val="both"/>
              <w:rPr>
                <w:sz w:val="16"/>
                <w:szCs w:val="16"/>
                <w:lang w:val="es-ES_tradnl"/>
              </w:rPr>
            </w:pPr>
          </w:p>
          <w:p w14:paraId="00B77F25" w14:textId="77777777" w:rsidR="00DA16BE" w:rsidRPr="003D2F44" w:rsidRDefault="00DA16BE" w:rsidP="009B04BB">
            <w:pPr>
              <w:pStyle w:val="BodyText"/>
              <w:jc w:val="both"/>
              <w:rPr>
                <w:sz w:val="16"/>
                <w:szCs w:val="16"/>
                <w:lang w:val="es-ES_tradnl"/>
              </w:rPr>
            </w:pPr>
            <w:r w:rsidRPr="003D2F44">
              <w:rPr>
                <w:sz w:val="16"/>
                <w:szCs w:val="16"/>
                <w:lang w:val="es-ES_tradnl"/>
              </w:rPr>
              <w:t>Informes INE, MEM</w:t>
            </w:r>
          </w:p>
        </w:tc>
        <w:tc>
          <w:tcPr>
            <w:tcW w:w="990" w:type="dxa"/>
            <w:vMerge w:val="restart"/>
            <w:vAlign w:val="center"/>
          </w:tcPr>
          <w:p w14:paraId="1A955209" w14:textId="77777777" w:rsidR="00DA16BE" w:rsidRPr="003D2F44" w:rsidRDefault="00DA16BE" w:rsidP="009B04BB">
            <w:pPr>
              <w:pStyle w:val="BodyText"/>
              <w:jc w:val="both"/>
              <w:rPr>
                <w:sz w:val="16"/>
                <w:szCs w:val="16"/>
                <w:lang w:val="es-ES_tradnl"/>
              </w:rPr>
            </w:pPr>
            <w:r w:rsidRPr="003D2F44">
              <w:rPr>
                <w:sz w:val="16"/>
                <w:szCs w:val="16"/>
                <w:lang w:val="es-ES_tradnl"/>
              </w:rPr>
              <w:t>MHCP</w:t>
            </w:r>
          </w:p>
        </w:tc>
        <w:tc>
          <w:tcPr>
            <w:tcW w:w="935" w:type="dxa"/>
            <w:vMerge w:val="restart"/>
            <w:vAlign w:val="center"/>
          </w:tcPr>
          <w:p w14:paraId="6D78E175" w14:textId="77777777" w:rsidR="00DA16BE" w:rsidRPr="003D2F44" w:rsidRDefault="00DA16BE" w:rsidP="009B04BB">
            <w:pPr>
              <w:pStyle w:val="Default"/>
              <w:tabs>
                <w:tab w:val="center" w:pos="4320"/>
                <w:tab w:val="right" w:pos="8640"/>
              </w:tabs>
              <w:jc w:val="both"/>
              <w:rPr>
                <w:color w:val="auto"/>
                <w:sz w:val="16"/>
                <w:szCs w:val="16"/>
                <w:lang w:val="es-ES_tradnl"/>
              </w:rPr>
            </w:pPr>
            <w:r w:rsidRPr="003D2F44">
              <w:rPr>
                <w:color w:val="auto"/>
                <w:sz w:val="16"/>
                <w:szCs w:val="16"/>
                <w:lang w:val="es-ES_tradnl"/>
              </w:rPr>
              <w:t>50,000</w:t>
            </w:r>
          </w:p>
        </w:tc>
      </w:tr>
      <w:tr w:rsidR="00DA16BE" w:rsidRPr="003D2F44" w14:paraId="188FEF2F" w14:textId="77777777" w:rsidTr="00167968">
        <w:trPr>
          <w:cantSplit/>
          <w:jc w:val="center"/>
        </w:trPr>
        <w:tc>
          <w:tcPr>
            <w:tcW w:w="1123" w:type="dxa"/>
            <w:vMerge/>
          </w:tcPr>
          <w:p w14:paraId="0ECF8E78" w14:textId="77777777" w:rsidR="00DA16BE" w:rsidRPr="003D2F44" w:rsidRDefault="00DA16BE" w:rsidP="009B04BB">
            <w:pPr>
              <w:jc w:val="both"/>
              <w:rPr>
                <w:sz w:val="16"/>
                <w:szCs w:val="16"/>
              </w:rPr>
            </w:pPr>
          </w:p>
        </w:tc>
        <w:tc>
          <w:tcPr>
            <w:tcW w:w="1126" w:type="dxa"/>
            <w:vAlign w:val="center"/>
          </w:tcPr>
          <w:p w14:paraId="4B994059" w14:textId="77777777" w:rsidR="00DA16BE" w:rsidRPr="003D2F44" w:rsidRDefault="00DA16BE" w:rsidP="009B04BB">
            <w:pPr>
              <w:pStyle w:val="BodyText"/>
              <w:jc w:val="both"/>
              <w:rPr>
                <w:sz w:val="16"/>
                <w:szCs w:val="16"/>
                <w:lang w:val="es-ES_tradnl"/>
              </w:rPr>
            </w:pPr>
            <w:r w:rsidRPr="003D2F44">
              <w:rPr>
                <w:sz w:val="16"/>
                <w:szCs w:val="16"/>
                <w:lang w:val="es-ES_tradnl"/>
              </w:rPr>
              <w:t>Mejora de la calidad del servicio</w:t>
            </w:r>
          </w:p>
        </w:tc>
        <w:tc>
          <w:tcPr>
            <w:tcW w:w="1383" w:type="dxa"/>
            <w:vAlign w:val="center"/>
          </w:tcPr>
          <w:p w14:paraId="51467D5C" w14:textId="77777777" w:rsidR="00DA16BE" w:rsidRPr="003D2F44" w:rsidRDefault="00DA16BE" w:rsidP="009B04BB">
            <w:pPr>
              <w:pStyle w:val="BodyText"/>
              <w:jc w:val="both"/>
              <w:rPr>
                <w:i/>
                <w:sz w:val="16"/>
                <w:szCs w:val="16"/>
                <w:lang w:val="es-ES_tradnl"/>
              </w:rPr>
            </w:pPr>
            <w:r w:rsidRPr="003D2F44">
              <w:rPr>
                <w:i/>
                <w:sz w:val="16"/>
                <w:szCs w:val="16"/>
                <w:lang w:val="es-ES_tradnl"/>
              </w:rPr>
              <w:t xml:space="preserve">FMIK=frecuencia media de interrupción por semestre </w:t>
            </w:r>
          </w:p>
          <w:p w14:paraId="184402E6" w14:textId="77777777" w:rsidR="00DA16BE" w:rsidRPr="003D2F44" w:rsidRDefault="00DA16BE" w:rsidP="009B04BB">
            <w:pPr>
              <w:pStyle w:val="BodyText"/>
              <w:jc w:val="both"/>
              <w:rPr>
                <w:i/>
                <w:sz w:val="16"/>
                <w:szCs w:val="16"/>
                <w:lang w:val="es-ES_tradnl"/>
              </w:rPr>
            </w:pPr>
          </w:p>
          <w:p w14:paraId="042FE82E" w14:textId="77777777" w:rsidR="00DA16BE" w:rsidRPr="003D2F44" w:rsidRDefault="00DA16BE" w:rsidP="009B04BB">
            <w:pPr>
              <w:pStyle w:val="BodyText"/>
              <w:jc w:val="both"/>
              <w:rPr>
                <w:i/>
                <w:sz w:val="16"/>
                <w:szCs w:val="16"/>
                <w:lang w:val="es-ES_tradnl"/>
              </w:rPr>
            </w:pPr>
            <w:r w:rsidRPr="003D2F44">
              <w:rPr>
                <w:i/>
                <w:sz w:val="16"/>
                <w:szCs w:val="16"/>
                <w:lang w:val="es-ES_tradnl"/>
              </w:rPr>
              <w:t>TTIK=tiempo total de interrupción por semestre</w:t>
            </w:r>
          </w:p>
          <w:p w14:paraId="3CEAF026" w14:textId="77777777" w:rsidR="00DA16BE" w:rsidRPr="003D2F44" w:rsidRDefault="00DA16BE" w:rsidP="009B04BB">
            <w:pPr>
              <w:pStyle w:val="BodyText"/>
              <w:jc w:val="both"/>
              <w:rPr>
                <w:sz w:val="16"/>
                <w:szCs w:val="16"/>
                <w:lang w:val="es-ES_tradnl"/>
              </w:rPr>
            </w:pPr>
          </w:p>
        </w:tc>
        <w:tc>
          <w:tcPr>
            <w:tcW w:w="1083" w:type="dxa"/>
            <w:vAlign w:val="center"/>
          </w:tcPr>
          <w:p w14:paraId="1C0BA791" w14:textId="77777777" w:rsidR="00DA16BE" w:rsidRPr="004F1D44" w:rsidRDefault="00DA16BE" w:rsidP="009B04BB">
            <w:pPr>
              <w:pStyle w:val="BodyText"/>
              <w:jc w:val="both"/>
              <w:rPr>
                <w:i/>
                <w:sz w:val="16"/>
                <w:szCs w:val="16"/>
                <w:lang w:val="en-US"/>
              </w:rPr>
            </w:pPr>
            <w:r w:rsidRPr="004F1D44">
              <w:rPr>
                <w:i/>
                <w:sz w:val="16"/>
                <w:szCs w:val="16"/>
                <w:lang w:val="en-US"/>
              </w:rPr>
              <w:t xml:space="preserve">FMIK </w:t>
            </w:r>
          </w:p>
          <w:p w14:paraId="06281D47" w14:textId="77777777" w:rsidR="00DA16BE" w:rsidRPr="004F1D44" w:rsidRDefault="00DA16BE" w:rsidP="009B04BB">
            <w:pPr>
              <w:pStyle w:val="BodyText"/>
              <w:jc w:val="both"/>
              <w:rPr>
                <w:i/>
                <w:sz w:val="16"/>
                <w:szCs w:val="16"/>
                <w:lang w:val="en-US"/>
              </w:rPr>
            </w:pPr>
            <w:r w:rsidRPr="004F1D44">
              <w:rPr>
                <w:sz w:val="16"/>
                <w:szCs w:val="16"/>
                <w:lang w:val="en-US"/>
              </w:rPr>
              <w:t>DN = 4,82</w:t>
            </w:r>
          </w:p>
          <w:p w14:paraId="4BF7D7BA" w14:textId="77777777" w:rsidR="00DA16BE" w:rsidRPr="004F1D44" w:rsidRDefault="00DA16BE" w:rsidP="009B04BB">
            <w:pPr>
              <w:pStyle w:val="BodyText"/>
              <w:jc w:val="both"/>
              <w:rPr>
                <w:sz w:val="16"/>
                <w:szCs w:val="16"/>
                <w:lang w:val="en-US"/>
              </w:rPr>
            </w:pPr>
            <w:r w:rsidRPr="004F1D44">
              <w:rPr>
                <w:sz w:val="16"/>
                <w:szCs w:val="16"/>
                <w:lang w:val="en-US"/>
              </w:rPr>
              <w:t>DS= 4,45</w:t>
            </w:r>
          </w:p>
          <w:p w14:paraId="7E1BD77A" w14:textId="77777777" w:rsidR="00DA16BE" w:rsidRPr="004F1D44" w:rsidRDefault="00DA16BE" w:rsidP="009B04BB">
            <w:pPr>
              <w:pStyle w:val="BodyText"/>
              <w:jc w:val="both"/>
              <w:rPr>
                <w:i/>
                <w:sz w:val="16"/>
                <w:szCs w:val="16"/>
                <w:lang w:val="en-US"/>
              </w:rPr>
            </w:pPr>
          </w:p>
          <w:p w14:paraId="0D266C84" w14:textId="77777777" w:rsidR="00DA16BE" w:rsidRPr="004F1D44" w:rsidRDefault="00DA16BE" w:rsidP="009B04BB">
            <w:pPr>
              <w:pStyle w:val="BodyText"/>
              <w:jc w:val="both"/>
              <w:rPr>
                <w:i/>
                <w:sz w:val="16"/>
                <w:szCs w:val="16"/>
                <w:lang w:val="en-US"/>
              </w:rPr>
            </w:pPr>
            <w:r w:rsidRPr="004F1D44">
              <w:rPr>
                <w:i/>
                <w:sz w:val="16"/>
                <w:szCs w:val="16"/>
                <w:lang w:val="en-US"/>
              </w:rPr>
              <w:t>TTIK</w:t>
            </w:r>
          </w:p>
          <w:p w14:paraId="161DCDE9" w14:textId="77777777" w:rsidR="00DA16BE" w:rsidRPr="004F1D44" w:rsidRDefault="00DA16BE" w:rsidP="009B04BB">
            <w:pPr>
              <w:pStyle w:val="BodyText"/>
              <w:jc w:val="both"/>
              <w:rPr>
                <w:i/>
                <w:sz w:val="16"/>
                <w:szCs w:val="16"/>
                <w:lang w:val="en-US"/>
              </w:rPr>
            </w:pPr>
            <w:r w:rsidRPr="004F1D44">
              <w:rPr>
                <w:sz w:val="16"/>
                <w:szCs w:val="16"/>
                <w:lang w:val="en-US"/>
              </w:rPr>
              <w:t>DN =8,8</w:t>
            </w:r>
          </w:p>
          <w:p w14:paraId="107121D7" w14:textId="77777777" w:rsidR="00DA16BE" w:rsidRPr="003D2F44" w:rsidRDefault="00DA16BE" w:rsidP="009B04BB">
            <w:pPr>
              <w:pStyle w:val="BodyText"/>
              <w:jc w:val="both"/>
              <w:rPr>
                <w:sz w:val="16"/>
                <w:szCs w:val="16"/>
                <w:lang w:val="es-ES_tradnl"/>
              </w:rPr>
            </w:pPr>
            <w:r w:rsidRPr="003D2F44">
              <w:rPr>
                <w:sz w:val="16"/>
                <w:szCs w:val="16"/>
                <w:lang w:val="es-ES_tradnl"/>
              </w:rPr>
              <w:t>DS=8,19</w:t>
            </w:r>
          </w:p>
          <w:p w14:paraId="5F2BDF70" w14:textId="77777777" w:rsidR="00DA16BE" w:rsidRPr="003D2F44" w:rsidRDefault="00DA16BE" w:rsidP="009B04BB">
            <w:pPr>
              <w:pStyle w:val="BodyText"/>
              <w:jc w:val="both"/>
              <w:rPr>
                <w:sz w:val="16"/>
                <w:szCs w:val="16"/>
                <w:lang w:val="es-ES_tradnl"/>
              </w:rPr>
            </w:pPr>
          </w:p>
        </w:tc>
        <w:tc>
          <w:tcPr>
            <w:tcW w:w="1099" w:type="dxa"/>
            <w:vAlign w:val="center"/>
          </w:tcPr>
          <w:p w14:paraId="3127BD94" w14:textId="77777777" w:rsidR="00DA16BE" w:rsidRPr="004F1D44" w:rsidRDefault="00DA16BE" w:rsidP="009B04BB">
            <w:pPr>
              <w:pStyle w:val="BodyText"/>
              <w:jc w:val="both"/>
              <w:rPr>
                <w:i/>
                <w:sz w:val="16"/>
                <w:szCs w:val="16"/>
                <w:lang w:val="en-US"/>
              </w:rPr>
            </w:pPr>
            <w:r w:rsidRPr="004F1D44">
              <w:rPr>
                <w:i/>
                <w:sz w:val="16"/>
                <w:szCs w:val="16"/>
                <w:lang w:val="en-US"/>
              </w:rPr>
              <w:t xml:space="preserve">FMIK </w:t>
            </w:r>
          </w:p>
          <w:p w14:paraId="5CA0B433" w14:textId="77777777" w:rsidR="00DA16BE" w:rsidRPr="004F1D44" w:rsidRDefault="00DA16BE" w:rsidP="009B04BB">
            <w:pPr>
              <w:pStyle w:val="BodyText"/>
              <w:jc w:val="both"/>
              <w:rPr>
                <w:i/>
                <w:sz w:val="16"/>
                <w:szCs w:val="16"/>
                <w:lang w:val="en-US"/>
              </w:rPr>
            </w:pPr>
            <w:r w:rsidRPr="004F1D44">
              <w:rPr>
                <w:sz w:val="16"/>
                <w:szCs w:val="16"/>
                <w:lang w:val="en-US"/>
              </w:rPr>
              <w:t>DN-DS&lt;= 4,1</w:t>
            </w:r>
          </w:p>
          <w:p w14:paraId="1C2DF5C6" w14:textId="77777777" w:rsidR="00DA16BE" w:rsidRPr="004F1D44" w:rsidRDefault="00DA16BE" w:rsidP="009B04BB">
            <w:pPr>
              <w:pStyle w:val="BodyText"/>
              <w:jc w:val="both"/>
              <w:rPr>
                <w:i/>
                <w:sz w:val="16"/>
                <w:szCs w:val="16"/>
                <w:lang w:val="en-US"/>
              </w:rPr>
            </w:pPr>
          </w:p>
          <w:p w14:paraId="2A3A8054" w14:textId="77777777" w:rsidR="00DA16BE" w:rsidRPr="004F1D44" w:rsidRDefault="00DA16BE" w:rsidP="009B04BB">
            <w:pPr>
              <w:pStyle w:val="BodyText"/>
              <w:jc w:val="both"/>
              <w:rPr>
                <w:i/>
                <w:sz w:val="16"/>
                <w:szCs w:val="16"/>
                <w:lang w:val="en-US"/>
              </w:rPr>
            </w:pPr>
            <w:r w:rsidRPr="004F1D44">
              <w:rPr>
                <w:i/>
                <w:sz w:val="16"/>
                <w:szCs w:val="16"/>
                <w:lang w:val="en-US"/>
              </w:rPr>
              <w:t>TTIK</w:t>
            </w:r>
          </w:p>
          <w:p w14:paraId="2159D05D" w14:textId="77777777" w:rsidR="00DA16BE" w:rsidRPr="004F1D44" w:rsidRDefault="00DA16BE" w:rsidP="009B04BB">
            <w:pPr>
              <w:pStyle w:val="BodyText"/>
              <w:jc w:val="both"/>
              <w:rPr>
                <w:i/>
                <w:sz w:val="16"/>
                <w:szCs w:val="16"/>
                <w:lang w:val="en-US"/>
              </w:rPr>
            </w:pPr>
            <w:r w:rsidRPr="004F1D44">
              <w:rPr>
                <w:sz w:val="16"/>
                <w:szCs w:val="16"/>
                <w:lang w:val="en-US"/>
              </w:rPr>
              <w:t>DN-DS&lt;=</w:t>
            </w:r>
          </w:p>
          <w:p w14:paraId="0D9B3BF5" w14:textId="77777777" w:rsidR="00DA16BE" w:rsidRPr="003D2F44" w:rsidRDefault="00DA16BE" w:rsidP="009B04BB">
            <w:pPr>
              <w:pStyle w:val="BodyText"/>
              <w:jc w:val="both"/>
              <w:rPr>
                <w:sz w:val="16"/>
                <w:szCs w:val="16"/>
                <w:lang w:val="es-ES_tradnl"/>
              </w:rPr>
            </w:pPr>
            <w:r w:rsidRPr="003D2F44">
              <w:rPr>
                <w:sz w:val="16"/>
                <w:szCs w:val="16"/>
                <w:lang w:val="es-ES_tradnl"/>
              </w:rPr>
              <w:t>7,0</w:t>
            </w:r>
          </w:p>
        </w:tc>
        <w:tc>
          <w:tcPr>
            <w:tcW w:w="890" w:type="dxa"/>
            <w:vMerge/>
            <w:vAlign w:val="center"/>
          </w:tcPr>
          <w:p w14:paraId="1757D403" w14:textId="77777777" w:rsidR="00DA16BE" w:rsidRPr="003D2F44" w:rsidRDefault="00DA16BE" w:rsidP="009B04BB">
            <w:pPr>
              <w:pStyle w:val="BodyText"/>
              <w:jc w:val="both"/>
              <w:rPr>
                <w:sz w:val="16"/>
                <w:szCs w:val="16"/>
                <w:lang w:val="es-ES_tradnl"/>
              </w:rPr>
            </w:pPr>
          </w:p>
        </w:tc>
        <w:tc>
          <w:tcPr>
            <w:tcW w:w="990" w:type="dxa"/>
            <w:vMerge/>
            <w:vAlign w:val="center"/>
          </w:tcPr>
          <w:p w14:paraId="1F6D3ECC" w14:textId="77777777" w:rsidR="00DA16BE" w:rsidRPr="003D2F44" w:rsidRDefault="00DA16BE" w:rsidP="009B04BB">
            <w:pPr>
              <w:pStyle w:val="BodyText"/>
              <w:jc w:val="both"/>
              <w:rPr>
                <w:sz w:val="16"/>
                <w:szCs w:val="16"/>
                <w:lang w:val="es-ES_tradnl"/>
              </w:rPr>
            </w:pPr>
          </w:p>
        </w:tc>
        <w:tc>
          <w:tcPr>
            <w:tcW w:w="990" w:type="dxa"/>
            <w:vMerge/>
            <w:vAlign w:val="center"/>
          </w:tcPr>
          <w:p w14:paraId="3D0EEB6E" w14:textId="77777777" w:rsidR="00DA16BE" w:rsidRPr="003D2F44" w:rsidRDefault="00DA16BE" w:rsidP="009B04BB">
            <w:pPr>
              <w:pStyle w:val="BodyText"/>
              <w:jc w:val="both"/>
              <w:rPr>
                <w:sz w:val="16"/>
                <w:szCs w:val="16"/>
                <w:lang w:val="es-ES_tradnl"/>
              </w:rPr>
            </w:pPr>
          </w:p>
        </w:tc>
        <w:tc>
          <w:tcPr>
            <w:tcW w:w="935" w:type="dxa"/>
            <w:vMerge/>
            <w:vAlign w:val="center"/>
          </w:tcPr>
          <w:p w14:paraId="006AB434"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3E0DD884" w14:textId="77777777" w:rsidTr="00167968">
        <w:trPr>
          <w:cantSplit/>
          <w:jc w:val="center"/>
        </w:trPr>
        <w:tc>
          <w:tcPr>
            <w:tcW w:w="1123" w:type="dxa"/>
            <w:vMerge/>
          </w:tcPr>
          <w:p w14:paraId="64D78BB4" w14:textId="77777777" w:rsidR="00DA16BE" w:rsidRPr="003D2F44" w:rsidRDefault="00DA16BE" w:rsidP="009B04BB">
            <w:pPr>
              <w:jc w:val="both"/>
              <w:rPr>
                <w:sz w:val="16"/>
                <w:szCs w:val="16"/>
              </w:rPr>
            </w:pPr>
          </w:p>
        </w:tc>
        <w:tc>
          <w:tcPr>
            <w:tcW w:w="1126" w:type="dxa"/>
            <w:vAlign w:val="center"/>
          </w:tcPr>
          <w:p w14:paraId="3C17757C" w14:textId="77777777" w:rsidR="00DA16BE" w:rsidRPr="003D2F44" w:rsidRDefault="00DA16BE" w:rsidP="009B04BB">
            <w:pPr>
              <w:pStyle w:val="BodyText"/>
              <w:jc w:val="both"/>
              <w:rPr>
                <w:sz w:val="16"/>
                <w:szCs w:val="16"/>
                <w:lang w:val="es-ES_tradnl"/>
              </w:rPr>
            </w:pPr>
            <w:r w:rsidRPr="003D2F44">
              <w:rPr>
                <w:sz w:val="16"/>
                <w:szCs w:val="16"/>
                <w:lang w:val="es-ES_tradnl"/>
              </w:rPr>
              <w:t>Mejora en el control de suministro, clientes formalizados</w:t>
            </w:r>
          </w:p>
        </w:tc>
        <w:tc>
          <w:tcPr>
            <w:tcW w:w="1383" w:type="dxa"/>
            <w:vAlign w:val="center"/>
          </w:tcPr>
          <w:p w14:paraId="6B02E638" w14:textId="77777777" w:rsidR="00DA16BE" w:rsidRPr="003D2F44" w:rsidRDefault="00DA16BE" w:rsidP="009B04BB">
            <w:pPr>
              <w:pStyle w:val="BodyText"/>
              <w:jc w:val="both"/>
              <w:rPr>
                <w:sz w:val="16"/>
                <w:szCs w:val="16"/>
                <w:lang w:val="es-ES_tradnl"/>
              </w:rPr>
            </w:pPr>
            <w:r w:rsidRPr="003D2F44">
              <w:rPr>
                <w:sz w:val="16"/>
                <w:szCs w:val="16"/>
                <w:lang w:val="es-ES_tradnl"/>
              </w:rPr>
              <w:t># de clientes</w:t>
            </w:r>
          </w:p>
        </w:tc>
        <w:tc>
          <w:tcPr>
            <w:tcW w:w="1083" w:type="dxa"/>
            <w:vAlign w:val="center"/>
          </w:tcPr>
          <w:p w14:paraId="6946D9D1" w14:textId="77777777" w:rsidR="00DA16BE" w:rsidRPr="003D2F44" w:rsidRDefault="00DA16BE" w:rsidP="009B04BB">
            <w:pPr>
              <w:pStyle w:val="BodyText"/>
              <w:jc w:val="both"/>
              <w:rPr>
                <w:sz w:val="16"/>
                <w:szCs w:val="16"/>
                <w:lang w:val="es-ES_tradnl"/>
              </w:rPr>
            </w:pPr>
            <w:r w:rsidRPr="003D2F44">
              <w:rPr>
                <w:sz w:val="16"/>
                <w:szCs w:val="16"/>
                <w:lang w:val="es-ES_tradnl"/>
              </w:rPr>
              <w:t>0 clientes</w:t>
            </w:r>
          </w:p>
          <w:p w14:paraId="5E1F2148" w14:textId="77777777" w:rsidR="00DA16BE" w:rsidRPr="003D2F44" w:rsidRDefault="00DA16BE" w:rsidP="009B04BB">
            <w:pPr>
              <w:pStyle w:val="BodyText"/>
              <w:jc w:val="both"/>
              <w:rPr>
                <w:sz w:val="16"/>
                <w:szCs w:val="16"/>
                <w:lang w:val="es-ES_tradnl"/>
              </w:rPr>
            </w:pPr>
          </w:p>
        </w:tc>
        <w:tc>
          <w:tcPr>
            <w:tcW w:w="1099" w:type="dxa"/>
            <w:vAlign w:val="center"/>
          </w:tcPr>
          <w:p w14:paraId="6B4CB8BF" w14:textId="77777777" w:rsidR="00DA16BE" w:rsidRPr="003D2F44" w:rsidRDefault="003D4A2E" w:rsidP="009B04BB">
            <w:pPr>
              <w:pStyle w:val="BodyText"/>
              <w:jc w:val="both"/>
              <w:rPr>
                <w:sz w:val="16"/>
                <w:szCs w:val="16"/>
                <w:lang w:val="es-ES_tradnl"/>
              </w:rPr>
            </w:pPr>
            <w:r>
              <w:rPr>
                <w:sz w:val="16"/>
                <w:szCs w:val="16"/>
                <w:lang w:val="es-ES_tradnl"/>
              </w:rPr>
              <w:t>96</w:t>
            </w:r>
            <w:r w:rsidR="00DA16BE" w:rsidRPr="003D2F44">
              <w:rPr>
                <w:sz w:val="16"/>
                <w:szCs w:val="16"/>
                <w:lang w:val="es-ES_tradnl"/>
              </w:rPr>
              <w:t>,000 clientes</w:t>
            </w:r>
          </w:p>
        </w:tc>
        <w:tc>
          <w:tcPr>
            <w:tcW w:w="890" w:type="dxa"/>
            <w:vMerge/>
            <w:vAlign w:val="center"/>
          </w:tcPr>
          <w:p w14:paraId="79585F4F" w14:textId="77777777" w:rsidR="00DA16BE" w:rsidRPr="003D2F44" w:rsidRDefault="00DA16BE" w:rsidP="009B04BB">
            <w:pPr>
              <w:pStyle w:val="BodyText"/>
              <w:jc w:val="both"/>
              <w:rPr>
                <w:sz w:val="16"/>
                <w:szCs w:val="16"/>
                <w:lang w:val="es-ES_tradnl"/>
              </w:rPr>
            </w:pPr>
          </w:p>
        </w:tc>
        <w:tc>
          <w:tcPr>
            <w:tcW w:w="990" w:type="dxa"/>
            <w:vMerge/>
            <w:vAlign w:val="center"/>
          </w:tcPr>
          <w:p w14:paraId="4E4D5781" w14:textId="77777777" w:rsidR="00DA16BE" w:rsidRPr="003D2F44" w:rsidRDefault="00DA16BE" w:rsidP="009B04BB">
            <w:pPr>
              <w:pStyle w:val="BodyText"/>
              <w:jc w:val="both"/>
              <w:rPr>
                <w:sz w:val="16"/>
                <w:szCs w:val="16"/>
                <w:lang w:val="es-ES_tradnl"/>
              </w:rPr>
            </w:pPr>
          </w:p>
        </w:tc>
        <w:tc>
          <w:tcPr>
            <w:tcW w:w="990" w:type="dxa"/>
            <w:vMerge/>
            <w:vAlign w:val="center"/>
          </w:tcPr>
          <w:p w14:paraId="0822C8CF" w14:textId="77777777" w:rsidR="00DA16BE" w:rsidRPr="003D2F44" w:rsidRDefault="00DA16BE" w:rsidP="009B04BB">
            <w:pPr>
              <w:pStyle w:val="BodyText"/>
              <w:jc w:val="both"/>
              <w:rPr>
                <w:sz w:val="16"/>
                <w:szCs w:val="16"/>
                <w:lang w:val="es-ES_tradnl"/>
              </w:rPr>
            </w:pPr>
          </w:p>
        </w:tc>
        <w:tc>
          <w:tcPr>
            <w:tcW w:w="935" w:type="dxa"/>
            <w:vMerge/>
            <w:vAlign w:val="center"/>
          </w:tcPr>
          <w:p w14:paraId="397E519D"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0633BA96" w14:textId="77777777" w:rsidTr="00167968">
        <w:trPr>
          <w:cantSplit/>
          <w:jc w:val="center"/>
        </w:trPr>
        <w:tc>
          <w:tcPr>
            <w:tcW w:w="1123" w:type="dxa"/>
            <w:vMerge/>
          </w:tcPr>
          <w:p w14:paraId="343809AF" w14:textId="77777777" w:rsidR="00DA16BE" w:rsidRPr="003D2F44" w:rsidRDefault="00DA16BE" w:rsidP="009B04BB">
            <w:pPr>
              <w:jc w:val="both"/>
              <w:rPr>
                <w:sz w:val="16"/>
                <w:szCs w:val="16"/>
              </w:rPr>
            </w:pPr>
          </w:p>
        </w:tc>
        <w:tc>
          <w:tcPr>
            <w:tcW w:w="1126" w:type="dxa"/>
            <w:vAlign w:val="center"/>
          </w:tcPr>
          <w:p w14:paraId="64D84E39" w14:textId="77777777" w:rsidR="00DA16BE" w:rsidRPr="003D2F44" w:rsidRDefault="00DA16BE" w:rsidP="009B04BB">
            <w:pPr>
              <w:pStyle w:val="BodyText"/>
              <w:jc w:val="both"/>
              <w:rPr>
                <w:sz w:val="16"/>
                <w:szCs w:val="16"/>
                <w:lang w:val="es-ES_tradnl"/>
              </w:rPr>
            </w:pPr>
            <w:r w:rsidRPr="003D2F44">
              <w:rPr>
                <w:sz w:val="16"/>
                <w:szCs w:val="16"/>
                <w:lang w:val="es-ES_tradnl"/>
              </w:rPr>
              <w:t>Ampliación de la cobertura eléctrica</w:t>
            </w:r>
          </w:p>
        </w:tc>
        <w:tc>
          <w:tcPr>
            <w:tcW w:w="1383" w:type="dxa"/>
            <w:vMerge w:val="restart"/>
            <w:vAlign w:val="center"/>
          </w:tcPr>
          <w:p w14:paraId="593DBDC4" w14:textId="77777777" w:rsidR="00DA16BE" w:rsidRPr="003D2F44" w:rsidRDefault="00DA16BE" w:rsidP="009B04BB">
            <w:pPr>
              <w:pStyle w:val="BodyText"/>
              <w:jc w:val="both"/>
              <w:rPr>
                <w:sz w:val="16"/>
                <w:szCs w:val="16"/>
                <w:lang w:val="es-ES_tradnl"/>
              </w:rPr>
            </w:pPr>
            <w:r w:rsidRPr="003D2F44">
              <w:rPr>
                <w:sz w:val="16"/>
                <w:szCs w:val="16"/>
                <w:lang w:val="es-ES_tradnl"/>
              </w:rPr>
              <w:t>Porcentual</w:t>
            </w:r>
          </w:p>
        </w:tc>
        <w:tc>
          <w:tcPr>
            <w:tcW w:w="1083" w:type="dxa"/>
            <w:vAlign w:val="center"/>
          </w:tcPr>
          <w:p w14:paraId="30A5F8F9" w14:textId="77777777" w:rsidR="00DA16BE" w:rsidRPr="003D2F44" w:rsidRDefault="00DA16BE" w:rsidP="009B04BB">
            <w:pPr>
              <w:pStyle w:val="BodyText"/>
              <w:jc w:val="both"/>
              <w:rPr>
                <w:sz w:val="16"/>
                <w:szCs w:val="16"/>
                <w:lang w:val="es-ES_tradnl"/>
              </w:rPr>
            </w:pPr>
            <w:r w:rsidRPr="003D2F44">
              <w:rPr>
                <w:sz w:val="16"/>
                <w:szCs w:val="16"/>
                <w:lang w:val="es-ES_tradnl"/>
              </w:rPr>
              <w:t>73,7%</w:t>
            </w:r>
          </w:p>
        </w:tc>
        <w:tc>
          <w:tcPr>
            <w:tcW w:w="1099" w:type="dxa"/>
            <w:vAlign w:val="center"/>
          </w:tcPr>
          <w:p w14:paraId="6A4D2A18" w14:textId="77777777" w:rsidR="00DA16BE" w:rsidRPr="003D2F44" w:rsidRDefault="003D4A2E" w:rsidP="003D4A2E">
            <w:pPr>
              <w:pStyle w:val="BodyText"/>
              <w:jc w:val="both"/>
              <w:rPr>
                <w:sz w:val="16"/>
                <w:szCs w:val="16"/>
                <w:lang w:val="es-ES_tradnl"/>
              </w:rPr>
            </w:pPr>
            <w:r>
              <w:rPr>
                <w:sz w:val="16"/>
                <w:szCs w:val="16"/>
                <w:lang w:val="es-ES_tradnl"/>
              </w:rPr>
              <w:t>86</w:t>
            </w:r>
            <w:r w:rsidR="00DA16BE" w:rsidRPr="003D2F44">
              <w:rPr>
                <w:sz w:val="16"/>
                <w:szCs w:val="16"/>
                <w:lang w:val="es-ES_tradnl"/>
              </w:rPr>
              <w:t>,</w:t>
            </w:r>
            <w:r>
              <w:rPr>
                <w:sz w:val="16"/>
                <w:szCs w:val="16"/>
                <w:lang w:val="es-ES_tradnl"/>
              </w:rPr>
              <w:t>5</w:t>
            </w:r>
            <w:r w:rsidR="00DA16BE" w:rsidRPr="003D2F44">
              <w:rPr>
                <w:sz w:val="16"/>
                <w:szCs w:val="16"/>
                <w:lang w:val="es-ES_tradnl"/>
              </w:rPr>
              <w:t>%</w:t>
            </w:r>
          </w:p>
        </w:tc>
        <w:tc>
          <w:tcPr>
            <w:tcW w:w="890" w:type="dxa"/>
            <w:vMerge/>
            <w:vAlign w:val="center"/>
          </w:tcPr>
          <w:p w14:paraId="2D54B90E" w14:textId="77777777" w:rsidR="00DA16BE" w:rsidRPr="003D2F44" w:rsidRDefault="00DA16BE" w:rsidP="009B04BB">
            <w:pPr>
              <w:pStyle w:val="BodyText"/>
              <w:jc w:val="both"/>
              <w:rPr>
                <w:sz w:val="16"/>
                <w:szCs w:val="16"/>
                <w:lang w:val="es-ES_tradnl"/>
              </w:rPr>
            </w:pPr>
          </w:p>
        </w:tc>
        <w:tc>
          <w:tcPr>
            <w:tcW w:w="990" w:type="dxa"/>
            <w:vMerge/>
            <w:vAlign w:val="center"/>
          </w:tcPr>
          <w:p w14:paraId="264C1BDD" w14:textId="77777777" w:rsidR="00DA16BE" w:rsidRPr="003D2F44" w:rsidRDefault="00DA16BE" w:rsidP="009B04BB">
            <w:pPr>
              <w:pStyle w:val="BodyText"/>
              <w:jc w:val="both"/>
              <w:rPr>
                <w:sz w:val="16"/>
                <w:szCs w:val="16"/>
                <w:lang w:val="es-ES_tradnl"/>
              </w:rPr>
            </w:pPr>
          </w:p>
        </w:tc>
        <w:tc>
          <w:tcPr>
            <w:tcW w:w="990" w:type="dxa"/>
            <w:vMerge/>
            <w:vAlign w:val="center"/>
          </w:tcPr>
          <w:p w14:paraId="50D5B597" w14:textId="77777777" w:rsidR="00DA16BE" w:rsidRPr="003D2F44" w:rsidRDefault="00DA16BE" w:rsidP="009B04BB">
            <w:pPr>
              <w:pStyle w:val="BodyText"/>
              <w:jc w:val="both"/>
              <w:rPr>
                <w:sz w:val="16"/>
                <w:szCs w:val="16"/>
                <w:lang w:val="es-ES_tradnl"/>
              </w:rPr>
            </w:pPr>
          </w:p>
        </w:tc>
        <w:tc>
          <w:tcPr>
            <w:tcW w:w="935" w:type="dxa"/>
            <w:vMerge/>
            <w:vAlign w:val="center"/>
          </w:tcPr>
          <w:p w14:paraId="31A4468F"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56DA85E1" w14:textId="77777777" w:rsidTr="00167968">
        <w:trPr>
          <w:cantSplit/>
          <w:trHeight w:val="368"/>
          <w:jc w:val="center"/>
        </w:trPr>
        <w:tc>
          <w:tcPr>
            <w:tcW w:w="1123" w:type="dxa"/>
            <w:vMerge/>
            <w:tcBorders>
              <w:bottom w:val="single" w:sz="12" w:space="0" w:color="auto"/>
            </w:tcBorders>
          </w:tcPr>
          <w:p w14:paraId="0989CFC8" w14:textId="77777777" w:rsidR="00DA16BE" w:rsidRPr="003D2F44" w:rsidRDefault="00DA16BE" w:rsidP="009B04BB">
            <w:pPr>
              <w:jc w:val="both"/>
              <w:rPr>
                <w:sz w:val="16"/>
                <w:szCs w:val="16"/>
              </w:rPr>
            </w:pPr>
          </w:p>
        </w:tc>
        <w:tc>
          <w:tcPr>
            <w:tcW w:w="1126" w:type="dxa"/>
            <w:tcBorders>
              <w:bottom w:val="single" w:sz="12" w:space="0" w:color="auto"/>
            </w:tcBorders>
            <w:vAlign w:val="center"/>
          </w:tcPr>
          <w:p w14:paraId="06F4E37B" w14:textId="77777777" w:rsidR="00DA16BE" w:rsidRPr="003D2F44" w:rsidRDefault="00DA16BE" w:rsidP="009B04BB">
            <w:pPr>
              <w:pStyle w:val="BodyText"/>
              <w:jc w:val="both"/>
              <w:rPr>
                <w:sz w:val="16"/>
                <w:szCs w:val="16"/>
                <w:lang w:val="es-ES_tradnl"/>
              </w:rPr>
            </w:pPr>
            <w:r w:rsidRPr="003D2F44">
              <w:rPr>
                <w:sz w:val="16"/>
                <w:szCs w:val="16"/>
                <w:lang w:val="es-ES_tradnl"/>
              </w:rPr>
              <w:t>Reducción de pérdidas totales del sistema</w:t>
            </w:r>
          </w:p>
        </w:tc>
        <w:tc>
          <w:tcPr>
            <w:tcW w:w="1383" w:type="dxa"/>
            <w:vMerge/>
            <w:tcBorders>
              <w:bottom w:val="single" w:sz="12" w:space="0" w:color="auto"/>
            </w:tcBorders>
            <w:vAlign w:val="center"/>
          </w:tcPr>
          <w:p w14:paraId="7BC7A585" w14:textId="77777777" w:rsidR="00DA16BE" w:rsidRPr="003D2F44" w:rsidRDefault="00DA16BE" w:rsidP="009B04BB">
            <w:pPr>
              <w:pStyle w:val="BodyText"/>
              <w:jc w:val="both"/>
              <w:rPr>
                <w:sz w:val="16"/>
                <w:szCs w:val="16"/>
                <w:lang w:val="es-ES_tradnl"/>
              </w:rPr>
            </w:pPr>
          </w:p>
        </w:tc>
        <w:tc>
          <w:tcPr>
            <w:tcW w:w="1083" w:type="dxa"/>
            <w:tcBorders>
              <w:bottom w:val="single" w:sz="12" w:space="0" w:color="auto"/>
            </w:tcBorders>
            <w:vAlign w:val="center"/>
          </w:tcPr>
          <w:p w14:paraId="3525D63B" w14:textId="77777777" w:rsidR="00DA16BE" w:rsidRPr="003D2F44" w:rsidRDefault="00DA16BE" w:rsidP="009B04BB">
            <w:pPr>
              <w:pStyle w:val="BodyText"/>
              <w:jc w:val="both"/>
              <w:rPr>
                <w:sz w:val="16"/>
                <w:szCs w:val="16"/>
                <w:lang w:val="es-ES_tradnl"/>
              </w:rPr>
            </w:pPr>
            <w:r w:rsidRPr="003D2F44">
              <w:rPr>
                <w:sz w:val="16"/>
                <w:szCs w:val="16"/>
                <w:lang w:val="es-ES_tradnl"/>
              </w:rPr>
              <w:t>23,32%</w:t>
            </w:r>
          </w:p>
        </w:tc>
        <w:tc>
          <w:tcPr>
            <w:tcW w:w="1099" w:type="dxa"/>
            <w:tcBorders>
              <w:bottom w:val="single" w:sz="12" w:space="0" w:color="auto"/>
            </w:tcBorders>
            <w:vAlign w:val="center"/>
          </w:tcPr>
          <w:p w14:paraId="0798531A" w14:textId="77777777" w:rsidR="00DA16BE" w:rsidRPr="003D2F44" w:rsidRDefault="003D4A2E" w:rsidP="003D4A2E">
            <w:pPr>
              <w:pStyle w:val="BodyText"/>
              <w:jc w:val="both"/>
              <w:rPr>
                <w:sz w:val="16"/>
                <w:szCs w:val="16"/>
                <w:lang w:val="es-ES_tradnl"/>
              </w:rPr>
            </w:pPr>
            <w:r>
              <w:rPr>
                <w:sz w:val="16"/>
                <w:szCs w:val="16"/>
                <w:lang w:val="es-ES_tradnl"/>
              </w:rPr>
              <w:t>21</w:t>
            </w:r>
            <w:r w:rsidR="00DA16BE" w:rsidRPr="003D2F44">
              <w:rPr>
                <w:sz w:val="16"/>
                <w:szCs w:val="16"/>
                <w:lang w:val="es-ES_tradnl"/>
              </w:rPr>
              <w:t>,</w:t>
            </w:r>
            <w:r>
              <w:rPr>
                <w:sz w:val="16"/>
                <w:szCs w:val="16"/>
                <w:lang w:val="es-ES_tradnl"/>
              </w:rPr>
              <w:t>1</w:t>
            </w:r>
            <w:r w:rsidR="00DA16BE" w:rsidRPr="003D2F44">
              <w:rPr>
                <w:sz w:val="16"/>
                <w:szCs w:val="16"/>
                <w:lang w:val="es-ES_tradnl"/>
              </w:rPr>
              <w:t>5%</w:t>
            </w:r>
          </w:p>
        </w:tc>
        <w:tc>
          <w:tcPr>
            <w:tcW w:w="890" w:type="dxa"/>
            <w:vMerge/>
            <w:vAlign w:val="center"/>
          </w:tcPr>
          <w:p w14:paraId="79B8D2BA" w14:textId="77777777" w:rsidR="00DA16BE" w:rsidRPr="003D2F44" w:rsidRDefault="00DA16BE" w:rsidP="009B04BB">
            <w:pPr>
              <w:pStyle w:val="BodyText"/>
              <w:jc w:val="both"/>
              <w:rPr>
                <w:sz w:val="16"/>
                <w:szCs w:val="16"/>
                <w:lang w:val="es-ES_tradnl"/>
              </w:rPr>
            </w:pPr>
          </w:p>
        </w:tc>
        <w:tc>
          <w:tcPr>
            <w:tcW w:w="990" w:type="dxa"/>
            <w:vMerge/>
            <w:tcBorders>
              <w:bottom w:val="single" w:sz="12" w:space="0" w:color="auto"/>
            </w:tcBorders>
            <w:vAlign w:val="center"/>
          </w:tcPr>
          <w:p w14:paraId="427911F2" w14:textId="77777777" w:rsidR="00DA16BE" w:rsidRPr="003D2F44" w:rsidRDefault="00DA16BE" w:rsidP="009B04BB">
            <w:pPr>
              <w:pStyle w:val="BodyText"/>
              <w:jc w:val="both"/>
              <w:rPr>
                <w:sz w:val="16"/>
                <w:szCs w:val="16"/>
                <w:lang w:val="es-ES_tradnl"/>
              </w:rPr>
            </w:pPr>
          </w:p>
        </w:tc>
        <w:tc>
          <w:tcPr>
            <w:tcW w:w="990" w:type="dxa"/>
            <w:vMerge/>
            <w:vAlign w:val="center"/>
          </w:tcPr>
          <w:p w14:paraId="39B24BCE" w14:textId="77777777" w:rsidR="00DA16BE" w:rsidRPr="003D2F44" w:rsidRDefault="00DA16BE" w:rsidP="009B04BB">
            <w:pPr>
              <w:pStyle w:val="BodyText"/>
              <w:jc w:val="both"/>
              <w:rPr>
                <w:sz w:val="16"/>
                <w:szCs w:val="16"/>
                <w:lang w:val="es-ES_tradnl"/>
              </w:rPr>
            </w:pPr>
          </w:p>
        </w:tc>
        <w:tc>
          <w:tcPr>
            <w:tcW w:w="935" w:type="dxa"/>
            <w:vMerge/>
            <w:vAlign w:val="center"/>
          </w:tcPr>
          <w:p w14:paraId="0812DDFA"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78BC4182" w14:textId="77777777" w:rsidTr="00167968">
        <w:trPr>
          <w:cantSplit/>
          <w:trHeight w:val="368"/>
          <w:jc w:val="center"/>
        </w:trPr>
        <w:tc>
          <w:tcPr>
            <w:tcW w:w="1123" w:type="dxa"/>
            <w:vMerge w:val="restart"/>
          </w:tcPr>
          <w:p w14:paraId="184EDC36" w14:textId="77777777" w:rsidR="00DA16BE" w:rsidRPr="003D2F44" w:rsidRDefault="00DA16BE" w:rsidP="009B04BB">
            <w:pPr>
              <w:jc w:val="both"/>
              <w:rPr>
                <w:sz w:val="16"/>
                <w:szCs w:val="16"/>
              </w:rPr>
            </w:pPr>
            <w:r w:rsidRPr="003D2F44">
              <w:rPr>
                <w:sz w:val="16"/>
                <w:szCs w:val="16"/>
              </w:rPr>
              <w:t>Establecer mecanismos que mejoren la visibilidad de resultados de las empresas públicas y concesionarias en el sector</w:t>
            </w:r>
          </w:p>
        </w:tc>
        <w:tc>
          <w:tcPr>
            <w:tcW w:w="1126" w:type="dxa"/>
            <w:tcBorders>
              <w:bottom w:val="single" w:sz="12" w:space="0" w:color="auto"/>
            </w:tcBorders>
            <w:vAlign w:val="center"/>
          </w:tcPr>
          <w:p w14:paraId="2462C46F" w14:textId="77777777" w:rsidR="00DA16BE" w:rsidRPr="003D2F44" w:rsidRDefault="00DA16BE" w:rsidP="009B04BB">
            <w:pPr>
              <w:pStyle w:val="BodyText"/>
              <w:jc w:val="both"/>
              <w:rPr>
                <w:sz w:val="16"/>
                <w:szCs w:val="16"/>
                <w:lang w:val="es-ES_tradnl"/>
              </w:rPr>
            </w:pPr>
            <w:r w:rsidRPr="003D2F44">
              <w:rPr>
                <w:sz w:val="16"/>
                <w:szCs w:val="16"/>
                <w:lang w:val="es-ES_tradnl"/>
              </w:rPr>
              <w:t>Publicación de Estados Financieros de las empresas del sector</w:t>
            </w:r>
          </w:p>
        </w:tc>
        <w:tc>
          <w:tcPr>
            <w:tcW w:w="1383" w:type="dxa"/>
            <w:vMerge w:val="restart"/>
            <w:vAlign w:val="center"/>
          </w:tcPr>
          <w:p w14:paraId="7C168E5E" w14:textId="77777777" w:rsidR="00DA16BE" w:rsidRPr="003D2F44" w:rsidRDefault="00DA16BE" w:rsidP="009B04BB">
            <w:pPr>
              <w:pStyle w:val="BodyText"/>
              <w:jc w:val="both"/>
              <w:rPr>
                <w:sz w:val="16"/>
                <w:szCs w:val="16"/>
                <w:lang w:val="es-ES_tradnl"/>
              </w:rPr>
            </w:pPr>
            <w:r w:rsidRPr="003D2F44">
              <w:rPr>
                <w:sz w:val="16"/>
                <w:szCs w:val="16"/>
                <w:lang w:val="es-ES_tradnl"/>
              </w:rPr>
              <w:t>Publicaciones</w:t>
            </w:r>
          </w:p>
        </w:tc>
        <w:tc>
          <w:tcPr>
            <w:tcW w:w="1083" w:type="dxa"/>
            <w:tcBorders>
              <w:bottom w:val="single" w:sz="12" w:space="0" w:color="auto"/>
            </w:tcBorders>
            <w:vAlign w:val="center"/>
          </w:tcPr>
          <w:p w14:paraId="0860A742" w14:textId="77777777" w:rsidR="00DA16BE" w:rsidRPr="003D2F44" w:rsidRDefault="00DA16BE" w:rsidP="009B04BB">
            <w:pPr>
              <w:pStyle w:val="BodyText"/>
              <w:jc w:val="both"/>
              <w:rPr>
                <w:sz w:val="16"/>
                <w:szCs w:val="16"/>
                <w:lang w:val="es-ES_tradnl"/>
              </w:rPr>
            </w:pPr>
            <w:r w:rsidRPr="003D2F44">
              <w:rPr>
                <w:sz w:val="16"/>
                <w:szCs w:val="16"/>
                <w:lang w:val="es-ES_tradnl"/>
              </w:rPr>
              <w:t>Ninguna publicación</w:t>
            </w:r>
          </w:p>
        </w:tc>
        <w:tc>
          <w:tcPr>
            <w:tcW w:w="1099" w:type="dxa"/>
            <w:tcBorders>
              <w:bottom w:val="single" w:sz="12" w:space="0" w:color="auto"/>
            </w:tcBorders>
            <w:vAlign w:val="center"/>
          </w:tcPr>
          <w:p w14:paraId="7EFD533C" w14:textId="77777777" w:rsidR="00DA16BE" w:rsidRPr="003D2F44" w:rsidRDefault="00DA16BE" w:rsidP="009B04BB">
            <w:pPr>
              <w:pStyle w:val="BodyText"/>
              <w:jc w:val="both"/>
              <w:rPr>
                <w:sz w:val="16"/>
                <w:szCs w:val="16"/>
                <w:lang w:val="es-ES_tradnl"/>
              </w:rPr>
            </w:pPr>
            <w:r w:rsidRPr="003D2F44">
              <w:rPr>
                <w:sz w:val="16"/>
                <w:szCs w:val="16"/>
                <w:lang w:val="es-ES_tradnl"/>
              </w:rPr>
              <w:t>1 Publicación  (ENEL, ENATREL)</w:t>
            </w:r>
          </w:p>
        </w:tc>
        <w:tc>
          <w:tcPr>
            <w:tcW w:w="890" w:type="dxa"/>
            <w:vMerge/>
            <w:vAlign w:val="center"/>
          </w:tcPr>
          <w:p w14:paraId="576F10D8" w14:textId="77777777" w:rsidR="00DA16BE" w:rsidRPr="003D2F44" w:rsidRDefault="00DA16BE" w:rsidP="009B04BB">
            <w:pPr>
              <w:pStyle w:val="BodyText"/>
              <w:jc w:val="both"/>
              <w:rPr>
                <w:sz w:val="16"/>
                <w:szCs w:val="16"/>
                <w:lang w:val="es-ES_tradnl"/>
              </w:rPr>
            </w:pPr>
          </w:p>
        </w:tc>
        <w:tc>
          <w:tcPr>
            <w:tcW w:w="990" w:type="dxa"/>
            <w:vMerge w:val="restart"/>
            <w:vAlign w:val="center"/>
          </w:tcPr>
          <w:p w14:paraId="5AE6059C" w14:textId="77777777" w:rsidR="00DA16BE" w:rsidRPr="003D2F44" w:rsidRDefault="00DA16BE" w:rsidP="009B04BB">
            <w:pPr>
              <w:pStyle w:val="BodyText"/>
              <w:jc w:val="both"/>
              <w:rPr>
                <w:sz w:val="16"/>
                <w:szCs w:val="16"/>
                <w:lang w:val="es-ES_tradnl"/>
              </w:rPr>
            </w:pPr>
            <w:r w:rsidRPr="003D2F44">
              <w:rPr>
                <w:sz w:val="16"/>
                <w:szCs w:val="16"/>
                <w:lang w:val="es-ES_tradnl"/>
              </w:rPr>
              <w:t>Sitio web de ENATREL donde se han publicado los Estados Financieros Auditados preliminares</w:t>
            </w:r>
          </w:p>
          <w:p w14:paraId="45721507" w14:textId="77777777" w:rsidR="00DA16BE" w:rsidRPr="003D2F44" w:rsidRDefault="00DA16BE" w:rsidP="009B04BB">
            <w:pPr>
              <w:pStyle w:val="BodyText"/>
              <w:jc w:val="both"/>
              <w:rPr>
                <w:sz w:val="16"/>
                <w:szCs w:val="16"/>
                <w:lang w:val="es-ES_tradnl"/>
              </w:rPr>
            </w:pPr>
          </w:p>
          <w:p w14:paraId="449D81D6" w14:textId="77777777" w:rsidR="00DA16BE" w:rsidRPr="003D2F44" w:rsidRDefault="00DA16BE" w:rsidP="009B04BB">
            <w:pPr>
              <w:pStyle w:val="BodyText"/>
              <w:jc w:val="both"/>
              <w:rPr>
                <w:sz w:val="16"/>
                <w:szCs w:val="16"/>
                <w:lang w:val="es-ES_tradnl"/>
              </w:rPr>
            </w:pPr>
            <w:r w:rsidRPr="003D2F44">
              <w:rPr>
                <w:sz w:val="16"/>
                <w:szCs w:val="16"/>
                <w:lang w:val="es-ES_tradnl"/>
              </w:rPr>
              <w:t>Informes INE</w:t>
            </w:r>
          </w:p>
        </w:tc>
        <w:tc>
          <w:tcPr>
            <w:tcW w:w="990" w:type="dxa"/>
            <w:vMerge/>
            <w:vAlign w:val="center"/>
          </w:tcPr>
          <w:p w14:paraId="698AD5D7" w14:textId="77777777" w:rsidR="00DA16BE" w:rsidRPr="003D2F44" w:rsidRDefault="00DA16BE" w:rsidP="009B04BB">
            <w:pPr>
              <w:pStyle w:val="BodyText"/>
              <w:jc w:val="both"/>
              <w:rPr>
                <w:sz w:val="16"/>
                <w:szCs w:val="16"/>
                <w:lang w:val="es-ES_tradnl"/>
              </w:rPr>
            </w:pPr>
          </w:p>
        </w:tc>
        <w:tc>
          <w:tcPr>
            <w:tcW w:w="935" w:type="dxa"/>
            <w:vMerge/>
            <w:vAlign w:val="center"/>
          </w:tcPr>
          <w:p w14:paraId="0E3A96EA"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4D5A8449" w14:textId="77777777" w:rsidTr="00167968">
        <w:trPr>
          <w:cantSplit/>
          <w:trHeight w:val="368"/>
          <w:jc w:val="center"/>
        </w:trPr>
        <w:tc>
          <w:tcPr>
            <w:tcW w:w="1123" w:type="dxa"/>
            <w:vMerge/>
            <w:tcBorders>
              <w:bottom w:val="single" w:sz="12" w:space="0" w:color="auto"/>
            </w:tcBorders>
          </w:tcPr>
          <w:p w14:paraId="692A0266" w14:textId="77777777" w:rsidR="00DA16BE" w:rsidRPr="003D2F44" w:rsidRDefault="00DA16BE" w:rsidP="009B04BB">
            <w:pPr>
              <w:jc w:val="both"/>
              <w:rPr>
                <w:sz w:val="16"/>
                <w:szCs w:val="16"/>
              </w:rPr>
            </w:pPr>
          </w:p>
        </w:tc>
        <w:tc>
          <w:tcPr>
            <w:tcW w:w="1126" w:type="dxa"/>
            <w:tcBorders>
              <w:bottom w:val="single" w:sz="12" w:space="0" w:color="auto"/>
            </w:tcBorders>
            <w:vAlign w:val="center"/>
          </w:tcPr>
          <w:p w14:paraId="0BAAEBBC" w14:textId="77777777" w:rsidR="00DA16BE" w:rsidRPr="003D2F44" w:rsidRDefault="00DA16BE" w:rsidP="009B04BB">
            <w:pPr>
              <w:pStyle w:val="BodyText"/>
              <w:jc w:val="both"/>
              <w:rPr>
                <w:sz w:val="16"/>
                <w:szCs w:val="16"/>
                <w:lang w:val="es-ES_tradnl"/>
              </w:rPr>
            </w:pPr>
            <w:r w:rsidRPr="003D2F44">
              <w:rPr>
                <w:sz w:val="16"/>
                <w:szCs w:val="16"/>
                <w:lang w:val="es-ES_tradnl"/>
              </w:rPr>
              <w:t>Publicación de Indicadores Financieros de las Distribuidoras</w:t>
            </w:r>
          </w:p>
        </w:tc>
        <w:tc>
          <w:tcPr>
            <w:tcW w:w="1383" w:type="dxa"/>
            <w:vMerge/>
            <w:tcBorders>
              <w:bottom w:val="single" w:sz="12" w:space="0" w:color="auto"/>
            </w:tcBorders>
            <w:vAlign w:val="center"/>
          </w:tcPr>
          <w:p w14:paraId="37223542" w14:textId="77777777" w:rsidR="00DA16BE" w:rsidRPr="003D2F44" w:rsidRDefault="00DA16BE" w:rsidP="009B04BB">
            <w:pPr>
              <w:pStyle w:val="BodyText"/>
              <w:jc w:val="both"/>
              <w:rPr>
                <w:sz w:val="16"/>
                <w:szCs w:val="16"/>
                <w:lang w:val="es-ES_tradnl"/>
              </w:rPr>
            </w:pPr>
          </w:p>
        </w:tc>
        <w:tc>
          <w:tcPr>
            <w:tcW w:w="1083" w:type="dxa"/>
            <w:tcBorders>
              <w:bottom w:val="single" w:sz="12" w:space="0" w:color="auto"/>
            </w:tcBorders>
            <w:vAlign w:val="center"/>
          </w:tcPr>
          <w:p w14:paraId="3661F407" w14:textId="77777777" w:rsidR="00DA16BE" w:rsidRPr="003D2F44" w:rsidRDefault="00DA16BE" w:rsidP="009B04BB">
            <w:pPr>
              <w:pStyle w:val="BodyText"/>
              <w:jc w:val="both"/>
              <w:rPr>
                <w:sz w:val="16"/>
                <w:szCs w:val="16"/>
                <w:lang w:val="es-ES_tradnl"/>
              </w:rPr>
            </w:pPr>
            <w:r w:rsidRPr="003D2F44">
              <w:rPr>
                <w:sz w:val="16"/>
                <w:szCs w:val="16"/>
                <w:lang w:val="es-ES_tradnl"/>
              </w:rPr>
              <w:t>Ninguna Publicación</w:t>
            </w:r>
          </w:p>
        </w:tc>
        <w:tc>
          <w:tcPr>
            <w:tcW w:w="1099" w:type="dxa"/>
            <w:tcBorders>
              <w:bottom w:val="single" w:sz="12" w:space="0" w:color="auto"/>
            </w:tcBorders>
            <w:vAlign w:val="center"/>
          </w:tcPr>
          <w:p w14:paraId="66DB7C38" w14:textId="77777777" w:rsidR="00DA16BE" w:rsidRPr="003D2F44" w:rsidRDefault="00DA16BE" w:rsidP="009B04BB">
            <w:pPr>
              <w:pStyle w:val="BodyText"/>
              <w:jc w:val="both"/>
              <w:rPr>
                <w:sz w:val="16"/>
                <w:szCs w:val="16"/>
                <w:lang w:val="es-ES_tradnl"/>
              </w:rPr>
            </w:pPr>
            <w:r w:rsidRPr="003D2F44">
              <w:rPr>
                <w:sz w:val="16"/>
                <w:szCs w:val="16"/>
                <w:lang w:val="es-ES_tradnl"/>
              </w:rPr>
              <w:t>3 Publicaciones  (Índice de pérdidas, Índice de cobro e Índice de recuperación de efectivo</w:t>
            </w:r>
          </w:p>
        </w:tc>
        <w:tc>
          <w:tcPr>
            <w:tcW w:w="890" w:type="dxa"/>
            <w:vMerge/>
            <w:vAlign w:val="center"/>
          </w:tcPr>
          <w:p w14:paraId="0D395BB8" w14:textId="77777777" w:rsidR="00DA16BE" w:rsidRPr="003D2F44" w:rsidRDefault="00DA16BE" w:rsidP="009B04BB">
            <w:pPr>
              <w:pStyle w:val="BodyText"/>
              <w:jc w:val="both"/>
              <w:rPr>
                <w:sz w:val="16"/>
                <w:szCs w:val="16"/>
                <w:lang w:val="es-ES_tradnl"/>
              </w:rPr>
            </w:pPr>
          </w:p>
        </w:tc>
        <w:tc>
          <w:tcPr>
            <w:tcW w:w="990" w:type="dxa"/>
            <w:vMerge/>
            <w:tcBorders>
              <w:bottom w:val="single" w:sz="12" w:space="0" w:color="auto"/>
            </w:tcBorders>
            <w:vAlign w:val="center"/>
          </w:tcPr>
          <w:p w14:paraId="6C80607B" w14:textId="77777777" w:rsidR="00DA16BE" w:rsidRPr="003D2F44" w:rsidRDefault="00DA16BE" w:rsidP="009B04BB">
            <w:pPr>
              <w:pStyle w:val="BodyText"/>
              <w:jc w:val="both"/>
              <w:rPr>
                <w:sz w:val="16"/>
                <w:szCs w:val="16"/>
                <w:lang w:val="es-ES_tradnl"/>
              </w:rPr>
            </w:pPr>
          </w:p>
        </w:tc>
        <w:tc>
          <w:tcPr>
            <w:tcW w:w="990" w:type="dxa"/>
            <w:vMerge/>
            <w:vAlign w:val="center"/>
          </w:tcPr>
          <w:p w14:paraId="14024932" w14:textId="77777777" w:rsidR="00DA16BE" w:rsidRPr="003D2F44" w:rsidRDefault="00DA16BE" w:rsidP="009B04BB">
            <w:pPr>
              <w:pStyle w:val="BodyText"/>
              <w:jc w:val="both"/>
              <w:rPr>
                <w:sz w:val="16"/>
                <w:szCs w:val="16"/>
                <w:lang w:val="es-ES_tradnl"/>
              </w:rPr>
            </w:pPr>
          </w:p>
        </w:tc>
        <w:tc>
          <w:tcPr>
            <w:tcW w:w="935" w:type="dxa"/>
            <w:vMerge/>
            <w:vAlign w:val="center"/>
          </w:tcPr>
          <w:p w14:paraId="36BEB60B"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1062E44C" w14:textId="77777777" w:rsidTr="00167968">
        <w:trPr>
          <w:cantSplit/>
          <w:trHeight w:val="368"/>
          <w:jc w:val="center"/>
        </w:trPr>
        <w:tc>
          <w:tcPr>
            <w:tcW w:w="1123" w:type="dxa"/>
            <w:vMerge w:val="restart"/>
          </w:tcPr>
          <w:p w14:paraId="2491B884" w14:textId="77777777" w:rsidR="00DA16BE" w:rsidRPr="003D2F44" w:rsidRDefault="00DA16BE" w:rsidP="009B04BB">
            <w:pPr>
              <w:jc w:val="both"/>
              <w:rPr>
                <w:sz w:val="16"/>
                <w:szCs w:val="16"/>
              </w:rPr>
            </w:pPr>
            <w:r w:rsidRPr="003D2F44">
              <w:rPr>
                <w:sz w:val="16"/>
                <w:szCs w:val="16"/>
              </w:rPr>
              <w:lastRenderedPageBreak/>
              <w:t>Promover el uso de fuentes renovables, la generación distribuida, la participación privada en el sector eléctrico y la eficiencia energética, para alcanzar una matriz energética sostenible</w:t>
            </w:r>
          </w:p>
        </w:tc>
        <w:tc>
          <w:tcPr>
            <w:tcW w:w="1126" w:type="dxa"/>
            <w:tcBorders>
              <w:bottom w:val="single" w:sz="12" w:space="0" w:color="auto"/>
            </w:tcBorders>
            <w:vAlign w:val="center"/>
          </w:tcPr>
          <w:p w14:paraId="05606B2F" w14:textId="77777777" w:rsidR="00DA16BE" w:rsidRPr="003D2F44" w:rsidRDefault="00DA16BE" w:rsidP="009B04BB">
            <w:pPr>
              <w:pStyle w:val="BodyText"/>
              <w:jc w:val="both"/>
              <w:rPr>
                <w:sz w:val="16"/>
                <w:szCs w:val="16"/>
                <w:lang w:val="es-ES_tradnl"/>
              </w:rPr>
            </w:pPr>
            <w:r w:rsidRPr="003D2F44">
              <w:rPr>
                <w:sz w:val="16"/>
                <w:szCs w:val="16"/>
                <w:lang w:val="es-ES_tradnl"/>
              </w:rPr>
              <w:t>Participación de la energía renovable en la matriz de generación del SIN</w:t>
            </w:r>
          </w:p>
        </w:tc>
        <w:tc>
          <w:tcPr>
            <w:tcW w:w="1383" w:type="dxa"/>
            <w:tcBorders>
              <w:bottom w:val="single" w:sz="12" w:space="0" w:color="auto"/>
            </w:tcBorders>
            <w:vAlign w:val="center"/>
          </w:tcPr>
          <w:p w14:paraId="5EFCABA3" w14:textId="77777777" w:rsidR="00DA16BE" w:rsidRPr="003D2F44" w:rsidRDefault="00DA16BE" w:rsidP="009B04BB">
            <w:pPr>
              <w:pStyle w:val="BodyText"/>
              <w:jc w:val="both"/>
              <w:rPr>
                <w:sz w:val="16"/>
                <w:szCs w:val="16"/>
                <w:lang w:val="es-ES_tradnl"/>
              </w:rPr>
            </w:pPr>
            <w:r w:rsidRPr="003D2F44">
              <w:rPr>
                <w:sz w:val="16"/>
                <w:szCs w:val="16"/>
                <w:lang w:val="es-ES_tradnl"/>
              </w:rPr>
              <w:t>Porcentual</w:t>
            </w:r>
          </w:p>
        </w:tc>
        <w:tc>
          <w:tcPr>
            <w:tcW w:w="1083" w:type="dxa"/>
            <w:tcBorders>
              <w:bottom w:val="single" w:sz="12" w:space="0" w:color="auto"/>
            </w:tcBorders>
            <w:vAlign w:val="center"/>
          </w:tcPr>
          <w:p w14:paraId="1E516395" w14:textId="77777777" w:rsidR="00DA16BE" w:rsidRPr="003D2F44" w:rsidRDefault="00DA16BE" w:rsidP="009B04BB">
            <w:pPr>
              <w:pStyle w:val="BodyText"/>
              <w:jc w:val="both"/>
              <w:rPr>
                <w:sz w:val="16"/>
                <w:szCs w:val="16"/>
                <w:lang w:val="es-ES_tradnl"/>
              </w:rPr>
            </w:pPr>
            <w:r w:rsidRPr="003D2F44">
              <w:rPr>
                <w:sz w:val="16"/>
                <w:szCs w:val="16"/>
                <w:lang w:val="es-ES_tradnl"/>
              </w:rPr>
              <w:t>40,2%</w:t>
            </w:r>
          </w:p>
        </w:tc>
        <w:tc>
          <w:tcPr>
            <w:tcW w:w="1099" w:type="dxa"/>
            <w:tcBorders>
              <w:bottom w:val="single" w:sz="12" w:space="0" w:color="auto"/>
            </w:tcBorders>
            <w:vAlign w:val="center"/>
          </w:tcPr>
          <w:p w14:paraId="33661D07" w14:textId="77777777" w:rsidR="00DA16BE" w:rsidRPr="003D2F44" w:rsidRDefault="003D4A2E" w:rsidP="003D4A2E">
            <w:pPr>
              <w:pStyle w:val="BodyText"/>
              <w:jc w:val="both"/>
              <w:rPr>
                <w:sz w:val="16"/>
                <w:szCs w:val="16"/>
                <w:lang w:val="es-ES_tradnl"/>
              </w:rPr>
            </w:pPr>
            <w:r>
              <w:rPr>
                <w:sz w:val="16"/>
                <w:szCs w:val="16"/>
                <w:lang w:val="es-ES_tradnl"/>
              </w:rPr>
              <w:t>56</w:t>
            </w:r>
            <w:r w:rsidR="00DA16BE" w:rsidRPr="003D2F44">
              <w:rPr>
                <w:sz w:val="16"/>
                <w:szCs w:val="16"/>
                <w:lang w:val="es-ES_tradnl"/>
              </w:rPr>
              <w:t>,</w:t>
            </w:r>
            <w:r>
              <w:rPr>
                <w:sz w:val="16"/>
                <w:szCs w:val="16"/>
                <w:lang w:val="es-ES_tradnl"/>
              </w:rPr>
              <w:t>4</w:t>
            </w:r>
            <w:r w:rsidR="00DA16BE" w:rsidRPr="003D2F44">
              <w:rPr>
                <w:sz w:val="16"/>
                <w:szCs w:val="16"/>
                <w:lang w:val="es-ES_tradnl"/>
              </w:rPr>
              <w:t>%</w:t>
            </w:r>
          </w:p>
        </w:tc>
        <w:tc>
          <w:tcPr>
            <w:tcW w:w="890" w:type="dxa"/>
            <w:vMerge/>
            <w:vAlign w:val="center"/>
          </w:tcPr>
          <w:p w14:paraId="6F745D79" w14:textId="77777777" w:rsidR="00DA16BE" w:rsidRPr="003D2F44" w:rsidRDefault="00DA16BE" w:rsidP="009B04BB">
            <w:pPr>
              <w:pStyle w:val="BodyText"/>
              <w:jc w:val="both"/>
              <w:rPr>
                <w:sz w:val="16"/>
                <w:szCs w:val="16"/>
                <w:lang w:val="es-ES_tradnl"/>
              </w:rPr>
            </w:pPr>
          </w:p>
        </w:tc>
        <w:tc>
          <w:tcPr>
            <w:tcW w:w="990" w:type="dxa"/>
            <w:vMerge w:val="restart"/>
            <w:vAlign w:val="center"/>
          </w:tcPr>
          <w:p w14:paraId="5E32D32E" w14:textId="77777777" w:rsidR="00DA16BE" w:rsidRPr="003D2F44" w:rsidRDefault="00DA16BE" w:rsidP="009B04BB">
            <w:pPr>
              <w:pStyle w:val="BodyText"/>
              <w:jc w:val="both"/>
              <w:rPr>
                <w:sz w:val="16"/>
                <w:szCs w:val="16"/>
                <w:lang w:val="es-ES_tradnl"/>
              </w:rPr>
            </w:pPr>
            <w:r w:rsidRPr="003D2F44">
              <w:rPr>
                <w:sz w:val="16"/>
                <w:szCs w:val="16"/>
                <w:lang w:val="es-ES_tradnl"/>
              </w:rPr>
              <w:t>INE</w:t>
            </w:r>
          </w:p>
          <w:p w14:paraId="5EDC7F06" w14:textId="77777777" w:rsidR="00DA16BE" w:rsidRPr="003D2F44" w:rsidRDefault="00DA16BE" w:rsidP="009B04BB">
            <w:pPr>
              <w:pStyle w:val="BodyText"/>
              <w:jc w:val="both"/>
              <w:rPr>
                <w:sz w:val="16"/>
                <w:szCs w:val="16"/>
                <w:lang w:val="es-ES_tradnl"/>
              </w:rPr>
            </w:pPr>
            <w:r w:rsidRPr="003D2F44">
              <w:rPr>
                <w:sz w:val="16"/>
                <w:szCs w:val="16"/>
                <w:lang w:val="es-ES_tradnl"/>
              </w:rPr>
              <w:t>Página Web</w:t>
            </w:r>
          </w:p>
        </w:tc>
        <w:tc>
          <w:tcPr>
            <w:tcW w:w="990" w:type="dxa"/>
            <w:vMerge/>
            <w:vAlign w:val="center"/>
          </w:tcPr>
          <w:p w14:paraId="4C01F7EC" w14:textId="77777777" w:rsidR="00DA16BE" w:rsidRPr="003D2F44" w:rsidRDefault="00DA16BE" w:rsidP="009B04BB">
            <w:pPr>
              <w:pStyle w:val="BodyText"/>
              <w:jc w:val="both"/>
              <w:rPr>
                <w:sz w:val="16"/>
                <w:szCs w:val="16"/>
                <w:lang w:val="es-ES_tradnl"/>
              </w:rPr>
            </w:pPr>
          </w:p>
        </w:tc>
        <w:tc>
          <w:tcPr>
            <w:tcW w:w="935" w:type="dxa"/>
            <w:vMerge/>
            <w:vAlign w:val="center"/>
          </w:tcPr>
          <w:p w14:paraId="02910469"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6824D7A6" w14:textId="77777777" w:rsidTr="00167968">
        <w:trPr>
          <w:cantSplit/>
          <w:trHeight w:val="368"/>
          <w:jc w:val="center"/>
        </w:trPr>
        <w:tc>
          <w:tcPr>
            <w:tcW w:w="1123" w:type="dxa"/>
            <w:vMerge/>
            <w:tcBorders>
              <w:bottom w:val="single" w:sz="12" w:space="0" w:color="auto"/>
            </w:tcBorders>
          </w:tcPr>
          <w:p w14:paraId="3CDCFB46" w14:textId="77777777" w:rsidR="00DA16BE" w:rsidRPr="003D2F44" w:rsidRDefault="00DA16BE" w:rsidP="009B04BB">
            <w:pPr>
              <w:jc w:val="both"/>
              <w:rPr>
                <w:sz w:val="16"/>
                <w:szCs w:val="16"/>
              </w:rPr>
            </w:pPr>
          </w:p>
        </w:tc>
        <w:tc>
          <w:tcPr>
            <w:tcW w:w="1126" w:type="dxa"/>
            <w:tcBorders>
              <w:bottom w:val="single" w:sz="12" w:space="0" w:color="auto"/>
            </w:tcBorders>
            <w:vAlign w:val="center"/>
          </w:tcPr>
          <w:p w14:paraId="04A077BD" w14:textId="77777777" w:rsidR="00DA16BE" w:rsidRPr="003D2F44" w:rsidRDefault="00DA16BE" w:rsidP="009B04BB">
            <w:pPr>
              <w:pStyle w:val="BodyText"/>
              <w:jc w:val="both"/>
              <w:rPr>
                <w:sz w:val="16"/>
                <w:szCs w:val="16"/>
                <w:lang w:val="es-ES_tradnl"/>
              </w:rPr>
            </w:pPr>
            <w:r w:rsidRPr="003D2F44">
              <w:rPr>
                <w:sz w:val="16"/>
                <w:szCs w:val="16"/>
                <w:lang w:val="es-ES_tradnl"/>
              </w:rPr>
              <w:t>Reducción acumulado de consumo de energía eléctrica por los programas de eficiencia energética</w:t>
            </w:r>
          </w:p>
        </w:tc>
        <w:tc>
          <w:tcPr>
            <w:tcW w:w="1383" w:type="dxa"/>
            <w:tcBorders>
              <w:bottom w:val="single" w:sz="12" w:space="0" w:color="auto"/>
            </w:tcBorders>
            <w:vAlign w:val="center"/>
          </w:tcPr>
          <w:p w14:paraId="1B1E2FD4" w14:textId="77777777" w:rsidR="00DA16BE" w:rsidRPr="003D2F44" w:rsidRDefault="00DA16BE" w:rsidP="009B04BB">
            <w:pPr>
              <w:pStyle w:val="BodyText"/>
              <w:jc w:val="both"/>
              <w:rPr>
                <w:sz w:val="16"/>
                <w:szCs w:val="16"/>
                <w:lang w:val="es-ES_tradnl"/>
              </w:rPr>
            </w:pPr>
            <w:r w:rsidRPr="003D2F44">
              <w:rPr>
                <w:sz w:val="16"/>
                <w:szCs w:val="16"/>
                <w:lang w:val="es-ES_tradnl"/>
              </w:rPr>
              <w:t>MWh</w:t>
            </w:r>
          </w:p>
        </w:tc>
        <w:tc>
          <w:tcPr>
            <w:tcW w:w="1083" w:type="dxa"/>
            <w:tcBorders>
              <w:bottom w:val="single" w:sz="12" w:space="0" w:color="auto"/>
            </w:tcBorders>
            <w:vAlign w:val="center"/>
          </w:tcPr>
          <w:p w14:paraId="701DAB42" w14:textId="77777777" w:rsidR="00DA16BE" w:rsidRPr="003D2F44" w:rsidRDefault="00DA16BE" w:rsidP="009B04BB">
            <w:pPr>
              <w:pStyle w:val="BodyText"/>
              <w:jc w:val="both"/>
              <w:rPr>
                <w:sz w:val="16"/>
                <w:szCs w:val="16"/>
                <w:lang w:val="es-ES_tradnl"/>
              </w:rPr>
            </w:pPr>
            <w:r w:rsidRPr="003D2F44">
              <w:rPr>
                <w:sz w:val="16"/>
                <w:szCs w:val="16"/>
                <w:lang w:val="es-ES_tradnl"/>
              </w:rPr>
              <w:t>0 MWh</w:t>
            </w:r>
          </w:p>
        </w:tc>
        <w:tc>
          <w:tcPr>
            <w:tcW w:w="1099" w:type="dxa"/>
            <w:tcBorders>
              <w:bottom w:val="single" w:sz="12" w:space="0" w:color="auto"/>
            </w:tcBorders>
            <w:vAlign w:val="center"/>
          </w:tcPr>
          <w:p w14:paraId="3D3FFB9D" w14:textId="77777777" w:rsidR="00DA16BE" w:rsidRPr="003D2F44" w:rsidRDefault="00BB6308" w:rsidP="009B04BB">
            <w:pPr>
              <w:pStyle w:val="BodyText"/>
              <w:jc w:val="both"/>
              <w:rPr>
                <w:sz w:val="16"/>
                <w:szCs w:val="16"/>
                <w:lang w:val="es-ES_tradnl"/>
              </w:rPr>
            </w:pPr>
            <w:r>
              <w:rPr>
                <w:sz w:val="16"/>
                <w:szCs w:val="16"/>
                <w:lang w:val="es-ES_tradnl"/>
              </w:rPr>
              <w:t>152</w:t>
            </w:r>
            <w:r w:rsidR="00DA16BE" w:rsidRPr="003D2F44">
              <w:rPr>
                <w:sz w:val="16"/>
                <w:szCs w:val="16"/>
                <w:lang w:val="es-ES_tradnl"/>
              </w:rPr>
              <w:t>.000 MWh</w:t>
            </w:r>
          </w:p>
        </w:tc>
        <w:tc>
          <w:tcPr>
            <w:tcW w:w="890" w:type="dxa"/>
            <w:vMerge/>
            <w:vAlign w:val="center"/>
          </w:tcPr>
          <w:p w14:paraId="5AA47A98" w14:textId="77777777" w:rsidR="00DA16BE" w:rsidRPr="003D2F44" w:rsidRDefault="00DA16BE" w:rsidP="009B04BB">
            <w:pPr>
              <w:pStyle w:val="BodyText"/>
              <w:jc w:val="both"/>
              <w:rPr>
                <w:sz w:val="16"/>
                <w:szCs w:val="16"/>
                <w:lang w:val="es-ES_tradnl"/>
              </w:rPr>
            </w:pPr>
          </w:p>
        </w:tc>
        <w:tc>
          <w:tcPr>
            <w:tcW w:w="990" w:type="dxa"/>
            <w:vMerge/>
            <w:vAlign w:val="center"/>
          </w:tcPr>
          <w:p w14:paraId="72FFFAC6" w14:textId="77777777" w:rsidR="00DA16BE" w:rsidRPr="003D2F44" w:rsidRDefault="00DA16BE" w:rsidP="009B04BB">
            <w:pPr>
              <w:pStyle w:val="BodyText"/>
              <w:jc w:val="both"/>
              <w:rPr>
                <w:sz w:val="16"/>
                <w:szCs w:val="16"/>
                <w:lang w:val="es-ES_tradnl"/>
              </w:rPr>
            </w:pPr>
          </w:p>
        </w:tc>
        <w:tc>
          <w:tcPr>
            <w:tcW w:w="990" w:type="dxa"/>
            <w:vMerge/>
            <w:vAlign w:val="center"/>
          </w:tcPr>
          <w:p w14:paraId="61446ACC" w14:textId="77777777" w:rsidR="00DA16BE" w:rsidRPr="003D2F44" w:rsidRDefault="00DA16BE" w:rsidP="009B04BB">
            <w:pPr>
              <w:pStyle w:val="BodyText"/>
              <w:jc w:val="both"/>
              <w:rPr>
                <w:sz w:val="16"/>
                <w:szCs w:val="16"/>
                <w:lang w:val="es-ES_tradnl"/>
              </w:rPr>
            </w:pPr>
          </w:p>
        </w:tc>
        <w:tc>
          <w:tcPr>
            <w:tcW w:w="935" w:type="dxa"/>
            <w:vMerge/>
            <w:vAlign w:val="center"/>
          </w:tcPr>
          <w:p w14:paraId="18C21178" w14:textId="77777777" w:rsidR="00DA16BE" w:rsidRPr="003D2F44" w:rsidRDefault="00DA16BE" w:rsidP="009B04BB">
            <w:pPr>
              <w:pStyle w:val="Default"/>
              <w:tabs>
                <w:tab w:val="center" w:pos="4320"/>
                <w:tab w:val="right" w:pos="8640"/>
              </w:tabs>
              <w:jc w:val="both"/>
              <w:rPr>
                <w:color w:val="auto"/>
                <w:sz w:val="16"/>
                <w:szCs w:val="16"/>
                <w:lang w:val="es-ES_tradnl"/>
              </w:rPr>
            </w:pPr>
          </w:p>
        </w:tc>
      </w:tr>
      <w:tr w:rsidR="00DA16BE" w:rsidRPr="003D2F44" w14:paraId="0B95E104" w14:textId="77777777" w:rsidTr="00167968">
        <w:trPr>
          <w:cantSplit/>
          <w:trHeight w:val="368"/>
          <w:jc w:val="center"/>
        </w:trPr>
        <w:tc>
          <w:tcPr>
            <w:tcW w:w="1123" w:type="dxa"/>
            <w:tcBorders>
              <w:bottom w:val="single" w:sz="12" w:space="0" w:color="auto"/>
            </w:tcBorders>
          </w:tcPr>
          <w:p w14:paraId="6871D7D7" w14:textId="77777777" w:rsidR="00DA16BE" w:rsidRPr="003D2F44" w:rsidRDefault="00DA16BE" w:rsidP="009B04BB">
            <w:pPr>
              <w:jc w:val="both"/>
              <w:rPr>
                <w:sz w:val="16"/>
                <w:szCs w:val="16"/>
              </w:rPr>
            </w:pPr>
            <w:r w:rsidRPr="003D2F44">
              <w:rPr>
                <w:sz w:val="16"/>
                <w:szCs w:val="16"/>
              </w:rPr>
              <w:t>Impulsar la integración eléctrica regional incrementando la participación del sector eléctrico nacional en el mercado eléctrico regional</w:t>
            </w:r>
          </w:p>
        </w:tc>
        <w:tc>
          <w:tcPr>
            <w:tcW w:w="1126" w:type="dxa"/>
            <w:tcBorders>
              <w:bottom w:val="single" w:sz="12" w:space="0" w:color="auto"/>
            </w:tcBorders>
            <w:vAlign w:val="center"/>
          </w:tcPr>
          <w:p w14:paraId="72723974" w14:textId="77777777" w:rsidR="00DA16BE" w:rsidRPr="003D2F44" w:rsidRDefault="00DA16BE" w:rsidP="009B04BB">
            <w:pPr>
              <w:pStyle w:val="BodyText"/>
              <w:jc w:val="both"/>
              <w:rPr>
                <w:sz w:val="16"/>
                <w:szCs w:val="16"/>
                <w:lang w:val="es-ES_tradnl"/>
              </w:rPr>
            </w:pPr>
            <w:r w:rsidRPr="003D2F44">
              <w:rPr>
                <w:sz w:val="16"/>
                <w:szCs w:val="16"/>
                <w:lang w:val="es-ES_tradnl"/>
              </w:rPr>
              <w:t>Incremento en los intercambios eléctricos de Nicaragua en el MER, importación y exportación de energía</w:t>
            </w:r>
          </w:p>
        </w:tc>
        <w:tc>
          <w:tcPr>
            <w:tcW w:w="1383" w:type="dxa"/>
            <w:tcBorders>
              <w:bottom w:val="single" w:sz="12" w:space="0" w:color="auto"/>
            </w:tcBorders>
            <w:vAlign w:val="center"/>
          </w:tcPr>
          <w:p w14:paraId="23131BFE" w14:textId="77777777" w:rsidR="00DA16BE" w:rsidRPr="003D2F44" w:rsidRDefault="00DA16BE" w:rsidP="009B04BB">
            <w:pPr>
              <w:pStyle w:val="BodyText"/>
              <w:jc w:val="both"/>
              <w:rPr>
                <w:sz w:val="16"/>
                <w:szCs w:val="16"/>
                <w:lang w:val="es-ES_tradnl"/>
              </w:rPr>
            </w:pPr>
            <w:r w:rsidRPr="003D2F44">
              <w:rPr>
                <w:sz w:val="16"/>
                <w:szCs w:val="16"/>
                <w:lang w:val="es-ES_tradnl"/>
              </w:rPr>
              <w:t>MWh</w:t>
            </w:r>
          </w:p>
        </w:tc>
        <w:tc>
          <w:tcPr>
            <w:tcW w:w="1083" w:type="dxa"/>
            <w:tcBorders>
              <w:bottom w:val="single" w:sz="12" w:space="0" w:color="auto"/>
            </w:tcBorders>
            <w:vAlign w:val="center"/>
          </w:tcPr>
          <w:p w14:paraId="2F2594B3" w14:textId="77777777" w:rsidR="00DA16BE" w:rsidRPr="003D2F44" w:rsidRDefault="00DA16BE" w:rsidP="009B04BB">
            <w:pPr>
              <w:pStyle w:val="BodyText"/>
              <w:jc w:val="both"/>
              <w:rPr>
                <w:sz w:val="16"/>
                <w:szCs w:val="16"/>
                <w:lang w:val="es-ES_tradnl"/>
              </w:rPr>
            </w:pPr>
            <w:r w:rsidRPr="003D2F44">
              <w:rPr>
                <w:sz w:val="16"/>
                <w:szCs w:val="16"/>
                <w:lang w:val="es-ES_tradnl"/>
              </w:rPr>
              <w:t>23.211 MWh</w:t>
            </w:r>
          </w:p>
        </w:tc>
        <w:tc>
          <w:tcPr>
            <w:tcW w:w="1099" w:type="dxa"/>
            <w:tcBorders>
              <w:bottom w:val="single" w:sz="12" w:space="0" w:color="auto"/>
            </w:tcBorders>
            <w:vAlign w:val="center"/>
          </w:tcPr>
          <w:p w14:paraId="4FC65E0F" w14:textId="77777777" w:rsidR="00DA16BE" w:rsidRPr="003D2F44" w:rsidRDefault="00BB6308" w:rsidP="009B04BB">
            <w:pPr>
              <w:pStyle w:val="BodyText"/>
              <w:jc w:val="both"/>
              <w:rPr>
                <w:sz w:val="16"/>
                <w:szCs w:val="16"/>
                <w:lang w:val="es-ES_tradnl"/>
              </w:rPr>
            </w:pPr>
            <w:r>
              <w:rPr>
                <w:sz w:val="16"/>
                <w:szCs w:val="16"/>
                <w:lang w:val="es-ES_tradnl"/>
              </w:rPr>
              <w:t>100</w:t>
            </w:r>
            <w:r w:rsidR="00DA16BE" w:rsidRPr="003D2F44">
              <w:rPr>
                <w:sz w:val="16"/>
                <w:szCs w:val="16"/>
                <w:lang w:val="es-ES_tradnl"/>
              </w:rPr>
              <w:t>.000 MWh</w:t>
            </w:r>
          </w:p>
        </w:tc>
        <w:tc>
          <w:tcPr>
            <w:tcW w:w="890" w:type="dxa"/>
            <w:vMerge/>
            <w:tcBorders>
              <w:bottom w:val="single" w:sz="12" w:space="0" w:color="auto"/>
            </w:tcBorders>
            <w:vAlign w:val="center"/>
          </w:tcPr>
          <w:p w14:paraId="081346C9" w14:textId="77777777" w:rsidR="00DA16BE" w:rsidRPr="003D2F44" w:rsidRDefault="00DA16BE" w:rsidP="009B04BB">
            <w:pPr>
              <w:pStyle w:val="BodyText"/>
              <w:jc w:val="both"/>
              <w:rPr>
                <w:sz w:val="16"/>
                <w:szCs w:val="16"/>
                <w:lang w:val="es-ES_tradnl"/>
              </w:rPr>
            </w:pPr>
          </w:p>
        </w:tc>
        <w:tc>
          <w:tcPr>
            <w:tcW w:w="990" w:type="dxa"/>
            <w:vMerge/>
            <w:tcBorders>
              <w:bottom w:val="single" w:sz="12" w:space="0" w:color="auto"/>
            </w:tcBorders>
            <w:vAlign w:val="center"/>
          </w:tcPr>
          <w:p w14:paraId="668F3E9F" w14:textId="77777777" w:rsidR="00DA16BE" w:rsidRPr="003D2F44" w:rsidRDefault="00DA16BE" w:rsidP="009B04BB">
            <w:pPr>
              <w:pStyle w:val="BodyText"/>
              <w:jc w:val="both"/>
              <w:rPr>
                <w:sz w:val="16"/>
                <w:szCs w:val="16"/>
                <w:lang w:val="es-ES_tradnl"/>
              </w:rPr>
            </w:pPr>
          </w:p>
        </w:tc>
        <w:tc>
          <w:tcPr>
            <w:tcW w:w="990" w:type="dxa"/>
            <w:vMerge/>
            <w:tcBorders>
              <w:bottom w:val="single" w:sz="12" w:space="0" w:color="auto"/>
            </w:tcBorders>
            <w:vAlign w:val="center"/>
          </w:tcPr>
          <w:p w14:paraId="20623D0B" w14:textId="77777777" w:rsidR="00DA16BE" w:rsidRPr="003D2F44" w:rsidRDefault="00DA16BE" w:rsidP="009B04BB">
            <w:pPr>
              <w:pStyle w:val="BodyText"/>
              <w:jc w:val="both"/>
              <w:rPr>
                <w:sz w:val="16"/>
                <w:szCs w:val="16"/>
                <w:lang w:val="es-ES_tradnl"/>
              </w:rPr>
            </w:pPr>
          </w:p>
        </w:tc>
        <w:tc>
          <w:tcPr>
            <w:tcW w:w="935" w:type="dxa"/>
            <w:vMerge/>
            <w:tcBorders>
              <w:bottom w:val="single" w:sz="12" w:space="0" w:color="auto"/>
            </w:tcBorders>
            <w:vAlign w:val="center"/>
          </w:tcPr>
          <w:p w14:paraId="73CC9C52" w14:textId="77777777" w:rsidR="00DA16BE" w:rsidRPr="003D2F44" w:rsidRDefault="00DA16BE" w:rsidP="009B04BB">
            <w:pPr>
              <w:pStyle w:val="Default"/>
              <w:tabs>
                <w:tab w:val="center" w:pos="4320"/>
                <w:tab w:val="right" w:pos="8640"/>
              </w:tabs>
              <w:jc w:val="both"/>
              <w:rPr>
                <w:color w:val="auto"/>
                <w:sz w:val="16"/>
                <w:szCs w:val="16"/>
                <w:lang w:val="es-ES_tradnl"/>
              </w:rPr>
            </w:pPr>
          </w:p>
        </w:tc>
      </w:tr>
    </w:tbl>
    <w:p w14:paraId="0FE6073C" w14:textId="77777777" w:rsidR="00653EAE" w:rsidRDefault="00653EAE" w:rsidP="009B04BB">
      <w:pPr>
        <w:pStyle w:val="Paragraph"/>
        <w:tabs>
          <w:tab w:val="clear" w:pos="720"/>
        </w:tabs>
        <w:ind w:left="705" w:firstLine="0"/>
        <w:rPr>
          <w:lang w:val="es-ES_tradnl"/>
        </w:rPr>
      </w:pPr>
    </w:p>
    <w:p w14:paraId="06B045CB" w14:textId="77777777" w:rsidR="00583FD6" w:rsidRPr="003D2F44" w:rsidRDefault="00583FD6" w:rsidP="009B04BB">
      <w:pPr>
        <w:pStyle w:val="Paragraph"/>
        <w:tabs>
          <w:tab w:val="clear" w:pos="720"/>
        </w:tabs>
        <w:ind w:left="705" w:firstLine="0"/>
        <w:rPr>
          <w:lang w:val="es-ES_tradnl"/>
        </w:rPr>
      </w:pPr>
    </w:p>
    <w:p w14:paraId="33722AAE" w14:textId="77777777" w:rsidR="00DA16BE" w:rsidRPr="003D2F44" w:rsidRDefault="00DA16BE" w:rsidP="00167968">
      <w:pPr>
        <w:pStyle w:val="Subtitle"/>
        <w:numPr>
          <w:ilvl w:val="0"/>
          <w:numId w:val="6"/>
        </w:numPr>
        <w:jc w:val="both"/>
        <w:rPr>
          <w:rFonts w:ascii="Times New Roman" w:hAnsi="Times New Roman"/>
          <w:i/>
          <w:lang w:val="es-ES_tradnl"/>
        </w:rPr>
      </w:pPr>
      <w:bookmarkStart w:id="5" w:name="_Toc334085436"/>
      <w:r w:rsidRPr="003D2F44">
        <w:rPr>
          <w:rFonts w:ascii="Times New Roman" w:hAnsi="Times New Roman"/>
          <w:i/>
          <w:lang w:val="es-ES_tradnl"/>
        </w:rPr>
        <w:t>Información de los resultados</w:t>
      </w:r>
      <w:bookmarkEnd w:id="5"/>
    </w:p>
    <w:p w14:paraId="3DDC15F3" w14:textId="77777777" w:rsidR="00DA16BE" w:rsidRPr="004D648B" w:rsidRDefault="00DA16BE" w:rsidP="0060309F">
      <w:pPr>
        <w:pStyle w:val="Banknumbered"/>
        <w:numPr>
          <w:ilvl w:val="0"/>
          <w:numId w:val="0"/>
        </w:numPr>
        <w:ind w:left="360"/>
        <w:jc w:val="both"/>
        <w:rPr>
          <w:lang w:val="es-ES_tradnl"/>
        </w:rPr>
      </w:pPr>
      <w:r w:rsidRPr="003D2F44">
        <w:rPr>
          <w:lang w:val="es-ES_tradnl"/>
        </w:rPr>
        <w:t xml:space="preserve">La evaluación final y el ACB expost serán preparados durante </w:t>
      </w:r>
      <w:r w:rsidR="000816AE" w:rsidRPr="003D2F44">
        <w:rPr>
          <w:lang w:val="es-ES_tradnl"/>
        </w:rPr>
        <w:t>los primeros tres meses después de la finalización del Programa</w:t>
      </w:r>
      <w:r w:rsidRPr="003D2F44">
        <w:rPr>
          <w:lang w:val="es-ES_tradnl"/>
        </w:rPr>
        <w:t xml:space="preserve">, y sus resultados serán publicados en la página web del Banco y del </w:t>
      </w:r>
      <w:r w:rsidR="000816AE" w:rsidRPr="003D2F44">
        <w:rPr>
          <w:lang w:val="es-ES_tradnl"/>
        </w:rPr>
        <w:t>MHCP</w:t>
      </w:r>
      <w:r w:rsidRPr="003D2F44">
        <w:rPr>
          <w:lang w:val="es-ES_tradnl"/>
        </w:rPr>
        <w:t>.</w:t>
      </w:r>
    </w:p>
    <w:p w14:paraId="3F42E2B8" w14:textId="77777777" w:rsidR="00DA16BE" w:rsidRPr="003D2F44" w:rsidRDefault="00DA16BE" w:rsidP="009B04BB">
      <w:pPr>
        <w:jc w:val="both"/>
        <w:rPr>
          <w:lang w:eastAsia="ar-SA"/>
        </w:rPr>
      </w:pPr>
    </w:p>
    <w:p w14:paraId="040085B6" w14:textId="77777777" w:rsidR="00DA16BE" w:rsidRPr="003D2F44" w:rsidRDefault="00DA16BE" w:rsidP="00167968">
      <w:pPr>
        <w:pStyle w:val="Subtitle"/>
        <w:numPr>
          <w:ilvl w:val="0"/>
          <w:numId w:val="6"/>
        </w:numPr>
        <w:jc w:val="both"/>
        <w:rPr>
          <w:rFonts w:ascii="Times New Roman" w:hAnsi="Times New Roman"/>
          <w:i/>
          <w:lang w:val="es-ES_tradnl"/>
        </w:rPr>
      </w:pPr>
      <w:bookmarkStart w:id="6" w:name="_Toc334085437"/>
      <w:r w:rsidRPr="003D2F44">
        <w:rPr>
          <w:rFonts w:ascii="Times New Roman" w:hAnsi="Times New Roman"/>
          <w:i/>
          <w:lang w:val="es-ES_tradnl"/>
        </w:rPr>
        <w:t>Coordinación, plan de trabajo y presupuesto.</w:t>
      </w:r>
      <w:bookmarkEnd w:id="6"/>
    </w:p>
    <w:p w14:paraId="23165AEE" w14:textId="0A875FB5" w:rsidR="00134076" w:rsidRPr="003D2F44" w:rsidRDefault="00134076" w:rsidP="0060309F">
      <w:pPr>
        <w:pStyle w:val="Banknumbered"/>
        <w:numPr>
          <w:ilvl w:val="0"/>
          <w:numId w:val="0"/>
        </w:numPr>
        <w:ind w:left="360"/>
        <w:jc w:val="both"/>
        <w:rPr>
          <w:lang w:val="es-ES_tradnl"/>
        </w:rPr>
      </w:pPr>
      <w:r w:rsidRPr="003D2F44">
        <w:rPr>
          <w:lang w:val="es-ES_tradnl"/>
        </w:rPr>
        <w:t>El Prestatario es responsable de la recopilación de todos los datos necesarios para el seguimiento y la evaluación. Las autoridades del Gobierno</w:t>
      </w:r>
      <w:r w:rsidR="00BB4337">
        <w:rPr>
          <w:lang w:val="es-ES_tradnl"/>
        </w:rPr>
        <w:t xml:space="preserve"> de</w:t>
      </w:r>
      <w:r w:rsidRPr="003D2F44">
        <w:rPr>
          <w:lang w:val="es-ES_tradnl"/>
        </w:rPr>
        <w:t xml:space="preserve"> Nicaragua cubrirán los costos de recolectar y procesar esta información.  La Tabla 1 presenta los indicadores que serán monitoreados y evaluados en un periodo de 1 año, la metodología de medición del indicador, la fuente de la información, la unidad encargada de recolectar los </w:t>
      </w:r>
      <w:r w:rsidR="00BA5D01">
        <w:rPr>
          <w:lang w:val="es-ES_tradnl"/>
        </w:rPr>
        <w:t>datos y el presupuesto asignado</w:t>
      </w:r>
      <w:r w:rsidRPr="003D2F44">
        <w:rPr>
          <w:lang w:val="es-ES_tradnl"/>
        </w:rPr>
        <w:t xml:space="preserve"> para realizar dichas actividades. </w:t>
      </w:r>
    </w:p>
    <w:p w14:paraId="2BAB1EB3" w14:textId="31809775" w:rsidR="00134076" w:rsidRPr="003D2F44" w:rsidRDefault="00134076" w:rsidP="0060309F">
      <w:pPr>
        <w:pStyle w:val="Banknumbered"/>
        <w:numPr>
          <w:ilvl w:val="0"/>
          <w:numId w:val="0"/>
        </w:numPr>
        <w:ind w:left="360"/>
        <w:jc w:val="both"/>
        <w:rPr>
          <w:lang w:val="es-ES_tradnl"/>
        </w:rPr>
      </w:pPr>
      <w:r w:rsidRPr="003D2F44">
        <w:rPr>
          <w:b/>
          <w:lang w:val="es-ES_tradnl"/>
        </w:rPr>
        <w:t>Recursos Humanos.</w:t>
      </w:r>
      <w:r w:rsidRPr="003D2F44">
        <w:rPr>
          <w:lang w:val="es-ES_tradnl"/>
        </w:rPr>
        <w:t xml:space="preserve"> El MHCP estará a cargo de la preparación y seguimiento del Programa y coordinará las acciones de acuerdo a lo establecido en la Tabla 1. </w:t>
      </w:r>
      <w:r w:rsidR="00BB4337">
        <w:rPr>
          <w:lang w:val="es-ES_tradnl"/>
        </w:rPr>
        <w:t xml:space="preserve">Dicho </w:t>
      </w:r>
      <w:r w:rsidRPr="003D2F44">
        <w:rPr>
          <w:lang w:val="es-ES_tradnl"/>
        </w:rPr>
        <w:t>Ministerio brindará el seguimiento respectivo, con dedicación parcial, a cada una de la</w:t>
      </w:r>
      <w:r w:rsidR="00BA5D01">
        <w:rPr>
          <w:lang w:val="es-ES_tradnl"/>
        </w:rPr>
        <w:t>s</w:t>
      </w:r>
      <w:r w:rsidRPr="003D2F44">
        <w:rPr>
          <w:lang w:val="es-ES_tradnl"/>
        </w:rPr>
        <w:t xml:space="preserve"> acciones del Programa. </w:t>
      </w:r>
    </w:p>
    <w:p w14:paraId="5EC58261" w14:textId="77777777" w:rsidR="00134076" w:rsidRPr="003D2F44" w:rsidRDefault="00134076" w:rsidP="0060309F">
      <w:pPr>
        <w:pStyle w:val="Banknumbered"/>
        <w:numPr>
          <w:ilvl w:val="0"/>
          <w:numId w:val="0"/>
        </w:numPr>
        <w:ind w:left="360"/>
        <w:jc w:val="both"/>
        <w:rPr>
          <w:lang w:val="es-ES_tradnl"/>
        </w:rPr>
      </w:pPr>
      <w:r w:rsidRPr="003D2F44">
        <w:rPr>
          <w:b/>
          <w:lang w:val="es-ES_tradnl"/>
        </w:rPr>
        <w:t>Presupuesto.</w:t>
      </w:r>
      <w:r w:rsidRPr="003D2F44">
        <w:rPr>
          <w:lang w:val="es-ES_tradnl"/>
        </w:rPr>
        <w:t xml:space="preserve"> E</w:t>
      </w:r>
      <w:r w:rsidR="00BB4337">
        <w:rPr>
          <w:lang w:val="es-ES_tradnl"/>
        </w:rPr>
        <w:t>l</w:t>
      </w:r>
      <w:r w:rsidRPr="003D2F44">
        <w:rPr>
          <w:lang w:val="es-ES_tradnl"/>
        </w:rPr>
        <w:t xml:space="preserve"> MHCP tiene un presupuesto anual, del cual se ha identificado el monto correspondiente a los recursos que se afectarían parcialmente para desarrollar las funciones de monitoreo y evaluación de este Programa, el cual se ha estimado en el orden de US$50.000 por año. No se utilizará presupuesto de este Programa para financiar el Monitoreo y Evaluación del mismo, ya que corresponde al MHCP el financiamiento con recursos propios como antes mencionado.</w:t>
      </w:r>
    </w:p>
    <w:p w14:paraId="5A27BCC5" w14:textId="77777777" w:rsidR="004D648B" w:rsidRPr="003D2F44" w:rsidRDefault="004D648B" w:rsidP="009B04BB">
      <w:pPr>
        <w:pStyle w:val="Paragraph"/>
        <w:tabs>
          <w:tab w:val="clear" w:pos="720"/>
        </w:tabs>
        <w:ind w:left="705" w:firstLine="0"/>
        <w:rPr>
          <w:lang w:val="es-ES_tradnl"/>
        </w:rPr>
      </w:pPr>
    </w:p>
    <w:p w14:paraId="4181C33C" w14:textId="77777777" w:rsidR="00B552ED" w:rsidRPr="003D2F44" w:rsidRDefault="00B552ED" w:rsidP="009B04BB">
      <w:pPr>
        <w:pStyle w:val="Paragraph"/>
        <w:tabs>
          <w:tab w:val="clear" w:pos="720"/>
        </w:tabs>
        <w:ind w:hanging="360"/>
        <w:rPr>
          <w:b/>
          <w:lang w:val="es-ES_tradnl"/>
        </w:rPr>
      </w:pPr>
      <w:r w:rsidRPr="003D2F44">
        <w:rPr>
          <w:b/>
          <w:lang w:val="es-ES_tradnl"/>
        </w:rPr>
        <w:t>Tabla 3. Cronograma de actividades.</w:t>
      </w:r>
    </w:p>
    <w:tbl>
      <w:tblPr>
        <w:tblW w:w="8759" w:type="dxa"/>
        <w:jc w:val="center"/>
        <w:tblLook w:val="04A0" w:firstRow="1" w:lastRow="0" w:firstColumn="1" w:lastColumn="0" w:noHBand="0" w:noVBand="1"/>
      </w:tblPr>
      <w:tblGrid>
        <w:gridCol w:w="2265"/>
        <w:gridCol w:w="586"/>
        <w:gridCol w:w="525"/>
        <w:gridCol w:w="196"/>
        <w:gridCol w:w="366"/>
        <w:gridCol w:w="525"/>
        <w:gridCol w:w="1372"/>
        <w:gridCol w:w="1283"/>
        <w:gridCol w:w="1641"/>
      </w:tblGrid>
      <w:tr w:rsidR="00BB4337" w:rsidRPr="00BA154C" w14:paraId="56F1227C" w14:textId="77777777" w:rsidTr="00BA154C">
        <w:trPr>
          <w:trHeight w:val="327"/>
          <w:jc w:val="center"/>
        </w:trPr>
        <w:tc>
          <w:tcPr>
            <w:tcW w:w="2265"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2A2B9D54" w14:textId="77777777" w:rsidR="00BB4337" w:rsidRPr="00BA154C" w:rsidRDefault="00BB4337" w:rsidP="009B04BB">
            <w:pPr>
              <w:jc w:val="both"/>
              <w:rPr>
                <w:rFonts w:cs="Calibri"/>
                <w:b/>
                <w:bCs/>
                <w:color w:val="000000"/>
              </w:rPr>
            </w:pPr>
            <w:r w:rsidRPr="00BA154C">
              <w:rPr>
                <w:rFonts w:cs="Calibri"/>
                <w:b/>
                <w:bCs/>
                <w:color w:val="000000"/>
                <w:sz w:val="22"/>
                <w:szCs w:val="22"/>
              </w:rPr>
              <w:t>Actividad</w:t>
            </w:r>
          </w:p>
        </w:tc>
        <w:tc>
          <w:tcPr>
            <w:tcW w:w="1111" w:type="dxa"/>
            <w:gridSpan w:val="2"/>
            <w:tcBorders>
              <w:top w:val="single" w:sz="8" w:space="0" w:color="auto"/>
              <w:left w:val="nil"/>
              <w:bottom w:val="single" w:sz="8" w:space="0" w:color="auto"/>
              <w:right w:val="single" w:sz="8" w:space="0" w:color="000000"/>
            </w:tcBorders>
            <w:shd w:val="clear" w:color="000000" w:fill="D9D9D9"/>
            <w:noWrap/>
            <w:vAlign w:val="center"/>
            <w:hideMark/>
          </w:tcPr>
          <w:p w14:paraId="663F72C2" w14:textId="33944092" w:rsidR="00BB4337" w:rsidRPr="00BA154C" w:rsidRDefault="00BB4337" w:rsidP="00BB4337">
            <w:pPr>
              <w:jc w:val="both"/>
              <w:rPr>
                <w:rFonts w:cs="Calibri"/>
                <w:b/>
                <w:bCs/>
                <w:color w:val="000000"/>
              </w:rPr>
            </w:pPr>
            <w:r w:rsidRPr="00BA154C">
              <w:rPr>
                <w:rFonts w:cs="Calibri"/>
                <w:b/>
                <w:bCs/>
                <w:color w:val="000000"/>
                <w:sz w:val="22"/>
                <w:szCs w:val="22"/>
              </w:rPr>
              <w:t>201</w:t>
            </w:r>
            <w:r w:rsidR="00BA5D01" w:rsidRPr="00BA154C">
              <w:rPr>
                <w:rFonts w:cs="Calibri"/>
                <w:b/>
                <w:bCs/>
                <w:color w:val="000000"/>
                <w:sz w:val="22"/>
                <w:szCs w:val="22"/>
              </w:rPr>
              <w:t>7</w:t>
            </w:r>
          </w:p>
        </w:tc>
        <w:tc>
          <w:tcPr>
            <w:tcW w:w="1087" w:type="dxa"/>
            <w:gridSpan w:val="3"/>
            <w:tcBorders>
              <w:top w:val="single" w:sz="8" w:space="0" w:color="auto"/>
              <w:left w:val="nil"/>
              <w:bottom w:val="single" w:sz="8" w:space="0" w:color="auto"/>
              <w:right w:val="single" w:sz="8" w:space="0" w:color="000000"/>
            </w:tcBorders>
            <w:shd w:val="clear" w:color="000000" w:fill="D9D9D9"/>
            <w:noWrap/>
            <w:vAlign w:val="center"/>
            <w:hideMark/>
          </w:tcPr>
          <w:p w14:paraId="2B22751D" w14:textId="46AF6C89" w:rsidR="00BB4337" w:rsidRPr="00BA154C" w:rsidRDefault="00BB4337" w:rsidP="00BB4337">
            <w:pPr>
              <w:jc w:val="both"/>
              <w:rPr>
                <w:rFonts w:cs="Calibri"/>
                <w:b/>
                <w:bCs/>
                <w:color w:val="000000"/>
              </w:rPr>
            </w:pPr>
            <w:r w:rsidRPr="00BA154C">
              <w:rPr>
                <w:rFonts w:cs="Calibri"/>
                <w:b/>
                <w:bCs/>
                <w:color w:val="000000"/>
                <w:sz w:val="22"/>
                <w:szCs w:val="22"/>
              </w:rPr>
              <w:t>201</w:t>
            </w:r>
            <w:r w:rsidR="00BA5D01" w:rsidRPr="00BA154C">
              <w:rPr>
                <w:rFonts w:cs="Calibri"/>
                <w:b/>
                <w:bCs/>
                <w:color w:val="000000"/>
                <w:sz w:val="22"/>
                <w:szCs w:val="22"/>
              </w:rPr>
              <w:t>8</w:t>
            </w:r>
          </w:p>
        </w:tc>
        <w:tc>
          <w:tcPr>
            <w:tcW w:w="1372"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63F39DF1" w14:textId="77777777" w:rsidR="00BB4337" w:rsidRPr="00BA154C" w:rsidRDefault="00BB4337" w:rsidP="009B04BB">
            <w:pPr>
              <w:jc w:val="both"/>
              <w:rPr>
                <w:rFonts w:cs="Calibri"/>
                <w:b/>
                <w:bCs/>
                <w:color w:val="000000"/>
              </w:rPr>
            </w:pPr>
            <w:r w:rsidRPr="00BA154C">
              <w:rPr>
                <w:rFonts w:cs="Calibri"/>
                <w:b/>
                <w:bCs/>
                <w:color w:val="000000"/>
                <w:sz w:val="22"/>
                <w:szCs w:val="22"/>
              </w:rPr>
              <w:t>Responsable</w:t>
            </w:r>
          </w:p>
        </w:tc>
        <w:tc>
          <w:tcPr>
            <w:tcW w:w="1283"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13FF2089" w14:textId="77777777" w:rsidR="00BB4337" w:rsidRPr="00BA154C" w:rsidRDefault="00BB4337" w:rsidP="009B04BB">
            <w:pPr>
              <w:jc w:val="both"/>
              <w:rPr>
                <w:rFonts w:cs="Calibri"/>
                <w:b/>
                <w:bCs/>
                <w:color w:val="000000"/>
              </w:rPr>
            </w:pPr>
            <w:r w:rsidRPr="00BA154C">
              <w:rPr>
                <w:rFonts w:cs="Calibri"/>
                <w:b/>
                <w:bCs/>
                <w:color w:val="000000"/>
                <w:sz w:val="22"/>
                <w:szCs w:val="22"/>
              </w:rPr>
              <w:t>Costos</w:t>
            </w:r>
          </w:p>
        </w:tc>
        <w:tc>
          <w:tcPr>
            <w:tcW w:w="1641" w:type="dxa"/>
            <w:vMerge w:val="restart"/>
            <w:tcBorders>
              <w:top w:val="single" w:sz="8" w:space="0" w:color="auto"/>
              <w:left w:val="single" w:sz="8" w:space="0" w:color="auto"/>
              <w:bottom w:val="single" w:sz="8" w:space="0" w:color="000000"/>
              <w:right w:val="single" w:sz="8" w:space="0" w:color="auto"/>
            </w:tcBorders>
            <w:shd w:val="clear" w:color="000000" w:fill="D9D9D9"/>
            <w:noWrap/>
            <w:vAlign w:val="center"/>
            <w:hideMark/>
          </w:tcPr>
          <w:p w14:paraId="3D8FF685" w14:textId="77777777" w:rsidR="00BB4337" w:rsidRPr="00BA154C" w:rsidRDefault="00BB4337" w:rsidP="009B04BB">
            <w:pPr>
              <w:jc w:val="both"/>
              <w:rPr>
                <w:rFonts w:cs="Calibri"/>
                <w:b/>
                <w:bCs/>
                <w:color w:val="000000"/>
              </w:rPr>
            </w:pPr>
            <w:r w:rsidRPr="00BA154C">
              <w:rPr>
                <w:rFonts w:cs="Calibri"/>
                <w:b/>
                <w:bCs/>
                <w:color w:val="000000"/>
                <w:sz w:val="22"/>
                <w:szCs w:val="22"/>
              </w:rPr>
              <w:t>Financiamiento</w:t>
            </w:r>
          </w:p>
        </w:tc>
      </w:tr>
      <w:tr w:rsidR="00BB4337" w:rsidRPr="00BA154C" w14:paraId="2077E31E" w14:textId="77777777" w:rsidTr="00BA154C">
        <w:trPr>
          <w:trHeight w:val="327"/>
          <w:jc w:val="center"/>
        </w:trPr>
        <w:tc>
          <w:tcPr>
            <w:tcW w:w="2265" w:type="dxa"/>
            <w:vMerge/>
            <w:tcBorders>
              <w:top w:val="single" w:sz="8" w:space="0" w:color="auto"/>
              <w:left w:val="single" w:sz="8" w:space="0" w:color="auto"/>
              <w:bottom w:val="single" w:sz="8" w:space="0" w:color="000000"/>
              <w:right w:val="single" w:sz="8" w:space="0" w:color="auto"/>
            </w:tcBorders>
            <w:vAlign w:val="center"/>
            <w:hideMark/>
          </w:tcPr>
          <w:p w14:paraId="7BC4C489" w14:textId="77777777" w:rsidR="00BB4337" w:rsidRPr="00BA154C" w:rsidRDefault="00BB4337" w:rsidP="009B04BB">
            <w:pPr>
              <w:jc w:val="both"/>
              <w:rPr>
                <w:rFonts w:cs="Calibri"/>
                <w:b/>
                <w:bCs/>
                <w:color w:val="000000"/>
              </w:rPr>
            </w:pPr>
          </w:p>
        </w:tc>
        <w:tc>
          <w:tcPr>
            <w:tcW w:w="586" w:type="dxa"/>
            <w:tcBorders>
              <w:top w:val="nil"/>
              <w:left w:val="nil"/>
              <w:bottom w:val="single" w:sz="8" w:space="0" w:color="auto"/>
              <w:right w:val="single" w:sz="8" w:space="0" w:color="auto"/>
            </w:tcBorders>
            <w:shd w:val="clear" w:color="000000" w:fill="D9D9D9"/>
            <w:noWrap/>
            <w:vAlign w:val="center"/>
            <w:hideMark/>
          </w:tcPr>
          <w:p w14:paraId="46B4C5A3" w14:textId="77777777" w:rsidR="00BB4337" w:rsidRPr="00BA154C" w:rsidRDefault="00BB4337" w:rsidP="009B04BB">
            <w:pPr>
              <w:jc w:val="both"/>
              <w:rPr>
                <w:rFonts w:cs="Calibri"/>
                <w:b/>
                <w:bCs/>
                <w:color w:val="000000"/>
              </w:rPr>
            </w:pPr>
            <w:r w:rsidRPr="00BA154C">
              <w:rPr>
                <w:rFonts w:cs="Calibri"/>
                <w:b/>
                <w:bCs/>
                <w:color w:val="000000"/>
                <w:sz w:val="22"/>
                <w:szCs w:val="22"/>
              </w:rPr>
              <w:t>Ago</w:t>
            </w:r>
          </w:p>
        </w:tc>
        <w:tc>
          <w:tcPr>
            <w:tcW w:w="525" w:type="dxa"/>
            <w:tcBorders>
              <w:top w:val="nil"/>
              <w:left w:val="nil"/>
              <w:bottom w:val="single" w:sz="8" w:space="0" w:color="auto"/>
              <w:right w:val="single" w:sz="8" w:space="0" w:color="auto"/>
            </w:tcBorders>
            <w:shd w:val="clear" w:color="000000" w:fill="D9D9D9"/>
            <w:noWrap/>
            <w:vAlign w:val="center"/>
            <w:hideMark/>
          </w:tcPr>
          <w:p w14:paraId="200EE073" w14:textId="77777777" w:rsidR="00BB4337" w:rsidRPr="00BA154C" w:rsidRDefault="00BB4337" w:rsidP="009B04BB">
            <w:pPr>
              <w:jc w:val="both"/>
              <w:rPr>
                <w:rFonts w:cs="Calibri"/>
                <w:b/>
                <w:bCs/>
                <w:color w:val="000000"/>
              </w:rPr>
            </w:pPr>
            <w:r w:rsidRPr="00BA154C">
              <w:rPr>
                <w:rFonts w:cs="Calibri"/>
                <w:b/>
                <w:bCs/>
                <w:color w:val="000000"/>
                <w:sz w:val="22"/>
                <w:szCs w:val="22"/>
              </w:rPr>
              <w:t>Dic</w:t>
            </w:r>
          </w:p>
        </w:tc>
        <w:tc>
          <w:tcPr>
            <w:tcW w:w="562" w:type="dxa"/>
            <w:gridSpan w:val="2"/>
            <w:tcBorders>
              <w:top w:val="nil"/>
              <w:left w:val="nil"/>
              <w:bottom w:val="single" w:sz="8" w:space="0" w:color="auto"/>
              <w:right w:val="single" w:sz="8" w:space="0" w:color="auto"/>
            </w:tcBorders>
            <w:shd w:val="clear" w:color="000000" w:fill="D9D9D9"/>
            <w:noWrap/>
            <w:vAlign w:val="center"/>
            <w:hideMark/>
          </w:tcPr>
          <w:p w14:paraId="75C55445" w14:textId="77777777" w:rsidR="00BB4337" w:rsidRPr="00BA154C" w:rsidRDefault="00BB4337" w:rsidP="009B04BB">
            <w:pPr>
              <w:jc w:val="both"/>
              <w:rPr>
                <w:rFonts w:cs="Calibri"/>
                <w:b/>
                <w:bCs/>
                <w:color w:val="000000"/>
              </w:rPr>
            </w:pPr>
            <w:r w:rsidRPr="00BA154C">
              <w:rPr>
                <w:rFonts w:cs="Calibri"/>
                <w:b/>
                <w:bCs/>
                <w:color w:val="000000"/>
                <w:sz w:val="22"/>
                <w:szCs w:val="22"/>
              </w:rPr>
              <w:t>Jun</w:t>
            </w:r>
          </w:p>
        </w:tc>
        <w:tc>
          <w:tcPr>
            <w:tcW w:w="525" w:type="dxa"/>
            <w:tcBorders>
              <w:top w:val="nil"/>
              <w:left w:val="nil"/>
              <w:bottom w:val="single" w:sz="8" w:space="0" w:color="auto"/>
              <w:right w:val="single" w:sz="8" w:space="0" w:color="auto"/>
            </w:tcBorders>
            <w:shd w:val="clear" w:color="000000" w:fill="D9D9D9"/>
            <w:noWrap/>
            <w:vAlign w:val="center"/>
            <w:hideMark/>
          </w:tcPr>
          <w:p w14:paraId="2E3ED99F" w14:textId="77777777" w:rsidR="00BB4337" w:rsidRPr="00BA154C" w:rsidRDefault="00BB4337" w:rsidP="009B04BB">
            <w:pPr>
              <w:jc w:val="both"/>
              <w:rPr>
                <w:rFonts w:cs="Calibri"/>
                <w:b/>
                <w:bCs/>
                <w:color w:val="000000"/>
              </w:rPr>
            </w:pPr>
            <w:r w:rsidRPr="00BA154C">
              <w:rPr>
                <w:rFonts w:cs="Calibri"/>
                <w:b/>
                <w:bCs/>
                <w:color w:val="000000"/>
                <w:sz w:val="22"/>
                <w:szCs w:val="22"/>
              </w:rPr>
              <w:t>Dic</w:t>
            </w:r>
          </w:p>
        </w:tc>
        <w:tc>
          <w:tcPr>
            <w:tcW w:w="1372" w:type="dxa"/>
            <w:vMerge/>
            <w:tcBorders>
              <w:top w:val="single" w:sz="8" w:space="0" w:color="auto"/>
              <w:left w:val="single" w:sz="8" w:space="0" w:color="auto"/>
              <w:bottom w:val="single" w:sz="8" w:space="0" w:color="000000"/>
              <w:right w:val="single" w:sz="8" w:space="0" w:color="auto"/>
            </w:tcBorders>
            <w:vAlign w:val="center"/>
            <w:hideMark/>
          </w:tcPr>
          <w:p w14:paraId="3C2F7AA9" w14:textId="77777777" w:rsidR="00BB4337" w:rsidRPr="00BA154C" w:rsidRDefault="00BB4337" w:rsidP="009B04BB">
            <w:pPr>
              <w:jc w:val="both"/>
              <w:rPr>
                <w:rFonts w:cs="Calibri"/>
                <w:b/>
                <w:bCs/>
                <w:color w:val="000000"/>
              </w:rPr>
            </w:pPr>
          </w:p>
        </w:tc>
        <w:tc>
          <w:tcPr>
            <w:tcW w:w="1283" w:type="dxa"/>
            <w:vMerge/>
            <w:tcBorders>
              <w:top w:val="single" w:sz="8" w:space="0" w:color="auto"/>
              <w:left w:val="single" w:sz="8" w:space="0" w:color="auto"/>
              <w:bottom w:val="single" w:sz="8" w:space="0" w:color="000000"/>
              <w:right w:val="single" w:sz="8" w:space="0" w:color="auto"/>
            </w:tcBorders>
            <w:vAlign w:val="center"/>
            <w:hideMark/>
          </w:tcPr>
          <w:p w14:paraId="04816D54" w14:textId="77777777" w:rsidR="00BB4337" w:rsidRPr="00BA154C" w:rsidRDefault="00BB4337" w:rsidP="009B04BB">
            <w:pPr>
              <w:jc w:val="both"/>
              <w:rPr>
                <w:rFonts w:cs="Calibri"/>
                <w:b/>
                <w:bCs/>
                <w:color w:val="000000"/>
              </w:rPr>
            </w:pPr>
          </w:p>
        </w:tc>
        <w:tc>
          <w:tcPr>
            <w:tcW w:w="1641" w:type="dxa"/>
            <w:vMerge/>
            <w:tcBorders>
              <w:top w:val="single" w:sz="8" w:space="0" w:color="auto"/>
              <w:left w:val="single" w:sz="8" w:space="0" w:color="auto"/>
              <w:bottom w:val="single" w:sz="8" w:space="0" w:color="000000"/>
              <w:right w:val="single" w:sz="8" w:space="0" w:color="auto"/>
            </w:tcBorders>
            <w:vAlign w:val="center"/>
            <w:hideMark/>
          </w:tcPr>
          <w:p w14:paraId="744BF160" w14:textId="77777777" w:rsidR="00BB4337" w:rsidRPr="00BA154C" w:rsidRDefault="00BB4337" w:rsidP="009B04BB">
            <w:pPr>
              <w:jc w:val="both"/>
              <w:rPr>
                <w:rFonts w:cs="Calibri"/>
                <w:b/>
                <w:bCs/>
                <w:color w:val="000000"/>
              </w:rPr>
            </w:pPr>
          </w:p>
        </w:tc>
      </w:tr>
      <w:tr w:rsidR="00BB4337" w:rsidRPr="00BA154C" w14:paraId="08470BCC" w14:textId="77777777" w:rsidTr="00BA154C">
        <w:trPr>
          <w:trHeight w:val="327"/>
          <w:jc w:val="center"/>
        </w:trPr>
        <w:tc>
          <w:tcPr>
            <w:tcW w:w="2265" w:type="dxa"/>
            <w:tcBorders>
              <w:top w:val="nil"/>
              <w:left w:val="single" w:sz="8" w:space="0" w:color="auto"/>
              <w:bottom w:val="single" w:sz="8" w:space="0" w:color="auto"/>
              <w:right w:val="single" w:sz="8" w:space="0" w:color="auto"/>
            </w:tcBorders>
            <w:shd w:val="clear" w:color="auto" w:fill="auto"/>
            <w:noWrap/>
            <w:vAlign w:val="center"/>
            <w:hideMark/>
          </w:tcPr>
          <w:p w14:paraId="3250B776" w14:textId="77777777" w:rsidR="00BB4337" w:rsidRPr="00BA154C" w:rsidRDefault="00BB4337" w:rsidP="009B04BB">
            <w:pPr>
              <w:jc w:val="both"/>
              <w:rPr>
                <w:rFonts w:cs="Calibri"/>
                <w:color w:val="000000"/>
                <w:sz w:val="20"/>
              </w:rPr>
            </w:pPr>
            <w:r w:rsidRPr="00BA154C">
              <w:rPr>
                <w:rFonts w:cs="Calibri"/>
                <w:color w:val="000000"/>
                <w:sz w:val="20"/>
              </w:rPr>
              <w:t>Medición del avance de indicadores de resultado</w:t>
            </w:r>
          </w:p>
        </w:tc>
        <w:tc>
          <w:tcPr>
            <w:tcW w:w="586" w:type="dxa"/>
            <w:tcBorders>
              <w:top w:val="nil"/>
              <w:left w:val="nil"/>
              <w:bottom w:val="single" w:sz="8" w:space="0" w:color="auto"/>
              <w:right w:val="single" w:sz="8" w:space="0" w:color="auto"/>
            </w:tcBorders>
            <w:shd w:val="clear" w:color="000000" w:fill="92D050"/>
            <w:noWrap/>
            <w:vAlign w:val="center"/>
            <w:hideMark/>
          </w:tcPr>
          <w:p w14:paraId="5D9B013B"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000000" w:fill="92D050"/>
            <w:noWrap/>
            <w:vAlign w:val="center"/>
            <w:hideMark/>
          </w:tcPr>
          <w:p w14:paraId="1E8B2CB2"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62" w:type="dxa"/>
            <w:gridSpan w:val="2"/>
            <w:tcBorders>
              <w:top w:val="nil"/>
              <w:left w:val="nil"/>
              <w:bottom w:val="single" w:sz="8" w:space="0" w:color="auto"/>
              <w:right w:val="single" w:sz="8" w:space="0" w:color="auto"/>
            </w:tcBorders>
            <w:shd w:val="clear" w:color="000000" w:fill="92D050"/>
            <w:noWrap/>
            <w:vAlign w:val="center"/>
            <w:hideMark/>
          </w:tcPr>
          <w:p w14:paraId="5C3E7098"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000000" w:fill="92D050"/>
            <w:noWrap/>
            <w:vAlign w:val="center"/>
            <w:hideMark/>
          </w:tcPr>
          <w:p w14:paraId="62725F71"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1372" w:type="dxa"/>
            <w:tcBorders>
              <w:top w:val="nil"/>
              <w:left w:val="nil"/>
              <w:bottom w:val="single" w:sz="8" w:space="0" w:color="auto"/>
              <w:right w:val="single" w:sz="8" w:space="0" w:color="auto"/>
            </w:tcBorders>
            <w:shd w:val="clear" w:color="auto" w:fill="auto"/>
            <w:noWrap/>
            <w:vAlign w:val="center"/>
            <w:hideMark/>
          </w:tcPr>
          <w:p w14:paraId="58C4654A" w14:textId="77777777" w:rsidR="00BB4337" w:rsidRPr="00BA154C" w:rsidRDefault="00BB4337" w:rsidP="009B04BB">
            <w:pPr>
              <w:jc w:val="both"/>
              <w:rPr>
                <w:rFonts w:cs="Calibri"/>
                <w:color w:val="000000"/>
                <w:sz w:val="20"/>
              </w:rPr>
            </w:pPr>
            <w:r w:rsidRPr="00BA154C">
              <w:rPr>
                <w:rFonts w:cs="Calibri"/>
                <w:color w:val="000000"/>
                <w:sz w:val="20"/>
              </w:rPr>
              <w:t>MHCP</w:t>
            </w:r>
          </w:p>
        </w:tc>
        <w:tc>
          <w:tcPr>
            <w:tcW w:w="1283" w:type="dxa"/>
            <w:tcBorders>
              <w:top w:val="nil"/>
              <w:left w:val="nil"/>
              <w:bottom w:val="single" w:sz="8" w:space="0" w:color="auto"/>
              <w:right w:val="single" w:sz="8" w:space="0" w:color="auto"/>
            </w:tcBorders>
            <w:shd w:val="clear" w:color="auto" w:fill="auto"/>
            <w:noWrap/>
            <w:vAlign w:val="center"/>
            <w:hideMark/>
          </w:tcPr>
          <w:p w14:paraId="016EAFAA" w14:textId="77777777" w:rsidR="00BB4337" w:rsidRPr="00BA154C" w:rsidRDefault="00BB4337" w:rsidP="009B04BB">
            <w:pPr>
              <w:jc w:val="both"/>
              <w:rPr>
                <w:rFonts w:cs="Calibri"/>
                <w:color w:val="000000"/>
                <w:sz w:val="20"/>
              </w:rPr>
            </w:pPr>
            <w:r w:rsidRPr="00BA154C">
              <w:rPr>
                <w:rFonts w:cs="Calibri"/>
                <w:color w:val="000000"/>
                <w:sz w:val="20"/>
              </w:rPr>
              <w:t>-</w:t>
            </w:r>
          </w:p>
        </w:tc>
        <w:tc>
          <w:tcPr>
            <w:tcW w:w="1641" w:type="dxa"/>
            <w:tcBorders>
              <w:top w:val="nil"/>
              <w:left w:val="nil"/>
              <w:bottom w:val="single" w:sz="8" w:space="0" w:color="auto"/>
              <w:right w:val="single" w:sz="8" w:space="0" w:color="auto"/>
            </w:tcBorders>
            <w:shd w:val="clear" w:color="auto" w:fill="auto"/>
            <w:noWrap/>
            <w:vAlign w:val="center"/>
            <w:hideMark/>
          </w:tcPr>
          <w:p w14:paraId="0E55AFD4" w14:textId="77777777" w:rsidR="00BB4337" w:rsidRPr="00BA154C" w:rsidRDefault="00BB4337" w:rsidP="009B04BB">
            <w:pPr>
              <w:jc w:val="both"/>
              <w:rPr>
                <w:rFonts w:cs="Calibri"/>
                <w:color w:val="000000"/>
                <w:sz w:val="20"/>
              </w:rPr>
            </w:pPr>
            <w:r w:rsidRPr="00BA154C">
              <w:rPr>
                <w:rFonts w:cs="Calibri"/>
                <w:color w:val="000000"/>
                <w:sz w:val="20"/>
              </w:rPr>
              <w:t>MHCP</w:t>
            </w:r>
          </w:p>
        </w:tc>
      </w:tr>
      <w:tr w:rsidR="00BB4337" w:rsidRPr="00BA154C" w14:paraId="7C0894F6" w14:textId="77777777" w:rsidTr="00BA154C">
        <w:trPr>
          <w:trHeight w:val="327"/>
          <w:jc w:val="center"/>
        </w:trPr>
        <w:tc>
          <w:tcPr>
            <w:tcW w:w="2265" w:type="dxa"/>
            <w:tcBorders>
              <w:top w:val="nil"/>
              <w:left w:val="single" w:sz="8" w:space="0" w:color="auto"/>
              <w:bottom w:val="single" w:sz="8" w:space="0" w:color="auto"/>
              <w:right w:val="single" w:sz="8" w:space="0" w:color="auto"/>
            </w:tcBorders>
            <w:shd w:val="clear" w:color="auto" w:fill="auto"/>
            <w:noWrap/>
            <w:vAlign w:val="center"/>
            <w:hideMark/>
          </w:tcPr>
          <w:p w14:paraId="289C3D6E" w14:textId="77777777" w:rsidR="00BB4337" w:rsidRPr="00BA154C" w:rsidRDefault="00BB4337" w:rsidP="009B04BB">
            <w:pPr>
              <w:jc w:val="both"/>
              <w:rPr>
                <w:rFonts w:cs="Calibri"/>
                <w:color w:val="000000"/>
                <w:sz w:val="20"/>
              </w:rPr>
            </w:pPr>
            <w:r w:rsidRPr="00BA154C">
              <w:rPr>
                <w:rFonts w:cs="Calibri"/>
                <w:color w:val="000000"/>
                <w:sz w:val="20"/>
              </w:rPr>
              <w:lastRenderedPageBreak/>
              <w:t>Preparación de TdRs para la Evaluación Económica</w:t>
            </w:r>
          </w:p>
        </w:tc>
        <w:tc>
          <w:tcPr>
            <w:tcW w:w="586" w:type="dxa"/>
            <w:tcBorders>
              <w:top w:val="nil"/>
              <w:left w:val="nil"/>
              <w:bottom w:val="single" w:sz="8" w:space="0" w:color="auto"/>
              <w:right w:val="single" w:sz="8" w:space="0" w:color="auto"/>
            </w:tcBorders>
            <w:shd w:val="clear" w:color="auto" w:fill="auto"/>
            <w:noWrap/>
            <w:vAlign w:val="center"/>
            <w:hideMark/>
          </w:tcPr>
          <w:p w14:paraId="0CED7C85"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auto"/>
            <w:noWrap/>
            <w:vAlign w:val="center"/>
            <w:hideMark/>
          </w:tcPr>
          <w:p w14:paraId="0DCEA418"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62" w:type="dxa"/>
            <w:gridSpan w:val="2"/>
            <w:tcBorders>
              <w:top w:val="nil"/>
              <w:left w:val="nil"/>
              <w:bottom w:val="single" w:sz="8" w:space="0" w:color="auto"/>
              <w:right w:val="single" w:sz="8" w:space="0" w:color="auto"/>
            </w:tcBorders>
            <w:shd w:val="clear" w:color="auto" w:fill="auto"/>
            <w:noWrap/>
            <w:vAlign w:val="center"/>
            <w:hideMark/>
          </w:tcPr>
          <w:p w14:paraId="4B79D72A"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92D050"/>
            <w:noWrap/>
            <w:vAlign w:val="center"/>
            <w:hideMark/>
          </w:tcPr>
          <w:p w14:paraId="1C404F6C"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1372" w:type="dxa"/>
            <w:tcBorders>
              <w:top w:val="nil"/>
              <w:left w:val="nil"/>
              <w:bottom w:val="single" w:sz="8" w:space="0" w:color="auto"/>
              <w:right w:val="single" w:sz="8" w:space="0" w:color="auto"/>
            </w:tcBorders>
            <w:shd w:val="clear" w:color="auto" w:fill="auto"/>
            <w:noWrap/>
            <w:vAlign w:val="center"/>
            <w:hideMark/>
          </w:tcPr>
          <w:p w14:paraId="6A33A644" w14:textId="77777777" w:rsidR="00BB4337" w:rsidRPr="00BA154C" w:rsidRDefault="00BB4337" w:rsidP="009B04BB">
            <w:pPr>
              <w:jc w:val="both"/>
              <w:rPr>
                <w:rFonts w:cs="Calibri"/>
                <w:color w:val="000000"/>
                <w:sz w:val="20"/>
              </w:rPr>
            </w:pPr>
            <w:r w:rsidRPr="00BA154C">
              <w:rPr>
                <w:rFonts w:cs="Calibri"/>
                <w:color w:val="000000"/>
                <w:sz w:val="20"/>
              </w:rPr>
              <w:t>BID</w:t>
            </w:r>
          </w:p>
        </w:tc>
        <w:tc>
          <w:tcPr>
            <w:tcW w:w="1283" w:type="dxa"/>
            <w:tcBorders>
              <w:top w:val="nil"/>
              <w:left w:val="nil"/>
              <w:bottom w:val="single" w:sz="8" w:space="0" w:color="auto"/>
              <w:right w:val="single" w:sz="8" w:space="0" w:color="auto"/>
            </w:tcBorders>
            <w:shd w:val="clear" w:color="auto" w:fill="auto"/>
            <w:noWrap/>
            <w:vAlign w:val="center"/>
            <w:hideMark/>
          </w:tcPr>
          <w:p w14:paraId="5A7E7C35" w14:textId="77777777" w:rsidR="00BB4337" w:rsidRPr="00BA154C" w:rsidRDefault="00BB4337" w:rsidP="009B04BB">
            <w:pPr>
              <w:jc w:val="both"/>
              <w:rPr>
                <w:rFonts w:cs="Calibri"/>
                <w:color w:val="000000"/>
                <w:sz w:val="20"/>
              </w:rPr>
            </w:pPr>
            <w:r w:rsidRPr="00BA154C">
              <w:rPr>
                <w:rFonts w:cs="Calibri"/>
                <w:color w:val="000000"/>
                <w:sz w:val="20"/>
              </w:rPr>
              <w:t>-</w:t>
            </w:r>
          </w:p>
        </w:tc>
        <w:tc>
          <w:tcPr>
            <w:tcW w:w="1641" w:type="dxa"/>
            <w:tcBorders>
              <w:top w:val="nil"/>
              <w:left w:val="nil"/>
              <w:bottom w:val="single" w:sz="8" w:space="0" w:color="auto"/>
              <w:right w:val="single" w:sz="8" w:space="0" w:color="auto"/>
            </w:tcBorders>
            <w:shd w:val="clear" w:color="auto" w:fill="auto"/>
            <w:noWrap/>
            <w:vAlign w:val="center"/>
            <w:hideMark/>
          </w:tcPr>
          <w:p w14:paraId="416FE09C" w14:textId="77777777" w:rsidR="00BB4337" w:rsidRPr="00BA154C" w:rsidRDefault="00BB4337" w:rsidP="009B04BB">
            <w:pPr>
              <w:jc w:val="both"/>
              <w:rPr>
                <w:rFonts w:cs="Calibri"/>
                <w:color w:val="000000"/>
                <w:sz w:val="20"/>
              </w:rPr>
            </w:pPr>
            <w:r w:rsidRPr="00BA154C">
              <w:rPr>
                <w:rFonts w:cs="Calibri"/>
                <w:color w:val="000000"/>
                <w:sz w:val="20"/>
              </w:rPr>
              <w:t>BID</w:t>
            </w:r>
          </w:p>
        </w:tc>
      </w:tr>
      <w:tr w:rsidR="00BB4337" w:rsidRPr="00BA154C" w14:paraId="287C339E" w14:textId="77777777" w:rsidTr="00BA154C">
        <w:trPr>
          <w:trHeight w:val="327"/>
          <w:jc w:val="center"/>
        </w:trPr>
        <w:tc>
          <w:tcPr>
            <w:tcW w:w="2265" w:type="dxa"/>
            <w:tcBorders>
              <w:top w:val="nil"/>
              <w:left w:val="single" w:sz="8" w:space="0" w:color="auto"/>
              <w:bottom w:val="single" w:sz="8" w:space="0" w:color="auto"/>
              <w:right w:val="single" w:sz="8" w:space="0" w:color="auto"/>
            </w:tcBorders>
            <w:shd w:val="clear" w:color="auto" w:fill="auto"/>
            <w:noWrap/>
            <w:vAlign w:val="center"/>
            <w:hideMark/>
          </w:tcPr>
          <w:p w14:paraId="7047AED4" w14:textId="77777777" w:rsidR="00BB4337" w:rsidRPr="00BA154C" w:rsidRDefault="00BB4337" w:rsidP="009B04BB">
            <w:pPr>
              <w:jc w:val="both"/>
              <w:rPr>
                <w:rFonts w:cs="Calibri"/>
                <w:color w:val="000000"/>
                <w:sz w:val="20"/>
              </w:rPr>
            </w:pPr>
            <w:r w:rsidRPr="00BA154C">
              <w:rPr>
                <w:rFonts w:cs="Calibri"/>
                <w:color w:val="000000"/>
                <w:sz w:val="20"/>
              </w:rPr>
              <w:t>Elaboración de la Evaluación Económica</w:t>
            </w:r>
          </w:p>
        </w:tc>
        <w:tc>
          <w:tcPr>
            <w:tcW w:w="586" w:type="dxa"/>
            <w:tcBorders>
              <w:top w:val="nil"/>
              <w:left w:val="nil"/>
              <w:bottom w:val="single" w:sz="8" w:space="0" w:color="auto"/>
              <w:right w:val="single" w:sz="8" w:space="0" w:color="auto"/>
            </w:tcBorders>
            <w:shd w:val="clear" w:color="auto" w:fill="auto"/>
            <w:noWrap/>
            <w:vAlign w:val="center"/>
            <w:hideMark/>
          </w:tcPr>
          <w:p w14:paraId="090AF8D3"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auto"/>
            <w:noWrap/>
            <w:vAlign w:val="center"/>
            <w:hideMark/>
          </w:tcPr>
          <w:p w14:paraId="04F8693C"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62" w:type="dxa"/>
            <w:gridSpan w:val="2"/>
            <w:tcBorders>
              <w:top w:val="nil"/>
              <w:left w:val="nil"/>
              <w:bottom w:val="single" w:sz="8" w:space="0" w:color="auto"/>
              <w:right w:val="single" w:sz="8" w:space="0" w:color="auto"/>
            </w:tcBorders>
            <w:shd w:val="clear" w:color="auto" w:fill="auto"/>
            <w:noWrap/>
            <w:vAlign w:val="center"/>
            <w:hideMark/>
          </w:tcPr>
          <w:p w14:paraId="48E9C736"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92D050"/>
            <w:noWrap/>
            <w:vAlign w:val="center"/>
            <w:hideMark/>
          </w:tcPr>
          <w:p w14:paraId="4B8C4718"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1372" w:type="dxa"/>
            <w:tcBorders>
              <w:top w:val="nil"/>
              <w:left w:val="nil"/>
              <w:bottom w:val="single" w:sz="8" w:space="0" w:color="auto"/>
              <w:right w:val="single" w:sz="8" w:space="0" w:color="auto"/>
            </w:tcBorders>
            <w:shd w:val="clear" w:color="auto" w:fill="auto"/>
            <w:noWrap/>
            <w:vAlign w:val="center"/>
            <w:hideMark/>
          </w:tcPr>
          <w:p w14:paraId="5F9053CF" w14:textId="77777777" w:rsidR="00BB4337" w:rsidRPr="00BA154C" w:rsidRDefault="00BB4337" w:rsidP="009B04BB">
            <w:pPr>
              <w:jc w:val="both"/>
              <w:rPr>
                <w:rFonts w:cs="Calibri"/>
                <w:color w:val="000000"/>
                <w:sz w:val="20"/>
              </w:rPr>
            </w:pPr>
            <w:r w:rsidRPr="00BA154C">
              <w:rPr>
                <w:rFonts w:cs="Calibri"/>
                <w:color w:val="000000"/>
                <w:sz w:val="20"/>
              </w:rPr>
              <w:t>BID</w:t>
            </w:r>
          </w:p>
        </w:tc>
        <w:tc>
          <w:tcPr>
            <w:tcW w:w="1283" w:type="dxa"/>
            <w:tcBorders>
              <w:top w:val="nil"/>
              <w:left w:val="nil"/>
              <w:bottom w:val="single" w:sz="8" w:space="0" w:color="auto"/>
              <w:right w:val="single" w:sz="8" w:space="0" w:color="auto"/>
            </w:tcBorders>
            <w:shd w:val="clear" w:color="auto" w:fill="auto"/>
            <w:noWrap/>
            <w:vAlign w:val="center"/>
            <w:hideMark/>
          </w:tcPr>
          <w:p w14:paraId="3EEC2236" w14:textId="77777777" w:rsidR="00BB4337" w:rsidRPr="00BA154C" w:rsidRDefault="00BB4337" w:rsidP="009B04BB">
            <w:pPr>
              <w:jc w:val="both"/>
              <w:rPr>
                <w:rFonts w:cs="Calibri"/>
                <w:color w:val="000000"/>
                <w:sz w:val="20"/>
              </w:rPr>
            </w:pPr>
            <w:r w:rsidRPr="00BA154C">
              <w:rPr>
                <w:rFonts w:cs="Calibri"/>
                <w:color w:val="000000"/>
                <w:sz w:val="20"/>
              </w:rPr>
              <w:t>$30.000.00</w:t>
            </w:r>
          </w:p>
        </w:tc>
        <w:tc>
          <w:tcPr>
            <w:tcW w:w="1641" w:type="dxa"/>
            <w:tcBorders>
              <w:top w:val="nil"/>
              <w:left w:val="nil"/>
              <w:bottom w:val="single" w:sz="8" w:space="0" w:color="auto"/>
              <w:right w:val="single" w:sz="8" w:space="0" w:color="auto"/>
            </w:tcBorders>
            <w:shd w:val="clear" w:color="auto" w:fill="auto"/>
            <w:noWrap/>
            <w:vAlign w:val="center"/>
            <w:hideMark/>
          </w:tcPr>
          <w:p w14:paraId="03E94EAF" w14:textId="77777777" w:rsidR="00BB4337" w:rsidRPr="00BA154C" w:rsidRDefault="00BB4337" w:rsidP="009B04BB">
            <w:pPr>
              <w:jc w:val="both"/>
              <w:rPr>
                <w:rFonts w:cs="Calibri"/>
                <w:color w:val="000000"/>
                <w:sz w:val="20"/>
              </w:rPr>
            </w:pPr>
            <w:r w:rsidRPr="00BA154C">
              <w:rPr>
                <w:rFonts w:cs="Calibri"/>
                <w:color w:val="000000"/>
                <w:sz w:val="20"/>
              </w:rPr>
              <w:t>BID</w:t>
            </w:r>
          </w:p>
        </w:tc>
      </w:tr>
      <w:tr w:rsidR="00BB4337" w:rsidRPr="00BA154C" w14:paraId="79F867A8" w14:textId="77777777" w:rsidTr="00BA154C">
        <w:trPr>
          <w:trHeight w:val="327"/>
          <w:jc w:val="center"/>
        </w:trPr>
        <w:tc>
          <w:tcPr>
            <w:tcW w:w="2265" w:type="dxa"/>
            <w:tcBorders>
              <w:top w:val="nil"/>
              <w:left w:val="single" w:sz="8" w:space="0" w:color="auto"/>
              <w:bottom w:val="single" w:sz="8" w:space="0" w:color="auto"/>
              <w:right w:val="single" w:sz="8" w:space="0" w:color="auto"/>
            </w:tcBorders>
            <w:shd w:val="clear" w:color="auto" w:fill="auto"/>
            <w:noWrap/>
            <w:vAlign w:val="center"/>
            <w:hideMark/>
          </w:tcPr>
          <w:p w14:paraId="3FD4F609" w14:textId="77777777" w:rsidR="00BB4337" w:rsidRPr="00BA154C" w:rsidRDefault="00BB4337" w:rsidP="009B04BB">
            <w:pPr>
              <w:jc w:val="both"/>
              <w:rPr>
                <w:rFonts w:cs="Calibri"/>
                <w:color w:val="000000"/>
                <w:sz w:val="20"/>
              </w:rPr>
            </w:pPr>
            <w:r w:rsidRPr="00BA154C">
              <w:rPr>
                <w:rFonts w:cs="Calibri"/>
                <w:color w:val="000000"/>
                <w:sz w:val="20"/>
              </w:rPr>
              <w:t>Elaboración del informe final</w:t>
            </w:r>
          </w:p>
        </w:tc>
        <w:tc>
          <w:tcPr>
            <w:tcW w:w="586" w:type="dxa"/>
            <w:tcBorders>
              <w:top w:val="nil"/>
              <w:left w:val="nil"/>
              <w:bottom w:val="single" w:sz="8" w:space="0" w:color="auto"/>
              <w:right w:val="single" w:sz="8" w:space="0" w:color="auto"/>
            </w:tcBorders>
            <w:shd w:val="clear" w:color="auto" w:fill="auto"/>
            <w:noWrap/>
            <w:vAlign w:val="center"/>
            <w:hideMark/>
          </w:tcPr>
          <w:p w14:paraId="67EF959A"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auto"/>
            <w:noWrap/>
            <w:vAlign w:val="center"/>
            <w:hideMark/>
          </w:tcPr>
          <w:p w14:paraId="6D4B2915"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62" w:type="dxa"/>
            <w:gridSpan w:val="2"/>
            <w:tcBorders>
              <w:top w:val="nil"/>
              <w:left w:val="nil"/>
              <w:bottom w:val="single" w:sz="8" w:space="0" w:color="auto"/>
              <w:right w:val="single" w:sz="8" w:space="0" w:color="auto"/>
            </w:tcBorders>
            <w:shd w:val="clear" w:color="auto" w:fill="auto"/>
            <w:noWrap/>
            <w:vAlign w:val="center"/>
            <w:hideMark/>
          </w:tcPr>
          <w:p w14:paraId="7773F94C"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525" w:type="dxa"/>
            <w:tcBorders>
              <w:top w:val="nil"/>
              <w:left w:val="nil"/>
              <w:bottom w:val="single" w:sz="8" w:space="0" w:color="auto"/>
              <w:right w:val="single" w:sz="8" w:space="0" w:color="auto"/>
            </w:tcBorders>
            <w:shd w:val="clear" w:color="auto" w:fill="92D050"/>
            <w:noWrap/>
            <w:vAlign w:val="center"/>
            <w:hideMark/>
          </w:tcPr>
          <w:p w14:paraId="372FBD64" w14:textId="77777777" w:rsidR="00BB4337" w:rsidRPr="00BA154C" w:rsidRDefault="00BB4337" w:rsidP="009B04BB">
            <w:pPr>
              <w:jc w:val="both"/>
              <w:rPr>
                <w:rFonts w:cs="Calibri"/>
                <w:color w:val="000000"/>
                <w:sz w:val="20"/>
              </w:rPr>
            </w:pPr>
            <w:r w:rsidRPr="00BA154C">
              <w:rPr>
                <w:rFonts w:cs="Calibri"/>
                <w:color w:val="000000"/>
                <w:sz w:val="20"/>
              </w:rPr>
              <w:t> </w:t>
            </w:r>
          </w:p>
        </w:tc>
        <w:tc>
          <w:tcPr>
            <w:tcW w:w="1372" w:type="dxa"/>
            <w:tcBorders>
              <w:top w:val="nil"/>
              <w:left w:val="nil"/>
              <w:bottom w:val="single" w:sz="8" w:space="0" w:color="auto"/>
              <w:right w:val="single" w:sz="8" w:space="0" w:color="auto"/>
            </w:tcBorders>
            <w:shd w:val="clear" w:color="auto" w:fill="auto"/>
            <w:noWrap/>
            <w:vAlign w:val="center"/>
            <w:hideMark/>
          </w:tcPr>
          <w:p w14:paraId="3D8164A5" w14:textId="77777777" w:rsidR="00BB4337" w:rsidRPr="00BA154C" w:rsidRDefault="00BB4337" w:rsidP="009B04BB">
            <w:pPr>
              <w:jc w:val="both"/>
              <w:rPr>
                <w:rFonts w:cs="Calibri"/>
                <w:color w:val="000000"/>
                <w:sz w:val="20"/>
              </w:rPr>
            </w:pPr>
            <w:r w:rsidRPr="00BA154C">
              <w:rPr>
                <w:rFonts w:cs="Calibri"/>
                <w:color w:val="000000"/>
                <w:sz w:val="20"/>
              </w:rPr>
              <w:t>BID</w:t>
            </w:r>
          </w:p>
        </w:tc>
        <w:tc>
          <w:tcPr>
            <w:tcW w:w="1283" w:type="dxa"/>
            <w:tcBorders>
              <w:top w:val="nil"/>
              <w:left w:val="nil"/>
              <w:bottom w:val="single" w:sz="8" w:space="0" w:color="auto"/>
              <w:right w:val="single" w:sz="8" w:space="0" w:color="auto"/>
            </w:tcBorders>
            <w:shd w:val="clear" w:color="auto" w:fill="auto"/>
            <w:noWrap/>
            <w:vAlign w:val="center"/>
            <w:hideMark/>
          </w:tcPr>
          <w:p w14:paraId="27FED413" w14:textId="77777777" w:rsidR="00BB4337" w:rsidRPr="00BA154C" w:rsidRDefault="00BB4337" w:rsidP="009B04BB">
            <w:pPr>
              <w:jc w:val="both"/>
              <w:rPr>
                <w:rFonts w:cs="Calibri"/>
                <w:color w:val="000000"/>
                <w:sz w:val="20"/>
              </w:rPr>
            </w:pPr>
            <w:r w:rsidRPr="00BA154C">
              <w:rPr>
                <w:rFonts w:cs="Calibri"/>
                <w:color w:val="000000"/>
                <w:sz w:val="20"/>
              </w:rPr>
              <w:t>$20.000.00</w:t>
            </w:r>
          </w:p>
        </w:tc>
        <w:tc>
          <w:tcPr>
            <w:tcW w:w="1641" w:type="dxa"/>
            <w:tcBorders>
              <w:top w:val="nil"/>
              <w:left w:val="nil"/>
              <w:bottom w:val="single" w:sz="8" w:space="0" w:color="auto"/>
              <w:right w:val="single" w:sz="8" w:space="0" w:color="auto"/>
            </w:tcBorders>
            <w:shd w:val="clear" w:color="auto" w:fill="auto"/>
            <w:noWrap/>
            <w:vAlign w:val="center"/>
            <w:hideMark/>
          </w:tcPr>
          <w:p w14:paraId="761AB756" w14:textId="77777777" w:rsidR="00BB4337" w:rsidRPr="00BA154C" w:rsidRDefault="00BB4337" w:rsidP="009B04BB">
            <w:pPr>
              <w:jc w:val="both"/>
              <w:rPr>
                <w:rFonts w:cs="Calibri"/>
                <w:color w:val="000000"/>
                <w:sz w:val="20"/>
              </w:rPr>
            </w:pPr>
            <w:r w:rsidRPr="00BA154C">
              <w:rPr>
                <w:rFonts w:cs="Calibri"/>
                <w:color w:val="000000"/>
                <w:sz w:val="20"/>
              </w:rPr>
              <w:t>BID</w:t>
            </w:r>
          </w:p>
        </w:tc>
      </w:tr>
      <w:tr w:rsidR="00B552ED" w:rsidRPr="00BB4337" w14:paraId="6400606B" w14:textId="77777777" w:rsidTr="00BA154C">
        <w:trPr>
          <w:gridAfter w:val="5"/>
          <w:wAfter w:w="5187" w:type="dxa"/>
          <w:trHeight w:val="327"/>
          <w:jc w:val="center"/>
        </w:trPr>
        <w:tc>
          <w:tcPr>
            <w:tcW w:w="2265" w:type="dxa"/>
            <w:tcBorders>
              <w:top w:val="nil"/>
              <w:left w:val="single" w:sz="8" w:space="0" w:color="auto"/>
              <w:bottom w:val="single" w:sz="8" w:space="0" w:color="auto"/>
              <w:right w:val="single" w:sz="8" w:space="0" w:color="auto"/>
            </w:tcBorders>
            <w:shd w:val="clear" w:color="auto" w:fill="auto"/>
            <w:noWrap/>
            <w:vAlign w:val="center"/>
            <w:hideMark/>
          </w:tcPr>
          <w:p w14:paraId="49AD9D54" w14:textId="77777777" w:rsidR="00B552ED" w:rsidRPr="00BA154C" w:rsidRDefault="00B552ED" w:rsidP="009B04BB">
            <w:pPr>
              <w:jc w:val="both"/>
              <w:rPr>
                <w:rFonts w:cs="Calibri"/>
                <w:b/>
                <w:bCs/>
                <w:color w:val="000000"/>
                <w:sz w:val="20"/>
              </w:rPr>
            </w:pPr>
            <w:r w:rsidRPr="00BA154C">
              <w:rPr>
                <w:rFonts w:cs="Calibri"/>
                <w:b/>
                <w:bCs/>
                <w:color w:val="000000"/>
                <w:sz w:val="20"/>
              </w:rPr>
              <w:t>Total</w:t>
            </w:r>
          </w:p>
        </w:tc>
        <w:tc>
          <w:tcPr>
            <w:tcW w:w="1307" w:type="dxa"/>
            <w:gridSpan w:val="3"/>
            <w:tcBorders>
              <w:top w:val="nil"/>
              <w:left w:val="nil"/>
              <w:bottom w:val="single" w:sz="8" w:space="0" w:color="auto"/>
              <w:right w:val="single" w:sz="8" w:space="0" w:color="auto"/>
            </w:tcBorders>
            <w:shd w:val="clear" w:color="auto" w:fill="auto"/>
            <w:noWrap/>
            <w:vAlign w:val="center"/>
            <w:hideMark/>
          </w:tcPr>
          <w:p w14:paraId="24797EC0" w14:textId="77777777" w:rsidR="00B552ED" w:rsidRPr="003D2F44" w:rsidRDefault="00B552ED" w:rsidP="009B04BB">
            <w:pPr>
              <w:jc w:val="both"/>
              <w:rPr>
                <w:rFonts w:cs="Calibri"/>
                <w:b/>
                <w:bCs/>
                <w:color w:val="000000"/>
                <w:sz w:val="20"/>
              </w:rPr>
            </w:pPr>
            <w:r w:rsidRPr="00BA154C">
              <w:rPr>
                <w:rFonts w:cs="Calibri"/>
                <w:b/>
                <w:bCs/>
                <w:color w:val="000000"/>
                <w:sz w:val="20"/>
              </w:rPr>
              <w:t>$50.000.00</w:t>
            </w:r>
          </w:p>
        </w:tc>
      </w:tr>
    </w:tbl>
    <w:p w14:paraId="7D7FCC73" w14:textId="77777777" w:rsidR="00B552ED" w:rsidRPr="003D2F44" w:rsidRDefault="00B552ED" w:rsidP="009B04BB">
      <w:pPr>
        <w:pStyle w:val="Paragraph"/>
        <w:tabs>
          <w:tab w:val="clear" w:pos="720"/>
        </w:tabs>
        <w:ind w:left="705" w:firstLine="0"/>
        <w:rPr>
          <w:lang w:val="es-ES_tradnl"/>
        </w:rPr>
      </w:pPr>
      <w:bookmarkStart w:id="7" w:name="_GoBack"/>
      <w:bookmarkEnd w:id="7"/>
    </w:p>
    <w:sectPr w:rsidR="00B552ED" w:rsidRPr="003D2F44" w:rsidSect="00336F0D">
      <w:footerReference w:type="even" r:id="rId28"/>
      <w:footerReference w:type="default" r:id="rId29"/>
      <w:pgSz w:w="12240" w:h="15840"/>
      <w:pgMar w:top="1008" w:right="1008" w:bottom="1008" w:left="1008" w:header="720" w:footer="1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802CB2" w14:textId="77777777" w:rsidR="00E9217D" w:rsidRDefault="00E9217D" w:rsidP="00C67CCA">
      <w:r>
        <w:separator/>
      </w:r>
    </w:p>
  </w:endnote>
  <w:endnote w:type="continuationSeparator" w:id="0">
    <w:p w14:paraId="48057A75" w14:textId="77777777" w:rsidR="00E9217D" w:rsidRDefault="00E9217D" w:rsidP="00C67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altName w:val="Palatino Linotype"/>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B549A7" w14:textId="77777777" w:rsidR="00E9217D" w:rsidRDefault="00E9217D" w:rsidP="001728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D74B5C" w14:textId="77777777" w:rsidR="00E9217D" w:rsidRDefault="00E9217D" w:rsidP="004E3E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3DE1B" w14:textId="38B0493B" w:rsidR="00E9217D" w:rsidRDefault="00E9217D" w:rsidP="00F6150F">
    <w:pPr>
      <w:pStyle w:val="Footer"/>
      <w:framePr w:h="720" w:hRule="exact" w:wrap="around" w:vAnchor="text" w:hAnchor="margin" w:xAlign="right"/>
      <w:rPr>
        <w:rStyle w:val="PageNumber"/>
      </w:rPr>
    </w:pPr>
    <w:r>
      <w:rPr>
        <w:rStyle w:val="PageNumber"/>
      </w:rPr>
      <w:fldChar w:fldCharType="begin"/>
    </w:r>
    <w:r>
      <w:rPr>
        <w:rStyle w:val="PageNumber"/>
      </w:rPr>
      <w:instrText xml:space="preserve">PAGE  </w:instrText>
    </w:r>
    <w:r>
      <w:rPr>
        <w:rStyle w:val="PageNumber"/>
      </w:rPr>
      <w:fldChar w:fldCharType="separate"/>
    </w:r>
    <w:r w:rsidR="00BA154C">
      <w:rPr>
        <w:rStyle w:val="PageNumber"/>
        <w:noProof/>
      </w:rPr>
      <w:t>4</w:t>
    </w:r>
    <w:r>
      <w:rPr>
        <w:rStyle w:val="PageNumber"/>
      </w:rPr>
      <w:fldChar w:fldCharType="end"/>
    </w:r>
  </w:p>
  <w:p w14:paraId="11CC7060" w14:textId="77777777" w:rsidR="00E9217D" w:rsidRDefault="00E9217D" w:rsidP="004E3E3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EBBCA9" w14:textId="77777777" w:rsidR="00E9217D" w:rsidRDefault="00E9217D" w:rsidP="00C67CCA">
      <w:r>
        <w:separator/>
      </w:r>
    </w:p>
  </w:footnote>
  <w:footnote w:type="continuationSeparator" w:id="0">
    <w:p w14:paraId="3255C18E" w14:textId="77777777" w:rsidR="00E9217D" w:rsidRDefault="00E9217D" w:rsidP="00C67CCA">
      <w:r>
        <w:continuationSeparator/>
      </w:r>
    </w:p>
  </w:footnote>
  <w:footnote w:id="1">
    <w:p w14:paraId="2D959C1D" w14:textId="77777777" w:rsidR="00E9217D" w:rsidRPr="00F70C39" w:rsidRDefault="00E9217D" w:rsidP="009B04BB">
      <w:pPr>
        <w:pStyle w:val="FootnoteText"/>
        <w:rPr>
          <w:rFonts w:ascii="Times New Roman" w:hAnsi="Times New Roman" w:cs="Times New Roman"/>
          <w:sz w:val="20"/>
          <w:szCs w:val="20"/>
          <w:lang w:val="es-CO"/>
        </w:rPr>
      </w:pPr>
      <w:r w:rsidRPr="00F70C39">
        <w:rPr>
          <w:rStyle w:val="FootnoteReference"/>
          <w:rFonts w:ascii="Times New Roman" w:hAnsi="Times New Roman" w:cs="Times New Roman"/>
          <w:sz w:val="20"/>
          <w:szCs w:val="20"/>
        </w:rPr>
        <w:footnoteRef/>
      </w:r>
      <w:r w:rsidRPr="00F70C39">
        <w:rPr>
          <w:rFonts w:ascii="Times New Roman" w:hAnsi="Times New Roman" w:cs="Times New Roman"/>
          <w:sz w:val="20"/>
          <w:szCs w:val="20"/>
          <w:lang w:val="es-ES"/>
        </w:rPr>
        <w:t xml:space="preserve"> </w:t>
      </w:r>
      <w:r w:rsidRPr="00F70C39">
        <w:rPr>
          <w:rFonts w:ascii="Times New Roman" w:hAnsi="Times New Roman" w:cs="Times New Roman"/>
          <w:sz w:val="20"/>
          <w:szCs w:val="20"/>
          <w:lang w:val="es-CO"/>
        </w:rPr>
        <w:t>Por el tipo de operación (PBL) los productos son entregados de manera ex ante.</w:t>
      </w:r>
    </w:p>
  </w:footnote>
  <w:footnote w:id="2">
    <w:p w14:paraId="10CBFF60" w14:textId="77777777" w:rsidR="00E9217D" w:rsidRPr="00EF5BE0" w:rsidRDefault="00E9217D" w:rsidP="00E9217D">
      <w:pPr>
        <w:pStyle w:val="FootnoteText"/>
        <w:rPr>
          <w:sz w:val="20"/>
          <w:szCs w:val="20"/>
          <w:lang w:val="es-ES_tradnl"/>
        </w:rPr>
      </w:pPr>
      <w:r w:rsidRPr="00EF5BE0">
        <w:rPr>
          <w:rStyle w:val="FootnoteReference"/>
          <w:sz w:val="20"/>
          <w:szCs w:val="20"/>
          <w:lang w:val="es-ES_tradnl"/>
        </w:rPr>
        <w:footnoteRef/>
      </w:r>
      <w:r w:rsidRPr="00EF5BE0">
        <w:rPr>
          <w:sz w:val="20"/>
          <w:szCs w:val="20"/>
          <w:lang w:val="es-ES_tradnl"/>
        </w:rPr>
        <w:t xml:space="preserve"> Fuente: Ministerio de Energía y Minas (MEM) </w:t>
      </w:r>
    </w:p>
  </w:footnote>
  <w:footnote w:id="3">
    <w:p w14:paraId="2C3FCD3A" w14:textId="77777777" w:rsidR="00E9217D" w:rsidRPr="00EF5BE0" w:rsidRDefault="00E9217D" w:rsidP="00E9217D">
      <w:pPr>
        <w:widowControl w:val="0"/>
        <w:autoSpaceDE w:val="0"/>
        <w:autoSpaceDN w:val="0"/>
        <w:adjustRightInd w:val="0"/>
        <w:spacing w:after="240"/>
        <w:rPr>
          <w:rFonts w:ascii="Times" w:eastAsiaTheme="minorEastAsia" w:hAnsi="Times" w:cs="Times"/>
          <w:szCs w:val="24"/>
        </w:rPr>
      </w:pPr>
      <w:r w:rsidRPr="00EF5BE0">
        <w:rPr>
          <w:rStyle w:val="FootnoteReference"/>
        </w:rPr>
        <w:footnoteRef/>
      </w:r>
      <w:r w:rsidRPr="00EF5BE0">
        <w:t xml:space="preserve"> </w:t>
      </w:r>
      <w:r w:rsidRPr="00EF5BE0">
        <w:rPr>
          <w:sz w:val="20"/>
        </w:rPr>
        <w:t>Instituto Nicaragüense De Energía, Estadísticas del Sector Eléctrico, Consumo Promedio (MWh/Cliente)</w:t>
      </w:r>
    </w:p>
  </w:footnote>
  <w:footnote w:id="4">
    <w:p w14:paraId="26B0F47A" w14:textId="77777777" w:rsidR="00E9217D" w:rsidRPr="00EF5BE0" w:rsidRDefault="00E9217D" w:rsidP="00E9217D">
      <w:pPr>
        <w:pStyle w:val="FootnoteText"/>
        <w:rPr>
          <w:lang w:val="es-ES_tradnl"/>
        </w:rPr>
      </w:pPr>
      <w:r w:rsidRPr="00EF5BE0">
        <w:rPr>
          <w:rStyle w:val="FootnoteReference"/>
          <w:lang w:val="es-ES_tradnl"/>
        </w:rPr>
        <w:footnoteRef/>
      </w:r>
      <w:r w:rsidRPr="00EF5BE0">
        <w:rPr>
          <w:lang w:val="es-ES_tradnl"/>
        </w:rPr>
        <w:t xml:space="preserve"> Informe-de-Gestión-del-INE-2013.pdf pg.26</w:t>
      </w:r>
    </w:p>
  </w:footnote>
  <w:footnote w:id="5">
    <w:p w14:paraId="78ED0623" w14:textId="77777777" w:rsidR="00910F35" w:rsidRPr="00287EFE" w:rsidRDefault="00910F35" w:rsidP="00910F35">
      <w:pPr>
        <w:pStyle w:val="FootnoteText"/>
        <w:rPr>
          <w:sz w:val="22"/>
          <w:szCs w:val="22"/>
          <w:lang w:val="es-ES_tradnl"/>
        </w:rPr>
      </w:pPr>
      <w:r w:rsidRPr="00287EFE">
        <w:rPr>
          <w:rStyle w:val="FootnoteReference"/>
          <w:sz w:val="22"/>
          <w:szCs w:val="22"/>
          <w:lang w:val="es-ES_tradnl"/>
        </w:rPr>
        <w:footnoteRef/>
      </w:r>
      <w:r w:rsidRPr="00287EFE">
        <w:rPr>
          <w:sz w:val="22"/>
          <w:szCs w:val="22"/>
          <w:lang w:val="es-ES_tradnl"/>
        </w:rPr>
        <w:t xml:space="preserve"> Informe-de-Gestión-del-INE-2016.pdf </w:t>
      </w:r>
    </w:p>
  </w:footnote>
  <w:footnote w:id="6">
    <w:p w14:paraId="30988FE7" w14:textId="77777777" w:rsidR="00414AA5" w:rsidRPr="00EF5BE0" w:rsidRDefault="00414AA5" w:rsidP="00414AA5">
      <w:pPr>
        <w:pStyle w:val="FootnoteText"/>
        <w:rPr>
          <w:sz w:val="20"/>
          <w:szCs w:val="20"/>
          <w:lang w:val="es-ES_tradnl"/>
        </w:rPr>
      </w:pPr>
      <w:r w:rsidRPr="00EF5BE0">
        <w:rPr>
          <w:rStyle w:val="FootnoteReference"/>
          <w:sz w:val="20"/>
          <w:szCs w:val="20"/>
          <w:lang w:val="es-ES_tradnl"/>
        </w:rPr>
        <w:footnoteRef/>
      </w:r>
      <w:r w:rsidRPr="00EF5BE0">
        <w:rPr>
          <w:sz w:val="20"/>
          <w:szCs w:val="20"/>
          <w:lang w:val="es-ES_tradnl"/>
        </w:rPr>
        <w:t xml:space="preserve"> Se toman basados en el Plan de Expansión de la Generación Eléctrica 2016-2030.</w:t>
      </w:r>
    </w:p>
  </w:footnote>
  <w:footnote w:id="7">
    <w:p w14:paraId="43B2998F" w14:textId="77777777" w:rsidR="00BA154C" w:rsidRPr="006714C2" w:rsidRDefault="00BA154C" w:rsidP="00BA154C">
      <w:pPr>
        <w:pStyle w:val="FootnoteText"/>
        <w:rPr>
          <w:sz w:val="20"/>
          <w:szCs w:val="20"/>
          <w:lang w:val="es-ES_tradnl"/>
        </w:rPr>
      </w:pPr>
      <w:r>
        <w:rPr>
          <w:rStyle w:val="FootnoteReference"/>
        </w:rPr>
        <w:footnoteRef/>
      </w:r>
      <w:r w:rsidRPr="006714C2">
        <w:rPr>
          <w:sz w:val="20"/>
          <w:szCs w:val="20"/>
          <w:lang w:val="es-ES_tradnl"/>
        </w:rPr>
        <w:t xml:space="preserve"> Ingresos antes de Intereses, Impuestos, Depreciación y Amortización</w:t>
      </w:r>
      <w:r>
        <w:rPr>
          <w:sz w:val="20"/>
          <w:szCs w:val="20"/>
          <w:lang w:val="es-ES_tradnl"/>
        </w:rPr>
        <w:t>.</w:t>
      </w:r>
    </w:p>
  </w:footnote>
  <w:footnote w:id="8">
    <w:p w14:paraId="35B9D7C5" w14:textId="77777777" w:rsidR="00BA154C" w:rsidRPr="00053724" w:rsidRDefault="00BA154C" w:rsidP="00BA154C">
      <w:pPr>
        <w:pStyle w:val="FootnoteText"/>
        <w:ind w:left="720" w:hanging="720"/>
        <w:rPr>
          <w:lang w:val="es-ES_tradnl"/>
        </w:rPr>
      </w:pPr>
      <w:r>
        <w:rPr>
          <w:rStyle w:val="FootnoteReference"/>
        </w:rPr>
        <w:footnoteRef/>
      </w:r>
      <w:r w:rsidRPr="00053724">
        <w:rPr>
          <w:lang w:val="es-ES_tradnl"/>
        </w:rPr>
        <w:t xml:space="preserve"> </w:t>
      </w:r>
      <w:r w:rsidRPr="00B71B4C">
        <w:rPr>
          <w:sz w:val="20"/>
          <w:lang w:val="es-ES_tradnl"/>
        </w:rPr>
        <w:t xml:space="preserve">Este valor se calcula como Energía Vendida / Energía Generada * Energía Pagada / Energía Facturada y </w:t>
      </w:r>
      <w:r>
        <w:rPr>
          <w:sz w:val="20"/>
          <w:lang w:val="es-ES_tradnl"/>
        </w:rPr>
        <w:t>es</w:t>
      </w:r>
      <w:r w:rsidRPr="00B71B4C">
        <w:rPr>
          <w:sz w:val="20"/>
          <w:lang w:val="es-ES_tradnl"/>
        </w:rPr>
        <w:t xml:space="preserve"> promediad</w:t>
      </w:r>
      <w:r>
        <w:rPr>
          <w:sz w:val="20"/>
          <w:lang w:val="es-ES_tradnl"/>
        </w:rPr>
        <w:t xml:space="preserve">o para DISSNORTE y </w:t>
      </w:r>
      <w:r w:rsidRPr="00B71B4C">
        <w:rPr>
          <w:sz w:val="20"/>
          <w:lang w:val="es-ES_tradnl"/>
        </w:rPr>
        <w:t>DISSUR.</w:t>
      </w:r>
    </w:p>
  </w:footnote>
  <w:footnote w:id="9">
    <w:p w14:paraId="35976BB8" w14:textId="77777777" w:rsidR="00BA154C" w:rsidRPr="00966FBE" w:rsidRDefault="00BA154C" w:rsidP="00BA154C">
      <w:pPr>
        <w:pStyle w:val="FootnoteText"/>
        <w:rPr>
          <w:lang w:val="es-ES_tradnl"/>
        </w:rPr>
      </w:pPr>
      <w:r>
        <w:rPr>
          <w:rStyle w:val="FootnoteReference"/>
        </w:rPr>
        <w:footnoteRef/>
      </w:r>
      <w:r w:rsidRPr="006309E9">
        <w:rPr>
          <w:lang w:val="es-ES_tradnl"/>
        </w:rPr>
        <w:t xml:space="preserve"> </w:t>
      </w:r>
      <w:r>
        <w:rPr>
          <w:sz w:val="20"/>
          <w:szCs w:val="20"/>
          <w:lang w:val="es-ES_tradnl"/>
        </w:rPr>
        <w:t>Informacion estadística publicada por CEPAL en “Estadísticas del Subsector Eléctrico de los Países del Sistema de la Integración Centroamericana (SICA), 2015”</w:t>
      </w:r>
      <w:r w:rsidRPr="006309E9">
        <w:rPr>
          <w:sz w:val="20"/>
          <w:szCs w:val="20"/>
          <w:lang w:val="es-ES_tradnl"/>
        </w:rPr>
        <w:t>.</w:t>
      </w:r>
      <w:r>
        <w:rPr>
          <w:sz w:val="20"/>
          <w:szCs w:val="20"/>
          <w:lang w:val="es-ES_tradnl"/>
        </w:rPr>
        <w:t xml:space="preserve"> La información estadística para 2016 aún no ha sido publicada por CEPAL.</w:t>
      </w:r>
    </w:p>
  </w:footnote>
  <w:footnote w:id="10">
    <w:p w14:paraId="0D0C52CE" w14:textId="77777777" w:rsidR="00BA154C" w:rsidRPr="00914212" w:rsidRDefault="00BA154C" w:rsidP="00BA154C">
      <w:pPr>
        <w:pStyle w:val="FootnoteText"/>
        <w:rPr>
          <w:sz w:val="20"/>
          <w:szCs w:val="20"/>
          <w:lang w:val="es-ES_tradnl"/>
        </w:rPr>
      </w:pPr>
      <w:r w:rsidRPr="00914212">
        <w:rPr>
          <w:sz w:val="20"/>
          <w:szCs w:val="20"/>
          <w:vertAlign w:val="superscript"/>
          <w:lang w:val="es-ES_tradnl"/>
        </w:rPr>
        <w:footnoteRef/>
      </w:r>
      <w:r w:rsidRPr="00914212">
        <w:rPr>
          <w:sz w:val="20"/>
          <w:szCs w:val="20"/>
          <w:lang w:val="es-ES_tradnl"/>
        </w:rPr>
        <w:t xml:space="preserve"> A partir de los datos estadísticos publicados por el INE sobre energía disponible y vendida en el SIN, y siguiendo el procedimiento de balance de la CEPAL, se estima que las pérdidas t</w:t>
      </w:r>
      <w:r>
        <w:rPr>
          <w:sz w:val="20"/>
          <w:szCs w:val="20"/>
          <w:lang w:val="es-ES_tradnl"/>
        </w:rPr>
        <w:t>otales en 2016 alcanzaron 23.9%, resultado que tendrá que ser confirmado cuando CEPAL publique las estadísticas 2016.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B6CF3"/>
    <w:multiLevelType w:val="hybridMultilevel"/>
    <w:tmpl w:val="7F2077CE"/>
    <w:lvl w:ilvl="0" w:tplc="8FF891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E377901"/>
    <w:multiLevelType w:val="multilevel"/>
    <w:tmpl w:val="6FA8F370"/>
    <w:lvl w:ilvl="0">
      <w:start w:val="2"/>
      <w:numFmt w:val="decimal"/>
      <w:lvlText w:val="%1"/>
      <w:lvlJc w:val="left"/>
      <w:pPr>
        <w:ind w:left="360" w:hanging="360"/>
      </w:pPr>
      <w:rPr>
        <w:rFonts w:hint="default"/>
      </w:rPr>
    </w:lvl>
    <w:lvl w:ilvl="1">
      <w:start w:val="1"/>
      <w:numFmt w:val="lowerLetter"/>
      <w:lvlText w:val="%2)"/>
      <w:lvlJc w:val="left"/>
      <w:pPr>
        <w:ind w:left="1440" w:hanging="360"/>
      </w:pPr>
      <w:rPr>
        <w:rFonts w:ascii="Times New Roman" w:eastAsia="Times New Roman" w:hAnsi="Times New Roman"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 w15:restartNumberingAfterBreak="0">
    <w:nsid w:val="118F5E10"/>
    <w:multiLevelType w:val="hybridMultilevel"/>
    <w:tmpl w:val="D834EEEA"/>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C453398"/>
    <w:multiLevelType w:val="hybridMultilevel"/>
    <w:tmpl w:val="2D208522"/>
    <w:lvl w:ilvl="0" w:tplc="D682EE50">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C4232B"/>
    <w:multiLevelType w:val="hybridMultilevel"/>
    <w:tmpl w:val="7F602660"/>
    <w:lvl w:ilvl="0" w:tplc="9378DE40">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735B6F"/>
    <w:multiLevelType w:val="hybridMultilevel"/>
    <w:tmpl w:val="193EB03E"/>
    <w:lvl w:ilvl="0" w:tplc="75303504">
      <w:start w:val="2"/>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7EB7168"/>
    <w:multiLevelType w:val="hybridMultilevel"/>
    <w:tmpl w:val="D834EEEA"/>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4278381D"/>
    <w:multiLevelType w:val="multilevel"/>
    <w:tmpl w:val="6FA8F370"/>
    <w:lvl w:ilvl="0">
      <w:start w:val="2"/>
      <w:numFmt w:val="decimal"/>
      <w:lvlText w:val="%1"/>
      <w:lvlJc w:val="left"/>
      <w:pPr>
        <w:ind w:left="360" w:hanging="360"/>
      </w:pPr>
      <w:rPr>
        <w:rFonts w:hint="default"/>
      </w:rPr>
    </w:lvl>
    <w:lvl w:ilvl="1">
      <w:start w:val="1"/>
      <w:numFmt w:val="lowerLetter"/>
      <w:lvlText w:val="%2)"/>
      <w:lvlJc w:val="left"/>
      <w:pPr>
        <w:ind w:left="1440" w:hanging="360"/>
      </w:pPr>
      <w:rPr>
        <w:rFonts w:ascii="Times New Roman" w:eastAsia="Times New Roman" w:hAnsi="Times New Roman" w:cs="Times New Roman"/>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496B4FBB"/>
    <w:multiLevelType w:val="hybridMultilevel"/>
    <w:tmpl w:val="4F9EF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CA64B1"/>
    <w:multiLevelType w:val="hybridMultilevel"/>
    <w:tmpl w:val="34DA1A0E"/>
    <w:lvl w:ilvl="0" w:tplc="47CCC3E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CB0B30"/>
    <w:multiLevelType w:val="hybridMultilevel"/>
    <w:tmpl w:val="CD7A4226"/>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4BFE123A"/>
    <w:multiLevelType w:val="hybridMultilevel"/>
    <w:tmpl w:val="CE6475F0"/>
    <w:lvl w:ilvl="0" w:tplc="959877E2">
      <w:start w:val="1"/>
      <w:numFmt w:val="bullet"/>
      <w:pStyle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31EF8"/>
    <w:multiLevelType w:val="hybridMultilevel"/>
    <w:tmpl w:val="82B844C0"/>
    <w:lvl w:ilvl="0" w:tplc="513839E0">
      <w:start w:val="3"/>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48657FA"/>
    <w:multiLevelType w:val="hybridMultilevel"/>
    <w:tmpl w:val="9620AF34"/>
    <w:lvl w:ilvl="0" w:tplc="E7AA21E4">
      <w:start w:val="1"/>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8446594"/>
    <w:multiLevelType w:val="multilevel"/>
    <w:tmpl w:val="412A532C"/>
    <w:lvl w:ilvl="0">
      <w:start w:val="1"/>
      <w:numFmt w:val="upperRoman"/>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5B9A7602"/>
    <w:multiLevelType w:val="hybridMultilevel"/>
    <w:tmpl w:val="C36CA44E"/>
    <w:lvl w:ilvl="0" w:tplc="0409000F">
      <w:start w:val="1"/>
      <w:numFmt w:val="upperRoman"/>
      <w:lvlText w:val="%1."/>
      <w:lvlJc w:val="left"/>
      <w:pPr>
        <w:ind w:left="1080" w:hanging="720"/>
      </w:pPr>
      <w:rPr>
        <w:rFonts w:hint="default"/>
      </w:rPr>
    </w:lvl>
    <w:lvl w:ilvl="1" w:tplc="04090019">
      <w:start w:val="1"/>
      <w:numFmt w:val="decimal"/>
      <w:lvlText w:val="%2."/>
      <w:lvlJc w:val="left"/>
      <w:pPr>
        <w:ind w:left="1440" w:hanging="360"/>
      </w:pPr>
    </w:lvl>
    <w:lvl w:ilvl="2" w:tplc="0409001B">
      <w:start w:val="1"/>
      <w:numFmt w:val="lowerRoman"/>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DE16C6"/>
    <w:multiLevelType w:val="hybridMultilevel"/>
    <w:tmpl w:val="DFA2EE92"/>
    <w:lvl w:ilvl="0" w:tplc="517A3DB6">
      <w:start w:val="4"/>
      <w:numFmt w:val="upp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5FF509F5"/>
    <w:multiLevelType w:val="hybridMultilevel"/>
    <w:tmpl w:val="FCC80A82"/>
    <w:lvl w:ilvl="0" w:tplc="04090001">
      <w:start w:val="1"/>
      <w:numFmt w:val="upperRoman"/>
      <w:lvlText w:val="%1."/>
      <w:lvlJc w:val="left"/>
      <w:pPr>
        <w:ind w:left="1425" w:hanging="720"/>
      </w:pPr>
      <w:rPr>
        <w:rFonts w:hint="default"/>
      </w:rPr>
    </w:lvl>
    <w:lvl w:ilvl="1" w:tplc="04090003">
      <w:start w:val="1"/>
      <w:numFmt w:val="lowerLetter"/>
      <w:lvlText w:val="%2."/>
      <w:lvlJc w:val="left"/>
      <w:pPr>
        <w:ind w:left="1785" w:hanging="360"/>
      </w:pPr>
    </w:lvl>
    <w:lvl w:ilvl="2" w:tplc="04090005">
      <w:start w:val="1"/>
      <w:numFmt w:val="lowerRoman"/>
      <w:lvlText w:val="%3."/>
      <w:lvlJc w:val="right"/>
      <w:pPr>
        <w:ind w:left="2505" w:hanging="180"/>
      </w:pPr>
    </w:lvl>
    <w:lvl w:ilvl="3" w:tplc="04090001">
      <w:start w:val="1"/>
      <w:numFmt w:val="decimal"/>
      <w:lvlText w:val="%4."/>
      <w:lvlJc w:val="left"/>
      <w:pPr>
        <w:ind w:left="3225" w:hanging="360"/>
      </w:pPr>
    </w:lvl>
    <w:lvl w:ilvl="4" w:tplc="04090003">
      <w:start w:val="1"/>
      <w:numFmt w:val="lowerLetter"/>
      <w:lvlText w:val="%5."/>
      <w:lvlJc w:val="left"/>
      <w:pPr>
        <w:ind w:left="3945" w:hanging="360"/>
      </w:pPr>
    </w:lvl>
    <w:lvl w:ilvl="5" w:tplc="04090005">
      <w:start w:val="1"/>
      <w:numFmt w:val="lowerRoman"/>
      <w:lvlText w:val="%6."/>
      <w:lvlJc w:val="right"/>
      <w:pPr>
        <w:ind w:left="4665" w:hanging="180"/>
      </w:pPr>
    </w:lvl>
    <w:lvl w:ilvl="6" w:tplc="04090001">
      <w:start w:val="1"/>
      <w:numFmt w:val="decimal"/>
      <w:lvlText w:val="%7."/>
      <w:lvlJc w:val="left"/>
      <w:pPr>
        <w:ind w:left="5385" w:hanging="360"/>
      </w:pPr>
    </w:lvl>
    <w:lvl w:ilvl="7" w:tplc="04090003">
      <w:start w:val="1"/>
      <w:numFmt w:val="lowerLetter"/>
      <w:lvlText w:val="%8."/>
      <w:lvlJc w:val="left"/>
      <w:pPr>
        <w:ind w:left="6105" w:hanging="360"/>
      </w:pPr>
    </w:lvl>
    <w:lvl w:ilvl="8" w:tplc="04090005" w:tentative="1">
      <w:start w:val="1"/>
      <w:numFmt w:val="lowerRoman"/>
      <w:lvlText w:val="%9."/>
      <w:lvlJc w:val="right"/>
      <w:pPr>
        <w:ind w:left="6825" w:hanging="180"/>
      </w:pPr>
    </w:lvl>
  </w:abstractNum>
  <w:abstractNum w:abstractNumId="18"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19" w15:restartNumberingAfterBreak="0">
    <w:nsid w:val="70E70D21"/>
    <w:multiLevelType w:val="hybridMultilevel"/>
    <w:tmpl w:val="3CBEBDA2"/>
    <w:lvl w:ilvl="0" w:tplc="8A40623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744418F7"/>
    <w:multiLevelType w:val="hybridMultilevel"/>
    <w:tmpl w:val="D3143DB0"/>
    <w:lvl w:ilvl="0" w:tplc="04090013">
      <w:start w:val="1"/>
      <w:numFmt w:val="upperRoman"/>
      <w:lvlText w:val="%1."/>
      <w:lvlJc w:val="right"/>
      <w:pPr>
        <w:ind w:left="1822" w:hanging="360"/>
      </w:pPr>
    </w:lvl>
    <w:lvl w:ilvl="1" w:tplc="04090019" w:tentative="1">
      <w:start w:val="1"/>
      <w:numFmt w:val="lowerLetter"/>
      <w:lvlText w:val="%2."/>
      <w:lvlJc w:val="left"/>
      <w:pPr>
        <w:ind w:left="2542" w:hanging="360"/>
      </w:pPr>
    </w:lvl>
    <w:lvl w:ilvl="2" w:tplc="0409001B" w:tentative="1">
      <w:start w:val="1"/>
      <w:numFmt w:val="lowerRoman"/>
      <w:lvlText w:val="%3."/>
      <w:lvlJc w:val="right"/>
      <w:pPr>
        <w:ind w:left="3262" w:hanging="180"/>
      </w:pPr>
    </w:lvl>
    <w:lvl w:ilvl="3" w:tplc="0409000F" w:tentative="1">
      <w:start w:val="1"/>
      <w:numFmt w:val="decimal"/>
      <w:lvlText w:val="%4."/>
      <w:lvlJc w:val="left"/>
      <w:pPr>
        <w:ind w:left="3982" w:hanging="360"/>
      </w:pPr>
    </w:lvl>
    <w:lvl w:ilvl="4" w:tplc="04090019" w:tentative="1">
      <w:start w:val="1"/>
      <w:numFmt w:val="lowerLetter"/>
      <w:lvlText w:val="%5."/>
      <w:lvlJc w:val="left"/>
      <w:pPr>
        <w:ind w:left="4702" w:hanging="360"/>
      </w:pPr>
    </w:lvl>
    <w:lvl w:ilvl="5" w:tplc="0409001B" w:tentative="1">
      <w:start w:val="1"/>
      <w:numFmt w:val="lowerRoman"/>
      <w:lvlText w:val="%6."/>
      <w:lvlJc w:val="right"/>
      <w:pPr>
        <w:ind w:left="5422" w:hanging="180"/>
      </w:pPr>
    </w:lvl>
    <w:lvl w:ilvl="6" w:tplc="0409000F" w:tentative="1">
      <w:start w:val="1"/>
      <w:numFmt w:val="decimal"/>
      <w:lvlText w:val="%7."/>
      <w:lvlJc w:val="left"/>
      <w:pPr>
        <w:ind w:left="6142" w:hanging="360"/>
      </w:pPr>
    </w:lvl>
    <w:lvl w:ilvl="7" w:tplc="04090019" w:tentative="1">
      <w:start w:val="1"/>
      <w:numFmt w:val="lowerLetter"/>
      <w:lvlText w:val="%8."/>
      <w:lvlJc w:val="left"/>
      <w:pPr>
        <w:ind w:left="6862" w:hanging="360"/>
      </w:pPr>
    </w:lvl>
    <w:lvl w:ilvl="8" w:tplc="0409001B" w:tentative="1">
      <w:start w:val="1"/>
      <w:numFmt w:val="lowerRoman"/>
      <w:lvlText w:val="%9."/>
      <w:lvlJc w:val="right"/>
      <w:pPr>
        <w:ind w:left="7582" w:hanging="180"/>
      </w:pPr>
    </w:lvl>
  </w:abstractNum>
  <w:num w:numId="1">
    <w:abstractNumId w:val="15"/>
  </w:num>
  <w:num w:numId="2">
    <w:abstractNumId w:val="18"/>
  </w:num>
  <w:num w:numId="3">
    <w:abstractNumId w:val="7"/>
  </w:num>
  <w:num w:numId="4">
    <w:abstractNumId w:val="17"/>
  </w:num>
  <w:num w:numId="5">
    <w:abstractNumId w:val="6"/>
  </w:num>
  <w:num w:numId="6">
    <w:abstractNumId w:val="2"/>
  </w:num>
  <w:num w:numId="7">
    <w:abstractNumId w:val="9"/>
  </w:num>
  <w:num w:numId="8">
    <w:abstractNumId w:val="4"/>
  </w:num>
  <w:num w:numId="9">
    <w:abstractNumId w:val="10"/>
  </w:num>
  <w:num w:numId="10">
    <w:abstractNumId w:val="1"/>
  </w:num>
  <w:num w:numId="11">
    <w:abstractNumId w:val="13"/>
  </w:num>
  <w:num w:numId="12">
    <w:abstractNumId w:val="5"/>
  </w:num>
  <w:num w:numId="13">
    <w:abstractNumId w:val="12"/>
  </w:num>
  <w:num w:numId="14">
    <w:abstractNumId w:val="16"/>
  </w:num>
  <w:num w:numId="15">
    <w:abstractNumId w:val="4"/>
  </w:num>
  <w:num w:numId="16">
    <w:abstractNumId w:val="4"/>
  </w:num>
  <w:num w:numId="17">
    <w:abstractNumId w:val="19"/>
  </w:num>
  <w:num w:numId="18">
    <w:abstractNumId w:val="11"/>
  </w:num>
  <w:num w:numId="19">
    <w:abstractNumId w:val="0"/>
  </w:num>
  <w:num w:numId="20">
    <w:abstractNumId w:val="8"/>
  </w:num>
  <w:num w:numId="21">
    <w:abstractNumId w:val="14"/>
  </w:num>
  <w:num w:numId="22">
    <w:abstractNumId w:val="3"/>
  </w:num>
  <w:num w:numId="23">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CCA"/>
    <w:rsid w:val="00003565"/>
    <w:rsid w:val="00007EFC"/>
    <w:rsid w:val="000361BD"/>
    <w:rsid w:val="000750F8"/>
    <w:rsid w:val="000767AB"/>
    <w:rsid w:val="000816AE"/>
    <w:rsid w:val="00085292"/>
    <w:rsid w:val="000C637D"/>
    <w:rsid w:val="000D72DE"/>
    <w:rsid w:val="00117F07"/>
    <w:rsid w:val="00134076"/>
    <w:rsid w:val="00167968"/>
    <w:rsid w:val="00172832"/>
    <w:rsid w:val="001B507E"/>
    <w:rsid w:val="001E3BE1"/>
    <w:rsid w:val="00280074"/>
    <w:rsid w:val="002901A8"/>
    <w:rsid w:val="002C5170"/>
    <w:rsid w:val="002F04A2"/>
    <w:rsid w:val="002F2127"/>
    <w:rsid w:val="00315C70"/>
    <w:rsid w:val="003342DD"/>
    <w:rsid w:val="00336F0D"/>
    <w:rsid w:val="00373527"/>
    <w:rsid w:val="003D2F44"/>
    <w:rsid w:val="003D4A2E"/>
    <w:rsid w:val="00414AA5"/>
    <w:rsid w:val="00436AE3"/>
    <w:rsid w:val="00437F09"/>
    <w:rsid w:val="004701D8"/>
    <w:rsid w:val="00495F5B"/>
    <w:rsid w:val="004D648B"/>
    <w:rsid w:val="004E3E37"/>
    <w:rsid w:val="004F15D5"/>
    <w:rsid w:val="004F1D44"/>
    <w:rsid w:val="00521F33"/>
    <w:rsid w:val="00571C50"/>
    <w:rsid w:val="00583FD6"/>
    <w:rsid w:val="005B72F7"/>
    <w:rsid w:val="0060309F"/>
    <w:rsid w:val="00611411"/>
    <w:rsid w:val="00653EAE"/>
    <w:rsid w:val="00681757"/>
    <w:rsid w:val="00692812"/>
    <w:rsid w:val="006D0BE0"/>
    <w:rsid w:val="006D63BE"/>
    <w:rsid w:val="006D72C1"/>
    <w:rsid w:val="006F276B"/>
    <w:rsid w:val="00712313"/>
    <w:rsid w:val="00726CC0"/>
    <w:rsid w:val="007A4C87"/>
    <w:rsid w:val="007C7B2E"/>
    <w:rsid w:val="007E3475"/>
    <w:rsid w:val="008145E8"/>
    <w:rsid w:val="0086649C"/>
    <w:rsid w:val="00874513"/>
    <w:rsid w:val="008C6F1E"/>
    <w:rsid w:val="00910F35"/>
    <w:rsid w:val="009501AA"/>
    <w:rsid w:val="00950D9F"/>
    <w:rsid w:val="00955AD6"/>
    <w:rsid w:val="00965F2B"/>
    <w:rsid w:val="00987F7A"/>
    <w:rsid w:val="00992EA6"/>
    <w:rsid w:val="009B04BB"/>
    <w:rsid w:val="009B20C5"/>
    <w:rsid w:val="009F3764"/>
    <w:rsid w:val="00A33992"/>
    <w:rsid w:val="00A71A66"/>
    <w:rsid w:val="00AA76EE"/>
    <w:rsid w:val="00AD1FEA"/>
    <w:rsid w:val="00AD4254"/>
    <w:rsid w:val="00AE0205"/>
    <w:rsid w:val="00B50C11"/>
    <w:rsid w:val="00B552ED"/>
    <w:rsid w:val="00BA154C"/>
    <w:rsid w:val="00BA5D01"/>
    <w:rsid w:val="00BB1F41"/>
    <w:rsid w:val="00BB4337"/>
    <w:rsid w:val="00BB6308"/>
    <w:rsid w:val="00BC1CB6"/>
    <w:rsid w:val="00C03B35"/>
    <w:rsid w:val="00C1708F"/>
    <w:rsid w:val="00C42088"/>
    <w:rsid w:val="00C47219"/>
    <w:rsid w:val="00C67CCA"/>
    <w:rsid w:val="00CC0306"/>
    <w:rsid w:val="00CD2BD6"/>
    <w:rsid w:val="00CD54A1"/>
    <w:rsid w:val="00CE7C39"/>
    <w:rsid w:val="00D12681"/>
    <w:rsid w:val="00D213D2"/>
    <w:rsid w:val="00D33576"/>
    <w:rsid w:val="00D402D4"/>
    <w:rsid w:val="00D5114A"/>
    <w:rsid w:val="00D5342F"/>
    <w:rsid w:val="00DA16BE"/>
    <w:rsid w:val="00DD7852"/>
    <w:rsid w:val="00DF35C2"/>
    <w:rsid w:val="00E14EFB"/>
    <w:rsid w:val="00E246FE"/>
    <w:rsid w:val="00E46AB6"/>
    <w:rsid w:val="00E51388"/>
    <w:rsid w:val="00E64EC8"/>
    <w:rsid w:val="00E9217D"/>
    <w:rsid w:val="00EE4D4B"/>
    <w:rsid w:val="00EF3F43"/>
    <w:rsid w:val="00F6150F"/>
    <w:rsid w:val="00FA44C0"/>
    <w:rsid w:val="00FC26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732396"/>
  <w15:docId w15:val="{49F7F3EC-C1C1-4EF2-9BEE-2AFF797BE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C67CCA"/>
    <w:pPr>
      <w:spacing w:after="0" w:line="240" w:lineRule="auto"/>
    </w:pPr>
    <w:rPr>
      <w:rFonts w:ascii="Times New Roman" w:eastAsia="Times New Roman" w:hAnsi="Times New Roman" w:cs="Times New Roman"/>
      <w:spacing w:val="-3"/>
      <w:sz w:val="24"/>
      <w:szCs w:val="20"/>
      <w:lang w:val="es-ES_tradnl"/>
    </w:rPr>
  </w:style>
  <w:style w:type="paragraph" w:styleId="Heading2">
    <w:name w:val="heading 2"/>
    <w:basedOn w:val="Normal"/>
    <w:next w:val="Normal"/>
    <w:link w:val="Heading2Char"/>
    <w:uiPriority w:val="9"/>
    <w:unhideWhenUsed/>
    <w:qFormat/>
    <w:rsid w:val="00E9217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7">
    <w:name w:val="heading 7"/>
    <w:basedOn w:val="Normal"/>
    <w:next w:val="Normal"/>
    <w:link w:val="Heading7Char"/>
    <w:qFormat/>
    <w:rsid w:val="00C67CCA"/>
    <w:pPr>
      <w:numPr>
        <w:ilvl w:val="6"/>
        <w:numId w:val="2"/>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C67CCA"/>
    <w:pPr>
      <w:numPr>
        <w:ilvl w:val="7"/>
        <w:numId w:val="2"/>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C67CCA"/>
    <w:pPr>
      <w:numPr>
        <w:ilvl w:val="8"/>
        <w:numId w:val="2"/>
      </w:numPr>
      <w:spacing w:before="240" w:after="60"/>
      <w:outlineLvl w:val="8"/>
    </w:pPr>
    <w:rPr>
      <w:rFonts w:ascii="Cambria" w:hAnsi="Cambria"/>
      <w:spacing w:val="0"/>
      <w:sz w:val="22"/>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C67CCA"/>
    <w:pPr>
      <w:tabs>
        <w:tab w:val="left" w:pos="3060"/>
      </w:tabs>
      <w:jc w:val="center"/>
    </w:pPr>
    <w:rPr>
      <w:spacing w:val="0"/>
      <w:lang w:val="x-none" w:eastAsia="x-none"/>
    </w:rPr>
  </w:style>
  <w:style w:type="character" w:customStyle="1" w:styleId="BodyTextChar">
    <w:name w:val="Body Text Char"/>
    <w:basedOn w:val="DefaultParagraphFont"/>
    <w:link w:val="BodyText"/>
    <w:rsid w:val="00C67CCA"/>
    <w:rPr>
      <w:rFonts w:ascii="Times New Roman" w:eastAsia="Times New Roman" w:hAnsi="Times New Roman" w:cs="Times New Roman"/>
      <w:sz w:val="24"/>
      <w:szCs w:val="20"/>
      <w:lang w:val="x-none" w:eastAsia="x-none"/>
    </w:rPr>
  </w:style>
  <w:style w:type="paragraph" w:styleId="ListParagraph">
    <w:name w:val="List Paragraph"/>
    <w:basedOn w:val="Normal"/>
    <w:link w:val="ListParagraphChar"/>
    <w:uiPriority w:val="34"/>
    <w:qFormat/>
    <w:rsid w:val="00C67CCA"/>
    <w:pPr>
      <w:ind w:left="720"/>
    </w:pPr>
  </w:style>
  <w:style w:type="paragraph" w:customStyle="1" w:styleId="Default">
    <w:name w:val="Default"/>
    <w:rsid w:val="00C67CCA"/>
    <w:pPr>
      <w:autoSpaceDE w:val="0"/>
      <w:autoSpaceDN w:val="0"/>
      <w:adjustRightInd w:val="0"/>
      <w:spacing w:after="0" w:line="240" w:lineRule="auto"/>
    </w:pPr>
    <w:rPr>
      <w:rFonts w:ascii="Times New Roman" w:eastAsia="Times New Roman" w:hAnsi="Times New Roman" w:cs="Times New Roman"/>
      <w:color w:val="000000"/>
      <w:sz w:val="24"/>
      <w:szCs w:val="24"/>
      <w:lang w:val="es-PY" w:eastAsia="es-PY"/>
    </w:rPr>
  </w:style>
  <w:style w:type="paragraph" w:styleId="FootnoteText">
    <w:name w:val="footnote text"/>
    <w:aliases w:val="fn,Texto de rodapé,nota_rodapé,nota de rodapé,Texto nota pie IIRSA,footnote,FOOTNOTES,single space,ALTS FOOTNOTE,Footnote Text Char1,Footnote Text Char Char,Note de bas de page Car,footnote text,Fodnotetekst Tegn,Fodnotetekst Tegn Char"/>
    <w:basedOn w:val="Normal"/>
    <w:link w:val="FootnoteTextChar"/>
    <w:uiPriority w:val="99"/>
    <w:unhideWhenUsed/>
    <w:rsid w:val="00C67CCA"/>
    <w:rPr>
      <w:rFonts w:asciiTheme="minorHAnsi" w:eastAsiaTheme="minorHAnsi" w:hAnsiTheme="minorHAnsi" w:cstheme="minorBidi"/>
      <w:spacing w:val="0"/>
      <w:szCs w:val="24"/>
      <w:lang w:val="en-US"/>
    </w:rPr>
  </w:style>
  <w:style w:type="character" w:customStyle="1" w:styleId="FootnoteTextChar">
    <w:name w:val="Footnote Text Char"/>
    <w:aliases w:val="fn Char,Texto de rodapé Char,nota_rodapé Char,nota de rodapé Char,Texto nota pie IIRSA Char,footnote Char,FOOTNOTES Char,single space Char,ALTS FOOTNOTE Char,Footnote Text Char1 Char,Footnote Text Char Char Char,footnote text Char"/>
    <w:basedOn w:val="DefaultParagraphFont"/>
    <w:link w:val="FootnoteText"/>
    <w:uiPriority w:val="99"/>
    <w:rsid w:val="00C67CCA"/>
    <w:rPr>
      <w:sz w:val="24"/>
      <w:szCs w:val="24"/>
    </w:rPr>
  </w:style>
  <w:style w:type="character" w:styleId="FootnoteReference">
    <w:name w:val="footnote reference"/>
    <w:aliases w:val="referencia nota al pie,ftref"/>
    <w:basedOn w:val="DefaultParagraphFont"/>
    <w:uiPriority w:val="99"/>
    <w:unhideWhenUsed/>
    <w:rsid w:val="00C67CCA"/>
    <w:rPr>
      <w:vertAlign w:val="superscript"/>
    </w:rPr>
  </w:style>
  <w:style w:type="character" w:customStyle="1" w:styleId="Heading7Char">
    <w:name w:val="Heading 7 Char"/>
    <w:basedOn w:val="DefaultParagraphFont"/>
    <w:link w:val="Heading7"/>
    <w:rsid w:val="00C67CCA"/>
    <w:rPr>
      <w:rFonts w:ascii="Calibri" w:eastAsia="Times New Roman" w:hAnsi="Calibri" w:cs="Times New Roman"/>
      <w:sz w:val="24"/>
      <w:szCs w:val="24"/>
      <w:lang w:val="x-none" w:eastAsia="x-none"/>
    </w:rPr>
  </w:style>
  <w:style w:type="character" w:customStyle="1" w:styleId="Heading8Char">
    <w:name w:val="Heading 8 Char"/>
    <w:basedOn w:val="DefaultParagraphFont"/>
    <w:link w:val="Heading8"/>
    <w:rsid w:val="00C67CCA"/>
    <w:rPr>
      <w:rFonts w:ascii="Calibri" w:eastAsia="Times New Roman" w:hAnsi="Calibri" w:cs="Times New Roman"/>
      <w:i/>
      <w:iCs/>
      <w:sz w:val="24"/>
      <w:szCs w:val="24"/>
      <w:lang w:val="x-none" w:eastAsia="x-none"/>
    </w:rPr>
  </w:style>
  <w:style w:type="character" w:customStyle="1" w:styleId="Heading9Char">
    <w:name w:val="Heading 9 Char"/>
    <w:basedOn w:val="DefaultParagraphFont"/>
    <w:link w:val="Heading9"/>
    <w:rsid w:val="00C67CCA"/>
    <w:rPr>
      <w:rFonts w:ascii="Cambria" w:eastAsia="Times New Roman" w:hAnsi="Cambria" w:cs="Times New Roman"/>
      <w:lang w:val="x-none" w:eastAsia="x-none"/>
    </w:rPr>
  </w:style>
  <w:style w:type="paragraph" w:styleId="Title">
    <w:name w:val="Title"/>
    <w:basedOn w:val="Normal"/>
    <w:link w:val="TitleChar"/>
    <w:qFormat/>
    <w:rsid w:val="00C67CCA"/>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C67CCA"/>
    <w:rPr>
      <w:rFonts w:ascii="Times New Roman" w:eastAsia="Times New Roman" w:hAnsi="Times New Roman" w:cs="Times New Roman"/>
      <w:sz w:val="24"/>
      <w:szCs w:val="20"/>
      <w:lang w:val="x-none" w:eastAsia="x-none"/>
    </w:rPr>
  </w:style>
  <w:style w:type="paragraph" w:customStyle="1" w:styleId="Newpage">
    <w:name w:val="Newpage"/>
    <w:basedOn w:val="Normal"/>
    <w:rsid w:val="00C67CCA"/>
    <w:pPr>
      <w:tabs>
        <w:tab w:val="left" w:pos="1440"/>
        <w:tab w:val="left" w:pos="3060"/>
      </w:tabs>
      <w:jc w:val="center"/>
    </w:pPr>
    <w:rPr>
      <w:rFonts w:cs="Arial"/>
      <w:b/>
      <w:smallCaps/>
    </w:rPr>
  </w:style>
  <w:style w:type="paragraph" w:customStyle="1" w:styleId="Chapter">
    <w:name w:val="Chapter"/>
    <w:basedOn w:val="Normal"/>
    <w:next w:val="Normal"/>
    <w:link w:val="ChapterChar"/>
    <w:rsid w:val="00C67CCA"/>
    <w:pPr>
      <w:keepNext/>
      <w:numPr>
        <w:numId w:val="2"/>
      </w:numPr>
      <w:tabs>
        <w:tab w:val="left" w:pos="1440"/>
      </w:tabs>
      <w:spacing w:before="240" w:after="240"/>
      <w:jc w:val="center"/>
    </w:pPr>
    <w:rPr>
      <w:rFonts w:eastAsia="Calibri"/>
      <w:b/>
      <w:smallCaps/>
      <w:spacing w:val="0"/>
      <w:szCs w:val="22"/>
      <w:lang w:val="x-none" w:eastAsia="x-none"/>
    </w:rPr>
  </w:style>
  <w:style w:type="character" w:customStyle="1" w:styleId="ChapterChar">
    <w:name w:val="Chapter Char"/>
    <w:link w:val="Chapter"/>
    <w:rsid w:val="00C67CCA"/>
    <w:rPr>
      <w:rFonts w:ascii="Times New Roman" w:eastAsia="Calibri" w:hAnsi="Times New Roman" w:cs="Times New Roman"/>
      <w:b/>
      <w:smallCaps/>
      <w:sz w:val="24"/>
      <w:lang w:val="x-none" w:eastAsia="x-none"/>
    </w:rPr>
  </w:style>
  <w:style w:type="paragraph" w:customStyle="1" w:styleId="Paragraph">
    <w:name w:val="Paragraph"/>
    <w:aliases w:val="paragraph,p,PARAGRAPH,PG,pa,at"/>
    <w:basedOn w:val="BodyTextIndent"/>
    <w:link w:val="ParagraphChar"/>
    <w:rsid w:val="00C67CCA"/>
    <w:pPr>
      <w:tabs>
        <w:tab w:val="num" w:pos="720"/>
      </w:tabs>
      <w:spacing w:before="120"/>
      <w:ind w:hanging="720"/>
      <w:jc w:val="both"/>
      <w:outlineLvl w:val="1"/>
    </w:pPr>
    <w:rPr>
      <w:rFonts w:eastAsia="Calibri"/>
      <w:spacing w:val="0"/>
      <w:szCs w:val="22"/>
      <w:lang w:val="x-none" w:eastAsia="x-none"/>
    </w:rPr>
  </w:style>
  <w:style w:type="character" w:customStyle="1" w:styleId="ParagraphChar">
    <w:name w:val="Paragraph Char"/>
    <w:link w:val="Paragraph"/>
    <w:rsid w:val="00C67CCA"/>
    <w:rPr>
      <w:rFonts w:ascii="Times New Roman" w:eastAsia="Calibri" w:hAnsi="Times New Roman" w:cs="Times New Roman"/>
      <w:sz w:val="24"/>
      <w:lang w:val="x-none" w:eastAsia="x-none"/>
    </w:rPr>
  </w:style>
  <w:style w:type="paragraph" w:customStyle="1" w:styleId="TableTitle">
    <w:name w:val="TableTitle"/>
    <w:basedOn w:val="Normal"/>
    <w:link w:val="TableTitleChar"/>
    <w:rsid w:val="00C67CCA"/>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C67CCA"/>
    <w:rPr>
      <w:rFonts w:ascii="Times New Roman Bold" w:eastAsia="Times New Roman" w:hAnsi="Times New Roman Bold" w:cs="Times New Roman"/>
      <w:b/>
      <w:spacing w:val="-3"/>
      <w:sz w:val="20"/>
      <w:szCs w:val="20"/>
      <w:lang w:val="es-ES" w:eastAsia="x-none"/>
    </w:rPr>
  </w:style>
  <w:style w:type="paragraph" w:styleId="TOC3">
    <w:name w:val="toc 3"/>
    <w:basedOn w:val="Normal"/>
    <w:next w:val="Normal"/>
    <w:autoRedefine/>
    <w:uiPriority w:val="39"/>
    <w:qFormat/>
    <w:rsid w:val="00C67CCA"/>
    <w:pPr>
      <w:tabs>
        <w:tab w:val="left" w:pos="1728"/>
        <w:tab w:val="right" w:leader="dot" w:pos="8741"/>
      </w:tabs>
      <w:ind w:left="1714" w:hanging="562"/>
    </w:pPr>
    <w:rPr>
      <w:noProof/>
    </w:rPr>
  </w:style>
  <w:style w:type="paragraph" w:styleId="BodyText2">
    <w:name w:val="Body Text 2"/>
    <w:basedOn w:val="Normal"/>
    <w:link w:val="BodyText2Char"/>
    <w:rsid w:val="00C67CCA"/>
    <w:pPr>
      <w:spacing w:after="120" w:line="480" w:lineRule="auto"/>
    </w:pPr>
  </w:style>
  <w:style w:type="character" w:customStyle="1" w:styleId="BodyText2Char">
    <w:name w:val="Body Text 2 Char"/>
    <w:basedOn w:val="DefaultParagraphFont"/>
    <w:link w:val="BodyText2"/>
    <w:rsid w:val="00C67CCA"/>
    <w:rPr>
      <w:rFonts w:ascii="Times New Roman" w:eastAsia="Times New Roman" w:hAnsi="Times New Roman" w:cs="Times New Roman"/>
      <w:spacing w:val="-3"/>
      <w:sz w:val="24"/>
      <w:szCs w:val="20"/>
      <w:lang w:val="es-ES_tradnl"/>
    </w:rPr>
  </w:style>
  <w:style w:type="paragraph" w:styleId="BodyTextIndent">
    <w:name w:val="Body Text Indent"/>
    <w:basedOn w:val="Normal"/>
    <w:link w:val="BodyTextIndentChar"/>
    <w:uiPriority w:val="99"/>
    <w:semiHidden/>
    <w:unhideWhenUsed/>
    <w:rsid w:val="00C67CCA"/>
    <w:pPr>
      <w:spacing w:after="120"/>
      <w:ind w:left="360"/>
    </w:pPr>
  </w:style>
  <w:style w:type="character" w:customStyle="1" w:styleId="BodyTextIndentChar">
    <w:name w:val="Body Text Indent Char"/>
    <w:basedOn w:val="DefaultParagraphFont"/>
    <w:link w:val="BodyTextIndent"/>
    <w:uiPriority w:val="99"/>
    <w:semiHidden/>
    <w:rsid w:val="00C67CCA"/>
    <w:rPr>
      <w:rFonts w:ascii="Times New Roman" w:eastAsia="Times New Roman" w:hAnsi="Times New Roman" w:cs="Times New Roman"/>
      <w:spacing w:val="-3"/>
      <w:sz w:val="24"/>
      <w:szCs w:val="20"/>
      <w:lang w:val="es-ES_tradnl"/>
    </w:rPr>
  </w:style>
  <w:style w:type="paragraph" w:styleId="Footer">
    <w:name w:val="footer"/>
    <w:basedOn w:val="Normal"/>
    <w:link w:val="FooterChar"/>
    <w:uiPriority w:val="99"/>
    <w:unhideWhenUsed/>
    <w:rsid w:val="004E3E37"/>
    <w:pPr>
      <w:tabs>
        <w:tab w:val="center" w:pos="4252"/>
        <w:tab w:val="right" w:pos="8504"/>
      </w:tabs>
    </w:pPr>
  </w:style>
  <w:style w:type="character" w:customStyle="1" w:styleId="FooterChar">
    <w:name w:val="Footer Char"/>
    <w:basedOn w:val="DefaultParagraphFont"/>
    <w:link w:val="Footer"/>
    <w:uiPriority w:val="99"/>
    <w:rsid w:val="004E3E37"/>
    <w:rPr>
      <w:rFonts w:ascii="Times New Roman" w:eastAsia="Times New Roman" w:hAnsi="Times New Roman" w:cs="Times New Roman"/>
      <w:spacing w:val="-3"/>
      <w:sz w:val="24"/>
      <w:szCs w:val="20"/>
      <w:lang w:val="es-ES_tradnl"/>
    </w:rPr>
  </w:style>
  <w:style w:type="character" w:styleId="PageNumber">
    <w:name w:val="page number"/>
    <w:basedOn w:val="DefaultParagraphFont"/>
    <w:unhideWhenUsed/>
    <w:rsid w:val="004E3E37"/>
  </w:style>
  <w:style w:type="paragraph" w:styleId="Header">
    <w:name w:val="header"/>
    <w:basedOn w:val="Normal"/>
    <w:link w:val="HeaderChar"/>
    <w:uiPriority w:val="99"/>
    <w:unhideWhenUsed/>
    <w:rsid w:val="004E3E37"/>
    <w:pPr>
      <w:tabs>
        <w:tab w:val="center" w:pos="4252"/>
        <w:tab w:val="right" w:pos="8504"/>
      </w:tabs>
    </w:pPr>
  </w:style>
  <w:style w:type="character" w:customStyle="1" w:styleId="HeaderChar">
    <w:name w:val="Header Char"/>
    <w:basedOn w:val="DefaultParagraphFont"/>
    <w:link w:val="Header"/>
    <w:uiPriority w:val="99"/>
    <w:rsid w:val="004E3E37"/>
    <w:rPr>
      <w:rFonts w:ascii="Times New Roman" w:eastAsia="Times New Roman" w:hAnsi="Times New Roman" w:cs="Times New Roman"/>
      <w:spacing w:val="-3"/>
      <w:sz w:val="24"/>
      <w:szCs w:val="20"/>
      <w:lang w:val="es-ES_tradnl"/>
    </w:rPr>
  </w:style>
  <w:style w:type="character" w:styleId="CommentReference">
    <w:name w:val="annotation reference"/>
    <w:basedOn w:val="DefaultParagraphFont"/>
    <w:uiPriority w:val="99"/>
    <w:semiHidden/>
    <w:unhideWhenUsed/>
    <w:rsid w:val="00D5114A"/>
    <w:rPr>
      <w:sz w:val="16"/>
      <w:szCs w:val="16"/>
    </w:rPr>
  </w:style>
  <w:style w:type="paragraph" w:styleId="CommentText">
    <w:name w:val="annotation text"/>
    <w:basedOn w:val="Normal"/>
    <w:link w:val="CommentTextChar"/>
    <w:uiPriority w:val="99"/>
    <w:semiHidden/>
    <w:unhideWhenUsed/>
    <w:rsid w:val="00D5114A"/>
    <w:rPr>
      <w:sz w:val="20"/>
    </w:rPr>
  </w:style>
  <w:style w:type="character" w:customStyle="1" w:styleId="CommentTextChar">
    <w:name w:val="Comment Text Char"/>
    <w:basedOn w:val="DefaultParagraphFont"/>
    <w:link w:val="CommentText"/>
    <w:uiPriority w:val="99"/>
    <w:semiHidden/>
    <w:rsid w:val="00D5114A"/>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semiHidden/>
    <w:unhideWhenUsed/>
    <w:rsid w:val="00D5114A"/>
    <w:rPr>
      <w:b/>
      <w:bCs/>
    </w:rPr>
  </w:style>
  <w:style w:type="character" w:customStyle="1" w:styleId="CommentSubjectChar">
    <w:name w:val="Comment Subject Char"/>
    <w:basedOn w:val="CommentTextChar"/>
    <w:link w:val="CommentSubject"/>
    <w:uiPriority w:val="99"/>
    <w:semiHidden/>
    <w:rsid w:val="00D5114A"/>
    <w:rPr>
      <w:rFonts w:ascii="Times New Roman" w:eastAsia="Times New Roman" w:hAnsi="Times New Roman" w:cs="Times New Roman"/>
      <w:b/>
      <w:bCs/>
      <w:spacing w:val="-3"/>
      <w:sz w:val="20"/>
      <w:szCs w:val="20"/>
      <w:lang w:val="es-ES_tradnl"/>
    </w:rPr>
  </w:style>
  <w:style w:type="paragraph" w:styleId="BalloonText">
    <w:name w:val="Balloon Text"/>
    <w:basedOn w:val="Normal"/>
    <w:link w:val="BalloonTextChar"/>
    <w:uiPriority w:val="99"/>
    <w:semiHidden/>
    <w:unhideWhenUsed/>
    <w:rsid w:val="00D5114A"/>
    <w:rPr>
      <w:rFonts w:ascii="Tahoma" w:hAnsi="Tahoma" w:cs="Tahoma"/>
      <w:sz w:val="16"/>
      <w:szCs w:val="16"/>
    </w:rPr>
  </w:style>
  <w:style w:type="character" w:customStyle="1" w:styleId="BalloonTextChar">
    <w:name w:val="Balloon Text Char"/>
    <w:basedOn w:val="DefaultParagraphFont"/>
    <w:link w:val="BalloonText"/>
    <w:uiPriority w:val="99"/>
    <w:semiHidden/>
    <w:rsid w:val="00D5114A"/>
    <w:rPr>
      <w:rFonts w:ascii="Tahoma" w:eastAsia="Times New Roman" w:hAnsi="Tahoma" w:cs="Tahoma"/>
      <w:spacing w:val="-3"/>
      <w:sz w:val="16"/>
      <w:szCs w:val="16"/>
      <w:lang w:val="es-ES_tradnl"/>
    </w:rPr>
  </w:style>
  <w:style w:type="paragraph" w:styleId="Subtitle">
    <w:name w:val="Subtitle"/>
    <w:basedOn w:val="Normal"/>
    <w:next w:val="Normal"/>
    <w:link w:val="SubtitleChar"/>
    <w:uiPriority w:val="11"/>
    <w:qFormat/>
    <w:rsid w:val="00D5114A"/>
    <w:pPr>
      <w:spacing w:after="60"/>
      <w:jc w:val="center"/>
      <w:outlineLvl w:val="1"/>
    </w:pPr>
    <w:rPr>
      <w:rFonts w:ascii="Cambria" w:hAnsi="Cambria"/>
      <w:spacing w:val="0"/>
      <w:szCs w:val="24"/>
      <w:lang w:val="en-US"/>
    </w:rPr>
  </w:style>
  <w:style w:type="character" w:customStyle="1" w:styleId="SubtitleChar">
    <w:name w:val="Subtitle Char"/>
    <w:basedOn w:val="DefaultParagraphFont"/>
    <w:link w:val="Subtitle"/>
    <w:uiPriority w:val="11"/>
    <w:rsid w:val="00D5114A"/>
    <w:rPr>
      <w:rFonts w:ascii="Cambria" w:eastAsia="Times New Roman" w:hAnsi="Cambria" w:cs="Times New Roman"/>
      <w:sz w:val="24"/>
      <w:szCs w:val="24"/>
    </w:rPr>
  </w:style>
  <w:style w:type="table" w:styleId="TableGrid">
    <w:name w:val="Table Grid"/>
    <w:basedOn w:val="TableNormal"/>
    <w:uiPriority w:val="59"/>
    <w:rsid w:val="001340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kNormal">
    <w:name w:val="BankNormal"/>
    <w:basedOn w:val="Normal"/>
    <w:rsid w:val="00992EA6"/>
    <w:pPr>
      <w:spacing w:before="240"/>
    </w:pPr>
    <w:rPr>
      <w:spacing w:val="0"/>
      <w:lang w:val="en-US"/>
    </w:rPr>
  </w:style>
  <w:style w:type="paragraph" w:customStyle="1" w:styleId="Banknumbered">
    <w:name w:val="Bank numbered"/>
    <w:link w:val="BanknumberedChar"/>
    <w:qFormat/>
    <w:rsid w:val="00992EA6"/>
    <w:pPr>
      <w:numPr>
        <w:numId w:val="8"/>
      </w:numPr>
      <w:spacing w:before="120" w:after="0" w:line="240" w:lineRule="auto"/>
    </w:pPr>
    <w:rPr>
      <w:rFonts w:ascii="Times New Roman" w:hAnsi="Times New Roman"/>
      <w:sz w:val="24"/>
      <w:szCs w:val="24"/>
      <w:lang w:val="es-ES"/>
    </w:rPr>
  </w:style>
  <w:style w:type="character" w:customStyle="1" w:styleId="BanknumberedChar">
    <w:name w:val="Bank numbered Char"/>
    <w:basedOn w:val="DefaultParagraphFont"/>
    <w:link w:val="Banknumbered"/>
    <w:rsid w:val="00992EA6"/>
    <w:rPr>
      <w:rFonts w:ascii="Times New Roman" w:hAnsi="Times New Roman"/>
      <w:sz w:val="24"/>
      <w:szCs w:val="24"/>
      <w:lang w:val="es-ES"/>
    </w:rPr>
  </w:style>
  <w:style w:type="character" w:customStyle="1" w:styleId="ListParagraphChar">
    <w:name w:val="List Paragraph Char"/>
    <w:basedOn w:val="DefaultParagraphFont"/>
    <w:link w:val="ListParagraph"/>
    <w:uiPriority w:val="34"/>
    <w:rsid w:val="009B04BB"/>
    <w:rPr>
      <w:rFonts w:ascii="Times New Roman" w:eastAsia="Times New Roman" w:hAnsi="Times New Roman" w:cs="Times New Roman"/>
      <w:spacing w:val="-3"/>
      <w:sz w:val="24"/>
      <w:szCs w:val="20"/>
      <w:lang w:val="es-ES_tradnl"/>
    </w:rPr>
  </w:style>
  <w:style w:type="paragraph" w:customStyle="1" w:styleId="Bullet">
    <w:name w:val="Bullet"/>
    <w:basedOn w:val="Normal"/>
    <w:link w:val="BulletChar"/>
    <w:qFormat/>
    <w:rsid w:val="00E9217D"/>
    <w:pPr>
      <w:numPr>
        <w:numId w:val="18"/>
      </w:numPr>
      <w:tabs>
        <w:tab w:val="left" w:pos="2880"/>
        <w:tab w:val="left" w:pos="4230"/>
        <w:tab w:val="left" w:pos="4500"/>
      </w:tabs>
      <w:spacing w:before="120"/>
    </w:pPr>
    <w:rPr>
      <w:color w:val="000000"/>
      <w:spacing w:val="0"/>
      <w:lang w:val="en-US"/>
    </w:rPr>
  </w:style>
  <w:style w:type="character" w:customStyle="1" w:styleId="BulletChar">
    <w:name w:val="Bullet Char"/>
    <w:basedOn w:val="DefaultParagraphFont"/>
    <w:link w:val="Bullet"/>
    <w:rsid w:val="00E9217D"/>
    <w:rPr>
      <w:rFonts w:ascii="Times New Roman" w:eastAsia="Times New Roman" w:hAnsi="Times New Roman" w:cs="Times New Roman"/>
      <w:color w:val="000000"/>
      <w:sz w:val="24"/>
      <w:szCs w:val="20"/>
    </w:rPr>
  </w:style>
  <w:style w:type="character" w:customStyle="1" w:styleId="Heading2Char">
    <w:name w:val="Heading 2 Char"/>
    <w:basedOn w:val="DefaultParagraphFont"/>
    <w:link w:val="Heading2"/>
    <w:uiPriority w:val="9"/>
    <w:rsid w:val="00E9217D"/>
    <w:rPr>
      <w:rFonts w:asciiTheme="majorHAnsi" w:eastAsiaTheme="majorEastAsia" w:hAnsiTheme="majorHAnsi" w:cstheme="majorBidi"/>
      <w:color w:val="365F91" w:themeColor="accent1" w:themeShade="BF"/>
      <w:spacing w:val="-3"/>
      <w:sz w:val="26"/>
      <w:szCs w:val="26"/>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PCDOCS://IDBDOCS/39601969/R" TargetMode="External"/><Relationship Id="rId13" Type="http://schemas.openxmlformats.org/officeDocument/2006/relationships/image" Target="media/image5.emf"/><Relationship Id="rId18" Type="http://schemas.openxmlformats.org/officeDocument/2006/relationships/chart" Target="charts/chart1.xml"/><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2.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6.emf"/><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1.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5.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4.emf"/><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image" Target="media/image10.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 Id="rId22" Type="http://schemas.openxmlformats.org/officeDocument/2006/relationships/image" Target="media/image13.emf"/><Relationship Id="rId27" Type="http://schemas.openxmlformats.org/officeDocument/2006/relationships/image" Target="media/image18.emf"/><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Workbook5"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marker>
            <c:symbol val="none"/>
          </c:marker>
          <c:dLbls>
            <c:spPr>
              <a:noFill/>
              <a:ln>
                <a:noFill/>
              </a:ln>
              <a:effectLst/>
            </c:spPr>
            <c:txPr>
              <a:bodyPr/>
              <a:lstStyle/>
              <a:p>
                <a:pPr>
                  <a:defRPr sz="800">
                    <a:latin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Sheet2!$B$2:$P$2</c:f>
              <c:numCache>
                <c:formatCode>General</c:formatCode>
                <c:ptCount val="15"/>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pt idx="14">
                  <c:v>2025</c:v>
                </c:pt>
              </c:numCache>
            </c:numRef>
          </c:cat>
          <c:val>
            <c:numRef>
              <c:f>Sheet2!$B$3:$P$3</c:f>
              <c:numCache>
                <c:formatCode>General</c:formatCode>
                <c:ptCount val="15"/>
                <c:pt idx="0">
                  <c:v>140</c:v>
                </c:pt>
                <c:pt idx="1">
                  <c:v>140</c:v>
                </c:pt>
                <c:pt idx="2">
                  <c:v>140</c:v>
                </c:pt>
                <c:pt idx="3">
                  <c:v>153</c:v>
                </c:pt>
                <c:pt idx="4">
                  <c:v>124</c:v>
                </c:pt>
                <c:pt idx="5">
                  <c:v>71</c:v>
                </c:pt>
                <c:pt idx="6">
                  <c:v>45</c:v>
                </c:pt>
                <c:pt idx="7">
                  <c:v>46</c:v>
                </c:pt>
                <c:pt idx="8">
                  <c:v>69</c:v>
                </c:pt>
                <c:pt idx="9">
                  <c:v>90</c:v>
                </c:pt>
                <c:pt idx="10">
                  <c:v>114</c:v>
                </c:pt>
                <c:pt idx="11">
                  <c:v>111</c:v>
                </c:pt>
                <c:pt idx="12">
                  <c:v>107</c:v>
                </c:pt>
                <c:pt idx="13">
                  <c:v>113</c:v>
                </c:pt>
                <c:pt idx="14">
                  <c:v>80</c:v>
                </c:pt>
              </c:numCache>
            </c:numRef>
          </c:val>
          <c:smooth val="0"/>
          <c:extLst>
            <c:ext xmlns:c16="http://schemas.microsoft.com/office/drawing/2014/chart" uri="{C3380CC4-5D6E-409C-BE32-E72D297353CC}">
              <c16:uniqueId val="{00000000-02CA-4CB9-836E-A13CC7DE8B9C}"/>
            </c:ext>
          </c:extLst>
        </c:ser>
        <c:dLbls>
          <c:showLegendKey val="0"/>
          <c:showVal val="0"/>
          <c:showCatName val="0"/>
          <c:showSerName val="0"/>
          <c:showPercent val="0"/>
          <c:showBubbleSize val="0"/>
        </c:dLbls>
        <c:smooth val="0"/>
        <c:axId val="2129733752"/>
        <c:axId val="2129779800"/>
      </c:lineChart>
      <c:catAx>
        <c:axId val="2129733752"/>
        <c:scaling>
          <c:orientation val="minMax"/>
        </c:scaling>
        <c:delete val="0"/>
        <c:axPos val="b"/>
        <c:numFmt formatCode="General" sourceLinked="1"/>
        <c:majorTickMark val="out"/>
        <c:minorTickMark val="none"/>
        <c:tickLblPos val="nextTo"/>
        <c:txPr>
          <a:bodyPr/>
          <a:lstStyle/>
          <a:p>
            <a:pPr>
              <a:defRPr sz="900">
                <a:latin typeface="Arial"/>
                <a:cs typeface="Arial"/>
              </a:defRPr>
            </a:pPr>
            <a:endParaRPr lang="en-US"/>
          </a:p>
        </c:txPr>
        <c:crossAx val="2129779800"/>
        <c:crosses val="autoZero"/>
        <c:auto val="1"/>
        <c:lblAlgn val="ctr"/>
        <c:lblOffset val="100"/>
        <c:noMultiLvlLbl val="0"/>
      </c:catAx>
      <c:valAx>
        <c:axId val="2129779800"/>
        <c:scaling>
          <c:orientation val="minMax"/>
        </c:scaling>
        <c:delete val="0"/>
        <c:axPos val="l"/>
        <c:title>
          <c:tx>
            <c:rich>
              <a:bodyPr rot="-5400000" vert="horz"/>
              <a:lstStyle/>
              <a:p>
                <a:pPr>
                  <a:defRPr>
                    <a:latin typeface="Arial"/>
                    <a:cs typeface="Arial"/>
                  </a:defRPr>
                </a:pPr>
                <a:r>
                  <a:rPr lang="en-US">
                    <a:latin typeface="Arial"/>
                    <a:cs typeface="Arial"/>
                  </a:rPr>
                  <a:t>$/MWh</a:t>
                </a:r>
              </a:p>
            </c:rich>
          </c:tx>
          <c:overlay val="0"/>
        </c:title>
        <c:numFmt formatCode="General" sourceLinked="1"/>
        <c:majorTickMark val="out"/>
        <c:minorTickMark val="none"/>
        <c:tickLblPos val="nextTo"/>
        <c:txPr>
          <a:bodyPr/>
          <a:lstStyle/>
          <a:p>
            <a:pPr>
              <a:defRPr>
                <a:latin typeface="Arial"/>
                <a:cs typeface="Arial"/>
              </a:defRPr>
            </a:pPr>
            <a:endParaRPr lang="en-US"/>
          </a:p>
        </c:txPr>
        <c:crossAx val="212973375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D6313A-8669-47C1-ABB6-75FB636C4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24</Pages>
  <Words>6882</Words>
  <Characters>39228</Characters>
  <Application>Microsoft Office Word</Application>
  <DocSecurity>0</DocSecurity>
  <Lines>326</Lines>
  <Paragraphs>92</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46018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IADB</dc:creator>
  <cp:lastModifiedBy>Suber, Stephanie Anne</cp:lastModifiedBy>
  <cp:revision>8</cp:revision>
  <dcterms:created xsi:type="dcterms:W3CDTF">2017-06-22T16:18:00Z</dcterms:created>
  <dcterms:modified xsi:type="dcterms:W3CDTF">2017-07-20T16:44:00Z</dcterms:modified>
</cp:coreProperties>
</file>