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people.xml" ContentType="application/vnd.openxmlformats-officedocument.wordprocessingml.people+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E3120" w:rsidR="00FE3120" w:rsidP="00FE3120" w:rsidRDefault="00FE3120" w14:paraId="48C9A5A8" w14:textId="4922793D">
      <w:pPr>
        <w:spacing w:before="120" w:after="120"/>
        <w:jc w:val="center"/>
        <w:outlineLvl w:val="1"/>
        <w:rPr>
          <w:rFonts w:ascii="Arial" w:hAnsi="Arial" w:eastAsia="Times New Roman" w:cs="Arial"/>
          <w:b/>
          <w:smallCaps/>
          <w:sz w:val="24"/>
          <w:lang w:val="es-ES"/>
        </w:rPr>
      </w:pPr>
      <w:bookmarkStart w:name="_Hlk505610165" w:id="0"/>
      <w:r w:rsidRPr="00FE3120">
        <w:rPr>
          <w:rFonts w:ascii="Arial" w:hAnsi="Arial" w:eastAsia="Times New Roman" w:cs="Arial"/>
          <w:b/>
          <w:smallCaps/>
          <w:sz w:val="24"/>
          <w:lang w:val="es-ES"/>
        </w:rPr>
        <w:t>Ejes de Inversión en Infraestructura Productiva</w:t>
      </w:r>
    </w:p>
    <w:p w:rsidR="00FE3120" w:rsidP="00FE3120" w:rsidRDefault="00FE3120" w14:paraId="4A91F5EC" w14:textId="77777777">
      <w:pPr>
        <w:spacing w:before="120" w:after="120"/>
        <w:jc w:val="center"/>
        <w:outlineLvl w:val="1"/>
        <w:rPr>
          <w:rFonts w:ascii="Arial" w:hAnsi="Arial" w:eastAsia="Times New Roman" w:cs="Arial"/>
          <w:b/>
          <w:lang w:val="es-ES"/>
        </w:rPr>
      </w:pPr>
    </w:p>
    <w:p w:rsidR="001532DD" w:rsidP="34C42776" w:rsidRDefault="001532DD" w14:paraId="661C1FA6" w14:textId="6271F4CF" w14:noSpellErr="1">
      <w:pPr>
        <w:pStyle w:val="Paragraph"/>
        <w:rPr>
          <w:rFonts w:ascii="Arial" w:hAnsi="Arial" w:cs="Arial"/>
          <w:sz w:val="22"/>
          <w:szCs w:val="22"/>
        </w:rPr>
      </w:pPr>
      <w:r w:rsidRPr="34C42776">
        <w:rPr>
          <w:rFonts w:ascii="arial" w:hAnsi="arial" w:eastAsia="arial" w:cs="arial"/>
          <w:b w:val="1"/>
          <w:bCs w:val="1"/>
          <w:sz w:val="22"/>
          <w:szCs w:val="22"/>
        </w:rPr>
        <w:t>Corredores via</w:t>
      </w:r>
      <w:bookmarkStart w:name="_GoBack" w:id="1"/>
      <w:bookmarkEnd w:id="1"/>
      <w:r w:rsidRPr="34C42776">
        <w:rPr>
          <w:rFonts w:ascii="arial" w:hAnsi="arial" w:eastAsia="arial" w:cs="arial"/>
          <w:b w:val="1"/>
          <w:bCs w:val="1"/>
          <w:sz w:val="22"/>
          <w:szCs w:val="22"/>
        </w:rPr>
        <w:t>les</w:t>
      </w:r>
      <w:r w:rsidRPr="34C42776">
        <w:rPr>
          <w:rFonts w:ascii="arial" w:hAnsi="arial" w:eastAsia="arial" w:cs="arial"/>
          <w:b w:val="1"/>
          <w:bCs w:val="1"/>
          <w:sz w:val="22"/>
          <w:szCs w:val="22"/>
        </w:rPr>
        <w:t>.</w:t>
      </w:r>
      <w:r w:rsidRPr="34C42776">
        <w:rPr>
          <w:rFonts w:ascii="arial" w:hAnsi="arial" w:eastAsia="arial" w:cs="arial"/>
          <w:sz w:val="22"/>
          <w:szCs w:val="22"/>
        </w:rPr>
        <w:t xml:space="preserve"> El país tiene indicadores de transporte significativamente por debajo de los niveles esperados para su nivel de ingreso</w:t>
      </w:r>
      <w:r w:rsidRPr="34C42776">
        <w:rPr>
          <w:rStyle w:val="FootnoteReference"/>
          <w:rFonts w:ascii="arial" w:hAnsi="arial" w:eastAsia="arial" w:cs="arial"/>
          <w:sz w:val="22"/>
          <w:szCs w:val="22"/>
        </w:rPr>
        <w:footnoteReference w:id="1"/>
      </w:r>
      <w:r w:rsidRPr="34C42776">
        <w:rPr>
          <w:rFonts w:ascii="arial" w:hAnsi="arial" w:eastAsia="arial" w:cs="arial"/>
          <w:sz w:val="22"/>
          <w:szCs w:val="22"/>
        </w:rPr>
        <w:t>, para lo cual se plantea, para el año 2020: (i) incrementar la oferta de autopistas en 2.800 kilómetros; (ii) incrementar la oferta de rutas en 4.000 kilómetros; y (iii) repavimentar 13.000 kilómetros de rutas</w:t>
      </w:r>
      <w:r w:rsidRPr="34C42776">
        <w:rPr>
          <w:rFonts w:ascii="arial" w:hAnsi="arial" w:eastAsia="arial" w:cs="arial"/>
          <w:sz w:val="22"/>
          <w:szCs w:val="22"/>
        </w:rPr>
        <w:t xml:space="preserve">. De acuerdo con la priorización del Ministerio de Finanzas (MF), estos serían </w:t>
      </w:r>
      <w:r w:rsidRPr="34C42776">
        <w:rPr>
          <w:rFonts w:ascii="arial" w:hAnsi="arial" w:eastAsia="arial" w:cs="arial"/>
          <w:sz w:val="22"/>
          <w:szCs w:val="22"/>
        </w:rPr>
        <w:t>los primeros proyectos a licitarse</w:t>
      </w:r>
      <w:r w:rsidRPr="34C42776">
        <w:rPr>
          <w:rFonts w:ascii="arial" w:hAnsi="arial" w:eastAsia="arial" w:cs="arial"/>
          <w:sz w:val="22"/>
          <w:szCs w:val="22"/>
        </w:rPr>
        <w:t xml:space="preserve"> por PPP.</w:t>
      </w:r>
    </w:p>
    <w:p w:rsidRPr="001532DD" w:rsidR="001532DD" w:rsidP="34C42776" w:rsidRDefault="001532DD" w14:paraId="2C3680B2" w14:textId="77777777">
      <w:pPr>
        <w:pStyle w:val="Paragraph"/>
        <w:rPr>
          <w:rFonts w:ascii="Arial" w:hAnsi="Arial" w:cs="Arial"/>
          <w:sz w:val="22"/>
          <w:szCs w:val="22"/>
        </w:rPr>
      </w:pPr>
      <w:r w:rsidRPr="34C42776">
        <w:rPr>
          <w:rFonts w:ascii="arial" w:hAnsi="arial" w:eastAsia="arial" w:cs="arial"/>
          <w:b w:val="1"/>
          <w:bCs w:val="1"/>
          <w:sz w:val="22"/>
          <w:szCs w:val="22"/>
        </w:rPr>
        <w:t>Transmisión eléctrica</w:t>
      </w:r>
      <w:r w:rsidRPr="34C42776">
        <w:rPr>
          <w:rFonts w:ascii="arial" w:hAnsi="arial" w:eastAsia="arial" w:cs="arial"/>
          <w:b w:val="1"/>
          <w:bCs w:val="1"/>
          <w:sz w:val="22"/>
          <w:szCs w:val="22"/>
        </w:rPr>
        <w:t>.</w:t>
      </w:r>
      <w:r w:rsidRPr="34C42776">
        <w:rPr>
          <w:rFonts w:ascii="arial" w:hAnsi="arial" w:eastAsia="arial" w:cs="arial"/>
          <w:sz w:val="22"/>
          <w:szCs w:val="22"/>
          <w:lang w:val="es-ES"/>
        </w:rPr>
        <w:t xml:space="preserve"> </w:t>
      </w:r>
      <w:r w:rsidRPr="34C42776">
        <w:rPr>
          <w:rFonts w:ascii="arial" w:hAnsi="arial" w:eastAsia="arial" w:cs="arial"/>
          <w:sz w:val="22"/>
          <w:szCs w:val="22"/>
          <w:lang w:val="es-ES"/>
        </w:rPr>
        <w:t>E</w:t>
      </w:r>
      <w:r w:rsidRPr="34C42776">
        <w:rPr>
          <w:rFonts w:ascii="arial" w:hAnsi="arial" w:eastAsia="arial" w:cs="arial"/>
          <w:sz w:val="22"/>
          <w:szCs w:val="22"/>
          <w:lang w:val="es-ES"/>
        </w:rPr>
        <w:t xml:space="preserve">l país requiere de inversiones en el sector eléctrico para hacer frente a la demanda de los próximos años y </w:t>
      </w:r>
      <w:r w:rsidRPr="34C42776">
        <w:rPr>
          <w:rFonts w:ascii="arial" w:hAnsi="arial" w:eastAsia="arial" w:cs="arial"/>
          <w:sz w:val="22"/>
          <w:szCs w:val="22"/>
          <w:lang w:val="es-ES"/>
        </w:rPr>
        <w:t>para</w:t>
      </w:r>
      <w:r w:rsidRPr="34C42776">
        <w:rPr>
          <w:rFonts w:ascii="arial" w:hAnsi="arial" w:eastAsia="arial" w:cs="arial"/>
          <w:sz w:val="22"/>
          <w:szCs w:val="22"/>
          <w:lang w:val="es-ES"/>
        </w:rPr>
        <w:t xml:space="preserve"> </w:t>
      </w:r>
      <w:proofErr w:type="spellStart"/>
      <w:r w:rsidRPr="34C42776">
        <w:rPr>
          <w:rFonts w:ascii="arial" w:hAnsi="arial" w:eastAsia="arial" w:cs="arial"/>
          <w:sz w:val="22"/>
          <w:szCs w:val="22"/>
          <w:lang w:val="es-ES"/>
        </w:rPr>
        <w:t>descarbonizar</w:t>
      </w:r>
      <w:proofErr w:type="spellEnd"/>
      <w:r w:rsidRPr="34C42776">
        <w:rPr>
          <w:rFonts w:ascii="arial" w:hAnsi="arial" w:eastAsia="arial" w:cs="arial"/>
          <w:sz w:val="22"/>
          <w:szCs w:val="22"/>
          <w:lang w:val="es-ES"/>
        </w:rPr>
        <w:t xml:space="preserve"> la matriz eléctrica</w:t>
      </w:r>
      <w:r w:rsidRPr="34C42776">
        <w:rPr>
          <w:rFonts w:ascii="arial" w:hAnsi="arial" w:eastAsia="arial" w:cs="arial"/>
          <w:sz w:val="22"/>
          <w:szCs w:val="22"/>
          <w:lang w:val="es-ES"/>
        </w:rPr>
        <w:t>.</w:t>
      </w:r>
      <w:r w:rsidRPr="34C42776">
        <w:rPr>
          <w:rFonts w:ascii="arial" w:hAnsi="arial" w:eastAsia="arial" w:cs="arial"/>
          <w:sz w:val="22"/>
          <w:szCs w:val="22"/>
          <w:lang w:val="es-ES"/>
        </w:rPr>
        <w:t xml:space="preserve"> </w:t>
      </w:r>
      <w:r w:rsidRPr="34C42776">
        <w:rPr>
          <w:rFonts w:ascii="arial" w:hAnsi="arial" w:eastAsia="arial" w:cs="arial"/>
          <w:sz w:val="22"/>
          <w:szCs w:val="22"/>
          <w:lang w:val="es-ES"/>
        </w:rPr>
        <w:t xml:space="preserve">En ese sentido, </w:t>
      </w:r>
      <w:r w:rsidRPr="34C42776">
        <w:rPr>
          <w:rFonts w:ascii="arial" w:hAnsi="arial" w:eastAsia="arial" w:cs="arial"/>
          <w:sz w:val="22"/>
          <w:szCs w:val="22"/>
          <w:lang w:val="es-ES"/>
        </w:rPr>
        <w:t>se prevén importantes inversiones en el fortalecimiento y la expansión de líneas de transmisión y estaciones transformadoras en la red de alta tensión en 500kV que contribuirán a mejorar la confiabilidad y estabilidad del sistema, y a la incorporación masiva de proyectos de energía renovable para los próximos años, especialmente de energía eólica y solar fotovoltaica.</w:t>
      </w:r>
    </w:p>
    <w:p w:rsidRPr="001532DD" w:rsidR="00BD7937" w:rsidP="34C42776" w:rsidRDefault="001532DD" w14:paraId="1A45A56A" w14:textId="49B5D404">
      <w:pPr>
        <w:pStyle w:val="Paragraph"/>
        <w:rPr>
          <w:rFonts w:ascii="Arial" w:hAnsi="Arial" w:cs="Arial"/>
          <w:sz w:val="22"/>
          <w:szCs w:val="22"/>
        </w:rPr>
      </w:pPr>
      <w:r w:rsidRPr="34C42776">
        <w:rPr>
          <w:rFonts w:ascii="arial" w:hAnsi="arial" w:eastAsia="arial" w:cs="arial"/>
          <w:b w:val="1"/>
          <w:bCs w:val="1"/>
          <w:sz w:val="22"/>
          <w:szCs w:val="22"/>
        </w:rPr>
        <w:t>Energía renovable.</w:t>
      </w:r>
      <w:r w:rsidRPr="34C42776">
        <w:rPr>
          <w:rFonts w:ascii="arial" w:hAnsi="arial" w:eastAsia="arial" w:cs="arial"/>
          <w:sz w:val="22"/>
          <w:szCs w:val="22"/>
        </w:rPr>
        <w:t xml:space="preserve"> La energía renovable no convencional representa menos del 2% de la matriz eléctrica del país. Para atender este tema, el gobierno propone alcanzar una participación de generación renovable en torno al 8% de la matriz eléctrica para 2018 y un 20% para 2025. El gobierno ha lanzado el programa </w:t>
      </w:r>
      <w:proofErr w:type="spellStart"/>
      <w:r w:rsidRPr="34C42776">
        <w:rPr>
          <w:rFonts w:ascii="arial" w:hAnsi="arial" w:eastAsia="arial" w:cs="arial"/>
          <w:sz w:val="22"/>
          <w:szCs w:val="22"/>
        </w:rPr>
        <w:t>RenovAr</w:t>
      </w:r>
      <w:proofErr w:type="spellEnd"/>
      <w:r w:rsidRPr="34C42776">
        <w:rPr>
          <w:rFonts w:ascii="arial" w:hAnsi="arial" w:eastAsia="arial" w:cs="arial"/>
          <w:sz w:val="22"/>
          <w:szCs w:val="22"/>
        </w:rPr>
        <w:t xml:space="preserve">, habiéndose adjudicado ya 2.425 megavatios de capacidad instalada bajo los programas </w:t>
      </w:r>
      <w:proofErr w:type="spellStart"/>
      <w:r w:rsidRPr="34C42776">
        <w:rPr>
          <w:rFonts w:ascii="arial" w:hAnsi="arial" w:eastAsia="arial" w:cs="arial"/>
          <w:sz w:val="22"/>
          <w:szCs w:val="22"/>
        </w:rPr>
        <w:t>RenovAr</w:t>
      </w:r>
      <w:proofErr w:type="spellEnd"/>
      <w:r w:rsidRPr="34C42776">
        <w:rPr>
          <w:rFonts w:ascii="arial" w:hAnsi="arial" w:eastAsia="arial" w:cs="arial"/>
          <w:sz w:val="22"/>
          <w:szCs w:val="22"/>
        </w:rPr>
        <w:t xml:space="preserve"> 1.0 y 1.5</w:t>
      </w:r>
      <w:r w:rsidRPr="34C42776">
        <w:rPr>
          <w:rFonts w:ascii="arial" w:hAnsi="arial" w:eastAsia="arial" w:cs="arial"/>
          <w:sz w:val="22"/>
          <w:szCs w:val="22"/>
        </w:rPr>
        <w:t xml:space="preserve">, y actualmente se encuentra en proceso el programa </w:t>
      </w:r>
      <w:proofErr w:type="spellStart"/>
      <w:r w:rsidRPr="34C42776">
        <w:rPr>
          <w:rFonts w:ascii="arial" w:hAnsi="arial" w:eastAsia="arial" w:cs="arial"/>
          <w:sz w:val="22"/>
          <w:szCs w:val="22"/>
        </w:rPr>
        <w:t>RenovAr</w:t>
      </w:r>
      <w:proofErr w:type="spellEnd"/>
      <w:r w:rsidRPr="34C42776">
        <w:rPr>
          <w:rFonts w:ascii="arial" w:hAnsi="arial" w:eastAsia="arial" w:cs="arial"/>
          <w:sz w:val="22"/>
          <w:szCs w:val="22"/>
        </w:rPr>
        <w:t xml:space="preserve"> 2.0 a través del cual se espera adjudicar 1.200 megavatios adicionales. La inversión necesaria para alcanzar la meta de 2025 se estima en US$20.000 millones.</w:t>
      </w:r>
      <w:bookmarkEnd w:id="0"/>
      <w:r w:rsidRPr="34C42776">
        <w:rPr>
          <w:rFonts w:ascii="arial" w:hAnsi="arial" w:eastAsia="arial" w:cs="arial"/>
          <w:sz w:val="22"/>
          <w:szCs w:val="22"/>
        </w:rPr>
        <w:t xml:space="preserve">  </w:t>
      </w:r>
    </w:p>
    <w:sectPr w:rsidRPr="001532DD" w:rsidR="00BD7937">
      <w:head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868" w:rsidP="001532DD" w:rsidRDefault="00386868" w14:paraId="1CD764B1" w14:textId="77777777">
      <w:r>
        <w:separator/>
      </w:r>
    </w:p>
  </w:endnote>
  <w:endnote w:type="continuationSeparator" w:id="0">
    <w:p w:rsidR="00386868" w:rsidP="001532DD" w:rsidRDefault="00386868" w14:paraId="15C863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868" w:rsidP="001532DD" w:rsidRDefault="00386868" w14:paraId="345D44E4" w14:textId="77777777">
      <w:r>
        <w:separator/>
      </w:r>
    </w:p>
  </w:footnote>
  <w:footnote w:type="continuationSeparator" w:id="0">
    <w:p w:rsidR="00386868" w:rsidP="001532DD" w:rsidRDefault="00386868" w14:paraId="2A94A60B" w14:textId="77777777">
      <w:r>
        <w:continuationSeparator/>
      </w:r>
    </w:p>
  </w:footnote>
  <w:footnote w:id="1">
    <w:p w:rsidR="34C42776" w:rsidP="34C42776" w:rsidRDefault="34C42776" w14:paraId="50C380BB" w14:textId="75B680C4">
      <w:pPr>
        <w:pStyle w:val="Normal"/>
        <w:rPr>
          <w:rFonts w:ascii="arial" w:hAnsi="arial" w:eastAsia="arial" w:cs="arial"/>
          <w:noProof w:val="0"/>
          <w:sz w:val="18"/>
          <w:szCs w:val="18"/>
          <w:lang w:val="es-ES"/>
        </w:rPr>
      </w:pPr>
      <w:r w:rsidRPr="34C42776" w:rsidR="34C42776">
        <w:rPr>
          <w:rFonts w:ascii="arial" w:hAnsi="arial" w:eastAsia="arial" w:cs="arial"/>
          <w:noProof w:val="0"/>
          <w:sz w:val="18"/>
          <w:szCs w:val="18"/>
          <w:vertAlign w:val="superscript"/>
          <w:lang w:val="es-ES"/>
        </w:rPr>
        <w:t>1</w:t>
      </w:r>
      <w:r w:rsidRPr="34C42776" w:rsidR="34C42776">
        <w:rPr>
          <w:rFonts w:ascii="arial" w:hAnsi="arial" w:eastAsia="arial" w:cs="arial"/>
          <w:noProof w:val="0"/>
          <w:sz w:val="18"/>
          <w:szCs w:val="18"/>
          <w:lang w:val="es-ES"/>
        </w:rPr>
        <w:t xml:space="preserve"> </w:t>
      </w:r>
      <w:proofErr w:type="gramStart"/>
      <w:r w:rsidRPr="34C42776" w:rsidR="34C42776">
        <w:rPr>
          <w:rFonts w:ascii="arial" w:hAnsi="arial" w:eastAsia="arial" w:cs="arial"/>
          <w:noProof w:val="0"/>
          <w:sz w:val="18"/>
          <w:szCs w:val="18"/>
          <w:lang w:val="es-ES"/>
        </w:rPr>
        <w:t>Banco</w:t>
      </w:r>
      <w:proofErr w:type="gramEnd"/>
      <w:r w:rsidRPr="34C42776" w:rsidR="34C42776">
        <w:rPr>
          <w:rFonts w:ascii="arial" w:hAnsi="arial" w:eastAsia="arial" w:cs="arial"/>
          <w:noProof w:val="0"/>
          <w:sz w:val="18"/>
          <w:szCs w:val="18"/>
          <w:lang w:val="es-ES"/>
        </w:rPr>
        <w:t xml:space="preserve"> Interamericano de Desarrollo, “Country </w:t>
      </w:r>
      <w:proofErr w:type="spellStart"/>
      <w:r w:rsidRPr="34C42776" w:rsidR="34C42776">
        <w:rPr>
          <w:rFonts w:ascii="arial" w:hAnsi="arial" w:eastAsia="arial" w:cs="arial"/>
          <w:noProof w:val="0"/>
          <w:sz w:val="18"/>
          <w:szCs w:val="18"/>
          <w:lang w:val="es-ES"/>
        </w:rPr>
        <w:t>Development</w:t>
      </w:r>
      <w:proofErr w:type="spellEnd"/>
      <w:r w:rsidRPr="34C42776" w:rsidR="34C42776">
        <w:rPr>
          <w:rFonts w:ascii="arial" w:hAnsi="arial" w:eastAsia="arial" w:cs="arial"/>
          <w:noProof w:val="0"/>
          <w:sz w:val="18"/>
          <w:szCs w:val="18"/>
          <w:lang w:val="es-ES"/>
        </w:rPr>
        <w:t xml:space="preserve"> </w:t>
      </w:r>
      <w:proofErr w:type="spellStart"/>
      <w:r w:rsidRPr="34C42776" w:rsidR="34C42776">
        <w:rPr>
          <w:rFonts w:ascii="arial" w:hAnsi="arial" w:eastAsia="arial" w:cs="arial"/>
          <w:noProof w:val="0"/>
          <w:sz w:val="18"/>
          <w:szCs w:val="18"/>
          <w:lang w:val="es-ES"/>
        </w:rPr>
        <w:t>Challenges</w:t>
      </w:r>
      <w:proofErr w:type="spellEnd"/>
      <w:r w:rsidRPr="34C42776" w:rsidR="34C42776">
        <w:rPr>
          <w:rFonts w:ascii="arial" w:hAnsi="arial" w:eastAsia="arial" w:cs="arial"/>
          <w:noProof w:val="0"/>
          <w:sz w:val="18"/>
          <w:szCs w:val="18"/>
          <w:lang w:val="es-ES"/>
        </w:rPr>
        <w:t xml:space="preserve"> – Argentina”,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E3120" w:rsidR="00FE3120" w:rsidP="00FE3120" w:rsidRDefault="00FE3120" w14:paraId="1CC18117" w14:textId="649352FE">
    <w:pPr>
      <w:pStyle w:val="Header"/>
      <w:jc w:val="right"/>
      <w:rPr>
        <w:rFonts w:ascii="Arial" w:hAnsi="Arial" w:cs="Arial"/>
        <w:sz w:val="18"/>
      </w:rPr>
    </w:pPr>
    <w:r w:rsidRPr="00FE3120">
      <w:rPr>
        <w:rFonts w:ascii="Arial" w:hAnsi="Arial" w:cs="Arial"/>
        <w:sz w:val="18"/>
      </w:rPr>
      <w:t>AR-L1281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Gaggero, Annabella">
    <w15:presenceInfo w15:providerId="AD" w15:userId="S-1-5-21-3560232635-1406422398-2702866923-31123"/>
  </w15:person>
  <w15:person w15:author="Cabrera Escalante, Maria">
    <w15:presenceInfo w15:providerId="AD" w15:userId="10037FFE90DA4919@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dirty"/>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B0552"/>
    <w:rsid w:val="00113247"/>
    <w:rsid w:val="001532DD"/>
    <w:rsid w:val="00273C7E"/>
    <w:rsid w:val="00386868"/>
    <w:rsid w:val="00740F8D"/>
    <w:rsid w:val="00861952"/>
    <w:rsid w:val="00B264FB"/>
    <w:rsid w:val="00BD7937"/>
    <w:rsid w:val="00FB0552"/>
    <w:rsid w:val="00FC0E4E"/>
    <w:rsid w:val="00FE3120"/>
    <w:rsid w:val="34C42776"/>
    <w:rsid w:val="6C2BC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651C2"/>
  <w15:chartTrackingRefBased/>
  <w15:docId w15:val="{49D3E8F1-8DD5-490E-BF6B-32CBEF5B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lang w:val="es-ES_tradn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hapter" w:customStyle="1">
    <w:name w:val="Chapter"/>
    <w:basedOn w:val="Normal"/>
    <w:next w:val="Normal"/>
    <w:rsid w:val="001532DD"/>
    <w:pPr>
      <w:keepNext/>
      <w:numPr>
        <w:numId w:val="1"/>
      </w:numPr>
      <w:tabs>
        <w:tab w:val="clear" w:pos="1800"/>
        <w:tab w:val="num" w:pos="648"/>
        <w:tab w:val="left" w:pos="1440"/>
      </w:tabs>
      <w:spacing w:before="240" w:after="240"/>
      <w:ind w:left="0"/>
      <w:jc w:val="center"/>
    </w:pPr>
    <w:rPr>
      <w:rFonts w:ascii="Times New Roman" w:hAnsi="Times New Roman" w:eastAsia="Times New Roman" w:cs="Times New Roman"/>
      <w:b/>
      <w:smallCaps/>
      <w:sz w:val="24"/>
      <w:szCs w:val="20"/>
      <w:lang w:val="es-ES"/>
    </w:rPr>
  </w:style>
  <w:style w:type="paragraph" w:styleId="FootnoteText">
    <w:name w:val="footnote text"/>
    <w:aliases w:val="fn,Footnote Text Char Char,Footnote Text1 Char,Footnote Text Char Char Char Char,Texto nota pie IIRSA,single space,texto de nota al pie,Texto nota pie Car Car Car Car Car Car Car Car,Texto nota pie Car Car Car,Texto nota pie Car1,Texto,F"/>
    <w:basedOn w:val="Normal"/>
    <w:link w:val="FootnoteTextChar"/>
    <w:qFormat/>
    <w:rsid w:val="001532DD"/>
    <w:pPr>
      <w:keepNext/>
      <w:keepLines/>
      <w:spacing w:after="120"/>
      <w:ind w:left="288" w:hanging="288"/>
    </w:pPr>
    <w:rPr>
      <w:rFonts w:ascii="Times New Roman" w:hAnsi="Times New Roman" w:eastAsia="Times New Roman" w:cs="Times New Roman"/>
      <w:spacing w:val="-3"/>
      <w:sz w:val="20"/>
      <w:szCs w:val="20"/>
    </w:rPr>
  </w:style>
  <w:style w:type="character" w:styleId="FootnoteTextChar" w:customStyle="1">
    <w:name w:val="Footnote Text Char"/>
    <w:aliases w:val="fn Char,Footnote Text Char Char Char,Footnote Text1 Char Char,Footnote Text Char Char Char Char Char,Texto nota pie IIRSA Char,single space Char,texto de nota al pie Char,Texto nota pie Car Car Car Car Car Car Car Car Char,Texto Char"/>
    <w:basedOn w:val="DefaultParagraphFont"/>
    <w:link w:val="FootnoteText"/>
    <w:rsid w:val="001532DD"/>
    <w:rPr>
      <w:rFonts w:ascii="Times New Roman" w:hAnsi="Times New Roman" w:eastAsia="Times New Roman" w:cs="Times New Roman"/>
      <w:spacing w:val="-3"/>
      <w:sz w:val="20"/>
      <w:szCs w:val="20"/>
      <w:lang w:val="es-ES_tradnl"/>
    </w:rPr>
  </w:style>
  <w:style w:type="paragraph" w:styleId="Paragraph" w:customStyle="1">
    <w:name w:val="Paragraph"/>
    <w:aliases w:val="paragraph,p,PARAGRAPH,PG,pa,at"/>
    <w:basedOn w:val="BodyTextIndent"/>
    <w:link w:val="ParagraphChar"/>
    <w:qFormat/>
    <w:rsid w:val="001532DD"/>
    <w:pPr>
      <w:numPr>
        <w:ilvl w:val="1"/>
        <w:numId w:val="1"/>
      </w:numPr>
      <w:tabs>
        <w:tab w:val="clear" w:pos="2448"/>
        <w:tab w:val="num" w:pos="720"/>
      </w:tabs>
      <w:spacing w:before="120"/>
      <w:ind w:left="720" w:hanging="720"/>
      <w:outlineLvl w:val="1"/>
    </w:pPr>
    <w:rPr>
      <w:rFonts w:ascii="Times New Roman" w:hAnsi="Times New Roman" w:eastAsia="Times New Roman" w:cs="Times New Roman"/>
      <w:sz w:val="24"/>
      <w:szCs w:val="20"/>
      <w:lang w:val="es-ES"/>
    </w:rPr>
  </w:style>
  <w:style w:type="paragraph" w:styleId="subpar" w:customStyle="1">
    <w:name w:val="subpar"/>
    <w:basedOn w:val="BodyTextIndent3"/>
    <w:rsid w:val="001532DD"/>
    <w:pPr>
      <w:numPr>
        <w:ilvl w:val="2"/>
        <w:numId w:val="1"/>
      </w:numPr>
      <w:tabs>
        <w:tab w:val="clear" w:pos="2304"/>
        <w:tab w:val="num" w:pos="360"/>
        <w:tab w:val="num" w:pos="1152"/>
      </w:tabs>
      <w:spacing w:before="120"/>
      <w:ind w:left="1152" w:firstLine="0"/>
      <w:outlineLvl w:val="2"/>
    </w:pPr>
    <w:rPr>
      <w:rFonts w:ascii="Times New Roman" w:hAnsi="Times New Roman" w:eastAsia="Times New Roman" w:cs="Times New Roman"/>
      <w:sz w:val="24"/>
      <w:szCs w:val="20"/>
    </w:rPr>
  </w:style>
  <w:style w:type="paragraph" w:styleId="SubSubPar" w:customStyle="1">
    <w:name w:val="SubSubPar"/>
    <w:basedOn w:val="subpar"/>
    <w:uiPriority w:val="99"/>
    <w:rsid w:val="001532DD"/>
    <w:pPr>
      <w:numPr>
        <w:ilvl w:val="3"/>
      </w:numPr>
      <w:tabs>
        <w:tab w:val="clear" w:pos="2736"/>
        <w:tab w:val="left" w:pos="0"/>
        <w:tab w:val="num" w:pos="360"/>
        <w:tab w:val="num" w:pos="1152"/>
        <w:tab w:val="num" w:pos="1296"/>
      </w:tabs>
      <w:ind w:left="1296"/>
    </w:p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iPriority w:val="99"/>
    <w:qFormat/>
    <w:rsid w:val="001532DD"/>
    <w:rPr>
      <w:vertAlign w:val="superscript"/>
    </w:rPr>
  </w:style>
  <w:style w:type="character" w:styleId="ParagraphChar" w:customStyle="1">
    <w:name w:val="Paragraph Char"/>
    <w:link w:val="Paragraph"/>
    <w:rsid w:val="001532DD"/>
    <w:rPr>
      <w:rFonts w:ascii="Times New Roman" w:hAnsi="Times New Roman" w:eastAsia="Times New Roman" w:cs="Times New Roman"/>
      <w:sz w:val="24"/>
      <w:szCs w:val="20"/>
      <w:lang w:val="es-ES"/>
    </w:rPr>
  </w:style>
  <w:style w:type="character" w:styleId="CommentReference">
    <w:name w:val="annotation reference"/>
    <w:basedOn w:val="DefaultParagraphFont"/>
    <w:uiPriority w:val="99"/>
    <w:semiHidden/>
    <w:unhideWhenUsed/>
    <w:rsid w:val="001532DD"/>
    <w:rPr>
      <w:sz w:val="16"/>
      <w:szCs w:val="16"/>
    </w:rPr>
  </w:style>
  <w:style w:type="paragraph" w:styleId="CommentText">
    <w:name w:val="annotation text"/>
    <w:basedOn w:val="Normal"/>
    <w:link w:val="CommentTextChar"/>
    <w:uiPriority w:val="99"/>
    <w:unhideWhenUsed/>
    <w:rsid w:val="001532DD"/>
    <w:pPr>
      <w:jc w:val="left"/>
    </w:pPr>
    <w:rPr>
      <w:rFonts w:ascii="Times New Roman" w:hAnsi="Times New Roman" w:eastAsia="Times New Roman" w:cs="Times New Roman"/>
      <w:sz w:val="20"/>
      <w:szCs w:val="20"/>
    </w:rPr>
  </w:style>
  <w:style w:type="character" w:styleId="CommentTextChar" w:customStyle="1">
    <w:name w:val="Comment Text Char"/>
    <w:basedOn w:val="DefaultParagraphFont"/>
    <w:link w:val="CommentText"/>
    <w:uiPriority w:val="99"/>
    <w:rsid w:val="001532DD"/>
    <w:rPr>
      <w:rFonts w:ascii="Times New Roman" w:hAnsi="Times New Roman" w:eastAsia="Times New Roman" w:cs="Times New Roman"/>
      <w:sz w:val="20"/>
      <w:szCs w:val="20"/>
      <w:lang w:val="es-ES_tradnl"/>
    </w:rPr>
  </w:style>
  <w:style w:type="paragraph" w:styleId="BodyTextIndent">
    <w:name w:val="Body Text Indent"/>
    <w:basedOn w:val="Normal"/>
    <w:link w:val="BodyTextIndentChar"/>
    <w:uiPriority w:val="99"/>
    <w:semiHidden/>
    <w:unhideWhenUsed/>
    <w:rsid w:val="001532DD"/>
    <w:pPr>
      <w:spacing w:after="120"/>
      <w:ind w:left="360"/>
    </w:pPr>
  </w:style>
  <w:style w:type="character" w:styleId="BodyTextIndentChar" w:customStyle="1">
    <w:name w:val="Body Text Indent Char"/>
    <w:basedOn w:val="DefaultParagraphFont"/>
    <w:link w:val="BodyTextIndent"/>
    <w:uiPriority w:val="99"/>
    <w:semiHidden/>
    <w:rsid w:val="001532DD"/>
    <w:rPr>
      <w:lang w:val="es-ES_tradnl"/>
    </w:rPr>
  </w:style>
  <w:style w:type="paragraph" w:styleId="BodyTextIndent3">
    <w:name w:val="Body Text Indent 3"/>
    <w:basedOn w:val="Normal"/>
    <w:link w:val="BodyTextIndent3Char"/>
    <w:uiPriority w:val="99"/>
    <w:semiHidden/>
    <w:unhideWhenUsed/>
    <w:rsid w:val="001532DD"/>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1532DD"/>
    <w:rPr>
      <w:sz w:val="16"/>
      <w:szCs w:val="16"/>
      <w:lang w:val="es-ES_tradnl"/>
    </w:rPr>
  </w:style>
  <w:style w:type="paragraph" w:styleId="BalloonText">
    <w:name w:val="Balloon Text"/>
    <w:basedOn w:val="Normal"/>
    <w:link w:val="BalloonTextChar"/>
    <w:uiPriority w:val="99"/>
    <w:semiHidden/>
    <w:unhideWhenUsed/>
    <w:rsid w:val="001532D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532DD"/>
    <w:rPr>
      <w:rFonts w:ascii="Segoe UI" w:hAnsi="Segoe UI" w:cs="Segoe UI"/>
      <w:sz w:val="18"/>
      <w:szCs w:val="18"/>
      <w:lang w:val="es-ES_tradnl"/>
    </w:rPr>
  </w:style>
  <w:style w:type="paragraph" w:styleId="Header">
    <w:name w:val="header"/>
    <w:basedOn w:val="Normal"/>
    <w:link w:val="HeaderChar"/>
    <w:uiPriority w:val="99"/>
    <w:unhideWhenUsed/>
    <w:rsid w:val="00FE3120"/>
    <w:pPr>
      <w:tabs>
        <w:tab w:val="center" w:pos="4680"/>
        <w:tab w:val="right" w:pos="9360"/>
      </w:tabs>
    </w:pPr>
  </w:style>
  <w:style w:type="character" w:styleId="HeaderChar" w:customStyle="1">
    <w:name w:val="Header Char"/>
    <w:basedOn w:val="DefaultParagraphFont"/>
    <w:link w:val="Header"/>
    <w:uiPriority w:val="99"/>
    <w:rsid w:val="00FE3120"/>
    <w:rPr>
      <w:lang w:val="es-ES_tradnl"/>
    </w:rPr>
  </w:style>
  <w:style w:type="paragraph" w:styleId="Footer">
    <w:name w:val="footer"/>
    <w:basedOn w:val="Normal"/>
    <w:link w:val="FooterChar"/>
    <w:uiPriority w:val="99"/>
    <w:unhideWhenUsed/>
    <w:rsid w:val="00FE3120"/>
    <w:pPr>
      <w:tabs>
        <w:tab w:val="center" w:pos="4680"/>
        <w:tab w:val="right" w:pos="9360"/>
      </w:tabs>
    </w:pPr>
  </w:style>
  <w:style w:type="character" w:styleId="FooterChar" w:customStyle="1">
    <w:name w:val="Footer Char"/>
    <w:basedOn w:val="DefaultParagraphFont"/>
    <w:link w:val="Footer"/>
    <w:uiPriority w:val="99"/>
    <w:rsid w:val="00FE3120"/>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8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5BC19BE7C9F84E8D33E2364042F78F" ma:contentTypeVersion="31" ma:contentTypeDescription="A content type to manage public (operations) IDB documents" ma:contentTypeScope="" ma:versionID="f629cad56a2e9d8801413ed0346943bc">
  <xsd:schema xmlns:xsd="http://www.w3.org/2001/XMLSchema" xmlns:xs="http://www.w3.org/2001/XMLSchema" xmlns:p="http://schemas.microsoft.com/office/2006/metadata/properties" xmlns:ns2="cdc7663a-08f0-4737-9e8c-148ce897a09c" targetNamespace="http://schemas.microsoft.com/office/2006/metadata/properties" ma:root="true" ma:fieldsID="03e022d3dc90e78d60038ac843960e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Fonseca, Daniel Fernando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5fb3c2b5-b55d-4fa3-955b-0672f2ff16b7</TermId>
        </TermInfo>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84</Value>
      <Value>5</Value>
      <Value>8</Value>
      <Value>226</Value>
      <Value>4</Value>
      <Value>272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R0002002863</Record_x0020_Number>
    <_dlc_DocId xmlns="cdc7663a-08f0-4737-9e8c-148ce897a09c">EZSHARE-1703860781-32</_dlc_DocId>
    <_dlc_DocIdUrl xmlns="cdc7663a-08f0-4737-9e8c-148ce897a09c">
      <Url>https://idbg.sharepoint.com/teams/EZ-AR-LON/AR-L1281/_layouts/15/DocIdRedir.aspx?ID=EZSHARE-1703860781-32</Url>
      <Description>EZSHARE-1703860781-32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Finance;Financial and Capital Markets;Financial Risk Management;Financial Sector Development;Fiscal Issues and Public Finance;</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617779A-AFFB-4E90-8652-F122C416DA2D}"/>
</file>

<file path=customXml/itemProps2.xml><?xml version="1.0" encoding="utf-8"?>
<ds:datastoreItem xmlns:ds="http://schemas.openxmlformats.org/officeDocument/2006/customXml" ds:itemID="{F1E04690-4E36-49C1-9438-1CDA88EDE802}"/>
</file>

<file path=customXml/itemProps3.xml><?xml version="1.0" encoding="utf-8"?>
<ds:datastoreItem xmlns:ds="http://schemas.openxmlformats.org/officeDocument/2006/customXml" ds:itemID="{9E37CE7B-C4CF-4FF4-91AA-9FCBFEDE8A25}"/>
</file>

<file path=customXml/itemProps4.xml><?xml version="1.0" encoding="utf-8"?>
<ds:datastoreItem xmlns:ds="http://schemas.openxmlformats.org/officeDocument/2006/customXml" ds:itemID="{123B55F9-A931-4B16-B1F5-B653F81B3DD2}"/>
</file>

<file path=customXml/itemProps5.xml><?xml version="1.0" encoding="utf-8"?>
<ds:datastoreItem xmlns:ds="http://schemas.openxmlformats.org/officeDocument/2006/customXml" ds:itemID="{A5AFA5C9-348E-4FD5-B06E-FC42BDCB86DA}"/>
</file>

<file path=customXml/itemProps6.xml><?xml version="1.0" encoding="utf-8"?>
<ds:datastoreItem xmlns:ds="http://schemas.openxmlformats.org/officeDocument/2006/customXml" ds:itemID="{41C7BF18-4956-4256-AE7F-5F78EF363A5A}"/>
</file>

<file path=customXml/itemProps7.xml><?xml version="1.0" encoding="utf-8"?>
<ds:datastoreItem xmlns:ds="http://schemas.openxmlformats.org/officeDocument/2006/customXml" ds:itemID="{73119E17-0A66-4EA8-B3BD-786AFAEA7C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Gaggero, Annabella</dc:creator>
  <cp:keywords/>
  <dc:description/>
  <cp:lastModifiedBy>Cabrera Escalante, Maria</cp:lastModifiedBy>
  <cp:revision>4</cp:revision>
  <dcterms:created xsi:type="dcterms:W3CDTF">2018-02-05T20:26:00Z</dcterms:created>
  <dcterms:modified xsi:type="dcterms:W3CDTF">2018-02-06T20:30:55Z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272;#FINANCIAL MARKETS|5fb3c2b5-b55d-4fa3-955b-0672f2ff16b7;#226;#RISK FINANCING|c5c38d86-fff1-494c-a3d8-b52714531aea</vt:lpwstr>
  </property>
  <property fmtid="{D5CDD505-2E9C-101B-9397-08002B2CF9AE}" pid="7" name="Fund IDB">
    <vt:lpwstr>4;#ORC|c028a4b2-ad8b-4cf4-9cac-a2ae6a778e23</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8;#Monitoring and Reporting|df3c2aa1-d63e-41aa-b1f5-bb15dee691ca</vt:lpwstr>
  </property>
  <property fmtid="{D5CDD505-2E9C-101B-9397-08002B2CF9AE}" pid="11" name="_dlc_DocIdItemGuid">
    <vt:lpwstr>c7bbc371-43e7-4399-9017-6e861623ebdb</vt:lpwstr>
  </property>
  <property fmtid="{D5CDD505-2E9C-101B-9397-08002B2CF9AE}" pid="12" name="RecordPoint_ActiveItemMoved">
    <vt:lpwstr>/teams/EZ-AR-LON/AR-L1281/15 LifeCycle Milestones/Draft Area/AR-L1281-DLP. Ejes de inversión en infraestructura productiva.docx</vt:lpwstr>
  </property>
  <property fmtid="{D5CDD505-2E9C-101B-9397-08002B2CF9AE}" pid="13" name="RecordStorageActiveId">
    <vt:lpwstr>f75e9f2a-701e-491f-9397-7ea63917bc8e</vt:lpwstr>
  </property>
  <property fmtid="{D5CDD505-2E9C-101B-9397-08002B2CF9AE}" pid="14" name="Disclosure Activity">
    <vt:lpwstr>Loan Proposal</vt:lpwstr>
  </property>
  <property fmtid="{D5CDD505-2E9C-101B-9397-08002B2CF9AE}" pid="15" name="ContentTypeId">
    <vt:lpwstr>0x0101001A458A224826124E8B45B1D613300CFC00715BC19BE7C9F84E8D33E2364042F78F</vt:lpwstr>
  </property>
</Properties>
</file>