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54970" w14:textId="77777777" w:rsidR="00A763AE" w:rsidRPr="00742C7B" w:rsidRDefault="009A7AE3" w:rsidP="00341A7E">
      <w:pPr>
        <w:autoSpaceDE w:val="0"/>
        <w:autoSpaceDN w:val="0"/>
        <w:adjustRightInd w:val="0"/>
        <w:spacing w:after="120" w:line="240" w:lineRule="auto"/>
        <w:jc w:val="center"/>
        <w:rPr>
          <w:rFonts w:ascii="Arial" w:hAnsi="Arial" w:cs="Arial"/>
          <w:b/>
          <w:bCs/>
          <w:smallCaps/>
          <w:sz w:val="24"/>
          <w:szCs w:val="24"/>
          <w:lang w:val="es-ES_tradnl"/>
        </w:rPr>
      </w:pPr>
      <w:bookmarkStart w:id="0" w:name="_GoBack"/>
      <w:bookmarkEnd w:id="0"/>
      <w:r w:rsidRPr="00742C7B">
        <w:rPr>
          <w:rFonts w:ascii="Arial" w:hAnsi="Arial" w:cs="Arial"/>
          <w:b/>
          <w:bCs/>
          <w:smallCaps/>
          <w:sz w:val="24"/>
          <w:szCs w:val="24"/>
          <w:lang w:val="es-ES_tradnl"/>
        </w:rPr>
        <w:t>Matriz d</w:t>
      </w:r>
      <w:r w:rsidR="00205AC6" w:rsidRPr="00742C7B">
        <w:rPr>
          <w:rFonts w:ascii="Arial" w:hAnsi="Arial" w:cs="Arial"/>
          <w:b/>
          <w:bCs/>
          <w:smallCaps/>
          <w:sz w:val="24"/>
          <w:szCs w:val="24"/>
          <w:lang w:val="es-ES_tradnl"/>
        </w:rPr>
        <w:t>e Resultados</w:t>
      </w:r>
    </w:p>
    <w:tbl>
      <w:tblPr>
        <w:tblStyle w:val="TableGrid"/>
        <w:tblW w:w="13338" w:type="dxa"/>
        <w:tblLook w:val="04A0" w:firstRow="1" w:lastRow="0" w:firstColumn="1" w:lastColumn="0" w:noHBand="0" w:noVBand="1"/>
      </w:tblPr>
      <w:tblGrid>
        <w:gridCol w:w="2718"/>
        <w:gridCol w:w="10620"/>
      </w:tblGrid>
      <w:tr w:rsidR="00795640" w:rsidRPr="00D45253" w14:paraId="670C793C" w14:textId="77777777" w:rsidTr="00BC4908">
        <w:tc>
          <w:tcPr>
            <w:tcW w:w="2718" w:type="dxa"/>
          </w:tcPr>
          <w:p w14:paraId="472F0FD9" w14:textId="77777777" w:rsidR="00795640" w:rsidRPr="00AE7D09" w:rsidRDefault="00205AC6" w:rsidP="00BF00CF">
            <w:pPr>
              <w:pStyle w:val="Paragraph"/>
              <w:numPr>
                <w:ilvl w:val="0"/>
                <w:numId w:val="0"/>
              </w:numPr>
              <w:jc w:val="left"/>
              <w:rPr>
                <w:rFonts w:ascii="Arial" w:hAnsi="Arial" w:cs="Arial"/>
                <w:b/>
                <w:sz w:val="20"/>
                <w:lang w:val="es-ES_tradnl"/>
              </w:rPr>
            </w:pPr>
            <w:r w:rsidRPr="00AE7D09">
              <w:rPr>
                <w:rFonts w:ascii="Arial" w:hAnsi="Arial" w:cs="Arial"/>
                <w:b/>
                <w:sz w:val="20"/>
                <w:lang w:val="es-ES_tradnl"/>
              </w:rPr>
              <w:t>Objetivo del Proyecto</w:t>
            </w:r>
            <w:r w:rsidR="00795640" w:rsidRPr="00AE7D09">
              <w:rPr>
                <w:rFonts w:ascii="Arial" w:hAnsi="Arial" w:cs="Arial"/>
                <w:b/>
                <w:sz w:val="20"/>
                <w:lang w:val="es-ES_tradnl"/>
              </w:rPr>
              <w:t>:</w:t>
            </w:r>
          </w:p>
        </w:tc>
        <w:tc>
          <w:tcPr>
            <w:tcW w:w="10620" w:type="dxa"/>
          </w:tcPr>
          <w:p w14:paraId="0BD78B6D" w14:textId="7DBFBDE8" w:rsidR="00192135" w:rsidRPr="00AE7D09" w:rsidRDefault="003D0E83" w:rsidP="00F30057">
            <w:pPr>
              <w:pStyle w:val="Paragraph"/>
              <w:numPr>
                <w:ilvl w:val="0"/>
                <w:numId w:val="0"/>
              </w:numPr>
              <w:rPr>
                <w:rFonts w:ascii="Arial" w:hAnsi="Arial" w:cs="Arial"/>
                <w:sz w:val="20"/>
                <w:lang w:val="es-ES_tradnl"/>
              </w:rPr>
            </w:pPr>
            <w:r w:rsidRPr="00AE7D09">
              <w:rPr>
                <w:rFonts w:ascii="Arial" w:hAnsi="Arial" w:cs="Arial"/>
                <w:b/>
                <w:sz w:val="18"/>
                <w:szCs w:val="18"/>
                <w:lang w:val="es-ES_tradnl"/>
              </w:rPr>
              <w:t xml:space="preserve">Objetivo del proyecto/descripción: </w:t>
            </w:r>
            <w:r w:rsidRPr="00AE7D09">
              <w:rPr>
                <w:rFonts w:ascii="Arial" w:hAnsi="Arial" w:cs="Arial"/>
                <w:sz w:val="18"/>
                <w:szCs w:val="18"/>
                <w:lang w:val="es-ES_tradnl"/>
              </w:rPr>
              <w:t>La operación tiene como objetivo mejorar la productividad de la economía paraguaya, a través de: (i) fortalecer la transparencia; (ii) mejorar el funcionamiento del sistema financiero; y (iii) mejorar el marco legal e institucional del financiamiento a largo plazo.</w:t>
            </w:r>
          </w:p>
        </w:tc>
      </w:tr>
    </w:tbl>
    <w:p w14:paraId="6493EC2E" w14:textId="77777777" w:rsidR="00795640" w:rsidRPr="00AE7D09" w:rsidRDefault="00795640" w:rsidP="005F0F86">
      <w:pPr>
        <w:autoSpaceDE w:val="0"/>
        <w:autoSpaceDN w:val="0"/>
        <w:adjustRightInd w:val="0"/>
        <w:spacing w:after="120" w:line="240" w:lineRule="auto"/>
        <w:jc w:val="both"/>
        <w:rPr>
          <w:rFonts w:ascii="Arial" w:hAnsi="Arial" w:cs="Arial"/>
          <w:b/>
          <w:sz w:val="20"/>
          <w:szCs w:val="20"/>
          <w:lang w:val="es-ES_tradnl"/>
        </w:rPr>
      </w:pPr>
    </w:p>
    <w:p w14:paraId="19D88471" w14:textId="77777777" w:rsidR="00FE40E8" w:rsidRPr="00AE7D09" w:rsidRDefault="00FE40E8" w:rsidP="000065B4">
      <w:pPr>
        <w:autoSpaceDE w:val="0"/>
        <w:autoSpaceDN w:val="0"/>
        <w:adjustRightInd w:val="0"/>
        <w:spacing w:after="40" w:line="240" w:lineRule="auto"/>
        <w:jc w:val="center"/>
        <w:rPr>
          <w:rFonts w:ascii="Arial" w:hAnsi="Arial" w:cs="Arial"/>
          <w:b/>
          <w:smallCaps/>
          <w:sz w:val="20"/>
          <w:szCs w:val="20"/>
          <w:lang w:val="es-ES_tradnl"/>
        </w:rPr>
      </w:pPr>
      <w:r w:rsidRPr="00AE7D09">
        <w:rPr>
          <w:rFonts w:ascii="Arial" w:hAnsi="Arial" w:cs="Arial"/>
          <w:b/>
          <w:smallCaps/>
          <w:sz w:val="20"/>
          <w:szCs w:val="20"/>
          <w:lang w:val="es-ES_tradnl"/>
        </w:rPr>
        <w:t>Impact</w:t>
      </w:r>
      <w:r w:rsidR="009A7AE3" w:rsidRPr="00AE7D09">
        <w:rPr>
          <w:rFonts w:ascii="Arial" w:hAnsi="Arial" w:cs="Arial"/>
          <w:b/>
          <w:smallCaps/>
          <w:sz w:val="20"/>
          <w:szCs w:val="20"/>
          <w:lang w:val="es-ES_tradnl"/>
        </w:rPr>
        <w:t>o Esperado</w:t>
      </w:r>
    </w:p>
    <w:tbl>
      <w:tblP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097"/>
        <w:gridCol w:w="180"/>
        <w:gridCol w:w="1080"/>
        <w:gridCol w:w="1510"/>
        <w:gridCol w:w="2520"/>
        <w:gridCol w:w="3600"/>
      </w:tblGrid>
      <w:tr w:rsidR="00626116" w:rsidRPr="00AE7D09" w14:paraId="1DBE1979" w14:textId="77777777" w:rsidTr="00247153">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5DB3D3"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C87825"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Unidad de Medida</w:t>
            </w:r>
          </w:p>
        </w:tc>
        <w:tc>
          <w:tcPr>
            <w:tcW w:w="10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B6231E"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Línea de Base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6E2386"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Año </w:t>
            </w:r>
          </w:p>
          <w:p w14:paraId="32557531"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Línea de Base</w:t>
            </w:r>
          </w:p>
        </w:tc>
        <w:tc>
          <w:tcPr>
            <w:tcW w:w="1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F34A7B" w14:textId="3D55BA82" w:rsidR="00626116" w:rsidRPr="00AE7D09" w:rsidRDefault="00626116" w:rsidP="00247153">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Meta Final 2022</w:t>
            </w:r>
          </w:p>
        </w:tc>
        <w:tc>
          <w:tcPr>
            <w:tcW w:w="2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D1E9D" w14:textId="77777777"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Medios de Verificación</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0C1CEA" w14:textId="2542B5E9" w:rsidR="00626116" w:rsidRPr="00AE7D09" w:rsidRDefault="00626116">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Comentarios</w:t>
            </w:r>
          </w:p>
        </w:tc>
      </w:tr>
      <w:tr w:rsidR="00205AC6" w:rsidRPr="00AE7D09" w14:paraId="637A2C6D" w14:textId="77777777" w:rsidTr="00247153">
        <w:trPr>
          <w:trHeight w:val="64"/>
        </w:trPr>
        <w:tc>
          <w:tcPr>
            <w:tcW w:w="13405" w:type="dxa"/>
            <w:gridSpan w:val="8"/>
            <w:tcBorders>
              <w:top w:val="single" w:sz="4" w:space="0" w:color="auto"/>
              <w:left w:val="single" w:sz="4" w:space="0" w:color="auto"/>
              <w:bottom w:val="single" w:sz="4" w:space="0" w:color="auto"/>
              <w:right w:val="single" w:sz="4" w:space="0" w:color="auto"/>
            </w:tcBorders>
            <w:vAlign w:val="center"/>
            <w:hideMark/>
          </w:tcPr>
          <w:p w14:paraId="20E3EFFB" w14:textId="112225BB" w:rsidR="00205AC6" w:rsidRPr="00AE7D09" w:rsidRDefault="00205AC6">
            <w:pPr>
              <w:spacing w:before="120" w:after="120" w:line="240" w:lineRule="auto"/>
              <w:rPr>
                <w:rFonts w:ascii="Arial" w:hAnsi="Arial" w:cs="Arial"/>
                <w:sz w:val="20"/>
                <w:szCs w:val="20"/>
                <w:lang w:val="es-ES_tradnl" w:eastAsia="zh-CN"/>
              </w:rPr>
            </w:pPr>
            <w:r w:rsidRPr="00AE7D09">
              <w:rPr>
                <w:rFonts w:ascii="Arial" w:hAnsi="Arial" w:cs="Arial"/>
                <w:b/>
                <w:caps/>
                <w:sz w:val="20"/>
                <w:szCs w:val="20"/>
                <w:u w:val="single"/>
                <w:lang w:val="es-ES_tradnl" w:eastAsia="zh-CN"/>
              </w:rPr>
              <w:t>Impacto #1</w:t>
            </w:r>
            <w:r w:rsidR="0071214E" w:rsidRPr="00AE7D09">
              <w:rPr>
                <w:rFonts w:ascii="Arial" w:hAnsi="Arial" w:cs="Arial"/>
                <w:b/>
                <w:caps/>
                <w:sz w:val="20"/>
                <w:szCs w:val="20"/>
                <w:u w:val="single"/>
                <w:lang w:val="es-ES_tradnl" w:eastAsia="zh-CN"/>
              </w:rPr>
              <w:t xml:space="preserve">: </w:t>
            </w:r>
            <w:r w:rsidR="00626116" w:rsidRPr="00AE7D09">
              <w:rPr>
                <w:rFonts w:ascii="Arial" w:hAnsi="Arial" w:cs="Arial"/>
                <w:b/>
                <w:caps/>
                <w:sz w:val="20"/>
                <w:szCs w:val="20"/>
                <w:u w:val="single"/>
                <w:lang w:val="es-ES_tradnl" w:eastAsia="zh-CN"/>
              </w:rPr>
              <w:t>Producto interno bruto</w:t>
            </w:r>
            <w:r w:rsidR="0071214E" w:rsidRPr="00AE7D09">
              <w:rPr>
                <w:rFonts w:ascii="Arial" w:hAnsi="Arial" w:cs="Arial"/>
                <w:b/>
                <w:caps/>
                <w:sz w:val="20"/>
                <w:szCs w:val="20"/>
                <w:u w:val="single"/>
                <w:lang w:val="es-ES_tradnl" w:eastAsia="zh-CN"/>
              </w:rPr>
              <w:t xml:space="preserve"> INCREMENTAD</w:t>
            </w:r>
            <w:r w:rsidR="00626116" w:rsidRPr="00AE7D09">
              <w:rPr>
                <w:rFonts w:ascii="Arial" w:hAnsi="Arial" w:cs="Arial"/>
                <w:b/>
                <w:caps/>
                <w:sz w:val="20"/>
                <w:szCs w:val="20"/>
                <w:u w:val="single"/>
                <w:lang w:val="es-ES_tradnl" w:eastAsia="zh-CN"/>
              </w:rPr>
              <w:t>o</w:t>
            </w:r>
          </w:p>
        </w:tc>
      </w:tr>
      <w:tr w:rsidR="00626116" w:rsidRPr="00D45253" w14:paraId="5B594665" w14:textId="77777777" w:rsidTr="00533416">
        <w:trPr>
          <w:trHeight w:val="64"/>
        </w:trPr>
        <w:tc>
          <w:tcPr>
            <w:tcW w:w="1997" w:type="dxa"/>
            <w:tcBorders>
              <w:top w:val="single" w:sz="4" w:space="0" w:color="auto"/>
              <w:left w:val="single" w:sz="4" w:space="0" w:color="auto"/>
              <w:bottom w:val="single" w:sz="4" w:space="0" w:color="auto"/>
              <w:right w:val="single" w:sz="4" w:space="0" w:color="auto"/>
            </w:tcBorders>
            <w:vAlign w:val="center"/>
            <w:hideMark/>
          </w:tcPr>
          <w:p w14:paraId="411005C0" w14:textId="1757EEAA" w:rsidR="00626116" w:rsidRPr="00AE7D09" w:rsidRDefault="00626116" w:rsidP="00B069F4">
            <w:pPr>
              <w:spacing w:after="0" w:line="240" w:lineRule="auto"/>
              <w:rPr>
                <w:rFonts w:ascii="Arial" w:eastAsia="Arial Unicode MS" w:hAnsi="Arial" w:cs="Arial"/>
                <w:sz w:val="20"/>
                <w:szCs w:val="20"/>
                <w:lang w:val="es-ES_tradnl"/>
              </w:rPr>
            </w:pPr>
            <w:r w:rsidRPr="00AE7D09">
              <w:rPr>
                <w:rFonts w:ascii="Arial" w:eastAsia="Arial Unicode MS" w:hAnsi="Arial" w:cs="Arial"/>
                <w:sz w:val="20"/>
                <w:szCs w:val="20"/>
                <w:lang w:val="es-ES_tradnl"/>
              </w:rPr>
              <w:t>Crecimiento del PIB real (promedio 2017-2022)</w:t>
            </w:r>
          </w:p>
        </w:tc>
        <w:tc>
          <w:tcPr>
            <w:tcW w:w="1421" w:type="dxa"/>
            <w:tcBorders>
              <w:top w:val="single" w:sz="4" w:space="0" w:color="auto"/>
              <w:left w:val="single" w:sz="4" w:space="0" w:color="auto"/>
              <w:bottom w:val="single" w:sz="4" w:space="0" w:color="auto"/>
              <w:right w:val="single" w:sz="4" w:space="0" w:color="auto"/>
            </w:tcBorders>
            <w:vAlign w:val="center"/>
          </w:tcPr>
          <w:p w14:paraId="1EB96713" w14:textId="7ADD4BBA" w:rsidR="00626116" w:rsidRPr="00AE7D09" w:rsidRDefault="00626116" w:rsidP="00B069F4">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49B412F4" w14:textId="4358191A" w:rsidR="00626116" w:rsidRPr="00AE7D09" w:rsidRDefault="00C9098C" w:rsidP="00B069F4">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3.6</w:t>
            </w:r>
          </w:p>
        </w:tc>
        <w:tc>
          <w:tcPr>
            <w:tcW w:w="1080" w:type="dxa"/>
            <w:tcBorders>
              <w:top w:val="single" w:sz="4" w:space="0" w:color="auto"/>
              <w:left w:val="single" w:sz="4" w:space="0" w:color="auto"/>
              <w:bottom w:val="single" w:sz="4" w:space="0" w:color="auto"/>
              <w:right w:val="single" w:sz="4" w:space="0" w:color="auto"/>
            </w:tcBorders>
            <w:vAlign w:val="center"/>
          </w:tcPr>
          <w:p w14:paraId="1C47E652" w14:textId="1761954D" w:rsidR="00626116" w:rsidRPr="00AE7D09" w:rsidRDefault="00626116" w:rsidP="00B069F4">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2016</w:t>
            </w:r>
          </w:p>
        </w:tc>
        <w:tc>
          <w:tcPr>
            <w:tcW w:w="1510" w:type="dxa"/>
            <w:tcBorders>
              <w:top w:val="single" w:sz="4" w:space="0" w:color="auto"/>
              <w:left w:val="single" w:sz="4" w:space="0" w:color="auto"/>
              <w:bottom w:val="single" w:sz="4" w:space="0" w:color="auto"/>
              <w:right w:val="single" w:sz="4" w:space="0" w:color="auto"/>
            </w:tcBorders>
            <w:vAlign w:val="center"/>
          </w:tcPr>
          <w:p w14:paraId="569E39B5" w14:textId="120AC7ED" w:rsidR="00626116" w:rsidRPr="00AE7D09" w:rsidRDefault="009B2145" w:rsidP="00B069F4">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4</w:t>
            </w:r>
          </w:p>
        </w:tc>
        <w:tc>
          <w:tcPr>
            <w:tcW w:w="2520" w:type="dxa"/>
            <w:tcBorders>
              <w:top w:val="single" w:sz="4" w:space="0" w:color="auto"/>
              <w:left w:val="single" w:sz="4" w:space="0" w:color="auto"/>
              <w:bottom w:val="single" w:sz="4" w:space="0" w:color="auto"/>
              <w:right w:val="single" w:sz="4" w:space="0" w:color="auto"/>
            </w:tcBorders>
            <w:vAlign w:val="center"/>
          </w:tcPr>
          <w:p w14:paraId="0F18BACF" w14:textId="42A493F5" w:rsidR="00626116" w:rsidRPr="00AE7D09" w:rsidRDefault="00626116" w:rsidP="00B069F4">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 xml:space="preserve">World </w:t>
            </w:r>
            <w:r w:rsidR="00C9098C" w:rsidRPr="00AE7D09">
              <w:rPr>
                <w:rFonts w:ascii="Arial" w:hAnsi="Arial" w:cs="Arial"/>
                <w:sz w:val="20"/>
                <w:szCs w:val="20"/>
                <w:lang w:val="es-ES_tradnl" w:eastAsia="zh-CN"/>
              </w:rPr>
              <w:t>Economic Outlook, FMI.</w:t>
            </w:r>
          </w:p>
        </w:tc>
        <w:tc>
          <w:tcPr>
            <w:tcW w:w="3600" w:type="dxa"/>
            <w:tcBorders>
              <w:top w:val="single" w:sz="4" w:space="0" w:color="auto"/>
              <w:left w:val="single" w:sz="4" w:space="0" w:color="auto"/>
              <w:bottom w:val="single" w:sz="4" w:space="0" w:color="auto"/>
              <w:right w:val="single" w:sz="4" w:space="0" w:color="auto"/>
            </w:tcBorders>
            <w:vAlign w:val="center"/>
          </w:tcPr>
          <w:p w14:paraId="31B2D6E9" w14:textId="77777777" w:rsidR="00C9098C" w:rsidRPr="00AE7D09" w:rsidRDefault="00626116" w:rsidP="00B069F4">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Se espera que la reformas contribuyan al crecimiento promedio del PIB real en el largo plazo</w:t>
            </w:r>
            <w:r w:rsidR="00C9098C" w:rsidRPr="00AE7D09">
              <w:rPr>
                <w:rFonts w:ascii="Arial" w:hAnsi="Arial" w:cs="Arial"/>
                <w:sz w:val="20"/>
                <w:szCs w:val="20"/>
                <w:lang w:val="es-ES_tradnl" w:eastAsia="zh-CN"/>
              </w:rPr>
              <w:t xml:space="preserve"> comparado con un escenario</w:t>
            </w:r>
            <w:r w:rsidRPr="00AE7D09">
              <w:rPr>
                <w:rFonts w:ascii="Arial" w:hAnsi="Arial" w:cs="Arial"/>
                <w:sz w:val="20"/>
                <w:szCs w:val="20"/>
                <w:lang w:val="es-ES_tradnl" w:eastAsia="zh-CN"/>
              </w:rPr>
              <w:t>.</w:t>
            </w:r>
          </w:p>
          <w:p w14:paraId="27E5261D" w14:textId="61CB1DBB" w:rsidR="00626116" w:rsidRPr="00AE7D09" w:rsidRDefault="00C9098C" w:rsidP="00B069F4">
            <w:pPr>
              <w:spacing w:after="0" w:line="240" w:lineRule="auto"/>
              <w:rPr>
                <w:rFonts w:ascii="Arial" w:hAnsi="Arial" w:cs="Arial"/>
                <w:sz w:val="20"/>
                <w:szCs w:val="20"/>
                <w:lang w:val="es-ES_tradnl" w:eastAsia="zh-CN"/>
              </w:rPr>
            </w:pPr>
            <w:r w:rsidRPr="00AE7D09">
              <w:rPr>
                <w:rFonts w:ascii="Arial" w:hAnsi="Arial" w:cs="Arial"/>
                <w:b/>
                <w:sz w:val="20"/>
                <w:szCs w:val="20"/>
                <w:lang w:val="es-ES_tradnl" w:eastAsia="zh-CN"/>
              </w:rPr>
              <w:t>Nota</w:t>
            </w:r>
            <w:r w:rsidRPr="00AE7D09">
              <w:rPr>
                <w:rFonts w:ascii="Arial" w:hAnsi="Arial" w:cs="Arial"/>
                <w:sz w:val="20"/>
                <w:szCs w:val="20"/>
                <w:lang w:val="es-ES_tradnl" w:eastAsia="zh-CN"/>
              </w:rPr>
              <w:t>:</w:t>
            </w:r>
            <w:r w:rsidR="00626116" w:rsidRPr="00AE7D09">
              <w:rPr>
                <w:rFonts w:ascii="Arial" w:hAnsi="Arial" w:cs="Arial"/>
                <w:sz w:val="20"/>
                <w:szCs w:val="20"/>
                <w:lang w:val="es-ES_tradnl" w:eastAsia="zh-CN"/>
              </w:rPr>
              <w:t xml:space="preserve">  </w:t>
            </w:r>
            <w:r w:rsidRPr="00AE7D09">
              <w:rPr>
                <w:rFonts w:ascii="Arial" w:hAnsi="Arial" w:cs="Arial"/>
                <w:sz w:val="20"/>
                <w:szCs w:val="20"/>
                <w:lang w:val="es-ES_tradnl" w:eastAsia="zh-CN"/>
              </w:rPr>
              <w:t>La línea de base corresponde a las proyecciones realizadas por el FMI para el período 2017-2022. El valor meta corresponde a la contribución esperada por el programa versus esta proyección.</w:t>
            </w:r>
          </w:p>
          <w:p w14:paraId="42C359D0" w14:textId="455A172F" w:rsidR="009F6213" w:rsidRPr="00AE7D09" w:rsidRDefault="009F6213" w:rsidP="00B069F4">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La medición de este indicador es anual. La fecha más reciente de medición para la línea de base fue 2016.</w:t>
            </w:r>
          </w:p>
        </w:tc>
      </w:tr>
    </w:tbl>
    <w:p w14:paraId="0AEE75A0" w14:textId="77777777" w:rsidR="003A35A9" w:rsidRPr="00AE7D09" w:rsidRDefault="003A35A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62888C32" w14:textId="77777777" w:rsidR="003C1A74" w:rsidRPr="00AE7D09" w:rsidRDefault="003C1A74"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6F5FF8A2"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77F7E18E"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44B0B604"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344AA3E1"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6A70A73E"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3FF2BF22"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62D9807C"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7BB56E1A"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55BB49D5"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1B68D0CF"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7CF65A5B"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614C01B6"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66C16AC2" w14:textId="77777777" w:rsidR="00124D48" w:rsidRPr="00AE7D09" w:rsidRDefault="00124D48" w:rsidP="000065B4">
      <w:pPr>
        <w:autoSpaceDE w:val="0"/>
        <w:autoSpaceDN w:val="0"/>
        <w:adjustRightInd w:val="0"/>
        <w:spacing w:after="0" w:line="240" w:lineRule="auto"/>
        <w:jc w:val="center"/>
        <w:rPr>
          <w:rFonts w:ascii="Arial" w:hAnsi="Arial" w:cs="Arial"/>
          <w:b/>
          <w:smallCaps/>
          <w:color w:val="000000"/>
          <w:sz w:val="20"/>
          <w:szCs w:val="20"/>
          <w:lang w:val="es-ES_tradnl"/>
        </w:rPr>
      </w:pPr>
    </w:p>
    <w:p w14:paraId="792321EF" w14:textId="72489D24" w:rsidR="003A35A9" w:rsidRPr="00AE7D09" w:rsidRDefault="003A35A9" w:rsidP="000065B4">
      <w:pPr>
        <w:autoSpaceDE w:val="0"/>
        <w:autoSpaceDN w:val="0"/>
        <w:adjustRightInd w:val="0"/>
        <w:spacing w:after="0" w:line="240" w:lineRule="auto"/>
        <w:jc w:val="center"/>
        <w:rPr>
          <w:rFonts w:ascii="Arial" w:hAnsi="Arial" w:cs="Arial"/>
          <w:b/>
          <w:smallCaps/>
          <w:color w:val="000000"/>
          <w:sz w:val="20"/>
          <w:szCs w:val="20"/>
          <w:lang w:val="es-ES_tradnl"/>
        </w:rPr>
      </w:pPr>
      <w:r w:rsidRPr="00AE7D09">
        <w:rPr>
          <w:rFonts w:ascii="Arial" w:hAnsi="Arial" w:cs="Arial"/>
          <w:b/>
          <w:smallCaps/>
          <w:color w:val="000000"/>
          <w:sz w:val="20"/>
          <w:szCs w:val="20"/>
          <w:lang w:val="es-ES_tradnl"/>
        </w:rPr>
        <w:t>Resultados Esperados</w:t>
      </w:r>
    </w:p>
    <w:tbl>
      <w:tblPr>
        <w:tblpPr w:leftFromText="180" w:rightFromText="180" w:vertAnchor="text" w:horzAnchor="margin" w:tblpY="120"/>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997"/>
        <w:gridCol w:w="1439"/>
        <w:gridCol w:w="1169"/>
        <w:gridCol w:w="1170"/>
        <w:gridCol w:w="1330"/>
        <w:gridCol w:w="1620"/>
        <w:gridCol w:w="4680"/>
      </w:tblGrid>
      <w:tr w:rsidR="002D4722" w:rsidRPr="00AE7D09" w14:paraId="1733DE51" w14:textId="77777777" w:rsidTr="00AE7D09">
        <w:trPr>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D9D179"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645EE57"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Unidad de Medida</w:t>
            </w:r>
          </w:p>
        </w:tc>
        <w:tc>
          <w:tcPr>
            <w:tcW w:w="11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D56237"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258CF4"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Año </w:t>
            </w:r>
          </w:p>
          <w:p w14:paraId="579D5697"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Línea de Base</w:t>
            </w:r>
          </w:p>
        </w:tc>
        <w:tc>
          <w:tcPr>
            <w:tcW w:w="1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26EEF2" w14:textId="2D4720A0" w:rsidR="002D4722" w:rsidRPr="00AE7D09" w:rsidRDefault="002D4722" w:rsidP="00247153">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Meta Final</w:t>
            </w:r>
          </w:p>
          <w:p w14:paraId="6A34B9C2" w14:textId="3ECCF512" w:rsidR="002D4722" w:rsidRPr="00AE7D09" w:rsidRDefault="002D4722" w:rsidP="00247153">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202</w:t>
            </w:r>
            <w:r w:rsidR="00A35221" w:rsidRPr="00AE7D09">
              <w:rPr>
                <w:rFonts w:ascii="Arial" w:hAnsi="Arial" w:cs="Arial"/>
                <w:b/>
                <w:sz w:val="20"/>
                <w:szCs w:val="20"/>
                <w:lang w:val="es-ES_tradnl" w:eastAsia="zh-CN"/>
              </w:rPr>
              <w:t>0</w:t>
            </w:r>
            <w:r w:rsidR="00A35221" w:rsidRPr="00AE7D09">
              <w:rPr>
                <w:rStyle w:val="FootnoteReference"/>
                <w:rFonts w:ascii="Arial" w:hAnsi="Arial" w:cs="Arial"/>
                <w:b/>
                <w:sz w:val="20"/>
                <w:szCs w:val="20"/>
                <w:lang w:val="es-ES_tradnl" w:eastAsia="zh-CN"/>
              </w:rPr>
              <w:footnoteReference w:id="2"/>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C73B78" w14:textId="77777777"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Medios de Verificación</w:t>
            </w:r>
          </w:p>
        </w:tc>
        <w:tc>
          <w:tcPr>
            <w:tcW w:w="46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4124F7" w14:textId="74509140" w:rsidR="002D4722" w:rsidRPr="00AE7D09" w:rsidRDefault="002D4722" w:rsidP="003A35A9">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Comentarios</w:t>
            </w:r>
          </w:p>
        </w:tc>
      </w:tr>
      <w:tr w:rsidR="003A35A9" w:rsidRPr="00AE7D09" w14:paraId="4833B49B" w14:textId="77777777" w:rsidTr="00AE7D09">
        <w:trPr>
          <w:trHeight w:val="365"/>
        </w:trPr>
        <w:tc>
          <w:tcPr>
            <w:tcW w:w="13405" w:type="dxa"/>
            <w:gridSpan w:val="7"/>
            <w:tcBorders>
              <w:top w:val="single" w:sz="4" w:space="0" w:color="000000"/>
              <w:left w:val="single" w:sz="4" w:space="0" w:color="000000"/>
              <w:bottom w:val="single" w:sz="4" w:space="0" w:color="000000"/>
              <w:right w:val="single" w:sz="4" w:space="0" w:color="000000"/>
            </w:tcBorders>
            <w:vAlign w:val="center"/>
            <w:hideMark/>
          </w:tcPr>
          <w:p w14:paraId="3BE480F3" w14:textId="72B35B23" w:rsidR="003A35A9" w:rsidRPr="00AE7D09" w:rsidRDefault="003A35A9" w:rsidP="00AE7D09">
            <w:pPr>
              <w:spacing w:before="60" w:after="60" w:line="240" w:lineRule="auto"/>
              <w:rPr>
                <w:rFonts w:ascii="Arial" w:hAnsi="Arial" w:cs="Arial"/>
                <w:sz w:val="20"/>
                <w:szCs w:val="20"/>
                <w:lang w:val="es-ES_tradnl" w:eastAsia="zh-CN"/>
              </w:rPr>
            </w:pPr>
            <w:r w:rsidRPr="00AE7D09">
              <w:rPr>
                <w:rFonts w:ascii="Arial" w:hAnsi="Arial" w:cs="Arial"/>
                <w:b/>
                <w:caps/>
                <w:sz w:val="20"/>
                <w:szCs w:val="20"/>
                <w:u w:val="single"/>
                <w:lang w:val="es-ES_tradnl" w:eastAsia="zh-CN"/>
              </w:rPr>
              <w:t>resultado #1:</w:t>
            </w:r>
            <w:r w:rsidR="00DE303E" w:rsidRPr="00AE7D09">
              <w:rPr>
                <w:rFonts w:ascii="Arial" w:hAnsi="Arial" w:cs="Arial"/>
                <w:b/>
                <w:caps/>
                <w:sz w:val="20"/>
                <w:szCs w:val="20"/>
                <w:u w:val="single"/>
                <w:lang w:val="es-ES_tradnl" w:eastAsia="zh-CN"/>
              </w:rPr>
              <w:t xml:space="preserve"> </w:t>
            </w:r>
            <w:r w:rsidR="00DE303E" w:rsidRPr="00AE7D09">
              <w:rPr>
                <w:lang w:val="es-ES_tradnl"/>
              </w:rPr>
              <w:t xml:space="preserve"> </w:t>
            </w:r>
            <w:r w:rsidR="00DE303E" w:rsidRPr="00AE7D09">
              <w:rPr>
                <w:rFonts w:ascii="Arial" w:hAnsi="Arial" w:cs="Arial"/>
                <w:b/>
                <w:caps/>
                <w:sz w:val="20"/>
                <w:szCs w:val="20"/>
                <w:u w:val="single"/>
                <w:lang w:val="es-ES_tradnl" w:eastAsia="zh-CN"/>
              </w:rPr>
              <w:t xml:space="preserve">Transparencia </w:t>
            </w:r>
            <w:r w:rsidR="00294E1F" w:rsidRPr="00AE7D09">
              <w:rPr>
                <w:rFonts w:ascii="Arial" w:hAnsi="Arial" w:cs="Arial"/>
                <w:b/>
                <w:caps/>
                <w:sz w:val="20"/>
                <w:szCs w:val="20"/>
                <w:u w:val="single"/>
                <w:lang w:val="es-ES_tradnl" w:eastAsia="zh-CN"/>
              </w:rPr>
              <w:t>fortalecid</w:t>
            </w:r>
            <w:r w:rsidR="00451F7E" w:rsidRPr="00AE7D09">
              <w:rPr>
                <w:rFonts w:ascii="Arial" w:hAnsi="Arial" w:cs="Arial"/>
                <w:b/>
                <w:caps/>
                <w:sz w:val="20"/>
                <w:szCs w:val="20"/>
                <w:u w:val="single"/>
                <w:lang w:val="es-ES_tradnl" w:eastAsia="zh-CN"/>
              </w:rPr>
              <w:t>a</w:t>
            </w:r>
          </w:p>
        </w:tc>
      </w:tr>
      <w:tr w:rsidR="002D4722" w:rsidRPr="00D45253" w14:paraId="41097F62" w14:textId="77777777" w:rsidTr="00AE7D09">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3864AEDA" w14:textId="4C9CAB5F" w:rsidR="002D4722" w:rsidRPr="00AE7D09" w:rsidRDefault="002D4722" w:rsidP="00533416">
            <w:pPr>
              <w:pStyle w:val="ListParagraph"/>
              <w:spacing w:after="0" w:line="240" w:lineRule="auto"/>
              <w:ind w:left="0"/>
              <w:contextualSpacing w:val="0"/>
              <w:rPr>
                <w:rFonts w:ascii="Arial" w:hAnsi="Arial" w:cs="Arial"/>
                <w:sz w:val="20"/>
                <w:szCs w:val="20"/>
                <w:lang w:val="es-ES_tradnl" w:eastAsia="zh-CN"/>
              </w:rPr>
            </w:pPr>
            <w:r w:rsidRPr="00AE7D09">
              <w:rPr>
                <w:rFonts w:ascii="Arial" w:hAnsi="Arial" w:cs="Arial"/>
                <w:sz w:val="20"/>
                <w:szCs w:val="20"/>
                <w:lang w:val="es-ES_tradnl" w:eastAsia="zh-CN"/>
              </w:rPr>
              <w:t>Índice sobre Percepción de la Corrupción</w:t>
            </w:r>
          </w:p>
        </w:tc>
        <w:tc>
          <w:tcPr>
            <w:tcW w:w="1439" w:type="dxa"/>
            <w:tcBorders>
              <w:top w:val="single" w:sz="4" w:space="0" w:color="000000"/>
              <w:left w:val="single" w:sz="4" w:space="0" w:color="000000"/>
              <w:bottom w:val="single" w:sz="4" w:space="0" w:color="000000"/>
              <w:right w:val="single" w:sz="4" w:space="0" w:color="000000"/>
            </w:tcBorders>
            <w:vAlign w:val="center"/>
          </w:tcPr>
          <w:p w14:paraId="0994BC3D" w14:textId="01935E50" w:rsidR="002D4722" w:rsidRPr="00AE7D09" w:rsidRDefault="002D4722"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vAlign w:val="center"/>
          </w:tcPr>
          <w:p w14:paraId="2A0617E0" w14:textId="1FCD4319" w:rsidR="002D4722" w:rsidRPr="00AE7D09" w:rsidRDefault="002D4722"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30</w:t>
            </w:r>
          </w:p>
        </w:tc>
        <w:tc>
          <w:tcPr>
            <w:tcW w:w="1170" w:type="dxa"/>
            <w:tcBorders>
              <w:top w:val="single" w:sz="4" w:space="0" w:color="000000"/>
              <w:left w:val="single" w:sz="4" w:space="0" w:color="000000"/>
              <w:bottom w:val="single" w:sz="4" w:space="0" w:color="000000"/>
              <w:right w:val="single" w:sz="4" w:space="0" w:color="000000"/>
            </w:tcBorders>
            <w:vAlign w:val="center"/>
          </w:tcPr>
          <w:p w14:paraId="46CEAA31" w14:textId="1EDCE055" w:rsidR="002D4722" w:rsidRPr="00AE7D09" w:rsidRDefault="002D4722"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2016</w:t>
            </w:r>
          </w:p>
        </w:tc>
        <w:tc>
          <w:tcPr>
            <w:tcW w:w="1330" w:type="dxa"/>
            <w:tcBorders>
              <w:top w:val="single" w:sz="4" w:space="0" w:color="000000"/>
              <w:left w:val="single" w:sz="4" w:space="0" w:color="000000"/>
              <w:bottom w:val="single" w:sz="4" w:space="0" w:color="000000"/>
              <w:right w:val="single" w:sz="4" w:space="0" w:color="000000"/>
            </w:tcBorders>
            <w:vAlign w:val="center"/>
          </w:tcPr>
          <w:p w14:paraId="3110C700" w14:textId="57E28FED" w:rsidR="002D4722" w:rsidRPr="00AE7D09" w:rsidRDefault="002D4722"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3</w:t>
            </w:r>
            <w:r w:rsidR="00A67FCD" w:rsidRPr="00AE7D09">
              <w:rPr>
                <w:rFonts w:ascii="Arial" w:hAnsi="Arial" w:cs="Arial"/>
                <w:sz w:val="20"/>
                <w:szCs w:val="20"/>
                <w:lang w:val="es-ES_tradnl" w:eastAsia="zh-CN"/>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6BAF0D29" w14:textId="6B0FD407" w:rsidR="002D4722" w:rsidRPr="00AE7D09" w:rsidRDefault="002D4722" w:rsidP="00533416">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 xml:space="preserve">Transparencia </w:t>
            </w:r>
            <w:r w:rsidR="00533416" w:rsidRPr="00AE7D09">
              <w:rPr>
                <w:rFonts w:ascii="Arial" w:hAnsi="Arial" w:cs="Arial"/>
                <w:sz w:val="20"/>
                <w:szCs w:val="20"/>
                <w:lang w:val="es-ES_tradnl" w:eastAsia="zh-CN"/>
              </w:rPr>
              <w:t>Internac</w:t>
            </w:r>
            <w:r w:rsidRPr="00AE7D09">
              <w:rPr>
                <w:rFonts w:ascii="Arial" w:hAnsi="Arial" w:cs="Arial"/>
                <w:sz w:val="20"/>
                <w:szCs w:val="20"/>
                <w:lang w:val="es-ES_tradnl" w:eastAsia="zh-CN"/>
              </w:rPr>
              <w:t>ional</w:t>
            </w:r>
          </w:p>
        </w:tc>
        <w:tc>
          <w:tcPr>
            <w:tcW w:w="4680" w:type="dxa"/>
            <w:tcBorders>
              <w:top w:val="single" w:sz="4" w:space="0" w:color="000000"/>
              <w:left w:val="single" w:sz="4" w:space="0" w:color="000000"/>
              <w:bottom w:val="single" w:sz="4" w:space="0" w:color="000000"/>
              <w:right w:val="single" w:sz="4" w:space="0" w:color="000000"/>
            </w:tcBorders>
            <w:vAlign w:val="center"/>
          </w:tcPr>
          <w:p w14:paraId="3EE806DA" w14:textId="77777777" w:rsidR="002D4722" w:rsidRPr="00AE7D09" w:rsidRDefault="002D4722" w:rsidP="00533416">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El índice mide la percepción sobre el nivel de corrupción, basados en encuestas y evaluaciones para cada país. Un mayor valor significa menores niveles de corrupción percibidos.</w:t>
            </w:r>
          </w:p>
          <w:p w14:paraId="3598C6A5" w14:textId="44CEDAC8" w:rsidR="005316AC" w:rsidRPr="00AE7D09" w:rsidRDefault="005316AC" w:rsidP="00533416">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La medición de este índice es anual. La fecha más reciente de medición para la línea de base fue 2016.</w:t>
            </w:r>
          </w:p>
        </w:tc>
      </w:tr>
      <w:tr w:rsidR="003A35A9" w:rsidRPr="00D45253" w14:paraId="5E86DE67" w14:textId="77777777" w:rsidTr="00AE7D09">
        <w:trPr>
          <w:trHeight w:val="368"/>
        </w:trPr>
        <w:tc>
          <w:tcPr>
            <w:tcW w:w="13405" w:type="dxa"/>
            <w:gridSpan w:val="7"/>
            <w:tcBorders>
              <w:top w:val="single" w:sz="4" w:space="0" w:color="000000"/>
              <w:left w:val="single" w:sz="4" w:space="0" w:color="000000"/>
              <w:bottom w:val="single" w:sz="4" w:space="0" w:color="000000"/>
              <w:right w:val="single" w:sz="4" w:space="0" w:color="000000"/>
            </w:tcBorders>
            <w:vAlign w:val="center"/>
            <w:hideMark/>
          </w:tcPr>
          <w:p w14:paraId="2468AB78" w14:textId="55B945C0" w:rsidR="003A35A9" w:rsidRPr="00AE7D09" w:rsidRDefault="003A35A9" w:rsidP="00AE7D09">
            <w:pPr>
              <w:spacing w:before="60" w:after="60" w:line="240" w:lineRule="auto"/>
              <w:rPr>
                <w:rFonts w:ascii="Arial" w:hAnsi="Arial" w:cs="Arial"/>
                <w:b/>
                <w:caps/>
                <w:sz w:val="20"/>
                <w:szCs w:val="20"/>
                <w:u w:val="single"/>
                <w:lang w:val="es-ES_tradnl" w:eastAsia="zh-CN"/>
              </w:rPr>
            </w:pPr>
            <w:r w:rsidRPr="00AE7D09">
              <w:rPr>
                <w:rFonts w:ascii="Arial" w:hAnsi="Arial" w:cs="Arial"/>
                <w:b/>
                <w:caps/>
                <w:sz w:val="20"/>
                <w:szCs w:val="20"/>
                <w:u w:val="single"/>
                <w:lang w:val="es-ES_tradnl" w:eastAsia="zh-CN"/>
              </w:rPr>
              <w:t>resultado #2:</w:t>
            </w:r>
            <w:r w:rsidR="005043D7" w:rsidRPr="00AE7D09">
              <w:rPr>
                <w:rFonts w:ascii="Arial" w:hAnsi="Arial" w:cs="Arial"/>
                <w:b/>
                <w:caps/>
                <w:sz w:val="20"/>
                <w:szCs w:val="20"/>
                <w:u w:val="single"/>
                <w:lang w:val="es-ES_tradnl" w:eastAsia="zh-CN"/>
              </w:rPr>
              <w:t xml:space="preserve">  </w:t>
            </w:r>
            <w:r w:rsidR="00294E1F" w:rsidRPr="00AE7D09">
              <w:rPr>
                <w:rFonts w:ascii="Arial" w:hAnsi="Arial" w:cs="Arial"/>
                <w:b/>
                <w:caps/>
                <w:sz w:val="20"/>
                <w:szCs w:val="20"/>
                <w:u w:val="single"/>
                <w:lang w:val="es-ES_tradnl" w:eastAsia="zh-CN"/>
              </w:rPr>
              <w:t>Funcionamiento del sistema financiero mejorado</w:t>
            </w:r>
          </w:p>
        </w:tc>
      </w:tr>
      <w:tr w:rsidR="00EC76DA" w:rsidRPr="00D45253" w14:paraId="2817919B" w14:textId="77777777" w:rsidTr="00AE7D09">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770EFE04" w14:textId="6DC34422" w:rsidR="00EC76DA" w:rsidRPr="00AE7D09" w:rsidRDefault="00EC76DA" w:rsidP="00FE49C2">
            <w:pPr>
              <w:pStyle w:val="ListParagraph"/>
              <w:spacing w:after="0" w:line="240" w:lineRule="auto"/>
              <w:ind w:left="0"/>
              <w:contextualSpacing w:val="0"/>
              <w:rPr>
                <w:rFonts w:ascii="Arial" w:hAnsi="Arial" w:cs="Arial"/>
                <w:sz w:val="20"/>
                <w:szCs w:val="20"/>
                <w:lang w:val="es-ES_tradnl" w:eastAsia="zh-CN"/>
              </w:rPr>
            </w:pPr>
            <w:r w:rsidRPr="00AE7D09">
              <w:rPr>
                <w:rFonts w:ascii="Arial" w:hAnsi="Arial" w:cs="Arial"/>
                <w:sz w:val="20"/>
                <w:szCs w:val="20"/>
                <w:lang w:val="es-ES_tradnl" w:eastAsia="zh-CN"/>
              </w:rPr>
              <w:t>Crédito bancario al sector privado como % del PIB</w:t>
            </w:r>
          </w:p>
        </w:tc>
        <w:tc>
          <w:tcPr>
            <w:tcW w:w="1439" w:type="dxa"/>
            <w:tcBorders>
              <w:top w:val="single" w:sz="4" w:space="0" w:color="000000"/>
              <w:left w:val="single" w:sz="4" w:space="0" w:color="000000"/>
              <w:bottom w:val="single" w:sz="4" w:space="0" w:color="000000"/>
              <w:right w:val="single" w:sz="4" w:space="0" w:color="000000"/>
            </w:tcBorders>
            <w:vAlign w:val="center"/>
          </w:tcPr>
          <w:p w14:paraId="1533CF2D" w14:textId="7F304A33" w:rsidR="00EC76DA" w:rsidRPr="00AE7D09" w:rsidRDefault="00EC76DA"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7F9F9E3A" w14:textId="7324889E" w:rsidR="00EC76DA" w:rsidRPr="00AE7D09" w:rsidRDefault="00B069F4"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52,</w:t>
            </w:r>
            <w:r w:rsidR="00EC76DA" w:rsidRPr="00AE7D09">
              <w:rPr>
                <w:rFonts w:ascii="Arial" w:hAnsi="Arial" w:cs="Arial"/>
                <w:sz w:val="20"/>
                <w:szCs w:val="20"/>
                <w:lang w:val="es-ES_tradnl" w:eastAsia="zh-CN"/>
              </w:rPr>
              <w:t>9</w:t>
            </w:r>
          </w:p>
        </w:tc>
        <w:tc>
          <w:tcPr>
            <w:tcW w:w="1170" w:type="dxa"/>
            <w:tcBorders>
              <w:top w:val="single" w:sz="4" w:space="0" w:color="000000"/>
              <w:left w:val="single" w:sz="4" w:space="0" w:color="000000"/>
              <w:bottom w:val="single" w:sz="4" w:space="0" w:color="000000"/>
              <w:right w:val="single" w:sz="4" w:space="0" w:color="000000"/>
            </w:tcBorders>
            <w:vAlign w:val="center"/>
          </w:tcPr>
          <w:p w14:paraId="29860FB5" w14:textId="1599DC00" w:rsidR="00EC76DA" w:rsidRPr="00AE7D09" w:rsidRDefault="00EC76DA"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2016</w:t>
            </w:r>
          </w:p>
        </w:tc>
        <w:tc>
          <w:tcPr>
            <w:tcW w:w="1330" w:type="dxa"/>
            <w:tcBorders>
              <w:top w:val="single" w:sz="4" w:space="0" w:color="000000"/>
              <w:left w:val="single" w:sz="4" w:space="0" w:color="000000"/>
              <w:bottom w:val="single" w:sz="4" w:space="0" w:color="000000"/>
              <w:right w:val="single" w:sz="4" w:space="0" w:color="000000"/>
            </w:tcBorders>
            <w:vAlign w:val="center"/>
          </w:tcPr>
          <w:p w14:paraId="2508BA1C" w14:textId="77777777" w:rsidR="00EC76DA" w:rsidRPr="00AE7D09" w:rsidRDefault="00EC76DA" w:rsidP="00FE49C2">
            <w:pPr>
              <w:spacing w:after="0" w:line="240" w:lineRule="auto"/>
              <w:jc w:val="center"/>
              <w:rPr>
                <w:rFonts w:ascii="Arial" w:hAnsi="Arial" w:cs="Arial"/>
                <w:sz w:val="20"/>
                <w:szCs w:val="20"/>
                <w:lang w:val="es-ES_tradnl" w:eastAsia="zh-CN"/>
              </w:rPr>
            </w:pPr>
          </w:p>
          <w:p w14:paraId="5C1431FF" w14:textId="29B84F84" w:rsidR="00EC76DA" w:rsidRPr="00AE7D09" w:rsidRDefault="00EC76DA" w:rsidP="00FE49C2">
            <w:pPr>
              <w:spacing w:after="0" w:line="240" w:lineRule="auto"/>
              <w:jc w:val="center"/>
              <w:rPr>
                <w:rFonts w:ascii="Arial" w:hAnsi="Arial" w:cs="Arial"/>
                <w:sz w:val="20"/>
                <w:szCs w:val="20"/>
                <w:lang w:val="es-ES_tradnl" w:eastAsia="zh-CN"/>
              </w:rPr>
            </w:pPr>
            <w:r w:rsidRPr="00AE7D09">
              <w:rPr>
                <w:rFonts w:ascii="Arial" w:hAnsi="Arial" w:cs="Arial"/>
                <w:sz w:val="20"/>
                <w:szCs w:val="20"/>
                <w:lang w:val="es-ES_tradnl" w:eastAsia="zh-CN"/>
              </w:rPr>
              <w:t>5</w:t>
            </w:r>
            <w:r w:rsidR="00EE65EB" w:rsidRPr="00AE7D09">
              <w:rPr>
                <w:rFonts w:ascii="Arial" w:hAnsi="Arial" w:cs="Arial"/>
                <w:sz w:val="20"/>
                <w:szCs w:val="20"/>
                <w:lang w:val="es-ES_tradnl" w:eastAsia="zh-CN"/>
              </w:rPr>
              <w:t>4</w:t>
            </w:r>
            <w:r w:rsidR="002017C3" w:rsidRPr="00AE7D09">
              <w:rPr>
                <w:rFonts w:ascii="Arial" w:hAnsi="Arial" w:cs="Arial"/>
                <w:sz w:val="20"/>
                <w:szCs w:val="20"/>
                <w:lang w:val="es-ES_tradnl" w:eastAsia="zh-CN"/>
              </w:rPr>
              <w:t>,</w:t>
            </w:r>
            <w:r w:rsidR="00EE65EB" w:rsidRPr="00AE7D09">
              <w:rPr>
                <w:rFonts w:ascii="Arial" w:hAnsi="Arial" w:cs="Arial"/>
                <w:sz w:val="20"/>
                <w:szCs w:val="20"/>
                <w:lang w:val="es-ES_tradnl" w:eastAsia="zh-CN"/>
              </w:rPr>
              <w:t>5</w:t>
            </w:r>
          </w:p>
        </w:tc>
        <w:tc>
          <w:tcPr>
            <w:tcW w:w="1620" w:type="dxa"/>
            <w:tcBorders>
              <w:top w:val="single" w:sz="4" w:space="0" w:color="000000"/>
              <w:left w:val="single" w:sz="4" w:space="0" w:color="000000"/>
              <w:bottom w:val="single" w:sz="4" w:space="0" w:color="000000"/>
              <w:right w:val="single" w:sz="4" w:space="0" w:color="000000"/>
            </w:tcBorders>
            <w:vAlign w:val="center"/>
          </w:tcPr>
          <w:p w14:paraId="0DCEE45F" w14:textId="5802329E" w:rsidR="00EC76DA" w:rsidRPr="00AE7D09" w:rsidRDefault="00EC76DA" w:rsidP="00FE49C2">
            <w:pPr>
              <w:spacing w:after="0" w:line="240" w:lineRule="auto"/>
              <w:rPr>
                <w:rFonts w:ascii="Arial" w:hAnsi="Arial" w:cs="Arial"/>
                <w:i/>
                <w:sz w:val="20"/>
                <w:szCs w:val="20"/>
                <w:lang w:val="es-ES_tradnl" w:eastAsia="zh-CN"/>
              </w:rPr>
            </w:pPr>
            <w:r w:rsidRPr="00AE7D09">
              <w:rPr>
                <w:rFonts w:ascii="Arial" w:hAnsi="Arial" w:cs="Arial"/>
                <w:i/>
                <w:sz w:val="20"/>
                <w:szCs w:val="20"/>
                <w:lang w:val="es-ES_tradnl" w:eastAsia="zh-CN"/>
              </w:rPr>
              <w:t>World Development Indicators</w:t>
            </w:r>
          </w:p>
        </w:tc>
        <w:tc>
          <w:tcPr>
            <w:tcW w:w="4680" w:type="dxa"/>
            <w:tcBorders>
              <w:top w:val="single" w:sz="4" w:space="0" w:color="000000"/>
              <w:left w:val="single" w:sz="4" w:space="0" w:color="000000"/>
              <w:bottom w:val="single" w:sz="4" w:space="0" w:color="000000"/>
              <w:right w:val="single" w:sz="4" w:space="0" w:color="000000"/>
            </w:tcBorders>
            <w:vAlign w:val="center"/>
          </w:tcPr>
          <w:p w14:paraId="54D49E05" w14:textId="77777777" w:rsidR="00EC76DA" w:rsidRPr="00AE7D09" w:rsidRDefault="00EC76DA" w:rsidP="00FE49C2">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El indicador mide la profundidad del sector bancario y su capacidad para proveer crédito al sector privado.</w:t>
            </w:r>
          </w:p>
          <w:p w14:paraId="551BD718" w14:textId="5C76D876" w:rsidR="000C0BBC" w:rsidRPr="00AE7D09" w:rsidRDefault="000C0BBC" w:rsidP="00FE49C2">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La medición de este indicador es anual. La fecha más reciente de medición para la línea de base fue 2016.</w:t>
            </w:r>
          </w:p>
        </w:tc>
      </w:tr>
      <w:tr w:rsidR="00EC76DA" w:rsidRPr="00D45253" w14:paraId="61251C15" w14:textId="77777777" w:rsidTr="00AE7D09">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52E4357C" w14:textId="045D1BF8" w:rsidR="00EC76DA" w:rsidRPr="00AE7D09" w:rsidRDefault="00EC76DA" w:rsidP="00FE49C2">
            <w:pPr>
              <w:pStyle w:val="ListParagraph"/>
              <w:spacing w:after="0" w:line="240" w:lineRule="auto"/>
              <w:ind w:left="0"/>
              <w:contextualSpacing w:val="0"/>
              <w:rPr>
                <w:rFonts w:ascii="Arial" w:hAnsi="Arial" w:cs="Arial"/>
                <w:sz w:val="20"/>
                <w:szCs w:val="20"/>
                <w:lang w:val="es-ES_tradnl"/>
              </w:rPr>
            </w:pPr>
            <w:r w:rsidRPr="00AE7D09">
              <w:rPr>
                <w:rFonts w:ascii="Arial" w:hAnsi="Arial" w:cs="Arial"/>
                <w:sz w:val="20"/>
                <w:szCs w:val="20"/>
                <w:lang w:val="es-ES_tradnl"/>
              </w:rPr>
              <w:t>Índice de la Regulación del Mercado de Valores</w:t>
            </w:r>
          </w:p>
        </w:tc>
        <w:tc>
          <w:tcPr>
            <w:tcW w:w="1439" w:type="dxa"/>
            <w:tcBorders>
              <w:top w:val="single" w:sz="4" w:space="0" w:color="000000"/>
              <w:left w:val="single" w:sz="4" w:space="0" w:color="000000"/>
              <w:bottom w:val="single" w:sz="4" w:space="0" w:color="000000"/>
              <w:right w:val="single" w:sz="4" w:space="0" w:color="000000"/>
            </w:tcBorders>
            <w:vAlign w:val="center"/>
          </w:tcPr>
          <w:p w14:paraId="17E4B236" w14:textId="60FF7A0F" w:rsidR="00EC76DA" w:rsidRPr="00AE7D09" w:rsidRDefault="00EC76DA" w:rsidP="00FE49C2">
            <w:pPr>
              <w:spacing w:after="0" w:line="240" w:lineRule="auto"/>
              <w:jc w:val="center"/>
              <w:rPr>
                <w:rFonts w:ascii="Arial" w:hAnsi="Arial" w:cs="Arial"/>
                <w:sz w:val="20"/>
                <w:szCs w:val="20"/>
                <w:lang w:val="es-ES_tradnl"/>
              </w:rPr>
            </w:pPr>
            <w:r w:rsidRPr="00AE7D09">
              <w:rPr>
                <w:rFonts w:ascii="Arial" w:hAnsi="Arial" w:cs="Arial"/>
                <w:sz w:val="20"/>
                <w:szCs w:val="20"/>
                <w:lang w:val="es-ES_tradnl"/>
              </w:rPr>
              <w:t>Índice</w:t>
            </w:r>
          </w:p>
        </w:tc>
        <w:tc>
          <w:tcPr>
            <w:tcW w:w="1169" w:type="dxa"/>
            <w:tcBorders>
              <w:top w:val="single" w:sz="4" w:space="0" w:color="000000"/>
              <w:left w:val="single" w:sz="4" w:space="0" w:color="000000"/>
              <w:bottom w:val="single" w:sz="4" w:space="0" w:color="000000"/>
              <w:right w:val="single" w:sz="4" w:space="0" w:color="000000"/>
            </w:tcBorders>
            <w:vAlign w:val="center"/>
          </w:tcPr>
          <w:p w14:paraId="3B958521" w14:textId="54672A77" w:rsidR="00EC76DA" w:rsidRPr="00AE7D09" w:rsidRDefault="00EC76DA" w:rsidP="00FE49C2">
            <w:pPr>
              <w:spacing w:after="0" w:line="240" w:lineRule="auto"/>
              <w:jc w:val="center"/>
              <w:rPr>
                <w:rFonts w:ascii="Arial" w:hAnsi="Arial" w:cs="Arial"/>
                <w:sz w:val="20"/>
                <w:lang w:val="es-ES_tradnl"/>
              </w:rPr>
            </w:pPr>
            <w:r w:rsidRPr="00AE7D09">
              <w:rPr>
                <w:rFonts w:ascii="Arial" w:hAnsi="Arial" w:cs="Arial"/>
                <w:sz w:val="20"/>
                <w:lang w:val="es-ES_tradnl"/>
              </w:rPr>
              <w:t>4</w:t>
            </w:r>
            <w:r w:rsidR="00B069F4" w:rsidRPr="00AE7D09">
              <w:rPr>
                <w:rFonts w:ascii="Arial" w:hAnsi="Arial" w:cs="Arial"/>
                <w:sz w:val="20"/>
                <w:lang w:val="es-ES_tradnl"/>
              </w:rPr>
              <w:t>,</w:t>
            </w:r>
            <w:r w:rsidRPr="00AE7D09">
              <w:rPr>
                <w:rFonts w:ascii="Arial" w:hAnsi="Arial" w:cs="Arial"/>
                <w:sz w:val="20"/>
                <w:lang w:val="es-ES_tradnl"/>
              </w:rPr>
              <w:t>82</w:t>
            </w:r>
          </w:p>
        </w:tc>
        <w:tc>
          <w:tcPr>
            <w:tcW w:w="1170" w:type="dxa"/>
            <w:tcBorders>
              <w:top w:val="single" w:sz="4" w:space="0" w:color="000000"/>
              <w:left w:val="single" w:sz="4" w:space="0" w:color="000000"/>
              <w:bottom w:val="single" w:sz="4" w:space="0" w:color="000000"/>
              <w:right w:val="single" w:sz="4" w:space="0" w:color="000000"/>
            </w:tcBorders>
            <w:vAlign w:val="center"/>
          </w:tcPr>
          <w:p w14:paraId="72210FB6" w14:textId="0DA9C7AF" w:rsidR="00EC76DA" w:rsidRPr="00AE7D09" w:rsidRDefault="00EC76DA" w:rsidP="00FE49C2">
            <w:pPr>
              <w:spacing w:after="0" w:line="240" w:lineRule="auto"/>
              <w:jc w:val="center"/>
              <w:rPr>
                <w:rFonts w:ascii="Arial" w:hAnsi="Arial" w:cs="Arial"/>
                <w:sz w:val="20"/>
                <w:lang w:val="es-ES_tradnl"/>
              </w:rPr>
            </w:pPr>
            <w:r w:rsidRPr="00AE7D09">
              <w:rPr>
                <w:rFonts w:ascii="Arial" w:hAnsi="Arial" w:cs="Arial"/>
                <w:sz w:val="20"/>
                <w:lang w:val="es-ES_tradnl"/>
              </w:rPr>
              <w:t>2016</w:t>
            </w:r>
          </w:p>
        </w:tc>
        <w:tc>
          <w:tcPr>
            <w:tcW w:w="1330" w:type="dxa"/>
            <w:tcBorders>
              <w:top w:val="single" w:sz="4" w:space="0" w:color="000000"/>
              <w:left w:val="single" w:sz="4" w:space="0" w:color="000000"/>
              <w:bottom w:val="single" w:sz="4" w:space="0" w:color="000000"/>
              <w:right w:val="single" w:sz="4" w:space="0" w:color="000000"/>
            </w:tcBorders>
            <w:vAlign w:val="center"/>
          </w:tcPr>
          <w:p w14:paraId="36F252BD" w14:textId="5D285C6F" w:rsidR="00EC76DA" w:rsidRPr="00AE7D09" w:rsidRDefault="00B069F4" w:rsidP="00FE49C2">
            <w:pPr>
              <w:spacing w:after="0" w:line="240" w:lineRule="auto"/>
              <w:jc w:val="center"/>
              <w:rPr>
                <w:rFonts w:ascii="Arial" w:hAnsi="Arial" w:cs="Arial"/>
                <w:sz w:val="20"/>
                <w:lang w:val="es-ES_tradnl"/>
              </w:rPr>
            </w:pPr>
            <w:r w:rsidRPr="00AE7D09">
              <w:rPr>
                <w:rFonts w:ascii="Arial" w:hAnsi="Arial" w:cs="Arial"/>
                <w:sz w:val="20"/>
                <w:lang w:val="es-ES_tradnl"/>
              </w:rPr>
              <w:t>4</w:t>
            </w:r>
            <w:r w:rsidR="002017C3" w:rsidRPr="00AE7D09">
              <w:rPr>
                <w:rFonts w:ascii="Arial" w:hAnsi="Arial" w:cs="Arial"/>
                <w:sz w:val="20"/>
                <w:lang w:val="es-ES_tradnl"/>
              </w:rPr>
              <w:t>,</w:t>
            </w:r>
            <w:r w:rsidR="00A67FCD" w:rsidRPr="00AE7D09">
              <w:rPr>
                <w:rFonts w:ascii="Arial" w:hAnsi="Arial" w:cs="Arial"/>
                <w:sz w:val="20"/>
                <w:lang w:val="es-ES_tradnl"/>
              </w:rPr>
              <w:t>9</w:t>
            </w:r>
          </w:p>
        </w:tc>
        <w:tc>
          <w:tcPr>
            <w:tcW w:w="1620" w:type="dxa"/>
            <w:tcBorders>
              <w:top w:val="single" w:sz="4" w:space="0" w:color="000000"/>
              <w:left w:val="single" w:sz="4" w:space="0" w:color="000000"/>
              <w:bottom w:val="single" w:sz="4" w:space="0" w:color="000000"/>
              <w:right w:val="single" w:sz="4" w:space="0" w:color="000000"/>
            </w:tcBorders>
            <w:vAlign w:val="center"/>
          </w:tcPr>
          <w:p w14:paraId="095CE592" w14:textId="599618EF" w:rsidR="00EC76DA" w:rsidRPr="00B637B1" w:rsidRDefault="00EC76DA" w:rsidP="00FE49C2">
            <w:pPr>
              <w:spacing w:after="0" w:line="240" w:lineRule="auto"/>
              <w:rPr>
                <w:rFonts w:ascii="Arial" w:hAnsi="Arial" w:cs="Arial"/>
                <w:i/>
                <w:sz w:val="20"/>
                <w:szCs w:val="20"/>
                <w:lang w:eastAsia="zh-CN"/>
              </w:rPr>
            </w:pPr>
            <w:r w:rsidRPr="00B637B1">
              <w:rPr>
                <w:rFonts w:ascii="Arial" w:hAnsi="Arial" w:cs="Arial"/>
                <w:i/>
                <w:sz w:val="20"/>
                <w:szCs w:val="20"/>
                <w:lang w:eastAsia="zh-CN"/>
              </w:rPr>
              <w:t>World Economic Forum Executive Opinion Survey</w:t>
            </w:r>
          </w:p>
        </w:tc>
        <w:tc>
          <w:tcPr>
            <w:tcW w:w="4680" w:type="dxa"/>
            <w:tcBorders>
              <w:top w:val="single" w:sz="4" w:space="0" w:color="000000"/>
              <w:left w:val="single" w:sz="4" w:space="0" w:color="000000"/>
              <w:bottom w:val="single" w:sz="4" w:space="0" w:color="000000"/>
              <w:right w:val="single" w:sz="4" w:space="0" w:color="000000"/>
            </w:tcBorders>
            <w:vAlign w:val="center"/>
          </w:tcPr>
          <w:p w14:paraId="3BDCBD60" w14:textId="7DFB9C55" w:rsidR="00EC76DA" w:rsidRPr="00AE7D09" w:rsidRDefault="00EC76DA" w:rsidP="00FE49C2">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El indicador se construye a través de la siguiente pregunta: ¿Cómo evaluaría la calidad de la regulación y supervisión de los mercados de capitales? [1 = muy mala; 7 = muy buena]</w:t>
            </w:r>
            <w:r w:rsidR="003D1D61" w:rsidRPr="00AE7D09">
              <w:rPr>
                <w:rFonts w:ascii="Arial" w:hAnsi="Arial" w:cs="Arial"/>
                <w:sz w:val="20"/>
                <w:szCs w:val="20"/>
                <w:lang w:val="es-ES_tradnl" w:eastAsia="zh-CN"/>
              </w:rPr>
              <w:t xml:space="preserve">. </w:t>
            </w:r>
          </w:p>
          <w:p w14:paraId="4BDFBB66" w14:textId="519453E5" w:rsidR="000C0BBC" w:rsidRPr="00AE7D09" w:rsidRDefault="000C0BBC" w:rsidP="00FE49C2">
            <w:pPr>
              <w:spacing w:after="0" w:line="240" w:lineRule="auto"/>
              <w:rPr>
                <w:rFonts w:ascii="Arial" w:hAnsi="Arial" w:cs="Arial"/>
                <w:sz w:val="20"/>
                <w:szCs w:val="20"/>
                <w:lang w:val="es-ES_tradnl" w:eastAsia="zh-CN"/>
              </w:rPr>
            </w:pPr>
            <w:r w:rsidRPr="00AE7D09">
              <w:rPr>
                <w:rFonts w:ascii="Arial" w:hAnsi="Arial" w:cs="Arial"/>
                <w:sz w:val="20"/>
                <w:szCs w:val="20"/>
                <w:lang w:val="es-ES_tradnl" w:eastAsia="zh-CN"/>
              </w:rPr>
              <w:t>La medición de este índice es anual. La fecha más reciente de medición para la línea de base fue 2016.</w:t>
            </w:r>
          </w:p>
        </w:tc>
      </w:tr>
      <w:tr w:rsidR="00282239" w:rsidRPr="00D45253" w14:paraId="461474A5" w14:textId="77777777" w:rsidTr="00AE7D09">
        <w:trPr>
          <w:trHeight w:val="64"/>
        </w:trPr>
        <w:tc>
          <w:tcPr>
            <w:tcW w:w="13405" w:type="dxa"/>
            <w:gridSpan w:val="7"/>
            <w:tcBorders>
              <w:top w:val="single" w:sz="4" w:space="0" w:color="000000"/>
              <w:left w:val="single" w:sz="4" w:space="0" w:color="000000"/>
              <w:bottom w:val="single" w:sz="4" w:space="0" w:color="000000"/>
              <w:right w:val="single" w:sz="4" w:space="0" w:color="000000"/>
            </w:tcBorders>
            <w:vAlign w:val="center"/>
          </w:tcPr>
          <w:p w14:paraId="3588398C" w14:textId="6D253292" w:rsidR="00282239" w:rsidRPr="00AE7D09" w:rsidRDefault="00282239" w:rsidP="00AE7D09">
            <w:pPr>
              <w:spacing w:before="60" w:after="60" w:line="240" w:lineRule="auto"/>
              <w:rPr>
                <w:rFonts w:ascii="Arial" w:hAnsi="Arial" w:cs="Arial"/>
                <w:sz w:val="20"/>
                <w:szCs w:val="20"/>
                <w:lang w:val="es-ES_tradnl" w:eastAsia="zh-CN"/>
              </w:rPr>
            </w:pPr>
            <w:r w:rsidRPr="00AE7D09">
              <w:rPr>
                <w:rFonts w:ascii="Arial" w:hAnsi="Arial" w:cs="Arial"/>
                <w:b/>
                <w:caps/>
                <w:sz w:val="20"/>
                <w:szCs w:val="20"/>
                <w:u w:val="single"/>
                <w:lang w:val="es-ES_tradnl" w:eastAsia="zh-CN"/>
              </w:rPr>
              <w:t>resultado #</w:t>
            </w:r>
            <w:r w:rsidR="00294E1F" w:rsidRPr="00AE7D09">
              <w:rPr>
                <w:rFonts w:ascii="Arial" w:hAnsi="Arial" w:cs="Arial"/>
                <w:b/>
                <w:caps/>
                <w:sz w:val="20"/>
                <w:szCs w:val="20"/>
                <w:u w:val="single"/>
                <w:lang w:val="es-ES_tradnl" w:eastAsia="zh-CN"/>
              </w:rPr>
              <w:t>3</w:t>
            </w:r>
            <w:r w:rsidR="00451F7E" w:rsidRPr="00AE7D09">
              <w:rPr>
                <w:rFonts w:ascii="Arial" w:hAnsi="Arial" w:cs="Arial"/>
                <w:b/>
                <w:caps/>
                <w:sz w:val="20"/>
                <w:szCs w:val="20"/>
                <w:u w:val="single"/>
                <w:lang w:val="es-ES_tradnl" w:eastAsia="zh-CN"/>
              </w:rPr>
              <w:t xml:space="preserve">: </w:t>
            </w:r>
            <w:r w:rsidR="003D0E83" w:rsidRPr="00AE7D09">
              <w:rPr>
                <w:rFonts w:ascii="Arial" w:hAnsi="Arial" w:cs="Arial"/>
                <w:b/>
                <w:caps/>
                <w:sz w:val="20"/>
                <w:szCs w:val="20"/>
                <w:u w:val="single"/>
                <w:lang w:val="es-ES_tradnl" w:eastAsia="zh-CN"/>
              </w:rPr>
              <w:t>Marco legal e institucional del financiamiento a largo plazo mejorado</w:t>
            </w:r>
          </w:p>
        </w:tc>
      </w:tr>
      <w:tr w:rsidR="00EC76DA" w:rsidRPr="00D45253" w14:paraId="0A7158FF" w14:textId="77777777" w:rsidTr="00AE7D09">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191067B0" w14:textId="2CD6CE14" w:rsidR="00EC76DA" w:rsidRPr="00AE7D09" w:rsidRDefault="00EC76DA" w:rsidP="00B069F4">
            <w:pPr>
              <w:pStyle w:val="ListParagraph"/>
              <w:spacing w:after="0" w:line="240" w:lineRule="auto"/>
              <w:ind w:left="0"/>
              <w:contextualSpacing w:val="0"/>
              <w:rPr>
                <w:rFonts w:ascii="Arial" w:hAnsi="Arial" w:cs="Arial"/>
                <w:b/>
                <w:caps/>
                <w:sz w:val="20"/>
                <w:szCs w:val="20"/>
                <w:highlight w:val="green"/>
                <w:u w:val="single"/>
                <w:lang w:val="es-ES_tradnl" w:eastAsia="zh-CN"/>
              </w:rPr>
            </w:pPr>
            <w:r w:rsidRPr="00AE7D09">
              <w:rPr>
                <w:rFonts w:ascii="Arial" w:hAnsi="Arial" w:cs="Arial"/>
                <w:sz w:val="20"/>
                <w:szCs w:val="20"/>
                <w:lang w:val="es-ES_tradnl" w:eastAsia="zh-CN"/>
              </w:rPr>
              <w:t>Índice de fortaleza de los derechos legales</w:t>
            </w:r>
          </w:p>
        </w:tc>
        <w:tc>
          <w:tcPr>
            <w:tcW w:w="1439" w:type="dxa"/>
            <w:tcBorders>
              <w:top w:val="single" w:sz="4" w:space="0" w:color="000000"/>
              <w:left w:val="single" w:sz="4" w:space="0" w:color="000000"/>
              <w:bottom w:val="single" w:sz="4" w:space="0" w:color="000000"/>
              <w:right w:val="single" w:sz="4" w:space="0" w:color="000000"/>
            </w:tcBorders>
            <w:vAlign w:val="center"/>
          </w:tcPr>
          <w:p w14:paraId="2566895B" w14:textId="217A1EF3" w:rsidR="00EC76DA" w:rsidRPr="00AE7D09" w:rsidRDefault="00EC76DA" w:rsidP="00B069F4">
            <w:pPr>
              <w:spacing w:after="0" w:line="240" w:lineRule="auto"/>
              <w:jc w:val="center"/>
              <w:rPr>
                <w:rFonts w:ascii="Arial" w:hAnsi="Arial" w:cs="Arial"/>
                <w:sz w:val="20"/>
                <w:szCs w:val="20"/>
                <w:highlight w:val="green"/>
                <w:lang w:val="es-ES_tradnl" w:eastAsia="zh-CN"/>
              </w:rPr>
            </w:pPr>
            <w:r w:rsidRPr="00AE7D09">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vAlign w:val="center"/>
          </w:tcPr>
          <w:p w14:paraId="69B0274C" w14:textId="191D5760" w:rsidR="00EC76DA" w:rsidRPr="00AE7D09" w:rsidRDefault="00EC76DA" w:rsidP="00B069F4">
            <w:pPr>
              <w:spacing w:after="0" w:line="240" w:lineRule="auto"/>
              <w:jc w:val="center"/>
              <w:rPr>
                <w:rFonts w:ascii="Arial" w:hAnsi="Arial" w:cs="Arial"/>
                <w:sz w:val="20"/>
                <w:szCs w:val="20"/>
                <w:highlight w:val="green"/>
                <w:lang w:val="es-ES_tradnl" w:eastAsia="zh-CN"/>
              </w:rPr>
            </w:pPr>
            <w:r w:rsidRPr="00AE7D09">
              <w:rPr>
                <w:rFonts w:ascii="Arial" w:hAnsi="Arial" w:cs="Arial"/>
                <w:sz w:val="20"/>
                <w:szCs w:val="20"/>
                <w:lang w:val="es-ES_tradnl" w:eastAsia="zh-CN"/>
              </w:rPr>
              <w:t>2</w:t>
            </w:r>
          </w:p>
        </w:tc>
        <w:tc>
          <w:tcPr>
            <w:tcW w:w="1170" w:type="dxa"/>
            <w:tcBorders>
              <w:top w:val="single" w:sz="4" w:space="0" w:color="000000"/>
              <w:left w:val="single" w:sz="4" w:space="0" w:color="000000"/>
              <w:bottom w:val="single" w:sz="4" w:space="0" w:color="000000"/>
              <w:right w:val="single" w:sz="4" w:space="0" w:color="000000"/>
            </w:tcBorders>
            <w:vAlign w:val="center"/>
          </w:tcPr>
          <w:p w14:paraId="25E07424" w14:textId="4442D250" w:rsidR="00EC76DA" w:rsidRPr="00AE7D09" w:rsidRDefault="00EC76DA" w:rsidP="00B069F4">
            <w:pPr>
              <w:spacing w:after="0" w:line="240" w:lineRule="auto"/>
              <w:jc w:val="center"/>
              <w:rPr>
                <w:rFonts w:ascii="Arial" w:hAnsi="Arial" w:cs="Arial"/>
                <w:sz w:val="20"/>
                <w:szCs w:val="20"/>
                <w:highlight w:val="green"/>
                <w:lang w:val="es-ES_tradnl" w:eastAsia="zh-CN"/>
              </w:rPr>
            </w:pPr>
            <w:r w:rsidRPr="00AE7D09">
              <w:rPr>
                <w:rFonts w:ascii="Arial" w:hAnsi="Arial" w:cs="Arial"/>
                <w:sz w:val="20"/>
                <w:szCs w:val="20"/>
                <w:lang w:val="es-ES_tradnl" w:eastAsia="zh-CN"/>
              </w:rPr>
              <w:t>2016</w:t>
            </w:r>
          </w:p>
        </w:tc>
        <w:tc>
          <w:tcPr>
            <w:tcW w:w="1330" w:type="dxa"/>
            <w:tcBorders>
              <w:top w:val="single" w:sz="4" w:space="0" w:color="000000"/>
              <w:left w:val="single" w:sz="4" w:space="0" w:color="000000"/>
              <w:bottom w:val="single" w:sz="4" w:space="0" w:color="000000"/>
              <w:right w:val="single" w:sz="4" w:space="0" w:color="000000"/>
            </w:tcBorders>
            <w:vAlign w:val="center"/>
          </w:tcPr>
          <w:p w14:paraId="0A4BE0E1" w14:textId="706EF69F" w:rsidR="00EC76DA" w:rsidRPr="00AE7D09" w:rsidRDefault="002017C3" w:rsidP="00B069F4">
            <w:pPr>
              <w:spacing w:after="0" w:line="240" w:lineRule="auto"/>
              <w:jc w:val="center"/>
              <w:rPr>
                <w:rFonts w:ascii="Arial" w:hAnsi="Arial" w:cs="Arial"/>
                <w:sz w:val="20"/>
                <w:szCs w:val="20"/>
                <w:highlight w:val="green"/>
                <w:lang w:val="es-ES_tradnl" w:eastAsia="zh-CN"/>
              </w:rPr>
            </w:pPr>
            <w:r w:rsidRPr="00AE7D09">
              <w:rPr>
                <w:rFonts w:ascii="Arial" w:hAnsi="Arial" w:cs="Arial"/>
                <w:sz w:val="20"/>
                <w:szCs w:val="20"/>
                <w:lang w:val="es-ES_tradnl" w:eastAsia="zh-CN"/>
              </w:rPr>
              <w:t>2,</w:t>
            </w:r>
            <w:r w:rsidR="00806281" w:rsidRPr="00AE7D09">
              <w:rPr>
                <w:rFonts w:ascii="Arial" w:hAnsi="Arial" w:cs="Arial"/>
                <w:sz w:val="20"/>
                <w:szCs w:val="20"/>
                <w:lang w:val="es-ES_tradnl" w:eastAsia="zh-CN"/>
              </w:rP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1BFEC3B9" w14:textId="2E8988C7" w:rsidR="00EC76DA" w:rsidRPr="00AE7D09" w:rsidRDefault="00EC76DA" w:rsidP="00B069F4">
            <w:pPr>
              <w:spacing w:after="0" w:line="240" w:lineRule="auto"/>
              <w:rPr>
                <w:rFonts w:ascii="Arial" w:hAnsi="Arial" w:cs="Arial"/>
                <w:i/>
                <w:sz w:val="20"/>
                <w:szCs w:val="20"/>
                <w:highlight w:val="green"/>
                <w:lang w:val="es-ES_tradnl" w:eastAsia="zh-CN"/>
              </w:rPr>
            </w:pPr>
            <w:r w:rsidRPr="00AE7D09">
              <w:rPr>
                <w:rFonts w:ascii="Arial" w:hAnsi="Arial" w:cs="Arial"/>
                <w:i/>
                <w:sz w:val="20"/>
                <w:szCs w:val="20"/>
                <w:lang w:val="es-ES_tradnl" w:eastAsia="zh-CN"/>
              </w:rPr>
              <w:t>World Bank: Doing Business</w:t>
            </w:r>
          </w:p>
        </w:tc>
        <w:tc>
          <w:tcPr>
            <w:tcW w:w="4680" w:type="dxa"/>
            <w:tcBorders>
              <w:top w:val="single" w:sz="4" w:space="0" w:color="000000"/>
              <w:left w:val="single" w:sz="4" w:space="0" w:color="000000"/>
              <w:bottom w:val="single" w:sz="4" w:space="0" w:color="000000"/>
              <w:right w:val="single" w:sz="4" w:space="0" w:color="000000"/>
            </w:tcBorders>
            <w:vAlign w:val="center"/>
          </w:tcPr>
          <w:p w14:paraId="01EDA274" w14:textId="77777777" w:rsidR="00EC76DA" w:rsidRPr="00AE7D09" w:rsidRDefault="00EC76DA" w:rsidP="00B069F4">
            <w:pPr>
              <w:spacing w:after="0" w:line="240" w:lineRule="auto"/>
              <w:rPr>
                <w:rFonts w:ascii="Arial" w:hAnsi="Arial" w:cs="Arial"/>
                <w:color w:val="000000"/>
                <w:sz w:val="20"/>
                <w:szCs w:val="20"/>
                <w:shd w:val="clear" w:color="auto" w:fill="FFFFFF"/>
                <w:lang w:val="es-ES_tradnl"/>
              </w:rPr>
            </w:pPr>
            <w:r w:rsidRPr="00AE7D09">
              <w:rPr>
                <w:rFonts w:ascii="Arial" w:hAnsi="Arial" w:cs="Arial"/>
                <w:color w:val="000000"/>
                <w:sz w:val="20"/>
                <w:szCs w:val="20"/>
                <w:shd w:val="clear" w:color="auto" w:fill="FFFFFF"/>
                <w:lang w:val="es-ES_tradnl"/>
              </w:rPr>
              <w:t>El índice de fortaleza de los derechos legales mide el grado en que las leyes de garantías mobiliarias y de quiebra protegen los derechos de prestatarios y prestamistas, facilitando así los préstamos.</w:t>
            </w:r>
          </w:p>
          <w:p w14:paraId="17A75B96" w14:textId="10DA5845" w:rsidR="000C0BBC" w:rsidRPr="00AE7D09" w:rsidRDefault="000C0BBC" w:rsidP="00B069F4">
            <w:pPr>
              <w:spacing w:after="0" w:line="240" w:lineRule="auto"/>
              <w:rPr>
                <w:rFonts w:ascii="Arial" w:hAnsi="Arial" w:cs="Arial"/>
                <w:sz w:val="20"/>
                <w:szCs w:val="20"/>
                <w:highlight w:val="green"/>
                <w:lang w:val="es-ES_tradnl" w:eastAsia="zh-CN"/>
              </w:rPr>
            </w:pPr>
            <w:r w:rsidRPr="00AE7D09">
              <w:rPr>
                <w:rFonts w:ascii="Arial" w:hAnsi="Arial" w:cs="Arial"/>
                <w:sz w:val="20"/>
                <w:szCs w:val="20"/>
                <w:lang w:val="es-ES_tradnl" w:eastAsia="zh-CN"/>
              </w:rPr>
              <w:t xml:space="preserve">La medición de este </w:t>
            </w:r>
            <w:r w:rsidR="00EA60CD" w:rsidRPr="00AE7D09">
              <w:rPr>
                <w:rFonts w:ascii="Arial" w:hAnsi="Arial" w:cs="Arial"/>
                <w:sz w:val="20"/>
                <w:szCs w:val="20"/>
                <w:lang w:val="es-ES_tradnl" w:eastAsia="zh-CN"/>
              </w:rPr>
              <w:t>índice</w:t>
            </w:r>
            <w:r w:rsidRPr="00AE7D09">
              <w:rPr>
                <w:rFonts w:ascii="Arial" w:hAnsi="Arial" w:cs="Arial"/>
                <w:sz w:val="20"/>
                <w:szCs w:val="20"/>
                <w:lang w:val="es-ES_tradnl" w:eastAsia="zh-CN"/>
              </w:rPr>
              <w:t xml:space="preserve"> es anual. La fecha más reciente de medición para la línea de base fue 2016.</w:t>
            </w:r>
          </w:p>
        </w:tc>
      </w:tr>
    </w:tbl>
    <w:p w14:paraId="1BC1C56F" w14:textId="6AA9102D" w:rsidR="00AD578C" w:rsidRPr="00AE7D09" w:rsidRDefault="00322141" w:rsidP="00247153">
      <w:pPr>
        <w:tabs>
          <w:tab w:val="left" w:pos="5741"/>
        </w:tabs>
        <w:autoSpaceDE w:val="0"/>
        <w:autoSpaceDN w:val="0"/>
        <w:adjustRightInd w:val="0"/>
        <w:spacing w:after="120" w:line="240" w:lineRule="auto"/>
        <w:rPr>
          <w:rFonts w:ascii="Arial" w:hAnsi="Arial" w:cs="Arial"/>
          <w:b/>
          <w:smallCaps/>
          <w:color w:val="000000"/>
          <w:sz w:val="20"/>
          <w:szCs w:val="20"/>
          <w:lang w:val="es-ES_tradnl"/>
        </w:rPr>
      </w:pPr>
      <w:r w:rsidRPr="00AE7D09">
        <w:rPr>
          <w:rFonts w:ascii="Arial" w:hAnsi="Arial" w:cs="Arial"/>
          <w:b/>
          <w:smallCaps/>
          <w:color w:val="000000"/>
          <w:sz w:val="20"/>
          <w:szCs w:val="20"/>
          <w:lang w:val="es-ES_tradnl"/>
        </w:rPr>
        <w:lastRenderedPageBreak/>
        <w:tab/>
        <w:t>Productos</w:t>
      </w: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0"/>
        <w:gridCol w:w="1530"/>
        <w:gridCol w:w="782"/>
        <w:gridCol w:w="797"/>
        <w:gridCol w:w="840"/>
        <w:gridCol w:w="1589"/>
        <w:gridCol w:w="3552"/>
      </w:tblGrid>
      <w:tr w:rsidR="00247153" w:rsidRPr="00AE7D09" w14:paraId="6274E02C" w14:textId="77777777" w:rsidTr="00045BBB">
        <w:trPr>
          <w:trHeight w:val="1070"/>
          <w:tblHeader/>
        </w:trPr>
        <w:tc>
          <w:tcPr>
            <w:tcW w:w="42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4F9147" w14:textId="77777777"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Productos</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851C79" w14:textId="77777777"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Unidad de Medida</w:t>
            </w:r>
          </w:p>
        </w:tc>
        <w:tc>
          <w:tcPr>
            <w:tcW w:w="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2A212F8" w14:textId="77777777"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Línea de Base </w:t>
            </w:r>
          </w:p>
        </w:tc>
        <w:tc>
          <w:tcPr>
            <w:tcW w:w="7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EBE72BC" w14:textId="77777777"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 xml:space="preserve">Año </w:t>
            </w:r>
          </w:p>
          <w:p w14:paraId="2B446A71" w14:textId="1F981AD9"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Línea de Base</w:t>
            </w:r>
            <w:r w:rsidR="00C2458F" w:rsidRPr="00AE7D09">
              <w:rPr>
                <w:rStyle w:val="FootnoteReference"/>
                <w:rFonts w:ascii="Arial" w:hAnsi="Arial" w:cs="Arial"/>
                <w:b/>
                <w:sz w:val="20"/>
                <w:szCs w:val="20"/>
                <w:lang w:val="es-ES_tradnl" w:eastAsia="zh-CN"/>
              </w:rPr>
              <w:footnoteReference w:id="3"/>
            </w:r>
          </w:p>
        </w:tc>
        <w:tc>
          <w:tcPr>
            <w:tcW w:w="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AB44A36" w14:textId="2183206D" w:rsidR="00322141" w:rsidRPr="00AE7D09" w:rsidRDefault="00322141" w:rsidP="00322141">
            <w:pPr>
              <w:spacing w:after="0" w:line="240" w:lineRule="auto"/>
              <w:rPr>
                <w:rFonts w:ascii="Arial" w:hAnsi="Arial" w:cs="Arial"/>
                <w:b/>
                <w:sz w:val="20"/>
                <w:szCs w:val="20"/>
                <w:lang w:val="es-ES_tradnl" w:eastAsia="zh-CN"/>
              </w:rPr>
            </w:pPr>
            <w:r w:rsidRPr="00AE7D09">
              <w:rPr>
                <w:rFonts w:ascii="Arial" w:hAnsi="Arial" w:cs="Arial"/>
                <w:b/>
                <w:sz w:val="20"/>
                <w:szCs w:val="20"/>
                <w:lang w:val="es-ES_tradnl" w:eastAsia="zh-CN"/>
              </w:rPr>
              <w:t>Meta Final</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18FFFA9" w14:textId="77777777"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Medios de Verificación</w:t>
            </w:r>
          </w:p>
        </w:tc>
        <w:tc>
          <w:tcPr>
            <w:tcW w:w="3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4FF4F3" w14:textId="22801128" w:rsidR="00322141" w:rsidRPr="00AE7D09" w:rsidRDefault="00322141" w:rsidP="00322141">
            <w:pPr>
              <w:spacing w:after="0" w:line="240" w:lineRule="auto"/>
              <w:jc w:val="center"/>
              <w:rPr>
                <w:rFonts w:ascii="Arial" w:hAnsi="Arial" w:cs="Arial"/>
                <w:b/>
                <w:sz w:val="20"/>
                <w:szCs w:val="20"/>
                <w:lang w:val="es-ES_tradnl" w:eastAsia="zh-CN"/>
              </w:rPr>
            </w:pPr>
            <w:r w:rsidRPr="00AE7D09">
              <w:rPr>
                <w:rFonts w:ascii="Arial" w:hAnsi="Arial" w:cs="Arial"/>
                <w:b/>
                <w:sz w:val="20"/>
                <w:szCs w:val="20"/>
                <w:lang w:val="es-ES_tradnl" w:eastAsia="zh-CN"/>
              </w:rPr>
              <w:t>Comentarios</w:t>
            </w:r>
          </w:p>
        </w:tc>
      </w:tr>
      <w:tr w:rsidR="00C16B85" w:rsidRPr="00D45253" w14:paraId="0E371A06" w14:textId="77777777" w:rsidTr="00045BBB">
        <w:trPr>
          <w:trHeight w:val="64"/>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38C8E648" w14:textId="0C994209" w:rsidR="00322141" w:rsidRPr="00AE7D09" w:rsidRDefault="00322141" w:rsidP="00322141">
            <w:pPr>
              <w:spacing w:before="120" w:after="120" w:line="240" w:lineRule="auto"/>
              <w:rPr>
                <w:rFonts w:ascii="Arial" w:hAnsi="Arial" w:cs="Arial"/>
                <w:sz w:val="20"/>
                <w:szCs w:val="20"/>
                <w:lang w:val="es-ES_tradnl" w:eastAsia="zh-CN"/>
              </w:rPr>
            </w:pPr>
            <w:r w:rsidRPr="00AE7D09">
              <w:rPr>
                <w:rFonts w:ascii="Arial" w:hAnsi="Arial" w:cs="Arial"/>
                <w:b/>
                <w:caps/>
                <w:sz w:val="20"/>
                <w:szCs w:val="20"/>
                <w:u w:val="single"/>
                <w:lang w:val="es-ES_tradnl" w:eastAsia="zh-CN"/>
              </w:rPr>
              <w:t xml:space="preserve">Componente II: </w:t>
            </w:r>
            <w:r w:rsidR="00A75B12" w:rsidRPr="00AE7D09">
              <w:rPr>
                <w:rFonts w:ascii="Arial" w:hAnsi="Arial" w:cs="Arial"/>
                <w:b/>
                <w:caps/>
                <w:sz w:val="20"/>
                <w:szCs w:val="20"/>
                <w:u w:val="single"/>
                <w:lang w:val="es-ES_tradnl" w:eastAsia="zh-CN"/>
              </w:rPr>
              <w:t>Fortalecimiento de la Transparencia</w:t>
            </w:r>
          </w:p>
        </w:tc>
      </w:tr>
      <w:tr w:rsidR="00C16B85" w:rsidRPr="00D45253" w14:paraId="2F50B414" w14:textId="77777777" w:rsidTr="00045BBB">
        <w:trPr>
          <w:trHeight w:val="64"/>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72EDFEB1" w14:textId="758F6AD8" w:rsidR="00322141" w:rsidRPr="00AE7D09" w:rsidRDefault="00D31A05" w:rsidP="0059611E">
            <w:pPr>
              <w:numPr>
                <w:ilvl w:val="0"/>
                <w:numId w:val="18"/>
              </w:numPr>
              <w:spacing w:before="120" w:after="120" w:line="240" w:lineRule="auto"/>
              <w:rPr>
                <w:rFonts w:ascii="Arial" w:hAnsi="Arial"/>
                <w:b/>
                <w:sz w:val="20"/>
                <w:lang w:val="es-ES_tradnl"/>
              </w:rPr>
            </w:pPr>
            <w:r w:rsidRPr="00AE7D09">
              <w:rPr>
                <w:rFonts w:ascii="Arial" w:hAnsi="Arial"/>
                <w:b/>
                <w:sz w:val="20"/>
                <w:lang w:val="es-ES_tradnl"/>
              </w:rPr>
              <w:t>Fortalecer</w:t>
            </w:r>
            <w:r w:rsidR="0059611E" w:rsidRPr="00AE7D09">
              <w:rPr>
                <w:rFonts w:ascii="Arial" w:hAnsi="Arial"/>
                <w:b/>
                <w:sz w:val="20"/>
                <w:lang w:val="es-ES_tradnl"/>
              </w:rPr>
              <w:t xml:space="preserve"> la integridad y la gobernanza de las in</w:t>
            </w:r>
            <w:r w:rsidR="00D50C74" w:rsidRPr="00AE7D09">
              <w:rPr>
                <w:rFonts w:ascii="Arial" w:hAnsi="Arial"/>
                <w:b/>
                <w:sz w:val="20"/>
                <w:lang w:val="es-ES_tradnl"/>
              </w:rPr>
              <w:t>stituciones y empresas públicas</w:t>
            </w:r>
          </w:p>
        </w:tc>
      </w:tr>
      <w:tr w:rsidR="00C2458F" w:rsidRPr="00D45253" w14:paraId="59044462" w14:textId="77777777" w:rsidTr="00045BBB">
        <w:trPr>
          <w:trHeight w:val="64"/>
        </w:trPr>
        <w:tc>
          <w:tcPr>
            <w:tcW w:w="4230" w:type="dxa"/>
            <w:tcBorders>
              <w:top w:val="single" w:sz="4" w:space="0" w:color="000000"/>
              <w:left w:val="single" w:sz="4" w:space="0" w:color="000000"/>
              <w:bottom w:val="single" w:sz="4" w:space="0" w:color="000000"/>
              <w:right w:val="single" w:sz="4" w:space="0" w:color="000000"/>
            </w:tcBorders>
            <w:vAlign w:val="center"/>
          </w:tcPr>
          <w:p w14:paraId="46192CC5" w14:textId="14FADDDD"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Tramo1: Instrumento de monitoreo de la implementación de la Ley 5282/14 de “libre Acceso a la Información Pública y Transparencia Gubernamental aprobado.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4ED762AC" w14:textId="3ACBF33D"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Resolución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37F149E9"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3EAD38ED" w14:textId="6BF82BF8"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166DA84D"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07DE6167"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794B4E35" w14:textId="479682C3" w:rsidR="00C2458F" w:rsidRPr="00AE7D09" w:rsidRDefault="00C2458F" w:rsidP="00C2458F">
            <w:pPr>
              <w:spacing w:before="40" w:after="40"/>
              <w:rPr>
                <w:rFonts w:ascii="Arial" w:hAnsi="Arial" w:cs="Arial"/>
                <w:sz w:val="18"/>
                <w:szCs w:val="18"/>
                <w:lang w:val="es-ES_tradnl"/>
              </w:rPr>
            </w:pPr>
          </w:p>
        </w:tc>
      </w:tr>
      <w:tr w:rsidR="003B5378" w:rsidRPr="00D45253" w14:paraId="45095B59"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1BAE8475" w14:textId="03285679" w:rsidR="003B5378" w:rsidRPr="00AE7D09" w:rsidRDefault="003B5378" w:rsidP="003B5378">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Instrumento de monitoreo de la implementación de la Ley 5282/14 de “libre Acceso a la Información Pública y Transparencia Gubernamental implementado.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111C4902" w14:textId="406768E1" w:rsidR="003B5378" w:rsidRPr="00AE7D09" w:rsidRDefault="003B5378" w:rsidP="003B5378">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Informe de avance.</w:t>
            </w:r>
          </w:p>
        </w:tc>
        <w:tc>
          <w:tcPr>
            <w:tcW w:w="782" w:type="dxa"/>
            <w:tcBorders>
              <w:top w:val="single" w:sz="4" w:space="0" w:color="000000"/>
              <w:left w:val="single" w:sz="4" w:space="0" w:color="000000"/>
              <w:bottom w:val="single" w:sz="4" w:space="0" w:color="000000"/>
              <w:right w:val="single" w:sz="4" w:space="0" w:color="000000"/>
            </w:tcBorders>
            <w:vAlign w:val="center"/>
          </w:tcPr>
          <w:p w14:paraId="052996AA" w14:textId="56898BCF" w:rsidR="003B5378" w:rsidRPr="00AE7D09" w:rsidRDefault="003B5378" w:rsidP="003B5378">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785AF6E" w14:textId="2ABBACD3" w:rsidR="003B5378" w:rsidRPr="00AE7D09" w:rsidRDefault="003B5378" w:rsidP="003B5378">
            <w:pPr>
              <w:spacing w:before="40" w:after="40"/>
              <w:jc w:val="center"/>
              <w:rPr>
                <w:rFonts w:ascii="Arial" w:hAnsi="Arial" w:cs="Arial"/>
                <w:sz w:val="18"/>
                <w:szCs w:val="18"/>
                <w:lang w:val="es-ES_tradnl"/>
              </w:rPr>
            </w:pPr>
            <w:r w:rsidRPr="00AE7D09">
              <w:rPr>
                <w:rFonts w:ascii="Arial" w:hAnsi="Arial" w:cs="Arial"/>
                <w:sz w:val="18"/>
                <w:szCs w:val="18"/>
                <w:lang w:val="es-ES_tradnl"/>
              </w:rPr>
              <w:t>201</w:t>
            </w:r>
            <w:r w:rsidR="00C2458F" w:rsidRPr="00AE7D09">
              <w:rPr>
                <w:rFonts w:ascii="Arial" w:hAnsi="Arial" w:cs="Arial"/>
                <w:sz w:val="18"/>
                <w:szCs w:val="18"/>
                <w:lang w:val="es-ES_tradnl"/>
              </w:rPr>
              <w:t>6</w:t>
            </w:r>
          </w:p>
        </w:tc>
        <w:tc>
          <w:tcPr>
            <w:tcW w:w="840" w:type="dxa"/>
            <w:tcBorders>
              <w:top w:val="single" w:sz="4" w:space="0" w:color="000000"/>
              <w:left w:val="single" w:sz="4" w:space="0" w:color="000000"/>
              <w:bottom w:val="single" w:sz="4" w:space="0" w:color="000000"/>
              <w:right w:val="single" w:sz="4" w:space="0" w:color="000000"/>
            </w:tcBorders>
            <w:vAlign w:val="center"/>
          </w:tcPr>
          <w:p w14:paraId="4EA7E73A" w14:textId="300E934C" w:rsidR="003B5378" w:rsidRPr="00AE7D09" w:rsidRDefault="003B5378" w:rsidP="003B5378">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1A5E74DD" w14:textId="3A359769" w:rsidR="003B5378" w:rsidRPr="00AE7D09" w:rsidRDefault="003B5378" w:rsidP="003B5378">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34B5FF21" w14:textId="77777777" w:rsidR="003B5378" w:rsidRPr="00AE7D09" w:rsidRDefault="003B5378" w:rsidP="003B5378">
            <w:pPr>
              <w:spacing w:before="40" w:after="40"/>
              <w:jc w:val="center"/>
              <w:rPr>
                <w:rFonts w:ascii="Arial" w:hAnsi="Arial" w:cs="Arial"/>
                <w:sz w:val="18"/>
                <w:szCs w:val="18"/>
                <w:lang w:val="es-ES_tradnl"/>
              </w:rPr>
            </w:pPr>
          </w:p>
        </w:tc>
      </w:tr>
      <w:tr w:rsidR="00C2458F" w:rsidRPr="00D45253" w14:paraId="5F34AA63"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8EFBCE8" w14:textId="078635B8"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1: Borrador de anteproyecto de Ley de Gobierno Corporativo de las Empresas Públicas elaborado.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002F0087" w14:textId="3E61328F"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Borrador de proyecto de ley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2633F244"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31E1EF86" w14:textId="7CE1EB7F"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3AEC138"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22375D82"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410B07BD"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1B395C65"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4B5F015" w14:textId="01930A7B"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Ley de Gobierno Corporativo de las Empresas Públicas presentada al congreso.</w:t>
            </w:r>
          </w:p>
        </w:tc>
        <w:tc>
          <w:tcPr>
            <w:tcW w:w="1530" w:type="dxa"/>
            <w:tcBorders>
              <w:top w:val="single" w:sz="4" w:space="0" w:color="000000"/>
              <w:left w:val="single" w:sz="4" w:space="0" w:color="000000"/>
              <w:bottom w:val="single" w:sz="4" w:space="0" w:color="000000"/>
              <w:right w:val="single" w:sz="4" w:space="0" w:color="000000"/>
            </w:tcBorders>
            <w:vAlign w:val="center"/>
          </w:tcPr>
          <w:p w14:paraId="62C84771" w14:textId="1D3D38BC"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eastAsia="Times New Roman" w:hAnsi="Arial" w:cs="Arial"/>
                <w:sz w:val="18"/>
                <w:szCs w:val="18"/>
                <w:lang w:val="es-ES_tradnl"/>
              </w:rPr>
              <w:t>Ley presentada</w:t>
            </w:r>
          </w:p>
        </w:tc>
        <w:tc>
          <w:tcPr>
            <w:tcW w:w="782" w:type="dxa"/>
            <w:tcBorders>
              <w:top w:val="single" w:sz="4" w:space="0" w:color="000000"/>
              <w:left w:val="single" w:sz="4" w:space="0" w:color="000000"/>
              <w:bottom w:val="single" w:sz="4" w:space="0" w:color="000000"/>
              <w:right w:val="single" w:sz="4" w:space="0" w:color="000000"/>
            </w:tcBorders>
            <w:vAlign w:val="center"/>
          </w:tcPr>
          <w:p w14:paraId="3869B6E2" w14:textId="24987A09"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4A99C71B" w14:textId="021466F8"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087829D5" w14:textId="5A652515"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04E98DC0" w14:textId="754C72A3"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EEFA92A"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15088739"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3F46F3DE" w14:textId="0D0545F2"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 xml:space="preserve">Tramo 1: Proyecto de Ley que </w:t>
            </w:r>
            <w:r w:rsidR="00CB17C0">
              <w:rPr>
                <w:rFonts w:ascii="Arial" w:hAnsi="Arial" w:cs="Arial"/>
                <w:sz w:val="18"/>
                <w:szCs w:val="18"/>
                <w:lang w:val="es-ES_tradnl"/>
              </w:rPr>
              <w:t>elimina</w:t>
            </w:r>
            <w:r w:rsidRPr="00AE7D09">
              <w:rPr>
                <w:rFonts w:ascii="Arial" w:hAnsi="Arial" w:cs="Arial"/>
                <w:sz w:val="18"/>
                <w:szCs w:val="18"/>
                <w:lang w:val="es-ES_tradnl"/>
              </w:rPr>
              <w:t xml:space="preserve"> acciones al portador presentado al congreso.</w:t>
            </w:r>
          </w:p>
        </w:tc>
        <w:tc>
          <w:tcPr>
            <w:tcW w:w="1530" w:type="dxa"/>
            <w:tcBorders>
              <w:top w:val="single" w:sz="4" w:space="0" w:color="000000"/>
              <w:left w:val="single" w:sz="4" w:space="0" w:color="000000"/>
              <w:bottom w:val="single" w:sz="4" w:space="0" w:color="000000"/>
              <w:right w:val="single" w:sz="4" w:space="0" w:color="000000"/>
            </w:tcBorders>
            <w:vAlign w:val="center"/>
          </w:tcPr>
          <w:p w14:paraId="20066869" w14:textId="68C97ED2" w:rsidR="00C2458F" w:rsidRPr="00AE7D09" w:rsidRDefault="00C2458F" w:rsidP="00C2458F">
            <w:pPr>
              <w:spacing w:before="40" w:after="40" w:line="240" w:lineRule="auto"/>
              <w:jc w:val="center"/>
              <w:rPr>
                <w:rFonts w:ascii="Arial" w:eastAsia="Times New Roman" w:hAnsi="Arial" w:cs="Arial"/>
                <w:sz w:val="18"/>
                <w:szCs w:val="18"/>
                <w:lang w:val="es-ES_tradnl"/>
              </w:rPr>
            </w:pPr>
            <w:r w:rsidRPr="00AE7D09">
              <w:rPr>
                <w:rFonts w:ascii="Arial" w:eastAsia="Times New Roman" w:hAnsi="Arial" w:cs="Arial"/>
                <w:sz w:val="18"/>
                <w:szCs w:val="18"/>
                <w:lang w:val="es-ES_tradnl"/>
              </w:rPr>
              <w:t>Ley presentada</w:t>
            </w:r>
          </w:p>
        </w:tc>
        <w:tc>
          <w:tcPr>
            <w:tcW w:w="782" w:type="dxa"/>
            <w:tcBorders>
              <w:top w:val="single" w:sz="4" w:space="0" w:color="000000"/>
              <w:left w:val="single" w:sz="4" w:space="0" w:color="000000"/>
              <w:bottom w:val="single" w:sz="4" w:space="0" w:color="000000"/>
              <w:right w:val="single" w:sz="4" w:space="0" w:color="000000"/>
            </w:tcBorders>
            <w:vAlign w:val="center"/>
          </w:tcPr>
          <w:p w14:paraId="30E0590A" w14:textId="1D308096"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9C4A6C2" w14:textId="17F3C909"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783E16F2" w14:textId="6D3E54A4"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01034425" w14:textId="5B8595D0"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7559E73A"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63B7A156"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68CDB3F4" w14:textId="1E5901A6"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 xml:space="preserve">Tramo 2: Ley que </w:t>
            </w:r>
            <w:r w:rsidR="00CB17C0">
              <w:rPr>
                <w:rFonts w:ascii="Arial" w:hAnsi="Arial" w:cs="Arial"/>
                <w:sz w:val="18"/>
                <w:szCs w:val="18"/>
                <w:lang w:val="es-ES_tradnl"/>
              </w:rPr>
              <w:t>elimina</w:t>
            </w:r>
            <w:r w:rsidRPr="00AE7D09">
              <w:rPr>
                <w:rFonts w:ascii="Arial" w:hAnsi="Arial" w:cs="Arial"/>
                <w:sz w:val="18"/>
                <w:szCs w:val="18"/>
                <w:lang w:val="es-ES_tradnl"/>
              </w:rPr>
              <w:t xml:space="preserve"> acciones al portador promulgada y publicada.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367D7B39" w14:textId="4C34E7DC" w:rsidR="00C2458F" w:rsidRPr="00AE7D09" w:rsidRDefault="00C2458F" w:rsidP="00C2458F">
            <w:pPr>
              <w:spacing w:before="40" w:after="40" w:line="240" w:lineRule="auto"/>
              <w:jc w:val="center"/>
              <w:rPr>
                <w:rFonts w:ascii="Arial" w:eastAsia="Times New Roman" w:hAnsi="Arial" w:cs="Arial"/>
                <w:sz w:val="18"/>
                <w:szCs w:val="18"/>
                <w:lang w:val="es-ES_tradnl"/>
              </w:rPr>
            </w:pPr>
            <w:r w:rsidRPr="00AE7D09">
              <w:rPr>
                <w:rFonts w:ascii="Arial" w:eastAsia="Times New Roman" w:hAnsi="Arial" w:cs="Arial"/>
                <w:sz w:val="18"/>
                <w:szCs w:val="18"/>
                <w:lang w:val="es-ES_tradnl"/>
              </w:rPr>
              <w:t>Ley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06ECFC8C" w14:textId="028F30C5"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4CA13B3C" w14:textId="378A0672"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606A455C" w14:textId="30388C0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67F3CF15" w14:textId="749FCC93"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F5C51B7" w14:textId="77777777" w:rsidR="00C2458F" w:rsidRPr="00AE7D09" w:rsidRDefault="00C2458F" w:rsidP="00C2458F">
            <w:pPr>
              <w:spacing w:before="40" w:after="40"/>
              <w:jc w:val="center"/>
              <w:rPr>
                <w:rFonts w:ascii="Arial" w:hAnsi="Arial" w:cs="Arial"/>
                <w:sz w:val="18"/>
                <w:szCs w:val="18"/>
                <w:lang w:val="es-ES_tradnl"/>
              </w:rPr>
            </w:pPr>
          </w:p>
        </w:tc>
      </w:tr>
      <w:tr w:rsidR="005E6E2F" w:rsidRPr="00D45253" w14:paraId="606B432F" w14:textId="77777777" w:rsidTr="00045BBB">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173ED482" w14:textId="7F4C6968" w:rsidR="005E6E2F" w:rsidRPr="00AE7D09" w:rsidRDefault="005E6E2F" w:rsidP="005E6E2F">
            <w:pPr>
              <w:spacing w:before="120" w:after="120" w:line="240" w:lineRule="auto"/>
              <w:rPr>
                <w:rFonts w:ascii="Arial" w:hAnsi="Arial"/>
                <w:sz w:val="20"/>
                <w:lang w:val="es-ES_tradnl"/>
              </w:rPr>
            </w:pPr>
            <w:r w:rsidRPr="00AE7D09">
              <w:rPr>
                <w:rFonts w:ascii="Arial" w:hAnsi="Arial"/>
                <w:b/>
                <w:caps/>
                <w:sz w:val="20"/>
                <w:u w:val="single"/>
                <w:lang w:val="es-ES_tradnl"/>
              </w:rPr>
              <w:t>Componente III:</w:t>
            </w:r>
            <w:r w:rsidRPr="00AE7D09">
              <w:rPr>
                <w:lang w:val="es-ES_tradnl"/>
              </w:rPr>
              <w:t xml:space="preserve"> </w:t>
            </w:r>
            <w:r w:rsidRPr="00AE7D09">
              <w:rPr>
                <w:rFonts w:ascii="Arial" w:hAnsi="Arial"/>
                <w:b/>
                <w:caps/>
                <w:sz w:val="20"/>
                <w:u w:val="single"/>
                <w:lang w:val="es-ES_tradnl"/>
              </w:rPr>
              <w:t>Mejora del funcionamiento del sistema financiero</w:t>
            </w:r>
          </w:p>
        </w:tc>
      </w:tr>
      <w:tr w:rsidR="005E6E2F" w:rsidRPr="00D45253" w14:paraId="4B3D4026" w14:textId="77777777" w:rsidTr="00045BBB">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0DFD589D" w14:textId="1808E327" w:rsidR="005E6E2F" w:rsidRPr="00AE7D09" w:rsidRDefault="005E6E2F" w:rsidP="005E6E2F">
            <w:pPr>
              <w:numPr>
                <w:ilvl w:val="0"/>
                <w:numId w:val="19"/>
              </w:numPr>
              <w:spacing w:before="120" w:after="120" w:line="240" w:lineRule="auto"/>
              <w:ind w:left="432"/>
              <w:rPr>
                <w:rFonts w:ascii="Arial" w:hAnsi="Arial"/>
                <w:b/>
                <w:sz w:val="20"/>
                <w:lang w:val="es-ES_tradnl"/>
              </w:rPr>
            </w:pPr>
            <w:r w:rsidRPr="00AE7D09">
              <w:rPr>
                <w:rFonts w:ascii="Arial" w:hAnsi="Arial"/>
                <w:b/>
                <w:sz w:val="20"/>
                <w:lang w:val="es-ES_tradnl"/>
              </w:rPr>
              <w:t>Mejora de la regulación microprudencial</w:t>
            </w:r>
          </w:p>
        </w:tc>
      </w:tr>
      <w:tr w:rsidR="00C2458F" w:rsidRPr="00D45253" w14:paraId="20BC7005"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07D2C5BA" w14:textId="7234885C"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1: Ley</w:t>
            </w:r>
            <w:r w:rsidR="005E3B4A" w:rsidRPr="00AE7D09">
              <w:rPr>
                <w:rFonts w:ascii="Arial" w:hAnsi="Arial" w:cs="Arial"/>
                <w:sz w:val="18"/>
                <w:szCs w:val="18"/>
                <w:lang w:val="es-ES_tradnl"/>
              </w:rPr>
              <w:t xml:space="preserve"> General</w:t>
            </w:r>
            <w:r w:rsidRPr="00AE7D09">
              <w:rPr>
                <w:rFonts w:ascii="Arial" w:hAnsi="Arial" w:cs="Arial"/>
                <w:sz w:val="18"/>
                <w:szCs w:val="18"/>
                <w:lang w:val="es-ES_tradnl"/>
              </w:rPr>
              <w:t xml:space="preserve"> de Bancos</w:t>
            </w:r>
            <w:r w:rsidR="005E3B4A" w:rsidRPr="00AE7D09">
              <w:rPr>
                <w:rFonts w:ascii="Arial" w:hAnsi="Arial" w:cs="Arial"/>
                <w:sz w:val="18"/>
                <w:szCs w:val="18"/>
                <w:lang w:val="es-ES_tradnl"/>
              </w:rPr>
              <w:t>, Financieras y Otras Entidades de Crédito</w:t>
            </w:r>
            <w:r w:rsidRPr="00AE7D09">
              <w:rPr>
                <w:rFonts w:ascii="Arial" w:hAnsi="Arial" w:cs="Arial"/>
                <w:sz w:val="18"/>
                <w:szCs w:val="18"/>
                <w:lang w:val="es-ES_tradnl"/>
              </w:rPr>
              <w:t xml:space="preserve"> modificada.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3BF834D5" w14:textId="6AFF6633"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Ley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3C0F9510"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3CD65DCE" w14:textId="63BEE712"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06D97D42"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60A70326"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230AF29"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6269D3F0"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90F6A05" w14:textId="4A32992F" w:rsidR="00C2458F" w:rsidRPr="00AE7D09" w:rsidRDefault="00C2458F" w:rsidP="005E6E2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Normativa en materia de riesgo de mercado, conglomerados, riesgo de liquidez y riesgo operativo en vigor.</w:t>
            </w:r>
          </w:p>
        </w:tc>
        <w:tc>
          <w:tcPr>
            <w:tcW w:w="1530" w:type="dxa"/>
            <w:tcBorders>
              <w:top w:val="single" w:sz="4" w:space="0" w:color="000000"/>
              <w:left w:val="single" w:sz="4" w:space="0" w:color="000000"/>
              <w:bottom w:val="single" w:sz="4" w:space="0" w:color="000000"/>
              <w:right w:val="single" w:sz="4" w:space="0" w:color="000000"/>
            </w:tcBorders>
            <w:vAlign w:val="center"/>
          </w:tcPr>
          <w:p w14:paraId="6F631B0E" w14:textId="3FCF233E" w:rsidR="00C2458F" w:rsidRPr="00AE7D09" w:rsidRDefault="00C2458F" w:rsidP="005E6E2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Normativa aprobada por el Banco Central</w:t>
            </w:r>
          </w:p>
        </w:tc>
        <w:tc>
          <w:tcPr>
            <w:tcW w:w="782" w:type="dxa"/>
            <w:tcBorders>
              <w:top w:val="single" w:sz="4" w:space="0" w:color="000000"/>
              <w:left w:val="single" w:sz="4" w:space="0" w:color="000000"/>
              <w:bottom w:val="single" w:sz="4" w:space="0" w:color="000000"/>
              <w:right w:val="single" w:sz="4" w:space="0" w:color="000000"/>
            </w:tcBorders>
            <w:vAlign w:val="center"/>
          </w:tcPr>
          <w:p w14:paraId="4811CEBD" w14:textId="015B1E36" w:rsidR="00C2458F" w:rsidRPr="00AE7D09" w:rsidRDefault="00C2458F" w:rsidP="005E6E2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6E34FCCD" w14:textId="2DB39979" w:rsidR="00C2458F" w:rsidRPr="00AE7D09" w:rsidRDefault="00C2458F" w:rsidP="005E6E2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01D34401" w14:textId="3E70E2E7" w:rsidR="00C2458F" w:rsidRPr="00AE7D09" w:rsidRDefault="00C2458F" w:rsidP="005E6E2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20E493D6" w14:textId="0BBD8BF4" w:rsidR="00C2458F" w:rsidRPr="00AE7D09" w:rsidRDefault="00C2458F" w:rsidP="005E6E2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7C08386E" w14:textId="77777777" w:rsidR="00C2458F" w:rsidRPr="00AE7D09" w:rsidRDefault="00C2458F" w:rsidP="005E6E2F">
            <w:pPr>
              <w:spacing w:before="40" w:after="40"/>
              <w:jc w:val="center"/>
              <w:rPr>
                <w:rFonts w:ascii="Arial" w:hAnsi="Arial" w:cs="Arial"/>
                <w:sz w:val="18"/>
                <w:szCs w:val="18"/>
                <w:lang w:val="es-ES_tradnl"/>
              </w:rPr>
            </w:pPr>
          </w:p>
        </w:tc>
      </w:tr>
      <w:tr w:rsidR="00C2458F" w:rsidRPr="00D45253" w14:paraId="6BF67003"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7822252A" w14:textId="1516B865"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lastRenderedPageBreak/>
              <w:t>Tramo 1: Carta orgánica del Banco Central modificada.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50F8B9B0" w14:textId="6895C98A"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Ley del BCP presentada</w:t>
            </w:r>
          </w:p>
        </w:tc>
        <w:tc>
          <w:tcPr>
            <w:tcW w:w="782" w:type="dxa"/>
            <w:tcBorders>
              <w:top w:val="single" w:sz="4" w:space="0" w:color="000000"/>
              <w:left w:val="single" w:sz="4" w:space="0" w:color="000000"/>
              <w:bottom w:val="single" w:sz="4" w:space="0" w:color="000000"/>
              <w:right w:val="single" w:sz="4" w:space="0" w:color="000000"/>
            </w:tcBorders>
            <w:vAlign w:val="center"/>
          </w:tcPr>
          <w:p w14:paraId="70F87179"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06261550" w14:textId="5E139211"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7E0C5655"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3A58E487"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7F43ED60"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79943FB6"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1F59374" w14:textId="757C8631"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Ley de Carta Orgánica del BCP promulgada y publicada.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5526B0FE" w14:textId="0ED73E3D"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Ley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4860D0AC" w14:textId="339319C0"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45322C81" w14:textId="2FD79196"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30E2186C" w14:textId="627FDCAD"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6CCFAC9E" w14:textId="5E41CCAF"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761E0AE1"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39B52FB5"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683411E8" w14:textId="4BAA0022"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1: Ley que regula el mercado de capitales promulgada y publicada.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309FE3FF" w14:textId="70C44382"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Ley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00FA8B00"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6B33EEA" w14:textId="7BF8E12F"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5816E86"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1179F605"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EDFC5D5"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08AF4D5E"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0E761906" w14:textId="63592DBC"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Reglamento de la Ley que regula el mercado de capitales.</w:t>
            </w:r>
          </w:p>
        </w:tc>
        <w:tc>
          <w:tcPr>
            <w:tcW w:w="1530" w:type="dxa"/>
            <w:tcBorders>
              <w:top w:val="single" w:sz="4" w:space="0" w:color="000000"/>
              <w:left w:val="single" w:sz="4" w:space="0" w:color="000000"/>
              <w:bottom w:val="single" w:sz="4" w:space="0" w:color="000000"/>
              <w:right w:val="single" w:sz="4" w:space="0" w:color="000000"/>
            </w:tcBorders>
            <w:vAlign w:val="center"/>
          </w:tcPr>
          <w:p w14:paraId="63AAB4DF" w14:textId="4EB697C9"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Informe desarrollado y aprobado</w:t>
            </w:r>
          </w:p>
        </w:tc>
        <w:tc>
          <w:tcPr>
            <w:tcW w:w="782" w:type="dxa"/>
            <w:tcBorders>
              <w:top w:val="single" w:sz="4" w:space="0" w:color="000000"/>
              <w:left w:val="single" w:sz="4" w:space="0" w:color="000000"/>
              <w:bottom w:val="single" w:sz="4" w:space="0" w:color="000000"/>
              <w:right w:val="single" w:sz="4" w:space="0" w:color="000000"/>
            </w:tcBorders>
            <w:vAlign w:val="center"/>
          </w:tcPr>
          <w:p w14:paraId="26E9C9F9" w14:textId="05630D7E"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71F60BB4" w14:textId="15E3C309"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072BE5B7" w14:textId="31AA5A5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3A18518E" w14:textId="6F588C4D"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51FD97A4" w14:textId="77777777" w:rsidR="00C2458F" w:rsidRPr="00AE7D09" w:rsidRDefault="00C2458F" w:rsidP="00C2458F">
            <w:pPr>
              <w:spacing w:before="40" w:after="40"/>
              <w:jc w:val="center"/>
              <w:rPr>
                <w:rFonts w:ascii="Arial" w:hAnsi="Arial" w:cs="Arial"/>
                <w:sz w:val="18"/>
                <w:szCs w:val="18"/>
                <w:lang w:val="es-ES_tradnl"/>
              </w:rPr>
            </w:pPr>
          </w:p>
        </w:tc>
      </w:tr>
      <w:tr w:rsidR="005E6E2F" w:rsidRPr="00D45253" w14:paraId="021A3CB4" w14:textId="77777777" w:rsidTr="00045BBB">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015A5923" w14:textId="58E5EB91" w:rsidR="005E6E2F" w:rsidRPr="00AE7D09" w:rsidRDefault="005E6E2F" w:rsidP="005E6E2F">
            <w:pPr>
              <w:numPr>
                <w:ilvl w:val="0"/>
                <w:numId w:val="19"/>
              </w:numPr>
              <w:spacing w:before="120" w:after="120" w:line="240" w:lineRule="auto"/>
              <w:ind w:left="432"/>
              <w:rPr>
                <w:rFonts w:ascii="Arial" w:hAnsi="Arial"/>
                <w:b/>
                <w:sz w:val="20"/>
                <w:lang w:val="es-ES_tradnl"/>
              </w:rPr>
            </w:pPr>
            <w:r w:rsidRPr="00AE7D09">
              <w:rPr>
                <w:rFonts w:ascii="Arial" w:hAnsi="Arial"/>
                <w:b/>
                <w:sz w:val="20"/>
                <w:lang w:val="es-ES_tradnl"/>
              </w:rPr>
              <w:t>Mejora de la regulación macroprudencial</w:t>
            </w:r>
          </w:p>
        </w:tc>
      </w:tr>
      <w:tr w:rsidR="00C2458F" w:rsidRPr="00D45253" w14:paraId="55A6BD52"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3978694" w14:textId="1D60ADF6"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1: Borrador de Propuesta de Comité de Estabilidad Financiera elaborado.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2712C228" w14:textId="10615496"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Borrador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15AF305B"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7CDED2E5" w14:textId="5DBDE69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0B4D921B" w14:textId="77777777"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39EAD37A" w14:textId="77777777"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0BFB59B"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7B4E0A55"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27B976B6" w14:textId="42FCE463"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Comité de Estabilidad Financiera en funcionamiento.</w:t>
            </w:r>
          </w:p>
        </w:tc>
        <w:tc>
          <w:tcPr>
            <w:tcW w:w="1530" w:type="dxa"/>
            <w:tcBorders>
              <w:top w:val="single" w:sz="4" w:space="0" w:color="000000"/>
              <w:left w:val="single" w:sz="4" w:space="0" w:color="000000"/>
              <w:bottom w:val="single" w:sz="4" w:space="0" w:color="000000"/>
              <w:right w:val="single" w:sz="4" w:space="0" w:color="000000"/>
            </w:tcBorders>
            <w:vAlign w:val="center"/>
          </w:tcPr>
          <w:p w14:paraId="110BDC0E" w14:textId="6995EE11"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Decreto de aprobación</w:t>
            </w:r>
          </w:p>
        </w:tc>
        <w:tc>
          <w:tcPr>
            <w:tcW w:w="782" w:type="dxa"/>
            <w:tcBorders>
              <w:top w:val="single" w:sz="4" w:space="0" w:color="000000"/>
              <w:left w:val="single" w:sz="4" w:space="0" w:color="000000"/>
              <w:bottom w:val="single" w:sz="4" w:space="0" w:color="000000"/>
              <w:right w:val="single" w:sz="4" w:space="0" w:color="000000"/>
            </w:tcBorders>
            <w:vAlign w:val="center"/>
          </w:tcPr>
          <w:p w14:paraId="0F05BC33" w14:textId="77568F7D"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6A11A7B6" w14:textId="59442325"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25BD5A2" w14:textId="73D1B2FE"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581F8835" w14:textId="4ECC9DA1"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4CB949B9" w14:textId="77777777" w:rsidR="00C2458F" w:rsidRPr="00AE7D09" w:rsidRDefault="00C2458F" w:rsidP="00C2458F">
            <w:pPr>
              <w:spacing w:before="40" w:after="40"/>
              <w:jc w:val="center"/>
              <w:rPr>
                <w:rFonts w:ascii="Arial" w:hAnsi="Arial" w:cs="Arial"/>
                <w:sz w:val="18"/>
                <w:szCs w:val="18"/>
                <w:lang w:val="es-ES_tradnl"/>
              </w:rPr>
            </w:pPr>
          </w:p>
        </w:tc>
      </w:tr>
      <w:tr w:rsidR="005E6E2F" w:rsidRPr="00D45253" w14:paraId="05AF915E" w14:textId="77777777" w:rsidTr="00045BBB">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6F25515F" w14:textId="695CEE89" w:rsidR="005E6E2F" w:rsidRPr="00AE7D09" w:rsidRDefault="005E6E2F" w:rsidP="005E6E2F">
            <w:pPr>
              <w:numPr>
                <w:ilvl w:val="0"/>
                <w:numId w:val="19"/>
              </w:numPr>
              <w:spacing w:before="120" w:after="120" w:line="240" w:lineRule="auto"/>
              <w:ind w:left="432"/>
              <w:rPr>
                <w:rFonts w:ascii="Arial" w:hAnsi="Arial"/>
                <w:b/>
                <w:sz w:val="20"/>
                <w:lang w:val="es-ES_tradnl"/>
              </w:rPr>
            </w:pPr>
            <w:r w:rsidRPr="00AE7D09">
              <w:rPr>
                <w:rFonts w:ascii="Arial" w:hAnsi="Arial"/>
                <w:b/>
                <w:sz w:val="20"/>
                <w:lang w:val="es-ES_tradnl"/>
              </w:rPr>
              <w:t xml:space="preserve">Inclusión de la perspectiva de género en el sistema financiero </w:t>
            </w:r>
          </w:p>
        </w:tc>
      </w:tr>
      <w:tr w:rsidR="00C2458F" w:rsidRPr="00D45253" w14:paraId="09A983CC" w14:textId="77777777" w:rsidTr="00D50C74">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6AA3AF83" w14:textId="1C946BF7"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1: Diagnóstico sobre las necesidades de datos para el acceso a servicios financieros de las empresas desglosado por género preparado.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2491365E" w14:textId="264ACA2B"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Borrador de diagnóstico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71DF7EB3" w14:textId="48C53859"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60C8EF7" w14:textId="260518B0"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AD56FF9" w14:textId="227875A9"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79357FEA" w14:textId="4136CC58"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147939C2" w14:textId="77777777" w:rsidR="00C2458F" w:rsidRPr="00AE7D09" w:rsidRDefault="00C2458F" w:rsidP="00C2458F">
            <w:pPr>
              <w:spacing w:before="40" w:after="40"/>
              <w:jc w:val="center"/>
              <w:rPr>
                <w:rFonts w:ascii="Arial" w:hAnsi="Arial" w:cs="Arial"/>
                <w:sz w:val="18"/>
                <w:szCs w:val="18"/>
                <w:lang w:val="es-ES_tradnl"/>
              </w:rPr>
            </w:pPr>
          </w:p>
        </w:tc>
      </w:tr>
      <w:tr w:rsidR="00C2458F" w:rsidRPr="00D45253" w14:paraId="4EADB377" w14:textId="77777777" w:rsidTr="00D50C74">
        <w:trPr>
          <w:trHeight w:val="242"/>
        </w:trPr>
        <w:tc>
          <w:tcPr>
            <w:tcW w:w="4230" w:type="dxa"/>
            <w:tcBorders>
              <w:top w:val="single" w:sz="4" w:space="0" w:color="000000"/>
              <w:left w:val="single" w:sz="4" w:space="0" w:color="000000"/>
              <w:bottom w:val="single" w:sz="4" w:space="0" w:color="auto"/>
              <w:right w:val="single" w:sz="4" w:space="0" w:color="000000"/>
            </w:tcBorders>
            <w:vAlign w:val="center"/>
          </w:tcPr>
          <w:p w14:paraId="5D162FA8" w14:textId="261032C0" w:rsidR="00C2458F" w:rsidRPr="00AE7D09" w:rsidRDefault="00C2458F" w:rsidP="00C2458F">
            <w:pPr>
              <w:spacing w:before="40" w:after="40" w:line="240" w:lineRule="auto"/>
              <w:contextualSpacing/>
              <w:rPr>
                <w:rFonts w:ascii="Arial" w:hAnsi="Arial" w:cs="Arial"/>
                <w:sz w:val="18"/>
                <w:szCs w:val="18"/>
                <w:lang w:val="es-ES_tradnl"/>
              </w:rPr>
            </w:pPr>
            <w:r w:rsidRPr="00AE7D09">
              <w:rPr>
                <w:rFonts w:ascii="Arial" w:hAnsi="Arial" w:cs="Arial"/>
                <w:sz w:val="18"/>
                <w:szCs w:val="18"/>
                <w:lang w:val="es-ES_tradnl"/>
              </w:rPr>
              <w:t>Tramo 2: Estrategia para la mejora de la inclusión de la perspectiva de género en el sector financiero desarrollada</w:t>
            </w:r>
          </w:p>
        </w:tc>
        <w:tc>
          <w:tcPr>
            <w:tcW w:w="1530" w:type="dxa"/>
            <w:tcBorders>
              <w:top w:val="single" w:sz="4" w:space="0" w:color="000000"/>
              <w:left w:val="single" w:sz="4" w:space="0" w:color="000000"/>
              <w:bottom w:val="single" w:sz="4" w:space="0" w:color="auto"/>
              <w:right w:val="single" w:sz="4" w:space="0" w:color="000000"/>
            </w:tcBorders>
            <w:vAlign w:val="center"/>
          </w:tcPr>
          <w:p w14:paraId="372F34EC" w14:textId="3BF37F44"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Estrategia aprobada</w:t>
            </w:r>
          </w:p>
        </w:tc>
        <w:tc>
          <w:tcPr>
            <w:tcW w:w="782" w:type="dxa"/>
            <w:tcBorders>
              <w:top w:val="single" w:sz="4" w:space="0" w:color="000000"/>
              <w:left w:val="single" w:sz="4" w:space="0" w:color="000000"/>
              <w:bottom w:val="single" w:sz="4" w:space="0" w:color="auto"/>
              <w:right w:val="single" w:sz="4" w:space="0" w:color="000000"/>
            </w:tcBorders>
            <w:vAlign w:val="center"/>
          </w:tcPr>
          <w:p w14:paraId="290E0E76" w14:textId="3C4BA721"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auto"/>
              <w:right w:val="single" w:sz="4" w:space="0" w:color="000000"/>
            </w:tcBorders>
            <w:vAlign w:val="center"/>
          </w:tcPr>
          <w:p w14:paraId="1B4D9EB5" w14:textId="2C90CE0A"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auto"/>
              <w:right w:val="single" w:sz="4" w:space="0" w:color="000000"/>
            </w:tcBorders>
            <w:vAlign w:val="center"/>
          </w:tcPr>
          <w:p w14:paraId="0BCE576E" w14:textId="5B1874C6" w:rsidR="00C2458F" w:rsidRPr="00AE7D09" w:rsidRDefault="00C2458F" w:rsidP="00C2458F">
            <w:pPr>
              <w:spacing w:before="40" w:after="40"/>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auto"/>
              <w:right w:val="single" w:sz="4" w:space="0" w:color="000000"/>
            </w:tcBorders>
            <w:vAlign w:val="center"/>
          </w:tcPr>
          <w:p w14:paraId="05FCC9FE" w14:textId="6AF07A3B" w:rsidR="00C2458F" w:rsidRPr="00AE7D09" w:rsidRDefault="00C2458F" w:rsidP="00C2458F">
            <w:pPr>
              <w:spacing w:before="40" w:after="4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auto"/>
              <w:right w:val="single" w:sz="4" w:space="0" w:color="000000"/>
            </w:tcBorders>
            <w:vAlign w:val="center"/>
          </w:tcPr>
          <w:p w14:paraId="4DDDBD23" w14:textId="77777777" w:rsidR="00C2458F" w:rsidRPr="00AE7D09" w:rsidRDefault="00C2458F" w:rsidP="00C2458F">
            <w:pPr>
              <w:spacing w:before="40" w:after="40"/>
              <w:jc w:val="center"/>
              <w:rPr>
                <w:rFonts w:ascii="Arial" w:hAnsi="Arial" w:cs="Arial"/>
                <w:sz w:val="18"/>
                <w:szCs w:val="18"/>
                <w:lang w:val="es-ES_tradnl"/>
              </w:rPr>
            </w:pPr>
          </w:p>
        </w:tc>
      </w:tr>
      <w:tr w:rsidR="005E6E2F" w:rsidRPr="00D45253" w14:paraId="2620FAF4" w14:textId="77777777" w:rsidTr="00AE7D09">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42C1F6AC" w14:textId="3FC99E4F" w:rsidR="005E6E2F" w:rsidRPr="00AE7D09" w:rsidRDefault="005E6E2F" w:rsidP="00AE7D09">
            <w:pPr>
              <w:spacing w:before="60" w:after="60" w:line="240" w:lineRule="auto"/>
              <w:rPr>
                <w:rFonts w:ascii="Arial" w:hAnsi="Arial"/>
                <w:sz w:val="20"/>
                <w:lang w:val="es-ES_tradnl"/>
              </w:rPr>
            </w:pPr>
            <w:r w:rsidRPr="00AE7D09">
              <w:rPr>
                <w:rFonts w:ascii="Arial" w:hAnsi="Arial"/>
                <w:b/>
                <w:caps/>
                <w:sz w:val="20"/>
                <w:u w:val="single"/>
                <w:lang w:val="es-ES_tradnl"/>
              </w:rPr>
              <w:t xml:space="preserve">Componente </w:t>
            </w:r>
            <w:r w:rsidRPr="00AE7D09">
              <w:rPr>
                <w:rFonts w:ascii="Arial" w:hAnsi="Arial" w:cs="Arial"/>
                <w:b/>
                <w:caps/>
                <w:sz w:val="20"/>
                <w:szCs w:val="20"/>
                <w:u w:val="single"/>
                <w:lang w:val="es-ES_tradnl" w:eastAsia="zh-CN"/>
              </w:rPr>
              <w:t>Iv</w:t>
            </w:r>
            <w:r w:rsidRPr="00AE7D09">
              <w:rPr>
                <w:rFonts w:ascii="Arial" w:hAnsi="Arial"/>
                <w:b/>
                <w:caps/>
                <w:sz w:val="20"/>
                <w:u w:val="single"/>
                <w:lang w:val="es-ES_tradnl"/>
              </w:rPr>
              <w:t xml:space="preserve">: Mejora del </w:t>
            </w:r>
            <w:r w:rsidRPr="00AE7D09">
              <w:rPr>
                <w:rFonts w:ascii="Arial" w:hAnsi="Arial" w:cs="Arial"/>
                <w:b/>
                <w:caps/>
                <w:sz w:val="20"/>
                <w:szCs w:val="20"/>
                <w:u w:val="single"/>
                <w:lang w:val="es-ES_tradnl" w:eastAsia="zh-CN"/>
              </w:rPr>
              <w:t>Marco legal e institucional del financiamiento a largo plazo</w:t>
            </w:r>
          </w:p>
        </w:tc>
      </w:tr>
      <w:tr w:rsidR="005E6E2F" w:rsidRPr="00D45253" w14:paraId="1E0BE5F7" w14:textId="77777777" w:rsidTr="00AE7D09">
        <w:trPr>
          <w:trHeight w:val="305"/>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5A482DA4" w14:textId="4794A30C" w:rsidR="005E6E2F" w:rsidRPr="00AE7D09" w:rsidRDefault="005E6E2F" w:rsidP="005E6E2F">
            <w:pPr>
              <w:numPr>
                <w:ilvl w:val="0"/>
                <w:numId w:val="20"/>
              </w:numPr>
              <w:spacing w:before="120" w:after="120" w:line="240" w:lineRule="auto"/>
              <w:rPr>
                <w:rFonts w:ascii="Arial" w:hAnsi="Arial"/>
                <w:b/>
                <w:sz w:val="20"/>
                <w:lang w:val="es-ES_tradnl"/>
              </w:rPr>
            </w:pPr>
            <w:r w:rsidRPr="00AE7D09">
              <w:rPr>
                <w:rFonts w:ascii="Arial" w:hAnsi="Arial"/>
                <w:b/>
                <w:sz w:val="20"/>
                <w:lang w:val="es-ES_tradnl"/>
              </w:rPr>
              <w:t>Mejora de marco legal de protección a los acreedores</w:t>
            </w:r>
          </w:p>
        </w:tc>
      </w:tr>
      <w:tr w:rsidR="00C2458F" w:rsidRPr="00D45253" w14:paraId="43DB7E6B"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981F219" w14:textId="67B8FBC4"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 xml:space="preserve">Tramo 1: Borrador de anteproyecto de Ley de Garantías </w:t>
            </w:r>
            <w:r w:rsidR="005E3B4A" w:rsidRPr="00AE7D09">
              <w:rPr>
                <w:rFonts w:ascii="Arial" w:hAnsi="Arial" w:cs="Arial"/>
                <w:sz w:val="18"/>
                <w:szCs w:val="18"/>
                <w:lang w:val="es-ES_tradnl"/>
              </w:rPr>
              <w:t xml:space="preserve">Mobiliarias </w:t>
            </w:r>
            <w:r w:rsidRPr="00AE7D09">
              <w:rPr>
                <w:rFonts w:ascii="Arial" w:hAnsi="Arial" w:cs="Arial"/>
                <w:sz w:val="18"/>
                <w:szCs w:val="18"/>
                <w:lang w:val="es-ES_tradnl"/>
              </w:rPr>
              <w:t>elaborado.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193179DC" w14:textId="40F9C6ED"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Borrador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1A1C990F"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56288766" w14:textId="3E9F782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6BDF41AC"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6EE759B8"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3C69D9F6"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39B65337"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874B531" w14:textId="54E996B5"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lastRenderedPageBreak/>
              <w:t>Tramo 2: Ley de Garantías Mobiliarias presentada al Congreso.</w:t>
            </w:r>
          </w:p>
        </w:tc>
        <w:tc>
          <w:tcPr>
            <w:tcW w:w="1530" w:type="dxa"/>
            <w:tcBorders>
              <w:top w:val="single" w:sz="4" w:space="0" w:color="000000"/>
              <w:left w:val="single" w:sz="4" w:space="0" w:color="000000"/>
              <w:bottom w:val="single" w:sz="4" w:space="0" w:color="000000"/>
              <w:right w:val="single" w:sz="4" w:space="0" w:color="000000"/>
            </w:tcBorders>
            <w:vAlign w:val="center"/>
          </w:tcPr>
          <w:p w14:paraId="1058005B" w14:textId="5916438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Ley presentada</w:t>
            </w:r>
          </w:p>
        </w:tc>
        <w:tc>
          <w:tcPr>
            <w:tcW w:w="782" w:type="dxa"/>
            <w:tcBorders>
              <w:top w:val="single" w:sz="4" w:space="0" w:color="000000"/>
              <w:left w:val="single" w:sz="4" w:space="0" w:color="000000"/>
              <w:bottom w:val="single" w:sz="4" w:space="0" w:color="000000"/>
              <w:right w:val="single" w:sz="4" w:space="0" w:color="000000"/>
            </w:tcBorders>
            <w:vAlign w:val="center"/>
          </w:tcPr>
          <w:p w14:paraId="1B12630D" w14:textId="7390570E"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B6EA1D8" w14:textId="06D143DE"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E43B72E" w14:textId="640FBEA9"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16D74624" w14:textId="4B12490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5BAA922B"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00127EF6"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68DB6B8" w14:textId="74F703DE"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1: Borrador de propuesta de modernización y fortalecimiento del régimen de insolvencia de Paraguay elaborado.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15A7A79C" w14:textId="1B1B0B4B"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Borrador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5BD5BB53"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31804D13" w14:textId="25254B01"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2219974A"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4ACDAD00"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4F72BEE7"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25DD647F"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20FD38FA" w14:textId="698712D8"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2: Proyecto de ley que moderniza y fortalece el régimen de insolvencia aprobado por parte del Equipo Económico Nacional.</w:t>
            </w:r>
          </w:p>
        </w:tc>
        <w:tc>
          <w:tcPr>
            <w:tcW w:w="1530" w:type="dxa"/>
            <w:tcBorders>
              <w:top w:val="single" w:sz="4" w:space="0" w:color="000000"/>
              <w:left w:val="single" w:sz="4" w:space="0" w:color="000000"/>
              <w:bottom w:val="single" w:sz="4" w:space="0" w:color="000000"/>
              <w:right w:val="single" w:sz="4" w:space="0" w:color="000000"/>
            </w:tcBorders>
            <w:vAlign w:val="center"/>
          </w:tcPr>
          <w:p w14:paraId="2D7F9328" w14:textId="24F1C030"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Borrador aprobado</w:t>
            </w:r>
          </w:p>
        </w:tc>
        <w:tc>
          <w:tcPr>
            <w:tcW w:w="782" w:type="dxa"/>
            <w:tcBorders>
              <w:top w:val="single" w:sz="4" w:space="0" w:color="000000"/>
              <w:left w:val="single" w:sz="4" w:space="0" w:color="000000"/>
              <w:bottom w:val="single" w:sz="4" w:space="0" w:color="000000"/>
              <w:right w:val="single" w:sz="4" w:space="0" w:color="000000"/>
            </w:tcBorders>
            <w:vAlign w:val="center"/>
          </w:tcPr>
          <w:p w14:paraId="123D3230" w14:textId="41523201"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50BB07F2" w14:textId="22BB3769"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322CA4B5" w14:textId="2063DF8B"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75B78CC4" w14:textId="32839996"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1DA03351"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5E6E2F" w:rsidRPr="00D45253" w14:paraId="3120E6C1" w14:textId="77777777" w:rsidTr="00045BBB">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3631D764" w14:textId="3C450E6E" w:rsidR="005E6E2F" w:rsidRPr="00AE7D09" w:rsidRDefault="005E6E2F" w:rsidP="005E6E2F">
            <w:pPr>
              <w:numPr>
                <w:ilvl w:val="0"/>
                <w:numId w:val="20"/>
              </w:numPr>
              <w:spacing w:before="120" w:after="120" w:line="240" w:lineRule="auto"/>
              <w:rPr>
                <w:rFonts w:ascii="Arial" w:hAnsi="Arial"/>
                <w:b/>
                <w:sz w:val="20"/>
                <w:lang w:val="es-ES_tradnl"/>
              </w:rPr>
            </w:pPr>
            <w:r w:rsidRPr="00AE7D09">
              <w:rPr>
                <w:rFonts w:ascii="Arial" w:hAnsi="Arial"/>
                <w:b/>
                <w:sz w:val="20"/>
                <w:lang w:val="es-ES_tradnl"/>
              </w:rPr>
              <w:t>Fortalecimiento de las instituciones para el financiamiento a largo plazo</w:t>
            </w:r>
          </w:p>
        </w:tc>
      </w:tr>
      <w:tr w:rsidR="00C2458F" w:rsidRPr="00D45253" w14:paraId="5D66292E"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5AB45CA6" w14:textId="79AF41FF"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1: Borrador de plan de adecuación de la Agencia Financiera de Desarrollo (AFD) a las mejores prácticas internacionales de estructuración como banca de desarrollo de segundo piso elaborado.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54533175" w14:textId="78AE714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Borrador elaborado</w:t>
            </w:r>
          </w:p>
        </w:tc>
        <w:tc>
          <w:tcPr>
            <w:tcW w:w="782" w:type="dxa"/>
            <w:tcBorders>
              <w:top w:val="single" w:sz="4" w:space="0" w:color="000000"/>
              <w:left w:val="single" w:sz="4" w:space="0" w:color="000000"/>
              <w:bottom w:val="single" w:sz="4" w:space="0" w:color="000000"/>
              <w:right w:val="single" w:sz="4" w:space="0" w:color="000000"/>
            </w:tcBorders>
            <w:vAlign w:val="center"/>
          </w:tcPr>
          <w:p w14:paraId="169D3797" w14:textId="34EA04B8"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86A466B" w14:textId="03498D04"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101C30F2" w14:textId="464D22B6"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248E5EA0" w14:textId="20249D36"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4D0E823" w14:textId="3D80BFB1"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2C3F7927"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1A2FFB8" w14:textId="5A0E14C1"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2: Informe final del Plan de Reforma de la AFD emitido.</w:t>
            </w:r>
          </w:p>
        </w:tc>
        <w:tc>
          <w:tcPr>
            <w:tcW w:w="1530" w:type="dxa"/>
            <w:tcBorders>
              <w:top w:val="single" w:sz="4" w:space="0" w:color="000000"/>
              <w:left w:val="single" w:sz="4" w:space="0" w:color="000000"/>
              <w:bottom w:val="single" w:sz="4" w:space="0" w:color="000000"/>
              <w:right w:val="single" w:sz="4" w:space="0" w:color="000000"/>
            </w:tcBorders>
            <w:vAlign w:val="center"/>
          </w:tcPr>
          <w:p w14:paraId="25390C2A" w14:textId="22EC4873"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Informe emitido</w:t>
            </w:r>
          </w:p>
        </w:tc>
        <w:tc>
          <w:tcPr>
            <w:tcW w:w="782" w:type="dxa"/>
            <w:tcBorders>
              <w:top w:val="single" w:sz="4" w:space="0" w:color="000000"/>
              <w:left w:val="single" w:sz="4" w:space="0" w:color="000000"/>
              <w:bottom w:val="single" w:sz="4" w:space="0" w:color="000000"/>
              <w:right w:val="single" w:sz="4" w:space="0" w:color="000000"/>
            </w:tcBorders>
            <w:vAlign w:val="center"/>
          </w:tcPr>
          <w:p w14:paraId="18946454" w14:textId="68DA1294"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0FD99F6B" w14:textId="37B38C13"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2AC5887D" w14:textId="6DAE3358"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7711FB39" w14:textId="4EF4ACC1"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07DFB56B"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5F7776A2"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CD8986A" w14:textId="378FBE26"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1: Ley que establece una nueva Carta Orgánica del Banco Nacional de Fomento (BNF) publicada.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2C5BF52C" w14:textId="6F3854C3"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Ley publicada.</w:t>
            </w:r>
          </w:p>
        </w:tc>
        <w:tc>
          <w:tcPr>
            <w:tcW w:w="782" w:type="dxa"/>
            <w:tcBorders>
              <w:top w:val="single" w:sz="4" w:space="0" w:color="000000"/>
              <w:left w:val="single" w:sz="4" w:space="0" w:color="000000"/>
              <w:bottom w:val="single" w:sz="4" w:space="0" w:color="000000"/>
              <w:right w:val="single" w:sz="4" w:space="0" w:color="000000"/>
            </w:tcBorders>
            <w:vAlign w:val="center"/>
          </w:tcPr>
          <w:p w14:paraId="5ED96A94" w14:textId="2AAF61D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55DAA88D" w14:textId="7E11828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080FB92" w14:textId="3EE79CBF"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2F3FDB6B" w14:textId="058C04EE"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3FD1675F" w14:textId="62608D30"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677344C6"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79AB661E" w14:textId="43B5B400"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t>Tramo 2: Informe de avance de la implementación de nueva Carta Orgánica del BNF presentado.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3F799918" w14:textId="4D3DBC64"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Informe presentado</w:t>
            </w:r>
          </w:p>
        </w:tc>
        <w:tc>
          <w:tcPr>
            <w:tcW w:w="782" w:type="dxa"/>
            <w:tcBorders>
              <w:top w:val="single" w:sz="4" w:space="0" w:color="000000"/>
              <w:left w:val="single" w:sz="4" w:space="0" w:color="000000"/>
              <w:bottom w:val="single" w:sz="4" w:space="0" w:color="000000"/>
              <w:right w:val="single" w:sz="4" w:space="0" w:color="000000"/>
            </w:tcBorders>
            <w:vAlign w:val="center"/>
          </w:tcPr>
          <w:p w14:paraId="36F2F26E" w14:textId="5C786391"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14B2F18" w14:textId="00C96CC8"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5C5A69FC" w14:textId="75B4858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13A0C037" w14:textId="2973EE54"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18FAC564" w14:textId="77777777" w:rsidR="00C2458F" w:rsidRPr="00AE7D09" w:rsidRDefault="00C2458F" w:rsidP="00C2458F">
            <w:pPr>
              <w:spacing w:before="120" w:after="120" w:line="240" w:lineRule="auto"/>
              <w:jc w:val="center"/>
              <w:rPr>
                <w:rFonts w:ascii="Arial" w:hAnsi="Arial" w:cs="Arial"/>
                <w:sz w:val="18"/>
                <w:szCs w:val="18"/>
                <w:lang w:val="es-ES_tradnl"/>
              </w:rPr>
            </w:pPr>
          </w:p>
        </w:tc>
      </w:tr>
      <w:tr w:rsidR="005E6E2F" w:rsidRPr="00D45253" w14:paraId="31DD1A98" w14:textId="77777777" w:rsidTr="00EA60CD">
        <w:trPr>
          <w:trHeight w:val="242"/>
        </w:trPr>
        <w:tc>
          <w:tcPr>
            <w:tcW w:w="13320" w:type="dxa"/>
            <w:gridSpan w:val="7"/>
            <w:tcBorders>
              <w:top w:val="single" w:sz="4" w:space="0" w:color="000000"/>
              <w:left w:val="single" w:sz="4" w:space="0" w:color="000000"/>
              <w:bottom w:val="single" w:sz="4" w:space="0" w:color="000000"/>
              <w:right w:val="single" w:sz="4" w:space="0" w:color="000000"/>
            </w:tcBorders>
            <w:vAlign w:val="center"/>
          </w:tcPr>
          <w:p w14:paraId="5BD26798" w14:textId="42AC2D5C" w:rsidR="005E6E2F" w:rsidRPr="00AE7D09" w:rsidRDefault="005E6E2F" w:rsidP="005E6E2F">
            <w:pPr>
              <w:numPr>
                <w:ilvl w:val="0"/>
                <w:numId w:val="20"/>
              </w:numPr>
              <w:spacing w:before="120" w:after="120" w:line="240" w:lineRule="auto"/>
              <w:rPr>
                <w:rFonts w:ascii="Arial" w:hAnsi="Arial"/>
                <w:b/>
                <w:sz w:val="20"/>
                <w:lang w:val="es-ES_tradnl"/>
              </w:rPr>
            </w:pPr>
            <w:r w:rsidRPr="00AE7D09">
              <w:rPr>
                <w:rFonts w:ascii="Arial" w:hAnsi="Arial"/>
                <w:b/>
                <w:sz w:val="20"/>
                <w:lang w:val="es-ES_tradnl"/>
              </w:rPr>
              <w:t>Fortalecimiento de las instituciones para préstamos a PYME y nuevos emprendimientos</w:t>
            </w:r>
          </w:p>
        </w:tc>
      </w:tr>
      <w:tr w:rsidR="00C2458F" w:rsidRPr="00D45253" w14:paraId="283A7320"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6C20EC9A" w14:textId="481E1A4E" w:rsidR="00C2458F" w:rsidRPr="00AE7D09" w:rsidRDefault="00C2458F" w:rsidP="00C2458F">
            <w:pPr>
              <w:spacing w:before="120" w:after="120" w:line="240" w:lineRule="auto"/>
              <w:contextualSpacing/>
              <w:rPr>
                <w:rFonts w:ascii="Arial" w:hAnsi="Arial" w:cs="Arial"/>
                <w:sz w:val="18"/>
                <w:szCs w:val="18"/>
                <w:lang w:val="es-ES_tradnl"/>
              </w:rPr>
            </w:pPr>
            <w:bookmarkStart w:id="1" w:name="_Hlk488941966"/>
            <w:r w:rsidRPr="00AE7D09">
              <w:rPr>
                <w:rFonts w:ascii="Arial" w:hAnsi="Arial" w:cs="Arial"/>
                <w:sz w:val="18"/>
                <w:szCs w:val="18"/>
                <w:lang w:val="es-ES_tradnl"/>
              </w:rPr>
              <w:t>Tramo 1: Ley que establece el Fondo de garantía para financiamiento a MiPyME y su reglamentación</w:t>
            </w:r>
            <w:bookmarkEnd w:id="1"/>
            <w:r w:rsidRPr="00AE7D09">
              <w:rPr>
                <w:rFonts w:ascii="Arial" w:hAnsi="Arial" w:cs="Arial"/>
                <w:sz w:val="18"/>
                <w:szCs w:val="18"/>
                <w:lang w:val="es-ES_tradnl"/>
              </w:rPr>
              <w:t xml:space="preserve"> promulgada y publicada.</w:t>
            </w:r>
          </w:p>
        </w:tc>
        <w:tc>
          <w:tcPr>
            <w:tcW w:w="1530" w:type="dxa"/>
            <w:tcBorders>
              <w:top w:val="single" w:sz="4" w:space="0" w:color="000000"/>
              <w:left w:val="single" w:sz="4" w:space="0" w:color="000000"/>
              <w:bottom w:val="single" w:sz="4" w:space="0" w:color="000000"/>
              <w:right w:val="single" w:sz="4" w:space="0" w:color="000000"/>
            </w:tcBorders>
            <w:vAlign w:val="center"/>
          </w:tcPr>
          <w:p w14:paraId="4621CA74" w14:textId="60501AEA"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Ley y reglamentación publicadas</w:t>
            </w:r>
          </w:p>
        </w:tc>
        <w:tc>
          <w:tcPr>
            <w:tcW w:w="782" w:type="dxa"/>
            <w:tcBorders>
              <w:top w:val="single" w:sz="4" w:space="0" w:color="000000"/>
              <w:left w:val="single" w:sz="4" w:space="0" w:color="000000"/>
              <w:bottom w:val="single" w:sz="4" w:space="0" w:color="000000"/>
              <w:right w:val="single" w:sz="4" w:space="0" w:color="000000"/>
            </w:tcBorders>
            <w:vAlign w:val="center"/>
          </w:tcPr>
          <w:p w14:paraId="19609D62"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2A8278E4" w14:textId="3BD7E672"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6A6496D2"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2FFAE7E2" w14:textId="77777777"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479E8AAA" w14:textId="50CE18F6" w:rsidR="00C2458F" w:rsidRPr="00AE7D09" w:rsidRDefault="00C2458F" w:rsidP="00C2458F">
            <w:pPr>
              <w:spacing w:before="120" w:after="120" w:line="240" w:lineRule="auto"/>
              <w:jc w:val="center"/>
              <w:rPr>
                <w:rFonts w:ascii="Arial" w:hAnsi="Arial" w:cs="Arial"/>
                <w:sz w:val="18"/>
                <w:szCs w:val="18"/>
                <w:lang w:val="es-ES_tradnl"/>
              </w:rPr>
            </w:pPr>
          </w:p>
        </w:tc>
      </w:tr>
      <w:tr w:rsidR="00C2458F" w:rsidRPr="00D45253" w14:paraId="7BFC30DE" w14:textId="77777777" w:rsidTr="00045BBB">
        <w:trPr>
          <w:trHeight w:val="242"/>
        </w:trPr>
        <w:tc>
          <w:tcPr>
            <w:tcW w:w="4230" w:type="dxa"/>
            <w:tcBorders>
              <w:top w:val="single" w:sz="4" w:space="0" w:color="000000"/>
              <w:left w:val="single" w:sz="4" w:space="0" w:color="000000"/>
              <w:bottom w:val="single" w:sz="4" w:space="0" w:color="000000"/>
              <w:right w:val="single" w:sz="4" w:space="0" w:color="000000"/>
            </w:tcBorders>
            <w:vAlign w:val="center"/>
          </w:tcPr>
          <w:p w14:paraId="483F9C15" w14:textId="0F3DA6BC" w:rsidR="00C2458F" w:rsidRPr="00AE7D09" w:rsidRDefault="00C2458F" w:rsidP="00C2458F">
            <w:pPr>
              <w:spacing w:before="120" w:after="120" w:line="240" w:lineRule="auto"/>
              <w:contextualSpacing/>
              <w:rPr>
                <w:rFonts w:ascii="Arial" w:hAnsi="Arial" w:cs="Arial"/>
                <w:sz w:val="18"/>
                <w:szCs w:val="18"/>
                <w:lang w:val="es-ES_tradnl"/>
              </w:rPr>
            </w:pPr>
            <w:r w:rsidRPr="00AE7D09">
              <w:rPr>
                <w:rFonts w:ascii="Arial" w:hAnsi="Arial" w:cs="Arial"/>
                <w:sz w:val="18"/>
                <w:szCs w:val="18"/>
                <w:lang w:val="es-ES_tradnl"/>
              </w:rPr>
              <w:lastRenderedPageBreak/>
              <w:t>Tramo 2: Fondo de garantía para financiamiento a MiPyME en vigor.</w:t>
            </w:r>
          </w:p>
        </w:tc>
        <w:tc>
          <w:tcPr>
            <w:tcW w:w="1530" w:type="dxa"/>
            <w:tcBorders>
              <w:top w:val="single" w:sz="4" w:space="0" w:color="000000"/>
              <w:left w:val="single" w:sz="4" w:space="0" w:color="000000"/>
              <w:bottom w:val="single" w:sz="4" w:space="0" w:color="000000"/>
              <w:right w:val="single" w:sz="4" w:space="0" w:color="000000"/>
            </w:tcBorders>
            <w:vAlign w:val="center"/>
          </w:tcPr>
          <w:p w14:paraId="4B53A0AE" w14:textId="0D8CB51B"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Informe de AFD emitido</w:t>
            </w:r>
          </w:p>
        </w:tc>
        <w:tc>
          <w:tcPr>
            <w:tcW w:w="782" w:type="dxa"/>
            <w:tcBorders>
              <w:top w:val="single" w:sz="4" w:space="0" w:color="000000"/>
              <w:left w:val="single" w:sz="4" w:space="0" w:color="000000"/>
              <w:bottom w:val="single" w:sz="4" w:space="0" w:color="000000"/>
              <w:right w:val="single" w:sz="4" w:space="0" w:color="000000"/>
            </w:tcBorders>
            <w:vAlign w:val="center"/>
          </w:tcPr>
          <w:p w14:paraId="6247FEE3" w14:textId="3ADBDC45"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0</w:t>
            </w:r>
          </w:p>
        </w:tc>
        <w:tc>
          <w:tcPr>
            <w:tcW w:w="797" w:type="dxa"/>
            <w:tcBorders>
              <w:top w:val="single" w:sz="4" w:space="0" w:color="000000"/>
              <w:left w:val="single" w:sz="4" w:space="0" w:color="000000"/>
              <w:bottom w:val="single" w:sz="4" w:space="0" w:color="000000"/>
              <w:right w:val="single" w:sz="4" w:space="0" w:color="000000"/>
            </w:tcBorders>
            <w:vAlign w:val="center"/>
          </w:tcPr>
          <w:p w14:paraId="7F0A35D5" w14:textId="64B0814C"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2016</w:t>
            </w:r>
          </w:p>
        </w:tc>
        <w:tc>
          <w:tcPr>
            <w:tcW w:w="840" w:type="dxa"/>
            <w:tcBorders>
              <w:top w:val="single" w:sz="4" w:space="0" w:color="000000"/>
              <w:left w:val="single" w:sz="4" w:space="0" w:color="000000"/>
              <w:bottom w:val="single" w:sz="4" w:space="0" w:color="000000"/>
              <w:right w:val="single" w:sz="4" w:space="0" w:color="000000"/>
            </w:tcBorders>
            <w:vAlign w:val="center"/>
          </w:tcPr>
          <w:p w14:paraId="45C037BF" w14:textId="0D88DBD2"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1</w:t>
            </w:r>
          </w:p>
        </w:tc>
        <w:tc>
          <w:tcPr>
            <w:tcW w:w="1589" w:type="dxa"/>
            <w:tcBorders>
              <w:top w:val="single" w:sz="4" w:space="0" w:color="000000"/>
              <w:left w:val="single" w:sz="4" w:space="0" w:color="000000"/>
              <w:bottom w:val="single" w:sz="4" w:space="0" w:color="000000"/>
              <w:right w:val="single" w:sz="4" w:space="0" w:color="000000"/>
            </w:tcBorders>
            <w:vAlign w:val="center"/>
          </w:tcPr>
          <w:p w14:paraId="7A276E87" w14:textId="5665CCE5" w:rsidR="00C2458F" w:rsidRPr="00AE7D09" w:rsidRDefault="00C2458F" w:rsidP="00C2458F">
            <w:pPr>
              <w:spacing w:before="120" w:after="120" w:line="240" w:lineRule="auto"/>
              <w:jc w:val="center"/>
              <w:rPr>
                <w:rFonts w:ascii="Arial" w:hAnsi="Arial" w:cs="Arial"/>
                <w:sz w:val="18"/>
                <w:szCs w:val="18"/>
                <w:lang w:val="es-ES_tradnl"/>
              </w:rPr>
            </w:pPr>
            <w:r w:rsidRPr="00AE7D09">
              <w:rPr>
                <w:rFonts w:ascii="Arial" w:hAnsi="Arial" w:cs="Arial"/>
                <w:sz w:val="18"/>
                <w:szCs w:val="18"/>
                <w:lang w:val="es-ES_tradnl"/>
              </w:rPr>
              <w:t>Ver Matriz de Medios de Verificación</w:t>
            </w:r>
          </w:p>
        </w:tc>
        <w:tc>
          <w:tcPr>
            <w:tcW w:w="3552" w:type="dxa"/>
            <w:tcBorders>
              <w:top w:val="single" w:sz="4" w:space="0" w:color="000000"/>
              <w:left w:val="single" w:sz="4" w:space="0" w:color="000000"/>
              <w:bottom w:val="single" w:sz="4" w:space="0" w:color="000000"/>
              <w:right w:val="single" w:sz="4" w:space="0" w:color="000000"/>
            </w:tcBorders>
            <w:vAlign w:val="center"/>
          </w:tcPr>
          <w:p w14:paraId="55C83092" w14:textId="77777777" w:rsidR="00C2458F" w:rsidRPr="00AE7D09" w:rsidRDefault="00C2458F" w:rsidP="00C2458F">
            <w:pPr>
              <w:spacing w:before="120" w:after="120" w:line="240" w:lineRule="auto"/>
              <w:jc w:val="center"/>
              <w:rPr>
                <w:rFonts w:ascii="Arial" w:hAnsi="Arial" w:cs="Arial"/>
                <w:sz w:val="18"/>
                <w:szCs w:val="18"/>
                <w:lang w:val="es-ES_tradnl"/>
              </w:rPr>
            </w:pPr>
          </w:p>
        </w:tc>
      </w:tr>
    </w:tbl>
    <w:p w14:paraId="3022EC6E" w14:textId="77777777" w:rsidR="00955D6B" w:rsidRPr="00AE7D09" w:rsidRDefault="00955D6B" w:rsidP="00247153">
      <w:pPr>
        <w:autoSpaceDE w:val="0"/>
        <w:autoSpaceDN w:val="0"/>
        <w:adjustRightInd w:val="0"/>
        <w:spacing w:after="120" w:line="240" w:lineRule="auto"/>
        <w:jc w:val="center"/>
        <w:rPr>
          <w:rFonts w:ascii="Arial" w:hAnsi="Arial" w:cs="Arial"/>
          <w:sz w:val="20"/>
          <w:szCs w:val="20"/>
          <w:lang w:val="es-ES_tradnl"/>
        </w:rPr>
      </w:pPr>
    </w:p>
    <w:sectPr w:rsidR="00955D6B" w:rsidRPr="00AE7D09" w:rsidSect="00533416">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68595" w14:textId="77777777" w:rsidR="00460FF4" w:rsidRDefault="00460FF4" w:rsidP="007B6ECD">
      <w:pPr>
        <w:spacing w:after="0" w:line="240" w:lineRule="auto"/>
      </w:pPr>
      <w:r>
        <w:separator/>
      </w:r>
    </w:p>
  </w:endnote>
  <w:endnote w:type="continuationSeparator" w:id="0">
    <w:p w14:paraId="48440301" w14:textId="77777777" w:rsidR="00460FF4" w:rsidRDefault="00460FF4" w:rsidP="007B6ECD">
      <w:pPr>
        <w:spacing w:after="0" w:line="240" w:lineRule="auto"/>
      </w:pPr>
      <w:r>
        <w:continuationSeparator/>
      </w:r>
    </w:p>
  </w:endnote>
  <w:endnote w:type="continuationNotice" w:id="1">
    <w:p w14:paraId="0B17F256" w14:textId="77777777" w:rsidR="00460FF4" w:rsidRDefault="00460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9FE2C" w14:textId="77777777" w:rsidR="00B637B1" w:rsidRDefault="00B63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9143" w14:textId="77777777" w:rsidR="00B637B1" w:rsidRDefault="00B637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27056" w14:textId="77777777" w:rsidR="00B637B1" w:rsidRDefault="00B63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F16AC" w14:textId="77777777" w:rsidR="00460FF4" w:rsidRDefault="00460FF4" w:rsidP="007B6ECD">
      <w:pPr>
        <w:spacing w:after="0" w:line="240" w:lineRule="auto"/>
      </w:pPr>
      <w:r>
        <w:separator/>
      </w:r>
    </w:p>
  </w:footnote>
  <w:footnote w:type="continuationSeparator" w:id="0">
    <w:p w14:paraId="0248E70D" w14:textId="77777777" w:rsidR="00460FF4" w:rsidRDefault="00460FF4" w:rsidP="007B6ECD">
      <w:pPr>
        <w:spacing w:after="0" w:line="240" w:lineRule="auto"/>
      </w:pPr>
      <w:r>
        <w:continuationSeparator/>
      </w:r>
    </w:p>
  </w:footnote>
  <w:footnote w:type="continuationNotice" w:id="1">
    <w:p w14:paraId="14CD0C71" w14:textId="77777777" w:rsidR="00460FF4" w:rsidRDefault="00460FF4">
      <w:pPr>
        <w:spacing w:after="0" w:line="240" w:lineRule="auto"/>
      </w:pPr>
    </w:p>
  </w:footnote>
  <w:footnote w:id="2">
    <w:p w14:paraId="2034DA12" w14:textId="503C271C" w:rsidR="00A35221" w:rsidRPr="00AE7D09" w:rsidRDefault="00A35221" w:rsidP="00AE7D09">
      <w:pPr>
        <w:pStyle w:val="FootnoteText"/>
        <w:ind w:left="270" w:hanging="270"/>
        <w:jc w:val="both"/>
        <w:rPr>
          <w:rFonts w:ascii="Arial" w:hAnsi="Arial" w:cs="Arial"/>
          <w:sz w:val="18"/>
          <w:szCs w:val="18"/>
          <w:lang w:val="es-ES_tradnl"/>
        </w:rPr>
      </w:pPr>
      <w:r w:rsidRPr="00AE7D09">
        <w:rPr>
          <w:rStyle w:val="FootnoteReference"/>
          <w:rFonts w:ascii="Arial" w:hAnsi="Arial" w:cs="Arial"/>
          <w:sz w:val="18"/>
          <w:szCs w:val="18"/>
        </w:rPr>
        <w:footnoteRef/>
      </w:r>
      <w:r w:rsidRPr="00AE7D09">
        <w:rPr>
          <w:rFonts w:ascii="Arial" w:hAnsi="Arial" w:cs="Arial"/>
          <w:sz w:val="18"/>
          <w:szCs w:val="18"/>
        </w:rPr>
        <w:t xml:space="preserve"> </w:t>
      </w:r>
      <w:r w:rsidR="003D1D61">
        <w:rPr>
          <w:rFonts w:ascii="Arial" w:hAnsi="Arial" w:cs="Arial"/>
          <w:sz w:val="18"/>
          <w:szCs w:val="18"/>
        </w:rPr>
        <w:t>   </w:t>
      </w:r>
      <w:r w:rsidR="00EE65EB" w:rsidRPr="00AE7D09">
        <w:rPr>
          <w:rFonts w:ascii="Arial" w:hAnsi="Arial" w:cs="Arial"/>
          <w:sz w:val="18"/>
          <w:szCs w:val="18"/>
          <w:lang w:val="es-ES_tradnl"/>
        </w:rPr>
        <w:t>El año meta se ha establecido en función del año en el cual se deberá preparar el Informe de Terminación de Proyecto (PCR), de acuerdo con los lineamientos internos del BID aplicables a operaciones del tipo PBL. No obstante, se considera que los resultados seguirán materializándose más allá de los valores esperados para el año 2020. Se hará un esfuerzo por seguir monitoreándolos para años posteriores.</w:t>
      </w:r>
    </w:p>
  </w:footnote>
  <w:footnote w:id="3">
    <w:p w14:paraId="294ACA61" w14:textId="5AF74431" w:rsidR="00C2458F" w:rsidRPr="00AE7D09" w:rsidRDefault="00C2458F">
      <w:pPr>
        <w:pStyle w:val="FootnoteText"/>
        <w:rPr>
          <w:lang w:val="es-ES_tradnl"/>
        </w:rPr>
      </w:pPr>
      <w:r>
        <w:rPr>
          <w:rStyle w:val="FootnoteReference"/>
        </w:rPr>
        <w:footnoteRef/>
      </w:r>
      <w:r>
        <w:t xml:space="preserve"> </w:t>
      </w:r>
      <w:r>
        <w:rPr>
          <w:lang w:val="es-ES_tradnl"/>
        </w:rPr>
        <w:t>Se estableció el año base como 2016 debido a que algunos productos se cumplirán el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EF5AB" w14:textId="108D519D" w:rsidR="00EA60CD" w:rsidRPr="00205AC6" w:rsidRDefault="00EA60CD" w:rsidP="00604287">
    <w:pPr>
      <w:pStyle w:val="Header"/>
      <w:rPr>
        <w:rFonts w:ascii="Arial" w:hAnsi="Arial" w:cs="Arial"/>
        <w:sz w:val="18"/>
        <w:szCs w:val="20"/>
        <w:lang w:val="pt-BR"/>
      </w:rPr>
    </w:pPr>
    <w:r w:rsidRPr="00205AC6">
      <w:rPr>
        <w:rFonts w:ascii="Arial" w:hAnsi="Arial" w:cs="Arial"/>
        <w:sz w:val="18"/>
        <w:szCs w:val="20"/>
        <w:lang w:val="pt-BR"/>
      </w:rPr>
      <w:t xml:space="preserve">Anexo II – </w:t>
    </w:r>
    <w:r>
      <w:rPr>
        <w:rFonts w:ascii="Arial" w:hAnsi="Arial" w:cs="Arial"/>
        <w:sz w:val="18"/>
        <w:szCs w:val="20"/>
        <w:lang w:val="pt-BR"/>
      </w:rPr>
      <w:t>PR</w:t>
    </w:r>
    <w:r w:rsidRPr="00205AC6">
      <w:rPr>
        <w:rFonts w:ascii="Arial" w:hAnsi="Arial" w:cs="Arial"/>
        <w:sz w:val="18"/>
        <w:szCs w:val="20"/>
        <w:lang w:val="pt-BR"/>
      </w:rPr>
      <w:t>-</w:t>
    </w:r>
    <w:r>
      <w:rPr>
        <w:rFonts w:ascii="Arial" w:hAnsi="Arial" w:cs="Arial"/>
        <w:sz w:val="18"/>
        <w:szCs w:val="20"/>
        <w:lang w:val="pt-BR"/>
      </w:rPr>
      <w:t>L1144</w:t>
    </w:r>
  </w:p>
  <w:p w14:paraId="1D637DF6" w14:textId="5B205837" w:rsidR="00EA60CD" w:rsidRPr="00205AC6" w:rsidRDefault="00EA60CD" w:rsidP="00604287">
    <w:pPr>
      <w:pStyle w:val="Header"/>
      <w:spacing w:after="120"/>
      <w:rPr>
        <w:rFonts w:ascii="Arial" w:hAnsi="Arial" w:cs="Arial"/>
        <w:sz w:val="18"/>
        <w:lang w:val="pt-BR"/>
      </w:rPr>
    </w:pPr>
    <w:r w:rsidRPr="00205AC6">
      <w:rPr>
        <w:rFonts w:ascii="Arial" w:hAnsi="Arial" w:cs="Arial"/>
        <w:sz w:val="18"/>
        <w:szCs w:val="20"/>
        <w:lang w:val="pt-BR"/>
      </w:rPr>
      <w:t xml:space="preserve">Página </w:t>
    </w:r>
    <w:r w:rsidRPr="00302181">
      <w:rPr>
        <w:rFonts w:ascii="Arial" w:hAnsi="Arial" w:cs="Arial"/>
        <w:sz w:val="18"/>
        <w:szCs w:val="20"/>
      </w:rPr>
      <w:fldChar w:fldCharType="begin"/>
    </w:r>
    <w:r w:rsidRPr="00205AC6">
      <w:rPr>
        <w:rFonts w:ascii="Arial" w:hAnsi="Arial" w:cs="Arial"/>
        <w:sz w:val="18"/>
        <w:szCs w:val="20"/>
        <w:lang w:val="pt-BR"/>
      </w:rPr>
      <w:instrText xml:space="preserve"> PAGE </w:instrText>
    </w:r>
    <w:r w:rsidRPr="00302181">
      <w:rPr>
        <w:rFonts w:ascii="Arial" w:hAnsi="Arial" w:cs="Arial"/>
        <w:sz w:val="18"/>
        <w:szCs w:val="20"/>
      </w:rPr>
      <w:fldChar w:fldCharType="separate"/>
    </w:r>
    <w:r>
      <w:rPr>
        <w:rFonts w:ascii="Arial" w:hAnsi="Arial" w:cs="Arial"/>
        <w:noProof/>
        <w:sz w:val="18"/>
        <w:szCs w:val="20"/>
        <w:lang w:val="pt-BR"/>
      </w:rPr>
      <w:t>2</w:t>
    </w:r>
    <w:r w:rsidRPr="00302181">
      <w:rPr>
        <w:rFonts w:ascii="Arial" w:hAnsi="Arial" w:cs="Arial"/>
        <w:sz w:val="18"/>
        <w:szCs w:val="20"/>
      </w:rPr>
      <w:fldChar w:fldCharType="end"/>
    </w:r>
    <w:r w:rsidRPr="00205AC6">
      <w:rPr>
        <w:rFonts w:ascii="Arial" w:hAnsi="Arial" w:cs="Arial"/>
        <w:sz w:val="18"/>
        <w:szCs w:val="20"/>
        <w:lang w:val="pt-BR"/>
      </w:rPr>
      <w:t xml:space="preserve"> de </w:t>
    </w:r>
    <w:r w:rsidRPr="007205D0">
      <w:rPr>
        <w:rFonts w:ascii="Arial" w:hAnsi="Arial" w:cs="Arial"/>
        <w:sz w:val="18"/>
        <w:szCs w:val="20"/>
        <w:lang w:val="pt-B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C6351" w14:textId="75FEC1F8" w:rsidR="00EA60CD" w:rsidRPr="00533416" w:rsidRDefault="00EA60CD">
    <w:pPr>
      <w:pStyle w:val="Header"/>
      <w:jc w:val="right"/>
      <w:rPr>
        <w:rFonts w:ascii="Arial" w:hAnsi="Arial" w:cs="Arial"/>
        <w:sz w:val="18"/>
        <w:szCs w:val="18"/>
        <w:lang w:val="pt-BR"/>
      </w:rPr>
    </w:pPr>
    <w:r w:rsidRPr="00533416">
      <w:rPr>
        <w:rFonts w:ascii="Arial" w:hAnsi="Arial" w:cs="Arial"/>
        <w:sz w:val="18"/>
        <w:szCs w:val="18"/>
        <w:lang w:val="pt-BR"/>
      </w:rPr>
      <w:t>PR-L1144</w:t>
    </w:r>
  </w:p>
  <w:p w14:paraId="05DD5A85" w14:textId="675C178A" w:rsidR="00EA60CD" w:rsidRPr="005E6E2F" w:rsidRDefault="00460FF4" w:rsidP="00533416">
    <w:pPr>
      <w:pStyle w:val="Header"/>
      <w:jc w:val="right"/>
      <w:rPr>
        <w:rFonts w:ascii="Arial" w:hAnsi="Arial" w:cs="Arial"/>
        <w:sz w:val="18"/>
        <w:szCs w:val="18"/>
        <w:lang w:val="pt-BR"/>
      </w:rPr>
    </w:pPr>
    <w:sdt>
      <w:sdtPr>
        <w:rPr>
          <w:rFonts w:ascii="Arial" w:hAnsi="Arial" w:cs="Arial"/>
          <w:sz w:val="18"/>
          <w:szCs w:val="18"/>
        </w:rPr>
        <w:id w:val="-1318336367"/>
        <w:docPartObj>
          <w:docPartGallery w:val="Page Numbers (Top of Page)"/>
          <w:docPartUnique/>
        </w:docPartObj>
      </w:sdtPr>
      <w:sdtEndPr/>
      <w:sdtContent>
        <w:r w:rsidR="00EA60CD" w:rsidRPr="00533416">
          <w:rPr>
            <w:rFonts w:ascii="Arial" w:hAnsi="Arial" w:cs="Arial"/>
            <w:sz w:val="18"/>
            <w:szCs w:val="18"/>
            <w:lang w:val="pt-BR"/>
          </w:rPr>
          <w:t xml:space="preserve">Página </w:t>
        </w:r>
        <w:r w:rsidR="00EA60CD" w:rsidRPr="00533416">
          <w:rPr>
            <w:rFonts w:ascii="Arial" w:hAnsi="Arial" w:cs="Arial"/>
            <w:bCs/>
            <w:sz w:val="18"/>
            <w:szCs w:val="18"/>
          </w:rPr>
          <w:fldChar w:fldCharType="begin"/>
        </w:r>
        <w:r w:rsidR="00EA60CD" w:rsidRPr="00533416">
          <w:rPr>
            <w:rFonts w:ascii="Arial" w:hAnsi="Arial" w:cs="Arial"/>
            <w:bCs/>
            <w:sz w:val="18"/>
            <w:szCs w:val="18"/>
            <w:lang w:val="pt-BR"/>
          </w:rPr>
          <w:instrText xml:space="preserve"> PAGE </w:instrText>
        </w:r>
        <w:r w:rsidR="00EA60CD" w:rsidRPr="00533416">
          <w:rPr>
            <w:rFonts w:ascii="Arial" w:hAnsi="Arial" w:cs="Arial"/>
            <w:bCs/>
            <w:sz w:val="18"/>
            <w:szCs w:val="18"/>
          </w:rPr>
          <w:fldChar w:fldCharType="separate"/>
        </w:r>
        <w:r w:rsidR="00D45253">
          <w:rPr>
            <w:rFonts w:ascii="Arial" w:hAnsi="Arial" w:cs="Arial"/>
            <w:bCs/>
            <w:noProof/>
            <w:sz w:val="18"/>
            <w:szCs w:val="18"/>
            <w:lang w:val="pt-BR"/>
          </w:rPr>
          <w:t>4</w:t>
        </w:r>
        <w:r w:rsidR="00EA60CD" w:rsidRPr="00533416">
          <w:rPr>
            <w:rFonts w:ascii="Arial" w:hAnsi="Arial" w:cs="Arial"/>
            <w:bCs/>
            <w:sz w:val="18"/>
            <w:szCs w:val="18"/>
          </w:rPr>
          <w:fldChar w:fldCharType="end"/>
        </w:r>
        <w:r w:rsidR="00EA60CD" w:rsidRPr="00533416">
          <w:rPr>
            <w:rFonts w:ascii="Arial" w:hAnsi="Arial" w:cs="Arial"/>
            <w:sz w:val="18"/>
            <w:szCs w:val="18"/>
            <w:lang w:val="pt-BR"/>
          </w:rPr>
          <w:t xml:space="preserve"> de </w:t>
        </w:r>
        <w:r w:rsidR="00EA60CD" w:rsidRPr="00533416">
          <w:rPr>
            <w:rFonts w:ascii="Arial" w:hAnsi="Arial" w:cs="Arial"/>
            <w:bCs/>
            <w:sz w:val="18"/>
            <w:szCs w:val="18"/>
          </w:rPr>
          <w:fldChar w:fldCharType="begin"/>
        </w:r>
        <w:r w:rsidR="00EA60CD" w:rsidRPr="00533416">
          <w:rPr>
            <w:rFonts w:ascii="Arial" w:hAnsi="Arial" w:cs="Arial"/>
            <w:bCs/>
            <w:sz w:val="18"/>
            <w:szCs w:val="18"/>
            <w:lang w:val="pt-BR"/>
          </w:rPr>
          <w:instrText xml:space="preserve"> NUMPAGES  </w:instrText>
        </w:r>
        <w:r w:rsidR="00EA60CD" w:rsidRPr="00533416">
          <w:rPr>
            <w:rFonts w:ascii="Arial" w:hAnsi="Arial" w:cs="Arial"/>
            <w:bCs/>
            <w:sz w:val="18"/>
            <w:szCs w:val="18"/>
          </w:rPr>
          <w:fldChar w:fldCharType="separate"/>
        </w:r>
        <w:r w:rsidR="00D45253">
          <w:rPr>
            <w:rFonts w:ascii="Arial" w:hAnsi="Arial" w:cs="Arial"/>
            <w:bCs/>
            <w:noProof/>
            <w:sz w:val="18"/>
            <w:szCs w:val="18"/>
            <w:lang w:val="pt-BR"/>
          </w:rPr>
          <w:t>6</w:t>
        </w:r>
        <w:r w:rsidR="00EA60CD" w:rsidRPr="00533416">
          <w:rPr>
            <w:rFonts w:ascii="Arial" w:hAnsi="Arial" w:cs="Arial"/>
            <w:bCs/>
            <w:sz w:val="18"/>
            <w:szCs w:val="18"/>
          </w:rPr>
          <w:fldChar w:fldCharType="end"/>
        </w:r>
      </w:sdtContent>
    </w:sdt>
  </w:p>
  <w:p w14:paraId="1F5ACC34" w14:textId="77777777" w:rsidR="00EA60CD" w:rsidRPr="00533416" w:rsidRDefault="00EA60CD" w:rsidP="00533416">
    <w:pPr>
      <w:pStyle w:val="Header"/>
      <w:jc w:val="right"/>
      <w:rPr>
        <w:rFonts w:ascii="Arial" w:hAnsi="Arial" w:cs="Arial"/>
        <w:sz w:val="18"/>
        <w:szCs w:val="18"/>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755C3" w14:textId="77777777" w:rsidR="00B637B1" w:rsidRDefault="00B637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4904E7A"/>
    <w:multiLevelType w:val="hybridMultilevel"/>
    <w:tmpl w:val="15C227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5"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7E13BC6"/>
    <w:multiLevelType w:val="hybridMultilevel"/>
    <w:tmpl w:val="10A882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5"/>
  </w:num>
  <w:num w:numId="3">
    <w:abstractNumId w:val="9"/>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2"/>
  </w:num>
  <w:num w:numId="13">
    <w:abstractNumId w:val="15"/>
  </w:num>
  <w:num w:numId="14">
    <w:abstractNumId w:val="11"/>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3"/>
  </w:num>
  <w:num w:numId="17">
    <w:abstractNumId w:val="0"/>
  </w:num>
  <w:num w:numId="18">
    <w:abstractNumId w:val="16"/>
  </w:num>
  <w:num w:numId="19">
    <w:abstractNumId w:val="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59"/>
    <w:rsid w:val="00000A82"/>
    <w:rsid w:val="00002FBE"/>
    <w:rsid w:val="00005605"/>
    <w:rsid w:val="000065B4"/>
    <w:rsid w:val="00007303"/>
    <w:rsid w:val="00016F82"/>
    <w:rsid w:val="0002055E"/>
    <w:rsid w:val="00022A27"/>
    <w:rsid w:val="00023C48"/>
    <w:rsid w:val="0002526D"/>
    <w:rsid w:val="00026183"/>
    <w:rsid w:val="00035ED9"/>
    <w:rsid w:val="0004302D"/>
    <w:rsid w:val="00045BBB"/>
    <w:rsid w:val="00051DF2"/>
    <w:rsid w:val="00056F4C"/>
    <w:rsid w:val="00060AE9"/>
    <w:rsid w:val="0006189B"/>
    <w:rsid w:val="000660DE"/>
    <w:rsid w:val="000701B1"/>
    <w:rsid w:val="000751B3"/>
    <w:rsid w:val="00080701"/>
    <w:rsid w:val="00086642"/>
    <w:rsid w:val="000A2132"/>
    <w:rsid w:val="000A3AE2"/>
    <w:rsid w:val="000A55DE"/>
    <w:rsid w:val="000B219E"/>
    <w:rsid w:val="000B254C"/>
    <w:rsid w:val="000B4FB5"/>
    <w:rsid w:val="000B7EC5"/>
    <w:rsid w:val="000C0515"/>
    <w:rsid w:val="000C0BBC"/>
    <w:rsid w:val="000C128D"/>
    <w:rsid w:val="000C7352"/>
    <w:rsid w:val="000E5438"/>
    <w:rsid w:val="000F44DF"/>
    <w:rsid w:val="000F5D84"/>
    <w:rsid w:val="00110E29"/>
    <w:rsid w:val="00111FF8"/>
    <w:rsid w:val="001139F5"/>
    <w:rsid w:val="00113B4A"/>
    <w:rsid w:val="0011501A"/>
    <w:rsid w:val="00115379"/>
    <w:rsid w:val="001153A2"/>
    <w:rsid w:val="00117A23"/>
    <w:rsid w:val="00121C5B"/>
    <w:rsid w:val="00124D48"/>
    <w:rsid w:val="0012516F"/>
    <w:rsid w:val="0012767D"/>
    <w:rsid w:val="00127CA3"/>
    <w:rsid w:val="00134095"/>
    <w:rsid w:val="00135F64"/>
    <w:rsid w:val="0014088A"/>
    <w:rsid w:val="00143BD3"/>
    <w:rsid w:val="00143CAC"/>
    <w:rsid w:val="00147E61"/>
    <w:rsid w:val="00150D0B"/>
    <w:rsid w:val="001516C4"/>
    <w:rsid w:val="00151BB9"/>
    <w:rsid w:val="001539B9"/>
    <w:rsid w:val="0015401A"/>
    <w:rsid w:val="00154E58"/>
    <w:rsid w:val="001556EC"/>
    <w:rsid w:val="00163C04"/>
    <w:rsid w:val="00167DD5"/>
    <w:rsid w:val="001743BB"/>
    <w:rsid w:val="001744A7"/>
    <w:rsid w:val="00175010"/>
    <w:rsid w:val="00177249"/>
    <w:rsid w:val="00180BFF"/>
    <w:rsid w:val="0018147E"/>
    <w:rsid w:val="00185F7B"/>
    <w:rsid w:val="00186711"/>
    <w:rsid w:val="00186BC2"/>
    <w:rsid w:val="00191A42"/>
    <w:rsid w:val="00192135"/>
    <w:rsid w:val="00195981"/>
    <w:rsid w:val="001A4F42"/>
    <w:rsid w:val="001A625A"/>
    <w:rsid w:val="001B4470"/>
    <w:rsid w:val="001B46BF"/>
    <w:rsid w:val="001B53CA"/>
    <w:rsid w:val="001B59EF"/>
    <w:rsid w:val="001C148F"/>
    <w:rsid w:val="001C231B"/>
    <w:rsid w:val="001C7B29"/>
    <w:rsid w:val="001D1B01"/>
    <w:rsid w:val="001D542B"/>
    <w:rsid w:val="001D5AD8"/>
    <w:rsid w:val="001E0C89"/>
    <w:rsid w:val="001E37F7"/>
    <w:rsid w:val="001E55F3"/>
    <w:rsid w:val="001E562E"/>
    <w:rsid w:val="001F5546"/>
    <w:rsid w:val="00200F83"/>
    <w:rsid w:val="002010E1"/>
    <w:rsid w:val="002017C3"/>
    <w:rsid w:val="002047F5"/>
    <w:rsid w:val="00205AC6"/>
    <w:rsid w:val="00205C50"/>
    <w:rsid w:val="0021583D"/>
    <w:rsid w:val="0022128F"/>
    <w:rsid w:val="00221E06"/>
    <w:rsid w:val="00223DB0"/>
    <w:rsid w:val="0022498F"/>
    <w:rsid w:val="0022614F"/>
    <w:rsid w:val="00232DE8"/>
    <w:rsid w:val="00233600"/>
    <w:rsid w:val="00233A74"/>
    <w:rsid w:val="00236156"/>
    <w:rsid w:val="002372D8"/>
    <w:rsid w:val="00237E31"/>
    <w:rsid w:val="00242405"/>
    <w:rsid w:val="00242B9D"/>
    <w:rsid w:val="00244778"/>
    <w:rsid w:val="00247153"/>
    <w:rsid w:val="002603B8"/>
    <w:rsid w:val="002608C9"/>
    <w:rsid w:val="00266F4D"/>
    <w:rsid w:val="00270FED"/>
    <w:rsid w:val="0027411D"/>
    <w:rsid w:val="002805D5"/>
    <w:rsid w:val="00282239"/>
    <w:rsid w:val="00284E26"/>
    <w:rsid w:val="00285D55"/>
    <w:rsid w:val="00287836"/>
    <w:rsid w:val="00291086"/>
    <w:rsid w:val="00292862"/>
    <w:rsid w:val="00294E1F"/>
    <w:rsid w:val="002952DD"/>
    <w:rsid w:val="002A2752"/>
    <w:rsid w:val="002A460D"/>
    <w:rsid w:val="002A4D3B"/>
    <w:rsid w:val="002B5CA4"/>
    <w:rsid w:val="002B6A6F"/>
    <w:rsid w:val="002C6ADB"/>
    <w:rsid w:val="002C7D1C"/>
    <w:rsid w:val="002C7FDE"/>
    <w:rsid w:val="002D154A"/>
    <w:rsid w:val="002D4722"/>
    <w:rsid w:val="002E35CB"/>
    <w:rsid w:val="002E60DE"/>
    <w:rsid w:val="002F08D6"/>
    <w:rsid w:val="002F1991"/>
    <w:rsid w:val="002F1F5B"/>
    <w:rsid w:val="002F2F27"/>
    <w:rsid w:val="002F481B"/>
    <w:rsid w:val="002F5FD4"/>
    <w:rsid w:val="002F6774"/>
    <w:rsid w:val="002F6A68"/>
    <w:rsid w:val="00300C59"/>
    <w:rsid w:val="00302181"/>
    <w:rsid w:val="00306655"/>
    <w:rsid w:val="00306AC0"/>
    <w:rsid w:val="00306D38"/>
    <w:rsid w:val="003158DF"/>
    <w:rsid w:val="00316598"/>
    <w:rsid w:val="00320CB3"/>
    <w:rsid w:val="00322141"/>
    <w:rsid w:val="0032235C"/>
    <w:rsid w:val="003225C8"/>
    <w:rsid w:val="00326973"/>
    <w:rsid w:val="00340B18"/>
    <w:rsid w:val="00341A7E"/>
    <w:rsid w:val="00347930"/>
    <w:rsid w:val="00347BBC"/>
    <w:rsid w:val="003518D6"/>
    <w:rsid w:val="00354689"/>
    <w:rsid w:val="00354D7A"/>
    <w:rsid w:val="00355CDE"/>
    <w:rsid w:val="003619DA"/>
    <w:rsid w:val="00361DF3"/>
    <w:rsid w:val="0037043C"/>
    <w:rsid w:val="00372642"/>
    <w:rsid w:val="00373A4F"/>
    <w:rsid w:val="00387E97"/>
    <w:rsid w:val="003901F3"/>
    <w:rsid w:val="003920ED"/>
    <w:rsid w:val="00395036"/>
    <w:rsid w:val="0039774E"/>
    <w:rsid w:val="003A0153"/>
    <w:rsid w:val="003A1F08"/>
    <w:rsid w:val="003A2482"/>
    <w:rsid w:val="003A273B"/>
    <w:rsid w:val="003A2ABD"/>
    <w:rsid w:val="003A35A9"/>
    <w:rsid w:val="003B4026"/>
    <w:rsid w:val="003B5378"/>
    <w:rsid w:val="003B6A72"/>
    <w:rsid w:val="003C12EB"/>
    <w:rsid w:val="003C1A3C"/>
    <w:rsid w:val="003C1A74"/>
    <w:rsid w:val="003C59D5"/>
    <w:rsid w:val="003C70EB"/>
    <w:rsid w:val="003D0C35"/>
    <w:rsid w:val="003D0E83"/>
    <w:rsid w:val="003D1D61"/>
    <w:rsid w:val="003D3ACC"/>
    <w:rsid w:val="003D4B6F"/>
    <w:rsid w:val="003D5B36"/>
    <w:rsid w:val="003E244B"/>
    <w:rsid w:val="003E258D"/>
    <w:rsid w:val="003E33B3"/>
    <w:rsid w:val="003E4BDC"/>
    <w:rsid w:val="003E5FD9"/>
    <w:rsid w:val="003E630A"/>
    <w:rsid w:val="003F58AE"/>
    <w:rsid w:val="004002FD"/>
    <w:rsid w:val="00404238"/>
    <w:rsid w:val="004051F3"/>
    <w:rsid w:val="004058FE"/>
    <w:rsid w:val="0040752D"/>
    <w:rsid w:val="00407E88"/>
    <w:rsid w:val="004139B5"/>
    <w:rsid w:val="004252EA"/>
    <w:rsid w:val="00432037"/>
    <w:rsid w:val="004321D9"/>
    <w:rsid w:val="00432910"/>
    <w:rsid w:val="00434F7D"/>
    <w:rsid w:val="00436377"/>
    <w:rsid w:val="00436E41"/>
    <w:rsid w:val="00451F7E"/>
    <w:rsid w:val="00454452"/>
    <w:rsid w:val="00456C3D"/>
    <w:rsid w:val="00460FF4"/>
    <w:rsid w:val="0046310E"/>
    <w:rsid w:val="004632FE"/>
    <w:rsid w:val="00463EB0"/>
    <w:rsid w:val="004668B9"/>
    <w:rsid w:val="0046791C"/>
    <w:rsid w:val="00470D84"/>
    <w:rsid w:val="004719B2"/>
    <w:rsid w:val="00472FC8"/>
    <w:rsid w:val="004764BE"/>
    <w:rsid w:val="0047672C"/>
    <w:rsid w:val="0047735D"/>
    <w:rsid w:val="004811BC"/>
    <w:rsid w:val="0048587F"/>
    <w:rsid w:val="00491F1E"/>
    <w:rsid w:val="00493D21"/>
    <w:rsid w:val="004A10DB"/>
    <w:rsid w:val="004A2488"/>
    <w:rsid w:val="004B032D"/>
    <w:rsid w:val="004B2CC6"/>
    <w:rsid w:val="004B6D3C"/>
    <w:rsid w:val="004B7EA8"/>
    <w:rsid w:val="004C2EFE"/>
    <w:rsid w:val="004C7D42"/>
    <w:rsid w:val="004D0280"/>
    <w:rsid w:val="004D5D3E"/>
    <w:rsid w:val="004D7BD1"/>
    <w:rsid w:val="004E604B"/>
    <w:rsid w:val="004F0875"/>
    <w:rsid w:val="004F0C2A"/>
    <w:rsid w:val="004F42AA"/>
    <w:rsid w:val="004F55A0"/>
    <w:rsid w:val="004F5774"/>
    <w:rsid w:val="004F5EA1"/>
    <w:rsid w:val="004F6477"/>
    <w:rsid w:val="004F7EEE"/>
    <w:rsid w:val="005043D7"/>
    <w:rsid w:val="00505E46"/>
    <w:rsid w:val="00507157"/>
    <w:rsid w:val="00510EC1"/>
    <w:rsid w:val="005145CC"/>
    <w:rsid w:val="00514902"/>
    <w:rsid w:val="005153FE"/>
    <w:rsid w:val="00516F98"/>
    <w:rsid w:val="00523B0F"/>
    <w:rsid w:val="00524650"/>
    <w:rsid w:val="00524F25"/>
    <w:rsid w:val="00530E5D"/>
    <w:rsid w:val="005316AC"/>
    <w:rsid w:val="00533416"/>
    <w:rsid w:val="0053473D"/>
    <w:rsid w:val="00535810"/>
    <w:rsid w:val="00536BC4"/>
    <w:rsid w:val="005509E6"/>
    <w:rsid w:val="00560B63"/>
    <w:rsid w:val="00562981"/>
    <w:rsid w:val="00562D13"/>
    <w:rsid w:val="00566117"/>
    <w:rsid w:val="00576594"/>
    <w:rsid w:val="00577C26"/>
    <w:rsid w:val="005808DF"/>
    <w:rsid w:val="00586AB5"/>
    <w:rsid w:val="00591F0C"/>
    <w:rsid w:val="00594C64"/>
    <w:rsid w:val="0059611E"/>
    <w:rsid w:val="00596969"/>
    <w:rsid w:val="00597251"/>
    <w:rsid w:val="005A07F9"/>
    <w:rsid w:val="005A0CDB"/>
    <w:rsid w:val="005A11A0"/>
    <w:rsid w:val="005A4237"/>
    <w:rsid w:val="005A5CAF"/>
    <w:rsid w:val="005A6480"/>
    <w:rsid w:val="005A6C85"/>
    <w:rsid w:val="005A70FC"/>
    <w:rsid w:val="005A7AFD"/>
    <w:rsid w:val="005A7EE1"/>
    <w:rsid w:val="005B1138"/>
    <w:rsid w:val="005B238B"/>
    <w:rsid w:val="005B2468"/>
    <w:rsid w:val="005B474D"/>
    <w:rsid w:val="005B47E8"/>
    <w:rsid w:val="005B4808"/>
    <w:rsid w:val="005B7039"/>
    <w:rsid w:val="005B780E"/>
    <w:rsid w:val="005C0113"/>
    <w:rsid w:val="005C1F47"/>
    <w:rsid w:val="005C29E5"/>
    <w:rsid w:val="005C34EC"/>
    <w:rsid w:val="005D087F"/>
    <w:rsid w:val="005D3C08"/>
    <w:rsid w:val="005D4B5A"/>
    <w:rsid w:val="005E1629"/>
    <w:rsid w:val="005E23F8"/>
    <w:rsid w:val="005E3B4A"/>
    <w:rsid w:val="005E464B"/>
    <w:rsid w:val="005E5075"/>
    <w:rsid w:val="005E6E2F"/>
    <w:rsid w:val="005E7E65"/>
    <w:rsid w:val="005F095E"/>
    <w:rsid w:val="005F0F86"/>
    <w:rsid w:val="005F7EAB"/>
    <w:rsid w:val="00604287"/>
    <w:rsid w:val="0061249A"/>
    <w:rsid w:val="006224BC"/>
    <w:rsid w:val="00623016"/>
    <w:rsid w:val="00624474"/>
    <w:rsid w:val="00626116"/>
    <w:rsid w:val="00633701"/>
    <w:rsid w:val="00637F8D"/>
    <w:rsid w:val="006416F5"/>
    <w:rsid w:val="00641E61"/>
    <w:rsid w:val="00651678"/>
    <w:rsid w:val="006617D1"/>
    <w:rsid w:val="00666567"/>
    <w:rsid w:val="00666C17"/>
    <w:rsid w:val="0067482D"/>
    <w:rsid w:val="00674F2E"/>
    <w:rsid w:val="00681A01"/>
    <w:rsid w:val="00687723"/>
    <w:rsid w:val="0069467B"/>
    <w:rsid w:val="00697BC0"/>
    <w:rsid w:val="006A40A3"/>
    <w:rsid w:val="006A43E0"/>
    <w:rsid w:val="006A480C"/>
    <w:rsid w:val="006A54B2"/>
    <w:rsid w:val="006A70A8"/>
    <w:rsid w:val="006B484E"/>
    <w:rsid w:val="006B6810"/>
    <w:rsid w:val="006B7266"/>
    <w:rsid w:val="006C6CE5"/>
    <w:rsid w:val="006D02BD"/>
    <w:rsid w:val="006D0A00"/>
    <w:rsid w:val="006D1FD2"/>
    <w:rsid w:val="006D3787"/>
    <w:rsid w:val="006D5012"/>
    <w:rsid w:val="006D6141"/>
    <w:rsid w:val="006E45D5"/>
    <w:rsid w:val="006E4629"/>
    <w:rsid w:val="006E6637"/>
    <w:rsid w:val="006F3733"/>
    <w:rsid w:val="006F4B96"/>
    <w:rsid w:val="006F5BF6"/>
    <w:rsid w:val="006F5C64"/>
    <w:rsid w:val="007002E7"/>
    <w:rsid w:val="00704028"/>
    <w:rsid w:val="0071214E"/>
    <w:rsid w:val="00713D10"/>
    <w:rsid w:val="00715517"/>
    <w:rsid w:val="007205D0"/>
    <w:rsid w:val="00720EF4"/>
    <w:rsid w:val="00721F27"/>
    <w:rsid w:val="00722B27"/>
    <w:rsid w:val="0072560E"/>
    <w:rsid w:val="00730197"/>
    <w:rsid w:val="007305F6"/>
    <w:rsid w:val="00731260"/>
    <w:rsid w:val="00732FFD"/>
    <w:rsid w:val="00733023"/>
    <w:rsid w:val="00736466"/>
    <w:rsid w:val="007364A3"/>
    <w:rsid w:val="007409B1"/>
    <w:rsid w:val="00740BE9"/>
    <w:rsid w:val="00742C7B"/>
    <w:rsid w:val="00743411"/>
    <w:rsid w:val="00754CC9"/>
    <w:rsid w:val="00756C05"/>
    <w:rsid w:val="0076121D"/>
    <w:rsid w:val="00764B2C"/>
    <w:rsid w:val="00764BA2"/>
    <w:rsid w:val="00765098"/>
    <w:rsid w:val="00766693"/>
    <w:rsid w:val="00767CDB"/>
    <w:rsid w:val="00770D03"/>
    <w:rsid w:val="00774118"/>
    <w:rsid w:val="007770A1"/>
    <w:rsid w:val="00781455"/>
    <w:rsid w:val="00784B5E"/>
    <w:rsid w:val="00785013"/>
    <w:rsid w:val="00793AFA"/>
    <w:rsid w:val="00795640"/>
    <w:rsid w:val="007A151D"/>
    <w:rsid w:val="007A1E69"/>
    <w:rsid w:val="007A2E03"/>
    <w:rsid w:val="007A4E9B"/>
    <w:rsid w:val="007A6132"/>
    <w:rsid w:val="007A657D"/>
    <w:rsid w:val="007B6ECD"/>
    <w:rsid w:val="007B7C28"/>
    <w:rsid w:val="007C461C"/>
    <w:rsid w:val="007C784D"/>
    <w:rsid w:val="007D1607"/>
    <w:rsid w:val="007D1A17"/>
    <w:rsid w:val="007E22A3"/>
    <w:rsid w:val="007E4F27"/>
    <w:rsid w:val="007E547C"/>
    <w:rsid w:val="007E5766"/>
    <w:rsid w:val="007E630F"/>
    <w:rsid w:val="007F0B43"/>
    <w:rsid w:val="007F355F"/>
    <w:rsid w:val="007F3E1A"/>
    <w:rsid w:val="007F7953"/>
    <w:rsid w:val="00806281"/>
    <w:rsid w:val="00817B08"/>
    <w:rsid w:val="00821FAD"/>
    <w:rsid w:val="008234FA"/>
    <w:rsid w:val="00831349"/>
    <w:rsid w:val="00834D4C"/>
    <w:rsid w:val="00842EB8"/>
    <w:rsid w:val="0084462D"/>
    <w:rsid w:val="00850287"/>
    <w:rsid w:val="00851ABF"/>
    <w:rsid w:val="00857D67"/>
    <w:rsid w:val="00870C92"/>
    <w:rsid w:val="00873F19"/>
    <w:rsid w:val="00873FD0"/>
    <w:rsid w:val="00874FB2"/>
    <w:rsid w:val="008755DD"/>
    <w:rsid w:val="00877287"/>
    <w:rsid w:val="00877CFA"/>
    <w:rsid w:val="00883361"/>
    <w:rsid w:val="00885AB3"/>
    <w:rsid w:val="00886201"/>
    <w:rsid w:val="00891C03"/>
    <w:rsid w:val="008928A9"/>
    <w:rsid w:val="00895C43"/>
    <w:rsid w:val="008A2F6C"/>
    <w:rsid w:val="008A41E7"/>
    <w:rsid w:val="008B438B"/>
    <w:rsid w:val="008B5B2C"/>
    <w:rsid w:val="008C0DD9"/>
    <w:rsid w:val="008C30B6"/>
    <w:rsid w:val="008C4556"/>
    <w:rsid w:val="008C765B"/>
    <w:rsid w:val="008E152A"/>
    <w:rsid w:val="008E6F03"/>
    <w:rsid w:val="008F2E3F"/>
    <w:rsid w:val="008F782C"/>
    <w:rsid w:val="00901604"/>
    <w:rsid w:val="00901707"/>
    <w:rsid w:val="00904898"/>
    <w:rsid w:val="009101D7"/>
    <w:rsid w:val="009102B2"/>
    <w:rsid w:val="00912ED1"/>
    <w:rsid w:val="00914313"/>
    <w:rsid w:val="00922991"/>
    <w:rsid w:val="00923545"/>
    <w:rsid w:val="009249FE"/>
    <w:rsid w:val="00924ADD"/>
    <w:rsid w:val="00932D09"/>
    <w:rsid w:val="00940EEA"/>
    <w:rsid w:val="00943CCF"/>
    <w:rsid w:val="00952E20"/>
    <w:rsid w:val="00953774"/>
    <w:rsid w:val="009559D9"/>
    <w:rsid w:val="00955D6B"/>
    <w:rsid w:val="00962137"/>
    <w:rsid w:val="009676D9"/>
    <w:rsid w:val="00967DA8"/>
    <w:rsid w:val="00983093"/>
    <w:rsid w:val="00985A94"/>
    <w:rsid w:val="00993D17"/>
    <w:rsid w:val="009962DF"/>
    <w:rsid w:val="00996C8B"/>
    <w:rsid w:val="009A0C7A"/>
    <w:rsid w:val="009A6506"/>
    <w:rsid w:val="009A7AE3"/>
    <w:rsid w:val="009A7DA5"/>
    <w:rsid w:val="009B0293"/>
    <w:rsid w:val="009B05D6"/>
    <w:rsid w:val="009B2145"/>
    <w:rsid w:val="009B6433"/>
    <w:rsid w:val="009B6F5B"/>
    <w:rsid w:val="009C2619"/>
    <w:rsid w:val="009C3484"/>
    <w:rsid w:val="009C47EE"/>
    <w:rsid w:val="009C52A2"/>
    <w:rsid w:val="009C79A5"/>
    <w:rsid w:val="009D0086"/>
    <w:rsid w:val="009D3672"/>
    <w:rsid w:val="009D376C"/>
    <w:rsid w:val="009D5047"/>
    <w:rsid w:val="009D696D"/>
    <w:rsid w:val="009E3A64"/>
    <w:rsid w:val="009E3BD1"/>
    <w:rsid w:val="009E4142"/>
    <w:rsid w:val="009F41E0"/>
    <w:rsid w:val="009F4CA5"/>
    <w:rsid w:val="009F6213"/>
    <w:rsid w:val="009F778C"/>
    <w:rsid w:val="00A046D9"/>
    <w:rsid w:val="00A13929"/>
    <w:rsid w:val="00A15177"/>
    <w:rsid w:val="00A16624"/>
    <w:rsid w:val="00A17EC7"/>
    <w:rsid w:val="00A2161F"/>
    <w:rsid w:val="00A2577D"/>
    <w:rsid w:val="00A32A31"/>
    <w:rsid w:val="00A33AB7"/>
    <w:rsid w:val="00A349DE"/>
    <w:rsid w:val="00A35221"/>
    <w:rsid w:val="00A40CB2"/>
    <w:rsid w:val="00A431B5"/>
    <w:rsid w:val="00A43521"/>
    <w:rsid w:val="00A46CB3"/>
    <w:rsid w:val="00A53E24"/>
    <w:rsid w:val="00A5680B"/>
    <w:rsid w:val="00A61E8A"/>
    <w:rsid w:val="00A665DC"/>
    <w:rsid w:val="00A6686D"/>
    <w:rsid w:val="00A67FCD"/>
    <w:rsid w:val="00A708A9"/>
    <w:rsid w:val="00A71582"/>
    <w:rsid w:val="00A75B12"/>
    <w:rsid w:val="00A763AE"/>
    <w:rsid w:val="00A773BA"/>
    <w:rsid w:val="00A80B02"/>
    <w:rsid w:val="00A82307"/>
    <w:rsid w:val="00A834D1"/>
    <w:rsid w:val="00A850A4"/>
    <w:rsid w:val="00A87960"/>
    <w:rsid w:val="00A92B62"/>
    <w:rsid w:val="00A95DF4"/>
    <w:rsid w:val="00AA0A72"/>
    <w:rsid w:val="00AA36F0"/>
    <w:rsid w:val="00AA4B04"/>
    <w:rsid w:val="00AA4C42"/>
    <w:rsid w:val="00AA5B7B"/>
    <w:rsid w:val="00AA5FB7"/>
    <w:rsid w:val="00AB1710"/>
    <w:rsid w:val="00AB2DC4"/>
    <w:rsid w:val="00AC06BE"/>
    <w:rsid w:val="00AC0E00"/>
    <w:rsid w:val="00AD0943"/>
    <w:rsid w:val="00AD578C"/>
    <w:rsid w:val="00AE0E83"/>
    <w:rsid w:val="00AE371C"/>
    <w:rsid w:val="00AE617E"/>
    <w:rsid w:val="00AE7D09"/>
    <w:rsid w:val="00AF4DDC"/>
    <w:rsid w:val="00B033BD"/>
    <w:rsid w:val="00B03495"/>
    <w:rsid w:val="00B04319"/>
    <w:rsid w:val="00B062FA"/>
    <w:rsid w:val="00B069F4"/>
    <w:rsid w:val="00B137CB"/>
    <w:rsid w:val="00B161CA"/>
    <w:rsid w:val="00B16590"/>
    <w:rsid w:val="00B2657F"/>
    <w:rsid w:val="00B32010"/>
    <w:rsid w:val="00B36B75"/>
    <w:rsid w:val="00B407EC"/>
    <w:rsid w:val="00B43FAE"/>
    <w:rsid w:val="00B44EE2"/>
    <w:rsid w:val="00B47C8A"/>
    <w:rsid w:val="00B56B08"/>
    <w:rsid w:val="00B60E1B"/>
    <w:rsid w:val="00B60ECD"/>
    <w:rsid w:val="00B626EC"/>
    <w:rsid w:val="00B62864"/>
    <w:rsid w:val="00B637B1"/>
    <w:rsid w:val="00B65902"/>
    <w:rsid w:val="00B6592B"/>
    <w:rsid w:val="00B670E6"/>
    <w:rsid w:val="00B6757D"/>
    <w:rsid w:val="00B715AA"/>
    <w:rsid w:val="00B71CE2"/>
    <w:rsid w:val="00B73EE1"/>
    <w:rsid w:val="00B752D5"/>
    <w:rsid w:val="00B75835"/>
    <w:rsid w:val="00B812E8"/>
    <w:rsid w:val="00B843E3"/>
    <w:rsid w:val="00B906ED"/>
    <w:rsid w:val="00B95455"/>
    <w:rsid w:val="00B965B8"/>
    <w:rsid w:val="00BA1485"/>
    <w:rsid w:val="00BB123C"/>
    <w:rsid w:val="00BB7EBE"/>
    <w:rsid w:val="00BC3D7B"/>
    <w:rsid w:val="00BC4908"/>
    <w:rsid w:val="00BC5588"/>
    <w:rsid w:val="00BC7410"/>
    <w:rsid w:val="00BD313A"/>
    <w:rsid w:val="00BD39F0"/>
    <w:rsid w:val="00BD6FEB"/>
    <w:rsid w:val="00BE00D4"/>
    <w:rsid w:val="00BE520A"/>
    <w:rsid w:val="00BF00CF"/>
    <w:rsid w:val="00BF0EDD"/>
    <w:rsid w:val="00BF788C"/>
    <w:rsid w:val="00C01001"/>
    <w:rsid w:val="00C022E2"/>
    <w:rsid w:val="00C10A28"/>
    <w:rsid w:val="00C10FD9"/>
    <w:rsid w:val="00C15792"/>
    <w:rsid w:val="00C16B85"/>
    <w:rsid w:val="00C22C8F"/>
    <w:rsid w:val="00C243AA"/>
    <w:rsid w:val="00C2458F"/>
    <w:rsid w:val="00C30C70"/>
    <w:rsid w:val="00C33DC5"/>
    <w:rsid w:val="00C3455E"/>
    <w:rsid w:val="00C37547"/>
    <w:rsid w:val="00C407D5"/>
    <w:rsid w:val="00C4082B"/>
    <w:rsid w:val="00C43E84"/>
    <w:rsid w:val="00C52A59"/>
    <w:rsid w:val="00C54CC9"/>
    <w:rsid w:val="00C609A1"/>
    <w:rsid w:val="00C60EE2"/>
    <w:rsid w:val="00C64754"/>
    <w:rsid w:val="00C65135"/>
    <w:rsid w:val="00C81324"/>
    <w:rsid w:val="00C849AC"/>
    <w:rsid w:val="00C85925"/>
    <w:rsid w:val="00C86439"/>
    <w:rsid w:val="00C9098C"/>
    <w:rsid w:val="00C91B93"/>
    <w:rsid w:val="00C91F63"/>
    <w:rsid w:val="00C92B26"/>
    <w:rsid w:val="00C95DC5"/>
    <w:rsid w:val="00C96046"/>
    <w:rsid w:val="00CA25B4"/>
    <w:rsid w:val="00CA610F"/>
    <w:rsid w:val="00CB0208"/>
    <w:rsid w:val="00CB17C0"/>
    <w:rsid w:val="00CB26A2"/>
    <w:rsid w:val="00CB3963"/>
    <w:rsid w:val="00CB3F45"/>
    <w:rsid w:val="00CB6769"/>
    <w:rsid w:val="00CB67B0"/>
    <w:rsid w:val="00CB7B13"/>
    <w:rsid w:val="00CC1E3B"/>
    <w:rsid w:val="00CC213E"/>
    <w:rsid w:val="00CC3B1F"/>
    <w:rsid w:val="00CC587B"/>
    <w:rsid w:val="00CD6B46"/>
    <w:rsid w:val="00CD743B"/>
    <w:rsid w:val="00CE19FA"/>
    <w:rsid w:val="00CF1633"/>
    <w:rsid w:val="00CF6712"/>
    <w:rsid w:val="00D00CD7"/>
    <w:rsid w:val="00D01744"/>
    <w:rsid w:val="00D02610"/>
    <w:rsid w:val="00D04F88"/>
    <w:rsid w:val="00D1137F"/>
    <w:rsid w:val="00D12C64"/>
    <w:rsid w:val="00D169CB"/>
    <w:rsid w:val="00D17366"/>
    <w:rsid w:val="00D17F85"/>
    <w:rsid w:val="00D23FA1"/>
    <w:rsid w:val="00D2462F"/>
    <w:rsid w:val="00D26C6F"/>
    <w:rsid w:val="00D30D0B"/>
    <w:rsid w:val="00D3148B"/>
    <w:rsid w:val="00D31A05"/>
    <w:rsid w:val="00D32324"/>
    <w:rsid w:val="00D35C2E"/>
    <w:rsid w:val="00D37ACE"/>
    <w:rsid w:val="00D43EFD"/>
    <w:rsid w:val="00D44FAB"/>
    <w:rsid w:val="00D45253"/>
    <w:rsid w:val="00D45496"/>
    <w:rsid w:val="00D45B7D"/>
    <w:rsid w:val="00D50C74"/>
    <w:rsid w:val="00D53FD6"/>
    <w:rsid w:val="00D54A67"/>
    <w:rsid w:val="00D55B34"/>
    <w:rsid w:val="00D62E88"/>
    <w:rsid w:val="00D631BB"/>
    <w:rsid w:val="00D811F4"/>
    <w:rsid w:val="00D813F4"/>
    <w:rsid w:val="00D841C0"/>
    <w:rsid w:val="00D84C9A"/>
    <w:rsid w:val="00D850F0"/>
    <w:rsid w:val="00D9004F"/>
    <w:rsid w:val="00D909AB"/>
    <w:rsid w:val="00D93B00"/>
    <w:rsid w:val="00D9454C"/>
    <w:rsid w:val="00D95502"/>
    <w:rsid w:val="00D959B3"/>
    <w:rsid w:val="00D97B13"/>
    <w:rsid w:val="00DA2B97"/>
    <w:rsid w:val="00DA75FB"/>
    <w:rsid w:val="00DB1987"/>
    <w:rsid w:val="00DB4CCB"/>
    <w:rsid w:val="00DB6331"/>
    <w:rsid w:val="00DC02C9"/>
    <w:rsid w:val="00DC1F24"/>
    <w:rsid w:val="00DC3182"/>
    <w:rsid w:val="00DD1691"/>
    <w:rsid w:val="00DD40B6"/>
    <w:rsid w:val="00DD7FC2"/>
    <w:rsid w:val="00DE303E"/>
    <w:rsid w:val="00DE41F3"/>
    <w:rsid w:val="00DE6A3A"/>
    <w:rsid w:val="00DF4DA1"/>
    <w:rsid w:val="00E01C28"/>
    <w:rsid w:val="00E0457D"/>
    <w:rsid w:val="00E046D0"/>
    <w:rsid w:val="00E05C22"/>
    <w:rsid w:val="00E10B72"/>
    <w:rsid w:val="00E1626C"/>
    <w:rsid w:val="00E2119F"/>
    <w:rsid w:val="00E2213D"/>
    <w:rsid w:val="00E36DFD"/>
    <w:rsid w:val="00E410B2"/>
    <w:rsid w:val="00E435AF"/>
    <w:rsid w:val="00E46733"/>
    <w:rsid w:val="00E52DD0"/>
    <w:rsid w:val="00E576D4"/>
    <w:rsid w:val="00E611AC"/>
    <w:rsid w:val="00E64C9F"/>
    <w:rsid w:val="00E7413C"/>
    <w:rsid w:val="00E74320"/>
    <w:rsid w:val="00E74E2A"/>
    <w:rsid w:val="00E764A0"/>
    <w:rsid w:val="00E7709E"/>
    <w:rsid w:val="00E80CA5"/>
    <w:rsid w:val="00E817E5"/>
    <w:rsid w:val="00E81FDD"/>
    <w:rsid w:val="00E82204"/>
    <w:rsid w:val="00E91FCD"/>
    <w:rsid w:val="00E92D07"/>
    <w:rsid w:val="00E93B45"/>
    <w:rsid w:val="00E94175"/>
    <w:rsid w:val="00E97EF2"/>
    <w:rsid w:val="00EA044B"/>
    <w:rsid w:val="00EA456F"/>
    <w:rsid w:val="00EA510F"/>
    <w:rsid w:val="00EA60CD"/>
    <w:rsid w:val="00EC1D47"/>
    <w:rsid w:val="00EC3981"/>
    <w:rsid w:val="00EC76DA"/>
    <w:rsid w:val="00ED2DBD"/>
    <w:rsid w:val="00ED4070"/>
    <w:rsid w:val="00ED44A2"/>
    <w:rsid w:val="00ED5B6F"/>
    <w:rsid w:val="00ED6D0E"/>
    <w:rsid w:val="00ED75A7"/>
    <w:rsid w:val="00EE5764"/>
    <w:rsid w:val="00EE65EB"/>
    <w:rsid w:val="00EF0FD4"/>
    <w:rsid w:val="00EF4283"/>
    <w:rsid w:val="00EF6CB0"/>
    <w:rsid w:val="00F0219F"/>
    <w:rsid w:val="00F022F3"/>
    <w:rsid w:val="00F0461C"/>
    <w:rsid w:val="00F078BA"/>
    <w:rsid w:val="00F1213B"/>
    <w:rsid w:val="00F12DA0"/>
    <w:rsid w:val="00F133CB"/>
    <w:rsid w:val="00F2144A"/>
    <w:rsid w:val="00F225E7"/>
    <w:rsid w:val="00F2603F"/>
    <w:rsid w:val="00F27887"/>
    <w:rsid w:val="00F27E50"/>
    <w:rsid w:val="00F30057"/>
    <w:rsid w:val="00F37BCD"/>
    <w:rsid w:val="00F42F9A"/>
    <w:rsid w:val="00F43DD0"/>
    <w:rsid w:val="00F45011"/>
    <w:rsid w:val="00F4544B"/>
    <w:rsid w:val="00F469E9"/>
    <w:rsid w:val="00F510E9"/>
    <w:rsid w:val="00F51376"/>
    <w:rsid w:val="00F51F1C"/>
    <w:rsid w:val="00F56DA7"/>
    <w:rsid w:val="00F57B2A"/>
    <w:rsid w:val="00F61D62"/>
    <w:rsid w:val="00F645E1"/>
    <w:rsid w:val="00F74030"/>
    <w:rsid w:val="00F971DA"/>
    <w:rsid w:val="00FA247B"/>
    <w:rsid w:val="00FA758A"/>
    <w:rsid w:val="00FB1C95"/>
    <w:rsid w:val="00FB200A"/>
    <w:rsid w:val="00FB555B"/>
    <w:rsid w:val="00FC3E88"/>
    <w:rsid w:val="00FC3F4C"/>
    <w:rsid w:val="00FC552D"/>
    <w:rsid w:val="00FC5988"/>
    <w:rsid w:val="00FC65DE"/>
    <w:rsid w:val="00FC7A5A"/>
    <w:rsid w:val="00FD0163"/>
    <w:rsid w:val="00FE1BA4"/>
    <w:rsid w:val="00FE40E8"/>
    <w:rsid w:val="00FE49C2"/>
    <w:rsid w:val="00FE58C6"/>
    <w:rsid w:val="00FE615C"/>
    <w:rsid w:val="00FF229D"/>
    <w:rsid w:val="00FF623A"/>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8A742F"/>
  <w15:docId w15:val="{347A8749-BF89-4EF1-96A6-3CBBB2CB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paragraph" w:styleId="NormalWeb">
    <w:name w:val="Normal (Web)"/>
    <w:basedOn w:val="Normal"/>
    <w:uiPriority w:val="99"/>
    <w:semiHidden/>
    <w:unhideWhenUsed/>
    <w:rsid w:val="0043291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432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694112708">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E53FF-E114-44EE-87CA-5DFEB43F6717}">
  <ds:schemaRefs>
    <ds:schemaRef ds:uri="http://schemas.openxmlformats.org/officeDocument/2006/bibliography"/>
  </ds:schemaRefs>
</ds:datastoreItem>
</file>

<file path=customXml/itemProps2.xml><?xml version="1.0" encoding="utf-8"?>
<ds:datastoreItem xmlns:ds="http://schemas.openxmlformats.org/officeDocument/2006/customXml" ds:itemID="{7EF0A208-FA34-4FCB-9E62-408C82CD350C}">
  <ds:schemaRefs>
    <ds:schemaRef ds:uri="http://schemas.openxmlformats.org/officeDocument/2006/bibliography"/>
  </ds:schemaRefs>
</ds:datastoreItem>
</file>

<file path=customXml/itemProps3.xml><?xml version="1.0" encoding="utf-8"?>
<ds:datastoreItem xmlns:ds="http://schemas.openxmlformats.org/officeDocument/2006/customXml" ds:itemID="{A5BFB5B9-CB71-4367-9E9D-BC57A266D02E}">
  <ds:schemaRefs>
    <ds:schemaRef ds:uri="http://schemas.openxmlformats.org/officeDocument/2006/bibliography"/>
  </ds:schemaRefs>
</ds:datastoreItem>
</file>

<file path=customXml/itemProps4.xml><?xml version="1.0" encoding="utf-8"?>
<ds:datastoreItem xmlns:ds="http://schemas.openxmlformats.org/officeDocument/2006/customXml" ds:itemID="{25724193-27BE-4C06-924D-4F9A0092F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1185</Words>
  <Characters>6759</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TeodoroZ</dc:creator>
  <cp:lastModifiedBy>Bernedo, Cecilia</cp:lastModifiedBy>
  <cp:revision>3</cp:revision>
  <cp:lastPrinted>2017-06-15T18:52:00Z</cp:lastPrinted>
  <dcterms:created xsi:type="dcterms:W3CDTF">2017-10-27T20:11:00Z</dcterms:created>
  <dcterms:modified xsi:type="dcterms:W3CDTF">2017-10-27T20:12:00Z</dcterms:modified>
</cp:coreProperties>
</file>