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BE5" w:rsidRPr="00722BE5" w:rsidRDefault="00722BE5" w:rsidP="00722BE5">
      <w:pPr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0"/>
        </w:rPr>
      </w:pPr>
      <w:r w:rsidRPr="00722BE5">
        <w:rPr>
          <w:rFonts w:ascii="Times New Roman Bold" w:eastAsia="Times New Roman" w:hAnsi="Times New Roman Bold" w:cs="Times New Roman"/>
          <w:b/>
          <w:caps/>
          <w:sz w:val="24"/>
          <w:szCs w:val="20"/>
        </w:rPr>
        <w:t>Environmental and Social Strategy</w:t>
      </w:r>
    </w:p>
    <w:p w:rsidR="00722BE5" w:rsidRPr="00722BE5" w:rsidRDefault="00722BE5" w:rsidP="00722BE5">
      <w:pPr>
        <w:pStyle w:val="ListParagraph"/>
        <w:numPr>
          <w:ilvl w:val="0"/>
          <w:numId w:val="1"/>
        </w:numPr>
        <w:tabs>
          <w:tab w:val="num" w:pos="648"/>
          <w:tab w:val="left" w:pos="1440"/>
          <w:tab w:val="num" w:pos="459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0"/>
        </w:rPr>
      </w:pPr>
      <w:r w:rsidRPr="00722BE5">
        <w:rPr>
          <w:rFonts w:ascii="Times New Roman" w:eastAsia="Times New Roman" w:hAnsi="Times New Roman" w:cs="Times New Roman"/>
          <w:b/>
          <w:smallCaps/>
          <w:sz w:val="24"/>
          <w:szCs w:val="20"/>
        </w:rPr>
        <w:t>Basic Data</w:t>
      </w:r>
    </w:p>
    <w:tbl>
      <w:tblPr>
        <w:tblW w:w="8820" w:type="dxa"/>
        <w:tblInd w:w="18" w:type="dxa"/>
        <w:tblLook w:val="0000" w:firstRow="0" w:lastRow="0" w:firstColumn="0" w:lastColumn="0" w:noHBand="0" w:noVBand="0"/>
      </w:tblPr>
      <w:tblGrid>
        <w:gridCol w:w="2160"/>
        <w:gridCol w:w="1979"/>
        <w:gridCol w:w="2421"/>
        <w:gridCol w:w="643"/>
        <w:gridCol w:w="1617"/>
      </w:tblGrid>
      <w:tr w:rsidR="00722BE5" w:rsidRPr="00722BE5" w:rsidTr="00C163B4">
        <w:trPr>
          <w:trHeight w:val="280"/>
        </w:trPr>
        <w:tc>
          <w:tcPr>
            <w:tcW w:w="2160" w:type="dxa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Project Name:</w:t>
            </w:r>
          </w:p>
        </w:tc>
        <w:tc>
          <w:tcPr>
            <w:tcW w:w="6660" w:type="dxa"/>
            <w:gridSpan w:val="4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Education Quality Improvement Program</w:t>
            </w:r>
          </w:p>
        </w:tc>
      </w:tr>
      <w:tr w:rsidR="00722BE5" w:rsidRPr="00722BE5" w:rsidTr="00C163B4">
        <w:trPr>
          <w:trHeight w:val="280"/>
        </w:trPr>
        <w:tc>
          <w:tcPr>
            <w:tcW w:w="2160" w:type="dxa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Project Number:</w:t>
            </w:r>
          </w:p>
        </w:tc>
        <w:tc>
          <w:tcPr>
            <w:tcW w:w="6660" w:type="dxa"/>
            <w:gridSpan w:val="4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BL-L1018</w:t>
            </w:r>
          </w:p>
        </w:tc>
      </w:tr>
      <w:tr w:rsidR="00722BE5" w:rsidRPr="00722BE5" w:rsidTr="00C163B4">
        <w:trPr>
          <w:trHeight w:val="1575"/>
        </w:trPr>
        <w:tc>
          <w:tcPr>
            <w:tcW w:w="2160" w:type="dxa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Project Team:</w:t>
            </w:r>
          </w:p>
        </w:tc>
        <w:tc>
          <w:tcPr>
            <w:tcW w:w="6660" w:type="dxa"/>
            <w:gridSpan w:val="4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Emma Näslund-Hadley, Team Leader, Analía Jaimovich and Livia Mueller (SCL/EDU); Juanita Riaño and Marianela López-Galdos (OII/OII); Mauricio García Moreno and Alejandro Pareja (IDF/ICS); Jorge Luis Gonzáles (FMP/CCR); Jane Chow (CID/CBL); Paula Louis-Grant (FMP/CBA); Andrés Consuegra (LEG/SGO): and Alejandro Cruz (consultant). </w:t>
            </w:r>
          </w:p>
        </w:tc>
      </w:tr>
      <w:tr w:rsidR="00722BE5" w:rsidRPr="00722BE5" w:rsidTr="00C163B4">
        <w:trPr>
          <w:trHeight w:val="280"/>
        </w:trPr>
        <w:tc>
          <w:tcPr>
            <w:tcW w:w="2160" w:type="dxa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Borrower:</w:t>
            </w:r>
          </w:p>
        </w:tc>
        <w:tc>
          <w:tcPr>
            <w:tcW w:w="6660" w:type="dxa"/>
            <w:gridSpan w:val="4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Belize (BL-BL)</w:t>
            </w:r>
          </w:p>
        </w:tc>
      </w:tr>
      <w:tr w:rsidR="00722BE5" w:rsidRPr="00722BE5" w:rsidTr="00C163B4">
        <w:trPr>
          <w:trHeight w:val="281"/>
        </w:trPr>
        <w:tc>
          <w:tcPr>
            <w:tcW w:w="2160" w:type="dxa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Executing Agency:</w:t>
            </w:r>
          </w:p>
        </w:tc>
        <w:tc>
          <w:tcPr>
            <w:tcW w:w="6660" w:type="dxa"/>
            <w:gridSpan w:val="4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Ministry of Education Youth and Sports (BL-MOEYS)</w:t>
            </w:r>
          </w:p>
        </w:tc>
      </w:tr>
      <w:tr w:rsidR="00722BE5" w:rsidRPr="00722BE5" w:rsidTr="00C163B4">
        <w:trPr>
          <w:trHeight w:val="270"/>
        </w:trPr>
        <w:tc>
          <w:tcPr>
            <w:tcW w:w="2160" w:type="dxa"/>
            <w:vMerge w:val="restart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Financial Plan:</w:t>
            </w:r>
          </w:p>
        </w:tc>
        <w:tc>
          <w:tcPr>
            <w:tcW w:w="4400" w:type="dxa"/>
            <w:gridSpan w:val="2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IDB:</w:t>
            </w:r>
          </w:p>
        </w:tc>
        <w:tc>
          <w:tcPr>
            <w:tcW w:w="643" w:type="dxa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ind w:left="44" w:hanging="4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bookmarkStart w:id="0" w:name="Text9"/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US$</w:t>
            </w:r>
          </w:p>
        </w:tc>
        <w:bookmarkEnd w:id="0"/>
        <w:tc>
          <w:tcPr>
            <w:tcW w:w="1617" w:type="dxa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10.0 million</w:t>
            </w:r>
          </w:p>
        </w:tc>
      </w:tr>
      <w:tr w:rsidR="00722BE5" w:rsidRPr="00722BE5" w:rsidTr="00C163B4">
        <w:trPr>
          <w:trHeight w:val="162"/>
        </w:trPr>
        <w:tc>
          <w:tcPr>
            <w:tcW w:w="2160" w:type="dxa"/>
            <w:vMerge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4400" w:type="dxa"/>
            <w:gridSpan w:val="2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Local (in kind):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ind w:left="44" w:right="-108" w:hanging="4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US$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100,000.00</w:t>
            </w:r>
          </w:p>
        </w:tc>
      </w:tr>
      <w:tr w:rsidR="00722BE5" w:rsidRPr="00722BE5" w:rsidTr="00C163B4">
        <w:trPr>
          <w:trHeight w:val="371"/>
        </w:trPr>
        <w:tc>
          <w:tcPr>
            <w:tcW w:w="2160" w:type="dxa"/>
            <w:vMerge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4400" w:type="dxa"/>
            <w:gridSpan w:val="2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Total:</w:t>
            </w:r>
          </w:p>
        </w:tc>
        <w:tc>
          <w:tcPr>
            <w:tcW w:w="643" w:type="dxa"/>
            <w:tcBorders>
              <w:top w:val="single" w:sz="4" w:space="0" w:color="auto"/>
            </w:tcBorders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ind w:left="44" w:hanging="4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US$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ind w:left="44" w:hanging="4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10.1 million</w:t>
            </w:r>
          </w:p>
        </w:tc>
      </w:tr>
      <w:tr w:rsidR="00722BE5" w:rsidRPr="00722BE5" w:rsidTr="00C163B4">
        <w:trPr>
          <w:trHeight w:val="207"/>
        </w:trPr>
        <w:tc>
          <w:tcPr>
            <w:tcW w:w="2160" w:type="dxa"/>
            <w:vMerge w:val="restart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Safeguards:</w:t>
            </w:r>
          </w:p>
        </w:tc>
        <w:tc>
          <w:tcPr>
            <w:tcW w:w="1979" w:type="dxa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Policies triggered:</w:t>
            </w:r>
          </w:p>
        </w:tc>
        <w:tc>
          <w:tcPr>
            <w:tcW w:w="4681" w:type="dxa"/>
            <w:gridSpan w:val="3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None</w:t>
            </w:r>
          </w:p>
        </w:tc>
      </w:tr>
      <w:tr w:rsidR="00722BE5" w:rsidRPr="00722BE5" w:rsidTr="00C163B4">
        <w:trPr>
          <w:trHeight w:val="372"/>
        </w:trPr>
        <w:tc>
          <w:tcPr>
            <w:tcW w:w="2160" w:type="dxa"/>
            <w:vMerge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979" w:type="dxa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Classification:</w:t>
            </w:r>
          </w:p>
        </w:tc>
        <w:tc>
          <w:tcPr>
            <w:tcW w:w="4681" w:type="dxa"/>
            <w:gridSpan w:val="3"/>
            <w:shd w:val="clear" w:color="auto" w:fill="auto"/>
          </w:tcPr>
          <w:p w:rsidR="00722BE5" w:rsidRPr="00722BE5" w:rsidRDefault="00722BE5" w:rsidP="00722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2BE5">
              <w:rPr>
                <w:rFonts w:ascii="Times New Roman" w:eastAsia="Times New Roman" w:hAnsi="Times New Roman" w:cs="Times New Roman"/>
                <w:sz w:val="24"/>
                <w:szCs w:val="20"/>
              </w:rPr>
              <w:t>Category “C”</w:t>
            </w:r>
          </w:p>
        </w:tc>
      </w:tr>
    </w:tbl>
    <w:p w:rsidR="00102C84" w:rsidRDefault="00102C84" w:rsidP="00102C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A29" w:rsidRPr="00722BE5" w:rsidRDefault="00722BE5" w:rsidP="00722BE5">
      <w:pPr>
        <w:pStyle w:val="ListParagraph"/>
        <w:numPr>
          <w:ilvl w:val="0"/>
          <w:numId w:val="1"/>
        </w:numPr>
        <w:jc w:val="center"/>
        <w:rPr>
          <w:rFonts w:ascii="Times New Roman Bold" w:hAnsi="Times New Roman Bold" w:cs="Times New Roman"/>
          <w:b/>
          <w:smallCaps/>
          <w:sz w:val="24"/>
          <w:szCs w:val="24"/>
        </w:rPr>
      </w:pPr>
      <w:r>
        <w:rPr>
          <w:rFonts w:ascii="Times New Roman Bold" w:hAnsi="Times New Roman Bold" w:cs="Times New Roman"/>
          <w:b/>
          <w:smallCaps/>
          <w:sz w:val="24"/>
          <w:szCs w:val="24"/>
        </w:rPr>
        <w:t>Project Description</w:t>
      </w:r>
    </w:p>
    <w:p w:rsidR="00CF31D3" w:rsidRDefault="00722BE5" w:rsidP="00722BE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>
        <w:rPr>
          <w:rFonts w:ascii="Times New Roman" w:hAnsi="Times New Roman" w:cs="Times New Roman"/>
          <w:sz w:val="24"/>
          <w:szCs w:val="24"/>
        </w:rPr>
        <w:tab/>
      </w:r>
      <w:r w:rsidR="004A76E2" w:rsidRPr="004A76E2">
        <w:rPr>
          <w:rFonts w:ascii="Times New Roman" w:hAnsi="Times New Roman" w:cs="Times New Roman"/>
          <w:sz w:val="24"/>
          <w:szCs w:val="24"/>
        </w:rPr>
        <w:t>The overall objective of the operation is to improve the quality of primary education, and the governance of the Belize education system. This will be achieved through investments</w:t>
      </w:r>
      <w:r w:rsidR="004A76E2" w:rsidRPr="00CF31D3">
        <w:rPr>
          <w:rFonts w:ascii="Times New Roman" w:hAnsi="Times New Roman" w:cs="Times New Roman"/>
          <w:sz w:val="24"/>
          <w:szCs w:val="24"/>
        </w:rPr>
        <w:t xml:space="preserve"> </w:t>
      </w:r>
      <w:r w:rsidR="004A76E2">
        <w:rPr>
          <w:rFonts w:ascii="Times New Roman" w:hAnsi="Times New Roman" w:cs="Times New Roman"/>
          <w:sz w:val="24"/>
          <w:szCs w:val="24"/>
        </w:rPr>
        <w:t>in the training of school principals and teachers</w:t>
      </w:r>
      <w:r w:rsidR="00C11B5C">
        <w:rPr>
          <w:rFonts w:ascii="Times New Roman" w:hAnsi="Times New Roman" w:cs="Times New Roman"/>
          <w:sz w:val="24"/>
          <w:szCs w:val="24"/>
        </w:rPr>
        <w:t xml:space="preserve"> and design and implementation of a quality assurance system for the education system as a whole</w:t>
      </w:r>
      <w:r w:rsidR="00CF31D3" w:rsidRPr="00CF31D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22BE5" w:rsidRDefault="00722BE5" w:rsidP="00722BE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722BE5" w:rsidRPr="00722BE5" w:rsidRDefault="00722BE5" w:rsidP="00722BE5">
      <w:pPr>
        <w:pStyle w:val="ListParagraph"/>
        <w:numPr>
          <w:ilvl w:val="0"/>
          <w:numId w:val="1"/>
        </w:numPr>
        <w:jc w:val="center"/>
        <w:rPr>
          <w:rFonts w:ascii="Times New Roman Bold" w:hAnsi="Times New Roman Bold" w:cs="Times New Roman"/>
          <w:b/>
          <w:smallCaps/>
          <w:sz w:val="24"/>
          <w:szCs w:val="24"/>
        </w:rPr>
      </w:pPr>
      <w:r>
        <w:rPr>
          <w:rFonts w:ascii="Times New Roman Bold" w:hAnsi="Times New Roman Bold" w:cs="Times New Roman"/>
          <w:b/>
          <w:smallCaps/>
          <w:sz w:val="24"/>
          <w:szCs w:val="24"/>
        </w:rPr>
        <w:t>Environmental and Social Risks and Impacts</w:t>
      </w:r>
    </w:p>
    <w:p w:rsidR="009B4C8F" w:rsidRDefault="00722BE5" w:rsidP="00722BE5">
      <w:pPr>
        <w:ind w:left="720" w:hanging="72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>
        <w:rPr>
          <w:rFonts w:ascii="Times New Roman" w:hAnsi="Times New Roman" w:cs="Times New Roman"/>
          <w:sz w:val="24"/>
          <w:szCs w:val="24"/>
        </w:rPr>
        <w:tab/>
      </w:r>
      <w:r w:rsidR="00102C84" w:rsidRPr="00F1606E">
        <w:rPr>
          <w:rFonts w:ascii="Times New Roman" w:hAnsi="Times New Roman" w:cs="Times New Roman"/>
          <w:sz w:val="24"/>
          <w:szCs w:val="24"/>
        </w:rPr>
        <w:t>There are no environmental or social risks associated with the activities outlined in this operation. In accordance with the results of the "</w:t>
      </w:r>
      <w:r w:rsidR="00102C84" w:rsidRPr="00F1606E">
        <w:rPr>
          <w:rFonts w:ascii="Times New Roman" w:hAnsi="Times New Roman" w:cs="Times New Roman"/>
          <w:i/>
          <w:sz w:val="24"/>
          <w:szCs w:val="24"/>
        </w:rPr>
        <w:t>Safeguards Policy Filter Report</w:t>
      </w:r>
      <w:r w:rsidR="00102C84" w:rsidRPr="00F1606E">
        <w:rPr>
          <w:rFonts w:ascii="Times New Roman" w:hAnsi="Times New Roman" w:cs="Times New Roman"/>
          <w:sz w:val="24"/>
          <w:szCs w:val="24"/>
        </w:rPr>
        <w:t xml:space="preserve">," it is proposed that the transaction be classified as category "C” (see </w:t>
      </w:r>
      <w:hyperlink r:id="rId8" w:history="1">
        <w:r w:rsidR="00102C84" w:rsidRPr="00F73A29">
          <w:rPr>
            <w:rStyle w:val="Hyperlink"/>
            <w:rFonts w:ascii="Times New Roman" w:hAnsi="Times New Roman" w:cs="Times New Roman"/>
            <w:sz w:val="24"/>
            <w:szCs w:val="24"/>
          </w:rPr>
          <w:t>Annex II</w:t>
        </w:r>
      </w:hyperlink>
      <w:bookmarkStart w:id="1" w:name="_GoBack"/>
      <w:bookmarkEnd w:id="1"/>
      <w:r w:rsidR="00102C84" w:rsidRPr="00F1606E">
        <w:rPr>
          <w:rFonts w:ascii="Times New Roman" w:hAnsi="Times New Roman" w:cs="Times New Roman"/>
          <w:sz w:val="24"/>
          <w:szCs w:val="24"/>
        </w:rPr>
        <w:t>).</w:t>
      </w:r>
    </w:p>
    <w:sectPr w:rsidR="009B4C8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9A2" w:rsidRDefault="002E69A2" w:rsidP="00102C84">
      <w:pPr>
        <w:spacing w:after="0" w:line="240" w:lineRule="auto"/>
      </w:pPr>
      <w:r>
        <w:separator/>
      </w:r>
    </w:p>
  </w:endnote>
  <w:endnote w:type="continuationSeparator" w:id="0">
    <w:p w:rsidR="002E69A2" w:rsidRDefault="002E69A2" w:rsidP="00102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9A2" w:rsidRDefault="002E69A2" w:rsidP="00102C84">
      <w:pPr>
        <w:spacing w:after="0" w:line="240" w:lineRule="auto"/>
      </w:pPr>
      <w:r>
        <w:separator/>
      </w:r>
    </w:p>
  </w:footnote>
  <w:footnote w:type="continuationSeparator" w:id="0">
    <w:p w:rsidR="002E69A2" w:rsidRDefault="002E69A2" w:rsidP="00102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02C84" w:rsidRPr="00102C84" w:rsidRDefault="00102C84">
        <w:pPr>
          <w:pStyle w:val="Head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02C84">
          <w:rPr>
            <w:rFonts w:ascii="Times New Roman" w:hAnsi="Times New Roman" w:cs="Times New Roman"/>
            <w:sz w:val="20"/>
            <w:szCs w:val="20"/>
          </w:rPr>
          <w:t xml:space="preserve">Annex III – </w:t>
        </w:r>
        <w:r w:rsidR="004A76E2">
          <w:rPr>
            <w:rFonts w:ascii="Times New Roman" w:hAnsi="Times New Roman" w:cs="Times New Roman"/>
            <w:sz w:val="20"/>
            <w:szCs w:val="20"/>
          </w:rPr>
          <w:t>BL</w:t>
        </w:r>
        <w:r w:rsidRPr="00102C84">
          <w:rPr>
            <w:rFonts w:ascii="Times New Roman" w:hAnsi="Times New Roman" w:cs="Times New Roman"/>
            <w:sz w:val="20"/>
            <w:szCs w:val="20"/>
          </w:rPr>
          <w:t>-L10</w:t>
        </w:r>
        <w:r w:rsidR="004A76E2">
          <w:rPr>
            <w:rFonts w:ascii="Times New Roman" w:hAnsi="Times New Roman" w:cs="Times New Roman"/>
            <w:sz w:val="20"/>
            <w:szCs w:val="20"/>
          </w:rPr>
          <w:t>18</w:t>
        </w:r>
      </w:p>
      <w:p w:rsidR="00102C84" w:rsidRPr="00102C84" w:rsidRDefault="00102C84">
        <w:pPr>
          <w:pStyle w:val="Head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02C84">
          <w:rPr>
            <w:rFonts w:ascii="Times New Roman" w:hAnsi="Times New Roman" w:cs="Times New Roman"/>
            <w:sz w:val="20"/>
            <w:szCs w:val="20"/>
          </w:rPr>
          <w:t xml:space="preserve">Page </w:t>
        </w:r>
        <w:r w:rsidRPr="00102C84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102C84">
          <w:rPr>
            <w:rFonts w:ascii="Times New Roman" w:hAnsi="Times New Roman" w:cs="Times New Roman"/>
            <w:b/>
            <w:bCs/>
            <w:sz w:val="20"/>
            <w:szCs w:val="20"/>
          </w:rPr>
          <w:instrText xml:space="preserve"> PAGE </w:instrText>
        </w:r>
        <w:r w:rsidRPr="00102C84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933A45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102C84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102C84">
          <w:rPr>
            <w:rFonts w:ascii="Times New Roman" w:hAnsi="Times New Roman" w:cs="Times New Roman"/>
            <w:sz w:val="20"/>
            <w:szCs w:val="20"/>
          </w:rPr>
          <w:t xml:space="preserve"> of </w:t>
        </w:r>
        <w:r w:rsidRPr="00102C84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102C84">
          <w:rPr>
            <w:rFonts w:ascii="Times New Roman" w:hAnsi="Times New Roman" w:cs="Times New Roman"/>
            <w:b/>
            <w:bCs/>
            <w:sz w:val="20"/>
            <w:szCs w:val="20"/>
          </w:rPr>
          <w:instrText xml:space="preserve"> NUMPAGES  </w:instrText>
        </w:r>
        <w:r w:rsidRPr="00102C84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933A45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102C84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  <w:p w:rsidR="00102C84" w:rsidRDefault="00102C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A2264"/>
    <w:multiLevelType w:val="hybridMultilevel"/>
    <w:tmpl w:val="D9C04726"/>
    <w:lvl w:ilvl="0" w:tplc="4EF44F40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68391E68"/>
    <w:multiLevelType w:val="hybridMultilevel"/>
    <w:tmpl w:val="D9C04726"/>
    <w:lvl w:ilvl="0" w:tplc="4EF44F40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84"/>
    <w:rsid w:val="00097862"/>
    <w:rsid w:val="00102C84"/>
    <w:rsid w:val="002E69A2"/>
    <w:rsid w:val="003710AE"/>
    <w:rsid w:val="004A76E2"/>
    <w:rsid w:val="0062702E"/>
    <w:rsid w:val="00722BE5"/>
    <w:rsid w:val="00892619"/>
    <w:rsid w:val="00933A45"/>
    <w:rsid w:val="009B4C8F"/>
    <w:rsid w:val="009B75AB"/>
    <w:rsid w:val="00C11B5C"/>
    <w:rsid w:val="00CF31D3"/>
    <w:rsid w:val="00D30D0A"/>
    <w:rsid w:val="00D50D10"/>
    <w:rsid w:val="00E17952"/>
    <w:rsid w:val="00F73A29"/>
    <w:rsid w:val="00FC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2C84"/>
    <w:pPr>
      <w:tabs>
        <w:tab w:val="center" w:pos="4680"/>
        <w:tab w:val="right" w:pos="9360"/>
      </w:tabs>
      <w:spacing w:after="0" w:line="240" w:lineRule="auto"/>
    </w:pPr>
    <w:rPr>
      <w:lang w:val="es-ES"/>
    </w:rPr>
  </w:style>
  <w:style w:type="character" w:customStyle="1" w:styleId="HeaderChar">
    <w:name w:val="Header Char"/>
    <w:basedOn w:val="DefaultParagraphFont"/>
    <w:link w:val="Header"/>
    <w:uiPriority w:val="99"/>
    <w:rsid w:val="00102C84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102C84"/>
    <w:pPr>
      <w:tabs>
        <w:tab w:val="center" w:pos="4680"/>
        <w:tab w:val="right" w:pos="9360"/>
      </w:tabs>
      <w:spacing w:after="0" w:line="240" w:lineRule="auto"/>
    </w:pPr>
    <w:rPr>
      <w:lang w:val="es-ES"/>
    </w:rPr>
  </w:style>
  <w:style w:type="character" w:customStyle="1" w:styleId="FooterChar">
    <w:name w:val="Footer Char"/>
    <w:basedOn w:val="DefaultParagraphFont"/>
    <w:link w:val="Footer"/>
    <w:uiPriority w:val="99"/>
    <w:rsid w:val="00102C84"/>
    <w:rPr>
      <w:lang w:val="es-ES"/>
    </w:rPr>
  </w:style>
  <w:style w:type="character" w:styleId="Hyperlink">
    <w:name w:val="Hyperlink"/>
    <w:basedOn w:val="DefaultParagraphFont"/>
    <w:uiPriority w:val="99"/>
    <w:unhideWhenUsed/>
    <w:rsid w:val="00F73A2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2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2C84"/>
    <w:pPr>
      <w:tabs>
        <w:tab w:val="center" w:pos="4680"/>
        <w:tab w:val="right" w:pos="9360"/>
      </w:tabs>
      <w:spacing w:after="0" w:line="240" w:lineRule="auto"/>
    </w:pPr>
    <w:rPr>
      <w:lang w:val="es-ES"/>
    </w:rPr>
  </w:style>
  <w:style w:type="character" w:customStyle="1" w:styleId="HeaderChar">
    <w:name w:val="Header Char"/>
    <w:basedOn w:val="DefaultParagraphFont"/>
    <w:link w:val="Header"/>
    <w:uiPriority w:val="99"/>
    <w:rsid w:val="00102C84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102C84"/>
    <w:pPr>
      <w:tabs>
        <w:tab w:val="center" w:pos="4680"/>
        <w:tab w:val="right" w:pos="9360"/>
      </w:tabs>
      <w:spacing w:after="0" w:line="240" w:lineRule="auto"/>
    </w:pPr>
    <w:rPr>
      <w:lang w:val="es-ES"/>
    </w:rPr>
  </w:style>
  <w:style w:type="character" w:customStyle="1" w:styleId="FooterChar">
    <w:name w:val="Footer Char"/>
    <w:basedOn w:val="DefaultParagraphFont"/>
    <w:link w:val="Footer"/>
    <w:uiPriority w:val="99"/>
    <w:rsid w:val="00102C84"/>
    <w:rPr>
      <w:lang w:val="es-ES"/>
    </w:rPr>
  </w:style>
  <w:style w:type="character" w:styleId="Hyperlink">
    <w:name w:val="Hyperlink"/>
    <w:basedOn w:val="DefaultParagraphFont"/>
    <w:uiPriority w:val="99"/>
    <w:unhideWhenUsed/>
    <w:rsid w:val="00F73A2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2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bdocs.iadb.org/wsdocs/getDocument.aspx?DOCNUM=38244540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38239968</IDBDocs_x0020_Number>
    <TaxCatchAll xmlns="9c571b2f-e523-4ab2-ba2e-09e151a03ef4">
      <Value>8</Value>
      <Value>9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Naslund-Hadley, Emma Ingrid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BL-L1018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WORD&lt;/APPLICATION&gt;&lt;USER_STAGE&gt;Project Profile&lt;/USER_STAGE&gt;&lt;PD_OBJ_TYPE&gt;0&lt;/PD_OBJ_TYPE&gt;&lt;MAKERECORD&gt;N&lt;/MAKERECORD&gt;&lt;/Data&gt;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ANNEX</Identifier>
    <Disclosure_x0020_Activity xmlns="9c571b2f-e523-4ab2-ba2e-09e151a03ef4">Project Profile</Disclosure_x0020_Activity>
    <Webtopic xmlns="9c571b2f-e523-4ab2-ba2e-09e151a03ef4">ED-EDU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7B33C7A518D52A46BBAD3888BEE6AB1B" ma:contentTypeVersion="0" ma:contentTypeDescription="A content type to manage public (operations) IDB documents" ma:contentTypeScope="" ma:versionID="a0b99798cbbb2a391cb990beee9c695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10a46e1263799c4f55e6904560e9fca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eb214099-d079-4df5-9de7-fdb79e263d82}" ma:internalName="TaxCatchAll" ma:showField="CatchAllData" ma:web="21cc7f58-4309-4da0-a9e1-0e001f4ad1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eb214099-d079-4df5-9de7-fdb79e263d82}" ma:internalName="TaxCatchAllLabel" ma:readOnly="true" ma:showField="CatchAllDataLabel" ma:web="21cc7f58-4309-4da0-a9e1-0e001f4ad1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62091-B74C-4D02-B2F7-4566500C5ED1}"/>
</file>

<file path=customXml/itemProps2.xml><?xml version="1.0" encoding="utf-8"?>
<ds:datastoreItem xmlns:ds="http://schemas.openxmlformats.org/officeDocument/2006/customXml" ds:itemID="{1CE0561A-BEF1-48E2-8A89-A535B2180193}"/>
</file>

<file path=customXml/itemProps3.xml><?xml version="1.0" encoding="utf-8"?>
<ds:datastoreItem xmlns:ds="http://schemas.openxmlformats.org/officeDocument/2006/customXml" ds:itemID="{EEE6045C-3C95-42FD-A5B7-79A625BCD791}"/>
</file>

<file path=customXml/itemProps4.xml><?xml version="1.0" encoding="utf-8"?>
<ds:datastoreItem xmlns:ds="http://schemas.openxmlformats.org/officeDocument/2006/customXml" ds:itemID="{D3F94187-8E88-419F-A6E5-CEFD82423FC1}"/>
</file>

<file path=customXml/itemProps5.xml><?xml version="1.0" encoding="utf-8"?>
<ds:datastoreItem xmlns:ds="http://schemas.openxmlformats.org/officeDocument/2006/customXml" ds:itemID="{3E18A141-5CE7-4C24-BEA1-970E8EEE6E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Profile Annex III ESS</dc:title>
  <dc:creator>Inter-American Development Bank</dc:creator>
  <cp:lastModifiedBy>Livia</cp:lastModifiedBy>
  <cp:revision>4</cp:revision>
  <cp:lastPrinted>2014-04-28T15:26:00Z</cp:lastPrinted>
  <dcterms:created xsi:type="dcterms:W3CDTF">2013-12-11T14:51:00Z</dcterms:created>
  <dcterms:modified xsi:type="dcterms:W3CDTF">2014-04-28T23:11:00Z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0x01010046CF21643EE8D14686A648AA6DAD0892007B33C7A518D52A46BBAD3888BEE6AB1B</vt:lpwstr>
  </property>
  <property fmtid="{D5CDD505-2E9C-101B-9397-08002B2CF9AE}" pid="3" name="TaxKeyword">
    <vt:lpwstr/>
  </property>
  <property fmtid="{D5CDD505-2E9C-101B-9397-08002B2CF9AE}" pid="4" name="Function Operations IDB">
    <vt:lpwstr>9;#IDBDocs|cca77002-e150-4b2d-ab1f-1d7a7cdcae16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8;#Unclassified|a6dff32e-d477-44cd-a56b-85efe9e0a56c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8;#Unclassified|a6dff32e-d477-44cd-a56b-85efe9e0a56c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