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8.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9.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3AE" w:rsidRPr="00A02489" w:rsidRDefault="00224017" w:rsidP="00341A7E">
      <w:pPr>
        <w:autoSpaceDE w:val="0"/>
        <w:autoSpaceDN w:val="0"/>
        <w:adjustRightInd w:val="0"/>
        <w:spacing w:after="120" w:line="240" w:lineRule="auto"/>
        <w:jc w:val="center"/>
        <w:rPr>
          <w:rFonts w:ascii="Arial" w:hAnsi="Arial" w:cs="Arial"/>
          <w:b/>
          <w:bCs/>
          <w:smallCaps/>
          <w:sz w:val="24"/>
          <w:szCs w:val="28"/>
        </w:rPr>
      </w:pPr>
      <w:proofErr w:type="spellStart"/>
      <w:r w:rsidRPr="00A02489">
        <w:rPr>
          <w:rFonts w:ascii="Arial" w:hAnsi="Arial" w:cs="Arial"/>
          <w:b/>
          <w:bCs/>
          <w:smallCaps/>
          <w:sz w:val="24"/>
          <w:szCs w:val="28"/>
        </w:rPr>
        <w:t>Matriz</w:t>
      </w:r>
      <w:proofErr w:type="spellEnd"/>
      <w:r w:rsidRPr="00A02489">
        <w:rPr>
          <w:rFonts w:ascii="Arial" w:hAnsi="Arial" w:cs="Arial"/>
          <w:b/>
          <w:bCs/>
          <w:smallCaps/>
          <w:sz w:val="24"/>
          <w:szCs w:val="28"/>
        </w:rPr>
        <w:t xml:space="preserve"> de </w:t>
      </w:r>
      <w:proofErr w:type="spellStart"/>
      <w:r w:rsidRPr="00A02489">
        <w:rPr>
          <w:rFonts w:ascii="Arial" w:hAnsi="Arial" w:cs="Arial"/>
          <w:b/>
          <w:bCs/>
          <w:smallCaps/>
          <w:sz w:val="24"/>
          <w:szCs w:val="28"/>
        </w:rPr>
        <w:t>Resultados</w:t>
      </w:r>
      <w:proofErr w:type="spellEnd"/>
    </w:p>
    <w:p w:rsidR="00795640" w:rsidRPr="00A02489" w:rsidRDefault="00795640" w:rsidP="00341A7E">
      <w:pPr>
        <w:autoSpaceDE w:val="0"/>
        <w:autoSpaceDN w:val="0"/>
        <w:adjustRightInd w:val="0"/>
        <w:spacing w:after="120" w:line="240" w:lineRule="auto"/>
        <w:jc w:val="center"/>
        <w:rPr>
          <w:rFonts w:ascii="Arial" w:hAnsi="Arial" w:cs="Arial"/>
          <w:b/>
          <w:bCs/>
          <w:smallCaps/>
          <w:szCs w:val="28"/>
        </w:rPr>
      </w:pPr>
    </w:p>
    <w:p w:rsidR="0062034F" w:rsidRPr="00A02489" w:rsidRDefault="0062034F" w:rsidP="00341A7E">
      <w:pPr>
        <w:autoSpaceDE w:val="0"/>
        <w:autoSpaceDN w:val="0"/>
        <w:adjustRightInd w:val="0"/>
        <w:spacing w:after="120" w:line="240" w:lineRule="auto"/>
        <w:jc w:val="center"/>
        <w:rPr>
          <w:rFonts w:ascii="Arial" w:hAnsi="Arial" w:cs="Arial"/>
          <w:b/>
          <w:bCs/>
          <w:smallCaps/>
          <w:szCs w:val="28"/>
        </w:rPr>
      </w:pPr>
    </w:p>
    <w:tbl>
      <w:tblPr>
        <w:tblStyle w:val="TableGrid"/>
        <w:tblW w:w="0" w:type="auto"/>
        <w:tblLook w:val="04A0" w:firstRow="1" w:lastRow="0" w:firstColumn="1" w:lastColumn="0" w:noHBand="0" w:noVBand="1"/>
      </w:tblPr>
      <w:tblGrid>
        <w:gridCol w:w="2718"/>
        <w:gridCol w:w="10170"/>
      </w:tblGrid>
      <w:tr w:rsidR="00795640" w:rsidRPr="002D7449" w:rsidTr="00C34F24">
        <w:tc>
          <w:tcPr>
            <w:tcW w:w="2718" w:type="dxa"/>
          </w:tcPr>
          <w:p w:rsidR="00795640" w:rsidRPr="00A02489" w:rsidRDefault="00224017" w:rsidP="008E4E8A">
            <w:pPr>
              <w:pStyle w:val="Paragraph"/>
              <w:numPr>
                <w:ilvl w:val="0"/>
                <w:numId w:val="0"/>
              </w:numPr>
              <w:jc w:val="left"/>
              <w:rPr>
                <w:rFonts w:ascii="Arial" w:hAnsi="Arial" w:cs="Arial"/>
                <w:b/>
                <w:sz w:val="20"/>
                <w:lang w:val="es-CO"/>
              </w:rPr>
            </w:pPr>
            <w:r w:rsidRPr="00A02489">
              <w:rPr>
                <w:rFonts w:ascii="Arial" w:hAnsi="Arial" w:cs="Arial"/>
                <w:b/>
                <w:sz w:val="20"/>
              </w:rPr>
              <w:t>Objetivo del Proyecto</w:t>
            </w:r>
            <w:r w:rsidR="00795640" w:rsidRPr="00A02489">
              <w:rPr>
                <w:rFonts w:ascii="Arial" w:hAnsi="Arial" w:cs="Arial"/>
                <w:b/>
                <w:sz w:val="20"/>
              </w:rPr>
              <w:t>:</w:t>
            </w:r>
          </w:p>
        </w:tc>
        <w:tc>
          <w:tcPr>
            <w:tcW w:w="10170" w:type="dxa"/>
          </w:tcPr>
          <w:p w:rsidR="002C020A" w:rsidRPr="00A02489" w:rsidRDefault="008E4E8A" w:rsidP="00C34F24">
            <w:pPr>
              <w:pStyle w:val="Paragraph"/>
              <w:numPr>
                <w:ilvl w:val="0"/>
                <w:numId w:val="0"/>
              </w:numPr>
              <w:rPr>
                <w:rFonts w:ascii="Arial" w:hAnsi="Arial" w:cs="Arial"/>
                <w:sz w:val="20"/>
                <w:lang w:val="es-CO"/>
              </w:rPr>
            </w:pPr>
            <w:r w:rsidRPr="00A02489">
              <w:rPr>
                <w:rFonts w:ascii="Arial" w:hAnsi="Arial" w:cs="Arial"/>
                <w:sz w:val="20"/>
                <w:lang w:val="es-CO"/>
              </w:rPr>
              <w:t>El objetivo general de la serie programática es fortalecer las finanzas públicas mediante el aumento</w:t>
            </w:r>
            <w:r w:rsidR="00F60B79" w:rsidRPr="00A02489">
              <w:rPr>
                <w:rFonts w:ascii="Arial" w:hAnsi="Arial" w:cs="Arial"/>
                <w:sz w:val="20"/>
                <w:lang w:val="es-CO"/>
              </w:rPr>
              <w:t xml:space="preserve"> de</w:t>
            </w:r>
            <w:r w:rsidRPr="00A02489">
              <w:rPr>
                <w:rFonts w:ascii="Arial" w:hAnsi="Arial" w:cs="Arial"/>
                <w:sz w:val="20"/>
                <w:lang w:val="es-CO"/>
              </w:rPr>
              <w:t xml:space="preserve"> los ingresos tributarios y el control del gasto público.</w:t>
            </w:r>
          </w:p>
        </w:tc>
      </w:tr>
    </w:tbl>
    <w:p w:rsidR="00795640" w:rsidRPr="00A02489" w:rsidRDefault="00795640" w:rsidP="005F0F86">
      <w:pPr>
        <w:autoSpaceDE w:val="0"/>
        <w:autoSpaceDN w:val="0"/>
        <w:adjustRightInd w:val="0"/>
        <w:spacing w:after="120" w:line="240" w:lineRule="auto"/>
        <w:jc w:val="both"/>
        <w:rPr>
          <w:rFonts w:ascii="Arial" w:hAnsi="Arial" w:cs="Arial"/>
          <w:b/>
          <w:lang w:val="es-ES_tradnl"/>
        </w:rPr>
      </w:pPr>
    </w:p>
    <w:p w:rsidR="0062034F" w:rsidRPr="00A02489" w:rsidRDefault="0062034F" w:rsidP="005F0F86">
      <w:pPr>
        <w:autoSpaceDE w:val="0"/>
        <w:autoSpaceDN w:val="0"/>
        <w:adjustRightInd w:val="0"/>
        <w:spacing w:after="120" w:line="240" w:lineRule="auto"/>
        <w:jc w:val="both"/>
        <w:rPr>
          <w:rFonts w:ascii="Arial" w:hAnsi="Arial" w:cs="Arial"/>
          <w:b/>
          <w:lang w:val="es-ES_tradnl"/>
        </w:rPr>
      </w:pPr>
    </w:p>
    <w:p w:rsidR="0096592B" w:rsidRPr="00A02489" w:rsidRDefault="0096592B" w:rsidP="0096592B">
      <w:pPr>
        <w:spacing w:after="120" w:line="240" w:lineRule="auto"/>
        <w:jc w:val="center"/>
        <w:rPr>
          <w:rFonts w:ascii="Arial" w:hAnsi="Arial" w:cs="Arial"/>
          <w:b/>
          <w:smallCaps/>
          <w:lang w:val="es-CO"/>
        </w:rPr>
      </w:pPr>
      <w:r w:rsidRPr="00A02489">
        <w:rPr>
          <w:rFonts w:ascii="Arial" w:hAnsi="Arial" w:cs="Arial"/>
          <w:b/>
          <w:smallCaps/>
          <w:lang w:val="es-CO"/>
        </w:rPr>
        <w:t>Impacto Esperado</w:t>
      </w:r>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1080"/>
        <w:gridCol w:w="900"/>
        <w:gridCol w:w="900"/>
        <w:gridCol w:w="990"/>
        <w:gridCol w:w="810"/>
        <w:gridCol w:w="2250"/>
        <w:gridCol w:w="3150"/>
      </w:tblGrid>
      <w:tr w:rsidR="00795640" w:rsidRPr="00A02489" w:rsidTr="00C676E5">
        <w:trPr>
          <w:trHeight w:val="347"/>
        </w:trPr>
        <w:tc>
          <w:tcPr>
            <w:tcW w:w="2970" w:type="dxa"/>
            <w:vMerge w:val="restart"/>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proofErr w:type="spellStart"/>
            <w:r w:rsidRPr="00A02489">
              <w:rPr>
                <w:rFonts w:ascii="Arial" w:hAnsi="Arial" w:cs="Arial"/>
                <w:b/>
                <w:sz w:val="20"/>
              </w:rPr>
              <w:t>Indicadores</w:t>
            </w:r>
            <w:proofErr w:type="spellEnd"/>
          </w:p>
        </w:tc>
        <w:tc>
          <w:tcPr>
            <w:tcW w:w="1080" w:type="dxa"/>
            <w:vMerge w:val="restart"/>
            <w:shd w:val="clear" w:color="auto" w:fill="D9D9D9" w:themeFill="background1" w:themeFillShade="D9"/>
            <w:vAlign w:val="center"/>
          </w:tcPr>
          <w:p w:rsidR="00795640" w:rsidRPr="00A02489" w:rsidRDefault="0096592B" w:rsidP="0040752D">
            <w:pPr>
              <w:spacing w:after="0" w:line="240" w:lineRule="auto"/>
              <w:jc w:val="center"/>
              <w:rPr>
                <w:rFonts w:ascii="Arial" w:hAnsi="Arial" w:cs="Arial"/>
                <w:b/>
                <w:sz w:val="20"/>
              </w:rPr>
            </w:pPr>
            <w:proofErr w:type="spellStart"/>
            <w:r w:rsidRPr="00A02489">
              <w:rPr>
                <w:rFonts w:ascii="Arial" w:hAnsi="Arial" w:cs="Arial"/>
                <w:b/>
                <w:sz w:val="20"/>
              </w:rPr>
              <w:t>U</w:t>
            </w:r>
            <w:r w:rsidR="006C0F90" w:rsidRPr="00A02489">
              <w:rPr>
                <w:rFonts w:ascii="Arial" w:hAnsi="Arial" w:cs="Arial"/>
                <w:b/>
                <w:sz w:val="20"/>
              </w:rPr>
              <w:t>nidad</w:t>
            </w:r>
            <w:proofErr w:type="spellEnd"/>
            <w:r w:rsidR="006C0F90" w:rsidRPr="00A02489">
              <w:rPr>
                <w:rFonts w:ascii="Arial" w:hAnsi="Arial" w:cs="Arial"/>
                <w:b/>
                <w:sz w:val="20"/>
              </w:rPr>
              <w:t xml:space="preserve"> de </w:t>
            </w:r>
            <w:proofErr w:type="spellStart"/>
            <w:r w:rsidR="006C0F90" w:rsidRPr="00A02489">
              <w:rPr>
                <w:rFonts w:ascii="Arial" w:hAnsi="Arial" w:cs="Arial"/>
                <w:b/>
                <w:sz w:val="20"/>
              </w:rPr>
              <w:t>m</w:t>
            </w:r>
            <w:r w:rsidRPr="00A02489">
              <w:rPr>
                <w:rFonts w:ascii="Arial" w:hAnsi="Arial" w:cs="Arial"/>
                <w:b/>
                <w:sz w:val="20"/>
              </w:rPr>
              <w:t>edida</w:t>
            </w:r>
            <w:proofErr w:type="spellEnd"/>
            <w:r w:rsidR="00795640" w:rsidRPr="00A02489">
              <w:rPr>
                <w:rFonts w:ascii="Arial" w:hAnsi="Arial" w:cs="Arial"/>
                <w:b/>
                <w:sz w:val="20"/>
              </w:rPr>
              <w:t xml:space="preserve"> </w:t>
            </w:r>
          </w:p>
        </w:tc>
        <w:tc>
          <w:tcPr>
            <w:tcW w:w="1800" w:type="dxa"/>
            <w:gridSpan w:val="2"/>
            <w:tcBorders>
              <w:bottom w:val="single" w:sz="4" w:space="0" w:color="000000"/>
            </w:tcBorders>
            <w:shd w:val="clear" w:color="auto" w:fill="D9D9D9" w:themeFill="background1" w:themeFillShade="D9"/>
            <w:vAlign w:val="center"/>
          </w:tcPr>
          <w:p w:rsidR="00795640" w:rsidRPr="00A02489" w:rsidRDefault="0096592B" w:rsidP="00795640">
            <w:pPr>
              <w:spacing w:after="0" w:line="240" w:lineRule="auto"/>
              <w:jc w:val="center"/>
              <w:rPr>
                <w:rFonts w:ascii="Arial" w:hAnsi="Arial" w:cs="Arial"/>
                <w:b/>
                <w:sz w:val="20"/>
              </w:rPr>
            </w:pPr>
            <w:proofErr w:type="spellStart"/>
            <w:r w:rsidRPr="00A02489">
              <w:rPr>
                <w:rFonts w:ascii="Arial" w:hAnsi="Arial" w:cs="Arial"/>
                <w:b/>
                <w:sz w:val="20"/>
              </w:rPr>
              <w:t>Línea</w:t>
            </w:r>
            <w:proofErr w:type="spellEnd"/>
            <w:r w:rsidRPr="00A02489">
              <w:rPr>
                <w:rFonts w:ascii="Arial" w:hAnsi="Arial" w:cs="Arial"/>
                <w:b/>
                <w:sz w:val="20"/>
              </w:rPr>
              <w:t xml:space="preserve"> de base</w:t>
            </w:r>
          </w:p>
        </w:tc>
        <w:tc>
          <w:tcPr>
            <w:tcW w:w="1800" w:type="dxa"/>
            <w:gridSpan w:val="2"/>
            <w:tcBorders>
              <w:bottom w:val="single" w:sz="4" w:space="0" w:color="000000"/>
            </w:tcBorders>
            <w:shd w:val="clear" w:color="auto" w:fill="D9D9D9" w:themeFill="background1" w:themeFillShade="D9"/>
            <w:vAlign w:val="center"/>
          </w:tcPr>
          <w:p w:rsidR="00795640" w:rsidRPr="00A02489" w:rsidRDefault="0096592B" w:rsidP="00795640">
            <w:pPr>
              <w:spacing w:after="0" w:line="240" w:lineRule="auto"/>
              <w:jc w:val="center"/>
              <w:rPr>
                <w:rFonts w:ascii="Arial" w:hAnsi="Arial" w:cs="Arial"/>
                <w:b/>
                <w:sz w:val="20"/>
              </w:rPr>
            </w:pPr>
            <w:proofErr w:type="spellStart"/>
            <w:r w:rsidRPr="00A02489">
              <w:rPr>
                <w:rFonts w:ascii="Arial" w:hAnsi="Arial" w:cs="Arial"/>
                <w:b/>
                <w:sz w:val="20"/>
              </w:rPr>
              <w:t>Metas</w:t>
            </w:r>
            <w:proofErr w:type="spellEnd"/>
          </w:p>
        </w:tc>
        <w:tc>
          <w:tcPr>
            <w:tcW w:w="2250" w:type="dxa"/>
            <w:vMerge w:val="restart"/>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r w:rsidRPr="00A02489">
              <w:rPr>
                <w:rFonts w:ascii="Arial" w:hAnsi="Arial" w:cs="Arial"/>
                <w:b/>
                <w:sz w:val="20"/>
              </w:rPr>
              <w:t xml:space="preserve">Medio de </w:t>
            </w:r>
            <w:proofErr w:type="spellStart"/>
            <w:r w:rsidRPr="00A02489">
              <w:rPr>
                <w:rFonts w:ascii="Arial" w:hAnsi="Arial" w:cs="Arial"/>
                <w:b/>
                <w:sz w:val="20"/>
              </w:rPr>
              <w:t>verificación</w:t>
            </w:r>
            <w:proofErr w:type="spellEnd"/>
          </w:p>
        </w:tc>
        <w:tc>
          <w:tcPr>
            <w:tcW w:w="3150" w:type="dxa"/>
            <w:vMerge w:val="restart"/>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proofErr w:type="spellStart"/>
            <w:r w:rsidRPr="00A02489">
              <w:rPr>
                <w:rFonts w:ascii="Arial" w:hAnsi="Arial" w:cs="Arial"/>
                <w:b/>
                <w:sz w:val="20"/>
              </w:rPr>
              <w:t>Observaciones</w:t>
            </w:r>
            <w:proofErr w:type="spellEnd"/>
          </w:p>
        </w:tc>
      </w:tr>
      <w:tr w:rsidR="00795640" w:rsidRPr="00A02489" w:rsidTr="00C676E5">
        <w:trPr>
          <w:trHeight w:val="346"/>
        </w:trPr>
        <w:tc>
          <w:tcPr>
            <w:tcW w:w="2970" w:type="dxa"/>
            <w:vMerge/>
            <w:tcBorders>
              <w:bottom w:val="single" w:sz="4" w:space="0" w:color="000000"/>
            </w:tcBorders>
            <w:shd w:val="clear" w:color="auto" w:fill="FFFF99"/>
            <w:vAlign w:val="center"/>
          </w:tcPr>
          <w:p w:rsidR="00795640" w:rsidRPr="00A02489" w:rsidRDefault="00795640" w:rsidP="002F6A68">
            <w:pPr>
              <w:spacing w:after="0" w:line="240" w:lineRule="auto"/>
              <w:jc w:val="center"/>
              <w:rPr>
                <w:rFonts w:ascii="Arial" w:hAnsi="Arial" w:cs="Arial"/>
                <w:b/>
              </w:rPr>
            </w:pPr>
          </w:p>
        </w:tc>
        <w:tc>
          <w:tcPr>
            <w:tcW w:w="1080" w:type="dxa"/>
            <w:vMerge/>
            <w:tcBorders>
              <w:bottom w:val="single" w:sz="4" w:space="0" w:color="000000"/>
            </w:tcBorders>
            <w:shd w:val="clear" w:color="auto" w:fill="FFFF99"/>
            <w:vAlign w:val="center"/>
          </w:tcPr>
          <w:p w:rsidR="00795640" w:rsidRPr="00A02489" w:rsidRDefault="00795640" w:rsidP="0040752D">
            <w:pPr>
              <w:spacing w:after="0" w:line="240" w:lineRule="auto"/>
              <w:jc w:val="center"/>
              <w:rPr>
                <w:rFonts w:ascii="Arial" w:hAnsi="Arial" w:cs="Arial"/>
                <w:b/>
              </w:rPr>
            </w:pPr>
          </w:p>
        </w:tc>
        <w:tc>
          <w:tcPr>
            <w:tcW w:w="900" w:type="dxa"/>
            <w:tcBorders>
              <w:bottom w:val="single" w:sz="4" w:space="0" w:color="000000"/>
            </w:tcBorders>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r w:rsidRPr="00A02489">
              <w:rPr>
                <w:rFonts w:ascii="Arial" w:hAnsi="Arial" w:cs="Arial"/>
                <w:b/>
                <w:sz w:val="20"/>
              </w:rPr>
              <w:t>Valor</w:t>
            </w:r>
          </w:p>
        </w:tc>
        <w:tc>
          <w:tcPr>
            <w:tcW w:w="900" w:type="dxa"/>
            <w:tcBorders>
              <w:bottom w:val="single" w:sz="4" w:space="0" w:color="000000"/>
            </w:tcBorders>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proofErr w:type="spellStart"/>
            <w:r w:rsidRPr="00A02489">
              <w:rPr>
                <w:rFonts w:ascii="Arial" w:hAnsi="Arial" w:cs="Arial"/>
                <w:b/>
                <w:sz w:val="20"/>
              </w:rPr>
              <w:t>Año</w:t>
            </w:r>
            <w:proofErr w:type="spellEnd"/>
          </w:p>
        </w:tc>
        <w:tc>
          <w:tcPr>
            <w:tcW w:w="990" w:type="dxa"/>
            <w:tcBorders>
              <w:bottom w:val="single" w:sz="4" w:space="0" w:color="000000"/>
            </w:tcBorders>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r w:rsidRPr="00A02489">
              <w:rPr>
                <w:rFonts w:ascii="Arial" w:hAnsi="Arial" w:cs="Arial"/>
                <w:b/>
                <w:sz w:val="20"/>
              </w:rPr>
              <w:t>Valor</w:t>
            </w:r>
          </w:p>
        </w:tc>
        <w:tc>
          <w:tcPr>
            <w:tcW w:w="810" w:type="dxa"/>
            <w:tcBorders>
              <w:bottom w:val="single" w:sz="4" w:space="0" w:color="000000"/>
            </w:tcBorders>
            <w:shd w:val="clear" w:color="auto" w:fill="D9D9D9" w:themeFill="background1" w:themeFillShade="D9"/>
            <w:vAlign w:val="center"/>
          </w:tcPr>
          <w:p w:rsidR="00795640" w:rsidRPr="00A02489" w:rsidRDefault="0096592B" w:rsidP="002F6A68">
            <w:pPr>
              <w:spacing w:after="0" w:line="240" w:lineRule="auto"/>
              <w:jc w:val="center"/>
              <w:rPr>
                <w:rFonts w:ascii="Arial" w:hAnsi="Arial" w:cs="Arial"/>
                <w:b/>
                <w:sz w:val="20"/>
              </w:rPr>
            </w:pPr>
            <w:proofErr w:type="spellStart"/>
            <w:r w:rsidRPr="00A02489">
              <w:rPr>
                <w:rFonts w:ascii="Arial" w:hAnsi="Arial" w:cs="Arial"/>
                <w:b/>
                <w:sz w:val="20"/>
              </w:rPr>
              <w:t>Año</w:t>
            </w:r>
            <w:proofErr w:type="spellEnd"/>
          </w:p>
        </w:tc>
        <w:tc>
          <w:tcPr>
            <w:tcW w:w="2250" w:type="dxa"/>
            <w:vMerge/>
            <w:tcBorders>
              <w:bottom w:val="single" w:sz="4" w:space="0" w:color="000000"/>
            </w:tcBorders>
            <w:shd w:val="clear" w:color="auto" w:fill="FFFF99"/>
            <w:vAlign w:val="center"/>
          </w:tcPr>
          <w:p w:rsidR="00795640" w:rsidRPr="00A02489" w:rsidRDefault="00795640" w:rsidP="002F6A68">
            <w:pPr>
              <w:spacing w:after="0" w:line="240" w:lineRule="auto"/>
              <w:jc w:val="center"/>
              <w:rPr>
                <w:rFonts w:ascii="Arial" w:hAnsi="Arial" w:cs="Arial"/>
                <w:b/>
              </w:rPr>
            </w:pPr>
          </w:p>
        </w:tc>
        <w:tc>
          <w:tcPr>
            <w:tcW w:w="3150" w:type="dxa"/>
            <w:vMerge/>
            <w:tcBorders>
              <w:bottom w:val="single" w:sz="4" w:space="0" w:color="000000"/>
            </w:tcBorders>
            <w:shd w:val="clear" w:color="auto" w:fill="FFFF99"/>
            <w:vAlign w:val="center"/>
          </w:tcPr>
          <w:p w:rsidR="00795640" w:rsidRPr="00A02489" w:rsidRDefault="00795640" w:rsidP="002F6A68">
            <w:pPr>
              <w:spacing w:after="0" w:line="240" w:lineRule="auto"/>
              <w:jc w:val="center"/>
              <w:rPr>
                <w:rFonts w:ascii="Arial" w:hAnsi="Arial" w:cs="Arial"/>
                <w:b/>
              </w:rPr>
            </w:pPr>
          </w:p>
        </w:tc>
      </w:tr>
      <w:tr w:rsidR="00FE40E8" w:rsidRPr="00A02489" w:rsidTr="00795640">
        <w:trPr>
          <w:trHeight w:val="341"/>
        </w:trPr>
        <w:tc>
          <w:tcPr>
            <w:tcW w:w="13050" w:type="dxa"/>
            <w:gridSpan w:val="8"/>
            <w:shd w:val="clear" w:color="auto" w:fill="auto"/>
            <w:vAlign w:val="center"/>
          </w:tcPr>
          <w:p w:rsidR="00FE40E8" w:rsidRPr="00A02489" w:rsidRDefault="00FE40E8" w:rsidP="00C676E5">
            <w:pPr>
              <w:spacing w:after="0" w:line="240" w:lineRule="auto"/>
              <w:jc w:val="center"/>
              <w:rPr>
                <w:rFonts w:ascii="Arial" w:hAnsi="Arial" w:cs="Arial"/>
                <w:b/>
                <w:caps/>
                <w:u w:val="single"/>
              </w:rPr>
            </w:pPr>
            <w:r w:rsidRPr="00A02489">
              <w:rPr>
                <w:rFonts w:ascii="Arial" w:hAnsi="Arial" w:cs="Arial"/>
                <w:b/>
                <w:caps/>
                <w:sz w:val="20"/>
                <w:u w:val="single"/>
              </w:rPr>
              <w:t>Impact</w:t>
            </w:r>
            <w:r w:rsidR="00020A04" w:rsidRPr="00A02489">
              <w:rPr>
                <w:rFonts w:ascii="Arial" w:hAnsi="Arial" w:cs="Arial"/>
                <w:b/>
                <w:caps/>
                <w:sz w:val="20"/>
                <w:u w:val="single"/>
              </w:rPr>
              <w:t>o esperado</w:t>
            </w:r>
          </w:p>
        </w:tc>
      </w:tr>
      <w:tr w:rsidR="00A1429F" w:rsidRPr="002D7449" w:rsidTr="0088251A">
        <w:trPr>
          <w:trHeight w:val="3529"/>
        </w:trPr>
        <w:tc>
          <w:tcPr>
            <w:tcW w:w="2970" w:type="dxa"/>
            <w:vAlign w:val="center"/>
          </w:tcPr>
          <w:p w:rsidR="00A1429F" w:rsidRPr="00A02489" w:rsidRDefault="00A1429F" w:rsidP="000970F4">
            <w:pPr>
              <w:pStyle w:val="ListParagraph"/>
              <w:spacing w:after="0" w:line="240" w:lineRule="auto"/>
              <w:ind w:left="0"/>
              <w:rPr>
                <w:rFonts w:ascii="Arial" w:hAnsi="Arial" w:cs="Arial"/>
                <w:lang w:val="es-ES"/>
              </w:rPr>
            </w:pPr>
            <w:r w:rsidRPr="00A02489">
              <w:rPr>
                <w:rFonts w:ascii="Arial" w:hAnsi="Arial" w:cs="Arial"/>
                <w:lang w:val="es-ES"/>
              </w:rPr>
              <w:t>Cumplimiento de la regla de balance presupuestario con meta de Requerimientos Financieros del Sector Público (RFSP),</w:t>
            </w:r>
            <w:r w:rsidRPr="00A02489">
              <w:rPr>
                <w:rStyle w:val="FootnoteReference"/>
                <w:rFonts w:ascii="Arial" w:hAnsi="Arial" w:cs="Arial"/>
                <w:lang w:val="es-ES"/>
              </w:rPr>
              <w:footnoteReference w:id="2"/>
            </w:r>
            <w:r w:rsidRPr="00A02489">
              <w:rPr>
                <w:rFonts w:ascii="Arial" w:hAnsi="Arial" w:cs="Arial"/>
                <w:lang w:val="es-ES"/>
              </w:rPr>
              <w:t xml:space="preserve"> con un límite máximo del crecimiento del gasto corriente estructural (GCE).</w:t>
            </w:r>
          </w:p>
        </w:tc>
        <w:tc>
          <w:tcPr>
            <w:tcW w:w="1080" w:type="dxa"/>
            <w:vAlign w:val="center"/>
          </w:tcPr>
          <w:p w:rsidR="00A1429F" w:rsidRDefault="00A1429F" w:rsidP="00BC5588">
            <w:pPr>
              <w:spacing w:after="0" w:line="240" w:lineRule="auto"/>
              <w:jc w:val="center"/>
              <w:rPr>
                <w:rFonts w:ascii="Arial" w:hAnsi="Arial" w:cs="Arial"/>
                <w:lang w:val="es-ES"/>
              </w:rPr>
            </w:pPr>
            <w:r w:rsidRPr="00A02489">
              <w:rPr>
                <w:rFonts w:ascii="Arial" w:hAnsi="Arial" w:cs="Arial"/>
                <w:lang w:val="es-ES"/>
              </w:rPr>
              <w:t>-</w:t>
            </w:r>
          </w:p>
        </w:tc>
        <w:tc>
          <w:tcPr>
            <w:tcW w:w="900" w:type="dxa"/>
            <w:vAlign w:val="center"/>
          </w:tcPr>
          <w:p w:rsidR="00A1429F" w:rsidRPr="00A02489" w:rsidRDefault="00A1429F" w:rsidP="00A1429F">
            <w:pPr>
              <w:spacing w:after="0" w:line="240" w:lineRule="auto"/>
              <w:jc w:val="center"/>
              <w:rPr>
                <w:rFonts w:ascii="Arial" w:hAnsi="Arial" w:cs="Arial"/>
                <w:lang w:val="es-ES"/>
              </w:rPr>
            </w:pPr>
            <w:commentRangeStart w:id="0"/>
            <w:r w:rsidRPr="00A02489">
              <w:rPr>
                <w:rFonts w:ascii="Arial" w:hAnsi="Arial" w:cs="Arial"/>
                <w:lang w:val="es-ES"/>
              </w:rPr>
              <w:t>-</w:t>
            </w:r>
            <w:commentRangeEnd w:id="0"/>
            <w:r>
              <w:rPr>
                <w:rStyle w:val="CommentReference"/>
              </w:rPr>
              <w:commentReference w:id="0"/>
            </w:r>
          </w:p>
        </w:tc>
        <w:tc>
          <w:tcPr>
            <w:tcW w:w="900" w:type="dxa"/>
            <w:vAlign w:val="center"/>
          </w:tcPr>
          <w:p w:rsidR="00A1429F" w:rsidRPr="00A02489" w:rsidRDefault="00A1429F" w:rsidP="00856DFD">
            <w:pPr>
              <w:spacing w:after="0" w:line="240" w:lineRule="auto"/>
              <w:jc w:val="center"/>
              <w:rPr>
                <w:rFonts w:ascii="Arial" w:hAnsi="Arial" w:cs="Arial"/>
                <w:lang w:val="es-ES"/>
              </w:rPr>
            </w:pPr>
            <w:r w:rsidRPr="00A02489">
              <w:rPr>
                <w:rFonts w:ascii="Arial" w:hAnsi="Arial" w:cs="Arial"/>
                <w:lang w:val="es-ES"/>
              </w:rPr>
              <w:t>-</w:t>
            </w:r>
          </w:p>
        </w:tc>
        <w:tc>
          <w:tcPr>
            <w:tcW w:w="990" w:type="dxa"/>
            <w:vAlign w:val="center"/>
          </w:tcPr>
          <w:p w:rsidR="00A1429F" w:rsidRPr="00A02489" w:rsidRDefault="00A1429F" w:rsidP="00D813F4">
            <w:pPr>
              <w:spacing w:after="0" w:line="240" w:lineRule="auto"/>
              <w:jc w:val="center"/>
              <w:rPr>
                <w:rFonts w:ascii="Arial" w:hAnsi="Arial" w:cs="Arial"/>
                <w:lang w:val="es-ES"/>
              </w:rPr>
            </w:pPr>
            <w:r w:rsidRPr="00A02489">
              <w:rPr>
                <w:rFonts w:ascii="Arial" w:hAnsi="Arial" w:cs="Arial"/>
                <w:lang w:val="es-ES"/>
              </w:rPr>
              <w:t>Se cumple</w:t>
            </w:r>
          </w:p>
        </w:tc>
        <w:tc>
          <w:tcPr>
            <w:tcW w:w="810" w:type="dxa"/>
            <w:vAlign w:val="center"/>
          </w:tcPr>
          <w:p w:rsidR="00A1429F" w:rsidRPr="00A02489" w:rsidRDefault="00A1429F" w:rsidP="00A1429F">
            <w:pPr>
              <w:spacing w:after="0" w:line="240" w:lineRule="auto"/>
              <w:jc w:val="center"/>
              <w:rPr>
                <w:rFonts w:ascii="Arial" w:hAnsi="Arial" w:cs="Arial"/>
                <w:lang w:val="es-ES"/>
              </w:rPr>
            </w:pPr>
            <w:r>
              <w:rPr>
                <w:rFonts w:ascii="Arial" w:hAnsi="Arial" w:cs="Arial"/>
                <w:lang w:val="es-ES"/>
              </w:rPr>
              <w:t>2017</w:t>
            </w:r>
          </w:p>
        </w:tc>
        <w:tc>
          <w:tcPr>
            <w:tcW w:w="2250" w:type="dxa"/>
            <w:vAlign w:val="center"/>
          </w:tcPr>
          <w:p w:rsidR="00A1429F" w:rsidRPr="00A02489" w:rsidRDefault="00A1429F" w:rsidP="00525ED8">
            <w:pPr>
              <w:rPr>
                <w:rFonts w:ascii="Arial" w:hAnsi="Arial" w:cs="Arial"/>
                <w:lang w:val="es-ES"/>
              </w:rPr>
            </w:pPr>
            <w:r w:rsidRPr="00A02489">
              <w:rPr>
                <w:rFonts w:ascii="Arial" w:hAnsi="Arial" w:cs="Arial"/>
                <w:lang w:val="es-ES"/>
              </w:rPr>
              <w:t>Este indicador se mide con base a información de la Secretaría de Hacienda y Crédito Público.</w:t>
            </w:r>
            <w:bookmarkStart w:id="1" w:name="_GoBack"/>
            <w:bookmarkEnd w:id="1"/>
          </w:p>
        </w:tc>
        <w:tc>
          <w:tcPr>
            <w:tcW w:w="3150" w:type="dxa"/>
          </w:tcPr>
          <w:p w:rsidR="00A1429F" w:rsidRPr="00A02489" w:rsidRDefault="00A1429F" w:rsidP="00BC5588">
            <w:pPr>
              <w:spacing w:before="120" w:after="120" w:line="240" w:lineRule="auto"/>
              <w:rPr>
                <w:rFonts w:ascii="Arial" w:hAnsi="Arial" w:cs="Arial"/>
                <w:lang w:val="es-ES"/>
              </w:rPr>
            </w:pPr>
            <w:r w:rsidRPr="00A02489">
              <w:rPr>
                <w:rFonts w:ascii="Arial" w:hAnsi="Arial" w:cs="Arial"/>
                <w:lang w:val="es-ES"/>
              </w:rPr>
              <w:t>Las reglas de cumplimiento de balance presupuestario con meta de Requerimientos Presupuestarios del Sector Publico (RFSP) y con límite máximo al crecimiento del GCE entran en plena vigencia en 2017. Para los años 2015 y 2016,  la ley establece que el GCE deberá crecer a una tasa menor al 2% en términos reales sobre el gasto del año anterior.</w:t>
            </w:r>
          </w:p>
        </w:tc>
      </w:tr>
    </w:tbl>
    <w:p w:rsidR="00795640" w:rsidRPr="00A02489" w:rsidRDefault="00795640" w:rsidP="00354D7A">
      <w:pPr>
        <w:autoSpaceDE w:val="0"/>
        <w:autoSpaceDN w:val="0"/>
        <w:adjustRightInd w:val="0"/>
        <w:spacing w:after="120" w:line="240" w:lineRule="auto"/>
        <w:jc w:val="center"/>
        <w:rPr>
          <w:rFonts w:ascii="Arial" w:hAnsi="Arial" w:cs="Arial"/>
          <w:b/>
          <w:color w:val="000000"/>
          <w:lang w:val="es-ES"/>
        </w:rPr>
      </w:pPr>
    </w:p>
    <w:p w:rsidR="00172476" w:rsidRPr="00A02489" w:rsidRDefault="00172476" w:rsidP="00354D7A">
      <w:pPr>
        <w:autoSpaceDE w:val="0"/>
        <w:autoSpaceDN w:val="0"/>
        <w:adjustRightInd w:val="0"/>
        <w:spacing w:after="120" w:line="240" w:lineRule="auto"/>
        <w:jc w:val="center"/>
        <w:rPr>
          <w:rFonts w:ascii="Arial" w:hAnsi="Arial" w:cs="Arial"/>
          <w:b/>
          <w:color w:val="000000"/>
          <w:lang w:val="es-ES"/>
        </w:rPr>
      </w:pPr>
    </w:p>
    <w:p w:rsidR="0062034F" w:rsidRPr="00A02489" w:rsidRDefault="0062034F" w:rsidP="00354D7A">
      <w:pPr>
        <w:autoSpaceDE w:val="0"/>
        <w:autoSpaceDN w:val="0"/>
        <w:adjustRightInd w:val="0"/>
        <w:spacing w:after="120" w:line="240" w:lineRule="auto"/>
        <w:jc w:val="center"/>
        <w:rPr>
          <w:rFonts w:ascii="Arial" w:hAnsi="Arial" w:cs="Arial"/>
          <w:b/>
          <w:color w:val="000000"/>
          <w:lang w:val="es-ES"/>
        </w:rPr>
      </w:pPr>
    </w:p>
    <w:p w:rsidR="00D2462F" w:rsidRPr="00A02489" w:rsidRDefault="00020A04" w:rsidP="00354D7A">
      <w:pPr>
        <w:autoSpaceDE w:val="0"/>
        <w:autoSpaceDN w:val="0"/>
        <w:adjustRightInd w:val="0"/>
        <w:spacing w:after="120" w:line="240" w:lineRule="auto"/>
        <w:jc w:val="center"/>
        <w:rPr>
          <w:rFonts w:ascii="Arial" w:hAnsi="Arial" w:cs="Arial"/>
          <w:b/>
          <w:smallCaps/>
          <w:color w:val="000000"/>
        </w:rPr>
      </w:pPr>
      <w:proofErr w:type="spellStart"/>
      <w:r w:rsidRPr="00A02489">
        <w:rPr>
          <w:rFonts w:ascii="Arial" w:hAnsi="Arial" w:cs="Arial"/>
          <w:b/>
          <w:smallCaps/>
          <w:color w:val="000000"/>
        </w:rPr>
        <w:lastRenderedPageBreak/>
        <w:t>Resultados</w:t>
      </w:r>
      <w:proofErr w:type="spellEnd"/>
      <w:r w:rsidRPr="00A02489">
        <w:rPr>
          <w:rFonts w:ascii="Arial" w:hAnsi="Arial" w:cs="Arial"/>
          <w:b/>
          <w:smallCaps/>
          <w:color w:val="000000"/>
        </w:rPr>
        <w:t xml:space="preserve"> </w:t>
      </w:r>
      <w:proofErr w:type="spellStart"/>
      <w:r w:rsidRPr="00A02489">
        <w:rPr>
          <w:rFonts w:ascii="Arial" w:hAnsi="Arial" w:cs="Arial"/>
          <w:b/>
          <w:smallCaps/>
          <w:color w:val="000000"/>
        </w:rPr>
        <w:t>Esperados</w:t>
      </w:r>
      <w:proofErr w:type="spellEnd"/>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530"/>
        <w:gridCol w:w="900"/>
        <w:gridCol w:w="900"/>
        <w:gridCol w:w="990"/>
        <w:gridCol w:w="810"/>
        <w:gridCol w:w="900"/>
        <w:gridCol w:w="900"/>
        <w:gridCol w:w="1440"/>
        <w:gridCol w:w="2520"/>
      </w:tblGrid>
      <w:tr w:rsidR="0062034F" w:rsidRPr="00A02489" w:rsidTr="0062034F">
        <w:trPr>
          <w:trHeight w:val="347"/>
          <w:tblHeader/>
        </w:trPr>
        <w:tc>
          <w:tcPr>
            <w:tcW w:w="2160" w:type="dxa"/>
            <w:vMerge w:val="restart"/>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Resultados</w:t>
            </w:r>
            <w:proofErr w:type="spellEnd"/>
            <w:r w:rsidRPr="00A02489">
              <w:rPr>
                <w:rFonts w:ascii="Arial" w:hAnsi="Arial" w:cs="Arial"/>
                <w:b/>
                <w:sz w:val="20"/>
              </w:rPr>
              <w:t xml:space="preserve"> </w:t>
            </w:r>
            <w:proofErr w:type="spellStart"/>
            <w:r w:rsidRPr="00A02489">
              <w:rPr>
                <w:rFonts w:ascii="Arial" w:hAnsi="Arial" w:cs="Arial"/>
                <w:b/>
                <w:sz w:val="20"/>
              </w:rPr>
              <w:t>Esperados</w:t>
            </w:r>
            <w:proofErr w:type="spellEnd"/>
          </w:p>
        </w:tc>
        <w:tc>
          <w:tcPr>
            <w:tcW w:w="1530" w:type="dxa"/>
            <w:vMerge w:val="restart"/>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U</w:t>
            </w:r>
            <w:r w:rsidR="006C0F90" w:rsidRPr="00A02489">
              <w:rPr>
                <w:rFonts w:ascii="Arial" w:hAnsi="Arial" w:cs="Arial"/>
                <w:b/>
                <w:sz w:val="20"/>
              </w:rPr>
              <w:t>nidad</w:t>
            </w:r>
            <w:proofErr w:type="spellEnd"/>
            <w:r w:rsidR="006C0F90" w:rsidRPr="00A02489">
              <w:rPr>
                <w:rFonts w:ascii="Arial" w:hAnsi="Arial" w:cs="Arial"/>
                <w:b/>
                <w:sz w:val="20"/>
              </w:rPr>
              <w:t xml:space="preserve"> de </w:t>
            </w:r>
            <w:proofErr w:type="spellStart"/>
            <w:r w:rsidR="006C0F90" w:rsidRPr="00A02489">
              <w:rPr>
                <w:rFonts w:ascii="Arial" w:hAnsi="Arial" w:cs="Arial"/>
                <w:b/>
                <w:sz w:val="20"/>
              </w:rPr>
              <w:t>me</w:t>
            </w:r>
            <w:r w:rsidRPr="00A02489">
              <w:rPr>
                <w:rFonts w:ascii="Arial" w:hAnsi="Arial" w:cs="Arial"/>
                <w:b/>
                <w:sz w:val="20"/>
              </w:rPr>
              <w:t>dida</w:t>
            </w:r>
            <w:proofErr w:type="spellEnd"/>
          </w:p>
        </w:tc>
        <w:tc>
          <w:tcPr>
            <w:tcW w:w="1800" w:type="dxa"/>
            <w:gridSpan w:val="2"/>
            <w:tcBorders>
              <w:bottom w:val="single" w:sz="4" w:space="0" w:color="000000"/>
            </w:tcBorders>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Línea</w:t>
            </w:r>
            <w:proofErr w:type="spellEnd"/>
            <w:r w:rsidRPr="00A02489">
              <w:rPr>
                <w:rFonts w:ascii="Arial" w:hAnsi="Arial" w:cs="Arial"/>
                <w:b/>
                <w:sz w:val="20"/>
              </w:rPr>
              <w:t xml:space="preserve"> de base</w:t>
            </w:r>
          </w:p>
        </w:tc>
        <w:tc>
          <w:tcPr>
            <w:tcW w:w="1800" w:type="dxa"/>
            <w:gridSpan w:val="2"/>
            <w:tcBorders>
              <w:bottom w:val="single" w:sz="4" w:space="0" w:color="000000"/>
            </w:tcBorders>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Intermedios</w:t>
            </w:r>
            <w:proofErr w:type="spellEnd"/>
          </w:p>
        </w:tc>
        <w:tc>
          <w:tcPr>
            <w:tcW w:w="1800" w:type="dxa"/>
            <w:gridSpan w:val="2"/>
            <w:tcBorders>
              <w:bottom w:val="single" w:sz="4" w:space="0" w:color="000000"/>
            </w:tcBorders>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Metas</w:t>
            </w:r>
            <w:proofErr w:type="spellEnd"/>
          </w:p>
        </w:tc>
        <w:tc>
          <w:tcPr>
            <w:tcW w:w="1440" w:type="dxa"/>
            <w:vMerge w:val="restart"/>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r w:rsidRPr="00A02489">
              <w:rPr>
                <w:rFonts w:ascii="Arial" w:hAnsi="Arial" w:cs="Arial"/>
                <w:b/>
                <w:sz w:val="20"/>
              </w:rPr>
              <w:t xml:space="preserve">Medio de </w:t>
            </w:r>
            <w:proofErr w:type="spellStart"/>
            <w:r w:rsidRPr="00A02489">
              <w:rPr>
                <w:rFonts w:ascii="Arial" w:hAnsi="Arial" w:cs="Arial"/>
                <w:b/>
                <w:sz w:val="20"/>
              </w:rPr>
              <w:t>verificación</w:t>
            </w:r>
            <w:proofErr w:type="spellEnd"/>
          </w:p>
        </w:tc>
        <w:tc>
          <w:tcPr>
            <w:tcW w:w="2520" w:type="dxa"/>
            <w:vMerge w:val="restart"/>
            <w:shd w:val="clear" w:color="auto" w:fill="D9D9D9" w:themeFill="background1" w:themeFillShade="D9"/>
            <w:vAlign w:val="center"/>
          </w:tcPr>
          <w:p w:rsidR="00795640"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Observaciones</w:t>
            </w:r>
            <w:proofErr w:type="spellEnd"/>
          </w:p>
        </w:tc>
      </w:tr>
      <w:tr w:rsidR="00CB3D71" w:rsidRPr="00A02489" w:rsidTr="00C676E5">
        <w:trPr>
          <w:trHeight w:val="346"/>
          <w:tblHeader/>
        </w:trPr>
        <w:tc>
          <w:tcPr>
            <w:tcW w:w="2160" w:type="dxa"/>
            <w:vMerge/>
            <w:tcBorders>
              <w:bottom w:val="single" w:sz="4" w:space="0" w:color="000000"/>
            </w:tcBorders>
            <w:shd w:val="clear" w:color="auto" w:fill="FFFF99"/>
            <w:vAlign w:val="center"/>
          </w:tcPr>
          <w:p w:rsidR="00020A04" w:rsidRPr="00A02489" w:rsidRDefault="00020A04" w:rsidP="00C34F24">
            <w:pPr>
              <w:spacing w:after="0" w:line="240" w:lineRule="auto"/>
              <w:jc w:val="center"/>
              <w:rPr>
                <w:rFonts w:ascii="Arial" w:hAnsi="Arial" w:cs="Arial"/>
                <w:b/>
              </w:rPr>
            </w:pPr>
          </w:p>
        </w:tc>
        <w:tc>
          <w:tcPr>
            <w:tcW w:w="1530" w:type="dxa"/>
            <w:vMerge/>
            <w:tcBorders>
              <w:bottom w:val="single" w:sz="4" w:space="0" w:color="000000"/>
            </w:tcBorders>
            <w:shd w:val="clear" w:color="auto" w:fill="FFFF99"/>
            <w:vAlign w:val="center"/>
          </w:tcPr>
          <w:p w:rsidR="00020A04" w:rsidRPr="00A02489" w:rsidRDefault="00020A04" w:rsidP="00C34F24">
            <w:pPr>
              <w:spacing w:after="0" w:line="240" w:lineRule="auto"/>
              <w:jc w:val="center"/>
              <w:rPr>
                <w:rFonts w:ascii="Arial" w:hAnsi="Arial" w:cs="Arial"/>
                <w:b/>
              </w:rPr>
            </w:pPr>
          </w:p>
        </w:tc>
        <w:tc>
          <w:tcPr>
            <w:tcW w:w="90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r w:rsidRPr="00A02489">
              <w:rPr>
                <w:rFonts w:ascii="Arial" w:hAnsi="Arial" w:cs="Arial"/>
                <w:b/>
                <w:sz w:val="20"/>
              </w:rPr>
              <w:t>Valor</w:t>
            </w:r>
          </w:p>
        </w:tc>
        <w:tc>
          <w:tcPr>
            <w:tcW w:w="90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Año</w:t>
            </w:r>
            <w:proofErr w:type="spellEnd"/>
          </w:p>
        </w:tc>
        <w:tc>
          <w:tcPr>
            <w:tcW w:w="99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r w:rsidRPr="00A02489">
              <w:rPr>
                <w:rFonts w:ascii="Arial" w:hAnsi="Arial" w:cs="Arial"/>
                <w:b/>
                <w:sz w:val="20"/>
              </w:rPr>
              <w:t>Valor</w:t>
            </w:r>
          </w:p>
        </w:tc>
        <w:tc>
          <w:tcPr>
            <w:tcW w:w="81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Año</w:t>
            </w:r>
            <w:proofErr w:type="spellEnd"/>
          </w:p>
        </w:tc>
        <w:tc>
          <w:tcPr>
            <w:tcW w:w="90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r w:rsidRPr="00A02489">
              <w:rPr>
                <w:rFonts w:ascii="Arial" w:hAnsi="Arial" w:cs="Arial"/>
                <w:b/>
                <w:sz w:val="20"/>
              </w:rPr>
              <w:t>Valor</w:t>
            </w:r>
          </w:p>
        </w:tc>
        <w:tc>
          <w:tcPr>
            <w:tcW w:w="900" w:type="dxa"/>
            <w:tcBorders>
              <w:bottom w:val="single" w:sz="4" w:space="0" w:color="000000"/>
            </w:tcBorders>
            <w:shd w:val="clear" w:color="auto" w:fill="D9D9D9" w:themeFill="background1" w:themeFillShade="D9"/>
            <w:vAlign w:val="center"/>
          </w:tcPr>
          <w:p w:rsidR="00020A04" w:rsidRPr="00A02489" w:rsidRDefault="00020A04" w:rsidP="00C34F24">
            <w:pPr>
              <w:spacing w:after="0" w:line="240" w:lineRule="auto"/>
              <w:jc w:val="center"/>
              <w:rPr>
                <w:rFonts w:ascii="Arial" w:hAnsi="Arial" w:cs="Arial"/>
                <w:b/>
                <w:sz w:val="20"/>
              </w:rPr>
            </w:pPr>
            <w:proofErr w:type="spellStart"/>
            <w:r w:rsidRPr="00A02489">
              <w:rPr>
                <w:rFonts w:ascii="Arial" w:hAnsi="Arial" w:cs="Arial"/>
                <w:b/>
                <w:sz w:val="20"/>
              </w:rPr>
              <w:t>Año</w:t>
            </w:r>
            <w:proofErr w:type="spellEnd"/>
          </w:p>
        </w:tc>
        <w:tc>
          <w:tcPr>
            <w:tcW w:w="1440" w:type="dxa"/>
            <w:vMerge/>
            <w:tcBorders>
              <w:bottom w:val="single" w:sz="4" w:space="0" w:color="000000"/>
            </w:tcBorders>
            <w:shd w:val="clear" w:color="auto" w:fill="FFFF99"/>
            <w:vAlign w:val="center"/>
          </w:tcPr>
          <w:p w:rsidR="00020A04" w:rsidRPr="00A02489" w:rsidRDefault="00020A04" w:rsidP="00C34F24">
            <w:pPr>
              <w:spacing w:after="0" w:line="240" w:lineRule="auto"/>
              <w:jc w:val="center"/>
              <w:rPr>
                <w:rFonts w:ascii="Arial" w:hAnsi="Arial" w:cs="Arial"/>
                <w:b/>
              </w:rPr>
            </w:pPr>
          </w:p>
        </w:tc>
        <w:tc>
          <w:tcPr>
            <w:tcW w:w="2520" w:type="dxa"/>
            <w:vMerge/>
            <w:tcBorders>
              <w:bottom w:val="single" w:sz="4" w:space="0" w:color="000000"/>
            </w:tcBorders>
            <w:shd w:val="clear" w:color="auto" w:fill="FFFF99"/>
            <w:vAlign w:val="center"/>
          </w:tcPr>
          <w:p w:rsidR="00020A04" w:rsidRPr="00A02489" w:rsidRDefault="00020A04" w:rsidP="00C34F24">
            <w:pPr>
              <w:spacing w:after="0" w:line="240" w:lineRule="auto"/>
              <w:jc w:val="center"/>
              <w:rPr>
                <w:rFonts w:ascii="Arial" w:hAnsi="Arial" w:cs="Arial"/>
                <w:b/>
              </w:rPr>
            </w:pPr>
          </w:p>
        </w:tc>
      </w:tr>
      <w:tr w:rsidR="00795640" w:rsidRPr="00A02489" w:rsidTr="00C34F24">
        <w:trPr>
          <w:trHeight w:val="341"/>
        </w:trPr>
        <w:tc>
          <w:tcPr>
            <w:tcW w:w="13050" w:type="dxa"/>
            <w:gridSpan w:val="10"/>
            <w:shd w:val="clear" w:color="auto" w:fill="auto"/>
            <w:vAlign w:val="center"/>
          </w:tcPr>
          <w:p w:rsidR="00795640" w:rsidRPr="00A02489" w:rsidRDefault="00795640" w:rsidP="00795640">
            <w:pPr>
              <w:spacing w:after="0" w:line="240" w:lineRule="auto"/>
              <w:rPr>
                <w:rFonts w:ascii="Arial" w:hAnsi="Arial" w:cs="Arial"/>
                <w:b/>
                <w:caps/>
                <w:u w:val="single"/>
              </w:rPr>
            </w:pPr>
            <w:r w:rsidRPr="00A02489">
              <w:rPr>
                <w:rFonts w:ascii="Arial" w:hAnsi="Arial" w:cs="Arial"/>
                <w:b/>
                <w:caps/>
                <w:sz w:val="20"/>
                <w:u w:val="single"/>
              </w:rPr>
              <w:t>Result</w:t>
            </w:r>
            <w:r w:rsidR="00020A04" w:rsidRPr="00A02489">
              <w:rPr>
                <w:rFonts w:ascii="Arial" w:hAnsi="Arial" w:cs="Arial"/>
                <w:b/>
                <w:caps/>
                <w:sz w:val="20"/>
                <w:u w:val="single"/>
              </w:rPr>
              <w:t>ado esperado</w:t>
            </w:r>
          </w:p>
        </w:tc>
      </w:tr>
      <w:tr w:rsidR="0062034F" w:rsidRPr="002D7449" w:rsidTr="00C676E5">
        <w:trPr>
          <w:trHeight w:val="548"/>
        </w:trPr>
        <w:tc>
          <w:tcPr>
            <w:tcW w:w="2160" w:type="dxa"/>
            <w:vAlign w:val="center"/>
          </w:tcPr>
          <w:p w:rsidR="002C020A" w:rsidRPr="00A02489" w:rsidRDefault="00F60B79" w:rsidP="00C34F24">
            <w:pPr>
              <w:pStyle w:val="ListParagraph"/>
              <w:spacing w:after="0" w:line="240" w:lineRule="auto"/>
              <w:ind w:left="0"/>
              <w:rPr>
                <w:rFonts w:ascii="Arial" w:hAnsi="Arial" w:cs="Arial"/>
                <w:lang w:val="es-ES"/>
              </w:rPr>
            </w:pPr>
            <w:r w:rsidRPr="00A02489">
              <w:rPr>
                <w:rFonts w:ascii="Arial" w:hAnsi="Arial" w:cs="Arial"/>
                <w:lang w:val="es-ES"/>
              </w:rPr>
              <w:t>Aumento de los ingresos tributarios</w:t>
            </w:r>
            <w:r w:rsidR="00BF3E23" w:rsidRPr="00A02489">
              <w:rPr>
                <w:rStyle w:val="FootnoteReference"/>
                <w:rFonts w:ascii="Arial" w:hAnsi="Arial" w:cs="Arial"/>
                <w:lang w:val="en-CA"/>
              </w:rPr>
              <w:footnoteReference w:id="3"/>
            </w:r>
          </w:p>
        </w:tc>
        <w:tc>
          <w:tcPr>
            <w:tcW w:w="1530" w:type="dxa"/>
            <w:vAlign w:val="center"/>
          </w:tcPr>
          <w:p w:rsidR="00795640" w:rsidRPr="00A02489" w:rsidRDefault="00F60B79" w:rsidP="00C34F24">
            <w:pPr>
              <w:spacing w:after="0" w:line="240" w:lineRule="auto"/>
              <w:jc w:val="center"/>
              <w:rPr>
                <w:rFonts w:ascii="Arial" w:hAnsi="Arial" w:cs="Arial"/>
              </w:rPr>
            </w:pPr>
            <w:r w:rsidRPr="00A02489">
              <w:rPr>
                <w:rFonts w:ascii="Arial" w:hAnsi="Arial" w:cs="Arial"/>
              </w:rPr>
              <w:t>% del PIB</w:t>
            </w:r>
          </w:p>
        </w:tc>
        <w:tc>
          <w:tcPr>
            <w:tcW w:w="900" w:type="dxa"/>
            <w:vAlign w:val="center"/>
          </w:tcPr>
          <w:p w:rsidR="00795640" w:rsidRPr="00A02489" w:rsidRDefault="00F60B79" w:rsidP="00C34F24">
            <w:pPr>
              <w:spacing w:after="0" w:line="240" w:lineRule="auto"/>
              <w:jc w:val="center"/>
              <w:rPr>
                <w:rFonts w:ascii="Arial" w:hAnsi="Arial" w:cs="Arial"/>
              </w:rPr>
            </w:pPr>
            <w:r w:rsidRPr="00A02489">
              <w:rPr>
                <w:rFonts w:ascii="Arial" w:hAnsi="Arial" w:cs="Arial"/>
              </w:rPr>
              <w:t>9.7</w:t>
            </w:r>
          </w:p>
        </w:tc>
        <w:tc>
          <w:tcPr>
            <w:tcW w:w="900" w:type="dxa"/>
            <w:vAlign w:val="center"/>
          </w:tcPr>
          <w:p w:rsidR="00795640" w:rsidRPr="00A02489" w:rsidRDefault="00F60B79" w:rsidP="00C34F24">
            <w:pPr>
              <w:spacing w:after="0" w:line="240" w:lineRule="auto"/>
              <w:jc w:val="center"/>
              <w:rPr>
                <w:rFonts w:ascii="Arial" w:hAnsi="Arial" w:cs="Arial"/>
              </w:rPr>
            </w:pPr>
            <w:r w:rsidRPr="00A02489">
              <w:rPr>
                <w:rFonts w:ascii="Arial" w:hAnsi="Arial" w:cs="Arial"/>
              </w:rPr>
              <w:t>2013</w:t>
            </w:r>
          </w:p>
        </w:tc>
        <w:tc>
          <w:tcPr>
            <w:tcW w:w="990" w:type="dxa"/>
            <w:vAlign w:val="center"/>
          </w:tcPr>
          <w:p w:rsidR="00795640" w:rsidRPr="00A02489" w:rsidRDefault="00DE0A07" w:rsidP="00315BD4">
            <w:pPr>
              <w:spacing w:after="0" w:line="240" w:lineRule="auto"/>
              <w:jc w:val="center"/>
              <w:rPr>
                <w:rFonts w:ascii="Arial" w:hAnsi="Arial" w:cs="Arial"/>
              </w:rPr>
            </w:pPr>
            <w:r w:rsidRPr="00A02489">
              <w:rPr>
                <w:rFonts w:ascii="Arial" w:hAnsi="Arial" w:cs="Arial"/>
              </w:rPr>
              <w:t>12.</w:t>
            </w:r>
            <w:r w:rsidR="00315BD4" w:rsidRPr="00A02489">
              <w:rPr>
                <w:rFonts w:ascii="Arial" w:hAnsi="Arial" w:cs="Arial"/>
              </w:rPr>
              <w:t>7</w:t>
            </w:r>
          </w:p>
        </w:tc>
        <w:tc>
          <w:tcPr>
            <w:tcW w:w="810" w:type="dxa"/>
            <w:vAlign w:val="center"/>
          </w:tcPr>
          <w:p w:rsidR="00795640" w:rsidRPr="00A02489" w:rsidRDefault="00DE0A07" w:rsidP="00C34F24">
            <w:pPr>
              <w:spacing w:after="0" w:line="240" w:lineRule="auto"/>
              <w:jc w:val="center"/>
              <w:rPr>
                <w:rFonts w:ascii="Arial" w:hAnsi="Arial" w:cs="Arial"/>
              </w:rPr>
            </w:pPr>
            <w:r w:rsidRPr="00A02489">
              <w:rPr>
                <w:rFonts w:ascii="Arial" w:hAnsi="Arial" w:cs="Arial"/>
              </w:rPr>
              <w:t>2015</w:t>
            </w:r>
          </w:p>
        </w:tc>
        <w:tc>
          <w:tcPr>
            <w:tcW w:w="900" w:type="dxa"/>
            <w:vAlign w:val="center"/>
          </w:tcPr>
          <w:p w:rsidR="00795640" w:rsidRPr="00A02489" w:rsidRDefault="00492B26" w:rsidP="001B690C">
            <w:pPr>
              <w:spacing w:after="0" w:line="240" w:lineRule="auto"/>
              <w:jc w:val="center"/>
              <w:rPr>
                <w:rFonts w:ascii="Arial" w:hAnsi="Arial" w:cs="Arial"/>
              </w:rPr>
            </w:pPr>
            <w:r w:rsidRPr="00A02489">
              <w:rPr>
                <w:rFonts w:ascii="Arial" w:hAnsi="Arial" w:cs="Arial"/>
              </w:rPr>
              <w:t>1</w:t>
            </w:r>
            <w:r w:rsidR="001B690C" w:rsidRPr="00A02489">
              <w:rPr>
                <w:rFonts w:ascii="Arial" w:hAnsi="Arial" w:cs="Arial"/>
              </w:rPr>
              <w:t>3</w:t>
            </w:r>
            <w:r w:rsidR="00C676E5" w:rsidRPr="00A02489">
              <w:rPr>
                <w:rFonts w:ascii="Arial" w:hAnsi="Arial" w:cs="Arial"/>
              </w:rPr>
              <w:t>.0</w:t>
            </w:r>
          </w:p>
        </w:tc>
        <w:tc>
          <w:tcPr>
            <w:tcW w:w="900" w:type="dxa"/>
            <w:vAlign w:val="center"/>
          </w:tcPr>
          <w:p w:rsidR="00795640" w:rsidRPr="00A02489" w:rsidRDefault="00F60B79" w:rsidP="00C34F24">
            <w:pPr>
              <w:spacing w:after="0" w:line="240" w:lineRule="auto"/>
              <w:jc w:val="center"/>
              <w:rPr>
                <w:rFonts w:ascii="Arial" w:hAnsi="Arial" w:cs="Arial"/>
              </w:rPr>
            </w:pPr>
            <w:r w:rsidRPr="00A02489">
              <w:rPr>
                <w:rFonts w:ascii="Arial" w:hAnsi="Arial" w:cs="Arial"/>
              </w:rPr>
              <w:t>2018</w:t>
            </w:r>
          </w:p>
        </w:tc>
        <w:tc>
          <w:tcPr>
            <w:tcW w:w="1440" w:type="dxa"/>
            <w:vAlign w:val="center"/>
          </w:tcPr>
          <w:p w:rsidR="00795640" w:rsidRPr="00A02489" w:rsidRDefault="00F60B79" w:rsidP="00F60B79">
            <w:pPr>
              <w:rPr>
                <w:rFonts w:ascii="Arial" w:hAnsi="Arial" w:cs="Arial"/>
                <w:lang w:val="es-ES"/>
              </w:rPr>
            </w:pPr>
            <w:r w:rsidRPr="00A02489">
              <w:rPr>
                <w:rFonts w:ascii="Arial" w:hAnsi="Arial" w:cs="Arial"/>
                <w:lang w:val="es-ES"/>
              </w:rPr>
              <w:t>Secretaría de Hacienda y Crédito Público</w:t>
            </w:r>
            <w:r w:rsidR="00CB3D71" w:rsidRPr="00A02489">
              <w:rPr>
                <w:rFonts w:ascii="Arial" w:hAnsi="Arial" w:cs="Arial"/>
                <w:lang w:val="es-ES"/>
              </w:rPr>
              <w:t xml:space="preserve"> (SHCP)</w:t>
            </w:r>
          </w:p>
        </w:tc>
        <w:tc>
          <w:tcPr>
            <w:tcW w:w="2520" w:type="dxa"/>
          </w:tcPr>
          <w:p w:rsidR="00795640" w:rsidRPr="00A02489" w:rsidRDefault="00492B26">
            <w:pPr>
              <w:spacing w:before="120" w:after="120" w:line="240" w:lineRule="auto"/>
              <w:rPr>
                <w:rFonts w:ascii="Arial" w:hAnsi="Arial" w:cs="Arial"/>
                <w:lang w:val="es-ES"/>
              </w:rPr>
            </w:pPr>
            <w:r w:rsidRPr="00A02489">
              <w:rPr>
                <w:rFonts w:ascii="Arial" w:hAnsi="Arial" w:cs="Arial"/>
                <w:lang w:val="es-ES"/>
              </w:rPr>
              <w:t>Se prevé es</w:t>
            </w:r>
            <w:r w:rsidR="00A04C3E" w:rsidRPr="00A02489">
              <w:rPr>
                <w:rFonts w:ascii="Arial" w:hAnsi="Arial" w:cs="Arial"/>
                <w:lang w:val="es-ES"/>
              </w:rPr>
              <w:t>t</w:t>
            </w:r>
            <w:r w:rsidRPr="00A02489">
              <w:rPr>
                <w:rFonts w:ascii="Arial" w:hAnsi="Arial" w:cs="Arial"/>
                <w:lang w:val="es-ES"/>
              </w:rPr>
              <w:t>e aumento en los ingresos tributarios para 2018, una vez que las medidas tributarias hayan entrado en plena vigencia.</w:t>
            </w:r>
            <w:r w:rsidR="00171174" w:rsidRPr="00A02489">
              <w:rPr>
                <w:rFonts w:ascii="Arial" w:hAnsi="Arial" w:cs="Arial"/>
                <w:lang w:val="es-ES"/>
              </w:rPr>
              <w:t xml:space="preserve"> Este indicador se mide con base a información de la S</w:t>
            </w:r>
            <w:r w:rsidR="00CB3D71" w:rsidRPr="00A02489">
              <w:rPr>
                <w:rFonts w:ascii="Arial" w:hAnsi="Arial" w:cs="Arial"/>
                <w:lang w:val="es-ES"/>
              </w:rPr>
              <w:t>HCP</w:t>
            </w:r>
          </w:p>
        </w:tc>
      </w:tr>
      <w:tr w:rsidR="0062034F" w:rsidRPr="002D7449" w:rsidTr="00C676E5">
        <w:trPr>
          <w:trHeight w:val="60"/>
        </w:trPr>
        <w:tc>
          <w:tcPr>
            <w:tcW w:w="2160" w:type="dxa"/>
            <w:vAlign w:val="center"/>
          </w:tcPr>
          <w:p w:rsidR="002C020A" w:rsidRPr="00A02489" w:rsidRDefault="00A04C3E" w:rsidP="00C34F24">
            <w:pPr>
              <w:pStyle w:val="ListParagraph"/>
              <w:spacing w:after="0" w:line="240" w:lineRule="auto"/>
              <w:ind w:left="0"/>
              <w:rPr>
                <w:rFonts w:ascii="Arial" w:hAnsi="Arial" w:cs="Arial"/>
                <w:lang w:val="es-ES"/>
              </w:rPr>
            </w:pPr>
            <w:r w:rsidRPr="00A02489">
              <w:rPr>
                <w:rFonts w:ascii="Arial" w:hAnsi="Arial" w:cs="Arial"/>
                <w:lang w:val="es-ES"/>
              </w:rPr>
              <w:t>Contribuyentes obligados a expedir comprobantes fiscales emiten facturación electrónica</w:t>
            </w:r>
            <w:r w:rsidR="00BF3E23" w:rsidRPr="00A02489">
              <w:rPr>
                <w:rStyle w:val="FootnoteReference"/>
                <w:rFonts w:ascii="Arial" w:hAnsi="Arial" w:cs="Arial"/>
                <w:lang w:val="es-ES"/>
              </w:rPr>
              <w:footnoteReference w:id="4"/>
            </w:r>
            <w:r w:rsidRPr="00A02489">
              <w:rPr>
                <w:rFonts w:ascii="Arial" w:hAnsi="Arial" w:cs="Arial"/>
                <w:lang w:val="es-ES"/>
              </w:rPr>
              <w:t>.</w:t>
            </w:r>
          </w:p>
        </w:tc>
        <w:tc>
          <w:tcPr>
            <w:tcW w:w="1530" w:type="dxa"/>
            <w:vAlign w:val="center"/>
          </w:tcPr>
          <w:p w:rsidR="00795640" w:rsidRPr="00A02489" w:rsidRDefault="00A04C3E" w:rsidP="00C34F24">
            <w:pPr>
              <w:spacing w:after="0" w:line="240" w:lineRule="auto"/>
              <w:jc w:val="center"/>
              <w:rPr>
                <w:rFonts w:ascii="Arial" w:hAnsi="Arial" w:cs="Arial"/>
                <w:lang w:val="es-ES"/>
              </w:rPr>
            </w:pPr>
            <w:r w:rsidRPr="00A02489">
              <w:rPr>
                <w:rFonts w:ascii="Arial" w:hAnsi="Arial" w:cs="Arial"/>
                <w:lang w:val="es-ES"/>
              </w:rPr>
              <w:t>% de los contribuyentes obligados</w:t>
            </w:r>
          </w:p>
        </w:tc>
        <w:tc>
          <w:tcPr>
            <w:tcW w:w="900" w:type="dxa"/>
            <w:vAlign w:val="center"/>
          </w:tcPr>
          <w:p w:rsidR="00795640" w:rsidRPr="00A02489" w:rsidRDefault="005C712A" w:rsidP="005C712A">
            <w:pPr>
              <w:spacing w:after="0" w:line="240" w:lineRule="auto"/>
              <w:jc w:val="center"/>
              <w:rPr>
                <w:rFonts w:ascii="Arial" w:hAnsi="Arial" w:cs="Arial"/>
                <w:lang w:val="es-ES"/>
              </w:rPr>
            </w:pPr>
            <w:r w:rsidRPr="00A02489">
              <w:rPr>
                <w:rFonts w:ascii="Arial" w:hAnsi="Arial" w:cs="Arial"/>
                <w:lang w:val="es-ES"/>
              </w:rPr>
              <w:t>14%</w:t>
            </w:r>
          </w:p>
        </w:tc>
        <w:tc>
          <w:tcPr>
            <w:tcW w:w="900" w:type="dxa"/>
            <w:vAlign w:val="center"/>
          </w:tcPr>
          <w:p w:rsidR="00795640" w:rsidRPr="00A02489" w:rsidRDefault="005C712A" w:rsidP="00C34F24">
            <w:pPr>
              <w:spacing w:after="0" w:line="240" w:lineRule="auto"/>
              <w:jc w:val="center"/>
              <w:rPr>
                <w:rFonts w:ascii="Arial" w:hAnsi="Arial" w:cs="Arial"/>
                <w:lang w:val="es-ES"/>
              </w:rPr>
            </w:pPr>
            <w:r w:rsidRPr="00A02489">
              <w:rPr>
                <w:rFonts w:ascii="Arial" w:hAnsi="Arial" w:cs="Arial"/>
                <w:lang w:val="es-ES"/>
              </w:rPr>
              <w:t>Diciembre 2012</w:t>
            </w:r>
          </w:p>
        </w:tc>
        <w:tc>
          <w:tcPr>
            <w:tcW w:w="990" w:type="dxa"/>
            <w:vAlign w:val="center"/>
          </w:tcPr>
          <w:p w:rsidR="00795640" w:rsidRPr="00A02489" w:rsidRDefault="00F968ED" w:rsidP="00C34F24">
            <w:pPr>
              <w:spacing w:after="0" w:line="240" w:lineRule="auto"/>
              <w:jc w:val="center"/>
              <w:rPr>
                <w:rFonts w:ascii="Arial" w:hAnsi="Arial" w:cs="Arial"/>
                <w:lang w:val="es-ES"/>
              </w:rPr>
            </w:pPr>
            <w:r w:rsidRPr="00A02489">
              <w:rPr>
                <w:rFonts w:ascii="Arial" w:hAnsi="Arial" w:cs="Arial"/>
                <w:lang w:val="es-ES"/>
              </w:rPr>
              <w:t>3</w:t>
            </w:r>
            <w:r w:rsidR="005C712A" w:rsidRPr="00A02489">
              <w:rPr>
                <w:rFonts w:ascii="Arial" w:hAnsi="Arial" w:cs="Arial"/>
                <w:lang w:val="es-ES"/>
              </w:rPr>
              <w:t>0%</w:t>
            </w:r>
          </w:p>
        </w:tc>
        <w:tc>
          <w:tcPr>
            <w:tcW w:w="810" w:type="dxa"/>
            <w:vAlign w:val="center"/>
          </w:tcPr>
          <w:p w:rsidR="00795640" w:rsidRPr="00A02489" w:rsidRDefault="005C712A" w:rsidP="00C34F24">
            <w:pPr>
              <w:spacing w:after="0" w:line="240" w:lineRule="auto"/>
              <w:jc w:val="center"/>
              <w:rPr>
                <w:rFonts w:ascii="Arial" w:hAnsi="Arial" w:cs="Arial"/>
                <w:lang w:val="es-ES"/>
              </w:rPr>
            </w:pPr>
            <w:r w:rsidRPr="00A02489">
              <w:rPr>
                <w:rFonts w:ascii="Arial" w:hAnsi="Arial" w:cs="Arial"/>
                <w:lang w:val="es-ES"/>
              </w:rPr>
              <w:t>2014</w:t>
            </w:r>
          </w:p>
        </w:tc>
        <w:tc>
          <w:tcPr>
            <w:tcW w:w="900" w:type="dxa"/>
            <w:vAlign w:val="center"/>
          </w:tcPr>
          <w:p w:rsidR="00795640" w:rsidRPr="00A02489" w:rsidRDefault="00CA4DB5" w:rsidP="00C34F24">
            <w:pPr>
              <w:spacing w:after="0" w:line="240" w:lineRule="auto"/>
              <w:jc w:val="center"/>
              <w:rPr>
                <w:rFonts w:ascii="Arial" w:hAnsi="Arial" w:cs="Arial"/>
                <w:lang w:val="es-ES"/>
              </w:rPr>
            </w:pPr>
            <w:r w:rsidRPr="00A02489">
              <w:rPr>
                <w:rFonts w:ascii="Arial" w:hAnsi="Arial" w:cs="Arial"/>
                <w:lang w:val="es-ES"/>
              </w:rPr>
              <w:t>60%</w:t>
            </w:r>
          </w:p>
        </w:tc>
        <w:tc>
          <w:tcPr>
            <w:tcW w:w="900" w:type="dxa"/>
            <w:vAlign w:val="center"/>
          </w:tcPr>
          <w:p w:rsidR="00795640" w:rsidRPr="00A02489" w:rsidRDefault="00CA4DB5" w:rsidP="00C34F24">
            <w:pPr>
              <w:spacing w:after="0" w:line="240" w:lineRule="auto"/>
              <w:jc w:val="center"/>
              <w:rPr>
                <w:rFonts w:ascii="Arial" w:hAnsi="Arial" w:cs="Arial"/>
                <w:lang w:val="es-ES"/>
              </w:rPr>
            </w:pPr>
            <w:r w:rsidRPr="00A02489">
              <w:rPr>
                <w:rFonts w:ascii="Arial" w:hAnsi="Arial" w:cs="Arial"/>
                <w:lang w:val="es-ES"/>
              </w:rPr>
              <w:t>2016</w:t>
            </w:r>
          </w:p>
        </w:tc>
        <w:tc>
          <w:tcPr>
            <w:tcW w:w="1440" w:type="dxa"/>
            <w:vAlign w:val="center"/>
          </w:tcPr>
          <w:p w:rsidR="00795640" w:rsidRPr="00A02489" w:rsidRDefault="00CA4DB5" w:rsidP="00CA4DB5">
            <w:pPr>
              <w:rPr>
                <w:rFonts w:ascii="Arial" w:hAnsi="Arial" w:cs="Arial"/>
                <w:lang w:val="es-ES"/>
              </w:rPr>
            </w:pPr>
            <w:r w:rsidRPr="00A02489">
              <w:rPr>
                <w:rFonts w:ascii="Arial" w:hAnsi="Arial" w:cs="Arial"/>
                <w:lang w:val="es-ES"/>
              </w:rPr>
              <w:t>Servicio de Administración Tributaria</w:t>
            </w:r>
          </w:p>
          <w:p w:rsidR="00CB3D71" w:rsidRPr="00A02489" w:rsidRDefault="00CB3D71" w:rsidP="00CA4DB5">
            <w:pPr>
              <w:rPr>
                <w:rFonts w:ascii="Arial" w:hAnsi="Arial" w:cs="Arial"/>
                <w:lang w:val="es-ES"/>
              </w:rPr>
            </w:pPr>
            <w:r w:rsidRPr="00A02489">
              <w:rPr>
                <w:rFonts w:ascii="Arial" w:hAnsi="Arial" w:cs="Arial"/>
                <w:lang w:val="es-ES"/>
              </w:rPr>
              <w:t>(SAT)</w:t>
            </w:r>
          </w:p>
        </w:tc>
        <w:tc>
          <w:tcPr>
            <w:tcW w:w="2520" w:type="dxa"/>
          </w:tcPr>
          <w:p w:rsidR="00795640" w:rsidRPr="00A02489" w:rsidRDefault="00540203">
            <w:pPr>
              <w:spacing w:before="120" w:after="120" w:line="240" w:lineRule="auto"/>
              <w:rPr>
                <w:rFonts w:ascii="Arial" w:hAnsi="Arial" w:cs="Arial"/>
                <w:lang w:val="es-ES"/>
              </w:rPr>
            </w:pPr>
            <w:r w:rsidRPr="00A02489">
              <w:rPr>
                <w:rFonts w:ascii="Arial" w:hAnsi="Arial" w:cs="Arial"/>
                <w:lang w:val="es-ES"/>
              </w:rPr>
              <w:t>A</w:t>
            </w:r>
            <w:r w:rsidR="00DE0A07" w:rsidRPr="00A02489">
              <w:rPr>
                <w:rFonts w:ascii="Arial" w:hAnsi="Arial" w:cs="Arial"/>
                <w:lang w:val="es-ES"/>
              </w:rPr>
              <w:t xml:space="preserve">l </w:t>
            </w:r>
            <w:r w:rsidR="00CB3D71" w:rsidRPr="00A02489">
              <w:rPr>
                <w:rFonts w:ascii="Arial" w:hAnsi="Arial" w:cs="Arial"/>
                <w:lang w:val="es-ES"/>
              </w:rPr>
              <w:t>1er.</w:t>
            </w:r>
            <w:r w:rsidR="00DE0A07" w:rsidRPr="00A02489">
              <w:rPr>
                <w:rFonts w:ascii="Arial" w:hAnsi="Arial" w:cs="Arial"/>
                <w:lang w:val="es-ES"/>
              </w:rPr>
              <w:t xml:space="preserve">semestre </w:t>
            </w:r>
            <w:r w:rsidRPr="00A02489">
              <w:rPr>
                <w:rFonts w:ascii="Arial" w:hAnsi="Arial" w:cs="Arial"/>
                <w:lang w:val="es-ES"/>
              </w:rPr>
              <w:t>de 2016 más del 60% de los contribuyentes obligados deben emitir factura electrónica. Este indicador se mide con base a información del S</w:t>
            </w:r>
            <w:r w:rsidR="00CB3D71" w:rsidRPr="00A02489">
              <w:rPr>
                <w:rFonts w:ascii="Arial" w:hAnsi="Arial" w:cs="Arial"/>
                <w:lang w:val="es-ES"/>
              </w:rPr>
              <w:t>AT</w:t>
            </w:r>
            <w:r w:rsidRPr="00A02489">
              <w:rPr>
                <w:rFonts w:ascii="Arial" w:hAnsi="Arial" w:cs="Arial"/>
                <w:lang w:val="es-ES"/>
              </w:rPr>
              <w:t>.</w:t>
            </w:r>
          </w:p>
        </w:tc>
      </w:tr>
      <w:tr w:rsidR="0062034F" w:rsidRPr="002D7449" w:rsidTr="00C676E5">
        <w:trPr>
          <w:trHeight w:val="60"/>
        </w:trPr>
        <w:tc>
          <w:tcPr>
            <w:tcW w:w="2160" w:type="dxa"/>
            <w:vAlign w:val="center"/>
          </w:tcPr>
          <w:p w:rsidR="00F968ED" w:rsidRPr="00A02489" w:rsidRDefault="00F968ED" w:rsidP="00C34F24">
            <w:pPr>
              <w:pStyle w:val="ListParagraph"/>
              <w:spacing w:after="0" w:line="240" w:lineRule="auto"/>
              <w:ind w:left="0"/>
              <w:rPr>
                <w:rFonts w:ascii="Arial" w:hAnsi="Arial" w:cs="Arial"/>
                <w:lang w:val="es-ES"/>
              </w:rPr>
            </w:pPr>
            <w:r w:rsidRPr="00A02489">
              <w:rPr>
                <w:rFonts w:ascii="Arial" w:hAnsi="Arial" w:cs="Arial"/>
                <w:lang w:val="es-ES"/>
              </w:rPr>
              <w:t>Contribuyentes obligados incluidos en el sistema de emisión de recibos de nómina digitales</w:t>
            </w:r>
            <w:r w:rsidRPr="00A02489">
              <w:rPr>
                <w:rStyle w:val="FootnoteReference"/>
                <w:rFonts w:ascii="Arial" w:hAnsi="Arial" w:cs="Arial"/>
                <w:lang w:val="es-ES"/>
              </w:rPr>
              <w:footnoteReference w:id="5"/>
            </w:r>
          </w:p>
        </w:tc>
        <w:tc>
          <w:tcPr>
            <w:tcW w:w="153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 de los contribuyentes obligados</w:t>
            </w:r>
          </w:p>
        </w:tc>
        <w:tc>
          <w:tcPr>
            <w:tcW w:w="900" w:type="dxa"/>
            <w:vAlign w:val="center"/>
          </w:tcPr>
          <w:p w:rsidR="00F968ED" w:rsidRPr="00A02489" w:rsidRDefault="00F968ED" w:rsidP="005C712A">
            <w:pPr>
              <w:spacing w:after="0" w:line="240" w:lineRule="auto"/>
              <w:jc w:val="center"/>
              <w:rPr>
                <w:rFonts w:ascii="Arial" w:hAnsi="Arial" w:cs="Arial"/>
                <w:lang w:val="es-ES"/>
              </w:rPr>
            </w:pPr>
            <w:r w:rsidRPr="00A02489">
              <w:rPr>
                <w:rFonts w:ascii="Arial" w:hAnsi="Arial" w:cs="Arial"/>
                <w:lang w:val="es-ES"/>
              </w:rPr>
              <w:t>0%</w:t>
            </w:r>
          </w:p>
        </w:tc>
        <w:tc>
          <w:tcPr>
            <w:tcW w:w="90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2013</w:t>
            </w:r>
          </w:p>
        </w:tc>
        <w:tc>
          <w:tcPr>
            <w:tcW w:w="99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20%</w:t>
            </w:r>
          </w:p>
        </w:tc>
        <w:tc>
          <w:tcPr>
            <w:tcW w:w="81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2014</w:t>
            </w:r>
          </w:p>
        </w:tc>
        <w:tc>
          <w:tcPr>
            <w:tcW w:w="90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40%</w:t>
            </w:r>
          </w:p>
        </w:tc>
        <w:tc>
          <w:tcPr>
            <w:tcW w:w="900" w:type="dxa"/>
            <w:vAlign w:val="center"/>
          </w:tcPr>
          <w:p w:rsidR="00F968ED" w:rsidRPr="00A02489" w:rsidRDefault="00F968ED" w:rsidP="00C34F24">
            <w:pPr>
              <w:spacing w:after="0" w:line="240" w:lineRule="auto"/>
              <w:jc w:val="center"/>
              <w:rPr>
                <w:rFonts w:ascii="Arial" w:hAnsi="Arial" w:cs="Arial"/>
                <w:lang w:val="es-ES"/>
              </w:rPr>
            </w:pPr>
            <w:r w:rsidRPr="00A02489">
              <w:rPr>
                <w:rFonts w:ascii="Arial" w:hAnsi="Arial" w:cs="Arial"/>
                <w:lang w:val="es-ES"/>
              </w:rPr>
              <w:t>2016</w:t>
            </w:r>
          </w:p>
        </w:tc>
        <w:tc>
          <w:tcPr>
            <w:tcW w:w="1440" w:type="dxa"/>
            <w:vAlign w:val="center"/>
          </w:tcPr>
          <w:p w:rsidR="00F968ED" w:rsidRPr="00A02489" w:rsidRDefault="00F968ED" w:rsidP="00CA4DB5">
            <w:pPr>
              <w:rPr>
                <w:rFonts w:ascii="Arial" w:hAnsi="Arial" w:cs="Arial"/>
                <w:lang w:val="es-ES"/>
              </w:rPr>
            </w:pPr>
            <w:r w:rsidRPr="00A02489">
              <w:rPr>
                <w:rFonts w:ascii="Arial" w:hAnsi="Arial" w:cs="Arial"/>
                <w:lang w:val="es-ES"/>
              </w:rPr>
              <w:t>Servicio de Administración Tributaria</w:t>
            </w:r>
          </w:p>
        </w:tc>
        <w:tc>
          <w:tcPr>
            <w:tcW w:w="2520" w:type="dxa"/>
          </w:tcPr>
          <w:p w:rsidR="00F968ED" w:rsidRPr="00A02489" w:rsidRDefault="00DE0A07">
            <w:pPr>
              <w:spacing w:before="120" w:after="120" w:line="240" w:lineRule="auto"/>
              <w:rPr>
                <w:rFonts w:ascii="Arial" w:hAnsi="Arial" w:cs="Arial"/>
                <w:lang w:val="es-ES"/>
              </w:rPr>
            </w:pPr>
            <w:r w:rsidRPr="00A02489">
              <w:rPr>
                <w:rFonts w:ascii="Arial" w:hAnsi="Arial" w:cs="Arial"/>
                <w:lang w:val="es-ES"/>
              </w:rPr>
              <w:t xml:space="preserve">Al </w:t>
            </w:r>
            <w:r w:rsidR="00CB3D71" w:rsidRPr="00A02489">
              <w:rPr>
                <w:rFonts w:ascii="Arial" w:hAnsi="Arial" w:cs="Arial"/>
                <w:lang w:val="es-ES"/>
              </w:rPr>
              <w:t>1er.</w:t>
            </w:r>
            <w:r w:rsidR="0062034F" w:rsidRPr="00A02489">
              <w:rPr>
                <w:rFonts w:ascii="Arial" w:hAnsi="Arial" w:cs="Arial"/>
                <w:lang w:val="es-ES"/>
              </w:rPr>
              <w:t xml:space="preserve"> semestre</w:t>
            </w:r>
            <w:r w:rsidRPr="00A02489">
              <w:rPr>
                <w:rFonts w:ascii="Arial" w:hAnsi="Arial" w:cs="Arial"/>
                <w:lang w:val="es-ES"/>
              </w:rPr>
              <w:t xml:space="preserve"> </w:t>
            </w:r>
            <w:r w:rsidR="00DF209B" w:rsidRPr="00A02489">
              <w:rPr>
                <w:rFonts w:ascii="Arial" w:hAnsi="Arial" w:cs="Arial"/>
                <w:lang w:val="es-ES"/>
              </w:rPr>
              <w:t xml:space="preserve">de 2016 al menos 20% de los contribuyentes obligados deben estar incluidos en el sistema de emisión de recibos </w:t>
            </w:r>
            <w:r w:rsidR="00DF209B" w:rsidRPr="00A02489">
              <w:rPr>
                <w:rFonts w:ascii="Arial" w:hAnsi="Arial" w:cs="Arial"/>
                <w:lang w:val="es-ES"/>
              </w:rPr>
              <w:lastRenderedPageBreak/>
              <w:t>de nómina digitales.</w:t>
            </w:r>
          </w:p>
        </w:tc>
      </w:tr>
      <w:tr w:rsidR="0062034F" w:rsidRPr="002D7449" w:rsidTr="00C676E5">
        <w:trPr>
          <w:trHeight w:val="60"/>
        </w:trPr>
        <w:tc>
          <w:tcPr>
            <w:tcW w:w="2160" w:type="dxa"/>
            <w:vAlign w:val="center"/>
          </w:tcPr>
          <w:p w:rsidR="00F563A5" w:rsidRPr="00A02489" w:rsidRDefault="00FE0FE6" w:rsidP="00FE0FE6">
            <w:pPr>
              <w:pStyle w:val="ListParagraph"/>
              <w:spacing w:after="0" w:line="240" w:lineRule="auto"/>
              <w:ind w:left="0"/>
              <w:rPr>
                <w:rFonts w:ascii="Arial" w:hAnsi="Arial" w:cs="Arial"/>
                <w:lang w:val="es-ES"/>
              </w:rPr>
            </w:pPr>
            <w:r w:rsidRPr="00A02489">
              <w:rPr>
                <w:rFonts w:ascii="Arial" w:hAnsi="Arial" w:cs="Arial"/>
                <w:lang w:val="es-ES"/>
              </w:rPr>
              <w:lastRenderedPageBreak/>
              <w:t>P</w:t>
            </w:r>
            <w:r w:rsidR="00466E0E" w:rsidRPr="00A02489">
              <w:rPr>
                <w:rFonts w:ascii="Arial" w:hAnsi="Arial" w:cs="Arial"/>
                <w:lang w:val="es-ES"/>
              </w:rPr>
              <w:t xml:space="preserve">rogramas </w:t>
            </w:r>
            <w:r w:rsidR="008F7D8C" w:rsidRPr="00A02489">
              <w:rPr>
                <w:rFonts w:ascii="Arial" w:hAnsi="Arial" w:cs="Arial"/>
                <w:lang w:val="es-ES"/>
              </w:rPr>
              <w:t xml:space="preserve">presupuestarios </w:t>
            </w:r>
            <w:r w:rsidR="00C72856">
              <w:rPr>
                <w:rFonts w:ascii="Arial" w:hAnsi="Arial" w:cs="Arial"/>
                <w:lang w:val="es-ES"/>
              </w:rPr>
              <w:t>eliminados</w:t>
            </w:r>
            <w:r w:rsidR="00466E0E" w:rsidRPr="00A02489">
              <w:rPr>
                <w:rFonts w:ascii="Arial" w:hAnsi="Arial" w:cs="Arial"/>
                <w:lang w:val="es-ES"/>
              </w:rPr>
              <w:t xml:space="preserve"> luego del proceso de reingeniería del gasto</w:t>
            </w:r>
            <w:r w:rsidR="00593B55" w:rsidRPr="00A02489">
              <w:rPr>
                <w:rFonts w:ascii="Arial" w:hAnsi="Arial" w:cs="Arial"/>
                <w:lang w:val="es-ES"/>
              </w:rPr>
              <w:t xml:space="preserve"> público</w:t>
            </w:r>
            <w:r w:rsidR="006D2688">
              <w:rPr>
                <w:rStyle w:val="FootnoteReference"/>
                <w:rFonts w:ascii="Arial" w:hAnsi="Arial" w:cs="Arial"/>
                <w:lang w:val="es-ES"/>
              </w:rPr>
              <w:footnoteReference w:id="6"/>
            </w:r>
          </w:p>
        </w:tc>
        <w:tc>
          <w:tcPr>
            <w:tcW w:w="1530" w:type="dxa"/>
            <w:vAlign w:val="center"/>
          </w:tcPr>
          <w:p w:rsidR="00F563A5" w:rsidRPr="00A02489" w:rsidRDefault="00466E0E" w:rsidP="00C34F24">
            <w:pPr>
              <w:spacing w:after="0" w:line="240" w:lineRule="auto"/>
              <w:jc w:val="center"/>
              <w:rPr>
                <w:rFonts w:ascii="Arial" w:hAnsi="Arial" w:cs="Arial"/>
                <w:lang w:val="es-ES"/>
              </w:rPr>
            </w:pPr>
            <w:r w:rsidRPr="00A02489">
              <w:rPr>
                <w:rFonts w:ascii="Arial" w:hAnsi="Arial" w:cs="Arial"/>
                <w:lang w:val="es-ES"/>
              </w:rPr>
              <w:t>Número de programas</w:t>
            </w:r>
            <w:r w:rsidR="00FE0FE6" w:rsidRPr="00A02489">
              <w:rPr>
                <w:rFonts w:ascii="Arial" w:hAnsi="Arial" w:cs="Arial"/>
                <w:lang w:val="es-ES"/>
              </w:rPr>
              <w:t xml:space="preserve"> </w:t>
            </w:r>
            <w:r w:rsidR="00C72856">
              <w:rPr>
                <w:rFonts w:ascii="Arial" w:hAnsi="Arial" w:cs="Arial"/>
                <w:lang w:val="es-ES"/>
              </w:rPr>
              <w:t>eliminados</w:t>
            </w:r>
          </w:p>
        </w:tc>
        <w:tc>
          <w:tcPr>
            <w:tcW w:w="900" w:type="dxa"/>
            <w:vAlign w:val="center"/>
          </w:tcPr>
          <w:p w:rsidR="00F563A5" w:rsidRPr="00A02489" w:rsidRDefault="00466E0E" w:rsidP="005C712A">
            <w:pPr>
              <w:spacing w:after="0" w:line="240" w:lineRule="auto"/>
              <w:jc w:val="center"/>
              <w:rPr>
                <w:rFonts w:ascii="Arial" w:hAnsi="Arial" w:cs="Arial"/>
                <w:lang w:val="es-ES"/>
              </w:rPr>
            </w:pPr>
            <w:r w:rsidRPr="00A02489">
              <w:rPr>
                <w:rFonts w:ascii="Arial" w:hAnsi="Arial" w:cs="Arial"/>
                <w:lang w:val="es-ES"/>
              </w:rPr>
              <w:t>0</w:t>
            </w:r>
          </w:p>
        </w:tc>
        <w:tc>
          <w:tcPr>
            <w:tcW w:w="900" w:type="dxa"/>
            <w:vAlign w:val="center"/>
          </w:tcPr>
          <w:p w:rsidR="00F563A5" w:rsidRPr="00A02489" w:rsidRDefault="00466E0E" w:rsidP="00C34F24">
            <w:pPr>
              <w:spacing w:after="0" w:line="240" w:lineRule="auto"/>
              <w:jc w:val="center"/>
              <w:rPr>
                <w:rFonts w:ascii="Arial" w:hAnsi="Arial" w:cs="Arial"/>
                <w:lang w:val="es-ES"/>
              </w:rPr>
            </w:pPr>
            <w:r w:rsidRPr="00A02489">
              <w:rPr>
                <w:rFonts w:ascii="Arial" w:hAnsi="Arial" w:cs="Arial"/>
                <w:lang w:val="es-ES"/>
              </w:rPr>
              <w:t>2015</w:t>
            </w:r>
          </w:p>
        </w:tc>
        <w:tc>
          <w:tcPr>
            <w:tcW w:w="990" w:type="dxa"/>
            <w:vAlign w:val="center"/>
          </w:tcPr>
          <w:p w:rsidR="00F563A5" w:rsidRPr="00A02489" w:rsidRDefault="00F563A5" w:rsidP="00C34F24">
            <w:pPr>
              <w:spacing w:after="0" w:line="240" w:lineRule="auto"/>
              <w:jc w:val="center"/>
              <w:rPr>
                <w:rFonts w:ascii="Arial" w:hAnsi="Arial" w:cs="Arial"/>
                <w:lang w:val="es-ES"/>
              </w:rPr>
            </w:pPr>
          </w:p>
        </w:tc>
        <w:tc>
          <w:tcPr>
            <w:tcW w:w="810" w:type="dxa"/>
            <w:vAlign w:val="center"/>
          </w:tcPr>
          <w:p w:rsidR="00F563A5" w:rsidRPr="00A02489" w:rsidRDefault="00F563A5" w:rsidP="00C34F24">
            <w:pPr>
              <w:spacing w:after="0" w:line="240" w:lineRule="auto"/>
              <w:jc w:val="center"/>
              <w:rPr>
                <w:rFonts w:ascii="Arial" w:hAnsi="Arial" w:cs="Arial"/>
                <w:lang w:val="es-ES"/>
              </w:rPr>
            </w:pPr>
          </w:p>
        </w:tc>
        <w:tc>
          <w:tcPr>
            <w:tcW w:w="900" w:type="dxa"/>
            <w:vAlign w:val="center"/>
          </w:tcPr>
          <w:p w:rsidR="00F563A5" w:rsidRPr="00A02489" w:rsidRDefault="00C72856" w:rsidP="00C72856">
            <w:pPr>
              <w:spacing w:after="0" w:line="240" w:lineRule="auto"/>
              <w:jc w:val="center"/>
              <w:rPr>
                <w:rFonts w:ascii="Arial" w:hAnsi="Arial" w:cs="Arial"/>
                <w:lang w:val="es-ES"/>
              </w:rPr>
            </w:pPr>
            <w:r>
              <w:rPr>
                <w:rFonts w:ascii="Arial" w:hAnsi="Arial" w:cs="Arial"/>
                <w:lang w:val="es-ES"/>
              </w:rPr>
              <w:t>50</w:t>
            </w:r>
          </w:p>
        </w:tc>
        <w:tc>
          <w:tcPr>
            <w:tcW w:w="900" w:type="dxa"/>
            <w:vAlign w:val="center"/>
          </w:tcPr>
          <w:p w:rsidR="00F563A5" w:rsidRPr="00A02489" w:rsidRDefault="00466E0E" w:rsidP="000D0804">
            <w:pPr>
              <w:spacing w:after="0" w:line="240" w:lineRule="auto"/>
              <w:jc w:val="center"/>
              <w:rPr>
                <w:rFonts w:ascii="Arial" w:hAnsi="Arial" w:cs="Arial"/>
                <w:lang w:val="es-ES"/>
              </w:rPr>
            </w:pPr>
            <w:r w:rsidRPr="00A02489">
              <w:rPr>
                <w:rFonts w:ascii="Arial" w:hAnsi="Arial" w:cs="Arial"/>
                <w:lang w:val="es-ES"/>
              </w:rPr>
              <w:t>201</w:t>
            </w:r>
            <w:r w:rsidR="000D0804" w:rsidRPr="00A02489">
              <w:rPr>
                <w:rFonts w:ascii="Arial" w:hAnsi="Arial" w:cs="Arial"/>
                <w:lang w:val="es-ES"/>
              </w:rPr>
              <w:t>6</w:t>
            </w:r>
          </w:p>
        </w:tc>
        <w:tc>
          <w:tcPr>
            <w:tcW w:w="1440" w:type="dxa"/>
            <w:vAlign w:val="center"/>
          </w:tcPr>
          <w:p w:rsidR="00F563A5" w:rsidRPr="00A02489" w:rsidRDefault="00466E0E" w:rsidP="00466E0E">
            <w:pPr>
              <w:rPr>
                <w:rFonts w:ascii="Arial" w:hAnsi="Arial" w:cs="Arial"/>
                <w:lang w:val="es-ES"/>
              </w:rPr>
            </w:pPr>
            <w:r w:rsidRPr="00A02489">
              <w:rPr>
                <w:rFonts w:ascii="Arial" w:hAnsi="Arial" w:cs="Arial"/>
                <w:lang w:val="es-ES"/>
              </w:rPr>
              <w:t>Secretaría de Hacienda y Crédito Público</w:t>
            </w:r>
          </w:p>
        </w:tc>
        <w:tc>
          <w:tcPr>
            <w:tcW w:w="2520" w:type="dxa"/>
          </w:tcPr>
          <w:p w:rsidR="00F563A5" w:rsidRPr="00A02489" w:rsidDel="00DE0A07" w:rsidRDefault="00F563A5" w:rsidP="00DE0A07">
            <w:pPr>
              <w:spacing w:before="120" w:after="120" w:line="240" w:lineRule="auto"/>
              <w:rPr>
                <w:rFonts w:ascii="Arial" w:hAnsi="Arial" w:cs="Arial"/>
                <w:lang w:val="es-ES"/>
              </w:rPr>
            </w:pPr>
          </w:p>
        </w:tc>
      </w:tr>
    </w:tbl>
    <w:p w:rsidR="00795640" w:rsidRPr="00A02489" w:rsidRDefault="00795640" w:rsidP="00354D7A">
      <w:pPr>
        <w:autoSpaceDE w:val="0"/>
        <w:autoSpaceDN w:val="0"/>
        <w:adjustRightInd w:val="0"/>
        <w:spacing w:after="120" w:line="240" w:lineRule="auto"/>
        <w:jc w:val="center"/>
        <w:rPr>
          <w:rFonts w:ascii="Arial" w:hAnsi="Arial" w:cs="Arial"/>
          <w:b/>
          <w:smallCaps/>
          <w:color w:val="000000"/>
          <w:lang w:val="es-ES"/>
        </w:rPr>
      </w:pPr>
    </w:p>
    <w:p w:rsidR="00637F8D" w:rsidRPr="00A02489" w:rsidRDefault="00562D13">
      <w:pPr>
        <w:jc w:val="center"/>
        <w:rPr>
          <w:rFonts w:ascii="Arial" w:hAnsi="Arial" w:cs="Arial"/>
        </w:rPr>
      </w:pPr>
      <w:proofErr w:type="spellStart"/>
      <w:r w:rsidRPr="00A02489">
        <w:rPr>
          <w:rFonts w:ascii="Arial" w:hAnsi="Arial" w:cs="Arial"/>
          <w:b/>
          <w:smallCaps/>
          <w:color w:val="000000"/>
        </w:rPr>
        <w:t>Product</w:t>
      </w:r>
      <w:r w:rsidR="006C0F90" w:rsidRPr="00A02489">
        <w:rPr>
          <w:rFonts w:ascii="Arial" w:hAnsi="Arial" w:cs="Arial"/>
          <w:b/>
          <w:smallCaps/>
          <w:color w:val="000000"/>
        </w:rPr>
        <w:t>o</w:t>
      </w:r>
      <w:r w:rsidRPr="00A02489">
        <w:rPr>
          <w:rFonts w:ascii="Arial" w:hAnsi="Arial" w:cs="Arial"/>
          <w:b/>
          <w:smallCaps/>
          <w:color w:val="000000"/>
        </w:rPr>
        <w:t>s</w:t>
      </w:r>
      <w:proofErr w:type="spellEnd"/>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0"/>
        <w:gridCol w:w="1710"/>
        <w:gridCol w:w="1620"/>
        <w:gridCol w:w="3420"/>
      </w:tblGrid>
      <w:tr w:rsidR="0062034F" w:rsidRPr="00A02489" w:rsidTr="00C676E5">
        <w:trPr>
          <w:trHeight w:val="703"/>
          <w:tblHeader/>
        </w:trPr>
        <w:tc>
          <w:tcPr>
            <w:tcW w:w="6300" w:type="dxa"/>
            <w:shd w:val="clear" w:color="auto" w:fill="D9D9D9" w:themeFill="background1" w:themeFillShade="D9"/>
            <w:vAlign w:val="center"/>
          </w:tcPr>
          <w:p w:rsidR="00593B55" w:rsidRPr="00A02489" w:rsidRDefault="00593B55" w:rsidP="00562D13">
            <w:pPr>
              <w:spacing w:after="0" w:line="240" w:lineRule="auto"/>
              <w:jc w:val="center"/>
              <w:rPr>
                <w:rFonts w:ascii="Arial" w:hAnsi="Arial" w:cs="Arial"/>
                <w:b/>
                <w:sz w:val="20"/>
                <w:szCs w:val="20"/>
              </w:rPr>
            </w:pPr>
            <w:proofErr w:type="spellStart"/>
            <w:r w:rsidRPr="00A02489">
              <w:rPr>
                <w:rFonts w:ascii="Arial" w:hAnsi="Arial" w:cs="Arial"/>
                <w:b/>
                <w:sz w:val="20"/>
                <w:szCs w:val="20"/>
              </w:rPr>
              <w:t>Productos</w:t>
            </w:r>
            <w:proofErr w:type="spellEnd"/>
            <w:r w:rsidRPr="00A02489">
              <w:rPr>
                <w:rFonts w:ascii="Arial" w:hAnsi="Arial" w:cs="Arial"/>
                <w:b/>
                <w:sz w:val="20"/>
                <w:szCs w:val="20"/>
              </w:rPr>
              <w:t xml:space="preserve"> </w:t>
            </w:r>
          </w:p>
        </w:tc>
        <w:tc>
          <w:tcPr>
            <w:tcW w:w="1710" w:type="dxa"/>
            <w:shd w:val="clear" w:color="auto" w:fill="D9D9D9" w:themeFill="background1" w:themeFillShade="D9"/>
            <w:vAlign w:val="center"/>
          </w:tcPr>
          <w:p w:rsidR="00593B55" w:rsidRPr="00A02489" w:rsidRDefault="00593B55" w:rsidP="00C34F24">
            <w:pPr>
              <w:spacing w:after="0" w:line="240" w:lineRule="auto"/>
              <w:jc w:val="center"/>
              <w:rPr>
                <w:rFonts w:ascii="Arial" w:hAnsi="Arial" w:cs="Arial"/>
                <w:b/>
                <w:sz w:val="20"/>
                <w:szCs w:val="20"/>
              </w:rPr>
            </w:pPr>
            <w:proofErr w:type="spellStart"/>
            <w:r w:rsidRPr="00A02489">
              <w:rPr>
                <w:rFonts w:ascii="Arial" w:hAnsi="Arial" w:cs="Arial"/>
                <w:b/>
                <w:sz w:val="20"/>
              </w:rPr>
              <w:t>Línea</w:t>
            </w:r>
            <w:proofErr w:type="spellEnd"/>
            <w:r w:rsidRPr="00A02489">
              <w:rPr>
                <w:rFonts w:ascii="Arial" w:hAnsi="Arial" w:cs="Arial"/>
                <w:b/>
                <w:sz w:val="20"/>
              </w:rPr>
              <w:t xml:space="preserve"> de base</w:t>
            </w:r>
          </w:p>
        </w:tc>
        <w:tc>
          <w:tcPr>
            <w:tcW w:w="1620" w:type="dxa"/>
            <w:shd w:val="clear" w:color="auto" w:fill="D9D9D9" w:themeFill="background1" w:themeFillShade="D9"/>
            <w:vAlign w:val="center"/>
          </w:tcPr>
          <w:p w:rsidR="00593B55" w:rsidRPr="00A02489" w:rsidRDefault="00593B55" w:rsidP="006C0F90">
            <w:pPr>
              <w:spacing w:after="0" w:line="240" w:lineRule="auto"/>
              <w:jc w:val="center"/>
              <w:rPr>
                <w:rFonts w:ascii="Arial" w:hAnsi="Arial" w:cs="Arial"/>
                <w:b/>
                <w:sz w:val="20"/>
                <w:szCs w:val="20"/>
              </w:rPr>
            </w:pPr>
            <w:r w:rsidRPr="00A02489">
              <w:rPr>
                <w:rFonts w:ascii="Arial" w:hAnsi="Arial" w:cs="Arial"/>
                <w:b/>
                <w:sz w:val="20"/>
                <w:szCs w:val="20"/>
              </w:rPr>
              <w:t>Meta final (2016)</w:t>
            </w:r>
          </w:p>
        </w:tc>
        <w:tc>
          <w:tcPr>
            <w:tcW w:w="3420" w:type="dxa"/>
            <w:shd w:val="clear" w:color="auto" w:fill="D9D9D9" w:themeFill="background1" w:themeFillShade="D9"/>
            <w:vAlign w:val="center"/>
          </w:tcPr>
          <w:p w:rsidR="00593B55" w:rsidRPr="00A02489" w:rsidRDefault="00593B55" w:rsidP="00C34F24">
            <w:pPr>
              <w:spacing w:after="0" w:line="240" w:lineRule="auto"/>
              <w:jc w:val="center"/>
              <w:rPr>
                <w:rFonts w:ascii="Arial" w:hAnsi="Arial" w:cs="Arial"/>
                <w:b/>
                <w:sz w:val="20"/>
                <w:szCs w:val="20"/>
              </w:rPr>
            </w:pPr>
            <w:r w:rsidRPr="00A02489">
              <w:rPr>
                <w:rFonts w:ascii="Arial" w:hAnsi="Arial" w:cs="Arial"/>
                <w:b/>
                <w:sz w:val="20"/>
              </w:rPr>
              <w:t xml:space="preserve">Medio de </w:t>
            </w:r>
            <w:proofErr w:type="spellStart"/>
            <w:r w:rsidRPr="00A02489">
              <w:rPr>
                <w:rFonts w:ascii="Arial" w:hAnsi="Arial" w:cs="Arial"/>
                <w:b/>
                <w:sz w:val="20"/>
              </w:rPr>
              <w:t>verificación</w:t>
            </w:r>
            <w:proofErr w:type="spellEnd"/>
          </w:p>
        </w:tc>
      </w:tr>
      <w:tr w:rsidR="0062034F" w:rsidRPr="002D7449" w:rsidTr="00C676E5">
        <w:trPr>
          <w:trHeight w:val="60"/>
        </w:trPr>
        <w:tc>
          <w:tcPr>
            <w:tcW w:w="6300" w:type="dxa"/>
            <w:vAlign w:val="center"/>
          </w:tcPr>
          <w:p w:rsidR="00593B55" w:rsidRPr="00A02489" w:rsidRDefault="00593B55" w:rsidP="005B71B1">
            <w:pPr>
              <w:pStyle w:val="ListParagraph"/>
              <w:spacing w:after="0" w:line="240" w:lineRule="auto"/>
              <w:ind w:left="0"/>
              <w:rPr>
                <w:rFonts w:ascii="Arial" w:hAnsi="Arial" w:cs="Arial"/>
                <w:lang w:val="es-ES"/>
              </w:rPr>
            </w:pPr>
            <w:r w:rsidRPr="00A02489">
              <w:rPr>
                <w:rFonts w:ascii="Arial" w:hAnsi="Arial" w:cs="Arial"/>
                <w:lang w:val="es-ES"/>
              </w:rPr>
              <w:t>Reglamentación de la Ley del Impuesto sobre la Renta aprobada.</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8C10C0">
            <w:pPr>
              <w:spacing w:after="0" w:line="240" w:lineRule="auto"/>
              <w:jc w:val="center"/>
              <w:rPr>
                <w:rFonts w:ascii="Arial" w:hAnsi="Arial" w:cs="Arial"/>
                <w:lang w:val="es-ES"/>
              </w:rPr>
            </w:pPr>
            <w:r w:rsidRPr="00A02489">
              <w:rPr>
                <w:rFonts w:ascii="Arial" w:hAnsi="Arial" w:cs="Arial"/>
                <w:lang w:val="es-ES"/>
              </w:rPr>
              <w:t>1</w:t>
            </w:r>
          </w:p>
        </w:tc>
        <w:tc>
          <w:tcPr>
            <w:tcW w:w="3420" w:type="dxa"/>
            <w:vAlign w:val="center"/>
          </w:tcPr>
          <w:p w:rsidR="00593B55" w:rsidRPr="00A02489" w:rsidRDefault="00593B55" w:rsidP="008C10C0">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60"/>
        </w:trPr>
        <w:tc>
          <w:tcPr>
            <w:tcW w:w="6300" w:type="dxa"/>
            <w:tcBorders>
              <w:bottom w:val="single" w:sz="4" w:space="0" w:color="000000"/>
            </w:tcBorders>
            <w:vAlign w:val="center"/>
          </w:tcPr>
          <w:p w:rsidR="00593B55" w:rsidRPr="00A02489" w:rsidRDefault="00593B55" w:rsidP="0063790B">
            <w:pPr>
              <w:pStyle w:val="ListParagraph"/>
              <w:spacing w:after="0" w:line="240" w:lineRule="auto"/>
              <w:ind w:left="0"/>
              <w:rPr>
                <w:rFonts w:ascii="Arial" w:hAnsi="Arial" w:cs="Arial"/>
                <w:lang w:val="es-ES"/>
              </w:rPr>
            </w:pPr>
            <w:r w:rsidRPr="00A02489">
              <w:rPr>
                <w:rFonts w:ascii="Arial" w:hAnsi="Arial" w:cs="Arial"/>
                <w:lang w:val="es-ES"/>
              </w:rPr>
              <w:t>Reglamentación de la Ley del Impuesto sobre el Valor Agregado (IVA) aprobada.</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8C10C0">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953"/>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Reglamentación de la Ley del Impuesto Especial sobre Producción y Servicios (IEPS) aprobada.</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8C10C0">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rsidP="008C10C0">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60"/>
        </w:trPr>
        <w:tc>
          <w:tcPr>
            <w:tcW w:w="6300" w:type="dxa"/>
            <w:tcBorders>
              <w:bottom w:val="single" w:sz="4" w:space="0" w:color="000000"/>
            </w:tcBorders>
            <w:vAlign w:val="center"/>
          </w:tcPr>
          <w:p w:rsidR="00593B55" w:rsidRPr="00C100ED" w:rsidRDefault="00593B55">
            <w:pPr>
              <w:pStyle w:val="ListParagraph"/>
              <w:spacing w:after="0" w:line="240" w:lineRule="auto"/>
              <w:ind w:left="0"/>
              <w:rPr>
                <w:rFonts w:ascii="Arial" w:hAnsi="Arial" w:cs="Arial"/>
                <w:lang w:val="es-ES"/>
              </w:rPr>
            </w:pPr>
            <w:r w:rsidRPr="00A02489">
              <w:rPr>
                <w:rFonts w:ascii="Arial" w:hAnsi="Arial" w:cs="Arial"/>
                <w:lang w:val="es-ES"/>
              </w:rPr>
              <w:t xml:space="preserve">Reglamentación de la Ley Federal de Derechos </w:t>
            </w:r>
            <w:r w:rsidR="00C100ED">
              <w:rPr>
                <w:rFonts w:ascii="Arial" w:hAnsi="Arial" w:cs="Arial"/>
                <w:lang w:val="es-ES"/>
              </w:rPr>
              <w:t>(</w:t>
            </w:r>
            <w:r w:rsidR="00DF5396">
              <w:rPr>
                <w:rFonts w:ascii="Arial" w:hAnsi="Arial" w:cs="Arial"/>
                <w:lang w:val="es-ES"/>
              </w:rPr>
              <w:t>sobre minería</w:t>
            </w:r>
            <w:r w:rsidR="00FC42F7">
              <w:rPr>
                <w:rFonts w:ascii="Arial" w:hAnsi="Arial" w:cs="Arial"/>
                <w:lang w:val="es-ES"/>
              </w:rPr>
              <w:t>)</w:t>
            </w:r>
            <w:r w:rsidR="00DF5396">
              <w:rPr>
                <w:rFonts w:ascii="Arial" w:hAnsi="Arial" w:cs="Arial"/>
                <w:lang w:val="es-ES"/>
              </w:rPr>
              <w:t xml:space="preserve"> </w:t>
            </w:r>
            <w:r w:rsidRPr="00A02489">
              <w:rPr>
                <w:rFonts w:ascii="Arial" w:hAnsi="Arial" w:cs="Arial"/>
                <w:lang w:val="es-ES"/>
              </w:rPr>
              <w:t>aprobada.</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60"/>
        </w:trPr>
        <w:tc>
          <w:tcPr>
            <w:tcW w:w="6300" w:type="dxa"/>
            <w:tcBorders>
              <w:bottom w:val="single" w:sz="4" w:space="0" w:color="000000"/>
            </w:tcBorders>
            <w:vAlign w:val="center"/>
          </w:tcPr>
          <w:p w:rsidR="00593B55" w:rsidRPr="00A02489" w:rsidRDefault="00593B55" w:rsidP="005E390B">
            <w:pPr>
              <w:pStyle w:val="ListParagraph"/>
              <w:spacing w:before="40" w:after="40" w:line="240" w:lineRule="auto"/>
              <w:ind w:left="0"/>
              <w:jc w:val="both"/>
              <w:rPr>
                <w:rFonts w:ascii="Arial" w:hAnsi="Arial" w:cs="Arial"/>
                <w:lang w:val="es-ES"/>
              </w:rPr>
            </w:pPr>
            <w:r w:rsidRPr="00A02489">
              <w:rPr>
                <w:rFonts w:ascii="Arial" w:hAnsi="Arial" w:cs="Arial"/>
                <w:lang w:val="es-ES"/>
              </w:rPr>
              <w:t xml:space="preserve">Ley de Ingresos sobre Hidrocarburos aprobada, que contenga por lo menos las siguientes medidas: </w:t>
            </w:r>
          </w:p>
          <w:p w:rsidR="00593B55" w:rsidRPr="00A02489" w:rsidRDefault="00593B55" w:rsidP="005E390B">
            <w:pPr>
              <w:pStyle w:val="ListParagraph"/>
              <w:numPr>
                <w:ilvl w:val="0"/>
                <w:numId w:val="17"/>
              </w:numPr>
              <w:spacing w:before="40" w:after="40" w:line="240" w:lineRule="auto"/>
              <w:ind w:left="252" w:hanging="360"/>
              <w:jc w:val="both"/>
              <w:rPr>
                <w:rFonts w:ascii="Arial" w:hAnsi="Arial" w:cs="Arial"/>
                <w:lang w:val="es-ES"/>
              </w:rPr>
            </w:pPr>
            <w:r w:rsidRPr="00A02489">
              <w:rPr>
                <w:rFonts w:ascii="Arial" w:hAnsi="Arial" w:cs="Arial"/>
                <w:lang w:val="es-ES"/>
              </w:rPr>
              <w:t xml:space="preserve">En el caso de contratos de exploración y extracción de hidrocarburos, una cuota contractual para la fase exploratoria, regalías a tasas crecientes con base en </w:t>
            </w:r>
            <w:r w:rsidRPr="00A02489">
              <w:rPr>
                <w:rFonts w:ascii="Arial" w:hAnsi="Arial" w:cs="Arial"/>
                <w:lang w:val="es-ES"/>
              </w:rPr>
              <w:lastRenderedPageBreak/>
              <w:t>rangos de precios y; una contraprestación a favor del Estado Mexicano basado en la utilidad operativa o valor contractual de los hidrocarburos.</w:t>
            </w:r>
          </w:p>
          <w:p w:rsidR="00593B55" w:rsidRPr="00A02489" w:rsidRDefault="00593B55" w:rsidP="005E390B">
            <w:pPr>
              <w:pStyle w:val="ListParagraph"/>
              <w:spacing w:before="40" w:after="40"/>
              <w:ind w:left="252"/>
              <w:jc w:val="both"/>
              <w:rPr>
                <w:rFonts w:ascii="Arial" w:hAnsi="Arial" w:cs="Arial"/>
                <w:lang w:val="es-ES"/>
              </w:rPr>
            </w:pPr>
          </w:p>
          <w:p w:rsidR="00593B55" w:rsidRPr="00A02489" w:rsidRDefault="00593B55" w:rsidP="005E390B">
            <w:pPr>
              <w:pStyle w:val="ListParagraph"/>
              <w:numPr>
                <w:ilvl w:val="0"/>
                <w:numId w:val="17"/>
              </w:numPr>
              <w:spacing w:before="40" w:after="40" w:line="240" w:lineRule="auto"/>
              <w:ind w:left="252" w:hanging="360"/>
              <w:jc w:val="both"/>
              <w:rPr>
                <w:rFonts w:ascii="Arial" w:hAnsi="Arial" w:cs="Arial"/>
                <w:lang w:val="es-ES"/>
              </w:rPr>
            </w:pPr>
            <w:commentRangeStart w:id="2"/>
            <w:r w:rsidRPr="00A02489">
              <w:rPr>
                <w:rFonts w:ascii="Arial" w:hAnsi="Arial" w:cs="Arial"/>
                <w:lang w:val="es-ES"/>
              </w:rPr>
              <w:t>En el caso de asignaciones a Empresas Productivas del Estado para la exploración y extracción de hidrocarburos, derechos de exploración, de extracción, y de utilidad compartida.</w:t>
            </w:r>
            <w:commentRangeEnd w:id="2"/>
            <w:r w:rsidR="00C90DA8">
              <w:rPr>
                <w:rStyle w:val="CommentReference"/>
                <w:lang w:val="en-US"/>
              </w:rPr>
              <w:commentReference w:id="2"/>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lastRenderedPageBreak/>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917E74" w:rsidRPr="00A02489" w:rsidRDefault="00917E74" w:rsidP="00C34F24">
            <w:pPr>
              <w:spacing w:before="120" w:after="120" w:line="240" w:lineRule="auto"/>
              <w:rPr>
                <w:rFonts w:ascii="Arial" w:hAnsi="Arial" w:cs="Arial"/>
                <w:lang w:val="es-ES"/>
              </w:rPr>
            </w:pPr>
          </w:p>
          <w:p w:rsidR="00917E74" w:rsidRPr="00A02489" w:rsidRDefault="00917E74" w:rsidP="00C34F24">
            <w:pPr>
              <w:spacing w:before="120" w:after="120" w:line="240" w:lineRule="auto"/>
              <w:rPr>
                <w:rFonts w:ascii="Arial" w:hAnsi="Arial" w:cs="Arial"/>
                <w:lang w:val="es-ES"/>
              </w:rPr>
            </w:pPr>
          </w:p>
          <w:p w:rsidR="00917E74" w:rsidRPr="00A02489" w:rsidRDefault="00917E74" w:rsidP="00C34F24">
            <w:pPr>
              <w:spacing w:before="120" w:after="120" w:line="240" w:lineRule="auto"/>
              <w:rPr>
                <w:rFonts w:ascii="Arial" w:hAnsi="Arial" w:cs="Arial"/>
                <w:lang w:val="es-ES"/>
              </w:rPr>
            </w:pPr>
          </w:p>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 xml:space="preserve">Publicación en el Diario Oficial </w:t>
            </w:r>
            <w:r w:rsidRPr="00A02489">
              <w:rPr>
                <w:rFonts w:ascii="Arial" w:hAnsi="Arial" w:cs="Arial"/>
                <w:lang w:val="es-ES"/>
              </w:rPr>
              <w:lastRenderedPageBreak/>
              <w:t>de la Federación.</w:t>
            </w:r>
          </w:p>
        </w:tc>
      </w:tr>
      <w:tr w:rsidR="0062034F" w:rsidRPr="002D7449" w:rsidTr="00C676E5">
        <w:trPr>
          <w:trHeight w:val="1466"/>
        </w:trPr>
        <w:tc>
          <w:tcPr>
            <w:tcW w:w="6300" w:type="dxa"/>
            <w:tcBorders>
              <w:bottom w:val="single" w:sz="4" w:space="0" w:color="000000"/>
            </w:tcBorders>
            <w:vAlign w:val="center"/>
          </w:tcPr>
          <w:p w:rsidR="00593B55" w:rsidRPr="00A02489" w:rsidRDefault="00304939" w:rsidP="00304939">
            <w:pPr>
              <w:pStyle w:val="ListParagraph"/>
              <w:spacing w:after="0" w:line="240" w:lineRule="auto"/>
              <w:ind w:left="0"/>
              <w:rPr>
                <w:rFonts w:ascii="Arial" w:hAnsi="Arial" w:cs="Arial"/>
                <w:lang w:val="es-ES"/>
              </w:rPr>
            </w:pPr>
            <w:r w:rsidRPr="00A02489">
              <w:rPr>
                <w:rFonts w:ascii="Arial" w:hAnsi="Arial" w:cs="Arial"/>
                <w:lang w:val="es-ES"/>
              </w:rPr>
              <w:lastRenderedPageBreak/>
              <w:t xml:space="preserve">Cambio de la </w:t>
            </w:r>
            <w:r w:rsidR="00593B55" w:rsidRPr="00A02489">
              <w:rPr>
                <w:rFonts w:ascii="Arial" w:hAnsi="Arial" w:cs="Arial"/>
                <w:lang w:val="es-ES"/>
              </w:rPr>
              <w:t>Ley del IEPS a los combustibles automotrices (gasolinas y diésel) a un impuesto de cuota fija a partir de 2016, sujeto a ajustes por inflación en ejercicios posteriores, aprobada.</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1493"/>
        </w:trPr>
        <w:tc>
          <w:tcPr>
            <w:tcW w:w="6300" w:type="dxa"/>
            <w:vAlign w:val="center"/>
          </w:tcPr>
          <w:p w:rsidR="00593B55" w:rsidRPr="00A02489" w:rsidRDefault="006B46F8">
            <w:pPr>
              <w:pStyle w:val="ListParagraph"/>
              <w:spacing w:after="0" w:line="240" w:lineRule="auto"/>
              <w:ind w:left="0"/>
              <w:rPr>
                <w:rFonts w:ascii="Arial" w:hAnsi="Arial" w:cs="Arial"/>
                <w:lang w:val="es-ES"/>
              </w:rPr>
            </w:pPr>
            <w:r w:rsidRPr="00A02489">
              <w:rPr>
                <w:rFonts w:ascii="Arial" w:hAnsi="Arial" w:cs="Arial"/>
                <w:lang w:val="es-ES"/>
              </w:rPr>
              <w:t>B</w:t>
            </w:r>
            <w:r w:rsidR="00593B55" w:rsidRPr="00A02489">
              <w:rPr>
                <w:rFonts w:ascii="Arial" w:hAnsi="Arial" w:cs="Arial"/>
                <w:lang w:val="es-ES"/>
              </w:rPr>
              <w:t>uzón tributario para personas físicas y morales implementado, que incluya al menos los siguientes servicios: a) Notificación electrónica; b) mensajes y avisos de interés; y c) Trámites y servicios.</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vAlign w:val="center"/>
          </w:tcPr>
          <w:p w:rsidR="00593B55" w:rsidRPr="00A02489" w:rsidRDefault="00593B55" w:rsidP="001D17EE">
            <w:pPr>
              <w:spacing w:before="120" w:after="120" w:line="240" w:lineRule="auto"/>
              <w:rPr>
                <w:rFonts w:ascii="Arial" w:hAnsi="Arial" w:cs="Arial"/>
                <w:lang w:val="es-ES"/>
              </w:rPr>
            </w:pPr>
            <w:r w:rsidRPr="00A02489">
              <w:rPr>
                <w:rFonts w:ascii="Arial" w:hAnsi="Arial" w:cs="Arial"/>
                <w:lang w:val="es-ES"/>
              </w:rPr>
              <w:t>Informe de consultoría independiente sobre la base de fuentes oficiales.</w:t>
            </w:r>
          </w:p>
        </w:tc>
      </w:tr>
      <w:tr w:rsidR="0062034F" w:rsidRPr="00A02489" w:rsidTr="00C676E5">
        <w:trPr>
          <w:trHeight w:val="1367"/>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 xml:space="preserve">Reglas administrativas  e informáticas para facilitar </w:t>
            </w:r>
            <w:proofErr w:type="gramStart"/>
            <w:r w:rsidRPr="00A02489">
              <w:rPr>
                <w:rFonts w:ascii="Arial" w:hAnsi="Arial" w:cs="Arial"/>
                <w:lang w:val="es-ES"/>
              </w:rPr>
              <w:t>la implementación recíproca de la Ley FATCA (</w:t>
            </w:r>
            <w:proofErr w:type="spellStart"/>
            <w:r w:rsidRPr="00A02489">
              <w:rPr>
                <w:rFonts w:ascii="Arial" w:hAnsi="Arial" w:cs="Arial"/>
                <w:i/>
                <w:lang w:val="es-ES"/>
              </w:rPr>
              <w:t>Foreign</w:t>
            </w:r>
            <w:proofErr w:type="spellEnd"/>
            <w:r w:rsidRPr="00A02489">
              <w:rPr>
                <w:rFonts w:ascii="Arial" w:hAnsi="Arial" w:cs="Arial"/>
                <w:i/>
                <w:lang w:val="es-ES"/>
              </w:rPr>
              <w:t xml:space="preserve"> </w:t>
            </w:r>
            <w:proofErr w:type="spellStart"/>
            <w:r w:rsidRPr="00A02489">
              <w:rPr>
                <w:rFonts w:ascii="Arial" w:hAnsi="Arial" w:cs="Arial"/>
                <w:i/>
                <w:lang w:val="es-ES"/>
              </w:rPr>
              <w:t>Account</w:t>
            </w:r>
            <w:proofErr w:type="spellEnd"/>
            <w:r w:rsidRPr="00A02489">
              <w:rPr>
                <w:rFonts w:ascii="Arial" w:hAnsi="Arial" w:cs="Arial"/>
                <w:i/>
                <w:lang w:val="es-ES"/>
              </w:rPr>
              <w:t xml:space="preserve"> </w:t>
            </w:r>
            <w:proofErr w:type="spellStart"/>
            <w:r w:rsidRPr="00A02489">
              <w:rPr>
                <w:rFonts w:ascii="Arial" w:hAnsi="Arial" w:cs="Arial"/>
                <w:i/>
                <w:lang w:val="es-ES"/>
              </w:rPr>
              <w:t>Tax</w:t>
            </w:r>
            <w:proofErr w:type="spellEnd"/>
            <w:r w:rsidRPr="00A02489">
              <w:rPr>
                <w:rFonts w:ascii="Arial" w:hAnsi="Arial" w:cs="Arial"/>
                <w:i/>
                <w:lang w:val="es-ES"/>
              </w:rPr>
              <w:t xml:space="preserve"> </w:t>
            </w:r>
            <w:proofErr w:type="spellStart"/>
            <w:r w:rsidRPr="00A02489">
              <w:rPr>
                <w:rFonts w:ascii="Arial" w:hAnsi="Arial" w:cs="Arial"/>
                <w:i/>
                <w:lang w:val="es-ES"/>
              </w:rPr>
              <w:t>Compliance</w:t>
            </w:r>
            <w:proofErr w:type="spellEnd"/>
            <w:r w:rsidRPr="00A02489">
              <w:rPr>
                <w:rFonts w:ascii="Arial" w:hAnsi="Arial" w:cs="Arial"/>
                <w:i/>
                <w:lang w:val="es-ES"/>
              </w:rPr>
              <w:t xml:space="preserve"> </w:t>
            </w:r>
            <w:proofErr w:type="spellStart"/>
            <w:r w:rsidRPr="00A02489">
              <w:rPr>
                <w:rFonts w:ascii="Arial" w:hAnsi="Arial" w:cs="Arial"/>
                <w:i/>
                <w:lang w:val="es-ES"/>
              </w:rPr>
              <w:t>Act</w:t>
            </w:r>
            <w:proofErr w:type="spellEnd"/>
            <w:r w:rsidRPr="00A02489">
              <w:rPr>
                <w:rFonts w:ascii="Arial" w:hAnsi="Arial" w:cs="Arial"/>
                <w:lang w:val="es-ES"/>
              </w:rPr>
              <w:t>), aprobadas</w:t>
            </w:r>
            <w:proofErr w:type="gramEnd"/>
            <w:r w:rsidRPr="00A02489">
              <w:rPr>
                <w:rFonts w:ascii="Arial" w:hAnsi="Arial" w:cs="Arial"/>
                <w:lang w:val="es-ES"/>
              </w:rPr>
              <w:t>.</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rsidP="00E32557">
            <w:pPr>
              <w:spacing w:before="120" w:after="120" w:line="240" w:lineRule="auto"/>
              <w:rPr>
                <w:rFonts w:ascii="Arial" w:hAnsi="Arial" w:cs="Arial"/>
                <w:lang w:val="es-ES"/>
              </w:rPr>
            </w:pPr>
            <w:r w:rsidRPr="00A02489">
              <w:rPr>
                <w:rFonts w:ascii="Arial" w:hAnsi="Arial" w:cs="Arial"/>
                <w:lang w:val="es-ES"/>
              </w:rPr>
              <w:t>Resolución Miscelánea del SAT.</w:t>
            </w:r>
          </w:p>
        </w:tc>
      </w:tr>
      <w:tr w:rsidR="0062034F" w:rsidRPr="002D7449" w:rsidTr="00C676E5">
        <w:trPr>
          <w:trHeight w:val="1511"/>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Acuerdo de Intercambio de Información Tributaria Automática entre Jurisdicciones del Foro Global de Transparencia Tributaria (Acuerdo de Berlín de Octubre de 2014), firmado.</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rsidP="00A62CC9">
            <w:pPr>
              <w:spacing w:before="120" w:after="120" w:line="240" w:lineRule="auto"/>
              <w:rPr>
                <w:rFonts w:ascii="Arial" w:hAnsi="Arial" w:cs="Arial"/>
                <w:lang w:val="es-ES"/>
              </w:rPr>
            </w:pPr>
            <w:r w:rsidRPr="00A02489">
              <w:rPr>
                <w:rFonts w:ascii="Arial" w:hAnsi="Arial" w:cs="Arial"/>
                <w:lang w:val="es-ES"/>
              </w:rPr>
              <w:t>Publicación por el SAT y la OCDE de la firma del Acuerdo.</w:t>
            </w:r>
          </w:p>
        </w:tc>
      </w:tr>
      <w:tr w:rsidR="0062034F" w:rsidRPr="002D7449" w:rsidTr="00C676E5">
        <w:trPr>
          <w:trHeight w:val="1619"/>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sz w:val="20"/>
                <w:szCs w:val="20"/>
                <w:lang w:val="es-ES"/>
              </w:rPr>
            </w:pPr>
            <w:r w:rsidRPr="00A02489">
              <w:rPr>
                <w:rFonts w:ascii="Arial" w:hAnsi="Arial" w:cs="Arial"/>
                <w:lang w:val="es-ES"/>
              </w:rPr>
              <w:lastRenderedPageBreak/>
              <w:t>Diseño y licitación del Proyecto de Integración Tecnológica Aduanera (PITA), para la facilitación del comercio y el control de las aduanas mediante la automatización de los procesos.</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rsidP="00A62CC9">
            <w:pPr>
              <w:spacing w:before="120" w:after="120" w:line="240" w:lineRule="auto"/>
              <w:rPr>
                <w:rFonts w:ascii="Arial" w:hAnsi="Arial" w:cs="Arial"/>
                <w:lang w:val="es-ES"/>
              </w:rPr>
            </w:pPr>
            <w:r w:rsidRPr="00A02489">
              <w:rPr>
                <w:rFonts w:ascii="Arial" w:hAnsi="Arial" w:cs="Arial"/>
                <w:lang w:val="es-ES"/>
              </w:rPr>
              <w:t>Informe de consultoría independiente sobre la base de fuentes oficiales.</w:t>
            </w:r>
          </w:p>
        </w:tc>
      </w:tr>
      <w:tr w:rsidR="0062034F" w:rsidRPr="00C72856" w:rsidTr="005A705C">
        <w:trPr>
          <w:trHeight w:val="2060"/>
        </w:trPr>
        <w:tc>
          <w:tcPr>
            <w:tcW w:w="6300" w:type="dxa"/>
            <w:tcBorders>
              <w:bottom w:val="single" w:sz="4" w:space="0" w:color="000000"/>
            </w:tcBorders>
            <w:vAlign w:val="center"/>
          </w:tcPr>
          <w:p w:rsidR="00593B55" w:rsidRPr="00A02489" w:rsidRDefault="00593B55" w:rsidP="00752E8F">
            <w:pPr>
              <w:pStyle w:val="ListParagraph"/>
              <w:spacing w:after="0" w:line="240" w:lineRule="auto"/>
              <w:ind w:left="0"/>
              <w:rPr>
                <w:rFonts w:ascii="Arial" w:hAnsi="Arial" w:cs="Arial"/>
                <w:lang w:val="es-ES"/>
              </w:rPr>
            </w:pPr>
            <w:r w:rsidRPr="00A02489">
              <w:rPr>
                <w:rFonts w:ascii="Arial" w:hAnsi="Arial" w:cs="Arial"/>
                <w:lang w:val="es-ES"/>
              </w:rPr>
              <w:t>Lista de deudores morosos del Servicio de Administración Tributaria</w:t>
            </w:r>
            <w:r w:rsidR="00752E8F" w:rsidRPr="00A02489">
              <w:rPr>
                <w:rFonts w:ascii="Arial" w:hAnsi="Arial" w:cs="Arial"/>
                <w:lang w:val="es-ES"/>
              </w:rPr>
              <w:t>, publicado.</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pPr>
              <w:spacing w:before="120" w:after="120" w:line="240" w:lineRule="auto"/>
              <w:rPr>
                <w:rFonts w:ascii="Arial" w:hAnsi="Arial" w:cs="Arial"/>
                <w:lang w:val="es-ES"/>
              </w:rPr>
            </w:pPr>
            <w:r w:rsidRPr="00A02489">
              <w:rPr>
                <w:rFonts w:ascii="Arial" w:hAnsi="Arial" w:cs="Arial"/>
                <w:lang w:val="es-ES"/>
              </w:rPr>
              <w:t xml:space="preserve">Informe de consultoría independiente para lista de deudores morosos. </w:t>
            </w:r>
          </w:p>
        </w:tc>
      </w:tr>
      <w:tr w:rsidR="00AE225B" w:rsidRPr="002D7449" w:rsidTr="00C676E5">
        <w:trPr>
          <w:trHeight w:val="836"/>
        </w:trPr>
        <w:tc>
          <w:tcPr>
            <w:tcW w:w="6300" w:type="dxa"/>
            <w:tcBorders>
              <w:bottom w:val="single" w:sz="4" w:space="0" w:color="000000"/>
            </w:tcBorders>
            <w:vAlign w:val="center"/>
          </w:tcPr>
          <w:p w:rsidR="00AE225B" w:rsidRPr="00A02489" w:rsidRDefault="00AE225B">
            <w:pPr>
              <w:pStyle w:val="ListParagraph"/>
              <w:spacing w:after="0" w:line="240" w:lineRule="auto"/>
              <w:ind w:left="0"/>
              <w:rPr>
                <w:rFonts w:ascii="Arial" w:hAnsi="Arial" w:cs="Arial"/>
                <w:lang w:val="es-ES"/>
              </w:rPr>
            </w:pPr>
            <w:r w:rsidRPr="00A02489">
              <w:rPr>
                <w:rFonts w:ascii="Arial" w:hAnsi="Arial" w:cs="Arial"/>
                <w:lang w:val="es-ES"/>
              </w:rPr>
              <w:t>Lineamientos para hacer efectivo el bloqueo del sello digital, publicado.</w:t>
            </w:r>
          </w:p>
        </w:tc>
        <w:tc>
          <w:tcPr>
            <w:tcW w:w="1710" w:type="dxa"/>
            <w:tcBorders>
              <w:bottom w:val="single" w:sz="4" w:space="0" w:color="000000"/>
            </w:tcBorders>
            <w:vAlign w:val="center"/>
          </w:tcPr>
          <w:p w:rsidR="00AE225B" w:rsidRPr="00A02489" w:rsidRDefault="00AE225B" w:rsidP="00C34F24">
            <w:pPr>
              <w:spacing w:after="0" w:line="240" w:lineRule="auto"/>
              <w:jc w:val="center"/>
              <w:rPr>
                <w:rFonts w:ascii="Arial" w:hAnsi="Arial" w:cs="Arial"/>
                <w:lang w:val="es-ES"/>
              </w:rPr>
            </w:pPr>
            <w:r>
              <w:rPr>
                <w:rFonts w:ascii="Arial" w:hAnsi="Arial" w:cs="Arial"/>
                <w:lang w:val="es-ES"/>
              </w:rPr>
              <w:t>0</w:t>
            </w:r>
          </w:p>
        </w:tc>
        <w:tc>
          <w:tcPr>
            <w:tcW w:w="1620" w:type="dxa"/>
            <w:tcBorders>
              <w:bottom w:val="single" w:sz="4" w:space="0" w:color="000000"/>
            </w:tcBorders>
            <w:vAlign w:val="center"/>
          </w:tcPr>
          <w:p w:rsidR="00AE225B" w:rsidRPr="00A02489" w:rsidRDefault="00AE225B" w:rsidP="00BA4D0B">
            <w:pPr>
              <w:jc w:val="center"/>
              <w:rPr>
                <w:rFonts w:ascii="Arial" w:hAnsi="Arial" w:cs="Arial"/>
                <w:lang w:val="es-ES"/>
              </w:rPr>
            </w:pPr>
            <w:r>
              <w:rPr>
                <w:rFonts w:ascii="Arial" w:hAnsi="Arial" w:cs="Arial"/>
                <w:lang w:val="es-ES"/>
              </w:rPr>
              <w:t>1</w:t>
            </w:r>
          </w:p>
        </w:tc>
        <w:tc>
          <w:tcPr>
            <w:tcW w:w="3420" w:type="dxa"/>
            <w:tcBorders>
              <w:bottom w:val="single" w:sz="4" w:space="0" w:color="000000"/>
            </w:tcBorders>
            <w:vAlign w:val="center"/>
          </w:tcPr>
          <w:p w:rsidR="00AE225B" w:rsidRPr="00A02489" w:rsidRDefault="00AE225B" w:rsidP="00AE225B">
            <w:pPr>
              <w:spacing w:before="120" w:after="120" w:line="240" w:lineRule="auto"/>
              <w:rPr>
                <w:rFonts w:ascii="Arial" w:hAnsi="Arial" w:cs="Arial"/>
                <w:lang w:val="es-ES"/>
              </w:rPr>
            </w:pPr>
            <w:r w:rsidRPr="00A02489">
              <w:rPr>
                <w:rFonts w:ascii="Arial" w:hAnsi="Arial" w:cs="Arial"/>
                <w:lang w:val="es-ES"/>
              </w:rPr>
              <w:t xml:space="preserve">Publicación en el Diario Oficial de la Federación de la Resolución Miscelánea Fiscal </w:t>
            </w:r>
          </w:p>
        </w:tc>
      </w:tr>
      <w:tr w:rsidR="0062034F" w:rsidRPr="002D7449" w:rsidTr="00C676E5">
        <w:trPr>
          <w:trHeight w:val="836"/>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Lineamientos para el procedimiento de los acuerdos conclusivos, publicados.</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vAlign w:val="center"/>
          </w:tcPr>
          <w:p w:rsidR="00593B55" w:rsidRPr="00A02489" w:rsidRDefault="00593B55">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2141"/>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Creación y puesta en marcha de la Unidad de Ingresos sobre Hidrocarburos en la Secretaría de Hacienda y Crédito Público, especializada en el asesoramiento y supervisión de las condiciones económicas y administrativas en el marco de la Ley de Ingresos sobre Hidrocarburos.</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62034F" w:rsidRPr="00A02489" w:rsidRDefault="0062034F" w:rsidP="00345053">
            <w:pPr>
              <w:spacing w:before="120" w:after="120" w:line="240" w:lineRule="auto"/>
              <w:rPr>
                <w:rFonts w:ascii="Arial" w:hAnsi="Arial" w:cs="Arial"/>
                <w:lang w:val="es-ES"/>
              </w:rPr>
            </w:pPr>
          </w:p>
          <w:p w:rsidR="00593B55" w:rsidRPr="00A02489" w:rsidRDefault="00593B55" w:rsidP="00345053">
            <w:pPr>
              <w:spacing w:before="120" w:after="120" w:line="240" w:lineRule="auto"/>
              <w:rPr>
                <w:rFonts w:ascii="Arial" w:hAnsi="Arial" w:cs="Arial"/>
                <w:lang w:val="es-ES"/>
              </w:rPr>
            </w:pPr>
            <w:r w:rsidRPr="00A02489">
              <w:rPr>
                <w:rFonts w:ascii="Arial" w:hAnsi="Arial" w:cs="Arial"/>
                <w:lang w:val="es-ES"/>
              </w:rPr>
              <w:t>Publicación en el Diario Oficial del Reglamento Interior de la SHCP.</w:t>
            </w:r>
          </w:p>
        </w:tc>
      </w:tr>
      <w:tr w:rsidR="0062034F" w:rsidRPr="002D7449" w:rsidTr="00C676E5">
        <w:trPr>
          <w:trHeight w:val="1979"/>
        </w:trPr>
        <w:tc>
          <w:tcPr>
            <w:tcW w:w="6300" w:type="dxa"/>
            <w:tcBorders>
              <w:bottom w:val="single" w:sz="4" w:space="0" w:color="000000"/>
            </w:tcBorders>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lastRenderedPageBreak/>
              <w:t>Creación y puesta en marcha de la Administración General de Hidrocarburos en el Servicio de Administración Tributaria, unidad especializada en el control del cumplimiento tributario en el marco de la Ley de Ingresos sobre Hidrocarburos.</w:t>
            </w:r>
          </w:p>
        </w:tc>
        <w:tc>
          <w:tcPr>
            <w:tcW w:w="1710" w:type="dxa"/>
            <w:tcBorders>
              <w:bottom w:val="single" w:sz="4" w:space="0" w:color="000000"/>
            </w:tcBorders>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tcBorders>
              <w:bottom w:val="single" w:sz="4" w:space="0" w:color="000000"/>
            </w:tcBorders>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Borders>
              <w:bottom w:val="single" w:sz="4" w:space="0" w:color="000000"/>
            </w:tcBorders>
          </w:tcPr>
          <w:p w:rsidR="0062034F" w:rsidRPr="00A02489" w:rsidRDefault="0062034F" w:rsidP="00590485">
            <w:pPr>
              <w:spacing w:before="120" w:after="120" w:line="240" w:lineRule="auto"/>
              <w:rPr>
                <w:rFonts w:ascii="Arial" w:hAnsi="Arial" w:cs="Arial"/>
                <w:lang w:val="es-ES"/>
              </w:rPr>
            </w:pPr>
          </w:p>
          <w:p w:rsidR="00593B55" w:rsidRPr="00A02489" w:rsidRDefault="00593B55" w:rsidP="00590485">
            <w:pPr>
              <w:spacing w:before="120" w:after="120" w:line="240" w:lineRule="auto"/>
              <w:rPr>
                <w:rFonts w:ascii="Arial" w:hAnsi="Arial" w:cs="Arial"/>
                <w:lang w:val="es-ES"/>
              </w:rPr>
            </w:pPr>
            <w:r w:rsidRPr="00A02489">
              <w:rPr>
                <w:rFonts w:ascii="Arial" w:hAnsi="Arial" w:cs="Arial"/>
                <w:lang w:val="es-ES"/>
              </w:rPr>
              <w:t>Publicación en el Diario Oficial del Reglamento Interior del SAT.</w:t>
            </w:r>
          </w:p>
        </w:tc>
      </w:tr>
      <w:tr w:rsidR="0062034F" w:rsidRPr="002D7449" w:rsidTr="00C676E5">
        <w:trPr>
          <w:trHeight w:val="1232"/>
        </w:trPr>
        <w:tc>
          <w:tcPr>
            <w:tcW w:w="6300" w:type="dxa"/>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Reglamento de la Ley Federal de Presupuesto y de Responsabilidad Hacendaria, publicado.</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vAlign w:val="center"/>
          </w:tcPr>
          <w:p w:rsidR="00593B55" w:rsidRPr="00A02489" w:rsidRDefault="00593B55" w:rsidP="005214AF">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3446"/>
        </w:trPr>
        <w:tc>
          <w:tcPr>
            <w:tcW w:w="6300" w:type="dxa"/>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Lineamientos aprobados para hacer operativo el control de la nómina y el pago a docentes por parte de la Tesorería de la Federación en coordinación con la Secretaría de Educación Pública mediante los Módulos siguientes: Módulo 1, Conciliación de plantillas de maestros entre Entidades Federativas y SHCP; Módulo 2, Generación de nóminas por un sistema centralizado; Módulo 3, Interface con la Tesorería de la Federación para hacer el pago a los maestros.</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Pr>
          <w:p w:rsidR="0062034F" w:rsidRPr="00A02489" w:rsidRDefault="0062034F" w:rsidP="00C34F24">
            <w:pPr>
              <w:spacing w:before="120" w:after="120" w:line="240" w:lineRule="auto"/>
              <w:rPr>
                <w:rFonts w:ascii="Arial" w:hAnsi="Arial" w:cs="Arial"/>
                <w:lang w:val="es-ES"/>
              </w:rPr>
            </w:pPr>
          </w:p>
          <w:p w:rsidR="0062034F" w:rsidRPr="00A02489" w:rsidRDefault="0062034F" w:rsidP="00C34F24">
            <w:pPr>
              <w:spacing w:before="120" w:after="120" w:line="240" w:lineRule="auto"/>
              <w:rPr>
                <w:rFonts w:ascii="Arial" w:hAnsi="Arial" w:cs="Arial"/>
                <w:lang w:val="es-ES"/>
              </w:rPr>
            </w:pPr>
          </w:p>
          <w:p w:rsidR="0062034F" w:rsidRPr="00A02489" w:rsidRDefault="0062034F" w:rsidP="00C34F24">
            <w:pPr>
              <w:spacing w:before="120" w:after="120" w:line="240" w:lineRule="auto"/>
              <w:rPr>
                <w:rFonts w:ascii="Arial" w:hAnsi="Arial" w:cs="Arial"/>
                <w:lang w:val="es-ES"/>
              </w:rPr>
            </w:pPr>
          </w:p>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Informe de consultoría independiente sobre la base de fuentes oficiales.</w:t>
            </w:r>
          </w:p>
        </w:tc>
      </w:tr>
      <w:tr w:rsidR="0062034F" w:rsidRPr="002D7449" w:rsidTr="00C676E5">
        <w:trPr>
          <w:trHeight w:val="2501"/>
        </w:trPr>
        <w:tc>
          <w:tcPr>
            <w:tcW w:w="6300" w:type="dxa"/>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t>Creación y puesta en marcha de un fideicomiso encargado de recibir, administrar, invertir y distribuir las contraprestaciones que reciba el Estado por las asignaciones y contratos de exploración y explotación de hidrocarburos (Fondo Mexicano del Petróleo para la Estabilización y el Desarrollo).</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Pr>
          <w:p w:rsidR="0062034F" w:rsidRPr="00A02489" w:rsidRDefault="0062034F" w:rsidP="00C34F24">
            <w:pPr>
              <w:spacing w:before="120" w:after="120" w:line="240" w:lineRule="auto"/>
              <w:rPr>
                <w:rFonts w:ascii="Arial" w:hAnsi="Arial" w:cs="Arial"/>
                <w:lang w:val="es-ES"/>
              </w:rPr>
            </w:pPr>
          </w:p>
          <w:p w:rsidR="0062034F" w:rsidRPr="00A02489" w:rsidRDefault="0062034F" w:rsidP="00C34F24">
            <w:pPr>
              <w:spacing w:before="120" w:after="120" w:line="240" w:lineRule="auto"/>
              <w:rPr>
                <w:rFonts w:ascii="Arial" w:hAnsi="Arial" w:cs="Arial"/>
                <w:lang w:val="es-ES"/>
              </w:rPr>
            </w:pPr>
          </w:p>
          <w:p w:rsidR="00593B55" w:rsidRPr="00A02489" w:rsidRDefault="00593B55" w:rsidP="00C34F24">
            <w:pPr>
              <w:spacing w:before="120" w:after="120" w:line="240" w:lineRule="auto"/>
              <w:rPr>
                <w:rFonts w:ascii="Arial" w:hAnsi="Arial" w:cs="Arial"/>
                <w:lang w:val="es-ES"/>
              </w:rPr>
            </w:pPr>
            <w:r w:rsidRPr="00A02489">
              <w:rPr>
                <w:rFonts w:ascii="Arial" w:hAnsi="Arial" w:cs="Arial"/>
                <w:lang w:val="es-ES"/>
              </w:rPr>
              <w:t>Publicación en el Diario Oficial de la Federación.</w:t>
            </w:r>
          </w:p>
        </w:tc>
      </w:tr>
      <w:tr w:rsidR="0062034F" w:rsidRPr="002D7449" w:rsidTr="00C676E5">
        <w:trPr>
          <w:trHeight w:val="2600"/>
        </w:trPr>
        <w:tc>
          <w:tcPr>
            <w:tcW w:w="6300" w:type="dxa"/>
            <w:vAlign w:val="center"/>
          </w:tcPr>
          <w:p w:rsidR="00593B55" w:rsidRPr="00A02489" w:rsidRDefault="00593B55">
            <w:pPr>
              <w:pStyle w:val="ListParagraph"/>
              <w:spacing w:after="0" w:line="240" w:lineRule="auto"/>
              <w:ind w:left="0"/>
              <w:rPr>
                <w:rFonts w:ascii="Arial" w:hAnsi="Arial" w:cs="Arial"/>
                <w:lang w:val="es-ES"/>
              </w:rPr>
            </w:pPr>
            <w:r w:rsidRPr="00A02489">
              <w:rPr>
                <w:rFonts w:ascii="Arial" w:hAnsi="Arial" w:cs="Arial"/>
                <w:lang w:val="es-ES"/>
              </w:rPr>
              <w:lastRenderedPageBreak/>
              <w:t>Reingeniería del gasto público en el Presupuesto de Egresos de la Federación de 2016, implementado, que incluya al menos: (i) revisión de los programas presupuestarios y sus estructuras, de los gastos de operación y de la inversión pública; y (ii) fusión y re-sectorización de programas presupuestarios, y eliminación y reducción de programas presupuestarios.</w:t>
            </w:r>
          </w:p>
        </w:tc>
        <w:tc>
          <w:tcPr>
            <w:tcW w:w="1710" w:type="dxa"/>
            <w:vAlign w:val="center"/>
          </w:tcPr>
          <w:p w:rsidR="00593B55" w:rsidRPr="00A02489" w:rsidRDefault="00593B55" w:rsidP="00C34F24">
            <w:pPr>
              <w:spacing w:after="0" w:line="240" w:lineRule="auto"/>
              <w:jc w:val="center"/>
              <w:rPr>
                <w:rFonts w:ascii="Arial" w:hAnsi="Arial" w:cs="Arial"/>
                <w:lang w:val="es-ES"/>
              </w:rPr>
            </w:pPr>
            <w:r w:rsidRPr="00A02489">
              <w:rPr>
                <w:rFonts w:ascii="Arial" w:hAnsi="Arial" w:cs="Arial"/>
                <w:lang w:val="es-ES"/>
              </w:rPr>
              <w:t>0</w:t>
            </w:r>
          </w:p>
        </w:tc>
        <w:tc>
          <w:tcPr>
            <w:tcW w:w="1620" w:type="dxa"/>
            <w:vAlign w:val="center"/>
          </w:tcPr>
          <w:p w:rsidR="00593B55" w:rsidRPr="00A02489" w:rsidRDefault="00593B55" w:rsidP="00BA4D0B">
            <w:pPr>
              <w:jc w:val="center"/>
              <w:rPr>
                <w:rFonts w:ascii="Arial" w:hAnsi="Arial" w:cs="Arial"/>
                <w:lang w:val="es-ES"/>
              </w:rPr>
            </w:pPr>
            <w:r w:rsidRPr="00A02489">
              <w:rPr>
                <w:rFonts w:ascii="Arial" w:hAnsi="Arial" w:cs="Arial"/>
                <w:lang w:val="es-ES"/>
              </w:rPr>
              <w:t>1</w:t>
            </w:r>
          </w:p>
        </w:tc>
        <w:tc>
          <w:tcPr>
            <w:tcW w:w="3420" w:type="dxa"/>
          </w:tcPr>
          <w:p w:rsidR="0062034F" w:rsidRPr="00A02489" w:rsidRDefault="0062034F" w:rsidP="00215768">
            <w:pPr>
              <w:spacing w:before="120" w:after="120" w:line="240" w:lineRule="auto"/>
              <w:rPr>
                <w:rFonts w:ascii="Arial" w:hAnsi="Arial" w:cs="Arial"/>
                <w:lang w:val="es-ES"/>
              </w:rPr>
            </w:pPr>
          </w:p>
          <w:p w:rsidR="00593B55" w:rsidRPr="00A02489" w:rsidRDefault="00593B55" w:rsidP="00215768">
            <w:pPr>
              <w:spacing w:before="120" w:after="120" w:line="240" w:lineRule="auto"/>
              <w:rPr>
                <w:rFonts w:ascii="Arial" w:hAnsi="Arial" w:cs="Arial"/>
                <w:lang w:val="es-ES"/>
              </w:rPr>
            </w:pPr>
            <w:r w:rsidRPr="00A02489">
              <w:rPr>
                <w:rFonts w:ascii="Arial" w:hAnsi="Arial" w:cs="Arial"/>
                <w:lang w:val="es-ES"/>
              </w:rPr>
              <w:t>Publicación en el Diario Oficial de la Federación e informe de consultoría independiente.</w:t>
            </w:r>
          </w:p>
        </w:tc>
      </w:tr>
    </w:tbl>
    <w:p w:rsidR="00955D6B" w:rsidRPr="00A02489" w:rsidRDefault="00955D6B" w:rsidP="002952DD">
      <w:pPr>
        <w:rPr>
          <w:rFonts w:ascii="Arial" w:hAnsi="Arial" w:cs="Arial"/>
          <w:lang w:val="es-ES"/>
        </w:rPr>
      </w:pPr>
    </w:p>
    <w:sectPr w:rsidR="00955D6B" w:rsidRPr="00A02489" w:rsidSect="00C676E5">
      <w:headerReference w:type="even" r:id="rId13"/>
      <w:headerReference w:type="default" r:id="rId14"/>
      <w:pgSz w:w="15840" w:h="12240" w:orient="landscape"/>
      <w:pgMar w:top="1008" w:right="1440" w:bottom="1008"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IADB" w:date="2016-01-28T18:07:00Z" w:initials="I">
    <w:p w:rsidR="00A1429F" w:rsidRDefault="00A1429F">
      <w:pPr>
        <w:pStyle w:val="CommentText"/>
        <w:rPr>
          <w:lang w:val="es-ES"/>
        </w:rPr>
      </w:pPr>
      <w:r>
        <w:rPr>
          <w:rStyle w:val="CommentReference"/>
        </w:rPr>
        <w:annotationRef/>
      </w:r>
      <w:r w:rsidRPr="00C90DA8">
        <w:rPr>
          <w:lang w:val="es-ES"/>
        </w:rPr>
        <w:t xml:space="preserve">Es necesario establecer la </w:t>
      </w:r>
      <w:proofErr w:type="spellStart"/>
      <w:r w:rsidRPr="00C90DA8">
        <w:rPr>
          <w:lang w:val="es-ES"/>
        </w:rPr>
        <w:t>l’inea</w:t>
      </w:r>
      <w:proofErr w:type="spellEnd"/>
      <w:r w:rsidRPr="00C90DA8">
        <w:rPr>
          <w:lang w:val="es-ES"/>
        </w:rPr>
        <w:t xml:space="preserve"> de</w:t>
      </w:r>
      <w:r>
        <w:rPr>
          <w:lang w:val="es-ES"/>
        </w:rPr>
        <w:t xml:space="preserve"> base y la unidad de medida y el valor esperado</w:t>
      </w:r>
    </w:p>
    <w:p w:rsidR="00A1429F" w:rsidRPr="00D87191" w:rsidRDefault="00A1429F">
      <w:pPr>
        <w:pStyle w:val="CommentText"/>
        <w:rPr>
          <w:lang w:val="es-ES"/>
        </w:rPr>
      </w:pPr>
      <w:r w:rsidRPr="00A1429F">
        <w:rPr>
          <w:highlight w:val="yellow"/>
          <w:lang w:val="es-ES"/>
        </w:rPr>
        <w:t>Se mantiene el indicador ya que es el acordado con SPD para la serie programática, y en las observaciones se precisan las metas tanto numéricas como no numéricas.</w:t>
      </w:r>
    </w:p>
  </w:comment>
  <w:comment w:id="2" w:author="Test" w:date="2016-01-28T18:03:00Z" w:initials="T">
    <w:p w:rsidR="00230B8A" w:rsidRDefault="00C90DA8">
      <w:pPr>
        <w:pStyle w:val="CommentText"/>
        <w:rPr>
          <w:lang w:val="es-ES"/>
        </w:rPr>
      </w:pPr>
      <w:r>
        <w:rPr>
          <w:rStyle w:val="CommentReference"/>
        </w:rPr>
        <w:annotationRef/>
      </w:r>
      <w:r w:rsidRPr="00C90DA8">
        <w:rPr>
          <w:lang w:val="es-ES"/>
        </w:rPr>
        <w:t xml:space="preserve">Este </w:t>
      </w:r>
      <w:proofErr w:type="spellStart"/>
      <w:r w:rsidRPr="00C90DA8">
        <w:rPr>
          <w:lang w:val="es-ES"/>
        </w:rPr>
        <w:t>product</w:t>
      </w:r>
      <w:proofErr w:type="spellEnd"/>
      <w:r w:rsidRPr="00C90DA8">
        <w:rPr>
          <w:lang w:val="es-ES"/>
        </w:rPr>
        <w:t xml:space="preserve"> no queda claro del POD, sugiero precisarlo en el POD</w:t>
      </w:r>
      <w:r w:rsidR="008B7174">
        <w:rPr>
          <w:lang w:val="es-ES"/>
        </w:rPr>
        <w:t xml:space="preserve">. </w:t>
      </w:r>
    </w:p>
    <w:p w:rsidR="00C90DA8" w:rsidRPr="00C90DA8" w:rsidRDefault="008A68F2">
      <w:pPr>
        <w:pStyle w:val="CommentText"/>
        <w:rPr>
          <w:lang w:val="es-ES"/>
        </w:rPr>
      </w:pPr>
      <w:r w:rsidRPr="008A68F2">
        <w:rPr>
          <w:highlight w:val="yellow"/>
          <w:lang w:val="es-ES"/>
        </w:rPr>
        <w:t xml:space="preserve">El producto es la Ley de Ingresos de Hidrocarburos, que se desglosa para contratos de exploración y extracción y </w:t>
      </w:r>
      <w:r w:rsidR="00230B8A">
        <w:rPr>
          <w:highlight w:val="yellow"/>
          <w:lang w:val="es-ES"/>
        </w:rPr>
        <w:t xml:space="preserve">para </w:t>
      </w:r>
      <w:r w:rsidRPr="008A68F2">
        <w:rPr>
          <w:highlight w:val="yellow"/>
          <w:lang w:val="es-ES"/>
        </w:rPr>
        <w:t xml:space="preserve">asignaciones a empresas </w:t>
      </w:r>
      <w:r w:rsidRPr="009331CF">
        <w:rPr>
          <w:highlight w:val="yellow"/>
          <w:lang w:val="es-ES"/>
        </w:rPr>
        <w:t>produ</w:t>
      </w:r>
      <w:r w:rsidR="009C6D37" w:rsidRPr="009331CF">
        <w:rPr>
          <w:highlight w:val="yellow"/>
          <w:lang w:val="es-ES"/>
        </w:rPr>
        <w:t>c</w:t>
      </w:r>
      <w:r w:rsidRPr="009331CF">
        <w:rPr>
          <w:highlight w:val="yellow"/>
          <w:lang w:val="es-ES"/>
        </w:rPr>
        <w:t xml:space="preserve">tivas. </w:t>
      </w:r>
      <w:r w:rsidR="009331CF" w:rsidRPr="009331CF">
        <w:rPr>
          <w:highlight w:val="yellow"/>
          <w:lang w:val="es-ES"/>
        </w:rPr>
        <w:t>Además se aclara en el POD.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640" w:rsidRDefault="00493640" w:rsidP="007B6ECD">
      <w:pPr>
        <w:spacing w:after="0" w:line="240" w:lineRule="auto"/>
      </w:pPr>
      <w:r>
        <w:separator/>
      </w:r>
    </w:p>
  </w:endnote>
  <w:endnote w:type="continuationSeparator" w:id="0">
    <w:p w:rsidR="00493640" w:rsidRDefault="00493640" w:rsidP="007B6ECD">
      <w:pPr>
        <w:spacing w:after="0" w:line="240" w:lineRule="auto"/>
      </w:pPr>
      <w:r>
        <w:continuationSeparator/>
      </w:r>
    </w:p>
  </w:endnote>
  <w:endnote w:type="continuationNotice" w:id="1">
    <w:p w:rsidR="00493640" w:rsidRDefault="004936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640" w:rsidRDefault="00493640" w:rsidP="007B6ECD">
      <w:pPr>
        <w:spacing w:after="0" w:line="240" w:lineRule="auto"/>
      </w:pPr>
      <w:r>
        <w:separator/>
      </w:r>
    </w:p>
  </w:footnote>
  <w:footnote w:type="continuationSeparator" w:id="0">
    <w:p w:rsidR="00493640" w:rsidRDefault="00493640" w:rsidP="007B6ECD">
      <w:pPr>
        <w:spacing w:after="0" w:line="240" w:lineRule="auto"/>
      </w:pPr>
      <w:r>
        <w:continuationSeparator/>
      </w:r>
    </w:p>
  </w:footnote>
  <w:footnote w:type="continuationNotice" w:id="1">
    <w:p w:rsidR="00493640" w:rsidRDefault="00493640">
      <w:pPr>
        <w:spacing w:after="0" w:line="240" w:lineRule="auto"/>
      </w:pPr>
    </w:p>
  </w:footnote>
  <w:footnote w:id="2">
    <w:p w:rsidR="00A1429F" w:rsidRPr="00BC5380" w:rsidRDefault="00A1429F" w:rsidP="00C34F24">
      <w:pPr>
        <w:pStyle w:val="FootnoteText"/>
        <w:ind w:left="360" w:hanging="360"/>
        <w:rPr>
          <w:sz w:val="18"/>
          <w:szCs w:val="18"/>
        </w:rPr>
      </w:pPr>
      <w:r w:rsidRPr="00BC5380">
        <w:rPr>
          <w:rStyle w:val="FootnoteReference"/>
          <w:sz w:val="18"/>
          <w:szCs w:val="18"/>
        </w:rPr>
        <w:footnoteRef/>
      </w:r>
      <w:r w:rsidRPr="00BC5380">
        <w:rPr>
          <w:sz w:val="18"/>
          <w:szCs w:val="18"/>
        </w:rPr>
        <w:t xml:space="preserve"> </w:t>
      </w:r>
      <w:r w:rsidRPr="00BC5380">
        <w:rPr>
          <w:sz w:val="18"/>
          <w:szCs w:val="18"/>
        </w:rPr>
        <w:tab/>
      </w:r>
      <w:r w:rsidRPr="00C34F24">
        <w:rPr>
          <w:rFonts w:ascii="Arial" w:hAnsi="Arial" w:cs="Arial"/>
          <w:sz w:val="18"/>
          <w:szCs w:val="18"/>
        </w:rPr>
        <w:t>El artículo 2 inciso XLVII de la LFPRH define los requerimientos financieros del sector público como “las necesidades de financiamiento del Gobierno Federal y las entidades del sector público federal, que cubre la diferencia entre los ingresos y los gastos distintos de la adquisición neta de pasivos y activos financieros, incluyendo las actividades del sector privado y social cuando actúan por cuenta del Gobierno Federal o las entidades”.</w:t>
      </w:r>
    </w:p>
  </w:footnote>
  <w:footnote w:id="3">
    <w:p w:rsidR="00C34F24" w:rsidRPr="00BF3E23" w:rsidRDefault="00C34F24" w:rsidP="00BF3E23">
      <w:pPr>
        <w:pStyle w:val="FootnoteText"/>
        <w:ind w:left="360" w:hanging="360"/>
        <w:rPr>
          <w:rFonts w:ascii="Arial" w:hAnsi="Arial" w:cs="Arial"/>
          <w:sz w:val="18"/>
          <w:szCs w:val="18"/>
        </w:rPr>
      </w:pPr>
      <w:r w:rsidRPr="00BF3E23">
        <w:rPr>
          <w:rStyle w:val="FootnoteReference"/>
          <w:rFonts w:ascii="Arial" w:hAnsi="Arial" w:cs="Arial"/>
        </w:rPr>
        <w:footnoteRef/>
      </w:r>
      <w:r w:rsidRPr="00BF3E23">
        <w:rPr>
          <w:rFonts w:ascii="Arial" w:hAnsi="Arial" w:cs="Arial"/>
        </w:rPr>
        <w:t xml:space="preserve"> </w:t>
      </w:r>
      <w:r w:rsidRPr="00BF3E23">
        <w:rPr>
          <w:rFonts w:ascii="Arial" w:hAnsi="Arial" w:cs="Arial"/>
          <w:sz w:val="18"/>
          <w:szCs w:val="18"/>
        </w:rPr>
        <w:t>Excluye los ingresos tributarios petroleros y los no recurrentes, como los asociados al programa de amnistía fiscal “Ponte al Corriente”.</w:t>
      </w:r>
      <w:r w:rsidR="00315BD4">
        <w:rPr>
          <w:rFonts w:ascii="Arial" w:hAnsi="Arial" w:cs="Arial"/>
          <w:sz w:val="18"/>
          <w:szCs w:val="18"/>
        </w:rPr>
        <w:t xml:space="preserve"> </w:t>
      </w:r>
      <w:r w:rsidR="001914D1">
        <w:rPr>
          <w:rFonts w:ascii="Arial" w:hAnsi="Arial" w:cs="Arial"/>
          <w:sz w:val="18"/>
          <w:szCs w:val="18"/>
        </w:rPr>
        <w:t xml:space="preserve">El resultado intermedio refleja los avances </w:t>
      </w:r>
      <w:r w:rsidR="00044620">
        <w:rPr>
          <w:rFonts w:ascii="Arial" w:hAnsi="Arial" w:cs="Arial"/>
          <w:sz w:val="18"/>
          <w:szCs w:val="18"/>
        </w:rPr>
        <w:t xml:space="preserve">ya </w:t>
      </w:r>
      <w:r w:rsidR="001914D1">
        <w:rPr>
          <w:rFonts w:ascii="Arial" w:hAnsi="Arial" w:cs="Arial"/>
          <w:sz w:val="18"/>
          <w:szCs w:val="18"/>
        </w:rPr>
        <w:t xml:space="preserve">alcanzados con apoyo del programa. </w:t>
      </w:r>
    </w:p>
  </w:footnote>
  <w:footnote w:id="4">
    <w:p w:rsidR="00C34F24" w:rsidRPr="00BF3E23" w:rsidRDefault="00C34F24" w:rsidP="00BF3E23">
      <w:pPr>
        <w:pStyle w:val="FootnoteText"/>
        <w:ind w:left="360" w:hanging="360"/>
        <w:rPr>
          <w:rFonts w:ascii="Arial" w:hAnsi="Arial" w:cs="Arial"/>
        </w:rPr>
      </w:pPr>
      <w:r w:rsidRPr="00BF3E23">
        <w:rPr>
          <w:rStyle w:val="FootnoteReference"/>
          <w:rFonts w:ascii="Arial" w:hAnsi="Arial" w:cs="Arial"/>
        </w:rPr>
        <w:footnoteRef/>
      </w:r>
      <w:r w:rsidRPr="00BF3E23">
        <w:rPr>
          <w:rFonts w:ascii="Arial" w:hAnsi="Arial" w:cs="Arial"/>
        </w:rPr>
        <w:t xml:space="preserve"> </w:t>
      </w:r>
      <w:r w:rsidRPr="00BF3E23">
        <w:rPr>
          <w:rFonts w:ascii="Arial" w:hAnsi="Arial" w:cs="Arial"/>
          <w:sz w:val="18"/>
          <w:szCs w:val="18"/>
        </w:rPr>
        <w:t>Obligados a facturar electrónicamente son aquellos que facturan  más de US$ 300 mil en 2013.</w:t>
      </w:r>
    </w:p>
  </w:footnote>
  <w:footnote w:id="5">
    <w:p w:rsidR="00C34F24" w:rsidRPr="00BF3E23" w:rsidRDefault="00C34F24" w:rsidP="00BF3E23">
      <w:pPr>
        <w:pStyle w:val="FootnoteText"/>
        <w:ind w:left="360" w:hanging="360"/>
        <w:rPr>
          <w:sz w:val="18"/>
          <w:szCs w:val="18"/>
        </w:rPr>
      </w:pPr>
      <w:r w:rsidRPr="00BF3E23">
        <w:rPr>
          <w:rStyle w:val="FootnoteReference"/>
          <w:rFonts w:ascii="Arial" w:hAnsi="Arial" w:cs="Arial"/>
        </w:rPr>
        <w:footnoteRef/>
      </w:r>
      <w:r w:rsidRPr="00BF3E23">
        <w:rPr>
          <w:rFonts w:ascii="Arial" w:hAnsi="Arial" w:cs="Arial"/>
        </w:rPr>
        <w:t xml:space="preserve"> </w:t>
      </w:r>
      <w:r w:rsidRPr="00BF3E23">
        <w:rPr>
          <w:rFonts w:ascii="Arial" w:hAnsi="Arial" w:cs="Arial"/>
          <w:color w:val="000000"/>
          <w:sz w:val="18"/>
          <w:szCs w:val="18"/>
        </w:rPr>
        <w:t>Comprobantes fiscales digitales por internet – CFDI- remitidos electrónicamente a SAT, y a sus trabajadores por correo electrónico</w:t>
      </w:r>
      <w:r w:rsidRPr="00BF3E23">
        <w:rPr>
          <w:rFonts w:ascii="Arial" w:hAnsi="Arial" w:cs="Arial"/>
          <w:sz w:val="18"/>
          <w:szCs w:val="18"/>
        </w:rPr>
        <w:t>.</w:t>
      </w:r>
    </w:p>
  </w:footnote>
  <w:footnote w:id="6">
    <w:p w:rsidR="006D2688" w:rsidRPr="00A4194F" w:rsidRDefault="006D2688">
      <w:pPr>
        <w:pStyle w:val="FootnoteText"/>
        <w:rPr>
          <w:rFonts w:ascii="Arial" w:hAnsi="Arial" w:cs="Arial"/>
        </w:rPr>
      </w:pPr>
      <w:r w:rsidRPr="00A4194F">
        <w:rPr>
          <w:rStyle w:val="FootnoteReference"/>
          <w:rFonts w:ascii="Arial" w:hAnsi="Arial" w:cs="Arial"/>
        </w:rPr>
        <w:footnoteRef/>
      </w:r>
      <w:r w:rsidRPr="00A4194F">
        <w:rPr>
          <w:rFonts w:ascii="Arial" w:hAnsi="Arial" w:cs="Arial"/>
        </w:rPr>
        <w:t xml:space="preserve"> El Proyecto de Presupuesto de Egresos de la Federación </w:t>
      </w:r>
      <w:r w:rsidR="002A34B7" w:rsidRPr="00A4194F">
        <w:rPr>
          <w:rFonts w:ascii="Arial" w:hAnsi="Arial" w:cs="Arial"/>
        </w:rPr>
        <w:t>incluía</w:t>
      </w:r>
      <w:r w:rsidRPr="00A4194F">
        <w:rPr>
          <w:rFonts w:ascii="Arial" w:hAnsi="Arial" w:cs="Arial"/>
        </w:rPr>
        <w:t>, antes de la reingeniería del gasto público, 851 programas presupuestarios.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F24" w:rsidRPr="00A072A0" w:rsidRDefault="00C34F24" w:rsidP="00C676E5">
    <w:pPr>
      <w:pStyle w:val="Header"/>
      <w:jc w:val="right"/>
      <w:rPr>
        <w:rFonts w:ascii="Arial" w:hAnsi="Arial" w:cs="Arial"/>
        <w:sz w:val="18"/>
        <w:szCs w:val="20"/>
        <w:lang w:val="pt-BR"/>
      </w:rPr>
    </w:pPr>
    <w:r w:rsidRPr="00C676E5">
      <w:rPr>
        <w:rFonts w:ascii="Arial" w:hAnsi="Arial" w:cs="Arial"/>
        <w:sz w:val="18"/>
        <w:szCs w:val="20"/>
        <w:highlight w:val="yellow"/>
        <w:lang w:val="pt-BR"/>
      </w:rPr>
      <w:t>Anexo II</w:t>
    </w:r>
    <w:r w:rsidRPr="00A072A0">
      <w:rPr>
        <w:rFonts w:ascii="Arial" w:hAnsi="Arial" w:cs="Arial"/>
        <w:sz w:val="18"/>
        <w:szCs w:val="20"/>
        <w:lang w:val="pt-BR"/>
      </w:rPr>
      <w:t xml:space="preserve"> – XX-</w:t>
    </w:r>
    <w:proofErr w:type="spellStart"/>
    <w:r w:rsidRPr="00A072A0">
      <w:rPr>
        <w:rFonts w:ascii="Arial" w:hAnsi="Arial" w:cs="Arial"/>
        <w:sz w:val="18"/>
        <w:szCs w:val="20"/>
        <w:lang w:val="pt-BR"/>
      </w:rPr>
      <w:t>L</w:t>
    </w:r>
    <w:r>
      <w:rPr>
        <w:rFonts w:ascii="Arial" w:hAnsi="Arial" w:cs="Arial"/>
        <w:sz w:val="18"/>
        <w:szCs w:val="20"/>
        <w:lang w:val="pt-BR"/>
      </w:rPr>
      <w:t>xxxx</w:t>
    </w:r>
    <w:proofErr w:type="spellEnd"/>
  </w:p>
  <w:p w:rsidR="00C34F24" w:rsidRPr="0094442E" w:rsidRDefault="00C34F24" w:rsidP="00C676E5">
    <w:pPr>
      <w:pStyle w:val="Header"/>
      <w:spacing w:after="120"/>
      <w:jc w:val="right"/>
      <w:rPr>
        <w:rFonts w:ascii="Arial" w:hAnsi="Arial" w:cs="Arial"/>
        <w:sz w:val="18"/>
        <w:lang w:val="pt-BR"/>
      </w:rPr>
    </w:pPr>
    <w:r w:rsidRPr="00A072A0">
      <w:rPr>
        <w:rFonts w:ascii="Arial" w:hAnsi="Arial" w:cs="Arial"/>
        <w:sz w:val="18"/>
        <w:szCs w:val="20"/>
        <w:lang w:val="pt-BR"/>
      </w:rPr>
      <w:t xml:space="preserve">Página </w:t>
    </w:r>
    <w:r w:rsidRPr="00A072A0">
      <w:rPr>
        <w:rFonts w:ascii="Arial" w:hAnsi="Arial" w:cs="Arial"/>
        <w:sz w:val="18"/>
        <w:szCs w:val="20"/>
      </w:rPr>
      <w:fldChar w:fldCharType="begin"/>
    </w:r>
    <w:r w:rsidRPr="00A072A0">
      <w:rPr>
        <w:rFonts w:ascii="Arial" w:hAnsi="Arial" w:cs="Arial"/>
        <w:sz w:val="18"/>
        <w:szCs w:val="20"/>
        <w:lang w:val="pt-BR"/>
      </w:rPr>
      <w:instrText xml:space="preserve"> PAGE </w:instrText>
    </w:r>
    <w:r w:rsidRPr="00A072A0">
      <w:rPr>
        <w:rFonts w:ascii="Arial" w:hAnsi="Arial" w:cs="Arial"/>
        <w:sz w:val="18"/>
        <w:szCs w:val="20"/>
      </w:rPr>
      <w:fldChar w:fldCharType="separate"/>
    </w:r>
    <w:r w:rsidR="00C676E5">
      <w:rPr>
        <w:rFonts w:ascii="Arial" w:hAnsi="Arial" w:cs="Arial"/>
        <w:noProof/>
        <w:sz w:val="18"/>
        <w:szCs w:val="20"/>
        <w:lang w:val="pt-BR"/>
      </w:rPr>
      <w:t>8</w:t>
    </w:r>
    <w:r w:rsidRPr="00A072A0">
      <w:rPr>
        <w:rFonts w:ascii="Arial" w:hAnsi="Arial" w:cs="Arial"/>
        <w:sz w:val="18"/>
        <w:szCs w:val="20"/>
      </w:rPr>
      <w:fldChar w:fldCharType="end"/>
    </w:r>
    <w:r w:rsidRPr="00A072A0">
      <w:rPr>
        <w:rFonts w:ascii="Arial" w:hAnsi="Arial" w:cs="Arial"/>
        <w:sz w:val="18"/>
        <w:szCs w:val="20"/>
        <w:lang w:val="pt-BR"/>
      </w:rPr>
      <w:t xml:space="preserve"> de </w:t>
    </w:r>
    <w:r w:rsidRPr="00A072A0">
      <w:rPr>
        <w:rFonts w:ascii="Arial" w:hAnsi="Arial" w:cs="Arial"/>
        <w:sz w:val="18"/>
        <w:szCs w:val="20"/>
      </w:rPr>
      <w:fldChar w:fldCharType="begin"/>
    </w:r>
    <w:r w:rsidRPr="00A072A0">
      <w:rPr>
        <w:rFonts w:ascii="Arial" w:hAnsi="Arial" w:cs="Arial"/>
        <w:sz w:val="18"/>
        <w:szCs w:val="20"/>
        <w:lang w:val="pt-BR"/>
      </w:rPr>
      <w:instrText xml:space="preserve"> NUMPAGES  </w:instrText>
    </w:r>
    <w:r w:rsidRPr="00A072A0">
      <w:rPr>
        <w:rFonts w:ascii="Arial" w:hAnsi="Arial" w:cs="Arial"/>
        <w:sz w:val="18"/>
        <w:szCs w:val="20"/>
      </w:rPr>
      <w:fldChar w:fldCharType="separate"/>
    </w:r>
    <w:r w:rsidR="00C676E5">
      <w:rPr>
        <w:rFonts w:ascii="Arial" w:hAnsi="Arial" w:cs="Arial"/>
        <w:noProof/>
        <w:sz w:val="18"/>
        <w:szCs w:val="20"/>
        <w:lang w:val="pt-BR"/>
      </w:rPr>
      <w:t>8</w:t>
    </w:r>
    <w:r w:rsidRPr="00A072A0">
      <w:rPr>
        <w:rFonts w:ascii="Arial" w:hAnsi="Arial" w:cs="Arial"/>
        <w:sz w:val="18"/>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F24" w:rsidRPr="00A02489" w:rsidRDefault="00A02489" w:rsidP="00795640">
    <w:pPr>
      <w:pStyle w:val="Header"/>
      <w:jc w:val="right"/>
      <w:rPr>
        <w:rFonts w:ascii="Arial" w:hAnsi="Arial" w:cs="Arial"/>
        <w:sz w:val="20"/>
        <w:szCs w:val="20"/>
        <w:lang w:val="es-AR"/>
      </w:rPr>
    </w:pPr>
    <w:r w:rsidRPr="00A02489">
      <w:rPr>
        <w:rFonts w:ascii="Arial" w:hAnsi="Arial" w:cs="Arial"/>
        <w:sz w:val="20"/>
        <w:szCs w:val="20"/>
        <w:lang w:val="es-AR"/>
      </w:rPr>
      <w:t>Enlace Electrónico Requerido 4 -</w:t>
    </w:r>
    <w:r w:rsidR="00C34F24" w:rsidRPr="00A02489">
      <w:rPr>
        <w:rFonts w:ascii="Arial" w:hAnsi="Arial" w:cs="Arial"/>
        <w:sz w:val="20"/>
        <w:szCs w:val="20"/>
        <w:lang w:val="es-AR"/>
      </w:rPr>
      <w:t xml:space="preserve"> ME-L1189</w:t>
    </w:r>
  </w:p>
  <w:p w:rsidR="00C34F24" w:rsidRPr="00A02489" w:rsidRDefault="00C34F24" w:rsidP="00795640">
    <w:pPr>
      <w:pStyle w:val="Header"/>
      <w:spacing w:after="120"/>
      <w:jc w:val="right"/>
      <w:rPr>
        <w:rFonts w:ascii="Arial" w:hAnsi="Arial" w:cs="Arial"/>
        <w:sz w:val="20"/>
        <w:szCs w:val="20"/>
        <w:lang w:val="es-AR"/>
      </w:rPr>
    </w:pPr>
    <w:r w:rsidRPr="00A02489">
      <w:rPr>
        <w:rFonts w:ascii="Arial" w:hAnsi="Arial" w:cs="Arial"/>
        <w:sz w:val="20"/>
        <w:szCs w:val="20"/>
        <w:lang w:val="es-AR"/>
      </w:rPr>
      <w:t xml:space="preserve">Página </w:t>
    </w:r>
    <w:r w:rsidRPr="00A02489">
      <w:rPr>
        <w:rFonts w:ascii="Arial" w:hAnsi="Arial" w:cs="Arial"/>
        <w:sz w:val="20"/>
        <w:szCs w:val="20"/>
        <w:lang w:val="es-AR"/>
      </w:rPr>
      <w:fldChar w:fldCharType="begin"/>
    </w:r>
    <w:r w:rsidRPr="00A02489">
      <w:rPr>
        <w:rFonts w:ascii="Arial" w:hAnsi="Arial" w:cs="Arial"/>
        <w:sz w:val="20"/>
        <w:szCs w:val="20"/>
        <w:lang w:val="es-AR"/>
      </w:rPr>
      <w:instrText xml:space="preserve"> PAGE </w:instrText>
    </w:r>
    <w:r w:rsidRPr="00A02489">
      <w:rPr>
        <w:rFonts w:ascii="Arial" w:hAnsi="Arial" w:cs="Arial"/>
        <w:sz w:val="20"/>
        <w:szCs w:val="20"/>
        <w:lang w:val="es-AR"/>
      </w:rPr>
      <w:fldChar w:fldCharType="separate"/>
    </w:r>
    <w:r w:rsidR="00856DFD">
      <w:rPr>
        <w:rFonts w:ascii="Arial" w:hAnsi="Arial" w:cs="Arial"/>
        <w:noProof/>
        <w:sz w:val="20"/>
        <w:szCs w:val="20"/>
        <w:lang w:val="es-AR"/>
      </w:rPr>
      <w:t>1</w:t>
    </w:r>
    <w:r w:rsidRPr="00A02489">
      <w:rPr>
        <w:rFonts w:ascii="Arial" w:hAnsi="Arial" w:cs="Arial"/>
        <w:sz w:val="20"/>
        <w:szCs w:val="20"/>
        <w:lang w:val="es-AR"/>
      </w:rPr>
      <w:fldChar w:fldCharType="end"/>
    </w:r>
    <w:r w:rsidRPr="00A02489">
      <w:rPr>
        <w:rFonts w:ascii="Arial" w:hAnsi="Arial" w:cs="Arial"/>
        <w:sz w:val="20"/>
        <w:szCs w:val="20"/>
        <w:lang w:val="es-AR"/>
      </w:rPr>
      <w:t xml:space="preserve"> de </w:t>
    </w:r>
    <w:r w:rsidRPr="00A02489">
      <w:rPr>
        <w:rFonts w:ascii="Arial" w:hAnsi="Arial" w:cs="Arial"/>
        <w:sz w:val="20"/>
        <w:szCs w:val="20"/>
        <w:lang w:val="es-AR"/>
      </w:rPr>
      <w:fldChar w:fldCharType="begin"/>
    </w:r>
    <w:r w:rsidRPr="00A02489">
      <w:rPr>
        <w:rFonts w:ascii="Arial" w:hAnsi="Arial" w:cs="Arial"/>
        <w:sz w:val="20"/>
        <w:szCs w:val="20"/>
        <w:lang w:val="es-AR"/>
      </w:rPr>
      <w:instrText xml:space="preserve"> NUMPAGES  </w:instrText>
    </w:r>
    <w:r w:rsidRPr="00A02489">
      <w:rPr>
        <w:rFonts w:ascii="Arial" w:hAnsi="Arial" w:cs="Arial"/>
        <w:sz w:val="20"/>
        <w:szCs w:val="20"/>
        <w:lang w:val="es-AR"/>
      </w:rPr>
      <w:fldChar w:fldCharType="separate"/>
    </w:r>
    <w:r w:rsidR="00856DFD">
      <w:rPr>
        <w:rFonts w:ascii="Arial" w:hAnsi="Arial" w:cs="Arial"/>
        <w:noProof/>
        <w:sz w:val="20"/>
        <w:szCs w:val="20"/>
        <w:lang w:val="es-AR"/>
      </w:rPr>
      <w:t>7</w:t>
    </w:r>
    <w:r w:rsidRPr="00A02489">
      <w:rPr>
        <w:rFonts w:ascii="Arial" w:hAnsi="Arial" w:cs="Arial"/>
        <w:sz w:val="20"/>
        <w:szCs w:val="20"/>
        <w:lang w:val="es-A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455835"/>
    <w:multiLevelType w:val="hybridMultilevel"/>
    <w:tmpl w:val="31D0627A"/>
    <w:lvl w:ilvl="0" w:tplc="65EEC1EC">
      <w:start w:val="1"/>
      <w:numFmt w:val="lowerRoman"/>
      <w:lvlText w:val="(%1)"/>
      <w:lvlJc w:val="left"/>
      <w:pPr>
        <w:ind w:left="612" w:hanging="72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5">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8">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3">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3"/>
  </w:num>
  <w:num w:numId="3">
    <w:abstractNumId w:val="8"/>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
  </w:num>
  <w:num w:numId="13">
    <w:abstractNumId w:val="13"/>
  </w:num>
  <w:num w:numId="14">
    <w:abstractNumId w:val="10"/>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oNotTrackMoves/>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00C59"/>
    <w:rsid w:val="00000A82"/>
    <w:rsid w:val="00002FBE"/>
    <w:rsid w:val="00005605"/>
    <w:rsid w:val="00007303"/>
    <w:rsid w:val="0001586F"/>
    <w:rsid w:val="00016F82"/>
    <w:rsid w:val="0002055E"/>
    <w:rsid w:val="00020A04"/>
    <w:rsid w:val="00022A27"/>
    <w:rsid w:val="00023C48"/>
    <w:rsid w:val="0002526D"/>
    <w:rsid w:val="00026183"/>
    <w:rsid w:val="000315D3"/>
    <w:rsid w:val="00035ED9"/>
    <w:rsid w:val="0004302D"/>
    <w:rsid w:val="00044620"/>
    <w:rsid w:val="00051DF2"/>
    <w:rsid w:val="00056F4C"/>
    <w:rsid w:val="00060AE9"/>
    <w:rsid w:val="000660DE"/>
    <w:rsid w:val="000701B1"/>
    <w:rsid w:val="000751B3"/>
    <w:rsid w:val="00080701"/>
    <w:rsid w:val="000970F4"/>
    <w:rsid w:val="000A2132"/>
    <w:rsid w:val="000A55DE"/>
    <w:rsid w:val="000B219E"/>
    <w:rsid w:val="000B254C"/>
    <w:rsid w:val="000B4FB5"/>
    <w:rsid w:val="000B7EC5"/>
    <w:rsid w:val="000C0515"/>
    <w:rsid w:val="000C128D"/>
    <w:rsid w:val="000D0804"/>
    <w:rsid w:val="000D4399"/>
    <w:rsid w:val="000E5438"/>
    <w:rsid w:val="000F44DF"/>
    <w:rsid w:val="000F5D84"/>
    <w:rsid w:val="00107BFB"/>
    <w:rsid w:val="00110E29"/>
    <w:rsid w:val="00112B52"/>
    <w:rsid w:val="001139F5"/>
    <w:rsid w:val="00113B4A"/>
    <w:rsid w:val="0011501A"/>
    <w:rsid w:val="00115379"/>
    <w:rsid w:val="001153A2"/>
    <w:rsid w:val="00117A23"/>
    <w:rsid w:val="00121C5B"/>
    <w:rsid w:val="0012516F"/>
    <w:rsid w:val="00127CA3"/>
    <w:rsid w:val="00134095"/>
    <w:rsid w:val="00135F64"/>
    <w:rsid w:val="0014088A"/>
    <w:rsid w:val="00143BD3"/>
    <w:rsid w:val="00143CAC"/>
    <w:rsid w:val="001516C4"/>
    <w:rsid w:val="001539B9"/>
    <w:rsid w:val="0015401A"/>
    <w:rsid w:val="00154E58"/>
    <w:rsid w:val="001556EC"/>
    <w:rsid w:val="00163C04"/>
    <w:rsid w:val="00165D67"/>
    <w:rsid w:val="00167DD5"/>
    <w:rsid w:val="00171174"/>
    <w:rsid w:val="00172476"/>
    <w:rsid w:val="00175010"/>
    <w:rsid w:val="00177249"/>
    <w:rsid w:val="00180BFF"/>
    <w:rsid w:val="0018147E"/>
    <w:rsid w:val="00185F7B"/>
    <w:rsid w:val="00186711"/>
    <w:rsid w:val="001914D1"/>
    <w:rsid w:val="00191A42"/>
    <w:rsid w:val="00195981"/>
    <w:rsid w:val="001A4F42"/>
    <w:rsid w:val="001A625A"/>
    <w:rsid w:val="001B4470"/>
    <w:rsid w:val="001B46BF"/>
    <w:rsid w:val="001B53CA"/>
    <w:rsid w:val="001B59EF"/>
    <w:rsid w:val="001B690C"/>
    <w:rsid w:val="001C148F"/>
    <w:rsid w:val="001C231B"/>
    <w:rsid w:val="001D17EE"/>
    <w:rsid w:val="001D1B01"/>
    <w:rsid w:val="001D542B"/>
    <w:rsid w:val="001D5AD8"/>
    <w:rsid w:val="001E0C89"/>
    <w:rsid w:val="001E37F7"/>
    <w:rsid w:val="001E55F3"/>
    <w:rsid w:val="001E562E"/>
    <w:rsid w:val="001F00CC"/>
    <w:rsid w:val="001F5546"/>
    <w:rsid w:val="002010E1"/>
    <w:rsid w:val="002047F5"/>
    <w:rsid w:val="00205C50"/>
    <w:rsid w:val="00215768"/>
    <w:rsid w:val="0021583D"/>
    <w:rsid w:val="0022128F"/>
    <w:rsid w:val="00221E06"/>
    <w:rsid w:val="00224017"/>
    <w:rsid w:val="0022498F"/>
    <w:rsid w:val="0022614F"/>
    <w:rsid w:val="00230B8A"/>
    <w:rsid w:val="00233600"/>
    <w:rsid w:val="00233A74"/>
    <w:rsid w:val="00237E31"/>
    <w:rsid w:val="002603B8"/>
    <w:rsid w:val="002612C2"/>
    <w:rsid w:val="00266F4D"/>
    <w:rsid w:val="00270FED"/>
    <w:rsid w:val="00272C6C"/>
    <w:rsid w:val="0027411D"/>
    <w:rsid w:val="002805D5"/>
    <w:rsid w:val="00284E26"/>
    <w:rsid w:val="00285D55"/>
    <w:rsid w:val="00287836"/>
    <w:rsid w:val="00291086"/>
    <w:rsid w:val="00292862"/>
    <w:rsid w:val="002952DD"/>
    <w:rsid w:val="002975AB"/>
    <w:rsid w:val="002A2752"/>
    <w:rsid w:val="002A34B7"/>
    <w:rsid w:val="002A4133"/>
    <w:rsid w:val="002A460D"/>
    <w:rsid w:val="002A4D3B"/>
    <w:rsid w:val="002B5CA4"/>
    <w:rsid w:val="002B6A6F"/>
    <w:rsid w:val="002C020A"/>
    <w:rsid w:val="002C6ADB"/>
    <w:rsid w:val="002C7D1C"/>
    <w:rsid w:val="002D154A"/>
    <w:rsid w:val="002D7449"/>
    <w:rsid w:val="002F08D6"/>
    <w:rsid w:val="002F1991"/>
    <w:rsid w:val="002F1F5B"/>
    <w:rsid w:val="002F2F27"/>
    <w:rsid w:val="002F481B"/>
    <w:rsid w:val="002F5FD4"/>
    <w:rsid w:val="002F6774"/>
    <w:rsid w:val="002F6A68"/>
    <w:rsid w:val="00300C59"/>
    <w:rsid w:val="00304939"/>
    <w:rsid w:val="00306655"/>
    <w:rsid w:val="0030674C"/>
    <w:rsid w:val="00306AC0"/>
    <w:rsid w:val="00306D38"/>
    <w:rsid w:val="003158DF"/>
    <w:rsid w:val="00315BD4"/>
    <w:rsid w:val="003225C8"/>
    <w:rsid w:val="00326973"/>
    <w:rsid w:val="00341A7E"/>
    <w:rsid w:val="003429DA"/>
    <w:rsid w:val="00345053"/>
    <w:rsid w:val="00347930"/>
    <w:rsid w:val="00347BBC"/>
    <w:rsid w:val="00352C92"/>
    <w:rsid w:val="00354689"/>
    <w:rsid w:val="00354D7A"/>
    <w:rsid w:val="00355CDE"/>
    <w:rsid w:val="00361DF3"/>
    <w:rsid w:val="0037043C"/>
    <w:rsid w:val="00372642"/>
    <w:rsid w:val="003835FD"/>
    <w:rsid w:val="00387E97"/>
    <w:rsid w:val="003901F3"/>
    <w:rsid w:val="003920ED"/>
    <w:rsid w:val="00395036"/>
    <w:rsid w:val="003A049A"/>
    <w:rsid w:val="003A1F08"/>
    <w:rsid w:val="003A2482"/>
    <w:rsid w:val="003A273B"/>
    <w:rsid w:val="003A2ABD"/>
    <w:rsid w:val="003B4026"/>
    <w:rsid w:val="003B6A72"/>
    <w:rsid w:val="003C1A3C"/>
    <w:rsid w:val="003C70EB"/>
    <w:rsid w:val="003D3ACC"/>
    <w:rsid w:val="003D4B6F"/>
    <w:rsid w:val="003D5B36"/>
    <w:rsid w:val="003E258D"/>
    <w:rsid w:val="003E33B3"/>
    <w:rsid w:val="003E4BDC"/>
    <w:rsid w:val="003F58AE"/>
    <w:rsid w:val="004002FD"/>
    <w:rsid w:val="00404238"/>
    <w:rsid w:val="004051F3"/>
    <w:rsid w:val="004058FE"/>
    <w:rsid w:val="0040752D"/>
    <w:rsid w:val="00407E88"/>
    <w:rsid w:val="004139B5"/>
    <w:rsid w:val="004252EA"/>
    <w:rsid w:val="00432037"/>
    <w:rsid w:val="004321D9"/>
    <w:rsid w:val="00434F7D"/>
    <w:rsid w:val="00436377"/>
    <w:rsid w:val="00436E41"/>
    <w:rsid w:val="00437F73"/>
    <w:rsid w:val="00441D31"/>
    <w:rsid w:val="00445A41"/>
    <w:rsid w:val="00455E4C"/>
    <w:rsid w:val="00456C3D"/>
    <w:rsid w:val="0046310E"/>
    <w:rsid w:val="004632FE"/>
    <w:rsid w:val="00463EB0"/>
    <w:rsid w:val="00466E0E"/>
    <w:rsid w:val="0046791C"/>
    <w:rsid w:val="004719B2"/>
    <w:rsid w:val="0047735D"/>
    <w:rsid w:val="004811BC"/>
    <w:rsid w:val="0048587F"/>
    <w:rsid w:val="00491F1E"/>
    <w:rsid w:val="00492B26"/>
    <w:rsid w:val="00493640"/>
    <w:rsid w:val="00493D21"/>
    <w:rsid w:val="004A10DB"/>
    <w:rsid w:val="004A2488"/>
    <w:rsid w:val="004A2F64"/>
    <w:rsid w:val="004B032D"/>
    <w:rsid w:val="004B2CC6"/>
    <w:rsid w:val="004B6D3C"/>
    <w:rsid w:val="004B7EA8"/>
    <w:rsid w:val="004C2EFE"/>
    <w:rsid w:val="004D5D3E"/>
    <w:rsid w:val="004D7BD1"/>
    <w:rsid w:val="004E0645"/>
    <w:rsid w:val="004E604B"/>
    <w:rsid w:val="004F0875"/>
    <w:rsid w:val="004F0C2A"/>
    <w:rsid w:val="004F4BE8"/>
    <w:rsid w:val="004F55A0"/>
    <w:rsid w:val="004F5774"/>
    <w:rsid w:val="004F5EA1"/>
    <w:rsid w:val="004F6477"/>
    <w:rsid w:val="004F7EEE"/>
    <w:rsid w:val="00503EA8"/>
    <w:rsid w:val="00507157"/>
    <w:rsid w:val="00510EC1"/>
    <w:rsid w:val="005145CC"/>
    <w:rsid w:val="00514902"/>
    <w:rsid w:val="00516F98"/>
    <w:rsid w:val="005214AF"/>
    <w:rsid w:val="00523B0F"/>
    <w:rsid w:val="00524650"/>
    <w:rsid w:val="00524F25"/>
    <w:rsid w:val="00525ED8"/>
    <w:rsid w:val="00530E5D"/>
    <w:rsid w:val="0053473D"/>
    <w:rsid w:val="00535810"/>
    <w:rsid w:val="00536BC4"/>
    <w:rsid w:val="00540203"/>
    <w:rsid w:val="00540D25"/>
    <w:rsid w:val="005509E6"/>
    <w:rsid w:val="00560B63"/>
    <w:rsid w:val="00561088"/>
    <w:rsid w:val="00562981"/>
    <w:rsid w:val="00562D13"/>
    <w:rsid w:val="00564644"/>
    <w:rsid w:val="00576594"/>
    <w:rsid w:val="00577C26"/>
    <w:rsid w:val="005808DF"/>
    <w:rsid w:val="00586AB5"/>
    <w:rsid w:val="00590485"/>
    <w:rsid w:val="00591F0C"/>
    <w:rsid w:val="00593B55"/>
    <w:rsid w:val="00596969"/>
    <w:rsid w:val="00597251"/>
    <w:rsid w:val="005A07F9"/>
    <w:rsid w:val="005A0CDB"/>
    <w:rsid w:val="005A11A0"/>
    <w:rsid w:val="005A5CAF"/>
    <w:rsid w:val="005A6480"/>
    <w:rsid w:val="005A6C85"/>
    <w:rsid w:val="005A705C"/>
    <w:rsid w:val="005A70FC"/>
    <w:rsid w:val="005A7AFD"/>
    <w:rsid w:val="005A7B95"/>
    <w:rsid w:val="005A7EE1"/>
    <w:rsid w:val="005B027F"/>
    <w:rsid w:val="005B1138"/>
    <w:rsid w:val="005B238B"/>
    <w:rsid w:val="005B2468"/>
    <w:rsid w:val="005B24B6"/>
    <w:rsid w:val="005B474D"/>
    <w:rsid w:val="005B47E8"/>
    <w:rsid w:val="005B4808"/>
    <w:rsid w:val="005B7039"/>
    <w:rsid w:val="005B71B1"/>
    <w:rsid w:val="005B780E"/>
    <w:rsid w:val="005C0113"/>
    <w:rsid w:val="005C1F47"/>
    <w:rsid w:val="005C29E5"/>
    <w:rsid w:val="005C34EC"/>
    <w:rsid w:val="005C5BD3"/>
    <w:rsid w:val="005C712A"/>
    <w:rsid w:val="005D087F"/>
    <w:rsid w:val="005D3C08"/>
    <w:rsid w:val="005D784B"/>
    <w:rsid w:val="005E23F8"/>
    <w:rsid w:val="005E390B"/>
    <w:rsid w:val="005E464B"/>
    <w:rsid w:val="005E5075"/>
    <w:rsid w:val="005E7E65"/>
    <w:rsid w:val="005F095E"/>
    <w:rsid w:val="005F0F86"/>
    <w:rsid w:val="005F7EAB"/>
    <w:rsid w:val="0061249A"/>
    <w:rsid w:val="0062034F"/>
    <w:rsid w:val="006224BC"/>
    <w:rsid w:val="00623016"/>
    <w:rsid w:val="00624474"/>
    <w:rsid w:val="0063790B"/>
    <w:rsid w:val="00637F8D"/>
    <w:rsid w:val="006416F5"/>
    <w:rsid w:val="00651678"/>
    <w:rsid w:val="00666567"/>
    <w:rsid w:val="00666C17"/>
    <w:rsid w:val="0067482D"/>
    <w:rsid w:val="00674F2E"/>
    <w:rsid w:val="00681A01"/>
    <w:rsid w:val="00687723"/>
    <w:rsid w:val="00693110"/>
    <w:rsid w:val="00697BC0"/>
    <w:rsid w:val="006A40A3"/>
    <w:rsid w:val="006A43E0"/>
    <w:rsid w:val="006A480C"/>
    <w:rsid w:val="006A70A8"/>
    <w:rsid w:val="006B46F8"/>
    <w:rsid w:val="006B6810"/>
    <w:rsid w:val="006B7266"/>
    <w:rsid w:val="006C0F90"/>
    <w:rsid w:val="006D02BD"/>
    <w:rsid w:val="006D1FD2"/>
    <w:rsid w:val="006D2688"/>
    <w:rsid w:val="006D3787"/>
    <w:rsid w:val="006D5012"/>
    <w:rsid w:val="006E45D5"/>
    <w:rsid w:val="006E4629"/>
    <w:rsid w:val="006E6637"/>
    <w:rsid w:val="006F4B96"/>
    <w:rsid w:val="006F5BF6"/>
    <w:rsid w:val="006F5C64"/>
    <w:rsid w:val="007002E7"/>
    <w:rsid w:val="00713D10"/>
    <w:rsid w:val="00715517"/>
    <w:rsid w:val="00720EF4"/>
    <w:rsid w:val="00721F27"/>
    <w:rsid w:val="00722B27"/>
    <w:rsid w:val="00730197"/>
    <w:rsid w:val="007305F6"/>
    <w:rsid w:val="00732FFD"/>
    <w:rsid w:val="00733023"/>
    <w:rsid w:val="00736466"/>
    <w:rsid w:val="007364A3"/>
    <w:rsid w:val="00743411"/>
    <w:rsid w:val="00752E8F"/>
    <w:rsid w:val="0075405B"/>
    <w:rsid w:val="00754CC9"/>
    <w:rsid w:val="00756C05"/>
    <w:rsid w:val="0076121D"/>
    <w:rsid w:val="00765098"/>
    <w:rsid w:val="00766693"/>
    <w:rsid w:val="00767CDB"/>
    <w:rsid w:val="00770D03"/>
    <w:rsid w:val="00774118"/>
    <w:rsid w:val="007762F2"/>
    <w:rsid w:val="00781455"/>
    <w:rsid w:val="00784B5E"/>
    <w:rsid w:val="00785013"/>
    <w:rsid w:val="00795640"/>
    <w:rsid w:val="007A1E69"/>
    <w:rsid w:val="007A2E03"/>
    <w:rsid w:val="007A4E9B"/>
    <w:rsid w:val="007A657D"/>
    <w:rsid w:val="007B6ECD"/>
    <w:rsid w:val="007B7C28"/>
    <w:rsid w:val="007C461C"/>
    <w:rsid w:val="007C784D"/>
    <w:rsid w:val="007D1607"/>
    <w:rsid w:val="007D1A17"/>
    <w:rsid w:val="007E22A3"/>
    <w:rsid w:val="007E4F27"/>
    <w:rsid w:val="007E630F"/>
    <w:rsid w:val="007F0B43"/>
    <w:rsid w:val="007F7953"/>
    <w:rsid w:val="007F7C59"/>
    <w:rsid w:val="008101D3"/>
    <w:rsid w:val="00817B08"/>
    <w:rsid w:val="00821FAD"/>
    <w:rsid w:val="008234FA"/>
    <w:rsid w:val="00827478"/>
    <w:rsid w:val="00831349"/>
    <w:rsid w:val="0083185E"/>
    <w:rsid w:val="00834D4C"/>
    <w:rsid w:val="00836F48"/>
    <w:rsid w:val="008429C9"/>
    <w:rsid w:val="00842EB8"/>
    <w:rsid w:val="00851ABF"/>
    <w:rsid w:val="00856DFD"/>
    <w:rsid w:val="00857D67"/>
    <w:rsid w:val="00870C92"/>
    <w:rsid w:val="00873F19"/>
    <w:rsid w:val="00873FD0"/>
    <w:rsid w:val="00874FB2"/>
    <w:rsid w:val="00874FE0"/>
    <w:rsid w:val="008755DD"/>
    <w:rsid w:val="00877287"/>
    <w:rsid w:val="00877CFA"/>
    <w:rsid w:val="00883361"/>
    <w:rsid w:val="00884B71"/>
    <w:rsid w:val="00885AB3"/>
    <w:rsid w:val="00886201"/>
    <w:rsid w:val="00891C03"/>
    <w:rsid w:val="00895C43"/>
    <w:rsid w:val="008A24FE"/>
    <w:rsid w:val="008A41E7"/>
    <w:rsid w:val="008A68F2"/>
    <w:rsid w:val="008B438B"/>
    <w:rsid w:val="008B5B2C"/>
    <w:rsid w:val="008B7174"/>
    <w:rsid w:val="008C10C0"/>
    <w:rsid w:val="008C30B6"/>
    <w:rsid w:val="008C765B"/>
    <w:rsid w:val="008E4E8A"/>
    <w:rsid w:val="008E685C"/>
    <w:rsid w:val="008E6F03"/>
    <w:rsid w:val="008F2E3F"/>
    <w:rsid w:val="008F782C"/>
    <w:rsid w:val="008F7D8C"/>
    <w:rsid w:val="00901604"/>
    <w:rsid w:val="00901707"/>
    <w:rsid w:val="0090570B"/>
    <w:rsid w:val="009101D7"/>
    <w:rsid w:val="009102B2"/>
    <w:rsid w:val="00912ED1"/>
    <w:rsid w:val="00914313"/>
    <w:rsid w:val="00917E74"/>
    <w:rsid w:val="00922991"/>
    <w:rsid w:val="009249FE"/>
    <w:rsid w:val="00924ADD"/>
    <w:rsid w:val="00932D09"/>
    <w:rsid w:val="009331CF"/>
    <w:rsid w:val="00940EEA"/>
    <w:rsid w:val="00943CCF"/>
    <w:rsid w:val="0094442E"/>
    <w:rsid w:val="00944FFC"/>
    <w:rsid w:val="00952E20"/>
    <w:rsid w:val="00953774"/>
    <w:rsid w:val="009559D9"/>
    <w:rsid w:val="00955D6B"/>
    <w:rsid w:val="00962137"/>
    <w:rsid w:val="0096592B"/>
    <w:rsid w:val="00966EE4"/>
    <w:rsid w:val="00967DA8"/>
    <w:rsid w:val="00983093"/>
    <w:rsid w:val="00985A94"/>
    <w:rsid w:val="00993D17"/>
    <w:rsid w:val="009962DF"/>
    <w:rsid w:val="00996C8B"/>
    <w:rsid w:val="009A6506"/>
    <w:rsid w:val="009B0208"/>
    <w:rsid w:val="009B0293"/>
    <w:rsid w:val="009B05D6"/>
    <w:rsid w:val="009B136F"/>
    <w:rsid w:val="009B6433"/>
    <w:rsid w:val="009C2619"/>
    <w:rsid w:val="009C3484"/>
    <w:rsid w:val="009C47EE"/>
    <w:rsid w:val="009C52A2"/>
    <w:rsid w:val="009C6D37"/>
    <w:rsid w:val="009D0086"/>
    <w:rsid w:val="009D14C6"/>
    <w:rsid w:val="009D376C"/>
    <w:rsid w:val="009D5047"/>
    <w:rsid w:val="009D696D"/>
    <w:rsid w:val="009E3A64"/>
    <w:rsid w:val="009E3BD1"/>
    <w:rsid w:val="009E4142"/>
    <w:rsid w:val="009F633C"/>
    <w:rsid w:val="009F778C"/>
    <w:rsid w:val="00A02489"/>
    <w:rsid w:val="00A046D9"/>
    <w:rsid w:val="00A04C3E"/>
    <w:rsid w:val="00A072A0"/>
    <w:rsid w:val="00A13929"/>
    <w:rsid w:val="00A1429F"/>
    <w:rsid w:val="00A15177"/>
    <w:rsid w:val="00A16624"/>
    <w:rsid w:val="00A17EC7"/>
    <w:rsid w:val="00A2161F"/>
    <w:rsid w:val="00A32A31"/>
    <w:rsid w:val="00A33AB7"/>
    <w:rsid w:val="00A349DE"/>
    <w:rsid w:val="00A4194F"/>
    <w:rsid w:val="00A431B5"/>
    <w:rsid w:val="00A43DEE"/>
    <w:rsid w:val="00A46CB3"/>
    <w:rsid w:val="00A53468"/>
    <w:rsid w:val="00A53E24"/>
    <w:rsid w:val="00A61E8A"/>
    <w:rsid w:val="00A62CC9"/>
    <w:rsid w:val="00A665DC"/>
    <w:rsid w:val="00A708A9"/>
    <w:rsid w:val="00A71582"/>
    <w:rsid w:val="00A763AE"/>
    <w:rsid w:val="00A773BA"/>
    <w:rsid w:val="00A80B02"/>
    <w:rsid w:val="00A82307"/>
    <w:rsid w:val="00A850A4"/>
    <w:rsid w:val="00A87960"/>
    <w:rsid w:val="00A92B62"/>
    <w:rsid w:val="00A95DF4"/>
    <w:rsid w:val="00AA4B04"/>
    <w:rsid w:val="00AA5B7B"/>
    <w:rsid w:val="00AA5FB7"/>
    <w:rsid w:val="00AB1710"/>
    <w:rsid w:val="00AC0E00"/>
    <w:rsid w:val="00AD0943"/>
    <w:rsid w:val="00AE0E83"/>
    <w:rsid w:val="00AE225B"/>
    <w:rsid w:val="00AE371C"/>
    <w:rsid w:val="00AE617E"/>
    <w:rsid w:val="00AF4DDC"/>
    <w:rsid w:val="00B033BD"/>
    <w:rsid w:val="00B03495"/>
    <w:rsid w:val="00B04319"/>
    <w:rsid w:val="00B062FA"/>
    <w:rsid w:val="00B137CB"/>
    <w:rsid w:val="00B161CA"/>
    <w:rsid w:val="00B16590"/>
    <w:rsid w:val="00B2657F"/>
    <w:rsid w:val="00B32010"/>
    <w:rsid w:val="00B36B75"/>
    <w:rsid w:val="00B407EC"/>
    <w:rsid w:val="00B43FAE"/>
    <w:rsid w:val="00B47C8A"/>
    <w:rsid w:val="00B60ECD"/>
    <w:rsid w:val="00B65902"/>
    <w:rsid w:val="00B670E6"/>
    <w:rsid w:val="00B6757D"/>
    <w:rsid w:val="00B715AA"/>
    <w:rsid w:val="00B71CE2"/>
    <w:rsid w:val="00B73EE1"/>
    <w:rsid w:val="00B75835"/>
    <w:rsid w:val="00B812E8"/>
    <w:rsid w:val="00B843E3"/>
    <w:rsid w:val="00B93A37"/>
    <w:rsid w:val="00B95455"/>
    <w:rsid w:val="00B965B8"/>
    <w:rsid w:val="00BA1485"/>
    <w:rsid w:val="00BA2316"/>
    <w:rsid w:val="00BA4D0B"/>
    <w:rsid w:val="00BB123C"/>
    <w:rsid w:val="00BC3D7B"/>
    <w:rsid w:val="00BC5588"/>
    <w:rsid w:val="00BD313A"/>
    <w:rsid w:val="00BD39F0"/>
    <w:rsid w:val="00BD6FEB"/>
    <w:rsid w:val="00BE00D4"/>
    <w:rsid w:val="00BE520A"/>
    <w:rsid w:val="00BF0EDD"/>
    <w:rsid w:val="00BF1E6F"/>
    <w:rsid w:val="00BF3B22"/>
    <w:rsid w:val="00BF3E23"/>
    <w:rsid w:val="00BF788C"/>
    <w:rsid w:val="00C01001"/>
    <w:rsid w:val="00C01326"/>
    <w:rsid w:val="00C022E2"/>
    <w:rsid w:val="00C100ED"/>
    <w:rsid w:val="00C10A28"/>
    <w:rsid w:val="00C15792"/>
    <w:rsid w:val="00C20222"/>
    <w:rsid w:val="00C22C8F"/>
    <w:rsid w:val="00C243AA"/>
    <w:rsid w:val="00C30C70"/>
    <w:rsid w:val="00C3455E"/>
    <w:rsid w:val="00C34F24"/>
    <w:rsid w:val="00C36A07"/>
    <w:rsid w:val="00C37547"/>
    <w:rsid w:val="00C407D5"/>
    <w:rsid w:val="00C4082B"/>
    <w:rsid w:val="00C43E84"/>
    <w:rsid w:val="00C52A59"/>
    <w:rsid w:val="00C54CC9"/>
    <w:rsid w:val="00C609A1"/>
    <w:rsid w:val="00C60EE2"/>
    <w:rsid w:val="00C613D2"/>
    <w:rsid w:val="00C64754"/>
    <w:rsid w:val="00C676E5"/>
    <w:rsid w:val="00C72754"/>
    <w:rsid w:val="00C72856"/>
    <w:rsid w:val="00C81324"/>
    <w:rsid w:val="00C849A2"/>
    <w:rsid w:val="00C849AC"/>
    <w:rsid w:val="00C85925"/>
    <w:rsid w:val="00C86439"/>
    <w:rsid w:val="00C90DA8"/>
    <w:rsid w:val="00C91B93"/>
    <w:rsid w:val="00C92B26"/>
    <w:rsid w:val="00C95DC5"/>
    <w:rsid w:val="00C96046"/>
    <w:rsid w:val="00CA25B4"/>
    <w:rsid w:val="00CA4DB5"/>
    <w:rsid w:val="00CA610F"/>
    <w:rsid w:val="00CB0208"/>
    <w:rsid w:val="00CB26A2"/>
    <w:rsid w:val="00CB3963"/>
    <w:rsid w:val="00CB3D71"/>
    <w:rsid w:val="00CB3F45"/>
    <w:rsid w:val="00CB6769"/>
    <w:rsid w:val="00CB67B0"/>
    <w:rsid w:val="00CC1E3B"/>
    <w:rsid w:val="00CC213E"/>
    <w:rsid w:val="00CC3B1F"/>
    <w:rsid w:val="00CC587B"/>
    <w:rsid w:val="00CD6B46"/>
    <w:rsid w:val="00CD743B"/>
    <w:rsid w:val="00CE6B2A"/>
    <w:rsid w:val="00CF1633"/>
    <w:rsid w:val="00CF6712"/>
    <w:rsid w:val="00D00CD7"/>
    <w:rsid w:val="00D01744"/>
    <w:rsid w:val="00D02610"/>
    <w:rsid w:val="00D04F88"/>
    <w:rsid w:val="00D1137F"/>
    <w:rsid w:val="00D12C64"/>
    <w:rsid w:val="00D169CB"/>
    <w:rsid w:val="00D17366"/>
    <w:rsid w:val="00D17F85"/>
    <w:rsid w:val="00D238D5"/>
    <w:rsid w:val="00D23FA1"/>
    <w:rsid w:val="00D2462F"/>
    <w:rsid w:val="00D26C6F"/>
    <w:rsid w:val="00D3148B"/>
    <w:rsid w:val="00D32324"/>
    <w:rsid w:val="00D35C2E"/>
    <w:rsid w:val="00D43EFD"/>
    <w:rsid w:val="00D44FAB"/>
    <w:rsid w:val="00D45496"/>
    <w:rsid w:val="00D45B7D"/>
    <w:rsid w:val="00D53FD6"/>
    <w:rsid w:val="00D54A67"/>
    <w:rsid w:val="00D62E88"/>
    <w:rsid w:val="00D7763C"/>
    <w:rsid w:val="00D813F4"/>
    <w:rsid w:val="00D841C0"/>
    <w:rsid w:val="00D84A54"/>
    <w:rsid w:val="00D850F0"/>
    <w:rsid w:val="00D85E2F"/>
    <w:rsid w:val="00D87191"/>
    <w:rsid w:val="00D9004F"/>
    <w:rsid w:val="00D909AB"/>
    <w:rsid w:val="00D93B00"/>
    <w:rsid w:val="00D9454C"/>
    <w:rsid w:val="00D959B3"/>
    <w:rsid w:val="00D97B13"/>
    <w:rsid w:val="00DA2B97"/>
    <w:rsid w:val="00DA75FB"/>
    <w:rsid w:val="00DB1987"/>
    <w:rsid w:val="00DB4CCB"/>
    <w:rsid w:val="00DB6331"/>
    <w:rsid w:val="00DC02C9"/>
    <w:rsid w:val="00DD1691"/>
    <w:rsid w:val="00DD40B6"/>
    <w:rsid w:val="00DD5114"/>
    <w:rsid w:val="00DD7FC2"/>
    <w:rsid w:val="00DE0A07"/>
    <w:rsid w:val="00DF209B"/>
    <w:rsid w:val="00DF4DA1"/>
    <w:rsid w:val="00DF5396"/>
    <w:rsid w:val="00E01C28"/>
    <w:rsid w:val="00E0457D"/>
    <w:rsid w:val="00E046D0"/>
    <w:rsid w:val="00E05C22"/>
    <w:rsid w:val="00E10B72"/>
    <w:rsid w:val="00E1626C"/>
    <w:rsid w:val="00E2119F"/>
    <w:rsid w:val="00E2213D"/>
    <w:rsid w:val="00E32557"/>
    <w:rsid w:val="00E36DFD"/>
    <w:rsid w:val="00E410B2"/>
    <w:rsid w:val="00E46733"/>
    <w:rsid w:val="00E52DD0"/>
    <w:rsid w:val="00E576D4"/>
    <w:rsid w:val="00E64C9F"/>
    <w:rsid w:val="00E7413C"/>
    <w:rsid w:val="00E74320"/>
    <w:rsid w:val="00E74E2A"/>
    <w:rsid w:val="00E764A0"/>
    <w:rsid w:val="00E817E5"/>
    <w:rsid w:val="00E81FDD"/>
    <w:rsid w:val="00E82204"/>
    <w:rsid w:val="00E91FCD"/>
    <w:rsid w:val="00E92D07"/>
    <w:rsid w:val="00E93B45"/>
    <w:rsid w:val="00E94175"/>
    <w:rsid w:val="00EA00C8"/>
    <w:rsid w:val="00EA044B"/>
    <w:rsid w:val="00EA456F"/>
    <w:rsid w:val="00EA510F"/>
    <w:rsid w:val="00EC3981"/>
    <w:rsid w:val="00ED2DBD"/>
    <w:rsid w:val="00ED4070"/>
    <w:rsid w:val="00ED44A2"/>
    <w:rsid w:val="00ED5B6F"/>
    <w:rsid w:val="00ED6D0E"/>
    <w:rsid w:val="00ED75A7"/>
    <w:rsid w:val="00EE5764"/>
    <w:rsid w:val="00EF0FD4"/>
    <w:rsid w:val="00EF4283"/>
    <w:rsid w:val="00EF6CB0"/>
    <w:rsid w:val="00F0219F"/>
    <w:rsid w:val="00F022F3"/>
    <w:rsid w:val="00F0461C"/>
    <w:rsid w:val="00F078BA"/>
    <w:rsid w:val="00F1213B"/>
    <w:rsid w:val="00F12DA0"/>
    <w:rsid w:val="00F133CB"/>
    <w:rsid w:val="00F2144A"/>
    <w:rsid w:val="00F225E7"/>
    <w:rsid w:val="00F2603F"/>
    <w:rsid w:val="00F27264"/>
    <w:rsid w:val="00F27887"/>
    <w:rsid w:val="00F27E50"/>
    <w:rsid w:val="00F3546C"/>
    <w:rsid w:val="00F42F9A"/>
    <w:rsid w:val="00F43DD0"/>
    <w:rsid w:val="00F45011"/>
    <w:rsid w:val="00F4544B"/>
    <w:rsid w:val="00F469E9"/>
    <w:rsid w:val="00F510E9"/>
    <w:rsid w:val="00F51376"/>
    <w:rsid w:val="00F51F1C"/>
    <w:rsid w:val="00F563A5"/>
    <w:rsid w:val="00F56DA7"/>
    <w:rsid w:val="00F57B2A"/>
    <w:rsid w:val="00F60674"/>
    <w:rsid w:val="00F60B79"/>
    <w:rsid w:val="00F61D62"/>
    <w:rsid w:val="00F645E1"/>
    <w:rsid w:val="00F74030"/>
    <w:rsid w:val="00F968ED"/>
    <w:rsid w:val="00F971DA"/>
    <w:rsid w:val="00FA247B"/>
    <w:rsid w:val="00FA758A"/>
    <w:rsid w:val="00FB1C95"/>
    <w:rsid w:val="00FB200A"/>
    <w:rsid w:val="00FC01FF"/>
    <w:rsid w:val="00FC3E88"/>
    <w:rsid w:val="00FC3F4C"/>
    <w:rsid w:val="00FC42F7"/>
    <w:rsid w:val="00FC552D"/>
    <w:rsid w:val="00FC65DE"/>
    <w:rsid w:val="00FC7A5A"/>
    <w:rsid w:val="00FD0163"/>
    <w:rsid w:val="00FE0FE6"/>
    <w:rsid w:val="00FE1BA4"/>
    <w:rsid w:val="00FE40E8"/>
    <w:rsid w:val="00FE58C6"/>
    <w:rsid w:val="00FE615C"/>
    <w:rsid w:val="00FE62B7"/>
    <w:rsid w:val="00FF229D"/>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semiHidden/>
    <w:unhideWhenUsed/>
    <w:rsid w:val="008E6F03"/>
    <w:rPr>
      <w:sz w:val="16"/>
      <w:szCs w:val="16"/>
    </w:rPr>
  </w:style>
  <w:style w:type="paragraph" w:styleId="CommentText">
    <w:name w:val="annotation text"/>
    <w:basedOn w:val="Normal"/>
    <w:link w:val="CommentTextChar"/>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uiPriority w:val="99"/>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semiHidden/>
    <w:unhideWhenUsed/>
    <w:rsid w:val="008E6F03"/>
    <w:rPr>
      <w:sz w:val="16"/>
      <w:szCs w:val="16"/>
    </w:rPr>
  </w:style>
  <w:style w:type="paragraph" w:styleId="CommentText">
    <w:name w:val="annotation text"/>
    <w:basedOn w:val="Normal"/>
    <w:link w:val="CommentTextChar"/>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uiPriority w:val="99"/>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21" Type="http://schemas.openxmlformats.org/officeDocument/2006/relationships/customXml" Target="../customXml/item9.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5F1E2D00B580542A5CC63B3F87BB993" ma:contentTypeVersion="0" ma:contentTypeDescription="A content type to manage public (operations) IDB documents" ma:contentTypeScope="" ma:versionID="c39d3f1c67525a323406f9e26f6e5fed">
  <xsd:schema xmlns:xsd="http://www.w3.org/2001/XMLSchema" xmlns:xs="http://www.w3.org/2001/XMLSchema" xmlns:p="http://schemas.microsoft.com/office/2006/metadata/properties" xmlns:ns2="9c571b2f-e523-4ab2-ba2e-09e151a03ef4" targetNamespace="http://schemas.microsoft.com/office/2006/metadata/properties" ma:root="true" ma:fieldsID="369b26a03952a14936a503d3dd16ca9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fd59750-3bc5-4ae0-bf85-0a524ca0e590}" ma:internalName="TaxCatchAll" ma:showField="CatchAllData" ma:web="1a5269cf-a668-426a-8ba6-52a7303217c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fd59750-3bc5-4ae0-bf85-0a524ca0e590}" ma:internalName="TaxCatchAllLabel" ma:readOnly="true" ma:showField="CatchAllDataLabel" ma:web="1a5269cf-a668-426a-8ba6-52a7303217c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40084717</IDBDocs_x0020_Number>
    <Document_x0020_Author xmlns="9c571b2f-e523-4ab2-ba2e-09e151a03ef4">Barreix, Alberto Daniel</Document_x0020_Author>
    <Publication_x0020_Type xmlns="9c571b2f-e523-4ab2-ba2e-09e151a03ef4" xsi:nil="true"/>
    <Operation_x0020_Type xmlns="9c571b2f-e523-4ab2-ba2e-09e151a03ef4" xsi:nil="true"/>
    <TaxCatchAll xmlns="9c571b2f-e523-4ab2-ba2e-09e151a03ef4">
      <Value>18</Value>
      <Value>3</Value>
      <Value>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Contractual Conditions</TermName>
          <TermId xmlns="http://schemas.microsoft.com/office/infopath/2007/PartnerControls">796b8593-49c5-4114-bdac-0c9e3102208d</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Proposal&lt;/USER_STAGE&gt;&lt;APPROVAL_CODE&gt;DE&lt;/APPROVAL_CODE&gt;&lt;APPROVAL_DESC&gt;Board of Executive Directors&lt;/APPROVAL_DESC&gt;&lt;PD_OBJ_TYPE&gt;0&lt;/PD_OBJ_TYPE&gt;&lt;DTAPPROVAL&gt;May 11 2016 12:00AM&lt;/DTAPPROVAL&gt;&lt;MAKERECORD&gt;N&lt;/MAKERECORD&gt;&lt;PD_FILEPT_NO&gt;PO-ME-L1189-CC&lt;/PD_FILEPT_NO&gt;&lt;PD_FILE_PART&gt;1180613287&lt;/PD_FILE_PART&gt;&lt;/Data&gt;</Migration_x0020_Info>
    <Approval_x0020_Number xmlns="9c571b2f-e523-4ab2-ba2e-09e151a03ef4">3676/OC-ME</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documentManagement>
</p:properties>
</file>

<file path=customXml/itemProps1.xml><?xml version="1.0" encoding="utf-8"?>
<ds:datastoreItem xmlns:ds="http://schemas.openxmlformats.org/officeDocument/2006/customXml" ds:itemID="{56D4A786-3C57-46D2-9A0A-A747646BCD48}"/>
</file>

<file path=customXml/itemProps2.xml><?xml version="1.0" encoding="utf-8"?>
<ds:datastoreItem xmlns:ds="http://schemas.openxmlformats.org/officeDocument/2006/customXml" ds:itemID="{3DD21306-2190-4F6A-A483-E744AC7A1EFC}"/>
</file>

<file path=customXml/itemProps3.xml><?xml version="1.0" encoding="utf-8"?>
<ds:datastoreItem xmlns:ds="http://schemas.openxmlformats.org/officeDocument/2006/customXml" ds:itemID="{442C5FA8-78A7-4D1B-8DE5-545848990AC3}"/>
</file>

<file path=customXml/itemProps4.xml><?xml version="1.0" encoding="utf-8"?>
<ds:datastoreItem xmlns:ds="http://schemas.openxmlformats.org/officeDocument/2006/customXml" ds:itemID="{FAC36E06-6B63-4BEB-97DA-C8A9E7A938F5}"/>
</file>

<file path=customXml/itemProps5.xml><?xml version="1.0" encoding="utf-8"?>
<ds:datastoreItem xmlns:ds="http://schemas.openxmlformats.org/officeDocument/2006/customXml" ds:itemID="{EBC8BF5C-8B4F-48D4-A437-A328B9C9FCBA}"/>
</file>

<file path=customXml/itemProps6.xml><?xml version="1.0" encoding="utf-8"?>
<ds:datastoreItem xmlns:ds="http://schemas.openxmlformats.org/officeDocument/2006/customXml" ds:itemID="{F3531CE3-8410-4AC8-8EC2-DBE3353CE2EF}"/>
</file>

<file path=customXml/itemProps7.xml><?xml version="1.0" encoding="utf-8"?>
<ds:datastoreItem xmlns:ds="http://schemas.openxmlformats.org/officeDocument/2006/customXml" ds:itemID="{CAB7BE7D-E1CF-4096-9E44-5B4B061DBF7F}"/>
</file>

<file path=customXml/itemProps8.xml><?xml version="1.0" encoding="utf-8"?>
<ds:datastoreItem xmlns:ds="http://schemas.openxmlformats.org/officeDocument/2006/customXml" ds:itemID="{D3E8ED96-D391-48D8-AADA-046F7F8470C4}"/>
</file>

<file path=customXml/itemProps9.xml><?xml version="1.0" encoding="utf-8"?>
<ds:datastoreItem xmlns:ds="http://schemas.openxmlformats.org/officeDocument/2006/customXml" ds:itemID="{2ECA4BB1-DEC4-484A-8886-14D4A9FEC67A}"/>
</file>

<file path=docProps/app.xml><?xml version="1.0" encoding="utf-8"?>
<Properties xmlns="http://schemas.openxmlformats.org/officeDocument/2006/extended-properties" xmlns:vt="http://schemas.openxmlformats.org/officeDocument/2006/docPropsVTypes">
  <Template>Normal.dotm</Template>
  <TotalTime>1</TotalTime>
  <Pages>7</Pages>
  <Words>1111</Words>
  <Characters>6334</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Resultados</dc:title>
  <dc:creator>TeodoroZ</dc:creator>
  <cp:lastModifiedBy>IADB</cp:lastModifiedBy>
  <cp:revision>3</cp:revision>
  <cp:lastPrinted>2013-12-02T21:23:00Z</cp:lastPrinted>
  <dcterms:created xsi:type="dcterms:W3CDTF">2016-01-28T23:09:00Z</dcterms:created>
  <dcterms:modified xsi:type="dcterms:W3CDTF">2016-01-28T23:10:00Z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0x01010046CF21643EE8D14686A648AA6DAD08920035F1E2D00B580542A5CC63B3F87BB993</vt:lpwstr>
  </property>
  <property fmtid="{D5CDD505-2E9C-101B-9397-08002B2CF9AE}" pid="5" name="TaxKeywordTaxHTField">
    <vt:lpwstr/>
  </property>
  <property fmtid="{D5CDD505-2E9C-101B-9397-08002B2CF9AE}" pid="6" name="Series Operations IDB">
    <vt:lpwstr>18;#Contractual Conditions|796b8593-49c5-4114-bdac-0c9e3102208d</vt:lpwstr>
  </property>
  <property fmtid="{D5CDD505-2E9C-101B-9397-08002B2CF9AE}" pid="7" name="Sub-Sector">
    <vt:lpwstr/>
  </property>
  <property fmtid="{D5CDD505-2E9C-101B-9397-08002B2CF9AE}" pid="8" name="Country">
    <vt:lpwstr>2;#Mexico|0eba6470-e7ea-46fd-a959-d4c243acaf26</vt:lpwstr>
  </property>
  <property fmtid="{D5CDD505-2E9C-101B-9397-08002B2CF9AE}" pid="9" name="Fund IDB">
    <vt:lpwstr/>
  </property>
  <property fmtid="{D5CDD505-2E9C-101B-9397-08002B2CF9AE}" pid="10" name="Series_x0020_Operations_x0020_IDB">
    <vt:lpwstr>18;#Contractual Conditions|796b8593-49c5-4114-bdac-0c9e3102208d</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3;#Legal|4a833e0c-b04e-4136-8e27-6c06cac1e274</vt:lpwstr>
  </property>
</Properties>
</file>