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1.xml" ContentType="application/vnd.openxmlformats-officedocument.customXmlProperties+xml"/>
  <Override PartName="/word/stylesWithEffects.xml" ContentType="application/vnd.ms-word.stylesWithEffect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webSettings.xml" ContentType="application/vnd.openxmlformats-officedocument.wordprocessingml.webSetting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D54CB" w14:textId="77777777" w:rsidR="0013442F" w:rsidRPr="001F27CE" w:rsidRDefault="0013442F" w:rsidP="0013442F">
      <w:pPr>
        <w:rPr>
          <w:rFonts w:ascii="Arial" w:hAnsi="Arial" w:cs="Arial"/>
          <w:lang w:val="pt-BR"/>
        </w:rPr>
      </w:pPr>
    </w:p>
    <w:p w14:paraId="294D54CC" w14:textId="77777777" w:rsidR="005C5B91" w:rsidRPr="001F27CE" w:rsidRDefault="005C5B91" w:rsidP="00132A36">
      <w:pPr>
        <w:rPr>
          <w:rFonts w:ascii="Arial" w:hAnsi="Arial" w:cs="Arial"/>
          <w:lang w:val="pt-BR"/>
        </w:rPr>
      </w:pPr>
    </w:p>
    <w:tbl>
      <w:tblPr>
        <w:tblW w:w="5000" w:type="pct"/>
        <w:jc w:val="center"/>
        <w:tblLook w:val="04A0" w:firstRow="1" w:lastRow="0" w:firstColumn="1" w:lastColumn="0" w:noHBand="0" w:noVBand="1"/>
      </w:tblPr>
      <w:tblGrid>
        <w:gridCol w:w="8856"/>
      </w:tblGrid>
      <w:tr w:rsidR="00114300" w:rsidRPr="00D14310" w14:paraId="294D54CE" w14:textId="77777777" w:rsidTr="005C5B91">
        <w:trPr>
          <w:trHeight w:val="3843"/>
          <w:jc w:val="center"/>
        </w:trPr>
        <w:tc>
          <w:tcPr>
            <w:tcW w:w="5000" w:type="pct"/>
          </w:tcPr>
          <w:p w14:paraId="294D54CD" w14:textId="77777777" w:rsidR="00114300" w:rsidRPr="001F27CE" w:rsidRDefault="00512567" w:rsidP="00A729A2">
            <w:pPr>
              <w:pStyle w:val="SemEspaamento"/>
              <w:spacing w:line="276" w:lineRule="auto"/>
              <w:jc w:val="center"/>
              <w:rPr>
                <w:rFonts w:ascii="Arial" w:hAnsi="Arial" w:cs="Arial"/>
                <w:caps/>
                <w:smallCaps/>
              </w:rPr>
            </w:pPr>
            <w:r w:rsidRPr="001F27CE">
              <w:rPr>
                <w:rFonts w:ascii="Arial" w:hAnsi="Arial" w:cs="Arial"/>
                <w:b/>
                <w:smallCaps/>
                <w:sz w:val="28"/>
                <w:szCs w:val="28"/>
              </w:rPr>
              <w:t>D</w:t>
            </w:r>
            <w:r w:rsidR="001F27CE">
              <w:rPr>
                <w:rFonts w:ascii="Arial" w:hAnsi="Arial" w:cs="Arial"/>
                <w:b/>
                <w:smallCaps/>
                <w:sz w:val="28"/>
                <w:szCs w:val="28"/>
              </w:rPr>
              <w:t>ocumento do Banco Interamericano de Desenvolvimento</w:t>
            </w:r>
          </w:p>
        </w:tc>
      </w:tr>
      <w:tr w:rsidR="00114300" w:rsidRPr="001F27CE" w14:paraId="294D54D0" w14:textId="77777777" w:rsidTr="005C5B91">
        <w:trPr>
          <w:trHeight w:val="2340"/>
          <w:jc w:val="center"/>
        </w:trPr>
        <w:tc>
          <w:tcPr>
            <w:tcW w:w="5000" w:type="pct"/>
            <w:tcBorders>
              <w:bottom w:val="single" w:sz="4" w:space="0" w:color="4F81BD"/>
            </w:tcBorders>
            <w:vAlign w:val="center"/>
          </w:tcPr>
          <w:p w14:paraId="294D54CF" w14:textId="77777777" w:rsidR="00114300" w:rsidRPr="001F27CE" w:rsidRDefault="008664A6" w:rsidP="003B5CF7">
            <w:pPr>
              <w:pStyle w:val="SemEspaamento"/>
              <w:spacing w:line="276" w:lineRule="auto"/>
              <w:jc w:val="center"/>
              <w:rPr>
                <w:rFonts w:ascii="Arial" w:hAnsi="Arial" w:cs="Arial"/>
                <w:b/>
                <w:smallCaps/>
                <w:sz w:val="80"/>
                <w:szCs w:val="80"/>
              </w:rPr>
            </w:pPr>
            <w:r w:rsidRPr="001F27CE">
              <w:rPr>
                <w:rFonts w:ascii="Arial" w:hAnsi="Arial" w:cs="Arial"/>
                <w:b/>
                <w:smallCaps/>
                <w:sz w:val="32"/>
                <w:szCs w:val="32"/>
              </w:rPr>
              <w:t>P</w:t>
            </w:r>
            <w:r w:rsidR="001F27CE" w:rsidRPr="001F27CE">
              <w:rPr>
                <w:rFonts w:ascii="Arial" w:hAnsi="Arial" w:cs="Arial"/>
                <w:b/>
                <w:smallCaps/>
                <w:sz w:val="32"/>
                <w:szCs w:val="32"/>
              </w:rPr>
              <w:t>ará</w:t>
            </w:r>
          </w:p>
        </w:tc>
      </w:tr>
      <w:tr w:rsidR="00114300" w:rsidRPr="001F27CE" w14:paraId="294D54D3" w14:textId="77777777">
        <w:trPr>
          <w:trHeight w:val="720"/>
          <w:jc w:val="center"/>
        </w:trPr>
        <w:tc>
          <w:tcPr>
            <w:tcW w:w="5000" w:type="pct"/>
            <w:tcBorders>
              <w:top w:val="single" w:sz="4" w:space="0" w:color="4F81BD"/>
            </w:tcBorders>
            <w:vAlign w:val="center"/>
          </w:tcPr>
          <w:p w14:paraId="294D54D1" w14:textId="77777777" w:rsidR="00C67DA1" w:rsidRPr="001F27CE" w:rsidRDefault="00AA6DB3" w:rsidP="006B3D07">
            <w:pPr>
              <w:pStyle w:val="SemEspaamento"/>
              <w:spacing w:line="276" w:lineRule="auto"/>
              <w:jc w:val="center"/>
              <w:rPr>
                <w:rFonts w:ascii="Arial" w:hAnsi="Arial" w:cs="Arial"/>
                <w:sz w:val="20"/>
              </w:rPr>
            </w:pPr>
            <w:r w:rsidRPr="001F27CE">
              <w:rPr>
                <w:rFonts w:ascii="Arial" w:hAnsi="Arial" w:cs="Arial"/>
                <w:sz w:val="20"/>
              </w:rPr>
              <w:t>P</w:t>
            </w:r>
            <w:r w:rsidR="00C67DA1" w:rsidRPr="001F27CE">
              <w:rPr>
                <w:rFonts w:ascii="Arial" w:hAnsi="Arial" w:cs="Arial"/>
                <w:sz w:val="20"/>
              </w:rPr>
              <w:t xml:space="preserve">rojeto de Modernização da Gestão Fiscal do Estado do </w:t>
            </w:r>
            <w:r w:rsidR="008664A6" w:rsidRPr="001F27CE">
              <w:rPr>
                <w:rFonts w:ascii="Arial" w:hAnsi="Arial" w:cs="Arial"/>
                <w:sz w:val="20"/>
              </w:rPr>
              <w:t>P</w:t>
            </w:r>
            <w:r w:rsidR="003B5CF7" w:rsidRPr="001F27CE">
              <w:rPr>
                <w:rFonts w:ascii="Arial" w:hAnsi="Arial" w:cs="Arial"/>
                <w:sz w:val="20"/>
              </w:rPr>
              <w:t>ará</w:t>
            </w:r>
            <w:r w:rsidR="00C67DA1" w:rsidRPr="001F27CE">
              <w:rPr>
                <w:rFonts w:ascii="Arial" w:hAnsi="Arial" w:cs="Arial"/>
                <w:sz w:val="20"/>
              </w:rPr>
              <w:t xml:space="preserve"> (PROFISCO II </w:t>
            </w:r>
            <w:r w:rsidR="008664A6" w:rsidRPr="001F27CE">
              <w:rPr>
                <w:rFonts w:ascii="Arial" w:hAnsi="Arial" w:cs="Arial"/>
                <w:sz w:val="20"/>
              </w:rPr>
              <w:t>P</w:t>
            </w:r>
            <w:r w:rsidR="003B5CF7" w:rsidRPr="001F27CE">
              <w:rPr>
                <w:rFonts w:ascii="Arial" w:hAnsi="Arial" w:cs="Arial"/>
                <w:sz w:val="20"/>
              </w:rPr>
              <w:t>A</w:t>
            </w:r>
            <w:r w:rsidR="00C67DA1" w:rsidRPr="001F27CE">
              <w:rPr>
                <w:rFonts w:ascii="Arial" w:hAnsi="Arial" w:cs="Arial"/>
                <w:sz w:val="20"/>
              </w:rPr>
              <w:t>)</w:t>
            </w:r>
          </w:p>
          <w:p w14:paraId="294D54D2" w14:textId="77777777" w:rsidR="00114300" w:rsidRPr="001F27CE" w:rsidRDefault="003B5CF7" w:rsidP="008664A6">
            <w:pPr>
              <w:pStyle w:val="SemEspaamento"/>
              <w:spacing w:line="276" w:lineRule="auto"/>
              <w:jc w:val="center"/>
              <w:rPr>
                <w:rFonts w:ascii="Arial" w:hAnsi="Arial" w:cs="Arial"/>
                <w:b/>
                <w:sz w:val="24"/>
                <w:szCs w:val="24"/>
              </w:rPr>
            </w:pPr>
            <w:r w:rsidRPr="001F27CE">
              <w:rPr>
                <w:rFonts w:ascii="Arial" w:hAnsi="Arial" w:cs="Arial"/>
              </w:rPr>
              <w:t>BR-L</w:t>
            </w:r>
            <w:r w:rsidR="00582E83" w:rsidRPr="001F27CE">
              <w:rPr>
                <w:rFonts w:ascii="Arial" w:hAnsi="Arial" w:cs="Arial"/>
              </w:rPr>
              <w:t>1499</w:t>
            </w:r>
          </w:p>
        </w:tc>
      </w:tr>
      <w:tr w:rsidR="00114300" w:rsidRPr="001F27CE" w14:paraId="294D54D5" w14:textId="77777777">
        <w:trPr>
          <w:trHeight w:val="360"/>
          <w:jc w:val="center"/>
        </w:trPr>
        <w:tc>
          <w:tcPr>
            <w:tcW w:w="5000" w:type="pct"/>
            <w:vAlign w:val="center"/>
          </w:tcPr>
          <w:p w14:paraId="294D54D4" w14:textId="77777777" w:rsidR="00114300" w:rsidRPr="001F27CE" w:rsidRDefault="00114300" w:rsidP="00132A36">
            <w:pPr>
              <w:pStyle w:val="SemEspaamento"/>
              <w:spacing w:line="276" w:lineRule="auto"/>
              <w:jc w:val="center"/>
              <w:rPr>
                <w:rFonts w:ascii="Arial" w:hAnsi="Arial" w:cs="Arial"/>
              </w:rPr>
            </w:pPr>
          </w:p>
        </w:tc>
      </w:tr>
      <w:tr w:rsidR="00114300" w:rsidRPr="001F27CE" w14:paraId="294D54D8" w14:textId="77777777">
        <w:trPr>
          <w:trHeight w:val="360"/>
          <w:jc w:val="center"/>
        </w:trPr>
        <w:tc>
          <w:tcPr>
            <w:tcW w:w="5000" w:type="pct"/>
            <w:vAlign w:val="center"/>
          </w:tcPr>
          <w:p w14:paraId="294D54D6" w14:textId="77777777" w:rsidR="00A823A7" w:rsidRPr="001F27CE" w:rsidRDefault="00F35F42" w:rsidP="00132A36">
            <w:pPr>
              <w:pStyle w:val="SemEspaamento"/>
              <w:spacing w:line="276" w:lineRule="auto"/>
              <w:jc w:val="center"/>
              <w:rPr>
                <w:rFonts w:ascii="Arial" w:hAnsi="Arial" w:cs="Arial"/>
                <w:b/>
                <w:bCs/>
                <w:smallCaps/>
                <w:sz w:val="24"/>
                <w:szCs w:val="24"/>
              </w:rPr>
            </w:pPr>
            <w:r w:rsidRPr="001F27CE">
              <w:rPr>
                <w:rFonts w:ascii="Arial" w:hAnsi="Arial" w:cs="Arial"/>
                <w:b/>
                <w:bCs/>
                <w:smallCaps/>
                <w:sz w:val="24"/>
                <w:szCs w:val="24"/>
              </w:rPr>
              <w:t xml:space="preserve">Avaliação Financeira </w:t>
            </w:r>
            <w:proofErr w:type="spellStart"/>
            <w:r w:rsidRPr="001F27CE">
              <w:rPr>
                <w:rFonts w:ascii="Arial" w:hAnsi="Arial" w:cs="Arial"/>
                <w:b/>
                <w:bCs/>
                <w:smallCaps/>
                <w:sz w:val="24"/>
                <w:szCs w:val="24"/>
              </w:rPr>
              <w:t>Ex</w:t>
            </w:r>
            <w:r w:rsidR="00484934" w:rsidRPr="001F27CE">
              <w:rPr>
                <w:rFonts w:ascii="Arial" w:hAnsi="Arial" w:cs="Arial"/>
                <w:b/>
                <w:bCs/>
                <w:smallCaps/>
                <w:sz w:val="24"/>
                <w:szCs w:val="24"/>
              </w:rPr>
              <w:t>-</w:t>
            </w:r>
            <w:r w:rsidR="00C67DA1" w:rsidRPr="001F27CE">
              <w:rPr>
                <w:rFonts w:ascii="Arial" w:hAnsi="Arial" w:cs="Arial"/>
                <w:b/>
                <w:bCs/>
                <w:smallCaps/>
                <w:sz w:val="24"/>
                <w:szCs w:val="24"/>
              </w:rPr>
              <w:t>ante</w:t>
            </w:r>
            <w:proofErr w:type="spellEnd"/>
          </w:p>
          <w:p w14:paraId="294D54D7" w14:textId="77777777" w:rsidR="00114300" w:rsidRPr="001F27CE" w:rsidRDefault="00114300" w:rsidP="00132A36">
            <w:pPr>
              <w:pStyle w:val="SemEspaamento"/>
              <w:spacing w:line="276" w:lineRule="auto"/>
              <w:jc w:val="center"/>
              <w:rPr>
                <w:rFonts w:ascii="Arial" w:hAnsi="Arial" w:cs="Arial"/>
                <w:b/>
                <w:bCs/>
                <w:sz w:val="24"/>
                <w:szCs w:val="24"/>
              </w:rPr>
            </w:pPr>
          </w:p>
        </w:tc>
      </w:tr>
      <w:tr w:rsidR="00114300" w:rsidRPr="001F27CE" w14:paraId="294D54DC" w14:textId="77777777">
        <w:trPr>
          <w:trHeight w:val="360"/>
          <w:jc w:val="center"/>
        </w:trPr>
        <w:tc>
          <w:tcPr>
            <w:tcW w:w="5000" w:type="pct"/>
            <w:vAlign w:val="center"/>
          </w:tcPr>
          <w:p w14:paraId="294D54D9" w14:textId="77777777" w:rsidR="00114300" w:rsidRDefault="00114300" w:rsidP="00132A36">
            <w:pPr>
              <w:pStyle w:val="SemEspaamento"/>
              <w:spacing w:line="276" w:lineRule="auto"/>
              <w:jc w:val="center"/>
              <w:rPr>
                <w:rFonts w:ascii="Arial" w:hAnsi="Arial" w:cs="Arial"/>
                <w:b/>
                <w:bCs/>
                <w:sz w:val="24"/>
                <w:szCs w:val="24"/>
              </w:rPr>
            </w:pPr>
          </w:p>
          <w:p w14:paraId="294D54DA" w14:textId="77777777" w:rsidR="001F27CE" w:rsidRDefault="001F27CE" w:rsidP="00132A36">
            <w:pPr>
              <w:pStyle w:val="SemEspaamento"/>
              <w:spacing w:line="276" w:lineRule="auto"/>
              <w:jc w:val="center"/>
              <w:rPr>
                <w:rFonts w:ascii="Arial" w:hAnsi="Arial" w:cs="Arial"/>
                <w:b/>
                <w:bCs/>
                <w:sz w:val="24"/>
                <w:szCs w:val="24"/>
              </w:rPr>
            </w:pPr>
          </w:p>
          <w:p w14:paraId="294D54DB" w14:textId="77777777" w:rsidR="001F27CE" w:rsidRPr="001F27CE" w:rsidRDefault="001F27CE" w:rsidP="00132A36">
            <w:pPr>
              <w:pStyle w:val="SemEspaamento"/>
              <w:spacing w:line="276" w:lineRule="auto"/>
              <w:jc w:val="center"/>
              <w:rPr>
                <w:rFonts w:ascii="Arial" w:hAnsi="Arial" w:cs="Arial"/>
                <w:b/>
                <w:bCs/>
                <w:sz w:val="24"/>
                <w:szCs w:val="24"/>
              </w:rPr>
            </w:pPr>
          </w:p>
        </w:tc>
      </w:tr>
    </w:tbl>
    <w:p w14:paraId="294D54DD" w14:textId="77777777" w:rsidR="003E3913" w:rsidRPr="001F27CE" w:rsidRDefault="003E3913" w:rsidP="00132A36">
      <w:pPr>
        <w:rPr>
          <w:rFonts w:ascii="Arial" w:hAnsi="Arial" w:cs="Arial"/>
          <w:lang w:val="pt-BR"/>
        </w:rPr>
      </w:pPr>
    </w:p>
    <w:tbl>
      <w:tblPr>
        <w:tblStyle w:val="Tabelacomgrade"/>
        <w:tblW w:w="0" w:type="auto"/>
        <w:tblLook w:val="04A0" w:firstRow="1" w:lastRow="0" w:firstColumn="1" w:lastColumn="0" w:noHBand="0" w:noVBand="1"/>
      </w:tblPr>
      <w:tblGrid>
        <w:gridCol w:w="8630"/>
      </w:tblGrid>
      <w:tr w:rsidR="00DD1DEA" w:rsidRPr="00D14310" w14:paraId="294D54DF" w14:textId="77777777" w:rsidTr="00DD1DEA">
        <w:tc>
          <w:tcPr>
            <w:tcW w:w="8630" w:type="dxa"/>
          </w:tcPr>
          <w:p w14:paraId="294D54DE" w14:textId="77777777" w:rsidR="00DD1DEA" w:rsidRPr="001F27CE" w:rsidRDefault="00DD1DEA" w:rsidP="00582E83">
            <w:pPr>
              <w:jc w:val="both"/>
              <w:rPr>
                <w:rFonts w:ascii="Arial" w:hAnsi="Arial" w:cs="Arial"/>
                <w:color w:val="000000"/>
                <w:lang w:val="pt-BR"/>
              </w:rPr>
            </w:pPr>
            <w:r w:rsidRPr="001F27CE">
              <w:rPr>
                <w:rFonts w:ascii="Arial" w:hAnsi="Arial" w:cs="Arial"/>
                <w:color w:val="000000"/>
                <w:lang w:val="pt-BR"/>
              </w:rPr>
              <w:t>O presente documento foi preparado por</w:t>
            </w:r>
            <w:r w:rsidR="00C67DA1" w:rsidRPr="001F27CE">
              <w:rPr>
                <w:rFonts w:ascii="Arial" w:hAnsi="Arial" w:cs="Arial"/>
                <w:color w:val="000000"/>
                <w:lang w:val="pt-BR"/>
              </w:rPr>
              <w:t xml:space="preserve"> </w:t>
            </w:r>
            <w:r w:rsidR="00582E83" w:rsidRPr="001F27CE">
              <w:rPr>
                <w:rFonts w:ascii="Arial" w:hAnsi="Arial" w:cs="Arial"/>
                <w:color w:val="000000"/>
                <w:lang w:val="pt-BR"/>
              </w:rPr>
              <w:t xml:space="preserve">Ricardo </w:t>
            </w:r>
            <w:proofErr w:type="spellStart"/>
            <w:r w:rsidR="00582E83" w:rsidRPr="001F27CE">
              <w:rPr>
                <w:rFonts w:ascii="Arial" w:hAnsi="Arial" w:cs="Arial"/>
                <w:color w:val="000000"/>
                <w:lang w:val="pt-BR"/>
              </w:rPr>
              <w:t>Gazel</w:t>
            </w:r>
            <w:proofErr w:type="spellEnd"/>
            <w:r w:rsidRPr="001F27CE">
              <w:rPr>
                <w:rFonts w:ascii="Arial" w:hAnsi="Arial" w:cs="Arial"/>
                <w:color w:val="000000"/>
                <w:lang w:val="pt-BR"/>
              </w:rPr>
              <w:t>, com base nas informações forn</w:t>
            </w:r>
            <w:r w:rsidR="00582E83" w:rsidRPr="001F27CE">
              <w:rPr>
                <w:rFonts w:ascii="Arial" w:hAnsi="Arial" w:cs="Arial"/>
                <w:color w:val="000000"/>
                <w:lang w:val="pt-BR"/>
              </w:rPr>
              <w:t>ecidas pela SEFA/PA</w:t>
            </w:r>
            <w:r w:rsidR="00E305E1" w:rsidRPr="001F27CE">
              <w:rPr>
                <w:rFonts w:ascii="Arial" w:hAnsi="Arial" w:cs="Arial"/>
                <w:color w:val="000000"/>
                <w:lang w:val="pt-BR"/>
              </w:rPr>
              <w:t>.</w:t>
            </w:r>
          </w:p>
        </w:tc>
      </w:tr>
    </w:tbl>
    <w:p w14:paraId="294D54E0" w14:textId="77777777" w:rsidR="00114300" w:rsidRPr="001F27CE" w:rsidRDefault="00114300" w:rsidP="00132A36">
      <w:pPr>
        <w:jc w:val="both"/>
        <w:rPr>
          <w:rFonts w:ascii="Arial" w:hAnsi="Arial" w:cs="Arial"/>
          <w:color w:val="000000"/>
          <w:lang w:val="pt-BR"/>
        </w:rPr>
      </w:pPr>
    </w:p>
    <w:p w14:paraId="294D54E1" w14:textId="77777777" w:rsidR="00AA6DB3" w:rsidRPr="001F27CE" w:rsidRDefault="00AA6DB3" w:rsidP="00F35F42">
      <w:pPr>
        <w:spacing w:before="120" w:after="120"/>
        <w:contextualSpacing/>
        <w:jc w:val="center"/>
        <w:rPr>
          <w:rFonts w:ascii="Arial" w:hAnsi="Arial" w:cs="Arial"/>
          <w:caps/>
          <w:smallCaps/>
          <w:lang w:val="pt-BR"/>
        </w:rPr>
      </w:pPr>
    </w:p>
    <w:p w14:paraId="294D54E2" w14:textId="77777777" w:rsidR="00393119" w:rsidRPr="001F27CE" w:rsidRDefault="00393119" w:rsidP="00F35F42">
      <w:pPr>
        <w:spacing w:before="120" w:after="120"/>
        <w:contextualSpacing/>
        <w:jc w:val="center"/>
        <w:rPr>
          <w:rFonts w:ascii="Arial" w:hAnsi="Arial" w:cs="Arial"/>
          <w:caps/>
          <w:smallCaps/>
          <w:lang w:val="pt-BR"/>
        </w:rPr>
      </w:pPr>
      <w:r w:rsidRPr="001F27CE">
        <w:rPr>
          <w:rFonts w:ascii="Arial" w:hAnsi="Arial" w:cs="Arial"/>
          <w:caps/>
          <w:smallCaps/>
          <w:lang w:val="pt-BR"/>
        </w:rPr>
        <w:br w:type="page"/>
      </w:r>
    </w:p>
    <w:sdt>
      <w:sdtPr>
        <w:rPr>
          <w:rFonts w:ascii="Arial" w:eastAsia="Times New Roman" w:hAnsi="Arial" w:cs="Arial"/>
          <w:b w:val="0"/>
          <w:bCs w:val="0"/>
          <w:color w:val="auto"/>
          <w:sz w:val="24"/>
          <w:szCs w:val="24"/>
          <w:lang w:val="pt-BR"/>
        </w:rPr>
        <w:id w:val="-167875372"/>
        <w:docPartObj>
          <w:docPartGallery w:val="Table of Contents"/>
          <w:docPartUnique/>
        </w:docPartObj>
      </w:sdtPr>
      <w:sdtContent>
        <w:p w14:paraId="294D54E3" w14:textId="77777777" w:rsidR="000A1E09" w:rsidRPr="001F27CE" w:rsidRDefault="000A1E09">
          <w:pPr>
            <w:pStyle w:val="CabealhodoSumrio"/>
            <w:rPr>
              <w:rFonts w:ascii="Arial" w:hAnsi="Arial" w:cs="Arial"/>
            </w:rPr>
          </w:pPr>
          <w:r w:rsidRPr="001F27CE">
            <w:rPr>
              <w:rFonts w:ascii="Arial" w:hAnsi="Arial" w:cs="Arial"/>
              <w:lang w:val="pt-BR"/>
            </w:rPr>
            <w:t>Sumário</w:t>
          </w:r>
        </w:p>
        <w:p w14:paraId="294D54E4" w14:textId="77777777" w:rsidR="000A1E09" w:rsidRPr="001F27CE" w:rsidRDefault="000A1E09">
          <w:pPr>
            <w:pStyle w:val="Sumrio1"/>
            <w:tabs>
              <w:tab w:val="left" w:pos="480"/>
              <w:tab w:val="right" w:leader="dot" w:pos="8630"/>
            </w:tabs>
            <w:rPr>
              <w:rFonts w:ascii="Arial" w:hAnsi="Arial" w:cs="Arial"/>
              <w:noProof/>
            </w:rPr>
          </w:pPr>
          <w:r w:rsidRPr="001F27CE">
            <w:rPr>
              <w:rFonts w:ascii="Arial" w:hAnsi="Arial" w:cs="Arial"/>
            </w:rPr>
            <w:fldChar w:fldCharType="begin"/>
          </w:r>
          <w:r w:rsidRPr="001F27CE">
            <w:rPr>
              <w:rFonts w:ascii="Arial" w:hAnsi="Arial" w:cs="Arial"/>
            </w:rPr>
            <w:instrText xml:space="preserve"> TOC \o "1-3" \h \z \u </w:instrText>
          </w:r>
          <w:r w:rsidRPr="001F27CE">
            <w:rPr>
              <w:rFonts w:ascii="Arial" w:hAnsi="Arial" w:cs="Arial"/>
            </w:rPr>
            <w:fldChar w:fldCharType="separate"/>
          </w:r>
          <w:hyperlink w:anchor="_Toc494137323" w:history="1">
            <w:r w:rsidRPr="001F27CE">
              <w:rPr>
                <w:rStyle w:val="Hyperlink"/>
                <w:rFonts w:ascii="Arial" w:hAnsi="Arial" w:cs="Arial"/>
                <w:noProof/>
                <w:lang w:val="pt-BR" w:eastAsia="es-ES"/>
              </w:rPr>
              <w:t>I.</w:t>
            </w:r>
            <w:r w:rsidRPr="001F27CE">
              <w:rPr>
                <w:rFonts w:ascii="Arial" w:hAnsi="Arial" w:cs="Arial"/>
                <w:noProof/>
              </w:rPr>
              <w:tab/>
            </w:r>
            <w:r w:rsidRPr="001F27CE">
              <w:rPr>
                <w:rStyle w:val="Hyperlink"/>
                <w:rFonts w:ascii="Arial" w:hAnsi="Arial" w:cs="Arial"/>
                <w:noProof/>
                <w:lang w:val="pt-BR" w:eastAsia="es-ES"/>
              </w:rPr>
              <w:t>Sumário Executivo</w:t>
            </w:r>
            <w:r w:rsidRPr="001F27CE">
              <w:rPr>
                <w:rFonts w:ascii="Arial" w:hAnsi="Arial" w:cs="Arial"/>
                <w:noProof/>
                <w:webHidden/>
              </w:rPr>
              <w:tab/>
            </w:r>
            <w:r w:rsidRPr="001F27CE">
              <w:rPr>
                <w:rFonts w:ascii="Arial" w:hAnsi="Arial" w:cs="Arial"/>
                <w:noProof/>
                <w:webHidden/>
              </w:rPr>
              <w:fldChar w:fldCharType="begin"/>
            </w:r>
            <w:r w:rsidRPr="001F27CE">
              <w:rPr>
                <w:rFonts w:ascii="Arial" w:hAnsi="Arial" w:cs="Arial"/>
                <w:noProof/>
                <w:webHidden/>
              </w:rPr>
              <w:instrText xml:space="preserve"> PAGEREF _Toc494137323 \h </w:instrText>
            </w:r>
            <w:r w:rsidRPr="001F27CE">
              <w:rPr>
                <w:rFonts w:ascii="Arial" w:hAnsi="Arial" w:cs="Arial"/>
                <w:noProof/>
                <w:webHidden/>
              </w:rPr>
            </w:r>
            <w:r w:rsidRPr="001F27CE">
              <w:rPr>
                <w:rFonts w:ascii="Arial" w:hAnsi="Arial" w:cs="Arial"/>
                <w:noProof/>
                <w:webHidden/>
              </w:rPr>
              <w:fldChar w:fldCharType="separate"/>
            </w:r>
            <w:r w:rsidR="00470583">
              <w:rPr>
                <w:rFonts w:ascii="Arial" w:hAnsi="Arial" w:cs="Arial"/>
                <w:noProof/>
                <w:webHidden/>
              </w:rPr>
              <w:t>3</w:t>
            </w:r>
            <w:r w:rsidRPr="001F27CE">
              <w:rPr>
                <w:rFonts w:ascii="Arial" w:hAnsi="Arial" w:cs="Arial"/>
                <w:noProof/>
                <w:webHidden/>
              </w:rPr>
              <w:fldChar w:fldCharType="end"/>
            </w:r>
          </w:hyperlink>
        </w:p>
        <w:p w14:paraId="294D54E5" w14:textId="77777777" w:rsidR="000A1E09" w:rsidRPr="001F27CE" w:rsidRDefault="00B748FA">
          <w:pPr>
            <w:pStyle w:val="Sumrio1"/>
            <w:tabs>
              <w:tab w:val="left" w:pos="480"/>
              <w:tab w:val="right" w:leader="dot" w:pos="8630"/>
            </w:tabs>
            <w:rPr>
              <w:rFonts w:ascii="Arial" w:hAnsi="Arial" w:cs="Arial"/>
              <w:noProof/>
            </w:rPr>
          </w:pPr>
          <w:hyperlink w:anchor="_Toc494137325" w:history="1">
            <w:r w:rsidR="000A1E09" w:rsidRPr="001F27CE">
              <w:rPr>
                <w:rStyle w:val="Hyperlink"/>
                <w:rFonts w:ascii="Arial" w:hAnsi="Arial" w:cs="Arial"/>
                <w:noProof/>
                <w:lang w:val="pt-BR" w:eastAsia="es-ES"/>
              </w:rPr>
              <w:t>II.</w:t>
            </w:r>
            <w:r w:rsidR="000A1E09" w:rsidRPr="001F27CE">
              <w:rPr>
                <w:rFonts w:ascii="Arial" w:hAnsi="Arial" w:cs="Arial"/>
                <w:noProof/>
              </w:rPr>
              <w:tab/>
            </w:r>
            <w:r w:rsidR="000A1E09" w:rsidRPr="001F27CE">
              <w:rPr>
                <w:rStyle w:val="Hyperlink"/>
                <w:rFonts w:ascii="Arial" w:hAnsi="Arial" w:cs="Arial"/>
                <w:noProof/>
                <w:lang w:val="pt-BR" w:eastAsia="es-ES"/>
              </w:rPr>
              <w:t>O Programa PROFISCO II</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_Toc494137325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8</w:t>
            </w:r>
            <w:r w:rsidR="000A1E09" w:rsidRPr="001F27CE">
              <w:rPr>
                <w:rFonts w:ascii="Arial" w:hAnsi="Arial" w:cs="Arial"/>
                <w:noProof/>
                <w:webHidden/>
              </w:rPr>
              <w:fldChar w:fldCharType="end"/>
            </w:r>
          </w:hyperlink>
        </w:p>
        <w:p w14:paraId="294D54E6" w14:textId="77777777" w:rsidR="000A1E09" w:rsidRPr="001F27CE" w:rsidRDefault="00B748FA">
          <w:pPr>
            <w:pStyle w:val="Sumrio1"/>
            <w:tabs>
              <w:tab w:val="left" w:pos="480"/>
              <w:tab w:val="right" w:leader="dot" w:pos="8630"/>
            </w:tabs>
            <w:rPr>
              <w:rFonts w:ascii="Arial" w:hAnsi="Arial" w:cs="Arial"/>
              <w:noProof/>
            </w:rPr>
          </w:pPr>
          <w:hyperlink w:anchor="_Toc494137328" w:history="1">
            <w:r w:rsidR="000A1E09" w:rsidRPr="001F27CE">
              <w:rPr>
                <w:rStyle w:val="Hyperlink"/>
                <w:rFonts w:ascii="Arial" w:hAnsi="Arial" w:cs="Arial"/>
                <w:noProof/>
                <w:lang w:val="pt-BR" w:eastAsia="es-ES"/>
              </w:rPr>
              <w:t>III.</w:t>
            </w:r>
            <w:r w:rsidR="000A1E09" w:rsidRPr="001F27CE">
              <w:rPr>
                <w:rFonts w:ascii="Arial" w:hAnsi="Arial" w:cs="Arial"/>
                <w:noProof/>
              </w:rPr>
              <w:tab/>
            </w:r>
            <w:r w:rsidR="000A1E09" w:rsidRPr="001F27CE">
              <w:rPr>
                <w:rStyle w:val="Hyperlink"/>
                <w:rFonts w:ascii="Arial" w:hAnsi="Arial" w:cs="Arial"/>
                <w:noProof/>
                <w:lang w:val="pt-BR" w:eastAsia="es-ES"/>
              </w:rPr>
              <w:t>A análise econômica ex-ante</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_Toc494137328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8</w:t>
            </w:r>
            <w:r w:rsidR="000A1E09" w:rsidRPr="001F27CE">
              <w:rPr>
                <w:rFonts w:ascii="Arial" w:hAnsi="Arial" w:cs="Arial"/>
                <w:noProof/>
                <w:webHidden/>
              </w:rPr>
              <w:fldChar w:fldCharType="end"/>
            </w:r>
          </w:hyperlink>
        </w:p>
        <w:p w14:paraId="294D54E7" w14:textId="77777777" w:rsidR="000A1E09" w:rsidRPr="001F27CE" w:rsidRDefault="00B748FA">
          <w:pPr>
            <w:pStyle w:val="Sumrio2"/>
            <w:tabs>
              <w:tab w:val="left" w:pos="880"/>
              <w:tab w:val="right" w:leader="dot" w:pos="8630"/>
            </w:tabs>
            <w:rPr>
              <w:rFonts w:ascii="Arial" w:eastAsiaTheme="minorEastAsia" w:hAnsi="Arial" w:cs="Arial"/>
              <w:noProof/>
              <w:sz w:val="22"/>
              <w:szCs w:val="22"/>
            </w:rPr>
          </w:pPr>
          <w:hyperlink w:anchor="_Toc494137329" w:history="1">
            <w:r w:rsidR="000A1E09" w:rsidRPr="001F27CE">
              <w:rPr>
                <w:rStyle w:val="Hyperlink"/>
                <w:rFonts w:ascii="Arial" w:hAnsi="Arial" w:cs="Arial"/>
                <w:noProof/>
                <w:lang w:val="pt-BR" w:eastAsia="es-ES"/>
              </w:rPr>
              <w:t>A.</w:t>
            </w:r>
            <w:r w:rsidR="000A1E09" w:rsidRPr="001F27CE">
              <w:rPr>
                <w:rFonts w:ascii="Arial" w:eastAsiaTheme="minorEastAsia" w:hAnsi="Arial" w:cs="Arial"/>
                <w:noProof/>
                <w:sz w:val="22"/>
                <w:szCs w:val="22"/>
              </w:rPr>
              <w:tab/>
            </w:r>
            <w:r w:rsidR="000A1E09" w:rsidRPr="001F27CE">
              <w:rPr>
                <w:rStyle w:val="Hyperlink"/>
                <w:rFonts w:ascii="Arial" w:hAnsi="Arial" w:cs="Arial"/>
                <w:noProof/>
                <w:lang w:val="pt-BR" w:eastAsia="es-ES"/>
              </w:rPr>
              <w:t>Custos</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_Toc494137329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10</w:t>
            </w:r>
            <w:r w:rsidR="000A1E09" w:rsidRPr="001F27CE">
              <w:rPr>
                <w:rFonts w:ascii="Arial" w:hAnsi="Arial" w:cs="Arial"/>
                <w:noProof/>
                <w:webHidden/>
              </w:rPr>
              <w:fldChar w:fldCharType="end"/>
            </w:r>
          </w:hyperlink>
        </w:p>
        <w:p w14:paraId="294D54E8" w14:textId="77777777" w:rsidR="000A1E09" w:rsidRPr="001F27CE" w:rsidRDefault="00B748FA">
          <w:pPr>
            <w:pStyle w:val="Sumrio2"/>
            <w:tabs>
              <w:tab w:val="left" w:pos="880"/>
              <w:tab w:val="right" w:leader="dot" w:pos="8630"/>
            </w:tabs>
            <w:rPr>
              <w:rFonts w:ascii="Arial" w:eastAsiaTheme="minorEastAsia" w:hAnsi="Arial" w:cs="Arial"/>
              <w:noProof/>
              <w:sz w:val="22"/>
              <w:szCs w:val="22"/>
            </w:rPr>
          </w:pPr>
          <w:hyperlink w:anchor="_Toc494137330" w:history="1">
            <w:r w:rsidR="000A1E09" w:rsidRPr="001F27CE">
              <w:rPr>
                <w:rStyle w:val="Hyperlink"/>
                <w:rFonts w:ascii="Arial" w:hAnsi="Arial" w:cs="Arial"/>
                <w:noProof/>
                <w:lang w:val="pt-BR" w:eastAsia="es-ES"/>
              </w:rPr>
              <w:t>B.</w:t>
            </w:r>
            <w:r w:rsidR="000A1E09" w:rsidRPr="001F27CE">
              <w:rPr>
                <w:rFonts w:ascii="Arial" w:eastAsiaTheme="minorEastAsia" w:hAnsi="Arial" w:cs="Arial"/>
                <w:noProof/>
                <w:sz w:val="22"/>
                <w:szCs w:val="22"/>
              </w:rPr>
              <w:tab/>
            </w:r>
            <w:r w:rsidR="000A1E09" w:rsidRPr="001F27CE">
              <w:rPr>
                <w:rStyle w:val="Hyperlink"/>
                <w:rFonts w:ascii="Arial" w:hAnsi="Arial" w:cs="Arial"/>
                <w:noProof/>
                <w:lang w:val="pt-BR" w:eastAsia="es-ES"/>
              </w:rPr>
              <w:t>Benefícios</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_Toc494137330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13</w:t>
            </w:r>
            <w:r w:rsidR="000A1E09" w:rsidRPr="001F27CE">
              <w:rPr>
                <w:rFonts w:ascii="Arial" w:hAnsi="Arial" w:cs="Arial"/>
                <w:noProof/>
                <w:webHidden/>
              </w:rPr>
              <w:fldChar w:fldCharType="end"/>
            </w:r>
          </w:hyperlink>
        </w:p>
        <w:p w14:paraId="294D54E9" w14:textId="77777777" w:rsidR="000A1E09" w:rsidRPr="001F27CE" w:rsidRDefault="00B748FA">
          <w:pPr>
            <w:pStyle w:val="Sumrio3"/>
            <w:tabs>
              <w:tab w:val="left" w:pos="1100"/>
              <w:tab w:val="right" w:leader="dot" w:pos="8630"/>
            </w:tabs>
            <w:rPr>
              <w:rFonts w:ascii="Arial" w:eastAsiaTheme="minorEastAsia" w:hAnsi="Arial" w:cs="Arial"/>
              <w:noProof/>
              <w:sz w:val="22"/>
              <w:szCs w:val="22"/>
            </w:rPr>
          </w:pPr>
          <w:hyperlink w:anchor="_Toc494137331" w:history="1">
            <w:r w:rsidR="000A1E09" w:rsidRPr="001F27CE">
              <w:rPr>
                <w:rStyle w:val="Hyperlink"/>
                <w:rFonts w:ascii="Arial" w:hAnsi="Arial" w:cs="Arial"/>
                <w:noProof/>
                <w:lang w:val="pt-BR" w:eastAsia="es-ES"/>
              </w:rPr>
              <w:t>B.1</w:t>
            </w:r>
            <w:r w:rsidR="000A1E09" w:rsidRPr="001F27CE">
              <w:rPr>
                <w:rFonts w:ascii="Arial" w:eastAsiaTheme="minorEastAsia" w:hAnsi="Arial" w:cs="Arial"/>
                <w:noProof/>
                <w:sz w:val="22"/>
                <w:szCs w:val="22"/>
              </w:rPr>
              <w:tab/>
            </w:r>
            <w:r w:rsidR="000A1E09" w:rsidRPr="001F27CE">
              <w:rPr>
                <w:rStyle w:val="Hyperlink"/>
                <w:rFonts w:ascii="Arial" w:hAnsi="Arial" w:cs="Arial"/>
                <w:noProof/>
                <w:lang w:val="pt-BR" w:eastAsia="es-ES"/>
              </w:rPr>
              <w:t>Aumento de Arrecadação</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_Toc494137331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13</w:t>
            </w:r>
            <w:r w:rsidR="000A1E09" w:rsidRPr="001F27CE">
              <w:rPr>
                <w:rFonts w:ascii="Arial" w:hAnsi="Arial" w:cs="Arial"/>
                <w:noProof/>
                <w:webHidden/>
              </w:rPr>
              <w:fldChar w:fldCharType="end"/>
            </w:r>
          </w:hyperlink>
        </w:p>
        <w:p w14:paraId="294D54EA" w14:textId="77777777" w:rsidR="000A1E09" w:rsidRPr="001F27CE" w:rsidRDefault="00B748FA">
          <w:pPr>
            <w:pStyle w:val="Sumrio3"/>
            <w:tabs>
              <w:tab w:val="left" w:pos="1320"/>
              <w:tab w:val="right" w:leader="dot" w:pos="8630"/>
            </w:tabs>
            <w:rPr>
              <w:rFonts w:ascii="Arial" w:eastAsiaTheme="minorEastAsia" w:hAnsi="Arial" w:cs="Arial"/>
              <w:noProof/>
              <w:sz w:val="22"/>
              <w:szCs w:val="22"/>
            </w:rPr>
          </w:pPr>
          <w:hyperlink w:anchor="_Toc494137335" w:history="1">
            <w:r w:rsidR="000A1E09" w:rsidRPr="001F27CE">
              <w:rPr>
                <w:rStyle w:val="Hyperlink"/>
                <w:rFonts w:ascii="Arial" w:hAnsi="Arial" w:cs="Arial"/>
                <w:noProof/>
                <w:lang w:val="pt-BR" w:eastAsia="es-ES"/>
              </w:rPr>
              <w:t>B.2.</w:t>
            </w:r>
            <w:r w:rsidR="000A1E09" w:rsidRPr="001F27CE">
              <w:rPr>
                <w:rFonts w:ascii="Arial" w:eastAsiaTheme="minorEastAsia" w:hAnsi="Arial" w:cs="Arial"/>
                <w:noProof/>
                <w:sz w:val="22"/>
                <w:szCs w:val="22"/>
              </w:rPr>
              <w:tab/>
            </w:r>
            <w:r w:rsidR="000A1E09" w:rsidRPr="001F27CE">
              <w:rPr>
                <w:rStyle w:val="Hyperlink"/>
                <w:rFonts w:ascii="Arial" w:hAnsi="Arial" w:cs="Arial"/>
                <w:noProof/>
                <w:lang w:val="pt-BR" w:eastAsia="es-ES"/>
              </w:rPr>
              <w:t xml:space="preserve"> Redução de</w:t>
            </w:r>
            <w:r w:rsidR="00C750E2" w:rsidRPr="001F27CE">
              <w:rPr>
                <w:rStyle w:val="Hyperlink"/>
                <w:rFonts w:ascii="Arial" w:hAnsi="Arial" w:cs="Arial"/>
                <w:noProof/>
                <w:lang w:val="pt-BR" w:eastAsia="es-ES"/>
              </w:rPr>
              <w:t xml:space="preserve"> custos para o contribuinte para </w:t>
            </w:r>
            <w:r w:rsidR="000A1E09" w:rsidRPr="001F27CE">
              <w:rPr>
                <w:rStyle w:val="Hyperlink"/>
                <w:rFonts w:ascii="Arial" w:hAnsi="Arial" w:cs="Arial"/>
                <w:noProof/>
                <w:lang w:val="pt-BR" w:eastAsia="es-ES"/>
              </w:rPr>
              <w:t>cumprir suas obrigações tributárias</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_Toc494137335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18</w:t>
            </w:r>
            <w:r w:rsidR="000A1E09" w:rsidRPr="001F27CE">
              <w:rPr>
                <w:rFonts w:ascii="Arial" w:hAnsi="Arial" w:cs="Arial"/>
                <w:noProof/>
                <w:webHidden/>
              </w:rPr>
              <w:fldChar w:fldCharType="end"/>
            </w:r>
          </w:hyperlink>
        </w:p>
        <w:p w14:paraId="294D54EB" w14:textId="77777777" w:rsidR="000A1E09" w:rsidRPr="001F27CE" w:rsidRDefault="00B748FA">
          <w:pPr>
            <w:pStyle w:val="Sumrio3"/>
            <w:tabs>
              <w:tab w:val="left" w:pos="1320"/>
              <w:tab w:val="right" w:leader="dot" w:pos="8630"/>
            </w:tabs>
            <w:rPr>
              <w:rFonts w:ascii="Arial" w:eastAsiaTheme="minorEastAsia" w:hAnsi="Arial" w:cs="Arial"/>
              <w:noProof/>
              <w:sz w:val="22"/>
              <w:szCs w:val="22"/>
            </w:rPr>
          </w:pPr>
          <w:hyperlink w:anchor="_Toc494137336" w:history="1">
            <w:r w:rsidR="000A1E09" w:rsidRPr="001F27CE">
              <w:rPr>
                <w:rStyle w:val="Hyperlink"/>
                <w:rFonts w:ascii="Arial" w:hAnsi="Arial" w:cs="Arial"/>
                <w:noProof/>
                <w:lang w:val="pt-BR" w:eastAsia="es-ES"/>
              </w:rPr>
              <w:t>B.3.</w:t>
            </w:r>
            <w:r w:rsidR="000A1E09" w:rsidRPr="001F27CE">
              <w:rPr>
                <w:rFonts w:ascii="Arial" w:eastAsiaTheme="minorEastAsia" w:hAnsi="Arial" w:cs="Arial"/>
                <w:noProof/>
                <w:sz w:val="22"/>
                <w:szCs w:val="22"/>
              </w:rPr>
              <w:tab/>
            </w:r>
            <w:r w:rsidR="000A1E09" w:rsidRPr="001F27CE">
              <w:rPr>
                <w:rStyle w:val="Hyperlink"/>
                <w:rFonts w:ascii="Arial" w:hAnsi="Arial" w:cs="Arial"/>
                <w:noProof/>
                <w:lang w:val="pt-BR" w:eastAsia="es-ES"/>
              </w:rPr>
              <w:t xml:space="preserve"> Redução</w:t>
            </w:r>
            <w:r w:rsidR="00564761" w:rsidRPr="001F27CE">
              <w:rPr>
                <w:rStyle w:val="Hyperlink"/>
                <w:rFonts w:ascii="Arial" w:hAnsi="Arial" w:cs="Arial"/>
                <w:noProof/>
                <w:lang w:val="pt-BR" w:eastAsia="es-ES"/>
              </w:rPr>
              <w:t xml:space="preserve"> de custos para o Estado do Pará</w:t>
            </w:r>
            <w:r w:rsidR="000A1E09" w:rsidRPr="001F27CE">
              <w:rPr>
                <w:rStyle w:val="Hyperlink"/>
                <w:rFonts w:ascii="Arial" w:hAnsi="Arial" w:cs="Arial"/>
                <w:noProof/>
                <w:lang w:val="pt-BR" w:eastAsia="es-ES"/>
              </w:rPr>
              <w:t xml:space="preserve"> na sua gestão fiscal</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_Toc494137336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19</w:t>
            </w:r>
            <w:r w:rsidR="000A1E09" w:rsidRPr="001F27CE">
              <w:rPr>
                <w:rFonts w:ascii="Arial" w:hAnsi="Arial" w:cs="Arial"/>
                <w:noProof/>
                <w:webHidden/>
              </w:rPr>
              <w:fldChar w:fldCharType="end"/>
            </w:r>
          </w:hyperlink>
        </w:p>
        <w:p w14:paraId="294D54EC" w14:textId="77777777" w:rsidR="000A1E09" w:rsidRPr="001F27CE" w:rsidRDefault="00B748FA">
          <w:pPr>
            <w:pStyle w:val="Sumrio1"/>
            <w:tabs>
              <w:tab w:val="left" w:pos="480"/>
              <w:tab w:val="right" w:leader="dot" w:pos="8630"/>
            </w:tabs>
            <w:rPr>
              <w:rFonts w:ascii="Arial" w:hAnsi="Arial" w:cs="Arial"/>
              <w:noProof/>
            </w:rPr>
          </w:pPr>
          <w:hyperlink w:anchor="_Toc494137337" w:history="1">
            <w:r w:rsidR="00C750E2" w:rsidRPr="001F27CE">
              <w:rPr>
                <w:rStyle w:val="Hyperlink"/>
                <w:rFonts w:ascii="Arial" w:hAnsi="Arial" w:cs="Arial"/>
                <w:noProof/>
                <w:lang w:val="pt-BR" w:eastAsia="es-ES"/>
              </w:rPr>
              <w:t>IV.</w:t>
            </w:r>
            <w:r w:rsidR="00C750E2" w:rsidRPr="001F27CE">
              <w:rPr>
                <w:rFonts w:ascii="Arial" w:hAnsi="Arial" w:cs="Arial"/>
                <w:noProof/>
              </w:rPr>
              <w:tab/>
            </w:r>
            <w:r w:rsidR="00C750E2" w:rsidRPr="001F27CE">
              <w:rPr>
                <w:rStyle w:val="Hyperlink"/>
                <w:rFonts w:ascii="Arial" w:hAnsi="Arial" w:cs="Arial"/>
                <w:noProof/>
                <w:lang w:val="pt-BR" w:eastAsia="es-ES"/>
              </w:rPr>
              <w:t>RESULTADO DA ANÁLISE CUSTO-BENEFÍCIO</w:t>
            </w:r>
            <w:r w:rsidR="00C750E2"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_Toc494137337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22</w:t>
            </w:r>
            <w:r w:rsidR="000A1E09" w:rsidRPr="001F27CE">
              <w:rPr>
                <w:rFonts w:ascii="Arial" w:hAnsi="Arial" w:cs="Arial"/>
                <w:noProof/>
                <w:webHidden/>
              </w:rPr>
              <w:fldChar w:fldCharType="end"/>
            </w:r>
          </w:hyperlink>
        </w:p>
        <w:p w14:paraId="294D54ED" w14:textId="77777777" w:rsidR="000A1E09" w:rsidRPr="001F27CE" w:rsidRDefault="00B748FA">
          <w:pPr>
            <w:pStyle w:val="Sumrio1"/>
            <w:tabs>
              <w:tab w:val="left" w:pos="480"/>
              <w:tab w:val="right" w:leader="dot" w:pos="8630"/>
            </w:tabs>
            <w:rPr>
              <w:rFonts w:ascii="Arial" w:hAnsi="Arial" w:cs="Arial"/>
              <w:noProof/>
            </w:rPr>
          </w:pPr>
          <w:hyperlink w:anchor="_Toc494137338" w:history="1">
            <w:r w:rsidR="000A1E09" w:rsidRPr="001F27CE">
              <w:rPr>
                <w:rStyle w:val="Hyperlink"/>
                <w:rFonts w:ascii="Arial" w:hAnsi="Arial" w:cs="Arial"/>
                <w:noProof/>
                <w:lang w:val="pt-BR" w:eastAsia="es-ES"/>
              </w:rPr>
              <w:t>V.</w:t>
            </w:r>
            <w:r w:rsidR="000A1E09" w:rsidRPr="001F27CE">
              <w:rPr>
                <w:rFonts w:ascii="Arial" w:hAnsi="Arial" w:cs="Arial"/>
                <w:noProof/>
              </w:rPr>
              <w:tab/>
            </w:r>
            <w:r w:rsidR="000A1E09" w:rsidRPr="001F27CE">
              <w:rPr>
                <w:rStyle w:val="Hyperlink"/>
                <w:rFonts w:ascii="Arial" w:hAnsi="Arial" w:cs="Arial"/>
                <w:noProof/>
                <w:lang w:val="pt-BR" w:eastAsia="es-ES"/>
              </w:rPr>
              <w:t>Análise de Sensibilidade</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_Toc494137338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22</w:t>
            </w:r>
            <w:r w:rsidR="000A1E09" w:rsidRPr="001F27CE">
              <w:rPr>
                <w:rFonts w:ascii="Arial" w:hAnsi="Arial" w:cs="Arial"/>
                <w:noProof/>
                <w:webHidden/>
              </w:rPr>
              <w:fldChar w:fldCharType="end"/>
            </w:r>
          </w:hyperlink>
        </w:p>
        <w:p w14:paraId="294D54EE" w14:textId="77777777" w:rsidR="000A1E09" w:rsidRPr="001F27CE" w:rsidRDefault="00B748FA">
          <w:pPr>
            <w:pStyle w:val="Sumrio1"/>
            <w:tabs>
              <w:tab w:val="left" w:pos="480"/>
              <w:tab w:val="right" w:leader="dot" w:pos="8630"/>
            </w:tabs>
            <w:rPr>
              <w:rFonts w:ascii="Arial" w:hAnsi="Arial" w:cs="Arial"/>
              <w:noProof/>
            </w:rPr>
          </w:pPr>
          <w:hyperlink w:anchor="_Toc494137339" w:history="1">
            <w:r w:rsidR="000A1E09" w:rsidRPr="001F27CE">
              <w:rPr>
                <w:rStyle w:val="Hyperlink"/>
                <w:rFonts w:ascii="Arial" w:hAnsi="Arial" w:cs="Arial"/>
                <w:noProof/>
                <w:lang w:val="pt-BR" w:eastAsia="es-ES"/>
              </w:rPr>
              <w:t>VI.</w:t>
            </w:r>
            <w:r w:rsidR="000A1E09" w:rsidRPr="001F27CE">
              <w:rPr>
                <w:rFonts w:ascii="Arial" w:hAnsi="Arial" w:cs="Arial"/>
                <w:noProof/>
              </w:rPr>
              <w:tab/>
            </w:r>
            <w:r w:rsidR="000A1E09" w:rsidRPr="001F27CE">
              <w:rPr>
                <w:rStyle w:val="Hyperlink"/>
                <w:rFonts w:ascii="Arial" w:hAnsi="Arial" w:cs="Arial"/>
                <w:noProof/>
                <w:lang w:val="pt-BR" w:eastAsia="es-ES"/>
              </w:rPr>
              <w:t>Conclusões</w:t>
            </w:r>
            <w:r w:rsidR="000A1E09" w:rsidRPr="001F27CE">
              <w:rPr>
                <w:rFonts w:ascii="Arial" w:hAnsi="Arial" w:cs="Arial"/>
                <w:noProof/>
                <w:webHidden/>
              </w:rPr>
              <w:tab/>
            </w:r>
            <w:r w:rsidR="000A1E09" w:rsidRPr="001F27CE">
              <w:rPr>
                <w:rFonts w:ascii="Arial" w:hAnsi="Arial" w:cs="Arial"/>
                <w:noProof/>
                <w:webHidden/>
              </w:rPr>
              <w:fldChar w:fldCharType="begin"/>
            </w:r>
            <w:r w:rsidR="000A1E09" w:rsidRPr="001F27CE">
              <w:rPr>
                <w:rFonts w:ascii="Arial" w:hAnsi="Arial" w:cs="Arial"/>
                <w:noProof/>
                <w:webHidden/>
              </w:rPr>
              <w:instrText xml:space="preserve"> PAGEREF _Toc494137339 \h </w:instrText>
            </w:r>
            <w:r w:rsidR="000A1E09" w:rsidRPr="001F27CE">
              <w:rPr>
                <w:rFonts w:ascii="Arial" w:hAnsi="Arial" w:cs="Arial"/>
                <w:noProof/>
                <w:webHidden/>
              </w:rPr>
            </w:r>
            <w:r w:rsidR="000A1E09" w:rsidRPr="001F27CE">
              <w:rPr>
                <w:rFonts w:ascii="Arial" w:hAnsi="Arial" w:cs="Arial"/>
                <w:noProof/>
                <w:webHidden/>
              </w:rPr>
              <w:fldChar w:fldCharType="separate"/>
            </w:r>
            <w:r w:rsidR="00470583">
              <w:rPr>
                <w:rFonts w:ascii="Arial" w:hAnsi="Arial" w:cs="Arial"/>
                <w:noProof/>
                <w:webHidden/>
              </w:rPr>
              <w:t>24</w:t>
            </w:r>
            <w:r w:rsidR="000A1E09" w:rsidRPr="001F27CE">
              <w:rPr>
                <w:rFonts w:ascii="Arial" w:hAnsi="Arial" w:cs="Arial"/>
                <w:noProof/>
                <w:webHidden/>
              </w:rPr>
              <w:fldChar w:fldCharType="end"/>
            </w:r>
          </w:hyperlink>
        </w:p>
        <w:p w14:paraId="294D54EF" w14:textId="77777777" w:rsidR="000A1E09" w:rsidRPr="001F27CE" w:rsidRDefault="000A1E09">
          <w:pPr>
            <w:rPr>
              <w:rFonts w:ascii="Arial" w:hAnsi="Arial" w:cs="Arial"/>
            </w:rPr>
          </w:pPr>
          <w:r w:rsidRPr="001F27CE">
            <w:rPr>
              <w:rFonts w:ascii="Arial" w:hAnsi="Arial" w:cs="Arial"/>
              <w:b/>
              <w:bCs/>
              <w:lang w:val="pt-BR"/>
            </w:rPr>
            <w:fldChar w:fldCharType="end"/>
          </w:r>
        </w:p>
      </w:sdtContent>
    </w:sdt>
    <w:p w14:paraId="294D54F0" w14:textId="77777777" w:rsidR="001C018D" w:rsidRPr="001F27CE" w:rsidRDefault="001C018D">
      <w:pPr>
        <w:rPr>
          <w:rFonts w:ascii="Arial" w:hAnsi="Arial" w:cs="Arial"/>
          <w:caps/>
          <w:smallCaps/>
          <w:lang w:val="pt-BR"/>
        </w:rPr>
      </w:pPr>
      <w:r w:rsidRPr="001F27CE">
        <w:rPr>
          <w:rFonts w:ascii="Arial" w:hAnsi="Arial" w:cs="Arial"/>
          <w:caps/>
          <w:smallCaps/>
          <w:lang w:val="pt-BR"/>
        </w:rPr>
        <w:br w:type="page"/>
      </w:r>
    </w:p>
    <w:p w14:paraId="294D54F1" w14:textId="77777777" w:rsidR="004F7F36" w:rsidRPr="001F27CE" w:rsidRDefault="001F27CE" w:rsidP="003B118F">
      <w:pPr>
        <w:pStyle w:val="Ttulo1"/>
        <w:numPr>
          <w:ilvl w:val="0"/>
          <w:numId w:val="4"/>
        </w:numPr>
        <w:tabs>
          <w:tab w:val="clear" w:pos="1260"/>
        </w:tabs>
        <w:ind w:left="270" w:firstLine="180"/>
        <w:rPr>
          <w:rFonts w:ascii="Arial" w:hAnsi="Arial" w:cs="Arial"/>
          <w:color w:val="000000" w:themeColor="text1"/>
          <w:lang w:val="pt-BR" w:eastAsia="es-ES"/>
        </w:rPr>
      </w:pPr>
      <w:bookmarkStart w:id="0" w:name="_Toc494137323"/>
      <w:r>
        <w:rPr>
          <w:rFonts w:ascii="Arial" w:hAnsi="Arial" w:cs="Arial"/>
          <w:color w:val="000000" w:themeColor="text1"/>
          <w:lang w:val="pt-BR" w:eastAsia="es-ES"/>
        </w:rPr>
        <w:lastRenderedPageBreak/>
        <w:t xml:space="preserve">  </w:t>
      </w:r>
      <w:r w:rsidR="004F7F36" w:rsidRPr="001F27CE">
        <w:rPr>
          <w:rFonts w:ascii="Arial" w:hAnsi="Arial" w:cs="Arial"/>
          <w:color w:val="000000" w:themeColor="text1"/>
          <w:lang w:val="pt-BR" w:eastAsia="es-ES"/>
        </w:rPr>
        <w:t>Sumário Executivo</w:t>
      </w:r>
      <w:bookmarkEnd w:id="0"/>
    </w:p>
    <w:p w14:paraId="294D54F2" w14:textId="77777777" w:rsidR="0016443B" w:rsidRPr="001F27CE" w:rsidRDefault="0016443B" w:rsidP="0016443B">
      <w:pPr>
        <w:pStyle w:val="PargrafodaLista"/>
        <w:keepNext/>
        <w:suppressAutoHyphens/>
        <w:spacing w:before="120"/>
        <w:ind w:left="1440"/>
        <w:jc w:val="both"/>
        <w:outlineLvl w:val="3"/>
        <w:rPr>
          <w:rFonts w:ascii="Arial" w:hAnsi="Arial" w:cs="Arial"/>
          <w:b/>
          <w:bCs/>
          <w:szCs w:val="20"/>
          <w:lang w:val="pt-BR" w:eastAsia="es-ES"/>
        </w:rPr>
      </w:pPr>
    </w:p>
    <w:p w14:paraId="294D54F3" w14:textId="77777777" w:rsidR="003B5CF7" w:rsidRPr="001F27CE" w:rsidRDefault="0087287D" w:rsidP="003B118F">
      <w:pPr>
        <w:pStyle w:val="PargrafodaLista"/>
        <w:keepNext/>
        <w:numPr>
          <w:ilvl w:val="1"/>
          <w:numId w:val="4"/>
        </w:numPr>
        <w:tabs>
          <w:tab w:val="clear" w:pos="1009"/>
          <w:tab w:val="num" w:pos="284"/>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 </w:t>
      </w:r>
      <w:r w:rsidR="003B5CF7" w:rsidRPr="001F27CE">
        <w:rPr>
          <w:rFonts w:ascii="Arial" w:hAnsi="Arial" w:cs="Arial"/>
          <w:bCs/>
          <w:lang w:val="pt-BR" w:eastAsia="es-ES"/>
        </w:rPr>
        <w:t>Estado do Pará está desenvolvendo, junto com o Banco Interamericano de Desenvolvimento, o Programa de Modernização da Gestão Fiscal do Estado do Pará (PROFISCO II PA)</w:t>
      </w:r>
      <w:r w:rsidR="005B514C" w:rsidRPr="001F27CE">
        <w:rPr>
          <w:rFonts w:ascii="Arial" w:hAnsi="Arial" w:cs="Arial"/>
          <w:bCs/>
          <w:lang w:val="pt-BR" w:eastAsia="es-ES"/>
        </w:rPr>
        <w:t>,</w:t>
      </w:r>
      <w:r w:rsidR="003B5CF7" w:rsidRPr="001F27CE">
        <w:rPr>
          <w:rFonts w:ascii="Arial" w:hAnsi="Arial" w:cs="Arial"/>
          <w:bCs/>
          <w:lang w:val="pt-BR" w:eastAsia="es-ES"/>
        </w:rPr>
        <w:t xml:space="preserve"> </w:t>
      </w:r>
      <w:r w:rsidR="003B5CF7" w:rsidRPr="001F27CE">
        <w:rPr>
          <w:rFonts w:ascii="Arial" w:hAnsi="Arial" w:cs="Arial"/>
          <w:lang w:val="pt-BR"/>
        </w:rPr>
        <w:t>BR-L</w:t>
      </w:r>
      <w:r w:rsidR="00DA65A6" w:rsidRPr="001F27CE">
        <w:rPr>
          <w:rFonts w:ascii="Arial" w:hAnsi="Arial" w:cs="Arial"/>
          <w:lang w:val="pt-BR"/>
        </w:rPr>
        <w:t>1499</w:t>
      </w:r>
      <w:r w:rsidR="003B5CF7" w:rsidRPr="001F27CE">
        <w:rPr>
          <w:rFonts w:ascii="Arial" w:hAnsi="Arial" w:cs="Arial"/>
          <w:bCs/>
          <w:lang w:val="pt-BR" w:eastAsia="es-ES"/>
        </w:rPr>
        <w:t>. O objetivo do programa é contribuir para a sustentabilidade fiscal do Estado por meio da modernização da gestão fazendária, administração tributária e gestão do gasto público</w:t>
      </w:r>
      <w:r w:rsidR="0000671C" w:rsidRPr="001F27CE">
        <w:rPr>
          <w:rFonts w:ascii="Arial" w:hAnsi="Arial" w:cs="Arial"/>
          <w:bCs/>
          <w:lang w:val="pt-BR" w:eastAsia="es-ES"/>
        </w:rPr>
        <w:t xml:space="preserve">. Ao potencializar o desempenho da fazenda pública, aumentar a arrecadação tributária, e incrementar a eficiência do gasto público, o Estado do Pará poderá melhorar a prestação de serviços de qualidade para seus </w:t>
      </w:r>
      <w:r w:rsidR="003B5CF7" w:rsidRPr="001F27CE">
        <w:rPr>
          <w:rFonts w:ascii="Arial" w:hAnsi="Arial" w:cs="Arial"/>
          <w:bCs/>
          <w:lang w:val="pt-BR" w:eastAsia="es-ES"/>
        </w:rPr>
        <w:t>cidadãos. O investimento total do programa será de US</w:t>
      </w:r>
      <w:r w:rsidR="00636D3F">
        <w:rPr>
          <w:rFonts w:ascii="Arial" w:hAnsi="Arial" w:cs="Arial"/>
          <w:bCs/>
          <w:lang w:val="pt-BR" w:eastAsia="es-ES"/>
        </w:rPr>
        <w:t>$39 milhões, sendo US$</w:t>
      </w:r>
      <w:r w:rsidR="003B5CF7" w:rsidRPr="001F27CE">
        <w:rPr>
          <w:rFonts w:ascii="Arial" w:hAnsi="Arial" w:cs="Arial"/>
          <w:bCs/>
          <w:lang w:val="pt-BR" w:eastAsia="es-ES"/>
        </w:rPr>
        <w:t>35,1 mil</w:t>
      </w:r>
      <w:r w:rsidR="00636D3F">
        <w:rPr>
          <w:rFonts w:ascii="Arial" w:hAnsi="Arial" w:cs="Arial"/>
          <w:bCs/>
          <w:lang w:val="pt-BR" w:eastAsia="es-ES"/>
        </w:rPr>
        <w:t>hões de financiamento BID e US$</w:t>
      </w:r>
      <w:r w:rsidR="003B5CF7" w:rsidRPr="001F27CE">
        <w:rPr>
          <w:rFonts w:ascii="Arial" w:hAnsi="Arial" w:cs="Arial"/>
          <w:bCs/>
          <w:lang w:val="pt-BR" w:eastAsia="es-ES"/>
        </w:rPr>
        <w:t>3,9 milhões de contrapartida.</w:t>
      </w:r>
      <w:r w:rsidR="003B5CF7" w:rsidRPr="001F27CE">
        <w:rPr>
          <w:rFonts w:ascii="Arial" w:eastAsia="Arial" w:hAnsi="Arial" w:cs="Arial"/>
          <w:color w:val="000000" w:themeColor="text1"/>
          <w:lang w:val="pt-BR"/>
        </w:rPr>
        <w:t xml:space="preserve"> </w:t>
      </w:r>
    </w:p>
    <w:p w14:paraId="294D54F4" w14:textId="77777777" w:rsidR="00CC00C6" w:rsidRPr="001F27CE" w:rsidRDefault="00CC00C6" w:rsidP="002422B9">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Esta</w:t>
      </w:r>
      <w:r w:rsidR="003F3D36" w:rsidRPr="001F27CE">
        <w:rPr>
          <w:rFonts w:ascii="Arial" w:hAnsi="Arial" w:cs="Arial"/>
          <w:bCs/>
          <w:lang w:val="pt-BR" w:eastAsia="es-ES"/>
        </w:rPr>
        <w:t xml:space="preserve"> análise C</w:t>
      </w:r>
      <w:r w:rsidRPr="001F27CE">
        <w:rPr>
          <w:rFonts w:ascii="Arial" w:hAnsi="Arial" w:cs="Arial"/>
          <w:bCs/>
          <w:lang w:val="pt-BR" w:eastAsia="es-ES"/>
        </w:rPr>
        <w:t>usto</w:t>
      </w:r>
      <w:r w:rsidR="003F3D36" w:rsidRPr="001F27CE">
        <w:rPr>
          <w:rFonts w:ascii="Arial" w:hAnsi="Arial" w:cs="Arial"/>
          <w:bCs/>
          <w:lang w:val="pt-BR" w:eastAsia="es-ES"/>
        </w:rPr>
        <w:t>-B</w:t>
      </w:r>
      <w:r w:rsidRPr="001F27CE">
        <w:rPr>
          <w:rFonts w:ascii="Arial" w:hAnsi="Arial" w:cs="Arial"/>
          <w:bCs/>
          <w:lang w:val="pt-BR" w:eastAsia="es-ES"/>
        </w:rPr>
        <w:t xml:space="preserve">enefício </w:t>
      </w:r>
      <w:r w:rsidR="003F3D36" w:rsidRPr="001F27CE">
        <w:rPr>
          <w:rFonts w:ascii="Arial" w:hAnsi="Arial" w:cs="Arial"/>
          <w:bCs/>
          <w:lang w:val="pt-BR" w:eastAsia="es-ES"/>
        </w:rPr>
        <w:t xml:space="preserve">(C-B) </w:t>
      </w:r>
      <w:r w:rsidRPr="001F27CE">
        <w:rPr>
          <w:rFonts w:ascii="Arial" w:hAnsi="Arial" w:cs="Arial"/>
          <w:bCs/>
          <w:lang w:val="pt-BR" w:eastAsia="es-ES"/>
        </w:rPr>
        <w:t>considera os custos e benefícios financeiros</w:t>
      </w:r>
      <w:r w:rsidR="002422B9" w:rsidRPr="001F27CE">
        <w:rPr>
          <w:rFonts w:ascii="Arial" w:hAnsi="Arial" w:cs="Arial"/>
          <w:bCs/>
          <w:lang w:val="pt-BR" w:eastAsia="es-ES"/>
        </w:rPr>
        <w:t xml:space="preserve"> do programa em um </w:t>
      </w:r>
      <w:r w:rsidRPr="001F27CE">
        <w:rPr>
          <w:rFonts w:ascii="Arial" w:hAnsi="Arial" w:cs="Arial"/>
          <w:bCs/>
          <w:lang w:val="pt-BR" w:eastAsia="es-ES"/>
        </w:rPr>
        <w:t xml:space="preserve">universo temporal de dez anos a partir do inicio da execução do programa, independendo do </w:t>
      </w:r>
      <w:r w:rsidR="00C750E2" w:rsidRPr="001F27CE">
        <w:rPr>
          <w:rFonts w:ascii="Arial" w:hAnsi="Arial" w:cs="Arial"/>
          <w:bCs/>
          <w:lang w:val="pt-BR" w:eastAsia="es-ES"/>
        </w:rPr>
        <w:t>começo especí</w:t>
      </w:r>
      <w:r w:rsidRPr="001F27CE">
        <w:rPr>
          <w:rFonts w:ascii="Arial" w:hAnsi="Arial" w:cs="Arial"/>
          <w:bCs/>
          <w:lang w:val="pt-BR" w:eastAsia="es-ES"/>
        </w:rPr>
        <w:t xml:space="preserve">fico da execução em ano calendário. Assim, a análise vai do ano </w:t>
      </w:r>
      <w:proofErr w:type="gramStart"/>
      <w:r w:rsidRPr="001F27CE">
        <w:rPr>
          <w:rFonts w:ascii="Arial" w:hAnsi="Arial" w:cs="Arial"/>
          <w:bCs/>
          <w:lang w:val="pt-BR" w:eastAsia="es-ES"/>
        </w:rPr>
        <w:t>1</w:t>
      </w:r>
      <w:proofErr w:type="gramEnd"/>
      <w:r w:rsidRPr="001F27CE">
        <w:rPr>
          <w:rFonts w:ascii="Arial" w:hAnsi="Arial" w:cs="Arial"/>
          <w:bCs/>
          <w:lang w:val="pt-BR" w:eastAsia="es-ES"/>
        </w:rPr>
        <w:t xml:space="preserve"> ao ano 10, que corresponderia aproximadamente aos anos 2018 e 2027, respectivamente.</w:t>
      </w:r>
    </w:p>
    <w:p w14:paraId="294D54F5" w14:textId="77777777" w:rsidR="00CC00C6" w:rsidRPr="001F27CE" w:rsidRDefault="00CC00C6" w:rsidP="004F42D5">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Foram incluídos os custos de financiamento do programa</w:t>
      </w:r>
      <w:r w:rsidR="008D28E9" w:rsidRPr="001F27CE">
        <w:rPr>
          <w:rFonts w:ascii="Arial" w:hAnsi="Arial" w:cs="Arial"/>
          <w:bCs/>
          <w:lang w:val="pt-BR" w:eastAsia="es-ES"/>
        </w:rPr>
        <w:t xml:space="preserve"> e</w:t>
      </w:r>
      <w:r w:rsidRPr="001F27CE">
        <w:rPr>
          <w:rFonts w:ascii="Arial" w:hAnsi="Arial" w:cs="Arial"/>
          <w:bCs/>
          <w:lang w:val="pt-BR" w:eastAsia="es-ES"/>
        </w:rPr>
        <w:t xml:space="preserve"> de contrapartida pelo Estado do </w:t>
      </w:r>
      <w:r w:rsidR="007436CD" w:rsidRPr="001F27CE">
        <w:rPr>
          <w:rFonts w:ascii="Arial" w:hAnsi="Arial" w:cs="Arial"/>
          <w:bCs/>
          <w:lang w:val="pt-BR" w:eastAsia="es-ES"/>
        </w:rPr>
        <w:t>P</w:t>
      </w:r>
      <w:r w:rsidR="003B5CF7" w:rsidRPr="001F27CE">
        <w:rPr>
          <w:rFonts w:ascii="Arial" w:hAnsi="Arial" w:cs="Arial"/>
          <w:bCs/>
          <w:lang w:val="pt-BR" w:eastAsia="es-ES"/>
        </w:rPr>
        <w:t>ará</w:t>
      </w:r>
      <w:r w:rsidRPr="001F27CE">
        <w:rPr>
          <w:rFonts w:ascii="Arial" w:hAnsi="Arial" w:cs="Arial"/>
          <w:bCs/>
          <w:lang w:val="pt-BR" w:eastAsia="es-ES"/>
        </w:rPr>
        <w:t>; custos financeiros de taxa de crédito para valores não desembolsados</w:t>
      </w:r>
      <w:r w:rsidR="00C750E2" w:rsidRPr="001F27CE">
        <w:rPr>
          <w:rFonts w:ascii="Arial" w:hAnsi="Arial" w:cs="Arial"/>
          <w:bCs/>
          <w:lang w:val="pt-BR" w:eastAsia="es-ES"/>
        </w:rPr>
        <w:t>,</w:t>
      </w:r>
      <w:r w:rsidRPr="001F27CE">
        <w:rPr>
          <w:rFonts w:ascii="Arial" w:hAnsi="Arial" w:cs="Arial"/>
          <w:bCs/>
          <w:lang w:val="pt-BR" w:eastAsia="es-ES"/>
        </w:rPr>
        <w:t xml:space="preserve"> juros para valores desembolsados e custos de manutenção de </w:t>
      </w:r>
      <w:r w:rsidR="007436CD" w:rsidRPr="001F27CE">
        <w:rPr>
          <w:rFonts w:ascii="Arial" w:hAnsi="Arial" w:cs="Arial"/>
          <w:bCs/>
          <w:lang w:val="pt-BR" w:eastAsia="es-ES"/>
        </w:rPr>
        <w:t xml:space="preserve">obras e bens adquiridos, assim como de </w:t>
      </w:r>
      <w:r w:rsidRPr="001F27CE">
        <w:rPr>
          <w:rFonts w:ascii="Arial" w:hAnsi="Arial" w:cs="Arial"/>
          <w:bCs/>
          <w:lang w:val="pt-BR" w:eastAsia="es-ES"/>
        </w:rPr>
        <w:t>sistemas depois de implantados e durante todo o período da avaliação.</w:t>
      </w:r>
    </w:p>
    <w:p w14:paraId="294D54F6" w14:textId="77777777" w:rsidR="00CC00C6" w:rsidRPr="001F27CE" w:rsidRDefault="00CC00C6" w:rsidP="003B118F">
      <w:pPr>
        <w:pStyle w:val="PargrafodaLista"/>
        <w:keepNext/>
        <w:numPr>
          <w:ilvl w:val="1"/>
          <w:numId w:val="4"/>
        </w:numPr>
        <w:tabs>
          <w:tab w:val="clear" w:pos="1009"/>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Os benefícios foram distribuídos em três áreas específicas: </w:t>
      </w:r>
      <w:r w:rsidR="00543F15" w:rsidRPr="001F27CE">
        <w:rPr>
          <w:rFonts w:ascii="Arial" w:hAnsi="Arial" w:cs="Arial"/>
          <w:bCs/>
          <w:lang w:val="pt-BR" w:eastAsia="es-ES"/>
        </w:rPr>
        <w:t xml:space="preserve">(i) </w:t>
      </w:r>
      <w:r w:rsidRPr="001F27CE">
        <w:rPr>
          <w:rFonts w:ascii="Arial" w:hAnsi="Arial" w:cs="Arial"/>
          <w:b/>
          <w:bCs/>
          <w:lang w:val="pt-BR" w:eastAsia="es-ES"/>
        </w:rPr>
        <w:t xml:space="preserve">Aumento de arrecadação tributária; </w:t>
      </w:r>
      <w:r w:rsidR="00543F15" w:rsidRPr="001F27CE">
        <w:rPr>
          <w:rFonts w:ascii="Arial" w:hAnsi="Arial" w:cs="Arial"/>
          <w:b/>
          <w:bCs/>
          <w:lang w:val="pt-BR" w:eastAsia="es-ES"/>
        </w:rPr>
        <w:t>(</w:t>
      </w:r>
      <w:proofErr w:type="spellStart"/>
      <w:proofErr w:type="gramStart"/>
      <w:r w:rsidR="00543F15" w:rsidRPr="001F27CE">
        <w:rPr>
          <w:rFonts w:ascii="Arial" w:hAnsi="Arial" w:cs="Arial"/>
          <w:b/>
          <w:bCs/>
          <w:lang w:val="pt-BR" w:eastAsia="es-ES"/>
        </w:rPr>
        <w:t>ii</w:t>
      </w:r>
      <w:proofErr w:type="spellEnd"/>
      <w:proofErr w:type="gramEnd"/>
      <w:r w:rsidR="00543F15" w:rsidRPr="001F27CE">
        <w:rPr>
          <w:rFonts w:ascii="Arial" w:hAnsi="Arial" w:cs="Arial"/>
          <w:b/>
          <w:bCs/>
          <w:lang w:val="pt-BR" w:eastAsia="es-ES"/>
        </w:rPr>
        <w:t xml:space="preserve">) </w:t>
      </w:r>
      <w:r w:rsidRPr="001F27CE">
        <w:rPr>
          <w:rFonts w:ascii="Arial" w:hAnsi="Arial" w:cs="Arial"/>
          <w:b/>
          <w:bCs/>
          <w:lang w:val="pt-BR" w:eastAsia="es-ES"/>
        </w:rPr>
        <w:t xml:space="preserve">Redução de custos para o contribuinte </w:t>
      </w:r>
      <w:r w:rsidR="00325DCC" w:rsidRPr="001F27CE">
        <w:rPr>
          <w:rFonts w:ascii="Arial" w:hAnsi="Arial" w:cs="Arial"/>
          <w:b/>
          <w:bCs/>
          <w:lang w:val="pt-BR" w:eastAsia="es-ES"/>
        </w:rPr>
        <w:t>com a eliminação</w:t>
      </w:r>
      <w:r w:rsidR="00636D3F">
        <w:rPr>
          <w:rFonts w:ascii="Arial" w:hAnsi="Arial" w:cs="Arial"/>
          <w:b/>
          <w:bCs/>
          <w:lang w:val="pt-BR" w:eastAsia="es-ES"/>
        </w:rPr>
        <w:t xml:space="preserve"> de duas declarações acessórias; </w:t>
      </w:r>
      <w:r w:rsidRPr="001F27CE">
        <w:rPr>
          <w:rFonts w:ascii="Arial" w:hAnsi="Arial" w:cs="Arial"/>
          <w:b/>
          <w:bCs/>
          <w:lang w:val="pt-BR" w:eastAsia="es-ES"/>
        </w:rPr>
        <w:t xml:space="preserve">e </w:t>
      </w:r>
      <w:r w:rsidR="00543F15" w:rsidRPr="001F27CE">
        <w:rPr>
          <w:rFonts w:ascii="Arial" w:hAnsi="Arial" w:cs="Arial"/>
          <w:b/>
          <w:bCs/>
          <w:lang w:val="pt-BR" w:eastAsia="es-ES"/>
        </w:rPr>
        <w:t>(</w:t>
      </w:r>
      <w:proofErr w:type="spellStart"/>
      <w:r w:rsidR="00543F15" w:rsidRPr="001F27CE">
        <w:rPr>
          <w:rFonts w:ascii="Arial" w:hAnsi="Arial" w:cs="Arial"/>
          <w:b/>
          <w:bCs/>
          <w:lang w:val="pt-BR" w:eastAsia="es-ES"/>
        </w:rPr>
        <w:t>iii</w:t>
      </w:r>
      <w:proofErr w:type="spellEnd"/>
      <w:r w:rsidR="00543F15" w:rsidRPr="001F27CE">
        <w:rPr>
          <w:rFonts w:ascii="Arial" w:hAnsi="Arial" w:cs="Arial"/>
          <w:b/>
          <w:bCs/>
          <w:lang w:val="pt-BR" w:eastAsia="es-ES"/>
        </w:rPr>
        <w:t xml:space="preserve">) </w:t>
      </w:r>
      <w:r w:rsidRPr="001F27CE">
        <w:rPr>
          <w:rFonts w:ascii="Arial" w:hAnsi="Arial" w:cs="Arial"/>
          <w:b/>
          <w:bCs/>
          <w:lang w:val="pt-BR" w:eastAsia="es-ES"/>
        </w:rPr>
        <w:t xml:space="preserve">Redução de custos para o governo do </w:t>
      </w:r>
      <w:r w:rsidR="00564761" w:rsidRPr="001F27CE">
        <w:rPr>
          <w:rFonts w:ascii="Arial" w:hAnsi="Arial" w:cs="Arial"/>
          <w:b/>
          <w:bCs/>
          <w:lang w:val="pt-BR" w:eastAsia="es-ES"/>
        </w:rPr>
        <w:t>Pará</w:t>
      </w:r>
      <w:r w:rsidRPr="001F27CE">
        <w:rPr>
          <w:rFonts w:ascii="Arial" w:hAnsi="Arial" w:cs="Arial"/>
          <w:b/>
          <w:bCs/>
          <w:lang w:val="pt-BR" w:eastAsia="es-ES"/>
        </w:rPr>
        <w:t xml:space="preserve"> </w:t>
      </w:r>
      <w:r w:rsidR="002D6574" w:rsidRPr="001F27CE">
        <w:rPr>
          <w:rFonts w:ascii="Arial" w:hAnsi="Arial" w:cs="Arial"/>
          <w:b/>
          <w:bCs/>
          <w:lang w:val="pt-BR" w:eastAsia="es-ES"/>
        </w:rPr>
        <w:t>com a automatização dos processos de concessão de benefícios fiscais e criação do Diário Oficial virtual</w:t>
      </w:r>
      <w:r w:rsidR="00325DCC" w:rsidRPr="001F27CE">
        <w:rPr>
          <w:rFonts w:ascii="Arial" w:hAnsi="Arial" w:cs="Arial"/>
          <w:b/>
          <w:bCs/>
          <w:lang w:val="pt-BR" w:eastAsia="es-ES"/>
        </w:rPr>
        <w:t>.</w:t>
      </w:r>
      <w:r w:rsidR="00325DCC" w:rsidRPr="001F27CE">
        <w:rPr>
          <w:rFonts w:ascii="Arial" w:hAnsi="Arial" w:cs="Arial"/>
          <w:bCs/>
          <w:lang w:val="pt-BR" w:eastAsia="es-ES"/>
        </w:rPr>
        <w:t xml:space="preserve"> </w:t>
      </w:r>
    </w:p>
    <w:p w14:paraId="294D54F7" w14:textId="77777777" w:rsidR="00BB09DF" w:rsidRPr="001F27CE" w:rsidRDefault="003F3D36" w:rsidP="004F42D5">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 PROFISCO II inclui três grandes áreas de </w:t>
      </w:r>
      <w:r w:rsidR="001F27CE">
        <w:rPr>
          <w:rFonts w:ascii="Arial" w:hAnsi="Arial" w:cs="Arial"/>
          <w:bCs/>
          <w:lang w:val="pt-BR" w:eastAsia="es-ES"/>
        </w:rPr>
        <w:t>atuação que incluem 17</w:t>
      </w:r>
      <w:r w:rsidR="001F27CE" w:rsidRPr="001F27CE">
        <w:rPr>
          <w:lang w:val="pt-BR"/>
        </w:rPr>
        <w:t> </w:t>
      </w:r>
      <w:r w:rsidR="004859F8" w:rsidRPr="001F27CE">
        <w:rPr>
          <w:rFonts w:ascii="Arial" w:hAnsi="Arial" w:cs="Arial"/>
          <w:bCs/>
          <w:lang w:val="pt-BR" w:eastAsia="es-ES"/>
        </w:rPr>
        <w:t>produtos</w:t>
      </w:r>
      <w:r w:rsidRPr="001F27CE">
        <w:rPr>
          <w:rFonts w:ascii="Arial" w:hAnsi="Arial" w:cs="Arial"/>
          <w:bCs/>
          <w:lang w:val="pt-BR" w:eastAsia="es-ES"/>
        </w:rPr>
        <w:t xml:space="preserve">. Quase todos os produtos gerarão aumento de receita, economia para o contribuinte ou redução de gastos para o governo. Para a análise C-B foram selecionados apenas </w:t>
      </w:r>
      <w:r w:rsidR="007D220D" w:rsidRPr="001F27CE">
        <w:rPr>
          <w:rFonts w:ascii="Arial" w:hAnsi="Arial" w:cs="Arial"/>
          <w:bCs/>
          <w:lang w:val="pt-BR" w:eastAsia="es-ES"/>
        </w:rPr>
        <w:t>alguns</w:t>
      </w:r>
      <w:r w:rsidRPr="001F27CE">
        <w:rPr>
          <w:rFonts w:ascii="Arial" w:hAnsi="Arial" w:cs="Arial"/>
          <w:bCs/>
          <w:lang w:val="pt-BR" w:eastAsia="es-ES"/>
        </w:rPr>
        <w:t xml:space="preserve"> produtos que caracterizam bem estes potenciais benefícios e </w:t>
      </w:r>
      <w:r w:rsidR="00787DB6" w:rsidRPr="001F27CE">
        <w:rPr>
          <w:rFonts w:ascii="Arial" w:hAnsi="Arial" w:cs="Arial"/>
          <w:bCs/>
          <w:lang w:val="pt-BR" w:eastAsia="es-ES"/>
        </w:rPr>
        <w:t xml:space="preserve">que contam </w:t>
      </w:r>
      <w:r w:rsidRPr="001F27CE">
        <w:rPr>
          <w:rFonts w:ascii="Arial" w:hAnsi="Arial" w:cs="Arial"/>
          <w:bCs/>
          <w:lang w:val="pt-BR" w:eastAsia="es-ES"/>
        </w:rPr>
        <w:t>com disponibilidade de dados para identificar e quantificar adequadamente os benefícios.</w:t>
      </w:r>
    </w:p>
    <w:p w14:paraId="294D54F8" w14:textId="77777777" w:rsidR="00360FC6" w:rsidRPr="001F27CE" w:rsidRDefault="00360FC6" w:rsidP="004F42D5">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Na área de aumento da arrecadação, foi</w:t>
      </w:r>
      <w:r w:rsidR="00C53E37" w:rsidRPr="001F27CE">
        <w:rPr>
          <w:rFonts w:ascii="Arial" w:hAnsi="Arial" w:cs="Arial"/>
          <w:bCs/>
          <w:lang w:val="pt-BR" w:eastAsia="es-ES"/>
        </w:rPr>
        <w:t xml:space="preserve"> escolhido para a análise C-B, uma estimativa de ganhos </w:t>
      </w:r>
      <w:r w:rsidR="00BB09DF" w:rsidRPr="001F27CE">
        <w:rPr>
          <w:rFonts w:ascii="Arial" w:hAnsi="Arial" w:cs="Arial"/>
          <w:bCs/>
          <w:lang w:val="pt-BR" w:eastAsia="es-ES"/>
        </w:rPr>
        <w:t xml:space="preserve">baseada na redução do Gap Tributário, </w:t>
      </w:r>
      <w:r w:rsidR="00C53E37" w:rsidRPr="001F27CE">
        <w:rPr>
          <w:rFonts w:ascii="Arial" w:hAnsi="Arial" w:cs="Arial"/>
          <w:bCs/>
          <w:lang w:val="pt-BR" w:eastAsia="es-ES"/>
        </w:rPr>
        <w:t xml:space="preserve">resultante da </w:t>
      </w:r>
      <w:proofErr w:type="gramStart"/>
      <w:r w:rsidR="00C53E37" w:rsidRPr="001F27CE">
        <w:rPr>
          <w:rFonts w:ascii="Arial" w:hAnsi="Arial" w:cs="Arial"/>
          <w:bCs/>
          <w:lang w:val="pt-BR" w:eastAsia="es-ES"/>
        </w:rPr>
        <w:t>implementação</w:t>
      </w:r>
      <w:proofErr w:type="gramEnd"/>
      <w:r w:rsidR="00C53E37" w:rsidRPr="001F27CE">
        <w:rPr>
          <w:rFonts w:ascii="Arial" w:hAnsi="Arial" w:cs="Arial"/>
          <w:bCs/>
          <w:lang w:val="pt-BR" w:eastAsia="es-ES"/>
        </w:rPr>
        <w:t xml:space="preserve"> d</w:t>
      </w:r>
      <w:r w:rsidR="00BB09DF" w:rsidRPr="001F27CE">
        <w:rPr>
          <w:rFonts w:ascii="Arial" w:hAnsi="Arial" w:cs="Arial"/>
          <w:bCs/>
          <w:lang w:val="pt-BR" w:eastAsia="es-ES"/>
        </w:rPr>
        <w:t xml:space="preserve">e </w:t>
      </w:r>
      <w:r w:rsidRPr="001F27CE">
        <w:rPr>
          <w:rFonts w:ascii="Arial" w:hAnsi="Arial" w:cs="Arial"/>
          <w:bCs/>
          <w:lang w:val="pt-BR" w:eastAsia="es-ES"/>
        </w:rPr>
        <w:t>produto</w:t>
      </w:r>
      <w:r w:rsidR="00C53E37" w:rsidRPr="001F27CE">
        <w:rPr>
          <w:rFonts w:ascii="Arial" w:hAnsi="Arial" w:cs="Arial"/>
          <w:bCs/>
          <w:lang w:val="pt-BR" w:eastAsia="es-ES"/>
        </w:rPr>
        <w:t>s</w:t>
      </w:r>
      <w:r w:rsidRPr="001F27CE">
        <w:rPr>
          <w:rFonts w:ascii="Arial" w:hAnsi="Arial" w:cs="Arial"/>
          <w:b/>
          <w:bCs/>
          <w:lang w:val="pt-BR" w:eastAsia="es-ES"/>
        </w:rPr>
        <w:t xml:space="preserve"> </w:t>
      </w:r>
      <w:r w:rsidRPr="001F27CE">
        <w:rPr>
          <w:rFonts w:ascii="Arial" w:hAnsi="Arial" w:cs="Arial"/>
          <w:bCs/>
          <w:lang w:val="pt-BR" w:eastAsia="es-ES"/>
        </w:rPr>
        <w:t xml:space="preserve">que </w:t>
      </w:r>
      <w:r w:rsidR="003458D4" w:rsidRPr="001F27CE">
        <w:rPr>
          <w:rFonts w:ascii="Arial" w:hAnsi="Arial" w:cs="Arial"/>
          <w:bCs/>
          <w:lang w:val="pt-BR" w:eastAsia="es-ES"/>
        </w:rPr>
        <w:t>ir</w:t>
      </w:r>
      <w:r w:rsidR="0055289E" w:rsidRPr="001F27CE">
        <w:rPr>
          <w:rFonts w:ascii="Arial" w:hAnsi="Arial" w:cs="Arial"/>
          <w:bCs/>
          <w:lang w:val="pt-BR" w:eastAsia="es-ES"/>
        </w:rPr>
        <w:t>ão</w:t>
      </w:r>
      <w:r w:rsidR="003458D4" w:rsidRPr="001F27CE">
        <w:rPr>
          <w:rFonts w:ascii="Arial" w:hAnsi="Arial" w:cs="Arial"/>
          <w:bCs/>
          <w:lang w:val="pt-BR" w:eastAsia="es-ES"/>
        </w:rPr>
        <w:t xml:space="preserve"> fortemente reduzir a evasão fiscal, aumentar a recuperação de créditos tributários através de uma cobrança mais estruturada e eficiente e aumentar os índices de recuperação da dívida ativa.  </w:t>
      </w:r>
    </w:p>
    <w:p w14:paraId="294D54F9" w14:textId="77777777" w:rsidR="00D3586D" w:rsidRPr="001F27CE" w:rsidRDefault="006E12C3" w:rsidP="00D3586D">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Existem duas formas que podem ser usadas para estim</w:t>
      </w:r>
      <w:r w:rsidR="00BB09DF" w:rsidRPr="001F27CE">
        <w:rPr>
          <w:rFonts w:ascii="Arial" w:hAnsi="Arial" w:cs="Arial"/>
          <w:bCs/>
          <w:lang w:val="pt-BR" w:eastAsia="es-ES"/>
        </w:rPr>
        <w:t>ar o Gap T</w:t>
      </w:r>
      <w:r w:rsidRPr="001F27CE">
        <w:rPr>
          <w:rFonts w:ascii="Arial" w:hAnsi="Arial" w:cs="Arial"/>
          <w:bCs/>
          <w:lang w:val="pt-BR" w:eastAsia="es-ES"/>
        </w:rPr>
        <w:t>ributário para o I</w:t>
      </w:r>
      <w:r w:rsidR="005B514C" w:rsidRPr="001F27CE">
        <w:rPr>
          <w:rFonts w:ascii="Arial" w:hAnsi="Arial" w:cs="Arial"/>
          <w:bCs/>
          <w:lang w:val="pt-BR" w:eastAsia="es-ES"/>
        </w:rPr>
        <w:t xml:space="preserve">mposto </w:t>
      </w:r>
      <w:r w:rsidR="005B514C" w:rsidRPr="001F27CE">
        <w:rPr>
          <w:rFonts w:ascii="Arial" w:hAnsi="Arial" w:cs="Arial"/>
          <w:color w:val="000000"/>
          <w:lang w:val="pt-BR"/>
        </w:rPr>
        <w:t xml:space="preserve">sobre operações relativas à circulação de mercadorias e sobre prestações de serviços de transporte interestadual, </w:t>
      </w:r>
      <w:r w:rsidR="005B514C" w:rsidRPr="001F27CE">
        <w:rPr>
          <w:rFonts w:ascii="Arial" w:hAnsi="Arial" w:cs="Arial"/>
          <w:color w:val="000000"/>
          <w:lang w:val="pt-BR"/>
        </w:rPr>
        <w:lastRenderedPageBreak/>
        <w:t>intermunicipal e de comunicação</w:t>
      </w:r>
      <w:r w:rsidR="00FC1DCB" w:rsidRPr="001F27CE">
        <w:rPr>
          <w:rFonts w:ascii="Arial" w:hAnsi="Arial" w:cs="Arial"/>
          <w:color w:val="000000"/>
          <w:lang w:val="pt-BR"/>
        </w:rPr>
        <w:t xml:space="preserve"> (IC</w:t>
      </w:r>
      <w:r w:rsidRPr="001F27CE">
        <w:rPr>
          <w:rFonts w:ascii="Arial" w:hAnsi="Arial" w:cs="Arial"/>
          <w:bCs/>
          <w:lang w:val="pt-BR" w:eastAsia="es-ES"/>
        </w:rPr>
        <w:t>MS</w:t>
      </w:r>
      <w:r w:rsidR="00FC1DCB" w:rsidRPr="001F27CE">
        <w:rPr>
          <w:rFonts w:ascii="Arial" w:hAnsi="Arial" w:cs="Arial"/>
          <w:bCs/>
          <w:lang w:val="pt-BR" w:eastAsia="es-ES"/>
        </w:rPr>
        <w:t>)</w:t>
      </w:r>
      <w:r w:rsidR="00C526C7" w:rsidRPr="001F27CE">
        <w:rPr>
          <w:rFonts w:ascii="Arial" w:hAnsi="Arial" w:cs="Arial"/>
          <w:bCs/>
          <w:lang w:val="pt-BR" w:eastAsia="es-ES"/>
        </w:rPr>
        <w:t xml:space="preserve">: (i) </w:t>
      </w:r>
      <w:r w:rsidR="00543F15" w:rsidRPr="001F27CE">
        <w:rPr>
          <w:rFonts w:ascii="Arial" w:hAnsi="Arial" w:cs="Arial"/>
          <w:bCs/>
          <w:lang w:val="pt-BR" w:eastAsia="es-ES"/>
        </w:rPr>
        <w:t>usando dados do P</w:t>
      </w:r>
      <w:r w:rsidR="00FC1DCB" w:rsidRPr="001F27CE">
        <w:rPr>
          <w:rFonts w:ascii="Arial" w:hAnsi="Arial" w:cs="Arial"/>
          <w:bCs/>
          <w:lang w:val="pt-BR" w:eastAsia="es-ES"/>
        </w:rPr>
        <w:t>roduto Interno Bruto (P</w:t>
      </w:r>
      <w:r w:rsidR="00543F15" w:rsidRPr="001F27CE">
        <w:rPr>
          <w:rFonts w:ascii="Arial" w:hAnsi="Arial" w:cs="Arial"/>
          <w:bCs/>
          <w:lang w:val="pt-BR" w:eastAsia="es-ES"/>
        </w:rPr>
        <w:t>IB</w:t>
      </w:r>
      <w:r w:rsidR="00FC1DCB" w:rsidRPr="001F27CE">
        <w:rPr>
          <w:rFonts w:ascii="Arial" w:hAnsi="Arial" w:cs="Arial"/>
          <w:bCs/>
          <w:lang w:val="pt-BR" w:eastAsia="es-ES"/>
        </w:rPr>
        <w:t>)</w:t>
      </w:r>
      <w:r w:rsidR="00636D3F">
        <w:rPr>
          <w:rFonts w:ascii="Arial" w:hAnsi="Arial" w:cs="Arial"/>
          <w:bCs/>
          <w:lang w:val="pt-BR" w:eastAsia="es-ES"/>
        </w:rPr>
        <w:t xml:space="preserve"> estadual; </w:t>
      </w:r>
      <w:r w:rsidR="00543F15" w:rsidRPr="001F27CE">
        <w:rPr>
          <w:rFonts w:ascii="Arial" w:hAnsi="Arial" w:cs="Arial"/>
          <w:bCs/>
          <w:lang w:val="pt-BR" w:eastAsia="es-ES"/>
        </w:rPr>
        <w:t>e (</w:t>
      </w:r>
      <w:proofErr w:type="spellStart"/>
      <w:r w:rsidR="00543F15" w:rsidRPr="001F27CE">
        <w:rPr>
          <w:rFonts w:ascii="Arial" w:hAnsi="Arial" w:cs="Arial"/>
          <w:bCs/>
          <w:lang w:val="pt-BR" w:eastAsia="es-ES"/>
        </w:rPr>
        <w:t>ii</w:t>
      </w:r>
      <w:proofErr w:type="spellEnd"/>
      <w:r w:rsidR="00543F15" w:rsidRPr="001F27CE">
        <w:rPr>
          <w:rFonts w:ascii="Arial" w:hAnsi="Arial" w:cs="Arial"/>
          <w:bCs/>
          <w:lang w:val="pt-BR" w:eastAsia="es-ES"/>
        </w:rPr>
        <w:t xml:space="preserve">) </w:t>
      </w:r>
      <w:r w:rsidR="00C526C7" w:rsidRPr="001F27CE">
        <w:rPr>
          <w:rFonts w:ascii="Arial" w:hAnsi="Arial" w:cs="Arial"/>
          <w:bCs/>
          <w:lang w:val="pt-BR" w:eastAsia="es-ES"/>
        </w:rPr>
        <w:t>usando dados de</w:t>
      </w:r>
      <w:r w:rsidRPr="001F27CE">
        <w:rPr>
          <w:rFonts w:ascii="Arial" w:hAnsi="Arial" w:cs="Arial"/>
          <w:bCs/>
          <w:lang w:val="pt-BR" w:eastAsia="es-ES"/>
        </w:rPr>
        <w:t xml:space="preserve"> fiscalizações tributárias</w:t>
      </w:r>
      <w:r w:rsidR="00C526C7" w:rsidRPr="001F27CE">
        <w:rPr>
          <w:rFonts w:ascii="Arial" w:hAnsi="Arial" w:cs="Arial"/>
          <w:bCs/>
          <w:lang w:val="pt-BR" w:eastAsia="es-ES"/>
        </w:rPr>
        <w:t xml:space="preserve">. </w:t>
      </w:r>
    </w:p>
    <w:p w14:paraId="294D54FA" w14:textId="77777777" w:rsidR="006E12C3" w:rsidRPr="001F27CE" w:rsidRDefault="00543F15" w:rsidP="004F42D5">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Com relação à</w:t>
      </w:r>
      <w:r w:rsidR="00B854DC" w:rsidRPr="001F27CE">
        <w:rPr>
          <w:rFonts w:ascii="Arial" w:hAnsi="Arial" w:cs="Arial"/>
          <w:bCs/>
          <w:lang w:val="pt-BR" w:eastAsia="es-ES"/>
        </w:rPr>
        <w:t xml:space="preserve"> </w:t>
      </w:r>
      <w:r w:rsidRPr="001F27CE">
        <w:rPr>
          <w:rFonts w:ascii="Arial" w:hAnsi="Arial" w:cs="Arial"/>
          <w:bCs/>
          <w:lang w:val="pt-BR" w:eastAsia="es-ES"/>
        </w:rPr>
        <w:t xml:space="preserve">metodologia </w:t>
      </w:r>
      <w:r w:rsidR="00B854DC" w:rsidRPr="001F27CE">
        <w:rPr>
          <w:rFonts w:ascii="Arial" w:hAnsi="Arial" w:cs="Arial"/>
          <w:bCs/>
          <w:lang w:val="pt-BR" w:eastAsia="es-ES"/>
        </w:rPr>
        <w:t>d</w:t>
      </w:r>
      <w:r w:rsidR="006E12C3" w:rsidRPr="001F27CE">
        <w:rPr>
          <w:rFonts w:ascii="Arial" w:hAnsi="Arial" w:cs="Arial"/>
          <w:bCs/>
          <w:lang w:val="pt-BR" w:eastAsia="es-ES"/>
        </w:rPr>
        <w:t xml:space="preserve">o Gap Tributário </w:t>
      </w:r>
      <w:r w:rsidRPr="001F27CE">
        <w:rPr>
          <w:rFonts w:ascii="Arial" w:hAnsi="Arial" w:cs="Arial"/>
          <w:bCs/>
          <w:lang w:val="pt-BR" w:eastAsia="es-ES"/>
        </w:rPr>
        <w:t xml:space="preserve">a partir </w:t>
      </w:r>
      <w:r w:rsidR="006E12C3" w:rsidRPr="001F27CE">
        <w:rPr>
          <w:rFonts w:ascii="Arial" w:hAnsi="Arial" w:cs="Arial"/>
          <w:bCs/>
          <w:lang w:val="pt-BR" w:eastAsia="es-ES"/>
        </w:rPr>
        <w:t>dos dados do PIB</w:t>
      </w:r>
      <w:r w:rsidRPr="001F27CE">
        <w:rPr>
          <w:rFonts w:ascii="Arial" w:hAnsi="Arial" w:cs="Arial"/>
          <w:bCs/>
          <w:lang w:val="pt-BR" w:eastAsia="es-ES"/>
        </w:rPr>
        <w:t>, a</w:t>
      </w:r>
      <w:r w:rsidR="006E12C3" w:rsidRPr="001F27CE">
        <w:rPr>
          <w:rFonts w:ascii="Arial" w:hAnsi="Arial" w:cs="Arial"/>
          <w:bCs/>
          <w:lang w:val="pt-BR" w:eastAsia="es-ES"/>
        </w:rPr>
        <w:t xml:space="preserve"> Base Tributária Potencial é </w:t>
      </w:r>
      <w:r w:rsidRPr="001F27CE">
        <w:rPr>
          <w:rFonts w:ascii="Arial" w:hAnsi="Arial" w:cs="Arial"/>
          <w:bCs/>
          <w:lang w:val="pt-BR" w:eastAsia="es-ES"/>
        </w:rPr>
        <w:t xml:space="preserve">estimada como </w:t>
      </w:r>
      <w:r w:rsidR="006E12C3" w:rsidRPr="001F27CE">
        <w:rPr>
          <w:rFonts w:ascii="Arial" w:hAnsi="Arial" w:cs="Arial"/>
          <w:bCs/>
          <w:lang w:val="pt-BR" w:eastAsia="es-ES"/>
        </w:rPr>
        <w:t xml:space="preserve">a soma do PIB </w:t>
      </w:r>
      <w:r w:rsidR="00FC1DCB" w:rsidRPr="001F27CE">
        <w:rPr>
          <w:rFonts w:ascii="Arial" w:hAnsi="Arial" w:cs="Arial"/>
          <w:bCs/>
          <w:lang w:val="pt-BR" w:eastAsia="es-ES"/>
        </w:rPr>
        <w:t xml:space="preserve">tributável </w:t>
      </w:r>
      <w:r w:rsidR="006E12C3" w:rsidRPr="001F27CE">
        <w:rPr>
          <w:rFonts w:ascii="Arial" w:hAnsi="Arial" w:cs="Arial"/>
          <w:bCs/>
          <w:lang w:val="pt-BR" w:eastAsia="es-ES"/>
        </w:rPr>
        <w:t>do estado, das importações de outras unidades da federação</w:t>
      </w:r>
      <w:r w:rsidR="00D469F5" w:rsidRPr="001F27CE">
        <w:rPr>
          <w:rFonts w:ascii="Arial" w:hAnsi="Arial" w:cs="Arial"/>
          <w:bCs/>
          <w:lang w:val="pt-BR" w:eastAsia="es-ES"/>
        </w:rPr>
        <w:t xml:space="preserve"> e</w:t>
      </w:r>
      <w:r w:rsidR="006E12C3" w:rsidRPr="001F27CE">
        <w:rPr>
          <w:rFonts w:ascii="Arial" w:hAnsi="Arial" w:cs="Arial"/>
          <w:bCs/>
          <w:lang w:val="pt-BR" w:eastAsia="es-ES"/>
        </w:rPr>
        <w:t xml:space="preserve"> </w:t>
      </w:r>
      <w:r w:rsidR="0055289E" w:rsidRPr="001F27CE">
        <w:rPr>
          <w:rFonts w:ascii="Arial" w:hAnsi="Arial" w:cs="Arial"/>
          <w:bCs/>
          <w:lang w:val="pt-BR" w:eastAsia="es-ES"/>
        </w:rPr>
        <w:t>de outros países</w:t>
      </w:r>
      <w:r w:rsidR="006E12C3" w:rsidRPr="001F27CE">
        <w:rPr>
          <w:rFonts w:ascii="Arial" w:hAnsi="Arial" w:cs="Arial"/>
          <w:bCs/>
          <w:lang w:val="pt-BR" w:eastAsia="es-ES"/>
        </w:rPr>
        <w:t xml:space="preserve">, </w:t>
      </w:r>
      <w:r w:rsidR="0055289E" w:rsidRPr="001F27CE">
        <w:rPr>
          <w:rFonts w:ascii="Arial" w:hAnsi="Arial" w:cs="Arial"/>
          <w:bCs/>
          <w:lang w:val="pt-BR" w:eastAsia="es-ES"/>
        </w:rPr>
        <w:t>subtraída d</w:t>
      </w:r>
      <w:r w:rsidR="006E12C3" w:rsidRPr="001F27CE">
        <w:rPr>
          <w:rFonts w:ascii="Arial" w:hAnsi="Arial" w:cs="Arial"/>
          <w:bCs/>
          <w:lang w:val="pt-BR" w:eastAsia="es-ES"/>
        </w:rPr>
        <w:t xml:space="preserve">as exportações para o exterior. Aplicando uma alíquota ponderada por setores, chega-se ao ICMS Potencial Bruto. </w:t>
      </w:r>
      <w:r w:rsidRPr="001F27CE">
        <w:rPr>
          <w:rFonts w:ascii="Arial" w:hAnsi="Arial" w:cs="Arial"/>
          <w:bCs/>
          <w:lang w:val="pt-BR" w:eastAsia="es-ES"/>
        </w:rPr>
        <w:t xml:space="preserve">Deduzindo deste valor </w:t>
      </w:r>
      <w:r w:rsidR="006E12C3" w:rsidRPr="001F27CE">
        <w:rPr>
          <w:rFonts w:ascii="Arial" w:hAnsi="Arial" w:cs="Arial"/>
          <w:bCs/>
          <w:lang w:val="pt-BR" w:eastAsia="es-ES"/>
        </w:rPr>
        <w:t xml:space="preserve">os créditos pelas entradas, crédito acumulado apropriado, diferença de alíquotas nas saídas interestaduais e a renúncia fiscal </w:t>
      </w:r>
      <w:r w:rsidRPr="001F27CE">
        <w:rPr>
          <w:rFonts w:ascii="Arial" w:hAnsi="Arial" w:cs="Arial"/>
          <w:bCs/>
          <w:lang w:val="pt-BR" w:eastAsia="es-ES"/>
        </w:rPr>
        <w:t>chega-se</w:t>
      </w:r>
      <w:r w:rsidR="006E12C3" w:rsidRPr="001F27CE">
        <w:rPr>
          <w:rFonts w:ascii="Arial" w:hAnsi="Arial" w:cs="Arial"/>
          <w:bCs/>
          <w:lang w:val="pt-BR" w:eastAsia="es-ES"/>
        </w:rPr>
        <w:t xml:space="preserve"> ao ICMS Potencial Líquido. O Gap Tributário é a diferença entre o ICMS Potencial Líquido e o ICMS arr</w:t>
      </w:r>
      <w:r w:rsidR="0051420D" w:rsidRPr="001F27CE">
        <w:rPr>
          <w:rFonts w:ascii="Arial" w:hAnsi="Arial" w:cs="Arial"/>
          <w:bCs/>
          <w:lang w:val="pt-BR" w:eastAsia="es-ES"/>
        </w:rPr>
        <w:t>ecadado. O Gap Tributário inclui</w:t>
      </w:r>
      <w:r w:rsidR="006E12C3" w:rsidRPr="001F27CE">
        <w:rPr>
          <w:rFonts w:ascii="Arial" w:hAnsi="Arial" w:cs="Arial"/>
          <w:bCs/>
          <w:lang w:val="pt-BR" w:eastAsia="es-ES"/>
        </w:rPr>
        <w:t xml:space="preserve"> além da sonegação, a inadimplência, o litígio administrativo e judicial, a elisão fiscal e as omissões de cálculo.</w:t>
      </w:r>
    </w:p>
    <w:p w14:paraId="294D54FB" w14:textId="77777777" w:rsidR="006E12C3" w:rsidRPr="001F27CE" w:rsidRDefault="00564761" w:rsidP="004F42D5">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A SEFA-Pará</w:t>
      </w:r>
      <w:r w:rsidR="0031606F" w:rsidRPr="001F27CE">
        <w:rPr>
          <w:rFonts w:ascii="Arial" w:hAnsi="Arial" w:cs="Arial"/>
          <w:bCs/>
          <w:lang w:val="pt-BR" w:eastAsia="es-ES"/>
        </w:rPr>
        <w:t xml:space="preserve">, </w:t>
      </w:r>
      <w:r w:rsidR="006E12C3" w:rsidRPr="001F27CE">
        <w:rPr>
          <w:rFonts w:ascii="Arial" w:hAnsi="Arial" w:cs="Arial"/>
          <w:bCs/>
          <w:lang w:val="pt-BR" w:eastAsia="es-ES"/>
        </w:rPr>
        <w:t>usando esta metodologia</w:t>
      </w:r>
      <w:r w:rsidR="0031606F" w:rsidRPr="001F27CE">
        <w:rPr>
          <w:rFonts w:ascii="Arial" w:hAnsi="Arial" w:cs="Arial"/>
          <w:bCs/>
          <w:lang w:val="pt-BR" w:eastAsia="es-ES"/>
        </w:rPr>
        <w:t>, estimou</w:t>
      </w:r>
      <w:r w:rsidR="006E12C3" w:rsidRPr="001F27CE">
        <w:rPr>
          <w:rFonts w:ascii="Arial" w:hAnsi="Arial" w:cs="Arial"/>
          <w:bCs/>
          <w:lang w:val="pt-BR" w:eastAsia="es-ES"/>
        </w:rPr>
        <w:t xml:space="preserve"> um Gap Tributário de </w:t>
      </w:r>
      <w:r w:rsidR="007D220D" w:rsidRPr="001F27CE">
        <w:rPr>
          <w:rFonts w:ascii="Arial" w:hAnsi="Arial" w:cs="Arial"/>
          <w:bCs/>
          <w:lang w:val="pt-BR" w:eastAsia="es-ES"/>
        </w:rPr>
        <w:t>27,8</w:t>
      </w:r>
      <w:r w:rsidR="006E12C3" w:rsidRPr="001F27CE">
        <w:rPr>
          <w:rFonts w:ascii="Arial" w:hAnsi="Arial" w:cs="Arial"/>
          <w:bCs/>
          <w:lang w:val="pt-BR" w:eastAsia="es-ES"/>
        </w:rPr>
        <w:t>% par</w:t>
      </w:r>
      <w:r w:rsidRPr="001F27CE">
        <w:rPr>
          <w:rFonts w:ascii="Arial" w:hAnsi="Arial" w:cs="Arial"/>
          <w:bCs/>
          <w:lang w:val="pt-BR" w:eastAsia="es-ES"/>
        </w:rPr>
        <w:t>a a arrecadação de ICMS no Pará</w:t>
      </w:r>
      <w:r w:rsidR="007D220D" w:rsidRPr="001F27CE">
        <w:rPr>
          <w:rFonts w:ascii="Arial" w:hAnsi="Arial" w:cs="Arial"/>
          <w:bCs/>
          <w:lang w:val="pt-BR" w:eastAsia="es-ES"/>
        </w:rPr>
        <w:t xml:space="preserve"> em 2014</w:t>
      </w:r>
      <w:r w:rsidR="008E51AE" w:rsidRPr="001F27CE">
        <w:rPr>
          <w:rFonts w:ascii="Arial" w:hAnsi="Arial" w:cs="Arial"/>
          <w:bCs/>
          <w:lang w:val="pt-BR" w:eastAsia="es-ES"/>
        </w:rPr>
        <w:t>, último ano com dados disponíveis do PIB estadual pelo IBGE</w:t>
      </w:r>
      <w:r w:rsidR="006E12C3" w:rsidRPr="001F27CE">
        <w:rPr>
          <w:rFonts w:ascii="Arial" w:hAnsi="Arial" w:cs="Arial"/>
          <w:bCs/>
          <w:lang w:val="pt-BR" w:eastAsia="es-ES"/>
        </w:rPr>
        <w:t xml:space="preserve">. </w:t>
      </w:r>
    </w:p>
    <w:p w14:paraId="294D54FC" w14:textId="77777777" w:rsidR="008E51AE" w:rsidRPr="001F27CE" w:rsidRDefault="00B549A8" w:rsidP="008E51AE">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Com relação à metodologia usando dados de fiscalização, Amaral </w:t>
      </w:r>
      <w:proofErr w:type="gramStart"/>
      <w:r w:rsidRPr="001F27CE">
        <w:rPr>
          <w:rFonts w:ascii="Arial" w:hAnsi="Arial" w:cs="Arial"/>
          <w:bCs/>
          <w:lang w:val="pt-BR" w:eastAsia="es-ES"/>
        </w:rPr>
        <w:t>et</w:t>
      </w:r>
      <w:proofErr w:type="gramEnd"/>
      <w:r w:rsidRPr="001F27CE">
        <w:rPr>
          <w:rFonts w:ascii="Arial" w:hAnsi="Arial" w:cs="Arial"/>
          <w:bCs/>
          <w:lang w:val="pt-BR" w:eastAsia="es-ES"/>
        </w:rPr>
        <w:t xml:space="preserve"> al. (2009)</w:t>
      </w:r>
      <w:r w:rsidRPr="001F27CE">
        <w:rPr>
          <w:rFonts w:ascii="Arial" w:hAnsi="Arial" w:cs="Arial"/>
          <w:bCs/>
          <w:vertAlign w:val="superscript"/>
          <w:lang w:val="pt-BR" w:eastAsia="es-ES"/>
        </w:rPr>
        <w:footnoteReference w:id="1"/>
      </w:r>
      <w:r w:rsidRPr="001F27CE">
        <w:rPr>
          <w:rFonts w:ascii="Arial" w:hAnsi="Arial" w:cs="Arial"/>
          <w:bCs/>
          <w:lang w:val="pt-BR" w:eastAsia="es-ES"/>
        </w:rPr>
        <w:t xml:space="preserve">, analisando 9.925 autos de infração lavrados contra empresas de todos os portes, estimou um nível de sonegação do ICMS de 27,6%, o mesmo valor de uma média linear </w:t>
      </w:r>
      <w:r w:rsidR="00636D3F">
        <w:rPr>
          <w:rFonts w:ascii="Arial" w:hAnsi="Arial" w:cs="Arial"/>
          <w:bCs/>
          <w:lang w:val="pt-BR" w:eastAsia="es-ES"/>
        </w:rPr>
        <w:t>de estimativas para o IVA em 14 </w:t>
      </w:r>
      <w:r w:rsidRPr="001F27CE">
        <w:rPr>
          <w:rFonts w:ascii="Arial" w:hAnsi="Arial" w:cs="Arial"/>
          <w:bCs/>
          <w:lang w:val="pt-BR" w:eastAsia="es-ES"/>
        </w:rPr>
        <w:t>países da América Latina citado no estudo.</w:t>
      </w:r>
    </w:p>
    <w:p w14:paraId="294D54FD" w14:textId="77777777" w:rsidR="006E12C3" w:rsidRPr="001F27CE" w:rsidRDefault="007D220D" w:rsidP="008E51AE">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Analisando os dados das fiscalizações tri</w:t>
      </w:r>
      <w:r w:rsidR="00636D3F">
        <w:rPr>
          <w:rFonts w:ascii="Arial" w:hAnsi="Arial" w:cs="Arial"/>
          <w:bCs/>
          <w:lang w:val="pt-BR" w:eastAsia="es-ES"/>
        </w:rPr>
        <w:t>butárias para o Pará entre 2012</w:t>
      </w:r>
      <w:r w:rsidR="00636D3F">
        <w:rPr>
          <w:lang w:val="pt-BR"/>
        </w:rPr>
        <w:t> </w:t>
      </w:r>
      <w:r w:rsidRPr="001F27CE">
        <w:rPr>
          <w:rFonts w:ascii="Arial" w:hAnsi="Arial" w:cs="Arial"/>
          <w:bCs/>
          <w:lang w:val="pt-BR" w:eastAsia="es-ES"/>
        </w:rPr>
        <w:t xml:space="preserve">a 2016, o nível de sonegação encontrado foi de 27,35% entre as empresas que foram autuadas, virtualmente o mesmo nível encontrado para o Brasil como um todo (Amaral et. </w:t>
      </w:r>
      <w:proofErr w:type="gramStart"/>
      <w:r w:rsidRPr="001F27CE">
        <w:rPr>
          <w:rFonts w:ascii="Arial" w:hAnsi="Arial" w:cs="Arial"/>
          <w:bCs/>
          <w:lang w:val="pt-BR" w:eastAsia="es-ES"/>
        </w:rPr>
        <w:t>al</w:t>
      </w:r>
      <w:proofErr w:type="gramEnd"/>
      <w:r w:rsidRPr="001F27CE">
        <w:rPr>
          <w:rFonts w:ascii="Arial" w:hAnsi="Arial" w:cs="Arial"/>
          <w:bCs/>
          <w:lang w:val="pt-BR" w:eastAsia="es-ES"/>
        </w:rPr>
        <w:t xml:space="preserve"> 2009) e para a média dos países da América Latina citada no estudo. No entanto, este nível cai para 19,35% quando analisadas todas as empresas auditadas e não apenas as autuadas. Foram auditados 12.301 contribuintes neste período, dos quais 6.645 (54%) não foram autuadas por não encontrar evidência de sonegação e 5.656 (46%) foram autuadas.</w:t>
      </w:r>
    </w:p>
    <w:p w14:paraId="294D54FE" w14:textId="77777777" w:rsidR="006E12C3" w:rsidRPr="001F27CE" w:rsidRDefault="006E12C3"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Para esta análise C-B, elegeu-se a estimativa do Gap Tributário usando o método do PIB visto que o PROFISCO II atuará não apenas em ações de combate à evasão fiscal, mas também nas áreas de cobrança</w:t>
      </w:r>
      <w:r w:rsidR="00B207EA" w:rsidRPr="001F27CE">
        <w:rPr>
          <w:rFonts w:ascii="Arial" w:hAnsi="Arial" w:cs="Arial"/>
          <w:bCs/>
          <w:lang w:val="pt-BR" w:eastAsia="es-ES"/>
        </w:rPr>
        <w:t>,</w:t>
      </w:r>
      <w:r w:rsidRPr="001F27CE">
        <w:rPr>
          <w:rFonts w:ascii="Arial" w:hAnsi="Arial" w:cs="Arial"/>
          <w:bCs/>
          <w:lang w:val="pt-BR" w:eastAsia="es-ES"/>
        </w:rPr>
        <w:t xml:space="preserve"> que reduz a inadimplência, no </w:t>
      </w:r>
      <w:r w:rsidR="008E51AE" w:rsidRPr="001F27CE">
        <w:rPr>
          <w:rFonts w:ascii="Arial" w:hAnsi="Arial" w:cs="Arial"/>
          <w:bCs/>
          <w:lang w:val="pt-BR" w:eastAsia="es-ES"/>
        </w:rPr>
        <w:t>fortalecimento</w:t>
      </w:r>
      <w:r w:rsidRPr="001F27CE">
        <w:rPr>
          <w:rFonts w:ascii="Arial" w:hAnsi="Arial" w:cs="Arial"/>
          <w:bCs/>
          <w:lang w:val="pt-BR" w:eastAsia="es-ES"/>
        </w:rPr>
        <w:t xml:space="preserve"> das áreas de contencioso administrativo e tributário</w:t>
      </w:r>
      <w:r w:rsidR="00B207EA" w:rsidRPr="001F27CE">
        <w:rPr>
          <w:rFonts w:ascii="Arial" w:hAnsi="Arial" w:cs="Arial"/>
          <w:bCs/>
          <w:lang w:val="pt-BR" w:eastAsia="es-ES"/>
        </w:rPr>
        <w:t>,</w:t>
      </w:r>
      <w:r w:rsidRPr="001F27CE">
        <w:rPr>
          <w:rFonts w:ascii="Arial" w:hAnsi="Arial" w:cs="Arial"/>
          <w:bCs/>
          <w:lang w:val="pt-BR" w:eastAsia="es-ES"/>
        </w:rPr>
        <w:t xml:space="preserve"> que resulta em melhores taxas de recuperação do crédito tributário, assim como na recuperação da dívida ativa.</w:t>
      </w:r>
    </w:p>
    <w:p w14:paraId="294D54FF" w14:textId="77777777" w:rsidR="007D220D" w:rsidRPr="001F27CE" w:rsidRDefault="007D220D" w:rsidP="007D220D">
      <w:pPr>
        <w:pStyle w:val="PargrafodaLista"/>
        <w:keepNext/>
        <w:numPr>
          <w:ilvl w:val="1"/>
          <w:numId w:val="4"/>
        </w:numPr>
        <w:tabs>
          <w:tab w:val="clear" w:pos="1009"/>
          <w:tab w:val="num" w:pos="851"/>
        </w:tabs>
        <w:suppressAutoHyphens/>
        <w:spacing w:before="120" w:after="120"/>
        <w:ind w:left="851" w:hanging="567"/>
        <w:jc w:val="both"/>
        <w:outlineLvl w:val="2"/>
        <w:rPr>
          <w:rFonts w:ascii="Arial" w:hAnsi="Arial" w:cs="Arial"/>
          <w:bCs/>
          <w:lang w:val="pt-BR" w:eastAsia="es-ES"/>
        </w:rPr>
      </w:pPr>
      <w:r w:rsidRPr="001F27CE">
        <w:rPr>
          <w:rFonts w:ascii="Arial" w:hAnsi="Arial" w:cs="Arial"/>
          <w:bCs/>
          <w:lang w:val="pt-BR" w:eastAsia="es-ES"/>
        </w:rPr>
        <w:t xml:space="preserve">A arrecadação do ICMS para 2016 no Pará foi de R$ 9,8 bilhões. Assumindo o Gap Tributário de 27,8%, o estado teve uma perda estimada de R$ </w:t>
      </w:r>
      <w:r w:rsidR="00FC1DCB" w:rsidRPr="001F27CE">
        <w:rPr>
          <w:rFonts w:ascii="Arial" w:hAnsi="Arial" w:cs="Arial"/>
          <w:bCs/>
          <w:lang w:val="pt-BR" w:eastAsia="es-ES"/>
        </w:rPr>
        <w:t>3,8</w:t>
      </w:r>
      <w:r w:rsidRPr="001F27CE">
        <w:rPr>
          <w:rFonts w:ascii="Arial" w:hAnsi="Arial" w:cs="Arial"/>
          <w:bCs/>
          <w:lang w:val="pt-BR" w:eastAsia="es-ES"/>
        </w:rPr>
        <w:t xml:space="preserve"> bilhões de arrecadação. Por exemplo, se o Gap Tributário caísse para </w:t>
      </w:r>
      <w:r w:rsidR="00FC1DCB" w:rsidRPr="001F27CE">
        <w:rPr>
          <w:rFonts w:ascii="Arial" w:hAnsi="Arial" w:cs="Arial"/>
          <w:bCs/>
          <w:lang w:val="pt-BR" w:eastAsia="es-ES"/>
        </w:rPr>
        <w:t>26,8</w:t>
      </w:r>
      <w:r w:rsidRPr="001F27CE">
        <w:rPr>
          <w:rFonts w:ascii="Arial" w:hAnsi="Arial" w:cs="Arial"/>
          <w:bCs/>
          <w:lang w:val="pt-BR" w:eastAsia="es-ES"/>
        </w:rPr>
        <w:t>% (queda de 1%), o estado teria arrecadado R</w:t>
      </w:r>
      <w:r w:rsidR="005B514C" w:rsidRPr="001F27CE">
        <w:rPr>
          <w:rFonts w:ascii="Arial" w:hAnsi="Arial" w:cs="Arial"/>
          <w:bCs/>
          <w:lang w:val="pt-BR" w:eastAsia="es-ES"/>
        </w:rPr>
        <w:t xml:space="preserve">$ </w:t>
      </w:r>
      <w:r w:rsidRPr="001F27CE">
        <w:rPr>
          <w:rFonts w:ascii="Arial" w:hAnsi="Arial" w:cs="Arial"/>
          <w:bCs/>
          <w:lang w:val="pt-BR" w:eastAsia="es-ES"/>
        </w:rPr>
        <w:t xml:space="preserve">135,5 milhões adicionais de receita do ICMS. Como mencionado anteriormente, este valor adicional viria de várias fontes: redução da </w:t>
      </w:r>
      <w:r w:rsidRPr="001F27CE">
        <w:rPr>
          <w:rFonts w:ascii="Arial" w:hAnsi="Arial" w:cs="Arial"/>
          <w:bCs/>
          <w:lang w:val="pt-BR" w:eastAsia="es-ES"/>
        </w:rPr>
        <w:lastRenderedPageBreak/>
        <w:t>sonegação, menor inadimplência, recebimento do contencioso, melhor recuperação da dívida ativa, etc.</w:t>
      </w:r>
    </w:p>
    <w:p w14:paraId="294D5500" w14:textId="77777777" w:rsidR="00FE3E25" w:rsidRPr="001F27CE" w:rsidRDefault="00FE3E25" w:rsidP="000A1E09">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 Componente II (Administração </w:t>
      </w:r>
      <w:proofErr w:type="gramStart"/>
      <w:r w:rsidRPr="001F27CE">
        <w:rPr>
          <w:rFonts w:ascii="Arial" w:hAnsi="Arial" w:cs="Arial"/>
          <w:bCs/>
          <w:lang w:val="pt-BR" w:eastAsia="es-ES"/>
        </w:rPr>
        <w:t>tributária e contencioso fiscal</w:t>
      </w:r>
      <w:proofErr w:type="gramEnd"/>
      <w:r w:rsidRPr="001F27CE">
        <w:rPr>
          <w:rFonts w:ascii="Arial" w:hAnsi="Arial" w:cs="Arial"/>
          <w:bCs/>
          <w:lang w:val="pt-BR" w:eastAsia="es-ES"/>
        </w:rPr>
        <w:t>) do PROFISCO II financiará iniciativas que buscam aumentar a arrecadação própria do P</w:t>
      </w:r>
      <w:r w:rsidR="00564761" w:rsidRPr="001F27CE">
        <w:rPr>
          <w:rFonts w:ascii="Arial" w:hAnsi="Arial" w:cs="Arial"/>
          <w:bCs/>
          <w:lang w:val="pt-BR" w:eastAsia="es-ES"/>
        </w:rPr>
        <w:t>ará</w:t>
      </w:r>
      <w:r w:rsidR="008E51AE" w:rsidRPr="001F27CE">
        <w:rPr>
          <w:rFonts w:ascii="Arial" w:hAnsi="Arial" w:cs="Arial"/>
          <w:bCs/>
          <w:lang w:val="pt-BR" w:eastAsia="es-ES"/>
        </w:rPr>
        <w:t>, incluindo, entre outras:</w:t>
      </w:r>
      <w:r w:rsidRPr="001F27CE">
        <w:rPr>
          <w:rFonts w:ascii="Arial" w:hAnsi="Arial" w:cs="Arial"/>
          <w:bCs/>
          <w:lang w:val="pt-BR" w:eastAsia="es-ES"/>
        </w:rPr>
        <w:t xml:space="preserve"> </w:t>
      </w:r>
      <w:r w:rsidR="008E51AE" w:rsidRPr="001F27CE">
        <w:rPr>
          <w:rFonts w:ascii="Arial" w:hAnsi="Arial" w:cs="Arial"/>
          <w:bCs/>
          <w:lang w:val="pt-BR" w:eastAsia="es-ES"/>
        </w:rPr>
        <w:t>(i) Fortalecimento dos sistemas estratégicos da Administração Tributária; (</w:t>
      </w:r>
      <w:proofErr w:type="spellStart"/>
      <w:r w:rsidR="008E51AE" w:rsidRPr="001F27CE">
        <w:rPr>
          <w:rFonts w:ascii="Arial" w:hAnsi="Arial" w:cs="Arial"/>
          <w:bCs/>
          <w:lang w:val="pt-BR" w:eastAsia="es-ES"/>
        </w:rPr>
        <w:t>ii</w:t>
      </w:r>
      <w:proofErr w:type="spellEnd"/>
      <w:r w:rsidR="008E51AE" w:rsidRPr="001F27CE">
        <w:rPr>
          <w:rFonts w:ascii="Arial" w:hAnsi="Arial" w:cs="Arial"/>
          <w:bCs/>
          <w:lang w:val="pt-BR" w:eastAsia="es-ES"/>
        </w:rPr>
        <w:t>) Melhoramento dos cadastros e simplificação das obrigações tributárias; (</w:t>
      </w:r>
      <w:proofErr w:type="spellStart"/>
      <w:r w:rsidR="008E51AE" w:rsidRPr="001F27CE">
        <w:rPr>
          <w:rFonts w:ascii="Arial" w:hAnsi="Arial" w:cs="Arial"/>
          <w:bCs/>
          <w:lang w:val="pt-BR" w:eastAsia="es-ES"/>
        </w:rPr>
        <w:t>iii</w:t>
      </w:r>
      <w:proofErr w:type="spellEnd"/>
      <w:r w:rsidR="008E51AE" w:rsidRPr="001F27CE">
        <w:rPr>
          <w:rFonts w:ascii="Arial" w:hAnsi="Arial" w:cs="Arial"/>
          <w:bCs/>
          <w:lang w:val="pt-BR" w:eastAsia="es-ES"/>
        </w:rPr>
        <w:t>) Fortalecimento dos instrumentos de política tributária; (</w:t>
      </w:r>
      <w:proofErr w:type="spellStart"/>
      <w:r w:rsidR="008E51AE" w:rsidRPr="001F27CE">
        <w:rPr>
          <w:rFonts w:ascii="Arial" w:hAnsi="Arial" w:cs="Arial"/>
          <w:bCs/>
          <w:lang w:val="pt-BR" w:eastAsia="es-ES"/>
        </w:rPr>
        <w:t>iv</w:t>
      </w:r>
      <w:proofErr w:type="spellEnd"/>
      <w:r w:rsidR="008E51AE" w:rsidRPr="001F27CE">
        <w:rPr>
          <w:rFonts w:ascii="Arial" w:hAnsi="Arial" w:cs="Arial"/>
          <w:bCs/>
          <w:lang w:val="pt-BR" w:eastAsia="es-ES"/>
        </w:rPr>
        <w:t>) Implantação de procedimen</w:t>
      </w:r>
      <w:r w:rsidR="00636D3F">
        <w:rPr>
          <w:rFonts w:ascii="Arial" w:hAnsi="Arial" w:cs="Arial"/>
          <w:bCs/>
          <w:lang w:val="pt-BR" w:eastAsia="es-ES"/>
        </w:rPr>
        <w:t xml:space="preserve">tos de fiscalização preventiva; e </w:t>
      </w:r>
      <w:r w:rsidR="008E51AE" w:rsidRPr="001F27CE">
        <w:rPr>
          <w:rFonts w:ascii="Arial" w:hAnsi="Arial" w:cs="Arial"/>
          <w:bCs/>
          <w:lang w:val="pt-BR" w:eastAsia="es-ES"/>
        </w:rPr>
        <w:t>(v) Melhoramento e integração dos procedimentos do contencioso fiscal e (vi) Fortalecimento da gestão da cobrança</w:t>
      </w:r>
      <w:r w:rsidRPr="001F27CE">
        <w:rPr>
          <w:rFonts w:ascii="Arial" w:hAnsi="Arial" w:cs="Arial"/>
          <w:bCs/>
          <w:lang w:val="pt-BR" w:eastAsia="es-ES"/>
        </w:rPr>
        <w:t>.</w:t>
      </w:r>
    </w:p>
    <w:p w14:paraId="294D5501" w14:textId="166ECA5E" w:rsidR="00EB7462" w:rsidRDefault="006E12C3" w:rsidP="00EB7462">
      <w:pPr>
        <w:pStyle w:val="PargrafodaLista"/>
        <w:keepNext/>
        <w:numPr>
          <w:ilvl w:val="1"/>
          <w:numId w:val="4"/>
        </w:numPr>
        <w:suppressAutoHyphens/>
        <w:spacing w:before="100" w:beforeAutospacing="1"/>
        <w:ind w:left="851" w:hanging="567"/>
        <w:jc w:val="both"/>
        <w:outlineLvl w:val="3"/>
        <w:rPr>
          <w:rFonts w:ascii="Arial" w:hAnsi="Arial" w:cs="Arial"/>
          <w:bCs/>
          <w:lang w:val="pt-BR" w:eastAsia="es-ES"/>
        </w:rPr>
      </w:pPr>
      <w:r w:rsidRPr="001F27CE">
        <w:rPr>
          <w:rFonts w:ascii="Arial" w:hAnsi="Arial" w:cs="Arial"/>
          <w:bCs/>
          <w:lang w:val="pt-BR" w:eastAsia="es-ES"/>
        </w:rPr>
        <w:t xml:space="preserve">Todas as ações descritas acima irão impactar na redução do Gap Tributário Líquido. Para a análise C-B, assume-se uma hipótese extremamente conservadora que ao final do programa o Gap Líquido Tributário seja reduzido em </w:t>
      </w:r>
      <w:r w:rsidR="007D220D" w:rsidRPr="001F27CE">
        <w:rPr>
          <w:rFonts w:ascii="Arial" w:hAnsi="Arial" w:cs="Arial"/>
          <w:bCs/>
          <w:lang w:val="pt-BR" w:eastAsia="es-ES"/>
        </w:rPr>
        <w:t>0,6</w:t>
      </w:r>
      <w:r w:rsidRPr="001F27CE">
        <w:rPr>
          <w:rFonts w:ascii="Arial" w:hAnsi="Arial" w:cs="Arial"/>
          <w:bCs/>
          <w:lang w:val="pt-BR" w:eastAsia="es-ES"/>
        </w:rPr>
        <w:t xml:space="preserve">%, passando de </w:t>
      </w:r>
      <w:r w:rsidR="007D220D" w:rsidRPr="001F27CE">
        <w:rPr>
          <w:rFonts w:ascii="Arial" w:hAnsi="Arial" w:cs="Arial"/>
          <w:bCs/>
          <w:lang w:val="pt-BR" w:eastAsia="es-ES"/>
        </w:rPr>
        <w:t>27,8</w:t>
      </w:r>
      <w:r w:rsidRPr="001F27CE">
        <w:rPr>
          <w:rFonts w:ascii="Arial" w:hAnsi="Arial" w:cs="Arial"/>
          <w:bCs/>
          <w:lang w:val="pt-BR" w:eastAsia="es-ES"/>
        </w:rPr>
        <w:t xml:space="preserve">% para </w:t>
      </w:r>
      <w:r w:rsidR="007D220D" w:rsidRPr="001F27CE">
        <w:rPr>
          <w:rFonts w:ascii="Arial" w:hAnsi="Arial" w:cs="Arial"/>
          <w:bCs/>
          <w:lang w:val="pt-BR" w:eastAsia="es-ES"/>
        </w:rPr>
        <w:t>27,2</w:t>
      </w:r>
      <w:r w:rsidRPr="001F27CE">
        <w:rPr>
          <w:rFonts w:ascii="Arial" w:hAnsi="Arial" w:cs="Arial"/>
          <w:bCs/>
          <w:lang w:val="pt-BR" w:eastAsia="es-ES"/>
        </w:rPr>
        <w:t xml:space="preserve">%. </w:t>
      </w:r>
      <w:r w:rsidR="00FE3E25" w:rsidRPr="001F27CE">
        <w:rPr>
          <w:rFonts w:ascii="Arial" w:hAnsi="Arial" w:cs="Arial"/>
          <w:bCs/>
          <w:lang w:val="pt-BR" w:eastAsia="es-ES"/>
        </w:rPr>
        <w:t xml:space="preserve">Como as ações </w:t>
      </w:r>
      <w:r w:rsidR="00DF69D9" w:rsidRPr="001F27CE">
        <w:rPr>
          <w:rFonts w:ascii="Arial" w:hAnsi="Arial" w:cs="Arial"/>
          <w:bCs/>
          <w:lang w:val="pt-BR" w:eastAsia="es-ES"/>
        </w:rPr>
        <w:t xml:space="preserve">que reduzirão o Gap Tributário </w:t>
      </w:r>
      <w:r w:rsidR="00FE3E25" w:rsidRPr="001F27CE">
        <w:rPr>
          <w:rFonts w:ascii="Arial" w:hAnsi="Arial" w:cs="Arial"/>
          <w:bCs/>
          <w:lang w:val="pt-BR" w:eastAsia="es-ES"/>
        </w:rPr>
        <w:t xml:space="preserve">estão distribuídas no tempo da execução do programa, os ganhos de arrecadação iniciam menores e aumentam de acordo com os percentuais de redução do Gap, alcançando o máximo valor a partir do ano </w:t>
      </w:r>
      <w:proofErr w:type="gramStart"/>
      <w:r w:rsidR="00FE3E25" w:rsidRPr="001F27CE">
        <w:rPr>
          <w:rFonts w:ascii="Arial" w:hAnsi="Arial" w:cs="Arial"/>
          <w:bCs/>
          <w:lang w:val="pt-BR" w:eastAsia="es-ES"/>
        </w:rPr>
        <w:t>5</w:t>
      </w:r>
      <w:proofErr w:type="gramEnd"/>
      <w:r w:rsidR="00FE3E25" w:rsidRPr="001F27CE">
        <w:rPr>
          <w:rFonts w:ascii="Arial" w:hAnsi="Arial" w:cs="Arial"/>
          <w:bCs/>
          <w:lang w:val="pt-BR" w:eastAsia="es-ES"/>
        </w:rPr>
        <w:t xml:space="preserve"> da execução</w:t>
      </w:r>
      <w:r w:rsidRPr="001F27CE">
        <w:rPr>
          <w:rFonts w:ascii="Arial" w:hAnsi="Arial" w:cs="Arial"/>
          <w:bCs/>
          <w:lang w:val="pt-BR" w:eastAsia="es-ES"/>
        </w:rPr>
        <w:t>.</w:t>
      </w:r>
      <w:r w:rsidR="00A707E9">
        <w:rPr>
          <w:rFonts w:ascii="Arial" w:hAnsi="Arial" w:cs="Arial"/>
          <w:bCs/>
          <w:lang w:val="pt-BR" w:eastAsia="es-ES"/>
        </w:rPr>
        <w:t xml:space="preserve"> </w:t>
      </w:r>
      <w:r w:rsidR="00A707E9" w:rsidRPr="00A707E9">
        <w:rPr>
          <w:rFonts w:ascii="Arial" w:hAnsi="Arial" w:cs="Arial"/>
          <w:bCs/>
          <w:color w:val="FF0000"/>
          <w:lang w:val="pt-BR" w:eastAsia="es-ES"/>
        </w:rPr>
        <w:t>A Tabela 1 abaixo mostra a evolução da redução do Gap Tributário no tempo e no início e ao fim do projeto.</w:t>
      </w:r>
    </w:p>
    <w:p w14:paraId="3281491C" w14:textId="77777777" w:rsidR="00A707E9" w:rsidRDefault="00A707E9" w:rsidP="00A707E9">
      <w:pPr>
        <w:pStyle w:val="PargrafodaLista"/>
        <w:keepNext/>
        <w:suppressAutoHyphens/>
        <w:spacing w:before="100" w:beforeAutospacing="1"/>
        <w:ind w:left="851"/>
        <w:jc w:val="both"/>
        <w:outlineLvl w:val="3"/>
        <w:rPr>
          <w:rFonts w:ascii="Arial" w:hAnsi="Arial" w:cs="Arial"/>
          <w:bCs/>
          <w:lang w:val="pt-BR" w:eastAsia="es-ES"/>
        </w:rPr>
      </w:pPr>
    </w:p>
    <w:tbl>
      <w:tblPr>
        <w:tblW w:w="7896" w:type="dxa"/>
        <w:tblInd w:w="764" w:type="dxa"/>
        <w:tblLook w:val="04A0" w:firstRow="1" w:lastRow="0" w:firstColumn="1" w:lastColumn="0" w:noHBand="0" w:noVBand="1"/>
      </w:tblPr>
      <w:tblGrid>
        <w:gridCol w:w="634"/>
        <w:gridCol w:w="634"/>
        <w:gridCol w:w="634"/>
        <w:gridCol w:w="634"/>
        <w:gridCol w:w="1684"/>
        <w:gridCol w:w="1925"/>
        <w:gridCol w:w="1751"/>
      </w:tblGrid>
      <w:tr w:rsidR="003D050D" w:rsidRPr="00A707E9" w14:paraId="502AA9D5" w14:textId="77777777" w:rsidTr="00A707E9">
        <w:trPr>
          <w:trHeight w:val="300"/>
        </w:trPr>
        <w:tc>
          <w:tcPr>
            <w:tcW w:w="7896" w:type="dxa"/>
            <w:gridSpan w:val="7"/>
            <w:tcBorders>
              <w:top w:val="nil"/>
              <w:left w:val="nil"/>
              <w:bottom w:val="nil"/>
              <w:right w:val="nil"/>
            </w:tcBorders>
            <w:shd w:val="clear" w:color="auto" w:fill="auto"/>
            <w:noWrap/>
            <w:vAlign w:val="bottom"/>
            <w:hideMark/>
          </w:tcPr>
          <w:p w14:paraId="5A998FB3" w14:textId="77777777" w:rsidR="00A707E9" w:rsidRPr="00A707E9" w:rsidRDefault="00A707E9" w:rsidP="00A707E9">
            <w:pPr>
              <w:rPr>
                <w:rFonts w:ascii="Calibri" w:hAnsi="Calibri" w:cs="Calibri"/>
                <w:color w:val="FF0000"/>
                <w:sz w:val="18"/>
                <w:szCs w:val="18"/>
                <w:lang w:val="pt-BR"/>
              </w:rPr>
            </w:pPr>
            <w:r w:rsidRPr="00A707E9">
              <w:rPr>
                <w:rFonts w:ascii="Calibri" w:hAnsi="Calibri" w:cs="Calibri"/>
                <w:color w:val="FF0000"/>
                <w:sz w:val="18"/>
                <w:szCs w:val="18"/>
                <w:lang w:val="pt-BR"/>
              </w:rPr>
              <w:t>Tabela 1: Redução do Gap Tributário por ano no período de avaliação (%)</w:t>
            </w:r>
          </w:p>
        </w:tc>
      </w:tr>
      <w:tr w:rsidR="003D050D" w:rsidRPr="00A707E9" w14:paraId="6E2E0226" w14:textId="77777777" w:rsidTr="00A707E9">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22820"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Ano</w:t>
            </w:r>
            <w:proofErr w:type="spellEnd"/>
            <w:r w:rsidRPr="00A707E9">
              <w:rPr>
                <w:rFonts w:ascii="Calibri" w:hAnsi="Calibri" w:cs="Calibri"/>
                <w:color w:val="FF0000"/>
                <w:sz w:val="16"/>
                <w:szCs w:val="16"/>
              </w:rPr>
              <w:t xml:space="preserve"> 1</w:t>
            </w:r>
          </w:p>
        </w:tc>
        <w:tc>
          <w:tcPr>
            <w:tcW w:w="634" w:type="dxa"/>
            <w:tcBorders>
              <w:top w:val="single" w:sz="4" w:space="0" w:color="auto"/>
              <w:left w:val="nil"/>
              <w:bottom w:val="single" w:sz="4" w:space="0" w:color="auto"/>
              <w:right w:val="single" w:sz="4" w:space="0" w:color="auto"/>
            </w:tcBorders>
            <w:shd w:val="clear" w:color="auto" w:fill="auto"/>
            <w:noWrap/>
            <w:vAlign w:val="bottom"/>
            <w:hideMark/>
          </w:tcPr>
          <w:p w14:paraId="2689FBA3"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Ano</w:t>
            </w:r>
            <w:proofErr w:type="spellEnd"/>
            <w:r w:rsidRPr="00A707E9">
              <w:rPr>
                <w:rFonts w:ascii="Calibri" w:hAnsi="Calibri" w:cs="Calibri"/>
                <w:color w:val="FF0000"/>
                <w:sz w:val="16"/>
                <w:szCs w:val="16"/>
              </w:rPr>
              <w:t xml:space="preserve"> 2</w:t>
            </w:r>
          </w:p>
        </w:tc>
        <w:tc>
          <w:tcPr>
            <w:tcW w:w="634" w:type="dxa"/>
            <w:tcBorders>
              <w:top w:val="single" w:sz="4" w:space="0" w:color="auto"/>
              <w:left w:val="nil"/>
              <w:bottom w:val="single" w:sz="4" w:space="0" w:color="auto"/>
              <w:right w:val="single" w:sz="4" w:space="0" w:color="auto"/>
            </w:tcBorders>
            <w:shd w:val="clear" w:color="auto" w:fill="auto"/>
            <w:noWrap/>
            <w:vAlign w:val="bottom"/>
            <w:hideMark/>
          </w:tcPr>
          <w:p w14:paraId="168775E8"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Ano</w:t>
            </w:r>
            <w:proofErr w:type="spellEnd"/>
            <w:r w:rsidRPr="00A707E9">
              <w:rPr>
                <w:rFonts w:ascii="Calibri" w:hAnsi="Calibri" w:cs="Calibri"/>
                <w:color w:val="FF0000"/>
                <w:sz w:val="16"/>
                <w:szCs w:val="16"/>
              </w:rPr>
              <w:t xml:space="preserve"> 3</w:t>
            </w:r>
          </w:p>
        </w:tc>
        <w:tc>
          <w:tcPr>
            <w:tcW w:w="634" w:type="dxa"/>
            <w:tcBorders>
              <w:top w:val="single" w:sz="4" w:space="0" w:color="auto"/>
              <w:left w:val="nil"/>
              <w:bottom w:val="single" w:sz="4" w:space="0" w:color="auto"/>
              <w:right w:val="single" w:sz="4" w:space="0" w:color="auto"/>
            </w:tcBorders>
            <w:shd w:val="clear" w:color="auto" w:fill="auto"/>
            <w:noWrap/>
            <w:vAlign w:val="bottom"/>
            <w:hideMark/>
          </w:tcPr>
          <w:p w14:paraId="65C30904"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Ano</w:t>
            </w:r>
            <w:proofErr w:type="spellEnd"/>
            <w:r w:rsidRPr="00A707E9">
              <w:rPr>
                <w:rFonts w:ascii="Calibri" w:hAnsi="Calibri" w:cs="Calibri"/>
                <w:color w:val="FF0000"/>
                <w:sz w:val="16"/>
                <w:szCs w:val="16"/>
              </w:rPr>
              <w:t xml:space="preserve"> 4</w:t>
            </w:r>
          </w:p>
        </w:tc>
        <w:tc>
          <w:tcPr>
            <w:tcW w:w="1684" w:type="dxa"/>
            <w:tcBorders>
              <w:top w:val="single" w:sz="4" w:space="0" w:color="auto"/>
              <w:left w:val="nil"/>
              <w:bottom w:val="single" w:sz="4" w:space="0" w:color="auto"/>
              <w:right w:val="single" w:sz="4" w:space="0" w:color="auto"/>
            </w:tcBorders>
            <w:shd w:val="clear" w:color="auto" w:fill="auto"/>
            <w:noWrap/>
            <w:vAlign w:val="bottom"/>
            <w:hideMark/>
          </w:tcPr>
          <w:p w14:paraId="063DC017"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Ano</w:t>
            </w:r>
            <w:proofErr w:type="spellEnd"/>
            <w:r w:rsidRPr="00A707E9">
              <w:rPr>
                <w:rFonts w:ascii="Calibri" w:hAnsi="Calibri" w:cs="Calibri"/>
                <w:color w:val="FF0000"/>
                <w:sz w:val="16"/>
                <w:szCs w:val="16"/>
              </w:rPr>
              <w:t xml:space="preserve"> 5 </w:t>
            </w:r>
            <w:proofErr w:type="spellStart"/>
            <w:r w:rsidRPr="00A707E9">
              <w:rPr>
                <w:rFonts w:ascii="Calibri" w:hAnsi="Calibri" w:cs="Calibri"/>
                <w:color w:val="FF0000"/>
                <w:sz w:val="16"/>
                <w:szCs w:val="16"/>
              </w:rPr>
              <w:t>em</w:t>
            </w:r>
            <w:proofErr w:type="spellEnd"/>
            <w:r w:rsidRPr="00A707E9">
              <w:rPr>
                <w:rFonts w:ascii="Calibri" w:hAnsi="Calibri" w:cs="Calibri"/>
                <w:color w:val="FF0000"/>
                <w:sz w:val="16"/>
                <w:szCs w:val="16"/>
              </w:rPr>
              <w:t xml:space="preserve"> </w:t>
            </w:r>
            <w:proofErr w:type="spellStart"/>
            <w:r w:rsidRPr="00A707E9">
              <w:rPr>
                <w:rFonts w:ascii="Calibri" w:hAnsi="Calibri" w:cs="Calibri"/>
                <w:color w:val="FF0000"/>
                <w:sz w:val="16"/>
                <w:szCs w:val="16"/>
              </w:rPr>
              <w:t>diante</w:t>
            </w:r>
            <w:proofErr w:type="spellEnd"/>
          </w:p>
        </w:tc>
        <w:tc>
          <w:tcPr>
            <w:tcW w:w="1925" w:type="dxa"/>
            <w:tcBorders>
              <w:top w:val="single" w:sz="4" w:space="0" w:color="auto"/>
              <w:left w:val="nil"/>
              <w:bottom w:val="single" w:sz="4" w:space="0" w:color="auto"/>
              <w:right w:val="single" w:sz="4" w:space="0" w:color="auto"/>
            </w:tcBorders>
            <w:shd w:val="clear" w:color="auto" w:fill="auto"/>
            <w:noWrap/>
            <w:vAlign w:val="bottom"/>
            <w:hideMark/>
          </w:tcPr>
          <w:p w14:paraId="09FED979"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Início</w:t>
            </w:r>
            <w:proofErr w:type="spellEnd"/>
            <w:r w:rsidRPr="00A707E9">
              <w:rPr>
                <w:rFonts w:ascii="Calibri" w:hAnsi="Calibri" w:cs="Calibri"/>
                <w:color w:val="FF0000"/>
                <w:sz w:val="16"/>
                <w:szCs w:val="16"/>
              </w:rPr>
              <w:t xml:space="preserve"> do </w:t>
            </w:r>
            <w:proofErr w:type="spellStart"/>
            <w:r w:rsidRPr="00A707E9">
              <w:rPr>
                <w:rFonts w:ascii="Calibri" w:hAnsi="Calibri" w:cs="Calibri"/>
                <w:color w:val="FF0000"/>
                <w:sz w:val="16"/>
                <w:szCs w:val="16"/>
              </w:rPr>
              <w:t>programa</w:t>
            </w:r>
            <w:proofErr w:type="spellEnd"/>
          </w:p>
        </w:tc>
        <w:tc>
          <w:tcPr>
            <w:tcW w:w="1751" w:type="dxa"/>
            <w:tcBorders>
              <w:top w:val="single" w:sz="4" w:space="0" w:color="auto"/>
              <w:left w:val="nil"/>
              <w:bottom w:val="single" w:sz="4" w:space="0" w:color="auto"/>
              <w:right w:val="single" w:sz="4" w:space="0" w:color="auto"/>
            </w:tcBorders>
            <w:shd w:val="clear" w:color="auto" w:fill="auto"/>
            <w:noWrap/>
            <w:vAlign w:val="bottom"/>
            <w:hideMark/>
          </w:tcPr>
          <w:p w14:paraId="10E9A365" w14:textId="77777777" w:rsidR="00A707E9" w:rsidRPr="00A707E9" w:rsidRDefault="00A707E9" w:rsidP="00A707E9">
            <w:pPr>
              <w:jc w:val="center"/>
              <w:rPr>
                <w:rFonts w:ascii="Calibri" w:hAnsi="Calibri" w:cs="Calibri"/>
                <w:color w:val="FF0000"/>
                <w:sz w:val="16"/>
                <w:szCs w:val="16"/>
              </w:rPr>
            </w:pPr>
            <w:proofErr w:type="spellStart"/>
            <w:r w:rsidRPr="00A707E9">
              <w:rPr>
                <w:rFonts w:ascii="Calibri" w:hAnsi="Calibri" w:cs="Calibri"/>
                <w:color w:val="FF0000"/>
                <w:sz w:val="16"/>
                <w:szCs w:val="16"/>
              </w:rPr>
              <w:t>Fim</w:t>
            </w:r>
            <w:proofErr w:type="spellEnd"/>
            <w:r w:rsidRPr="00A707E9">
              <w:rPr>
                <w:rFonts w:ascii="Calibri" w:hAnsi="Calibri" w:cs="Calibri"/>
                <w:color w:val="FF0000"/>
                <w:sz w:val="16"/>
                <w:szCs w:val="16"/>
              </w:rPr>
              <w:t xml:space="preserve"> do </w:t>
            </w:r>
            <w:proofErr w:type="spellStart"/>
            <w:r w:rsidRPr="00A707E9">
              <w:rPr>
                <w:rFonts w:ascii="Calibri" w:hAnsi="Calibri" w:cs="Calibri"/>
                <w:color w:val="FF0000"/>
                <w:sz w:val="16"/>
                <w:szCs w:val="16"/>
              </w:rPr>
              <w:t>programa</w:t>
            </w:r>
            <w:proofErr w:type="spellEnd"/>
          </w:p>
        </w:tc>
      </w:tr>
      <w:tr w:rsidR="003D050D" w:rsidRPr="00A707E9" w14:paraId="117CAD03" w14:textId="77777777" w:rsidTr="00A707E9">
        <w:trPr>
          <w:trHeight w:val="30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76156F4D"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0,20%</w:t>
            </w:r>
          </w:p>
        </w:tc>
        <w:tc>
          <w:tcPr>
            <w:tcW w:w="634" w:type="dxa"/>
            <w:tcBorders>
              <w:top w:val="nil"/>
              <w:left w:val="nil"/>
              <w:bottom w:val="single" w:sz="4" w:space="0" w:color="auto"/>
              <w:right w:val="single" w:sz="4" w:space="0" w:color="auto"/>
            </w:tcBorders>
            <w:shd w:val="clear" w:color="auto" w:fill="auto"/>
            <w:noWrap/>
            <w:vAlign w:val="bottom"/>
            <w:hideMark/>
          </w:tcPr>
          <w:p w14:paraId="2F5BD4C9"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0,20%</w:t>
            </w:r>
          </w:p>
        </w:tc>
        <w:tc>
          <w:tcPr>
            <w:tcW w:w="634" w:type="dxa"/>
            <w:tcBorders>
              <w:top w:val="nil"/>
              <w:left w:val="nil"/>
              <w:bottom w:val="single" w:sz="4" w:space="0" w:color="auto"/>
              <w:right w:val="single" w:sz="4" w:space="0" w:color="auto"/>
            </w:tcBorders>
            <w:shd w:val="clear" w:color="auto" w:fill="auto"/>
            <w:noWrap/>
            <w:vAlign w:val="bottom"/>
            <w:hideMark/>
          </w:tcPr>
          <w:p w14:paraId="70FEE794"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0,30%</w:t>
            </w:r>
          </w:p>
        </w:tc>
        <w:tc>
          <w:tcPr>
            <w:tcW w:w="634" w:type="dxa"/>
            <w:tcBorders>
              <w:top w:val="nil"/>
              <w:left w:val="nil"/>
              <w:bottom w:val="single" w:sz="4" w:space="0" w:color="auto"/>
              <w:right w:val="single" w:sz="4" w:space="0" w:color="auto"/>
            </w:tcBorders>
            <w:shd w:val="clear" w:color="auto" w:fill="auto"/>
            <w:noWrap/>
            <w:vAlign w:val="bottom"/>
            <w:hideMark/>
          </w:tcPr>
          <w:p w14:paraId="7E06FA52"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0,50%</w:t>
            </w:r>
          </w:p>
        </w:tc>
        <w:tc>
          <w:tcPr>
            <w:tcW w:w="1684" w:type="dxa"/>
            <w:tcBorders>
              <w:top w:val="nil"/>
              <w:left w:val="nil"/>
              <w:bottom w:val="single" w:sz="4" w:space="0" w:color="auto"/>
              <w:right w:val="single" w:sz="4" w:space="0" w:color="auto"/>
            </w:tcBorders>
            <w:shd w:val="clear" w:color="auto" w:fill="auto"/>
            <w:noWrap/>
            <w:vAlign w:val="bottom"/>
            <w:hideMark/>
          </w:tcPr>
          <w:p w14:paraId="6CBE08A8"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0,60%</w:t>
            </w:r>
          </w:p>
        </w:tc>
        <w:tc>
          <w:tcPr>
            <w:tcW w:w="1925" w:type="dxa"/>
            <w:tcBorders>
              <w:top w:val="nil"/>
              <w:left w:val="nil"/>
              <w:bottom w:val="single" w:sz="4" w:space="0" w:color="auto"/>
              <w:right w:val="single" w:sz="4" w:space="0" w:color="auto"/>
            </w:tcBorders>
            <w:shd w:val="clear" w:color="auto" w:fill="auto"/>
            <w:noWrap/>
            <w:vAlign w:val="bottom"/>
            <w:hideMark/>
          </w:tcPr>
          <w:p w14:paraId="515F1263"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27,80%</w:t>
            </w:r>
          </w:p>
        </w:tc>
        <w:tc>
          <w:tcPr>
            <w:tcW w:w="1751" w:type="dxa"/>
            <w:tcBorders>
              <w:top w:val="nil"/>
              <w:left w:val="nil"/>
              <w:bottom w:val="single" w:sz="4" w:space="0" w:color="auto"/>
              <w:right w:val="single" w:sz="4" w:space="0" w:color="auto"/>
            </w:tcBorders>
            <w:shd w:val="clear" w:color="auto" w:fill="auto"/>
            <w:noWrap/>
            <w:vAlign w:val="bottom"/>
            <w:hideMark/>
          </w:tcPr>
          <w:p w14:paraId="47513575" w14:textId="77777777" w:rsidR="00A707E9" w:rsidRPr="00A707E9" w:rsidRDefault="00A707E9" w:rsidP="00A707E9">
            <w:pPr>
              <w:jc w:val="center"/>
              <w:rPr>
                <w:rFonts w:ascii="Calibri" w:hAnsi="Calibri" w:cs="Calibri"/>
                <w:color w:val="FF0000"/>
                <w:sz w:val="16"/>
                <w:szCs w:val="16"/>
              </w:rPr>
            </w:pPr>
            <w:r w:rsidRPr="00A707E9">
              <w:rPr>
                <w:rFonts w:ascii="Calibri" w:hAnsi="Calibri" w:cs="Calibri"/>
                <w:color w:val="FF0000"/>
                <w:sz w:val="16"/>
                <w:szCs w:val="16"/>
              </w:rPr>
              <w:t>27,20%</w:t>
            </w:r>
          </w:p>
        </w:tc>
      </w:tr>
      <w:tr w:rsidR="003D050D" w:rsidRPr="00A707E9" w14:paraId="3D6C20DD" w14:textId="77777777" w:rsidTr="00A707E9">
        <w:trPr>
          <w:trHeight w:val="525"/>
        </w:trPr>
        <w:tc>
          <w:tcPr>
            <w:tcW w:w="7896" w:type="dxa"/>
            <w:gridSpan w:val="7"/>
            <w:tcBorders>
              <w:top w:val="nil"/>
              <w:left w:val="nil"/>
              <w:bottom w:val="nil"/>
              <w:right w:val="nil"/>
            </w:tcBorders>
            <w:shd w:val="clear" w:color="auto" w:fill="auto"/>
            <w:hideMark/>
          </w:tcPr>
          <w:p w14:paraId="770607F4" w14:textId="77777777" w:rsidR="00A707E9" w:rsidRPr="00A707E9" w:rsidRDefault="00A707E9" w:rsidP="00A707E9">
            <w:pPr>
              <w:rPr>
                <w:rFonts w:ascii="Calibri" w:hAnsi="Calibri" w:cs="Calibri"/>
                <w:color w:val="FF0000"/>
                <w:sz w:val="18"/>
                <w:szCs w:val="18"/>
                <w:lang w:val="pt-BR"/>
              </w:rPr>
            </w:pPr>
            <w:r w:rsidRPr="00A707E9">
              <w:rPr>
                <w:rFonts w:ascii="Calibri" w:hAnsi="Calibri" w:cs="Calibri"/>
                <w:color w:val="FF0000"/>
                <w:sz w:val="18"/>
                <w:szCs w:val="18"/>
                <w:lang w:val="pt-BR"/>
              </w:rPr>
              <w:t>Fonte: Dados Próprios do autor baseados nas estimativas da redução do Gap Tributário da SEFA/PA 2017</w:t>
            </w:r>
          </w:p>
        </w:tc>
      </w:tr>
    </w:tbl>
    <w:p w14:paraId="294D5505" w14:textId="77777777" w:rsidR="006E12C3" w:rsidRPr="001F27CE" w:rsidRDefault="006E12C3" w:rsidP="00FC32DF">
      <w:pPr>
        <w:pStyle w:val="PargrafodaLista"/>
        <w:keepNext/>
        <w:numPr>
          <w:ilvl w:val="1"/>
          <w:numId w:val="4"/>
        </w:numPr>
        <w:suppressAutoHyphens/>
        <w:ind w:left="851" w:hanging="567"/>
        <w:jc w:val="both"/>
        <w:outlineLvl w:val="3"/>
        <w:rPr>
          <w:rFonts w:ascii="Arial" w:hAnsi="Arial" w:cs="Arial"/>
          <w:bCs/>
          <w:lang w:val="pt-BR" w:eastAsia="es-ES"/>
        </w:rPr>
      </w:pPr>
      <w:r w:rsidRPr="001F27CE">
        <w:rPr>
          <w:rFonts w:ascii="Arial" w:hAnsi="Arial" w:cs="Arial"/>
          <w:bCs/>
          <w:lang w:val="pt-BR" w:eastAsia="es-ES"/>
        </w:rPr>
        <w:t xml:space="preserve">A maior parte da redução do Gap virá das ações de estruturação da fiscalização, inteligência fiscal, melhoria da cobrança, etc., mais difíceis de estimar precisamente em uma análise </w:t>
      </w:r>
      <w:proofErr w:type="spellStart"/>
      <w:r w:rsidRPr="001F27CE">
        <w:rPr>
          <w:rFonts w:ascii="Arial" w:hAnsi="Arial" w:cs="Arial"/>
          <w:bCs/>
          <w:lang w:val="pt-BR" w:eastAsia="es-ES"/>
        </w:rPr>
        <w:t>ex-ante</w:t>
      </w:r>
      <w:proofErr w:type="spellEnd"/>
      <w:r w:rsidRPr="001F27CE">
        <w:rPr>
          <w:rFonts w:ascii="Arial" w:hAnsi="Arial" w:cs="Arial"/>
          <w:bCs/>
          <w:lang w:val="pt-BR" w:eastAsia="es-ES"/>
        </w:rPr>
        <w:t xml:space="preserve">. Assim, </w:t>
      </w:r>
      <w:r w:rsidR="00663884" w:rsidRPr="001F27CE">
        <w:rPr>
          <w:rFonts w:ascii="Arial" w:hAnsi="Arial" w:cs="Arial"/>
          <w:bCs/>
          <w:lang w:val="pt-BR" w:eastAsia="es-ES"/>
        </w:rPr>
        <w:t>fo</w:t>
      </w:r>
      <w:r w:rsidR="00D3586D" w:rsidRPr="001F27CE">
        <w:rPr>
          <w:rFonts w:ascii="Arial" w:hAnsi="Arial" w:cs="Arial"/>
          <w:bCs/>
          <w:lang w:val="pt-BR" w:eastAsia="es-ES"/>
        </w:rPr>
        <w:t>i analisado um simples exemplo</w:t>
      </w:r>
      <w:r w:rsidR="00B207EA" w:rsidRPr="001F27CE">
        <w:rPr>
          <w:rFonts w:ascii="Arial" w:hAnsi="Arial" w:cs="Arial"/>
          <w:bCs/>
          <w:lang w:val="pt-BR" w:eastAsia="es-ES"/>
        </w:rPr>
        <w:t xml:space="preserve"> que conta com dados disponíveis e adequados para a medição de </w:t>
      </w:r>
      <w:r w:rsidRPr="001F27CE">
        <w:rPr>
          <w:rFonts w:ascii="Arial" w:hAnsi="Arial" w:cs="Arial"/>
          <w:bCs/>
          <w:lang w:val="pt-BR" w:eastAsia="es-ES"/>
        </w:rPr>
        <w:t>aumento</w:t>
      </w:r>
      <w:r w:rsidR="00B207EA" w:rsidRPr="001F27CE">
        <w:rPr>
          <w:rFonts w:ascii="Arial" w:hAnsi="Arial" w:cs="Arial"/>
          <w:bCs/>
          <w:lang w:val="pt-BR" w:eastAsia="es-ES"/>
        </w:rPr>
        <w:t>s</w:t>
      </w:r>
      <w:r w:rsidRPr="001F27CE">
        <w:rPr>
          <w:rFonts w:ascii="Arial" w:hAnsi="Arial" w:cs="Arial"/>
          <w:bCs/>
          <w:lang w:val="pt-BR" w:eastAsia="es-ES"/>
        </w:rPr>
        <w:t xml:space="preserve"> de arrecadação</w:t>
      </w:r>
      <w:r w:rsidR="00D3586D" w:rsidRPr="001F27CE">
        <w:rPr>
          <w:rFonts w:ascii="Arial" w:hAnsi="Arial" w:cs="Arial"/>
          <w:bCs/>
          <w:lang w:val="pt-BR" w:eastAsia="es-ES"/>
        </w:rPr>
        <w:t xml:space="preserve"> frente a uma experiência similar em outro estado.</w:t>
      </w:r>
      <w:r w:rsidRPr="001F27CE">
        <w:rPr>
          <w:rFonts w:ascii="Arial" w:hAnsi="Arial" w:cs="Arial"/>
          <w:bCs/>
          <w:lang w:val="pt-BR" w:eastAsia="es-ES"/>
        </w:rPr>
        <w:t xml:space="preserve"> </w:t>
      </w:r>
    </w:p>
    <w:p w14:paraId="294D5506" w14:textId="77777777" w:rsidR="005E1AEA" w:rsidRPr="001F27CE" w:rsidRDefault="00636D3F" w:rsidP="005E1AEA">
      <w:pPr>
        <w:pStyle w:val="PargrafodaLista"/>
        <w:keepNext/>
        <w:numPr>
          <w:ilvl w:val="1"/>
          <w:numId w:val="4"/>
        </w:numPr>
        <w:shd w:val="clear" w:color="auto" w:fill="FFFFFF"/>
        <w:suppressAutoHyphens/>
        <w:spacing w:after="150"/>
        <w:ind w:left="851" w:hanging="567"/>
        <w:jc w:val="both"/>
        <w:outlineLvl w:val="3"/>
        <w:rPr>
          <w:rFonts w:ascii="Arial" w:hAnsi="Arial" w:cs="Arial"/>
          <w:bCs/>
          <w:lang w:val="pt-BR" w:eastAsia="es-ES"/>
        </w:rPr>
      </w:pPr>
      <w:r>
        <w:rPr>
          <w:rFonts w:ascii="Arial" w:hAnsi="Arial" w:cs="Arial"/>
          <w:b/>
          <w:bCs/>
          <w:lang w:val="pt-BR" w:eastAsia="es-ES"/>
        </w:rPr>
        <w:t>Exemplo</w:t>
      </w:r>
      <w:r>
        <w:rPr>
          <w:rFonts w:ascii="Arial" w:hAnsi="Arial" w:cs="Arial"/>
          <w:bCs/>
          <w:lang w:val="pt-BR" w:eastAsia="es-ES"/>
        </w:rPr>
        <w:t>:</w:t>
      </w:r>
      <w:r w:rsidR="006E12C3" w:rsidRPr="001F27CE">
        <w:rPr>
          <w:rFonts w:ascii="Arial" w:hAnsi="Arial" w:cs="Arial"/>
          <w:bCs/>
          <w:lang w:val="pt-BR" w:eastAsia="es-ES"/>
        </w:rPr>
        <w:t xml:space="preserve"> </w:t>
      </w:r>
      <w:r w:rsidR="00D3586D" w:rsidRPr="001F27CE">
        <w:rPr>
          <w:rFonts w:ascii="Arial" w:hAnsi="Arial" w:cs="Arial"/>
          <w:bCs/>
          <w:lang w:val="pt-BR" w:eastAsia="es-ES"/>
        </w:rPr>
        <w:t xml:space="preserve">O Estado de Goiás </w:t>
      </w:r>
      <w:r w:rsidR="005E1AEA" w:rsidRPr="001F27CE">
        <w:rPr>
          <w:rFonts w:ascii="Arial" w:hAnsi="Arial" w:cs="Arial"/>
          <w:bCs/>
          <w:lang w:val="pt-BR" w:eastAsia="es-ES"/>
        </w:rPr>
        <w:t>adotou a Fiscalização Inteligente e Seletiva (FIS) em dezembro de 2016, possibilitando o cruzamento de um grande volume de dados gerando indicadores de identificação de potenciais fraudadores de impostos</w:t>
      </w:r>
      <w:r w:rsidR="00EB7462" w:rsidRPr="001F27CE">
        <w:rPr>
          <w:rFonts w:ascii="Arial" w:hAnsi="Arial" w:cs="Arial"/>
          <w:bCs/>
          <w:lang w:val="pt-BR" w:eastAsia="es-ES"/>
        </w:rPr>
        <w:t xml:space="preserve">, resultando em um sistema de </w:t>
      </w:r>
      <w:r w:rsidR="005E1AEA" w:rsidRPr="001F27CE">
        <w:rPr>
          <w:rFonts w:ascii="Arial" w:hAnsi="Arial" w:cs="Arial"/>
          <w:bCs/>
          <w:lang w:val="pt-BR" w:eastAsia="es-ES"/>
        </w:rPr>
        <w:t xml:space="preserve">alerta </w:t>
      </w:r>
      <w:r w:rsidR="00EB7462" w:rsidRPr="001F27CE">
        <w:rPr>
          <w:rFonts w:ascii="Arial" w:hAnsi="Arial" w:cs="Arial"/>
          <w:bCs/>
          <w:lang w:val="pt-BR" w:eastAsia="es-ES"/>
        </w:rPr>
        <w:t xml:space="preserve">que é </w:t>
      </w:r>
      <w:r w:rsidR="005E1AEA" w:rsidRPr="001F27CE">
        <w:rPr>
          <w:rFonts w:ascii="Arial" w:hAnsi="Arial" w:cs="Arial"/>
          <w:bCs/>
          <w:lang w:val="pt-BR" w:eastAsia="es-ES"/>
        </w:rPr>
        <w:t>emitido para determinada carga</w:t>
      </w:r>
      <w:r w:rsidR="00770A84" w:rsidRPr="001F27CE">
        <w:rPr>
          <w:rFonts w:ascii="Arial" w:hAnsi="Arial" w:cs="Arial"/>
          <w:bCs/>
          <w:lang w:val="pt-BR" w:eastAsia="es-ES"/>
        </w:rPr>
        <w:t xml:space="preserve">, </w:t>
      </w:r>
      <w:r w:rsidR="005E1AEA" w:rsidRPr="001F27CE">
        <w:rPr>
          <w:rFonts w:ascii="Arial" w:hAnsi="Arial" w:cs="Arial"/>
          <w:bCs/>
          <w:lang w:val="pt-BR" w:eastAsia="es-ES"/>
        </w:rPr>
        <w:t xml:space="preserve">via mobile (smartphones) </w:t>
      </w:r>
      <w:r w:rsidR="00770A84" w:rsidRPr="001F27CE">
        <w:rPr>
          <w:rFonts w:ascii="Arial" w:hAnsi="Arial" w:cs="Arial"/>
          <w:bCs/>
          <w:lang w:val="pt-BR" w:eastAsia="es-ES"/>
        </w:rPr>
        <w:t xml:space="preserve">com </w:t>
      </w:r>
      <w:proofErr w:type="spellStart"/>
      <w:r w:rsidR="005E1AEA" w:rsidRPr="001F27CE">
        <w:rPr>
          <w:rFonts w:ascii="Arial" w:hAnsi="Arial" w:cs="Arial"/>
          <w:bCs/>
          <w:lang w:val="pt-BR" w:eastAsia="es-ES"/>
        </w:rPr>
        <w:t>geolocalização</w:t>
      </w:r>
      <w:proofErr w:type="spellEnd"/>
      <w:r w:rsidR="005E1AEA" w:rsidRPr="001F27CE">
        <w:rPr>
          <w:rFonts w:ascii="Arial" w:hAnsi="Arial" w:cs="Arial"/>
          <w:bCs/>
          <w:lang w:val="pt-BR" w:eastAsia="es-ES"/>
        </w:rPr>
        <w:t xml:space="preserve"> e leitura de caracteres de placas de veículos. Assim, </w:t>
      </w:r>
      <w:r w:rsidR="00770A84" w:rsidRPr="001F27CE">
        <w:rPr>
          <w:rFonts w:ascii="Arial" w:hAnsi="Arial" w:cs="Arial"/>
          <w:bCs/>
          <w:lang w:val="pt-BR" w:eastAsia="es-ES"/>
        </w:rPr>
        <w:t xml:space="preserve">a </w:t>
      </w:r>
      <w:r w:rsidR="005E1AEA" w:rsidRPr="001F27CE">
        <w:rPr>
          <w:rFonts w:ascii="Arial" w:hAnsi="Arial" w:cs="Arial"/>
          <w:bCs/>
          <w:lang w:val="pt-BR" w:eastAsia="es-ES"/>
        </w:rPr>
        <w:t xml:space="preserve">mercadoria </w:t>
      </w:r>
      <w:r w:rsidR="00770A84" w:rsidRPr="001F27CE">
        <w:rPr>
          <w:rFonts w:ascii="Arial" w:hAnsi="Arial" w:cs="Arial"/>
          <w:bCs/>
          <w:lang w:val="pt-BR" w:eastAsia="es-ES"/>
        </w:rPr>
        <w:t xml:space="preserve">é </w:t>
      </w:r>
      <w:r w:rsidR="005E1AEA" w:rsidRPr="001F27CE">
        <w:rPr>
          <w:rFonts w:ascii="Arial" w:hAnsi="Arial" w:cs="Arial"/>
          <w:bCs/>
          <w:lang w:val="pt-BR" w:eastAsia="es-ES"/>
        </w:rPr>
        <w:t>acompanha</w:t>
      </w:r>
      <w:r w:rsidR="00770A84" w:rsidRPr="001F27CE">
        <w:rPr>
          <w:rFonts w:ascii="Arial" w:hAnsi="Arial" w:cs="Arial"/>
          <w:bCs/>
          <w:lang w:val="pt-BR" w:eastAsia="es-ES"/>
        </w:rPr>
        <w:t>da</w:t>
      </w:r>
      <w:r w:rsidR="005E1AEA" w:rsidRPr="001F27CE">
        <w:rPr>
          <w:rFonts w:ascii="Arial" w:hAnsi="Arial" w:cs="Arial"/>
          <w:bCs/>
          <w:lang w:val="pt-BR" w:eastAsia="es-ES"/>
        </w:rPr>
        <w:t xml:space="preserve"> em tempo real pelas rodovias a partir do momento em que a nota fiscal é emitida. Os fiscais abordam especificamente os veículos com cargas suspeitas de sonegação. Os auditores, por sua vez, têm acesso em tempo real a outros processos e podem incluir novos registros imediatamente.</w:t>
      </w:r>
      <w:r w:rsidR="00EB7462" w:rsidRPr="001F27CE">
        <w:rPr>
          <w:rFonts w:ascii="Arial" w:hAnsi="Arial" w:cs="Arial"/>
          <w:bCs/>
          <w:lang w:val="pt-BR" w:eastAsia="es-ES"/>
        </w:rPr>
        <w:t xml:space="preserve"> Os resultados são bastante positivos. Com o uso do FIS, o valor das autuações no transito de mercadoria cresceu 25,4% em termos nominais e 16,7% em termos </w:t>
      </w:r>
      <w:r w:rsidR="00EB7462" w:rsidRPr="001F27CE">
        <w:rPr>
          <w:rFonts w:ascii="Arial" w:hAnsi="Arial" w:cs="Arial"/>
          <w:bCs/>
          <w:lang w:val="pt-BR" w:eastAsia="es-ES"/>
        </w:rPr>
        <w:lastRenderedPageBreak/>
        <w:t>reais, nos primeiros seis meses de 2017 comparado com igual período do ano anterior, lembrando que o FIS foi implantado em dezembro de 2016.</w:t>
      </w:r>
    </w:p>
    <w:p w14:paraId="294D5507" w14:textId="77777777" w:rsidR="006E12C3" w:rsidRPr="001F27CE" w:rsidRDefault="00EB7462"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O PROFISCO II vai financiar a implantação de um sistema de fiscalização do trânsito de mercadorias no Pará similar ao que foi implantado em Goiás. Em 2016, a SEFA-PA registrou um total de arrecad</w:t>
      </w:r>
      <w:r w:rsidR="00DD5382" w:rsidRPr="001F27CE">
        <w:rPr>
          <w:rFonts w:ascii="Arial" w:hAnsi="Arial" w:cs="Arial"/>
          <w:bCs/>
          <w:lang w:val="pt-BR" w:eastAsia="es-ES"/>
        </w:rPr>
        <w:t>ação de autuações na área de trâ</w:t>
      </w:r>
      <w:r w:rsidRPr="001F27CE">
        <w:rPr>
          <w:rFonts w:ascii="Arial" w:hAnsi="Arial" w:cs="Arial"/>
          <w:bCs/>
          <w:lang w:val="pt-BR" w:eastAsia="es-ES"/>
        </w:rPr>
        <w:t>nsito de mercadorias de R$</w:t>
      </w:r>
      <w:r w:rsidR="00DF69D9" w:rsidRPr="001F27CE">
        <w:rPr>
          <w:rFonts w:ascii="Arial" w:hAnsi="Arial" w:cs="Arial"/>
          <w:bCs/>
          <w:lang w:val="pt-BR" w:eastAsia="es-ES"/>
        </w:rPr>
        <w:t>103,6 milhões</w:t>
      </w:r>
      <w:r w:rsidRPr="001F27CE">
        <w:rPr>
          <w:rFonts w:ascii="Arial" w:hAnsi="Arial" w:cs="Arial"/>
          <w:bCs/>
          <w:lang w:val="pt-BR" w:eastAsia="es-ES"/>
        </w:rPr>
        <w:t xml:space="preserve">. A arrecadação de autuações de trânsito de mercadorias é quase 100%, visto que a liberação das cargas só é feito com o </w:t>
      </w:r>
      <w:r w:rsidR="00DD5382" w:rsidRPr="001F27CE">
        <w:rPr>
          <w:rFonts w:ascii="Arial" w:hAnsi="Arial" w:cs="Arial"/>
          <w:bCs/>
          <w:lang w:val="pt-BR" w:eastAsia="es-ES"/>
        </w:rPr>
        <w:t>pagamento</w:t>
      </w:r>
      <w:r w:rsidRPr="001F27CE">
        <w:rPr>
          <w:rFonts w:ascii="Arial" w:hAnsi="Arial" w:cs="Arial"/>
          <w:bCs/>
          <w:lang w:val="pt-BR" w:eastAsia="es-ES"/>
        </w:rPr>
        <w:t xml:space="preserve"> da autuação. </w:t>
      </w:r>
      <w:r w:rsidR="00DF69D9" w:rsidRPr="001F27CE">
        <w:rPr>
          <w:rFonts w:ascii="Arial" w:hAnsi="Arial" w:cs="Arial"/>
          <w:bCs/>
          <w:lang w:val="pt-BR" w:eastAsia="es-ES"/>
        </w:rPr>
        <w:t>A</w:t>
      </w:r>
      <w:r w:rsidRPr="001F27CE">
        <w:rPr>
          <w:rFonts w:ascii="Arial" w:hAnsi="Arial" w:cs="Arial"/>
          <w:bCs/>
          <w:lang w:val="pt-BR" w:eastAsia="es-ES"/>
        </w:rPr>
        <w:t>plicando a taxa de crescimento de arrecadação verificada em Goiás, isto significaria uma arrecadação adicional de R$</w:t>
      </w:r>
      <w:r w:rsidR="00DF69D9" w:rsidRPr="001F27CE">
        <w:rPr>
          <w:rFonts w:ascii="Arial" w:hAnsi="Arial" w:cs="Arial"/>
          <w:bCs/>
          <w:lang w:val="pt-BR" w:eastAsia="es-ES"/>
        </w:rPr>
        <w:t xml:space="preserve"> 17,3 milhões. A estimativa de crescimento de arrecadação deste único exemplo é</w:t>
      </w:r>
      <w:r w:rsidRPr="001F27CE">
        <w:rPr>
          <w:rFonts w:ascii="Arial" w:hAnsi="Arial" w:cs="Arial"/>
          <w:bCs/>
          <w:lang w:val="pt-BR" w:eastAsia="es-ES"/>
        </w:rPr>
        <w:t xml:space="preserve"> equival</w:t>
      </w:r>
      <w:r w:rsidR="00DF69D9" w:rsidRPr="001F27CE">
        <w:rPr>
          <w:rFonts w:ascii="Arial" w:hAnsi="Arial" w:cs="Arial"/>
          <w:bCs/>
          <w:lang w:val="pt-BR" w:eastAsia="es-ES"/>
        </w:rPr>
        <w:t>ente a 64% da estimativa da redução do Gap Tributário no segundo ano do período de avaliação e 21</w:t>
      </w:r>
      <w:r w:rsidRPr="001F27CE">
        <w:rPr>
          <w:rFonts w:ascii="Arial" w:hAnsi="Arial" w:cs="Arial"/>
          <w:bCs/>
          <w:lang w:val="pt-BR" w:eastAsia="es-ES"/>
        </w:rPr>
        <w:t xml:space="preserve">% </w:t>
      </w:r>
      <w:r w:rsidR="00DF69D9" w:rsidRPr="001F27CE">
        <w:rPr>
          <w:rFonts w:ascii="Arial" w:hAnsi="Arial" w:cs="Arial"/>
          <w:bCs/>
          <w:lang w:val="pt-BR" w:eastAsia="es-ES"/>
        </w:rPr>
        <w:t xml:space="preserve">do ano </w:t>
      </w:r>
      <w:proofErr w:type="gramStart"/>
      <w:r w:rsidR="00DF69D9" w:rsidRPr="001F27CE">
        <w:rPr>
          <w:rFonts w:ascii="Arial" w:hAnsi="Arial" w:cs="Arial"/>
          <w:bCs/>
          <w:lang w:val="pt-BR" w:eastAsia="es-ES"/>
        </w:rPr>
        <w:t>6</w:t>
      </w:r>
      <w:proofErr w:type="gramEnd"/>
      <w:r w:rsidR="00DF69D9" w:rsidRPr="001F27CE">
        <w:rPr>
          <w:rFonts w:ascii="Arial" w:hAnsi="Arial" w:cs="Arial"/>
          <w:bCs/>
          <w:lang w:val="pt-BR" w:eastAsia="es-ES"/>
        </w:rPr>
        <w:t xml:space="preserve"> em diante. </w:t>
      </w:r>
      <w:r w:rsidRPr="001F27CE">
        <w:rPr>
          <w:rFonts w:ascii="Arial" w:hAnsi="Arial" w:cs="Arial"/>
          <w:bCs/>
          <w:lang w:val="pt-BR" w:eastAsia="es-ES"/>
        </w:rPr>
        <w:t xml:space="preserve"> </w:t>
      </w:r>
      <w:r w:rsidR="006E12C3" w:rsidRPr="001F27CE">
        <w:rPr>
          <w:rFonts w:ascii="Arial" w:hAnsi="Arial" w:cs="Arial"/>
          <w:bCs/>
          <w:lang w:val="pt-BR" w:eastAsia="es-ES"/>
        </w:rPr>
        <w:t xml:space="preserve">Em outras palavras, </w:t>
      </w:r>
      <w:r w:rsidR="00DF69D9" w:rsidRPr="001F27CE">
        <w:rPr>
          <w:rFonts w:ascii="Arial" w:hAnsi="Arial" w:cs="Arial"/>
          <w:bCs/>
          <w:lang w:val="pt-BR" w:eastAsia="es-ES"/>
        </w:rPr>
        <w:t xml:space="preserve">apenas este exemplo, entre as muitas ações que contribuirão para a redução do Gap Tributário, já cobre uma parte </w:t>
      </w:r>
      <w:r w:rsidR="00DD5382" w:rsidRPr="001F27CE">
        <w:rPr>
          <w:rFonts w:ascii="Arial" w:hAnsi="Arial" w:cs="Arial"/>
          <w:bCs/>
          <w:lang w:val="pt-BR" w:eastAsia="es-ES"/>
        </w:rPr>
        <w:t xml:space="preserve">substancial da estimativa do aumento total da arrecadação. Isto demonstra que </w:t>
      </w:r>
      <w:r w:rsidR="006E12C3" w:rsidRPr="001F27CE">
        <w:rPr>
          <w:rFonts w:ascii="Arial" w:hAnsi="Arial" w:cs="Arial"/>
          <w:bCs/>
          <w:lang w:val="pt-BR" w:eastAsia="es-ES"/>
        </w:rPr>
        <w:t>a redução do Gap Tributário deverá ser substancialmente maior do que a hipótese extremamente conservadora adotada nesta análise C-B.</w:t>
      </w:r>
    </w:p>
    <w:p w14:paraId="294D5508" w14:textId="77777777" w:rsidR="002A6AEE" w:rsidRPr="001F27CE" w:rsidRDefault="00B207EA" w:rsidP="004F42D5">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636D3F">
        <w:rPr>
          <w:rFonts w:ascii="Arial" w:hAnsi="Arial" w:cs="Arial"/>
          <w:b/>
          <w:bCs/>
          <w:lang w:val="pt-BR" w:eastAsia="es-ES"/>
        </w:rPr>
        <w:t>R</w:t>
      </w:r>
      <w:r w:rsidR="002A6AEE" w:rsidRPr="001F27CE">
        <w:rPr>
          <w:rFonts w:ascii="Arial" w:hAnsi="Arial" w:cs="Arial"/>
          <w:b/>
          <w:bCs/>
          <w:lang w:val="pt-BR" w:eastAsia="es-ES"/>
        </w:rPr>
        <w:t>edução de custos para o contribuinte com a eliminação de duas declarações acessórias</w:t>
      </w:r>
      <w:r w:rsidR="00663884" w:rsidRPr="001F27CE">
        <w:rPr>
          <w:rFonts w:ascii="Arial" w:hAnsi="Arial" w:cs="Arial"/>
          <w:b/>
          <w:bCs/>
          <w:lang w:val="pt-BR" w:eastAsia="es-ES"/>
        </w:rPr>
        <w:t>.</w:t>
      </w:r>
      <w:r w:rsidR="002A6AEE" w:rsidRPr="001F27CE">
        <w:rPr>
          <w:rFonts w:ascii="Arial" w:hAnsi="Arial" w:cs="Arial"/>
          <w:bCs/>
          <w:lang w:val="pt-BR" w:eastAsia="es-ES"/>
        </w:rPr>
        <w:t xml:space="preserve"> A edição de 2017 do </w:t>
      </w:r>
      <w:proofErr w:type="spellStart"/>
      <w:r w:rsidR="002A6AEE" w:rsidRPr="001F27CE">
        <w:rPr>
          <w:rFonts w:ascii="Arial" w:hAnsi="Arial" w:cs="Arial"/>
          <w:bCs/>
          <w:lang w:val="pt-BR" w:eastAsia="es-ES"/>
        </w:rPr>
        <w:t>Doing</w:t>
      </w:r>
      <w:proofErr w:type="spellEnd"/>
      <w:r w:rsidR="002A6AEE" w:rsidRPr="001F27CE">
        <w:rPr>
          <w:rFonts w:ascii="Arial" w:hAnsi="Arial" w:cs="Arial"/>
          <w:bCs/>
          <w:lang w:val="pt-BR" w:eastAsia="es-ES"/>
        </w:rPr>
        <w:t xml:space="preserve"> Business registra que uma empresa</w:t>
      </w:r>
      <w:r w:rsidR="00663884" w:rsidRPr="001F27CE">
        <w:rPr>
          <w:rFonts w:ascii="Arial" w:hAnsi="Arial" w:cs="Arial"/>
          <w:bCs/>
          <w:lang w:val="pt-BR" w:eastAsia="es-ES"/>
        </w:rPr>
        <w:t xml:space="preserve"> brasileira </w:t>
      </w:r>
      <w:r w:rsidR="002A6AEE" w:rsidRPr="001F27CE">
        <w:rPr>
          <w:rFonts w:ascii="Arial" w:hAnsi="Arial" w:cs="Arial"/>
          <w:bCs/>
          <w:lang w:val="pt-BR" w:eastAsia="es-ES"/>
        </w:rPr>
        <w:t>gasta</w:t>
      </w:r>
      <w:r w:rsidR="00663884" w:rsidRPr="001F27CE">
        <w:rPr>
          <w:rFonts w:ascii="Arial" w:hAnsi="Arial" w:cs="Arial"/>
          <w:bCs/>
          <w:lang w:val="pt-BR" w:eastAsia="es-ES"/>
        </w:rPr>
        <w:t xml:space="preserve">, em média, </w:t>
      </w:r>
      <w:r w:rsidR="002A6AEE" w:rsidRPr="001F27CE">
        <w:rPr>
          <w:rFonts w:ascii="Arial" w:hAnsi="Arial" w:cs="Arial"/>
          <w:bCs/>
          <w:lang w:val="pt-BR" w:eastAsia="es-ES"/>
        </w:rPr>
        <w:t>2</w:t>
      </w:r>
      <w:r w:rsidR="00DD5382" w:rsidRPr="001F27CE">
        <w:rPr>
          <w:rFonts w:ascii="Arial" w:hAnsi="Arial" w:cs="Arial"/>
          <w:bCs/>
          <w:lang w:val="pt-BR" w:eastAsia="es-ES"/>
        </w:rPr>
        <w:t>.</w:t>
      </w:r>
      <w:r w:rsidR="002A6AEE" w:rsidRPr="001F27CE">
        <w:rPr>
          <w:rFonts w:ascii="Arial" w:hAnsi="Arial" w:cs="Arial"/>
          <w:bCs/>
          <w:lang w:val="pt-BR" w:eastAsia="es-ES"/>
        </w:rPr>
        <w:t>038 horas anualmente para cumprir suas obrigações tributárias. Para o ICMS, este tempo é de 1</w:t>
      </w:r>
      <w:r w:rsidR="00DD5382" w:rsidRPr="001F27CE">
        <w:rPr>
          <w:rFonts w:ascii="Arial" w:hAnsi="Arial" w:cs="Arial"/>
          <w:bCs/>
          <w:lang w:val="pt-BR" w:eastAsia="es-ES"/>
        </w:rPr>
        <w:t>.</w:t>
      </w:r>
      <w:r w:rsidR="002A6AEE" w:rsidRPr="001F27CE">
        <w:rPr>
          <w:rFonts w:ascii="Arial" w:hAnsi="Arial" w:cs="Arial"/>
          <w:bCs/>
          <w:lang w:val="pt-BR" w:eastAsia="es-ES"/>
        </w:rPr>
        <w:t>189 horas anualmente.</w:t>
      </w:r>
      <w:r w:rsidR="002879B6" w:rsidRPr="001F27CE">
        <w:rPr>
          <w:rFonts w:ascii="Arial" w:hAnsi="Arial" w:cs="Arial"/>
          <w:bCs/>
          <w:lang w:val="pt-BR" w:eastAsia="es-ES"/>
        </w:rPr>
        <w:t xml:space="preserve"> </w:t>
      </w:r>
      <w:r w:rsidR="00564761" w:rsidRPr="001F27CE">
        <w:rPr>
          <w:rFonts w:ascii="Arial" w:hAnsi="Arial" w:cs="Arial"/>
          <w:bCs/>
          <w:lang w:val="pt-BR" w:eastAsia="es-ES"/>
        </w:rPr>
        <w:t>No Pará</w:t>
      </w:r>
      <w:r w:rsidR="002A6AEE" w:rsidRPr="001F27CE">
        <w:rPr>
          <w:rFonts w:ascii="Arial" w:hAnsi="Arial" w:cs="Arial"/>
          <w:bCs/>
          <w:lang w:val="pt-BR" w:eastAsia="es-ES"/>
        </w:rPr>
        <w:t>, o contribuinte tem que apresentar duas declarações acessórias: a DIEF (Declaração de Informação Econômica Fiscal) e a GIA-ST (Guia de Informação e Apuração do ICMS de Substituição Tributária)</w:t>
      </w:r>
      <w:r w:rsidR="002879B6" w:rsidRPr="001F27CE">
        <w:rPr>
          <w:rFonts w:ascii="Arial" w:hAnsi="Arial" w:cs="Arial"/>
          <w:bCs/>
          <w:lang w:val="pt-BR" w:eastAsia="es-ES"/>
        </w:rPr>
        <w:t xml:space="preserve"> </w:t>
      </w:r>
      <w:r w:rsidR="00DD5382" w:rsidRPr="001F27CE">
        <w:rPr>
          <w:rFonts w:ascii="Arial" w:hAnsi="Arial" w:cs="Arial"/>
          <w:bCs/>
          <w:lang w:val="pt-BR" w:eastAsia="es-ES"/>
        </w:rPr>
        <w:t xml:space="preserve">além de </w:t>
      </w:r>
      <w:r w:rsidR="002879B6" w:rsidRPr="001F27CE">
        <w:rPr>
          <w:rFonts w:ascii="Arial" w:hAnsi="Arial" w:cs="Arial"/>
          <w:bCs/>
          <w:lang w:val="pt-BR" w:eastAsia="es-ES"/>
        </w:rPr>
        <w:t xml:space="preserve">uma declaração nacional também </w:t>
      </w:r>
      <w:r w:rsidR="00F55DC8" w:rsidRPr="001F27CE">
        <w:rPr>
          <w:rFonts w:ascii="Arial" w:hAnsi="Arial" w:cs="Arial"/>
          <w:bCs/>
          <w:lang w:val="pt-BR" w:eastAsia="es-ES"/>
        </w:rPr>
        <w:t>obrigatória</w:t>
      </w:r>
      <w:r w:rsidR="00DD5382" w:rsidRPr="001F27CE">
        <w:rPr>
          <w:rFonts w:ascii="Arial" w:hAnsi="Arial" w:cs="Arial"/>
          <w:bCs/>
          <w:lang w:val="pt-BR" w:eastAsia="es-ES"/>
        </w:rPr>
        <w:t>, SPED</w:t>
      </w:r>
      <w:r w:rsidR="002A6AEE" w:rsidRPr="001F27CE">
        <w:rPr>
          <w:rFonts w:ascii="Arial" w:hAnsi="Arial" w:cs="Arial"/>
          <w:bCs/>
          <w:lang w:val="pt-BR" w:eastAsia="es-ES"/>
        </w:rPr>
        <w:t xml:space="preserve">. </w:t>
      </w:r>
    </w:p>
    <w:p w14:paraId="294D5509" w14:textId="77777777" w:rsidR="002A6AEE" w:rsidRPr="001F27CE" w:rsidRDefault="002A6AEE"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Atualmente o estado tem 22 mil contribuintes </w:t>
      </w:r>
      <w:r w:rsidR="002879B6" w:rsidRPr="001F27CE">
        <w:rPr>
          <w:rFonts w:ascii="Arial" w:hAnsi="Arial" w:cs="Arial"/>
          <w:bCs/>
          <w:lang w:val="pt-BR" w:eastAsia="es-ES"/>
        </w:rPr>
        <w:t xml:space="preserve">que </w:t>
      </w:r>
      <w:r w:rsidRPr="001F27CE">
        <w:rPr>
          <w:rFonts w:ascii="Arial" w:hAnsi="Arial" w:cs="Arial"/>
          <w:bCs/>
          <w:lang w:val="pt-BR" w:eastAsia="es-ES"/>
        </w:rPr>
        <w:t>gastam</w:t>
      </w:r>
      <w:r w:rsidR="00B207EA" w:rsidRPr="001F27CE">
        <w:rPr>
          <w:rFonts w:ascii="Arial" w:hAnsi="Arial" w:cs="Arial"/>
          <w:bCs/>
          <w:lang w:val="pt-BR" w:eastAsia="es-ES"/>
        </w:rPr>
        <w:t>, mensalmente,</w:t>
      </w:r>
      <w:r w:rsidRPr="001F27CE">
        <w:rPr>
          <w:rFonts w:ascii="Arial" w:hAnsi="Arial" w:cs="Arial"/>
          <w:bCs/>
          <w:lang w:val="pt-BR" w:eastAsia="es-ES"/>
        </w:rPr>
        <w:t xml:space="preserve"> entre meia e uma hora para cumprir suas obrigações tributárias relacionadas à DIEF e GIA-ST. No ano, são um total de 132 mil horas. O custo mínimo com um profissional em contabilidade que, em geral, são os que se ocupam destas declarações acessórias fica em R$</w:t>
      </w:r>
      <w:r w:rsidR="005B514C" w:rsidRPr="001F27CE">
        <w:rPr>
          <w:rFonts w:ascii="Arial" w:hAnsi="Arial" w:cs="Arial"/>
          <w:bCs/>
          <w:lang w:val="pt-BR" w:eastAsia="es-ES"/>
        </w:rPr>
        <w:t xml:space="preserve"> </w:t>
      </w:r>
      <w:r w:rsidRPr="001F27CE">
        <w:rPr>
          <w:rFonts w:ascii="Arial" w:hAnsi="Arial" w:cs="Arial"/>
          <w:bCs/>
          <w:lang w:val="pt-BR" w:eastAsia="es-ES"/>
        </w:rPr>
        <w:t>20. Assim, o custo anual para os contribuintes alcança o valor de R$</w:t>
      </w:r>
      <w:r w:rsidR="005B514C" w:rsidRPr="001F27CE">
        <w:rPr>
          <w:rFonts w:ascii="Arial" w:hAnsi="Arial" w:cs="Arial"/>
          <w:bCs/>
          <w:lang w:val="pt-BR" w:eastAsia="es-ES"/>
        </w:rPr>
        <w:t xml:space="preserve"> </w:t>
      </w:r>
      <w:r w:rsidRPr="001F27CE">
        <w:rPr>
          <w:rFonts w:ascii="Arial" w:hAnsi="Arial" w:cs="Arial"/>
          <w:bCs/>
          <w:lang w:val="pt-BR" w:eastAsia="es-ES"/>
        </w:rPr>
        <w:t>2,64 milhões.</w:t>
      </w:r>
      <w:r w:rsidR="00A96D7A" w:rsidRPr="001F27CE">
        <w:rPr>
          <w:rFonts w:ascii="Arial" w:hAnsi="Arial" w:cs="Arial"/>
          <w:bCs/>
          <w:lang w:val="pt-BR" w:eastAsia="es-ES"/>
        </w:rPr>
        <w:t xml:space="preserve"> O PROFISCO II financiará ações que eliminarão a necessidade do preenchimento destas duas declarações acessórias, resultando em economia para</w:t>
      </w:r>
      <w:r w:rsidR="002879B6" w:rsidRPr="001F27CE">
        <w:rPr>
          <w:rFonts w:ascii="Arial" w:hAnsi="Arial" w:cs="Arial"/>
          <w:bCs/>
          <w:lang w:val="pt-BR" w:eastAsia="es-ES"/>
        </w:rPr>
        <w:t xml:space="preserve"> os contribuintes. </w:t>
      </w:r>
    </w:p>
    <w:p w14:paraId="294D550A" w14:textId="77777777" w:rsidR="00BB09DF" w:rsidRPr="001F27CE" w:rsidRDefault="000E6588" w:rsidP="00BB09DF">
      <w:pPr>
        <w:pStyle w:val="PargrafodaLista"/>
        <w:keepNext/>
        <w:numPr>
          <w:ilvl w:val="1"/>
          <w:numId w:val="4"/>
        </w:numPr>
        <w:tabs>
          <w:tab w:val="clear" w:pos="1009"/>
          <w:tab w:val="num" w:pos="851"/>
        </w:tabs>
        <w:suppressAutoHyphens/>
        <w:spacing w:before="120" w:after="240"/>
        <w:ind w:left="851" w:hanging="567"/>
        <w:jc w:val="both"/>
        <w:outlineLvl w:val="3"/>
        <w:rPr>
          <w:rFonts w:ascii="Arial" w:hAnsi="Arial" w:cs="Arial"/>
          <w:bCs/>
          <w:lang w:val="pt-BR" w:eastAsia="es-ES"/>
        </w:rPr>
      </w:pPr>
      <w:r w:rsidRPr="001F27CE">
        <w:rPr>
          <w:rFonts w:ascii="Arial" w:hAnsi="Arial" w:cs="Arial"/>
          <w:b/>
          <w:bCs/>
          <w:lang w:val="pt-BR" w:eastAsia="es-ES"/>
        </w:rPr>
        <w:t>Redução d</w:t>
      </w:r>
      <w:r w:rsidR="00564761" w:rsidRPr="001F27CE">
        <w:rPr>
          <w:rFonts w:ascii="Arial" w:hAnsi="Arial" w:cs="Arial"/>
          <w:b/>
          <w:bCs/>
          <w:lang w:val="pt-BR" w:eastAsia="es-ES"/>
        </w:rPr>
        <w:t>e custos para o governo do Pará</w:t>
      </w:r>
      <w:r w:rsidRPr="001F27CE">
        <w:rPr>
          <w:rFonts w:ascii="Arial" w:hAnsi="Arial" w:cs="Arial"/>
          <w:b/>
          <w:bCs/>
          <w:lang w:val="pt-BR" w:eastAsia="es-ES"/>
        </w:rPr>
        <w:t xml:space="preserve"> </w:t>
      </w:r>
      <w:r w:rsidR="00B207EA" w:rsidRPr="001F27CE">
        <w:rPr>
          <w:rFonts w:ascii="Arial" w:hAnsi="Arial" w:cs="Arial"/>
          <w:b/>
          <w:bCs/>
          <w:lang w:val="pt-BR" w:eastAsia="es-ES"/>
        </w:rPr>
        <w:t xml:space="preserve">com </w:t>
      </w:r>
      <w:r w:rsidRPr="001F27CE">
        <w:rPr>
          <w:rFonts w:ascii="Arial" w:hAnsi="Arial" w:cs="Arial"/>
          <w:b/>
          <w:bCs/>
          <w:lang w:val="pt-BR" w:eastAsia="es-ES"/>
        </w:rPr>
        <w:t xml:space="preserve">a </w:t>
      </w:r>
      <w:r w:rsidR="00BB09DF" w:rsidRPr="001F27CE">
        <w:rPr>
          <w:rFonts w:ascii="Arial" w:hAnsi="Arial" w:cs="Arial"/>
          <w:b/>
          <w:bCs/>
          <w:lang w:val="pt-BR" w:eastAsia="es-ES"/>
        </w:rPr>
        <w:t>automatização dos processos de concessão de benefícios fiscais.</w:t>
      </w:r>
      <w:r w:rsidRPr="001F27CE">
        <w:rPr>
          <w:rFonts w:ascii="Arial" w:hAnsi="Arial" w:cs="Arial"/>
          <w:bCs/>
          <w:lang w:val="pt-BR" w:eastAsia="es-ES"/>
        </w:rPr>
        <w:t xml:space="preserve"> </w:t>
      </w:r>
      <w:r w:rsidR="00BB09DF" w:rsidRPr="001F27CE">
        <w:rPr>
          <w:rFonts w:ascii="Arial" w:hAnsi="Arial" w:cs="Arial"/>
          <w:bCs/>
          <w:lang w:val="pt-BR" w:eastAsia="es-ES"/>
        </w:rPr>
        <w:t xml:space="preserve">A SEFA tem atualmente um setor localizado nas dependências do Departamento de Trânsito do Pará (DETRAN) só para cuidar das mais de </w:t>
      </w:r>
      <w:proofErr w:type="gramStart"/>
      <w:r w:rsidR="00BB09DF" w:rsidRPr="001F27CE">
        <w:rPr>
          <w:rFonts w:ascii="Arial" w:hAnsi="Arial" w:cs="Arial"/>
          <w:bCs/>
          <w:lang w:val="pt-BR" w:eastAsia="es-ES"/>
        </w:rPr>
        <w:t>4</w:t>
      </w:r>
      <w:proofErr w:type="gramEnd"/>
      <w:r w:rsidR="00BB09DF" w:rsidRPr="001F27CE">
        <w:rPr>
          <w:rFonts w:ascii="Arial" w:hAnsi="Arial" w:cs="Arial"/>
          <w:bCs/>
          <w:lang w:val="pt-BR" w:eastAsia="es-ES"/>
        </w:rPr>
        <w:t xml:space="preserve"> mil solicitações anual de isenção de IPVA e ICMS para condutores autônomos e taxistas.</w:t>
      </w:r>
      <w:r w:rsidR="00A6187C" w:rsidRPr="001F27CE">
        <w:rPr>
          <w:rStyle w:val="Refdenotaderodap"/>
          <w:rFonts w:ascii="Arial" w:hAnsi="Arial" w:cs="Arial"/>
          <w:bCs/>
          <w:lang w:val="pt-BR" w:eastAsia="es-ES"/>
        </w:rPr>
        <w:footnoteReference w:id="2"/>
      </w:r>
      <w:r w:rsidR="00BB09DF" w:rsidRPr="001F27CE">
        <w:rPr>
          <w:rFonts w:ascii="Arial" w:hAnsi="Arial" w:cs="Arial"/>
          <w:bCs/>
          <w:lang w:val="pt-BR" w:eastAsia="es-ES"/>
        </w:rPr>
        <w:t xml:space="preserve"> Cada processo toma, em média, 80 minutos de </w:t>
      </w:r>
      <w:r w:rsidR="00BB09DF" w:rsidRPr="001F27CE">
        <w:rPr>
          <w:rFonts w:ascii="Arial" w:hAnsi="Arial" w:cs="Arial"/>
          <w:bCs/>
          <w:lang w:val="pt-BR" w:eastAsia="es-ES"/>
        </w:rPr>
        <w:lastRenderedPageBreak/>
        <w:t>um servidor de apoio e 40 minutos de um fiscal de receitas para verificar todos os documentos anexados, a validade das informações prestadas, consulta a outros órgãos do governo quando necessária, elaboração da manifestação técnica, etc. Com relação aos outros benefícios fiscais mais complexos e de total competência de fiscais da receita, cada um leva, em média, 140 minutos para ser realizado.</w:t>
      </w:r>
      <w:r w:rsidR="00972A60" w:rsidRPr="001F27CE">
        <w:rPr>
          <w:rStyle w:val="Refdenotaderodap"/>
          <w:rFonts w:ascii="Arial" w:hAnsi="Arial" w:cs="Arial"/>
          <w:bCs/>
          <w:lang w:val="pt-BR" w:eastAsia="es-ES"/>
        </w:rPr>
        <w:footnoteReference w:id="3"/>
      </w:r>
      <w:r w:rsidR="00BB09DF" w:rsidRPr="001F27CE">
        <w:rPr>
          <w:rFonts w:ascii="Arial" w:hAnsi="Arial" w:cs="Arial"/>
          <w:bCs/>
          <w:lang w:val="pt-BR" w:eastAsia="es-ES"/>
        </w:rPr>
        <w:t xml:space="preserve"> Tomando em consideração os salários dos servido</w:t>
      </w:r>
      <w:r w:rsidR="003C2BB3" w:rsidRPr="001F27CE">
        <w:rPr>
          <w:rFonts w:ascii="Arial" w:hAnsi="Arial" w:cs="Arial"/>
          <w:bCs/>
          <w:lang w:val="pt-BR" w:eastAsia="es-ES"/>
        </w:rPr>
        <w:t>res envolvidos nestes processos, estima-se um custo anual para o Estado próximo de R$ 3 milhões.</w:t>
      </w:r>
    </w:p>
    <w:p w14:paraId="294D550B" w14:textId="77777777" w:rsidR="00BB09DF" w:rsidRPr="001F27CE" w:rsidRDefault="00BB09DF" w:rsidP="003B118F">
      <w:pPr>
        <w:pStyle w:val="PargrafodaLista"/>
        <w:keepNext/>
        <w:numPr>
          <w:ilvl w:val="1"/>
          <w:numId w:val="4"/>
        </w:numPr>
        <w:tabs>
          <w:tab w:val="clear" w:pos="1009"/>
          <w:tab w:val="num" w:pos="810"/>
        </w:tabs>
        <w:suppressAutoHyphens/>
        <w:spacing w:before="120"/>
        <w:ind w:left="851" w:hanging="581"/>
        <w:jc w:val="both"/>
        <w:outlineLvl w:val="3"/>
        <w:rPr>
          <w:rFonts w:ascii="Arial" w:hAnsi="Arial" w:cs="Arial"/>
          <w:bCs/>
          <w:lang w:val="pt-BR" w:eastAsia="es-ES"/>
        </w:rPr>
      </w:pPr>
      <w:r w:rsidRPr="005E49F1">
        <w:rPr>
          <w:rFonts w:ascii="Arial" w:hAnsi="Arial" w:cs="Arial"/>
          <w:bCs/>
          <w:lang w:val="pt-BR" w:eastAsia="es-ES"/>
        </w:rPr>
        <w:t>O PRO</w:t>
      </w:r>
      <w:r w:rsidRPr="001F27CE">
        <w:rPr>
          <w:rFonts w:ascii="Arial" w:hAnsi="Arial" w:cs="Arial"/>
          <w:bCs/>
          <w:lang w:val="pt-BR" w:eastAsia="es-ES"/>
        </w:rPr>
        <w:t>FISCO II financiará a automatização de grande parte destes processos, eliminando muito do trabalho manual atualmente realizado por servidor</w:t>
      </w:r>
      <w:r w:rsidR="00636D3F">
        <w:rPr>
          <w:rFonts w:ascii="Arial" w:hAnsi="Arial" w:cs="Arial"/>
          <w:bCs/>
          <w:lang w:val="pt-BR" w:eastAsia="es-ES"/>
        </w:rPr>
        <w:t xml:space="preserve">es. A economia de custos com a </w:t>
      </w:r>
      <w:r w:rsidRPr="001F27CE">
        <w:rPr>
          <w:rFonts w:ascii="Arial" w:hAnsi="Arial" w:cs="Arial"/>
          <w:bCs/>
          <w:lang w:val="pt-BR" w:eastAsia="es-ES"/>
        </w:rPr>
        <w:t>automatização dos processos de IPVA (R$ 1 milhão anual) começa no segundo ano de execução, enquanto que a economia com os processos de outros benefícios fiscais (R$ 0,7 milhões) inicia no terceiro ano de execução.</w:t>
      </w:r>
    </w:p>
    <w:p w14:paraId="294D550C" w14:textId="77777777" w:rsidR="000C3C8E" w:rsidRPr="001F27CE" w:rsidRDefault="000C3C8E" w:rsidP="004F42D5">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 Cenário </w:t>
      </w:r>
      <w:proofErr w:type="gramStart"/>
      <w:r w:rsidRPr="001F27CE">
        <w:rPr>
          <w:rFonts w:ascii="Arial" w:hAnsi="Arial" w:cs="Arial"/>
          <w:bCs/>
          <w:lang w:val="pt-BR" w:eastAsia="es-ES"/>
        </w:rPr>
        <w:t>1</w:t>
      </w:r>
      <w:proofErr w:type="gramEnd"/>
      <w:r w:rsidRPr="001F27CE">
        <w:rPr>
          <w:rFonts w:ascii="Arial" w:hAnsi="Arial" w:cs="Arial"/>
          <w:bCs/>
          <w:lang w:val="pt-BR" w:eastAsia="es-ES"/>
        </w:rPr>
        <w:t xml:space="preserve"> (básico) da análise C-B, usando os resultados descritos acima, </w:t>
      </w:r>
      <w:r w:rsidR="00787DB6" w:rsidRPr="001F27CE">
        <w:rPr>
          <w:rFonts w:ascii="Arial" w:hAnsi="Arial" w:cs="Arial"/>
          <w:bCs/>
          <w:lang w:val="pt-BR" w:eastAsia="es-ES"/>
        </w:rPr>
        <w:t>estima</w:t>
      </w:r>
      <w:r w:rsidRPr="001F27CE">
        <w:rPr>
          <w:rFonts w:ascii="Arial" w:hAnsi="Arial" w:cs="Arial"/>
          <w:bCs/>
          <w:lang w:val="pt-BR" w:eastAsia="es-ES"/>
        </w:rPr>
        <w:t xml:space="preserve"> uma taxa interna de retorno </w:t>
      </w:r>
      <w:r w:rsidRPr="001F27CE">
        <w:rPr>
          <w:rFonts w:ascii="Arial" w:hAnsi="Arial" w:cs="Arial"/>
          <w:b/>
          <w:bCs/>
          <w:lang w:val="pt-BR" w:eastAsia="es-ES"/>
        </w:rPr>
        <w:t xml:space="preserve">(TIR) de </w:t>
      </w:r>
      <w:r w:rsidR="00393119" w:rsidRPr="001F27CE">
        <w:rPr>
          <w:rFonts w:ascii="Arial" w:hAnsi="Arial" w:cs="Arial"/>
          <w:b/>
          <w:bCs/>
          <w:lang w:val="pt-BR" w:eastAsia="es-ES"/>
        </w:rPr>
        <w:t>5</w:t>
      </w:r>
      <w:r w:rsidR="003C2BB3" w:rsidRPr="001F27CE">
        <w:rPr>
          <w:rFonts w:ascii="Arial" w:hAnsi="Arial" w:cs="Arial"/>
          <w:b/>
          <w:bCs/>
          <w:lang w:val="pt-BR" w:eastAsia="es-ES"/>
        </w:rPr>
        <w:t>6</w:t>
      </w:r>
      <w:r w:rsidR="00393119" w:rsidRPr="001F27CE">
        <w:rPr>
          <w:rFonts w:ascii="Arial" w:hAnsi="Arial" w:cs="Arial"/>
          <w:b/>
          <w:bCs/>
          <w:lang w:val="pt-BR" w:eastAsia="es-ES"/>
        </w:rPr>
        <w:t>,</w:t>
      </w:r>
      <w:r w:rsidR="00662CC7" w:rsidRPr="001F27CE">
        <w:rPr>
          <w:rFonts w:ascii="Arial" w:hAnsi="Arial" w:cs="Arial"/>
          <w:b/>
          <w:bCs/>
          <w:lang w:val="pt-BR" w:eastAsia="es-ES"/>
        </w:rPr>
        <w:t>1</w:t>
      </w:r>
      <w:r w:rsidRPr="001F27CE">
        <w:rPr>
          <w:rFonts w:ascii="Arial" w:hAnsi="Arial" w:cs="Arial"/>
          <w:b/>
          <w:bCs/>
          <w:lang w:val="pt-BR" w:eastAsia="es-ES"/>
        </w:rPr>
        <w:t>%</w:t>
      </w:r>
      <w:r w:rsidRPr="001F27CE">
        <w:rPr>
          <w:rFonts w:ascii="Arial" w:hAnsi="Arial" w:cs="Arial"/>
          <w:bCs/>
          <w:lang w:val="pt-BR" w:eastAsia="es-ES"/>
        </w:rPr>
        <w:t xml:space="preserve"> e um valor presente líquido </w:t>
      </w:r>
      <w:r w:rsidRPr="001F27CE">
        <w:rPr>
          <w:rFonts w:ascii="Arial" w:hAnsi="Arial" w:cs="Arial"/>
          <w:b/>
          <w:bCs/>
          <w:lang w:val="pt-BR" w:eastAsia="es-ES"/>
        </w:rPr>
        <w:t xml:space="preserve">(VPL) de </w:t>
      </w:r>
      <w:r w:rsidR="00662CC7" w:rsidRPr="001F27CE">
        <w:rPr>
          <w:rFonts w:ascii="Arial" w:hAnsi="Arial" w:cs="Arial"/>
          <w:b/>
          <w:bCs/>
          <w:lang w:val="pt-BR" w:eastAsia="es-ES"/>
        </w:rPr>
        <w:t xml:space="preserve">quase </w:t>
      </w:r>
      <w:r w:rsidRPr="001F27CE">
        <w:rPr>
          <w:rFonts w:ascii="Arial" w:hAnsi="Arial" w:cs="Arial"/>
          <w:b/>
          <w:bCs/>
          <w:lang w:val="pt-BR" w:eastAsia="es-ES"/>
        </w:rPr>
        <w:t xml:space="preserve">US$ </w:t>
      </w:r>
      <w:r w:rsidR="003C2BB3" w:rsidRPr="001F27CE">
        <w:rPr>
          <w:rFonts w:ascii="Arial" w:hAnsi="Arial" w:cs="Arial"/>
          <w:b/>
          <w:bCs/>
          <w:lang w:val="pt-BR" w:eastAsia="es-ES"/>
        </w:rPr>
        <w:t>5</w:t>
      </w:r>
      <w:r w:rsidR="00662CC7" w:rsidRPr="001F27CE">
        <w:rPr>
          <w:rFonts w:ascii="Arial" w:hAnsi="Arial" w:cs="Arial"/>
          <w:b/>
          <w:bCs/>
          <w:lang w:val="pt-BR" w:eastAsia="es-ES"/>
        </w:rPr>
        <w:t>0</w:t>
      </w:r>
      <w:r w:rsidRPr="001F27CE">
        <w:rPr>
          <w:rFonts w:ascii="Arial" w:hAnsi="Arial" w:cs="Arial"/>
          <w:b/>
          <w:bCs/>
          <w:lang w:val="pt-BR" w:eastAsia="es-ES"/>
        </w:rPr>
        <w:t xml:space="preserve"> milhões</w:t>
      </w:r>
      <w:r w:rsidRPr="001F27CE">
        <w:rPr>
          <w:rFonts w:ascii="Arial" w:hAnsi="Arial" w:cs="Arial"/>
          <w:bCs/>
          <w:lang w:val="pt-BR" w:eastAsia="es-ES"/>
        </w:rPr>
        <w:t xml:space="preserve">. </w:t>
      </w:r>
      <w:r w:rsidR="00393119" w:rsidRPr="001F27CE">
        <w:rPr>
          <w:rFonts w:ascii="Arial" w:hAnsi="Arial" w:cs="Arial"/>
          <w:bCs/>
          <w:lang w:val="pt-BR" w:eastAsia="es-ES"/>
        </w:rPr>
        <w:t xml:space="preserve">O fluxo financeiro anual (Benefícios – Custos) passa a ser positivo no </w:t>
      </w:r>
      <w:r w:rsidR="00662CC7" w:rsidRPr="001F27CE">
        <w:rPr>
          <w:rFonts w:ascii="Arial" w:hAnsi="Arial" w:cs="Arial"/>
          <w:bCs/>
          <w:lang w:val="pt-BR" w:eastAsia="es-ES"/>
        </w:rPr>
        <w:t>terceiro</w:t>
      </w:r>
      <w:r w:rsidR="003C2BB3" w:rsidRPr="001F27CE">
        <w:rPr>
          <w:rFonts w:ascii="Arial" w:hAnsi="Arial" w:cs="Arial"/>
          <w:bCs/>
          <w:lang w:val="pt-BR" w:eastAsia="es-ES"/>
        </w:rPr>
        <w:t xml:space="preserve"> ano</w:t>
      </w:r>
      <w:r w:rsidR="00393119" w:rsidRPr="001F27CE">
        <w:rPr>
          <w:rFonts w:ascii="Arial" w:hAnsi="Arial" w:cs="Arial"/>
          <w:bCs/>
          <w:lang w:val="pt-BR" w:eastAsia="es-ES"/>
        </w:rPr>
        <w:t xml:space="preserve"> do programa e, no acumulado, passa a ser positivo no </w:t>
      </w:r>
      <w:r w:rsidR="003C2BB3" w:rsidRPr="001F27CE">
        <w:rPr>
          <w:rFonts w:ascii="Arial" w:hAnsi="Arial" w:cs="Arial"/>
          <w:bCs/>
          <w:lang w:val="pt-BR" w:eastAsia="es-ES"/>
        </w:rPr>
        <w:t>quinto</w:t>
      </w:r>
      <w:r w:rsidR="00393119" w:rsidRPr="001F27CE">
        <w:rPr>
          <w:rFonts w:ascii="Arial" w:hAnsi="Arial" w:cs="Arial"/>
          <w:bCs/>
          <w:lang w:val="pt-BR" w:eastAsia="es-ES"/>
        </w:rPr>
        <w:t xml:space="preserve"> ano do programa, ou seja, já com retorno positivo para o programa como um todo.</w:t>
      </w:r>
      <w:r w:rsidRPr="001F27CE">
        <w:rPr>
          <w:rFonts w:ascii="Arial" w:hAnsi="Arial" w:cs="Arial"/>
          <w:bCs/>
          <w:lang w:val="pt-BR" w:eastAsia="es-ES"/>
        </w:rPr>
        <w:t xml:space="preserve"> </w:t>
      </w:r>
    </w:p>
    <w:p w14:paraId="294D550D" w14:textId="56C66731" w:rsidR="00691023" w:rsidRPr="001F27CE" w:rsidRDefault="000C3C8E" w:rsidP="004F42D5">
      <w:pPr>
        <w:pStyle w:val="PargrafodaLista"/>
        <w:keepNext/>
        <w:numPr>
          <w:ilvl w:val="1"/>
          <w:numId w:val="4"/>
        </w:numPr>
        <w:tabs>
          <w:tab w:val="num" w:pos="851"/>
        </w:tabs>
        <w:suppressAutoHyphens/>
        <w:spacing w:before="120"/>
        <w:ind w:left="851" w:hanging="567"/>
        <w:jc w:val="both"/>
        <w:outlineLvl w:val="2"/>
        <w:rPr>
          <w:rFonts w:ascii="Arial" w:hAnsi="Arial" w:cs="Arial"/>
          <w:bCs/>
          <w:lang w:val="pt-BR" w:eastAsia="es-ES"/>
        </w:rPr>
      </w:pPr>
      <w:bookmarkStart w:id="1" w:name="_Toc494137324"/>
      <w:r w:rsidRPr="001F27CE">
        <w:rPr>
          <w:rFonts w:ascii="Arial" w:hAnsi="Arial" w:cs="Arial"/>
          <w:bCs/>
          <w:lang w:val="pt-BR" w:eastAsia="es-ES"/>
        </w:rPr>
        <w:t xml:space="preserve">A Análise de Sensibilidade para o cenário básico inclui três diferentes cenários: uma desvalorização </w:t>
      </w:r>
      <w:r w:rsidR="003C2BB3" w:rsidRPr="001F27CE">
        <w:rPr>
          <w:rFonts w:ascii="Arial" w:hAnsi="Arial" w:cs="Arial"/>
          <w:bCs/>
          <w:lang w:val="pt-BR" w:eastAsia="es-ES"/>
        </w:rPr>
        <w:t xml:space="preserve">de 25% </w:t>
      </w:r>
      <w:r w:rsidRPr="001F27CE">
        <w:rPr>
          <w:rFonts w:ascii="Arial" w:hAnsi="Arial" w:cs="Arial"/>
          <w:bCs/>
          <w:lang w:val="pt-BR" w:eastAsia="es-ES"/>
        </w:rPr>
        <w:t xml:space="preserve">do Real, uma redução </w:t>
      </w:r>
      <w:r w:rsidR="003C2BB3" w:rsidRPr="001F27CE">
        <w:rPr>
          <w:rFonts w:ascii="Arial" w:hAnsi="Arial" w:cs="Arial"/>
          <w:bCs/>
          <w:lang w:val="pt-BR" w:eastAsia="es-ES"/>
        </w:rPr>
        <w:t xml:space="preserve">pela metade </w:t>
      </w:r>
      <w:r w:rsidRPr="001F27CE">
        <w:rPr>
          <w:rFonts w:ascii="Arial" w:hAnsi="Arial" w:cs="Arial"/>
          <w:bCs/>
          <w:lang w:val="pt-BR" w:eastAsia="es-ES"/>
        </w:rPr>
        <w:t>d</w:t>
      </w:r>
      <w:r w:rsidR="00662CC7" w:rsidRPr="001F27CE">
        <w:rPr>
          <w:rFonts w:ascii="Arial" w:hAnsi="Arial" w:cs="Arial"/>
          <w:bCs/>
          <w:lang w:val="pt-BR" w:eastAsia="es-ES"/>
        </w:rPr>
        <w:t>o</w:t>
      </w:r>
      <w:r w:rsidR="003C2BB3" w:rsidRPr="001F27CE">
        <w:rPr>
          <w:rFonts w:ascii="Arial" w:hAnsi="Arial" w:cs="Arial"/>
          <w:bCs/>
          <w:lang w:val="pt-BR" w:eastAsia="es-ES"/>
        </w:rPr>
        <w:t xml:space="preserve"> aumento da arrecadação </w:t>
      </w:r>
      <w:r w:rsidRPr="001F27CE">
        <w:rPr>
          <w:rFonts w:ascii="Arial" w:hAnsi="Arial" w:cs="Arial"/>
          <w:bCs/>
          <w:lang w:val="pt-BR" w:eastAsia="es-ES"/>
        </w:rPr>
        <w:t xml:space="preserve">e um cenário que mistura desvalorização e redução de benefícios. </w:t>
      </w:r>
      <w:r w:rsidR="00E52FCF" w:rsidRPr="00E52FCF">
        <w:rPr>
          <w:rFonts w:ascii="Arial" w:hAnsi="Arial" w:cs="Arial"/>
          <w:bCs/>
          <w:color w:val="FF0000"/>
          <w:lang w:val="pt-BR" w:eastAsia="es-ES"/>
        </w:rPr>
        <w:t xml:space="preserve">A Tabela 2 </w:t>
      </w:r>
      <w:r w:rsidRPr="001F27CE">
        <w:rPr>
          <w:rFonts w:ascii="Arial" w:hAnsi="Arial" w:cs="Arial"/>
          <w:bCs/>
          <w:lang w:val="pt-BR" w:eastAsia="es-ES"/>
        </w:rPr>
        <w:t>abaixo sumariza os quatro cenários da análise de sensibilidade.</w:t>
      </w:r>
      <w:bookmarkEnd w:id="1"/>
      <w:r w:rsidRPr="001F27CE">
        <w:rPr>
          <w:rFonts w:ascii="Arial" w:hAnsi="Arial" w:cs="Arial"/>
          <w:bCs/>
          <w:lang w:val="pt-BR" w:eastAsia="es-ES"/>
        </w:rPr>
        <w:t xml:space="preserve"> </w:t>
      </w:r>
    </w:p>
    <w:p w14:paraId="294D550E" w14:textId="77777777" w:rsidR="00684033" w:rsidRDefault="00684033" w:rsidP="00DD5382">
      <w:pPr>
        <w:pStyle w:val="PargrafodaLista"/>
        <w:keepNext/>
        <w:numPr>
          <w:ilvl w:val="1"/>
          <w:numId w:val="4"/>
        </w:numPr>
        <w:tabs>
          <w:tab w:val="clear" w:pos="1009"/>
          <w:tab w:val="num" w:pos="851"/>
        </w:tabs>
        <w:suppressAutoHyphens/>
        <w:ind w:left="851" w:hanging="567"/>
        <w:jc w:val="both"/>
        <w:outlineLvl w:val="3"/>
        <w:rPr>
          <w:rFonts w:ascii="Arial" w:hAnsi="Arial" w:cs="Arial"/>
          <w:bCs/>
          <w:lang w:val="pt-BR" w:eastAsia="es-ES"/>
        </w:rPr>
      </w:pPr>
      <w:r w:rsidRPr="001F27CE">
        <w:rPr>
          <w:rFonts w:ascii="Arial" w:hAnsi="Arial" w:cs="Arial"/>
          <w:bCs/>
          <w:lang w:val="pt-BR" w:eastAsia="es-ES"/>
        </w:rPr>
        <w:t xml:space="preserve">É importante notar que a análise de sensibilidade apenas focou em casos de deterioração do cenário básico. As hipóteses do cenário básico são substancialmente conservadoras, especialmente para a redução do Gap Tributário. A probabilidade de um retorno maior do que o cenário básico é </w:t>
      </w:r>
      <w:r w:rsidR="00DD5382" w:rsidRPr="001F27CE">
        <w:rPr>
          <w:rFonts w:ascii="Arial" w:hAnsi="Arial" w:cs="Arial"/>
          <w:bCs/>
          <w:lang w:val="pt-BR" w:eastAsia="es-ES"/>
        </w:rPr>
        <w:t xml:space="preserve">bastante </w:t>
      </w:r>
      <w:proofErr w:type="gramStart"/>
      <w:r w:rsidRPr="001F27CE">
        <w:rPr>
          <w:rFonts w:ascii="Arial" w:hAnsi="Arial" w:cs="Arial"/>
          <w:bCs/>
          <w:lang w:val="pt-BR" w:eastAsia="es-ES"/>
        </w:rPr>
        <w:t>alta</w:t>
      </w:r>
      <w:proofErr w:type="gramEnd"/>
      <w:r w:rsidRPr="001F27CE">
        <w:rPr>
          <w:rFonts w:ascii="Arial" w:hAnsi="Arial" w:cs="Arial"/>
          <w:bCs/>
          <w:lang w:val="pt-BR" w:eastAsia="es-ES"/>
        </w:rPr>
        <w:t xml:space="preserve">. </w:t>
      </w:r>
    </w:p>
    <w:p w14:paraId="188C7073" w14:textId="77777777" w:rsidR="00B748FA" w:rsidRDefault="00B748FA" w:rsidP="00B748FA">
      <w:pPr>
        <w:keepNext/>
        <w:suppressAutoHyphens/>
        <w:jc w:val="both"/>
        <w:outlineLvl w:val="3"/>
        <w:rPr>
          <w:rFonts w:ascii="Arial" w:hAnsi="Arial" w:cs="Arial"/>
          <w:bCs/>
          <w:lang w:val="pt-BR" w:eastAsia="es-ES"/>
        </w:rPr>
      </w:pPr>
    </w:p>
    <w:tbl>
      <w:tblPr>
        <w:tblW w:w="7440" w:type="dxa"/>
        <w:tblInd w:w="959" w:type="dxa"/>
        <w:tblLook w:val="04A0" w:firstRow="1" w:lastRow="0" w:firstColumn="1" w:lastColumn="0" w:noHBand="0" w:noVBand="1"/>
      </w:tblPr>
      <w:tblGrid>
        <w:gridCol w:w="2588"/>
        <w:gridCol w:w="845"/>
        <w:gridCol w:w="4007"/>
      </w:tblGrid>
      <w:tr w:rsidR="00B748FA" w:rsidRPr="00B748FA" w14:paraId="57D663A3" w14:textId="77777777" w:rsidTr="00B748FA">
        <w:trPr>
          <w:trHeight w:val="300"/>
        </w:trPr>
        <w:tc>
          <w:tcPr>
            <w:tcW w:w="7440" w:type="dxa"/>
            <w:gridSpan w:val="3"/>
            <w:tcBorders>
              <w:top w:val="nil"/>
              <w:left w:val="nil"/>
              <w:bottom w:val="nil"/>
              <w:right w:val="nil"/>
            </w:tcBorders>
            <w:shd w:val="clear" w:color="auto" w:fill="auto"/>
            <w:noWrap/>
            <w:vAlign w:val="center"/>
            <w:hideMark/>
          </w:tcPr>
          <w:p w14:paraId="524262D5" w14:textId="77777777" w:rsidR="00B748FA" w:rsidRPr="00E52FCF" w:rsidRDefault="00B748FA" w:rsidP="00B748FA">
            <w:pPr>
              <w:rPr>
                <w:b/>
                <w:bCs/>
                <w:color w:val="FF0000"/>
                <w:sz w:val="22"/>
                <w:szCs w:val="22"/>
                <w:lang w:val="pt-BR"/>
              </w:rPr>
            </w:pPr>
            <w:r w:rsidRPr="00E52FCF">
              <w:rPr>
                <w:b/>
                <w:bCs/>
                <w:color w:val="FF0000"/>
                <w:sz w:val="22"/>
                <w:szCs w:val="22"/>
                <w:lang w:val="pt-BR"/>
              </w:rPr>
              <w:t>Tabela 2: Sumário da Análise de Sensibilidade da Análise Custo-Benefício</w:t>
            </w:r>
          </w:p>
        </w:tc>
      </w:tr>
      <w:tr w:rsidR="00B748FA" w:rsidRPr="00B748FA" w14:paraId="60B93630" w14:textId="77777777" w:rsidTr="00B748FA">
        <w:trPr>
          <w:trHeight w:val="300"/>
        </w:trPr>
        <w:tc>
          <w:tcPr>
            <w:tcW w:w="2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95162" w14:textId="77777777" w:rsidR="00B748FA" w:rsidRPr="00E52FCF" w:rsidRDefault="00B748FA" w:rsidP="00B748FA">
            <w:pPr>
              <w:rPr>
                <w:rFonts w:ascii="Calibri" w:hAnsi="Calibri" w:cs="Calibri"/>
                <w:color w:val="FF0000"/>
                <w:sz w:val="22"/>
                <w:szCs w:val="22"/>
                <w:lang w:val="pt-BR"/>
              </w:rPr>
            </w:pPr>
            <w:r w:rsidRPr="00E52FCF">
              <w:rPr>
                <w:rFonts w:ascii="Calibri" w:hAnsi="Calibri" w:cs="Calibri"/>
                <w:color w:val="FF0000"/>
                <w:sz w:val="22"/>
                <w:szCs w:val="22"/>
                <w:lang w:val="pt-BR"/>
              </w:rPr>
              <w:t> </w:t>
            </w:r>
          </w:p>
        </w:tc>
        <w:tc>
          <w:tcPr>
            <w:tcW w:w="845" w:type="dxa"/>
            <w:tcBorders>
              <w:top w:val="single" w:sz="4" w:space="0" w:color="auto"/>
              <w:left w:val="nil"/>
              <w:bottom w:val="single" w:sz="4" w:space="0" w:color="auto"/>
              <w:right w:val="single" w:sz="4" w:space="0" w:color="auto"/>
            </w:tcBorders>
            <w:shd w:val="clear" w:color="auto" w:fill="auto"/>
            <w:noWrap/>
            <w:vAlign w:val="bottom"/>
            <w:hideMark/>
          </w:tcPr>
          <w:p w14:paraId="1E740F65" w14:textId="77777777" w:rsidR="00B748FA" w:rsidRPr="00E52FCF" w:rsidRDefault="00B748FA" w:rsidP="00B748FA">
            <w:pPr>
              <w:jc w:val="center"/>
              <w:rPr>
                <w:rFonts w:ascii="Calibri" w:hAnsi="Calibri" w:cs="Calibri"/>
                <w:color w:val="FF0000"/>
                <w:sz w:val="22"/>
                <w:szCs w:val="22"/>
              </w:rPr>
            </w:pPr>
            <w:r w:rsidRPr="00E52FCF">
              <w:rPr>
                <w:rFonts w:ascii="Calibri" w:hAnsi="Calibri" w:cs="Calibri"/>
                <w:color w:val="FF0000"/>
                <w:sz w:val="22"/>
                <w:szCs w:val="22"/>
              </w:rPr>
              <w:t>TIR</w:t>
            </w:r>
          </w:p>
        </w:tc>
        <w:tc>
          <w:tcPr>
            <w:tcW w:w="4007" w:type="dxa"/>
            <w:tcBorders>
              <w:top w:val="single" w:sz="4" w:space="0" w:color="auto"/>
              <w:left w:val="nil"/>
              <w:bottom w:val="single" w:sz="4" w:space="0" w:color="auto"/>
              <w:right w:val="single" w:sz="4" w:space="0" w:color="auto"/>
            </w:tcBorders>
            <w:shd w:val="clear" w:color="auto" w:fill="auto"/>
            <w:noWrap/>
            <w:vAlign w:val="bottom"/>
            <w:hideMark/>
          </w:tcPr>
          <w:p w14:paraId="657F53A8" w14:textId="77777777" w:rsidR="00B748FA" w:rsidRPr="00E52FCF" w:rsidRDefault="00B748FA" w:rsidP="00B748FA">
            <w:pPr>
              <w:jc w:val="center"/>
              <w:rPr>
                <w:rFonts w:ascii="Calibri" w:hAnsi="Calibri" w:cs="Calibri"/>
                <w:color w:val="FF0000"/>
                <w:sz w:val="22"/>
                <w:szCs w:val="22"/>
              </w:rPr>
            </w:pPr>
            <w:r w:rsidRPr="00E52FCF">
              <w:rPr>
                <w:rFonts w:ascii="Calibri" w:hAnsi="Calibri" w:cs="Calibri"/>
                <w:color w:val="FF0000"/>
                <w:sz w:val="22"/>
                <w:szCs w:val="22"/>
              </w:rPr>
              <w:t>VPL</w:t>
            </w:r>
          </w:p>
        </w:tc>
      </w:tr>
      <w:tr w:rsidR="00B748FA" w:rsidRPr="00B748FA" w14:paraId="0C14DCB8" w14:textId="77777777" w:rsidTr="00B748FA">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3C60A754" w14:textId="77777777" w:rsidR="00B748FA" w:rsidRPr="00E52FCF" w:rsidRDefault="00B748FA" w:rsidP="00B748FA">
            <w:pPr>
              <w:rPr>
                <w:rFonts w:ascii="Calibri" w:hAnsi="Calibri" w:cs="Calibri"/>
                <w:color w:val="FF0000"/>
                <w:sz w:val="22"/>
                <w:szCs w:val="22"/>
              </w:rPr>
            </w:pPr>
            <w:proofErr w:type="spellStart"/>
            <w:r w:rsidRPr="00E52FCF">
              <w:rPr>
                <w:rFonts w:ascii="Calibri" w:hAnsi="Calibri" w:cs="Calibri"/>
                <w:color w:val="FF0000"/>
                <w:sz w:val="22"/>
                <w:szCs w:val="22"/>
              </w:rPr>
              <w:t>Básico</w:t>
            </w:r>
            <w:proofErr w:type="spellEnd"/>
          </w:p>
        </w:tc>
        <w:tc>
          <w:tcPr>
            <w:tcW w:w="845" w:type="dxa"/>
            <w:tcBorders>
              <w:top w:val="nil"/>
              <w:left w:val="nil"/>
              <w:bottom w:val="single" w:sz="4" w:space="0" w:color="auto"/>
              <w:right w:val="single" w:sz="4" w:space="0" w:color="auto"/>
            </w:tcBorders>
            <w:shd w:val="clear" w:color="auto" w:fill="auto"/>
            <w:noWrap/>
            <w:vAlign w:val="bottom"/>
            <w:hideMark/>
          </w:tcPr>
          <w:p w14:paraId="63001DD3" w14:textId="77777777" w:rsidR="00B748FA" w:rsidRPr="00E52FCF" w:rsidRDefault="00B748FA" w:rsidP="00B748FA">
            <w:pPr>
              <w:jc w:val="center"/>
              <w:rPr>
                <w:rFonts w:ascii="Calibri" w:hAnsi="Calibri" w:cs="Calibri"/>
                <w:color w:val="FF0000"/>
                <w:sz w:val="22"/>
                <w:szCs w:val="22"/>
              </w:rPr>
            </w:pPr>
            <w:r w:rsidRPr="00E52FCF">
              <w:rPr>
                <w:rFonts w:ascii="Calibri" w:hAnsi="Calibri" w:cs="Calibri"/>
                <w:color w:val="FF0000"/>
                <w:sz w:val="22"/>
                <w:szCs w:val="22"/>
              </w:rPr>
              <w:t>56,1%</w:t>
            </w:r>
          </w:p>
        </w:tc>
        <w:tc>
          <w:tcPr>
            <w:tcW w:w="4007" w:type="dxa"/>
            <w:tcBorders>
              <w:top w:val="nil"/>
              <w:left w:val="nil"/>
              <w:bottom w:val="single" w:sz="4" w:space="0" w:color="auto"/>
              <w:right w:val="single" w:sz="4" w:space="0" w:color="auto"/>
            </w:tcBorders>
            <w:shd w:val="clear" w:color="auto" w:fill="auto"/>
            <w:noWrap/>
            <w:vAlign w:val="bottom"/>
            <w:hideMark/>
          </w:tcPr>
          <w:p w14:paraId="16851F77" w14:textId="77777777" w:rsidR="00B748FA" w:rsidRPr="00E52FCF" w:rsidRDefault="00B748FA" w:rsidP="00B748FA">
            <w:pPr>
              <w:rPr>
                <w:rFonts w:ascii="Calibri" w:hAnsi="Calibri" w:cs="Calibri"/>
                <w:color w:val="FF0000"/>
                <w:sz w:val="22"/>
                <w:szCs w:val="22"/>
              </w:rPr>
            </w:pPr>
            <w:r w:rsidRPr="00E52FCF">
              <w:rPr>
                <w:rFonts w:ascii="Calibri" w:hAnsi="Calibri" w:cs="Calibri"/>
                <w:color w:val="FF0000"/>
                <w:sz w:val="22"/>
                <w:szCs w:val="22"/>
              </w:rPr>
              <w:t xml:space="preserve"> $                               49.551.651 </w:t>
            </w:r>
          </w:p>
        </w:tc>
      </w:tr>
      <w:tr w:rsidR="00B748FA" w:rsidRPr="00B748FA" w14:paraId="0503694F" w14:textId="77777777" w:rsidTr="00B748FA">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17643312" w14:textId="77777777" w:rsidR="00B748FA" w:rsidRPr="00E52FCF" w:rsidRDefault="00B748FA" w:rsidP="00B748FA">
            <w:pPr>
              <w:rPr>
                <w:rFonts w:ascii="Calibri" w:hAnsi="Calibri" w:cs="Calibri"/>
                <w:color w:val="FF0000"/>
                <w:sz w:val="22"/>
                <w:szCs w:val="22"/>
              </w:rPr>
            </w:pPr>
            <w:proofErr w:type="spellStart"/>
            <w:r w:rsidRPr="00E52FCF">
              <w:rPr>
                <w:rFonts w:ascii="Calibri" w:hAnsi="Calibri" w:cs="Calibri"/>
                <w:color w:val="FF0000"/>
                <w:sz w:val="22"/>
                <w:szCs w:val="22"/>
              </w:rPr>
              <w:t>Desvalorização</w:t>
            </w:r>
            <w:proofErr w:type="spellEnd"/>
          </w:p>
        </w:tc>
        <w:tc>
          <w:tcPr>
            <w:tcW w:w="845" w:type="dxa"/>
            <w:tcBorders>
              <w:top w:val="nil"/>
              <w:left w:val="nil"/>
              <w:bottom w:val="single" w:sz="4" w:space="0" w:color="auto"/>
              <w:right w:val="single" w:sz="4" w:space="0" w:color="auto"/>
            </w:tcBorders>
            <w:shd w:val="clear" w:color="auto" w:fill="auto"/>
            <w:noWrap/>
            <w:vAlign w:val="bottom"/>
            <w:hideMark/>
          </w:tcPr>
          <w:p w14:paraId="7A08042A" w14:textId="77777777" w:rsidR="00B748FA" w:rsidRPr="00E52FCF" w:rsidRDefault="00B748FA" w:rsidP="00B748FA">
            <w:pPr>
              <w:jc w:val="center"/>
              <w:rPr>
                <w:rFonts w:ascii="Calibri" w:hAnsi="Calibri" w:cs="Calibri"/>
                <w:color w:val="FF0000"/>
                <w:sz w:val="22"/>
                <w:szCs w:val="22"/>
              </w:rPr>
            </w:pPr>
            <w:r w:rsidRPr="00E52FCF">
              <w:rPr>
                <w:rFonts w:ascii="Calibri" w:hAnsi="Calibri" w:cs="Calibri"/>
                <w:color w:val="FF0000"/>
                <w:sz w:val="22"/>
                <w:szCs w:val="22"/>
              </w:rPr>
              <w:t>42,5%</w:t>
            </w:r>
          </w:p>
        </w:tc>
        <w:tc>
          <w:tcPr>
            <w:tcW w:w="4007" w:type="dxa"/>
            <w:tcBorders>
              <w:top w:val="nil"/>
              <w:left w:val="nil"/>
              <w:bottom w:val="single" w:sz="4" w:space="0" w:color="auto"/>
              <w:right w:val="single" w:sz="4" w:space="0" w:color="auto"/>
            </w:tcBorders>
            <w:shd w:val="clear" w:color="auto" w:fill="auto"/>
            <w:noWrap/>
            <w:vAlign w:val="bottom"/>
            <w:hideMark/>
          </w:tcPr>
          <w:p w14:paraId="2094BC2A" w14:textId="77777777" w:rsidR="00B748FA" w:rsidRPr="00E52FCF" w:rsidRDefault="00B748FA" w:rsidP="00B748FA">
            <w:pPr>
              <w:rPr>
                <w:rFonts w:ascii="Calibri" w:hAnsi="Calibri" w:cs="Calibri"/>
                <w:color w:val="FF0000"/>
                <w:sz w:val="22"/>
                <w:szCs w:val="22"/>
              </w:rPr>
            </w:pPr>
            <w:r w:rsidRPr="00E52FCF">
              <w:rPr>
                <w:rFonts w:ascii="Calibri" w:hAnsi="Calibri" w:cs="Calibri"/>
                <w:color w:val="FF0000"/>
                <w:sz w:val="22"/>
                <w:szCs w:val="22"/>
              </w:rPr>
              <w:t xml:space="preserve"> $                               33.219.845 </w:t>
            </w:r>
          </w:p>
        </w:tc>
      </w:tr>
      <w:tr w:rsidR="00B748FA" w:rsidRPr="00B748FA" w14:paraId="70F0149A" w14:textId="77777777" w:rsidTr="00B748FA">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6EEBAB34" w14:textId="77777777" w:rsidR="00B748FA" w:rsidRPr="00E52FCF" w:rsidRDefault="00B748FA" w:rsidP="00B748FA">
            <w:pPr>
              <w:rPr>
                <w:rFonts w:ascii="Calibri" w:hAnsi="Calibri" w:cs="Calibri"/>
                <w:color w:val="FF0000"/>
                <w:sz w:val="22"/>
                <w:szCs w:val="22"/>
              </w:rPr>
            </w:pPr>
            <w:proofErr w:type="spellStart"/>
            <w:r w:rsidRPr="00E52FCF">
              <w:rPr>
                <w:rFonts w:ascii="Calibri" w:hAnsi="Calibri" w:cs="Calibri"/>
                <w:color w:val="FF0000"/>
                <w:sz w:val="22"/>
                <w:szCs w:val="22"/>
              </w:rPr>
              <w:t>Redução</w:t>
            </w:r>
            <w:proofErr w:type="spellEnd"/>
            <w:r w:rsidRPr="00E52FCF">
              <w:rPr>
                <w:rFonts w:ascii="Calibri" w:hAnsi="Calibri" w:cs="Calibri"/>
                <w:color w:val="FF0000"/>
                <w:sz w:val="22"/>
                <w:szCs w:val="22"/>
              </w:rPr>
              <w:t xml:space="preserve"> </w:t>
            </w:r>
            <w:proofErr w:type="spellStart"/>
            <w:r w:rsidRPr="00E52FCF">
              <w:rPr>
                <w:rFonts w:ascii="Calibri" w:hAnsi="Calibri" w:cs="Calibri"/>
                <w:color w:val="FF0000"/>
                <w:sz w:val="22"/>
                <w:szCs w:val="22"/>
              </w:rPr>
              <w:t>benefícios</w:t>
            </w:r>
            <w:proofErr w:type="spellEnd"/>
          </w:p>
        </w:tc>
        <w:tc>
          <w:tcPr>
            <w:tcW w:w="845" w:type="dxa"/>
            <w:tcBorders>
              <w:top w:val="nil"/>
              <w:left w:val="nil"/>
              <w:bottom w:val="single" w:sz="4" w:space="0" w:color="auto"/>
              <w:right w:val="single" w:sz="4" w:space="0" w:color="auto"/>
            </w:tcBorders>
            <w:shd w:val="clear" w:color="auto" w:fill="auto"/>
            <w:noWrap/>
            <w:vAlign w:val="bottom"/>
            <w:hideMark/>
          </w:tcPr>
          <w:p w14:paraId="6213C9DF" w14:textId="77777777" w:rsidR="00B748FA" w:rsidRPr="00E52FCF" w:rsidRDefault="00B748FA" w:rsidP="00B748FA">
            <w:pPr>
              <w:jc w:val="center"/>
              <w:rPr>
                <w:rFonts w:ascii="Calibri" w:hAnsi="Calibri" w:cs="Calibri"/>
                <w:color w:val="FF0000"/>
                <w:sz w:val="22"/>
                <w:szCs w:val="22"/>
              </w:rPr>
            </w:pPr>
            <w:r w:rsidRPr="00E52FCF">
              <w:rPr>
                <w:rFonts w:ascii="Calibri" w:hAnsi="Calibri" w:cs="Calibri"/>
                <w:color w:val="FF0000"/>
                <w:sz w:val="22"/>
                <w:szCs w:val="22"/>
              </w:rPr>
              <w:t>20,5%</w:t>
            </w:r>
          </w:p>
        </w:tc>
        <w:tc>
          <w:tcPr>
            <w:tcW w:w="4007" w:type="dxa"/>
            <w:tcBorders>
              <w:top w:val="nil"/>
              <w:left w:val="nil"/>
              <w:bottom w:val="single" w:sz="4" w:space="0" w:color="auto"/>
              <w:right w:val="single" w:sz="4" w:space="0" w:color="auto"/>
            </w:tcBorders>
            <w:shd w:val="clear" w:color="auto" w:fill="auto"/>
            <w:noWrap/>
            <w:vAlign w:val="bottom"/>
            <w:hideMark/>
          </w:tcPr>
          <w:p w14:paraId="2C346414" w14:textId="77777777" w:rsidR="00B748FA" w:rsidRPr="00E52FCF" w:rsidRDefault="00B748FA" w:rsidP="00B748FA">
            <w:pPr>
              <w:rPr>
                <w:rFonts w:ascii="Calibri" w:hAnsi="Calibri" w:cs="Calibri"/>
                <w:color w:val="FF0000"/>
                <w:sz w:val="22"/>
                <w:szCs w:val="22"/>
              </w:rPr>
            </w:pPr>
            <w:r w:rsidRPr="00E52FCF">
              <w:rPr>
                <w:rFonts w:ascii="Calibri" w:hAnsi="Calibri" w:cs="Calibri"/>
                <w:color w:val="FF0000"/>
                <w:sz w:val="22"/>
                <w:szCs w:val="22"/>
              </w:rPr>
              <w:t xml:space="preserve"> $                                 8.407.821 </w:t>
            </w:r>
          </w:p>
        </w:tc>
      </w:tr>
      <w:tr w:rsidR="00B748FA" w:rsidRPr="00B748FA" w14:paraId="26424EF9" w14:textId="77777777" w:rsidTr="00B748FA">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455340C5" w14:textId="77777777" w:rsidR="00B748FA" w:rsidRPr="00E52FCF" w:rsidRDefault="00B748FA" w:rsidP="00B748FA">
            <w:pPr>
              <w:rPr>
                <w:rFonts w:ascii="Calibri" w:hAnsi="Calibri" w:cs="Calibri"/>
                <w:color w:val="FF0000"/>
                <w:sz w:val="22"/>
                <w:szCs w:val="22"/>
              </w:rPr>
            </w:pPr>
            <w:r w:rsidRPr="00E52FCF">
              <w:rPr>
                <w:rFonts w:ascii="Calibri" w:hAnsi="Calibri" w:cs="Calibri"/>
                <w:color w:val="FF0000"/>
                <w:sz w:val="22"/>
                <w:szCs w:val="22"/>
              </w:rPr>
              <w:t>Duplo</w:t>
            </w:r>
          </w:p>
        </w:tc>
        <w:tc>
          <w:tcPr>
            <w:tcW w:w="845" w:type="dxa"/>
            <w:tcBorders>
              <w:top w:val="nil"/>
              <w:left w:val="nil"/>
              <w:bottom w:val="single" w:sz="4" w:space="0" w:color="auto"/>
              <w:right w:val="single" w:sz="4" w:space="0" w:color="auto"/>
            </w:tcBorders>
            <w:shd w:val="clear" w:color="auto" w:fill="auto"/>
            <w:noWrap/>
            <w:vAlign w:val="bottom"/>
            <w:hideMark/>
          </w:tcPr>
          <w:p w14:paraId="25E8A3E7" w14:textId="77777777" w:rsidR="00B748FA" w:rsidRPr="00E52FCF" w:rsidRDefault="00B748FA" w:rsidP="00B748FA">
            <w:pPr>
              <w:jc w:val="center"/>
              <w:rPr>
                <w:rFonts w:ascii="Calibri" w:hAnsi="Calibri" w:cs="Calibri"/>
                <w:color w:val="FF0000"/>
                <w:sz w:val="22"/>
                <w:szCs w:val="22"/>
              </w:rPr>
            </w:pPr>
            <w:r w:rsidRPr="00E52FCF">
              <w:rPr>
                <w:rFonts w:ascii="Calibri" w:hAnsi="Calibri" w:cs="Calibri"/>
                <w:color w:val="FF0000"/>
                <w:sz w:val="22"/>
                <w:szCs w:val="22"/>
              </w:rPr>
              <w:t>12,3%</w:t>
            </w:r>
          </w:p>
        </w:tc>
        <w:tc>
          <w:tcPr>
            <w:tcW w:w="4007" w:type="dxa"/>
            <w:tcBorders>
              <w:top w:val="nil"/>
              <w:left w:val="nil"/>
              <w:bottom w:val="single" w:sz="4" w:space="0" w:color="auto"/>
              <w:right w:val="single" w:sz="4" w:space="0" w:color="auto"/>
            </w:tcBorders>
            <w:shd w:val="clear" w:color="auto" w:fill="auto"/>
            <w:noWrap/>
            <w:vAlign w:val="bottom"/>
            <w:hideMark/>
          </w:tcPr>
          <w:p w14:paraId="68E4A2B1" w14:textId="77777777" w:rsidR="00B748FA" w:rsidRPr="00E52FCF" w:rsidRDefault="00B748FA" w:rsidP="00B748FA">
            <w:pPr>
              <w:rPr>
                <w:rFonts w:ascii="Calibri" w:hAnsi="Calibri" w:cs="Calibri"/>
                <w:color w:val="FF0000"/>
                <w:sz w:val="22"/>
                <w:szCs w:val="22"/>
              </w:rPr>
            </w:pPr>
            <w:r w:rsidRPr="00E52FCF">
              <w:rPr>
                <w:rFonts w:ascii="Calibri" w:hAnsi="Calibri" w:cs="Calibri"/>
                <w:color w:val="FF0000"/>
                <w:sz w:val="22"/>
                <w:szCs w:val="22"/>
              </w:rPr>
              <w:t xml:space="preserve"> $                                 2.411.170 </w:t>
            </w:r>
          </w:p>
        </w:tc>
      </w:tr>
      <w:tr w:rsidR="00B748FA" w:rsidRPr="00B748FA" w14:paraId="1A13C4BF" w14:textId="77777777" w:rsidTr="00B748FA">
        <w:trPr>
          <w:trHeight w:val="300"/>
        </w:trPr>
        <w:tc>
          <w:tcPr>
            <w:tcW w:w="7440" w:type="dxa"/>
            <w:gridSpan w:val="3"/>
            <w:tcBorders>
              <w:top w:val="single" w:sz="4" w:space="0" w:color="auto"/>
              <w:left w:val="nil"/>
              <w:bottom w:val="nil"/>
              <w:right w:val="nil"/>
            </w:tcBorders>
            <w:shd w:val="clear" w:color="auto" w:fill="auto"/>
            <w:noWrap/>
            <w:vAlign w:val="bottom"/>
            <w:hideMark/>
          </w:tcPr>
          <w:p w14:paraId="58DC64CC" w14:textId="77777777" w:rsidR="00B748FA" w:rsidRPr="00E52FCF" w:rsidRDefault="00B748FA" w:rsidP="00B748FA">
            <w:pPr>
              <w:rPr>
                <w:rFonts w:ascii="Arial" w:hAnsi="Arial" w:cs="Arial"/>
                <w:color w:val="FF0000"/>
                <w:sz w:val="20"/>
                <w:szCs w:val="20"/>
                <w:lang w:val="pt-BR"/>
              </w:rPr>
            </w:pPr>
            <w:r w:rsidRPr="00E52FCF">
              <w:rPr>
                <w:rFonts w:ascii="Arial" w:hAnsi="Arial" w:cs="Arial"/>
                <w:color w:val="FF0000"/>
                <w:sz w:val="20"/>
                <w:szCs w:val="20"/>
                <w:lang w:val="pt-BR"/>
              </w:rPr>
              <w:t>Fonte: Cálculos do autor para os diferentes cenários da avaliação C-B.</w:t>
            </w:r>
          </w:p>
        </w:tc>
      </w:tr>
    </w:tbl>
    <w:p w14:paraId="294D5511" w14:textId="77777777" w:rsidR="008B5BBD" w:rsidRPr="00636D3F" w:rsidRDefault="00636D3F" w:rsidP="00636D3F">
      <w:pPr>
        <w:pStyle w:val="Ttulo1"/>
        <w:numPr>
          <w:ilvl w:val="0"/>
          <w:numId w:val="4"/>
        </w:numPr>
        <w:ind w:left="180"/>
        <w:rPr>
          <w:rFonts w:ascii="Arial" w:hAnsi="Arial" w:cs="Arial"/>
          <w:color w:val="000000" w:themeColor="text1"/>
          <w:lang w:val="pt-BR" w:eastAsia="es-ES"/>
        </w:rPr>
      </w:pPr>
      <w:bookmarkStart w:id="2" w:name="_Toc494137325"/>
      <w:r>
        <w:rPr>
          <w:rFonts w:ascii="Arial" w:hAnsi="Arial" w:cs="Arial"/>
          <w:color w:val="000000" w:themeColor="text1"/>
          <w:lang w:val="pt-BR" w:eastAsia="es-ES"/>
        </w:rPr>
        <w:lastRenderedPageBreak/>
        <w:t xml:space="preserve"> </w:t>
      </w:r>
      <w:r w:rsidR="008B5BBD" w:rsidRPr="00636D3F">
        <w:rPr>
          <w:rFonts w:ascii="Arial" w:hAnsi="Arial" w:cs="Arial"/>
          <w:color w:val="000000" w:themeColor="text1"/>
          <w:lang w:val="pt-BR" w:eastAsia="es-ES"/>
        </w:rPr>
        <w:t>O Programa</w:t>
      </w:r>
      <w:r w:rsidR="00AB5F60" w:rsidRPr="00636D3F">
        <w:rPr>
          <w:rFonts w:ascii="Arial" w:hAnsi="Arial" w:cs="Arial"/>
          <w:color w:val="000000" w:themeColor="text1"/>
          <w:lang w:val="pt-BR" w:eastAsia="es-ES"/>
        </w:rPr>
        <w:t xml:space="preserve"> PROFISCO II</w:t>
      </w:r>
      <w:bookmarkEnd w:id="2"/>
    </w:p>
    <w:p w14:paraId="294D5512" w14:textId="77777777" w:rsidR="0022604D" w:rsidRPr="001F27CE" w:rsidRDefault="0022604D" w:rsidP="0022604D">
      <w:pPr>
        <w:pStyle w:val="PargrafodaLista"/>
        <w:keepNext/>
        <w:suppressAutoHyphens/>
        <w:spacing w:before="120"/>
        <w:ind w:left="1440"/>
        <w:jc w:val="both"/>
        <w:outlineLvl w:val="3"/>
        <w:rPr>
          <w:rFonts w:ascii="Arial" w:hAnsi="Arial" w:cs="Arial"/>
          <w:b/>
          <w:bCs/>
          <w:sz w:val="28"/>
          <w:szCs w:val="28"/>
          <w:lang w:val="pt-BR" w:eastAsia="es-ES"/>
        </w:rPr>
      </w:pPr>
    </w:p>
    <w:p w14:paraId="294D5513" w14:textId="77777777" w:rsidR="00636D3F" w:rsidRDefault="00CC26E5" w:rsidP="009E6924">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O Progra</w:t>
      </w:r>
      <w:r w:rsidR="00D85A93" w:rsidRPr="001F27CE">
        <w:rPr>
          <w:rFonts w:ascii="Arial" w:hAnsi="Arial" w:cs="Arial"/>
          <w:bCs/>
          <w:lang w:val="pt-BR" w:eastAsia="es-ES"/>
        </w:rPr>
        <w:t>ma está divido em três componentes, a saber:</w:t>
      </w:r>
      <w:r w:rsidR="00BF574E" w:rsidRPr="001F27CE">
        <w:rPr>
          <w:rFonts w:ascii="Arial" w:hAnsi="Arial" w:cs="Arial"/>
          <w:bCs/>
          <w:lang w:val="pt-BR" w:eastAsia="es-ES"/>
        </w:rPr>
        <w:t xml:space="preserve"> </w:t>
      </w:r>
    </w:p>
    <w:p w14:paraId="294D5514" w14:textId="77777777" w:rsidR="000C3B6E" w:rsidRPr="001F27CE" w:rsidRDefault="00636D3F" w:rsidP="009E6924">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
          <w:bCs/>
          <w:lang w:val="pt-BR" w:eastAsia="es-ES"/>
        </w:rPr>
        <w:t xml:space="preserve">Componente I </w:t>
      </w:r>
      <w:proofErr w:type="gramStart"/>
      <w:r>
        <w:rPr>
          <w:rFonts w:ascii="Arial" w:hAnsi="Arial" w:cs="Arial"/>
          <w:b/>
          <w:bCs/>
          <w:lang w:val="pt-BR" w:eastAsia="es-ES"/>
        </w:rPr>
        <w:noBreakHyphen/>
      </w:r>
      <w:r w:rsidR="00B044EF" w:rsidRPr="001F27CE">
        <w:rPr>
          <w:rFonts w:ascii="Arial" w:hAnsi="Arial" w:cs="Arial"/>
          <w:b/>
          <w:bCs/>
          <w:lang w:val="pt-BR" w:eastAsia="es-ES"/>
        </w:rPr>
        <w:t>Gest</w:t>
      </w:r>
      <w:r w:rsidR="000C3B6E" w:rsidRPr="001F27CE">
        <w:rPr>
          <w:rFonts w:ascii="Arial" w:hAnsi="Arial" w:cs="Arial"/>
          <w:b/>
          <w:bCs/>
          <w:lang w:val="pt-BR" w:eastAsia="es-ES"/>
        </w:rPr>
        <w:t>ão</w:t>
      </w:r>
      <w:proofErr w:type="gramEnd"/>
      <w:r w:rsidR="000C3B6E" w:rsidRPr="001F27CE">
        <w:rPr>
          <w:rFonts w:ascii="Arial" w:hAnsi="Arial" w:cs="Arial"/>
          <w:b/>
          <w:bCs/>
          <w:lang w:val="pt-BR" w:eastAsia="es-ES"/>
        </w:rPr>
        <w:t xml:space="preserve"> f</w:t>
      </w:r>
      <w:r w:rsidR="00B044EF" w:rsidRPr="001F27CE">
        <w:rPr>
          <w:rFonts w:ascii="Arial" w:hAnsi="Arial" w:cs="Arial"/>
          <w:b/>
          <w:bCs/>
          <w:lang w:val="pt-BR" w:eastAsia="es-ES"/>
        </w:rPr>
        <w:t xml:space="preserve">azendária </w:t>
      </w:r>
      <w:r w:rsidR="000C3B6E" w:rsidRPr="001F27CE">
        <w:rPr>
          <w:rFonts w:ascii="Arial" w:hAnsi="Arial" w:cs="Arial"/>
          <w:b/>
          <w:bCs/>
          <w:lang w:val="pt-BR" w:eastAsia="es-ES"/>
        </w:rPr>
        <w:t>e transparência fiscal</w:t>
      </w:r>
      <w:r w:rsidR="003C2BB3" w:rsidRPr="001F27CE">
        <w:rPr>
          <w:rFonts w:ascii="Arial" w:hAnsi="Arial" w:cs="Arial"/>
          <w:b/>
          <w:bCs/>
          <w:lang w:val="pt-BR" w:eastAsia="es-ES"/>
        </w:rPr>
        <w:t xml:space="preserve"> (US$</w:t>
      </w:r>
      <w:r w:rsidR="005B514C" w:rsidRPr="001F27CE">
        <w:rPr>
          <w:rFonts w:ascii="Arial" w:hAnsi="Arial" w:cs="Arial"/>
          <w:b/>
          <w:bCs/>
          <w:lang w:val="pt-BR" w:eastAsia="es-ES"/>
        </w:rPr>
        <w:t xml:space="preserve"> </w:t>
      </w:r>
      <w:r>
        <w:rPr>
          <w:rFonts w:ascii="Arial" w:hAnsi="Arial" w:cs="Arial"/>
          <w:b/>
          <w:bCs/>
          <w:lang w:val="pt-BR" w:eastAsia="es-ES"/>
        </w:rPr>
        <w:t>17,3</w:t>
      </w:r>
      <w:r w:rsidR="00B044EF" w:rsidRPr="001F27CE">
        <w:rPr>
          <w:rFonts w:ascii="Arial" w:hAnsi="Arial" w:cs="Arial"/>
          <w:b/>
          <w:bCs/>
          <w:lang w:val="pt-BR" w:eastAsia="es-ES"/>
        </w:rPr>
        <w:t xml:space="preserve"> mil</w:t>
      </w:r>
      <w:r w:rsidR="000C3B6E" w:rsidRPr="001F27CE">
        <w:rPr>
          <w:rFonts w:ascii="Arial" w:hAnsi="Arial" w:cs="Arial"/>
          <w:b/>
          <w:bCs/>
          <w:lang w:val="pt-BR" w:eastAsia="es-ES"/>
        </w:rPr>
        <w:t>hões</w:t>
      </w:r>
      <w:r w:rsidR="00B044EF" w:rsidRPr="001F27CE">
        <w:rPr>
          <w:rFonts w:ascii="Arial" w:hAnsi="Arial" w:cs="Arial"/>
          <w:b/>
          <w:bCs/>
          <w:lang w:val="pt-BR" w:eastAsia="es-ES"/>
        </w:rPr>
        <w:t>).</w:t>
      </w:r>
      <w:r w:rsidR="00B044EF" w:rsidRPr="001F27CE">
        <w:rPr>
          <w:rFonts w:ascii="Arial" w:hAnsi="Arial" w:cs="Arial"/>
          <w:bCs/>
          <w:lang w:val="pt-BR" w:eastAsia="es-ES"/>
        </w:rPr>
        <w:t xml:space="preserve"> Este componente busca aumentar </w:t>
      </w:r>
      <w:r w:rsidR="000C3B6E" w:rsidRPr="001F27CE">
        <w:rPr>
          <w:rFonts w:ascii="Arial" w:hAnsi="Arial" w:cs="Arial"/>
          <w:bCs/>
          <w:lang w:val="pt-BR" w:eastAsia="es-ES"/>
        </w:rPr>
        <w:t xml:space="preserve">a maturidade institucional da </w:t>
      </w:r>
      <w:r w:rsidR="00B044EF" w:rsidRPr="001F27CE">
        <w:rPr>
          <w:rFonts w:ascii="Arial" w:hAnsi="Arial" w:cs="Arial"/>
          <w:bCs/>
          <w:lang w:val="pt-BR" w:eastAsia="es-ES"/>
        </w:rPr>
        <w:t>SEFA através d</w:t>
      </w:r>
      <w:r w:rsidR="000C3B6E" w:rsidRPr="001F27CE">
        <w:rPr>
          <w:rFonts w:ascii="Arial" w:hAnsi="Arial" w:cs="Arial"/>
          <w:bCs/>
          <w:lang w:val="pt-BR" w:eastAsia="es-ES"/>
        </w:rPr>
        <w:t>o melhoramento dos seus p</w:t>
      </w:r>
      <w:r w:rsidR="00B044EF" w:rsidRPr="001F27CE">
        <w:rPr>
          <w:rFonts w:ascii="Arial" w:hAnsi="Arial" w:cs="Arial"/>
          <w:bCs/>
          <w:lang w:val="pt-BR" w:eastAsia="es-ES"/>
        </w:rPr>
        <w:t>roces</w:t>
      </w:r>
      <w:r w:rsidR="000C3B6E" w:rsidRPr="001F27CE">
        <w:rPr>
          <w:rFonts w:ascii="Arial" w:hAnsi="Arial" w:cs="Arial"/>
          <w:bCs/>
          <w:lang w:val="pt-BR" w:eastAsia="es-ES"/>
        </w:rPr>
        <w:t>s</w:t>
      </w:r>
      <w:r w:rsidR="00B044EF" w:rsidRPr="001F27CE">
        <w:rPr>
          <w:rFonts w:ascii="Arial" w:hAnsi="Arial" w:cs="Arial"/>
          <w:bCs/>
          <w:lang w:val="pt-BR" w:eastAsia="es-ES"/>
        </w:rPr>
        <w:t xml:space="preserve">os corporativos, de forma </w:t>
      </w:r>
      <w:r w:rsidR="00B207EA" w:rsidRPr="001F27CE">
        <w:rPr>
          <w:rFonts w:ascii="Arial" w:hAnsi="Arial" w:cs="Arial"/>
          <w:bCs/>
          <w:lang w:val="pt-BR" w:eastAsia="es-ES"/>
        </w:rPr>
        <w:t>a</w:t>
      </w:r>
      <w:r w:rsidR="00B044EF" w:rsidRPr="001F27CE">
        <w:rPr>
          <w:rFonts w:ascii="Arial" w:hAnsi="Arial" w:cs="Arial"/>
          <w:bCs/>
          <w:lang w:val="pt-BR" w:eastAsia="es-ES"/>
        </w:rPr>
        <w:t xml:space="preserve"> potenci</w:t>
      </w:r>
      <w:r w:rsidR="000C3B6E" w:rsidRPr="001F27CE">
        <w:rPr>
          <w:rFonts w:ascii="Arial" w:hAnsi="Arial" w:cs="Arial"/>
          <w:bCs/>
          <w:lang w:val="pt-BR" w:eastAsia="es-ES"/>
        </w:rPr>
        <w:t>aliz</w:t>
      </w:r>
      <w:r w:rsidR="00B207EA" w:rsidRPr="001F27CE">
        <w:rPr>
          <w:rFonts w:ascii="Arial" w:hAnsi="Arial" w:cs="Arial"/>
          <w:bCs/>
          <w:lang w:val="pt-BR" w:eastAsia="es-ES"/>
        </w:rPr>
        <w:t>ar</w:t>
      </w:r>
      <w:r w:rsidR="000C3B6E" w:rsidRPr="001F27CE">
        <w:rPr>
          <w:rFonts w:ascii="Arial" w:hAnsi="Arial" w:cs="Arial"/>
          <w:bCs/>
          <w:lang w:val="pt-BR" w:eastAsia="es-ES"/>
        </w:rPr>
        <w:t xml:space="preserve"> seu desempenho como órgão diretor das finanças públicas do</w:t>
      </w:r>
      <w:r w:rsidR="00B044EF" w:rsidRPr="001F27CE">
        <w:rPr>
          <w:rFonts w:ascii="Arial" w:hAnsi="Arial" w:cs="Arial"/>
          <w:bCs/>
          <w:lang w:val="pt-BR" w:eastAsia="es-ES"/>
        </w:rPr>
        <w:t xml:space="preserve"> Estado. Se espera que co</w:t>
      </w:r>
      <w:r w:rsidR="000C3B6E" w:rsidRPr="001F27CE">
        <w:rPr>
          <w:rFonts w:ascii="Arial" w:hAnsi="Arial" w:cs="Arial"/>
          <w:bCs/>
          <w:lang w:val="pt-BR" w:eastAsia="es-ES"/>
        </w:rPr>
        <w:t xml:space="preserve">m a </w:t>
      </w:r>
      <w:proofErr w:type="gramStart"/>
      <w:r w:rsidR="00B044EF" w:rsidRPr="001F27CE">
        <w:rPr>
          <w:rFonts w:ascii="Arial" w:hAnsi="Arial" w:cs="Arial"/>
          <w:bCs/>
          <w:lang w:val="pt-BR" w:eastAsia="es-ES"/>
        </w:rPr>
        <w:t>implementa</w:t>
      </w:r>
      <w:r w:rsidR="000C3B6E" w:rsidRPr="001F27CE">
        <w:rPr>
          <w:rFonts w:ascii="Arial" w:hAnsi="Arial" w:cs="Arial"/>
          <w:bCs/>
          <w:lang w:val="pt-BR" w:eastAsia="es-ES"/>
        </w:rPr>
        <w:t>ção</w:t>
      </w:r>
      <w:proofErr w:type="gramEnd"/>
      <w:r w:rsidR="000C3B6E" w:rsidRPr="001F27CE">
        <w:rPr>
          <w:rFonts w:ascii="Arial" w:hAnsi="Arial" w:cs="Arial"/>
          <w:bCs/>
          <w:lang w:val="pt-BR" w:eastAsia="es-ES"/>
        </w:rPr>
        <w:t xml:space="preserve"> das atividades e </w:t>
      </w:r>
      <w:r w:rsidR="00B207EA" w:rsidRPr="001F27CE">
        <w:rPr>
          <w:rFonts w:ascii="Arial" w:hAnsi="Arial" w:cs="Arial"/>
          <w:bCs/>
          <w:lang w:val="pt-BR" w:eastAsia="es-ES"/>
        </w:rPr>
        <w:t>produ</w:t>
      </w:r>
      <w:r w:rsidR="000C3B6E" w:rsidRPr="001F27CE">
        <w:rPr>
          <w:rFonts w:ascii="Arial" w:hAnsi="Arial" w:cs="Arial"/>
          <w:bCs/>
          <w:lang w:val="pt-BR" w:eastAsia="es-ES"/>
        </w:rPr>
        <w:t>tos d</w:t>
      </w:r>
      <w:r w:rsidR="00B044EF" w:rsidRPr="001F27CE">
        <w:rPr>
          <w:rFonts w:ascii="Arial" w:hAnsi="Arial" w:cs="Arial"/>
          <w:bCs/>
          <w:lang w:val="pt-BR" w:eastAsia="es-ES"/>
        </w:rPr>
        <w:t>este componente aumente a efetividad</w:t>
      </w:r>
      <w:r w:rsidR="000C3B6E" w:rsidRPr="001F27CE">
        <w:rPr>
          <w:rFonts w:ascii="Arial" w:hAnsi="Arial" w:cs="Arial"/>
          <w:bCs/>
          <w:lang w:val="pt-BR" w:eastAsia="es-ES"/>
        </w:rPr>
        <w:t xml:space="preserve">e do planejamento, execução e avaliação dos </w:t>
      </w:r>
      <w:r w:rsidR="00B044EF" w:rsidRPr="001F27CE">
        <w:rPr>
          <w:rFonts w:ascii="Arial" w:hAnsi="Arial" w:cs="Arial"/>
          <w:bCs/>
          <w:lang w:val="pt-BR" w:eastAsia="es-ES"/>
        </w:rPr>
        <w:t xml:space="preserve">resultados da SEFA. </w:t>
      </w:r>
    </w:p>
    <w:p w14:paraId="294D5515" w14:textId="77777777" w:rsidR="00AB5F60" w:rsidRPr="001F27CE" w:rsidRDefault="00EC4C3E" w:rsidP="009E6924">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
          <w:bCs/>
          <w:lang w:val="pt-BR" w:eastAsia="es-ES"/>
        </w:rPr>
        <w:t xml:space="preserve">Componente II. </w:t>
      </w:r>
      <w:proofErr w:type="gramStart"/>
      <w:r w:rsidRPr="001F27CE">
        <w:rPr>
          <w:rFonts w:ascii="Arial" w:hAnsi="Arial" w:cs="Arial"/>
          <w:b/>
          <w:bCs/>
          <w:lang w:val="pt-BR" w:eastAsia="es-ES"/>
        </w:rPr>
        <w:t xml:space="preserve">Administração tributária e </w:t>
      </w:r>
      <w:r w:rsidR="007B44E3" w:rsidRPr="001F27CE">
        <w:rPr>
          <w:rFonts w:ascii="Arial" w:hAnsi="Arial" w:cs="Arial"/>
          <w:b/>
          <w:bCs/>
          <w:lang w:val="pt-BR" w:eastAsia="es-ES"/>
        </w:rPr>
        <w:t>contencioso fiscal</w:t>
      </w:r>
      <w:proofErr w:type="gramEnd"/>
      <w:r w:rsidR="007B44E3" w:rsidRPr="001F27CE">
        <w:rPr>
          <w:rFonts w:ascii="Arial" w:hAnsi="Arial" w:cs="Arial"/>
          <w:b/>
          <w:bCs/>
          <w:lang w:val="pt-BR" w:eastAsia="es-ES"/>
        </w:rPr>
        <w:t xml:space="preserve"> (US$12</w:t>
      </w:r>
      <w:r w:rsidR="00662CC7" w:rsidRPr="001F27CE">
        <w:rPr>
          <w:rFonts w:ascii="Arial" w:hAnsi="Arial" w:cs="Arial"/>
          <w:b/>
          <w:bCs/>
          <w:lang w:val="pt-BR" w:eastAsia="es-ES"/>
        </w:rPr>
        <w:t>,3</w:t>
      </w:r>
      <w:r w:rsidRPr="001F27CE">
        <w:rPr>
          <w:rFonts w:ascii="Arial" w:hAnsi="Arial" w:cs="Arial"/>
          <w:b/>
          <w:bCs/>
          <w:lang w:val="pt-BR" w:eastAsia="es-ES"/>
        </w:rPr>
        <w:t xml:space="preserve"> milhões).</w:t>
      </w:r>
      <w:r w:rsidRPr="001F27CE">
        <w:rPr>
          <w:rFonts w:ascii="Arial" w:hAnsi="Arial" w:cs="Arial"/>
          <w:bCs/>
          <w:lang w:val="pt-BR" w:eastAsia="es-ES"/>
        </w:rPr>
        <w:t xml:space="preserve"> Este componente busca aumentar a arrecadação d</w:t>
      </w:r>
      <w:r w:rsidR="00B207EA" w:rsidRPr="001F27CE">
        <w:rPr>
          <w:rFonts w:ascii="Arial" w:hAnsi="Arial" w:cs="Arial"/>
          <w:bCs/>
          <w:lang w:val="pt-BR" w:eastAsia="es-ES"/>
        </w:rPr>
        <w:t>as</w:t>
      </w:r>
      <w:r w:rsidRPr="001F27CE">
        <w:rPr>
          <w:rFonts w:ascii="Arial" w:hAnsi="Arial" w:cs="Arial"/>
          <w:bCs/>
          <w:lang w:val="pt-BR" w:eastAsia="es-ES"/>
        </w:rPr>
        <w:t xml:space="preserve"> receitas próprias e melhorar o ambiente de neg</w:t>
      </w:r>
      <w:r w:rsidR="00F55DC8" w:rsidRPr="001F27CE">
        <w:rPr>
          <w:rFonts w:ascii="Arial" w:hAnsi="Arial" w:cs="Arial"/>
          <w:bCs/>
          <w:lang w:val="pt-BR" w:eastAsia="es-ES"/>
        </w:rPr>
        <w:t>ó</w:t>
      </w:r>
      <w:r w:rsidRPr="001F27CE">
        <w:rPr>
          <w:rFonts w:ascii="Arial" w:hAnsi="Arial" w:cs="Arial"/>
          <w:bCs/>
          <w:lang w:val="pt-BR" w:eastAsia="es-ES"/>
        </w:rPr>
        <w:t xml:space="preserve">cios no Estado. Se espera que com a </w:t>
      </w:r>
      <w:proofErr w:type="gramStart"/>
      <w:r w:rsidRPr="001F27CE">
        <w:rPr>
          <w:rFonts w:ascii="Arial" w:hAnsi="Arial" w:cs="Arial"/>
          <w:bCs/>
          <w:lang w:val="pt-BR" w:eastAsia="es-ES"/>
        </w:rPr>
        <w:t>implementação</w:t>
      </w:r>
      <w:proofErr w:type="gramEnd"/>
      <w:r w:rsidRPr="001F27CE">
        <w:rPr>
          <w:rFonts w:ascii="Arial" w:hAnsi="Arial" w:cs="Arial"/>
          <w:bCs/>
          <w:lang w:val="pt-BR" w:eastAsia="es-ES"/>
        </w:rPr>
        <w:t xml:space="preserve"> das ações previstas neste componente se reduza a evasão, se controle e limite os benefícios fiscais, </w:t>
      </w:r>
      <w:r w:rsidR="006F7C37" w:rsidRPr="001F27CE">
        <w:rPr>
          <w:rFonts w:ascii="Arial" w:hAnsi="Arial" w:cs="Arial"/>
          <w:bCs/>
          <w:lang w:val="pt-BR" w:eastAsia="es-ES"/>
        </w:rPr>
        <w:t>diminua</w:t>
      </w:r>
      <w:r w:rsidRPr="001F27CE">
        <w:rPr>
          <w:rFonts w:ascii="Arial" w:hAnsi="Arial" w:cs="Arial"/>
          <w:bCs/>
          <w:lang w:val="pt-BR" w:eastAsia="es-ES"/>
        </w:rPr>
        <w:t xml:space="preserve"> a </w:t>
      </w:r>
      <w:r w:rsidR="006F7C37" w:rsidRPr="001F27CE">
        <w:rPr>
          <w:rFonts w:ascii="Arial" w:hAnsi="Arial" w:cs="Arial"/>
          <w:bCs/>
          <w:lang w:val="pt-BR" w:eastAsia="es-ES"/>
        </w:rPr>
        <w:t>inadimplência</w:t>
      </w:r>
      <w:r w:rsidRPr="001F27CE">
        <w:rPr>
          <w:rFonts w:ascii="Arial" w:hAnsi="Arial" w:cs="Arial"/>
          <w:bCs/>
          <w:lang w:val="pt-BR" w:eastAsia="es-ES"/>
        </w:rPr>
        <w:t xml:space="preserve"> tributária e se simplifique a estrutura tributária, de mane</w:t>
      </w:r>
      <w:r w:rsidR="006F7C37" w:rsidRPr="001F27CE">
        <w:rPr>
          <w:rFonts w:ascii="Arial" w:hAnsi="Arial" w:cs="Arial"/>
          <w:bCs/>
          <w:lang w:val="pt-BR" w:eastAsia="es-ES"/>
        </w:rPr>
        <w:t>i</w:t>
      </w:r>
      <w:r w:rsidRPr="001F27CE">
        <w:rPr>
          <w:rFonts w:ascii="Arial" w:hAnsi="Arial" w:cs="Arial"/>
          <w:bCs/>
          <w:lang w:val="pt-BR" w:eastAsia="es-ES"/>
        </w:rPr>
        <w:t xml:space="preserve">ra que arrecadação efetiva se acerque </w:t>
      </w:r>
      <w:r w:rsidR="00254F38" w:rsidRPr="001F27CE">
        <w:rPr>
          <w:rFonts w:ascii="Arial" w:hAnsi="Arial" w:cs="Arial"/>
          <w:bCs/>
          <w:lang w:val="pt-BR" w:eastAsia="es-ES"/>
        </w:rPr>
        <w:t>do potencial</w:t>
      </w:r>
      <w:r w:rsidRPr="001F27CE">
        <w:rPr>
          <w:rFonts w:ascii="Arial" w:hAnsi="Arial" w:cs="Arial"/>
          <w:bCs/>
          <w:lang w:val="pt-BR" w:eastAsia="es-ES"/>
        </w:rPr>
        <w:t xml:space="preserve"> </w:t>
      </w:r>
      <w:r w:rsidR="006F7C37" w:rsidRPr="001F27CE">
        <w:rPr>
          <w:rFonts w:ascii="Arial" w:hAnsi="Arial" w:cs="Arial"/>
          <w:bCs/>
          <w:lang w:val="pt-BR" w:eastAsia="es-ES"/>
        </w:rPr>
        <w:t xml:space="preserve">e se promova </w:t>
      </w:r>
      <w:r w:rsidRPr="001F27CE">
        <w:rPr>
          <w:rFonts w:ascii="Arial" w:hAnsi="Arial" w:cs="Arial"/>
          <w:bCs/>
          <w:lang w:val="pt-BR" w:eastAsia="es-ES"/>
        </w:rPr>
        <w:t>a competitividad</w:t>
      </w:r>
      <w:r w:rsidR="006F7C37" w:rsidRPr="001F27CE">
        <w:rPr>
          <w:rFonts w:ascii="Arial" w:hAnsi="Arial" w:cs="Arial"/>
          <w:bCs/>
          <w:lang w:val="pt-BR" w:eastAsia="es-ES"/>
        </w:rPr>
        <w:t>e do</w:t>
      </w:r>
      <w:r w:rsidRPr="001F27CE">
        <w:rPr>
          <w:rFonts w:ascii="Arial" w:hAnsi="Arial" w:cs="Arial"/>
          <w:bCs/>
          <w:lang w:val="pt-BR" w:eastAsia="es-ES"/>
        </w:rPr>
        <w:t xml:space="preserve"> Estado.</w:t>
      </w:r>
    </w:p>
    <w:p w14:paraId="294D5516" w14:textId="77777777" w:rsidR="00AB5F60" w:rsidRPr="001F27CE" w:rsidRDefault="00B057C6" w:rsidP="009E6924">
      <w:pPr>
        <w:pStyle w:val="Paragraph"/>
        <w:numPr>
          <w:ilvl w:val="1"/>
          <w:numId w:val="4"/>
        </w:numPr>
        <w:tabs>
          <w:tab w:val="clear" w:pos="1009"/>
          <w:tab w:val="num" w:pos="851"/>
          <w:tab w:val="num" w:pos="2970"/>
        </w:tabs>
        <w:autoSpaceDE w:val="0"/>
        <w:autoSpaceDN w:val="0"/>
        <w:adjustRightInd w:val="0"/>
        <w:spacing w:before="0" w:after="0"/>
        <w:ind w:left="851" w:hanging="567"/>
        <w:rPr>
          <w:rFonts w:ascii="Arial" w:hAnsi="Arial" w:cs="Arial"/>
          <w:bCs/>
          <w:szCs w:val="24"/>
          <w:lang w:val="pt-BR" w:eastAsia="es-ES"/>
        </w:rPr>
      </w:pPr>
      <w:bookmarkStart w:id="3" w:name="_Toc494137326"/>
      <w:r w:rsidRPr="001F27CE">
        <w:rPr>
          <w:rFonts w:ascii="Arial" w:hAnsi="Arial" w:cs="Arial"/>
          <w:b/>
          <w:bCs/>
          <w:szCs w:val="24"/>
          <w:lang w:val="pt-BR" w:eastAsia="es-ES"/>
        </w:rPr>
        <w:t>Componente III. Administração financeira e gasto púb</w:t>
      </w:r>
      <w:r w:rsidR="007B44E3" w:rsidRPr="001F27CE">
        <w:rPr>
          <w:rFonts w:ascii="Arial" w:hAnsi="Arial" w:cs="Arial"/>
          <w:b/>
          <w:bCs/>
          <w:szCs w:val="24"/>
          <w:lang w:val="pt-BR" w:eastAsia="es-ES"/>
        </w:rPr>
        <w:t>lico (US$</w:t>
      </w:r>
      <w:r w:rsidR="00662CC7" w:rsidRPr="001F27CE">
        <w:rPr>
          <w:rFonts w:ascii="Arial" w:hAnsi="Arial" w:cs="Arial"/>
          <w:b/>
          <w:bCs/>
          <w:szCs w:val="24"/>
          <w:lang w:val="pt-BR" w:eastAsia="es-ES"/>
        </w:rPr>
        <w:t>7,4</w:t>
      </w:r>
      <w:r w:rsidR="00254F38">
        <w:rPr>
          <w:rFonts w:ascii="Arial" w:hAnsi="Arial" w:cs="Arial"/>
          <w:b/>
          <w:bCs/>
          <w:szCs w:val="24"/>
          <w:lang w:val="pt-BR" w:eastAsia="es-ES"/>
        </w:rPr>
        <w:t> </w:t>
      </w:r>
      <w:r w:rsidRPr="001F27CE">
        <w:rPr>
          <w:rFonts w:ascii="Arial" w:hAnsi="Arial" w:cs="Arial"/>
          <w:b/>
          <w:bCs/>
          <w:szCs w:val="24"/>
          <w:lang w:val="pt-BR" w:eastAsia="es-ES"/>
        </w:rPr>
        <w:t>milhões).</w:t>
      </w:r>
      <w:r w:rsidRPr="001F27CE">
        <w:rPr>
          <w:rFonts w:ascii="Arial" w:hAnsi="Arial" w:cs="Arial"/>
          <w:bCs/>
          <w:szCs w:val="24"/>
          <w:lang w:val="pt-BR" w:eastAsia="es-ES"/>
        </w:rPr>
        <w:t xml:space="preserve"> Este componente busca contribuir para a disciplina fiscal e aumento da eficiência e efetividade do gasto público. </w:t>
      </w:r>
      <w:bookmarkEnd w:id="3"/>
    </w:p>
    <w:p w14:paraId="294D5517" w14:textId="77777777" w:rsidR="000B1D5B" w:rsidRPr="001F27CE" w:rsidRDefault="000B1D5B" w:rsidP="00737E47">
      <w:pPr>
        <w:pStyle w:val="Paragraph"/>
        <w:numPr>
          <w:ilvl w:val="1"/>
          <w:numId w:val="4"/>
        </w:numPr>
        <w:tabs>
          <w:tab w:val="clear" w:pos="1009"/>
          <w:tab w:val="num" w:pos="851"/>
          <w:tab w:val="num" w:pos="2970"/>
        </w:tabs>
        <w:autoSpaceDE w:val="0"/>
        <w:autoSpaceDN w:val="0"/>
        <w:adjustRightInd w:val="0"/>
        <w:spacing w:before="0" w:after="0"/>
        <w:ind w:left="851" w:hanging="567"/>
        <w:rPr>
          <w:rFonts w:ascii="Arial" w:hAnsi="Arial" w:cs="Arial"/>
          <w:bCs/>
          <w:szCs w:val="24"/>
          <w:lang w:val="pt-BR" w:eastAsia="es-ES"/>
        </w:rPr>
      </w:pPr>
      <w:bookmarkStart w:id="4" w:name="_Toc494137327"/>
      <w:r w:rsidRPr="001F27CE">
        <w:rPr>
          <w:rFonts w:ascii="Arial" w:hAnsi="Arial" w:cs="Arial"/>
          <w:b/>
          <w:bCs/>
          <w:szCs w:val="24"/>
          <w:lang w:val="pt-BR" w:eastAsia="es-ES"/>
        </w:rPr>
        <w:t>Resultados esperados.</w:t>
      </w:r>
      <w:r w:rsidRPr="001F27CE">
        <w:rPr>
          <w:rFonts w:ascii="Arial" w:hAnsi="Arial" w:cs="Arial"/>
          <w:bCs/>
          <w:szCs w:val="24"/>
          <w:lang w:val="pt-BR" w:eastAsia="es-ES"/>
        </w:rPr>
        <w:t xml:space="preserve"> (i) me</w:t>
      </w:r>
      <w:r w:rsidR="00563520" w:rsidRPr="001F27CE">
        <w:rPr>
          <w:rFonts w:ascii="Arial" w:hAnsi="Arial" w:cs="Arial"/>
          <w:bCs/>
          <w:szCs w:val="24"/>
          <w:lang w:val="pt-BR" w:eastAsia="es-ES"/>
        </w:rPr>
        <w:t>lhoria da maturidade da gestão fiscal</w:t>
      </w:r>
      <w:r w:rsidR="00254F38">
        <w:rPr>
          <w:rFonts w:ascii="Arial" w:hAnsi="Arial" w:cs="Arial"/>
          <w:bCs/>
          <w:szCs w:val="24"/>
          <w:lang w:val="pt-BR" w:eastAsia="es-ES"/>
        </w:rPr>
        <w:t>; (</w:t>
      </w:r>
      <w:proofErr w:type="spellStart"/>
      <w:r w:rsidR="00254F38">
        <w:rPr>
          <w:rFonts w:ascii="Arial" w:hAnsi="Arial" w:cs="Arial"/>
          <w:bCs/>
          <w:szCs w:val="24"/>
          <w:lang w:val="pt-BR" w:eastAsia="es-ES"/>
        </w:rPr>
        <w:t>ii</w:t>
      </w:r>
      <w:proofErr w:type="spellEnd"/>
      <w:r w:rsidR="00254F38">
        <w:rPr>
          <w:rFonts w:ascii="Arial" w:hAnsi="Arial" w:cs="Arial"/>
          <w:bCs/>
          <w:szCs w:val="24"/>
          <w:lang w:val="pt-BR" w:eastAsia="es-ES"/>
        </w:rPr>
        <w:t>) </w:t>
      </w:r>
      <w:r w:rsidRPr="001F27CE">
        <w:rPr>
          <w:rFonts w:ascii="Arial" w:hAnsi="Arial" w:cs="Arial"/>
          <w:bCs/>
          <w:szCs w:val="24"/>
          <w:lang w:val="pt-BR" w:eastAsia="es-ES"/>
        </w:rPr>
        <w:t xml:space="preserve">incremento </w:t>
      </w:r>
      <w:r w:rsidR="00563520" w:rsidRPr="001F27CE">
        <w:rPr>
          <w:rFonts w:ascii="Arial" w:hAnsi="Arial" w:cs="Arial"/>
          <w:bCs/>
          <w:szCs w:val="24"/>
          <w:lang w:val="pt-BR" w:eastAsia="es-ES"/>
        </w:rPr>
        <w:t>da relação Receitas Próprias</w:t>
      </w:r>
      <w:r w:rsidRPr="001F27CE">
        <w:rPr>
          <w:rFonts w:ascii="Arial" w:hAnsi="Arial" w:cs="Arial"/>
          <w:bCs/>
          <w:szCs w:val="24"/>
          <w:lang w:val="pt-BR" w:eastAsia="es-ES"/>
        </w:rPr>
        <w:t>/PIB Estadual</w:t>
      </w:r>
      <w:r w:rsidR="00563520" w:rsidRPr="001F27CE">
        <w:rPr>
          <w:rFonts w:ascii="Arial" w:hAnsi="Arial" w:cs="Arial"/>
          <w:bCs/>
          <w:szCs w:val="24"/>
          <w:lang w:val="pt-BR" w:eastAsia="es-ES"/>
        </w:rPr>
        <w:t xml:space="preserve"> e</w:t>
      </w:r>
      <w:r w:rsidRPr="001F27CE">
        <w:rPr>
          <w:rFonts w:ascii="Arial" w:hAnsi="Arial" w:cs="Arial"/>
          <w:bCs/>
          <w:szCs w:val="24"/>
          <w:lang w:val="pt-BR" w:eastAsia="es-ES"/>
        </w:rPr>
        <w:t xml:space="preserve"> (</w:t>
      </w:r>
      <w:proofErr w:type="spellStart"/>
      <w:r w:rsidRPr="001F27CE">
        <w:rPr>
          <w:rFonts w:ascii="Arial" w:hAnsi="Arial" w:cs="Arial"/>
          <w:bCs/>
          <w:szCs w:val="24"/>
          <w:lang w:val="pt-BR" w:eastAsia="es-ES"/>
        </w:rPr>
        <w:t>iii</w:t>
      </w:r>
      <w:proofErr w:type="spellEnd"/>
      <w:r w:rsidRPr="001F27CE">
        <w:rPr>
          <w:rFonts w:ascii="Arial" w:hAnsi="Arial" w:cs="Arial"/>
          <w:bCs/>
          <w:szCs w:val="24"/>
          <w:lang w:val="pt-BR" w:eastAsia="es-ES"/>
        </w:rPr>
        <w:t xml:space="preserve">) </w:t>
      </w:r>
      <w:r w:rsidR="00563520" w:rsidRPr="001F27CE">
        <w:rPr>
          <w:rFonts w:ascii="Arial" w:hAnsi="Arial" w:cs="Arial"/>
          <w:bCs/>
          <w:szCs w:val="24"/>
          <w:lang w:val="pt-BR" w:eastAsia="es-ES"/>
        </w:rPr>
        <w:t xml:space="preserve">redução </w:t>
      </w:r>
      <w:r w:rsidR="00254F38" w:rsidRPr="001F27CE">
        <w:rPr>
          <w:rFonts w:ascii="Arial" w:hAnsi="Arial" w:cs="Arial"/>
          <w:bCs/>
          <w:szCs w:val="24"/>
          <w:lang w:val="pt-BR" w:eastAsia="es-ES"/>
        </w:rPr>
        <w:t>da discrepância</w:t>
      </w:r>
      <w:r w:rsidRPr="001F27CE">
        <w:rPr>
          <w:rFonts w:ascii="Arial" w:hAnsi="Arial" w:cs="Arial"/>
          <w:bCs/>
          <w:szCs w:val="24"/>
          <w:lang w:val="pt-BR" w:eastAsia="es-ES"/>
        </w:rPr>
        <w:t xml:space="preserve"> entre </w:t>
      </w:r>
      <w:r w:rsidR="00563520" w:rsidRPr="001F27CE">
        <w:rPr>
          <w:rFonts w:ascii="Arial" w:hAnsi="Arial" w:cs="Arial"/>
          <w:bCs/>
          <w:szCs w:val="24"/>
          <w:lang w:val="pt-BR" w:eastAsia="es-ES"/>
        </w:rPr>
        <w:t>o orçamento planejado originalmente e o executado ao final do exercício</w:t>
      </w:r>
      <w:r w:rsidRPr="001F27CE">
        <w:rPr>
          <w:rFonts w:ascii="Arial" w:hAnsi="Arial" w:cs="Arial"/>
          <w:bCs/>
          <w:szCs w:val="24"/>
          <w:lang w:val="pt-BR" w:eastAsia="es-ES"/>
        </w:rPr>
        <w:t>.</w:t>
      </w:r>
      <w:bookmarkEnd w:id="4"/>
    </w:p>
    <w:p w14:paraId="294D5518" w14:textId="77777777" w:rsidR="00B404BA" w:rsidRPr="001F27CE" w:rsidRDefault="00B404BA" w:rsidP="00B404BA">
      <w:pPr>
        <w:pStyle w:val="Paragraph"/>
        <w:numPr>
          <w:ilvl w:val="0"/>
          <w:numId w:val="0"/>
        </w:numPr>
        <w:tabs>
          <w:tab w:val="num" w:pos="2970"/>
        </w:tabs>
        <w:autoSpaceDE w:val="0"/>
        <w:autoSpaceDN w:val="0"/>
        <w:adjustRightInd w:val="0"/>
        <w:spacing w:before="0" w:after="0"/>
        <w:ind w:left="851"/>
        <w:rPr>
          <w:rFonts w:ascii="Arial" w:hAnsi="Arial" w:cs="Arial"/>
          <w:bCs/>
          <w:szCs w:val="24"/>
          <w:lang w:val="pt-BR" w:eastAsia="es-ES"/>
        </w:rPr>
      </w:pPr>
    </w:p>
    <w:p w14:paraId="294D5519" w14:textId="77777777" w:rsidR="008B5BBD" w:rsidRPr="001F27CE" w:rsidRDefault="003B118F" w:rsidP="003B118F">
      <w:pPr>
        <w:pStyle w:val="Ttulo1"/>
        <w:numPr>
          <w:ilvl w:val="0"/>
          <w:numId w:val="4"/>
        </w:numPr>
        <w:tabs>
          <w:tab w:val="clear" w:pos="1260"/>
        </w:tabs>
        <w:spacing w:before="0"/>
        <w:ind w:left="270" w:firstLine="180"/>
        <w:rPr>
          <w:rFonts w:ascii="Arial" w:hAnsi="Arial" w:cs="Arial"/>
          <w:color w:val="000000" w:themeColor="text1"/>
          <w:lang w:val="pt-BR" w:eastAsia="es-ES"/>
        </w:rPr>
      </w:pPr>
      <w:bookmarkStart w:id="5" w:name="_Toc494137328"/>
      <w:r>
        <w:rPr>
          <w:rFonts w:ascii="Arial" w:hAnsi="Arial" w:cs="Arial"/>
          <w:color w:val="000000" w:themeColor="text1"/>
          <w:lang w:val="pt-BR" w:eastAsia="es-ES"/>
        </w:rPr>
        <w:t xml:space="preserve">  </w:t>
      </w:r>
      <w:r w:rsidR="008B5BBD" w:rsidRPr="001F27CE">
        <w:rPr>
          <w:rFonts w:ascii="Arial" w:hAnsi="Arial" w:cs="Arial"/>
          <w:color w:val="000000" w:themeColor="text1"/>
          <w:lang w:val="pt-BR" w:eastAsia="es-ES"/>
        </w:rPr>
        <w:t xml:space="preserve">A análise econômica </w:t>
      </w:r>
      <w:proofErr w:type="spellStart"/>
      <w:r w:rsidR="008B5BBD" w:rsidRPr="001F27CE">
        <w:rPr>
          <w:rFonts w:ascii="Arial" w:hAnsi="Arial" w:cs="Arial"/>
          <w:color w:val="000000" w:themeColor="text1"/>
          <w:lang w:val="pt-BR" w:eastAsia="es-ES"/>
        </w:rPr>
        <w:t>ex-ante</w:t>
      </w:r>
      <w:bookmarkEnd w:id="5"/>
      <w:proofErr w:type="spellEnd"/>
    </w:p>
    <w:p w14:paraId="294D551A" w14:textId="77777777" w:rsidR="008B5BBD" w:rsidRPr="001F27CE" w:rsidRDefault="008B5BBD" w:rsidP="00B207EA">
      <w:pPr>
        <w:pStyle w:val="PargrafodaLista"/>
        <w:keepNext/>
        <w:suppressAutoHyphens/>
        <w:ind w:left="1440"/>
        <w:jc w:val="both"/>
        <w:outlineLvl w:val="3"/>
        <w:rPr>
          <w:rFonts w:ascii="Arial" w:hAnsi="Arial" w:cs="Arial"/>
          <w:bCs/>
          <w:highlight w:val="yellow"/>
          <w:lang w:val="pt-BR" w:eastAsia="es-ES"/>
        </w:rPr>
      </w:pPr>
    </w:p>
    <w:p w14:paraId="704FB089" w14:textId="3093593E" w:rsidR="00D14310" w:rsidRPr="00D14310" w:rsidRDefault="008B5BBD" w:rsidP="00D14310">
      <w:pPr>
        <w:pStyle w:val="Paragraph"/>
        <w:numPr>
          <w:ilvl w:val="1"/>
          <w:numId w:val="26"/>
        </w:numPr>
        <w:tabs>
          <w:tab w:val="num" w:pos="720"/>
        </w:tabs>
        <w:ind w:left="720" w:hanging="720"/>
        <w:outlineLvl w:val="9"/>
        <w:rPr>
          <w:rFonts w:ascii="Arial" w:hAnsi="Arial" w:cs="Arial"/>
          <w:bCs/>
          <w:lang w:val="pt-BR" w:eastAsia="es-ES"/>
        </w:rPr>
      </w:pPr>
      <w:r w:rsidRPr="001F27CE">
        <w:rPr>
          <w:rFonts w:ascii="Arial" w:hAnsi="Arial" w:cs="Arial"/>
          <w:bCs/>
          <w:lang w:val="pt-BR" w:eastAsia="es-ES"/>
        </w:rPr>
        <w:t xml:space="preserve">A análise econômica </w:t>
      </w:r>
      <w:proofErr w:type="spellStart"/>
      <w:r w:rsidRPr="001F27CE">
        <w:rPr>
          <w:rFonts w:ascii="Arial" w:hAnsi="Arial" w:cs="Arial"/>
          <w:bCs/>
          <w:lang w:val="pt-BR" w:eastAsia="es-ES"/>
        </w:rPr>
        <w:t>ex-ante</w:t>
      </w:r>
      <w:proofErr w:type="spellEnd"/>
      <w:r w:rsidRPr="001F27CE">
        <w:rPr>
          <w:rFonts w:ascii="Arial" w:hAnsi="Arial" w:cs="Arial"/>
          <w:bCs/>
          <w:lang w:val="pt-BR" w:eastAsia="es-ES"/>
        </w:rPr>
        <w:t xml:space="preserve"> </w:t>
      </w:r>
      <w:r w:rsidR="00B04062" w:rsidRPr="001F27CE">
        <w:rPr>
          <w:rFonts w:ascii="Arial" w:hAnsi="Arial" w:cs="Arial"/>
          <w:bCs/>
          <w:lang w:val="pt-BR" w:eastAsia="es-ES"/>
        </w:rPr>
        <w:t>se circunscreve</w:t>
      </w:r>
      <w:r w:rsidR="001F27CE">
        <w:rPr>
          <w:rFonts w:ascii="Arial" w:hAnsi="Arial" w:cs="Arial"/>
          <w:bCs/>
          <w:lang w:val="pt-BR" w:eastAsia="es-ES"/>
        </w:rPr>
        <w:t xml:space="preserve"> a uma análise Custo</w:t>
      </w:r>
      <w:r w:rsidR="001F27CE">
        <w:rPr>
          <w:rFonts w:ascii="Arial" w:hAnsi="Arial" w:cs="Arial"/>
          <w:bCs/>
          <w:lang w:val="pt-BR" w:eastAsia="es-ES"/>
        </w:rPr>
        <w:noBreakHyphen/>
      </w:r>
      <w:r w:rsidR="006E0F6B" w:rsidRPr="001F27CE">
        <w:rPr>
          <w:rFonts w:ascii="Arial" w:hAnsi="Arial" w:cs="Arial"/>
          <w:bCs/>
          <w:lang w:val="pt-BR" w:eastAsia="es-ES"/>
        </w:rPr>
        <w:t>B</w:t>
      </w:r>
      <w:r w:rsidRPr="001F27CE">
        <w:rPr>
          <w:rFonts w:ascii="Arial" w:hAnsi="Arial" w:cs="Arial"/>
          <w:bCs/>
          <w:lang w:val="pt-BR" w:eastAsia="es-ES"/>
        </w:rPr>
        <w:t xml:space="preserve">enefício </w:t>
      </w:r>
      <w:r w:rsidR="006E0F6B" w:rsidRPr="001F27CE">
        <w:rPr>
          <w:rFonts w:ascii="Arial" w:hAnsi="Arial" w:cs="Arial"/>
          <w:bCs/>
          <w:lang w:val="pt-BR" w:eastAsia="es-ES"/>
        </w:rPr>
        <w:t xml:space="preserve">(C-B) </w:t>
      </w:r>
      <w:r w:rsidRPr="001F27CE">
        <w:rPr>
          <w:rFonts w:ascii="Arial" w:hAnsi="Arial" w:cs="Arial"/>
          <w:bCs/>
          <w:lang w:val="pt-BR" w:eastAsia="es-ES"/>
        </w:rPr>
        <w:t>visto que não se pretende medir os impactos do programa na</w:t>
      </w:r>
      <w:r w:rsidR="009E6924" w:rsidRPr="001F27CE">
        <w:rPr>
          <w:rFonts w:ascii="Arial" w:hAnsi="Arial" w:cs="Arial"/>
          <w:bCs/>
          <w:lang w:val="pt-BR" w:eastAsia="es-ES"/>
        </w:rPr>
        <w:t>s variáveis macroeconômicas do E</w:t>
      </w:r>
      <w:r w:rsidRPr="001F27CE">
        <w:rPr>
          <w:rFonts w:ascii="Arial" w:hAnsi="Arial" w:cs="Arial"/>
          <w:bCs/>
          <w:lang w:val="pt-BR" w:eastAsia="es-ES"/>
        </w:rPr>
        <w:t>stado como, por exemplo, o mercado de trabalho</w:t>
      </w:r>
      <w:r w:rsidR="00B04062" w:rsidRPr="001F27CE">
        <w:rPr>
          <w:rFonts w:ascii="Arial" w:hAnsi="Arial" w:cs="Arial"/>
          <w:bCs/>
          <w:lang w:val="pt-BR" w:eastAsia="es-ES"/>
        </w:rPr>
        <w:t>, mesmo porque estes impactos seriam marginais</w:t>
      </w:r>
      <w:r w:rsidRPr="001F27CE">
        <w:rPr>
          <w:rFonts w:ascii="Arial" w:hAnsi="Arial" w:cs="Arial"/>
          <w:bCs/>
          <w:lang w:val="pt-BR" w:eastAsia="es-ES"/>
        </w:rPr>
        <w:t>.</w:t>
      </w:r>
      <w:r w:rsidR="00B04062" w:rsidRPr="001F27CE">
        <w:rPr>
          <w:rFonts w:ascii="Arial" w:hAnsi="Arial" w:cs="Arial"/>
          <w:bCs/>
          <w:lang w:val="pt-BR" w:eastAsia="es-ES"/>
        </w:rPr>
        <w:t xml:space="preserve"> </w:t>
      </w:r>
      <w:r w:rsidR="009960BB" w:rsidRPr="001F27CE">
        <w:rPr>
          <w:rFonts w:ascii="Arial" w:hAnsi="Arial" w:cs="Arial"/>
          <w:bCs/>
          <w:lang w:val="pt-BR" w:eastAsia="es-ES"/>
        </w:rPr>
        <w:t>Po</w:t>
      </w:r>
      <w:r w:rsidR="006E0F6B" w:rsidRPr="001F27CE">
        <w:rPr>
          <w:rFonts w:ascii="Arial" w:hAnsi="Arial" w:cs="Arial"/>
          <w:bCs/>
          <w:lang w:val="pt-BR" w:eastAsia="es-ES"/>
        </w:rPr>
        <w:t>r</w:t>
      </w:r>
      <w:r w:rsidR="009960BB" w:rsidRPr="001F27CE">
        <w:rPr>
          <w:rFonts w:ascii="Arial" w:hAnsi="Arial" w:cs="Arial"/>
          <w:bCs/>
          <w:lang w:val="pt-BR" w:eastAsia="es-ES"/>
        </w:rPr>
        <w:t xml:space="preserve"> exemplo, e</w:t>
      </w:r>
      <w:r w:rsidR="00B04062" w:rsidRPr="001F27CE">
        <w:rPr>
          <w:rFonts w:ascii="Arial" w:hAnsi="Arial" w:cs="Arial"/>
          <w:bCs/>
          <w:lang w:val="pt-BR" w:eastAsia="es-ES"/>
        </w:rPr>
        <w:t xml:space="preserve">m uma análise econômica mais ampla não se poderia considerar um aumento de arrecadação de impostos como benefícios já que </w:t>
      </w:r>
      <w:r w:rsidR="00F975FC" w:rsidRPr="001F27CE">
        <w:rPr>
          <w:rFonts w:ascii="Arial" w:hAnsi="Arial" w:cs="Arial"/>
          <w:bCs/>
          <w:lang w:val="pt-BR" w:eastAsia="es-ES"/>
        </w:rPr>
        <w:t>re</w:t>
      </w:r>
      <w:r w:rsidR="00B04062" w:rsidRPr="001F27CE">
        <w:rPr>
          <w:rFonts w:ascii="Arial" w:hAnsi="Arial" w:cs="Arial"/>
          <w:bCs/>
          <w:lang w:val="pt-BR" w:eastAsia="es-ES"/>
        </w:rPr>
        <w:t>presentaria uma perda para o contribuinte e o saldo seria nulo ou até mesmo negativo se con</w:t>
      </w:r>
      <w:r w:rsidR="009960BB" w:rsidRPr="001F27CE">
        <w:rPr>
          <w:rFonts w:ascii="Arial" w:hAnsi="Arial" w:cs="Arial"/>
          <w:bCs/>
          <w:lang w:val="pt-BR" w:eastAsia="es-ES"/>
        </w:rPr>
        <w:t xml:space="preserve">siderado o efeito </w:t>
      </w:r>
      <w:r w:rsidR="009960BB" w:rsidRPr="00D14310">
        <w:rPr>
          <w:rFonts w:ascii="Arial" w:hAnsi="Arial" w:cs="Arial"/>
          <w:bCs/>
          <w:lang w:val="pt-BR" w:eastAsia="es-ES"/>
        </w:rPr>
        <w:t>“</w:t>
      </w:r>
      <w:proofErr w:type="spellStart"/>
      <w:r w:rsidR="009960BB" w:rsidRPr="00D14310">
        <w:rPr>
          <w:rFonts w:ascii="Arial" w:hAnsi="Arial" w:cs="Arial"/>
          <w:bCs/>
          <w:lang w:val="pt-BR" w:eastAsia="es-ES"/>
        </w:rPr>
        <w:t>dead</w:t>
      </w:r>
      <w:r w:rsidR="00B04062" w:rsidRPr="00D14310">
        <w:rPr>
          <w:rFonts w:ascii="Arial" w:hAnsi="Arial" w:cs="Arial"/>
          <w:bCs/>
          <w:lang w:val="pt-BR" w:eastAsia="es-ES"/>
        </w:rPr>
        <w:t>weight</w:t>
      </w:r>
      <w:proofErr w:type="spellEnd"/>
      <w:r w:rsidR="009960BB" w:rsidRPr="00D14310">
        <w:rPr>
          <w:rFonts w:ascii="Arial" w:hAnsi="Arial" w:cs="Arial"/>
          <w:bCs/>
          <w:lang w:val="pt-BR" w:eastAsia="es-ES"/>
        </w:rPr>
        <w:t xml:space="preserve"> </w:t>
      </w:r>
      <w:proofErr w:type="spellStart"/>
      <w:r w:rsidR="009960BB" w:rsidRPr="00D14310">
        <w:rPr>
          <w:rFonts w:ascii="Arial" w:hAnsi="Arial" w:cs="Arial"/>
          <w:bCs/>
          <w:lang w:val="pt-BR" w:eastAsia="es-ES"/>
        </w:rPr>
        <w:t>loss</w:t>
      </w:r>
      <w:proofErr w:type="spellEnd"/>
      <w:r w:rsidR="00B04062" w:rsidRPr="00D14310">
        <w:rPr>
          <w:rFonts w:ascii="Arial" w:hAnsi="Arial" w:cs="Arial"/>
          <w:bCs/>
          <w:lang w:val="pt-BR" w:eastAsia="es-ES"/>
        </w:rPr>
        <w:t>”</w:t>
      </w:r>
      <w:r w:rsidR="00B04062" w:rsidRPr="001F27CE">
        <w:rPr>
          <w:rFonts w:ascii="Arial" w:hAnsi="Arial" w:cs="Arial"/>
          <w:bCs/>
          <w:lang w:val="pt-BR" w:eastAsia="es-ES"/>
        </w:rPr>
        <w:t xml:space="preserve">. </w:t>
      </w:r>
      <w:r w:rsidR="00D14310" w:rsidRPr="00D14310">
        <w:rPr>
          <w:rFonts w:ascii="Arial" w:hAnsi="Arial" w:cs="Arial"/>
          <w:bCs/>
          <w:color w:val="FF0000"/>
          <w:lang w:val="pt-BR" w:eastAsia="es-ES"/>
        </w:rPr>
        <w:t>No entanto, neste caso específico, o aumento da arrecadação não resulta de um aumento de impostos, mas de uma redução da evasão fiscal que as distorções na economia, já que as empresas que sonegam impostos tem uma vantagem comparativa ilegal que distorce a competitividade econômica.  Assim, o aumento da arrecadação, resultante da redução da evasão fiscal, reduz as distorções econômicas no estado e, ao mesmo tempo, amplia os fundos estatais para a prestação de serviços aos cidadãos. Em outras palavras, o aumento da arrecadação, neste caso, constitui um claro benefício para o estado do P</w:t>
      </w:r>
      <w:r w:rsidR="00D14310">
        <w:rPr>
          <w:rFonts w:ascii="Arial" w:hAnsi="Arial" w:cs="Arial"/>
          <w:bCs/>
          <w:color w:val="FF0000"/>
          <w:lang w:val="pt-BR" w:eastAsia="es-ES"/>
        </w:rPr>
        <w:t>ará</w:t>
      </w:r>
      <w:r w:rsidR="00D14310" w:rsidRPr="00D14310">
        <w:rPr>
          <w:rFonts w:ascii="Arial" w:hAnsi="Arial" w:cs="Arial"/>
          <w:bCs/>
          <w:color w:val="FF0000"/>
          <w:lang w:val="pt-BR" w:eastAsia="es-ES"/>
        </w:rPr>
        <w:t xml:space="preserve">. </w:t>
      </w:r>
    </w:p>
    <w:p w14:paraId="3C345A73" w14:textId="77777777" w:rsidR="00D14310" w:rsidRDefault="00D14310" w:rsidP="00B748FA">
      <w:pPr>
        <w:pStyle w:val="Paragraph"/>
        <w:numPr>
          <w:ilvl w:val="1"/>
          <w:numId w:val="26"/>
        </w:numPr>
        <w:tabs>
          <w:tab w:val="num" w:pos="720"/>
        </w:tabs>
        <w:spacing w:before="0"/>
        <w:ind w:left="720" w:hanging="720"/>
        <w:outlineLvl w:val="9"/>
        <w:rPr>
          <w:rFonts w:ascii="Arial" w:hAnsi="Arial" w:cs="Arial"/>
          <w:bCs/>
          <w:color w:val="FF0000"/>
          <w:lang w:val="pt-BR" w:eastAsia="es-ES"/>
        </w:rPr>
      </w:pPr>
      <w:r w:rsidRPr="00D14310">
        <w:rPr>
          <w:rFonts w:ascii="Arial" w:hAnsi="Arial" w:cs="Arial"/>
          <w:bCs/>
          <w:color w:val="FF0000"/>
          <w:lang w:val="pt-BR" w:eastAsia="es-ES"/>
        </w:rPr>
        <w:lastRenderedPageBreak/>
        <w:t>Os custos de investimento e manutenção são medidos pelos preços de mercado.</w:t>
      </w:r>
      <w:r w:rsidRPr="00D14310">
        <w:rPr>
          <w:rFonts w:ascii="Arial" w:hAnsi="Arial" w:cs="Arial"/>
          <w:bCs/>
          <w:color w:val="FF0000"/>
          <w:vertAlign w:val="superscript"/>
          <w:lang w:val="pt-BR" w:eastAsia="es-ES"/>
        </w:rPr>
        <w:footnoteReference w:id="4"/>
      </w:r>
      <w:r w:rsidRPr="00D14310">
        <w:rPr>
          <w:rFonts w:ascii="Arial" w:hAnsi="Arial" w:cs="Arial"/>
          <w:bCs/>
          <w:color w:val="FF0000"/>
          <w:lang w:val="pt-BR" w:eastAsia="es-ES"/>
        </w:rPr>
        <w:t xml:space="preserve"> Esta opção está baseada no entendimento que, neste projeto, os preços de mercado refletem os custos sociais de oportunidade para os recursos. Desta maneira, se optou por elaborar uma análise C-B, estimando os custos e benefícios financeiros </w:t>
      </w:r>
      <w:proofErr w:type="spellStart"/>
      <w:r w:rsidRPr="00D14310">
        <w:rPr>
          <w:rFonts w:ascii="Arial" w:hAnsi="Arial" w:cs="Arial"/>
          <w:bCs/>
          <w:color w:val="FF0000"/>
          <w:lang w:val="pt-BR" w:eastAsia="es-ES"/>
        </w:rPr>
        <w:t>ex-ante</w:t>
      </w:r>
      <w:proofErr w:type="spellEnd"/>
      <w:r w:rsidRPr="00D14310">
        <w:rPr>
          <w:rFonts w:ascii="Arial" w:hAnsi="Arial" w:cs="Arial"/>
          <w:bCs/>
          <w:color w:val="FF0000"/>
          <w:lang w:val="pt-BR" w:eastAsia="es-ES"/>
        </w:rPr>
        <w:t>. Adicionalmente, a maior probabilidade é que a aplicação de preços sombra reduziria os custos totais do investimento e manutenção. Aplicando os preços de mercado torna-se a avaliação mais conservadora, com taxas de retorno menores comparadas às que seriam alcançadas se preços sombras fossem aplicados.</w:t>
      </w:r>
    </w:p>
    <w:p w14:paraId="294D551C" w14:textId="77777777" w:rsidR="00B04062" w:rsidRPr="001F27CE" w:rsidRDefault="00411A48" w:rsidP="00B748FA">
      <w:pPr>
        <w:pStyle w:val="PargrafodaLista"/>
        <w:keepNext/>
        <w:numPr>
          <w:ilvl w:val="1"/>
          <w:numId w:val="4"/>
        </w:numPr>
        <w:tabs>
          <w:tab w:val="num" w:pos="851"/>
        </w:tabs>
        <w:suppressAutoHyphens/>
        <w:ind w:left="851" w:hanging="567"/>
        <w:jc w:val="both"/>
        <w:outlineLvl w:val="3"/>
        <w:rPr>
          <w:rFonts w:ascii="Arial" w:hAnsi="Arial" w:cs="Arial"/>
          <w:bCs/>
          <w:lang w:val="pt-BR" w:eastAsia="es-ES"/>
        </w:rPr>
      </w:pPr>
      <w:r w:rsidRPr="001F27CE">
        <w:rPr>
          <w:rFonts w:ascii="Arial" w:hAnsi="Arial" w:cs="Arial"/>
          <w:bCs/>
          <w:lang w:val="pt-BR" w:eastAsia="es-ES"/>
        </w:rPr>
        <w:lastRenderedPageBreak/>
        <w:t>Esta</w:t>
      </w:r>
      <w:r w:rsidR="00B04062" w:rsidRPr="001F27CE">
        <w:rPr>
          <w:rFonts w:ascii="Arial" w:hAnsi="Arial" w:cs="Arial"/>
          <w:bCs/>
          <w:lang w:val="pt-BR" w:eastAsia="es-ES"/>
        </w:rPr>
        <w:t xml:space="preserve"> análise considera os custos</w:t>
      </w:r>
      <w:r w:rsidR="00F975FC" w:rsidRPr="001F27CE">
        <w:rPr>
          <w:rFonts w:ascii="Arial" w:hAnsi="Arial" w:cs="Arial"/>
          <w:bCs/>
          <w:lang w:val="pt-BR" w:eastAsia="es-ES"/>
        </w:rPr>
        <w:t xml:space="preserve"> e benefícios financeiros para</w:t>
      </w:r>
      <w:r w:rsidR="00B04062" w:rsidRPr="001F27CE">
        <w:rPr>
          <w:rFonts w:ascii="Arial" w:hAnsi="Arial" w:cs="Arial"/>
          <w:bCs/>
          <w:lang w:val="pt-BR" w:eastAsia="es-ES"/>
        </w:rPr>
        <w:t xml:space="preserve"> </w:t>
      </w:r>
      <w:r w:rsidR="00F975FC" w:rsidRPr="001F27CE">
        <w:rPr>
          <w:rFonts w:ascii="Arial" w:hAnsi="Arial" w:cs="Arial"/>
          <w:bCs/>
          <w:lang w:val="pt-BR" w:eastAsia="es-ES"/>
        </w:rPr>
        <w:t>o governo do E</w:t>
      </w:r>
      <w:r w:rsidR="00585557" w:rsidRPr="001F27CE">
        <w:rPr>
          <w:rFonts w:ascii="Arial" w:hAnsi="Arial" w:cs="Arial"/>
          <w:bCs/>
          <w:lang w:val="pt-BR" w:eastAsia="es-ES"/>
        </w:rPr>
        <w:t>stado do P</w:t>
      </w:r>
      <w:r w:rsidR="0089788A" w:rsidRPr="001F27CE">
        <w:rPr>
          <w:rFonts w:ascii="Arial" w:hAnsi="Arial" w:cs="Arial"/>
          <w:bCs/>
          <w:lang w:val="pt-BR" w:eastAsia="es-ES"/>
        </w:rPr>
        <w:t>ará</w:t>
      </w:r>
      <w:r w:rsidRPr="001F27CE">
        <w:rPr>
          <w:rFonts w:ascii="Arial" w:hAnsi="Arial" w:cs="Arial"/>
          <w:bCs/>
          <w:lang w:val="pt-BR" w:eastAsia="es-ES"/>
        </w:rPr>
        <w:t xml:space="preserve">, </w:t>
      </w:r>
      <w:r w:rsidR="006E0F6B" w:rsidRPr="001F27CE">
        <w:rPr>
          <w:rFonts w:ascii="Arial" w:hAnsi="Arial" w:cs="Arial"/>
          <w:bCs/>
          <w:lang w:val="pt-BR" w:eastAsia="es-ES"/>
        </w:rPr>
        <w:t xml:space="preserve">assim como </w:t>
      </w:r>
      <w:r w:rsidRPr="001F27CE">
        <w:rPr>
          <w:rFonts w:ascii="Arial" w:hAnsi="Arial" w:cs="Arial"/>
          <w:bCs/>
          <w:lang w:val="pt-BR" w:eastAsia="es-ES"/>
        </w:rPr>
        <w:t xml:space="preserve">as </w:t>
      </w:r>
      <w:r w:rsidR="00B04062" w:rsidRPr="001F27CE">
        <w:rPr>
          <w:rFonts w:ascii="Arial" w:hAnsi="Arial" w:cs="Arial"/>
          <w:bCs/>
          <w:lang w:val="pt-BR" w:eastAsia="es-ES"/>
        </w:rPr>
        <w:t>economias para o contribuinte</w:t>
      </w:r>
      <w:r w:rsidR="00F975FC" w:rsidRPr="001F27CE">
        <w:rPr>
          <w:rFonts w:ascii="Arial" w:hAnsi="Arial" w:cs="Arial"/>
          <w:bCs/>
          <w:lang w:val="pt-BR" w:eastAsia="es-ES"/>
        </w:rPr>
        <w:t>,</w:t>
      </w:r>
      <w:r w:rsidR="00B04062" w:rsidRPr="001F27CE">
        <w:rPr>
          <w:rFonts w:ascii="Arial" w:hAnsi="Arial" w:cs="Arial"/>
          <w:bCs/>
          <w:lang w:val="pt-BR" w:eastAsia="es-ES"/>
        </w:rPr>
        <w:t xml:space="preserve"> advindas da modernização da gestão fiscal</w:t>
      </w:r>
      <w:r w:rsidR="006E0F6B" w:rsidRPr="001F27CE">
        <w:rPr>
          <w:rFonts w:ascii="Arial" w:hAnsi="Arial" w:cs="Arial"/>
          <w:bCs/>
          <w:lang w:val="pt-BR" w:eastAsia="es-ES"/>
        </w:rPr>
        <w:t>,</w:t>
      </w:r>
      <w:r w:rsidR="00B04062" w:rsidRPr="001F27CE">
        <w:rPr>
          <w:rFonts w:ascii="Arial" w:hAnsi="Arial" w:cs="Arial"/>
          <w:bCs/>
          <w:lang w:val="pt-BR" w:eastAsia="es-ES"/>
        </w:rPr>
        <w:t xml:space="preserve"> que resultará em menor tempo para o </w:t>
      </w:r>
      <w:r w:rsidR="006E0F6B" w:rsidRPr="001F27CE">
        <w:rPr>
          <w:rFonts w:ascii="Arial" w:hAnsi="Arial" w:cs="Arial"/>
          <w:bCs/>
          <w:lang w:val="pt-BR" w:eastAsia="es-ES"/>
        </w:rPr>
        <w:t>cumprimento das</w:t>
      </w:r>
      <w:r w:rsidR="00B04062" w:rsidRPr="001F27CE">
        <w:rPr>
          <w:rFonts w:ascii="Arial" w:hAnsi="Arial" w:cs="Arial"/>
          <w:bCs/>
          <w:lang w:val="pt-BR" w:eastAsia="es-ES"/>
        </w:rPr>
        <w:t xml:space="preserve"> obrigações tributárias</w:t>
      </w:r>
      <w:r w:rsidR="00A2568A" w:rsidRPr="001F27CE">
        <w:rPr>
          <w:rFonts w:ascii="Arial" w:hAnsi="Arial" w:cs="Arial"/>
          <w:bCs/>
          <w:lang w:val="pt-BR" w:eastAsia="es-ES"/>
        </w:rPr>
        <w:t xml:space="preserve"> como, por exemplo, a redução de obrigações acessórias</w:t>
      </w:r>
      <w:r w:rsidR="00B04062" w:rsidRPr="001F27CE">
        <w:rPr>
          <w:rFonts w:ascii="Arial" w:hAnsi="Arial" w:cs="Arial"/>
          <w:bCs/>
          <w:lang w:val="pt-BR" w:eastAsia="es-ES"/>
        </w:rPr>
        <w:t xml:space="preserve">. </w:t>
      </w:r>
      <w:r w:rsidRPr="001F27CE">
        <w:rPr>
          <w:rFonts w:ascii="Arial" w:hAnsi="Arial" w:cs="Arial"/>
          <w:bCs/>
          <w:lang w:val="pt-BR" w:eastAsia="es-ES"/>
        </w:rPr>
        <w:t>Além do aumento de arrecadação, t</w:t>
      </w:r>
      <w:r w:rsidR="00B04062" w:rsidRPr="001F27CE">
        <w:rPr>
          <w:rFonts w:ascii="Arial" w:hAnsi="Arial" w:cs="Arial"/>
          <w:bCs/>
          <w:lang w:val="pt-BR" w:eastAsia="es-ES"/>
        </w:rPr>
        <w:t>ambém se considera algumas economias para</w:t>
      </w:r>
      <w:r w:rsidR="00F975FC" w:rsidRPr="001F27CE">
        <w:rPr>
          <w:rFonts w:ascii="Arial" w:hAnsi="Arial" w:cs="Arial"/>
          <w:bCs/>
          <w:lang w:val="pt-BR" w:eastAsia="es-ES"/>
        </w:rPr>
        <w:t xml:space="preserve"> o governo</w:t>
      </w:r>
      <w:r w:rsidR="00B04062" w:rsidRPr="001F27CE">
        <w:rPr>
          <w:rFonts w:ascii="Arial" w:hAnsi="Arial" w:cs="Arial"/>
          <w:bCs/>
          <w:lang w:val="pt-BR" w:eastAsia="es-ES"/>
        </w:rPr>
        <w:t xml:space="preserve"> com</w:t>
      </w:r>
      <w:r w:rsidR="0089788A" w:rsidRPr="001F27CE">
        <w:rPr>
          <w:rFonts w:ascii="Arial" w:hAnsi="Arial" w:cs="Arial"/>
          <w:bCs/>
          <w:lang w:val="pt-BR" w:eastAsia="es-ES"/>
        </w:rPr>
        <w:t>o a reduç</w:t>
      </w:r>
      <w:r w:rsidR="0063504D" w:rsidRPr="001F27CE">
        <w:rPr>
          <w:rFonts w:ascii="Arial" w:hAnsi="Arial" w:cs="Arial"/>
          <w:bCs/>
          <w:lang w:val="pt-BR" w:eastAsia="es-ES"/>
        </w:rPr>
        <w:t xml:space="preserve">ão de </w:t>
      </w:r>
      <w:r w:rsidR="0014500E" w:rsidRPr="001F27CE">
        <w:rPr>
          <w:rFonts w:ascii="Arial" w:hAnsi="Arial" w:cs="Arial"/>
          <w:bCs/>
          <w:lang w:val="pt-BR" w:eastAsia="es-ES"/>
        </w:rPr>
        <w:t xml:space="preserve">horas de </w:t>
      </w:r>
      <w:r w:rsidR="0063504D" w:rsidRPr="001F27CE">
        <w:rPr>
          <w:rFonts w:ascii="Arial" w:hAnsi="Arial" w:cs="Arial"/>
          <w:bCs/>
          <w:lang w:val="pt-BR" w:eastAsia="es-ES"/>
        </w:rPr>
        <w:t xml:space="preserve">trabalho </w:t>
      </w:r>
      <w:r w:rsidR="0014500E" w:rsidRPr="001F27CE">
        <w:rPr>
          <w:rFonts w:ascii="Arial" w:hAnsi="Arial" w:cs="Arial"/>
          <w:bCs/>
          <w:lang w:val="pt-BR" w:eastAsia="es-ES"/>
        </w:rPr>
        <w:t xml:space="preserve">manual e presencial na </w:t>
      </w:r>
      <w:r w:rsidR="0063504D" w:rsidRPr="001F27CE">
        <w:rPr>
          <w:rFonts w:ascii="Arial" w:hAnsi="Arial" w:cs="Arial"/>
          <w:bCs/>
          <w:lang w:val="pt-BR" w:eastAsia="es-ES"/>
        </w:rPr>
        <w:t>concessão de benefícios fiscais</w:t>
      </w:r>
      <w:r w:rsidR="0014500E" w:rsidRPr="001F27CE">
        <w:rPr>
          <w:rFonts w:ascii="Arial" w:hAnsi="Arial" w:cs="Arial"/>
          <w:bCs/>
          <w:lang w:val="pt-BR" w:eastAsia="es-ES"/>
        </w:rPr>
        <w:t xml:space="preserve"> para taxistas que será automatizada com recursos do P</w:t>
      </w:r>
      <w:r w:rsidR="009E6924" w:rsidRPr="001F27CE">
        <w:rPr>
          <w:rFonts w:ascii="Arial" w:hAnsi="Arial" w:cs="Arial"/>
          <w:bCs/>
          <w:lang w:val="pt-BR" w:eastAsia="es-ES"/>
        </w:rPr>
        <w:t>ROFISCO</w:t>
      </w:r>
      <w:r w:rsidR="0014500E" w:rsidRPr="001F27CE">
        <w:rPr>
          <w:rFonts w:ascii="Arial" w:hAnsi="Arial" w:cs="Arial"/>
          <w:bCs/>
          <w:lang w:val="pt-BR" w:eastAsia="es-ES"/>
        </w:rPr>
        <w:t xml:space="preserve"> II e redução dos custos de publicação no Diário Oficial do Estado com a implantação do Diário Virtual.</w:t>
      </w:r>
      <w:r w:rsidR="00A2568A" w:rsidRPr="001F27CE">
        <w:rPr>
          <w:rFonts w:ascii="Arial" w:hAnsi="Arial" w:cs="Arial"/>
          <w:bCs/>
          <w:lang w:val="pt-BR" w:eastAsia="es-ES"/>
        </w:rPr>
        <w:t xml:space="preserve"> </w:t>
      </w:r>
    </w:p>
    <w:p w14:paraId="294D551D" w14:textId="77777777" w:rsidR="00B043A7" w:rsidRPr="001F27CE" w:rsidRDefault="00B043A7" w:rsidP="004F42D5">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O universo tempor</w:t>
      </w:r>
      <w:r w:rsidR="00BF6194" w:rsidRPr="001F27CE">
        <w:rPr>
          <w:rFonts w:ascii="Arial" w:hAnsi="Arial" w:cs="Arial"/>
          <w:bCs/>
          <w:lang w:val="pt-BR" w:eastAsia="es-ES"/>
        </w:rPr>
        <w:t>al é de dez anos a partir do iní</w:t>
      </w:r>
      <w:r w:rsidRPr="001F27CE">
        <w:rPr>
          <w:rFonts w:ascii="Arial" w:hAnsi="Arial" w:cs="Arial"/>
          <w:bCs/>
          <w:lang w:val="pt-BR" w:eastAsia="es-ES"/>
        </w:rPr>
        <w:t xml:space="preserve">cio da execução </w:t>
      </w:r>
      <w:r w:rsidR="00BF6194" w:rsidRPr="001F27CE">
        <w:rPr>
          <w:rFonts w:ascii="Arial" w:hAnsi="Arial" w:cs="Arial"/>
          <w:bCs/>
          <w:lang w:val="pt-BR" w:eastAsia="es-ES"/>
        </w:rPr>
        <w:t xml:space="preserve">do programa, independendo do </w:t>
      </w:r>
      <w:r w:rsidR="00A2568A" w:rsidRPr="001F27CE">
        <w:rPr>
          <w:rFonts w:ascii="Arial" w:hAnsi="Arial" w:cs="Arial"/>
          <w:bCs/>
          <w:lang w:val="pt-BR" w:eastAsia="es-ES"/>
        </w:rPr>
        <w:t>começo</w:t>
      </w:r>
      <w:r w:rsidRPr="001F27CE">
        <w:rPr>
          <w:rFonts w:ascii="Arial" w:hAnsi="Arial" w:cs="Arial"/>
          <w:bCs/>
          <w:lang w:val="pt-BR" w:eastAsia="es-ES"/>
        </w:rPr>
        <w:t xml:space="preserve"> especifico da execução em ano calendário. Assim, a análise vai do ano </w:t>
      </w:r>
      <w:proofErr w:type="gramStart"/>
      <w:r w:rsidRPr="001F27CE">
        <w:rPr>
          <w:rFonts w:ascii="Arial" w:hAnsi="Arial" w:cs="Arial"/>
          <w:bCs/>
          <w:lang w:val="pt-BR" w:eastAsia="es-ES"/>
        </w:rPr>
        <w:t>1</w:t>
      </w:r>
      <w:proofErr w:type="gramEnd"/>
      <w:r w:rsidRPr="001F27CE">
        <w:rPr>
          <w:rFonts w:ascii="Arial" w:hAnsi="Arial" w:cs="Arial"/>
          <w:bCs/>
          <w:lang w:val="pt-BR" w:eastAsia="es-ES"/>
        </w:rPr>
        <w:t xml:space="preserve"> ao ano 10, que corresponderia aproximadamente aos anos 2018 e 2027, respectivamente.</w:t>
      </w:r>
    </w:p>
    <w:p w14:paraId="294D551E" w14:textId="77777777" w:rsidR="00B043A7" w:rsidRPr="001F27CE" w:rsidRDefault="00B043A7" w:rsidP="004F42D5">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Os custos incluídos são: </w:t>
      </w:r>
    </w:p>
    <w:p w14:paraId="294D551F" w14:textId="77777777" w:rsidR="005D58B6" w:rsidRPr="001F27CE" w:rsidRDefault="00B043A7" w:rsidP="004F42D5">
      <w:pPr>
        <w:pStyle w:val="PargrafodaLista"/>
        <w:keepNext/>
        <w:numPr>
          <w:ilvl w:val="2"/>
          <w:numId w:val="5"/>
        </w:numPr>
        <w:suppressAutoHyphens/>
        <w:spacing w:before="120"/>
        <w:jc w:val="both"/>
        <w:outlineLvl w:val="3"/>
        <w:rPr>
          <w:rFonts w:ascii="Arial" w:hAnsi="Arial" w:cs="Arial"/>
          <w:bCs/>
          <w:lang w:val="pt-BR" w:eastAsia="es-ES"/>
        </w:rPr>
      </w:pPr>
      <w:r w:rsidRPr="001F27CE">
        <w:rPr>
          <w:rFonts w:ascii="Arial" w:hAnsi="Arial" w:cs="Arial"/>
          <w:bCs/>
          <w:lang w:val="pt-BR" w:eastAsia="es-ES"/>
        </w:rPr>
        <w:t>Custo de financiamento do programa de US$</w:t>
      </w:r>
      <w:r w:rsidR="0014500E" w:rsidRPr="001F27CE">
        <w:rPr>
          <w:rFonts w:ascii="Arial" w:hAnsi="Arial" w:cs="Arial"/>
          <w:bCs/>
          <w:lang w:val="pt-BR" w:eastAsia="es-ES"/>
        </w:rPr>
        <w:t>35,1</w:t>
      </w:r>
      <w:r w:rsidR="00A65263" w:rsidRPr="001F27CE">
        <w:rPr>
          <w:rFonts w:ascii="Arial" w:hAnsi="Arial" w:cs="Arial"/>
          <w:bCs/>
          <w:lang w:val="pt-BR" w:eastAsia="es-ES"/>
        </w:rPr>
        <w:t xml:space="preserve"> milhões </w:t>
      </w:r>
      <w:r w:rsidR="005D58B6" w:rsidRPr="001F27CE">
        <w:rPr>
          <w:rFonts w:ascii="Arial" w:hAnsi="Arial" w:cs="Arial"/>
          <w:bCs/>
          <w:lang w:val="pt-BR" w:eastAsia="es-ES"/>
        </w:rPr>
        <w:t>desembolsado em cinco anos;</w:t>
      </w:r>
    </w:p>
    <w:p w14:paraId="294D5520" w14:textId="77777777" w:rsidR="00411A48" w:rsidRPr="001F27CE" w:rsidRDefault="005D58B6" w:rsidP="004F42D5">
      <w:pPr>
        <w:pStyle w:val="PargrafodaLista"/>
        <w:keepNext/>
        <w:numPr>
          <w:ilvl w:val="2"/>
          <w:numId w:val="5"/>
        </w:numPr>
        <w:suppressAutoHyphens/>
        <w:spacing w:before="120"/>
        <w:jc w:val="both"/>
        <w:outlineLvl w:val="3"/>
        <w:rPr>
          <w:rFonts w:ascii="Arial" w:hAnsi="Arial" w:cs="Arial"/>
          <w:bCs/>
          <w:lang w:val="pt-BR" w:eastAsia="es-ES"/>
        </w:rPr>
      </w:pPr>
      <w:r w:rsidRPr="001F27CE">
        <w:rPr>
          <w:rFonts w:ascii="Arial" w:hAnsi="Arial" w:cs="Arial"/>
          <w:bCs/>
          <w:lang w:val="pt-BR" w:eastAsia="es-ES"/>
        </w:rPr>
        <w:t xml:space="preserve">Custo de contrapartida pelo Estado do </w:t>
      </w:r>
      <w:r w:rsidR="008F0973" w:rsidRPr="001F27CE">
        <w:rPr>
          <w:rFonts w:ascii="Arial" w:hAnsi="Arial" w:cs="Arial"/>
          <w:bCs/>
          <w:lang w:val="pt-BR" w:eastAsia="es-ES"/>
        </w:rPr>
        <w:t>P</w:t>
      </w:r>
      <w:r w:rsidR="0014500E" w:rsidRPr="001F27CE">
        <w:rPr>
          <w:rFonts w:ascii="Arial" w:hAnsi="Arial" w:cs="Arial"/>
          <w:bCs/>
          <w:lang w:val="pt-BR" w:eastAsia="es-ES"/>
        </w:rPr>
        <w:t>ará</w:t>
      </w:r>
      <w:r w:rsidR="00636D3F">
        <w:rPr>
          <w:rFonts w:ascii="Arial" w:hAnsi="Arial" w:cs="Arial"/>
          <w:bCs/>
          <w:lang w:val="pt-BR" w:eastAsia="es-ES"/>
        </w:rPr>
        <w:t xml:space="preserve"> em um total de US$</w:t>
      </w:r>
      <w:r w:rsidR="0014500E" w:rsidRPr="001F27CE">
        <w:rPr>
          <w:rFonts w:ascii="Arial" w:hAnsi="Arial" w:cs="Arial"/>
          <w:bCs/>
          <w:lang w:val="pt-BR" w:eastAsia="es-ES"/>
        </w:rPr>
        <w:t>3</w:t>
      </w:r>
      <w:r w:rsidR="008F0973" w:rsidRPr="001F27CE">
        <w:rPr>
          <w:rFonts w:ascii="Arial" w:hAnsi="Arial" w:cs="Arial"/>
          <w:bCs/>
          <w:lang w:val="pt-BR" w:eastAsia="es-ES"/>
        </w:rPr>
        <w:t>,</w:t>
      </w:r>
      <w:r w:rsidR="0014500E" w:rsidRPr="001F27CE">
        <w:rPr>
          <w:rFonts w:ascii="Arial" w:hAnsi="Arial" w:cs="Arial"/>
          <w:bCs/>
          <w:lang w:val="pt-BR" w:eastAsia="es-ES"/>
        </w:rPr>
        <w:t>9</w:t>
      </w:r>
      <w:r w:rsidR="00254F38">
        <w:rPr>
          <w:rFonts w:ascii="Arial" w:hAnsi="Arial" w:cs="Arial"/>
          <w:bCs/>
          <w:lang w:val="pt-BR" w:eastAsia="es-ES"/>
        </w:rPr>
        <w:t> </w:t>
      </w:r>
      <w:r w:rsidRPr="001F27CE">
        <w:rPr>
          <w:rFonts w:ascii="Arial" w:hAnsi="Arial" w:cs="Arial"/>
          <w:bCs/>
          <w:lang w:val="pt-BR" w:eastAsia="es-ES"/>
        </w:rPr>
        <w:t>milhões desembolsado em cinco anos;</w:t>
      </w:r>
    </w:p>
    <w:p w14:paraId="294D5521" w14:textId="77777777" w:rsidR="005D58B6" w:rsidRPr="001F27CE" w:rsidRDefault="00411A48" w:rsidP="004F42D5">
      <w:pPr>
        <w:pStyle w:val="PargrafodaLista"/>
        <w:keepNext/>
        <w:numPr>
          <w:ilvl w:val="2"/>
          <w:numId w:val="5"/>
        </w:numPr>
        <w:suppressAutoHyphens/>
        <w:spacing w:before="120"/>
        <w:jc w:val="both"/>
        <w:outlineLvl w:val="3"/>
        <w:rPr>
          <w:rFonts w:ascii="Arial" w:hAnsi="Arial" w:cs="Arial"/>
          <w:bCs/>
          <w:lang w:val="pt-BR" w:eastAsia="es-ES"/>
        </w:rPr>
      </w:pPr>
      <w:r w:rsidRPr="001F27CE">
        <w:rPr>
          <w:rFonts w:ascii="Arial" w:hAnsi="Arial" w:cs="Arial"/>
          <w:bCs/>
          <w:lang w:val="pt-BR" w:eastAsia="es-ES"/>
        </w:rPr>
        <w:t>Custos financeiros associados ao financiamento do programa: taxa de c</w:t>
      </w:r>
      <w:r w:rsidR="002F1B43" w:rsidRPr="001F27CE">
        <w:rPr>
          <w:rFonts w:ascii="Arial" w:hAnsi="Arial" w:cs="Arial"/>
          <w:bCs/>
          <w:lang w:val="pt-BR" w:eastAsia="es-ES"/>
        </w:rPr>
        <w:t>rédito</w:t>
      </w:r>
      <w:r w:rsidRPr="001F27CE">
        <w:rPr>
          <w:rFonts w:ascii="Arial" w:hAnsi="Arial" w:cs="Arial"/>
          <w:bCs/>
          <w:lang w:val="pt-BR" w:eastAsia="es-ES"/>
        </w:rPr>
        <w:t xml:space="preserve"> para valores não desembolsados e juros para valores desembolsados;</w:t>
      </w:r>
      <w:r w:rsidR="005D58B6" w:rsidRPr="001F27CE">
        <w:rPr>
          <w:rFonts w:ascii="Arial" w:hAnsi="Arial" w:cs="Arial"/>
          <w:bCs/>
          <w:lang w:val="pt-BR" w:eastAsia="es-ES"/>
        </w:rPr>
        <w:t xml:space="preserve"> </w:t>
      </w:r>
      <w:proofErr w:type="gramStart"/>
      <w:r w:rsidR="005D58B6" w:rsidRPr="001F27CE">
        <w:rPr>
          <w:rFonts w:ascii="Arial" w:hAnsi="Arial" w:cs="Arial"/>
          <w:bCs/>
          <w:lang w:val="pt-BR" w:eastAsia="es-ES"/>
        </w:rPr>
        <w:t>e</w:t>
      </w:r>
      <w:proofErr w:type="gramEnd"/>
    </w:p>
    <w:p w14:paraId="294D5522" w14:textId="77777777" w:rsidR="005D58B6" w:rsidRPr="001F27CE" w:rsidRDefault="005D58B6" w:rsidP="004F42D5">
      <w:pPr>
        <w:pStyle w:val="PargrafodaLista"/>
        <w:keepNext/>
        <w:numPr>
          <w:ilvl w:val="2"/>
          <w:numId w:val="5"/>
        </w:numPr>
        <w:suppressAutoHyphens/>
        <w:spacing w:before="120"/>
        <w:jc w:val="both"/>
        <w:outlineLvl w:val="3"/>
        <w:rPr>
          <w:rFonts w:ascii="Arial" w:hAnsi="Arial" w:cs="Arial"/>
          <w:bCs/>
          <w:lang w:val="pt-BR" w:eastAsia="es-ES"/>
        </w:rPr>
      </w:pPr>
      <w:r w:rsidRPr="001F27CE">
        <w:rPr>
          <w:rFonts w:ascii="Arial" w:hAnsi="Arial" w:cs="Arial"/>
          <w:bCs/>
          <w:lang w:val="pt-BR" w:eastAsia="es-ES"/>
        </w:rPr>
        <w:t>Custo de manutenção de sistemas depois de implantados e durante todo o período da avaliação.</w:t>
      </w:r>
    </w:p>
    <w:p w14:paraId="294D5523" w14:textId="77777777" w:rsidR="0030158A" w:rsidRPr="001F27CE" w:rsidRDefault="005D58B6" w:rsidP="004F42D5">
      <w:pPr>
        <w:pStyle w:val="PargrafodaLista"/>
        <w:keepNext/>
        <w:numPr>
          <w:ilvl w:val="1"/>
          <w:numId w:val="4"/>
        </w:numPr>
        <w:tabs>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Os benefícios estão distribuídos em três áreas e</w:t>
      </w:r>
      <w:r w:rsidR="0030158A" w:rsidRPr="001F27CE">
        <w:rPr>
          <w:rFonts w:ascii="Arial" w:hAnsi="Arial" w:cs="Arial"/>
          <w:bCs/>
          <w:lang w:val="pt-BR" w:eastAsia="es-ES"/>
        </w:rPr>
        <w:t>specíficas:</w:t>
      </w:r>
    </w:p>
    <w:p w14:paraId="294D5524" w14:textId="77777777" w:rsidR="0030158A" w:rsidRPr="001F27CE" w:rsidRDefault="0030158A" w:rsidP="00636D3F">
      <w:pPr>
        <w:pStyle w:val="PargrafodaLista"/>
        <w:keepNext/>
        <w:numPr>
          <w:ilvl w:val="2"/>
          <w:numId w:val="4"/>
        </w:numPr>
        <w:tabs>
          <w:tab w:val="clear" w:pos="1602"/>
        </w:tabs>
        <w:suppressAutoHyphens/>
        <w:spacing w:before="120"/>
        <w:ind w:left="1620"/>
        <w:jc w:val="both"/>
        <w:outlineLvl w:val="3"/>
        <w:rPr>
          <w:rFonts w:ascii="Arial" w:hAnsi="Arial" w:cs="Arial"/>
          <w:bCs/>
          <w:lang w:val="pt-BR" w:eastAsia="es-ES"/>
        </w:rPr>
      </w:pPr>
      <w:r w:rsidRPr="001F27CE">
        <w:rPr>
          <w:rFonts w:ascii="Arial" w:hAnsi="Arial" w:cs="Arial"/>
          <w:bCs/>
          <w:lang w:val="pt-BR" w:eastAsia="es-ES"/>
        </w:rPr>
        <w:t>Aumento de arrecadação tributária;</w:t>
      </w:r>
    </w:p>
    <w:p w14:paraId="294D5525" w14:textId="77777777" w:rsidR="0030158A" w:rsidRPr="001F27CE" w:rsidRDefault="0030158A" w:rsidP="00636D3F">
      <w:pPr>
        <w:pStyle w:val="PargrafodaLista"/>
        <w:keepNext/>
        <w:numPr>
          <w:ilvl w:val="2"/>
          <w:numId w:val="4"/>
        </w:numPr>
        <w:tabs>
          <w:tab w:val="clear" w:pos="1602"/>
        </w:tabs>
        <w:suppressAutoHyphens/>
        <w:spacing w:before="120"/>
        <w:ind w:left="1620"/>
        <w:jc w:val="both"/>
        <w:outlineLvl w:val="3"/>
        <w:rPr>
          <w:rFonts w:ascii="Arial" w:hAnsi="Arial" w:cs="Arial"/>
          <w:bCs/>
          <w:lang w:val="pt-BR" w:eastAsia="es-ES"/>
        </w:rPr>
      </w:pPr>
      <w:r w:rsidRPr="001F27CE">
        <w:rPr>
          <w:rFonts w:ascii="Arial" w:hAnsi="Arial" w:cs="Arial"/>
          <w:bCs/>
          <w:lang w:val="pt-BR" w:eastAsia="es-ES"/>
        </w:rPr>
        <w:t>Redução de custos</w:t>
      </w:r>
      <w:r w:rsidR="00FA5EDC" w:rsidRPr="001F27CE">
        <w:rPr>
          <w:rFonts w:ascii="Arial" w:hAnsi="Arial" w:cs="Arial"/>
          <w:bCs/>
          <w:lang w:val="pt-BR" w:eastAsia="es-ES"/>
        </w:rPr>
        <w:t xml:space="preserve"> (tempo)</w:t>
      </w:r>
      <w:r w:rsidRPr="001F27CE">
        <w:rPr>
          <w:rFonts w:ascii="Arial" w:hAnsi="Arial" w:cs="Arial"/>
          <w:bCs/>
          <w:lang w:val="pt-BR" w:eastAsia="es-ES"/>
        </w:rPr>
        <w:t xml:space="preserve"> para o contribuinte para cumprir suas obrigações tributárias;</w:t>
      </w:r>
    </w:p>
    <w:p w14:paraId="294D5526" w14:textId="77777777" w:rsidR="0030158A" w:rsidRPr="001F27CE" w:rsidRDefault="0030158A" w:rsidP="00636D3F">
      <w:pPr>
        <w:pStyle w:val="PargrafodaLista"/>
        <w:keepNext/>
        <w:numPr>
          <w:ilvl w:val="2"/>
          <w:numId w:val="4"/>
        </w:numPr>
        <w:tabs>
          <w:tab w:val="clear" w:pos="1602"/>
        </w:tabs>
        <w:suppressAutoHyphens/>
        <w:spacing w:before="120"/>
        <w:ind w:left="1620"/>
        <w:jc w:val="both"/>
        <w:outlineLvl w:val="3"/>
        <w:rPr>
          <w:rFonts w:ascii="Arial" w:hAnsi="Arial" w:cs="Arial"/>
          <w:bCs/>
          <w:lang w:val="pt-BR" w:eastAsia="es-ES"/>
        </w:rPr>
      </w:pPr>
      <w:r w:rsidRPr="001F27CE">
        <w:rPr>
          <w:rFonts w:ascii="Arial" w:hAnsi="Arial" w:cs="Arial"/>
          <w:bCs/>
          <w:lang w:val="pt-BR" w:eastAsia="es-ES"/>
        </w:rPr>
        <w:t xml:space="preserve">Redução de custos para o </w:t>
      </w:r>
      <w:r w:rsidR="00CC7984" w:rsidRPr="001F27CE">
        <w:rPr>
          <w:rFonts w:ascii="Arial" w:hAnsi="Arial" w:cs="Arial"/>
          <w:bCs/>
          <w:lang w:val="pt-BR" w:eastAsia="es-ES"/>
        </w:rPr>
        <w:t>governo</w:t>
      </w:r>
      <w:r w:rsidRPr="001F27CE">
        <w:rPr>
          <w:rFonts w:ascii="Arial" w:hAnsi="Arial" w:cs="Arial"/>
          <w:bCs/>
          <w:lang w:val="pt-BR" w:eastAsia="es-ES"/>
        </w:rPr>
        <w:t xml:space="preserve"> do </w:t>
      </w:r>
      <w:r w:rsidR="008F0973" w:rsidRPr="001F27CE">
        <w:rPr>
          <w:rFonts w:ascii="Arial" w:hAnsi="Arial" w:cs="Arial"/>
          <w:bCs/>
          <w:lang w:val="pt-BR" w:eastAsia="es-ES"/>
        </w:rPr>
        <w:t>P</w:t>
      </w:r>
      <w:r w:rsidR="0014500E" w:rsidRPr="001F27CE">
        <w:rPr>
          <w:rFonts w:ascii="Arial" w:hAnsi="Arial" w:cs="Arial"/>
          <w:bCs/>
          <w:lang w:val="pt-BR" w:eastAsia="es-ES"/>
        </w:rPr>
        <w:t>ará</w:t>
      </w:r>
      <w:r w:rsidRPr="001F27CE">
        <w:rPr>
          <w:rFonts w:ascii="Arial" w:hAnsi="Arial" w:cs="Arial"/>
          <w:bCs/>
          <w:lang w:val="pt-BR" w:eastAsia="es-ES"/>
        </w:rPr>
        <w:t xml:space="preserve"> na sua gestão fiscal.</w:t>
      </w:r>
    </w:p>
    <w:p w14:paraId="294D5527" w14:textId="77777777" w:rsidR="00D064C5" w:rsidRPr="001F27CE" w:rsidRDefault="004875C1" w:rsidP="00D064C5">
      <w:pPr>
        <w:pStyle w:val="PargrafodaLista"/>
        <w:keepNext/>
        <w:numPr>
          <w:ilvl w:val="1"/>
          <w:numId w:val="4"/>
        </w:numPr>
        <w:tabs>
          <w:tab w:val="clear" w:pos="1009"/>
          <w:tab w:val="num" w:pos="851"/>
          <w:tab w:val="num" w:pos="1499"/>
        </w:tabs>
        <w:suppressAutoHyphens/>
        <w:spacing w:before="120" w:after="120"/>
        <w:ind w:left="851" w:hanging="567"/>
        <w:jc w:val="both"/>
        <w:outlineLvl w:val="3"/>
        <w:rPr>
          <w:rFonts w:ascii="Arial" w:hAnsi="Arial" w:cs="Arial"/>
          <w:bCs/>
          <w:lang w:val="pt-BR" w:eastAsia="es-ES"/>
        </w:rPr>
      </w:pPr>
      <w:r w:rsidRPr="001F27CE">
        <w:rPr>
          <w:rFonts w:ascii="Arial" w:hAnsi="Arial" w:cs="Arial"/>
          <w:bCs/>
          <w:lang w:val="pt-BR" w:eastAsia="es-ES"/>
        </w:rPr>
        <w:t>Os custos, exceto os custos de manutenção foram calculados em dólares. Os custos de manutenção e os benefícios foram calculados em Reais e transformados em dólares usando uma taxa de c</w:t>
      </w:r>
      <w:r w:rsidR="00254F38">
        <w:rPr>
          <w:rFonts w:ascii="Arial" w:hAnsi="Arial" w:cs="Arial"/>
          <w:bCs/>
          <w:lang w:val="pt-BR" w:eastAsia="es-ES"/>
        </w:rPr>
        <w:t>âmbio de R$3,3 = US$1 </w:t>
      </w:r>
      <w:r w:rsidR="00CC7984" w:rsidRPr="001F27CE">
        <w:rPr>
          <w:rFonts w:ascii="Arial" w:hAnsi="Arial" w:cs="Arial"/>
          <w:bCs/>
          <w:lang w:val="pt-BR" w:eastAsia="es-ES"/>
        </w:rPr>
        <w:t xml:space="preserve">(Fonte: Pesquisa Focus do Banco Central com agentes do mercado financeiro – 1º de setembro de 2017 - taxa de </w:t>
      </w:r>
      <w:proofErr w:type="gramStart"/>
      <w:r w:rsidR="00CC7984" w:rsidRPr="001F27CE">
        <w:rPr>
          <w:rFonts w:ascii="Arial" w:hAnsi="Arial" w:cs="Arial"/>
          <w:bCs/>
          <w:lang w:val="pt-BR" w:eastAsia="es-ES"/>
        </w:rPr>
        <w:t>câmbio média para 2018</w:t>
      </w:r>
      <w:proofErr w:type="gramEnd"/>
      <w:r w:rsidR="00CC7984" w:rsidRPr="001F27CE">
        <w:rPr>
          <w:rFonts w:ascii="Arial" w:hAnsi="Arial" w:cs="Arial"/>
          <w:bCs/>
          <w:lang w:val="pt-BR" w:eastAsia="es-ES"/>
        </w:rPr>
        <w:t>).</w:t>
      </w:r>
      <w:r w:rsidRPr="001F27CE">
        <w:rPr>
          <w:rFonts w:ascii="Arial" w:hAnsi="Arial" w:cs="Arial"/>
          <w:bCs/>
          <w:lang w:val="pt-BR" w:eastAsia="es-ES"/>
        </w:rPr>
        <w:t xml:space="preserve"> </w:t>
      </w:r>
    </w:p>
    <w:p w14:paraId="294D5528" w14:textId="77777777" w:rsidR="00411A48" w:rsidRPr="00254F38" w:rsidRDefault="00411A48" w:rsidP="000A1E09">
      <w:pPr>
        <w:pStyle w:val="Ttulo2"/>
        <w:numPr>
          <w:ilvl w:val="0"/>
          <w:numId w:val="22"/>
        </w:numPr>
        <w:rPr>
          <w:rFonts w:ascii="Arial" w:hAnsi="Arial" w:cs="Arial"/>
          <w:color w:val="000000" w:themeColor="text1"/>
          <w:lang w:val="pt-BR" w:eastAsia="es-ES"/>
        </w:rPr>
      </w:pPr>
      <w:bookmarkStart w:id="6" w:name="_Toc494137329"/>
      <w:r w:rsidRPr="00254F38">
        <w:rPr>
          <w:rFonts w:ascii="Arial" w:hAnsi="Arial" w:cs="Arial"/>
          <w:color w:val="000000" w:themeColor="text1"/>
          <w:lang w:val="pt-BR" w:eastAsia="es-ES"/>
        </w:rPr>
        <w:t>Custos</w:t>
      </w:r>
      <w:bookmarkEnd w:id="6"/>
    </w:p>
    <w:p w14:paraId="6FB7851E" w14:textId="77777777" w:rsidR="00D14310" w:rsidRPr="00D14310" w:rsidRDefault="004875C1" w:rsidP="00D14310">
      <w:pPr>
        <w:rPr>
          <w:rFonts w:eastAsia="Calibri"/>
          <w:lang w:val="pt-BR"/>
        </w:rPr>
      </w:pPr>
      <w:r w:rsidRPr="001F27CE">
        <w:rPr>
          <w:rFonts w:ascii="Arial" w:hAnsi="Arial" w:cs="Arial"/>
          <w:bCs/>
          <w:lang w:val="pt-BR" w:eastAsia="es-ES"/>
        </w:rPr>
        <w:t>Os</w:t>
      </w:r>
      <w:r w:rsidR="009F22DD" w:rsidRPr="001F27CE">
        <w:rPr>
          <w:rFonts w:ascii="Arial" w:hAnsi="Arial" w:cs="Arial"/>
          <w:bCs/>
          <w:lang w:val="pt-BR" w:eastAsia="es-ES"/>
        </w:rPr>
        <w:t xml:space="preserve"> custos associados ao programa</w:t>
      </w:r>
      <w:r w:rsidRPr="001F27CE">
        <w:rPr>
          <w:rFonts w:ascii="Arial" w:hAnsi="Arial" w:cs="Arial"/>
          <w:bCs/>
          <w:lang w:val="pt-BR" w:eastAsia="es-ES"/>
        </w:rPr>
        <w:t xml:space="preserve"> foram</w:t>
      </w:r>
      <w:r w:rsidR="009F22DD" w:rsidRPr="001F27CE">
        <w:rPr>
          <w:rFonts w:ascii="Arial" w:hAnsi="Arial" w:cs="Arial"/>
          <w:bCs/>
          <w:lang w:val="pt-BR" w:eastAsia="es-ES"/>
        </w:rPr>
        <w:t xml:space="preserve"> calculados da seguinte </w:t>
      </w:r>
      <w:r w:rsidR="00D14310">
        <w:rPr>
          <w:rFonts w:ascii="Arial" w:hAnsi="Arial" w:cs="Arial"/>
          <w:bCs/>
          <w:sz w:val="22"/>
          <w:szCs w:val="22"/>
          <w:lang w:val="pt-BR" w:eastAsia="es-ES"/>
        </w:rPr>
        <w:t>forma</w:t>
      </w:r>
      <w:r w:rsidR="00D14310" w:rsidRPr="00D14310">
        <w:rPr>
          <w:rStyle w:val="Refdenotaderodap"/>
          <w:rFonts w:ascii="Arial" w:hAnsi="Arial" w:cs="Arial"/>
          <w:bCs/>
          <w:color w:val="FF0000"/>
          <w:sz w:val="22"/>
          <w:szCs w:val="22"/>
          <w:lang w:val="pt-BR" w:eastAsia="es-ES"/>
        </w:rPr>
        <w:footnoteReference w:id="5"/>
      </w:r>
      <w:r w:rsidR="00D14310" w:rsidRPr="00D14310">
        <w:rPr>
          <w:rFonts w:ascii="Arial" w:hAnsi="Arial" w:cs="Arial"/>
          <w:bCs/>
          <w:color w:val="FF0000"/>
          <w:sz w:val="22"/>
          <w:szCs w:val="22"/>
          <w:lang w:val="pt-BR" w:eastAsia="es-ES"/>
        </w:rPr>
        <w:t>:</w:t>
      </w:r>
      <w:r w:rsidR="00D14310" w:rsidRPr="00D14310">
        <w:rPr>
          <w:rFonts w:eastAsia="Calibri"/>
          <w:lang w:val="pt-BR"/>
        </w:rPr>
        <w:t xml:space="preserve"> </w:t>
      </w:r>
    </w:p>
    <w:p w14:paraId="294D5529" w14:textId="56435242" w:rsidR="00411A48" w:rsidRPr="001F27CE" w:rsidRDefault="009F22DD" w:rsidP="00A91992">
      <w:pPr>
        <w:pStyle w:val="PargrafodaLista"/>
        <w:keepNext/>
        <w:numPr>
          <w:ilvl w:val="1"/>
          <w:numId w:val="4"/>
        </w:numPr>
        <w:tabs>
          <w:tab w:val="clear" w:pos="1009"/>
          <w:tab w:val="num" w:pos="851"/>
        </w:tabs>
        <w:suppressAutoHyphens/>
        <w:spacing w:before="240"/>
        <w:ind w:left="851" w:hanging="567"/>
        <w:jc w:val="both"/>
        <w:outlineLvl w:val="3"/>
        <w:rPr>
          <w:rFonts w:ascii="Arial" w:hAnsi="Arial" w:cs="Arial"/>
          <w:bCs/>
          <w:lang w:val="pt-BR" w:eastAsia="es-ES"/>
        </w:rPr>
      </w:pPr>
      <w:r w:rsidRPr="001F27CE">
        <w:rPr>
          <w:rFonts w:ascii="Arial" w:hAnsi="Arial" w:cs="Arial"/>
          <w:bCs/>
          <w:lang w:val="pt-BR" w:eastAsia="es-ES"/>
        </w:rPr>
        <w:lastRenderedPageBreak/>
        <w:t>:</w:t>
      </w:r>
    </w:p>
    <w:p w14:paraId="294D552A" w14:textId="77777777" w:rsidR="009F22DD" w:rsidRPr="001F27CE" w:rsidRDefault="009F22DD" w:rsidP="004F42D5">
      <w:pPr>
        <w:pStyle w:val="PargrafodaLista"/>
        <w:keepNext/>
        <w:numPr>
          <w:ilvl w:val="2"/>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 xml:space="preserve">Os custos de financiamento estão alocados segundo as previsões de desembolso do Plano de </w:t>
      </w:r>
      <w:r w:rsidR="00F85666" w:rsidRPr="001F27CE">
        <w:rPr>
          <w:rFonts w:ascii="Arial" w:hAnsi="Arial" w:cs="Arial"/>
          <w:bCs/>
          <w:lang w:val="pt-BR" w:eastAsia="es-ES"/>
        </w:rPr>
        <w:t>Execução Plurianual (PEP)</w:t>
      </w:r>
      <w:r w:rsidRPr="001F27CE">
        <w:rPr>
          <w:rFonts w:ascii="Arial" w:hAnsi="Arial" w:cs="Arial"/>
          <w:bCs/>
          <w:lang w:val="pt-BR" w:eastAsia="es-ES"/>
        </w:rPr>
        <w:t xml:space="preserve"> do programa.</w:t>
      </w:r>
    </w:p>
    <w:p w14:paraId="294D552B" w14:textId="77777777" w:rsidR="002F1B43" w:rsidRPr="001F27CE" w:rsidRDefault="009F22DD" w:rsidP="004F42D5">
      <w:pPr>
        <w:pStyle w:val="PargrafodaLista"/>
        <w:keepNext/>
        <w:numPr>
          <w:ilvl w:val="2"/>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 xml:space="preserve">Os custos de </w:t>
      </w:r>
      <w:r w:rsidR="00977F33" w:rsidRPr="001F27CE">
        <w:rPr>
          <w:rFonts w:ascii="Arial" w:hAnsi="Arial" w:cs="Arial"/>
          <w:bCs/>
          <w:lang w:val="pt-BR" w:eastAsia="es-ES"/>
        </w:rPr>
        <w:t xml:space="preserve">contrapartida </w:t>
      </w:r>
      <w:r w:rsidR="002F1B43" w:rsidRPr="001F27CE">
        <w:rPr>
          <w:rFonts w:ascii="Arial" w:hAnsi="Arial" w:cs="Arial"/>
          <w:bCs/>
          <w:lang w:val="pt-BR" w:eastAsia="es-ES"/>
        </w:rPr>
        <w:t>também estão alocados segundo as previsões de desembolso do P</w:t>
      </w:r>
      <w:r w:rsidR="00F85666" w:rsidRPr="001F27CE">
        <w:rPr>
          <w:rFonts w:ascii="Arial" w:hAnsi="Arial" w:cs="Arial"/>
          <w:bCs/>
          <w:lang w:val="pt-BR" w:eastAsia="es-ES"/>
        </w:rPr>
        <w:t>EP</w:t>
      </w:r>
      <w:r w:rsidR="002F1B43" w:rsidRPr="001F27CE">
        <w:rPr>
          <w:rFonts w:ascii="Arial" w:hAnsi="Arial" w:cs="Arial"/>
          <w:bCs/>
          <w:lang w:val="pt-BR" w:eastAsia="es-ES"/>
        </w:rPr>
        <w:t>.</w:t>
      </w:r>
    </w:p>
    <w:p w14:paraId="294D552C" w14:textId="77777777" w:rsidR="00A91992" w:rsidRPr="001F27CE" w:rsidRDefault="009F22DD" w:rsidP="00A91992">
      <w:pPr>
        <w:pStyle w:val="PargrafodaLista"/>
        <w:keepNext/>
        <w:numPr>
          <w:ilvl w:val="2"/>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 xml:space="preserve"> </w:t>
      </w:r>
      <w:r w:rsidR="002F1B43" w:rsidRPr="001F27CE">
        <w:rPr>
          <w:rFonts w:ascii="Arial" w:hAnsi="Arial" w:cs="Arial"/>
          <w:bCs/>
          <w:lang w:val="pt-BR" w:eastAsia="es-ES"/>
        </w:rPr>
        <w:t>Os custos financeiros estão divididos entre juros e taxa de crédito</w:t>
      </w:r>
      <w:r w:rsidR="009E6924" w:rsidRPr="001F27CE">
        <w:rPr>
          <w:rFonts w:ascii="Arial" w:hAnsi="Arial" w:cs="Arial"/>
          <w:bCs/>
          <w:lang w:val="pt-BR" w:eastAsia="es-ES"/>
        </w:rPr>
        <w:t xml:space="preserve"> (comissão de compromisso)</w:t>
      </w:r>
      <w:r w:rsidR="002F1B43" w:rsidRPr="001F27CE">
        <w:rPr>
          <w:rFonts w:ascii="Arial" w:hAnsi="Arial" w:cs="Arial"/>
          <w:bCs/>
          <w:lang w:val="pt-BR" w:eastAsia="es-ES"/>
        </w:rPr>
        <w:t>. A</w:t>
      </w:r>
      <w:r w:rsidR="00714972" w:rsidRPr="001F27CE">
        <w:rPr>
          <w:rFonts w:ascii="Arial" w:hAnsi="Arial" w:cs="Arial"/>
          <w:bCs/>
          <w:lang w:val="pt-BR" w:eastAsia="es-ES"/>
        </w:rPr>
        <w:t xml:space="preserve"> taxa de juros aplicada é a estabelecida pelo BID para o terceiro trimestre de </w:t>
      </w:r>
      <w:proofErr w:type="gramStart"/>
      <w:r w:rsidR="00714972" w:rsidRPr="001F27CE">
        <w:rPr>
          <w:rFonts w:ascii="Arial" w:hAnsi="Arial" w:cs="Arial"/>
          <w:bCs/>
          <w:lang w:val="pt-BR" w:eastAsia="es-ES"/>
        </w:rPr>
        <w:t xml:space="preserve">2017 para empréstimos com o Capital Ordinário de 2,25% </w:t>
      </w:r>
      <w:r w:rsidR="002F1B43" w:rsidRPr="001F27CE">
        <w:rPr>
          <w:rFonts w:ascii="Arial" w:hAnsi="Arial" w:cs="Arial"/>
          <w:bCs/>
          <w:lang w:val="pt-BR" w:eastAsia="es-ES"/>
        </w:rPr>
        <w:t>(taxa libor</w:t>
      </w:r>
      <w:r w:rsidR="00714972" w:rsidRPr="001F27CE">
        <w:rPr>
          <w:rFonts w:ascii="Arial" w:hAnsi="Arial" w:cs="Arial"/>
          <w:bCs/>
          <w:lang w:val="pt-BR" w:eastAsia="es-ES"/>
        </w:rPr>
        <w:t>/</w:t>
      </w:r>
      <w:r w:rsidR="002F1B43" w:rsidRPr="001F27CE">
        <w:rPr>
          <w:rFonts w:ascii="Arial" w:hAnsi="Arial" w:cs="Arial"/>
          <w:bCs/>
          <w:lang w:val="pt-BR" w:eastAsia="es-ES"/>
        </w:rPr>
        <w:t xml:space="preserve">3 meses </w:t>
      </w:r>
      <w:r w:rsidR="00714972" w:rsidRPr="001F27CE">
        <w:rPr>
          <w:rFonts w:ascii="Arial" w:hAnsi="Arial" w:cs="Arial"/>
          <w:bCs/>
          <w:lang w:val="pt-BR" w:eastAsia="es-ES"/>
        </w:rPr>
        <w:t xml:space="preserve">(1,30%) </w:t>
      </w:r>
      <w:r w:rsidR="002F1B43" w:rsidRPr="001F27CE">
        <w:rPr>
          <w:rFonts w:ascii="Arial" w:hAnsi="Arial" w:cs="Arial"/>
          <w:bCs/>
          <w:lang w:val="pt-BR" w:eastAsia="es-ES"/>
        </w:rPr>
        <w:t xml:space="preserve">+ </w:t>
      </w:r>
      <w:r w:rsidR="00714972" w:rsidRPr="001F27CE">
        <w:rPr>
          <w:rFonts w:ascii="Arial" w:hAnsi="Arial" w:cs="Arial"/>
          <w:bCs/>
          <w:lang w:val="pt-BR" w:eastAsia="es-ES"/>
        </w:rPr>
        <w:t>margem</w:t>
      </w:r>
      <w:proofErr w:type="gramEnd"/>
      <w:r w:rsidR="00714972" w:rsidRPr="001F27CE">
        <w:rPr>
          <w:rFonts w:ascii="Arial" w:hAnsi="Arial" w:cs="Arial"/>
          <w:bCs/>
          <w:lang w:val="pt-BR" w:eastAsia="es-ES"/>
        </w:rPr>
        <w:t xml:space="preserve"> de captação</w:t>
      </w:r>
      <w:r w:rsidR="002F1B43" w:rsidRPr="001F27CE">
        <w:rPr>
          <w:rFonts w:ascii="Arial" w:hAnsi="Arial" w:cs="Arial"/>
          <w:bCs/>
          <w:lang w:val="pt-BR" w:eastAsia="es-ES"/>
        </w:rPr>
        <w:t xml:space="preserve"> </w:t>
      </w:r>
      <w:r w:rsidR="00714972" w:rsidRPr="001F27CE">
        <w:rPr>
          <w:rFonts w:ascii="Arial" w:hAnsi="Arial" w:cs="Arial"/>
          <w:bCs/>
          <w:lang w:val="pt-BR" w:eastAsia="es-ES"/>
        </w:rPr>
        <w:t xml:space="preserve">(0,10%) + spread do BID (0,85%)). A taxa de crédito usada é a estabelecida pelo BID para o segundo semestre de 2017 de 0,5% sobre o total não desembolsado. Assume-se um financiamento de 25 anos com um período de graça de </w:t>
      </w:r>
      <w:proofErr w:type="gramStart"/>
      <w:r w:rsidR="00714972" w:rsidRPr="001F27CE">
        <w:rPr>
          <w:rFonts w:ascii="Arial" w:hAnsi="Arial" w:cs="Arial"/>
          <w:bCs/>
          <w:lang w:val="pt-BR" w:eastAsia="es-ES"/>
        </w:rPr>
        <w:t>5</w:t>
      </w:r>
      <w:proofErr w:type="gramEnd"/>
      <w:r w:rsidR="00714972" w:rsidRPr="001F27CE">
        <w:rPr>
          <w:rFonts w:ascii="Arial" w:hAnsi="Arial" w:cs="Arial"/>
          <w:bCs/>
          <w:lang w:val="pt-BR" w:eastAsia="es-ES"/>
        </w:rPr>
        <w:t xml:space="preserve"> anos. Assim os juros são calculados sobre os valores desembolsados e</w:t>
      </w:r>
      <w:r w:rsidR="00B207EA" w:rsidRPr="001F27CE">
        <w:rPr>
          <w:rFonts w:ascii="Arial" w:hAnsi="Arial" w:cs="Arial"/>
          <w:bCs/>
          <w:lang w:val="pt-BR" w:eastAsia="es-ES"/>
        </w:rPr>
        <w:t>,</w:t>
      </w:r>
      <w:r w:rsidR="00714972" w:rsidRPr="001F27CE">
        <w:rPr>
          <w:rFonts w:ascii="Arial" w:hAnsi="Arial" w:cs="Arial"/>
          <w:bCs/>
          <w:lang w:val="pt-BR" w:eastAsia="es-ES"/>
        </w:rPr>
        <w:t xml:space="preserve"> a partir do sexto ano</w:t>
      </w:r>
      <w:r w:rsidR="00B207EA" w:rsidRPr="001F27CE">
        <w:rPr>
          <w:rFonts w:ascii="Arial" w:hAnsi="Arial" w:cs="Arial"/>
          <w:bCs/>
          <w:lang w:val="pt-BR" w:eastAsia="es-ES"/>
        </w:rPr>
        <w:t>,</w:t>
      </w:r>
      <w:r w:rsidR="00714972" w:rsidRPr="001F27CE">
        <w:rPr>
          <w:rFonts w:ascii="Arial" w:hAnsi="Arial" w:cs="Arial"/>
          <w:bCs/>
          <w:lang w:val="pt-BR" w:eastAsia="es-ES"/>
        </w:rPr>
        <w:t xml:space="preserve"> é calculado sobre o valor total desembolsado menos a amortização (5% do valor do financiamento anual). Por exemplo</w:t>
      </w:r>
      <w:r w:rsidR="00B207EA" w:rsidRPr="001F27CE">
        <w:rPr>
          <w:rFonts w:ascii="Arial" w:hAnsi="Arial" w:cs="Arial"/>
          <w:bCs/>
          <w:lang w:val="pt-BR" w:eastAsia="es-ES"/>
        </w:rPr>
        <w:t>,</w:t>
      </w:r>
      <w:r w:rsidR="00714972" w:rsidRPr="001F27CE">
        <w:rPr>
          <w:rFonts w:ascii="Arial" w:hAnsi="Arial" w:cs="Arial"/>
          <w:bCs/>
          <w:lang w:val="pt-BR" w:eastAsia="es-ES"/>
        </w:rPr>
        <w:t xml:space="preserve"> no sexto ano apli</w:t>
      </w:r>
      <w:r w:rsidR="003B2DA8">
        <w:rPr>
          <w:rFonts w:ascii="Arial" w:hAnsi="Arial" w:cs="Arial"/>
          <w:bCs/>
          <w:lang w:val="pt-BR" w:eastAsia="es-ES"/>
        </w:rPr>
        <w:t>ca-se a taxa de juros sobre US$</w:t>
      </w:r>
      <w:r w:rsidR="00B15164" w:rsidRPr="001F27CE">
        <w:rPr>
          <w:rFonts w:ascii="Arial" w:hAnsi="Arial" w:cs="Arial"/>
          <w:bCs/>
          <w:lang w:val="pt-BR" w:eastAsia="es-ES"/>
        </w:rPr>
        <w:t>35,1</w:t>
      </w:r>
      <w:r w:rsidR="00714972" w:rsidRPr="001F27CE">
        <w:rPr>
          <w:rFonts w:ascii="Arial" w:hAnsi="Arial" w:cs="Arial"/>
          <w:bCs/>
          <w:lang w:val="pt-BR" w:eastAsia="es-ES"/>
        </w:rPr>
        <w:t xml:space="preserve"> milhões menos US$</w:t>
      </w:r>
      <w:r w:rsidR="00B15164" w:rsidRPr="001F27CE">
        <w:rPr>
          <w:rFonts w:ascii="Arial" w:hAnsi="Arial" w:cs="Arial"/>
          <w:bCs/>
          <w:lang w:val="pt-BR" w:eastAsia="es-ES"/>
        </w:rPr>
        <w:t>1,75</w:t>
      </w:r>
      <w:r w:rsidR="00AF7107" w:rsidRPr="001F27CE">
        <w:rPr>
          <w:rFonts w:ascii="Arial" w:hAnsi="Arial" w:cs="Arial"/>
          <w:bCs/>
          <w:lang w:val="pt-BR" w:eastAsia="es-ES"/>
        </w:rPr>
        <w:t>5</w:t>
      </w:r>
      <w:r w:rsidR="00714972" w:rsidRPr="001F27CE">
        <w:rPr>
          <w:rFonts w:ascii="Arial" w:hAnsi="Arial" w:cs="Arial"/>
          <w:bCs/>
          <w:lang w:val="pt-BR" w:eastAsia="es-ES"/>
        </w:rPr>
        <w:t xml:space="preserve"> milhões de amortização. No s</w:t>
      </w:r>
      <w:r w:rsidR="00A91992" w:rsidRPr="001F27CE">
        <w:rPr>
          <w:rFonts w:ascii="Arial" w:hAnsi="Arial" w:cs="Arial"/>
          <w:bCs/>
          <w:lang w:val="pt-BR" w:eastAsia="es-ES"/>
        </w:rPr>
        <w:t>étimo</w:t>
      </w:r>
      <w:r w:rsidR="00714972" w:rsidRPr="001F27CE">
        <w:rPr>
          <w:rFonts w:ascii="Arial" w:hAnsi="Arial" w:cs="Arial"/>
          <w:bCs/>
          <w:lang w:val="pt-BR" w:eastAsia="es-ES"/>
        </w:rPr>
        <w:t xml:space="preserve"> ano o valor passa para US$</w:t>
      </w:r>
      <w:r w:rsidR="00B15164" w:rsidRPr="001F27CE">
        <w:rPr>
          <w:rFonts w:ascii="Arial" w:hAnsi="Arial" w:cs="Arial"/>
          <w:bCs/>
          <w:lang w:val="pt-BR" w:eastAsia="es-ES"/>
        </w:rPr>
        <w:t>35</w:t>
      </w:r>
      <w:r w:rsidR="00AF7107" w:rsidRPr="001F27CE">
        <w:rPr>
          <w:rFonts w:ascii="Arial" w:hAnsi="Arial" w:cs="Arial"/>
          <w:bCs/>
          <w:lang w:val="pt-BR" w:eastAsia="es-ES"/>
        </w:rPr>
        <w:t>,</w:t>
      </w:r>
      <w:r w:rsidR="00B15164" w:rsidRPr="001F27CE">
        <w:rPr>
          <w:rFonts w:ascii="Arial" w:hAnsi="Arial" w:cs="Arial"/>
          <w:bCs/>
          <w:lang w:val="pt-BR" w:eastAsia="es-ES"/>
        </w:rPr>
        <w:t>1</w:t>
      </w:r>
      <w:r w:rsidR="00714972" w:rsidRPr="001F27CE">
        <w:rPr>
          <w:rFonts w:ascii="Arial" w:hAnsi="Arial" w:cs="Arial"/>
          <w:bCs/>
          <w:lang w:val="pt-BR" w:eastAsia="es-ES"/>
        </w:rPr>
        <w:t xml:space="preserve"> milhões menos </w:t>
      </w:r>
      <w:r w:rsidR="003B2DA8">
        <w:rPr>
          <w:rFonts w:ascii="Arial" w:hAnsi="Arial" w:cs="Arial"/>
          <w:bCs/>
          <w:lang w:val="pt-BR" w:eastAsia="es-ES"/>
        </w:rPr>
        <w:t>US$</w:t>
      </w:r>
      <w:r w:rsidR="00AF7107" w:rsidRPr="001F27CE">
        <w:rPr>
          <w:rFonts w:ascii="Arial" w:hAnsi="Arial" w:cs="Arial"/>
          <w:bCs/>
          <w:lang w:val="pt-BR" w:eastAsia="es-ES"/>
        </w:rPr>
        <w:t>3,51</w:t>
      </w:r>
      <w:r w:rsidR="00B564EC" w:rsidRPr="001F27CE">
        <w:rPr>
          <w:rFonts w:ascii="Arial" w:hAnsi="Arial" w:cs="Arial"/>
          <w:bCs/>
          <w:lang w:val="pt-BR" w:eastAsia="es-ES"/>
        </w:rPr>
        <w:t xml:space="preserve"> milhões e assim por diante.</w:t>
      </w:r>
    </w:p>
    <w:p w14:paraId="294D552D" w14:textId="77777777" w:rsidR="009F22DD" w:rsidRPr="001F27CE" w:rsidRDefault="00DB044A" w:rsidP="004F42D5">
      <w:pPr>
        <w:pStyle w:val="PargrafodaLista"/>
        <w:keepNext/>
        <w:numPr>
          <w:ilvl w:val="2"/>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Os custos de manutenção foram calculados da seguinte forma:</w:t>
      </w:r>
    </w:p>
    <w:p w14:paraId="294D552E" w14:textId="77777777" w:rsidR="00DB044A" w:rsidRPr="001F27CE" w:rsidRDefault="00BB164C" w:rsidP="004F42D5">
      <w:pPr>
        <w:pStyle w:val="PargrafodaLista"/>
        <w:keepNext/>
        <w:numPr>
          <w:ilvl w:val="3"/>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 xml:space="preserve">Custos de manutenção incidem sobre os investimentos em bens </w:t>
      </w:r>
      <w:r w:rsidR="005F24B2" w:rsidRPr="001F27CE">
        <w:rPr>
          <w:rFonts w:ascii="Arial" w:hAnsi="Arial" w:cs="Arial"/>
          <w:bCs/>
          <w:lang w:val="pt-BR" w:eastAsia="es-ES"/>
        </w:rPr>
        <w:t xml:space="preserve">e obras </w:t>
      </w:r>
      <w:r w:rsidRPr="001F27CE">
        <w:rPr>
          <w:rFonts w:ascii="Arial" w:hAnsi="Arial" w:cs="Arial"/>
          <w:bCs/>
          <w:lang w:val="pt-BR" w:eastAsia="es-ES"/>
        </w:rPr>
        <w:t>(</w:t>
      </w:r>
      <w:r w:rsidR="00DA53B6" w:rsidRPr="001F27CE">
        <w:rPr>
          <w:rFonts w:ascii="Arial" w:hAnsi="Arial" w:cs="Arial"/>
          <w:bCs/>
          <w:lang w:val="pt-BR" w:eastAsia="es-ES"/>
        </w:rPr>
        <w:t>35</w:t>
      </w:r>
      <w:r w:rsidRPr="001F27CE">
        <w:rPr>
          <w:rFonts w:ascii="Arial" w:hAnsi="Arial" w:cs="Arial"/>
          <w:bCs/>
          <w:lang w:val="pt-BR" w:eastAsia="es-ES"/>
        </w:rPr>
        <w:t xml:space="preserve">% do programa = </w:t>
      </w:r>
      <w:r w:rsidR="005F24B2" w:rsidRPr="001F27CE">
        <w:rPr>
          <w:rFonts w:ascii="Arial" w:hAnsi="Arial" w:cs="Arial"/>
          <w:bCs/>
          <w:lang w:val="pt-BR" w:eastAsia="es-ES"/>
        </w:rPr>
        <w:t>R</w:t>
      </w:r>
      <w:r w:rsidR="003B2DA8">
        <w:rPr>
          <w:rFonts w:ascii="Arial" w:hAnsi="Arial" w:cs="Arial"/>
          <w:bCs/>
          <w:lang w:val="pt-BR" w:eastAsia="es-ES"/>
        </w:rPr>
        <w:t>$</w:t>
      </w:r>
      <w:r w:rsidR="00DA53B6" w:rsidRPr="001F27CE">
        <w:rPr>
          <w:rFonts w:ascii="Arial" w:hAnsi="Arial" w:cs="Arial"/>
          <w:bCs/>
          <w:lang w:val="pt-BR" w:eastAsia="es-ES"/>
        </w:rPr>
        <w:t>40,9</w:t>
      </w:r>
      <w:r w:rsidRPr="001F27CE">
        <w:rPr>
          <w:rFonts w:ascii="Arial" w:hAnsi="Arial" w:cs="Arial"/>
          <w:bCs/>
          <w:lang w:val="pt-BR" w:eastAsia="es-ES"/>
        </w:rPr>
        <w:t xml:space="preserve"> milhões</w:t>
      </w:r>
      <w:r w:rsidR="003B2DA8">
        <w:rPr>
          <w:rFonts w:ascii="Arial" w:hAnsi="Arial" w:cs="Arial"/>
          <w:bCs/>
          <w:lang w:val="pt-BR" w:eastAsia="es-ES"/>
        </w:rPr>
        <w:t>, sendo R$</w:t>
      </w:r>
      <w:r w:rsidR="00DA53B6" w:rsidRPr="001F27CE">
        <w:rPr>
          <w:rFonts w:ascii="Arial" w:hAnsi="Arial" w:cs="Arial"/>
          <w:bCs/>
          <w:lang w:val="pt-BR" w:eastAsia="es-ES"/>
        </w:rPr>
        <w:t>29,2</w:t>
      </w:r>
      <w:r w:rsidR="003B2DA8">
        <w:rPr>
          <w:rFonts w:ascii="Arial" w:hAnsi="Arial" w:cs="Arial"/>
          <w:bCs/>
          <w:lang w:val="pt-BR" w:eastAsia="es-ES"/>
        </w:rPr>
        <w:t xml:space="preserve"> milhões de bens e R$</w:t>
      </w:r>
      <w:r w:rsidR="00DA53B6" w:rsidRPr="001F27CE">
        <w:rPr>
          <w:rFonts w:ascii="Arial" w:hAnsi="Arial" w:cs="Arial"/>
          <w:bCs/>
          <w:lang w:val="pt-BR" w:eastAsia="es-ES"/>
        </w:rPr>
        <w:t>11,7</w:t>
      </w:r>
      <w:r w:rsidR="00B83235" w:rsidRPr="001F27CE">
        <w:rPr>
          <w:rFonts w:ascii="Arial" w:hAnsi="Arial" w:cs="Arial"/>
          <w:bCs/>
          <w:lang w:val="pt-BR" w:eastAsia="es-ES"/>
        </w:rPr>
        <w:t xml:space="preserve"> milhões de obras</w:t>
      </w:r>
      <w:r w:rsidRPr="001F27CE">
        <w:rPr>
          <w:rFonts w:ascii="Arial" w:hAnsi="Arial" w:cs="Arial"/>
          <w:bCs/>
          <w:lang w:val="pt-BR" w:eastAsia="es-ES"/>
        </w:rPr>
        <w:t>) e sobre contratos de consultoria para desenvolvimento de sistemas (</w:t>
      </w:r>
      <w:r w:rsidR="00DA53B6" w:rsidRPr="001F27CE">
        <w:rPr>
          <w:rFonts w:ascii="Arial" w:hAnsi="Arial" w:cs="Arial"/>
          <w:bCs/>
          <w:lang w:val="pt-BR" w:eastAsia="es-ES"/>
        </w:rPr>
        <w:t>43,5</w:t>
      </w:r>
      <w:r w:rsidR="003B2DA8">
        <w:rPr>
          <w:rFonts w:ascii="Arial" w:hAnsi="Arial" w:cs="Arial"/>
          <w:bCs/>
          <w:lang w:val="pt-BR" w:eastAsia="es-ES"/>
        </w:rPr>
        <w:t>% do programa =</w:t>
      </w:r>
      <w:r w:rsidR="003B2DA8">
        <w:rPr>
          <w:rFonts w:ascii="Arial" w:hAnsi="Arial" w:cs="Arial"/>
          <w:bCs/>
          <w:vertAlign w:val="superscript"/>
          <w:lang w:val="pt-BR" w:eastAsia="es-ES"/>
        </w:rPr>
        <w:t> </w:t>
      </w:r>
      <w:r w:rsidR="005F24B2" w:rsidRPr="001F27CE">
        <w:rPr>
          <w:rFonts w:ascii="Arial" w:hAnsi="Arial" w:cs="Arial"/>
          <w:bCs/>
          <w:lang w:val="pt-BR" w:eastAsia="es-ES"/>
        </w:rPr>
        <w:t>R</w:t>
      </w:r>
      <w:r w:rsidR="003B2DA8">
        <w:rPr>
          <w:rFonts w:ascii="Arial" w:hAnsi="Arial" w:cs="Arial"/>
          <w:bCs/>
          <w:lang w:val="pt-BR" w:eastAsia="es-ES"/>
        </w:rPr>
        <w:t>$</w:t>
      </w:r>
      <w:r w:rsidR="00DA53B6" w:rsidRPr="001F27CE">
        <w:rPr>
          <w:rFonts w:ascii="Arial" w:hAnsi="Arial" w:cs="Arial"/>
          <w:bCs/>
          <w:lang w:val="pt-BR" w:eastAsia="es-ES"/>
        </w:rPr>
        <w:t>50,8</w:t>
      </w:r>
      <w:r w:rsidRPr="001F27CE">
        <w:rPr>
          <w:rFonts w:ascii="Arial" w:hAnsi="Arial" w:cs="Arial"/>
          <w:bCs/>
          <w:lang w:val="pt-BR" w:eastAsia="es-ES"/>
        </w:rPr>
        <w:t xml:space="preserve"> milhões).</w:t>
      </w:r>
    </w:p>
    <w:p w14:paraId="294D552F" w14:textId="77777777" w:rsidR="00BB164C" w:rsidRPr="001F27CE" w:rsidRDefault="00BB164C" w:rsidP="004F42D5">
      <w:pPr>
        <w:pStyle w:val="PargrafodaLista"/>
        <w:keepNext/>
        <w:numPr>
          <w:ilvl w:val="3"/>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A alocação anual dos investimentos nestas categorias de custo é feita seguindo os percentuais de desembolso para o programa como um todo.</w:t>
      </w:r>
    </w:p>
    <w:p w14:paraId="294D5530" w14:textId="77777777" w:rsidR="00367A99" w:rsidRPr="001F27CE" w:rsidRDefault="00312978" w:rsidP="004F42D5">
      <w:pPr>
        <w:pStyle w:val="PargrafodaLista"/>
        <w:keepNext/>
        <w:numPr>
          <w:ilvl w:val="3"/>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P</w:t>
      </w:r>
      <w:r w:rsidR="00BB164C" w:rsidRPr="001F27CE">
        <w:rPr>
          <w:rFonts w:ascii="Arial" w:hAnsi="Arial" w:cs="Arial"/>
          <w:bCs/>
          <w:lang w:val="pt-BR" w:eastAsia="es-ES"/>
        </w:rPr>
        <w:t>arte das aquisições de bens</w:t>
      </w:r>
      <w:r w:rsidR="005F24B2" w:rsidRPr="001F27CE">
        <w:rPr>
          <w:rFonts w:ascii="Arial" w:hAnsi="Arial" w:cs="Arial"/>
          <w:bCs/>
          <w:lang w:val="pt-BR" w:eastAsia="es-ES"/>
        </w:rPr>
        <w:t xml:space="preserve"> </w:t>
      </w:r>
      <w:r w:rsidR="00BB164C" w:rsidRPr="001F27CE">
        <w:rPr>
          <w:rFonts w:ascii="Arial" w:hAnsi="Arial" w:cs="Arial"/>
          <w:bCs/>
          <w:lang w:val="pt-BR" w:eastAsia="es-ES"/>
        </w:rPr>
        <w:t>refere-se a veículos, balanças para postos fiscais, mobiliário e, em menor parte, equipamentos de TI.</w:t>
      </w:r>
      <w:r w:rsidR="005F24B2" w:rsidRPr="001F27CE">
        <w:rPr>
          <w:rFonts w:ascii="Arial" w:hAnsi="Arial" w:cs="Arial"/>
          <w:bCs/>
          <w:lang w:val="pt-BR" w:eastAsia="es-ES"/>
        </w:rPr>
        <w:t xml:space="preserve"> </w:t>
      </w:r>
      <w:r w:rsidR="00367A99" w:rsidRPr="001F27CE">
        <w:rPr>
          <w:rFonts w:ascii="Arial" w:hAnsi="Arial" w:cs="Arial"/>
          <w:bCs/>
          <w:lang w:val="pt-BR" w:eastAsia="es-ES"/>
        </w:rPr>
        <w:t xml:space="preserve">Utiliza-se o conceito de depreciação como </w:t>
      </w:r>
      <w:proofErr w:type="gramStart"/>
      <w:r w:rsidR="00367A99" w:rsidRPr="001F27CE">
        <w:rPr>
          <w:rFonts w:ascii="Arial" w:hAnsi="Arial" w:cs="Arial"/>
          <w:bCs/>
          <w:lang w:val="pt-BR" w:eastAsia="es-ES"/>
        </w:rPr>
        <w:t>proxy</w:t>
      </w:r>
      <w:proofErr w:type="gramEnd"/>
      <w:r w:rsidR="00367A99" w:rsidRPr="001F27CE">
        <w:rPr>
          <w:rFonts w:ascii="Arial" w:hAnsi="Arial" w:cs="Arial"/>
          <w:bCs/>
          <w:lang w:val="pt-BR" w:eastAsia="es-ES"/>
        </w:rPr>
        <w:t xml:space="preserve"> para os custos de manutenção. Assim, ao final do tempo de depreciação, os gastos de manutenção seriam suficientes para a reposição dos bens. </w:t>
      </w:r>
    </w:p>
    <w:p w14:paraId="294D5531" w14:textId="77777777" w:rsidR="00BB164C" w:rsidRPr="001F27CE" w:rsidRDefault="00BB164C" w:rsidP="004F42D5">
      <w:pPr>
        <w:pStyle w:val="PargrafodaLista"/>
        <w:keepNext/>
        <w:numPr>
          <w:ilvl w:val="3"/>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Em geral, estima-se em 10 anos a depreciação da maior parte de bens</w:t>
      </w:r>
      <w:r w:rsidR="00B83235" w:rsidRPr="001F27CE">
        <w:rPr>
          <w:rFonts w:ascii="Arial" w:hAnsi="Arial" w:cs="Arial"/>
          <w:bCs/>
          <w:lang w:val="pt-BR" w:eastAsia="es-ES"/>
        </w:rPr>
        <w:t xml:space="preserve"> e de obras</w:t>
      </w:r>
      <w:r w:rsidRPr="001F27CE">
        <w:rPr>
          <w:rFonts w:ascii="Arial" w:hAnsi="Arial" w:cs="Arial"/>
          <w:bCs/>
          <w:lang w:val="pt-BR" w:eastAsia="es-ES"/>
        </w:rPr>
        <w:t xml:space="preserve">. No entanto, equipamentos de TI tornam-se obsoletos em menor tempo. Adotou-se </w:t>
      </w:r>
      <w:proofErr w:type="gramStart"/>
      <w:r w:rsidR="007F1132" w:rsidRPr="001F27CE">
        <w:rPr>
          <w:rFonts w:ascii="Arial" w:hAnsi="Arial" w:cs="Arial"/>
          <w:bCs/>
          <w:lang w:val="pt-BR" w:eastAsia="es-ES"/>
        </w:rPr>
        <w:t>8</w:t>
      </w:r>
      <w:proofErr w:type="gramEnd"/>
      <w:r w:rsidR="003B2DA8">
        <w:rPr>
          <w:lang w:val="pt-BR"/>
        </w:rPr>
        <w:t> </w:t>
      </w:r>
      <w:r w:rsidRPr="001F27CE">
        <w:rPr>
          <w:rFonts w:ascii="Arial" w:hAnsi="Arial" w:cs="Arial"/>
          <w:bCs/>
          <w:lang w:val="pt-BR" w:eastAsia="es-ES"/>
        </w:rPr>
        <w:t>anos</w:t>
      </w:r>
      <w:r w:rsidR="007F1132" w:rsidRPr="001F27CE">
        <w:rPr>
          <w:rFonts w:ascii="Arial" w:hAnsi="Arial" w:cs="Arial"/>
          <w:bCs/>
          <w:lang w:val="pt-BR" w:eastAsia="es-ES"/>
        </w:rPr>
        <w:t>,</w:t>
      </w:r>
      <w:r w:rsidRPr="001F27CE">
        <w:rPr>
          <w:rFonts w:ascii="Arial" w:hAnsi="Arial" w:cs="Arial"/>
          <w:bCs/>
          <w:lang w:val="pt-BR" w:eastAsia="es-ES"/>
        </w:rPr>
        <w:t xml:space="preserve"> como média</w:t>
      </w:r>
      <w:r w:rsidR="007F1132" w:rsidRPr="001F27CE">
        <w:rPr>
          <w:rFonts w:ascii="Arial" w:hAnsi="Arial" w:cs="Arial"/>
          <w:bCs/>
          <w:lang w:val="pt-BR" w:eastAsia="es-ES"/>
        </w:rPr>
        <w:t>,</w:t>
      </w:r>
      <w:r w:rsidRPr="001F27CE">
        <w:rPr>
          <w:rFonts w:ascii="Arial" w:hAnsi="Arial" w:cs="Arial"/>
          <w:bCs/>
          <w:lang w:val="pt-BR" w:eastAsia="es-ES"/>
        </w:rPr>
        <w:t xml:space="preserve"> para depreciação dos valores alocados para aquisição de bens</w:t>
      </w:r>
      <w:r w:rsidR="00367A99" w:rsidRPr="001F27CE">
        <w:rPr>
          <w:rFonts w:ascii="Arial" w:hAnsi="Arial" w:cs="Arial"/>
          <w:bCs/>
          <w:lang w:val="pt-BR" w:eastAsia="es-ES"/>
        </w:rPr>
        <w:t xml:space="preserve">. Assim, os gastos </w:t>
      </w:r>
      <w:r w:rsidR="00367A99" w:rsidRPr="001F27CE">
        <w:rPr>
          <w:rFonts w:ascii="Arial" w:hAnsi="Arial" w:cs="Arial"/>
          <w:bCs/>
          <w:lang w:val="pt-BR" w:eastAsia="es-ES"/>
        </w:rPr>
        <w:lastRenderedPageBreak/>
        <w:t>acumulados com manutenção ao final de oito anos são equivalentes aos valores de aquisição dos bens</w:t>
      </w:r>
      <w:r w:rsidRPr="001F27CE">
        <w:rPr>
          <w:rFonts w:ascii="Arial" w:hAnsi="Arial" w:cs="Arial"/>
          <w:bCs/>
          <w:lang w:val="pt-BR" w:eastAsia="es-ES"/>
        </w:rPr>
        <w:t>.</w:t>
      </w:r>
    </w:p>
    <w:p w14:paraId="294D5532" w14:textId="77777777" w:rsidR="001C4843" w:rsidRPr="001F27CE" w:rsidRDefault="001C4843" w:rsidP="004F42D5">
      <w:pPr>
        <w:pStyle w:val="PargrafodaLista"/>
        <w:keepNext/>
        <w:numPr>
          <w:ilvl w:val="3"/>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Para os serviços de consultoria para desenvolvimento de sistemas, adotou-se uma taxa de manutenção de 10% ao ano, o que equivale em dez anos o valor gasto no desenvolvimento dos mesmos. Em outras palavras, seria como substituir o</w:t>
      </w:r>
      <w:r w:rsidR="007F1132" w:rsidRPr="001F27CE">
        <w:rPr>
          <w:rFonts w:ascii="Arial" w:hAnsi="Arial" w:cs="Arial"/>
          <w:bCs/>
          <w:lang w:val="pt-BR" w:eastAsia="es-ES"/>
        </w:rPr>
        <w:t>s</w:t>
      </w:r>
      <w:r w:rsidRPr="001F27CE">
        <w:rPr>
          <w:rFonts w:ascii="Arial" w:hAnsi="Arial" w:cs="Arial"/>
          <w:bCs/>
          <w:lang w:val="pt-BR" w:eastAsia="es-ES"/>
        </w:rPr>
        <w:t xml:space="preserve"> sistema</w:t>
      </w:r>
      <w:r w:rsidR="007F1132" w:rsidRPr="001F27CE">
        <w:rPr>
          <w:rFonts w:ascii="Arial" w:hAnsi="Arial" w:cs="Arial"/>
          <w:bCs/>
          <w:lang w:val="pt-BR" w:eastAsia="es-ES"/>
        </w:rPr>
        <w:t>s</w:t>
      </w:r>
      <w:r w:rsidRPr="001F27CE">
        <w:rPr>
          <w:rFonts w:ascii="Arial" w:hAnsi="Arial" w:cs="Arial"/>
          <w:bCs/>
          <w:lang w:val="pt-BR" w:eastAsia="es-ES"/>
        </w:rPr>
        <w:t xml:space="preserve"> em um prazo de dez anos.</w:t>
      </w:r>
    </w:p>
    <w:p w14:paraId="294D5533" w14:textId="57D079CD" w:rsidR="001C4843" w:rsidRPr="001F27CE" w:rsidRDefault="001C4843" w:rsidP="004F42D5">
      <w:pPr>
        <w:pStyle w:val="PargrafodaLista"/>
        <w:keepNext/>
        <w:numPr>
          <w:ilvl w:val="3"/>
          <w:numId w:val="4"/>
        </w:numPr>
        <w:suppressAutoHyphens/>
        <w:spacing w:before="120"/>
        <w:jc w:val="both"/>
        <w:outlineLvl w:val="3"/>
        <w:rPr>
          <w:rFonts w:ascii="Arial" w:hAnsi="Arial" w:cs="Arial"/>
          <w:bCs/>
          <w:lang w:val="pt-BR" w:eastAsia="es-ES"/>
        </w:rPr>
      </w:pPr>
      <w:r w:rsidRPr="001F27CE">
        <w:rPr>
          <w:rFonts w:ascii="Arial" w:hAnsi="Arial" w:cs="Arial"/>
          <w:bCs/>
          <w:lang w:val="pt-BR" w:eastAsia="es-ES"/>
        </w:rPr>
        <w:t xml:space="preserve">Os gastos de manutenção iniciam no ano seguinte aos investimentos. </w:t>
      </w:r>
      <w:r w:rsidR="00C255BB" w:rsidRPr="00E52FCF">
        <w:rPr>
          <w:rFonts w:ascii="Arial" w:hAnsi="Arial" w:cs="Arial"/>
          <w:bCs/>
          <w:color w:val="FF0000"/>
          <w:lang w:val="pt-BR" w:eastAsia="es-ES"/>
        </w:rPr>
        <w:t xml:space="preserve">A </w:t>
      </w:r>
      <w:r w:rsidR="00E52FCF" w:rsidRPr="00E52FCF">
        <w:rPr>
          <w:rFonts w:ascii="Arial" w:hAnsi="Arial" w:cs="Arial"/>
          <w:bCs/>
          <w:color w:val="FF0000"/>
          <w:lang w:val="pt-BR" w:eastAsia="es-ES"/>
        </w:rPr>
        <w:t>Tabela 3</w:t>
      </w:r>
      <w:r w:rsidR="00C255BB" w:rsidRPr="00E52FCF">
        <w:rPr>
          <w:rFonts w:ascii="Arial" w:hAnsi="Arial" w:cs="Arial"/>
          <w:bCs/>
          <w:color w:val="FF0000"/>
          <w:lang w:val="pt-BR" w:eastAsia="es-ES"/>
        </w:rPr>
        <w:t xml:space="preserve"> </w:t>
      </w:r>
      <w:r w:rsidR="00C255BB" w:rsidRPr="001F27CE">
        <w:rPr>
          <w:rFonts w:ascii="Arial" w:hAnsi="Arial" w:cs="Arial"/>
          <w:bCs/>
          <w:lang w:val="pt-BR" w:eastAsia="es-ES"/>
        </w:rPr>
        <w:t>abaixo</w:t>
      </w:r>
      <w:r w:rsidRPr="001F27CE">
        <w:rPr>
          <w:rFonts w:ascii="Arial" w:hAnsi="Arial" w:cs="Arial"/>
          <w:bCs/>
          <w:lang w:val="pt-BR" w:eastAsia="es-ES"/>
        </w:rPr>
        <w:t xml:space="preserve"> mostra a distribuição dos valores de manutenção em </w:t>
      </w:r>
      <w:r w:rsidR="003B2DA8">
        <w:rPr>
          <w:rFonts w:ascii="Arial" w:hAnsi="Arial" w:cs="Arial"/>
          <w:bCs/>
          <w:lang w:val="pt-BR" w:eastAsia="es-ES"/>
        </w:rPr>
        <w:t>R$</w:t>
      </w:r>
      <w:r w:rsidR="003852FC" w:rsidRPr="001F27CE">
        <w:rPr>
          <w:rFonts w:ascii="Arial" w:hAnsi="Arial" w:cs="Arial"/>
          <w:bCs/>
          <w:lang w:val="pt-BR" w:eastAsia="es-ES"/>
        </w:rPr>
        <w:t>1.000</w:t>
      </w:r>
      <w:r w:rsidRPr="001F27CE">
        <w:rPr>
          <w:rFonts w:ascii="Arial" w:hAnsi="Arial" w:cs="Arial"/>
          <w:bCs/>
          <w:lang w:val="pt-BR" w:eastAsia="es-ES"/>
        </w:rPr>
        <w:t>.</w:t>
      </w:r>
      <w:r w:rsidR="00B77A51" w:rsidRPr="001F27CE">
        <w:rPr>
          <w:rFonts w:ascii="Arial" w:hAnsi="Arial" w:cs="Arial"/>
          <w:bCs/>
          <w:lang w:val="pt-BR" w:eastAsia="es-ES"/>
        </w:rPr>
        <w:t xml:space="preserve"> </w:t>
      </w:r>
    </w:p>
    <w:p w14:paraId="294D5534" w14:textId="77777777" w:rsidR="008C4A1A" w:rsidRDefault="008C4A1A" w:rsidP="008C4A1A">
      <w:pPr>
        <w:pStyle w:val="PargrafodaLista"/>
        <w:keepNext/>
        <w:suppressAutoHyphens/>
        <w:spacing w:before="120"/>
        <w:ind w:left="2435"/>
        <w:jc w:val="both"/>
        <w:outlineLvl w:val="3"/>
        <w:rPr>
          <w:rFonts w:ascii="Arial" w:hAnsi="Arial" w:cs="Arial"/>
          <w:bCs/>
          <w:lang w:val="pt-BR" w:eastAsia="es-ES"/>
        </w:rPr>
      </w:pPr>
    </w:p>
    <w:tbl>
      <w:tblPr>
        <w:tblW w:w="9500" w:type="dxa"/>
        <w:tblInd w:w="93" w:type="dxa"/>
        <w:tblLook w:val="04A0" w:firstRow="1" w:lastRow="0" w:firstColumn="1" w:lastColumn="0" w:noHBand="0" w:noVBand="1"/>
      </w:tblPr>
      <w:tblGrid>
        <w:gridCol w:w="2127"/>
        <w:gridCol w:w="839"/>
        <w:gridCol w:w="658"/>
        <w:gridCol w:w="761"/>
        <w:gridCol w:w="680"/>
        <w:gridCol w:w="632"/>
        <w:gridCol w:w="576"/>
        <w:gridCol w:w="611"/>
        <w:gridCol w:w="611"/>
        <w:gridCol w:w="646"/>
        <w:gridCol w:w="611"/>
        <w:gridCol w:w="748"/>
      </w:tblGrid>
      <w:tr w:rsidR="00E52FCF" w:rsidRPr="00E52FCF" w14:paraId="7D98197A" w14:textId="77777777" w:rsidTr="00E52FCF">
        <w:trPr>
          <w:trHeight w:val="315"/>
        </w:trPr>
        <w:tc>
          <w:tcPr>
            <w:tcW w:w="9500" w:type="dxa"/>
            <w:gridSpan w:val="12"/>
            <w:tcBorders>
              <w:top w:val="nil"/>
              <w:left w:val="nil"/>
              <w:bottom w:val="single" w:sz="8" w:space="0" w:color="auto"/>
              <w:right w:val="nil"/>
            </w:tcBorders>
            <w:shd w:val="clear" w:color="auto" w:fill="auto"/>
            <w:noWrap/>
            <w:vAlign w:val="center"/>
            <w:hideMark/>
          </w:tcPr>
          <w:p w14:paraId="543B2F72" w14:textId="77777777" w:rsidR="00E52FCF" w:rsidRPr="00E52FCF" w:rsidRDefault="00E52FCF" w:rsidP="00E52FCF">
            <w:pPr>
              <w:rPr>
                <w:rFonts w:ascii="Calibri" w:hAnsi="Calibri" w:cs="Calibri"/>
                <w:b/>
                <w:bCs/>
                <w:color w:val="000000"/>
                <w:sz w:val="20"/>
                <w:szCs w:val="20"/>
                <w:lang w:val="pt-BR"/>
              </w:rPr>
            </w:pPr>
            <w:r w:rsidRPr="00E52FCF">
              <w:rPr>
                <w:rFonts w:ascii="Calibri" w:hAnsi="Calibri" w:cs="Calibri"/>
                <w:b/>
                <w:bCs/>
                <w:color w:val="FF0000"/>
                <w:sz w:val="20"/>
                <w:szCs w:val="20"/>
                <w:lang w:val="pt-BR"/>
              </w:rPr>
              <w:t>Tabela3:</w:t>
            </w:r>
            <w:r w:rsidRPr="00E52FCF">
              <w:rPr>
                <w:rFonts w:ascii="Calibri" w:hAnsi="Calibri" w:cs="Calibri"/>
                <w:b/>
                <w:bCs/>
                <w:color w:val="000000"/>
                <w:sz w:val="20"/>
                <w:szCs w:val="20"/>
                <w:lang w:val="pt-BR"/>
              </w:rPr>
              <w:t xml:space="preserve"> Cálculo dos Custos de </w:t>
            </w:r>
            <w:proofErr w:type="spellStart"/>
            <w:r w:rsidRPr="00E52FCF">
              <w:rPr>
                <w:rFonts w:ascii="Calibri" w:hAnsi="Calibri" w:cs="Calibri"/>
                <w:b/>
                <w:bCs/>
                <w:color w:val="000000"/>
                <w:sz w:val="20"/>
                <w:szCs w:val="20"/>
                <w:lang w:val="pt-BR"/>
              </w:rPr>
              <w:t>Manuteção</w:t>
            </w:r>
            <w:proofErr w:type="spellEnd"/>
            <w:r w:rsidRPr="00E52FCF">
              <w:rPr>
                <w:rFonts w:ascii="Calibri" w:hAnsi="Calibri" w:cs="Calibri"/>
                <w:b/>
                <w:bCs/>
                <w:color w:val="000000"/>
                <w:sz w:val="20"/>
                <w:szCs w:val="20"/>
                <w:lang w:val="pt-BR"/>
              </w:rPr>
              <w:t xml:space="preserve"> Pará (em R$ 1.000)</w:t>
            </w:r>
          </w:p>
        </w:tc>
      </w:tr>
      <w:tr w:rsidR="00E52FCF" w:rsidRPr="00E52FCF" w14:paraId="0E518CCF" w14:textId="77777777" w:rsidTr="00E52FCF">
        <w:trPr>
          <w:trHeight w:val="315"/>
        </w:trPr>
        <w:tc>
          <w:tcPr>
            <w:tcW w:w="2127" w:type="dxa"/>
            <w:tcBorders>
              <w:top w:val="single" w:sz="8" w:space="0" w:color="auto"/>
              <w:left w:val="single" w:sz="8" w:space="0" w:color="auto"/>
              <w:bottom w:val="nil"/>
              <w:right w:val="nil"/>
            </w:tcBorders>
            <w:shd w:val="clear" w:color="auto" w:fill="auto"/>
            <w:noWrap/>
            <w:vAlign w:val="center"/>
            <w:hideMark/>
          </w:tcPr>
          <w:p w14:paraId="4F166132" w14:textId="77777777" w:rsidR="00E52FCF" w:rsidRPr="00E52FCF" w:rsidRDefault="00E52FCF" w:rsidP="00E52FCF">
            <w:pPr>
              <w:rPr>
                <w:rFonts w:ascii="Calibri" w:hAnsi="Calibri" w:cs="Calibri"/>
                <w:i/>
                <w:iCs/>
                <w:color w:val="000000"/>
                <w:sz w:val="14"/>
                <w:szCs w:val="14"/>
                <w:lang w:val="pt-BR"/>
              </w:rPr>
            </w:pPr>
            <w:r w:rsidRPr="00E52FCF">
              <w:rPr>
                <w:rFonts w:ascii="Calibri" w:hAnsi="Calibri" w:cs="Calibri"/>
                <w:i/>
                <w:iCs/>
                <w:color w:val="000000"/>
                <w:sz w:val="14"/>
                <w:szCs w:val="14"/>
                <w:lang w:val="pt-BR"/>
              </w:rPr>
              <w:t> </w:t>
            </w:r>
          </w:p>
        </w:tc>
        <w:tc>
          <w:tcPr>
            <w:tcW w:w="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B8904"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Total</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14:paraId="71E42DB9"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1</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14:paraId="59BB1927"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2</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79C0CC40"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3</w:t>
            </w:r>
          </w:p>
        </w:tc>
        <w:tc>
          <w:tcPr>
            <w:tcW w:w="632" w:type="dxa"/>
            <w:tcBorders>
              <w:top w:val="single" w:sz="4" w:space="0" w:color="auto"/>
              <w:left w:val="nil"/>
              <w:bottom w:val="single" w:sz="4" w:space="0" w:color="auto"/>
              <w:right w:val="single" w:sz="4" w:space="0" w:color="auto"/>
            </w:tcBorders>
            <w:shd w:val="clear" w:color="auto" w:fill="auto"/>
            <w:noWrap/>
            <w:vAlign w:val="bottom"/>
            <w:hideMark/>
          </w:tcPr>
          <w:p w14:paraId="7468A058"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4</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14:paraId="6CDC3BCA"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5</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57EE9CE8"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6</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7806591A"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7</w:t>
            </w:r>
          </w:p>
        </w:tc>
        <w:tc>
          <w:tcPr>
            <w:tcW w:w="646" w:type="dxa"/>
            <w:tcBorders>
              <w:top w:val="single" w:sz="4" w:space="0" w:color="auto"/>
              <w:left w:val="nil"/>
              <w:bottom w:val="single" w:sz="4" w:space="0" w:color="auto"/>
              <w:right w:val="single" w:sz="4" w:space="0" w:color="auto"/>
            </w:tcBorders>
            <w:shd w:val="clear" w:color="auto" w:fill="auto"/>
            <w:noWrap/>
            <w:vAlign w:val="bottom"/>
            <w:hideMark/>
          </w:tcPr>
          <w:p w14:paraId="26953F12"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8</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46A15C59"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9</w:t>
            </w:r>
          </w:p>
        </w:tc>
        <w:tc>
          <w:tcPr>
            <w:tcW w:w="748" w:type="dxa"/>
            <w:tcBorders>
              <w:top w:val="single" w:sz="4" w:space="0" w:color="auto"/>
              <w:left w:val="nil"/>
              <w:bottom w:val="single" w:sz="4" w:space="0" w:color="auto"/>
              <w:right w:val="single" w:sz="4" w:space="0" w:color="auto"/>
            </w:tcBorders>
            <w:shd w:val="clear" w:color="auto" w:fill="auto"/>
            <w:noWrap/>
            <w:vAlign w:val="bottom"/>
            <w:hideMark/>
          </w:tcPr>
          <w:p w14:paraId="37608EC2" w14:textId="77777777" w:rsidR="00E52FCF" w:rsidRPr="00E52FCF" w:rsidRDefault="00E52FCF" w:rsidP="00E52FCF">
            <w:pPr>
              <w:jc w:val="right"/>
              <w:rPr>
                <w:rFonts w:ascii="Calibri" w:hAnsi="Calibri" w:cs="Calibri"/>
                <w:color w:val="000000"/>
                <w:sz w:val="14"/>
                <w:szCs w:val="14"/>
              </w:rPr>
            </w:pP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10</w:t>
            </w:r>
          </w:p>
        </w:tc>
      </w:tr>
      <w:tr w:rsidR="00E52FCF" w:rsidRPr="00E52FCF" w14:paraId="291E1A4B" w14:textId="77777777" w:rsidTr="00E52FCF">
        <w:trPr>
          <w:trHeight w:val="315"/>
        </w:trPr>
        <w:tc>
          <w:tcPr>
            <w:tcW w:w="212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939CFD" w14:textId="77777777" w:rsidR="00E52FCF" w:rsidRPr="00E52FCF" w:rsidRDefault="00E52FCF" w:rsidP="00E52FCF">
            <w:pPr>
              <w:rPr>
                <w:rFonts w:ascii="Calibri" w:hAnsi="Calibri" w:cs="Calibri"/>
                <w:color w:val="000000"/>
                <w:sz w:val="14"/>
                <w:szCs w:val="14"/>
                <w:lang w:val="pt-BR"/>
              </w:rPr>
            </w:pPr>
            <w:r w:rsidRPr="00E52FCF">
              <w:rPr>
                <w:rFonts w:ascii="Calibri" w:hAnsi="Calibri" w:cs="Calibri"/>
                <w:color w:val="000000"/>
                <w:sz w:val="14"/>
                <w:szCs w:val="14"/>
                <w:lang w:val="pt-BR"/>
              </w:rPr>
              <w:t>Gastos em bens e obras</w:t>
            </w:r>
          </w:p>
        </w:tc>
        <w:tc>
          <w:tcPr>
            <w:tcW w:w="839" w:type="dxa"/>
            <w:tcBorders>
              <w:top w:val="nil"/>
              <w:left w:val="single" w:sz="4" w:space="0" w:color="auto"/>
              <w:bottom w:val="nil"/>
              <w:right w:val="single" w:sz="4" w:space="0" w:color="auto"/>
            </w:tcBorders>
            <w:shd w:val="clear" w:color="auto" w:fill="auto"/>
            <w:noWrap/>
            <w:vAlign w:val="bottom"/>
            <w:hideMark/>
          </w:tcPr>
          <w:p w14:paraId="5EFA942A"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lang w:val="pt-BR"/>
              </w:rPr>
              <w:t xml:space="preserve">        </w:t>
            </w:r>
            <w:r w:rsidRPr="00E52FCF">
              <w:rPr>
                <w:rFonts w:ascii="Calibri" w:hAnsi="Calibri" w:cs="Calibri"/>
                <w:color w:val="000000"/>
                <w:sz w:val="14"/>
                <w:szCs w:val="14"/>
              </w:rPr>
              <w:t xml:space="preserve">40.860 </w:t>
            </w:r>
          </w:p>
        </w:tc>
        <w:tc>
          <w:tcPr>
            <w:tcW w:w="658" w:type="dxa"/>
            <w:tcBorders>
              <w:top w:val="nil"/>
              <w:left w:val="nil"/>
              <w:bottom w:val="nil"/>
              <w:right w:val="single" w:sz="4" w:space="0" w:color="auto"/>
            </w:tcBorders>
            <w:shd w:val="clear" w:color="auto" w:fill="auto"/>
            <w:noWrap/>
            <w:vAlign w:val="bottom"/>
            <w:hideMark/>
          </w:tcPr>
          <w:p w14:paraId="4E12EB92"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5.312 </w:t>
            </w:r>
          </w:p>
        </w:tc>
        <w:tc>
          <w:tcPr>
            <w:tcW w:w="761" w:type="dxa"/>
            <w:tcBorders>
              <w:top w:val="nil"/>
              <w:left w:val="nil"/>
              <w:bottom w:val="nil"/>
              <w:right w:val="single" w:sz="4" w:space="0" w:color="auto"/>
            </w:tcBorders>
            <w:shd w:val="clear" w:color="auto" w:fill="auto"/>
            <w:noWrap/>
            <w:vAlign w:val="bottom"/>
            <w:hideMark/>
          </w:tcPr>
          <w:p w14:paraId="46E4117C"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7.763 </w:t>
            </w:r>
          </w:p>
        </w:tc>
        <w:tc>
          <w:tcPr>
            <w:tcW w:w="680" w:type="dxa"/>
            <w:tcBorders>
              <w:top w:val="nil"/>
              <w:left w:val="nil"/>
              <w:bottom w:val="nil"/>
              <w:right w:val="single" w:sz="4" w:space="0" w:color="auto"/>
            </w:tcBorders>
            <w:shd w:val="clear" w:color="auto" w:fill="auto"/>
            <w:noWrap/>
            <w:vAlign w:val="bottom"/>
            <w:hideMark/>
          </w:tcPr>
          <w:p w14:paraId="367FACE5"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13.075 </w:t>
            </w:r>
          </w:p>
        </w:tc>
        <w:tc>
          <w:tcPr>
            <w:tcW w:w="632" w:type="dxa"/>
            <w:tcBorders>
              <w:top w:val="nil"/>
              <w:left w:val="nil"/>
              <w:bottom w:val="nil"/>
              <w:right w:val="single" w:sz="4" w:space="0" w:color="auto"/>
            </w:tcBorders>
            <w:shd w:val="clear" w:color="auto" w:fill="auto"/>
            <w:noWrap/>
            <w:vAlign w:val="bottom"/>
            <w:hideMark/>
          </w:tcPr>
          <w:p w14:paraId="5B18A7C7"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10.623 </w:t>
            </w:r>
          </w:p>
        </w:tc>
        <w:tc>
          <w:tcPr>
            <w:tcW w:w="576" w:type="dxa"/>
            <w:tcBorders>
              <w:top w:val="nil"/>
              <w:left w:val="nil"/>
              <w:bottom w:val="nil"/>
              <w:right w:val="single" w:sz="4" w:space="0" w:color="auto"/>
            </w:tcBorders>
            <w:shd w:val="clear" w:color="auto" w:fill="auto"/>
            <w:noWrap/>
            <w:vAlign w:val="bottom"/>
            <w:hideMark/>
          </w:tcPr>
          <w:p w14:paraId="5BE96E49"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4.086 </w:t>
            </w:r>
          </w:p>
        </w:tc>
        <w:tc>
          <w:tcPr>
            <w:tcW w:w="611" w:type="dxa"/>
            <w:tcBorders>
              <w:top w:val="nil"/>
              <w:left w:val="nil"/>
              <w:bottom w:val="nil"/>
              <w:right w:val="single" w:sz="4" w:space="0" w:color="auto"/>
            </w:tcBorders>
            <w:shd w:val="clear" w:color="auto" w:fill="auto"/>
            <w:noWrap/>
            <w:vAlign w:val="bottom"/>
            <w:hideMark/>
          </w:tcPr>
          <w:p w14:paraId="2538BD10"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611" w:type="dxa"/>
            <w:tcBorders>
              <w:top w:val="nil"/>
              <w:left w:val="nil"/>
              <w:bottom w:val="nil"/>
              <w:right w:val="single" w:sz="4" w:space="0" w:color="auto"/>
            </w:tcBorders>
            <w:shd w:val="clear" w:color="auto" w:fill="auto"/>
            <w:noWrap/>
            <w:vAlign w:val="bottom"/>
            <w:hideMark/>
          </w:tcPr>
          <w:p w14:paraId="0CB9E0CA"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646" w:type="dxa"/>
            <w:tcBorders>
              <w:top w:val="nil"/>
              <w:left w:val="nil"/>
              <w:bottom w:val="nil"/>
              <w:right w:val="single" w:sz="4" w:space="0" w:color="auto"/>
            </w:tcBorders>
            <w:shd w:val="clear" w:color="auto" w:fill="auto"/>
            <w:noWrap/>
            <w:vAlign w:val="bottom"/>
            <w:hideMark/>
          </w:tcPr>
          <w:p w14:paraId="51F14DEB"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611" w:type="dxa"/>
            <w:tcBorders>
              <w:top w:val="nil"/>
              <w:left w:val="nil"/>
              <w:bottom w:val="nil"/>
              <w:right w:val="single" w:sz="4" w:space="0" w:color="auto"/>
            </w:tcBorders>
            <w:shd w:val="clear" w:color="auto" w:fill="auto"/>
            <w:noWrap/>
            <w:vAlign w:val="bottom"/>
            <w:hideMark/>
          </w:tcPr>
          <w:p w14:paraId="3147147A"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748" w:type="dxa"/>
            <w:tcBorders>
              <w:top w:val="nil"/>
              <w:left w:val="nil"/>
              <w:bottom w:val="nil"/>
              <w:right w:val="single" w:sz="4" w:space="0" w:color="auto"/>
            </w:tcBorders>
            <w:shd w:val="clear" w:color="auto" w:fill="auto"/>
            <w:noWrap/>
            <w:vAlign w:val="bottom"/>
            <w:hideMark/>
          </w:tcPr>
          <w:p w14:paraId="0EE95993"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r>
      <w:tr w:rsidR="00E52FCF" w:rsidRPr="00E52FCF" w14:paraId="71D9D9A5"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02E38A70" w14:textId="77777777" w:rsidR="00E52FCF" w:rsidRPr="00E52FCF" w:rsidRDefault="00E52FCF" w:rsidP="00E52FCF">
            <w:pPr>
              <w:rPr>
                <w:rFonts w:ascii="Calibri" w:hAnsi="Calibri" w:cs="Calibri"/>
                <w:color w:val="000000"/>
                <w:sz w:val="14"/>
                <w:szCs w:val="14"/>
              </w:rPr>
            </w:pPr>
            <w:proofErr w:type="spellStart"/>
            <w:r w:rsidRPr="00E52FCF">
              <w:rPr>
                <w:rFonts w:ascii="Calibri" w:hAnsi="Calibri" w:cs="Calibri"/>
                <w:color w:val="000000"/>
                <w:sz w:val="14"/>
                <w:szCs w:val="14"/>
              </w:rPr>
              <w:t>Gastos</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em</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consultoria</w:t>
            </w:r>
            <w:proofErr w:type="spellEnd"/>
          </w:p>
        </w:tc>
        <w:tc>
          <w:tcPr>
            <w:tcW w:w="839" w:type="dxa"/>
            <w:tcBorders>
              <w:top w:val="nil"/>
              <w:left w:val="single" w:sz="4" w:space="0" w:color="auto"/>
              <w:bottom w:val="nil"/>
              <w:right w:val="single" w:sz="4" w:space="0" w:color="auto"/>
            </w:tcBorders>
            <w:shd w:val="clear" w:color="auto" w:fill="auto"/>
            <w:noWrap/>
            <w:vAlign w:val="bottom"/>
            <w:hideMark/>
          </w:tcPr>
          <w:p w14:paraId="6E42A055"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50.841 </w:t>
            </w:r>
          </w:p>
        </w:tc>
        <w:tc>
          <w:tcPr>
            <w:tcW w:w="658" w:type="dxa"/>
            <w:tcBorders>
              <w:top w:val="nil"/>
              <w:left w:val="nil"/>
              <w:bottom w:val="nil"/>
              <w:right w:val="single" w:sz="4" w:space="0" w:color="auto"/>
            </w:tcBorders>
            <w:shd w:val="clear" w:color="auto" w:fill="auto"/>
            <w:noWrap/>
            <w:vAlign w:val="bottom"/>
            <w:hideMark/>
          </w:tcPr>
          <w:p w14:paraId="0D0DDF2F"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6.609 </w:t>
            </w:r>
          </w:p>
        </w:tc>
        <w:tc>
          <w:tcPr>
            <w:tcW w:w="761" w:type="dxa"/>
            <w:tcBorders>
              <w:top w:val="nil"/>
              <w:left w:val="nil"/>
              <w:bottom w:val="nil"/>
              <w:right w:val="single" w:sz="4" w:space="0" w:color="auto"/>
            </w:tcBorders>
            <w:shd w:val="clear" w:color="auto" w:fill="auto"/>
            <w:noWrap/>
            <w:vAlign w:val="bottom"/>
            <w:hideMark/>
          </w:tcPr>
          <w:p w14:paraId="6837D3AE"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9.660 </w:t>
            </w:r>
          </w:p>
        </w:tc>
        <w:tc>
          <w:tcPr>
            <w:tcW w:w="680" w:type="dxa"/>
            <w:tcBorders>
              <w:top w:val="nil"/>
              <w:left w:val="nil"/>
              <w:bottom w:val="nil"/>
              <w:right w:val="single" w:sz="4" w:space="0" w:color="auto"/>
            </w:tcBorders>
            <w:shd w:val="clear" w:color="auto" w:fill="auto"/>
            <w:noWrap/>
            <w:vAlign w:val="bottom"/>
            <w:hideMark/>
          </w:tcPr>
          <w:p w14:paraId="40C0B099"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16.269 </w:t>
            </w:r>
          </w:p>
        </w:tc>
        <w:tc>
          <w:tcPr>
            <w:tcW w:w="632" w:type="dxa"/>
            <w:tcBorders>
              <w:top w:val="nil"/>
              <w:left w:val="nil"/>
              <w:bottom w:val="nil"/>
              <w:right w:val="single" w:sz="4" w:space="0" w:color="auto"/>
            </w:tcBorders>
            <w:shd w:val="clear" w:color="auto" w:fill="auto"/>
            <w:noWrap/>
            <w:vAlign w:val="bottom"/>
            <w:hideMark/>
          </w:tcPr>
          <w:p w14:paraId="3B43B71F"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13.219 </w:t>
            </w:r>
          </w:p>
        </w:tc>
        <w:tc>
          <w:tcPr>
            <w:tcW w:w="576" w:type="dxa"/>
            <w:tcBorders>
              <w:top w:val="nil"/>
              <w:left w:val="nil"/>
              <w:bottom w:val="nil"/>
              <w:right w:val="single" w:sz="4" w:space="0" w:color="auto"/>
            </w:tcBorders>
            <w:shd w:val="clear" w:color="auto" w:fill="auto"/>
            <w:noWrap/>
            <w:vAlign w:val="bottom"/>
            <w:hideMark/>
          </w:tcPr>
          <w:p w14:paraId="2FD4FC6D"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5.084 </w:t>
            </w:r>
          </w:p>
        </w:tc>
        <w:tc>
          <w:tcPr>
            <w:tcW w:w="611" w:type="dxa"/>
            <w:tcBorders>
              <w:top w:val="nil"/>
              <w:left w:val="nil"/>
              <w:bottom w:val="nil"/>
              <w:right w:val="single" w:sz="4" w:space="0" w:color="auto"/>
            </w:tcBorders>
            <w:shd w:val="clear" w:color="auto" w:fill="auto"/>
            <w:noWrap/>
            <w:vAlign w:val="bottom"/>
            <w:hideMark/>
          </w:tcPr>
          <w:p w14:paraId="18E4A51C"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611" w:type="dxa"/>
            <w:tcBorders>
              <w:top w:val="nil"/>
              <w:left w:val="nil"/>
              <w:bottom w:val="nil"/>
              <w:right w:val="single" w:sz="4" w:space="0" w:color="auto"/>
            </w:tcBorders>
            <w:shd w:val="clear" w:color="auto" w:fill="auto"/>
            <w:noWrap/>
            <w:vAlign w:val="bottom"/>
            <w:hideMark/>
          </w:tcPr>
          <w:p w14:paraId="169EEFE7"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646" w:type="dxa"/>
            <w:tcBorders>
              <w:top w:val="nil"/>
              <w:left w:val="nil"/>
              <w:bottom w:val="nil"/>
              <w:right w:val="single" w:sz="4" w:space="0" w:color="auto"/>
            </w:tcBorders>
            <w:shd w:val="clear" w:color="auto" w:fill="auto"/>
            <w:noWrap/>
            <w:vAlign w:val="bottom"/>
            <w:hideMark/>
          </w:tcPr>
          <w:p w14:paraId="6A662464"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611" w:type="dxa"/>
            <w:tcBorders>
              <w:top w:val="nil"/>
              <w:left w:val="nil"/>
              <w:bottom w:val="nil"/>
              <w:right w:val="single" w:sz="4" w:space="0" w:color="auto"/>
            </w:tcBorders>
            <w:shd w:val="clear" w:color="auto" w:fill="auto"/>
            <w:noWrap/>
            <w:vAlign w:val="bottom"/>
            <w:hideMark/>
          </w:tcPr>
          <w:p w14:paraId="6B8F085C"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c>
          <w:tcPr>
            <w:tcW w:w="748" w:type="dxa"/>
            <w:tcBorders>
              <w:top w:val="nil"/>
              <w:left w:val="nil"/>
              <w:bottom w:val="nil"/>
              <w:right w:val="single" w:sz="4" w:space="0" w:color="auto"/>
            </w:tcBorders>
            <w:shd w:val="clear" w:color="auto" w:fill="auto"/>
            <w:noWrap/>
            <w:vAlign w:val="bottom"/>
            <w:hideMark/>
          </w:tcPr>
          <w:p w14:paraId="6940B12C" w14:textId="77777777" w:rsidR="00E52FCF" w:rsidRPr="00E52FCF" w:rsidRDefault="00E52FCF" w:rsidP="00E52FCF">
            <w:pPr>
              <w:jc w:val="right"/>
              <w:rPr>
                <w:rFonts w:ascii="Calibri" w:hAnsi="Calibri" w:cs="Calibri"/>
                <w:color w:val="000000"/>
                <w:sz w:val="14"/>
                <w:szCs w:val="14"/>
              </w:rPr>
            </w:pPr>
            <w:r w:rsidRPr="00E52FCF">
              <w:rPr>
                <w:rFonts w:ascii="Calibri" w:hAnsi="Calibri" w:cs="Calibri"/>
                <w:color w:val="000000"/>
                <w:sz w:val="14"/>
                <w:szCs w:val="14"/>
              </w:rPr>
              <w:t xml:space="preserve">                -   </w:t>
            </w:r>
          </w:p>
        </w:tc>
      </w:tr>
      <w:tr w:rsidR="00E52FCF" w:rsidRPr="00E52FCF" w14:paraId="30923C67" w14:textId="77777777" w:rsidTr="00E52FCF">
        <w:trPr>
          <w:trHeight w:val="315"/>
        </w:trPr>
        <w:tc>
          <w:tcPr>
            <w:tcW w:w="9500" w:type="dxa"/>
            <w:gridSpan w:val="12"/>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4D7F8806" w14:textId="77777777" w:rsidR="00E52FCF" w:rsidRPr="00E52FCF" w:rsidRDefault="00E52FCF" w:rsidP="00E52FCF">
            <w:pPr>
              <w:jc w:val="center"/>
              <w:rPr>
                <w:rFonts w:ascii="Calibri" w:hAnsi="Calibri" w:cs="Calibri"/>
                <w:b/>
                <w:bCs/>
                <w:i/>
                <w:iCs/>
                <w:color w:val="000000"/>
                <w:sz w:val="20"/>
                <w:szCs w:val="20"/>
              </w:rPr>
            </w:pPr>
            <w:proofErr w:type="spellStart"/>
            <w:r w:rsidRPr="00E52FCF">
              <w:rPr>
                <w:rFonts w:ascii="Calibri" w:hAnsi="Calibri" w:cs="Calibri"/>
                <w:b/>
                <w:bCs/>
                <w:i/>
                <w:iCs/>
                <w:color w:val="000000"/>
                <w:sz w:val="20"/>
                <w:szCs w:val="20"/>
              </w:rPr>
              <w:t>Gastos</w:t>
            </w:r>
            <w:proofErr w:type="spellEnd"/>
            <w:r w:rsidRPr="00E52FCF">
              <w:rPr>
                <w:rFonts w:ascii="Calibri" w:hAnsi="Calibri" w:cs="Calibri"/>
                <w:b/>
                <w:bCs/>
                <w:i/>
                <w:iCs/>
                <w:color w:val="000000"/>
                <w:sz w:val="20"/>
                <w:szCs w:val="20"/>
              </w:rPr>
              <w:t xml:space="preserve"> </w:t>
            </w:r>
            <w:proofErr w:type="spellStart"/>
            <w:r w:rsidRPr="00E52FCF">
              <w:rPr>
                <w:rFonts w:ascii="Calibri" w:hAnsi="Calibri" w:cs="Calibri"/>
                <w:b/>
                <w:bCs/>
                <w:i/>
                <w:iCs/>
                <w:color w:val="000000"/>
                <w:sz w:val="20"/>
                <w:szCs w:val="20"/>
              </w:rPr>
              <w:t>manutenção</w:t>
            </w:r>
            <w:proofErr w:type="spellEnd"/>
          </w:p>
        </w:tc>
      </w:tr>
      <w:tr w:rsidR="00E52FCF" w:rsidRPr="00E52FCF" w14:paraId="04341460"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7523F64F" w14:textId="77777777" w:rsidR="00E52FCF" w:rsidRPr="00E52FCF" w:rsidRDefault="00E52FCF" w:rsidP="00E52FCF">
            <w:pPr>
              <w:rPr>
                <w:rFonts w:ascii="Calibri" w:hAnsi="Calibri" w:cs="Calibri"/>
                <w:color w:val="000000"/>
                <w:sz w:val="14"/>
                <w:szCs w:val="14"/>
                <w:lang w:val="pt-BR"/>
              </w:rPr>
            </w:pPr>
            <w:r w:rsidRPr="00E52FCF">
              <w:rPr>
                <w:rFonts w:ascii="Calibri" w:hAnsi="Calibri" w:cs="Calibri"/>
                <w:color w:val="000000"/>
                <w:sz w:val="14"/>
                <w:szCs w:val="14"/>
                <w:lang w:val="pt-BR"/>
              </w:rPr>
              <w:t>Bens e obras</w:t>
            </w:r>
            <w:proofErr w:type="gramStart"/>
            <w:r w:rsidRPr="00E52FCF">
              <w:rPr>
                <w:rFonts w:ascii="Calibri" w:hAnsi="Calibri" w:cs="Calibri"/>
                <w:color w:val="000000"/>
                <w:sz w:val="14"/>
                <w:szCs w:val="14"/>
                <w:lang w:val="pt-BR"/>
              </w:rPr>
              <w:t xml:space="preserve">  </w:t>
            </w:r>
            <w:proofErr w:type="gramEnd"/>
            <w:r w:rsidRPr="00E52FCF">
              <w:rPr>
                <w:rFonts w:ascii="Calibri" w:hAnsi="Calibri" w:cs="Calibri"/>
                <w:color w:val="000000"/>
                <w:sz w:val="14"/>
                <w:szCs w:val="14"/>
                <w:lang w:val="pt-BR"/>
              </w:rPr>
              <w:t>adquiridos no ano 1</w:t>
            </w:r>
          </w:p>
        </w:tc>
        <w:tc>
          <w:tcPr>
            <w:tcW w:w="839" w:type="dxa"/>
            <w:tcBorders>
              <w:top w:val="nil"/>
              <w:left w:val="single" w:sz="4" w:space="0" w:color="auto"/>
              <w:bottom w:val="nil"/>
              <w:right w:val="single" w:sz="4" w:space="0" w:color="auto"/>
            </w:tcBorders>
            <w:shd w:val="clear" w:color="auto" w:fill="auto"/>
            <w:noWrap/>
            <w:vAlign w:val="bottom"/>
            <w:hideMark/>
          </w:tcPr>
          <w:p w14:paraId="7FAD2C0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lang w:val="pt-BR"/>
              </w:rPr>
              <w:t xml:space="preserve">           </w:t>
            </w:r>
            <w:r w:rsidRPr="00E52FCF">
              <w:rPr>
                <w:rFonts w:ascii="Calibri" w:hAnsi="Calibri" w:cs="Calibri"/>
                <w:color w:val="000000"/>
                <w:sz w:val="14"/>
                <w:szCs w:val="14"/>
              </w:rPr>
              <w:t xml:space="preserve">5.312 </w:t>
            </w:r>
          </w:p>
        </w:tc>
        <w:tc>
          <w:tcPr>
            <w:tcW w:w="658" w:type="dxa"/>
            <w:tcBorders>
              <w:top w:val="nil"/>
              <w:left w:val="nil"/>
              <w:bottom w:val="nil"/>
              <w:right w:val="single" w:sz="4" w:space="0" w:color="auto"/>
            </w:tcBorders>
            <w:shd w:val="clear" w:color="auto" w:fill="auto"/>
            <w:noWrap/>
            <w:vAlign w:val="bottom"/>
            <w:hideMark/>
          </w:tcPr>
          <w:p w14:paraId="318022E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1BC8B21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680" w:type="dxa"/>
            <w:tcBorders>
              <w:top w:val="nil"/>
              <w:left w:val="nil"/>
              <w:bottom w:val="nil"/>
              <w:right w:val="single" w:sz="4" w:space="0" w:color="auto"/>
            </w:tcBorders>
            <w:shd w:val="clear" w:color="auto" w:fill="auto"/>
            <w:noWrap/>
            <w:vAlign w:val="bottom"/>
            <w:hideMark/>
          </w:tcPr>
          <w:p w14:paraId="7D650DF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632" w:type="dxa"/>
            <w:tcBorders>
              <w:top w:val="nil"/>
              <w:left w:val="nil"/>
              <w:bottom w:val="nil"/>
              <w:right w:val="single" w:sz="4" w:space="0" w:color="auto"/>
            </w:tcBorders>
            <w:shd w:val="clear" w:color="auto" w:fill="auto"/>
            <w:noWrap/>
            <w:vAlign w:val="bottom"/>
            <w:hideMark/>
          </w:tcPr>
          <w:p w14:paraId="28D4E4D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576" w:type="dxa"/>
            <w:tcBorders>
              <w:top w:val="nil"/>
              <w:left w:val="nil"/>
              <w:bottom w:val="nil"/>
              <w:right w:val="single" w:sz="4" w:space="0" w:color="auto"/>
            </w:tcBorders>
            <w:shd w:val="clear" w:color="auto" w:fill="auto"/>
            <w:noWrap/>
            <w:vAlign w:val="bottom"/>
            <w:hideMark/>
          </w:tcPr>
          <w:p w14:paraId="0A5BE38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611" w:type="dxa"/>
            <w:tcBorders>
              <w:top w:val="nil"/>
              <w:left w:val="nil"/>
              <w:bottom w:val="nil"/>
              <w:right w:val="single" w:sz="4" w:space="0" w:color="auto"/>
            </w:tcBorders>
            <w:shd w:val="clear" w:color="auto" w:fill="auto"/>
            <w:noWrap/>
            <w:vAlign w:val="bottom"/>
            <w:hideMark/>
          </w:tcPr>
          <w:p w14:paraId="02354AB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611" w:type="dxa"/>
            <w:tcBorders>
              <w:top w:val="nil"/>
              <w:left w:val="nil"/>
              <w:bottom w:val="nil"/>
              <w:right w:val="single" w:sz="4" w:space="0" w:color="auto"/>
            </w:tcBorders>
            <w:shd w:val="clear" w:color="auto" w:fill="auto"/>
            <w:noWrap/>
            <w:vAlign w:val="bottom"/>
            <w:hideMark/>
          </w:tcPr>
          <w:p w14:paraId="5180856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646" w:type="dxa"/>
            <w:tcBorders>
              <w:top w:val="nil"/>
              <w:left w:val="nil"/>
              <w:bottom w:val="nil"/>
              <w:right w:val="single" w:sz="4" w:space="0" w:color="auto"/>
            </w:tcBorders>
            <w:shd w:val="clear" w:color="auto" w:fill="auto"/>
            <w:noWrap/>
            <w:vAlign w:val="bottom"/>
            <w:hideMark/>
          </w:tcPr>
          <w:p w14:paraId="4A89C2D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611" w:type="dxa"/>
            <w:tcBorders>
              <w:top w:val="nil"/>
              <w:left w:val="nil"/>
              <w:bottom w:val="nil"/>
              <w:right w:val="single" w:sz="4" w:space="0" w:color="auto"/>
            </w:tcBorders>
            <w:shd w:val="clear" w:color="auto" w:fill="auto"/>
            <w:noWrap/>
            <w:vAlign w:val="bottom"/>
            <w:hideMark/>
          </w:tcPr>
          <w:p w14:paraId="2204927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664 </w:t>
            </w:r>
          </w:p>
        </w:tc>
        <w:tc>
          <w:tcPr>
            <w:tcW w:w="748" w:type="dxa"/>
            <w:tcBorders>
              <w:top w:val="nil"/>
              <w:left w:val="nil"/>
              <w:bottom w:val="nil"/>
              <w:right w:val="single" w:sz="4" w:space="0" w:color="auto"/>
            </w:tcBorders>
            <w:shd w:val="clear" w:color="auto" w:fill="auto"/>
            <w:noWrap/>
            <w:vAlign w:val="bottom"/>
            <w:hideMark/>
          </w:tcPr>
          <w:p w14:paraId="2473A956"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r>
      <w:tr w:rsidR="00E52FCF" w:rsidRPr="00E52FCF" w14:paraId="57153B78"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5CFE48F7" w14:textId="77777777" w:rsidR="00E52FCF" w:rsidRPr="00E52FCF" w:rsidRDefault="00E52FCF" w:rsidP="00E52FCF">
            <w:pPr>
              <w:rPr>
                <w:rFonts w:ascii="Calibri" w:hAnsi="Calibri" w:cs="Calibri"/>
                <w:color w:val="000000"/>
                <w:sz w:val="14"/>
                <w:szCs w:val="14"/>
                <w:lang w:val="pt-BR"/>
              </w:rPr>
            </w:pPr>
            <w:r w:rsidRPr="00E52FCF">
              <w:rPr>
                <w:rFonts w:ascii="Calibri" w:hAnsi="Calibri" w:cs="Calibri"/>
                <w:color w:val="000000"/>
                <w:sz w:val="14"/>
                <w:szCs w:val="14"/>
                <w:lang w:val="pt-BR"/>
              </w:rPr>
              <w:t>Bens e obras</w:t>
            </w:r>
            <w:proofErr w:type="gramStart"/>
            <w:r w:rsidRPr="00E52FCF">
              <w:rPr>
                <w:rFonts w:ascii="Calibri" w:hAnsi="Calibri" w:cs="Calibri"/>
                <w:color w:val="000000"/>
                <w:sz w:val="14"/>
                <w:szCs w:val="14"/>
                <w:lang w:val="pt-BR"/>
              </w:rPr>
              <w:t xml:space="preserve">  </w:t>
            </w:r>
            <w:proofErr w:type="gramEnd"/>
            <w:r w:rsidRPr="00E52FCF">
              <w:rPr>
                <w:rFonts w:ascii="Calibri" w:hAnsi="Calibri" w:cs="Calibri"/>
                <w:color w:val="000000"/>
                <w:sz w:val="14"/>
                <w:szCs w:val="14"/>
                <w:lang w:val="pt-BR"/>
              </w:rPr>
              <w:t>adquiridos no ano 2</w:t>
            </w:r>
          </w:p>
        </w:tc>
        <w:tc>
          <w:tcPr>
            <w:tcW w:w="839" w:type="dxa"/>
            <w:tcBorders>
              <w:top w:val="nil"/>
              <w:left w:val="single" w:sz="4" w:space="0" w:color="auto"/>
              <w:bottom w:val="nil"/>
              <w:right w:val="single" w:sz="4" w:space="0" w:color="auto"/>
            </w:tcBorders>
            <w:shd w:val="clear" w:color="auto" w:fill="auto"/>
            <w:noWrap/>
            <w:vAlign w:val="bottom"/>
            <w:hideMark/>
          </w:tcPr>
          <w:p w14:paraId="22421E5F"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lang w:val="pt-BR"/>
              </w:rPr>
              <w:t xml:space="preserve">          </w:t>
            </w:r>
            <w:r w:rsidRPr="00E52FCF">
              <w:rPr>
                <w:rFonts w:ascii="Calibri" w:hAnsi="Calibri" w:cs="Calibri"/>
                <w:color w:val="000000"/>
                <w:sz w:val="14"/>
                <w:szCs w:val="14"/>
              </w:rPr>
              <w:t xml:space="preserve">7.763 </w:t>
            </w:r>
          </w:p>
        </w:tc>
        <w:tc>
          <w:tcPr>
            <w:tcW w:w="658" w:type="dxa"/>
            <w:tcBorders>
              <w:top w:val="nil"/>
              <w:left w:val="nil"/>
              <w:bottom w:val="nil"/>
              <w:right w:val="single" w:sz="4" w:space="0" w:color="auto"/>
            </w:tcBorders>
            <w:shd w:val="clear" w:color="auto" w:fill="auto"/>
            <w:noWrap/>
            <w:vAlign w:val="bottom"/>
            <w:hideMark/>
          </w:tcPr>
          <w:p w14:paraId="5D93F8E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10C0A05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48D31A9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632" w:type="dxa"/>
            <w:tcBorders>
              <w:top w:val="nil"/>
              <w:left w:val="nil"/>
              <w:bottom w:val="nil"/>
              <w:right w:val="single" w:sz="4" w:space="0" w:color="auto"/>
            </w:tcBorders>
            <w:shd w:val="clear" w:color="auto" w:fill="auto"/>
            <w:noWrap/>
            <w:vAlign w:val="bottom"/>
            <w:hideMark/>
          </w:tcPr>
          <w:p w14:paraId="65AF100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576" w:type="dxa"/>
            <w:tcBorders>
              <w:top w:val="nil"/>
              <w:left w:val="nil"/>
              <w:bottom w:val="nil"/>
              <w:right w:val="single" w:sz="4" w:space="0" w:color="auto"/>
            </w:tcBorders>
            <w:shd w:val="clear" w:color="auto" w:fill="auto"/>
            <w:noWrap/>
            <w:vAlign w:val="bottom"/>
            <w:hideMark/>
          </w:tcPr>
          <w:p w14:paraId="0806D734"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611" w:type="dxa"/>
            <w:tcBorders>
              <w:top w:val="nil"/>
              <w:left w:val="nil"/>
              <w:bottom w:val="nil"/>
              <w:right w:val="single" w:sz="4" w:space="0" w:color="auto"/>
            </w:tcBorders>
            <w:shd w:val="clear" w:color="auto" w:fill="auto"/>
            <w:noWrap/>
            <w:vAlign w:val="bottom"/>
            <w:hideMark/>
          </w:tcPr>
          <w:p w14:paraId="097AA6A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611" w:type="dxa"/>
            <w:tcBorders>
              <w:top w:val="nil"/>
              <w:left w:val="nil"/>
              <w:bottom w:val="nil"/>
              <w:right w:val="single" w:sz="4" w:space="0" w:color="auto"/>
            </w:tcBorders>
            <w:shd w:val="clear" w:color="auto" w:fill="auto"/>
            <w:noWrap/>
            <w:vAlign w:val="bottom"/>
            <w:hideMark/>
          </w:tcPr>
          <w:p w14:paraId="415745E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646" w:type="dxa"/>
            <w:tcBorders>
              <w:top w:val="nil"/>
              <w:left w:val="nil"/>
              <w:bottom w:val="nil"/>
              <w:right w:val="single" w:sz="4" w:space="0" w:color="auto"/>
            </w:tcBorders>
            <w:shd w:val="clear" w:color="auto" w:fill="auto"/>
            <w:noWrap/>
            <w:vAlign w:val="bottom"/>
            <w:hideMark/>
          </w:tcPr>
          <w:p w14:paraId="4C22945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611" w:type="dxa"/>
            <w:tcBorders>
              <w:top w:val="nil"/>
              <w:left w:val="nil"/>
              <w:bottom w:val="nil"/>
              <w:right w:val="single" w:sz="4" w:space="0" w:color="auto"/>
            </w:tcBorders>
            <w:shd w:val="clear" w:color="auto" w:fill="auto"/>
            <w:noWrap/>
            <w:vAlign w:val="bottom"/>
            <w:hideMark/>
          </w:tcPr>
          <w:p w14:paraId="65A11E5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c>
          <w:tcPr>
            <w:tcW w:w="748" w:type="dxa"/>
            <w:tcBorders>
              <w:top w:val="nil"/>
              <w:left w:val="nil"/>
              <w:bottom w:val="nil"/>
              <w:right w:val="single" w:sz="4" w:space="0" w:color="auto"/>
            </w:tcBorders>
            <w:shd w:val="clear" w:color="auto" w:fill="auto"/>
            <w:noWrap/>
            <w:vAlign w:val="bottom"/>
            <w:hideMark/>
          </w:tcPr>
          <w:p w14:paraId="71153EC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970 </w:t>
            </w:r>
          </w:p>
        </w:tc>
      </w:tr>
      <w:tr w:rsidR="00E52FCF" w:rsidRPr="00E52FCF" w14:paraId="0A1BC27D"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64973DD6" w14:textId="77777777" w:rsidR="00E52FCF" w:rsidRPr="00E52FCF" w:rsidRDefault="00E52FCF" w:rsidP="00E52FCF">
            <w:pPr>
              <w:rPr>
                <w:rFonts w:ascii="Calibri" w:hAnsi="Calibri" w:cs="Calibri"/>
                <w:color w:val="000000"/>
                <w:sz w:val="14"/>
                <w:szCs w:val="14"/>
                <w:lang w:val="pt-BR"/>
              </w:rPr>
            </w:pPr>
            <w:r w:rsidRPr="00E52FCF">
              <w:rPr>
                <w:rFonts w:ascii="Calibri" w:hAnsi="Calibri" w:cs="Calibri"/>
                <w:color w:val="000000"/>
                <w:sz w:val="14"/>
                <w:szCs w:val="14"/>
                <w:lang w:val="pt-BR"/>
              </w:rPr>
              <w:t>Bens e obras</w:t>
            </w:r>
            <w:proofErr w:type="gramStart"/>
            <w:r w:rsidRPr="00E52FCF">
              <w:rPr>
                <w:rFonts w:ascii="Calibri" w:hAnsi="Calibri" w:cs="Calibri"/>
                <w:color w:val="000000"/>
                <w:sz w:val="14"/>
                <w:szCs w:val="14"/>
                <w:lang w:val="pt-BR"/>
              </w:rPr>
              <w:t xml:space="preserve">  </w:t>
            </w:r>
            <w:proofErr w:type="gramEnd"/>
            <w:r w:rsidRPr="00E52FCF">
              <w:rPr>
                <w:rFonts w:ascii="Calibri" w:hAnsi="Calibri" w:cs="Calibri"/>
                <w:color w:val="000000"/>
                <w:sz w:val="14"/>
                <w:szCs w:val="14"/>
                <w:lang w:val="pt-BR"/>
              </w:rPr>
              <w:t>adquiridos no ano 3</w:t>
            </w:r>
          </w:p>
        </w:tc>
        <w:tc>
          <w:tcPr>
            <w:tcW w:w="839" w:type="dxa"/>
            <w:tcBorders>
              <w:top w:val="nil"/>
              <w:left w:val="single" w:sz="4" w:space="0" w:color="auto"/>
              <w:bottom w:val="nil"/>
              <w:right w:val="single" w:sz="4" w:space="0" w:color="auto"/>
            </w:tcBorders>
            <w:shd w:val="clear" w:color="auto" w:fill="auto"/>
            <w:noWrap/>
            <w:vAlign w:val="bottom"/>
            <w:hideMark/>
          </w:tcPr>
          <w:p w14:paraId="192C336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lang w:val="pt-BR"/>
              </w:rPr>
              <w:t xml:space="preserve">           </w:t>
            </w:r>
            <w:r w:rsidRPr="00E52FCF">
              <w:rPr>
                <w:rFonts w:ascii="Calibri" w:hAnsi="Calibri" w:cs="Calibri"/>
                <w:color w:val="000000"/>
                <w:sz w:val="14"/>
                <w:szCs w:val="14"/>
              </w:rPr>
              <w:t xml:space="preserve">11.441 </w:t>
            </w:r>
          </w:p>
        </w:tc>
        <w:tc>
          <w:tcPr>
            <w:tcW w:w="658" w:type="dxa"/>
            <w:tcBorders>
              <w:top w:val="nil"/>
              <w:left w:val="nil"/>
              <w:bottom w:val="nil"/>
              <w:right w:val="single" w:sz="4" w:space="0" w:color="auto"/>
            </w:tcBorders>
            <w:shd w:val="clear" w:color="auto" w:fill="auto"/>
            <w:noWrap/>
            <w:vAlign w:val="bottom"/>
            <w:hideMark/>
          </w:tcPr>
          <w:p w14:paraId="4FBBD4A6"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73D9B7E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0271CDD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32" w:type="dxa"/>
            <w:tcBorders>
              <w:top w:val="nil"/>
              <w:left w:val="nil"/>
              <w:bottom w:val="nil"/>
              <w:right w:val="single" w:sz="4" w:space="0" w:color="auto"/>
            </w:tcBorders>
            <w:shd w:val="clear" w:color="auto" w:fill="auto"/>
            <w:noWrap/>
            <w:vAlign w:val="bottom"/>
            <w:hideMark/>
          </w:tcPr>
          <w:p w14:paraId="62F2D41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c>
          <w:tcPr>
            <w:tcW w:w="576" w:type="dxa"/>
            <w:tcBorders>
              <w:top w:val="nil"/>
              <w:left w:val="nil"/>
              <w:bottom w:val="nil"/>
              <w:right w:val="single" w:sz="4" w:space="0" w:color="auto"/>
            </w:tcBorders>
            <w:shd w:val="clear" w:color="auto" w:fill="auto"/>
            <w:noWrap/>
            <w:vAlign w:val="bottom"/>
            <w:hideMark/>
          </w:tcPr>
          <w:p w14:paraId="18BEB95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c>
          <w:tcPr>
            <w:tcW w:w="611" w:type="dxa"/>
            <w:tcBorders>
              <w:top w:val="nil"/>
              <w:left w:val="nil"/>
              <w:bottom w:val="nil"/>
              <w:right w:val="single" w:sz="4" w:space="0" w:color="auto"/>
            </w:tcBorders>
            <w:shd w:val="clear" w:color="auto" w:fill="auto"/>
            <w:noWrap/>
            <w:vAlign w:val="bottom"/>
            <w:hideMark/>
          </w:tcPr>
          <w:p w14:paraId="67DA1B2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c>
          <w:tcPr>
            <w:tcW w:w="611" w:type="dxa"/>
            <w:tcBorders>
              <w:top w:val="nil"/>
              <w:left w:val="nil"/>
              <w:bottom w:val="nil"/>
              <w:right w:val="single" w:sz="4" w:space="0" w:color="auto"/>
            </w:tcBorders>
            <w:shd w:val="clear" w:color="auto" w:fill="auto"/>
            <w:noWrap/>
            <w:vAlign w:val="bottom"/>
            <w:hideMark/>
          </w:tcPr>
          <w:p w14:paraId="35514086"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c>
          <w:tcPr>
            <w:tcW w:w="646" w:type="dxa"/>
            <w:tcBorders>
              <w:top w:val="nil"/>
              <w:left w:val="nil"/>
              <w:bottom w:val="nil"/>
              <w:right w:val="single" w:sz="4" w:space="0" w:color="auto"/>
            </w:tcBorders>
            <w:shd w:val="clear" w:color="auto" w:fill="auto"/>
            <w:noWrap/>
            <w:vAlign w:val="bottom"/>
            <w:hideMark/>
          </w:tcPr>
          <w:p w14:paraId="092530D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c>
          <w:tcPr>
            <w:tcW w:w="611" w:type="dxa"/>
            <w:tcBorders>
              <w:top w:val="nil"/>
              <w:left w:val="nil"/>
              <w:bottom w:val="nil"/>
              <w:right w:val="single" w:sz="4" w:space="0" w:color="auto"/>
            </w:tcBorders>
            <w:shd w:val="clear" w:color="auto" w:fill="auto"/>
            <w:noWrap/>
            <w:vAlign w:val="bottom"/>
            <w:hideMark/>
          </w:tcPr>
          <w:p w14:paraId="72CF91F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c>
          <w:tcPr>
            <w:tcW w:w="748" w:type="dxa"/>
            <w:tcBorders>
              <w:top w:val="nil"/>
              <w:left w:val="nil"/>
              <w:bottom w:val="nil"/>
              <w:right w:val="single" w:sz="4" w:space="0" w:color="auto"/>
            </w:tcBorders>
            <w:shd w:val="clear" w:color="auto" w:fill="auto"/>
            <w:noWrap/>
            <w:vAlign w:val="bottom"/>
            <w:hideMark/>
          </w:tcPr>
          <w:p w14:paraId="202016E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1.634 </w:t>
            </w:r>
          </w:p>
        </w:tc>
      </w:tr>
      <w:tr w:rsidR="00E52FCF" w:rsidRPr="00E52FCF" w14:paraId="46815794"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6600E0B7" w14:textId="77777777" w:rsidR="00E52FCF" w:rsidRPr="00E52FCF" w:rsidRDefault="00E52FCF" w:rsidP="00E52FCF">
            <w:pPr>
              <w:rPr>
                <w:rFonts w:ascii="Calibri" w:hAnsi="Calibri" w:cs="Calibri"/>
                <w:color w:val="000000"/>
                <w:sz w:val="14"/>
                <w:szCs w:val="14"/>
                <w:lang w:val="pt-BR"/>
              </w:rPr>
            </w:pPr>
            <w:r w:rsidRPr="00E52FCF">
              <w:rPr>
                <w:rFonts w:ascii="Calibri" w:hAnsi="Calibri" w:cs="Calibri"/>
                <w:color w:val="000000"/>
                <w:sz w:val="14"/>
                <w:szCs w:val="14"/>
                <w:lang w:val="pt-BR"/>
              </w:rPr>
              <w:t>Bens e obras</w:t>
            </w:r>
            <w:proofErr w:type="gramStart"/>
            <w:r w:rsidRPr="00E52FCF">
              <w:rPr>
                <w:rFonts w:ascii="Calibri" w:hAnsi="Calibri" w:cs="Calibri"/>
                <w:color w:val="000000"/>
                <w:sz w:val="14"/>
                <w:szCs w:val="14"/>
                <w:lang w:val="pt-BR"/>
              </w:rPr>
              <w:t xml:space="preserve">  </w:t>
            </w:r>
            <w:proofErr w:type="gramEnd"/>
            <w:r w:rsidRPr="00E52FCF">
              <w:rPr>
                <w:rFonts w:ascii="Calibri" w:hAnsi="Calibri" w:cs="Calibri"/>
                <w:color w:val="000000"/>
                <w:sz w:val="14"/>
                <w:szCs w:val="14"/>
                <w:lang w:val="pt-BR"/>
              </w:rPr>
              <w:t>adquiridos no ano 4</w:t>
            </w:r>
          </w:p>
        </w:tc>
        <w:tc>
          <w:tcPr>
            <w:tcW w:w="839" w:type="dxa"/>
            <w:tcBorders>
              <w:top w:val="nil"/>
              <w:left w:val="single" w:sz="4" w:space="0" w:color="auto"/>
              <w:bottom w:val="nil"/>
              <w:right w:val="single" w:sz="4" w:space="0" w:color="auto"/>
            </w:tcBorders>
            <w:shd w:val="clear" w:color="auto" w:fill="auto"/>
            <w:noWrap/>
            <w:vAlign w:val="bottom"/>
            <w:hideMark/>
          </w:tcPr>
          <w:p w14:paraId="4AB9CC3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lang w:val="pt-BR"/>
              </w:rPr>
              <w:t xml:space="preserve">          </w:t>
            </w:r>
            <w:r w:rsidRPr="00E52FCF">
              <w:rPr>
                <w:rFonts w:ascii="Calibri" w:hAnsi="Calibri" w:cs="Calibri"/>
                <w:color w:val="000000"/>
                <w:sz w:val="14"/>
                <w:szCs w:val="14"/>
              </w:rPr>
              <w:t xml:space="preserve">7.968 </w:t>
            </w:r>
          </w:p>
        </w:tc>
        <w:tc>
          <w:tcPr>
            <w:tcW w:w="658" w:type="dxa"/>
            <w:tcBorders>
              <w:top w:val="nil"/>
              <w:left w:val="nil"/>
              <w:bottom w:val="nil"/>
              <w:right w:val="single" w:sz="4" w:space="0" w:color="auto"/>
            </w:tcBorders>
            <w:shd w:val="clear" w:color="auto" w:fill="auto"/>
            <w:noWrap/>
            <w:vAlign w:val="bottom"/>
            <w:hideMark/>
          </w:tcPr>
          <w:p w14:paraId="54DCE805"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39BDF9EF"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482A11C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32" w:type="dxa"/>
            <w:tcBorders>
              <w:top w:val="nil"/>
              <w:left w:val="nil"/>
              <w:bottom w:val="nil"/>
              <w:right w:val="single" w:sz="4" w:space="0" w:color="auto"/>
            </w:tcBorders>
            <w:shd w:val="clear" w:color="auto" w:fill="auto"/>
            <w:noWrap/>
            <w:vAlign w:val="bottom"/>
            <w:hideMark/>
          </w:tcPr>
          <w:p w14:paraId="10F9C65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576" w:type="dxa"/>
            <w:tcBorders>
              <w:top w:val="nil"/>
              <w:left w:val="nil"/>
              <w:bottom w:val="nil"/>
              <w:right w:val="single" w:sz="4" w:space="0" w:color="auto"/>
            </w:tcBorders>
            <w:shd w:val="clear" w:color="auto" w:fill="auto"/>
            <w:noWrap/>
            <w:vAlign w:val="bottom"/>
            <w:hideMark/>
          </w:tcPr>
          <w:p w14:paraId="593B6594"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1.328 </w:t>
            </w:r>
          </w:p>
        </w:tc>
        <w:tc>
          <w:tcPr>
            <w:tcW w:w="611" w:type="dxa"/>
            <w:tcBorders>
              <w:top w:val="nil"/>
              <w:left w:val="nil"/>
              <w:bottom w:val="nil"/>
              <w:right w:val="single" w:sz="4" w:space="0" w:color="auto"/>
            </w:tcBorders>
            <w:shd w:val="clear" w:color="auto" w:fill="auto"/>
            <w:noWrap/>
            <w:vAlign w:val="bottom"/>
            <w:hideMark/>
          </w:tcPr>
          <w:p w14:paraId="56B4B46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1.328 </w:t>
            </w:r>
          </w:p>
        </w:tc>
        <w:tc>
          <w:tcPr>
            <w:tcW w:w="611" w:type="dxa"/>
            <w:tcBorders>
              <w:top w:val="nil"/>
              <w:left w:val="nil"/>
              <w:bottom w:val="nil"/>
              <w:right w:val="single" w:sz="4" w:space="0" w:color="auto"/>
            </w:tcBorders>
            <w:shd w:val="clear" w:color="auto" w:fill="auto"/>
            <w:noWrap/>
            <w:vAlign w:val="bottom"/>
            <w:hideMark/>
          </w:tcPr>
          <w:p w14:paraId="6D79EB3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1.328 </w:t>
            </w:r>
          </w:p>
        </w:tc>
        <w:tc>
          <w:tcPr>
            <w:tcW w:w="646" w:type="dxa"/>
            <w:tcBorders>
              <w:top w:val="nil"/>
              <w:left w:val="nil"/>
              <w:bottom w:val="nil"/>
              <w:right w:val="single" w:sz="4" w:space="0" w:color="auto"/>
            </w:tcBorders>
            <w:shd w:val="clear" w:color="auto" w:fill="auto"/>
            <w:noWrap/>
            <w:vAlign w:val="bottom"/>
            <w:hideMark/>
          </w:tcPr>
          <w:p w14:paraId="7941C3B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1.328 </w:t>
            </w:r>
          </w:p>
        </w:tc>
        <w:tc>
          <w:tcPr>
            <w:tcW w:w="611" w:type="dxa"/>
            <w:tcBorders>
              <w:top w:val="nil"/>
              <w:left w:val="nil"/>
              <w:bottom w:val="nil"/>
              <w:right w:val="single" w:sz="4" w:space="0" w:color="auto"/>
            </w:tcBorders>
            <w:shd w:val="clear" w:color="auto" w:fill="auto"/>
            <w:noWrap/>
            <w:vAlign w:val="bottom"/>
            <w:hideMark/>
          </w:tcPr>
          <w:p w14:paraId="6AFD635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1.328 </w:t>
            </w:r>
          </w:p>
        </w:tc>
        <w:tc>
          <w:tcPr>
            <w:tcW w:w="748" w:type="dxa"/>
            <w:tcBorders>
              <w:top w:val="nil"/>
              <w:left w:val="nil"/>
              <w:bottom w:val="nil"/>
              <w:right w:val="single" w:sz="4" w:space="0" w:color="auto"/>
            </w:tcBorders>
            <w:shd w:val="clear" w:color="auto" w:fill="auto"/>
            <w:noWrap/>
            <w:vAlign w:val="bottom"/>
            <w:hideMark/>
          </w:tcPr>
          <w:p w14:paraId="15D9258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1.328 </w:t>
            </w:r>
          </w:p>
        </w:tc>
      </w:tr>
      <w:tr w:rsidR="00E52FCF" w:rsidRPr="00E52FCF" w14:paraId="0B7BFD20"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6B0990B2" w14:textId="77777777" w:rsidR="00E52FCF" w:rsidRPr="00E52FCF" w:rsidRDefault="00E52FCF" w:rsidP="00E52FCF">
            <w:pPr>
              <w:rPr>
                <w:rFonts w:ascii="Calibri" w:hAnsi="Calibri" w:cs="Calibri"/>
                <w:color w:val="000000"/>
                <w:sz w:val="14"/>
                <w:szCs w:val="14"/>
                <w:lang w:val="pt-BR"/>
              </w:rPr>
            </w:pPr>
            <w:r w:rsidRPr="00E52FCF">
              <w:rPr>
                <w:rFonts w:ascii="Calibri" w:hAnsi="Calibri" w:cs="Calibri"/>
                <w:color w:val="000000"/>
                <w:sz w:val="14"/>
                <w:szCs w:val="14"/>
                <w:lang w:val="pt-BR"/>
              </w:rPr>
              <w:t>Bens e obras</w:t>
            </w:r>
            <w:proofErr w:type="gramStart"/>
            <w:r w:rsidRPr="00E52FCF">
              <w:rPr>
                <w:rFonts w:ascii="Calibri" w:hAnsi="Calibri" w:cs="Calibri"/>
                <w:color w:val="000000"/>
                <w:sz w:val="14"/>
                <w:szCs w:val="14"/>
                <w:lang w:val="pt-BR"/>
              </w:rPr>
              <w:t xml:space="preserve">  </w:t>
            </w:r>
            <w:proofErr w:type="gramEnd"/>
            <w:r w:rsidRPr="00E52FCF">
              <w:rPr>
                <w:rFonts w:ascii="Calibri" w:hAnsi="Calibri" w:cs="Calibri"/>
                <w:color w:val="000000"/>
                <w:sz w:val="14"/>
                <w:szCs w:val="14"/>
                <w:lang w:val="pt-BR"/>
              </w:rPr>
              <w:t>adquiridos no ano 5</w:t>
            </w:r>
          </w:p>
        </w:tc>
        <w:tc>
          <w:tcPr>
            <w:tcW w:w="839" w:type="dxa"/>
            <w:tcBorders>
              <w:top w:val="nil"/>
              <w:left w:val="nil"/>
              <w:bottom w:val="single" w:sz="4" w:space="0" w:color="auto"/>
              <w:right w:val="single" w:sz="4" w:space="0" w:color="auto"/>
            </w:tcBorders>
            <w:shd w:val="clear" w:color="auto" w:fill="auto"/>
            <w:noWrap/>
            <w:vAlign w:val="bottom"/>
            <w:hideMark/>
          </w:tcPr>
          <w:p w14:paraId="6900E4E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lang w:val="pt-BR"/>
              </w:rPr>
              <w:t xml:space="preserve">          </w:t>
            </w:r>
            <w:r w:rsidRPr="00E52FCF">
              <w:rPr>
                <w:rFonts w:ascii="Calibri" w:hAnsi="Calibri" w:cs="Calibri"/>
                <w:color w:val="000000"/>
                <w:sz w:val="14"/>
                <w:szCs w:val="14"/>
              </w:rPr>
              <w:t xml:space="preserve">2.554 </w:t>
            </w:r>
          </w:p>
        </w:tc>
        <w:tc>
          <w:tcPr>
            <w:tcW w:w="658" w:type="dxa"/>
            <w:tcBorders>
              <w:top w:val="nil"/>
              <w:left w:val="nil"/>
              <w:bottom w:val="single" w:sz="4" w:space="0" w:color="auto"/>
              <w:right w:val="single" w:sz="4" w:space="0" w:color="auto"/>
            </w:tcBorders>
            <w:shd w:val="clear" w:color="auto" w:fill="auto"/>
            <w:noWrap/>
            <w:vAlign w:val="bottom"/>
            <w:hideMark/>
          </w:tcPr>
          <w:p w14:paraId="6259CBC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single" w:sz="4" w:space="0" w:color="auto"/>
              <w:right w:val="single" w:sz="4" w:space="0" w:color="auto"/>
            </w:tcBorders>
            <w:shd w:val="clear" w:color="auto" w:fill="auto"/>
            <w:noWrap/>
            <w:vAlign w:val="bottom"/>
            <w:hideMark/>
          </w:tcPr>
          <w:p w14:paraId="29EB800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single" w:sz="4" w:space="0" w:color="auto"/>
              <w:right w:val="single" w:sz="4" w:space="0" w:color="auto"/>
            </w:tcBorders>
            <w:shd w:val="clear" w:color="auto" w:fill="auto"/>
            <w:noWrap/>
            <w:vAlign w:val="bottom"/>
            <w:hideMark/>
          </w:tcPr>
          <w:p w14:paraId="4A9BC4F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32" w:type="dxa"/>
            <w:tcBorders>
              <w:top w:val="nil"/>
              <w:left w:val="nil"/>
              <w:bottom w:val="single" w:sz="4" w:space="0" w:color="auto"/>
              <w:right w:val="single" w:sz="4" w:space="0" w:color="auto"/>
            </w:tcBorders>
            <w:shd w:val="clear" w:color="auto" w:fill="auto"/>
            <w:noWrap/>
            <w:vAlign w:val="bottom"/>
            <w:hideMark/>
          </w:tcPr>
          <w:p w14:paraId="54DF2C1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576" w:type="dxa"/>
            <w:tcBorders>
              <w:top w:val="nil"/>
              <w:left w:val="nil"/>
              <w:bottom w:val="single" w:sz="4" w:space="0" w:color="auto"/>
              <w:right w:val="single" w:sz="4" w:space="0" w:color="auto"/>
            </w:tcBorders>
            <w:shd w:val="clear" w:color="auto" w:fill="auto"/>
            <w:noWrap/>
            <w:vAlign w:val="bottom"/>
            <w:hideMark/>
          </w:tcPr>
          <w:p w14:paraId="10AA4BD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11" w:type="dxa"/>
            <w:tcBorders>
              <w:top w:val="nil"/>
              <w:left w:val="nil"/>
              <w:bottom w:val="single" w:sz="4" w:space="0" w:color="auto"/>
              <w:right w:val="single" w:sz="4" w:space="0" w:color="auto"/>
            </w:tcBorders>
            <w:shd w:val="clear" w:color="auto" w:fill="auto"/>
            <w:noWrap/>
            <w:vAlign w:val="bottom"/>
            <w:hideMark/>
          </w:tcPr>
          <w:p w14:paraId="702C2B6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511 </w:t>
            </w:r>
          </w:p>
        </w:tc>
        <w:tc>
          <w:tcPr>
            <w:tcW w:w="611" w:type="dxa"/>
            <w:tcBorders>
              <w:top w:val="nil"/>
              <w:left w:val="nil"/>
              <w:bottom w:val="single" w:sz="4" w:space="0" w:color="auto"/>
              <w:right w:val="single" w:sz="4" w:space="0" w:color="auto"/>
            </w:tcBorders>
            <w:shd w:val="clear" w:color="auto" w:fill="auto"/>
            <w:noWrap/>
            <w:vAlign w:val="bottom"/>
            <w:hideMark/>
          </w:tcPr>
          <w:p w14:paraId="698A066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511 </w:t>
            </w:r>
          </w:p>
        </w:tc>
        <w:tc>
          <w:tcPr>
            <w:tcW w:w="646" w:type="dxa"/>
            <w:tcBorders>
              <w:top w:val="nil"/>
              <w:left w:val="nil"/>
              <w:bottom w:val="single" w:sz="4" w:space="0" w:color="auto"/>
              <w:right w:val="single" w:sz="4" w:space="0" w:color="auto"/>
            </w:tcBorders>
            <w:shd w:val="clear" w:color="auto" w:fill="auto"/>
            <w:noWrap/>
            <w:vAlign w:val="bottom"/>
            <w:hideMark/>
          </w:tcPr>
          <w:p w14:paraId="6F2389B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511 </w:t>
            </w:r>
          </w:p>
        </w:tc>
        <w:tc>
          <w:tcPr>
            <w:tcW w:w="611" w:type="dxa"/>
            <w:tcBorders>
              <w:top w:val="nil"/>
              <w:left w:val="nil"/>
              <w:bottom w:val="single" w:sz="4" w:space="0" w:color="auto"/>
              <w:right w:val="single" w:sz="4" w:space="0" w:color="auto"/>
            </w:tcBorders>
            <w:shd w:val="clear" w:color="auto" w:fill="auto"/>
            <w:noWrap/>
            <w:vAlign w:val="bottom"/>
            <w:hideMark/>
          </w:tcPr>
          <w:p w14:paraId="4167CA9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511 </w:t>
            </w:r>
          </w:p>
        </w:tc>
        <w:tc>
          <w:tcPr>
            <w:tcW w:w="748" w:type="dxa"/>
            <w:tcBorders>
              <w:top w:val="nil"/>
              <w:left w:val="nil"/>
              <w:bottom w:val="single" w:sz="4" w:space="0" w:color="auto"/>
              <w:right w:val="single" w:sz="4" w:space="0" w:color="auto"/>
            </w:tcBorders>
            <w:shd w:val="clear" w:color="auto" w:fill="auto"/>
            <w:noWrap/>
            <w:vAlign w:val="bottom"/>
            <w:hideMark/>
          </w:tcPr>
          <w:p w14:paraId="45D4B04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511 </w:t>
            </w:r>
          </w:p>
        </w:tc>
      </w:tr>
      <w:tr w:rsidR="00E52FCF" w:rsidRPr="00E52FCF" w14:paraId="65E40FA2"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2EAA59DE" w14:textId="77777777" w:rsidR="00E52FCF" w:rsidRPr="00E52FCF" w:rsidRDefault="00E52FCF" w:rsidP="00E52FCF">
            <w:pPr>
              <w:rPr>
                <w:rFonts w:ascii="Calibri" w:hAnsi="Calibri" w:cs="Calibri"/>
                <w:color w:val="000000"/>
                <w:sz w:val="14"/>
                <w:szCs w:val="14"/>
              </w:rPr>
            </w:pPr>
            <w:proofErr w:type="spellStart"/>
            <w:r w:rsidRPr="00E52FCF">
              <w:rPr>
                <w:rFonts w:ascii="Calibri" w:hAnsi="Calibri" w:cs="Calibri"/>
                <w:color w:val="000000"/>
                <w:sz w:val="14"/>
                <w:szCs w:val="14"/>
              </w:rPr>
              <w:t>Consultorias</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pagas</w:t>
            </w:r>
            <w:proofErr w:type="spellEnd"/>
            <w:r w:rsidRPr="00E52FCF">
              <w:rPr>
                <w:rFonts w:ascii="Calibri" w:hAnsi="Calibri" w:cs="Calibri"/>
                <w:color w:val="000000"/>
                <w:sz w:val="14"/>
                <w:szCs w:val="14"/>
              </w:rPr>
              <w:t xml:space="preserve"> no </w:t>
            </w: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1</w:t>
            </w:r>
          </w:p>
        </w:tc>
        <w:tc>
          <w:tcPr>
            <w:tcW w:w="839" w:type="dxa"/>
            <w:tcBorders>
              <w:top w:val="nil"/>
              <w:left w:val="single" w:sz="4" w:space="0" w:color="auto"/>
              <w:bottom w:val="nil"/>
              <w:right w:val="single" w:sz="4" w:space="0" w:color="auto"/>
            </w:tcBorders>
            <w:shd w:val="clear" w:color="auto" w:fill="auto"/>
            <w:noWrap/>
            <w:vAlign w:val="bottom"/>
            <w:hideMark/>
          </w:tcPr>
          <w:p w14:paraId="584657B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5.948 </w:t>
            </w:r>
          </w:p>
        </w:tc>
        <w:tc>
          <w:tcPr>
            <w:tcW w:w="658" w:type="dxa"/>
            <w:tcBorders>
              <w:top w:val="nil"/>
              <w:left w:val="nil"/>
              <w:bottom w:val="nil"/>
              <w:right w:val="single" w:sz="4" w:space="0" w:color="auto"/>
            </w:tcBorders>
            <w:shd w:val="clear" w:color="auto" w:fill="auto"/>
            <w:noWrap/>
            <w:vAlign w:val="bottom"/>
            <w:hideMark/>
          </w:tcPr>
          <w:p w14:paraId="1D9EE41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73A00D94"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680" w:type="dxa"/>
            <w:tcBorders>
              <w:top w:val="nil"/>
              <w:left w:val="nil"/>
              <w:bottom w:val="nil"/>
              <w:right w:val="single" w:sz="4" w:space="0" w:color="auto"/>
            </w:tcBorders>
            <w:shd w:val="clear" w:color="auto" w:fill="auto"/>
            <w:noWrap/>
            <w:vAlign w:val="bottom"/>
            <w:hideMark/>
          </w:tcPr>
          <w:p w14:paraId="5E35E9D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632" w:type="dxa"/>
            <w:tcBorders>
              <w:top w:val="nil"/>
              <w:left w:val="nil"/>
              <w:bottom w:val="nil"/>
              <w:right w:val="single" w:sz="4" w:space="0" w:color="auto"/>
            </w:tcBorders>
            <w:shd w:val="clear" w:color="auto" w:fill="auto"/>
            <w:noWrap/>
            <w:vAlign w:val="bottom"/>
            <w:hideMark/>
          </w:tcPr>
          <w:p w14:paraId="5557C4E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576" w:type="dxa"/>
            <w:tcBorders>
              <w:top w:val="nil"/>
              <w:left w:val="nil"/>
              <w:bottom w:val="nil"/>
              <w:right w:val="single" w:sz="4" w:space="0" w:color="auto"/>
            </w:tcBorders>
            <w:shd w:val="clear" w:color="auto" w:fill="auto"/>
            <w:noWrap/>
            <w:vAlign w:val="bottom"/>
            <w:hideMark/>
          </w:tcPr>
          <w:p w14:paraId="232A954F"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611" w:type="dxa"/>
            <w:tcBorders>
              <w:top w:val="nil"/>
              <w:left w:val="nil"/>
              <w:bottom w:val="nil"/>
              <w:right w:val="single" w:sz="4" w:space="0" w:color="auto"/>
            </w:tcBorders>
            <w:shd w:val="clear" w:color="auto" w:fill="auto"/>
            <w:noWrap/>
            <w:vAlign w:val="bottom"/>
            <w:hideMark/>
          </w:tcPr>
          <w:p w14:paraId="33AED00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611" w:type="dxa"/>
            <w:tcBorders>
              <w:top w:val="nil"/>
              <w:left w:val="nil"/>
              <w:bottom w:val="nil"/>
              <w:right w:val="single" w:sz="4" w:space="0" w:color="auto"/>
            </w:tcBorders>
            <w:shd w:val="clear" w:color="auto" w:fill="auto"/>
            <w:noWrap/>
            <w:vAlign w:val="bottom"/>
            <w:hideMark/>
          </w:tcPr>
          <w:p w14:paraId="546FEF64"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646" w:type="dxa"/>
            <w:tcBorders>
              <w:top w:val="nil"/>
              <w:left w:val="nil"/>
              <w:bottom w:val="nil"/>
              <w:right w:val="single" w:sz="4" w:space="0" w:color="auto"/>
            </w:tcBorders>
            <w:shd w:val="clear" w:color="auto" w:fill="auto"/>
            <w:noWrap/>
            <w:vAlign w:val="bottom"/>
            <w:hideMark/>
          </w:tcPr>
          <w:p w14:paraId="653FAE69"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611" w:type="dxa"/>
            <w:tcBorders>
              <w:top w:val="nil"/>
              <w:left w:val="nil"/>
              <w:bottom w:val="nil"/>
              <w:right w:val="single" w:sz="4" w:space="0" w:color="auto"/>
            </w:tcBorders>
            <w:shd w:val="clear" w:color="auto" w:fill="auto"/>
            <w:noWrap/>
            <w:vAlign w:val="bottom"/>
            <w:hideMark/>
          </w:tcPr>
          <w:p w14:paraId="5712DF3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c>
          <w:tcPr>
            <w:tcW w:w="748" w:type="dxa"/>
            <w:tcBorders>
              <w:top w:val="nil"/>
              <w:left w:val="nil"/>
              <w:bottom w:val="nil"/>
              <w:right w:val="single" w:sz="4" w:space="0" w:color="auto"/>
            </w:tcBorders>
            <w:shd w:val="clear" w:color="auto" w:fill="auto"/>
            <w:noWrap/>
            <w:vAlign w:val="bottom"/>
            <w:hideMark/>
          </w:tcPr>
          <w:p w14:paraId="0A0B12F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661 </w:t>
            </w:r>
          </w:p>
        </w:tc>
      </w:tr>
      <w:tr w:rsidR="00E52FCF" w:rsidRPr="00E52FCF" w14:paraId="28D7E1BA"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79389BA1" w14:textId="77777777" w:rsidR="00E52FCF" w:rsidRPr="00E52FCF" w:rsidRDefault="00E52FCF" w:rsidP="00E52FCF">
            <w:pPr>
              <w:rPr>
                <w:rFonts w:ascii="Calibri" w:hAnsi="Calibri" w:cs="Calibri"/>
                <w:color w:val="000000"/>
                <w:sz w:val="14"/>
                <w:szCs w:val="14"/>
              </w:rPr>
            </w:pPr>
            <w:proofErr w:type="spellStart"/>
            <w:r w:rsidRPr="00E52FCF">
              <w:rPr>
                <w:rFonts w:ascii="Calibri" w:hAnsi="Calibri" w:cs="Calibri"/>
                <w:color w:val="000000"/>
                <w:sz w:val="14"/>
                <w:szCs w:val="14"/>
              </w:rPr>
              <w:t>Consultorias</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pagas</w:t>
            </w:r>
            <w:proofErr w:type="spellEnd"/>
            <w:r w:rsidRPr="00E52FCF">
              <w:rPr>
                <w:rFonts w:ascii="Calibri" w:hAnsi="Calibri" w:cs="Calibri"/>
                <w:color w:val="000000"/>
                <w:sz w:val="14"/>
                <w:szCs w:val="14"/>
              </w:rPr>
              <w:t xml:space="preserve"> no </w:t>
            </w: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2</w:t>
            </w:r>
          </w:p>
        </w:tc>
        <w:tc>
          <w:tcPr>
            <w:tcW w:w="839" w:type="dxa"/>
            <w:tcBorders>
              <w:top w:val="nil"/>
              <w:left w:val="single" w:sz="4" w:space="0" w:color="auto"/>
              <w:bottom w:val="nil"/>
              <w:right w:val="single" w:sz="4" w:space="0" w:color="auto"/>
            </w:tcBorders>
            <w:shd w:val="clear" w:color="auto" w:fill="auto"/>
            <w:noWrap/>
            <w:vAlign w:val="bottom"/>
            <w:hideMark/>
          </w:tcPr>
          <w:p w14:paraId="0BB77145"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7.728 </w:t>
            </w:r>
          </w:p>
        </w:tc>
        <w:tc>
          <w:tcPr>
            <w:tcW w:w="658" w:type="dxa"/>
            <w:tcBorders>
              <w:top w:val="nil"/>
              <w:left w:val="nil"/>
              <w:bottom w:val="nil"/>
              <w:right w:val="single" w:sz="4" w:space="0" w:color="auto"/>
            </w:tcBorders>
            <w:shd w:val="clear" w:color="auto" w:fill="auto"/>
            <w:noWrap/>
            <w:vAlign w:val="bottom"/>
            <w:hideMark/>
          </w:tcPr>
          <w:p w14:paraId="1781084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4C269B8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002A465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632" w:type="dxa"/>
            <w:tcBorders>
              <w:top w:val="nil"/>
              <w:left w:val="nil"/>
              <w:bottom w:val="nil"/>
              <w:right w:val="single" w:sz="4" w:space="0" w:color="auto"/>
            </w:tcBorders>
            <w:shd w:val="clear" w:color="auto" w:fill="auto"/>
            <w:noWrap/>
            <w:vAlign w:val="bottom"/>
            <w:hideMark/>
          </w:tcPr>
          <w:p w14:paraId="70D85FF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576" w:type="dxa"/>
            <w:tcBorders>
              <w:top w:val="nil"/>
              <w:left w:val="nil"/>
              <w:bottom w:val="nil"/>
              <w:right w:val="single" w:sz="4" w:space="0" w:color="auto"/>
            </w:tcBorders>
            <w:shd w:val="clear" w:color="auto" w:fill="auto"/>
            <w:noWrap/>
            <w:vAlign w:val="bottom"/>
            <w:hideMark/>
          </w:tcPr>
          <w:p w14:paraId="37E5D4E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611" w:type="dxa"/>
            <w:tcBorders>
              <w:top w:val="nil"/>
              <w:left w:val="nil"/>
              <w:bottom w:val="nil"/>
              <w:right w:val="single" w:sz="4" w:space="0" w:color="auto"/>
            </w:tcBorders>
            <w:shd w:val="clear" w:color="auto" w:fill="auto"/>
            <w:noWrap/>
            <w:vAlign w:val="bottom"/>
            <w:hideMark/>
          </w:tcPr>
          <w:p w14:paraId="0725921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611" w:type="dxa"/>
            <w:tcBorders>
              <w:top w:val="nil"/>
              <w:left w:val="nil"/>
              <w:bottom w:val="nil"/>
              <w:right w:val="single" w:sz="4" w:space="0" w:color="auto"/>
            </w:tcBorders>
            <w:shd w:val="clear" w:color="auto" w:fill="auto"/>
            <w:noWrap/>
            <w:vAlign w:val="bottom"/>
            <w:hideMark/>
          </w:tcPr>
          <w:p w14:paraId="47622C9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646" w:type="dxa"/>
            <w:tcBorders>
              <w:top w:val="nil"/>
              <w:left w:val="nil"/>
              <w:bottom w:val="nil"/>
              <w:right w:val="single" w:sz="4" w:space="0" w:color="auto"/>
            </w:tcBorders>
            <w:shd w:val="clear" w:color="auto" w:fill="auto"/>
            <w:noWrap/>
            <w:vAlign w:val="bottom"/>
            <w:hideMark/>
          </w:tcPr>
          <w:p w14:paraId="1C56359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611" w:type="dxa"/>
            <w:tcBorders>
              <w:top w:val="nil"/>
              <w:left w:val="nil"/>
              <w:bottom w:val="nil"/>
              <w:right w:val="single" w:sz="4" w:space="0" w:color="auto"/>
            </w:tcBorders>
            <w:shd w:val="clear" w:color="auto" w:fill="auto"/>
            <w:noWrap/>
            <w:vAlign w:val="bottom"/>
            <w:hideMark/>
          </w:tcPr>
          <w:p w14:paraId="325392D1"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c>
          <w:tcPr>
            <w:tcW w:w="748" w:type="dxa"/>
            <w:tcBorders>
              <w:top w:val="nil"/>
              <w:left w:val="nil"/>
              <w:bottom w:val="nil"/>
              <w:right w:val="single" w:sz="4" w:space="0" w:color="auto"/>
            </w:tcBorders>
            <w:shd w:val="clear" w:color="auto" w:fill="auto"/>
            <w:noWrap/>
            <w:vAlign w:val="bottom"/>
            <w:hideMark/>
          </w:tcPr>
          <w:p w14:paraId="4B341A0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966 </w:t>
            </w:r>
          </w:p>
        </w:tc>
      </w:tr>
      <w:tr w:rsidR="00E52FCF" w:rsidRPr="00E52FCF" w14:paraId="282FF614"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7CFB6C37" w14:textId="77777777" w:rsidR="00E52FCF" w:rsidRPr="00E52FCF" w:rsidRDefault="00E52FCF" w:rsidP="00E52FCF">
            <w:pPr>
              <w:rPr>
                <w:rFonts w:ascii="Calibri" w:hAnsi="Calibri" w:cs="Calibri"/>
                <w:color w:val="000000"/>
                <w:sz w:val="14"/>
                <w:szCs w:val="14"/>
              </w:rPr>
            </w:pPr>
            <w:proofErr w:type="spellStart"/>
            <w:r w:rsidRPr="00E52FCF">
              <w:rPr>
                <w:rFonts w:ascii="Calibri" w:hAnsi="Calibri" w:cs="Calibri"/>
                <w:color w:val="000000"/>
                <w:sz w:val="14"/>
                <w:szCs w:val="14"/>
              </w:rPr>
              <w:t>Consultorias</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pagas</w:t>
            </w:r>
            <w:proofErr w:type="spellEnd"/>
            <w:r w:rsidRPr="00E52FCF">
              <w:rPr>
                <w:rFonts w:ascii="Calibri" w:hAnsi="Calibri" w:cs="Calibri"/>
                <w:color w:val="000000"/>
                <w:sz w:val="14"/>
                <w:szCs w:val="14"/>
              </w:rPr>
              <w:t xml:space="preserve"> no </w:t>
            </w: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3</w:t>
            </w:r>
          </w:p>
        </w:tc>
        <w:tc>
          <w:tcPr>
            <w:tcW w:w="839" w:type="dxa"/>
            <w:tcBorders>
              <w:top w:val="nil"/>
              <w:left w:val="single" w:sz="4" w:space="0" w:color="auto"/>
              <w:bottom w:val="nil"/>
              <w:right w:val="single" w:sz="4" w:space="0" w:color="auto"/>
            </w:tcBorders>
            <w:shd w:val="clear" w:color="auto" w:fill="auto"/>
            <w:noWrap/>
            <w:vAlign w:val="bottom"/>
            <w:hideMark/>
          </w:tcPr>
          <w:p w14:paraId="54737D6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11.388 </w:t>
            </w:r>
          </w:p>
        </w:tc>
        <w:tc>
          <w:tcPr>
            <w:tcW w:w="658" w:type="dxa"/>
            <w:tcBorders>
              <w:top w:val="nil"/>
              <w:left w:val="nil"/>
              <w:bottom w:val="nil"/>
              <w:right w:val="single" w:sz="4" w:space="0" w:color="auto"/>
            </w:tcBorders>
            <w:shd w:val="clear" w:color="auto" w:fill="auto"/>
            <w:noWrap/>
            <w:vAlign w:val="bottom"/>
            <w:hideMark/>
          </w:tcPr>
          <w:p w14:paraId="6D9EC92F"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7F98F81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2A71CF3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32" w:type="dxa"/>
            <w:tcBorders>
              <w:top w:val="nil"/>
              <w:left w:val="nil"/>
              <w:bottom w:val="nil"/>
              <w:right w:val="single" w:sz="4" w:space="0" w:color="auto"/>
            </w:tcBorders>
            <w:shd w:val="clear" w:color="auto" w:fill="auto"/>
            <w:noWrap/>
            <w:vAlign w:val="bottom"/>
            <w:hideMark/>
          </w:tcPr>
          <w:p w14:paraId="6B28250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c>
          <w:tcPr>
            <w:tcW w:w="576" w:type="dxa"/>
            <w:tcBorders>
              <w:top w:val="nil"/>
              <w:left w:val="nil"/>
              <w:bottom w:val="nil"/>
              <w:right w:val="single" w:sz="4" w:space="0" w:color="auto"/>
            </w:tcBorders>
            <w:shd w:val="clear" w:color="auto" w:fill="auto"/>
            <w:noWrap/>
            <w:vAlign w:val="bottom"/>
            <w:hideMark/>
          </w:tcPr>
          <w:p w14:paraId="7E20B35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c>
          <w:tcPr>
            <w:tcW w:w="611" w:type="dxa"/>
            <w:tcBorders>
              <w:top w:val="nil"/>
              <w:left w:val="nil"/>
              <w:bottom w:val="nil"/>
              <w:right w:val="single" w:sz="4" w:space="0" w:color="auto"/>
            </w:tcBorders>
            <w:shd w:val="clear" w:color="auto" w:fill="auto"/>
            <w:noWrap/>
            <w:vAlign w:val="bottom"/>
            <w:hideMark/>
          </w:tcPr>
          <w:p w14:paraId="478DD75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c>
          <w:tcPr>
            <w:tcW w:w="611" w:type="dxa"/>
            <w:tcBorders>
              <w:top w:val="nil"/>
              <w:left w:val="nil"/>
              <w:bottom w:val="nil"/>
              <w:right w:val="single" w:sz="4" w:space="0" w:color="auto"/>
            </w:tcBorders>
            <w:shd w:val="clear" w:color="auto" w:fill="auto"/>
            <w:noWrap/>
            <w:vAlign w:val="bottom"/>
            <w:hideMark/>
          </w:tcPr>
          <w:p w14:paraId="278C103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c>
          <w:tcPr>
            <w:tcW w:w="646" w:type="dxa"/>
            <w:tcBorders>
              <w:top w:val="nil"/>
              <w:left w:val="nil"/>
              <w:bottom w:val="nil"/>
              <w:right w:val="single" w:sz="4" w:space="0" w:color="auto"/>
            </w:tcBorders>
            <w:shd w:val="clear" w:color="auto" w:fill="auto"/>
            <w:noWrap/>
            <w:vAlign w:val="bottom"/>
            <w:hideMark/>
          </w:tcPr>
          <w:p w14:paraId="4357948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c>
          <w:tcPr>
            <w:tcW w:w="611" w:type="dxa"/>
            <w:tcBorders>
              <w:top w:val="nil"/>
              <w:left w:val="nil"/>
              <w:bottom w:val="nil"/>
              <w:right w:val="single" w:sz="4" w:space="0" w:color="auto"/>
            </w:tcBorders>
            <w:shd w:val="clear" w:color="auto" w:fill="auto"/>
            <w:noWrap/>
            <w:vAlign w:val="bottom"/>
            <w:hideMark/>
          </w:tcPr>
          <w:p w14:paraId="11E9EAD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c>
          <w:tcPr>
            <w:tcW w:w="748" w:type="dxa"/>
            <w:tcBorders>
              <w:top w:val="nil"/>
              <w:left w:val="nil"/>
              <w:bottom w:val="nil"/>
              <w:right w:val="single" w:sz="4" w:space="0" w:color="auto"/>
            </w:tcBorders>
            <w:shd w:val="clear" w:color="auto" w:fill="auto"/>
            <w:noWrap/>
            <w:vAlign w:val="bottom"/>
            <w:hideMark/>
          </w:tcPr>
          <w:p w14:paraId="55E408B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1.627 </w:t>
            </w:r>
          </w:p>
        </w:tc>
      </w:tr>
      <w:tr w:rsidR="00E52FCF" w:rsidRPr="00E52FCF" w14:paraId="12FCC889"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530038AD" w14:textId="77777777" w:rsidR="00E52FCF" w:rsidRPr="00E52FCF" w:rsidRDefault="00E52FCF" w:rsidP="00E52FCF">
            <w:pPr>
              <w:rPr>
                <w:rFonts w:ascii="Calibri" w:hAnsi="Calibri" w:cs="Calibri"/>
                <w:color w:val="000000"/>
                <w:sz w:val="14"/>
                <w:szCs w:val="14"/>
              </w:rPr>
            </w:pPr>
            <w:proofErr w:type="spellStart"/>
            <w:r w:rsidRPr="00E52FCF">
              <w:rPr>
                <w:rFonts w:ascii="Calibri" w:hAnsi="Calibri" w:cs="Calibri"/>
                <w:color w:val="000000"/>
                <w:sz w:val="14"/>
                <w:szCs w:val="14"/>
              </w:rPr>
              <w:t>Consultorias</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pagas</w:t>
            </w:r>
            <w:proofErr w:type="spellEnd"/>
            <w:r w:rsidRPr="00E52FCF">
              <w:rPr>
                <w:rFonts w:ascii="Calibri" w:hAnsi="Calibri" w:cs="Calibri"/>
                <w:color w:val="000000"/>
                <w:sz w:val="14"/>
                <w:szCs w:val="14"/>
              </w:rPr>
              <w:t xml:space="preserve"> no </w:t>
            </w: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4</w:t>
            </w:r>
          </w:p>
        </w:tc>
        <w:tc>
          <w:tcPr>
            <w:tcW w:w="839" w:type="dxa"/>
            <w:tcBorders>
              <w:top w:val="nil"/>
              <w:left w:val="single" w:sz="4" w:space="0" w:color="auto"/>
              <w:bottom w:val="nil"/>
              <w:right w:val="single" w:sz="4" w:space="0" w:color="auto"/>
            </w:tcBorders>
            <w:shd w:val="clear" w:color="auto" w:fill="auto"/>
            <w:noWrap/>
            <w:vAlign w:val="bottom"/>
            <w:hideMark/>
          </w:tcPr>
          <w:p w14:paraId="4A8B35C4"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7.931 </w:t>
            </w:r>
          </w:p>
        </w:tc>
        <w:tc>
          <w:tcPr>
            <w:tcW w:w="658" w:type="dxa"/>
            <w:tcBorders>
              <w:top w:val="nil"/>
              <w:left w:val="nil"/>
              <w:bottom w:val="nil"/>
              <w:right w:val="single" w:sz="4" w:space="0" w:color="auto"/>
            </w:tcBorders>
            <w:shd w:val="clear" w:color="auto" w:fill="auto"/>
            <w:noWrap/>
            <w:vAlign w:val="bottom"/>
            <w:hideMark/>
          </w:tcPr>
          <w:p w14:paraId="599A6FC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14BEFB6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7DBED37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32" w:type="dxa"/>
            <w:tcBorders>
              <w:top w:val="nil"/>
              <w:left w:val="nil"/>
              <w:bottom w:val="nil"/>
              <w:right w:val="single" w:sz="4" w:space="0" w:color="auto"/>
            </w:tcBorders>
            <w:shd w:val="clear" w:color="auto" w:fill="auto"/>
            <w:noWrap/>
            <w:vAlign w:val="bottom"/>
            <w:hideMark/>
          </w:tcPr>
          <w:p w14:paraId="1CC44A0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576" w:type="dxa"/>
            <w:tcBorders>
              <w:top w:val="nil"/>
              <w:left w:val="nil"/>
              <w:bottom w:val="nil"/>
              <w:right w:val="single" w:sz="4" w:space="0" w:color="auto"/>
            </w:tcBorders>
            <w:shd w:val="clear" w:color="auto" w:fill="auto"/>
            <w:noWrap/>
            <w:vAlign w:val="bottom"/>
            <w:hideMark/>
          </w:tcPr>
          <w:p w14:paraId="31591D34"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1.322 </w:t>
            </w:r>
          </w:p>
        </w:tc>
        <w:tc>
          <w:tcPr>
            <w:tcW w:w="611" w:type="dxa"/>
            <w:tcBorders>
              <w:top w:val="nil"/>
              <w:left w:val="nil"/>
              <w:bottom w:val="nil"/>
              <w:right w:val="single" w:sz="4" w:space="0" w:color="auto"/>
            </w:tcBorders>
            <w:shd w:val="clear" w:color="auto" w:fill="auto"/>
            <w:noWrap/>
            <w:vAlign w:val="bottom"/>
            <w:hideMark/>
          </w:tcPr>
          <w:p w14:paraId="42C216E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1.322 </w:t>
            </w:r>
          </w:p>
        </w:tc>
        <w:tc>
          <w:tcPr>
            <w:tcW w:w="611" w:type="dxa"/>
            <w:tcBorders>
              <w:top w:val="nil"/>
              <w:left w:val="nil"/>
              <w:bottom w:val="nil"/>
              <w:right w:val="single" w:sz="4" w:space="0" w:color="auto"/>
            </w:tcBorders>
            <w:shd w:val="clear" w:color="auto" w:fill="auto"/>
            <w:noWrap/>
            <w:vAlign w:val="bottom"/>
            <w:hideMark/>
          </w:tcPr>
          <w:p w14:paraId="2AF4780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1.322 </w:t>
            </w:r>
          </w:p>
        </w:tc>
        <w:tc>
          <w:tcPr>
            <w:tcW w:w="646" w:type="dxa"/>
            <w:tcBorders>
              <w:top w:val="nil"/>
              <w:left w:val="nil"/>
              <w:bottom w:val="nil"/>
              <w:right w:val="single" w:sz="4" w:space="0" w:color="auto"/>
            </w:tcBorders>
            <w:shd w:val="clear" w:color="auto" w:fill="auto"/>
            <w:noWrap/>
            <w:vAlign w:val="bottom"/>
            <w:hideMark/>
          </w:tcPr>
          <w:p w14:paraId="7FAE5B0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1.322 </w:t>
            </w:r>
          </w:p>
        </w:tc>
        <w:tc>
          <w:tcPr>
            <w:tcW w:w="611" w:type="dxa"/>
            <w:tcBorders>
              <w:top w:val="nil"/>
              <w:left w:val="nil"/>
              <w:bottom w:val="nil"/>
              <w:right w:val="single" w:sz="4" w:space="0" w:color="auto"/>
            </w:tcBorders>
            <w:shd w:val="clear" w:color="auto" w:fill="auto"/>
            <w:noWrap/>
            <w:vAlign w:val="bottom"/>
            <w:hideMark/>
          </w:tcPr>
          <w:p w14:paraId="5EE7AA6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1.322 </w:t>
            </w:r>
          </w:p>
        </w:tc>
        <w:tc>
          <w:tcPr>
            <w:tcW w:w="748" w:type="dxa"/>
            <w:tcBorders>
              <w:top w:val="nil"/>
              <w:left w:val="nil"/>
              <w:bottom w:val="nil"/>
              <w:right w:val="single" w:sz="4" w:space="0" w:color="auto"/>
            </w:tcBorders>
            <w:shd w:val="clear" w:color="auto" w:fill="auto"/>
            <w:noWrap/>
            <w:vAlign w:val="bottom"/>
            <w:hideMark/>
          </w:tcPr>
          <w:p w14:paraId="788149E5"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1.322 </w:t>
            </w:r>
          </w:p>
        </w:tc>
      </w:tr>
      <w:tr w:rsidR="00E52FCF" w:rsidRPr="00E52FCF" w14:paraId="0841C591" w14:textId="77777777" w:rsidTr="00E52FCF">
        <w:trPr>
          <w:trHeight w:val="31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14:paraId="06A5EA4B" w14:textId="77777777" w:rsidR="00E52FCF" w:rsidRPr="00E52FCF" w:rsidRDefault="00E52FCF" w:rsidP="00E52FCF">
            <w:pPr>
              <w:rPr>
                <w:rFonts w:ascii="Calibri" w:hAnsi="Calibri" w:cs="Calibri"/>
                <w:color w:val="000000"/>
                <w:sz w:val="14"/>
                <w:szCs w:val="14"/>
              </w:rPr>
            </w:pPr>
            <w:proofErr w:type="spellStart"/>
            <w:r w:rsidRPr="00E52FCF">
              <w:rPr>
                <w:rFonts w:ascii="Calibri" w:hAnsi="Calibri" w:cs="Calibri"/>
                <w:color w:val="000000"/>
                <w:sz w:val="14"/>
                <w:szCs w:val="14"/>
              </w:rPr>
              <w:t>Consultorias</w:t>
            </w:r>
            <w:proofErr w:type="spellEnd"/>
            <w:r w:rsidRPr="00E52FCF">
              <w:rPr>
                <w:rFonts w:ascii="Calibri" w:hAnsi="Calibri" w:cs="Calibri"/>
                <w:color w:val="000000"/>
                <w:sz w:val="14"/>
                <w:szCs w:val="14"/>
              </w:rPr>
              <w:t xml:space="preserve"> </w:t>
            </w:r>
            <w:proofErr w:type="spellStart"/>
            <w:r w:rsidRPr="00E52FCF">
              <w:rPr>
                <w:rFonts w:ascii="Calibri" w:hAnsi="Calibri" w:cs="Calibri"/>
                <w:color w:val="000000"/>
                <w:sz w:val="14"/>
                <w:szCs w:val="14"/>
              </w:rPr>
              <w:t>pagas</w:t>
            </w:r>
            <w:proofErr w:type="spellEnd"/>
            <w:r w:rsidRPr="00E52FCF">
              <w:rPr>
                <w:rFonts w:ascii="Calibri" w:hAnsi="Calibri" w:cs="Calibri"/>
                <w:color w:val="000000"/>
                <w:sz w:val="14"/>
                <w:szCs w:val="14"/>
              </w:rPr>
              <w:t xml:space="preserve"> no </w:t>
            </w:r>
            <w:proofErr w:type="spellStart"/>
            <w:r w:rsidRPr="00E52FCF">
              <w:rPr>
                <w:rFonts w:ascii="Calibri" w:hAnsi="Calibri" w:cs="Calibri"/>
                <w:color w:val="000000"/>
                <w:sz w:val="14"/>
                <w:szCs w:val="14"/>
              </w:rPr>
              <w:t>ano</w:t>
            </w:r>
            <w:proofErr w:type="spellEnd"/>
            <w:r w:rsidRPr="00E52FCF">
              <w:rPr>
                <w:rFonts w:ascii="Calibri" w:hAnsi="Calibri" w:cs="Calibri"/>
                <w:color w:val="000000"/>
                <w:sz w:val="14"/>
                <w:szCs w:val="14"/>
              </w:rPr>
              <w:t xml:space="preserve"> 5</w:t>
            </w:r>
          </w:p>
        </w:tc>
        <w:tc>
          <w:tcPr>
            <w:tcW w:w="839" w:type="dxa"/>
            <w:tcBorders>
              <w:top w:val="nil"/>
              <w:left w:val="single" w:sz="4" w:space="0" w:color="auto"/>
              <w:bottom w:val="nil"/>
              <w:right w:val="single" w:sz="4" w:space="0" w:color="auto"/>
            </w:tcBorders>
            <w:shd w:val="clear" w:color="auto" w:fill="auto"/>
            <w:noWrap/>
            <w:vAlign w:val="bottom"/>
            <w:hideMark/>
          </w:tcPr>
          <w:p w14:paraId="2619ED6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2.542 </w:t>
            </w:r>
          </w:p>
        </w:tc>
        <w:tc>
          <w:tcPr>
            <w:tcW w:w="658" w:type="dxa"/>
            <w:tcBorders>
              <w:top w:val="nil"/>
              <w:left w:val="nil"/>
              <w:bottom w:val="nil"/>
              <w:right w:val="single" w:sz="4" w:space="0" w:color="auto"/>
            </w:tcBorders>
            <w:shd w:val="clear" w:color="auto" w:fill="auto"/>
            <w:noWrap/>
            <w:vAlign w:val="bottom"/>
            <w:hideMark/>
          </w:tcPr>
          <w:p w14:paraId="4BB55E1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nil"/>
              <w:left w:val="nil"/>
              <w:bottom w:val="nil"/>
              <w:right w:val="single" w:sz="4" w:space="0" w:color="auto"/>
            </w:tcBorders>
            <w:shd w:val="clear" w:color="auto" w:fill="auto"/>
            <w:noWrap/>
            <w:vAlign w:val="bottom"/>
            <w:hideMark/>
          </w:tcPr>
          <w:p w14:paraId="07E656E5"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80" w:type="dxa"/>
            <w:tcBorders>
              <w:top w:val="nil"/>
              <w:left w:val="nil"/>
              <w:bottom w:val="nil"/>
              <w:right w:val="single" w:sz="4" w:space="0" w:color="auto"/>
            </w:tcBorders>
            <w:shd w:val="clear" w:color="auto" w:fill="auto"/>
            <w:noWrap/>
            <w:vAlign w:val="bottom"/>
            <w:hideMark/>
          </w:tcPr>
          <w:p w14:paraId="2AA042D2"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32" w:type="dxa"/>
            <w:tcBorders>
              <w:top w:val="nil"/>
              <w:left w:val="nil"/>
              <w:bottom w:val="nil"/>
              <w:right w:val="single" w:sz="4" w:space="0" w:color="auto"/>
            </w:tcBorders>
            <w:shd w:val="clear" w:color="auto" w:fill="auto"/>
            <w:noWrap/>
            <w:vAlign w:val="bottom"/>
            <w:hideMark/>
          </w:tcPr>
          <w:p w14:paraId="61302B8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576" w:type="dxa"/>
            <w:tcBorders>
              <w:top w:val="nil"/>
              <w:left w:val="nil"/>
              <w:bottom w:val="nil"/>
              <w:right w:val="single" w:sz="4" w:space="0" w:color="auto"/>
            </w:tcBorders>
            <w:shd w:val="clear" w:color="auto" w:fill="auto"/>
            <w:noWrap/>
            <w:vAlign w:val="bottom"/>
            <w:hideMark/>
          </w:tcPr>
          <w:p w14:paraId="1002F7E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611" w:type="dxa"/>
            <w:tcBorders>
              <w:top w:val="nil"/>
              <w:left w:val="nil"/>
              <w:bottom w:val="nil"/>
              <w:right w:val="single" w:sz="4" w:space="0" w:color="auto"/>
            </w:tcBorders>
            <w:shd w:val="clear" w:color="auto" w:fill="auto"/>
            <w:noWrap/>
            <w:vAlign w:val="bottom"/>
            <w:hideMark/>
          </w:tcPr>
          <w:p w14:paraId="5CEDC15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508 </w:t>
            </w:r>
          </w:p>
        </w:tc>
        <w:tc>
          <w:tcPr>
            <w:tcW w:w="611" w:type="dxa"/>
            <w:tcBorders>
              <w:top w:val="nil"/>
              <w:left w:val="nil"/>
              <w:bottom w:val="nil"/>
              <w:right w:val="single" w:sz="4" w:space="0" w:color="auto"/>
            </w:tcBorders>
            <w:shd w:val="clear" w:color="auto" w:fill="auto"/>
            <w:noWrap/>
            <w:vAlign w:val="bottom"/>
            <w:hideMark/>
          </w:tcPr>
          <w:p w14:paraId="281F380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508 </w:t>
            </w:r>
          </w:p>
        </w:tc>
        <w:tc>
          <w:tcPr>
            <w:tcW w:w="646" w:type="dxa"/>
            <w:tcBorders>
              <w:top w:val="nil"/>
              <w:left w:val="nil"/>
              <w:bottom w:val="nil"/>
              <w:right w:val="single" w:sz="4" w:space="0" w:color="auto"/>
            </w:tcBorders>
            <w:shd w:val="clear" w:color="auto" w:fill="auto"/>
            <w:noWrap/>
            <w:vAlign w:val="bottom"/>
            <w:hideMark/>
          </w:tcPr>
          <w:p w14:paraId="50B5C72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508 </w:t>
            </w:r>
          </w:p>
        </w:tc>
        <w:tc>
          <w:tcPr>
            <w:tcW w:w="611" w:type="dxa"/>
            <w:tcBorders>
              <w:top w:val="nil"/>
              <w:left w:val="nil"/>
              <w:bottom w:val="nil"/>
              <w:right w:val="single" w:sz="4" w:space="0" w:color="auto"/>
            </w:tcBorders>
            <w:shd w:val="clear" w:color="auto" w:fill="auto"/>
            <w:noWrap/>
            <w:vAlign w:val="bottom"/>
            <w:hideMark/>
          </w:tcPr>
          <w:p w14:paraId="68A4FB40"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508 </w:t>
            </w:r>
          </w:p>
        </w:tc>
        <w:tc>
          <w:tcPr>
            <w:tcW w:w="748" w:type="dxa"/>
            <w:tcBorders>
              <w:top w:val="nil"/>
              <w:left w:val="nil"/>
              <w:bottom w:val="nil"/>
              <w:right w:val="single" w:sz="4" w:space="0" w:color="auto"/>
            </w:tcBorders>
            <w:shd w:val="clear" w:color="auto" w:fill="auto"/>
            <w:noWrap/>
            <w:vAlign w:val="bottom"/>
            <w:hideMark/>
          </w:tcPr>
          <w:p w14:paraId="1C47C44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508 </w:t>
            </w:r>
          </w:p>
        </w:tc>
      </w:tr>
      <w:tr w:rsidR="00E52FCF" w:rsidRPr="00E52FCF" w14:paraId="6F6C2A5F" w14:textId="77777777" w:rsidTr="00E52FCF">
        <w:trPr>
          <w:trHeight w:val="315"/>
        </w:trPr>
        <w:tc>
          <w:tcPr>
            <w:tcW w:w="2127" w:type="dxa"/>
            <w:tcBorders>
              <w:top w:val="nil"/>
              <w:left w:val="single" w:sz="8" w:space="0" w:color="auto"/>
              <w:bottom w:val="single" w:sz="4" w:space="0" w:color="auto"/>
              <w:right w:val="nil"/>
            </w:tcBorders>
            <w:shd w:val="clear" w:color="auto" w:fill="auto"/>
            <w:noWrap/>
            <w:vAlign w:val="center"/>
            <w:hideMark/>
          </w:tcPr>
          <w:p w14:paraId="5E45031F" w14:textId="77777777" w:rsidR="00E52FCF" w:rsidRPr="00E52FCF" w:rsidRDefault="00E52FCF" w:rsidP="00E52FCF">
            <w:pPr>
              <w:rPr>
                <w:rFonts w:ascii="Calibri" w:hAnsi="Calibri" w:cs="Calibri"/>
                <w:b/>
                <w:bCs/>
                <w:color w:val="000000"/>
                <w:sz w:val="14"/>
                <w:szCs w:val="14"/>
              </w:rPr>
            </w:pPr>
            <w:r w:rsidRPr="00E52FCF">
              <w:rPr>
                <w:rFonts w:ascii="Calibri" w:hAnsi="Calibri" w:cs="Calibri"/>
                <w:b/>
                <w:bCs/>
                <w:color w:val="000000"/>
                <w:sz w:val="14"/>
                <w:szCs w:val="14"/>
              </w:rPr>
              <w:t>Total</w:t>
            </w:r>
          </w:p>
        </w:tc>
        <w:tc>
          <w:tcPr>
            <w:tcW w:w="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5A5FD"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70.575 </w:t>
            </w:r>
          </w:p>
        </w:tc>
        <w:tc>
          <w:tcPr>
            <w:tcW w:w="658" w:type="dxa"/>
            <w:tcBorders>
              <w:top w:val="single" w:sz="4" w:space="0" w:color="auto"/>
              <w:left w:val="nil"/>
              <w:bottom w:val="single" w:sz="4" w:space="0" w:color="auto"/>
              <w:right w:val="single" w:sz="4" w:space="0" w:color="auto"/>
            </w:tcBorders>
            <w:shd w:val="clear" w:color="auto" w:fill="auto"/>
            <w:noWrap/>
            <w:vAlign w:val="bottom"/>
            <w:hideMark/>
          </w:tcPr>
          <w:p w14:paraId="400D99B3"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   </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14:paraId="64CE4A1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1.325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58FDE51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3.261 </w:t>
            </w:r>
          </w:p>
        </w:tc>
        <w:tc>
          <w:tcPr>
            <w:tcW w:w="632" w:type="dxa"/>
            <w:tcBorders>
              <w:top w:val="single" w:sz="4" w:space="0" w:color="auto"/>
              <w:left w:val="nil"/>
              <w:bottom w:val="single" w:sz="4" w:space="0" w:color="auto"/>
              <w:right w:val="single" w:sz="4" w:space="0" w:color="auto"/>
            </w:tcBorders>
            <w:shd w:val="clear" w:color="auto" w:fill="auto"/>
            <w:noWrap/>
            <w:vAlign w:val="bottom"/>
            <w:hideMark/>
          </w:tcPr>
          <w:p w14:paraId="1F4AAA27"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6.523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14:paraId="0E6E6B3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9.172 </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3D14F188"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10.192 </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6782B73C"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10.192 </w:t>
            </w:r>
          </w:p>
        </w:tc>
        <w:tc>
          <w:tcPr>
            <w:tcW w:w="646" w:type="dxa"/>
            <w:tcBorders>
              <w:top w:val="single" w:sz="4" w:space="0" w:color="auto"/>
              <w:left w:val="nil"/>
              <w:bottom w:val="single" w:sz="4" w:space="0" w:color="auto"/>
              <w:right w:val="single" w:sz="4" w:space="0" w:color="auto"/>
            </w:tcBorders>
            <w:shd w:val="clear" w:color="auto" w:fill="auto"/>
            <w:noWrap/>
            <w:vAlign w:val="bottom"/>
            <w:hideMark/>
          </w:tcPr>
          <w:p w14:paraId="1CBC67EB"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10.192 </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14:paraId="02EB642A"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10.192 </w:t>
            </w:r>
          </w:p>
        </w:tc>
        <w:tc>
          <w:tcPr>
            <w:tcW w:w="748" w:type="dxa"/>
            <w:tcBorders>
              <w:top w:val="single" w:sz="4" w:space="0" w:color="auto"/>
              <w:left w:val="nil"/>
              <w:bottom w:val="single" w:sz="4" w:space="0" w:color="auto"/>
              <w:right w:val="single" w:sz="4" w:space="0" w:color="auto"/>
            </w:tcBorders>
            <w:shd w:val="clear" w:color="auto" w:fill="auto"/>
            <w:noWrap/>
            <w:vAlign w:val="bottom"/>
            <w:hideMark/>
          </w:tcPr>
          <w:p w14:paraId="1B6E3ECE" w14:textId="77777777" w:rsidR="00E52FCF" w:rsidRPr="00E52FCF" w:rsidRDefault="00E52FCF" w:rsidP="00E52FCF">
            <w:pPr>
              <w:rPr>
                <w:rFonts w:ascii="Calibri" w:hAnsi="Calibri" w:cs="Calibri"/>
                <w:color w:val="000000"/>
                <w:sz w:val="14"/>
                <w:szCs w:val="14"/>
              </w:rPr>
            </w:pPr>
            <w:r w:rsidRPr="00E52FCF">
              <w:rPr>
                <w:rFonts w:ascii="Calibri" w:hAnsi="Calibri" w:cs="Calibri"/>
                <w:color w:val="000000"/>
                <w:sz w:val="14"/>
                <w:szCs w:val="14"/>
              </w:rPr>
              <w:t xml:space="preserve">        9.528 </w:t>
            </w:r>
          </w:p>
        </w:tc>
      </w:tr>
      <w:tr w:rsidR="00E52FCF" w:rsidRPr="00E52FCF" w14:paraId="2712DBA3" w14:textId="77777777" w:rsidTr="00E52FCF">
        <w:trPr>
          <w:trHeight w:val="300"/>
        </w:trPr>
        <w:tc>
          <w:tcPr>
            <w:tcW w:w="9500" w:type="dxa"/>
            <w:gridSpan w:val="12"/>
            <w:tcBorders>
              <w:top w:val="single" w:sz="4" w:space="0" w:color="auto"/>
              <w:bottom w:val="nil"/>
              <w:right w:val="nil"/>
            </w:tcBorders>
            <w:shd w:val="clear" w:color="auto" w:fill="auto"/>
            <w:noWrap/>
            <w:vAlign w:val="center"/>
            <w:hideMark/>
          </w:tcPr>
          <w:p w14:paraId="23A25E92" w14:textId="77777777" w:rsidR="00E52FCF" w:rsidRPr="00E52FCF" w:rsidRDefault="00E52FCF" w:rsidP="00E52FCF">
            <w:pPr>
              <w:rPr>
                <w:rFonts w:ascii="Calibri" w:hAnsi="Calibri" w:cs="Calibri"/>
                <w:color w:val="FF0000"/>
                <w:sz w:val="16"/>
                <w:szCs w:val="16"/>
                <w:lang w:val="pt-BR"/>
              </w:rPr>
            </w:pPr>
            <w:r w:rsidRPr="00E52FCF">
              <w:rPr>
                <w:rFonts w:ascii="Calibri" w:hAnsi="Calibri" w:cs="Calibri"/>
                <w:color w:val="FF0000"/>
                <w:sz w:val="16"/>
                <w:szCs w:val="16"/>
                <w:lang w:val="pt-BR"/>
              </w:rPr>
              <w:t xml:space="preserve">Fonte: Cálculos Próprios baseados nos gastos em bens, obras e consultorias incluídos no PAI e nas taxas de manutenção dos mesmos. </w:t>
            </w:r>
          </w:p>
        </w:tc>
      </w:tr>
    </w:tbl>
    <w:p w14:paraId="294D5536" w14:textId="7364C3B0" w:rsidR="00A91992" w:rsidRPr="00E52FCF" w:rsidRDefault="00A91992" w:rsidP="00E52FCF">
      <w:pPr>
        <w:pStyle w:val="PargrafodaLista"/>
        <w:keepNext/>
        <w:numPr>
          <w:ilvl w:val="1"/>
          <w:numId w:val="4"/>
        </w:numPr>
        <w:tabs>
          <w:tab w:val="clear" w:pos="1009"/>
          <w:tab w:val="num" w:pos="851"/>
        </w:tabs>
        <w:suppressAutoHyphens/>
        <w:spacing w:before="240" w:after="360"/>
        <w:ind w:left="851" w:hanging="567"/>
        <w:contextualSpacing w:val="0"/>
        <w:jc w:val="both"/>
        <w:outlineLvl w:val="3"/>
        <w:rPr>
          <w:rFonts w:ascii="Arial" w:hAnsi="Arial" w:cs="Arial"/>
          <w:bCs/>
          <w:lang w:val="pt-BR" w:eastAsia="es-ES"/>
        </w:rPr>
      </w:pPr>
      <w:r w:rsidRPr="001F27CE">
        <w:rPr>
          <w:rFonts w:ascii="Arial" w:hAnsi="Arial" w:cs="Arial"/>
          <w:bCs/>
          <w:lang w:val="pt-BR" w:eastAsia="es-ES"/>
        </w:rPr>
        <w:t>As estimativas dos custos totais, incluindo custos de financiamento, contrapartida, financeiros e de manutenção</w:t>
      </w:r>
      <w:r w:rsidR="00E52FCF">
        <w:rPr>
          <w:rFonts w:ascii="Arial" w:hAnsi="Arial" w:cs="Arial"/>
          <w:bCs/>
          <w:lang w:val="pt-BR" w:eastAsia="es-ES"/>
        </w:rPr>
        <w:t xml:space="preserve">, estão apresentadas na </w:t>
      </w:r>
      <w:r w:rsidR="00E52FCF" w:rsidRPr="00E52FCF">
        <w:rPr>
          <w:rFonts w:ascii="Arial" w:hAnsi="Arial" w:cs="Arial"/>
          <w:bCs/>
          <w:color w:val="FF0000"/>
          <w:lang w:val="pt-BR" w:eastAsia="es-ES"/>
        </w:rPr>
        <w:t>Tabela 4</w:t>
      </w:r>
      <w:r w:rsidRPr="00E52FCF">
        <w:rPr>
          <w:rFonts w:ascii="Arial" w:hAnsi="Arial" w:cs="Arial"/>
          <w:bCs/>
          <w:color w:val="FF0000"/>
          <w:lang w:val="pt-BR" w:eastAsia="es-ES"/>
        </w:rPr>
        <w:t>.</w:t>
      </w:r>
    </w:p>
    <w:tbl>
      <w:tblPr>
        <w:tblW w:w="9721" w:type="dxa"/>
        <w:tblInd w:w="93" w:type="dxa"/>
        <w:tblLook w:val="04A0" w:firstRow="1" w:lastRow="0" w:firstColumn="1" w:lastColumn="0" w:noHBand="0" w:noVBand="1"/>
      </w:tblPr>
      <w:tblGrid>
        <w:gridCol w:w="1716"/>
        <w:gridCol w:w="709"/>
        <w:gridCol w:w="709"/>
        <w:gridCol w:w="850"/>
        <w:gridCol w:w="851"/>
        <w:gridCol w:w="695"/>
        <w:gridCol w:w="655"/>
        <w:gridCol w:w="655"/>
        <w:gridCol w:w="655"/>
        <w:gridCol w:w="655"/>
        <w:gridCol w:w="796"/>
        <w:gridCol w:w="775"/>
      </w:tblGrid>
      <w:tr w:rsidR="00E52FCF" w:rsidRPr="00E52FCF" w14:paraId="13D5A7B3" w14:textId="77777777" w:rsidTr="00BC0828">
        <w:trPr>
          <w:trHeight w:val="300"/>
        </w:trPr>
        <w:tc>
          <w:tcPr>
            <w:tcW w:w="9721" w:type="dxa"/>
            <w:gridSpan w:val="12"/>
            <w:tcBorders>
              <w:top w:val="nil"/>
              <w:left w:val="nil"/>
              <w:bottom w:val="single" w:sz="4" w:space="0" w:color="auto"/>
              <w:right w:val="nil"/>
            </w:tcBorders>
            <w:shd w:val="clear" w:color="auto" w:fill="auto"/>
            <w:noWrap/>
            <w:vAlign w:val="bottom"/>
            <w:hideMark/>
          </w:tcPr>
          <w:p w14:paraId="68AEC558" w14:textId="77777777" w:rsidR="00E52FCF" w:rsidRPr="00E52FCF" w:rsidRDefault="00E52FCF" w:rsidP="00E52FCF">
            <w:pPr>
              <w:rPr>
                <w:rFonts w:ascii="Calibri" w:hAnsi="Calibri" w:cs="Calibri"/>
                <w:b/>
                <w:bCs/>
                <w:color w:val="000000"/>
                <w:sz w:val="22"/>
                <w:szCs w:val="22"/>
                <w:lang w:val="pt-BR"/>
              </w:rPr>
            </w:pPr>
            <w:r w:rsidRPr="00E52FCF">
              <w:rPr>
                <w:rFonts w:ascii="Calibri" w:hAnsi="Calibri" w:cs="Calibri"/>
                <w:b/>
                <w:bCs/>
                <w:color w:val="FF0000"/>
                <w:sz w:val="22"/>
                <w:szCs w:val="22"/>
                <w:lang w:val="pt-BR"/>
              </w:rPr>
              <w:t>Tabela 4</w:t>
            </w:r>
            <w:r w:rsidRPr="00E52FCF">
              <w:rPr>
                <w:rFonts w:ascii="Calibri" w:hAnsi="Calibri" w:cs="Calibri"/>
                <w:b/>
                <w:bCs/>
                <w:color w:val="000000"/>
                <w:sz w:val="22"/>
                <w:szCs w:val="22"/>
                <w:lang w:val="pt-BR"/>
              </w:rPr>
              <w:t>: Custos PROFISCO II Pará (em mil dólares)</w:t>
            </w:r>
          </w:p>
        </w:tc>
      </w:tr>
      <w:tr w:rsidR="00BC0828" w:rsidRPr="00E52FCF" w14:paraId="57A3262C" w14:textId="77777777" w:rsidTr="00BC0828">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068F32A1" w14:textId="77777777" w:rsidR="00E52FCF" w:rsidRPr="00E52FCF" w:rsidRDefault="00E52FCF" w:rsidP="00E52FCF">
            <w:pPr>
              <w:rPr>
                <w:rFonts w:ascii="Calibri" w:hAnsi="Calibri" w:cs="Calibri"/>
                <w:color w:val="000000"/>
                <w:sz w:val="18"/>
                <w:szCs w:val="18"/>
                <w:lang w:val="pt-BR"/>
              </w:rPr>
            </w:pPr>
            <w:r w:rsidRPr="00E52FCF">
              <w:rPr>
                <w:rFonts w:ascii="Calibri" w:hAnsi="Calibri" w:cs="Calibri"/>
                <w:color w:val="000000"/>
                <w:sz w:val="18"/>
                <w:szCs w:val="18"/>
                <w:lang w:val="pt-BR"/>
              </w:rPr>
              <w:t> </w:t>
            </w:r>
          </w:p>
        </w:tc>
        <w:tc>
          <w:tcPr>
            <w:tcW w:w="709" w:type="dxa"/>
            <w:tcBorders>
              <w:top w:val="nil"/>
              <w:left w:val="nil"/>
              <w:bottom w:val="single" w:sz="4" w:space="0" w:color="auto"/>
              <w:right w:val="single" w:sz="4" w:space="0" w:color="auto"/>
            </w:tcBorders>
            <w:shd w:val="clear" w:color="auto" w:fill="auto"/>
            <w:noWrap/>
            <w:vAlign w:val="bottom"/>
            <w:hideMark/>
          </w:tcPr>
          <w:p w14:paraId="3E961198"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1</w:t>
            </w:r>
          </w:p>
        </w:tc>
        <w:tc>
          <w:tcPr>
            <w:tcW w:w="709" w:type="dxa"/>
            <w:tcBorders>
              <w:top w:val="nil"/>
              <w:left w:val="nil"/>
              <w:bottom w:val="single" w:sz="4" w:space="0" w:color="auto"/>
              <w:right w:val="single" w:sz="4" w:space="0" w:color="auto"/>
            </w:tcBorders>
            <w:shd w:val="clear" w:color="auto" w:fill="auto"/>
            <w:noWrap/>
            <w:vAlign w:val="bottom"/>
            <w:hideMark/>
          </w:tcPr>
          <w:p w14:paraId="1E2DDC85"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2</w:t>
            </w:r>
          </w:p>
        </w:tc>
        <w:tc>
          <w:tcPr>
            <w:tcW w:w="850" w:type="dxa"/>
            <w:tcBorders>
              <w:top w:val="nil"/>
              <w:left w:val="nil"/>
              <w:bottom w:val="single" w:sz="4" w:space="0" w:color="auto"/>
              <w:right w:val="single" w:sz="4" w:space="0" w:color="auto"/>
            </w:tcBorders>
            <w:shd w:val="clear" w:color="auto" w:fill="auto"/>
            <w:noWrap/>
            <w:vAlign w:val="bottom"/>
            <w:hideMark/>
          </w:tcPr>
          <w:p w14:paraId="6071AE29"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3</w:t>
            </w:r>
          </w:p>
        </w:tc>
        <w:tc>
          <w:tcPr>
            <w:tcW w:w="851" w:type="dxa"/>
            <w:tcBorders>
              <w:top w:val="nil"/>
              <w:left w:val="nil"/>
              <w:bottom w:val="single" w:sz="4" w:space="0" w:color="auto"/>
              <w:right w:val="single" w:sz="4" w:space="0" w:color="auto"/>
            </w:tcBorders>
            <w:shd w:val="clear" w:color="auto" w:fill="auto"/>
            <w:noWrap/>
            <w:vAlign w:val="bottom"/>
            <w:hideMark/>
          </w:tcPr>
          <w:p w14:paraId="04333E8E"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4</w:t>
            </w:r>
          </w:p>
        </w:tc>
        <w:tc>
          <w:tcPr>
            <w:tcW w:w="695" w:type="dxa"/>
            <w:tcBorders>
              <w:top w:val="nil"/>
              <w:left w:val="nil"/>
              <w:bottom w:val="single" w:sz="4" w:space="0" w:color="auto"/>
              <w:right w:val="single" w:sz="4" w:space="0" w:color="auto"/>
            </w:tcBorders>
            <w:shd w:val="clear" w:color="auto" w:fill="auto"/>
            <w:noWrap/>
            <w:vAlign w:val="bottom"/>
            <w:hideMark/>
          </w:tcPr>
          <w:p w14:paraId="3CF37107"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5</w:t>
            </w:r>
          </w:p>
        </w:tc>
        <w:tc>
          <w:tcPr>
            <w:tcW w:w="655" w:type="dxa"/>
            <w:tcBorders>
              <w:top w:val="nil"/>
              <w:left w:val="nil"/>
              <w:bottom w:val="single" w:sz="4" w:space="0" w:color="auto"/>
              <w:right w:val="single" w:sz="4" w:space="0" w:color="auto"/>
            </w:tcBorders>
            <w:shd w:val="clear" w:color="auto" w:fill="auto"/>
            <w:noWrap/>
            <w:vAlign w:val="bottom"/>
            <w:hideMark/>
          </w:tcPr>
          <w:p w14:paraId="6243F029"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6</w:t>
            </w:r>
          </w:p>
        </w:tc>
        <w:tc>
          <w:tcPr>
            <w:tcW w:w="655" w:type="dxa"/>
            <w:tcBorders>
              <w:top w:val="nil"/>
              <w:left w:val="nil"/>
              <w:bottom w:val="single" w:sz="4" w:space="0" w:color="auto"/>
              <w:right w:val="single" w:sz="4" w:space="0" w:color="auto"/>
            </w:tcBorders>
            <w:shd w:val="clear" w:color="auto" w:fill="auto"/>
            <w:noWrap/>
            <w:vAlign w:val="bottom"/>
            <w:hideMark/>
          </w:tcPr>
          <w:p w14:paraId="63612DD5"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7</w:t>
            </w:r>
          </w:p>
        </w:tc>
        <w:tc>
          <w:tcPr>
            <w:tcW w:w="655" w:type="dxa"/>
            <w:tcBorders>
              <w:top w:val="nil"/>
              <w:left w:val="nil"/>
              <w:bottom w:val="single" w:sz="4" w:space="0" w:color="auto"/>
              <w:right w:val="single" w:sz="4" w:space="0" w:color="auto"/>
            </w:tcBorders>
            <w:shd w:val="clear" w:color="auto" w:fill="auto"/>
            <w:noWrap/>
            <w:vAlign w:val="bottom"/>
            <w:hideMark/>
          </w:tcPr>
          <w:p w14:paraId="22283586"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8</w:t>
            </w:r>
          </w:p>
        </w:tc>
        <w:tc>
          <w:tcPr>
            <w:tcW w:w="655" w:type="dxa"/>
            <w:tcBorders>
              <w:top w:val="nil"/>
              <w:left w:val="nil"/>
              <w:bottom w:val="single" w:sz="4" w:space="0" w:color="auto"/>
              <w:right w:val="single" w:sz="4" w:space="0" w:color="auto"/>
            </w:tcBorders>
            <w:shd w:val="clear" w:color="auto" w:fill="auto"/>
            <w:noWrap/>
            <w:vAlign w:val="bottom"/>
            <w:hideMark/>
          </w:tcPr>
          <w:p w14:paraId="7B9A13CB"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9</w:t>
            </w:r>
          </w:p>
        </w:tc>
        <w:tc>
          <w:tcPr>
            <w:tcW w:w="796" w:type="dxa"/>
            <w:tcBorders>
              <w:top w:val="nil"/>
              <w:left w:val="nil"/>
              <w:bottom w:val="single" w:sz="4" w:space="0" w:color="auto"/>
              <w:right w:val="single" w:sz="4" w:space="0" w:color="auto"/>
            </w:tcBorders>
            <w:shd w:val="clear" w:color="auto" w:fill="auto"/>
            <w:noWrap/>
            <w:vAlign w:val="bottom"/>
            <w:hideMark/>
          </w:tcPr>
          <w:p w14:paraId="60F642D6" w14:textId="77777777" w:rsidR="00E52FCF" w:rsidRPr="00E52FCF" w:rsidRDefault="00E52FCF" w:rsidP="00E52FCF">
            <w:pPr>
              <w:jc w:val="center"/>
              <w:rPr>
                <w:rFonts w:ascii="Calibri" w:hAnsi="Calibri" w:cs="Calibri"/>
                <w:color w:val="000000"/>
                <w:sz w:val="18"/>
                <w:szCs w:val="18"/>
              </w:rPr>
            </w:pPr>
            <w:proofErr w:type="spellStart"/>
            <w:r w:rsidRPr="00E52FCF">
              <w:rPr>
                <w:rFonts w:ascii="Calibri" w:hAnsi="Calibri" w:cs="Calibri"/>
                <w:color w:val="000000"/>
                <w:sz w:val="18"/>
                <w:szCs w:val="18"/>
              </w:rPr>
              <w:t>ano</w:t>
            </w:r>
            <w:proofErr w:type="spellEnd"/>
            <w:r w:rsidRPr="00E52FCF">
              <w:rPr>
                <w:rFonts w:ascii="Calibri" w:hAnsi="Calibri" w:cs="Calibri"/>
                <w:color w:val="000000"/>
                <w:sz w:val="18"/>
                <w:szCs w:val="18"/>
              </w:rPr>
              <w:t xml:space="preserve"> 10</w:t>
            </w:r>
          </w:p>
        </w:tc>
        <w:tc>
          <w:tcPr>
            <w:tcW w:w="775" w:type="dxa"/>
            <w:tcBorders>
              <w:top w:val="nil"/>
              <w:left w:val="nil"/>
              <w:bottom w:val="single" w:sz="4" w:space="0" w:color="auto"/>
              <w:right w:val="single" w:sz="4" w:space="0" w:color="auto"/>
            </w:tcBorders>
            <w:shd w:val="clear" w:color="auto" w:fill="auto"/>
            <w:noWrap/>
            <w:vAlign w:val="bottom"/>
            <w:hideMark/>
          </w:tcPr>
          <w:p w14:paraId="626F01C1" w14:textId="77777777" w:rsidR="00E52FCF" w:rsidRPr="00E52FCF" w:rsidRDefault="00E52FCF" w:rsidP="00E52FCF">
            <w:pPr>
              <w:jc w:val="center"/>
              <w:rPr>
                <w:rFonts w:ascii="Calibri" w:hAnsi="Calibri" w:cs="Calibri"/>
                <w:color w:val="000000"/>
                <w:sz w:val="18"/>
                <w:szCs w:val="18"/>
              </w:rPr>
            </w:pPr>
            <w:r w:rsidRPr="00E52FCF">
              <w:rPr>
                <w:rFonts w:ascii="Calibri" w:hAnsi="Calibri" w:cs="Calibri"/>
                <w:color w:val="000000"/>
                <w:sz w:val="18"/>
                <w:szCs w:val="18"/>
              </w:rPr>
              <w:t>Total</w:t>
            </w:r>
          </w:p>
        </w:tc>
      </w:tr>
      <w:tr w:rsidR="00BC0828" w:rsidRPr="00E52FCF" w14:paraId="2E0AB10D" w14:textId="77777777" w:rsidTr="00BC0828">
        <w:trPr>
          <w:trHeight w:val="261"/>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8FC56C1" w14:textId="77777777" w:rsidR="00E52FCF" w:rsidRPr="00E52FCF" w:rsidRDefault="00E52FCF" w:rsidP="00E52FCF">
            <w:pPr>
              <w:rPr>
                <w:rFonts w:ascii="Calibri" w:hAnsi="Calibri" w:cs="Calibri"/>
                <w:color w:val="000000"/>
                <w:sz w:val="18"/>
                <w:szCs w:val="18"/>
              </w:rPr>
            </w:pPr>
            <w:proofErr w:type="spellStart"/>
            <w:r w:rsidRPr="00E52FCF">
              <w:rPr>
                <w:rFonts w:ascii="Calibri" w:hAnsi="Calibri" w:cs="Calibri"/>
                <w:color w:val="000000"/>
                <w:sz w:val="18"/>
                <w:szCs w:val="18"/>
              </w:rPr>
              <w:t>Custos</w:t>
            </w:r>
            <w:proofErr w:type="spellEnd"/>
            <w:r w:rsidRPr="00E52FCF">
              <w:rPr>
                <w:rFonts w:ascii="Calibri" w:hAnsi="Calibri" w:cs="Calibri"/>
                <w:color w:val="000000"/>
                <w:sz w:val="18"/>
                <w:szCs w:val="18"/>
              </w:rPr>
              <w:t xml:space="preserve"> </w:t>
            </w:r>
            <w:proofErr w:type="spellStart"/>
            <w:r w:rsidRPr="00E52FCF">
              <w:rPr>
                <w:rFonts w:ascii="Calibri" w:hAnsi="Calibri" w:cs="Calibri"/>
                <w:color w:val="000000"/>
                <w:sz w:val="18"/>
                <w:szCs w:val="18"/>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398EBB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-9.183</w:t>
            </w:r>
          </w:p>
        </w:tc>
        <w:tc>
          <w:tcPr>
            <w:tcW w:w="709" w:type="dxa"/>
            <w:tcBorders>
              <w:top w:val="nil"/>
              <w:left w:val="nil"/>
              <w:bottom w:val="single" w:sz="4" w:space="0" w:color="auto"/>
              <w:right w:val="single" w:sz="4" w:space="0" w:color="auto"/>
            </w:tcBorders>
            <w:shd w:val="clear" w:color="auto" w:fill="auto"/>
            <w:noWrap/>
            <w:vAlign w:val="bottom"/>
            <w:hideMark/>
          </w:tcPr>
          <w:p w14:paraId="4C99031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-8.984</w:t>
            </w:r>
          </w:p>
        </w:tc>
        <w:tc>
          <w:tcPr>
            <w:tcW w:w="850" w:type="dxa"/>
            <w:tcBorders>
              <w:top w:val="nil"/>
              <w:left w:val="nil"/>
              <w:bottom w:val="single" w:sz="4" w:space="0" w:color="auto"/>
              <w:right w:val="single" w:sz="4" w:space="0" w:color="auto"/>
            </w:tcBorders>
            <w:shd w:val="clear" w:color="auto" w:fill="auto"/>
            <w:noWrap/>
            <w:vAlign w:val="bottom"/>
            <w:hideMark/>
          </w:tcPr>
          <w:p w14:paraId="251830D8"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-10.327</w:t>
            </w:r>
          </w:p>
        </w:tc>
        <w:tc>
          <w:tcPr>
            <w:tcW w:w="851" w:type="dxa"/>
            <w:tcBorders>
              <w:top w:val="nil"/>
              <w:left w:val="nil"/>
              <w:bottom w:val="single" w:sz="4" w:space="0" w:color="auto"/>
              <w:right w:val="single" w:sz="4" w:space="0" w:color="auto"/>
            </w:tcBorders>
            <w:shd w:val="clear" w:color="auto" w:fill="auto"/>
            <w:noWrap/>
            <w:vAlign w:val="bottom"/>
            <w:hideMark/>
          </w:tcPr>
          <w:p w14:paraId="2C169DB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-11.133</w:t>
            </w:r>
          </w:p>
        </w:tc>
        <w:tc>
          <w:tcPr>
            <w:tcW w:w="695" w:type="dxa"/>
            <w:tcBorders>
              <w:top w:val="nil"/>
              <w:left w:val="nil"/>
              <w:bottom w:val="single" w:sz="4" w:space="0" w:color="auto"/>
              <w:right w:val="single" w:sz="4" w:space="0" w:color="auto"/>
            </w:tcBorders>
            <w:shd w:val="clear" w:color="auto" w:fill="auto"/>
            <w:noWrap/>
            <w:vAlign w:val="bottom"/>
            <w:hideMark/>
          </w:tcPr>
          <w:p w14:paraId="7AAE629A"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-8.435</w:t>
            </w:r>
          </w:p>
        </w:tc>
        <w:tc>
          <w:tcPr>
            <w:tcW w:w="655" w:type="dxa"/>
            <w:tcBorders>
              <w:top w:val="nil"/>
              <w:left w:val="nil"/>
              <w:bottom w:val="single" w:sz="4" w:space="0" w:color="auto"/>
              <w:right w:val="single" w:sz="4" w:space="0" w:color="auto"/>
            </w:tcBorders>
            <w:shd w:val="clear" w:color="auto" w:fill="auto"/>
            <w:noWrap/>
            <w:vAlign w:val="bottom"/>
            <w:hideMark/>
          </w:tcPr>
          <w:p w14:paraId="0F09B352"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-3.839</w:t>
            </w:r>
          </w:p>
        </w:tc>
        <w:tc>
          <w:tcPr>
            <w:tcW w:w="655" w:type="dxa"/>
            <w:tcBorders>
              <w:top w:val="nil"/>
              <w:left w:val="nil"/>
              <w:bottom w:val="single" w:sz="4" w:space="0" w:color="auto"/>
              <w:right w:val="single" w:sz="4" w:space="0" w:color="auto"/>
            </w:tcBorders>
            <w:shd w:val="clear" w:color="auto" w:fill="auto"/>
            <w:noWrap/>
            <w:vAlign w:val="bottom"/>
            <w:hideMark/>
          </w:tcPr>
          <w:p w14:paraId="0231108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-3.799</w:t>
            </w:r>
          </w:p>
        </w:tc>
        <w:tc>
          <w:tcPr>
            <w:tcW w:w="655" w:type="dxa"/>
            <w:tcBorders>
              <w:top w:val="nil"/>
              <w:left w:val="nil"/>
              <w:bottom w:val="single" w:sz="4" w:space="0" w:color="auto"/>
              <w:right w:val="single" w:sz="4" w:space="0" w:color="auto"/>
            </w:tcBorders>
            <w:shd w:val="clear" w:color="auto" w:fill="auto"/>
            <w:noWrap/>
            <w:vAlign w:val="bottom"/>
            <w:hideMark/>
          </w:tcPr>
          <w:p w14:paraId="2F54E12B"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-3.760</w:t>
            </w:r>
          </w:p>
        </w:tc>
        <w:tc>
          <w:tcPr>
            <w:tcW w:w="655" w:type="dxa"/>
            <w:tcBorders>
              <w:top w:val="nil"/>
              <w:left w:val="nil"/>
              <w:bottom w:val="single" w:sz="4" w:space="0" w:color="auto"/>
              <w:right w:val="single" w:sz="4" w:space="0" w:color="auto"/>
            </w:tcBorders>
            <w:shd w:val="clear" w:color="auto" w:fill="auto"/>
            <w:noWrap/>
            <w:vAlign w:val="bottom"/>
            <w:hideMark/>
          </w:tcPr>
          <w:p w14:paraId="664EF055"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-3.720</w:t>
            </w:r>
          </w:p>
        </w:tc>
        <w:tc>
          <w:tcPr>
            <w:tcW w:w="796" w:type="dxa"/>
            <w:tcBorders>
              <w:top w:val="nil"/>
              <w:left w:val="nil"/>
              <w:bottom w:val="single" w:sz="4" w:space="0" w:color="auto"/>
              <w:right w:val="single" w:sz="4" w:space="0" w:color="auto"/>
            </w:tcBorders>
            <w:shd w:val="clear" w:color="auto" w:fill="auto"/>
            <w:noWrap/>
            <w:vAlign w:val="bottom"/>
            <w:hideMark/>
          </w:tcPr>
          <w:p w14:paraId="7D66E92E"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-3.479</w:t>
            </w:r>
          </w:p>
        </w:tc>
        <w:tc>
          <w:tcPr>
            <w:tcW w:w="775" w:type="dxa"/>
            <w:tcBorders>
              <w:top w:val="nil"/>
              <w:left w:val="nil"/>
              <w:bottom w:val="single" w:sz="4" w:space="0" w:color="auto"/>
              <w:right w:val="single" w:sz="4" w:space="0" w:color="auto"/>
            </w:tcBorders>
            <w:shd w:val="clear" w:color="auto" w:fill="auto"/>
            <w:noWrap/>
            <w:vAlign w:val="bottom"/>
            <w:hideMark/>
          </w:tcPr>
          <w:p w14:paraId="700C970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-66.659</w:t>
            </w:r>
          </w:p>
        </w:tc>
      </w:tr>
      <w:tr w:rsidR="00BC0828" w:rsidRPr="00E52FCF" w14:paraId="5E1948C2" w14:textId="77777777" w:rsidTr="00BC0828">
        <w:trPr>
          <w:trHeight w:val="279"/>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6B36FA8A" w14:textId="77777777" w:rsidR="00E52FCF" w:rsidRPr="00E52FCF" w:rsidRDefault="00E52FCF" w:rsidP="00E52FCF">
            <w:pPr>
              <w:rPr>
                <w:rFonts w:ascii="Calibri" w:hAnsi="Calibri" w:cs="Calibri"/>
                <w:color w:val="000000"/>
                <w:sz w:val="18"/>
                <w:szCs w:val="18"/>
              </w:rPr>
            </w:pPr>
            <w:proofErr w:type="spellStart"/>
            <w:r w:rsidRPr="00E52FCF">
              <w:rPr>
                <w:rFonts w:ascii="Calibri" w:hAnsi="Calibri" w:cs="Calibri"/>
                <w:color w:val="000000"/>
                <w:sz w:val="18"/>
                <w:szCs w:val="18"/>
              </w:rPr>
              <w:t>Financiamento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7367087"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-8.853</w:t>
            </w:r>
          </w:p>
        </w:tc>
        <w:tc>
          <w:tcPr>
            <w:tcW w:w="709" w:type="dxa"/>
            <w:tcBorders>
              <w:top w:val="nil"/>
              <w:left w:val="nil"/>
              <w:bottom w:val="single" w:sz="4" w:space="0" w:color="auto"/>
              <w:right w:val="single" w:sz="4" w:space="0" w:color="auto"/>
            </w:tcBorders>
            <w:shd w:val="clear" w:color="auto" w:fill="auto"/>
            <w:noWrap/>
            <w:vAlign w:val="bottom"/>
            <w:hideMark/>
          </w:tcPr>
          <w:p w14:paraId="3E87B034"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-7.719</w:t>
            </w:r>
          </w:p>
        </w:tc>
        <w:tc>
          <w:tcPr>
            <w:tcW w:w="850" w:type="dxa"/>
            <w:tcBorders>
              <w:top w:val="nil"/>
              <w:left w:val="nil"/>
              <w:bottom w:val="single" w:sz="4" w:space="0" w:color="auto"/>
              <w:right w:val="single" w:sz="4" w:space="0" w:color="auto"/>
            </w:tcBorders>
            <w:shd w:val="clear" w:color="auto" w:fill="auto"/>
            <w:noWrap/>
            <w:vAlign w:val="bottom"/>
            <w:hideMark/>
          </w:tcPr>
          <w:p w14:paraId="767F8777"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-7.571</w:t>
            </w:r>
          </w:p>
        </w:tc>
        <w:tc>
          <w:tcPr>
            <w:tcW w:w="851" w:type="dxa"/>
            <w:tcBorders>
              <w:top w:val="nil"/>
              <w:left w:val="nil"/>
              <w:bottom w:val="single" w:sz="4" w:space="0" w:color="auto"/>
              <w:right w:val="single" w:sz="4" w:space="0" w:color="auto"/>
            </w:tcBorders>
            <w:shd w:val="clear" w:color="auto" w:fill="auto"/>
            <w:noWrap/>
            <w:vAlign w:val="bottom"/>
            <w:hideMark/>
          </w:tcPr>
          <w:p w14:paraId="157CD280"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-7.261</w:t>
            </w:r>
          </w:p>
        </w:tc>
        <w:tc>
          <w:tcPr>
            <w:tcW w:w="695" w:type="dxa"/>
            <w:tcBorders>
              <w:top w:val="nil"/>
              <w:left w:val="nil"/>
              <w:bottom w:val="single" w:sz="4" w:space="0" w:color="auto"/>
              <w:right w:val="single" w:sz="4" w:space="0" w:color="auto"/>
            </w:tcBorders>
            <w:shd w:val="clear" w:color="auto" w:fill="auto"/>
            <w:noWrap/>
            <w:vAlign w:val="bottom"/>
            <w:hideMark/>
          </w:tcPr>
          <w:p w14:paraId="70A42C1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-3.696</w:t>
            </w:r>
          </w:p>
        </w:tc>
        <w:tc>
          <w:tcPr>
            <w:tcW w:w="655" w:type="dxa"/>
            <w:tcBorders>
              <w:top w:val="nil"/>
              <w:left w:val="nil"/>
              <w:bottom w:val="single" w:sz="4" w:space="0" w:color="auto"/>
              <w:right w:val="single" w:sz="4" w:space="0" w:color="auto"/>
            </w:tcBorders>
            <w:shd w:val="clear" w:color="auto" w:fill="auto"/>
            <w:noWrap/>
            <w:vAlign w:val="bottom"/>
            <w:hideMark/>
          </w:tcPr>
          <w:p w14:paraId="653DA73B"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094579F3"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496407E3"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1D8F7A8A"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14:paraId="245CC944"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75" w:type="dxa"/>
            <w:tcBorders>
              <w:top w:val="nil"/>
              <w:left w:val="nil"/>
              <w:bottom w:val="single" w:sz="4" w:space="0" w:color="auto"/>
              <w:right w:val="single" w:sz="4" w:space="0" w:color="auto"/>
            </w:tcBorders>
            <w:shd w:val="clear" w:color="auto" w:fill="auto"/>
            <w:noWrap/>
            <w:vAlign w:val="bottom"/>
            <w:hideMark/>
          </w:tcPr>
          <w:p w14:paraId="16A1F3F9"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-35.100</w:t>
            </w:r>
          </w:p>
        </w:tc>
      </w:tr>
      <w:tr w:rsidR="00BC0828" w:rsidRPr="00E52FCF" w14:paraId="111218AF" w14:textId="77777777" w:rsidTr="00BC0828">
        <w:trPr>
          <w:trHeight w:val="269"/>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0B092840" w14:textId="77777777" w:rsidR="00E52FCF" w:rsidRPr="00E52FCF" w:rsidRDefault="00E52FCF" w:rsidP="00E52FCF">
            <w:pPr>
              <w:rPr>
                <w:rFonts w:ascii="Calibri" w:hAnsi="Calibri" w:cs="Calibri"/>
                <w:color w:val="000000"/>
                <w:sz w:val="18"/>
                <w:szCs w:val="18"/>
              </w:rPr>
            </w:pPr>
            <w:proofErr w:type="spellStart"/>
            <w:r w:rsidRPr="00E52FCF">
              <w:rPr>
                <w:rFonts w:ascii="Calibri" w:hAnsi="Calibri" w:cs="Calibri"/>
                <w:color w:val="000000"/>
                <w:sz w:val="18"/>
                <w:szCs w:val="18"/>
              </w:rPr>
              <w:t>Contrapartida</w:t>
            </w:r>
            <w:proofErr w:type="spellEnd"/>
            <w:r w:rsidRPr="00E52FCF">
              <w:rPr>
                <w:rFonts w:ascii="Calibri" w:hAnsi="Calibri" w:cs="Calibri"/>
                <w:color w:val="000000"/>
                <w:sz w:val="18"/>
                <w:szCs w:val="18"/>
              </w:rPr>
              <w:t xml:space="preserve"> local</w:t>
            </w:r>
          </w:p>
        </w:tc>
        <w:tc>
          <w:tcPr>
            <w:tcW w:w="709" w:type="dxa"/>
            <w:tcBorders>
              <w:top w:val="nil"/>
              <w:left w:val="nil"/>
              <w:bottom w:val="single" w:sz="4" w:space="0" w:color="auto"/>
              <w:right w:val="single" w:sz="4" w:space="0" w:color="auto"/>
            </w:tcBorders>
            <w:shd w:val="clear" w:color="auto" w:fill="auto"/>
            <w:noWrap/>
            <w:vAlign w:val="bottom"/>
            <w:hideMark/>
          </w:tcPr>
          <w:p w14:paraId="7959D6B2"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068E5464"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-390</w:t>
            </w:r>
          </w:p>
        </w:tc>
        <w:tc>
          <w:tcPr>
            <w:tcW w:w="850" w:type="dxa"/>
            <w:tcBorders>
              <w:top w:val="nil"/>
              <w:left w:val="nil"/>
              <w:bottom w:val="single" w:sz="4" w:space="0" w:color="auto"/>
              <w:right w:val="single" w:sz="4" w:space="0" w:color="auto"/>
            </w:tcBorders>
            <w:shd w:val="clear" w:color="auto" w:fill="auto"/>
            <w:noWrap/>
            <w:vAlign w:val="bottom"/>
            <w:hideMark/>
          </w:tcPr>
          <w:p w14:paraId="1D483F32"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-1.170</w:t>
            </w:r>
          </w:p>
        </w:tc>
        <w:tc>
          <w:tcPr>
            <w:tcW w:w="851" w:type="dxa"/>
            <w:tcBorders>
              <w:top w:val="nil"/>
              <w:left w:val="nil"/>
              <w:bottom w:val="single" w:sz="4" w:space="0" w:color="auto"/>
              <w:right w:val="single" w:sz="4" w:space="0" w:color="auto"/>
            </w:tcBorders>
            <w:shd w:val="clear" w:color="auto" w:fill="auto"/>
            <w:noWrap/>
            <w:vAlign w:val="bottom"/>
            <w:hideMark/>
          </w:tcPr>
          <w:p w14:paraId="77AD23D9"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-1.170</w:t>
            </w:r>
          </w:p>
        </w:tc>
        <w:tc>
          <w:tcPr>
            <w:tcW w:w="695" w:type="dxa"/>
            <w:tcBorders>
              <w:top w:val="nil"/>
              <w:left w:val="nil"/>
              <w:bottom w:val="single" w:sz="4" w:space="0" w:color="auto"/>
              <w:right w:val="single" w:sz="4" w:space="0" w:color="auto"/>
            </w:tcBorders>
            <w:shd w:val="clear" w:color="auto" w:fill="auto"/>
            <w:noWrap/>
            <w:vAlign w:val="bottom"/>
            <w:hideMark/>
          </w:tcPr>
          <w:p w14:paraId="48452EF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-1.170</w:t>
            </w:r>
          </w:p>
        </w:tc>
        <w:tc>
          <w:tcPr>
            <w:tcW w:w="655" w:type="dxa"/>
            <w:tcBorders>
              <w:top w:val="nil"/>
              <w:left w:val="nil"/>
              <w:bottom w:val="single" w:sz="4" w:space="0" w:color="auto"/>
              <w:right w:val="single" w:sz="4" w:space="0" w:color="auto"/>
            </w:tcBorders>
            <w:shd w:val="clear" w:color="auto" w:fill="auto"/>
            <w:noWrap/>
            <w:vAlign w:val="bottom"/>
            <w:hideMark/>
          </w:tcPr>
          <w:p w14:paraId="2128CD85"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35613BD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6E415662"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5B9BDF0B"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14:paraId="05C882FD"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75" w:type="dxa"/>
            <w:tcBorders>
              <w:top w:val="nil"/>
              <w:left w:val="nil"/>
              <w:bottom w:val="single" w:sz="4" w:space="0" w:color="auto"/>
              <w:right w:val="single" w:sz="4" w:space="0" w:color="auto"/>
            </w:tcBorders>
            <w:shd w:val="clear" w:color="auto" w:fill="auto"/>
            <w:noWrap/>
            <w:vAlign w:val="bottom"/>
            <w:hideMark/>
          </w:tcPr>
          <w:p w14:paraId="7855DD27"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-3.900</w:t>
            </w:r>
          </w:p>
        </w:tc>
      </w:tr>
      <w:tr w:rsidR="00BC0828" w:rsidRPr="00E52FCF" w14:paraId="4D7092DC" w14:textId="77777777" w:rsidTr="00BC0828">
        <w:trPr>
          <w:trHeight w:val="131"/>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7E499A42" w14:textId="77777777" w:rsidR="00E52FCF" w:rsidRPr="00E52FCF" w:rsidRDefault="00E52FCF" w:rsidP="00E52FCF">
            <w:pPr>
              <w:rPr>
                <w:rFonts w:ascii="Calibri" w:hAnsi="Calibri" w:cs="Calibri"/>
                <w:color w:val="000000"/>
                <w:sz w:val="18"/>
                <w:szCs w:val="18"/>
              </w:rPr>
            </w:pPr>
            <w:proofErr w:type="spellStart"/>
            <w:r w:rsidRPr="00E52FCF">
              <w:rPr>
                <w:rFonts w:ascii="Calibri" w:hAnsi="Calibri" w:cs="Calibri"/>
                <w:color w:val="000000"/>
                <w:sz w:val="18"/>
                <w:szCs w:val="18"/>
              </w:rPr>
              <w:t>Juros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8AFC804"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-199</w:t>
            </w:r>
          </w:p>
        </w:tc>
        <w:tc>
          <w:tcPr>
            <w:tcW w:w="709" w:type="dxa"/>
            <w:tcBorders>
              <w:top w:val="nil"/>
              <w:left w:val="nil"/>
              <w:bottom w:val="single" w:sz="4" w:space="0" w:color="auto"/>
              <w:right w:val="single" w:sz="4" w:space="0" w:color="auto"/>
            </w:tcBorders>
            <w:shd w:val="clear" w:color="auto" w:fill="auto"/>
            <w:noWrap/>
            <w:vAlign w:val="bottom"/>
            <w:hideMark/>
          </w:tcPr>
          <w:p w14:paraId="3A992CD3"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-380</w:t>
            </w:r>
          </w:p>
        </w:tc>
        <w:tc>
          <w:tcPr>
            <w:tcW w:w="850" w:type="dxa"/>
            <w:tcBorders>
              <w:top w:val="nil"/>
              <w:left w:val="nil"/>
              <w:bottom w:val="single" w:sz="4" w:space="0" w:color="auto"/>
              <w:right w:val="single" w:sz="4" w:space="0" w:color="auto"/>
            </w:tcBorders>
            <w:shd w:val="clear" w:color="auto" w:fill="auto"/>
            <w:noWrap/>
            <w:vAlign w:val="bottom"/>
            <w:hideMark/>
          </w:tcPr>
          <w:p w14:paraId="21597FA8"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-543</w:t>
            </w:r>
          </w:p>
        </w:tc>
        <w:tc>
          <w:tcPr>
            <w:tcW w:w="851" w:type="dxa"/>
            <w:tcBorders>
              <w:top w:val="nil"/>
              <w:left w:val="nil"/>
              <w:bottom w:val="single" w:sz="4" w:space="0" w:color="auto"/>
              <w:right w:val="single" w:sz="4" w:space="0" w:color="auto"/>
            </w:tcBorders>
            <w:shd w:val="clear" w:color="auto" w:fill="auto"/>
            <w:noWrap/>
            <w:vAlign w:val="bottom"/>
            <w:hideMark/>
          </w:tcPr>
          <w:p w14:paraId="0183242E"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-707</w:t>
            </w:r>
          </w:p>
        </w:tc>
        <w:tc>
          <w:tcPr>
            <w:tcW w:w="695" w:type="dxa"/>
            <w:tcBorders>
              <w:top w:val="nil"/>
              <w:left w:val="nil"/>
              <w:bottom w:val="single" w:sz="4" w:space="0" w:color="auto"/>
              <w:right w:val="single" w:sz="4" w:space="0" w:color="auto"/>
            </w:tcBorders>
            <w:shd w:val="clear" w:color="auto" w:fill="auto"/>
            <w:noWrap/>
            <w:vAlign w:val="bottom"/>
            <w:hideMark/>
          </w:tcPr>
          <w:p w14:paraId="1F0FAB84"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-790</w:t>
            </w:r>
          </w:p>
        </w:tc>
        <w:tc>
          <w:tcPr>
            <w:tcW w:w="655" w:type="dxa"/>
            <w:tcBorders>
              <w:top w:val="nil"/>
              <w:left w:val="nil"/>
              <w:bottom w:val="single" w:sz="4" w:space="0" w:color="auto"/>
              <w:right w:val="single" w:sz="4" w:space="0" w:color="auto"/>
            </w:tcBorders>
            <w:shd w:val="clear" w:color="auto" w:fill="auto"/>
            <w:noWrap/>
            <w:vAlign w:val="bottom"/>
            <w:hideMark/>
          </w:tcPr>
          <w:p w14:paraId="3733A04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-750</w:t>
            </w:r>
          </w:p>
        </w:tc>
        <w:tc>
          <w:tcPr>
            <w:tcW w:w="655" w:type="dxa"/>
            <w:tcBorders>
              <w:top w:val="nil"/>
              <w:left w:val="nil"/>
              <w:bottom w:val="single" w:sz="4" w:space="0" w:color="auto"/>
              <w:right w:val="single" w:sz="4" w:space="0" w:color="auto"/>
            </w:tcBorders>
            <w:shd w:val="clear" w:color="auto" w:fill="auto"/>
            <w:noWrap/>
            <w:vAlign w:val="bottom"/>
            <w:hideMark/>
          </w:tcPr>
          <w:p w14:paraId="5298810C"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-711</w:t>
            </w:r>
          </w:p>
        </w:tc>
        <w:tc>
          <w:tcPr>
            <w:tcW w:w="655" w:type="dxa"/>
            <w:tcBorders>
              <w:top w:val="nil"/>
              <w:left w:val="nil"/>
              <w:bottom w:val="single" w:sz="4" w:space="0" w:color="auto"/>
              <w:right w:val="single" w:sz="4" w:space="0" w:color="auto"/>
            </w:tcBorders>
            <w:shd w:val="clear" w:color="auto" w:fill="auto"/>
            <w:noWrap/>
            <w:vAlign w:val="bottom"/>
            <w:hideMark/>
          </w:tcPr>
          <w:p w14:paraId="3F9B82E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-671</w:t>
            </w:r>
          </w:p>
        </w:tc>
        <w:tc>
          <w:tcPr>
            <w:tcW w:w="655" w:type="dxa"/>
            <w:tcBorders>
              <w:top w:val="nil"/>
              <w:left w:val="nil"/>
              <w:bottom w:val="single" w:sz="4" w:space="0" w:color="auto"/>
              <w:right w:val="single" w:sz="4" w:space="0" w:color="auto"/>
            </w:tcBorders>
            <w:shd w:val="clear" w:color="auto" w:fill="auto"/>
            <w:noWrap/>
            <w:vAlign w:val="bottom"/>
            <w:hideMark/>
          </w:tcPr>
          <w:p w14:paraId="4BF98DB7"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-632</w:t>
            </w:r>
          </w:p>
        </w:tc>
        <w:tc>
          <w:tcPr>
            <w:tcW w:w="796" w:type="dxa"/>
            <w:tcBorders>
              <w:top w:val="nil"/>
              <w:left w:val="nil"/>
              <w:bottom w:val="single" w:sz="4" w:space="0" w:color="auto"/>
              <w:right w:val="single" w:sz="4" w:space="0" w:color="auto"/>
            </w:tcBorders>
            <w:shd w:val="clear" w:color="auto" w:fill="auto"/>
            <w:noWrap/>
            <w:vAlign w:val="bottom"/>
            <w:hideMark/>
          </w:tcPr>
          <w:p w14:paraId="3FBE8F5B"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-592</w:t>
            </w:r>
          </w:p>
        </w:tc>
        <w:tc>
          <w:tcPr>
            <w:tcW w:w="775" w:type="dxa"/>
            <w:tcBorders>
              <w:top w:val="nil"/>
              <w:left w:val="nil"/>
              <w:bottom w:val="single" w:sz="4" w:space="0" w:color="auto"/>
              <w:right w:val="single" w:sz="4" w:space="0" w:color="auto"/>
            </w:tcBorders>
            <w:shd w:val="clear" w:color="auto" w:fill="auto"/>
            <w:noWrap/>
            <w:vAlign w:val="bottom"/>
            <w:hideMark/>
          </w:tcPr>
          <w:p w14:paraId="0C8E62CA"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-5.975</w:t>
            </w:r>
          </w:p>
        </w:tc>
      </w:tr>
      <w:tr w:rsidR="00BC0828" w:rsidRPr="00E52FCF" w14:paraId="34B55B9F" w14:textId="77777777" w:rsidTr="00BC0828">
        <w:trPr>
          <w:trHeight w:val="191"/>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72BED397" w14:textId="77777777" w:rsidR="00E52FCF" w:rsidRPr="00E52FCF" w:rsidRDefault="00E52FCF" w:rsidP="00E52FCF">
            <w:pPr>
              <w:rPr>
                <w:rFonts w:ascii="Calibri" w:hAnsi="Calibri" w:cs="Calibri"/>
                <w:color w:val="000000"/>
                <w:sz w:val="18"/>
                <w:szCs w:val="18"/>
              </w:rPr>
            </w:pPr>
            <w:proofErr w:type="spellStart"/>
            <w:r w:rsidRPr="00E52FCF">
              <w:rPr>
                <w:rFonts w:ascii="Calibri" w:hAnsi="Calibri" w:cs="Calibri"/>
                <w:color w:val="000000"/>
                <w:sz w:val="18"/>
                <w:szCs w:val="18"/>
              </w:rPr>
              <w:t>Comissão</w:t>
            </w:r>
            <w:proofErr w:type="spellEnd"/>
            <w:r w:rsidRPr="00E52FCF">
              <w:rPr>
                <w:rFonts w:ascii="Calibri" w:hAnsi="Calibri" w:cs="Calibri"/>
                <w:color w:val="000000"/>
                <w:sz w:val="18"/>
                <w:szCs w:val="18"/>
              </w:rPr>
              <w:t xml:space="preserve"> de </w:t>
            </w:r>
            <w:proofErr w:type="spellStart"/>
            <w:r w:rsidRPr="00E52FCF">
              <w:rPr>
                <w:rFonts w:ascii="Calibri" w:hAnsi="Calibri" w:cs="Calibri"/>
                <w:color w:val="000000"/>
                <w:sz w:val="18"/>
                <w:szCs w:val="18"/>
              </w:rPr>
              <w:t>crédito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DC8479C"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-131</w:t>
            </w:r>
          </w:p>
        </w:tc>
        <w:tc>
          <w:tcPr>
            <w:tcW w:w="709" w:type="dxa"/>
            <w:tcBorders>
              <w:top w:val="nil"/>
              <w:left w:val="nil"/>
              <w:bottom w:val="single" w:sz="4" w:space="0" w:color="auto"/>
              <w:right w:val="single" w:sz="4" w:space="0" w:color="auto"/>
            </w:tcBorders>
            <w:shd w:val="clear" w:color="auto" w:fill="auto"/>
            <w:noWrap/>
            <w:vAlign w:val="bottom"/>
            <w:hideMark/>
          </w:tcPr>
          <w:p w14:paraId="276FF9F9"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-93</w:t>
            </w:r>
          </w:p>
        </w:tc>
        <w:tc>
          <w:tcPr>
            <w:tcW w:w="850" w:type="dxa"/>
            <w:tcBorders>
              <w:top w:val="nil"/>
              <w:left w:val="nil"/>
              <w:bottom w:val="single" w:sz="4" w:space="0" w:color="auto"/>
              <w:right w:val="single" w:sz="4" w:space="0" w:color="auto"/>
            </w:tcBorders>
            <w:shd w:val="clear" w:color="auto" w:fill="auto"/>
            <w:noWrap/>
            <w:vAlign w:val="bottom"/>
            <w:hideMark/>
          </w:tcPr>
          <w:p w14:paraId="0DD5982E"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-55</w:t>
            </w:r>
          </w:p>
        </w:tc>
        <w:tc>
          <w:tcPr>
            <w:tcW w:w="851" w:type="dxa"/>
            <w:tcBorders>
              <w:top w:val="nil"/>
              <w:left w:val="nil"/>
              <w:bottom w:val="single" w:sz="4" w:space="0" w:color="auto"/>
              <w:right w:val="single" w:sz="4" w:space="0" w:color="auto"/>
            </w:tcBorders>
            <w:shd w:val="clear" w:color="auto" w:fill="auto"/>
            <w:noWrap/>
            <w:vAlign w:val="bottom"/>
            <w:hideMark/>
          </w:tcPr>
          <w:p w14:paraId="563BE491"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-18</w:t>
            </w:r>
          </w:p>
        </w:tc>
        <w:tc>
          <w:tcPr>
            <w:tcW w:w="695" w:type="dxa"/>
            <w:tcBorders>
              <w:top w:val="nil"/>
              <w:left w:val="nil"/>
              <w:bottom w:val="single" w:sz="4" w:space="0" w:color="auto"/>
              <w:right w:val="single" w:sz="4" w:space="0" w:color="auto"/>
            </w:tcBorders>
            <w:shd w:val="clear" w:color="auto" w:fill="auto"/>
            <w:noWrap/>
            <w:vAlign w:val="bottom"/>
            <w:hideMark/>
          </w:tcPr>
          <w:p w14:paraId="52BC6FE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221EF4D3"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18A303B1"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40D16A41"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655" w:type="dxa"/>
            <w:tcBorders>
              <w:top w:val="nil"/>
              <w:left w:val="nil"/>
              <w:bottom w:val="single" w:sz="4" w:space="0" w:color="auto"/>
              <w:right w:val="single" w:sz="4" w:space="0" w:color="auto"/>
            </w:tcBorders>
            <w:shd w:val="clear" w:color="auto" w:fill="auto"/>
            <w:noWrap/>
            <w:vAlign w:val="bottom"/>
            <w:hideMark/>
          </w:tcPr>
          <w:p w14:paraId="3CE607FF"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14:paraId="5FCD86F2"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75" w:type="dxa"/>
            <w:tcBorders>
              <w:top w:val="nil"/>
              <w:left w:val="nil"/>
              <w:bottom w:val="single" w:sz="4" w:space="0" w:color="auto"/>
              <w:right w:val="single" w:sz="4" w:space="0" w:color="auto"/>
            </w:tcBorders>
            <w:shd w:val="clear" w:color="auto" w:fill="auto"/>
            <w:noWrap/>
            <w:vAlign w:val="bottom"/>
            <w:hideMark/>
          </w:tcPr>
          <w:p w14:paraId="6ABECC6D"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-297</w:t>
            </w:r>
          </w:p>
        </w:tc>
      </w:tr>
      <w:tr w:rsidR="00BC0828" w:rsidRPr="00E52FCF" w14:paraId="40E1FAA4" w14:textId="77777777" w:rsidTr="00BC0828">
        <w:trPr>
          <w:trHeight w:val="9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2C88BD6D" w14:textId="77777777" w:rsidR="00E52FCF" w:rsidRPr="00E52FCF" w:rsidRDefault="00E52FCF" w:rsidP="00E52FCF">
            <w:pPr>
              <w:rPr>
                <w:rFonts w:ascii="Calibri" w:hAnsi="Calibri" w:cs="Calibri"/>
                <w:color w:val="000000"/>
                <w:sz w:val="18"/>
                <w:szCs w:val="18"/>
              </w:rPr>
            </w:pPr>
            <w:proofErr w:type="spellStart"/>
            <w:r w:rsidRPr="00E52FCF">
              <w:rPr>
                <w:rFonts w:ascii="Calibri" w:hAnsi="Calibri" w:cs="Calibri"/>
                <w:color w:val="000000"/>
                <w:sz w:val="18"/>
                <w:szCs w:val="18"/>
              </w:rPr>
              <w:t>Manutenção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4D7D033"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14:paraId="365AE09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-401</w:t>
            </w:r>
          </w:p>
        </w:tc>
        <w:tc>
          <w:tcPr>
            <w:tcW w:w="850" w:type="dxa"/>
            <w:tcBorders>
              <w:top w:val="nil"/>
              <w:left w:val="nil"/>
              <w:bottom w:val="single" w:sz="4" w:space="0" w:color="auto"/>
              <w:right w:val="single" w:sz="4" w:space="0" w:color="auto"/>
            </w:tcBorders>
            <w:shd w:val="clear" w:color="auto" w:fill="auto"/>
            <w:noWrap/>
            <w:vAlign w:val="bottom"/>
            <w:hideMark/>
          </w:tcPr>
          <w:p w14:paraId="5766ACD6"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-988</w:t>
            </w:r>
          </w:p>
        </w:tc>
        <w:tc>
          <w:tcPr>
            <w:tcW w:w="851" w:type="dxa"/>
            <w:tcBorders>
              <w:top w:val="nil"/>
              <w:left w:val="nil"/>
              <w:bottom w:val="single" w:sz="4" w:space="0" w:color="auto"/>
              <w:right w:val="single" w:sz="4" w:space="0" w:color="auto"/>
            </w:tcBorders>
            <w:shd w:val="clear" w:color="auto" w:fill="auto"/>
            <w:noWrap/>
            <w:vAlign w:val="bottom"/>
            <w:hideMark/>
          </w:tcPr>
          <w:p w14:paraId="19017F7C"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-1.977</w:t>
            </w:r>
          </w:p>
        </w:tc>
        <w:tc>
          <w:tcPr>
            <w:tcW w:w="695" w:type="dxa"/>
            <w:tcBorders>
              <w:top w:val="nil"/>
              <w:left w:val="nil"/>
              <w:bottom w:val="single" w:sz="4" w:space="0" w:color="auto"/>
              <w:right w:val="single" w:sz="4" w:space="0" w:color="auto"/>
            </w:tcBorders>
            <w:shd w:val="clear" w:color="auto" w:fill="auto"/>
            <w:noWrap/>
            <w:vAlign w:val="bottom"/>
            <w:hideMark/>
          </w:tcPr>
          <w:p w14:paraId="6984878B"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-2.780</w:t>
            </w:r>
          </w:p>
        </w:tc>
        <w:tc>
          <w:tcPr>
            <w:tcW w:w="655" w:type="dxa"/>
            <w:tcBorders>
              <w:top w:val="nil"/>
              <w:left w:val="nil"/>
              <w:bottom w:val="single" w:sz="4" w:space="0" w:color="auto"/>
              <w:right w:val="single" w:sz="4" w:space="0" w:color="auto"/>
            </w:tcBorders>
            <w:shd w:val="clear" w:color="auto" w:fill="auto"/>
            <w:noWrap/>
            <w:vAlign w:val="bottom"/>
            <w:hideMark/>
          </w:tcPr>
          <w:p w14:paraId="1C50D4FC"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-3.088</w:t>
            </w:r>
          </w:p>
        </w:tc>
        <w:tc>
          <w:tcPr>
            <w:tcW w:w="655" w:type="dxa"/>
            <w:tcBorders>
              <w:top w:val="nil"/>
              <w:left w:val="nil"/>
              <w:bottom w:val="single" w:sz="4" w:space="0" w:color="auto"/>
              <w:right w:val="single" w:sz="4" w:space="0" w:color="auto"/>
            </w:tcBorders>
            <w:shd w:val="clear" w:color="auto" w:fill="auto"/>
            <w:noWrap/>
            <w:vAlign w:val="bottom"/>
            <w:hideMark/>
          </w:tcPr>
          <w:p w14:paraId="64079A31"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-3.088</w:t>
            </w:r>
          </w:p>
        </w:tc>
        <w:tc>
          <w:tcPr>
            <w:tcW w:w="655" w:type="dxa"/>
            <w:tcBorders>
              <w:top w:val="nil"/>
              <w:left w:val="nil"/>
              <w:bottom w:val="single" w:sz="4" w:space="0" w:color="auto"/>
              <w:right w:val="single" w:sz="4" w:space="0" w:color="auto"/>
            </w:tcBorders>
            <w:shd w:val="clear" w:color="auto" w:fill="auto"/>
            <w:noWrap/>
            <w:vAlign w:val="bottom"/>
            <w:hideMark/>
          </w:tcPr>
          <w:p w14:paraId="12B3310E"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-3.088</w:t>
            </w:r>
          </w:p>
        </w:tc>
        <w:tc>
          <w:tcPr>
            <w:tcW w:w="655" w:type="dxa"/>
            <w:tcBorders>
              <w:top w:val="nil"/>
              <w:left w:val="nil"/>
              <w:bottom w:val="single" w:sz="4" w:space="0" w:color="auto"/>
              <w:right w:val="single" w:sz="4" w:space="0" w:color="auto"/>
            </w:tcBorders>
            <w:shd w:val="clear" w:color="auto" w:fill="auto"/>
            <w:noWrap/>
            <w:vAlign w:val="bottom"/>
            <w:hideMark/>
          </w:tcPr>
          <w:p w14:paraId="7F6DA519"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-3.088</w:t>
            </w:r>
          </w:p>
        </w:tc>
        <w:tc>
          <w:tcPr>
            <w:tcW w:w="796" w:type="dxa"/>
            <w:tcBorders>
              <w:top w:val="nil"/>
              <w:left w:val="nil"/>
              <w:bottom w:val="single" w:sz="4" w:space="0" w:color="auto"/>
              <w:right w:val="single" w:sz="4" w:space="0" w:color="auto"/>
            </w:tcBorders>
            <w:shd w:val="clear" w:color="auto" w:fill="auto"/>
            <w:noWrap/>
            <w:vAlign w:val="bottom"/>
            <w:hideMark/>
          </w:tcPr>
          <w:p w14:paraId="2C63A712"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-2.887</w:t>
            </w:r>
          </w:p>
        </w:tc>
        <w:tc>
          <w:tcPr>
            <w:tcW w:w="775" w:type="dxa"/>
            <w:tcBorders>
              <w:top w:val="nil"/>
              <w:left w:val="nil"/>
              <w:bottom w:val="single" w:sz="4" w:space="0" w:color="auto"/>
              <w:right w:val="single" w:sz="4" w:space="0" w:color="auto"/>
            </w:tcBorders>
            <w:shd w:val="clear" w:color="auto" w:fill="auto"/>
            <w:noWrap/>
            <w:vAlign w:val="bottom"/>
            <w:hideMark/>
          </w:tcPr>
          <w:p w14:paraId="060D221A" w14:textId="77777777" w:rsidR="00E52FCF" w:rsidRPr="00E52FCF" w:rsidRDefault="00E52FCF" w:rsidP="00E52FCF">
            <w:pPr>
              <w:jc w:val="right"/>
              <w:rPr>
                <w:rFonts w:ascii="Calibri" w:hAnsi="Calibri" w:cs="Calibri"/>
                <w:color w:val="000000"/>
                <w:sz w:val="16"/>
                <w:szCs w:val="16"/>
              </w:rPr>
            </w:pPr>
            <w:r w:rsidRPr="00E52FCF">
              <w:rPr>
                <w:rFonts w:ascii="Calibri" w:hAnsi="Calibri" w:cs="Calibri"/>
                <w:color w:val="000000"/>
                <w:sz w:val="16"/>
                <w:szCs w:val="16"/>
              </w:rPr>
              <w:t>-21.386</w:t>
            </w:r>
          </w:p>
        </w:tc>
      </w:tr>
      <w:tr w:rsidR="00E52FCF" w:rsidRPr="00E52FCF" w14:paraId="36882006" w14:textId="77777777" w:rsidTr="00BC0828">
        <w:trPr>
          <w:trHeight w:val="300"/>
        </w:trPr>
        <w:tc>
          <w:tcPr>
            <w:tcW w:w="5530" w:type="dxa"/>
            <w:gridSpan w:val="6"/>
            <w:tcBorders>
              <w:top w:val="nil"/>
              <w:left w:val="nil"/>
              <w:bottom w:val="nil"/>
              <w:right w:val="nil"/>
            </w:tcBorders>
            <w:shd w:val="clear" w:color="auto" w:fill="auto"/>
            <w:noWrap/>
            <w:vAlign w:val="bottom"/>
            <w:hideMark/>
          </w:tcPr>
          <w:p w14:paraId="38592C16" w14:textId="77777777" w:rsidR="00E52FCF" w:rsidRPr="00E52FCF" w:rsidRDefault="00E52FCF" w:rsidP="00E52FCF">
            <w:pPr>
              <w:rPr>
                <w:rFonts w:ascii="Calibri" w:hAnsi="Calibri" w:cs="Calibri"/>
                <w:color w:val="000000"/>
                <w:sz w:val="18"/>
                <w:szCs w:val="18"/>
                <w:lang w:val="pt-BR"/>
              </w:rPr>
            </w:pPr>
            <w:r w:rsidRPr="00E52FCF">
              <w:rPr>
                <w:rFonts w:ascii="Calibri" w:hAnsi="Calibri" w:cs="Calibri"/>
                <w:color w:val="000000"/>
                <w:sz w:val="18"/>
                <w:szCs w:val="18"/>
                <w:lang w:val="pt-BR"/>
              </w:rPr>
              <w:t>Fonte: Cálculos do autor baseados nos Custos totais do projeto.</w:t>
            </w:r>
          </w:p>
        </w:tc>
        <w:tc>
          <w:tcPr>
            <w:tcW w:w="655" w:type="dxa"/>
            <w:tcBorders>
              <w:top w:val="nil"/>
              <w:left w:val="nil"/>
              <w:bottom w:val="nil"/>
              <w:right w:val="nil"/>
            </w:tcBorders>
            <w:shd w:val="clear" w:color="auto" w:fill="auto"/>
            <w:noWrap/>
            <w:vAlign w:val="bottom"/>
            <w:hideMark/>
          </w:tcPr>
          <w:p w14:paraId="4FFD1EE9" w14:textId="77777777" w:rsidR="00E52FCF" w:rsidRPr="00E52FCF" w:rsidRDefault="00E52FCF" w:rsidP="00E52FCF">
            <w:pPr>
              <w:rPr>
                <w:rFonts w:ascii="Calibri" w:hAnsi="Calibri" w:cs="Calibri"/>
                <w:color w:val="000000"/>
                <w:sz w:val="22"/>
                <w:szCs w:val="22"/>
                <w:lang w:val="pt-BR"/>
              </w:rPr>
            </w:pPr>
          </w:p>
        </w:tc>
        <w:tc>
          <w:tcPr>
            <w:tcW w:w="655" w:type="dxa"/>
            <w:tcBorders>
              <w:top w:val="nil"/>
              <w:left w:val="nil"/>
              <w:bottom w:val="nil"/>
              <w:right w:val="nil"/>
            </w:tcBorders>
            <w:shd w:val="clear" w:color="auto" w:fill="auto"/>
            <w:noWrap/>
            <w:vAlign w:val="bottom"/>
            <w:hideMark/>
          </w:tcPr>
          <w:p w14:paraId="3C979F18" w14:textId="77777777" w:rsidR="00E52FCF" w:rsidRPr="00E52FCF" w:rsidRDefault="00E52FCF" w:rsidP="00E52FCF">
            <w:pPr>
              <w:rPr>
                <w:rFonts w:ascii="Calibri" w:hAnsi="Calibri" w:cs="Calibri"/>
                <w:color w:val="000000"/>
                <w:sz w:val="22"/>
                <w:szCs w:val="22"/>
                <w:lang w:val="pt-BR"/>
              </w:rPr>
            </w:pPr>
          </w:p>
        </w:tc>
        <w:tc>
          <w:tcPr>
            <w:tcW w:w="655" w:type="dxa"/>
            <w:tcBorders>
              <w:top w:val="nil"/>
              <w:left w:val="nil"/>
              <w:bottom w:val="nil"/>
              <w:right w:val="nil"/>
            </w:tcBorders>
            <w:shd w:val="clear" w:color="auto" w:fill="auto"/>
            <w:noWrap/>
            <w:vAlign w:val="bottom"/>
            <w:hideMark/>
          </w:tcPr>
          <w:p w14:paraId="1FBF3C61" w14:textId="77777777" w:rsidR="00E52FCF" w:rsidRPr="00E52FCF" w:rsidRDefault="00E52FCF" w:rsidP="00E52FCF">
            <w:pPr>
              <w:rPr>
                <w:rFonts w:ascii="Calibri" w:hAnsi="Calibri" w:cs="Calibri"/>
                <w:color w:val="000000"/>
                <w:sz w:val="22"/>
                <w:szCs w:val="22"/>
                <w:lang w:val="pt-BR"/>
              </w:rPr>
            </w:pPr>
          </w:p>
        </w:tc>
        <w:tc>
          <w:tcPr>
            <w:tcW w:w="655" w:type="dxa"/>
            <w:tcBorders>
              <w:top w:val="nil"/>
              <w:left w:val="nil"/>
              <w:bottom w:val="nil"/>
              <w:right w:val="nil"/>
            </w:tcBorders>
            <w:shd w:val="clear" w:color="auto" w:fill="auto"/>
            <w:noWrap/>
            <w:vAlign w:val="bottom"/>
            <w:hideMark/>
          </w:tcPr>
          <w:p w14:paraId="067C14DB" w14:textId="77777777" w:rsidR="00E52FCF" w:rsidRPr="00E52FCF" w:rsidRDefault="00E52FCF" w:rsidP="00E52FCF">
            <w:pPr>
              <w:rPr>
                <w:rFonts w:ascii="Calibri" w:hAnsi="Calibri" w:cs="Calibri"/>
                <w:color w:val="000000"/>
                <w:sz w:val="22"/>
                <w:szCs w:val="22"/>
                <w:lang w:val="pt-BR"/>
              </w:rPr>
            </w:pPr>
          </w:p>
        </w:tc>
        <w:tc>
          <w:tcPr>
            <w:tcW w:w="796" w:type="dxa"/>
            <w:tcBorders>
              <w:top w:val="nil"/>
              <w:left w:val="nil"/>
              <w:bottom w:val="nil"/>
              <w:right w:val="nil"/>
            </w:tcBorders>
            <w:shd w:val="clear" w:color="auto" w:fill="auto"/>
            <w:noWrap/>
            <w:vAlign w:val="bottom"/>
            <w:hideMark/>
          </w:tcPr>
          <w:p w14:paraId="6138D133" w14:textId="77777777" w:rsidR="00E52FCF" w:rsidRPr="00E52FCF" w:rsidRDefault="00E52FCF" w:rsidP="00E52FCF">
            <w:pPr>
              <w:rPr>
                <w:rFonts w:ascii="Calibri" w:hAnsi="Calibri" w:cs="Calibri"/>
                <w:color w:val="000000"/>
                <w:sz w:val="22"/>
                <w:szCs w:val="22"/>
                <w:lang w:val="pt-BR"/>
              </w:rPr>
            </w:pPr>
          </w:p>
        </w:tc>
        <w:tc>
          <w:tcPr>
            <w:tcW w:w="775" w:type="dxa"/>
            <w:tcBorders>
              <w:top w:val="nil"/>
              <w:left w:val="nil"/>
              <w:bottom w:val="nil"/>
              <w:right w:val="nil"/>
            </w:tcBorders>
            <w:shd w:val="clear" w:color="auto" w:fill="auto"/>
            <w:noWrap/>
            <w:vAlign w:val="bottom"/>
            <w:hideMark/>
          </w:tcPr>
          <w:p w14:paraId="5BBE81D8" w14:textId="77777777" w:rsidR="00E52FCF" w:rsidRPr="00E52FCF" w:rsidRDefault="00E52FCF" w:rsidP="00E52FCF">
            <w:pPr>
              <w:rPr>
                <w:rFonts w:ascii="Calibri" w:hAnsi="Calibri" w:cs="Calibri"/>
                <w:color w:val="000000"/>
                <w:sz w:val="22"/>
                <w:szCs w:val="22"/>
                <w:lang w:val="pt-BR"/>
              </w:rPr>
            </w:pPr>
          </w:p>
        </w:tc>
      </w:tr>
    </w:tbl>
    <w:p w14:paraId="294D5538" w14:textId="77777777" w:rsidR="0030158A" w:rsidRPr="003B2DA8" w:rsidRDefault="003B2DA8" w:rsidP="00A91992">
      <w:pPr>
        <w:pStyle w:val="Ttulo2"/>
        <w:numPr>
          <w:ilvl w:val="0"/>
          <w:numId w:val="22"/>
        </w:numPr>
        <w:spacing w:before="360" w:after="240"/>
        <w:ind w:left="714" w:hanging="357"/>
        <w:rPr>
          <w:rFonts w:ascii="Arial" w:hAnsi="Arial" w:cs="Arial"/>
          <w:color w:val="000000" w:themeColor="text1"/>
          <w:lang w:val="pt-BR" w:eastAsia="es-ES"/>
        </w:rPr>
      </w:pPr>
      <w:bookmarkStart w:id="7" w:name="_Toc494137330"/>
      <w:r>
        <w:rPr>
          <w:rFonts w:ascii="Arial" w:hAnsi="Arial" w:cs="Arial"/>
          <w:color w:val="000000" w:themeColor="text1"/>
          <w:lang w:val="pt-BR" w:eastAsia="es-ES"/>
        </w:rPr>
        <w:lastRenderedPageBreak/>
        <w:t xml:space="preserve">  </w:t>
      </w:r>
      <w:r w:rsidR="0030158A" w:rsidRPr="003B2DA8">
        <w:rPr>
          <w:rFonts w:ascii="Arial" w:hAnsi="Arial" w:cs="Arial"/>
          <w:color w:val="000000" w:themeColor="text1"/>
          <w:lang w:val="pt-BR" w:eastAsia="es-ES"/>
        </w:rPr>
        <w:t>Benefícios</w:t>
      </w:r>
      <w:bookmarkEnd w:id="7"/>
    </w:p>
    <w:p w14:paraId="294D5539" w14:textId="77777777" w:rsidR="003703C4" w:rsidRPr="001F27CE" w:rsidRDefault="003703C4"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 PROFISCO II inclui três grandes áreas de atuação que </w:t>
      </w:r>
      <w:r w:rsidR="003B2DA8">
        <w:rPr>
          <w:rFonts w:ascii="Arial" w:hAnsi="Arial" w:cs="Arial"/>
          <w:bCs/>
          <w:lang w:val="pt-BR" w:eastAsia="es-ES"/>
        </w:rPr>
        <w:t>incluem 17 </w:t>
      </w:r>
      <w:r w:rsidRPr="001F27CE">
        <w:rPr>
          <w:rFonts w:ascii="Arial" w:hAnsi="Arial" w:cs="Arial"/>
          <w:bCs/>
          <w:lang w:val="pt-BR" w:eastAsia="es-ES"/>
        </w:rPr>
        <w:t xml:space="preserve">produtos. Quase todos os produtos gerarão aumento de receita, economia para o contribuinte ou redução de gastos para o governo. Para a análise C-B foram selecionados apenas </w:t>
      </w:r>
      <w:r w:rsidR="0093526E" w:rsidRPr="001F27CE">
        <w:rPr>
          <w:rFonts w:ascii="Arial" w:hAnsi="Arial" w:cs="Arial"/>
          <w:bCs/>
          <w:lang w:val="pt-BR" w:eastAsia="es-ES"/>
        </w:rPr>
        <w:t>alguns</w:t>
      </w:r>
      <w:r w:rsidRPr="001F27CE">
        <w:rPr>
          <w:rFonts w:ascii="Arial" w:hAnsi="Arial" w:cs="Arial"/>
          <w:bCs/>
          <w:lang w:val="pt-BR" w:eastAsia="es-ES"/>
        </w:rPr>
        <w:t xml:space="preserve"> produtos que caracterizam bem estes </w:t>
      </w:r>
      <w:r w:rsidR="007F1132" w:rsidRPr="001F27CE">
        <w:rPr>
          <w:rFonts w:ascii="Arial" w:hAnsi="Arial" w:cs="Arial"/>
          <w:bCs/>
          <w:lang w:val="pt-BR" w:eastAsia="es-ES"/>
        </w:rPr>
        <w:t xml:space="preserve">ganhos </w:t>
      </w:r>
      <w:r w:rsidRPr="001F27CE">
        <w:rPr>
          <w:rFonts w:ascii="Arial" w:hAnsi="Arial" w:cs="Arial"/>
          <w:bCs/>
          <w:lang w:val="pt-BR" w:eastAsia="es-ES"/>
        </w:rPr>
        <w:t>potenciais e que contam com disponibilidade de dados para identificar e quantificar adequadamente os benefícios.</w:t>
      </w:r>
    </w:p>
    <w:p w14:paraId="294D553A" w14:textId="77777777" w:rsidR="001A35E8" w:rsidRPr="001F27CE" w:rsidRDefault="001A35E8"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Para estimar o aumento da arrecadação</w:t>
      </w:r>
      <w:r w:rsidR="00FC32DF" w:rsidRPr="001F27CE">
        <w:rPr>
          <w:rFonts w:ascii="Arial" w:hAnsi="Arial" w:cs="Arial"/>
          <w:bCs/>
          <w:lang w:val="pt-BR" w:eastAsia="es-ES"/>
        </w:rPr>
        <w:t xml:space="preserve"> é necessário primeiro estimar o</w:t>
      </w:r>
      <w:r w:rsidRPr="001F27CE">
        <w:rPr>
          <w:rFonts w:ascii="Arial" w:hAnsi="Arial" w:cs="Arial"/>
          <w:bCs/>
          <w:lang w:val="pt-BR" w:eastAsia="es-ES"/>
        </w:rPr>
        <w:t xml:space="preserve"> </w:t>
      </w:r>
      <w:r w:rsidR="00FC32DF" w:rsidRPr="001F27CE">
        <w:rPr>
          <w:rFonts w:ascii="Arial" w:hAnsi="Arial" w:cs="Arial"/>
          <w:bCs/>
          <w:lang w:val="pt-BR" w:eastAsia="es-ES"/>
        </w:rPr>
        <w:t>Gap T</w:t>
      </w:r>
      <w:r w:rsidRPr="001F27CE">
        <w:rPr>
          <w:rFonts w:ascii="Arial" w:hAnsi="Arial" w:cs="Arial"/>
          <w:bCs/>
          <w:lang w:val="pt-BR" w:eastAsia="es-ES"/>
        </w:rPr>
        <w:t xml:space="preserve">ributário, ou seja, o percentual do potencial de arrecadação que não é realizado por diferentes razões, tais como sonegação fiscal, omissão de cálculo, </w:t>
      </w:r>
      <w:r w:rsidR="00A93697" w:rsidRPr="001F27CE">
        <w:rPr>
          <w:rFonts w:ascii="Arial" w:hAnsi="Arial" w:cs="Arial"/>
          <w:bCs/>
          <w:lang w:val="pt-BR" w:eastAsia="es-ES"/>
        </w:rPr>
        <w:t xml:space="preserve">e </w:t>
      </w:r>
      <w:r w:rsidRPr="001F27CE">
        <w:rPr>
          <w:rFonts w:ascii="Arial" w:hAnsi="Arial" w:cs="Arial"/>
          <w:bCs/>
          <w:lang w:val="pt-BR" w:eastAsia="es-ES"/>
        </w:rPr>
        <w:t>inadimplência</w:t>
      </w:r>
      <w:r w:rsidR="003759A4" w:rsidRPr="001F27CE">
        <w:rPr>
          <w:rFonts w:ascii="Arial" w:hAnsi="Arial" w:cs="Arial"/>
          <w:bCs/>
          <w:lang w:val="pt-BR" w:eastAsia="es-ES"/>
        </w:rPr>
        <w:t xml:space="preserve">. Com relação à melhoria do ambiente de negócios, mediu-se a economia de tempo que os </w:t>
      </w:r>
      <w:r w:rsidR="00C16016" w:rsidRPr="001F27CE">
        <w:rPr>
          <w:rFonts w:ascii="Arial" w:hAnsi="Arial" w:cs="Arial"/>
          <w:bCs/>
          <w:lang w:val="pt-BR" w:eastAsia="es-ES"/>
        </w:rPr>
        <w:t xml:space="preserve">contribuintes obterão com a eliminação de obrigações acessórias e para a economia </w:t>
      </w:r>
      <w:r w:rsidR="0093526E" w:rsidRPr="001F27CE">
        <w:rPr>
          <w:rFonts w:ascii="Arial" w:hAnsi="Arial" w:cs="Arial"/>
          <w:bCs/>
          <w:lang w:val="pt-BR" w:eastAsia="es-ES"/>
        </w:rPr>
        <w:t>de gastos do Estado, mediu-se a redução de tempo na concessão de benefícios fiscais e com a implantação do Diário</w:t>
      </w:r>
      <w:r w:rsidR="00C16016" w:rsidRPr="001F27CE">
        <w:rPr>
          <w:rFonts w:ascii="Arial" w:hAnsi="Arial" w:cs="Arial"/>
          <w:bCs/>
          <w:lang w:val="pt-BR" w:eastAsia="es-ES"/>
        </w:rPr>
        <w:t>.</w:t>
      </w:r>
    </w:p>
    <w:p w14:paraId="294D553B" w14:textId="77777777" w:rsidR="002D7848" w:rsidRPr="001F27CE" w:rsidRDefault="002D7848" w:rsidP="002D7848">
      <w:pPr>
        <w:pStyle w:val="PargrafodaLista"/>
        <w:keepNext/>
        <w:tabs>
          <w:tab w:val="num" w:pos="1499"/>
        </w:tabs>
        <w:suppressAutoHyphens/>
        <w:spacing w:before="120"/>
        <w:ind w:left="851"/>
        <w:jc w:val="both"/>
        <w:outlineLvl w:val="3"/>
        <w:rPr>
          <w:rFonts w:ascii="Arial" w:hAnsi="Arial" w:cs="Arial"/>
          <w:bCs/>
          <w:lang w:val="pt-BR" w:eastAsia="es-ES"/>
        </w:rPr>
      </w:pPr>
    </w:p>
    <w:p w14:paraId="294D553C" w14:textId="77777777" w:rsidR="0030158A" w:rsidRPr="001F27CE" w:rsidRDefault="000A1E09" w:rsidP="003B2DA8">
      <w:pPr>
        <w:pStyle w:val="Ttulo3"/>
        <w:spacing w:before="120"/>
        <w:ind w:left="90"/>
        <w:rPr>
          <w:rFonts w:ascii="Arial" w:hAnsi="Arial" w:cs="Arial"/>
          <w:lang w:val="pt-BR" w:eastAsia="es-ES"/>
        </w:rPr>
      </w:pPr>
      <w:bookmarkStart w:id="8" w:name="_Toc494137331"/>
      <w:r w:rsidRPr="003B2DA8">
        <w:rPr>
          <w:rFonts w:ascii="Arial" w:hAnsi="Arial" w:cs="Arial"/>
          <w:color w:val="000000" w:themeColor="text1"/>
          <w:lang w:val="pt-BR" w:eastAsia="es-ES"/>
        </w:rPr>
        <w:t>B.1</w:t>
      </w:r>
      <w:r w:rsidRPr="003B2DA8">
        <w:rPr>
          <w:rFonts w:ascii="Arial" w:hAnsi="Arial" w:cs="Arial"/>
          <w:color w:val="000000" w:themeColor="text1"/>
          <w:lang w:val="pt-BR" w:eastAsia="es-ES"/>
        </w:rPr>
        <w:tab/>
      </w:r>
      <w:proofErr w:type="gramStart"/>
      <w:r w:rsidR="003B2DA8">
        <w:rPr>
          <w:rFonts w:ascii="Arial" w:hAnsi="Arial" w:cs="Arial"/>
          <w:color w:val="000000" w:themeColor="text1"/>
          <w:lang w:val="pt-BR" w:eastAsia="es-ES"/>
        </w:rPr>
        <w:t xml:space="preserve">  </w:t>
      </w:r>
      <w:proofErr w:type="gramEnd"/>
      <w:r w:rsidR="0030158A" w:rsidRPr="003B2DA8">
        <w:rPr>
          <w:rFonts w:ascii="Arial" w:hAnsi="Arial" w:cs="Arial"/>
          <w:color w:val="000000" w:themeColor="text1"/>
          <w:lang w:val="pt-BR" w:eastAsia="es-ES"/>
        </w:rPr>
        <w:t>Aumento de Arrecadação</w:t>
      </w:r>
      <w:bookmarkEnd w:id="8"/>
    </w:p>
    <w:p w14:paraId="294D553D" w14:textId="77777777" w:rsidR="004E4EC7" w:rsidRPr="001F27CE" w:rsidRDefault="004E4EC7" w:rsidP="007F1132">
      <w:pPr>
        <w:pStyle w:val="PargrafodaLista"/>
        <w:keepNext/>
        <w:suppressAutoHyphens/>
        <w:spacing w:before="120"/>
        <w:ind w:left="2739"/>
        <w:jc w:val="both"/>
        <w:outlineLvl w:val="3"/>
        <w:rPr>
          <w:rFonts w:ascii="Arial" w:hAnsi="Arial" w:cs="Arial"/>
          <w:b/>
          <w:bCs/>
          <w:lang w:val="pt-BR" w:eastAsia="es-ES"/>
        </w:rPr>
      </w:pPr>
    </w:p>
    <w:p w14:paraId="294D553E" w14:textId="77777777" w:rsidR="00B6109B" w:rsidRPr="001F27CE" w:rsidRDefault="001C3FDC" w:rsidP="007F1132">
      <w:pPr>
        <w:pStyle w:val="PargrafodaLista"/>
        <w:keepNext/>
        <w:numPr>
          <w:ilvl w:val="1"/>
          <w:numId w:val="4"/>
        </w:numPr>
        <w:tabs>
          <w:tab w:val="clear" w:pos="1009"/>
          <w:tab w:val="num" w:pos="851"/>
        </w:tabs>
        <w:suppressAutoHyphens/>
        <w:ind w:left="851" w:hanging="567"/>
        <w:jc w:val="both"/>
        <w:outlineLvl w:val="3"/>
        <w:rPr>
          <w:rFonts w:ascii="Arial" w:hAnsi="Arial" w:cs="Arial"/>
          <w:bCs/>
          <w:lang w:val="pt-BR" w:eastAsia="es-ES"/>
        </w:rPr>
      </w:pPr>
      <w:r w:rsidRPr="001F27CE">
        <w:rPr>
          <w:rFonts w:ascii="Arial" w:hAnsi="Arial" w:cs="Arial"/>
          <w:bCs/>
          <w:lang w:val="pt-BR" w:eastAsia="es-ES"/>
        </w:rPr>
        <w:t>O diagnóstico da administração tributária do P</w:t>
      </w:r>
      <w:r w:rsidR="0093526E" w:rsidRPr="001F27CE">
        <w:rPr>
          <w:rFonts w:ascii="Arial" w:hAnsi="Arial" w:cs="Arial"/>
          <w:bCs/>
          <w:lang w:val="pt-BR" w:eastAsia="es-ES"/>
        </w:rPr>
        <w:t>ará</w:t>
      </w:r>
      <w:r w:rsidR="00B6109B" w:rsidRPr="001F27CE">
        <w:rPr>
          <w:rFonts w:ascii="Arial" w:hAnsi="Arial" w:cs="Arial"/>
          <w:bCs/>
          <w:lang w:val="pt-BR" w:eastAsia="es-ES"/>
        </w:rPr>
        <w:t>, realizado para a elaboração do PROFISCO II,</w:t>
      </w:r>
      <w:r w:rsidRPr="001F27CE">
        <w:rPr>
          <w:rFonts w:ascii="Arial" w:hAnsi="Arial" w:cs="Arial"/>
          <w:bCs/>
          <w:lang w:val="pt-BR" w:eastAsia="es-ES"/>
        </w:rPr>
        <w:t xml:space="preserve"> identificou uma série de deficiências que </w:t>
      </w:r>
      <w:r w:rsidR="00B6109B" w:rsidRPr="001F27CE">
        <w:rPr>
          <w:rFonts w:ascii="Arial" w:hAnsi="Arial" w:cs="Arial"/>
          <w:bCs/>
          <w:lang w:val="pt-BR" w:eastAsia="es-ES"/>
        </w:rPr>
        <w:t xml:space="preserve">resultam em uma arrecadação abaixo do potencial tributário do estado, especialmente do ICMS, o mais importante imposto para a arrecadação própria dos estados brasileiros. Existem duas </w:t>
      </w:r>
      <w:r w:rsidR="007F1132" w:rsidRPr="001F27CE">
        <w:rPr>
          <w:rFonts w:ascii="Arial" w:hAnsi="Arial" w:cs="Arial"/>
          <w:bCs/>
          <w:lang w:val="pt-BR" w:eastAsia="es-ES"/>
        </w:rPr>
        <w:t xml:space="preserve">diferentes metodologias </w:t>
      </w:r>
      <w:r w:rsidR="00B6109B" w:rsidRPr="001F27CE">
        <w:rPr>
          <w:rFonts w:ascii="Arial" w:hAnsi="Arial" w:cs="Arial"/>
          <w:bCs/>
          <w:lang w:val="pt-BR" w:eastAsia="es-ES"/>
        </w:rPr>
        <w:t>para estimar o gap tributário para o ICMS. Uma é baseada nas fiscalizações tributárias, assumindo que os autos de infração representam o nível de sonegação fiscal e a segunda que calcula o gap pela diferença entre a arrecadação potencial e a arrecadação registrada do tributo, sendo a arrecadação potencial estimada através da incidência das taxas ponderadas do ICMS por setor no PIB tributável dos mesmos. A</w:t>
      </w:r>
      <w:r w:rsidR="00137613" w:rsidRPr="001F27CE">
        <w:rPr>
          <w:rFonts w:ascii="Arial" w:hAnsi="Arial" w:cs="Arial"/>
          <w:bCs/>
          <w:lang w:val="pt-BR" w:eastAsia="es-ES"/>
        </w:rPr>
        <w:t>baixo estas duas metodologias são apresentadas com seus respectivos resultados para o P</w:t>
      </w:r>
      <w:r w:rsidR="00AF3D71" w:rsidRPr="001F27CE">
        <w:rPr>
          <w:rFonts w:ascii="Arial" w:hAnsi="Arial" w:cs="Arial"/>
          <w:bCs/>
          <w:lang w:val="pt-BR" w:eastAsia="es-ES"/>
        </w:rPr>
        <w:t>ará</w:t>
      </w:r>
      <w:r w:rsidR="00137613" w:rsidRPr="001F27CE">
        <w:rPr>
          <w:rFonts w:ascii="Arial" w:hAnsi="Arial" w:cs="Arial"/>
          <w:bCs/>
          <w:lang w:val="pt-BR" w:eastAsia="es-ES"/>
        </w:rPr>
        <w:t>.</w:t>
      </w:r>
      <w:r w:rsidR="00B6109B" w:rsidRPr="001F27CE">
        <w:rPr>
          <w:rFonts w:ascii="Arial" w:hAnsi="Arial" w:cs="Arial"/>
          <w:bCs/>
          <w:lang w:val="pt-BR" w:eastAsia="es-ES"/>
        </w:rPr>
        <w:t xml:space="preserve"> </w:t>
      </w:r>
    </w:p>
    <w:p w14:paraId="294D553F" w14:textId="64E3B2E1" w:rsidR="00827D19" w:rsidRPr="001F27CE" w:rsidRDefault="00F9158B" w:rsidP="00827D19">
      <w:pPr>
        <w:pStyle w:val="PargrafodaLista"/>
        <w:keepNext/>
        <w:numPr>
          <w:ilvl w:val="1"/>
          <w:numId w:val="4"/>
        </w:numPr>
        <w:tabs>
          <w:tab w:val="clear" w:pos="1009"/>
          <w:tab w:val="num" w:pos="851"/>
        </w:tabs>
        <w:suppressAutoHyphens/>
        <w:spacing w:before="120" w:after="120"/>
        <w:ind w:left="851" w:hanging="567"/>
        <w:jc w:val="both"/>
        <w:outlineLvl w:val="3"/>
        <w:rPr>
          <w:rFonts w:ascii="Arial" w:hAnsi="Arial" w:cs="Arial"/>
          <w:bCs/>
          <w:lang w:val="pt-BR" w:eastAsia="es-ES"/>
        </w:rPr>
      </w:pPr>
      <w:r w:rsidRPr="00F9158B">
        <w:rPr>
          <w:rFonts w:ascii="Arial" w:hAnsi="Arial" w:cs="Arial"/>
          <w:bCs/>
          <w:color w:val="FF0000"/>
          <w:lang w:val="pt-BR" w:eastAsia="es-ES"/>
        </w:rPr>
        <w:t xml:space="preserve">A Tabela 5 </w:t>
      </w:r>
      <w:r w:rsidR="00137613" w:rsidRPr="001F27CE">
        <w:rPr>
          <w:rFonts w:ascii="Arial" w:hAnsi="Arial" w:cs="Arial"/>
          <w:bCs/>
          <w:lang w:val="pt-BR" w:eastAsia="es-ES"/>
        </w:rPr>
        <w:t xml:space="preserve">abaixo sintetiza a metodologia usada para estimar o Gap Tributário a partir dos dados do PIB. A Base Tributária Potencial é a soma do PIB </w:t>
      </w:r>
      <w:r w:rsidR="00FC32DF" w:rsidRPr="001F27CE">
        <w:rPr>
          <w:rFonts w:ascii="Arial" w:hAnsi="Arial" w:cs="Arial"/>
          <w:bCs/>
          <w:lang w:val="pt-BR" w:eastAsia="es-ES"/>
        </w:rPr>
        <w:t xml:space="preserve">tributável </w:t>
      </w:r>
      <w:r w:rsidR="00137613" w:rsidRPr="001F27CE">
        <w:rPr>
          <w:rFonts w:ascii="Arial" w:hAnsi="Arial" w:cs="Arial"/>
          <w:bCs/>
          <w:lang w:val="pt-BR" w:eastAsia="es-ES"/>
        </w:rPr>
        <w:t>do estado, das importações de outras unidades da federação</w:t>
      </w:r>
      <w:r w:rsidR="007F1132" w:rsidRPr="001F27CE">
        <w:rPr>
          <w:rFonts w:ascii="Arial" w:hAnsi="Arial" w:cs="Arial"/>
          <w:bCs/>
          <w:lang w:val="pt-BR" w:eastAsia="es-ES"/>
        </w:rPr>
        <w:t xml:space="preserve"> e de outros países</w:t>
      </w:r>
      <w:r w:rsidR="00137613" w:rsidRPr="001F27CE">
        <w:rPr>
          <w:rFonts w:ascii="Arial" w:hAnsi="Arial" w:cs="Arial"/>
          <w:bCs/>
          <w:lang w:val="pt-BR" w:eastAsia="es-ES"/>
        </w:rPr>
        <w:t>, e subtra</w:t>
      </w:r>
      <w:r w:rsidR="007F1132" w:rsidRPr="001F27CE">
        <w:rPr>
          <w:rFonts w:ascii="Arial" w:hAnsi="Arial" w:cs="Arial"/>
          <w:bCs/>
          <w:lang w:val="pt-BR" w:eastAsia="es-ES"/>
        </w:rPr>
        <w:t xml:space="preserve">indo </w:t>
      </w:r>
      <w:r w:rsidR="00137613" w:rsidRPr="001F27CE">
        <w:rPr>
          <w:rFonts w:ascii="Arial" w:hAnsi="Arial" w:cs="Arial"/>
          <w:bCs/>
          <w:lang w:val="pt-BR" w:eastAsia="es-ES"/>
        </w:rPr>
        <w:t>as exportações para o exterior. Aplicando uma alíqu</w:t>
      </w:r>
      <w:r w:rsidR="007F1132" w:rsidRPr="001F27CE">
        <w:rPr>
          <w:rFonts w:ascii="Arial" w:hAnsi="Arial" w:cs="Arial"/>
          <w:bCs/>
          <w:lang w:val="pt-BR" w:eastAsia="es-ES"/>
        </w:rPr>
        <w:t>ota padrão ponderada por setor</w:t>
      </w:r>
      <w:r w:rsidR="00137613" w:rsidRPr="001F27CE">
        <w:rPr>
          <w:rFonts w:ascii="Arial" w:hAnsi="Arial" w:cs="Arial"/>
          <w:bCs/>
          <w:lang w:val="pt-BR" w:eastAsia="es-ES"/>
        </w:rPr>
        <w:t xml:space="preserve">, chega-se ao ICMS Potencial Bruto. </w:t>
      </w:r>
      <w:r w:rsidR="00F32F16" w:rsidRPr="001F27CE">
        <w:rPr>
          <w:rFonts w:ascii="Arial" w:hAnsi="Arial" w:cs="Arial"/>
          <w:bCs/>
          <w:lang w:val="pt-BR" w:eastAsia="es-ES"/>
        </w:rPr>
        <w:t>No entanto é necessário subtrair</w:t>
      </w:r>
      <w:r w:rsidR="007F1132" w:rsidRPr="001F27CE">
        <w:rPr>
          <w:rFonts w:ascii="Arial" w:hAnsi="Arial" w:cs="Arial"/>
          <w:bCs/>
          <w:lang w:val="pt-BR" w:eastAsia="es-ES"/>
        </w:rPr>
        <w:t>,</w:t>
      </w:r>
      <w:r w:rsidR="00F32F16" w:rsidRPr="001F27CE">
        <w:rPr>
          <w:rFonts w:ascii="Arial" w:hAnsi="Arial" w:cs="Arial"/>
          <w:bCs/>
          <w:lang w:val="pt-BR" w:eastAsia="es-ES"/>
        </w:rPr>
        <w:t xml:space="preserve"> deste valor potencial bruto</w:t>
      </w:r>
      <w:r w:rsidR="007F1132" w:rsidRPr="001F27CE">
        <w:rPr>
          <w:rFonts w:ascii="Arial" w:hAnsi="Arial" w:cs="Arial"/>
          <w:bCs/>
          <w:lang w:val="pt-BR" w:eastAsia="es-ES"/>
        </w:rPr>
        <w:t>,</w:t>
      </w:r>
      <w:r w:rsidR="00F32F16" w:rsidRPr="001F27CE">
        <w:rPr>
          <w:rFonts w:ascii="Arial" w:hAnsi="Arial" w:cs="Arial"/>
          <w:bCs/>
          <w:lang w:val="pt-BR" w:eastAsia="es-ES"/>
        </w:rPr>
        <w:t xml:space="preserve"> quatro grandes itens: os créditos pelas entradas, crédito acumulado apropriado, diferença de alíquotas nas saídas interestaduais e a renúncia fiscal</w:t>
      </w:r>
      <w:r w:rsidR="007F1132" w:rsidRPr="001F27CE">
        <w:rPr>
          <w:rFonts w:ascii="Arial" w:hAnsi="Arial" w:cs="Arial"/>
          <w:bCs/>
          <w:lang w:val="pt-BR" w:eastAsia="es-ES"/>
        </w:rPr>
        <w:t>,</w:t>
      </w:r>
      <w:r w:rsidR="00F32F16" w:rsidRPr="001F27CE">
        <w:rPr>
          <w:rFonts w:ascii="Arial" w:hAnsi="Arial" w:cs="Arial"/>
          <w:bCs/>
          <w:lang w:val="pt-BR" w:eastAsia="es-ES"/>
        </w:rPr>
        <w:t xml:space="preserve"> para chegar ao ICMS Potencial Líquido. O Gap Tributário é a diferença entre o ICMS Potencial Líquido e o ICMS arrecadado. O Gap Tributário </w:t>
      </w:r>
      <w:proofErr w:type="gramStart"/>
      <w:r w:rsidR="00F32F16" w:rsidRPr="001F27CE">
        <w:rPr>
          <w:rFonts w:ascii="Arial" w:hAnsi="Arial" w:cs="Arial"/>
          <w:bCs/>
          <w:lang w:val="pt-BR" w:eastAsia="es-ES"/>
        </w:rPr>
        <w:t>incluí</w:t>
      </w:r>
      <w:proofErr w:type="gramEnd"/>
      <w:r w:rsidR="00FC32DF" w:rsidRPr="001F27CE">
        <w:rPr>
          <w:rFonts w:ascii="Arial" w:hAnsi="Arial" w:cs="Arial"/>
          <w:bCs/>
          <w:lang w:val="pt-BR" w:eastAsia="es-ES"/>
        </w:rPr>
        <w:t>,</w:t>
      </w:r>
      <w:r w:rsidR="00F32F16" w:rsidRPr="001F27CE">
        <w:rPr>
          <w:rFonts w:ascii="Arial" w:hAnsi="Arial" w:cs="Arial"/>
          <w:bCs/>
          <w:lang w:val="pt-BR" w:eastAsia="es-ES"/>
        </w:rPr>
        <w:t xml:space="preserve"> além da sonegação, a inadimplência, o litígio administrativo e judicial, a elisão fiscal e as omissões de cálculo.</w:t>
      </w:r>
    </w:p>
    <w:p w14:paraId="294D5540" w14:textId="77777777" w:rsidR="004F29AA" w:rsidRPr="001F27CE" w:rsidRDefault="004F29AA" w:rsidP="004F29AA">
      <w:pPr>
        <w:pStyle w:val="PargrafodaLista"/>
        <w:keepNext/>
        <w:suppressAutoHyphens/>
        <w:spacing w:before="120" w:after="120"/>
        <w:ind w:left="851"/>
        <w:jc w:val="both"/>
        <w:outlineLvl w:val="3"/>
        <w:rPr>
          <w:rFonts w:ascii="Arial" w:hAnsi="Arial" w:cs="Arial"/>
          <w:bCs/>
          <w:lang w:val="pt-BR" w:eastAsia="es-ES"/>
        </w:rPr>
      </w:pPr>
    </w:p>
    <w:tbl>
      <w:tblPr>
        <w:tblW w:w="6300" w:type="dxa"/>
        <w:jc w:val="center"/>
        <w:tblLook w:val="04A0" w:firstRow="1" w:lastRow="0" w:firstColumn="1" w:lastColumn="0" w:noHBand="0" w:noVBand="1"/>
      </w:tblPr>
      <w:tblGrid>
        <w:gridCol w:w="740"/>
        <w:gridCol w:w="5560"/>
      </w:tblGrid>
      <w:tr w:rsidR="00F9158B" w:rsidRPr="00F9158B" w14:paraId="3056C80D" w14:textId="77777777" w:rsidTr="00F9158B">
        <w:trPr>
          <w:trHeight w:val="285"/>
          <w:jc w:val="center"/>
        </w:trPr>
        <w:tc>
          <w:tcPr>
            <w:tcW w:w="6300" w:type="dxa"/>
            <w:gridSpan w:val="2"/>
            <w:tcBorders>
              <w:bottom w:val="single" w:sz="4" w:space="0" w:color="auto"/>
            </w:tcBorders>
            <w:shd w:val="clear" w:color="000000" w:fill="FFFFFF" w:themeFill="background1"/>
            <w:noWrap/>
            <w:vAlign w:val="bottom"/>
          </w:tcPr>
          <w:p w14:paraId="137CA872" w14:textId="52A2A088" w:rsidR="00F9158B" w:rsidRPr="00F9158B" w:rsidRDefault="00F9158B" w:rsidP="00254F38">
            <w:pPr>
              <w:rPr>
                <w:rFonts w:ascii="Arial" w:hAnsi="Arial" w:cs="Arial"/>
                <w:b/>
                <w:bCs/>
                <w:sz w:val="20"/>
                <w:szCs w:val="20"/>
                <w:lang w:val="pt-BR"/>
              </w:rPr>
            </w:pPr>
            <w:r w:rsidRPr="00F9158B">
              <w:rPr>
                <w:rFonts w:ascii="Arial" w:hAnsi="Arial" w:cs="Arial"/>
                <w:b/>
                <w:bCs/>
                <w:color w:val="FF0000"/>
                <w:sz w:val="20"/>
                <w:szCs w:val="20"/>
                <w:lang w:val="pt-BR"/>
              </w:rPr>
              <w:t>Tabela 5:</w:t>
            </w:r>
            <w:r w:rsidRPr="00F9158B">
              <w:rPr>
                <w:rFonts w:ascii="Arial" w:hAnsi="Arial" w:cs="Arial"/>
                <w:b/>
                <w:bCs/>
                <w:sz w:val="20"/>
                <w:szCs w:val="20"/>
                <w:lang w:val="pt-BR"/>
              </w:rPr>
              <w:t xml:space="preserve"> Metodologia de Estimativa do Gap Tributário</w:t>
            </w:r>
          </w:p>
        </w:tc>
      </w:tr>
      <w:tr w:rsidR="00827D19" w:rsidRPr="001F27CE" w14:paraId="294D5543" w14:textId="77777777" w:rsidTr="00F9158B">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41" w14:textId="77777777" w:rsidR="00827D19" w:rsidRPr="001F27CE" w:rsidRDefault="00827D19" w:rsidP="00254F38">
            <w:pPr>
              <w:jc w:val="center"/>
              <w:rPr>
                <w:rFonts w:ascii="Arial" w:hAnsi="Arial" w:cs="Arial"/>
                <w:b/>
                <w:bCs/>
                <w:color w:val="FFFFFF"/>
                <w:sz w:val="20"/>
                <w:szCs w:val="20"/>
                <w:lang w:val="pt-BR"/>
              </w:rPr>
            </w:pPr>
          </w:p>
        </w:tc>
        <w:tc>
          <w:tcPr>
            <w:tcW w:w="556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42" w14:textId="77777777" w:rsidR="00827D19" w:rsidRPr="001F27CE" w:rsidRDefault="00827D19" w:rsidP="00254F38">
            <w:pPr>
              <w:rPr>
                <w:rFonts w:ascii="Arial" w:hAnsi="Arial" w:cs="Arial"/>
                <w:b/>
                <w:bCs/>
                <w:color w:val="FFFFFF"/>
                <w:sz w:val="20"/>
                <w:szCs w:val="20"/>
              </w:rPr>
            </w:pPr>
            <w:r w:rsidRPr="001F27CE">
              <w:rPr>
                <w:rFonts w:ascii="Arial" w:hAnsi="Arial" w:cs="Arial"/>
                <w:b/>
                <w:bCs/>
                <w:color w:val="FFFFFF"/>
                <w:sz w:val="20"/>
                <w:szCs w:val="20"/>
              </w:rPr>
              <w:t>PIB UFs</w:t>
            </w:r>
          </w:p>
        </w:tc>
      </w:tr>
      <w:tr w:rsidR="00827D19" w:rsidRPr="001F27CE" w14:paraId="294D5546"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44"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45"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Importação</w:t>
            </w:r>
            <w:proofErr w:type="spellEnd"/>
            <w:r w:rsidRPr="001F27CE">
              <w:rPr>
                <w:rFonts w:ascii="Arial" w:hAnsi="Arial" w:cs="Arial"/>
                <w:sz w:val="20"/>
                <w:szCs w:val="20"/>
              </w:rPr>
              <w:t xml:space="preserve"> (UFs)</w:t>
            </w:r>
          </w:p>
        </w:tc>
      </w:tr>
      <w:tr w:rsidR="00827D19" w:rsidRPr="001F27CE" w14:paraId="294D5549"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47"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48"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Importação</w:t>
            </w:r>
            <w:proofErr w:type="spellEnd"/>
            <w:r w:rsidRPr="001F27CE">
              <w:rPr>
                <w:rFonts w:ascii="Arial" w:hAnsi="Arial" w:cs="Arial"/>
                <w:sz w:val="20"/>
                <w:szCs w:val="20"/>
              </w:rPr>
              <w:t xml:space="preserve"> (Exterior)</w:t>
            </w:r>
          </w:p>
        </w:tc>
      </w:tr>
      <w:tr w:rsidR="00827D19" w:rsidRPr="001F27CE" w14:paraId="294D554C"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4A"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4B"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Exportação</w:t>
            </w:r>
            <w:proofErr w:type="spellEnd"/>
            <w:r w:rsidRPr="001F27CE">
              <w:rPr>
                <w:rFonts w:ascii="Arial" w:hAnsi="Arial" w:cs="Arial"/>
                <w:sz w:val="20"/>
                <w:szCs w:val="20"/>
              </w:rPr>
              <w:t xml:space="preserve"> (Exterior)</w:t>
            </w:r>
          </w:p>
        </w:tc>
      </w:tr>
      <w:tr w:rsidR="00827D19" w:rsidRPr="001F27CE" w14:paraId="294D554F"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4D" w14:textId="77777777" w:rsidR="00827D19" w:rsidRPr="001F27CE" w:rsidRDefault="00827D19" w:rsidP="00254F38">
            <w:pPr>
              <w:jc w:val="center"/>
              <w:rPr>
                <w:rFonts w:ascii="Arial" w:hAnsi="Arial" w:cs="Arial"/>
                <w:b/>
                <w:bCs/>
                <w:color w:val="FFFFFF"/>
                <w:sz w:val="20"/>
                <w:szCs w:val="20"/>
              </w:rPr>
            </w:pPr>
            <w:r w:rsidRPr="001F27CE">
              <w:rPr>
                <w:rFonts w:ascii="Arial" w:hAnsi="Arial" w:cs="Arial"/>
                <w:b/>
                <w:bCs/>
                <w:color w:val="FFFFFF"/>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4E" w14:textId="77777777" w:rsidR="00827D19" w:rsidRPr="001F27CE" w:rsidRDefault="00827D19" w:rsidP="00254F38">
            <w:pPr>
              <w:rPr>
                <w:rFonts w:ascii="Arial" w:hAnsi="Arial" w:cs="Arial"/>
                <w:b/>
                <w:bCs/>
                <w:color w:val="FFFFFF"/>
                <w:sz w:val="20"/>
                <w:szCs w:val="20"/>
              </w:rPr>
            </w:pPr>
            <w:r w:rsidRPr="001F27CE">
              <w:rPr>
                <w:rFonts w:ascii="Arial" w:hAnsi="Arial" w:cs="Arial"/>
                <w:b/>
                <w:bCs/>
                <w:color w:val="FFFFFF"/>
                <w:sz w:val="20"/>
                <w:szCs w:val="20"/>
              </w:rPr>
              <w:t xml:space="preserve">Base </w:t>
            </w:r>
            <w:proofErr w:type="spellStart"/>
            <w:r w:rsidRPr="001F27CE">
              <w:rPr>
                <w:rFonts w:ascii="Arial" w:hAnsi="Arial" w:cs="Arial"/>
                <w:b/>
                <w:bCs/>
                <w:color w:val="FFFFFF"/>
                <w:sz w:val="20"/>
                <w:szCs w:val="20"/>
              </w:rPr>
              <w:t>Tributária</w:t>
            </w:r>
            <w:proofErr w:type="spellEnd"/>
            <w:r w:rsidRPr="001F27CE">
              <w:rPr>
                <w:rFonts w:ascii="Arial" w:hAnsi="Arial" w:cs="Arial"/>
                <w:b/>
                <w:bCs/>
                <w:color w:val="FFFFFF"/>
                <w:sz w:val="20"/>
                <w:szCs w:val="20"/>
              </w:rPr>
              <w:t xml:space="preserve"> </w:t>
            </w:r>
            <w:proofErr w:type="spellStart"/>
            <w:r w:rsidRPr="001F27CE">
              <w:rPr>
                <w:rFonts w:ascii="Arial" w:hAnsi="Arial" w:cs="Arial"/>
                <w:b/>
                <w:bCs/>
                <w:color w:val="FFFFFF"/>
                <w:sz w:val="20"/>
                <w:szCs w:val="20"/>
              </w:rPr>
              <w:t>Potencial</w:t>
            </w:r>
            <w:proofErr w:type="spellEnd"/>
          </w:p>
        </w:tc>
      </w:tr>
      <w:tr w:rsidR="00827D19" w:rsidRPr="001F27CE" w14:paraId="294D5552"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0"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(x)</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1"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Alíquota</w:t>
            </w:r>
            <w:proofErr w:type="spellEnd"/>
            <w:r w:rsidRPr="001F27CE">
              <w:rPr>
                <w:rFonts w:ascii="Arial" w:hAnsi="Arial" w:cs="Arial"/>
                <w:sz w:val="20"/>
                <w:szCs w:val="20"/>
              </w:rPr>
              <w:t xml:space="preserve"> </w:t>
            </w:r>
            <w:proofErr w:type="spellStart"/>
            <w:r w:rsidRPr="001F27CE">
              <w:rPr>
                <w:rFonts w:ascii="Arial" w:hAnsi="Arial" w:cs="Arial"/>
                <w:sz w:val="20"/>
                <w:szCs w:val="20"/>
              </w:rPr>
              <w:t>padrão</w:t>
            </w:r>
            <w:proofErr w:type="spellEnd"/>
            <w:r w:rsidRPr="001F27CE">
              <w:rPr>
                <w:rFonts w:ascii="Arial" w:hAnsi="Arial" w:cs="Arial"/>
                <w:sz w:val="20"/>
                <w:szCs w:val="20"/>
              </w:rPr>
              <w:t xml:space="preserve"> </w:t>
            </w:r>
            <w:proofErr w:type="spellStart"/>
            <w:r w:rsidRPr="001F27CE">
              <w:rPr>
                <w:rFonts w:ascii="Arial" w:hAnsi="Arial" w:cs="Arial"/>
                <w:sz w:val="20"/>
                <w:szCs w:val="20"/>
              </w:rPr>
              <w:t>ponderada</w:t>
            </w:r>
            <w:proofErr w:type="spellEnd"/>
          </w:p>
        </w:tc>
      </w:tr>
      <w:tr w:rsidR="00827D19" w:rsidRPr="001F27CE" w14:paraId="294D5555"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53" w14:textId="77777777" w:rsidR="00827D19" w:rsidRPr="001F27CE" w:rsidRDefault="00827D19" w:rsidP="00254F38">
            <w:pPr>
              <w:jc w:val="center"/>
              <w:rPr>
                <w:rFonts w:ascii="Arial" w:hAnsi="Arial" w:cs="Arial"/>
                <w:b/>
                <w:bCs/>
                <w:color w:val="FFFFFF"/>
                <w:sz w:val="20"/>
                <w:szCs w:val="20"/>
              </w:rPr>
            </w:pPr>
            <w:r w:rsidRPr="001F27CE">
              <w:rPr>
                <w:rFonts w:ascii="Arial" w:hAnsi="Arial" w:cs="Arial"/>
                <w:b/>
                <w:bCs/>
                <w:color w:val="FFFFFF"/>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54" w14:textId="77777777" w:rsidR="00827D19" w:rsidRPr="001F27CE" w:rsidRDefault="00827D19" w:rsidP="00254F38">
            <w:pPr>
              <w:rPr>
                <w:rFonts w:ascii="Arial" w:hAnsi="Arial" w:cs="Arial"/>
                <w:b/>
                <w:bCs/>
                <w:color w:val="FFFFFF"/>
                <w:sz w:val="20"/>
                <w:szCs w:val="20"/>
              </w:rPr>
            </w:pPr>
            <w:r w:rsidRPr="001F27CE">
              <w:rPr>
                <w:rFonts w:ascii="Arial" w:hAnsi="Arial" w:cs="Arial"/>
                <w:b/>
                <w:bCs/>
                <w:color w:val="FFFFFF"/>
                <w:sz w:val="20"/>
                <w:szCs w:val="20"/>
              </w:rPr>
              <w:t xml:space="preserve">ICMS </w:t>
            </w:r>
            <w:proofErr w:type="spellStart"/>
            <w:r w:rsidRPr="001F27CE">
              <w:rPr>
                <w:rFonts w:ascii="Arial" w:hAnsi="Arial" w:cs="Arial"/>
                <w:b/>
                <w:bCs/>
                <w:color w:val="FFFFFF"/>
                <w:sz w:val="20"/>
                <w:szCs w:val="20"/>
              </w:rPr>
              <w:t>Potencial</w:t>
            </w:r>
            <w:proofErr w:type="spellEnd"/>
            <w:r w:rsidRPr="001F27CE">
              <w:rPr>
                <w:rFonts w:ascii="Arial" w:hAnsi="Arial" w:cs="Arial"/>
                <w:b/>
                <w:bCs/>
                <w:color w:val="FFFFFF"/>
                <w:sz w:val="20"/>
                <w:szCs w:val="20"/>
              </w:rPr>
              <w:t xml:space="preserve"> </w:t>
            </w:r>
            <w:proofErr w:type="spellStart"/>
            <w:r w:rsidRPr="001F27CE">
              <w:rPr>
                <w:rFonts w:ascii="Arial" w:hAnsi="Arial" w:cs="Arial"/>
                <w:b/>
                <w:bCs/>
                <w:color w:val="FFFFFF"/>
                <w:sz w:val="20"/>
                <w:szCs w:val="20"/>
              </w:rPr>
              <w:t>Bruto</w:t>
            </w:r>
            <w:proofErr w:type="spellEnd"/>
          </w:p>
        </w:tc>
      </w:tr>
      <w:tr w:rsidR="00827D19" w:rsidRPr="001F27CE" w14:paraId="294D5558"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6"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7"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Crédito</w:t>
            </w:r>
            <w:proofErr w:type="spellEnd"/>
            <w:r w:rsidRPr="001F27CE">
              <w:rPr>
                <w:rFonts w:ascii="Arial" w:hAnsi="Arial" w:cs="Arial"/>
                <w:sz w:val="20"/>
                <w:szCs w:val="20"/>
              </w:rPr>
              <w:t xml:space="preserve"> </w:t>
            </w:r>
            <w:proofErr w:type="spellStart"/>
            <w:r w:rsidRPr="001F27CE">
              <w:rPr>
                <w:rFonts w:ascii="Arial" w:hAnsi="Arial" w:cs="Arial"/>
                <w:sz w:val="20"/>
                <w:szCs w:val="20"/>
              </w:rPr>
              <w:t>pelas</w:t>
            </w:r>
            <w:proofErr w:type="spellEnd"/>
            <w:r w:rsidRPr="001F27CE">
              <w:rPr>
                <w:rFonts w:ascii="Arial" w:hAnsi="Arial" w:cs="Arial"/>
                <w:sz w:val="20"/>
                <w:szCs w:val="20"/>
              </w:rPr>
              <w:t xml:space="preserve"> entradas</w:t>
            </w:r>
          </w:p>
        </w:tc>
      </w:tr>
      <w:tr w:rsidR="00827D19" w:rsidRPr="001F27CE" w14:paraId="294D555B"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9"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A"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Crédito</w:t>
            </w:r>
            <w:proofErr w:type="spellEnd"/>
            <w:r w:rsidRPr="001F27CE">
              <w:rPr>
                <w:rFonts w:ascii="Arial" w:hAnsi="Arial" w:cs="Arial"/>
                <w:sz w:val="20"/>
                <w:szCs w:val="20"/>
              </w:rPr>
              <w:t xml:space="preserve"> </w:t>
            </w:r>
            <w:proofErr w:type="spellStart"/>
            <w:r w:rsidRPr="001F27CE">
              <w:rPr>
                <w:rFonts w:ascii="Arial" w:hAnsi="Arial" w:cs="Arial"/>
                <w:sz w:val="20"/>
                <w:szCs w:val="20"/>
              </w:rPr>
              <w:t>acumulado</w:t>
            </w:r>
            <w:proofErr w:type="spellEnd"/>
            <w:r w:rsidRPr="001F27CE">
              <w:rPr>
                <w:rFonts w:ascii="Arial" w:hAnsi="Arial" w:cs="Arial"/>
                <w:sz w:val="20"/>
                <w:szCs w:val="20"/>
              </w:rPr>
              <w:t xml:space="preserve"> </w:t>
            </w:r>
            <w:proofErr w:type="spellStart"/>
            <w:r w:rsidRPr="001F27CE">
              <w:rPr>
                <w:rFonts w:ascii="Arial" w:hAnsi="Arial" w:cs="Arial"/>
                <w:sz w:val="20"/>
                <w:szCs w:val="20"/>
              </w:rPr>
              <w:t>apropriado</w:t>
            </w:r>
            <w:proofErr w:type="spellEnd"/>
          </w:p>
        </w:tc>
      </w:tr>
      <w:tr w:rsidR="00827D19" w:rsidRPr="00D14310" w14:paraId="294D555E"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C"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D" w14:textId="77777777" w:rsidR="00827D19" w:rsidRPr="001F27CE" w:rsidRDefault="00827D19" w:rsidP="00254F38">
            <w:pPr>
              <w:ind w:firstLineChars="200" w:firstLine="400"/>
              <w:rPr>
                <w:rFonts w:ascii="Arial" w:hAnsi="Arial" w:cs="Arial"/>
                <w:sz w:val="20"/>
                <w:szCs w:val="20"/>
                <w:lang w:val="pt-BR"/>
              </w:rPr>
            </w:pPr>
            <w:r w:rsidRPr="001F27CE">
              <w:rPr>
                <w:rFonts w:ascii="Arial" w:hAnsi="Arial" w:cs="Arial"/>
                <w:sz w:val="20"/>
                <w:szCs w:val="20"/>
                <w:lang w:val="pt-BR"/>
              </w:rPr>
              <w:t>Diferença de alíquota nas saídas interestaduais</w:t>
            </w:r>
          </w:p>
        </w:tc>
      </w:tr>
      <w:tr w:rsidR="00827D19" w:rsidRPr="001F27CE" w14:paraId="294D5561"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5F"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60"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Renúncia</w:t>
            </w:r>
            <w:proofErr w:type="spellEnd"/>
            <w:r w:rsidRPr="001F27CE">
              <w:rPr>
                <w:rFonts w:ascii="Arial" w:hAnsi="Arial" w:cs="Arial"/>
                <w:sz w:val="20"/>
                <w:szCs w:val="20"/>
              </w:rPr>
              <w:t xml:space="preserve"> Fiscal</w:t>
            </w:r>
          </w:p>
        </w:tc>
      </w:tr>
      <w:tr w:rsidR="00827D19" w:rsidRPr="001F27CE" w14:paraId="294D5564"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62" w14:textId="77777777" w:rsidR="00827D19" w:rsidRPr="001F27CE" w:rsidRDefault="00827D19" w:rsidP="00254F38">
            <w:pPr>
              <w:jc w:val="center"/>
              <w:rPr>
                <w:rFonts w:ascii="Arial" w:hAnsi="Arial" w:cs="Arial"/>
                <w:b/>
                <w:bCs/>
                <w:color w:val="FFFFFF"/>
                <w:sz w:val="20"/>
                <w:szCs w:val="20"/>
              </w:rPr>
            </w:pPr>
            <w:r w:rsidRPr="001F27CE">
              <w:rPr>
                <w:rFonts w:ascii="Arial" w:hAnsi="Arial" w:cs="Arial"/>
                <w:b/>
                <w:bCs/>
                <w:color w:val="FFFFFF"/>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63" w14:textId="77777777" w:rsidR="00827D19" w:rsidRPr="001F27CE" w:rsidRDefault="00827D19" w:rsidP="00254F38">
            <w:pPr>
              <w:rPr>
                <w:rFonts w:ascii="Arial" w:hAnsi="Arial" w:cs="Arial"/>
                <w:b/>
                <w:bCs/>
                <w:color w:val="FFFFFF"/>
                <w:sz w:val="20"/>
                <w:szCs w:val="20"/>
              </w:rPr>
            </w:pPr>
            <w:r w:rsidRPr="001F27CE">
              <w:rPr>
                <w:rFonts w:ascii="Arial" w:hAnsi="Arial" w:cs="Arial"/>
                <w:b/>
                <w:bCs/>
                <w:color w:val="FFFFFF"/>
                <w:sz w:val="20"/>
                <w:szCs w:val="20"/>
              </w:rPr>
              <w:t xml:space="preserve">ICMS </w:t>
            </w:r>
            <w:proofErr w:type="spellStart"/>
            <w:r w:rsidRPr="001F27CE">
              <w:rPr>
                <w:rFonts w:ascii="Arial" w:hAnsi="Arial" w:cs="Arial"/>
                <w:b/>
                <w:bCs/>
                <w:color w:val="FFFFFF"/>
                <w:sz w:val="20"/>
                <w:szCs w:val="20"/>
              </w:rPr>
              <w:t>Potencial</w:t>
            </w:r>
            <w:proofErr w:type="spellEnd"/>
            <w:r w:rsidRPr="001F27CE">
              <w:rPr>
                <w:rFonts w:ascii="Arial" w:hAnsi="Arial" w:cs="Arial"/>
                <w:b/>
                <w:bCs/>
                <w:color w:val="FFFFFF"/>
                <w:sz w:val="20"/>
                <w:szCs w:val="20"/>
              </w:rPr>
              <w:t xml:space="preserve"> </w:t>
            </w:r>
            <w:proofErr w:type="spellStart"/>
            <w:r w:rsidRPr="001F27CE">
              <w:rPr>
                <w:rFonts w:ascii="Arial" w:hAnsi="Arial" w:cs="Arial"/>
                <w:b/>
                <w:bCs/>
                <w:color w:val="FFFFFF"/>
                <w:sz w:val="20"/>
                <w:szCs w:val="20"/>
              </w:rPr>
              <w:t>Líquido</w:t>
            </w:r>
            <w:proofErr w:type="spellEnd"/>
          </w:p>
        </w:tc>
      </w:tr>
      <w:tr w:rsidR="00827D19" w:rsidRPr="001F27CE" w14:paraId="294D5567"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4D5565"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4D5566" w14:textId="77777777" w:rsidR="00827D19" w:rsidRPr="001F27CE" w:rsidRDefault="00827D19" w:rsidP="00254F38">
            <w:pPr>
              <w:rPr>
                <w:rFonts w:ascii="Arial" w:hAnsi="Arial" w:cs="Arial"/>
                <w:b/>
                <w:bCs/>
                <w:sz w:val="20"/>
                <w:szCs w:val="20"/>
              </w:rPr>
            </w:pPr>
            <w:r w:rsidRPr="001F27CE">
              <w:rPr>
                <w:rFonts w:ascii="Arial" w:hAnsi="Arial" w:cs="Arial"/>
                <w:b/>
                <w:bCs/>
                <w:sz w:val="20"/>
                <w:szCs w:val="20"/>
              </w:rPr>
              <w:t xml:space="preserve">ICMS </w:t>
            </w:r>
            <w:proofErr w:type="spellStart"/>
            <w:r w:rsidRPr="001F27CE">
              <w:rPr>
                <w:rFonts w:ascii="Arial" w:hAnsi="Arial" w:cs="Arial"/>
                <w:b/>
                <w:bCs/>
                <w:sz w:val="20"/>
                <w:szCs w:val="20"/>
              </w:rPr>
              <w:t>Arrecadado</w:t>
            </w:r>
            <w:proofErr w:type="spellEnd"/>
          </w:p>
        </w:tc>
      </w:tr>
      <w:tr w:rsidR="00827D19" w:rsidRPr="001F27CE" w14:paraId="294D556A"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68" w14:textId="77777777" w:rsidR="00827D19" w:rsidRPr="001F27CE" w:rsidRDefault="00827D19" w:rsidP="00254F38">
            <w:pPr>
              <w:jc w:val="center"/>
              <w:rPr>
                <w:rFonts w:ascii="Arial" w:hAnsi="Arial" w:cs="Arial"/>
                <w:b/>
                <w:bCs/>
                <w:color w:val="FFFFFF"/>
                <w:sz w:val="20"/>
                <w:szCs w:val="20"/>
              </w:rPr>
            </w:pPr>
            <w:r w:rsidRPr="001F27CE">
              <w:rPr>
                <w:rFonts w:ascii="Arial" w:hAnsi="Arial" w:cs="Arial"/>
                <w:b/>
                <w:bCs/>
                <w:color w:val="FFFFFF"/>
                <w:sz w:val="20"/>
                <w:szCs w:val="20"/>
              </w:rPr>
              <w:t>(=)</w:t>
            </w:r>
          </w:p>
        </w:tc>
        <w:tc>
          <w:tcPr>
            <w:tcW w:w="5560" w:type="dxa"/>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69" w14:textId="77777777" w:rsidR="00827D19" w:rsidRPr="001F27CE" w:rsidRDefault="00827D19" w:rsidP="00254F38">
            <w:pPr>
              <w:rPr>
                <w:rFonts w:ascii="Arial" w:hAnsi="Arial" w:cs="Arial"/>
                <w:b/>
                <w:bCs/>
                <w:color w:val="FF0000"/>
                <w:sz w:val="20"/>
                <w:szCs w:val="20"/>
              </w:rPr>
            </w:pPr>
            <w:r w:rsidRPr="001F27CE">
              <w:rPr>
                <w:rFonts w:ascii="Arial" w:hAnsi="Arial" w:cs="Arial"/>
                <w:b/>
                <w:bCs/>
                <w:color w:val="FF0000"/>
                <w:sz w:val="20"/>
                <w:szCs w:val="20"/>
              </w:rPr>
              <w:t xml:space="preserve">GAP </w:t>
            </w:r>
            <w:proofErr w:type="spellStart"/>
            <w:r w:rsidRPr="001F27CE">
              <w:rPr>
                <w:rFonts w:ascii="Arial" w:hAnsi="Arial" w:cs="Arial"/>
                <w:b/>
                <w:bCs/>
                <w:color w:val="FF0000"/>
                <w:sz w:val="20"/>
                <w:szCs w:val="20"/>
              </w:rPr>
              <w:t>Tributário</w:t>
            </w:r>
            <w:proofErr w:type="spellEnd"/>
          </w:p>
        </w:tc>
      </w:tr>
      <w:tr w:rsidR="00827D19" w:rsidRPr="001F27CE" w14:paraId="294D556D"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294D556B"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 </w:t>
            </w:r>
          </w:p>
        </w:tc>
        <w:tc>
          <w:tcPr>
            <w:tcW w:w="556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294D556C"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Inadimplência</w:t>
            </w:r>
            <w:proofErr w:type="spellEnd"/>
          </w:p>
        </w:tc>
      </w:tr>
      <w:tr w:rsidR="00827D19" w:rsidRPr="001F27CE" w14:paraId="294D5570"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294D556E"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 </w:t>
            </w:r>
          </w:p>
        </w:tc>
        <w:tc>
          <w:tcPr>
            <w:tcW w:w="556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294D556F"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Litígio</w:t>
            </w:r>
            <w:proofErr w:type="spellEnd"/>
            <w:r w:rsidRPr="001F27CE">
              <w:rPr>
                <w:rFonts w:ascii="Arial" w:hAnsi="Arial" w:cs="Arial"/>
                <w:sz w:val="20"/>
                <w:szCs w:val="20"/>
              </w:rPr>
              <w:t xml:space="preserve"> </w:t>
            </w:r>
            <w:proofErr w:type="spellStart"/>
            <w:r w:rsidRPr="001F27CE">
              <w:rPr>
                <w:rFonts w:ascii="Arial" w:hAnsi="Arial" w:cs="Arial"/>
                <w:sz w:val="20"/>
                <w:szCs w:val="20"/>
              </w:rPr>
              <w:t>Administrativo</w:t>
            </w:r>
            <w:proofErr w:type="spellEnd"/>
            <w:r w:rsidRPr="001F27CE">
              <w:rPr>
                <w:rFonts w:ascii="Arial" w:hAnsi="Arial" w:cs="Arial"/>
                <w:sz w:val="20"/>
                <w:szCs w:val="20"/>
              </w:rPr>
              <w:t xml:space="preserve"> e Judicial</w:t>
            </w:r>
          </w:p>
        </w:tc>
      </w:tr>
      <w:tr w:rsidR="00827D19" w:rsidRPr="001F27CE" w14:paraId="294D5573"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294D5571"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 </w:t>
            </w:r>
          </w:p>
        </w:tc>
        <w:tc>
          <w:tcPr>
            <w:tcW w:w="556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294D5572"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Elisão</w:t>
            </w:r>
            <w:proofErr w:type="spellEnd"/>
          </w:p>
        </w:tc>
      </w:tr>
      <w:tr w:rsidR="00827D19" w:rsidRPr="001F27CE" w14:paraId="294D5576"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294D5574"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 </w:t>
            </w:r>
          </w:p>
        </w:tc>
        <w:tc>
          <w:tcPr>
            <w:tcW w:w="556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294D5575"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Sonegação</w:t>
            </w:r>
            <w:proofErr w:type="spellEnd"/>
          </w:p>
        </w:tc>
      </w:tr>
      <w:tr w:rsidR="00827D19" w:rsidRPr="001F27CE" w14:paraId="294D5579" w14:textId="77777777" w:rsidTr="00254F38">
        <w:trPr>
          <w:trHeight w:val="285"/>
          <w:jc w:val="center"/>
        </w:trPr>
        <w:tc>
          <w:tcPr>
            <w:tcW w:w="74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294D5577" w14:textId="77777777" w:rsidR="00827D19" w:rsidRPr="001F27CE" w:rsidRDefault="00827D19" w:rsidP="00254F38">
            <w:pPr>
              <w:jc w:val="center"/>
              <w:rPr>
                <w:rFonts w:ascii="Arial" w:hAnsi="Arial" w:cs="Arial"/>
                <w:b/>
                <w:bCs/>
                <w:sz w:val="20"/>
                <w:szCs w:val="20"/>
              </w:rPr>
            </w:pPr>
            <w:r w:rsidRPr="001F27CE">
              <w:rPr>
                <w:rFonts w:ascii="Arial" w:hAnsi="Arial" w:cs="Arial"/>
                <w:b/>
                <w:bCs/>
                <w:sz w:val="20"/>
                <w:szCs w:val="20"/>
              </w:rPr>
              <w:t> </w:t>
            </w:r>
          </w:p>
        </w:tc>
        <w:tc>
          <w:tcPr>
            <w:tcW w:w="556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14:paraId="294D5578" w14:textId="77777777" w:rsidR="00827D19" w:rsidRPr="001F27CE" w:rsidRDefault="00827D19" w:rsidP="00254F38">
            <w:pPr>
              <w:ind w:firstLineChars="200" w:firstLine="400"/>
              <w:rPr>
                <w:rFonts w:ascii="Arial" w:hAnsi="Arial" w:cs="Arial"/>
                <w:sz w:val="20"/>
                <w:szCs w:val="20"/>
              </w:rPr>
            </w:pPr>
            <w:proofErr w:type="spellStart"/>
            <w:r w:rsidRPr="001F27CE">
              <w:rPr>
                <w:rFonts w:ascii="Arial" w:hAnsi="Arial" w:cs="Arial"/>
                <w:sz w:val="20"/>
                <w:szCs w:val="20"/>
              </w:rPr>
              <w:t>Omissões</w:t>
            </w:r>
            <w:proofErr w:type="spellEnd"/>
            <w:r w:rsidRPr="001F27CE">
              <w:rPr>
                <w:rFonts w:ascii="Arial" w:hAnsi="Arial" w:cs="Arial"/>
                <w:sz w:val="20"/>
                <w:szCs w:val="20"/>
              </w:rPr>
              <w:t xml:space="preserve"> de </w:t>
            </w:r>
            <w:proofErr w:type="spellStart"/>
            <w:r w:rsidRPr="001F27CE">
              <w:rPr>
                <w:rFonts w:ascii="Arial" w:hAnsi="Arial" w:cs="Arial"/>
                <w:sz w:val="20"/>
                <w:szCs w:val="20"/>
              </w:rPr>
              <w:t>cálculo</w:t>
            </w:r>
            <w:proofErr w:type="spellEnd"/>
          </w:p>
        </w:tc>
      </w:tr>
      <w:tr w:rsidR="00827D19" w:rsidRPr="00D14310" w14:paraId="294D557B" w14:textId="77777777" w:rsidTr="00F9158B">
        <w:trPr>
          <w:trHeight w:val="285"/>
          <w:jc w:val="center"/>
        </w:trPr>
        <w:tc>
          <w:tcPr>
            <w:tcW w:w="6300" w:type="dxa"/>
            <w:gridSpan w:val="2"/>
            <w:tcBorders>
              <w:top w:val="single" w:sz="4" w:space="0" w:color="auto"/>
              <w:left w:val="single" w:sz="4" w:space="0" w:color="auto"/>
              <w:bottom w:val="single" w:sz="4" w:space="0" w:color="auto"/>
              <w:right w:val="single" w:sz="4" w:space="0" w:color="auto"/>
            </w:tcBorders>
            <w:shd w:val="clear" w:color="000000" w:fill="969696"/>
            <w:noWrap/>
            <w:vAlign w:val="bottom"/>
            <w:hideMark/>
          </w:tcPr>
          <w:p w14:paraId="294D557A" w14:textId="77777777" w:rsidR="00827D19" w:rsidRPr="001F27CE" w:rsidRDefault="00827D19" w:rsidP="003B5CF7">
            <w:pPr>
              <w:rPr>
                <w:rFonts w:ascii="Arial" w:hAnsi="Arial" w:cs="Arial"/>
                <w:b/>
                <w:bCs/>
                <w:color w:val="FFFFFF"/>
                <w:sz w:val="20"/>
                <w:szCs w:val="20"/>
                <w:lang w:val="pt-BR"/>
              </w:rPr>
            </w:pPr>
            <w:r w:rsidRPr="001F27CE">
              <w:rPr>
                <w:rFonts w:ascii="Arial" w:hAnsi="Arial" w:cs="Arial"/>
                <w:b/>
                <w:bCs/>
                <w:color w:val="FFFFFF"/>
                <w:sz w:val="20"/>
                <w:szCs w:val="20"/>
                <w:lang w:val="pt-BR"/>
              </w:rPr>
              <w:t>Eficiência Tributária = ICMS Arrecadado/ ICMS Potencial Líquido</w:t>
            </w:r>
          </w:p>
        </w:tc>
      </w:tr>
      <w:tr w:rsidR="00F9158B" w:rsidRPr="00D14310" w14:paraId="38DE830F" w14:textId="77777777" w:rsidTr="00F9158B">
        <w:trPr>
          <w:trHeight w:val="285"/>
          <w:jc w:val="center"/>
        </w:trPr>
        <w:tc>
          <w:tcPr>
            <w:tcW w:w="6300" w:type="dxa"/>
            <w:gridSpan w:val="2"/>
            <w:tcBorders>
              <w:top w:val="single" w:sz="4" w:space="0" w:color="auto"/>
              <w:left w:val="single" w:sz="4" w:space="0" w:color="auto"/>
              <w:bottom w:val="single" w:sz="4" w:space="0" w:color="auto"/>
              <w:right w:val="single" w:sz="4" w:space="0" w:color="auto"/>
            </w:tcBorders>
            <w:shd w:val="clear" w:color="000000" w:fill="auto"/>
            <w:noWrap/>
            <w:vAlign w:val="bottom"/>
          </w:tcPr>
          <w:p w14:paraId="07288763" w14:textId="15A98015" w:rsidR="00F9158B" w:rsidRPr="00F9158B" w:rsidRDefault="00F9158B" w:rsidP="00F9158B">
            <w:pPr>
              <w:pStyle w:val="Paragraph"/>
              <w:numPr>
                <w:ilvl w:val="0"/>
                <w:numId w:val="0"/>
              </w:numPr>
              <w:ind w:left="720" w:hanging="720"/>
              <w:outlineLvl w:val="9"/>
              <w:rPr>
                <w:rFonts w:ascii="Arial" w:hAnsi="Arial" w:cs="Arial"/>
                <w:b/>
                <w:bCs/>
                <w:sz w:val="20"/>
                <w:lang w:val="pt-BR"/>
              </w:rPr>
            </w:pPr>
            <w:r w:rsidRPr="00F9158B">
              <w:rPr>
                <w:rFonts w:ascii="Arial" w:hAnsi="Arial" w:cs="Arial"/>
                <w:b/>
                <w:bCs/>
                <w:color w:val="FF0000"/>
                <w:sz w:val="20"/>
                <w:lang w:val="pt-BR"/>
              </w:rPr>
              <w:t xml:space="preserve">Fonte: </w:t>
            </w:r>
            <w:r>
              <w:rPr>
                <w:rFonts w:ascii="Arial" w:hAnsi="Arial" w:cs="Arial"/>
                <w:bCs/>
                <w:sz w:val="22"/>
                <w:szCs w:val="22"/>
                <w:lang w:val="pt-BR" w:eastAsia="es-ES"/>
              </w:rPr>
              <w:t>SEFA-PA (2016-1)</w:t>
            </w:r>
          </w:p>
        </w:tc>
      </w:tr>
    </w:tbl>
    <w:p w14:paraId="3CE0EF5E" w14:textId="77777777" w:rsidR="006E63D7" w:rsidRPr="00430889" w:rsidRDefault="00F9158B" w:rsidP="004F29AA">
      <w:pPr>
        <w:pStyle w:val="PargrafodaLista"/>
        <w:keepNext/>
        <w:numPr>
          <w:ilvl w:val="1"/>
          <w:numId w:val="4"/>
        </w:numPr>
        <w:tabs>
          <w:tab w:val="clear" w:pos="1009"/>
          <w:tab w:val="num" w:pos="851"/>
        </w:tabs>
        <w:suppressAutoHyphens/>
        <w:spacing w:before="360"/>
        <w:ind w:left="851" w:hanging="567"/>
        <w:jc w:val="both"/>
        <w:outlineLvl w:val="3"/>
        <w:rPr>
          <w:rFonts w:ascii="Arial" w:hAnsi="Arial" w:cs="Arial"/>
          <w:bCs/>
          <w:color w:val="FF0000"/>
          <w:lang w:val="pt-BR" w:eastAsia="es-ES"/>
        </w:rPr>
      </w:pPr>
      <w:r w:rsidRPr="00430889">
        <w:rPr>
          <w:rFonts w:ascii="Arial" w:hAnsi="Arial" w:cs="Arial"/>
          <w:bCs/>
          <w:color w:val="FF0000"/>
          <w:lang w:val="pt-BR" w:eastAsia="es-ES"/>
        </w:rPr>
        <w:t>Usando esta metodologia, a</w:t>
      </w:r>
      <w:r w:rsidR="0052635A" w:rsidRPr="00430889">
        <w:rPr>
          <w:rFonts w:ascii="Arial" w:hAnsi="Arial" w:cs="Arial"/>
          <w:bCs/>
          <w:color w:val="FF0000"/>
          <w:lang w:val="pt-BR" w:eastAsia="es-ES"/>
        </w:rPr>
        <w:t xml:space="preserve"> SEFA-PA</w:t>
      </w:r>
      <w:r w:rsidRPr="00430889">
        <w:rPr>
          <w:rFonts w:ascii="Arial" w:hAnsi="Arial" w:cs="Arial"/>
          <w:bCs/>
          <w:color w:val="FF0000"/>
          <w:lang w:val="pt-BR" w:eastAsia="es-ES"/>
        </w:rPr>
        <w:t xml:space="preserve"> estimou</w:t>
      </w:r>
      <w:r w:rsidR="00583265" w:rsidRPr="00430889">
        <w:rPr>
          <w:rFonts w:ascii="Arial" w:hAnsi="Arial" w:cs="Arial"/>
          <w:bCs/>
          <w:color w:val="FF0000"/>
          <w:lang w:val="pt-BR" w:eastAsia="es-ES"/>
        </w:rPr>
        <w:t xml:space="preserve"> </w:t>
      </w:r>
      <w:r w:rsidR="006E63D7" w:rsidRPr="00430889">
        <w:rPr>
          <w:rFonts w:ascii="Arial" w:hAnsi="Arial" w:cs="Arial"/>
          <w:bCs/>
          <w:color w:val="FF0000"/>
          <w:lang w:val="pt-BR" w:eastAsia="es-ES"/>
        </w:rPr>
        <w:t xml:space="preserve">o Gap Tributário do Pará usando as seguintes bases de dados: </w:t>
      </w:r>
    </w:p>
    <w:p w14:paraId="32C25019" w14:textId="289590DB" w:rsidR="006E63D7" w:rsidRPr="00430889" w:rsidRDefault="006E63D7" w:rsidP="006E63D7">
      <w:pPr>
        <w:pStyle w:val="PargrafodaLista"/>
        <w:keepNext/>
        <w:numPr>
          <w:ilvl w:val="2"/>
          <w:numId w:val="4"/>
        </w:numPr>
        <w:suppressAutoHyphens/>
        <w:spacing w:before="360"/>
        <w:jc w:val="both"/>
        <w:outlineLvl w:val="3"/>
        <w:rPr>
          <w:rFonts w:ascii="Arial" w:hAnsi="Arial" w:cs="Arial"/>
          <w:bCs/>
          <w:color w:val="FF0000"/>
          <w:lang w:val="pt-BR" w:eastAsia="es-ES"/>
        </w:rPr>
      </w:pPr>
      <w:r w:rsidRPr="00430889">
        <w:rPr>
          <w:rFonts w:ascii="Arial" w:hAnsi="Arial" w:cs="Arial"/>
          <w:bCs/>
          <w:color w:val="FF0000"/>
          <w:lang w:val="pt-BR" w:eastAsia="es-ES"/>
        </w:rPr>
        <w:t>PIB do Par</w:t>
      </w:r>
      <w:r w:rsidR="00671D41">
        <w:rPr>
          <w:rFonts w:ascii="Arial" w:hAnsi="Arial" w:cs="Arial"/>
          <w:bCs/>
          <w:color w:val="FF0000"/>
          <w:lang w:val="pt-BR" w:eastAsia="es-ES"/>
        </w:rPr>
        <w:t>á por setor econômico: IBGE (2017</w:t>
      </w:r>
      <w:proofErr w:type="gramStart"/>
      <w:r w:rsidRPr="00430889">
        <w:rPr>
          <w:rFonts w:ascii="Arial" w:hAnsi="Arial" w:cs="Arial"/>
          <w:bCs/>
          <w:color w:val="FF0000"/>
          <w:lang w:val="pt-BR" w:eastAsia="es-ES"/>
        </w:rPr>
        <w:t>) ,</w:t>
      </w:r>
      <w:proofErr w:type="gramEnd"/>
      <w:r w:rsidRPr="00430889">
        <w:rPr>
          <w:rFonts w:ascii="Arial" w:hAnsi="Arial" w:cs="Arial"/>
          <w:bCs/>
          <w:color w:val="FF0000"/>
          <w:lang w:val="pt-BR" w:eastAsia="es-ES"/>
        </w:rPr>
        <w:t xml:space="preserve"> (2014 é o último ano com dados de PIB estadual disponibilizado pelo IBGE).</w:t>
      </w:r>
    </w:p>
    <w:p w14:paraId="0A61AB4C" w14:textId="263C192C" w:rsidR="006E63D7" w:rsidRPr="00430889" w:rsidRDefault="006E63D7" w:rsidP="006E63D7">
      <w:pPr>
        <w:pStyle w:val="PargrafodaLista"/>
        <w:keepNext/>
        <w:numPr>
          <w:ilvl w:val="2"/>
          <w:numId w:val="4"/>
        </w:numPr>
        <w:suppressAutoHyphens/>
        <w:spacing w:before="360"/>
        <w:jc w:val="both"/>
        <w:outlineLvl w:val="3"/>
        <w:rPr>
          <w:rFonts w:ascii="Arial" w:hAnsi="Arial" w:cs="Arial"/>
          <w:bCs/>
          <w:color w:val="FF0000"/>
          <w:lang w:val="pt-BR" w:eastAsia="es-ES"/>
        </w:rPr>
      </w:pPr>
      <w:r w:rsidRPr="00430889">
        <w:rPr>
          <w:rFonts w:ascii="Arial" w:hAnsi="Arial" w:cs="Arial"/>
          <w:bCs/>
          <w:color w:val="FF0000"/>
          <w:lang w:val="pt-BR" w:eastAsia="es-ES"/>
        </w:rPr>
        <w:t xml:space="preserve">Importações e exportações internacionais. </w:t>
      </w:r>
      <w:r w:rsidR="001B17E5" w:rsidRPr="00430889">
        <w:rPr>
          <w:rFonts w:ascii="Arial" w:hAnsi="Arial" w:cs="Arial"/>
          <w:bCs/>
          <w:color w:val="FF0000"/>
          <w:lang w:val="pt-BR" w:eastAsia="es-ES"/>
        </w:rPr>
        <w:t>Ministério da Indústria, Comércio Exterior e Serviços (2017</w:t>
      </w:r>
      <w:proofErr w:type="gramStart"/>
      <w:r w:rsidR="001B17E5" w:rsidRPr="00430889">
        <w:rPr>
          <w:rFonts w:ascii="Arial" w:hAnsi="Arial" w:cs="Arial"/>
          <w:bCs/>
          <w:color w:val="FF0000"/>
          <w:lang w:val="pt-BR" w:eastAsia="es-ES"/>
        </w:rPr>
        <w:t>)</w:t>
      </w:r>
      <w:proofErr w:type="gramEnd"/>
    </w:p>
    <w:p w14:paraId="68973FEE" w14:textId="623637C9" w:rsidR="001B17E5" w:rsidRPr="00430889" w:rsidRDefault="001B17E5" w:rsidP="006E63D7">
      <w:pPr>
        <w:pStyle w:val="PargrafodaLista"/>
        <w:keepNext/>
        <w:numPr>
          <w:ilvl w:val="2"/>
          <w:numId w:val="4"/>
        </w:numPr>
        <w:suppressAutoHyphens/>
        <w:spacing w:before="360"/>
        <w:jc w:val="both"/>
        <w:outlineLvl w:val="3"/>
        <w:rPr>
          <w:rFonts w:ascii="Arial" w:hAnsi="Arial" w:cs="Arial"/>
          <w:bCs/>
          <w:color w:val="FF0000"/>
          <w:lang w:val="pt-BR" w:eastAsia="es-ES"/>
        </w:rPr>
      </w:pPr>
      <w:r w:rsidRPr="00430889">
        <w:rPr>
          <w:rFonts w:ascii="Arial" w:hAnsi="Arial" w:cs="Arial"/>
          <w:bCs/>
          <w:color w:val="FF0000"/>
          <w:lang w:val="pt-BR" w:eastAsia="es-ES"/>
        </w:rPr>
        <w:t xml:space="preserve">Importações de outras unidades da federação. </w:t>
      </w:r>
      <w:r w:rsidR="003F7B43" w:rsidRPr="00430889">
        <w:rPr>
          <w:rFonts w:ascii="Arial" w:hAnsi="Arial" w:cs="Arial"/>
          <w:bCs/>
          <w:color w:val="FF0000"/>
          <w:lang w:val="pt-BR" w:eastAsia="es-ES"/>
        </w:rPr>
        <w:t>Receita Federal (2015).</w:t>
      </w:r>
    </w:p>
    <w:p w14:paraId="0BE819E6" w14:textId="0544E211" w:rsidR="003F7B43" w:rsidRPr="00430889" w:rsidRDefault="000F0E45" w:rsidP="006E63D7">
      <w:pPr>
        <w:pStyle w:val="PargrafodaLista"/>
        <w:keepNext/>
        <w:numPr>
          <w:ilvl w:val="2"/>
          <w:numId w:val="4"/>
        </w:numPr>
        <w:suppressAutoHyphens/>
        <w:spacing w:before="360"/>
        <w:jc w:val="both"/>
        <w:outlineLvl w:val="3"/>
        <w:rPr>
          <w:rFonts w:ascii="Arial" w:hAnsi="Arial" w:cs="Arial"/>
          <w:bCs/>
          <w:color w:val="FF0000"/>
          <w:lang w:val="pt-BR" w:eastAsia="es-ES"/>
        </w:rPr>
      </w:pPr>
      <w:r w:rsidRPr="00430889">
        <w:rPr>
          <w:rFonts w:ascii="Arial" w:hAnsi="Arial" w:cs="Arial"/>
          <w:bCs/>
          <w:color w:val="FF0000"/>
          <w:lang w:val="pt-BR" w:eastAsia="es-ES"/>
        </w:rPr>
        <w:t xml:space="preserve">Alíquota Padrão Ponderada – baseadas nos dados da </w:t>
      </w:r>
      <w:proofErr w:type="gramStart"/>
      <w:r w:rsidR="00671D41">
        <w:rPr>
          <w:rFonts w:ascii="Arial" w:hAnsi="Arial" w:cs="Arial"/>
          <w:bCs/>
          <w:color w:val="FF0000"/>
          <w:lang w:val="pt-BR" w:eastAsia="es-ES"/>
        </w:rPr>
        <w:t>SEFA-PA</w:t>
      </w:r>
      <w:r w:rsidR="00430889" w:rsidRPr="00430889">
        <w:rPr>
          <w:rFonts w:ascii="Arial" w:hAnsi="Arial" w:cs="Arial"/>
          <w:bCs/>
          <w:color w:val="FF0000"/>
          <w:lang w:val="pt-BR" w:eastAsia="es-ES"/>
        </w:rPr>
        <w:t>(</w:t>
      </w:r>
    </w:p>
    <w:p w14:paraId="30558F88" w14:textId="4C04DA40" w:rsidR="00430889" w:rsidRPr="00430889" w:rsidRDefault="00671D41" w:rsidP="006E63D7">
      <w:pPr>
        <w:pStyle w:val="PargrafodaLista"/>
        <w:keepNext/>
        <w:numPr>
          <w:ilvl w:val="2"/>
          <w:numId w:val="4"/>
        </w:numPr>
        <w:suppressAutoHyphens/>
        <w:spacing w:before="360"/>
        <w:jc w:val="both"/>
        <w:outlineLvl w:val="3"/>
        <w:rPr>
          <w:rFonts w:ascii="Arial" w:hAnsi="Arial" w:cs="Arial"/>
          <w:bCs/>
          <w:color w:val="FF0000"/>
          <w:lang w:val="pt-BR" w:eastAsia="es-ES"/>
        </w:rPr>
      </w:pPr>
      <w:proofErr w:type="gramEnd"/>
      <w:r w:rsidRPr="00671D41">
        <w:rPr>
          <w:rFonts w:ascii="Arial" w:hAnsi="Arial" w:cs="Arial"/>
          <w:bCs/>
          <w:color w:val="FF0000"/>
          <w:lang w:val="pt-BR" w:eastAsia="es-ES"/>
        </w:rPr>
        <w:t>Crédito pelas entradas</w:t>
      </w:r>
      <w:r>
        <w:rPr>
          <w:rFonts w:ascii="Arial" w:hAnsi="Arial" w:cs="Arial"/>
          <w:bCs/>
          <w:color w:val="FF0000"/>
          <w:lang w:val="pt-BR" w:eastAsia="es-ES"/>
        </w:rPr>
        <w:t xml:space="preserve">, </w:t>
      </w:r>
      <w:r w:rsidRPr="00671D41">
        <w:rPr>
          <w:rFonts w:ascii="Arial" w:hAnsi="Arial" w:cs="Arial"/>
          <w:bCs/>
          <w:color w:val="FF0000"/>
          <w:lang w:val="pt-BR" w:eastAsia="es-ES"/>
        </w:rPr>
        <w:t>Crédito acumulado apropriado</w:t>
      </w:r>
      <w:r w:rsidRPr="00671D41">
        <w:rPr>
          <w:rFonts w:ascii="Arial" w:hAnsi="Arial" w:cs="Arial"/>
          <w:bCs/>
          <w:color w:val="FF0000"/>
          <w:lang w:val="pt-BR" w:eastAsia="es-ES"/>
        </w:rPr>
        <w:t xml:space="preserve">, </w:t>
      </w:r>
      <w:r w:rsidRPr="00671D41">
        <w:rPr>
          <w:rFonts w:ascii="Arial" w:hAnsi="Arial" w:cs="Arial"/>
          <w:bCs/>
          <w:color w:val="FF0000"/>
          <w:lang w:val="pt-BR" w:eastAsia="es-ES"/>
        </w:rPr>
        <w:t>Diferença de alíquota nas saídas interestaduais</w:t>
      </w:r>
      <w:r w:rsidRPr="00671D41">
        <w:rPr>
          <w:rFonts w:ascii="Arial" w:hAnsi="Arial" w:cs="Arial"/>
          <w:bCs/>
          <w:color w:val="FF0000"/>
          <w:lang w:val="pt-BR" w:eastAsia="es-ES"/>
        </w:rPr>
        <w:t xml:space="preserve"> e Renúncia Fiscal </w:t>
      </w:r>
      <w:r>
        <w:rPr>
          <w:rFonts w:ascii="Arial" w:hAnsi="Arial" w:cs="Arial"/>
          <w:bCs/>
          <w:color w:val="FF0000"/>
          <w:lang w:val="pt-BR" w:eastAsia="es-ES"/>
        </w:rPr>
        <w:t>–</w:t>
      </w:r>
      <w:r w:rsidRPr="00671D41">
        <w:rPr>
          <w:rFonts w:ascii="Arial" w:hAnsi="Arial" w:cs="Arial"/>
          <w:bCs/>
          <w:color w:val="FF0000"/>
          <w:lang w:val="pt-BR" w:eastAsia="es-ES"/>
        </w:rPr>
        <w:t xml:space="preserve"> </w:t>
      </w:r>
      <w:r>
        <w:rPr>
          <w:rFonts w:ascii="Arial" w:hAnsi="Arial" w:cs="Arial"/>
          <w:bCs/>
          <w:color w:val="FF0000"/>
          <w:lang w:val="pt-BR" w:eastAsia="es-ES"/>
        </w:rPr>
        <w:t>Dados da SEFA-PA.</w:t>
      </w:r>
      <w:bookmarkStart w:id="9" w:name="_GoBack"/>
      <w:bookmarkEnd w:id="9"/>
    </w:p>
    <w:p w14:paraId="294D557C" w14:textId="48ECE80D" w:rsidR="00CB64C4" w:rsidRPr="001F27CE" w:rsidRDefault="006E63D7" w:rsidP="004F29AA">
      <w:pPr>
        <w:pStyle w:val="PargrafodaLista"/>
        <w:keepNext/>
        <w:numPr>
          <w:ilvl w:val="1"/>
          <w:numId w:val="4"/>
        </w:numPr>
        <w:tabs>
          <w:tab w:val="clear" w:pos="1009"/>
          <w:tab w:val="num" w:pos="851"/>
        </w:tabs>
        <w:suppressAutoHyphens/>
        <w:spacing w:before="360"/>
        <w:ind w:left="851" w:hanging="567"/>
        <w:jc w:val="both"/>
        <w:outlineLvl w:val="3"/>
        <w:rPr>
          <w:rFonts w:ascii="Arial" w:hAnsi="Arial" w:cs="Arial"/>
          <w:bCs/>
          <w:lang w:val="pt-BR" w:eastAsia="es-ES"/>
        </w:rPr>
      </w:pPr>
      <w:r>
        <w:rPr>
          <w:rFonts w:ascii="Arial" w:hAnsi="Arial" w:cs="Arial"/>
          <w:bCs/>
          <w:lang w:val="pt-BR" w:eastAsia="es-ES"/>
        </w:rPr>
        <w:t>O Gap estimado foi d</w:t>
      </w:r>
      <w:r w:rsidR="000D4CE6" w:rsidRPr="001F27CE">
        <w:rPr>
          <w:rFonts w:ascii="Arial" w:hAnsi="Arial" w:cs="Arial"/>
          <w:bCs/>
          <w:lang w:val="pt-BR" w:eastAsia="es-ES"/>
        </w:rPr>
        <w:t xml:space="preserve">e </w:t>
      </w:r>
      <w:r w:rsidR="0052635A" w:rsidRPr="001F27CE">
        <w:rPr>
          <w:rFonts w:ascii="Arial" w:hAnsi="Arial" w:cs="Arial"/>
          <w:bCs/>
          <w:lang w:val="pt-BR" w:eastAsia="es-ES"/>
        </w:rPr>
        <w:t>27,8</w:t>
      </w:r>
      <w:r w:rsidR="000D4CE6" w:rsidRPr="001F27CE">
        <w:rPr>
          <w:rFonts w:ascii="Arial" w:hAnsi="Arial" w:cs="Arial"/>
          <w:bCs/>
          <w:lang w:val="pt-BR" w:eastAsia="es-ES"/>
        </w:rPr>
        <w:t>% para a arrecadação de ICMS no P</w:t>
      </w:r>
      <w:r w:rsidR="0052635A" w:rsidRPr="001F27CE">
        <w:rPr>
          <w:rFonts w:ascii="Arial" w:hAnsi="Arial" w:cs="Arial"/>
          <w:bCs/>
          <w:lang w:val="pt-BR" w:eastAsia="es-ES"/>
        </w:rPr>
        <w:t>ará</w:t>
      </w:r>
      <w:r w:rsidR="000D4CE6" w:rsidRPr="001F27CE">
        <w:rPr>
          <w:rFonts w:ascii="Arial" w:hAnsi="Arial" w:cs="Arial"/>
          <w:bCs/>
          <w:lang w:val="pt-BR" w:eastAsia="es-ES"/>
        </w:rPr>
        <w:t xml:space="preserve"> em 201</w:t>
      </w:r>
      <w:r w:rsidR="0052635A" w:rsidRPr="001F27CE">
        <w:rPr>
          <w:rFonts w:ascii="Arial" w:hAnsi="Arial" w:cs="Arial"/>
          <w:bCs/>
          <w:lang w:val="pt-BR" w:eastAsia="es-ES"/>
        </w:rPr>
        <w:t>4</w:t>
      </w:r>
      <w:r w:rsidR="0090441D" w:rsidRPr="001F27CE">
        <w:rPr>
          <w:rFonts w:ascii="Arial" w:hAnsi="Arial" w:cs="Arial"/>
          <w:bCs/>
          <w:lang w:val="pt-BR" w:eastAsia="es-ES"/>
        </w:rPr>
        <w:t xml:space="preserve">, o que correspondia a </w:t>
      </w:r>
      <w:r w:rsidR="0052635A" w:rsidRPr="001F27CE">
        <w:rPr>
          <w:rFonts w:ascii="Arial" w:hAnsi="Arial" w:cs="Arial"/>
          <w:bCs/>
          <w:lang w:val="pt-BR" w:eastAsia="es-ES"/>
        </w:rPr>
        <w:t>2,8</w:t>
      </w:r>
      <w:r w:rsidR="0090441D" w:rsidRPr="001F27CE">
        <w:rPr>
          <w:rFonts w:ascii="Arial" w:hAnsi="Arial" w:cs="Arial"/>
          <w:bCs/>
          <w:lang w:val="pt-BR" w:eastAsia="es-ES"/>
        </w:rPr>
        <w:t xml:space="preserve">% do PIB estadual. Se, por exemplo, o ICMS arrecadado aumentasse em 1% do PIB, este GAP cairia para </w:t>
      </w:r>
      <w:r w:rsidR="0052635A" w:rsidRPr="001F27CE">
        <w:rPr>
          <w:rFonts w:ascii="Arial" w:hAnsi="Arial" w:cs="Arial"/>
          <w:bCs/>
          <w:lang w:val="pt-BR" w:eastAsia="es-ES"/>
        </w:rPr>
        <w:t>17,9</w:t>
      </w:r>
      <w:r w:rsidR="0090441D" w:rsidRPr="001F27CE">
        <w:rPr>
          <w:rFonts w:ascii="Arial" w:hAnsi="Arial" w:cs="Arial"/>
          <w:bCs/>
          <w:lang w:val="pt-BR" w:eastAsia="es-ES"/>
        </w:rPr>
        <w:t>%.</w:t>
      </w:r>
    </w:p>
    <w:p w14:paraId="294D557D" w14:textId="77777777" w:rsidR="00B6109B" w:rsidRPr="001F27CE" w:rsidRDefault="00B549A8" w:rsidP="004F42D5">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Com relação à metodologia usando dados de fiscalização, Amaral </w:t>
      </w:r>
      <w:proofErr w:type="gramStart"/>
      <w:r w:rsidRPr="001F27CE">
        <w:rPr>
          <w:rFonts w:ascii="Arial" w:hAnsi="Arial" w:cs="Arial"/>
          <w:bCs/>
          <w:lang w:val="pt-BR" w:eastAsia="es-ES"/>
        </w:rPr>
        <w:t>et</w:t>
      </w:r>
      <w:proofErr w:type="gramEnd"/>
      <w:r w:rsidRPr="001F27CE">
        <w:rPr>
          <w:rFonts w:ascii="Arial" w:hAnsi="Arial" w:cs="Arial"/>
          <w:bCs/>
          <w:lang w:val="pt-BR" w:eastAsia="es-ES"/>
        </w:rPr>
        <w:t xml:space="preserve"> al. (2009), analisando 9.925 autos de infração lavrados contra empresas de todos os portes, estimou um nível de sonegação do ICMS de 27,6%, o </w:t>
      </w:r>
      <w:r w:rsidRPr="001F27CE">
        <w:rPr>
          <w:rFonts w:ascii="Arial" w:hAnsi="Arial" w:cs="Arial"/>
          <w:bCs/>
          <w:lang w:val="pt-BR" w:eastAsia="es-ES"/>
        </w:rPr>
        <w:lastRenderedPageBreak/>
        <w:t xml:space="preserve">mesmo valor de uma média linear </w:t>
      </w:r>
      <w:r w:rsidR="003B2DA8">
        <w:rPr>
          <w:rFonts w:ascii="Arial" w:hAnsi="Arial" w:cs="Arial"/>
          <w:bCs/>
          <w:lang w:val="pt-BR" w:eastAsia="es-ES"/>
        </w:rPr>
        <w:t>de estimativas para o IVA em 14 </w:t>
      </w:r>
      <w:r w:rsidRPr="001F27CE">
        <w:rPr>
          <w:rFonts w:ascii="Arial" w:hAnsi="Arial" w:cs="Arial"/>
          <w:bCs/>
          <w:lang w:val="pt-BR" w:eastAsia="es-ES"/>
        </w:rPr>
        <w:t>países da América Latina citado no estudo.</w:t>
      </w:r>
    </w:p>
    <w:p w14:paraId="294D557E" w14:textId="77777777" w:rsidR="00B6109B" w:rsidRPr="001F27CE" w:rsidRDefault="000D4CE6"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Analisando os dados das fiscalizações tributárias para o P</w:t>
      </w:r>
      <w:r w:rsidR="0052635A" w:rsidRPr="001F27CE">
        <w:rPr>
          <w:rFonts w:ascii="Arial" w:hAnsi="Arial" w:cs="Arial"/>
          <w:bCs/>
          <w:lang w:val="pt-BR" w:eastAsia="es-ES"/>
        </w:rPr>
        <w:t>ará</w:t>
      </w:r>
      <w:r w:rsidRPr="001F27CE">
        <w:rPr>
          <w:rFonts w:ascii="Arial" w:hAnsi="Arial" w:cs="Arial"/>
          <w:bCs/>
          <w:lang w:val="pt-BR" w:eastAsia="es-ES"/>
        </w:rPr>
        <w:t xml:space="preserve"> </w:t>
      </w:r>
      <w:r w:rsidR="00B549A8" w:rsidRPr="001F27CE">
        <w:rPr>
          <w:rFonts w:ascii="Arial" w:hAnsi="Arial" w:cs="Arial"/>
          <w:bCs/>
          <w:lang w:val="pt-BR" w:eastAsia="es-ES"/>
        </w:rPr>
        <w:t xml:space="preserve">em um período de </w:t>
      </w:r>
      <w:proofErr w:type="gramStart"/>
      <w:r w:rsidR="00B549A8" w:rsidRPr="001F27CE">
        <w:rPr>
          <w:rFonts w:ascii="Arial" w:hAnsi="Arial" w:cs="Arial"/>
          <w:bCs/>
          <w:lang w:val="pt-BR" w:eastAsia="es-ES"/>
        </w:rPr>
        <w:t>5</w:t>
      </w:r>
      <w:proofErr w:type="gramEnd"/>
      <w:r w:rsidR="00B549A8" w:rsidRPr="001F27CE">
        <w:rPr>
          <w:rFonts w:ascii="Arial" w:hAnsi="Arial" w:cs="Arial"/>
          <w:bCs/>
          <w:lang w:val="pt-BR" w:eastAsia="es-ES"/>
        </w:rPr>
        <w:t xml:space="preserve"> anos (2012 a 2016), </w:t>
      </w:r>
      <w:r w:rsidRPr="001F27CE">
        <w:rPr>
          <w:rFonts w:ascii="Arial" w:hAnsi="Arial" w:cs="Arial"/>
          <w:bCs/>
          <w:lang w:val="pt-BR" w:eastAsia="es-ES"/>
        </w:rPr>
        <w:t>o nível de sonegação encontrado foi de 2</w:t>
      </w:r>
      <w:r w:rsidR="00B549A8" w:rsidRPr="001F27CE">
        <w:rPr>
          <w:rFonts w:ascii="Arial" w:hAnsi="Arial" w:cs="Arial"/>
          <w:bCs/>
          <w:lang w:val="pt-BR" w:eastAsia="es-ES"/>
        </w:rPr>
        <w:t>7,35</w:t>
      </w:r>
      <w:r w:rsidRPr="001F27CE">
        <w:rPr>
          <w:rFonts w:ascii="Arial" w:hAnsi="Arial" w:cs="Arial"/>
          <w:bCs/>
          <w:lang w:val="pt-BR" w:eastAsia="es-ES"/>
        </w:rPr>
        <w:t>%</w:t>
      </w:r>
      <w:r w:rsidR="00B549A8" w:rsidRPr="001F27CE">
        <w:rPr>
          <w:rFonts w:ascii="Arial" w:hAnsi="Arial" w:cs="Arial"/>
          <w:bCs/>
          <w:lang w:val="pt-BR" w:eastAsia="es-ES"/>
        </w:rPr>
        <w:t xml:space="preserve"> entre as empresas que foram autuadas, virtualmente o mesmo nível encontrado </w:t>
      </w:r>
      <w:r w:rsidR="004C557F" w:rsidRPr="001F27CE">
        <w:rPr>
          <w:rFonts w:ascii="Arial" w:hAnsi="Arial" w:cs="Arial"/>
          <w:bCs/>
          <w:lang w:val="pt-BR" w:eastAsia="es-ES"/>
        </w:rPr>
        <w:t xml:space="preserve">para o Brasil como um todo (Amaral et. al 2009) e para a média dos países da América Latina citada no estudo. Curiosamente, este valor também é virtualmente o mesmo estimado usando a metodologia do PIB. </w:t>
      </w:r>
      <w:r w:rsidR="00B549A8" w:rsidRPr="001F27CE">
        <w:rPr>
          <w:rFonts w:ascii="Arial" w:hAnsi="Arial" w:cs="Arial"/>
          <w:bCs/>
          <w:lang w:val="pt-BR" w:eastAsia="es-ES"/>
        </w:rPr>
        <w:t>No entanto, este nível cai para 19,35% quando analisadas todas as empresas auditadas</w:t>
      </w:r>
      <w:r w:rsidR="004C557F" w:rsidRPr="001F27CE">
        <w:rPr>
          <w:rFonts w:ascii="Arial" w:hAnsi="Arial" w:cs="Arial"/>
          <w:bCs/>
          <w:lang w:val="pt-BR" w:eastAsia="es-ES"/>
        </w:rPr>
        <w:t xml:space="preserve"> e não apenas as autuadas</w:t>
      </w:r>
      <w:r w:rsidR="00B549A8" w:rsidRPr="001F27CE">
        <w:rPr>
          <w:rFonts w:ascii="Arial" w:hAnsi="Arial" w:cs="Arial"/>
          <w:bCs/>
          <w:lang w:val="pt-BR" w:eastAsia="es-ES"/>
        </w:rPr>
        <w:t xml:space="preserve">. </w:t>
      </w:r>
      <w:r w:rsidR="004C557F" w:rsidRPr="001F27CE">
        <w:rPr>
          <w:rFonts w:ascii="Arial" w:hAnsi="Arial" w:cs="Arial"/>
          <w:bCs/>
          <w:lang w:val="pt-BR" w:eastAsia="es-ES"/>
        </w:rPr>
        <w:t>Foram auditados 12.301 contribuintes</w:t>
      </w:r>
      <w:r w:rsidR="00254F38">
        <w:rPr>
          <w:rFonts w:ascii="Arial" w:hAnsi="Arial" w:cs="Arial"/>
          <w:bCs/>
          <w:lang w:val="pt-BR" w:eastAsia="es-ES"/>
        </w:rPr>
        <w:t xml:space="preserve"> neste período, dos quais 6.645 </w:t>
      </w:r>
      <w:r w:rsidR="004C557F" w:rsidRPr="001F27CE">
        <w:rPr>
          <w:rFonts w:ascii="Arial" w:hAnsi="Arial" w:cs="Arial"/>
          <w:bCs/>
          <w:lang w:val="pt-BR" w:eastAsia="es-ES"/>
        </w:rPr>
        <w:t xml:space="preserve">(54%) não foram autuadas por não encontrar evidência de sonegação e 5.656 (46%) foram autuadas. </w:t>
      </w:r>
    </w:p>
    <w:p w14:paraId="294D557F" w14:textId="77777777" w:rsidR="000D4CE6" w:rsidRPr="001F27CE" w:rsidRDefault="000D4CE6"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A diferença entre as estimativas</w:t>
      </w:r>
      <w:r w:rsidR="00827D19" w:rsidRPr="001F27CE">
        <w:rPr>
          <w:rFonts w:ascii="Arial" w:hAnsi="Arial" w:cs="Arial"/>
          <w:bCs/>
          <w:lang w:val="pt-BR" w:eastAsia="es-ES"/>
        </w:rPr>
        <w:t>,</w:t>
      </w:r>
      <w:r w:rsidRPr="001F27CE">
        <w:rPr>
          <w:rFonts w:ascii="Arial" w:hAnsi="Arial" w:cs="Arial"/>
          <w:bCs/>
          <w:lang w:val="pt-BR" w:eastAsia="es-ES"/>
        </w:rPr>
        <w:t xml:space="preserve"> usando os dois métodos</w:t>
      </w:r>
      <w:r w:rsidR="00827D19" w:rsidRPr="001F27CE">
        <w:rPr>
          <w:rFonts w:ascii="Arial" w:hAnsi="Arial" w:cs="Arial"/>
          <w:bCs/>
          <w:lang w:val="pt-BR" w:eastAsia="es-ES"/>
        </w:rPr>
        <w:t>,</w:t>
      </w:r>
      <w:r w:rsidRPr="001F27CE">
        <w:rPr>
          <w:rFonts w:ascii="Arial" w:hAnsi="Arial" w:cs="Arial"/>
          <w:bCs/>
          <w:lang w:val="pt-BR" w:eastAsia="es-ES"/>
        </w:rPr>
        <w:t xml:space="preserve"> pode ser explicada pela composição dos Gaps. Enquanto o método usando dados de fiscalizações estima apenas a sonegação tributária e possíveis omissões de cálculos, o método usando o PIB inclui também a inadimplência, o litígio administrativo e judicial, a elisão fiscal, que </w:t>
      </w:r>
      <w:r w:rsidR="00EA17C0" w:rsidRPr="001F27CE">
        <w:rPr>
          <w:rFonts w:ascii="Arial" w:hAnsi="Arial" w:cs="Arial"/>
          <w:bCs/>
          <w:lang w:val="pt-BR" w:eastAsia="es-ES"/>
        </w:rPr>
        <w:t xml:space="preserve">podem </w:t>
      </w:r>
      <w:r w:rsidRPr="001F27CE">
        <w:rPr>
          <w:rFonts w:ascii="Arial" w:hAnsi="Arial" w:cs="Arial"/>
          <w:bCs/>
          <w:lang w:val="pt-BR" w:eastAsia="es-ES"/>
        </w:rPr>
        <w:t>chega</w:t>
      </w:r>
      <w:r w:rsidR="00EA17C0" w:rsidRPr="001F27CE">
        <w:rPr>
          <w:rFonts w:ascii="Arial" w:hAnsi="Arial" w:cs="Arial"/>
          <w:bCs/>
          <w:lang w:val="pt-BR" w:eastAsia="es-ES"/>
        </w:rPr>
        <w:t>r</w:t>
      </w:r>
      <w:r w:rsidRPr="001F27CE">
        <w:rPr>
          <w:rFonts w:ascii="Arial" w:hAnsi="Arial" w:cs="Arial"/>
          <w:bCs/>
          <w:lang w:val="pt-BR" w:eastAsia="es-ES"/>
        </w:rPr>
        <w:t xml:space="preserve"> a níveis substanciais.</w:t>
      </w:r>
      <w:r w:rsidR="004C557F" w:rsidRPr="001F27CE">
        <w:rPr>
          <w:rFonts w:ascii="Arial" w:hAnsi="Arial" w:cs="Arial"/>
          <w:bCs/>
          <w:lang w:val="pt-BR" w:eastAsia="es-ES"/>
        </w:rPr>
        <w:t xml:space="preserve"> Neste caso, </w:t>
      </w:r>
      <w:r w:rsidR="00AE1FF6" w:rsidRPr="001F27CE">
        <w:rPr>
          <w:rFonts w:ascii="Arial" w:hAnsi="Arial" w:cs="Arial"/>
          <w:bCs/>
          <w:lang w:val="pt-BR" w:eastAsia="es-ES"/>
        </w:rPr>
        <w:t xml:space="preserve">o Gap Tributário (27,8%) seria composto por </w:t>
      </w:r>
      <w:r w:rsidR="004C557F" w:rsidRPr="001F27CE">
        <w:rPr>
          <w:rFonts w:ascii="Arial" w:hAnsi="Arial" w:cs="Arial"/>
          <w:bCs/>
          <w:lang w:val="pt-BR" w:eastAsia="es-ES"/>
        </w:rPr>
        <w:t xml:space="preserve">sonegação fiscal (19,35%) e </w:t>
      </w:r>
      <w:r w:rsidR="00FC32DF" w:rsidRPr="001F27CE">
        <w:rPr>
          <w:rFonts w:ascii="Arial" w:hAnsi="Arial" w:cs="Arial"/>
          <w:bCs/>
          <w:lang w:val="pt-BR" w:eastAsia="es-ES"/>
        </w:rPr>
        <w:t>por outra</w:t>
      </w:r>
      <w:r w:rsidR="00AE1FF6" w:rsidRPr="001F27CE">
        <w:rPr>
          <w:rFonts w:ascii="Arial" w:hAnsi="Arial" w:cs="Arial"/>
          <w:bCs/>
          <w:lang w:val="pt-BR" w:eastAsia="es-ES"/>
        </w:rPr>
        <w:t xml:space="preserve">s </w:t>
      </w:r>
      <w:r w:rsidR="00FC32DF" w:rsidRPr="001F27CE">
        <w:rPr>
          <w:rFonts w:ascii="Arial" w:hAnsi="Arial" w:cs="Arial"/>
          <w:bCs/>
          <w:lang w:val="pt-BR" w:eastAsia="es-ES"/>
        </w:rPr>
        <w:t>fontes</w:t>
      </w:r>
      <w:r w:rsidR="00241A35" w:rsidRPr="001F27CE">
        <w:rPr>
          <w:rFonts w:ascii="Arial" w:hAnsi="Arial" w:cs="Arial"/>
          <w:bCs/>
          <w:lang w:val="pt-BR" w:eastAsia="es-ES"/>
        </w:rPr>
        <w:t xml:space="preserve"> (8,45%)</w:t>
      </w:r>
      <w:r w:rsidR="00FC32DF" w:rsidRPr="001F27CE">
        <w:rPr>
          <w:rFonts w:ascii="Arial" w:hAnsi="Arial" w:cs="Arial"/>
          <w:bCs/>
          <w:lang w:val="pt-BR" w:eastAsia="es-ES"/>
        </w:rPr>
        <w:t>, tais como, a</w:t>
      </w:r>
      <w:r w:rsidR="00AE1FF6" w:rsidRPr="001F27CE">
        <w:rPr>
          <w:rFonts w:ascii="Arial" w:hAnsi="Arial" w:cs="Arial"/>
          <w:bCs/>
          <w:lang w:val="pt-BR" w:eastAsia="es-ES"/>
        </w:rPr>
        <w:t xml:space="preserve"> inadimplência, </w:t>
      </w:r>
      <w:r w:rsidR="00FC32DF" w:rsidRPr="001F27CE">
        <w:rPr>
          <w:rFonts w:ascii="Arial" w:hAnsi="Arial" w:cs="Arial"/>
          <w:bCs/>
          <w:lang w:val="pt-BR" w:eastAsia="es-ES"/>
        </w:rPr>
        <w:t xml:space="preserve">o </w:t>
      </w:r>
      <w:r w:rsidR="00AE1FF6" w:rsidRPr="001F27CE">
        <w:rPr>
          <w:rFonts w:ascii="Arial" w:hAnsi="Arial" w:cs="Arial"/>
          <w:bCs/>
          <w:lang w:val="pt-BR" w:eastAsia="es-ES"/>
        </w:rPr>
        <w:t xml:space="preserve">litígio administrativo e fiscal e </w:t>
      </w:r>
      <w:r w:rsidR="00FC32DF" w:rsidRPr="001F27CE">
        <w:rPr>
          <w:rFonts w:ascii="Arial" w:hAnsi="Arial" w:cs="Arial"/>
          <w:bCs/>
          <w:lang w:val="pt-BR" w:eastAsia="es-ES"/>
        </w:rPr>
        <w:t xml:space="preserve">a </w:t>
      </w:r>
      <w:r w:rsidR="00AE1FF6" w:rsidRPr="001F27CE">
        <w:rPr>
          <w:rFonts w:ascii="Arial" w:hAnsi="Arial" w:cs="Arial"/>
          <w:bCs/>
          <w:lang w:val="pt-BR" w:eastAsia="es-ES"/>
        </w:rPr>
        <w:t xml:space="preserve">elisão fiscal. </w:t>
      </w:r>
    </w:p>
    <w:p w14:paraId="294D5580" w14:textId="77777777" w:rsidR="00B5555C" w:rsidRPr="001F27CE" w:rsidRDefault="00667083" w:rsidP="004F42D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Para esta análise C-B, elegeu-se a estimativa do Gap Tributário usando o método do PIB</w:t>
      </w:r>
      <w:r w:rsidR="0028269B" w:rsidRPr="001F27CE">
        <w:rPr>
          <w:rFonts w:ascii="Arial" w:hAnsi="Arial" w:cs="Arial"/>
          <w:bCs/>
          <w:lang w:val="pt-BR" w:eastAsia="es-ES"/>
        </w:rPr>
        <w:t>,</w:t>
      </w:r>
      <w:r w:rsidRPr="001F27CE">
        <w:rPr>
          <w:rFonts w:ascii="Arial" w:hAnsi="Arial" w:cs="Arial"/>
          <w:bCs/>
          <w:lang w:val="pt-BR" w:eastAsia="es-ES"/>
        </w:rPr>
        <w:t xml:space="preserve"> visto que o PROFISCO II atuará não apenas em ações de combate à evasão fiscal, mas também nas áreas de cobrança</w:t>
      </w:r>
      <w:r w:rsidR="00EA17C0" w:rsidRPr="001F27CE">
        <w:rPr>
          <w:rFonts w:ascii="Arial" w:hAnsi="Arial" w:cs="Arial"/>
          <w:bCs/>
          <w:lang w:val="pt-BR" w:eastAsia="es-ES"/>
        </w:rPr>
        <w:t>,</w:t>
      </w:r>
      <w:r w:rsidRPr="001F27CE">
        <w:rPr>
          <w:rFonts w:ascii="Arial" w:hAnsi="Arial" w:cs="Arial"/>
          <w:bCs/>
          <w:lang w:val="pt-BR" w:eastAsia="es-ES"/>
        </w:rPr>
        <w:t xml:space="preserve"> que reduz a inadimplência, no melhoramento d</w:t>
      </w:r>
      <w:r w:rsidR="00EA17C0" w:rsidRPr="001F27CE">
        <w:rPr>
          <w:rFonts w:ascii="Arial" w:hAnsi="Arial" w:cs="Arial"/>
          <w:bCs/>
          <w:lang w:val="pt-BR" w:eastAsia="es-ES"/>
        </w:rPr>
        <w:t>as áreas do</w:t>
      </w:r>
      <w:r w:rsidRPr="001F27CE">
        <w:rPr>
          <w:rFonts w:ascii="Arial" w:hAnsi="Arial" w:cs="Arial"/>
          <w:bCs/>
          <w:lang w:val="pt-BR" w:eastAsia="es-ES"/>
        </w:rPr>
        <w:t xml:space="preserve"> contencioso administrativo e tributário</w:t>
      </w:r>
      <w:r w:rsidR="00EA17C0" w:rsidRPr="001F27CE">
        <w:rPr>
          <w:rFonts w:ascii="Arial" w:hAnsi="Arial" w:cs="Arial"/>
          <w:bCs/>
          <w:lang w:val="pt-BR" w:eastAsia="es-ES"/>
        </w:rPr>
        <w:t>,</w:t>
      </w:r>
      <w:r w:rsidRPr="001F27CE">
        <w:rPr>
          <w:rFonts w:ascii="Arial" w:hAnsi="Arial" w:cs="Arial"/>
          <w:bCs/>
          <w:lang w:val="pt-BR" w:eastAsia="es-ES"/>
        </w:rPr>
        <w:t xml:space="preserve"> que resulta em melhores taxas de recuperação do crédito tributário, assim como na recuperação da dívida ativa.</w:t>
      </w:r>
    </w:p>
    <w:p w14:paraId="294D5581" w14:textId="7071773A" w:rsidR="004F29AA" w:rsidRPr="001F27CE" w:rsidRDefault="005363CE" w:rsidP="004F29AA">
      <w:pPr>
        <w:pStyle w:val="PargrafodaLista"/>
        <w:keepNext/>
        <w:numPr>
          <w:ilvl w:val="1"/>
          <w:numId w:val="4"/>
        </w:numPr>
        <w:suppressAutoHyphens/>
        <w:spacing w:before="120" w:after="120"/>
        <w:ind w:left="851" w:hanging="567"/>
        <w:jc w:val="both"/>
        <w:outlineLvl w:val="2"/>
        <w:rPr>
          <w:rFonts w:ascii="Arial" w:hAnsi="Arial" w:cs="Arial"/>
          <w:bCs/>
          <w:lang w:val="pt-BR" w:eastAsia="es-ES"/>
        </w:rPr>
      </w:pPr>
      <w:r w:rsidRPr="00847081">
        <w:rPr>
          <w:rFonts w:ascii="Arial" w:hAnsi="Arial" w:cs="Arial"/>
          <w:bCs/>
          <w:color w:val="FF0000"/>
          <w:lang w:val="pt-BR" w:eastAsia="es-ES"/>
        </w:rPr>
        <w:t xml:space="preserve">A </w:t>
      </w:r>
      <w:r w:rsidR="00847081" w:rsidRPr="00847081">
        <w:rPr>
          <w:rFonts w:ascii="Arial" w:hAnsi="Arial" w:cs="Arial"/>
          <w:bCs/>
          <w:color w:val="FF0000"/>
          <w:lang w:val="pt-BR" w:eastAsia="es-ES"/>
        </w:rPr>
        <w:t xml:space="preserve">Tabela 6 mostra que a </w:t>
      </w:r>
      <w:r w:rsidR="00847081">
        <w:rPr>
          <w:rFonts w:ascii="Arial" w:hAnsi="Arial" w:cs="Arial"/>
          <w:bCs/>
          <w:lang w:val="pt-BR" w:eastAsia="es-ES"/>
        </w:rPr>
        <w:t>a</w:t>
      </w:r>
      <w:r w:rsidRPr="001F27CE">
        <w:rPr>
          <w:rFonts w:ascii="Arial" w:hAnsi="Arial" w:cs="Arial"/>
          <w:bCs/>
          <w:lang w:val="pt-BR" w:eastAsia="es-ES"/>
        </w:rPr>
        <w:t>rrecadação do ICMS para 2016 no P</w:t>
      </w:r>
      <w:r w:rsidR="0052635A" w:rsidRPr="001F27CE">
        <w:rPr>
          <w:rFonts w:ascii="Arial" w:hAnsi="Arial" w:cs="Arial"/>
          <w:bCs/>
          <w:lang w:val="pt-BR" w:eastAsia="es-ES"/>
        </w:rPr>
        <w:t>ará</w:t>
      </w:r>
      <w:r w:rsidRPr="001F27CE">
        <w:rPr>
          <w:rFonts w:ascii="Arial" w:hAnsi="Arial" w:cs="Arial"/>
          <w:bCs/>
          <w:lang w:val="pt-BR" w:eastAsia="es-ES"/>
        </w:rPr>
        <w:t xml:space="preserve"> foi de </w:t>
      </w:r>
      <w:r w:rsidR="00CE1271" w:rsidRPr="001F27CE">
        <w:rPr>
          <w:rFonts w:ascii="Arial" w:hAnsi="Arial" w:cs="Arial"/>
          <w:bCs/>
          <w:lang w:val="pt-BR" w:eastAsia="es-ES"/>
        </w:rPr>
        <w:t xml:space="preserve">R$ </w:t>
      </w:r>
      <w:r w:rsidR="00921927" w:rsidRPr="001F27CE">
        <w:rPr>
          <w:rFonts w:ascii="Arial" w:hAnsi="Arial" w:cs="Arial"/>
          <w:bCs/>
          <w:lang w:val="pt-BR" w:eastAsia="es-ES"/>
        </w:rPr>
        <w:t>9,8</w:t>
      </w:r>
      <w:r w:rsidR="00CE1271" w:rsidRPr="001F27CE">
        <w:rPr>
          <w:rFonts w:ascii="Arial" w:hAnsi="Arial" w:cs="Arial"/>
          <w:bCs/>
          <w:lang w:val="pt-BR" w:eastAsia="es-ES"/>
        </w:rPr>
        <w:t xml:space="preserve"> </w:t>
      </w:r>
      <w:proofErr w:type="gramStart"/>
      <w:r w:rsidR="00CE1271" w:rsidRPr="001F27CE">
        <w:rPr>
          <w:rFonts w:ascii="Arial" w:hAnsi="Arial" w:cs="Arial"/>
          <w:bCs/>
          <w:lang w:val="pt-BR" w:eastAsia="es-ES"/>
        </w:rPr>
        <w:t>bilhões</w:t>
      </w:r>
      <w:r w:rsidR="00921927" w:rsidRPr="001F27CE">
        <w:rPr>
          <w:rFonts w:ascii="Arial" w:hAnsi="Arial" w:cs="Arial"/>
          <w:bCs/>
          <w:lang w:val="pt-BR" w:eastAsia="es-ES"/>
        </w:rPr>
        <w:t>, já descontado R$</w:t>
      </w:r>
      <w:r w:rsidR="005B514C" w:rsidRPr="001F27CE">
        <w:rPr>
          <w:rFonts w:ascii="Arial" w:hAnsi="Arial" w:cs="Arial"/>
          <w:bCs/>
          <w:lang w:val="pt-BR" w:eastAsia="es-ES"/>
        </w:rPr>
        <w:t xml:space="preserve"> </w:t>
      </w:r>
      <w:r w:rsidR="00921927" w:rsidRPr="001F27CE">
        <w:rPr>
          <w:rFonts w:ascii="Arial" w:hAnsi="Arial" w:cs="Arial"/>
          <w:bCs/>
          <w:lang w:val="pt-BR" w:eastAsia="es-ES"/>
        </w:rPr>
        <w:t>113</w:t>
      </w:r>
      <w:proofErr w:type="gramEnd"/>
      <w:r w:rsidR="00921927" w:rsidRPr="001F27CE">
        <w:rPr>
          <w:rFonts w:ascii="Arial" w:hAnsi="Arial" w:cs="Arial"/>
          <w:bCs/>
          <w:lang w:val="pt-BR" w:eastAsia="es-ES"/>
        </w:rPr>
        <w:t xml:space="preserve"> milhões do </w:t>
      </w:r>
      <w:proofErr w:type="spellStart"/>
      <w:r w:rsidR="008528F9" w:rsidRPr="001F27CE">
        <w:rPr>
          <w:rFonts w:ascii="Arial" w:hAnsi="Arial" w:cs="Arial"/>
          <w:bCs/>
          <w:lang w:val="pt-BR" w:eastAsia="es-ES"/>
        </w:rPr>
        <w:t>Pror</w:t>
      </w:r>
      <w:r w:rsidR="00921927" w:rsidRPr="001F27CE">
        <w:rPr>
          <w:rFonts w:ascii="Arial" w:hAnsi="Arial" w:cs="Arial"/>
          <w:bCs/>
          <w:lang w:val="pt-BR" w:eastAsia="es-ES"/>
        </w:rPr>
        <w:t>efis</w:t>
      </w:r>
      <w:proofErr w:type="spellEnd"/>
      <w:r w:rsidR="00921927" w:rsidRPr="001F27CE">
        <w:rPr>
          <w:rFonts w:ascii="Arial" w:hAnsi="Arial" w:cs="Arial"/>
          <w:bCs/>
          <w:lang w:val="pt-BR" w:eastAsia="es-ES"/>
        </w:rPr>
        <w:t xml:space="preserve"> e mais </w:t>
      </w:r>
      <w:r w:rsidR="00845BCC" w:rsidRPr="001F27CE">
        <w:rPr>
          <w:rFonts w:ascii="Arial" w:hAnsi="Arial" w:cs="Arial"/>
          <w:bCs/>
          <w:lang w:val="pt-BR" w:eastAsia="es-ES"/>
        </w:rPr>
        <w:t>R$ 148 milhões de multas, recebimento de dívida ativa e outros itens não pertinentes ao ano específico de 2016</w:t>
      </w:r>
      <w:r w:rsidR="00CE1271" w:rsidRPr="001F27CE">
        <w:rPr>
          <w:rFonts w:ascii="Arial" w:hAnsi="Arial" w:cs="Arial"/>
          <w:bCs/>
          <w:lang w:val="pt-BR" w:eastAsia="es-ES"/>
        </w:rPr>
        <w:t xml:space="preserve">. Assumindo o Gap Tributário de </w:t>
      </w:r>
      <w:r w:rsidR="0052635A" w:rsidRPr="001F27CE">
        <w:rPr>
          <w:rFonts w:ascii="Arial" w:hAnsi="Arial" w:cs="Arial"/>
          <w:bCs/>
          <w:lang w:val="pt-BR" w:eastAsia="es-ES"/>
        </w:rPr>
        <w:t>2</w:t>
      </w:r>
      <w:r w:rsidR="00845BCC" w:rsidRPr="001F27CE">
        <w:rPr>
          <w:rFonts w:ascii="Arial" w:hAnsi="Arial" w:cs="Arial"/>
          <w:bCs/>
          <w:lang w:val="pt-BR" w:eastAsia="es-ES"/>
        </w:rPr>
        <w:t>7,8</w:t>
      </w:r>
      <w:r w:rsidR="00CE1271" w:rsidRPr="001F27CE">
        <w:rPr>
          <w:rFonts w:ascii="Arial" w:hAnsi="Arial" w:cs="Arial"/>
          <w:bCs/>
          <w:lang w:val="pt-BR" w:eastAsia="es-ES"/>
        </w:rPr>
        <w:t xml:space="preserve">%, o ICMS Potencial Líquido seria de R$ </w:t>
      </w:r>
      <w:r w:rsidR="00845BCC" w:rsidRPr="001F27CE">
        <w:rPr>
          <w:rFonts w:ascii="Arial" w:hAnsi="Arial" w:cs="Arial"/>
          <w:bCs/>
          <w:lang w:val="pt-BR" w:eastAsia="es-ES"/>
        </w:rPr>
        <w:t>13,</w:t>
      </w:r>
      <w:r w:rsidR="008528F9" w:rsidRPr="001F27CE">
        <w:rPr>
          <w:rFonts w:ascii="Arial" w:hAnsi="Arial" w:cs="Arial"/>
          <w:bCs/>
          <w:lang w:val="pt-BR" w:eastAsia="es-ES"/>
        </w:rPr>
        <w:t>55</w:t>
      </w:r>
      <w:r w:rsidR="00CE1271" w:rsidRPr="001F27CE">
        <w:rPr>
          <w:rFonts w:ascii="Arial" w:hAnsi="Arial" w:cs="Arial"/>
          <w:bCs/>
          <w:lang w:val="pt-BR" w:eastAsia="es-ES"/>
        </w:rPr>
        <w:t xml:space="preserve"> bilhões em 2016. Ou seja, o estado teve uma perda estimada de R$ </w:t>
      </w:r>
      <w:r w:rsidR="00B65E5D" w:rsidRPr="001F27CE">
        <w:rPr>
          <w:rFonts w:ascii="Arial" w:hAnsi="Arial" w:cs="Arial"/>
          <w:bCs/>
          <w:lang w:val="pt-BR" w:eastAsia="es-ES"/>
        </w:rPr>
        <w:t>3,</w:t>
      </w:r>
      <w:r w:rsidR="008528F9" w:rsidRPr="001F27CE">
        <w:rPr>
          <w:rFonts w:ascii="Arial" w:hAnsi="Arial" w:cs="Arial"/>
          <w:bCs/>
          <w:lang w:val="pt-BR" w:eastAsia="es-ES"/>
        </w:rPr>
        <w:t>76</w:t>
      </w:r>
      <w:r w:rsidR="00CE1271" w:rsidRPr="001F27CE">
        <w:rPr>
          <w:rFonts w:ascii="Arial" w:hAnsi="Arial" w:cs="Arial"/>
          <w:bCs/>
          <w:lang w:val="pt-BR" w:eastAsia="es-ES"/>
        </w:rPr>
        <w:t xml:space="preserve"> bilhões</w:t>
      </w:r>
      <w:r w:rsidR="00AE1FF6" w:rsidRPr="001F27CE">
        <w:rPr>
          <w:rFonts w:ascii="Arial" w:hAnsi="Arial" w:cs="Arial"/>
          <w:bCs/>
          <w:lang w:val="pt-BR" w:eastAsia="es-ES"/>
        </w:rPr>
        <w:t xml:space="preserve"> de arrecadação</w:t>
      </w:r>
      <w:r w:rsidR="00CE1271" w:rsidRPr="001F27CE">
        <w:rPr>
          <w:rFonts w:ascii="Arial" w:hAnsi="Arial" w:cs="Arial"/>
          <w:bCs/>
          <w:lang w:val="pt-BR" w:eastAsia="es-ES"/>
        </w:rPr>
        <w:t>.</w:t>
      </w:r>
      <w:r w:rsidR="008816F0" w:rsidRPr="001F27CE">
        <w:rPr>
          <w:rFonts w:ascii="Arial" w:hAnsi="Arial" w:cs="Arial"/>
          <w:bCs/>
          <w:lang w:val="pt-BR" w:eastAsia="es-ES"/>
        </w:rPr>
        <w:t xml:space="preserve"> Por exemplo, se o Gap Tributário caísse para </w:t>
      </w:r>
      <w:r w:rsidR="00FC32DF" w:rsidRPr="001F27CE">
        <w:rPr>
          <w:rFonts w:ascii="Arial" w:hAnsi="Arial" w:cs="Arial"/>
          <w:bCs/>
          <w:lang w:val="pt-BR" w:eastAsia="es-ES"/>
        </w:rPr>
        <w:t>26,8</w:t>
      </w:r>
      <w:r w:rsidR="008816F0" w:rsidRPr="001F27CE">
        <w:rPr>
          <w:rFonts w:ascii="Arial" w:hAnsi="Arial" w:cs="Arial"/>
          <w:bCs/>
          <w:lang w:val="pt-BR" w:eastAsia="es-ES"/>
        </w:rPr>
        <w:t>% (queda de 1%), o estado teria arrecadado R</w:t>
      </w:r>
      <w:r w:rsidR="00FC32DF" w:rsidRPr="001F27CE">
        <w:rPr>
          <w:rFonts w:ascii="Arial" w:hAnsi="Arial" w:cs="Arial"/>
          <w:bCs/>
          <w:lang w:val="pt-BR" w:eastAsia="es-ES"/>
        </w:rPr>
        <w:t xml:space="preserve">$ </w:t>
      </w:r>
      <w:r w:rsidR="00B65E5D" w:rsidRPr="001F27CE">
        <w:rPr>
          <w:rFonts w:ascii="Arial" w:hAnsi="Arial" w:cs="Arial"/>
          <w:bCs/>
          <w:lang w:val="pt-BR" w:eastAsia="es-ES"/>
        </w:rPr>
        <w:t>1</w:t>
      </w:r>
      <w:r w:rsidR="003527CA" w:rsidRPr="001F27CE">
        <w:rPr>
          <w:rFonts w:ascii="Arial" w:hAnsi="Arial" w:cs="Arial"/>
          <w:bCs/>
          <w:lang w:val="pt-BR" w:eastAsia="es-ES"/>
        </w:rPr>
        <w:t>3</w:t>
      </w:r>
      <w:r w:rsidR="008528F9" w:rsidRPr="001F27CE">
        <w:rPr>
          <w:rFonts w:ascii="Arial" w:hAnsi="Arial" w:cs="Arial"/>
          <w:bCs/>
          <w:lang w:val="pt-BR" w:eastAsia="es-ES"/>
        </w:rPr>
        <w:t>5,5</w:t>
      </w:r>
      <w:r w:rsidR="008816F0" w:rsidRPr="001F27CE">
        <w:rPr>
          <w:rFonts w:ascii="Arial" w:hAnsi="Arial" w:cs="Arial"/>
          <w:bCs/>
          <w:lang w:val="pt-BR" w:eastAsia="es-ES"/>
        </w:rPr>
        <w:t xml:space="preserve"> milhões adicionais</w:t>
      </w:r>
      <w:r w:rsidR="00AE1FF6" w:rsidRPr="001F27CE">
        <w:rPr>
          <w:rFonts w:ascii="Arial" w:hAnsi="Arial" w:cs="Arial"/>
          <w:bCs/>
          <w:lang w:val="pt-BR" w:eastAsia="es-ES"/>
        </w:rPr>
        <w:t xml:space="preserve"> de receita do ICMS</w:t>
      </w:r>
      <w:r w:rsidR="008816F0" w:rsidRPr="001F27CE">
        <w:rPr>
          <w:rFonts w:ascii="Arial" w:hAnsi="Arial" w:cs="Arial"/>
          <w:bCs/>
          <w:lang w:val="pt-BR" w:eastAsia="es-ES"/>
        </w:rPr>
        <w:t xml:space="preserve">. </w:t>
      </w:r>
      <w:r w:rsidR="00EA17C0" w:rsidRPr="001F27CE">
        <w:rPr>
          <w:rFonts w:ascii="Arial" w:hAnsi="Arial" w:cs="Arial"/>
          <w:bCs/>
          <w:lang w:val="pt-BR" w:eastAsia="es-ES"/>
        </w:rPr>
        <w:t>Como mencionado anteriormente, e</w:t>
      </w:r>
      <w:r w:rsidR="008816F0" w:rsidRPr="001F27CE">
        <w:rPr>
          <w:rFonts w:ascii="Arial" w:hAnsi="Arial" w:cs="Arial"/>
          <w:bCs/>
          <w:lang w:val="pt-BR" w:eastAsia="es-ES"/>
        </w:rPr>
        <w:t xml:space="preserve">ste valor adicional </w:t>
      </w:r>
      <w:r w:rsidR="00EA17C0" w:rsidRPr="001F27CE">
        <w:rPr>
          <w:rFonts w:ascii="Arial" w:hAnsi="Arial" w:cs="Arial"/>
          <w:bCs/>
          <w:lang w:val="pt-BR" w:eastAsia="es-ES"/>
        </w:rPr>
        <w:t>viria de várias fontes</w:t>
      </w:r>
      <w:r w:rsidR="008816F0" w:rsidRPr="001F27CE">
        <w:rPr>
          <w:rFonts w:ascii="Arial" w:hAnsi="Arial" w:cs="Arial"/>
          <w:bCs/>
          <w:lang w:val="pt-BR" w:eastAsia="es-ES"/>
        </w:rPr>
        <w:t>: redução da sonegação, menor inadimplência, recebimento do contencioso, melhor re</w:t>
      </w:r>
      <w:bookmarkStart w:id="10" w:name="_Toc494137332"/>
      <w:r w:rsidR="003502B5" w:rsidRPr="001F27CE">
        <w:rPr>
          <w:rFonts w:ascii="Arial" w:hAnsi="Arial" w:cs="Arial"/>
          <w:bCs/>
          <w:lang w:val="pt-BR" w:eastAsia="es-ES"/>
        </w:rPr>
        <w:t>cuperação da dívida ativa, etc.</w:t>
      </w:r>
    </w:p>
    <w:p w14:paraId="294D5582" w14:textId="77777777" w:rsidR="00241A35" w:rsidRDefault="00241A35" w:rsidP="00241A35">
      <w:pPr>
        <w:pStyle w:val="PargrafodaLista"/>
        <w:keepNext/>
        <w:suppressAutoHyphens/>
        <w:spacing w:before="120" w:after="120"/>
        <w:ind w:left="851"/>
        <w:jc w:val="both"/>
        <w:outlineLvl w:val="2"/>
        <w:rPr>
          <w:rFonts w:ascii="Arial" w:hAnsi="Arial" w:cs="Arial"/>
          <w:bCs/>
          <w:lang w:val="pt-BR" w:eastAsia="es-ES"/>
        </w:rPr>
      </w:pPr>
    </w:p>
    <w:tbl>
      <w:tblPr>
        <w:tblW w:w="8789" w:type="dxa"/>
        <w:tblInd w:w="108" w:type="dxa"/>
        <w:tblLook w:val="04A0" w:firstRow="1" w:lastRow="0" w:firstColumn="1" w:lastColumn="0" w:noHBand="0" w:noVBand="1"/>
      </w:tblPr>
      <w:tblGrid>
        <w:gridCol w:w="2694"/>
        <w:gridCol w:w="2126"/>
        <w:gridCol w:w="3969"/>
      </w:tblGrid>
      <w:tr w:rsidR="00847081" w:rsidRPr="00847081" w14:paraId="43BC90EA" w14:textId="77777777" w:rsidTr="00847081">
        <w:trPr>
          <w:trHeight w:val="315"/>
        </w:trPr>
        <w:tc>
          <w:tcPr>
            <w:tcW w:w="8789" w:type="dxa"/>
            <w:gridSpan w:val="3"/>
            <w:tcBorders>
              <w:top w:val="nil"/>
              <w:left w:val="nil"/>
              <w:bottom w:val="single" w:sz="8" w:space="0" w:color="auto"/>
              <w:right w:val="nil"/>
            </w:tcBorders>
            <w:shd w:val="clear" w:color="auto" w:fill="auto"/>
            <w:noWrap/>
            <w:vAlign w:val="center"/>
            <w:hideMark/>
          </w:tcPr>
          <w:p w14:paraId="670EF43C" w14:textId="77777777" w:rsidR="00847081" w:rsidRPr="00847081" w:rsidRDefault="00847081" w:rsidP="00847081">
            <w:pPr>
              <w:jc w:val="center"/>
              <w:rPr>
                <w:rFonts w:ascii="Arial" w:hAnsi="Arial" w:cs="Arial"/>
                <w:b/>
                <w:bCs/>
                <w:color w:val="000000"/>
                <w:sz w:val="22"/>
                <w:szCs w:val="22"/>
                <w:lang w:val="pt-BR"/>
              </w:rPr>
            </w:pPr>
            <w:r w:rsidRPr="00847081">
              <w:rPr>
                <w:rFonts w:ascii="Arial" w:hAnsi="Arial" w:cs="Arial"/>
                <w:b/>
                <w:bCs/>
                <w:color w:val="FF0000"/>
                <w:sz w:val="22"/>
                <w:szCs w:val="22"/>
                <w:lang w:val="pt-BR"/>
              </w:rPr>
              <w:t xml:space="preserve">Tabela 6: </w:t>
            </w:r>
            <w:r w:rsidRPr="00847081">
              <w:rPr>
                <w:rFonts w:ascii="Arial" w:hAnsi="Arial" w:cs="Arial"/>
                <w:b/>
                <w:bCs/>
                <w:color w:val="000000"/>
                <w:sz w:val="22"/>
                <w:szCs w:val="22"/>
                <w:lang w:val="pt-BR"/>
              </w:rPr>
              <w:t xml:space="preserve">ICMS Potencial, Arrecadado e Gap </w:t>
            </w:r>
            <w:proofErr w:type="gramStart"/>
            <w:r w:rsidRPr="00847081">
              <w:rPr>
                <w:rFonts w:ascii="Arial" w:hAnsi="Arial" w:cs="Arial"/>
                <w:b/>
                <w:bCs/>
                <w:color w:val="000000"/>
                <w:sz w:val="22"/>
                <w:szCs w:val="22"/>
                <w:lang w:val="pt-BR"/>
              </w:rPr>
              <w:t>Tributário</w:t>
            </w:r>
            <w:proofErr w:type="gramEnd"/>
          </w:p>
        </w:tc>
      </w:tr>
      <w:tr w:rsidR="00847081" w:rsidRPr="00847081" w14:paraId="6FD36FCD" w14:textId="77777777" w:rsidTr="00847081">
        <w:trPr>
          <w:trHeight w:val="465"/>
        </w:trPr>
        <w:tc>
          <w:tcPr>
            <w:tcW w:w="8789"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104929" w14:textId="77777777" w:rsidR="00847081" w:rsidRPr="00847081" w:rsidRDefault="00847081" w:rsidP="00847081">
            <w:pPr>
              <w:jc w:val="center"/>
              <w:rPr>
                <w:rFonts w:ascii="Arial" w:hAnsi="Arial" w:cs="Arial"/>
                <w:color w:val="000000"/>
                <w:sz w:val="22"/>
                <w:szCs w:val="22"/>
              </w:rPr>
            </w:pPr>
            <w:proofErr w:type="spellStart"/>
            <w:r w:rsidRPr="00847081">
              <w:rPr>
                <w:rFonts w:ascii="Arial" w:hAnsi="Arial" w:cs="Arial"/>
                <w:color w:val="000000"/>
                <w:sz w:val="22"/>
                <w:szCs w:val="22"/>
              </w:rPr>
              <w:t>Em</w:t>
            </w:r>
            <w:proofErr w:type="spellEnd"/>
            <w:r w:rsidRPr="00847081">
              <w:rPr>
                <w:rFonts w:ascii="Arial" w:hAnsi="Arial" w:cs="Arial"/>
                <w:color w:val="000000"/>
                <w:sz w:val="22"/>
                <w:szCs w:val="22"/>
              </w:rPr>
              <w:t xml:space="preserve"> R$ </w:t>
            </w:r>
            <w:proofErr w:type="spellStart"/>
            <w:r w:rsidRPr="00847081">
              <w:rPr>
                <w:rFonts w:ascii="Arial" w:hAnsi="Arial" w:cs="Arial"/>
                <w:color w:val="000000"/>
                <w:sz w:val="22"/>
                <w:szCs w:val="22"/>
              </w:rPr>
              <w:t>bilhões</w:t>
            </w:r>
            <w:proofErr w:type="spellEnd"/>
            <w:r w:rsidRPr="00847081">
              <w:rPr>
                <w:rFonts w:ascii="Arial" w:hAnsi="Arial" w:cs="Arial"/>
                <w:color w:val="000000"/>
                <w:sz w:val="22"/>
                <w:szCs w:val="22"/>
              </w:rPr>
              <w:t xml:space="preserve"> - 2016</w:t>
            </w:r>
          </w:p>
        </w:tc>
      </w:tr>
      <w:tr w:rsidR="00847081" w:rsidRPr="00847081" w14:paraId="1863B708" w14:textId="77777777" w:rsidTr="00847081">
        <w:trPr>
          <w:trHeight w:val="315"/>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1D74F75F"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 xml:space="preserve">ICMS </w:t>
            </w:r>
            <w:proofErr w:type="spellStart"/>
            <w:r w:rsidRPr="00847081">
              <w:rPr>
                <w:rFonts w:ascii="Arial" w:hAnsi="Arial" w:cs="Arial"/>
                <w:color w:val="000000"/>
                <w:sz w:val="22"/>
                <w:szCs w:val="22"/>
              </w:rPr>
              <w:t>arrecadado</w:t>
            </w:r>
            <w:proofErr w:type="spellEnd"/>
          </w:p>
        </w:tc>
        <w:tc>
          <w:tcPr>
            <w:tcW w:w="2126" w:type="dxa"/>
            <w:tcBorders>
              <w:top w:val="nil"/>
              <w:left w:val="nil"/>
              <w:bottom w:val="single" w:sz="8" w:space="0" w:color="auto"/>
              <w:right w:val="single" w:sz="8" w:space="0" w:color="auto"/>
            </w:tcBorders>
            <w:shd w:val="clear" w:color="auto" w:fill="auto"/>
            <w:noWrap/>
            <w:vAlign w:val="center"/>
            <w:hideMark/>
          </w:tcPr>
          <w:p w14:paraId="2B42C092"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 xml:space="preserve">Gap </w:t>
            </w:r>
            <w:proofErr w:type="spellStart"/>
            <w:r w:rsidRPr="00847081">
              <w:rPr>
                <w:rFonts w:ascii="Arial" w:hAnsi="Arial" w:cs="Arial"/>
                <w:color w:val="000000"/>
                <w:sz w:val="22"/>
                <w:szCs w:val="22"/>
              </w:rPr>
              <w:t>Tributário</w:t>
            </w:r>
            <w:proofErr w:type="spellEnd"/>
          </w:p>
        </w:tc>
        <w:tc>
          <w:tcPr>
            <w:tcW w:w="3969" w:type="dxa"/>
            <w:tcBorders>
              <w:top w:val="nil"/>
              <w:left w:val="nil"/>
              <w:bottom w:val="single" w:sz="8" w:space="0" w:color="auto"/>
              <w:right w:val="single" w:sz="8" w:space="0" w:color="auto"/>
            </w:tcBorders>
            <w:shd w:val="clear" w:color="auto" w:fill="auto"/>
            <w:noWrap/>
            <w:vAlign w:val="center"/>
            <w:hideMark/>
          </w:tcPr>
          <w:p w14:paraId="3AE25856"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 xml:space="preserve">ICMS </w:t>
            </w:r>
            <w:proofErr w:type="spellStart"/>
            <w:r w:rsidRPr="00847081">
              <w:rPr>
                <w:rFonts w:ascii="Arial" w:hAnsi="Arial" w:cs="Arial"/>
                <w:color w:val="000000"/>
                <w:sz w:val="22"/>
                <w:szCs w:val="22"/>
              </w:rPr>
              <w:t>Potencial</w:t>
            </w:r>
            <w:proofErr w:type="spellEnd"/>
            <w:r w:rsidRPr="00847081">
              <w:rPr>
                <w:rFonts w:ascii="Arial" w:hAnsi="Arial" w:cs="Arial"/>
                <w:color w:val="000000"/>
                <w:sz w:val="22"/>
                <w:szCs w:val="22"/>
              </w:rPr>
              <w:t xml:space="preserve"> </w:t>
            </w:r>
            <w:proofErr w:type="spellStart"/>
            <w:r w:rsidRPr="00847081">
              <w:rPr>
                <w:rFonts w:ascii="Arial" w:hAnsi="Arial" w:cs="Arial"/>
                <w:color w:val="000000"/>
                <w:sz w:val="22"/>
                <w:szCs w:val="22"/>
              </w:rPr>
              <w:t>Líquido</w:t>
            </w:r>
            <w:proofErr w:type="spellEnd"/>
          </w:p>
        </w:tc>
      </w:tr>
      <w:tr w:rsidR="00847081" w:rsidRPr="00847081" w14:paraId="790C776F" w14:textId="77777777" w:rsidTr="00847081">
        <w:trPr>
          <w:trHeight w:val="315"/>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447174F0"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lastRenderedPageBreak/>
              <w:t>9,8</w:t>
            </w:r>
          </w:p>
        </w:tc>
        <w:tc>
          <w:tcPr>
            <w:tcW w:w="2126" w:type="dxa"/>
            <w:tcBorders>
              <w:top w:val="nil"/>
              <w:left w:val="nil"/>
              <w:bottom w:val="single" w:sz="8" w:space="0" w:color="auto"/>
              <w:right w:val="single" w:sz="8" w:space="0" w:color="auto"/>
            </w:tcBorders>
            <w:shd w:val="clear" w:color="auto" w:fill="auto"/>
            <w:noWrap/>
            <w:vAlign w:val="center"/>
            <w:hideMark/>
          </w:tcPr>
          <w:p w14:paraId="4F9FFC85"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3,8</w:t>
            </w:r>
          </w:p>
        </w:tc>
        <w:tc>
          <w:tcPr>
            <w:tcW w:w="3969" w:type="dxa"/>
            <w:tcBorders>
              <w:top w:val="nil"/>
              <w:left w:val="nil"/>
              <w:bottom w:val="single" w:sz="8" w:space="0" w:color="auto"/>
              <w:right w:val="single" w:sz="8" w:space="0" w:color="auto"/>
            </w:tcBorders>
            <w:shd w:val="clear" w:color="auto" w:fill="auto"/>
            <w:noWrap/>
            <w:vAlign w:val="center"/>
            <w:hideMark/>
          </w:tcPr>
          <w:p w14:paraId="47A75248"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13,6</w:t>
            </w:r>
          </w:p>
        </w:tc>
      </w:tr>
      <w:tr w:rsidR="00847081" w:rsidRPr="00847081" w14:paraId="5E48953E" w14:textId="77777777" w:rsidTr="00847081">
        <w:trPr>
          <w:trHeight w:val="315"/>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6E4ED103"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72,20%</w:t>
            </w:r>
          </w:p>
        </w:tc>
        <w:tc>
          <w:tcPr>
            <w:tcW w:w="2126" w:type="dxa"/>
            <w:tcBorders>
              <w:top w:val="nil"/>
              <w:left w:val="nil"/>
              <w:bottom w:val="single" w:sz="8" w:space="0" w:color="auto"/>
              <w:right w:val="single" w:sz="8" w:space="0" w:color="auto"/>
            </w:tcBorders>
            <w:shd w:val="clear" w:color="auto" w:fill="auto"/>
            <w:noWrap/>
            <w:vAlign w:val="center"/>
            <w:hideMark/>
          </w:tcPr>
          <w:p w14:paraId="60B54B50"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27,60%</w:t>
            </w:r>
          </w:p>
        </w:tc>
        <w:tc>
          <w:tcPr>
            <w:tcW w:w="3969" w:type="dxa"/>
            <w:tcBorders>
              <w:top w:val="nil"/>
              <w:left w:val="nil"/>
              <w:bottom w:val="single" w:sz="8" w:space="0" w:color="auto"/>
              <w:right w:val="single" w:sz="8" w:space="0" w:color="auto"/>
            </w:tcBorders>
            <w:shd w:val="clear" w:color="auto" w:fill="auto"/>
            <w:noWrap/>
            <w:vAlign w:val="center"/>
            <w:hideMark/>
          </w:tcPr>
          <w:p w14:paraId="26171335" w14:textId="77777777" w:rsidR="00847081" w:rsidRPr="00847081" w:rsidRDefault="00847081" w:rsidP="00847081">
            <w:pPr>
              <w:jc w:val="center"/>
              <w:rPr>
                <w:rFonts w:ascii="Arial" w:hAnsi="Arial" w:cs="Arial"/>
                <w:color w:val="000000"/>
                <w:sz w:val="22"/>
                <w:szCs w:val="22"/>
              </w:rPr>
            </w:pPr>
            <w:r w:rsidRPr="00847081">
              <w:rPr>
                <w:rFonts w:ascii="Arial" w:hAnsi="Arial" w:cs="Arial"/>
                <w:color w:val="000000"/>
                <w:sz w:val="22"/>
                <w:szCs w:val="22"/>
              </w:rPr>
              <w:t>100%</w:t>
            </w:r>
          </w:p>
        </w:tc>
      </w:tr>
      <w:tr w:rsidR="00847081" w:rsidRPr="00847081" w14:paraId="0866D9D1" w14:textId="77777777" w:rsidTr="00847081">
        <w:trPr>
          <w:trHeight w:val="585"/>
        </w:trPr>
        <w:tc>
          <w:tcPr>
            <w:tcW w:w="8789" w:type="dxa"/>
            <w:gridSpan w:val="3"/>
            <w:tcBorders>
              <w:top w:val="single" w:sz="8" w:space="0" w:color="auto"/>
              <w:left w:val="nil"/>
              <w:bottom w:val="nil"/>
              <w:right w:val="nil"/>
            </w:tcBorders>
            <w:shd w:val="clear" w:color="auto" w:fill="auto"/>
            <w:vAlign w:val="center"/>
            <w:hideMark/>
          </w:tcPr>
          <w:p w14:paraId="2192662F" w14:textId="2CEFD73F" w:rsidR="00847081" w:rsidRPr="00847081" w:rsidRDefault="00847081" w:rsidP="00847081">
            <w:pPr>
              <w:rPr>
                <w:rFonts w:ascii="Arial" w:hAnsi="Arial" w:cs="Arial"/>
                <w:color w:val="000000"/>
                <w:sz w:val="20"/>
                <w:szCs w:val="20"/>
                <w:lang w:val="pt-BR"/>
              </w:rPr>
            </w:pPr>
            <w:r w:rsidRPr="00847081">
              <w:rPr>
                <w:rFonts w:ascii="Arial" w:hAnsi="Arial" w:cs="Arial"/>
                <w:color w:val="000000"/>
                <w:sz w:val="20"/>
                <w:szCs w:val="20"/>
                <w:lang w:val="pt-BR"/>
              </w:rPr>
              <w:t>Fonte: SEFA</w:t>
            </w:r>
            <w:r>
              <w:rPr>
                <w:rFonts w:ascii="Arial" w:hAnsi="Arial" w:cs="Arial"/>
                <w:color w:val="000000"/>
                <w:sz w:val="20"/>
                <w:szCs w:val="20"/>
                <w:lang w:val="pt-BR"/>
              </w:rPr>
              <w:t>/PA</w:t>
            </w:r>
            <w:r w:rsidRPr="00847081">
              <w:rPr>
                <w:rFonts w:ascii="Arial" w:hAnsi="Arial" w:cs="Arial"/>
                <w:color w:val="000000"/>
                <w:sz w:val="20"/>
                <w:szCs w:val="20"/>
                <w:lang w:val="pt-BR"/>
              </w:rPr>
              <w:t xml:space="preserve"> para ICMS </w:t>
            </w:r>
            <w:proofErr w:type="gramStart"/>
            <w:r w:rsidRPr="00847081">
              <w:rPr>
                <w:rFonts w:ascii="Arial" w:hAnsi="Arial" w:cs="Arial"/>
                <w:color w:val="000000"/>
                <w:sz w:val="20"/>
                <w:szCs w:val="20"/>
                <w:lang w:val="pt-BR"/>
              </w:rPr>
              <w:t>arrecadado e estimativa do ICMS Potencial Líquido usando a metodologia descrita na Tabela 5</w:t>
            </w:r>
            <w:proofErr w:type="gramEnd"/>
            <w:r w:rsidRPr="00847081">
              <w:rPr>
                <w:rFonts w:ascii="Arial" w:hAnsi="Arial" w:cs="Arial"/>
                <w:color w:val="000000"/>
                <w:sz w:val="20"/>
                <w:szCs w:val="20"/>
                <w:lang w:val="pt-BR"/>
              </w:rPr>
              <w:t xml:space="preserve">. GAP Tributário é a diferença entre ICMS Potencial menos ICMS Arrecadado. </w:t>
            </w:r>
          </w:p>
        </w:tc>
      </w:tr>
    </w:tbl>
    <w:p w14:paraId="294D5584" w14:textId="77777777" w:rsidR="00241A35" w:rsidRPr="001F27CE" w:rsidRDefault="00241A35" w:rsidP="00241A35">
      <w:pPr>
        <w:pStyle w:val="PargrafodaLista"/>
        <w:keepNext/>
        <w:suppressAutoHyphens/>
        <w:spacing w:before="120" w:after="120"/>
        <w:ind w:left="1985"/>
        <w:jc w:val="both"/>
        <w:outlineLvl w:val="2"/>
        <w:rPr>
          <w:rFonts w:ascii="Arial" w:hAnsi="Arial" w:cs="Arial"/>
          <w:bCs/>
          <w:lang w:val="pt-BR" w:eastAsia="es-ES"/>
        </w:rPr>
      </w:pPr>
    </w:p>
    <w:p w14:paraId="294D5585" w14:textId="77777777" w:rsidR="008759BC" w:rsidRPr="001F27CE" w:rsidRDefault="008759BC" w:rsidP="004F29AA">
      <w:pPr>
        <w:pStyle w:val="PargrafodaLista"/>
        <w:keepNext/>
        <w:numPr>
          <w:ilvl w:val="1"/>
          <w:numId w:val="4"/>
        </w:numPr>
        <w:tabs>
          <w:tab w:val="clear" w:pos="1009"/>
          <w:tab w:val="num" w:pos="851"/>
        </w:tabs>
        <w:suppressAutoHyphens/>
        <w:spacing w:before="360"/>
        <w:ind w:left="851" w:hanging="567"/>
        <w:jc w:val="both"/>
        <w:outlineLvl w:val="3"/>
        <w:rPr>
          <w:rFonts w:ascii="Arial" w:hAnsi="Arial" w:cs="Arial"/>
          <w:bCs/>
          <w:lang w:val="pt-BR" w:eastAsia="es-ES"/>
        </w:rPr>
      </w:pPr>
      <w:r w:rsidRPr="001F27CE">
        <w:rPr>
          <w:rFonts w:ascii="Arial" w:hAnsi="Arial" w:cs="Arial"/>
          <w:bCs/>
          <w:lang w:val="pt-BR" w:eastAsia="es-ES"/>
        </w:rPr>
        <w:t xml:space="preserve">O </w:t>
      </w:r>
      <w:r w:rsidRPr="001F27CE">
        <w:rPr>
          <w:rFonts w:ascii="Arial" w:hAnsi="Arial" w:cs="Arial"/>
          <w:sz w:val="22"/>
          <w:szCs w:val="22"/>
          <w:lang w:val="pt-BR"/>
        </w:rPr>
        <w:t xml:space="preserve">Componente II (Administração </w:t>
      </w:r>
      <w:proofErr w:type="gramStart"/>
      <w:r w:rsidRPr="001F27CE">
        <w:rPr>
          <w:rFonts w:ascii="Arial" w:hAnsi="Arial" w:cs="Arial"/>
          <w:sz w:val="22"/>
          <w:szCs w:val="22"/>
          <w:lang w:val="pt-BR"/>
        </w:rPr>
        <w:t>tributária e contencioso fiscal</w:t>
      </w:r>
      <w:proofErr w:type="gramEnd"/>
      <w:r w:rsidRPr="001F27CE">
        <w:rPr>
          <w:rFonts w:ascii="Arial" w:hAnsi="Arial" w:cs="Arial"/>
          <w:sz w:val="22"/>
          <w:szCs w:val="22"/>
          <w:lang w:val="pt-BR"/>
        </w:rPr>
        <w:t xml:space="preserve">) </w:t>
      </w:r>
      <w:r w:rsidRPr="001F27CE">
        <w:rPr>
          <w:rFonts w:ascii="Arial" w:hAnsi="Arial" w:cs="Arial"/>
          <w:bCs/>
          <w:lang w:val="pt-BR" w:eastAsia="es-ES"/>
        </w:rPr>
        <w:t>do PROFISCO II financiará iniciativas que buscam aumentar a arrecadação própria do Pará, incluindo, entre outras: (i) Fortalecimento dos sistemas estratégicos da Administração Tributária; (</w:t>
      </w:r>
      <w:proofErr w:type="spellStart"/>
      <w:r w:rsidRPr="001F27CE">
        <w:rPr>
          <w:rFonts w:ascii="Arial" w:hAnsi="Arial" w:cs="Arial"/>
          <w:bCs/>
          <w:lang w:val="pt-BR" w:eastAsia="es-ES"/>
        </w:rPr>
        <w:t>ii</w:t>
      </w:r>
      <w:proofErr w:type="spellEnd"/>
      <w:r w:rsidRPr="001F27CE">
        <w:rPr>
          <w:rFonts w:ascii="Arial" w:hAnsi="Arial" w:cs="Arial"/>
          <w:bCs/>
          <w:lang w:val="pt-BR" w:eastAsia="es-ES"/>
        </w:rPr>
        <w:t>) Melhoramento dos cadastros e simplificação das obrigações tributárias; (</w:t>
      </w:r>
      <w:proofErr w:type="spellStart"/>
      <w:r w:rsidRPr="001F27CE">
        <w:rPr>
          <w:rFonts w:ascii="Arial" w:hAnsi="Arial" w:cs="Arial"/>
          <w:bCs/>
          <w:lang w:val="pt-BR" w:eastAsia="es-ES"/>
        </w:rPr>
        <w:t>iii</w:t>
      </w:r>
      <w:proofErr w:type="spellEnd"/>
      <w:r w:rsidRPr="001F27CE">
        <w:rPr>
          <w:rFonts w:ascii="Arial" w:hAnsi="Arial" w:cs="Arial"/>
          <w:bCs/>
          <w:lang w:val="pt-BR" w:eastAsia="es-ES"/>
        </w:rPr>
        <w:t>) Fortalecimento dos instrumentos de política tributária; (</w:t>
      </w:r>
      <w:proofErr w:type="spellStart"/>
      <w:r w:rsidRPr="001F27CE">
        <w:rPr>
          <w:rFonts w:ascii="Arial" w:hAnsi="Arial" w:cs="Arial"/>
          <w:bCs/>
          <w:lang w:val="pt-BR" w:eastAsia="es-ES"/>
        </w:rPr>
        <w:t>iv</w:t>
      </w:r>
      <w:proofErr w:type="spellEnd"/>
      <w:r w:rsidRPr="001F27CE">
        <w:rPr>
          <w:rFonts w:ascii="Arial" w:hAnsi="Arial" w:cs="Arial"/>
          <w:bCs/>
          <w:lang w:val="pt-BR" w:eastAsia="es-ES"/>
        </w:rPr>
        <w:t>) Implantação de procedimentos de fiscalização preventiva; (v) Melhoramento e integração dos proc</w:t>
      </w:r>
      <w:r w:rsidR="003B2DA8">
        <w:rPr>
          <w:rFonts w:ascii="Arial" w:hAnsi="Arial" w:cs="Arial"/>
          <w:bCs/>
          <w:lang w:val="pt-BR" w:eastAsia="es-ES"/>
        </w:rPr>
        <w:t xml:space="preserve">edimentos do contencioso fiscal; </w:t>
      </w:r>
      <w:r w:rsidRPr="001F27CE">
        <w:rPr>
          <w:rFonts w:ascii="Arial" w:hAnsi="Arial" w:cs="Arial"/>
          <w:bCs/>
          <w:lang w:val="pt-BR" w:eastAsia="es-ES"/>
        </w:rPr>
        <w:t>e (vi) Fortalecimento da gestão da cobrança.</w:t>
      </w:r>
    </w:p>
    <w:p w14:paraId="294D5586" w14:textId="77777777" w:rsidR="003502B5" w:rsidRPr="001F27CE" w:rsidRDefault="002B08A7" w:rsidP="008759BC">
      <w:pPr>
        <w:pStyle w:val="PargrafodaLista"/>
        <w:keepNext/>
        <w:numPr>
          <w:ilvl w:val="1"/>
          <w:numId w:val="4"/>
        </w:numPr>
        <w:suppressAutoHyphens/>
        <w:spacing w:before="120"/>
        <w:ind w:left="851" w:hanging="567"/>
        <w:jc w:val="both"/>
        <w:outlineLvl w:val="2"/>
        <w:rPr>
          <w:rFonts w:ascii="Arial" w:hAnsi="Arial" w:cs="Arial"/>
          <w:bCs/>
          <w:lang w:val="pt-BR" w:eastAsia="es-ES"/>
        </w:rPr>
      </w:pPr>
      <w:bookmarkStart w:id="11" w:name="_Toc494137333"/>
      <w:bookmarkEnd w:id="10"/>
      <w:r w:rsidRPr="001F27CE">
        <w:rPr>
          <w:rFonts w:ascii="Arial" w:hAnsi="Arial" w:cs="Arial"/>
          <w:bCs/>
          <w:lang w:val="pt-BR" w:eastAsia="es-ES"/>
        </w:rPr>
        <w:t>Todas as ações descritas acima</w:t>
      </w:r>
      <w:r w:rsidR="003502B5" w:rsidRPr="001F27CE">
        <w:rPr>
          <w:rFonts w:ascii="Arial" w:hAnsi="Arial" w:cs="Arial"/>
          <w:bCs/>
          <w:lang w:val="pt-BR" w:eastAsia="es-ES"/>
        </w:rPr>
        <w:t>, especialmente o uso mais intensivo de tecnologia na gestão tributária,</w:t>
      </w:r>
      <w:r w:rsidRPr="001F27CE">
        <w:rPr>
          <w:rFonts w:ascii="Arial" w:hAnsi="Arial" w:cs="Arial"/>
          <w:bCs/>
          <w:lang w:val="pt-BR" w:eastAsia="es-ES"/>
        </w:rPr>
        <w:t xml:space="preserve"> irão impactar na redução do Gap </w:t>
      </w:r>
      <w:r w:rsidR="007F5376" w:rsidRPr="001F27CE">
        <w:rPr>
          <w:rFonts w:ascii="Arial" w:hAnsi="Arial" w:cs="Arial"/>
          <w:bCs/>
          <w:lang w:val="pt-BR" w:eastAsia="es-ES"/>
        </w:rPr>
        <w:t xml:space="preserve">Tributário </w:t>
      </w:r>
      <w:r w:rsidR="0090441D" w:rsidRPr="001F27CE">
        <w:rPr>
          <w:rFonts w:ascii="Arial" w:hAnsi="Arial" w:cs="Arial"/>
          <w:bCs/>
          <w:lang w:val="pt-BR" w:eastAsia="es-ES"/>
        </w:rPr>
        <w:t>do ICMS</w:t>
      </w:r>
      <w:r w:rsidRPr="001F27CE">
        <w:rPr>
          <w:rFonts w:ascii="Arial" w:hAnsi="Arial" w:cs="Arial"/>
          <w:bCs/>
          <w:lang w:val="pt-BR" w:eastAsia="es-ES"/>
        </w:rPr>
        <w:t>.</w:t>
      </w:r>
      <w:proofErr w:type="gramStart"/>
      <w:r w:rsidR="006F1E49" w:rsidRPr="001F27CE">
        <w:rPr>
          <w:rStyle w:val="Refdenotaderodap"/>
          <w:rFonts w:ascii="Arial" w:hAnsi="Arial" w:cs="Arial"/>
          <w:bCs/>
          <w:lang w:val="pt-BR" w:eastAsia="es-ES"/>
        </w:rPr>
        <w:footnoteReference w:id="6"/>
      </w:r>
      <w:proofErr w:type="gramEnd"/>
      <w:r w:rsidRPr="001F27CE">
        <w:rPr>
          <w:rFonts w:ascii="Arial" w:hAnsi="Arial" w:cs="Arial"/>
          <w:bCs/>
          <w:lang w:val="pt-BR" w:eastAsia="es-ES"/>
        </w:rPr>
        <w:t xml:space="preserve"> </w:t>
      </w:r>
    </w:p>
    <w:p w14:paraId="294D5587" w14:textId="77777777" w:rsidR="007F5376" w:rsidRPr="001F27CE" w:rsidRDefault="00532631" w:rsidP="008759BC">
      <w:pPr>
        <w:pStyle w:val="PargrafodaLista"/>
        <w:keepNext/>
        <w:numPr>
          <w:ilvl w:val="1"/>
          <w:numId w:val="4"/>
        </w:numPr>
        <w:suppressAutoHyphens/>
        <w:spacing w:before="120"/>
        <w:ind w:left="851" w:hanging="567"/>
        <w:jc w:val="both"/>
        <w:outlineLvl w:val="2"/>
        <w:rPr>
          <w:rFonts w:ascii="Arial" w:hAnsi="Arial" w:cs="Arial"/>
          <w:bCs/>
          <w:lang w:val="pt-BR" w:eastAsia="es-ES"/>
        </w:rPr>
      </w:pPr>
      <w:r w:rsidRPr="001F27CE">
        <w:rPr>
          <w:rFonts w:ascii="Arial" w:hAnsi="Arial" w:cs="Arial"/>
          <w:bCs/>
          <w:lang w:val="pt-BR" w:eastAsia="es-ES"/>
        </w:rPr>
        <w:t>Para a análise</w:t>
      </w:r>
      <w:r w:rsidR="002B08A7" w:rsidRPr="001F27CE">
        <w:rPr>
          <w:rFonts w:ascii="Arial" w:hAnsi="Arial" w:cs="Arial"/>
          <w:bCs/>
          <w:lang w:val="pt-BR" w:eastAsia="es-ES"/>
        </w:rPr>
        <w:t xml:space="preserve"> C-B, assume-se uma hipótese extremamente conservadora que</w:t>
      </w:r>
      <w:r w:rsidR="003502B5" w:rsidRPr="001F27CE">
        <w:rPr>
          <w:rFonts w:ascii="Arial" w:hAnsi="Arial" w:cs="Arial"/>
          <w:bCs/>
          <w:lang w:val="pt-BR" w:eastAsia="es-ES"/>
        </w:rPr>
        <w:t>,</w:t>
      </w:r>
      <w:r w:rsidR="002B08A7" w:rsidRPr="001F27CE">
        <w:rPr>
          <w:rFonts w:ascii="Arial" w:hAnsi="Arial" w:cs="Arial"/>
          <w:bCs/>
          <w:lang w:val="pt-BR" w:eastAsia="es-ES"/>
        </w:rPr>
        <w:t xml:space="preserve"> ao final do programa</w:t>
      </w:r>
      <w:r w:rsidR="003502B5" w:rsidRPr="001F27CE">
        <w:rPr>
          <w:rFonts w:ascii="Arial" w:hAnsi="Arial" w:cs="Arial"/>
          <w:bCs/>
          <w:lang w:val="pt-BR" w:eastAsia="es-ES"/>
        </w:rPr>
        <w:t>,</w:t>
      </w:r>
      <w:r w:rsidR="002B08A7" w:rsidRPr="001F27CE">
        <w:rPr>
          <w:rFonts w:ascii="Arial" w:hAnsi="Arial" w:cs="Arial"/>
          <w:bCs/>
          <w:lang w:val="pt-BR" w:eastAsia="es-ES"/>
        </w:rPr>
        <w:t xml:space="preserve"> o Gap Líquido Tributário seja reduzido em </w:t>
      </w:r>
      <w:r w:rsidR="000F367D" w:rsidRPr="001F27CE">
        <w:rPr>
          <w:rFonts w:ascii="Arial" w:hAnsi="Arial" w:cs="Arial"/>
          <w:bCs/>
          <w:lang w:val="pt-BR" w:eastAsia="es-ES"/>
        </w:rPr>
        <w:t>0,6</w:t>
      </w:r>
      <w:r w:rsidR="002B08A7" w:rsidRPr="001F27CE">
        <w:rPr>
          <w:rFonts w:ascii="Arial" w:hAnsi="Arial" w:cs="Arial"/>
          <w:bCs/>
          <w:lang w:val="pt-BR" w:eastAsia="es-ES"/>
        </w:rPr>
        <w:t xml:space="preserve">%, passando de </w:t>
      </w:r>
      <w:r w:rsidR="00EF0661" w:rsidRPr="001F27CE">
        <w:rPr>
          <w:rFonts w:ascii="Arial" w:hAnsi="Arial" w:cs="Arial"/>
          <w:bCs/>
          <w:lang w:val="pt-BR" w:eastAsia="es-ES"/>
        </w:rPr>
        <w:t>27,8</w:t>
      </w:r>
      <w:r w:rsidR="002B08A7" w:rsidRPr="001F27CE">
        <w:rPr>
          <w:rFonts w:ascii="Arial" w:hAnsi="Arial" w:cs="Arial"/>
          <w:bCs/>
          <w:lang w:val="pt-BR" w:eastAsia="es-ES"/>
        </w:rPr>
        <w:t xml:space="preserve">% para </w:t>
      </w:r>
      <w:r w:rsidR="000F367D" w:rsidRPr="001F27CE">
        <w:rPr>
          <w:rFonts w:ascii="Arial" w:hAnsi="Arial" w:cs="Arial"/>
          <w:bCs/>
          <w:lang w:val="pt-BR" w:eastAsia="es-ES"/>
        </w:rPr>
        <w:t>27,2</w:t>
      </w:r>
      <w:r w:rsidR="002B08A7" w:rsidRPr="001F27CE">
        <w:rPr>
          <w:rFonts w:ascii="Arial" w:hAnsi="Arial" w:cs="Arial"/>
          <w:bCs/>
          <w:lang w:val="pt-BR" w:eastAsia="es-ES"/>
        </w:rPr>
        <w:t>%</w:t>
      </w:r>
      <w:r w:rsidR="00DB4D88" w:rsidRPr="001F27CE">
        <w:rPr>
          <w:rStyle w:val="Refdenotaderodap"/>
          <w:rFonts w:ascii="Arial" w:hAnsi="Arial" w:cs="Arial"/>
          <w:bCs/>
          <w:lang w:val="pt-BR" w:eastAsia="es-ES"/>
        </w:rPr>
        <w:footnoteReference w:id="7"/>
      </w:r>
      <w:r w:rsidR="002B08A7" w:rsidRPr="001F27CE">
        <w:rPr>
          <w:rFonts w:ascii="Arial" w:hAnsi="Arial" w:cs="Arial"/>
          <w:bCs/>
          <w:lang w:val="pt-BR" w:eastAsia="es-ES"/>
        </w:rPr>
        <w:t xml:space="preserve">. </w:t>
      </w:r>
      <w:r w:rsidR="00774B18" w:rsidRPr="001F27CE">
        <w:rPr>
          <w:rFonts w:ascii="Arial" w:hAnsi="Arial" w:cs="Arial"/>
          <w:bCs/>
          <w:lang w:val="pt-BR" w:eastAsia="es-ES"/>
        </w:rPr>
        <w:t xml:space="preserve">A Tabela </w:t>
      </w:r>
      <w:r w:rsidR="00EF0661" w:rsidRPr="001F27CE">
        <w:rPr>
          <w:rFonts w:ascii="Arial" w:hAnsi="Arial" w:cs="Arial"/>
          <w:bCs/>
          <w:lang w:val="pt-BR" w:eastAsia="es-ES"/>
        </w:rPr>
        <w:t>3</w:t>
      </w:r>
      <w:r w:rsidR="00774B18" w:rsidRPr="001F27CE">
        <w:rPr>
          <w:rFonts w:ascii="Arial" w:hAnsi="Arial" w:cs="Arial"/>
          <w:bCs/>
          <w:lang w:val="pt-BR" w:eastAsia="es-ES"/>
        </w:rPr>
        <w:t xml:space="preserve"> </w:t>
      </w:r>
      <w:r w:rsidR="00756E5C" w:rsidRPr="001F27CE">
        <w:rPr>
          <w:rFonts w:ascii="Arial" w:hAnsi="Arial" w:cs="Arial"/>
          <w:bCs/>
          <w:lang w:val="pt-BR" w:eastAsia="es-ES"/>
        </w:rPr>
        <w:t xml:space="preserve">mostra que o ICMS Potencial Líquido estimado é de R$ </w:t>
      </w:r>
      <w:r w:rsidR="00EF0661" w:rsidRPr="001F27CE">
        <w:rPr>
          <w:rFonts w:ascii="Arial" w:hAnsi="Arial" w:cs="Arial"/>
          <w:bCs/>
          <w:lang w:val="pt-BR" w:eastAsia="es-ES"/>
        </w:rPr>
        <w:t>1</w:t>
      </w:r>
      <w:r w:rsidR="00B548EE" w:rsidRPr="001F27CE">
        <w:rPr>
          <w:rFonts w:ascii="Arial" w:hAnsi="Arial" w:cs="Arial"/>
          <w:bCs/>
          <w:lang w:val="pt-BR" w:eastAsia="es-ES"/>
        </w:rPr>
        <w:t>3,55</w:t>
      </w:r>
      <w:r w:rsidR="00756E5C" w:rsidRPr="001F27CE">
        <w:rPr>
          <w:rFonts w:ascii="Arial" w:hAnsi="Arial" w:cs="Arial"/>
          <w:bCs/>
          <w:lang w:val="pt-BR" w:eastAsia="es-ES"/>
        </w:rPr>
        <w:t xml:space="preserve"> bilhões, incluindo o Gap Tributário de R$ </w:t>
      </w:r>
      <w:r w:rsidR="00B548EE" w:rsidRPr="001F27CE">
        <w:rPr>
          <w:rFonts w:ascii="Arial" w:hAnsi="Arial" w:cs="Arial"/>
          <w:bCs/>
          <w:lang w:val="pt-BR" w:eastAsia="es-ES"/>
        </w:rPr>
        <w:t>3,76</w:t>
      </w:r>
      <w:r w:rsidR="00756E5C" w:rsidRPr="001F27CE">
        <w:rPr>
          <w:rFonts w:ascii="Arial" w:hAnsi="Arial" w:cs="Arial"/>
          <w:bCs/>
          <w:lang w:val="pt-BR" w:eastAsia="es-ES"/>
        </w:rPr>
        <w:t xml:space="preserve"> bilhões (</w:t>
      </w:r>
      <w:r w:rsidR="00EF0661" w:rsidRPr="001F27CE">
        <w:rPr>
          <w:rFonts w:ascii="Arial" w:hAnsi="Arial" w:cs="Arial"/>
          <w:bCs/>
          <w:lang w:val="pt-BR" w:eastAsia="es-ES"/>
        </w:rPr>
        <w:t>27,8</w:t>
      </w:r>
      <w:r w:rsidR="00756E5C" w:rsidRPr="001F27CE">
        <w:rPr>
          <w:rFonts w:ascii="Arial" w:hAnsi="Arial" w:cs="Arial"/>
          <w:bCs/>
          <w:lang w:val="pt-BR" w:eastAsia="es-ES"/>
        </w:rPr>
        <w:t>% do total). Assim, cada 0,</w:t>
      </w:r>
      <w:r w:rsidR="00EF0661" w:rsidRPr="001F27CE">
        <w:rPr>
          <w:rFonts w:ascii="Arial" w:hAnsi="Arial" w:cs="Arial"/>
          <w:bCs/>
          <w:lang w:val="pt-BR" w:eastAsia="es-ES"/>
        </w:rPr>
        <w:t>2</w:t>
      </w:r>
      <w:r w:rsidR="00756E5C" w:rsidRPr="001F27CE">
        <w:rPr>
          <w:rFonts w:ascii="Arial" w:hAnsi="Arial" w:cs="Arial"/>
          <w:bCs/>
          <w:lang w:val="pt-BR" w:eastAsia="es-ES"/>
        </w:rPr>
        <w:t xml:space="preserve">% de redução do Gap (de, por exemplo, </w:t>
      </w:r>
      <w:r w:rsidR="00EF0661" w:rsidRPr="001F27CE">
        <w:rPr>
          <w:rFonts w:ascii="Arial" w:hAnsi="Arial" w:cs="Arial"/>
          <w:bCs/>
          <w:lang w:val="pt-BR" w:eastAsia="es-ES"/>
        </w:rPr>
        <w:t>27,8</w:t>
      </w:r>
      <w:r w:rsidR="00756E5C" w:rsidRPr="001F27CE">
        <w:rPr>
          <w:rFonts w:ascii="Arial" w:hAnsi="Arial" w:cs="Arial"/>
          <w:bCs/>
          <w:lang w:val="pt-BR" w:eastAsia="es-ES"/>
        </w:rPr>
        <w:t xml:space="preserve">% para </w:t>
      </w:r>
      <w:r w:rsidR="00EF0661" w:rsidRPr="001F27CE">
        <w:rPr>
          <w:rFonts w:ascii="Arial" w:hAnsi="Arial" w:cs="Arial"/>
          <w:bCs/>
          <w:lang w:val="pt-BR" w:eastAsia="es-ES"/>
        </w:rPr>
        <w:t>27,6</w:t>
      </w:r>
      <w:r w:rsidR="00756E5C" w:rsidRPr="001F27CE">
        <w:rPr>
          <w:rFonts w:ascii="Arial" w:hAnsi="Arial" w:cs="Arial"/>
          <w:bCs/>
          <w:lang w:val="pt-BR" w:eastAsia="es-ES"/>
        </w:rPr>
        <w:t>%) equivaleria a um aumento de arrecadação de R$</w:t>
      </w:r>
      <w:r w:rsidR="005B514C" w:rsidRPr="001F27CE">
        <w:rPr>
          <w:rFonts w:ascii="Arial" w:hAnsi="Arial" w:cs="Arial"/>
          <w:bCs/>
          <w:lang w:val="pt-BR" w:eastAsia="es-ES"/>
        </w:rPr>
        <w:t xml:space="preserve"> </w:t>
      </w:r>
      <w:r w:rsidR="00EF0661" w:rsidRPr="001F27CE">
        <w:rPr>
          <w:rFonts w:ascii="Arial" w:hAnsi="Arial" w:cs="Arial"/>
          <w:bCs/>
          <w:lang w:val="pt-BR" w:eastAsia="es-ES"/>
        </w:rPr>
        <w:t>27,</w:t>
      </w:r>
      <w:r w:rsidR="00B548EE" w:rsidRPr="001F27CE">
        <w:rPr>
          <w:rFonts w:ascii="Arial" w:hAnsi="Arial" w:cs="Arial"/>
          <w:bCs/>
          <w:lang w:val="pt-BR" w:eastAsia="es-ES"/>
        </w:rPr>
        <w:t>1</w:t>
      </w:r>
      <w:r w:rsidR="00756E5C" w:rsidRPr="001F27CE">
        <w:rPr>
          <w:rFonts w:ascii="Arial" w:hAnsi="Arial" w:cs="Arial"/>
          <w:bCs/>
          <w:lang w:val="pt-BR" w:eastAsia="es-ES"/>
        </w:rPr>
        <w:t xml:space="preserve"> milhões.</w:t>
      </w:r>
      <w:bookmarkEnd w:id="11"/>
    </w:p>
    <w:p w14:paraId="294D5588" w14:textId="6471C8D9" w:rsidR="00827559" w:rsidRPr="001F27CE" w:rsidRDefault="002B08A7" w:rsidP="008759BC">
      <w:pPr>
        <w:pStyle w:val="PargrafodaLista"/>
        <w:keepNext/>
        <w:numPr>
          <w:ilvl w:val="1"/>
          <w:numId w:val="4"/>
        </w:numPr>
        <w:suppressAutoHyphens/>
        <w:spacing w:before="120"/>
        <w:ind w:left="851" w:hanging="567"/>
        <w:jc w:val="both"/>
        <w:outlineLvl w:val="2"/>
        <w:rPr>
          <w:rFonts w:ascii="Arial" w:hAnsi="Arial" w:cs="Arial"/>
          <w:bCs/>
          <w:lang w:val="pt-BR" w:eastAsia="es-ES"/>
        </w:rPr>
      </w:pPr>
      <w:bookmarkStart w:id="12" w:name="_Toc494137334"/>
      <w:r w:rsidRPr="001F27CE">
        <w:rPr>
          <w:rFonts w:ascii="Arial" w:hAnsi="Arial" w:cs="Arial"/>
          <w:bCs/>
          <w:lang w:val="pt-BR" w:eastAsia="es-ES"/>
        </w:rPr>
        <w:t>Como as ações</w:t>
      </w:r>
      <w:r w:rsidR="002D26A2" w:rsidRPr="001F27CE">
        <w:rPr>
          <w:rFonts w:ascii="Arial" w:hAnsi="Arial" w:cs="Arial"/>
          <w:bCs/>
          <w:lang w:val="pt-BR" w:eastAsia="es-ES"/>
        </w:rPr>
        <w:t>,</w:t>
      </w:r>
      <w:r w:rsidR="006C496D" w:rsidRPr="001F27CE">
        <w:rPr>
          <w:rFonts w:ascii="Arial" w:hAnsi="Arial" w:cs="Arial"/>
          <w:bCs/>
          <w:lang w:val="pt-BR" w:eastAsia="es-ES"/>
        </w:rPr>
        <w:t xml:space="preserve"> </w:t>
      </w:r>
      <w:r w:rsidR="002D26A2" w:rsidRPr="001F27CE">
        <w:rPr>
          <w:rFonts w:ascii="Arial" w:hAnsi="Arial" w:cs="Arial"/>
          <w:bCs/>
          <w:lang w:val="pt-BR" w:eastAsia="es-ES"/>
        </w:rPr>
        <w:t xml:space="preserve">que levarão à redução do Gap Tributário, </w:t>
      </w:r>
      <w:r w:rsidR="006C496D" w:rsidRPr="001F27CE">
        <w:rPr>
          <w:rFonts w:ascii="Arial" w:hAnsi="Arial" w:cs="Arial"/>
          <w:bCs/>
          <w:lang w:val="pt-BR" w:eastAsia="es-ES"/>
        </w:rPr>
        <w:t xml:space="preserve">estão </w:t>
      </w:r>
      <w:proofErr w:type="gramStart"/>
      <w:r w:rsidR="006C496D" w:rsidRPr="001F27CE">
        <w:rPr>
          <w:rFonts w:ascii="Arial" w:hAnsi="Arial" w:cs="Arial"/>
          <w:bCs/>
          <w:lang w:val="pt-BR" w:eastAsia="es-ES"/>
        </w:rPr>
        <w:t>distribuídas</w:t>
      </w:r>
      <w:proofErr w:type="gramEnd"/>
      <w:r w:rsidR="006C496D" w:rsidRPr="001F27CE">
        <w:rPr>
          <w:rFonts w:ascii="Arial" w:hAnsi="Arial" w:cs="Arial"/>
          <w:bCs/>
          <w:lang w:val="pt-BR" w:eastAsia="es-ES"/>
        </w:rPr>
        <w:t xml:space="preserve"> no tempo da </w:t>
      </w:r>
      <w:r w:rsidRPr="001F27CE">
        <w:rPr>
          <w:rFonts w:ascii="Arial" w:hAnsi="Arial" w:cs="Arial"/>
          <w:bCs/>
          <w:lang w:val="pt-BR" w:eastAsia="es-ES"/>
        </w:rPr>
        <w:t xml:space="preserve">execução do programa, </w:t>
      </w:r>
      <w:r w:rsidR="006C496D" w:rsidRPr="001F27CE">
        <w:rPr>
          <w:rFonts w:ascii="Arial" w:hAnsi="Arial" w:cs="Arial"/>
          <w:bCs/>
          <w:lang w:val="pt-BR" w:eastAsia="es-ES"/>
        </w:rPr>
        <w:t xml:space="preserve">os ganhos de arrecadação iniciam </w:t>
      </w:r>
      <w:r w:rsidR="00FE3E25" w:rsidRPr="001F27CE">
        <w:rPr>
          <w:rFonts w:ascii="Arial" w:hAnsi="Arial" w:cs="Arial"/>
          <w:bCs/>
          <w:lang w:val="pt-BR" w:eastAsia="es-ES"/>
        </w:rPr>
        <w:t xml:space="preserve">menores </w:t>
      </w:r>
      <w:r w:rsidR="006C496D" w:rsidRPr="001F27CE">
        <w:rPr>
          <w:rFonts w:ascii="Arial" w:hAnsi="Arial" w:cs="Arial"/>
          <w:bCs/>
          <w:lang w:val="pt-BR" w:eastAsia="es-ES"/>
        </w:rPr>
        <w:t xml:space="preserve">e aumentam de acordo com os percentuais de redução do Gap, alcançando </w:t>
      </w:r>
      <w:r w:rsidR="00FE3E25" w:rsidRPr="001F27CE">
        <w:rPr>
          <w:rFonts w:ascii="Arial" w:hAnsi="Arial" w:cs="Arial"/>
          <w:bCs/>
          <w:lang w:val="pt-BR" w:eastAsia="es-ES"/>
        </w:rPr>
        <w:t>o máximo valor a partir do ano 5</w:t>
      </w:r>
      <w:r w:rsidR="006C496D" w:rsidRPr="001F27CE">
        <w:rPr>
          <w:rFonts w:ascii="Arial" w:hAnsi="Arial" w:cs="Arial"/>
          <w:bCs/>
          <w:lang w:val="pt-BR" w:eastAsia="es-ES"/>
        </w:rPr>
        <w:t xml:space="preserve"> da </w:t>
      </w:r>
      <w:r w:rsidR="00FE3E25" w:rsidRPr="001F27CE">
        <w:rPr>
          <w:rFonts w:ascii="Arial" w:hAnsi="Arial" w:cs="Arial"/>
          <w:bCs/>
          <w:lang w:val="pt-BR" w:eastAsia="es-ES"/>
        </w:rPr>
        <w:t>execução</w:t>
      </w:r>
      <w:r w:rsidR="00E22F31">
        <w:rPr>
          <w:rFonts w:ascii="Arial" w:hAnsi="Arial" w:cs="Arial"/>
          <w:bCs/>
          <w:lang w:val="pt-BR" w:eastAsia="es-ES"/>
        </w:rPr>
        <w:t xml:space="preserve">, como mostra a </w:t>
      </w:r>
      <w:r w:rsidR="00E22F31" w:rsidRPr="00E22F31">
        <w:rPr>
          <w:rFonts w:ascii="Arial" w:hAnsi="Arial" w:cs="Arial"/>
          <w:bCs/>
          <w:color w:val="FF0000"/>
          <w:lang w:val="pt-BR" w:eastAsia="es-ES"/>
        </w:rPr>
        <w:t>Tabela 7</w:t>
      </w:r>
      <w:r w:rsidR="0016041F" w:rsidRPr="001F27CE">
        <w:rPr>
          <w:rFonts w:ascii="Arial" w:hAnsi="Arial" w:cs="Arial"/>
          <w:bCs/>
          <w:lang w:val="pt-BR" w:eastAsia="es-ES"/>
        </w:rPr>
        <w:t>.</w:t>
      </w:r>
      <w:bookmarkEnd w:id="12"/>
      <w:r w:rsidR="0090441D" w:rsidRPr="001F27CE">
        <w:rPr>
          <w:rFonts w:ascii="Arial" w:hAnsi="Arial" w:cs="Arial"/>
          <w:bCs/>
          <w:lang w:val="pt-BR" w:eastAsia="es-ES"/>
        </w:rPr>
        <w:t xml:space="preserve"> </w:t>
      </w:r>
    </w:p>
    <w:p w14:paraId="294D5589" w14:textId="77777777" w:rsidR="002B08A7" w:rsidRPr="001F27CE" w:rsidRDefault="002B08A7" w:rsidP="002B08A7">
      <w:pPr>
        <w:pStyle w:val="PargrafodaLista"/>
        <w:keepNext/>
        <w:suppressAutoHyphens/>
        <w:spacing w:before="120"/>
        <w:ind w:left="851"/>
        <w:jc w:val="both"/>
        <w:outlineLvl w:val="2"/>
        <w:rPr>
          <w:rFonts w:ascii="Arial" w:hAnsi="Arial" w:cs="Arial"/>
          <w:bCs/>
          <w:lang w:val="pt-BR" w:eastAsia="es-ES"/>
        </w:rPr>
      </w:pPr>
    </w:p>
    <w:tbl>
      <w:tblPr>
        <w:tblW w:w="6541" w:type="dxa"/>
        <w:tblInd w:w="1242" w:type="dxa"/>
        <w:tblLook w:val="04A0" w:firstRow="1" w:lastRow="0" w:firstColumn="1" w:lastColumn="0" w:noHBand="0" w:noVBand="1"/>
      </w:tblPr>
      <w:tblGrid>
        <w:gridCol w:w="851"/>
        <w:gridCol w:w="732"/>
        <w:gridCol w:w="732"/>
        <w:gridCol w:w="732"/>
        <w:gridCol w:w="1361"/>
        <w:gridCol w:w="1170"/>
        <w:gridCol w:w="963"/>
      </w:tblGrid>
      <w:tr w:rsidR="004F29AA" w:rsidRPr="001F27CE" w14:paraId="294D558C" w14:textId="77777777" w:rsidTr="00E22F31">
        <w:trPr>
          <w:trHeight w:val="300"/>
        </w:trPr>
        <w:tc>
          <w:tcPr>
            <w:tcW w:w="6541" w:type="dxa"/>
            <w:gridSpan w:val="7"/>
            <w:tcBorders>
              <w:bottom w:val="single" w:sz="4" w:space="0" w:color="auto"/>
            </w:tcBorders>
            <w:shd w:val="clear" w:color="auto" w:fill="auto"/>
            <w:noWrap/>
            <w:vAlign w:val="bottom"/>
          </w:tcPr>
          <w:p w14:paraId="294D558A" w14:textId="5F57FC96" w:rsidR="003B2DA8" w:rsidRDefault="00E22F31" w:rsidP="003B2DA8">
            <w:pPr>
              <w:jc w:val="center"/>
              <w:rPr>
                <w:rFonts w:ascii="Arial" w:hAnsi="Arial" w:cs="Arial"/>
                <w:b/>
                <w:color w:val="000000"/>
                <w:sz w:val="18"/>
                <w:szCs w:val="18"/>
                <w:lang w:val="pt-BR"/>
              </w:rPr>
            </w:pPr>
            <w:r w:rsidRPr="00E22F31">
              <w:rPr>
                <w:rFonts w:ascii="Arial" w:hAnsi="Arial" w:cs="Arial"/>
                <w:b/>
                <w:color w:val="FF0000"/>
                <w:sz w:val="18"/>
                <w:szCs w:val="18"/>
                <w:lang w:val="pt-BR"/>
              </w:rPr>
              <w:t>Tabela 7</w:t>
            </w:r>
            <w:r w:rsidR="004F29AA" w:rsidRPr="00E22F31">
              <w:rPr>
                <w:rFonts w:ascii="Arial" w:hAnsi="Arial" w:cs="Arial"/>
                <w:b/>
                <w:color w:val="FF0000"/>
                <w:sz w:val="18"/>
                <w:szCs w:val="18"/>
                <w:lang w:val="pt-BR"/>
              </w:rPr>
              <w:t xml:space="preserve">: </w:t>
            </w:r>
            <w:r w:rsidR="004F29AA" w:rsidRPr="001F27CE">
              <w:rPr>
                <w:rFonts w:ascii="Arial" w:hAnsi="Arial" w:cs="Arial"/>
                <w:b/>
                <w:color w:val="000000"/>
                <w:sz w:val="18"/>
                <w:szCs w:val="18"/>
                <w:lang w:val="pt-BR"/>
              </w:rPr>
              <w:t>Distribuição da Redução do Gap Tributário por ano</w:t>
            </w:r>
          </w:p>
          <w:p w14:paraId="294D558B" w14:textId="77777777" w:rsidR="004F29AA" w:rsidRPr="001F27CE" w:rsidRDefault="003B2DA8" w:rsidP="003B2DA8">
            <w:pPr>
              <w:jc w:val="center"/>
              <w:rPr>
                <w:rFonts w:ascii="Arial" w:hAnsi="Arial" w:cs="Arial"/>
                <w:b/>
                <w:color w:val="000000"/>
                <w:sz w:val="18"/>
                <w:szCs w:val="18"/>
                <w:lang w:val="pt-BR"/>
              </w:rPr>
            </w:pPr>
            <w:r>
              <w:rPr>
                <w:rFonts w:ascii="Arial" w:hAnsi="Arial" w:cs="Arial"/>
                <w:b/>
                <w:color w:val="000000"/>
                <w:sz w:val="18"/>
                <w:szCs w:val="18"/>
                <w:lang w:val="pt-BR"/>
              </w:rPr>
              <w:t>(% e R$ </w:t>
            </w:r>
            <w:r w:rsidR="004F29AA" w:rsidRPr="001F27CE">
              <w:rPr>
                <w:rFonts w:ascii="Arial" w:hAnsi="Arial" w:cs="Arial"/>
                <w:b/>
                <w:color w:val="000000"/>
                <w:sz w:val="18"/>
                <w:szCs w:val="18"/>
                <w:lang w:val="pt-BR"/>
              </w:rPr>
              <w:t>milhões)</w:t>
            </w:r>
          </w:p>
        </w:tc>
      </w:tr>
      <w:tr w:rsidR="004F29AA" w:rsidRPr="001F27CE" w14:paraId="294D5594" w14:textId="77777777" w:rsidTr="00E22F3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D558D"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Ano</w:t>
            </w:r>
            <w:proofErr w:type="spellEnd"/>
            <w:r w:rsidRPr="00254F38">
              <w:rPr>
                <w:rFonts w:ascii="Arial" w:hAnsi="Arial" w:cs="Arial"/>
                <w:b/>
                <w:color w:val="000000"/>
                <w:sz w:val="16"/>
                <w:szCs w:val="16"/>
              </w:rPr>
              <w:t xml:space="preserve"> 1</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14:paraId="294D558E"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Ano</w:t>
            </w:r>
            <w:proofErr w:type="spellEnd"/>
            <w:r w:rsidRPr="00254F38">
              <w:rPr>
                <w:rFonts w:ascii="Arial" w:hAnsi="Arial" w:cs="Arial"/>
                <w:b/>
                <w:color w:val="000000"/>
                <w:sz w:val="16"/>
                <w:szCs w:val="16"/>
              </w:rPr>
              <w:t xml:space="preserve"> 2</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14:paraId="294D558F"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Ano</w:t>
            </w:r>
            <w:proofErr w:type="spellEnd"/>
            <w:r w:rsidRPr="00254F38">
              <w:rPr>
                <w:rFonts w:ascii="Arial" w:hAnsi="Arial" w:cs="Arial"/>
                <w:b/>
                <w:color w:val="000000"/>
                <w:sz w:val="16"/>
                <w:szCs w:val="16"/>
              </w:rPr>
              <w:t xml:space="preserve"> 3</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14:paraId="294D5590"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Ano</w:t>
            </w:r>
            <w:proofErr w:type="spellEnd"/>
            <w:r w:rsidRPr="00254F38">
              <w:rPr>
                <w:rFonts w:ascii="Arial" w:hAnsi="Arial" w:cs="Arial"/>
                <w:b/>
                <w:color w:val="000000"/>
                <w:sz w:val="16"/>
                <w:szCs w:val="16"/>
              </w:rPr>
              <w:t xml:space="preserve"> 4</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294D5591"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Ano</w:t>
            </w:r>
            <w:proofErr w:type="spellEnd"/>
            <w:r w:rsidRPr="00254F38">
              <w:rPr>
                <w:rFonts w:ascii="Arial" w:hAnsi="Arial" w:cs="Arial"/>
                <w:b/>
                <w:color w:val="000000"/>
                <w:sz w:val="16"/>
                <w:szCs w:val="16"/>
              </w:rPr>
              <w:t xml:space="preserve"> 5 </w:t>
            </w:r>
            <w:proofErr w:type="spellStart"/>
            <w:r w:rsidRPr="00254F38">
              <w:rPr>
                <w:rFonts w:ascii="Arial" w:hAnsi="Arial" w:cs="Arial"/>
                <w:b/>
                <w:color w:val="000000"/>
                <w:sz w:val="16"/>
                <w:szCs w:val="16"/>
              </w:rPr>
              <w:t>em</w:t>
            </w:r>
            <w:proofErr w:type="spellEnd"/>
            <w:r w:rsidRPr="00254F38">
              <w:rPr>
                <w:rFonts w:ascii="Arial" w:hAnsi="Arial" w:cs="Arial"/>
                <w:b/>
                <w:color w:val="000000"/>
                <w:sz w:val="16"/>
                <w:szCs w:val="16"/>
              </w:rPr>
              <w:t xml:space="preserve"> </w:t>
            </w:r>
            <w:proofErr w:type="spellStart"/>
            <w:r w:rsidRPr="00254F38">
              <w:rPr>
                <w:rFonts w:ascii="Arial" w:hAnsi="Arial" w:cs="Arial"/>
                <w:b/>
                <w:color w:val="000000"/>
                <w:sz w:val="16"/>
                <w:szCs w:val="16"/>
              </w:rPr>
              <w:t>diante</w:t>
            </w:r>
            <w:proofErr w:type="spellEnd"/>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294D5592"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Inicio</w:t>
            </w:r>
            <w:proofErr w:type="spellEnd"/>
            <w:r w:rsidRPr="00254F38">
              <w:rPr>
                <w:rFonts w:ascii="Arial" w:hAnsi="Arial" w:cs="Arial"/>
                <w:b/>
                <w:color w:val="000000"/>
                <w:sz w:val="16"/>
                <w:szCs w:val="16"/>
              </w:rPr>
              <w:t xml:space="preserve"> do </w:t>
            </w:r>
            <w:proofErr w:type="spellStart"/>
            <w:r w:rsidRPr="00254F38">
              <w:rPr>
                <w:rFonts w:ascii="Arial" w:hAnsi="Arial" w:cs="Arial"/>
                <w:b/>
                <w:color w:val="000000"/>
                <w:sz w:val="16"/>
                <w:szCs w:val="16"/>
              </w:rPr>
              <w:t>Programa</w:t>
            </w:r>
            <w:proofErr w:type="spellEnd"/>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14:paraId="294D5593" w14:textId="77777777" w:rsidR="004F29AA" w:rsidRPr="00254F38" w:rsidRDefault="004F29AA" w:rsidP="00254F38">
            <w:pPr>
              <w:jc w:val="center"/>
              <w:rPr>
                <w:rFonts w:ascii="Arial" w:hAnsi="Arial" w:cs="Arial"/>
                <w:b/>
                <w:color w:val="000000"/>
                <w:sz w:val="16"/>
                <w:szCs w:val="16"/>
              </w:rPr>
            </w:pPr>
            <w:proofErr w:type="spellStart"/>
            <w:r w:rsidRPr="00254F38">
              <w:rPr>
                <w:rFonts w:ascii="Arial" w:hAnsi="Arial" w:cs="Arial"/>
                <w:b/>
                <w:color w:val="000000"/>
                <w:sz w:val="16"/>
                <w:szCs w:val="16"/>
              </w:rPr>
              <w:t>Fim</w:t>
            </w:r>
            <w:proofErr w:type="spellEnd"/>
            <w:r w:rsidRPr="00254F38">
              <w:rPr>
                <w:rFonts w:ascii="Arial" w:hAnsi="Arial" w:cs="Arial"/>
                <w:b/>
                <w:color w:val="000000"/>
                <w:sz w:val="16"/>
                <w:szCs w:val="16"/>
              </w:rPr>
              <w:t xml:space="preserve"> do </w:t>
            </w:r>
            <w:proofErr w:type="spellStart"/>
            <w:r w:rsidRPr="00254F38">
              <w:rPr>
                <w:rFonts w:ascii="Arial" w:hAnsi="Arial" w:cs="Arial"/>
                <w:b/>
                <w:color w:val="000000"/>
                <w:sz w:val="16"/>
                <w:szCs w:val="16"/>
              </w:rPr>
              <w:t>Programa</w:t>
            </w:r>
            <w:proofErr w:type="spellEnd"/>
          </w:p>
        </w:tc>
      </w:tr>
      <w:tr w:rsidR="004F29AA" w:rsidRPr="001F27CE" w14:paraId="294D559C" w14:textId="77777777" w:rsidTr="00E22F3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D5595"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0,2%</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14:paraId="294D5596"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0,2%</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14:paraId="294D5597"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0,3%</w:t>
            </w:r>
          </w:p>
        </w:tc>
        <w:tc>
          <w:tcPr>
            <w:tcW w:w="732" w:type="dxa"/>
            <w:tcBorders>
              <w:top w:val="single" w:sz="4" w:space="0" w:color="auto"/>
              <w:left w:val="nil"/>
              <w:bottom w:val="single" w:sz="4" w:space="0" w:color="auto"/>
              <w:right w:val="single" w:sz="4" w:space="0" w:color="auto"/>
            </w:tcBorders>
            <w:shd w:val="clear" w:color="auto" w:fill="auto"/>
            <w:noWrap/>
            <w:vAlign w:val="center"/>
            <w:hideMark/>
          </w:tcPr>
          <w:p w14:paraId="294D5598"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0,5%</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294D5599"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0,6%</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294D559A"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27,8%</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14:paraId="294D559B"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27,2%</w:t>
            </w:r>
          </w:p>
        </w:tc>
      </w:tr>
      <w:tr w:rsidR="004F29AA" w:rsidRPr="001F27CE" w14:paraId="294D55A4" w14:textId="77777777" w:rsidTr="00E22F3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D559D" w14:textId="77777777" w:rsidR="004F29AA" w:rsidRPr="001F27CE" w:rsidRDefault="00254F38" w:rsidP="00254F38">
            <w:pPr>
              <w:jc w:val="center"/>
              <w:rPr>
                <w:rFonts w:ascii="Arial" w:hAnsi="Arial" w:cs="Arial"/>
                <w:color w:val="000000"/>
                <w:sz w:val="16"/>
                <w:szCs w:val="16"/>
              </w:rPr>
            </w:pPr>
            <w:r>
              <w:rPr>
                <w:rFonts w:ascii="Arial" w:hAnsi="Arial" w:cs="Arial"/>
                <w:color w:val="000000"/>
                <w:sz w:val="16"/>
                <w:szCs w:val="16"/>
              </w:rPr>
              <w:t>R$</w:t>
            </w:r>
            <w:r w:rsidR="004F29AA" w:rsidRPr="001F27CE">
              <w:rPr>
                <w:rFonts w:ascii="Arial" w:hAnsi="Arial" w:cs="Arial"/>
                <w:color w:val="000000"/>
                <w:sz w:val="16"/>
                <w:szCs w:val="16"/>
              </w:rPr>
              <w:t>27,1</w:t>
            </w:r>
          </w:p>
        </w:tc>
        <w:tc>
          <w:tcPr>
            <w:tcW w:w="732" w:type="dxa"/>
            <w:tcBorders>
              <w:top w:val="single" w:sz="4" w:space="0" w:color="auto"/>
              <w:left w:val="nil"/>
              <w:bottom w:val="single" w:sz="4" w:space="0" w:color="auto"/>
              <w:right w:val="single" w:sz="4" w:space="0" w:color="auto"/>
            </w:tcBorders>
            <w:shd w:val="clear" w:color="auto" w:fill="auto"/>
            <w:noWrap/>
            <w:vAlign w:val="center"/>
          </w:tcPr>
          <w:p w14:paraId="294D559E" w14:textId="77777777" w:rsidR="004F29AA" w:rsidRPr="001F27CE" w:rsidRDefault="00254F38" w:rsidP="00254F38">
            <w:pPr>
              <w:jc w:val="center"/>
              <w:rPr>
                <w:rFonts w:ascii="Arial" w:hAnsi="Arial" w:cs="Arial"/>
                <w:color w:val="000000"/>
                <w:sz w:val="16"/>
                <w:szCs w:val="16"/>
              </w:rPr>
            </w:pPr>
            <w:r>
              <w:rPr>
                <w:rFonts w:ascii="Arial" w:hAnsi="Arial" w:cs="Arial"/>
                <w:color w:val="000000"/>
                <w:sz w:val="16"/>
                <w:szCs w:val="16"/>
              </w:rPr>
              <w:t>R$</w:t>
            </w:r>
            <w:r w:rsidR="004F29AA" w:rsidRPr="001F27CE">
              <w:rPr>
                <w:rFonts w:ascii="Arial" w:hAnsi="Arial" w:cs="Arial"/>
                <w:color w:val="000000"/>
                <w:sz w:val="16"/>
                <w:szCs w:val="16"/>
              </w:rPr>
              <w:t>27,1</w:t>
            </w:r>
          </w:p>
        </w:tc>
        <w:tc>
          <w:tcPr>
            <w:tcW w:w="732" w:type="dxa"/>
            <w:tcBorders>
              <w:top w:val="single" w:sz="4" w:space="0" w:color="auto"/>
              <w:left w:val="nil"/>
              <w:bottom w:val="single" w:sz="4" w:space="0" w:color="auto"/>
              <w:right w:val="single" w:sz="4" w:space="0" w:color="auto"/>
            </w:tcBorders>
            <w:shd w:val="clear" w:color="auto" w:fill="auto"/>
            <w:noWrap/>
            <w:vAlign w:val="center"/>
          </w:tcPr>
          <w:p w14:paraId="294D559F" w14:textId="77777777" w:rsidR="004F29AA" w:rsidRPr="001F27CE" w:rsidRDefault="00254F38" w:rsidP="00254F38">
            <w:pPr>
              <w:jc w:val="center"/>
              <w:rPr>
                <w:rFonts w:ascii="Arial" w:hAnsi="Arial" w:cs="Arial"/>
                <w:color w:val="000000"/>
                <w:sz w:val="16"/>
                <w:szCs w:val="16"/>
              </w:rPr>
            </w:pPr>
            <w:r>
              <w:rPr>
                <w:rFonts w:ascii="Arial" w:hAnsi="Arial" w:cs="Arial"/>
                <w:color w:val="000000"/>
                <w:sz w:val="16"/>
                <w:szCs w:val="16"/>
              </w:rPr>
              <w:t>R$</w:t>
            </w:r>
            <w:r w:rsidR="004F29AA" w:rsidRPr="001F27CE">
              <w:rPr>
                <w:rFonts w:ascii="Arial" w:hAnsi="Arial" w:cs="Arial"/>
                <w:color w:val="000000"/>
                <w:sz w:val="16"/>
                <w:szCs w:val="16"/>
              </w:rPr>
              <w:t>40,7</w:t>
            </w:r>
          </w:p>
        </w:tc>
        <w:tc>
          <w:tcPr>
            <w:tcW w:w="732" w:type="dxa"/>
            <w:tcBorders>
              <w:top w:val="single" w:sz="4" w:space="0" w:color="auto"/>
              <w:left w:val="nil"/>
              <w:bottom w:val="single" w:sz="4" w:space="0" w:color="auto"/>
              <w:right w:val="single" w:sz="4" w:space="0" w:color="auto"/>
            </w:tcBorders>
            <w:shd w:val="clear" w:color="auto" w:fill="auto"/>
            <w:noWrap/>
            <w:vAlign w:val="center"/>
          </w:tcPr>
          <w:p w14:paraId="294D55A0" w14:textId="77777777" w:rsidR="004F29AA" w:rsidRPr="001F27CE" w:rsidRDefault="00254F38" w:rsidP="00254F38">
            <w:pPr>
              <w:jc w:val="center"/>
              <w:rPr>
                <w:rFonts w:ascii="Arial" w:hAnsi="Arial" w:cs="Arial"/>
                <w:color w:val="000000"/>
                <w:sz w:val="16"/>
                <w:szCs w:val="16"/>
              </w:rPr>
            </w:pPr>
            <w:r>
              <w:rPr>
                <w:rFonts w:ascii="Arial" w:hAnsi="Arial" w:cs="Arial"/>
                <w:color w:val="000000"/>
                <w:sz w:val="16"/>
                <w:szCs w:val="16"/>
              </w:rPr>
              <w:t>R$</w:t>
            </w:r>
            <w:r w:rsidR="004F29AA" w:rsidRPr="001F27CE">
              <w:rPr>
                <w:rFonts w:ascii="Arial" w:hAnsi="Arial" w:cs="Arial"/>
                <w:color w:val="000000"/>
                <w:sz w:val="16"/>
                <w:szCs w:val="16"/>
              </w:rPr>
              <w:t>67,8</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294D55A1"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R$ 81,3</w:t>
            </w: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294D55A2" w14:textId="77777777" w:rsidR="004F29AA" w:rsidRPr="001F27CE" w:rsidRDefault="004F29AA" w:rsidP="00254F38">
            <w:pPr>
              <w:jc w:val="center"/>
              <w:rPr>
                <w:rFonts w:ascii="Arial" w:hAnsi="Arial" w:cs="Arial"/>
                <w:color w:val="000000"/>
                <w:sz w:val="16"/>
                <w:szCs w:val="16"/>
              </w:rPr>
            </w:pPr>
            <w:r w:rsidRPr="001F27CE">
              <w:rPr>
                <w:rFonts w:ascii="Arial" w:hAnsi="Arial" w:cs="Arial"/>
                <w:color w:val="000000"/>
                <w:sz w:val="16"/>
                <w:szCs w:val="16"/>
              </w:rPr>
              <w:t>R$ 3.766,4</w:t>
            </w:r>
          </w:p>
        </w:tc>
        <w:tc>
          <w:tcPr>
            <w:tcW w:w="963" w:type="dxa"/>
            <w:tcBorders>
              <w:top w:val="single" w:sz="4" w:space="0" w:color="auto"/>
              <w:left w:val="nil"/>
              <w:bottom w:val="single" w:sz="4" w:space="0" w:color="auto"/>
              <w:right w:val="single" w:sz="4" w:space="0" w:color="auto"/>
            </w:tcBorders>
            <w:shd w:val="clear" w:color="auto" w:fill="auto"/>
            <w:noWrap/>
            <w:vAlign w:val="center"/>
          </w:tcPr>
          <w:p w14:paraId="294D55A3" w14:textId="77777777" w:rsidR="004F29AA" w:rsidRPr="001F27CE" w:rsidRDefault="00254F38" w:rsidP="00254F38">
            <w:pPr>
              <w:jc w:val="center"/>
              <w:rPr>
                <w:rFonts w:ascii="Arial" w:hAnsi="Arial" w:cs="Arial"/>
                <w:color w:val="000000"/>
                <w:sz w:val="16"/>
                <w:szCs w:val="16"/>
                <w:lang w:val="pt-BR"/>
              </w:rPr>
            </w:pPr>
            <w:r>
              <w:rPr>
                <w:rFonts w:ascii="Arial" w:hAnsi="Arial" w:cs="Arial"/>
                <w:color w:val="000000"/>
                <w:sz w:val="16"/>
                <w:szCs w:val="16"/>
                <w:lang w:val="pt-BR"/>
              </w:rPr>
              <w:t>R$</w:t>
            </w:r>
            <w:r w:rsidR="004F29AA" w:rsidRPr="001F27CE">
              <w:rPr>
                <w:rFonts w:ascii="Arial" w:hAnsi="Arial" w:cs="Arial"/>
                <w:color w:val="000000"/>
                <w:sz w:val="16"/>
                <w:szCs w:val="16"/>
                <w:lang w:val="pt-BR"/>
              </w:rPr>
              <w:t>3.684,1</w:t>
            </w:r>
          </w:p>
        </w:tc>
      </w:tr>
      <w:tr w:rsidR="00E22F31" w:rsidRPr="00E22F31" w14:paraId="101576C8" w14:textId="77777777" w:rsidTr="00E22F31">
        <w:trPr>
          <w:trHeight w:val="589"/>
        </w:trPr>
        <w:tc>
          <w:tcPr>
            <w:tcW w:w="6541" w:type="dxa"/>
            <w:gridSpan w:val="7"/>
            <w:tcBorders>
              <w:top w:val="single" w:sz="4" w:space="0" w:color="auto"/>
            </w:tcBorders>
            <w:shd w:val="clear" w:color="auto" w:fill="auto"/>
            <w:noWrap/>
            <w:vAlign w:val="bottom"/>
          </w:tcPr>
          <w:p w14:paraId="7444D7BE" w14:textId="5F7410BF" w:rsidR="00E22F31" w:rsidRPr="00E22F31" w:rsidRDefault="00E22F31" w:rsidP="008B4F03">
            <w:pPr>
              <w:pStyle w:val="Paragraph"/>
              <w:numPr>
                <w:ilvl w:val="0"/>
                <w:numId w:val="0"/>
              </w:numPr>
              <w:ind w:left="720" w:hanging="720"/>
              <w:jc w:val="left"/>
              <w:outlineLvl w:val="9"/>
              <w:rPr>
                <w:rFonts w:ascii="Arial" w:hAnsi="Arial" w:cs="Arial"/>
                <w:color w:val="FF0000"/>
                <w:sz w:val="16"/>
                <w:szCs w:val="16"/>
                <w:lang w:val="pt-BR"/>
              </w:rPr>
            </w:pPr>
            <w:r w:rsidRPr="00E22F31">
              <w:rPr>
                <w:rFonts w:ascii="Arial" w:hAnsi="Arial" w:cs="Arial"/>
                <w:bCs/>
                <w:color w:val="FF0000"/>
                <w:sz w:val="20"/>
                <w:lang w:val="pt-BR" w:eastAsia="es-ES"/>
              </w:rPr>
              <w:t xml:space="preserve">Fonte: Cálculos Próprios baseados nas estimativas de redução do gap tributário da SEFA-PA. </w:t>
            </w:r>
          </w:p>
        </w:tc>
      </w:tr>
    </w:tbl>
    <w:p w14:paraId="294D55A5" w14:textId="77777777" w:rsidR="004F29AA" w:rsidRPr="001F27CE" w:rsidRDefault="004F29AA" w:rsidP="002B08A7">
      <w:pPr>
        <w:pStyle w:val="PargrafodaLista"/>
        <w:keepNext/>
        <w:suppressAutoHyphens/>
        <w:spacing w:before="120"/>
        <w:ind w:left="851"/>
        <w:jc w:val="both"/>
        <w:outlineLvl w:val="2"/>
        <w:rPr>
          <w:rFonts w:ascii="Arial" w:hAnsi="Arial" w:cs="Arial"/>
          <w:bCs/>
          <w:lang w:val="pt-BR" w:eastAsia="es-ES"/>
        </w:rPr>
      </w:pPr>
    </w:p>
    <w:p w14:paraId="294D55A6" w14:textId="77777777" w:rsidR="002D26A2" w:rsidRPr="001F27CE" w:rsidRDefault="002D26A2" w:rsidP="00241A35">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A maior parte da redução do Gap virá das ações de estruturação da fiscalização, inteligência fiscal, melhoria da cobrança, etc., mais difíceis </w:t>
      </w:r>
      <w:r w:rsidRPr="001F27CE">
        <w:rPr>
          <w:rFonts w:ascii="Arial" w:hAnsi="Arial" w:cs="Arial"/>
          <w:bCs/>
          <w:lang w:val="pt-BR" w:eastAsia="es-ES"/>
        </w:rPr>
        <w:lastRenderedPageBreak/>
        <w:t xml:space="preserve">de estimar precisamente em uma análise </w:t>
      </w:r>
      <w:proofErr w:type="spellStart"/>
      <w:r w:rsidRPr="001F27CE">
        <w:rPr>
          <w:rFonts w:ascii="Arial" w:hAnsi="Arial" w:cs="Arial"/>
          <w:bCs/>
          <w:lang w:val="pt-BR" w:eastAsia="es-ES"/>
        </w:rPr>
        <w:t>ex-ante</w:t>
      </w:r>
      <w:proofErr w:type="spellEnd"/>
      <w:r w:rsidRPr="001F27CE">
        <w:rPr>
          <w:rFonts w:ascii="Arial" w:hAnsi="Arial" w:cs="Arial"/>
          <w:bCs/>
          <w:lang w:val="pt-BR" w:eastAsia="es-ES"/>
        </w:rPr>
        <w:t xml:space="preserve">. </w:t>
      </w:r>
      <w:r w:rsidR="008759BC" w:rsidRPr="001F27CE">
        <w:rPr>
          <w:rFonts w:ascii="Arial" w:hAnsi="Arial" w:cs="Arial"/>
          <w:bCs/>
          <w:lang w:val="pt-BR" w:eastAsia="es-ES"/>
        </w:rPr>
        <w:t xml:space="preserve">Assim, foi analisado um simples exemplo que conta com dados disponíveis e adequados para a medição de aumentos de arrecadação frente a uma experiência similar em outro estado. </w:t>
      </w:r>
    </w:p>
    <w:p w14:paraId="294D55A7" w14:textId="77777777" w:rsidR="008759BC" w:rsidRPr="001F27CE" w:rsidRDefault="007538DA" w:rsidP="008759BC">
      <w:pPr>
        <w:pStyle w:val="PargrafodaLista"/>
        <w:keepNext/>
        <w:numPr>
          <w:ilvl w:val="1"/>
          <w:numId w:val="4"/>
        </w:numPr>
        <w:shd w:val="clear" w:color="auto" w:fill="FFFFFF"/>
        <w:tabs>
          <w:tab w:val="clear" w:pos="1009"/>
          <w:tab w:val="num" w:pos="851"/>
        </w:tabs>
        <w:suppressAutoHyphens/>
        <w:spacing w:before="120" w:after="150"/>
        <w:ind w:left="851" w:hanging="567"/>
        <w:jc w:val="both"/>
        <w:outlineLvl w:val="3"/>
        <w:rPr>
          <w:rFonts w:ascii="Arial" w:hAnsi="Arial" w:cs="Arial"/>
          <w:bCs/>
          <w:lang w:val="pt-BR" w:eastAsia="es-ES"/>
        </w:rPr>
      </w:pPr>
      <w:r w:rsidRPr="001F27CE">
        <w:rPr>
          <w:rFonts w:ascii="Arial" w:hAnsi="Arial" w:cs="Arial"/>
          <w:b/>
          <w:bCs/>
          <w:lang w:val="pt-BR" w:eastAsia="es-ES"/>
        </w:rPr>
        <w:t>Exemplo</w:t>
      </w:r>
      <w:r w:rsidR="005B514C" w:rsidRPr="001F27CE">
        <w:rPr>
          <w:rFonts w:ascii="Arial" w:hAnsi="Arial" w:cs="Arial"/>
          <w:bCs/>
          <w:lang w:val="pt-BR" w:eastAsia="es-ES"/>
        </w:rPr>
        <w:t>:</w:t>
      </w:r>
      <w:r w:rsidRPr="001F27CE">
        <w:rPr>
          <w:rFonts w:ascii="Arial" w:hAnsi="Arial" w:cs="Arial"/>
          <w:bCs/>
          <w:lang w:val="pt-BR" w:eastAsia="es-ES"/>
        </w:rPr>
        <w:t xml:space="preserve"> O Estado de Goiás adotou a Fiscalização Inteligente e Seletiva (FIS) em dezembro de 2016, possibilitando o cruzamento de um grande volume de dados gerando indicadores de identificação de potenciais fraudadores de impostos. O sistema inclui informações de todos os envolvidos com a movimentação de mercadorias: industriais, distribuidores, varejistas, transportadoras, motoristas e contadores. Se um deles for citado em autos de infração, multas ou irregularidades, o cadastro é incluído como potencial fraudador</w:t>
      </w:r>
      <w:r w:rsidR="008759BC" w:rsidRPr="001F27CE">
        <w:rPr>
          <w:rFonts w:ascii="Arial" w:hAnsi="Arial" w:cs="Arial"/>
          <w:bCs/>
          <w:lang w:val="pt-BR" w:eastAsia="es-ES"/>
        </w:rPr>
        <w:t>. Q</w:t>
      </w:r>
      <w:r w:rsidRPr="001F27CE">
        <w:rPr>
          <w:rFonts w:ascii="Arial" w:hAnsi="Arial" w:cs="Arial"/>
          <w:bCs/>
          <w:lang w:val="pt-BR" w:eastAsia="es-ES"/>
        </w:rPr>
        <w:t xml:space="preserve">uanto mais frequentes as ocorrências </w:t>
      </w:r>
      <w:proofErr w:type="gramStart"/>
      <w:r w:rsidRPr="001F27CE">
        <w:rPr>
          <w:rFonts w:ascii="Arial" w:hAnsi="Arial" w:cs="Arial"/>
          <w:bCs/>
          <w:lang w:val="pt-BR" w:eastAsia="es-ES"/>
        </w:rPr>
        <w:t>registradas e maior</w:t>
      </w:r>
      <w:proofErr w:type="gramEnd"/>
      <w:r w:rsidRPr="001F27CE">
        <w:rPr>
          <w:rFonts w:ascii="Arial" w:hAnsi="Arial" w:cs="Arial"/>
          <w:bCs/>
          <w:lang w:val="pt-BR" w:eastAsia="es-ES"/>
        </w:rPr>
        <w:t xml:space="preserve"> o número de sonegadores contumazes envolvidos, maior é o alerta emitido para determinada carga, via mobile (smartphones) com </w:t>
      </w:r>
      <w:proofErr w:type="spellStart"/>
      <w:r w:rsidRPr="001F27CE">
        <w:rPr>
          <w:rFonts w:ascii="Arial" w:hAnsi="Arial" w:cs="Arial"/>
          <w:bCs/>
          <w:lang w:val="pt-BR" w:eastAsia="es-ES"/>
        </w:rPr>
        <w:t>geolocalização</w:t>
      </w:r>
      <w:proofErr w:type="spellEnd"/>
      <w:r w:rsidRPr="001F27CE">
        <w:rPr>
          <w:rFonts w:ascii="Arial" w:hAnsi="Arial" w:cs="Arial"/>
          <w:bCs/>
          <w:lang w:val="pt-BR" w:eastAsia="es-ES"/>
        </w:rPr>
        <w:t xml:space="preserve"> e leitura de caracteres de placas de veículos. Assim, a mercadoria é acompanhada em tempo real pelas rodovias a partir do momento em que a nota fiscal é emitida. Os fiscais abordam especificamente os veículos com cargas suspeitas de sonegação. Os auditores, por sua vez, têm acesso em tempo real a outros processos e podem incluir novos registros imediatamente.</w:t>
      </w:r>
    </w:p>
    <w:p w14:paraId="294D55A8" w14:textId="1495D7C8" w:rsidR="008759BC" w:rsidRDefault="008759BC" w:rsidP="008759BC">
      <w:pPr>
        <w:pStyle w:val="PargrafodaLista"/>
        <w:keepNext/>
        <w:numPr>
          <w:ilvl w:val="1"/>
          <w:numId w:val="4"/>
        </w:numPr>
        <w:shd w:val="clear" w:color="auto" w:fill="FFFFFF"/>
        <w:tabs>
          <w:tab w:val="clear" w:pos="1009"/>
          <w:tab w:val="num" w:pos="851"/>
        </w:tabs>
        <w:suppressAutoHyphens/>
        <w:spacing w:before="120" w:after="150"/>
        <w:ind w:left="851" w:hanging="567"/>
        <w:jc w:val="both"/>
        <w:outlineLvl w:val="3"/>
        <w:rPr>
          <w:rFonts w:ascii="Arial" w:hAnsi="Arial" w:cs="Arial"/>
          <w:bCs/>
          <w:lang w:val="pt-BR" w:eastAsia="es-ES"/>
        </w:rPr>
      </w:pPr>
      <w:r w:rsidRPr="001F27CE">
        <w:rPr>
          <w:rFonts w:ascii="Arial" w:hAnsi="Arial" w:cs="Arial"/>
          <w:bCs/>
          <w:lang w:val="pt-BR" w:eastAsia="es-ES"/>
        </w:rPr>
        <w:t xml:space="preserve">Os resultados são bastante positivos. Com o uso do FIS, o valor das autuações no transito de mercadoria cresceu 25,4% </w:t>
      </w:r>
      <w:r w:rsidR="00C976B8" w:rsidRPr="001F27CE">
        <w:rPr>
          <w:rFonts w:ascii="Arial" w:hAnsi="Arial" w:cs="Arial"/>
          <w:bCs/>
          <w:lang w:val="pt-BR" w:eastAsia="es-ES"/>
        </w:rPr>
        <w:t>em termos nominais e 16,7% em termos reais, nos primeiros seis meses de 2017 comparado com igual período do ano anterior, lembrando que o FIS foi implantado em dezembro de 2016</w:t>
      </w:r>
      <w:r w:rsidR="00E22F31">
        <w:rPr>
          <w:rFonts w:ascii="Arial" w:hAnsi="Arial" w:cs="Arial"/>
          <w:bCs/>
          <w:lang w:val="pt-BR" w:eastAsia="es-ES"/>
        </w:rPr>
        <w:t xml:space="preserve">, como mostra a </w:t>
      </w:r>
      <w:r w:rsidR="00E22F31" w:rsidRPr="00503BB9">
        <w:rPr>
          <w:rFonts w:ascii="Arial" w:hAnsi="Arial" w:cs="Arial"/>
          <w:bCs/>
          <w:color w:val="FF0000"/>
          <w:lang w:val="pt-BR" w:eastAsia="es-ES"/>
        </w:rPr>
        <w:t>Tabela 8</w:t>
      </w:r>
      <w:r w:rsidR="00C976B8" w:rsidRPr="001F27CE">
        <w:rPr>
          <w:rFonts w:ascii="Arial" w:hAnsi="Arial" w:cs="Arial"/>
          <w:bCs/>
          <w:lang w:val="pt-BR" w:eastAsia="es-ES"/>
        </w:rPr>
        <w:t>.</w:t>
      </w:r>
    </w:p>
    <w:p w14:paraId="294D55AA" w14:textId="77777777" w:rsidR="00254F38" w:rsidRPr="00254F38" w:rsidRDefault="00254F38" w:rsidP="00254F38">
      <w:pPr>
        <w:keepNext/>
        <w:shd w:val="clear" w:color="auto" w:fill="FFFFFF"/>
        <w:suppressAutoHyphens/>
        <w:spacing w:before="120" w:after="150"/>
        <w:jc w:val="both"/>
        <w:outlineLvl w:val="3"/>
        <w:rPr>
          <w:rFonts w:ascii="Arial" w:hAnsi="Arial" w:cs="Arial"/>
          <w:bCs/>
          <w:lang w:val="pt-BR" w:eastAsia="es-ES"/>
        </w:rPr>
      </w:pPr>
    </w:p>
    <w:tbl>
      <w:tblPr>
        <w:tblW w:w="6972" w:type="dxa"/>
        <w:tblInd w:w="1169" w:type="dxa"/>
        <w:tblLook w:val="04A0" w:firstRow="1" w:lastRow="0" w:firstColumn="1" w:lastColumn="0" w:noHBand="0" w:noVBand="1"/>
      </w:tblPr>
      <w:tblGrid>
        <w:gridCol w:w="2004"/>
        <w:gridCol w:w="2532"/>
        <w:gridCol w:w="2200"/>
        <w:gridCol w:w="236"/>
      </w:tblGrid>
      <w:tr w:rsidR="00C976B8" w:rsidRPr="001F27CE" w14:paraId="294D55AE" w14:textId="77777777" w:rsidTr="00171A3D">
        <w:trPr>
          <w:trHeight w:val="300"/>
        </w:trPr>
        <w:tc>
          <w:tcPr>
            <w:tcW w:w="6736" w:type="dxa"/>
            <w:gridSpan w:val="3"/>
            <w:tcBorders>
              <w:top w:val="nil"/>
              <w:left w:val="nil"/>
              <w:bottom w:val="single" w:sz="4" w:space="0" w:color="auto"/>
              <w:right w:val="nil"/>
            </w:tcBorders>
            <w:shd w:val="clear" w:color="auto" w:fill="auto"/>
            <w:noWrap/>
            <w:vAlign w:val="bottom"/>
            <w:hideMark/>
          </w:tcPr>
          <w:p w14:paraId="294D55AB" w14:textId="1ED29361" w:rsidR="003B2DA8" w:rsidRPr="00254F38" w:rsidRDefault="00171A3D" w:rsidP="003B2DA8">
            <w:pPr>
              <w:jc w:val="center"/>
              <w:rPr>
                <w:rFonts w:ascii="Arial" w:hAnsi="Arial" w:cs="Arial"/>
                <w:b/>
                <w:color w:val="000000"/>
                <w:sz w:val="20"/>
                <w:szCs w:val="20"/>
                <w:lang w:val="pt-BR"/>
              </w:rPr>
            </w:pPr>
            <w:r w:rsidRPr="00E22F31">
              <w:rPr>
                <w:rFonts w:ascii="Arial" w:hAnsi="Arial" w:cs="Arial"/>
                <w:b/>
                <w:color w:val="FF0000"/>
                <w:sz w:val="22"/>
                <w:szCs w:val="22"/>
                <w:lang w:val="pt-BR"/>
              </w:rPr>
              <w:t>T</w:t>
            </w:r>
            <w:r w:rsidR="00E22F31" w:rsidRPr="00E22F31">
              <w:rPr>
                <w:rFonts w:ascii="Arial" w:hAnsi="Arial" w:cs="Arial"/>
                <w:b/>
                <w:color w:val="FF0000"/>
                <w:sz w:val="20"/>
                <w:szCs w:val="20"/>
                <w:lang w:val="pt-BR"/>
              </w:rPr>
              <w:t>abela 8</w:t>
            </w:r>
            <w:r w:rsidR="00C976B8" w:rsidRPr="00E22F31">
              <w:rPr>
                <w:rFonts w:ascii="Arial" w:hAnsi="Arial" w:cs="Arial"/>
                <w:b/>
                <w:color w:val="FF0000"/>
                <w:sz w:val="20"/>
                <w:szCs w:val="20"/>
                <w:lang w:val="pt-BR"/>
              </w:rPr>
              <w:t>:</w:t>
            </w:r>
            <w:r w:rsidR="00C976B8" w:rsidRPr="00254F38">
              <w:rPr>
                <w:rFonts w:ascii="Arial" w:hAnsi="Arial" w:cs="Arial"/>
                <w:b/>
                <w:color w:val="000000"/>
                <w:sz w:val="20"/>
                <w:szCs w:val="20"/>
                <w:lang w:val="pt-BR"/>
              </w:rPr>
              <w:t xml:space="preserve"> Crescimento autuação trânsito mercadorias </w:t>
            </w:r>
            <w:r w:rsidR="003B2DA8" w:rsidRPr="00254F38">
              <w:rPr>
                <w:rFonts w:ascii="Arial" w:hAnsi="Arial" w:cs="Arial"/>
                <w:b/>
                <w:color w:val="000000"/>
                <w:sz w:val="20"/>
                <w:szCs w:val="20"/>
                <w:lang w:val="pt-BR"/>
              </w:rPr>
              <w:t>–</w:t>
            </w:r>
          </w:p>
          <w:p w14:paraId="294D55AC" w14:textId="77777777" w:rsidR="00C976B8" w:rsidRPr="001F27CE" w:rsidRDefault="00C976B8" w:rsidP="003B2DA8">
            <w:pPr>
              <w:jc w:val="center"/>
              <w:rPr>
                <w:rFonts w:ascii="Arial" w:hAnsi="Arial" w:cs="Arial"/>
                <w:b/>
                <w:color w:val="000000"/>
                <w:sz w:val="22"/>
                <w:szCs w:val="22"/>
                <w:lang w:val="pt-BR"/>
              </w:rPr>
            </w:pPr>
            <w:r w:rsidRPr="00254F38">
              <w:rPr>
                <w:rFonts w:ascii="Arial" w:hAnsi="Arial" w:cs="Arial"/>
                <w:b/>
                <w:color w:val="000000"/>
                <w:sz w:val="20"/>
                <w:szCs w:val="20"/>
                <w:lang w:val="pt-BR"/>
              </w:rPr>
              <w:t>Goiás - R$ e %</w:t>
            </w:r>
          </w:p>
        </w:tc>
        <w:tc>
          <w:tcPr>
            <w:tcW w:w="236" w:type="dxa"/>
            <w:tcBorders>
              <w:top w:val="nil"/>
              <w:left w:val="nil"/>
              <w:bottom w:val="nil"/>
              <w:right w:val="nil"/>
            </w:tcBorders>
            <w:shd w:val="clear" w:color="auto" w:fill="auto"/>
            <w:noWrap/>
            <w:vAlign w:val="bottom"/>
            <w:hideMark/>
          </w:tcPr>
          <w:p w14:paraId="294D55AD" w14:textId="77777777" w:rsidR="00C976B8" w:rsidRPr="001F27CE" w:rsidRDefault="00C976B8" w:rsidP="0075560C">
            <w:pPr>
              <w:rPr>
                <w:rFonts w:ascii="Arial" w:hAnsi="Arial" w:cs="Arial"/>
                <w:b/>
                <w:color w:val="000000"/>
                <w:sz w:val="22"/>
                <w:szCs w:val="22"/>
                <w:lang w:val="pt-BR"/>
              </w:rPr>
            </w:pPr>
          </w:p>
        </w:tc>
      </w:tr>
      <w:tr w:rsidR="00C976B8" w:rsidRPr="001F27CE" w14:paraId="294D55B2" w14:textId="77777777" w:rsidTr="00171A3D">
        <w:trPr>
          <w:gridAfter w:val="1"/>
          <w:wAfter w:w="236" w:type="dxa"/>
          <w:trHeight w:val="300"/>
        </w:trPr>
        <w:tc>
          <w:tcPr>
            <w:tcW w:w="2004" w:type="dxa"/>
            <w:tcBorders>
              <w:top w:val="nil"/>
              <w:left w:val="single" w:sz="4" w:space="0" w:color="auto"/>
              <w:bottom w:val="single" w:sz="4" w:space="0" w:color="auto"/>
              <w:right w:val="nil"/>
            </w:tcBorders>
            <w:shd w:val="clear" w:color="auto" w:fill="auto"/>
            <w:noWrap/>
            <w:vAlign w:val="bottom"/>
            <w:hideMark/>
          </w:tcPr>
          <w:p w14:paraId="294D55AF" w14:textId="77777777" w:rsidR="00C976B8" w:rsidRPr="00254F38" w:rsidRDefault="00C976B8" w:rsidP="0075560C">
            <w:pPr>
              <w:rPr>
                <w:rFonts w:ascii="Arial" w:hAnsi="Arial" w:cs="Arial"/>
                <w:color w:val="000000"/>
                <w:sz w:val="18"/>
                <w:szCs w:val="18"/>
                <w:lang w:val="pt-BR"/>
              </w:rPr>
            </w:pPr>
            <w:r w:rsidRPr="00254F38">
              <w:rPr>
                <w:rFonts w:ascii="Arial" w:hAnsi="Arial" w:cs="Arial"/>
                <w:color w:val="000000"/>
                <w:sz w:val="18"/>
                <w:szCs w:val="18"/>
                <w:lang w:val="pt-BR"/>
              </w:rPr>
              <w:t> </w:t>
            </w:r>
          </w:p>
        </w:tc>
        <w:tc>
          <w:tcPr>
            <w:tcW w:w="2532" w:type="dxa"/>
            <w:tcBorders>
              <w:top w:val="nil"/>
              <w:left w:val="single" w:sz="4" w:space="0" w:color="auto"/>
              <w:bottom w:val="single" w:sz="4" w:space="0" w:color="auto"/>
              <w:right w:val="single" w:sz="4" w:space="0" w:color="auto"/>
            </w:tcBorders>
            <w:shd w:val="clear" w:color="auto" w:fill="auto"/>
            <w:noWrap/>
            <w:vAlign w:val="bottom"/>
            <w:hideMark/>
          </w:tcPr>
          <w:p w14:paraId="294D55B0" w14:textId="77777777" w:rsidR="00C976B8" w:rsidRPr="00254F38" w:rsidRDefault="00C976B8" w:rsidP="0075560C">
            <w:pPr>
              <w:jc w:val="center"/>
              <w:rPr>
                <w:rFonts w:ascii="Arial" w:hAnsi="Arial" w:cs="Arial"/>
                <w:color w:val="000000"/>
                <w:sz w:val="18"/>
                <w:szCs w:val="18"/>
              </w:rPr>
            </w:pPr>
            <w:r w:rsidRPr="00254F38">
              <w:rPr>
                <w:rFonts w:ascii="Arial" w:hAnsi="Arial" w:cs="Arial"/>
                <w:color w:val="000000"/>
                <w:sz w:val="18"/>
                <w:szCs w:val="18"/>
              </w:rPr>
              <w:t>Nominal</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14:paraId="294D55B1" w14:textId="77777777" w:rsidR="00C976B8" w:rsidRPr="00254F38" w:rsidRDefault="00C976B8" w:rsidP="0075560C">
            <w:pPr>
              <w:jc w:val="center"/>
              <w:rPr>
                <w:rFonts w:ascii="Arial" w:hAnsi="Arial" w:cs="Arial"/>
                <w:color w:val="000000"/>
                <w:sz w:val="18"/>
                <w:szCs w:val="18"/>
              </w:rPr>
            </w:pPr>
            <w:r w:rsidRPr="00254F38">
              <w:rPr>
                <w:rFonts w:ascii="Arial" w:hAnsi="Arial" w:cs="Arial"/>
                <w:color w:val="000000"/>
                <w:sz w:val="18"/>
                <w:szCs w:val="18"/>
              </w:rPr>
              <w:t>Real</w:t>
            </w:r>
          </w:p>
        </w:tc>
      </w:tr>
      <w:tr w:rsidR="00C976B8" w:rsidRPr="001F27CE" w14:paraId="294D55B6" w14:textId="77777777" w:rsidTr="00171A3D">
        <w:trPr>
          <w:gridAfter w:val="1"/>
          <w:wAfter w:w="236" w:type="dxa"/>
          <w:trHeight w:val="300"/>
        </w:trPr>
        <w:tc>
          <w:tcPr>
            <w:tcW w:w="2004" w:type="dxa"/>
            <w:tcBorders>
              <w:top w:val="nil"/>
              <w:left w:val="single" w:sz="4" w:space="0" w:color="auto"/>
              <w:bottom w:val="single" w:sz="4" w:space="0" w:color="auto"/>
              <w:right w:val="single" w:sz="4" w:space="0" w:color="auto"/>
            </w:tcBorders>
            <w:shd w:val="clear" w:color="auto" w:fill="auto"/>
            <w:noWrap/>
            <w:vAlign w:val="bottom"/>
            <w:hideMark/>
          </w:tcPr>
          <w:p w14:paraId="294D55B3" w14:textId="77777777" w:rsidR="00C976B8" w:rsidRPr="00254F38" w:rsidRDefault="00C976B8" w:rsidP="0075560C">
            <w:pPr>
              <w:rPr>
                <w:rFonts w:ascii="Arial" w:hAnsi="Arial" w:cs="Arial"/>
                <w:color w:val="000000"/>
                <w:sz w:val="18"/>
                <w:szCs w:val="18"/>
              </w:rPr>
            </w:pPr>
            <w:r w:rsidRPr="00254F38">
              <w:rPr>
                <w:rFonts w:ascii="Arial" w:hAnsi="Arial" w:cs="Arial"/>
                <w:color w:val="000000"/>
                <w:sz w:val="18"/>
                <w:szCs w:val="18"/>
              </w:rPr>
              <w:t>Jan-Jun 2016</w:t>
            </w:r>
          </w:p>
        </w:tc>
        <w:tc>
          <w:tcPr>
            <w:tcW w:w="2532" w:type="dxa"/>
            <w:tcBorders>
              <w:top w:val="nil"/>
              <w:left w:val="nil"/>
              <w:bottom w:val="single" w:sz="4" w:space="0" w:color="auto"/>
              <w:right w:val="nil"/>
            </w:tcBorders>
            <w:shd w:val="clear" w:color="auto" w:fill="auto"/>
            <w:noWrap/>
            <w:vAlign w:val="bottom"/>
            <w:hideMark/>
          </w:tcPr>
          <w:p w14:paraId="294D55B4" w14:textId="77777777" w:rsidR="00C976B8" w:rsidRPr="00254F38" w:rsidRDefault="00C976B8" w:rsidP="003B2DA8">
            <w:pPr>
              <w:jc w:val="right"/>
              <w:rPr>
                <w:rFonts w:ascii="Arial" w:hAnsi="Arial" w:cs="Arial"/>
                <w:color w:val="000000"/>
                <w:sz w:val="18"/>
                <w:szCs w:val="18"/>
              </w:rPr>
            </w:pPr>
            <w:r w:rsidRPr="00254F38">
              <w:rPr>
                <w:rFonts w:ascii="Arial" w:hAnsi="Arial" w:cs="Arial"/>
                <w:color w:val="000000"/>
                <w:sz w:val="18"/>
                <w:szCs w:val="18"/>
              </w:rPr>
              <w:t xml:space="preserve">       126.579.235 </w:t>
            </w:r>
          </w:p>
        </w:tc>
        <w:tc>
          <w:tcPr>
            <w:tcW w:w="2200" w:type="dxa"/>
            <w:tcBorders>
              <w:top w:val="nil"/>
              <w:left w:val="single" w:sz="4" w:space="0" w:color="auto"/>
              <w:bottom w:val="single" w:sz="4" w:space="0" w:color="auto"/>
              <w:right w:val="single" w:sz="4" w:space="0" w:color="auto"/>
            </w:tcBorders>
            <w:shd w:val="clear" w:color="auto" w:fill="auto"/>
            <w:noWrap/>
            <w:vAlign w:val="bottom"/>
            <w:hideMark/>
          </w:tcPr>
          <w:p w14:paraId="294D55B5" w14:textId="77777777" w:rsidR="00C976B8" w:rsidRPr="00254F38" w:rsidRDefault="00241A35" w:rsidP="003B2DA8">
            <w:pPr>
              <w:jc w:val="right"/>
              <w:rPr>
                <w:rFonts w:ascii="Arial" w:hAnsi="Arial" w:cs="Arial"/>
                <w:color w:val="000000"/>
                <w:sz w:val="18"/>
                <w:szCs w:val="18"/>
              </w:rPr>
            </w:pPr>
            <w:r w:rsidRPr="00254F38">
              <w:rPr>
                <w:rFonts w:ascii="Arial" w:hAnsi="Arial" w:cs="Arial"/>
                <w:color w:val="000000"/>
                <w:sz w:val="18"/>
                <w:szCs w:val="18"/>
              </w:rPr>
              <w:t>135.003.700</w:t>
            </w:r>
            <w:r w:rsidR="00C976B8" w:rsidRPr="00254F38">
              <w:rPr>
                <w:rFonts w:ascii="Arial" w:hAnsi="Arial" w:cs="Arial"/>
                <w:color w:val="000000"/>
                <w:sz w:val="18"/>
                <w:szCs w:val="18"/>
              </w:rPr>
              <w:t xml:space="preserve"> </w:t>
            </w:r>
          </w:p>
        </w:tc>
      </w:tr>
      <w:tr w:rsidR="00C976B8" w:rsidRPr="001F27CE" w14:paraId="294D55BA" w14:textId="77777777" w:rsidTr="00E22F31">
        <w:trPr>
          <w:gridAfter w:val="1"/>
          <w:wAfter w:w="236" w:type="dxa"/>
          <w:trHeight w:val="300"/>
        </w:trPr>
        <w:tc>
          <w:tcPr>
            <w:tcW w:w="2004" w:type="dxa"/>
            <w:tcBorders>
              <w:top w:val="nil"/>
              <w:left w:val="single" w:sz="4" w:space="0" w:color="auto"/>
              <w:bottom w:val="single" w:sz="4" w:space="0" w:color="auto"/>
              <w:right w:val="single" w:sz="4" w:space="0" w:color="auto"/>
            </w:tcBorders>
            <w:shd w:val="clear" w:color="auto" w:fill="auto"/>
            <w:noWrap/>
            <w:vAlign w:val="bottom"/>
            <w:hideMark/>
          </w:tcPr>
          <w:p w14:paraId="294D55B7" w14:textId="77777777" w:rsidR="00C976B8" w:rsidRPr="00254F38" w:rsidRDefault="00C976B8" w:rsidP="0075560C">
            <w:pPr>
              <w:rPr>
                <w:rFonts w:ascii="Arial" w:hAnsi="Arial" w:cs="Arial"/>
                <w:color w:val="000000"/>
                <w:sz w:val="18"/>
                <w:szCs w:val="18"/>
              </w:rPr>
            </w:pPr>
            <w:r w:rsidRPr="00254F38">
              <w:rPr>
                <w:rFonts w:ascii="Arial" w:hAnsi="Arial" w:cs="Arial"/>
                <w:color w:val="000000"/>
                <w:sz w:val="18"/>
                <w:szCs w:val="18"/>
              </w:rPr>
              <w:t>Jan-Jun 2017</w:t>
            </w:r>
          </w:p>
        </w:tc>
        <w:tc>
          <w:tcPr>
            <w:tcW w:w="2532" w:type="dxa"/>
            <w:tcBorders>
              <w:top w:val="nil"/>
              <w:left w:val="nil"/>
              <w:bottom w:val="single" w:sz="4" w:space="0" w:color="auto"/>
              <w:right w:val="single" w:sz="4" w:space="0" w:color="auto"/>
            </w:tcBorders>
            <w:shd w:val="clear" w:color="auto" w:fill="auto"/>
            <w:noWrap/>
            <w:vAlign w:val="bottom"/>
            <w:hideMark/>
          </w:tcPr>
          <w:p w14:paraId="294D55B8" w14:textId="77777777" w:rsidR="00C976B8" w:rsidRPr="00254F38" w:rsidRDefault="00C976B8" w:rsidP="003B2DA8">
            <w:pPr>
              <w:jc w:val="right"/>
              <w:rPr>
                <w:rFonts w:ascii="Arial" w:hAnsi="Arial" w:cs="Arial"/>
                <w:color w:val="000000"/>
                <w:sz w:val="18"/>
                <w:szCs w:val="18"/>
              </w:rPr>
            </w:pPr>
            <w:r w:rsidRPr="00254F38">
              <w:rPr>
                <w:rFonts w:ascii="Arial" w:hAnsi="Arial" w:cs="Arial"/>
                <w:color w:val="000000"/>
                <w:sz w:val="18"/>
                <w:szCs w:val="18"/>
              </w:rPr>
              <w:t xml:space="preserve">       157.506.741 </w:t>
            </w:r>
          </w:p>
        </w:tc>
        <w:tc>
          <w:tcPr>
            <w:tcW w:w="2200" w:type="dxa"/>
            <w:tcBorders>
              <w:top w:val="nil"/>
              <w:left w:val="nil"/>
              <w:bottom w:val="single" w:sz="4" w:space="0" w:color="auto"/>
              <w:right w:val="single" w:sz="4" w:space="0" w:color="auto"/>
            </w:tcBorders>
            <w:shd w:val="clear" w:color="auto" w:fill="auto"/>
            <w:noWrap/>
            <w:vAlign w:val="bottom"/>
            <w:hideMark/>
          </w:tcPr>
          <w:p w14:paraId="294D55B9" w14:textId="77777777" w:rsidR="00C976B8" w:rsidRPr="00254F38" w:rsidRDefault="00C976B8" w:rsidP="003B2DA8">
            <w:pPr>
              <w:jc w:val="right"/>
              <w:rPr>
                <w:rFonts w:ascii="Arial" w:hAnsi="Arial" w:cs="Arial"/>
                <w:color w:val="000000"/>
                <w:sz w:val="18"/>
                <w:szCs w:val="18"/>
              </w:rPr>
            </w:pPr>
            <w:r w:rsidRPr="00254F38">
              <w:rPr>
                <w:rFonts w:ascii="Arial" w:hAnsi="Arial" w:cs="Arial"/>
                <w:color w:val="000000"/>
                <w:sz w:val="18"/>
                <w:szCs w:val="18"/>
              </w:rPr>
              <w:t xml:space="preserve">157.506.741 </w:t>
            </w:r>
          </w:p>
        </w:tc>
      </w:tr>
      <w:tr w:rsidR="00C976B8" w:rsidRPr="001F27CE" w14:paraId="294D55BE" w14:textId="77777777" w:rsidTr="00E22F31">
        <w:trPr>
          <w:gridAfter w:val="1"/>
          <w:wAfter w:w="236" w:type="dxa"/>
          <w:trHeight w:val="300"/>
        </w:trPr>
        <w:tc>
          <w:tcPr>
            <w:tcW w:w="20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BB" w14:textId="77777777" w:rsidR="00C976B8" w:rsidRPr="00254F38" w:rsidRDefault="00C976B8" w:rsidP="0075560C">
            <w:pPr>
              <w:rPr>
                <w:rFonts w:ascii="Arial" w:hAnsi="Arial" w:cs="Arial"/>
                <w:color w:val="000000"/>
                <w:sz w:val="18"/>
                <w:szCs w:val="18"/>
              </w:rPr>
            </w:pPr>
            <w:proofErr w:type="spellStart"/>
            <w:r w:rsidRPr="00254F38">
              <w:rPr>
                <w:rFonts w:ascii="Arial" w:hAnsi="Arial" w:cs="Arial"/>
                <w:color w:val="000000"/>
                <w:sz w:val="18"/>
                <w:szCs w:val="18"/>
              </w:rPr>
              <w:t>Crescimento</w:t>
            </w:r>
            <w:proofErr w:type="spellEnd"/>
            <w:r w:rsidRPr="00254F38">
              <w:rPr>
                <w:rFonts w:ascii="Arial" w:hAnsi="Arial" w:cs="Arial"/>
                <w:color w:val="000000"/>
                <w:sz w:val="18"/>
                <w:szCs w:val="18"/>
              </w:rPr>
              <w:t xml:space="preserve"> </w:t>
            </w:r>
          </w:p>
        </w:tc>
        <w:tc>
          <w:tcPr>
            <w:tcW w:w="2532" w:type="dxa"/>
            <w:tcBorders>
              <w:top w:val="single" w:sz="4" w:space="0" w:color="auto"/>
              <w:left w:val="nil"/>
              <w:bottom w:val="single" w:sz="4" w:space="0" w:color="auto"/>
              <w:right w:val="single" w:sz="4" w:space="0" w:color="auto"/>
            </w:tcBorders>
            <w:shd w:val="clear" w:color="auto" w:fill="auto"/>
            <w:noWrap/>
            <w:vAlign w:val="bottom"/>
            <w:hideMark/>
          </w:tcPr>
          <w:p w14:paraId="294D55BC" w14:textId="77777777" w:rsidR="00C976B8" w:rsidRPr="00254F38" w:rsidRDefault="00C976B8" w:rsidP="003B2DA8">
            <w:pPr>
              <w:jc w:val="right"/>
              <w:rPr>
                <w:rFonts w:ascii="Arial" w:hAnsi="Arial" w:cs="Arial"/>
                <w:color w:val="000000"/>
                <w:sz w:val="18"/>
                <w:szCs w:val="18"/>
              </w:rPr>
            </w:pPr>
            <w:r w:rsidRPr="00254F38">
              <w:rPr>
                <w:rFonts w:ascii="Arial" w:hAnsi="Arial" w:cs="Arial"/>
                <w:color w:val="000000"/>
                <w:sz w:val="18"/>
                <w:szCs w:val="18"/>
              </w:rPr>
              <w:t>24,4%</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14:paraId="294D55BD" w14:textId="77777777" w:rsidR="00C976B8" w:rsidRPr="00254F38" w:rsidRDefault="00C976B8" w:rsidP="003B2DA8">
            <w:pPr>
              <w:jc w:val="right"/>
              <w:rPr>
                <w:rFonts w:ascii="Arial" w:hAnsi="Arial" w:cs="Arial"/>
                <w:color w:val="000000"/>
                <w:sz w:val="18"/>
                <w:szCs w:val="18"/>
              </w:rPr>
            </w:pPr>
            <w:r w:rsidRPr="00254F38">
              <w:rPr>
                <w:rFonts w:ascii="Arial" w:hAnsi="Arial" w:cs="Arial"/>
                <w:color w:val="000000"/>
                <w:sz w:val="18"/>
                <w:szCs w:val="18"/>
              </w:rPr>
              <w:t>16,7%</w:t>
            </w:r>
          </w:p>
        </w:tc>
      </w:tr>
      <w:tr w:rsidR="00E22F31" w:rsidRPr="00E22F31" w14:paraId="68F5CE8C" w14:textId="77777777" w:rsidTr="00E22F31">
        <w:trPr>
          <w:gridAfter w:val="1"/>
          <w:wAfter w:w="236" w:type="dxa"/>
          <w:trHeight w:val="300"/>
        </w:trPr>
        <w:tc>
          <w:tcPr>
            <w:tcW w:w="6736" w:type="dxa"/>
            <w:gridSpan w:val="3"/>
            <w:tcBorders>
              <w:top w:val="single" w:sz="4" w:space="0" w:color="auto"/>
            </w:tcBorders>
            <w:shd w:val="clear" w:color="auto" w:fill="auto"/>
            <w:noWrap/>
            <w:vAlign w:val="bottom"/>
          </w:tcPr>
          <w:p w14:paraId="30708D9F" w14:textId="7F0E9DE7" w:rsidR="00E22F31" w:rsidRPr="00E22F31" w:rsidRDefault="00E22F31" w:rsidP="00E22F31">
            <w:pPr>
              <w:rPr>
                <w:rFonts w:ascii="Arial" w:hAnsi="Arial" w:cs="Arial"/>
                <w:color w:val="000000"/>
                <w:sz w:val="18"/>
                <w:szCs w:val="18"/>
                <w:lang w:val="pt-BR"/>
              </w:rPr>
            </w:pPr>
            <w:r w:rsidRPr="00E22F31">
              <w:rPr>
                <w:rFonts w:ascii="Arial" w:hAnsi="Arial" w:cs="Arial"/>
                <w:color w:val="FF0000"/>
                <w:sz w:val="18"/>
                <w:szCs w:val="18"/>
                <w:lang w:val="pt-BR"/>
              </w:rPr>
              <w:t xml:space="preserve">Fonte: SEFAZ-GO 2016/17 – Relatórios Fiscais semestrais de Arrecadação do Trânsito </w:t>
            </w:r>
          </w:p>
        </w:tc>
      </w:tr>
    </w:tbl>
    <w:p w14:paraId="294D55BF" w14:textId="77777777" w:rsidR="00C976B8" w:rsidRPr="001F27CE" w:rsidRDefault="005B734E" w:rsidP="00C976B8">
      <w:pPr>
        <w:pStyle w:val="PargrafodaLista"/>
        <w:keepNext/>
        <w:shd w:val="clear" w:color="auto" w:fill="FFFFFF"/>
        <w:suppressAutoHyphens/>
        <w:spacing w:before="120" w:after="150"/>
        <w:ind w:left="851"/>
        <w:jc w:val="both"/>
        <w:outlineLvl w:val="3"/>
        <w:rPr>
          <w:rFonts w:ascii="Arial" w:hAnsi="Arial" w:cs="Arial"/>
          <w:bCs/>
          <w:lang w:val="pt-BR" w:eastAsia="es-ES"/>
        </w:rPr>
      </w:pPr>
      <w:r w:rsidRPr="001F27CE">
        <w:rPr>
          <w:rFonts w:ascii="Arial" w:hAnsi="Arial" w:cs="Arial"/>
          <w:bCs/>
          <w:lang w:val="pt-BR" w:eastAsia="es-ES"/>
        </w:rPr>
        <w:lastRenderedPageBreak/>
        <w:t>.</w:t>
      </w:r>
    </w:p>
    <w:p w14:paraId="294D55C0" w14:textId="78CB2E08" w:rsidR="009C017D" w:rsidRPr="001F27CE" w:rsidRDefault="00C976B8" w:rsidP="008759BC">
      <w:pPr>
        <w:pStyle w:val="PargrafodaLista"/>
        <w:keepNext/>
        <w:numPr>
          <w:ilvl w:val="1"/>
          <w:numId w:val="4"/>
        </w:numPr>
        <w:shd w:val="clear" w:color="auto" w:fill="FFFFFF"/>
        <w:tabs>
          <w:tab w:val="clear" w:pos="1009"/>
          <w:tab w:val="num" w:pos="851"/>
        </w:tabs>
        <w:suppressAutoHyphens/>
        <w:spacing w:before="120" w:after="150"/>
        <w:ind w:left="851" w:hanging="567"/>
        <w:jc w:val="both"/>
        <w:outlineLvl w:val="3"/>
        <w:rPr>
          <w:rFonts w:ascii="Arial" w:hAnsi="Arial" w:cs="Arial"/>
          <w:bCs/>
          <w:lang w:val="pt-BR" w:eastAsia="es-ES"/>
        </w:rPr>
      </w:pPr>
      <w:r w:rsidRPr="001F27CE">
        <w:rPr>
          <w:rFonts w:ascii="Arial" w:hAnsi="Arial" w:cs="Arial"/>
          <w:bCs/>
          <w:lang w:val="pt-BR" w:eastAsia="es-ES"/>
        </w:rPr>
        <w:t xml:space="preserve">O PROFISCO II </w:t>
      </w:r>
      <w:r w:rsidR="00D064C5" w:rsidRPr="001F27CE">
        <w:rPr>
          <w:rFonts w:ascii="Arial" w:hAnsi="Arial" w:cs="Arial"/>
          <w:bCs/>
          <w:lang w:val="pt-BR" w:eastAsia="es-ES"/>
        </w:rPr>
        <w:t xml:space="preserve">vai financiar a implantação de um sistema de fiscalização do trânsito de mercadorias no Pará similar ao que foi implantado em Goiás. Em 2016, </w:t>
      </w:r>
      <w:r w:rsidR="00043B26">
        <w:rPr>
          <w:rFonts w:ascii="Arial" w:hAnsi="Arial" w:cs="Arial"/>
          <w:bCs/>
          <w:lang w:val="pt-BR" w:eastAsia="es-ES"/>
        </w:rPr>
        <w:t>o Pará</w:t>
      </w:r>
      <w:r w:rsidR="00D064C5" w:rsidRPr="001F27CE">
        <w:rPr>
          <w:rFonts w:ascii="Arial" w:hAnsi="Arial" w:cs="Arial"/>
          <w:bCs/>
          <w:lang w:val="pt-BR" w:eastAsia="es-ES"/>
        </w:rPr>
        <w:t xml:space="preserve"> registrou um total de arrecadação de autuações na área de trânsito de </w:t>
      </w:r>
      <w:r w:rsidR="003B2DA8">
        <w:rPr>
          <w:rFonts w:ascii="Arial" w:hAnsi="Arial" w:cs="Arial"/>
          <w:bCs/>
          <w:lang w:val="pt-BR" w:eastAsia="es-ES"/>
        </w:rPr>
        <w:t>mercadorias de R$</w:t>
      </w:r>
      <w:r w:rsidR="00D064C5" w:rsidRPr="001F27CE">
        <w:rPr>
          <w:rFonts w:ascii="Arial" w:hAnsi="Arial" w:cs="Arial"/>
          <w:bCs/>
          <w:lang w:val="pt-BR" w:eastAsia="es-ES"/>
        </w:rPr>
        <w:t>103,6 milhões</w:t>
      </w:r>
      <w:r w:rsidR="00043B26">
        <w:rPr>
          <w:rStyle w:val="Refdenotaderodap"/>
          <w:rFonts w:ascii="Arial" w:hAnsi="Arial" w:cs="Arial"/>
          <w:bCs/>
          <w:lang w:val="pt-BR" w:eastAsia="es-ES"/>
        </w:rPr>
        <w:footnoteReference w:id="8"/>
      </w:r>
      <w:r w:rsidR="00D064C5" w:rsidRPr="001F27CE">
        <w:rPr>
          <w:rFonts w:ascii="Arial" w:hAnsi="Arial" w:cs="Arial"/>
          <w:bCs/>
          <w:lang w:val="pt-BR" w:eastAsia="es-ES"/>
        </w:rPr>
        <w:t>. A arrecadação de autuações de trânsito de mercadorias é quase 100%, visto que a liberação das cargas só é feito com o pagamento da autuação. Aplicando a taxa de crescimento de arrecadação verificada em Goiás, isto significaria uma arrecadação adicional de R$ 17,3 milhões.</w:t>
      </w:r>
    </w:p>
    <w:p w14:paraId="294D55C1" w14:textId="3EA79903" w:rsidR="00C976B8" w:rsidRPr="001F27CE" w:rsidRDefault="0057781F" w:rsidP="008759BC">
      <w:pPr>
        <w:pStyle w:val="PargrafodaLista"/>
        <w:keepNext/>
        <w:numPr>
          <w:ilvl w:val="1"/>
          <w:numId w:val="4"/>
        </w:numPr>
        <w:shd w:val="clear" w:color="auto" w:fill="FFFFFF"/>
        <w:tabs>
          <w:tab w:val="clear" w:pos="1009"/>
          <w:tab w:val="num" w:pos="851"/>
        </w:tabs>
        <w:suppressAutoHyphens/>
        <w:spacing w:before="120" w:after="150"/>
        <w:ind w:left="851" w:hanging="567"/>
        <w:jc w:val="both"/>
        <w:outlineLvl w:val="3"/>
        <w:rPr>
          <w:rFonts w:ascii="Arial" w:hAnsi="Arial" w:cs="Arial"/>
          <w:bCs/>
          <w:lang w:val="pt-BR" w:eastAsia="es-ES"/>
        </w:rPr>
      </w:pPr>
      <w:r>
        <w:rPr>
          <w:rFonts w:ascii="Arial" w:hAnsi="Arial" w:cs="Arial"/>
          <w:bCs/>
          <w:lang w:val="pt-BR" w:eastAsia="es-ES"/>
        </w:rPr>
        <w:t>A Tabela 7</w:t>
      </w:r>
      <w:r w:rsidR="009C017D" w:rsidRPr="001F27CE">
        <w:rPr>
          <w:rFonts w:ascii="Arial" w:hAnsi="Arial" w:cs="Arial"/>
          <w:bCs/>
          <w:lang w:val="pt-BR" w:eastAsia="es-ES"/>
        </w:rPr>
        <w:t xml:space="preserve"> acima mostra a arrecadação adicional advinda da redução do Gap Tributário que compõe a análise C-B.</w:t>
      </w:r>
      <w:r w:rsidR="00D064C5" w:rsidRPr="001F27CE">
        <w:rPr>
          <w:rFonts w:ascii="Arial" w:hAnsi="Arial" w:cs="Arial"/>
          <w:bCs/>
          <w:lang w:val="pt-BR" w:eastAsia="es-ES"/>
        </w:rPr>
        <w:t xml:space="preserve"> </w:t>
      </w:r>
      <w:r w:rsidRPr="0057781F">
        <w:rPr>
          <w:rFonts w:ascii="Arial" w:hAnsi="Arial" w:cs="Arial"/>
          <w:bCs/>
          <w:color w:val="FF0000"/>
          <w:lang w:val="pt-BR" w:eastAsia="es-ES"/>
        </w:rPr>
        <w:t xml:space="preserve">A Tabela 9 </w:t>
      </w:r>
      <w:r>
        <w:rPr>
          <w:rFonts w:ascii="Arial" w:hAnsi="Arial" w:cs="Arial"/>
          <w:bCs/>
          <w:lang w:val="pt-BR" w:eastAsia="es-ES"/>
        </w:rPr>
        <w:t xml:space="preserve">abaixo que a </w:t>
      </w:r>
      <w:r w:rsidR="00D064C5" w:rsidRPr="001F27CE">
        <w:rPr>
          <w:rFonts w:ascii="Arial" w:hAnsi="Arial" w:cs="Arial"/>
          <w:bCs/>
          <w:lang w:val="pt-BR" w:eastAsia="es-ES"/>
        </w:rPr>
        <w:t xml:space="preserve">estimativa de crescimento de arrecadação deste exemplo </w:t>
      </w:r>
      <w:r w:rsidR="009C017D" w:rsidRPr="001F27CE">
        <w:rPr>
          <w:rFonts w:ascii="Arial" w:hAnsi="Arial" w:cs="Arial"/>
          <w:bCs/>
          <w:lang w:val="pt-BR" w:eastAsia="es-ES"/>
        </w:rPr>
        <w:t xml:space="preserve">do trânsito de mercadorias </w:t>
      </w:r>
      <w:r w:rsidR="00D064C5" w:rsidRPr="001F27CE">
        <w:rPr>
          <w:rFonts w:ascii="Arial" w:hAnsi="Arial" w:cs="Arial"/>
          <w:bCs/>
          <w:lang w:val="pt-BR" w:eastAsia="es-ES"/>
        </w:rPr>
        <w:t xml:space="preserve">é equivalente a 64% da estimativa da redução do Gap Tributário no segundo ano do período de avaliação e 21% do ano </w:t>
      </w:r>
      <w:proofErr w:type="gramStart"/>
      <w:r w:rsidR="00D064C5" w:rsidRPr="001F27CE">
        <w:rPr>
          <w:rFonts w:ascii="Arial" w:hAnsi="Arial" w:cs="Arial"/>
          <w:bCs/>
          <w:lang w:val="pt-BR" w:eastAsia="es-ES"/>
        </w:rPr>
        <w:t>6</w:t>
      </w:r>
      <w:proofErr w:type="gramEnd"/>
      <w:r w:rsidR="00D064C5" w:rsidRPr="001F27CE">
        <w:rPr>
          <w:rFonts w:ascii="Arial" w:hAnsi="Arial" w:cs="Arial"/>
          <w:bCs/>
          <w:lang w:val="pt-BR" w:eastAsia="es-ES"/>
        </w:rPr>
        <w:t xml:space="preserve"> em diante, como mostra a Tabela 6 abaixo. Em outras palavras, apenas este exemplo, entre as muitas ações que contribuirão para a redução do Gap Tributário, já cobre uma parte substancial da estimativa do aumento total da arrecadação. Isto demonstra que a redução do Gap Tributário deverá ser substancialmente maior</w:t>
      </w:r>
      <w:r w:rsidR="00241A35" w:rsidRPr="001F27CE">
        <w:rPr>
          <w:rFonts w:ascii="Arial" w:hAnsi="Arial" w:cs="Arial"/>
          <w:bCs/>
          <w:lang w:val="pt-BR" w:eastAsia="es-ES"/>
        </w:rPr>
        <w:t>,</w:t>
      </w:r>
      <w:r w:rsidR="00D064C5" w:rsidRPr="001F27CE">
        <w:rPr>
          <w:rFonts w:ascii="Arial" w:hAnsi="Arial" w:cs="Arial"/>
          <w:bCs/>
          <w:lang w:val="pt-BR" w:eastAsia="es-ES"/>
        </w:rPr>
        <w:t xml:space="preserve"> </w:t>
      </w:r>
      <w:r w:rsidR="00241A35" w:rsidRPr="001F27CE">
        <w:rPr>
          <w:rFonts w:ascii="Arial" w:hAnsi="Arial" w:cs="Arial"/>
          <w:bCs/>
          <w:lang w:val="pt-BR" w:eastAsia="es-ES"/>
        </w:rPr>
        <w:t xml:space="preserve">com a </w:t>
      </w:r>
      <w:proofErr w:type="gramStart"/>
      <w:r w:rsidR="00241A35" w:rsidRPr="001F27CE">
        <w:rPr>
          <w:rFonts w:ascii="Arial" w:hAnsi="Arial" w:cs="Arial"/>
          <w:bCs/>
          <w:lang w:val="pt-BR" w:eastAsia="es-ES"/>
        </w:rPr>
        <w:t>implementação</w:t>
      </w:r>
      <w:proofErr w:type="gramEnd"/>
      <w:r w:rsidR="00241A35" w:rsidRPr="001F27CE">
        <w:rPr>
          <w:rFonts w:ascii="Arial" w:hAnsi="Arial" w:cs="Arial"/>
          <w:bCs/>
          <w:lang w:val="pt-BR" w:eastAsia="es-ES"/>
        </w:rPr>
        <w:t xml:space="preserve"> de todas as ações do programa, </w:t>
      </w:r>
      <w:r w:rsidR="00D064C5" w:rsidRPr="001F27CE">
        <w:rPr>
          <w:rFonts w:ascii="Arial" w:hAnsi="Arial" w:cs="Arial"/>
          <w:bCs/>
          <w:lang w:val="pt-BR" w:eastAsia="es-ES"/>
        </w:rPr>
        <w:t>do que a hipótese extremamente conservadora adotada nesta análise C-B.</w:t>
      </w:r>
      <w:r w:rsidR="00B974BC" w:rsidRPr="001F27CE">
        <w:rPr>
          <w:rFonts w:ascii="Arial" w:hAnsi="Arial" w:cs="Arial"/>
          <w:bCs/>
          <w:lang w:val="pt-BR" w:eastAsia="es-ES"/>
        </w:rPr>
        <w:t xml:space="preserve"> </w:t>
      </w:r>
    </w:p>
    <w:tbl>
      <w:tblPr>
        <w:tblW w:w="7756" w:type="dxa"/>
        <w:tblInd w:w="108" w:type="dxa"/>
        <w:tblLook w:val="04A0" w:firstRow="1" w:lastRow="0" w:firstColumn="1" w:lastColumn="0" w:noHBand="0" w:noVBand="1"/>
      </w:tblPr>
      <w:tblGrid>
        <w:gridCol w:w="2582"/>
        <w:gridCol w:w="977"/>
        <w:gridCol w:w="894"/>
        <w:gridCol w:w="662"/>
        <w:gridCol w:w="729"/>
        <w:gridCol w:w="1928"/>
      </w:tblGrid>
      <w:tr w:rsidR="0057781F" w:rsidRPr="0057781F" w14:paraId="47E5E7B2" w14:textId="77777777" w:rsidTr="0057781F">
        <w:trPr>
          <w:trHeight w:val="315"/>
        </w:trPr>
        <w:tc>
          <w:tcPr>
            <w:tcW w:w="7756" w:type="dxa"/>
            <w:gridSpan w:val="6"/>
            <w:tcBorders>
              <w:top w:val="nil"/>
              <w:left w:val="nil"/>
              <w:bottom w:val="single" w:sz="4" w:space="0" w:color="auto"/>
              <w:right w:val="nil"/>
            </w:tcBorders>
            <w:shd w:val="clear" w:color="auto" w:fill="auto"/>
            <w:noWrap/>
            <w:vAlign w:val="center"/>
            <w:hideMark/>
          </w:tcPr>
          <w:p w14:paraId="78008B1E" w14:textId="77777777" w:rsidR="0057781F" w:rsidRPr="0057781F" w:rsidRDefault="0057781F" w:rsidP="0057781F">
            <w:pPr>
              <w:jc w:val="center"/>
              <w:rPr>
                <w:rFonts w:ascii="Calibri" w:hAnsi="Calibri" w:cs="Calibri"/>
                <w:b/>
                <w:bCs/>
                <w:color w:val="000000"/>
                <w:sz w:val="18"/>
                <w:szCs w:val="18"/>
                <w:lang w:val="pt-BR"/>
              </w:rPr>
            </w:pPr>
            <w:r w:rsidRPr="0057781F">
              <w:rPr>
                <w:rFonts w:ascii="Calibri" w:hAnsi="Calibri" w:cs="Calibri"/>
                <w:b/>
                <w:bCs/>
                <w:color w:val="FF0000"/>
                <w:sz w:val="18"/>
                <w:szCs w:val="18"/>
                <w:lang w:val="pt-BR"/>
              </w:rPr>
              <w:t xml:space="preserve">Tabela 9: </w:t>
            </w:r>
            <w:r w:rsidRPr="0057781F">
              <w:rPr>
                <w:rFonts w:ascii="Calibri" w:hAnsi="Calibri" w:cs="Calibri"/>
                <w:b/>
                <w:bCs/>
                <w:color w:val="000000"/>
                <w:sz w:val="18"/>
                <w:szCs w:val="18"/>
                <w:lang w:val="pt-BR"/>
              </w:rPr>
              <w:t>Aumento da Arrecadação do Trânsito de Mercadorias e % da Redução do Gap Tributário</w:t>
            </w:r>
          </w:p>
        </w:tc>
      </w:tr>
      <w:tr w:rsidR="0057781F" w:rsidRPr="0057781F" w14:paraId="44E91388" w14:textId="77777777" w:rsidTr="0057781F">
        <w:trPr>
          <w:trHeight w:val="315"/>
        </w:trPr>
        <w:tc>
          <w:tcPr>
            <w:tcW w:w="2582" w:type="dxa"/>
            <w:tcBorders>
              <w:top w:val="nil"/>
              <w:left w:val="single" w:sz="4" w:space="0" w:color="auto"/>
              <w:bottom w:val="single" w:sz="4" w:space="0" w:color="auto"/>
              <w:right w:val="single" w:sz="4" w:space="0" w:color="auto"/>
            </w:tcBorders>
            <w:shd w:val="clear" w:color="auto" w:fill="auto"/>
            <w:noWrap/>
            <w:vAlign w:val="bottom"/>
            <w:hideMark/>
          </w:tcPr>
          <w:p w14:paraId="59F683C9" w14:textId="77777777" w:rsidR="0057781F" w:rsidRPr="0057781F" w:rsidRDefault="0057781F" w:rsidP="0057781F">
            <w:pPr>
              <w:rPr>
                <w:rFonts w:ascii="Calibri" w:hAnsi="Calibri" w:cs="Calibri"/>
                <w:color w:val="000000"/>
                <w:sz w:val="16"/>
                <w:szCs w:val="16"/>
                <w:lang w:val="pt-BR"/>
              </w:rPr>
            </w:pPr>
            <w:r w:rsidRPr="0057781F">
              <w:rPr>
                <w:rFonts w:ascii="Calibri" w:hAnsi="Calibri" w:cs="Calibri"/>
                <w:color w:val="000000"/>
                <w:sz w:val="16"/>
                <w:szCs w:val="16"/>
                <w:lang w:val="pt-BR"/>
              </w:rPr>
              <w:t> </w:t>
            </w:r>
          </w:p>
        </w:tc>
        <w:tc>
          <w:tcPr>
            <w:tcW w:w="977" w:type="dxa"/>
            <w:tcBorders>
              <w:top w:val="nil"/>
              <w:left w:val="nil"/>
              <w:bottom w:val="single" w:sz="4" w:space="0" w:color="auto"/>
              <w:right w:val="single" w:sz="4" w:space="0" w:color="auto"/>
            </w:tcBorders>
            <w:shd w:val="clear" w:color="auto" w:fill="auto"/>
            <w:noWrap/>
            <w:vAlign w:val="bottom"/>
            <w:hideMark/>
          </w:tcPr>
          <w:p w14:paraId="612A93FA" w14:textId="77777777" w:rsidR="0057781F" w:rsidRPr="0057781F" w:rsidRDefault="0057781F" w:rsidP="0057781F">
            <w:pPr>
              <w:jc w:val="center"/>
              <w:rPr>
                <w:rFonts w:ascii="Calibri" w:hAnsi="Calibri" w:cs="Calibri"/>
                <w:color w:val="000000"/>
                <w:sz w:val="16"/>
                <w:szCs w:val="16"/>
              </w:rPr>
            </w:pPr>
            <w:proofErr w:type="spellStart"/>
            <w:r w:rsidRPr="0057781F">
              <w:rPr>
                <w:rFonts w:ascii="Calibri" w:hAnsi="Calibri" w:cs="Calibri"/>
                <w:color w:val="000000"/>
                <w:sz w:val="16"/>
                <w:szCs w:val="16"/>
              </w:rPr>
              <w:t>ano</w:t>
            </w:r>
            <w:proofErr w:type="spellEnd"/>
            <w:r w:rsidRPr="0057781F">
              <w:rPr>
                <w:rFonts w:ascii="Calibri" w:hAnsi="Calibri" w:cs="Calibri"/>
                <w:color w:val="000000"/>
                <w:sz w:val="16"/>
                <w:szCs w:val="16"/>
              </w:rPr>
              <w:t xml:space="preserve"> 2</w:t>
            </w:r>
          </w:p>
        </w:tc>
        <w:tc>
          <w:tcPr>
            <w:tcW w:w="894" w:type="dxa"/>
            <w:tcBorders>
              <w:top w:val="nil"/>
              <w:left w:val="nil"/>
              <w:bottom w:val="single" w:sz="4" w:space="0" w:color="auto"/>
              <w:right w:val="single" w:sz="4" w:space="0" w:color="auto"/>
            </w:tcBorders>
            <w:shd w:val="clear" w:color="auto" w:fill="auto"/>
            <w:noWrap/>
            <w:vAlign w:val="bottom"/>
            <w:hideMark/>
          </w:tcPr>
          <w:p w14:paraId="397BD57B" w14:textId="77777777" w:rsidR="0057781F" w:rsidRPr="0057781F" w:rsidRDefault="0057781F" w:rsidP="0057781F">
            <w:pPr>
              <w:jc w:val="center"/>
              <w:rPr>
                <w:rFonts w:ascii="Calibri" w:hAnsi="Calibri" w:cs="Calibri"/>
                <w:color w:val="000000"/>
                <w:sz w:val="16"/>
                <w:szCs w:val="16"/>
              </w:rPr>
            </w:pPr>
            <w:proofErr w:type="spellStart"/>
            <w:r w:rsidRPr="0057781F">
              <w:rPr>
                <w:rFonts w:ascii="Calibri" w:hAnsi="Calibri" w:cs="Calibri"/>
                <w:color w:val="000000"/>
                <w:sz w:val="16"/>
                <w:szCs w:val="16"/>
              </w:rPr>
              <w:t>ano</w:t>
            </w:r>
            <w:proofErr w:type="spellEnd"/>
            <w:r w:rsidRPr="0057781F">
              <w:rPr>
                <w:rFonts w:ascii="Calibri" w:hAnsi="Calibri" w:cs="Calibri"/>
                <w:color w:val="000000"/>
                <w:sz w:val="16"/>
                <w:szCs w:val="16"/>
              </w:rPr>
              <w:t xml:space="preserve"> 3</w:t>
            </w:r>
          </w:p>
        </w:tc>
        <w:tc>
          <w:tcPr>
            <w:tcW w:w="646" w:type="dxa"/>
            <w:tcBorders>
              <w:top w:val="nil"/>
              <w:left w:val="nil"/>
              <w:bottom w:val="single" w:sz="4" w:space="0" w:color="auto"/>
              <w:right w:val="single" w:sz="4" w:space="0" w:color="auto"/>
            </w:tcBorders>
            <w:shd w:val="clear" w:color="auto" w:fill="auto"/>
            <w:noWrap/>
            <w:vAlign w:val="bottom"/>
            <w:hideMark/>
          </w:tcPr>
          <w:p w14:paraId="5EB9AC98" w14:textId="77777777" w:rsidR="0057781F" w:rsidRPr="0057781F" w:rsidRDefault="0057781F" w:rsidP="0057781F">
            <w:pPr>
              <w:jc w:val="center"/>
              <w:rPr>
                <w:rFonts w:ascii="Calibri" w:hAnsi="Calibri" w:cs="Calibri"/>
                <w:color w:val="000000"/>
                <w:sz w:val="16"/>
                <w:szCs w:val="16"/>
              </w:rPr>
            </w:pPr>
            <w:proofErr w:type="spellStart"/>
            <w:r w:rsidRPr="0057781F">
              <w:rPr>
                <w:rFonts w:ascii="Calibri" w:hAnsi="Calibri" w:cs="Calibri"/>
                <w:color w:val="000000"/>
                <w:sz w:val="16"/>
                <w:szCs w:val="16"/>
              </w:rPr>
              <w:t>ano</w:t>
            </w:r>
            <w:proofErr w:type="spellEnd"/>
            <w:r w:rsidRPr="0057781F">
              <w:rPr>
                <w:rFonts w:ascii="Calibri" w:hAnsi="Calibri" w:cs="Calibri"/>
                <w:color w:val="000000"/>
                <w:sz w:val="16"/>
                <w:szCs w:val="16"/>
              </w:rPr>
              <w:t xml:space="preserve"> 4</w:t>
            </w:r>
          </w:p>
        </w:tc>
        <w:tc>
          <w:tcPr>
            <w:tcW w:w="729" w:type="dxa"/>
            <w:tcBorders>
              <w:top w:val="nil"/>
              <w:left w:val="nil"/>
              <w:bottom w:val="single" w:sz="4" w:space="0" w:color="auto"/>
              <w:right w:val="single" w:sz="4" w:space="0" w:color="auto"/>
            </w:tcBorders>
            <w:shd w:val="clear" w:color="auto" w:fill="auto"/>
            <w:noWrap/>
            <w:vAlign w:val="bottom"/>
            <w:hideMark/>
          </w:tcPr>
          <w:p w14:paraId="141F260D" w14:textId="77777777" w:rsidR="0057781F" w:rsidRPr="0057781F" w:rsidRDefault="0057781F" w:rsidP="0057781F">
            <w:pPr>
              <w:jc w:val="center"/>
              <w:rPr>
                <w:rFonts w:ascii="Calibri" w:hAnsi="Calibri" w:cs="Calibri"/>
                <w:color w:val="000000"/>
                <w:sz w:val="16"/>
                <w:szCs w:val="16"/>
              </w:rPr>
            </w:pPr>
            <w:proofErr w:type="spellStart"/>
            <w:r w:rsidRPr="0057781F">
              <w:rPr>
                <w:rFonts w:ascii="Calibri" w:hAnsi="Calibri" w:cs="Calibri"/>
                <w:color w:val="000000"/>
                <w:sz w:val="16"/>
                <w:szCs w:val="16"/>
              </w:rPr>
              <w:t>Ano</w:t>
            </w:r>
            <w:proofErr w:type="spellEnd"/>
            <w:r w:rsidRPr="0057781F">
              <w:rPr>
                <w:rFonts w:ascii="Calibri" w:hAnsi="Calibri" w:cs="Calibri"/>
                <w:color w:val="000000"/>
                <w:sz w:val="16"/>
                <w:szCs w:val="16"/>
              </w:rPr>
              <w:t xml:space="preserve"> 5 </w:t>
            </w:r>
          </w:p>
        </w:tc>
        <w:tc>
          <w:tcPr>
            <w:tcW w:w="1928" w:type="dxa"/>
            <w:tcBorders>
              <w:top w:val="nil"/>
              <w:left w:val="nil"/>
              <w:bottom w:val="single" w:sz="4" w:space="0" w:color="auto"/>
              <w:right w:val="single" w:sz="4" w:space="0" w:color="auto"/>
            </w:tcBorders>
            <w:shd w:val="clear" w:color="auto" w:fill="auto"/>
            <w:noWrap/>
            <w:vAlign w:val="bottom"/>
            <w:hideMark/>
          </w:tcPr>
          <w:p w14:paraId="0A038A9B" w14:textId="77777777" w:rsidR="0057781F" w:rsidRPr="0057781F" w:rsidRDefault="0057781F" w:rsidP="0057781F">
            <w:pPr>
              <w:jc w:val="center"/>
              <w:rPr>
                <w:rFonts w:ascii="Calibri" w:hAnsi="Calibri" w:cs="Calibri"/>
                <w:color w:val="000000"/>
                <w:sz w:val="16"/>
                <w:szCs w:val="16"/>
              </w:rPr>
            </w:pPr>
            <w:proofErr w:type="spellStart"/>
            <w:r w:rsidRPr="0057781F">
              <w:rPr>
                <w:rFonts w:ascii="Calibri" w:hAnsi="Calibri" w:cs="Calibri"/>
                <w:color w:val="000000"/>
                <w:sz w:val="16"/>
                <w:szCs w:val="16"/>
              </w:rPr>
              <w:t>Ano</w:t>
            </w:r>
            <w:proofErr w:type="spellEnd"/>
            <w:r w:rsidRPr="0057781F">
              <w:rPr>
                <w:rFonts w:ascii="Calibri" w:hAnsi="Calibri" w:cs="Calibri"/>
                <w:color w:val="000000"/>
                <w:sz w:val="16"/>
                <w:szCs w:val="16"/>
              </w:rPr>
              <w:t xml:space="preserve"> 6 </w:t>
            </w:r>
            <w:proofErr w:type="spellStart"/>
            <w:r w:rsidRPr="0057781F">
              <w:rPr>
                <w:rFonts w:ascii="Calibri" w:hAnsi="Calibri" w:cs="Calibri"/>
                <w:color w:val="000000"/>
                <w:sz w:val="16"/>
                <w:szCs w:val="16"/>
              </w:rPr>
              <w:t>em</w:t>
            </w:r>
            <w:proofErr w:type="spellEnd"/>
            <w:r w:rsidRPr="0057781F">
              <w:rPr>
                <w:rFonts w:ascii="Calibri" w:hAnsi="Calibri" w:cs="Calibri"/>
                <w:color w:val="000000"/>
                <w:sz w:val="16"/>
                <w:szCs w:val="16"/>
              </w:rPr>
              <w:t xml:space="preserve"> </w:t>
            </w:r>
            <w:proofErr w:type="spellStart"/>
            <w:r w:rsidRPr="0057781F">
              <w:rPr>
                <w:rFonts w:ascii="Calibri" w:hAnsi="Calibri" w:cs="Calibri"/>
                <w:color w:val="000000"/>
                <w:sz w:val="16"/>
                <w:szCs w:val="16"/>
              </w:rPr>
              <w:t>diante</w:t>
            </w:r>
            <w:proofErr w:type="spellEnd"/>
          </w:p>
        </w:tc>
      </w:tr>
      <w:tr w:rsidR="0057781F" w:rsidRPr="0057781F" w14:paraId="2B7D460D" w14:textId="77777777" w:rsidTr="0057781F">
        <w:trPr>
          <w:trHeight w:val="315"/>
        </w:trPr>
        <w:tc>
          <w:tcPr>
            <w:tcW w:w="2582" w:type="dxa"/>
            <w:tcBorders>
              <w:top w:val="nil"/>
              <w:left w:val="single" w:sz="4" w:space="0" w:color="auto"/>
              <w:bottom w:val="single" w:sz="4" w:space="0" w:color="auto"/>
              <w:right w:val="single" w:sz="4" w:space="0" w:color="auto"/>
            </w:tcBorders>
            <w:shd w:val="clear" w:color="auto" w:fill="auto"/>
            <w:noWrap/>
            <w:vAlign w:val="bottom"/>
            <w:hideMark/>
          </w:tcPr>
          <w:p w14:paraId="3C9F1D3A" w14:textId="77777777" w:rsidR="0057781F" w:rsidRPr="0057781F" w:rsidRDefault="0057781F" w:rsidP="0057781F">
            <w:pPr>
              <w:rPr>
                <w:rFonts w:ascii="Calibri" w:hAnsi="Calibri" w:cs="Calibri"/>
                <w:color w:val="000000"/>
                <w:sz w:val="16"/>
                <w:szCs w:val="16"/>
              </w:rPr>
            </w:pPr>
            <w:proofErr w:type="spellStart"/>
            <w:r w:rsidRPr="0057781F">
              <w:rPr>
                <w:rFonts w:ascii="Calibri" w:hAnsi="Calibri" w:cs="Calibri"/>
                <w:color w:val="000000"/>
                <w:sz w:val="16"/>
                <w:szCs w:val="16"/>
              </w:rPr>
              <w:t>Redução</w:t>
            </w:r>
            <w:proofErr w:type="spellEnd"/>
            <w:r w:rsidRPr="0057781F">
              <w:rPr>
                <w:rFonts w:ascii="Calibri" w:hAnsi="Calibri" w:cs="Calibri"/>
                <w:color w:val="000000"/>
                <w:sz w:val="16"/>
                <w:szCs w:val="16"/>
              </w:rPr>
              <w:t xml:space="preserve"> Gap </w:t>
            </w:r>
            <w:proofErr w:type="spellStart"/>
            <w:r w:rsidRPr="0057781F">
              <w:rPr>
                <w:rFonts w:ascii="Calibri" w:hAnsi="Calibri" w:cs="Calibri"/>
                <w:color w:val="000000"/>
                <w:sz w:val="16"/>
                <w:szCs w:val="16"/>
              </w:rPr>
              <w:t>Tributário</w:t>
            </w:r>
            <w:proofErr w:type="spellEnd"/>
            <w:r w:rsidRPr="0057781F">
              <w:rPr>
                <w:rFonts w:ascii="Calibri" w:hAnsi="Calibri" w:cs="Calibri"/>
                <w:color w:val="000000"/>
                <w:sz w:val="16"/>
                <w:szCs w:val="16"/>
              </w:rPr>
              <w:t xml:space="preserve"> (R$ 1000)</w:t>
            </w:r>
          </w:p>
        </w:tc>
        <w:tc>
          <w:tcPr>
            <w:tcW w:w="977" w:type="dxa"/>
            <w:tcBorders>
              <w:top w:val="nil"/>
              <w:left w:val="nil"/>
              <w:bottom w:val="single" w:sz="4" w:space="0" w:color="auto"/>
              <w:right w:val="single" w:sz="4" w:space="0" w:color="auto"/>
            </w:tcBorders>
            <w:shd w:val="clear" w:color="auto" w:fill="auto"/>
            <w:noWrap/>
            <w:vAlign w:val="bottom"/>
            <w:hideMark/>
          </w:tcPr>
          <w:p w14:paraId="3F310539"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27.108 </w:t>
            </w:r>
          </w:p>
        </w:tc>
        <w:tc>
          <w:tcPr>
            <w:tcW w:w="894" w:type="dxa"/>
            <w:tcBorders>
              <w:top w:val="nil"/>
              <w:left w:val="nil"/>
              <w:bottom w:val="single" w:sz="4" w:space="0" w:color="auto"/>
              <w:right w:val="single" w:sz="4" w:space="0" w:color="auto"/>
            </w:tcBorders>
            <w:shd w:val="clear" w:color="auto" w:fill="auto"/>
            <w:noWrap/>
            <w:vAlign w:val="bottom"/>
            <w:hideMark/>
          </w:tcPr>
          <w:p w14:paraId="56A23CAA"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27.108 </w:t>
            </w:r>
          </w:p>
        </w:tc>
        <w:tc>
          <w:tcPr>
            <w:tcW w:w="646" w:type="dxa"/>
            <w:tcBorders>
              <w:top w:val="nil"/>
              <w:left w:val="nil"/>
              <w:bottom w:val="single" w:sz="4" w:space="0" w:color="auto"/>
              <w:right w:val="single" w:sz="4" w:space="0" w:color="auto"/>
            </w:tcBorders>
            <w:shd w:val="clear" w:color="auto" w:fill="auto"/>
            <w:noWrap/>
            <w:vAlign w:val="bottom"/>
            <w:hideMark/>
          </w:tcPr>
          <w:p w14:paraId="28FE213F"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40.663 </w:t>
            </w:r>
          </w:p>
        </w:tc>
        <w:tc>
          <w:tcPr>
            <w:tcW w:w="729" w:type="dxa"/>
            <w:tcBorders>
              <w:top w:val="nil"/>
              <w:left w:val="nil"/>
              <w:bottom w:val="single" w:sz="4" w:space="0" w:color="auto"/>
              <w:right w:val="single" w:sz="4" w:space="0" w:color="auto"/>
            </w:tcBorders>
            <w:shd w:val="clear" w:color="auto" w:fill="auto"/>
            <w:noWrap/>
            <w:vAlign w:val="bottom"/>
            <w:hideMark/>
          </w:tcPr>
          <w:p w14:paraId="384E3F69"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67.771 </w:t>
            </w:r>
          </w:p>
        </w:tc>
        <w:tc>
          <w:tcPr>
            <w:tcW w:w="1928" w:type="dxa"/>
            <w:tcBorders>
              <w:top w:val="nil"/>
              <w:left w:val="nil"/>
              <w:bottom w:val="single" w:sz="4" w:space="0" w:color="auto"/>
              <w:right w:val="single" w:sz="4" w:space="0" w:color="auto"/>
            </w:tcBorders>
            <w:shd w:val="clear" w:color="auto" w:fill="auto"/>
            <w:noWrap/>
            <w:vAlign w:val="bottom"/>
            <w:hideMark/>
          </w:tcPr>
          <w:p w14:paraId="2CE36A99" w14:textId="77777777" w:rsidR="0057781F" w:rsidRPr="0057781F" w:rsidRDefault="0057781F" w:rsidP="0057781F">
            <w:pPr>
              <w:rPr>
                <w:rFonts w:ascii="Calibri" w:hAnsi="Calibri" w:cs="Calibri"/>
                <w:color w:val="000000"/>
                <w:sz w:val="16"/>
                <w:szCs w:val="16"/>
              </w:rPr>
            </w:pPr>
            <w:r w:rsidRPr="0057781F">
              <w:rPr>
                <w:rFonts w:ascii="Calibri" w:hAnsi="Calibri" w:cs="Calibri"/>
                <w:color w:val="000000"/>
                <w:sz w:val="16"/>
                <w:szCs w:val="16"/>
              </w:rPr>
              <w:t xml:space="preserve">                                  81.325 </w:t>
            </w:r>
          </w:p>
        </w:tc>
      </w:tr>
      <w:tr w:rsidR="0057781F" w:rsidRPr="0057781F" w14:paraId="686A71ED" w14:textId="77777777" w:rsidTr="0057781F">
        <w:trPr>
          <w:trHeight w:val="315"/>
        </w:trPr>
        <w:tc>
          <w:tcPr>
            <w:tcW w:w="2582" w:type="dxa"/>
            <w:tcBorders>
              <w:top w:val="nil"/>
              <w:left w:val="single" w:sz="4" w:space="0" w:color="auto"/>
              <w:bottom w:val="single" w:sz="4" w:space="0" w:color="auto"/>
              <w:right w:val="single" w:sz="4" w:space="0" w:color="auto"/>
            </w:tcBorders>
            <w:shd w:val="clear" w:color="auto" w:fill="auto"/>
            <w:noWrap/>
            <w:vAlign w:val="bottom"/>
            <w:hideMark/>
          </w:tcPr>
          <w:p w14:paraId="7FF52BB9" w14:textId="77777777" w:rsidR="0057781F" w:rsidRPr="0057781F" w:rsidRDefault="0057781F" w:rsidP="0057781F">
            <w:pPr>
              <w:rPr>
                <w:rFonts w:ascii="Calibri" w:hAnsi="Calibri" w:cs="Calibri"/>
                <w:color w:val="000000"/>
                <w:sz w:val="16"/>
                <w:szCs w:val="16"/>
              </w:rPr>
            </w:pPr>
            <w:proofErr w:type="spellStart"/>
            <w:r w:rsidRPr="0057781F">
              <w:rPr>
                <w:rFonts w:ascii="Calibri" w:hAnsi="Calibri" w:cs="Calibri"/>
                <w:color w:val="000000"/>
                <w:sz w:val="16"/>
                <w:szCs w:val="16"/>
              </w:rPr>
              <w:t>Trânsito</w:t>
            </w:r>
            <w:proofErr w:type="spellEnd"/>
            <w:r w:rsidRPr="0057781F">
              <w:rPr>
                <w:rFonts w:ascii="Calibri" w:hAnsi="Calibri" w:cs="Calibri"/>
                <w:color w:val="000000"/>
                <w:sz w:val="16"/>
                <w:szCs w:val="16"/>
              </w:rPr>
              <w:t xml:space="preserve"> de </w:t>
            </w:r>
            <w:proofErr w:type="spellStart"/>
            <w:r w:rsidRPr="0057781F">
              <w:rPr>
                <w:rFonts w:ascii="Calibri" w:hAnsi="Calibri" w:cs="Calibri"/>
                <w:color w:val="000000"/>
                <w:sz w:val="16"/>
                <w:szCs w:val="16"/>
              </w:rPr>
              <w:t>Mercadorias</w:t>
            </w:r>
            <w:proofErr w:type="spellEnd"/>
            <w:r w:rsidRPr="0057781F">
              <w:rPr>
                <w:rFonts w:ascii="Calibri" w:hAnsi="Calibri" w:cs="Calibri"/>
                <w:color w:val="000000"/>
                <w:sz w:val="16"/>
                <w:szCs w:val="16"/>
              </w:rPr>
              <w:t xml:space="preserve"> (R$ 1000)</w:t>
            </w:r>
          </w:p>
        </w:tc>
        <w:tc>
          <w:tcPr>
            <w:tcW w:w="977" w:type="dxa"/>
            <w:tcBorders>
              <w:top w:val="nil"/>
              <w:left w:val="nil"/>
              <w:bottom w:val="single" w:sz="4" w:space="0" w:color="auto"/>
              <w:right w:val="single" w:sz="4" w:space="0" w:color="auto"/>
            </w:tcBorders>
            <w:shd w:val="clear" w:color="auto" w:fill="auto"/>
            <w:noWrap/>
            <w:vAlign w:val="bottom"/>
            <w:hideMark/>
          </w:tcPr>
          <w:p w14:paraId="7B9B5196"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17.267 </w:t>
            </w:r>
          </w:p>
        </w:tc>
        <w:tc>
          <w:tcPr>
            <w:tcW w:w="894" w:type="dxa"/>
            <w:tcBorders>
              <w:top w:val="nil"/>
              <w:left w:val="nil"/>
              <w:bottom w:val="single" w:sz="4" w:space="0" w:color="auto"/>
              <w:right w:val="single" w:sz="4" w:space="0" w:color="auto"/>
            </w:tcBorders>
            <w:shd w:val="clear" w:color="auto" w:fill="auto"/>
            <w:noWrap/>
            <w:vAlign w:val="bottom"/>
            <w:hideMark/>
          </w:tcPr>
          <w:p w14:paraId="1095F197"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17.267 </w:t>
            </w:r>
          </w:p>
        </w:tc>
        <w:tc>
          <w:tcPr>
            <w:tcW w:w="646" w:type="dxa"/>
            <w:tcBorders>
              <w:top w:val="nil"/>
              <w:left w:val="nil"/>
              <w:bottom w:val="single" w:sz="4" w:space="0" w:color="auto"/>
              <w:right w:val="single" w:sz="4" w:space="0" w:color="auto"/>
            </w:tcBorders>
            <w:shd w:val="clear" w:color="auto" w:fill="auto"/>
            <w:noWrap/>
            <w:vAlign w:val="bottom"/>
            <w:hideMark/>
          </w:tcPr>
          <w:p w14:paraId="6361D857"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17.267 </w:t>
            </w:r>
          </w:p>
        </w:tc>
        <w:tc>
          <w:tcPr>
            <w:tcW w:w="729" w:type="dxa"/>
            <w:tcBorders>
              <w:top w:val="nil"/>
              <w:left w:val="nil"/>
              <w:bottom w:val="single" w:sz="4" w:space="0" w:color="auto"/>
              <w:right w:val="single" w:sz="4" w:space="0" w:color="auto"/>
            </w:tcBorders>
            <w:shd w:val="clear" w:color="auto" w:fill="auto"/>
            <w:noWrap/>
            <w:vAlign w:val="bottom"/>
            <w:hideMark/>
          </w:tcPr>
          <w:p w14:paraId="3BB55B12"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17.267 </w:t>
            </w:r>
          </w:p>
        </w:tc>
        <w:tc>
          <w:tcPr>
            <w:tcW w:w="1928" w:type="dxa"/>
            <w:tcBorders>
              <w:top w:val="nil"/>
              <w:left w:val="nil"/>
              <w:bottom w:val="single" w:sz="4" w:space="0" w:color="auto"/>
              <w:right w:val="single" w:sz="4" w:space="0" w:color="auto"/>
            </w:tcBorders>
            <w:shd w:val="clear" w:color="auto" w:fill="auto"/>
            <w:noWrap/>
            <w:vAlign w:val="bottom"/>
            <w:hideMark/>
          </w:tcPr>
          <w:p w14:paraId="377396BC"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 xml:space="preserve">                                  17.267 </w:t>
            </w:r>
          </w:p>
        </w:tc>
      </w:tr>
      <w:tr w:rsidR="0057781F" w:rsidRPr="0057781F" w14:paraId="39852543" w14:textId="77777777" w:rsidTr="0057781F">
        <w:trPr>
          <w:trHeight w:val="315"/>
        </w:trPr>
        <w:tc>
          <w:tcPr>
            <w:tcW w:w="2582" w:type="dxa"/>
            <w:tcBorders>
              <w:top w:val="nil"/>
              <w:left w:val="single" w:sz="4" w:space="0" w:color="auto"/>
              <w:bottom w:val="single" w:sz="4" w:space="0" w:color="auto"/>
              <w:right w:val="single" w:sz="4" w:space="0" w:color="auto"/>
            </w:tcBorders>
            <w:shd w:val="clear" w:color="auto" w:fill="auto"/>
            <w:noWrap/>
            <w:vAlign w:val="bottom"/>
            <w:hideMark/>
          </w:tcPr>
          <w:p w14:paraId="56A183D0" w14:textId="77777777" w:rsidR="0057781F" w:rsidRPr="0057781F" w:rsidRDefault="0057781F" w:rsidP="0057781F">
            <w:pPr>
              <w:rPr>
                <w:rFonts w:ascii="Calibri" w:hAnsi="Calibri" w:cs="Calibri"/>
                <w:color w:val="000000"/>
                <w:sz w:val="16"/>
                <w:szCs w:val="16"/>
              </w:rPr>
            </w:pPr>
            <w:proofErr w:type="spellStart"/>
            <w:r w:rsidRPr="0057781F">
              <w:rPr>
                <w:rFonts w:ascii="Calibri" w:hAnsi="Calibri" w:cs="Calibri"/>
                <w:color w:val="000000"/>
                <w:sz w:val="16"/>
                <w:szCs w:val="16"/>
              </w:rPr>
              <w:t>Trânsito</w:t>
            </w:r>
            <w:proofErr w:type="spellEnd"/>
            <w:r w:rsidRPr="0057781F">
              <w:rPr>
                <w:rFonts w:ascii="Calibri" w:hAnsi="Calibri" w:cs="Calibri"/>
                <w:color w:val="000000"/>
                <w:sz w:val="16"/>
                <w:szCs w:val="16"/>
              </w:rPr>
              <w:t xml:space="preserve"> </w:t>
            </w:r>
            <w:proofErr w:type="spellStart"/>
            <w:r w:rsidRPr="0057781F">
              <w:rPr>
                <w:rFonts w:ascii="Calibri" w:hAnsi="Calibri" w:cs="Calibri"/>
                <w:color w:val="000000"/>
                <w:sz w:val="16"/>
                <w:szCs w:val="16"/>
              </w:rPr>
              <w:t>como</w:t>
            </w:r>
            <w:proofErr w:type="spellEnd"/>
            <w:r w:rsidRPr="0057781F">
              <w:rPr>
                <w:rFonts w:ascii="Calibri" w:hAnsi="Calibri" w:cs="Calibri"/>
                <w:color w:val="000000"/>
                <w:sz w:val="16"/>
                <w:szCs w:val="16"/>
              </w:rPr>
              <w:t xml:space="preserve"> % </w:t>
            </w:r>
            <w:proofErr w:type="spellStart"/>
            <w:r w:rsidRPr="0057781F">
              <w:rPr>
                <w:rFonts w:ascii="Calibri" w:hAnsi="Calibri" w:cs="Calibri"/>
                <w:color w:val="000000"/>
                <w:sz w:val="16"/>
                <w:szCs w:val="16"/>
              </w:rPr>
              <w:t>Redução</w:t>
            </w:r>
            <w:proofErr w:type="spellEnd"/>
            <w:r w:rsidRPr="0057781F">
              <w:rPr>
                <w:rFonts w:ascii="Calibri" w:hAnsi="Calibri" w:cs="Calibri"/>
                <w:color w:val="000000"/>
                <w:sz w:val="16"/>
                <w:szCs w:val="16"/>
              </w:rPr>
              <w:t xml:space="preserve"> Gap</w:t>
            </w:r>
          </w:p>
        </w:tc>
        <w:tc>
          <w:tcPr>
            <w:tcW w:w="977" w:type="dxa"/>
            <w:tcBorders>
              <w:top w:val="nil"/>
              <w:left w:val="nil"/>
              <w:bottom w:val="single" w:sz="4" w:space="0" w:color="auto"/>
              <w:right w:val="single" w:sz="4" w:space="0" w:color="auto"/>
            </w:tcBorders>
            <w:shd w:val="clear" w:color="auto" w:fill="auto"/>
            <w:noWrap/>
            <w:vAlign w:val="bottom"/>
            <w:hideMark/>
          </w:tcPr>
          <w:p w14:paraId="0D4A9FED"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64%</w:t>
            </w:r>
          </w:p>
        </w:tc>
        <w:tc>
          <w:tcPr>
            <w:tcW w:w="894" w:type="dxa"/>
            <w:tcBorders>
              <w:top w:val="nil"/>
              <w:left w:val="nil"/>
              <w:bottom w:val="single" w:sz="4" w:space="0" w:color="auto"/>
              <w:right w:val="single" w:sz="4" w:space="0" w:color="auto"/>
            </w:tcBorders>
            <w:shd w:val="clear" w:color="auto" w:fill="auto"/>
            <w:noWrap/>
            <w:vAlign w:val="bottom"/>
            <w:hideMark/>
          </w:tcPr>
          <w:p w14:paraId="02E60704"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64%</w:t>
            </w:r>
          </w:p>
        </w:tc>
        <w:tc>
          <w:tcPr>
            <w:tcW w:w="646" w:type="dxa"/>
            <w:tcBorders>
              <w:top w:val="nil"/>
              <w:left w:val="nil"/>
              <w:bottom w:val="single" w:sz="4" w:space="0" w:color="auto"/>
              <w:right w:val="single" w:sz="4" w:space="0" w:color="auto"/>
            </w:tcBorders>
            <w:shd w:val="clear" w:color="auto" w:fill="auto"/>
            <w:noWrap/>
            <w:vAlign w:val="bottom"/>
            <w:hideMark/>
          </w:tcPr>
          <w:p w14:paraId="4DA7D59B"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42%</w:t>
            </w:r>
          </w:p>
        </w:tc>
        <w:tc>
          <w:tcPr>
            <w:tcW w:w="729" w:type="dxa"/>
            <w:tcBorders>
              <w:top w:val="nil"/>
              <w:left w:val="nil"/>
              <w:bottom w:val="single" w:sz="4" w:space="0" w:color="auto"/>
              <w:right w:val="single" w:sz="4" w:space="0" w:color="auto"/>
            </w:tcBorders>
            <w:shd w:val="clear" w:color="auto" w:fill="auto"/>
            <w:noWrap/>
            <w:vAlign w:val="bottom"/>
            <w:hideMark/>
          </w:tcPr>
          <w:p w14:paraId="3ABA7B25"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25%</w:t>
            </w:r>
          </w:p>
        </w:tc>
        <w:tc>
          <w:tcPr>
            <w:tcW w:w="1928" w:type="dxa"/>
            <w:tcBorders>
              <w:top w:val="nil"/>
              <w:left w:val="nil"/>
              <w:bottom w:val="single" w:sz="4" w:space="0" w:color="auto"/>
              <w:right w:val="single" w:sz="4" w:space="0" w:color="auto"/>
            </w:tcBorders>
            <w:shd w:val="clear" w:color="auto" w:fill="auto"/>
            <w:noWrap/>
            <w:vAlign w:val="bottom"/>
            <w:hideMark/>
          </w:tcPr>
          <w:p w14:paraId="1F131123" w14:textId="77777777" w:rsidR="0057781F" w:rsidRPr="0057781F" w:rsidRDefault="0057781F" w:rsidP="0057781F">
            <w:pPr>
              <w:jc w:val="right"/>
              <w:rPr>
                <w:rFonts w:ascii="Calibri" w:hAnsi="Calibri" w:cs="Calibri"/>
                <w:color w:val="000000"/>
                <w:sz w:val="16"/>
                <w:szCs w:val="16"/>
              </w:rPr>
            </w:pPr>
            <w:r w:rsidRPr="0057781F">
              <w:rPr>
                <w:rFonts w:ascii="Calibri" w:hAnsi="Calibri" w:cs="Calibri"/>
                <w:color w:val="000000"/>
                <w:sz w:val="16"/>
                <w:szCs w:val="16"/>
              </w:rPr>
              <w:t>21%</w:t>
            </w:r>
          </w:p>
        </w:tc>
      </w:tr>
      <w:tr w:rsidR="0057781F" w:rsidRPr="0057781F" w14:paraId="6637B87D" w14:textId="77777777" w:rsidTr="0057781F">
        <w:trPr>
          <w:trHeight w:val="525"/>
        </w:trPr>
        <w:tc>
          <w:tcPr>
            <w:tcW w:w="7756" w:type="dxa"/>
            <w:gridSpan w:val="6"/>
            <w:tcBorders>
              <w:top w:val="nil"/>
              <w:left w:val="nil"/>
              <w:bottom w:val="nil"/>
              <w:right w:val="nil"/>
            </w:tcBorders>
            <w:shd w:val="clear" w:color="auto" w:fill="auto"/>
            <w:vAlign w:val="bottom"/>
            <w:hideMark/>
          </w:tcPr>
          <w:p w14:paraId="43F341FF" w14:textId="02AD7FFC" w:rsidR="0057781F" w:rsidRPr="0057781F" w:rsidRDefault="0057781F" w:rsidP="0057781F">
            <w:pPr>
              <w:rPr>
                <w:rFonts w:ascii="Calibri" w:hAnsi="Calibri" w:cs="Calibri"/>
                <w:color w:val="000000"/>
                <w:sz w:val="16"/>
                <w:szCs w:val="16"/>
                <w:lang w:val="pt-BR"/>
              </w:rPr>
            </w:pPr>
            <w:r w:rsidRPr="0057781F">
              <w:rPr>
                <w:rFonts w:ascii="Calibri" w:hAnsi="Calibri" w:cs="Calibri"/>
                <w:color w:val="FF0000"/>
                <w:sz w:val="16"/>
                <w:szCs w:val="16"/>
                <w:lang w:val="pt-BR"/>
              </w:rPr>
              <w:t>Fonte: Cálculos do autor baseados na arrecadação de transito em 2016 (SEFA-PA) e ganhos de arrecadação em Goiás (SEFAZ-GO).</w:t>
            </w:r>
          </w:p>
        </w:tc>
      </w:tr>
    </w:tbl>
    <w:p w14:paraId="294D55C2" w14:textId="77777777" w:rsidR="00554C31" w:rsidRPr="001F27CE" w:rsidRDefault="00554C31" w:rsidP="00554C31">
      <w:pPr>
        <w:pStyle w:val="PargrafodaLista"/>
        <w:keepNext/>
        <w:shd w:val="clear" w:color="auto" w:fill="FFFFFF"/>
        <w:suppressAutoHyphens/>
        <w:spacing w:before="120" w:after="150"/>
        <w:ind w:left="851"/>
        <w:jc w:val="both"/>
        <w:outlineLvl w:val="3"/>
        <w:rPr>
          <w:rFonts w:ascii="Arial" w:hAnsi="Arial" w:cs="Arial"/>
          <w:bCs/>
          <w:lang w:val="pt-BR" w:eastAsia="es-ES"/>
        </w:rPr>
      </w:pPr>
    </w:p>
    <w:p w14:paraId="294D55C5" w14:textId="77777777" w:rsidR="00FA60F6" w:rsidRPr="003B2DA8" w:rsidRDefault="000A1E09" w:rsidP="003B2DA8">
      <w:pPr>
        <w:pStyle w:val="Ttulo3"/>
        <w:spacing w:before="240"/>
        <w:ind w:left="900" w:hanging="630"/>
        <w:rPr>
          <w:rFonts w:ascii="Arial" w:hAnsi="Arial" w:cs="Arial"/>
          <w:color w:val="000000" w:themeColor="text1"/>
          <w:lang w:val="pt-BR" w:eastAsia="es-ES"/>
        </w:rPr>
      </w:pPr>
      <w:bookmarkStart w:id="13" w:name="_Toc494137335"/>
      <w:r w:rsidRPr="003B2DA8">
        <w:rPr>
          <w:rFonts w:ascii="Arial" w:hAnsi="Arial" w:cs="Arial"/>
          <w:color w:val="000000" w:themeColor="text1"/>
          <w:lang w:val="pt-BR" w:eastAsia="es-ES"/>
        </w:rPr>
        <w:t>B.2.</w:t>
      </w:r>
      <w:r w:rsidRPr="003B2DA8">
        <w:rPr>
          <w:rFonts w:ascii="Arial" w:hAnsi="Arial" w:cs="Arial"/>
          <w:color w:val="000000" w:themeColor="text1"/>
          <w:lang w:val="pt-BR" w:eastAsia="es-ES"/>
        </w:rPr>
        <w:tab/>
      </w:r>
      <w:r w:rsidR="00FA60F6" w:rsidRPr="003B2DA8">
        <w:rPr>
          <w:rFonts w:ascii="Arial" w:hAnsi="Arial" w:cs="Arial"/>
          <w:color w:val="000000" w:themeColor="text1"/>
          <w:lang w:val="pt-BR" w:eastAsia="es-ES"/>
        </w:rPr>
        <w:t xml:space="preserve">Redução de custos para o contribuinte para cumprir suas obrigações </w:t>
      </w:r>
      <w:proofErr w:type="gramStart"/>
      <w:r w:rsidR="00FA60F6" w:rsidRPr="003B2DA8">
        <w:rPr>
          <w:rFonts w:ascii="Arial" w:hAnsi="Arial" w:cs="Arial"/>
          <w:color w:val="000000" w:themeColor="text1"/>
          <w:lang w:val="pt-BR" w:eastAsia="es-ES"/>
        </w:rPr>
        <w:t>tributárias</w:t>
      </w:r>
      <w:bookmarkEnd w:id="13"/>
      <w:proofErr w:type="gramEnd"/>
    </w:p>
    <w:p w14:paraId="294D55C6" w14:textId="77777777" w:rsidR="009A0796" w:rsidRPr="001F27CE" w:rsidRDefault="00B625FD" w:rsidP="00D064C5">
      <w:pPr>
        <w:pStyle w:val="PargrafodaLista"/>
        <w:keepNext/>
        <w:numPr>
          <w:ilvl w:val="1"/>
          <w:numId w:val="4"/>
        </w:numPr>
        <w:suppressAutoHyphens/>
        <w:spacing w:before="240"/>
        <w:ind w:left="851" w:hanging="567"/>
        <w:jc w:val="both"/>
        <w:outlineLvl w:val="3"/>
        <w:rPr>
          <w:rFonts w:ascii="Arial" w:hAnsi="Arial" w:cs="Arial"/>
          <w:bCs/>
          <w:lang w:val="pt-BR" w:eastAsia="es-ES"/>
        </w:rPr>
      </w:pPr>
      <w:r w:rsidRPr="001F27CE">
        <w:rPr>
          <w:rFonts w:ascii="Arial" w:hAnsi="Arial" w:cs="Arial"/>
          <w:bCs/>
          <w:lang w:val="pt-BR" w:eastAsia="es-ES"/>
        </w:rPr>
        <w:t xml:space="preserve">O Brasil ocupa uma das piores posições (181 em 190) em tempo necessário para o contribuinte cumprir com suas obrigações tributárias, segundo o </w:t>
      </w:r>
      <w:proofErr w:type="spellStart"/>
      <w:r w:rsidRPr="001F27CE">
        <w:rPr>
          <w:rFonts w:ascii="Arial" w:hAnsi="Arial" w:cs="Arial"/>
          <w:bCs/>
          <w:lang w:val="pt-BR" w:eastAsia="es-ES"/>
        </w:rPr>
        <w:t>Doing</w:t>
      </w:r>
      <w:proofErr w:type="spellEnd"/>
      <w:r w:rsidRPr="001F27CE">
        <w:rPr>
          <w:rFonts w:ascii="Arial" w:hAnsi="Arial" w:cs="Arial"/>
          <w:bCs/>
          <w:lang w:val="pt-BR" w:eastAsia="es-ES"/>
        </w:rPr>
        <w:t xml:space="preserve"> Business. Embora os dados se refiram apenas ao Rio de Janeiro e São Paulo, a situação não é diferente para o resto do país. A edição de 2017 do </w:t>
      </w:r>
      <w:proofErr w:type="spellStart"/>
      <w:r w:rsidRPr="001F27CE">
        <w:rPr>
          <w:rFonts w:ascii="Arial" w:hAnsi="Arial" w:cs="Arial"/>
          <w:bCs/>
          <w:lang w:val="pt-BR" w:eastAsia="es-ES"/>
        </w:rPr>
        <w:t>Doing</w:t>
      </w:r>
      <w:proofErr w:type="spellEnd"/>
      <w:r w:rsidRPr="001F27CE">
        <w:rPr>
          <w:rFonts w:ascii="Arial" w:hAnsi="Arial" w:cs="Arial"/>
          <w:bCs/>
          <w:lang w:val="pt-BR" w:eastAsia="es-ES"/>
        </w:rPr>
        <w:t xml:space="preserve"> Business registra que uma empresa, em média, gasta 2</w:t>
      </w:r>
      <w:r w:rsidR="00B516F7" w:rsidRPr="001F27CE">
        <w:rPr>
          <w:rFonts w:ascii="Arial" w:hAnsi="Arial" w:cs="Arial"/>
          <w:bCs/>
          <w:lang w:val="pt-BR" w:eastAsia="es-ES"/>
        </w:rPr>
        <w:t>.</w:t>
      </w:r>
      <w:r w:rsidRPr="001F27CE">
        <w:rPr>
          <w:rFonts w:ascii="Arial" w:hAnsi="Arial" w:cs="Arial"/>
          <w:bCs/>
          <w:lang w:val="pt-BR" w:eastAsia="es-ES"/>
        </w:rPr>
        <w:t>038 horas anualmente para cumprir suas obrigações tributárias. Para o ICMS, este tempo é de 1</w:t>
      </w:r>
      <w:r w:rsidR="00B516F7" w:rsidRPr="001F27CE">
        <w:rPr>
          <w:rFonts w:ascii="Arial" w:hAnsi="Arial" w:cs="Arial"/>
          <w:bCs/>
          <w:lang w:val="pt-BR" w:eastAsia="es-ES"/>
        </w:rPr>
        <w:t>.</w:t>
      </w:r>
      <w:r w:rsidRPr="001F27CE">
        <w:rPr>
          <w:rFonts w:ascii="Arial" w:hAnsi="Arial" w:cs="Arial"/>
          <w:bCs/>
          <w:lang w:val="pt-BR" w:eastAsia="es-ES"/>
        </w:rPr>
        <w:t>189 horas anualmente.</w:t>
      </w:r>
    </w:p>
    <w:p w14:paraId="294D55C7" w14:textId="77777777" w:rsidR="00B625FD" w:rsidRPr="001F27CE" w:rsidRDefault="00B625FD"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A </w:t>
      </w:r>
      <w:r w:rsidR="00EB1C74" w:rsidRPr="001F27CE">
        <w:rPr>
          <w:rFonts w:ascii="Arial" w:hAnsi="Arial" w:cs="Arial"/>
          <w:bCs/>
          <w:lang w:val="pt-BR" w:eastAsia="es-ES"/>
        </w:rPr>
        <w:t>implantação do Sistema Público de Escrituração Digital (SPED</w:t>
      </w:r>
      <w:proofErr w:type="gramStart"/>
      <w:r w:rsidR="00EB1C74" w:rsidRPr="001F27CE">
        <w:rPr>
          <w:rFonts w:ascii="Arial" w:hAnsi="Arial" w:cs="Arial"/>
          <w:bCs/>
          <w:lang w:val="pt-BR" w:eastAsia="es-ES"/>
        </w:rPr>
        <w:t>)</w:t>
      </w:r>
      <w:proofErr w:type="gramEnd"/>
      <w:r w:rsidR="00EB1C74" w:rsidRPr="001F27CE">
        <w:rPr>
          <w:rFonts w:ascii="Arial" w:hAnsi="Arial" w:cs="Arial"/>
          <w:bCs/>
          <w:vertAlign w:val="superscript"/>
          <w:lang w:eastAsia="es-ES"/>
        </w:rPr>
        <w:footnoteReference w:id="9"/>
      </w:r>
      <w:r w:rsidR="00EB1C74" w:rsidRPr="001F27CE">
        <w:rPr>
          <w:rFonts w:ascii="Arial" w:hAnsi="Arial" w:cs="Arial"/>
          <w:bCs/>
          <w:lang w:val="pt-BR" w:eastAsia="es-ES"/>
        </w:rPr>
        <w:t>, parte do PROFISCO I, representou um avanço na direção de melhorar as condições para o contribuinte cumprir suas obrigações tributárias</w:t>
      </w:r>
      <w:r w:rsidR="00580BEF" w:rsidRPr="001F27CE">
        <w:rPr>
          <w:rFonts w:ascii="Arial" w:hAnsi="Arial" w:cs="Arial"/>
          <w:bCs/>
          <w:lang w:val="pt-BR" w:eastAsia="es-ES"/>
        </w:rPr>
        <w:t>, mas não eliminou todas as obrigações acessórias existentes anteriormente</w:t>
      </w:r>
      <w:r w:rsidR="00B516F7" w:rsidRPr="001F27CE">
        <w:rPr>
          <w:rFonts w:ascii="Arial" w:hAnsi="Arial" w:cs="Arial"/>
          <w:bCs/>
          <w:lang w:val="pt-BR" w:eastAsia="es-ES"/>
        </w:rPr>
        <w:t>.</w:t>
      </w:r>
      <w:r w:rsidR="00EB1C74" w:rsidRPr="001F27CE">
        <w:rPr>
          <w:rFonts w:ascii="Arial" w:hAnsi="Arial" w:cs="Arial"/>
          <w:bCs/>
          <w:lang w:val="pt-BR" w:eastAsia="es-ES"/>
        </w:rPr>
        <w:t xml:space="preserve"> </w:t>
      </w:r>
    </w:p>
    <w:p w14:paraId="294D55C8" w14:textId="77777777" w:rsidR="007E284F" w:rsidRPr="001F27CE" w:rsidRDefault="00EB1C74"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No </w:t>
      </w:r>
      <w:r w:rsidR="00580BEF" w:rsidRPr="001F27CE">
        <w:rPr>
          <w:rFonts w:ascii="Arial" w:hAnsi="Arial" w:cs="Arial"/>
          <w:bCs/>
          <w:lang w:val="pt-BR" w:eastAsia="es-ES"/>
        </w:rPr>
        <w:t>P</w:t>
      </w:r>
      <w:r w:rsidR="008F2530" w:rsidRPr="001F27CE">
        <w:rPr>
          <w:rFonts w:ascii="Arial" w:hAnsi="Arial" w:cs="Arial"/>
          <w:bCs/>
          <w:lang w:val="pt-BR" w:eastAsia="es-ES"/>
        </w:rPr>
        <w:t>ará</w:t>
      </w:r>
      <w:r w:rsidR="00580BEF" w:rsidRPr="001F27CE">
        <w:rPr>
          <w:rFonts w:ascii="Arial" w:hAnsi="Arial" w:cs="Arial"/>
          <w:bCs/>
          <w:lang w:val="pt-BR" w:eastAsia="es-ES"/>
        </w:rPr>
        <w:t xml:space="preserve">, o contribuinte </w:t>
      </w:r>
      <w:r w:rsidRPr="001F27CE">
        <w:rPr>
          <w:rFonts w:ascii="Arial" w:hAnsi="Arial" w:cs="Arial"/>
          <w:bCs/>
          <w:lang w:val="pt-BR" w:eastAsia="es-ES"/>
        </w:rPr>
        <w:t xml:space="preserve">ainda </w:t>
      </w:r>
      <w:r w:rsidR="00580BEF" w:rsidRPr="001F27CE">
        <w:rPr>
          <w:rFonts w:ascii="Arial" w:hAnsi="Arial" w:cs="Arial"/>
          <w:bCs/>
          <w:lang w:val="pt-BR" w:eastAsia="es-ES"/>
        </w:rPr>
        <w:t>tem que apresentar duas declarações acessórias além do SPED</w:t>
      </w:r>
      <w:r w:rsidR="00E20EF1" w:rsidRPr="001F27CE">
        <w:rPr>
          <w:rFonts w:ascii="Arial" w:hAnsi="Arial" w:cs="Arial"/>
          <w:bCs/>
          <w:lang w:val="pt-BR" w:eastAsia="es-ES"/>
        </w:rPr>
        <w:t xml:space="preserve">: a DIEF (Declaração de Informação Econômica Fiscal) e a GIA-ST (Guia de Informação e Apuração do ICMS de Substituição Tributária). O contribuinte usa as mesmas bases de informações para preencher o SPED, a DIEF e a GIA-ST, mas o preenchimento e transmissão requerem tempo adicional. Uma pesquisa com contadores do estado constatou que estas </w:t>
      </w:r>
      <w:r w:rsidR="001F0D8E" w:rsidRPr="001F27CE">
        <w:rPr>
          <w:rFonts w:ascii="Arial" w:hAnsi="Arial" w:cs="Arial"/>
          <w:bCs/>
          <w:lang w:val="pt-BR" w:eastAsia="es-ES"/>
        </w:rPr>
        <w:t>d</w:t>
      </w:r>
      <w:r w:rsidR="000C57F7" w:rsidRPr="001F27CE">
        <w:rPr>
          <w:rFonts w:ascii="Arial" w:hAnsi="Arial" w:cs="Arial"/>
          <w:bCs/>
          <w:lang w:val="pt-BR" w:eastAsia="es-ES"/>
        </w:rPr>
        <w:t>uas</w:t>
      </w:r>
      <w:r w:rsidR="001F0D8E" w:rsidRPr="001F27CE">
        <w:rPr>
          <w:rFonts w:ascii="Arial" w:hAnsi="Arial" w:cs="Arial"/>
          <w:bCs/>
          <w:lang w:val="pt-BR" w:eastAsia="es-ES"/>
        </w:rPr>
        <w:t xml:space="preserve"> </w:t>
      </w:r>
      <w:r w:rsidR="00E20EF1" w:rsidRPr="001F27CE">
        <w:rPr>
          <w:rFonts w:ascii="Arial" w:hAnsi="Arial" w:cs="Arial"/>
          <w:bCs/>
          <w:lang w:val="pt-BR" w:eastAsia="es-ES"/>
        </w:rPr>
        <w:t xml:space="preserve">declarações acessórias demandam </w:t>
      </w:r>
      <w:r w:rsidR="003F1B79" w:rsidRPr="001F27CE">
        <w:rPr>
          <w:rFonts w:ascii="Arial" w:hAnsi="Arial" w:cs="Arial"/>
          <w:bCs/>
          <w:lang w:val="pt-BR" w:eastAsia="es-ES"/>
        </w:rPr>
        <w:t xml:space="preserve">mensalmente </w:t>
      </w:r>
      <w:r w:rsidR="00E20EF1" w:rsidRPr="001F27CE">
        <w:rPr>
          <w:rFonts w:ascii="Arial" w:hAnsi="Arial" w:cs="Arial"/>
          <w:bCs/>
          <w:lang w:val="pt-BR" w:eastAsia="es-ES"/>
        </w:rPr>
        <w:t xml:space="preserve">entre meia hora </w:t>
      </w:r>
      <w:r w:rsidR="009E3354" w:rsidRPr="001F27CE">
        <w:rPr>
          <w:rFonts w:ascii="Arial" w:hAnsi="Arial" w:cs="Arial"/>
          <w:bCs/>
          <w:lang w:val="pt-BR" w:eastAsia="es-ES"/>
        </w:rPr>
        <w:t>à</w:t>
      </w:r>
      <w:r w:rsidR="00E20EF1" w:rsidRPr="001F27CE">
        <w:rPr>
          <w:rFonts w:ascii="Arial" w:hAnsi="Arial" w:cs="Arial"/>
          <w:bCs/>
          <w:lang w:val="pt-BR" w:eastAsia="es-ES"/>
        </w:rPr>
        <w:t xml:space="preserve"> uma hora para preparação e envio, dependendo da complexidade da mesma.</w:t>
      </w:r>
    </w:p>
    <w:p w14:paraId="294D55C9" w14:textId="3D89EB89" w:rsidR="00580BEF" w:rsidRPr="001F27CE" w:rsidRDefault="00515F21"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Atualmente o estado tem </w:t>
      </w:r>
      <w:r w:rsidR="000C66C4" w:rsidRPr="001F27CE">
        <w:rPr>
          <w:rFonts w:ascii="Arial" w:hAnsi="Arial" w:cs="Arial"/>
          <w:bCs/>
          <w:lang w:val="pt-BR" w:eastAsia="es-ES"/>
        </w:rPr>
        <w:t>52.492</w:t>
      </w:r>
      <w:r w:rsidRPr="001F27CE">
        <w:rPr>
          <w:rFonts w:ascii="Arial" w:hAnsi="Arial" w:cs="Arial"/>
          <w:bCs/>
          <w:lang w:val="pt-BR" w:eastAsia="es-ES"/>
        </w:rPr>
        <w:t xml:space="preserve"> firmas ativas</w:t>
      </w:r>
      <w:r w:rsidR="000C66C4" w:rsidRPr="001F27CE">
        <w:rPr>
          <w:rFonts w:ascii="Arial" w:hAnsi="Arial" w:cs="Arial"/>
          <w:bCs/>
          <w:lang w:val="pt-BR" w:eastAsia="es-ES"/>
        </w:rPr>
        <w:t xml:space="preserve"> com obrigatoriedade de apresentar a DIEF além do SPED</w:t>
      </w:r>
      <w:r w:rsidRPr="001F27CE">
        <w:rPr>
          <w:rFonts w:ascii="Arial" w:hAnsi="Arial" w:cs="Arial"/>
          <w:bCs/>
          <w:lang w:val="pt-BR" w:eastAsia="es-ES"/>
        </w:rPr>
        <w:t>.</w:t>
      </w:r>
      <w:r w:rsidR="000C66C4" w:rsidRPr="001F27CE">
        <w:rPr>
          <w:rFonts w:ascii="Arial" w:hAnsi="Arial" w:cs="Arial"/>
          <w:bCs/>
          <w:lang w:val="pt-BR" w:eastAsia="es-ES"/>
        </w:rPr>
        <w:t xml:space="preserve"> No entanto, algumas firmas não apresentam uma ou </w:t>
      </w:r>
      <w:r w:rsidR="00B516F7" w:rsidRPr="001F27CE">
        <w:rPr>
          <w:rFonts w:ascii="Arial" w:hAnsi="Arial" w:cs="Arial"/>
          <w:bCs/>
          <w:lang w:val="pt-BR" w:eastAsia="es-ES"/>
        </w:rPr>
        <w:t>ambas as</w:t>
      </w:r>
      <w:r w:rsidR="000C66C4" w:rsidRPr="001F27CE">
        <w:rPr>
          <w:rFonts w:ascii="Arial" w:hAnsi="Arial" w:cs="Arial"/>
          <w:bCs/>
          <w:lang w:val="pt-BR" w:eastAsia="es-ES"/>
        </w:rPr>
        <w:t xml:space="preserve"> declarações. Baseado em dados dos últimos anos, assume-se que apenas 80% apresentam todas as declarações atualmente obrigatórias.</w:t>
      </w:r>
      <w:r w:rsidR="003F1B79" w:rsidRPr="001F27CE">
        <w:rPr>
          <w:rFonts w:ascii="Arial" w:hAnsi="Arial" w:cs="Arial"/>
          <w:bCs/>
          <w:lang w:val="pt-BR" w:eastAsia="es-ES"/>
        </w:rPr>
        <w:t xml:space="preserve"> Assim, </w:t>
      </w:r>
      <w:r w:rsidR="000C66C4" w:rsidRPr="001F27CE">
        <w:rPr>
          <w:rFonts w:ascii="Arial" w:hAnsi="Arial" w:cs="Arial"/>
          <w:bCs/>
          <w:lang w:val="pt-BR" w:eastAsia="es-ES"/>
        </w:rPr>
        <w:t>quase 47</w:t>
      </w:r>
      <w:r w:rsidR="003F1B79" w:rsidRPr="001F27CE">
        <w:rPr>
          <w:rFonts w:ascii="Arial" w:hAnsi="Arial" w:cs="Arial"/>
          <w:bCs/>
          <w:lang w:val="pt-BR" w:eastAsia="es-ES"/>
        </w:rPr>
        <w:t xml:space="preserve"> mil contribuintes gastam </w:t>
      </w:r>
      <w:r w:rsidR="009E3354" w:rsidRPr="001F27CE">
        <w:rPr>
          <w:rFonts w:ascii="Arial" w:hAnsi="Arial" w:cs="Arial"/>
          <w:bCs/>
          <w:lang w:val="pt-BR" w:eastAsia="es-ES"/>
        </w:rPr>
        <w:t xml:space="preserve">mensalmente </w:t>
      </w:r>
      <w:r w:rsidR="003F1B79" w:rsidRPr="001F27CE">
        <w:rPr>
          <w:rFonts w:ascii="Arial" w:hAnsi="Arial" w:cs="Arial"/>
          <w:bCs/>
          <w:lang w:val="pt-BR" w:eastAsia="es-ES"/>
        </w:rPr>
        <w:t>entre meia e uma hora para cumprir suas obrigações tributár</w:t>
      </w:r>
      <w:r w:rsidR="00B516F7" w:rsidRPr="001F27CE">
        <w:rPr>
          <w:rFonts w:ascii="Arial" w:hAnsi="Arial" w:cs="Arial"/>
          <w:bCs/>
          <w:lang w:val="pt-BR" w:eastAsia="es-ES"/>
        </w:rPr>
        <w:t>ias relacionadas à DIEF</w:t>
      </w:r>
      <w:r w:rsidR="003F1B79" w:rsidRPr="001F27CE">
        <w:rPr>
          <w:rFonts w:ascii="Arial" w:hAnsi="Arial" w:cs="Arial"/>
          <w:bCs/>
          <w:lang w:val="pt-BR" w:eastAsia="es-ES"/>
        </w:rPr>
        <w:t>.</w:t>
      </w:r>
      <w:r w:rsidR="006A6C58" w:rsidRPr="001F27CE">
        <w:rPr>
          <w:rFonts w:ascii="Arial" w:hAnsi="Arial" w:cs="Arial"/>
          <w:bCs/>
          <w:lang w:val="pt-BR" w:eastAsia="es-ES"/>
        </w:rPr>
        <w:t xml:space="preserve"> No ano, são </w:t>
      </w:r>
      <w:r w:rsidR="000C66C4" w:rsidRPr="001F27CE">
        <w:rPr>
          <w:rFonts w:ascii="Arial" w:hAnsi="Arial" w:cs="Arial"/>
          <w:bCs/>
          <w:lang w:val="pt-BR" w:eastAsia="es-ES"/>
        </w:rPr>
        <w:t xml:space="preserve">mais de </w:t>
      </w:r>
      <w:r w:rsidR="001F5C78" w:rsidRPr="001F27CE">
        <w:rPr>
          <w:rFonts w:ascii="Arial" w:hAnsi="Arial" w:cs="Arial"/>
          <w:bCs/>
          <w:lang w:val="pt-BR" w:eastAsia="es-ES"/>
        </w:rPr>
        <w:t>28</w:t>
      </w:r>
      <w:r w:rsidR="000C66C4" w:rsidRPr="001F27CE">
        <w:rPr>
          <w:rFonts w:ascii="Arial" w:hAnsi="Arial" w:cs="Arial"/>
          <w:bCs/>
          <w:lang w:val="pt-BR" w:eastAsia="es-ES"/>
        </w:rPr>
        <w:t>0</w:t>
      </w:r>
      <w:r w:rsidR="006A6C58" w:rsidRPr="001F27CE">
        <w:rPr>
          <w:rFonts w:ascii="Arial" w:hAnsi="Arial" w:cs="Arial"/>
          <w:bCs/>
          <w:lang w:val="pt-BR" w:eastAsia="es-ES"/>
        </w:rPr>
        <w:t xml:space="preserve"> mil horas. </w:t>
      </w:r>
      <w:r w:rsidR="000C66C4" w:rsidRPr="001F27CE">
        <w:rPr>
          <w:rFonts w:ascii="Arial" w:hAnsi="Arial" w:cs="Arial"/>
          <w:bCs/>
          <w:lang w:val="pt-BR" w:eastAsia="es-ES"/>
        </w:rPr>
        <w:t>Similarmente, 1</w:t>
      </w:r>
      <w:r w:rsidR="00B516F7" w:rsidRPr="001F27CE">
        <w:rPr>
          <w:rFonts w:ascii="Arial" w:hAnsi="Arial" w:cs="Arial"/>
          <w:bCs/>
          <w:lang w:val="pt-BR" w:eastAsia="es-ES"/>
        </w:rPr>
        <w:t>.</w:t>
      </w:r>
      <w:r w:rsidR="000C66C4" w:rsidRPr="001F27CE">
        <w:rPr>
          <w:rFonts w:ascii="Arial" w:hAnsi="Arial" w:cs="Arial"/>
          <w:bCs/>
          <w:lang w:val="pt-BR" w:eastAsia="es-ES"/>
        </w:rPr>
        <w:t>948 firmas são obrigadas a entregar a GIA-ST.</w:t>
      </w:r>
      <w:r w:rsidR="007422FC">
        <w:rPr>
          <w:rStyle w:val="Refdenotaderodap"/>
          <w:rFonts w:ascii="Arial" w:hAnsi="Arial" w:cs="Arial"/>
          <w:bCs/>
          <w:lang w:val="pt-BR" w:eastAsia="es-ES"/>
        </w:rPr>
        <w:footnoteReference w:id="10"/>
      </w:r>
      <w:r w:rsidR="000C66C4" w:rsidRPr="001F27CE">
        <w:rPr>
          <w:rFonts w:ascii="Arial" w:hAnsi="Arial" w:cs="Arial"/>
          <w:bCs/>
          <w:lang w:val="pt-BR" w:eastAsia="es-ES"/>
        </w:rPr>
        <w:t xml:space="preserve"> Assumindo as mesmas condições aplicadas à DIED, </w:t>
      </w:r>
      <w:r w:rsidR="001F5C78" w:rsidRPr="001F27CE">
        <w:rPr>
          <w:rFonts w:ascii="Arial" w:hAnsi="Arial" w:cs="Arial"/>
          <w:bCs/>
          <w:lang w:val="pt-BR" w:eastAsia="es-ES"/>
        </w:rPr>
        <w:t>1</w:t>
      </w:r>
      <w:r w:rsidR="00B516F7" w:rsidRPr="001F27CE">
        <w:rPr>
          <w:rFonts w:ascii="Arial" w:hAnsi="Arial" w:cs="Arial"/>
          <w:bCs/>
          <w:lang w:val="pt-BR" w:eastAsia="es-ES"/>
        </w:rPr>
        <w:t>.</w:t>
      </w:r>
      <w:r w:rsidR="001F5C78" w:rsidRPr="001F27CE">
        <w:rPr>
          <w:rFonts w:ascii="Arial" w:hAnsi="Arial" w:cs="Arial"/>
          <w:bCs/>
          <w:lang w:val="pt-BR" w:eastAsia="es-ES"/>
        </w:rPr>
        <w:t xml:space="preserve">558 contribuintes entregam a GIA-ST gastando um total de mais de </w:t>
      </w:r>
      <w:proofErr w:type="gramStart"/>
      <w:r w:rsidR="001F5C78" w:rsidRPr="001F27CE">
        <w:rPr>
          <w:rFonts w:ascii="Arial" w:hAnsi="Arial" w:cs="Arial"/>
          <w:bCs/>
          <w:lang w:val="pt-BR" w:eastAsia="es-ES"/>
        </w:rPr>
        <w:t>9</w:t>
      </w:r>
      <w:proofErr w:type="gramEnd"/>
      <w:r w:rsidR="001F5C78" w:rsidRPr="001F27CE">
        <w:rPr>
          <w:rFonts w:ascii="Arial" w:hAnsi="Arial" w:cs="Arial"/>
          <w:bCs/>
          <w:lang w:val="pt-BR" w:eastAsia="es-ES"/>
        </w:rPr>
        <w:t xml:space="preserve"> mil horas por ano. </w:t>
      </w:r>
      <w:r w:rsidR="006A6C58" w:rsidRPr="001F27CE">
        <w:rPr>
          <w:rFonts w:ascii="Arial" w:hAnsi="Arial" w:cs="Arial"/>
          <w:bCs/>
          <w:lang w:val="pt-BR" w:eastAsia="es-ES"/>
        </w:rPr>
        <w:t>O custo mínimo com um profissional em contabilidade que, em geral, são os que se ocupam destas declarações acessórias</w:t>
      </w:r>
      <w:r w:rsidR="00554C31" w:rsidRPr="001F27CE">
        <w:rPr>
          <w:rFonts w:ascii="Arial" w:hAnsi="Arial" w:cs="Arial"/>
          <w:bCs/>
          <w:lang w:val="pt-BR" w:eastAsia="es-ES"/>
        </w:rPr>
        <w:t>,</w:t>
      </w:r>
      <w:r w:rsidR="006A6C58" w:rsidRPr="001F27CE">
        <w:rPr>
          <w:rFonts w:ascii="Arial" w:hAnsi="Arial" w:cs="Arial"/>
          <w:bCs/>
          <w:lang w:val="pt-BR" w:eastAsia="es-ES"/>
        </w:rPr>
        <w:t xml:space="preserve"> fica em R$</w:t>
      </w:r>
      <w:r w:rsidR="005B514C" w:rsidRPr="001F27CE">
        <w:rPr>
          <w:rFonts w:ascii="Arial" w:hAnsi="Arial" w:cs="Arial"/>
          <w:bCs/>
          <w:lang w:val="pt-BR" w:eastAsia="es-ES"/>
        </w:rPr>
        <w:t xml:space="preserve"> </w:t>
      </w:r>
      <w:r w:rsidR="006A6C58" w:rsidRPr="001F27CE">
        <w:rPr>
          <w:rFonts w:ascii="Arial" w:hAnsi="Arial" w:cs="Arial"/>
          <w:bCs/>
          <w:lang w:val="pt-BR" w:eastAsia="es-ES"/>
        </w:rPr>
        <w:t>20</w:t>
      </w:r>
      <w:r w:rsidR="009E3354" w:rsidRPr="001F27CE">
        <w:rPr>
          <w:rFonts w:ascii="Arial" w:hAnsi="Arial" w:cs="Arial"/>
          <w:bCs/>
          <w:lang w:val="pt-BR" w:eastAsia="es-ES"/>
        </w:rPr>
        <w:t>, de acordo com o Sindicato dos Contadores do P</w:t>
      </w:r>
      <w:r w:rsidR="000C66C4" w:rsidRPr="001F27CE">
        <w:rPr>
          <w:rFonts w:ascii="Arial" w:hAnsi="Arial" w:cs="Arial"/>
          <w:bCs/>
          <w:lang w:val="pt-BR" w:eastAsia="es-ES"/>
        </w:rPr>
        <w:t>ará</w:t>
      </w:r>
      <w:r w:rsidR="00E40C0E">
        <w:rPr>
          <w:rStyle w:val="Refdenotaderodap"/>
          <w:rFonts w:ascii="Arial" w:hAnsi="Arial" w:cs="Arial"/>
          <w:bCs/>
          <w:lang w:val="pt-BR" w:eastAsia="es-ES"/>
        </w:rPr>
        <w:footnoteReference w:id="11"/>
      </w:r>
      <w:r w:rsidR="006A6C58" w:rsidRPr="001F27CE">
        <w:rPr>
          <w:rFonts w:ascii="Arial" w:hAnsi="Arial" w:cs="Arial"/>
          <w:bCs/>
          <w:lang w:val="pt-BR" w:eastAsia="es-ES"/>
        </w:rPr>
        <w:t xml:space="preserve">. Assim, o custo anual para os contribuintes </w:t>
      </w:r>
      <w:r w:rsidR="001F5C78" w:rsidRPr="001F27CE">
        <w:rPr>
          <w:rFonts w:ascii="Arial" w:hAnsi="Arial" w:cs="Arial"/>
          <w:bCs/>
          <w:lang w:val="pt-BR" w:eastAsia="es-ES"/>
        </w:rPr>
        <w:t xml:space="preserve">entregarem as duas declarações </w:t>
      </w:r>
      <w:r w:rsidR="00B516F7" w:rsidRPr="001F27CE">
        <w:rPr>
          <w:rFonts w:ascii="Arial" w:hAnsi="Arial" w:cs="Arial"/>
          <w:bCs/>
          <w:lang w:val="pt-BR" w:eastAsia="es-ES"/>
        </w:rPr>
        <w:t>é estimado em</w:t>
      </w:r>
      <w:r w:rsidR="006A6C58" w:rsidRPr="001F27CE">
        <w:rPr>
          <w:rFonts w:ascii="Arial" w:hAnsi="Arial" w:cs="Arial"/>
          <w:bCs/>
          <w:lang w:val="pt-BR" w:eastAsia="es-ES"/>
        </w:rPr>
        <w:t xml:space="preserve"> R$</w:t>
      </w:r>
      <w:r w:rsidR="000C66C4" w:rsidRPr="001F27CE">
        <w:rPr>
          <w:rFonts w:ascii="Arial" w:hAnsi="Arial" w:cs="Arial"/>
          <w:bCs/>
          <w:lang w:val="pt-BR" w:eastAsia="es-ES"/>
        </w:rPr>
        <w:t xml:space="preserve"> </w:t>
      </w:r>
      <w:r w:rsidR="001F5C78" w:rsidRPr="001F27CE">
        <w:rPr>
          <w:rFonts w:ascii="Arial" w:hAnsi="Arial" w:cs="Arial"/>
          <w:bCs/>
          <w:lang w:val="pt-BR" w:eastAsia="es-ES"/>
        </w:rPr>
        <w:t>5,8</w:t>
      </w:r>
      <w:r w:rsidR="006A6C58" w:rsidRPr="001F27CE">
        <w:rPr>
          <w:rFonts w:ascii="Arial" w:hAnsi="Arial" w:cs="Arial"/>
          <w:bCs/>
          <w:lang w:val="pt-BR" w:eastAsia="es-ES"/>
        </w:rPr>
        <w:t xml:space="preserve"> milhões.</w:t>
      </w:r>
    </w:p>
    <w:p w14:paraId="294D55CA" w14:textId="5DE35F2A" w:rsidR="000C57F7" w:rsidRDefault="00757A17" w:rsidP="00B516F7">
      <w:pPr>
        <w:pStyle w:val="PargrafodaLista"/>
        <w:keepNext/>
        <w:numPr>
          <w:ilvl w:val="1"/>
          <w:numId w:val="4"/>
        </w:numPr>
        <w:tabs>
          <w:tab w:val="clear" w:pos="1009"/>
          <w:tab w:val="num" w:pos="851"/>
        </w:tabs>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O PROFISCO II financiará ações que eliminarão a necessidade do preenchimento destas duas declarações acessórias. </w:t>
      </w:r>
      <w:r w:rsidR="001F5C78" w:rsidRPr="001F27CE">
        <w:rPr>
          <w:rFonts w:ascii="Arial" w:hAnsi="Arial" w:cs="Arial"/>
          <w:bCs/>
          <w:lang w:val="pt-BR" w:eastAsia="es-ES"/>
        </w:rPr>
        <w:t xml:space="preserve">A </w:t>
      </w:r>
      <w:r w:rsidR="001F5C78" w:rsidRPr="00E1480D">
        <w:rPr>
          <w:rFonts w:ascii="Arial" w:hAnsi="Arial" w:cs="Arial"/>
          <w:bCs/>
          <w:color w:val="FF0000"/>
          <w:lang w:val="pt-BR" w:eastAsia="es-ES"/>
        </w:rPr>
        <w:t xml:space="preserve">Tabela </w:t>
      </w:r>
      <w:r w:rsidR="00E1480D" w:rsidRPr="00E1480D">
        <w:rPr>
          <w:rFonts w:ascii="Arial" w:hAnsi="Arial" w:cs="Arial"/>
          <w:bCs/>
          <w:color w:val="FF0000"/>
          <w:lang w:val="pt-BR" w:eastAsia="es-ES"/>
        </w:rPr>
        <w:t>10</w:t>
      </w:r>
      <w:r w:rsidR="003960FC" w:rsidRPr="00E1480D">
        <w:rPr>
          <w:rFonts w:ascii="Arial" w:hAnsi="Arial" w:cs="Arial"/>
          <w:bCs/>
          <w:color w:val="FF0000"/>
          <w:lang w:val="pt-BR" w:eastAsia="es-ES"/>
        </w:rPr>
        <w:t xml:space="preserve"> </w:t>
      </w:r>
      <w:r w:rsidR="003960FC" w:rsidRPr="001F27CE">
        <w:rPr>
          <w:rFonts w:ascii="Arial" w:hAnsi="Arial" w:cs="Arial"/>
          <w:bCs/>
          <w:lang w:val="pt-BR" w:eastAsia="es-ES"/>
        </w:rPr>
        <w:t xml:space="preserve">abaixo </w:t>
      </w:r>
      <w:r w:rsidR="003960FC" w:rsidRPr="001F27CE">
        <w:rPr>
          <w:rFonts w:ascii="Arial" w:hAnsi="Arial" w:cs="Arial"/>
          <w:bCs/>
          <w:lang w:val="pt-BR" w:eastAsia="es-ES"/>
        </w:rPr>
        <w:lastRenderedPageBreak/>
        <w:t>sintetiza as economias para o contribuinte.</w:t>
      </w:r>
      <w:r w:rsidRPr="001F27CE">
        <w:rPr>
          <w:rFonts w:ascii="Arial" w:hAnsi="Arial" w:cs="Arial"/>
          <w:bCs/>
          <w:lang w:val="pt-BR" w:eastAsia="es-ES"/>
        </w:rPr>
        <w:t xml:space="preserve"> </w:t>
      </w:r>
      <w:r w:rsidR="009E3354" w:rsidRPr="001F27CE">
        <w:rPr>
          <w:rFonts w:ascii="Arial" w:hAnsi="Arial" w:cs="Arial"/>
          <w:bCs/>
          <w:lang w:val="pt-BR" w:eastAsia="es-ES"/>
        </w:rPr>
        <w:t>Esta</w:t>
      </w:r>
      <w:r w:rsidR="00C418B3" w:rsidRPr="001F27CE">
        <w:rPr>
          <w:rFonts w:ascii="Arial" w:hAnsi="Arial" w:cs="Arial"/>
          <w:bCs/>
          <w:lang w:val="pt-BR" w:eastAsia="es-ES"/>
        </w:rPr>
        <w:t xml:space="preserve"> é apenas uma das ações que trará economia para o contribuinte. O Programa também financiará ações que resultarão na disponibilização online </w:t>
      </w:r>
      <w:r w:rsidR="009E3354" w:rsidRPr="001F27CE">
        <w:rPr>
          <w:rFonts w:ascii="Arial" w:hAnsi="Arial" w:cs="Arial"/>
          <w:bCs/>
          <w:lang w:val="pt-BR" w:eastAsia="es-ES"/>
        </w:rPr>
        <w:t xml:space="preserve">de </w:t>
      </w:r>
      <w:r w:rsidR="00C418B3" w:rsidRPr="001F27CE">
        <w:rPr>
          <w:rFonts w:ascii="Arial" w:hAnsi="Arial" w:cs="Arial"/>
          <w:bCs/>
          <w:lang w:val="pt-BR" w:eastAsia="es-ES"/>
        </w:rPr>
        <w:t>várias transações que atualmente são apenas presenciais, economizando para o contribuinte tempo de desloc</w:t>
      </w:r>
      <w:r w:rsidR="000C66C4" w:rsidRPr="001F27CE">
        <w:rPr>
          <w:rFonts w:ascii="Arial" w:hAnsi="Arial" w:cs="Arial"/>
          <w:bCs/>
          <w:lang w:val="pt-BR" w:eastAsia="es-ES"/>
        </w:rPr>
        <w:t>amento (ida e volta) até à SEFA</w:t>
      </w:r>
      <w:r w:rsidR="00C418B3" w:rsidRPr="001F27CE">
        <w:rPr>
          <w:rFonts w:ascii="Arial" w:hAnsi="Arial" w:cs="Arial"/>
          <w:bCs/>
          <w:lang w:val="pt-BR" w:eastAsia="es-ES"/>
        </w:rPr>
        <w:t xml:space="preserve">, tempo de espera e tempo de atendimento. </w:t>
      </w:r>
    </w:p>
    <w:p w14:paraId="294D55CC" w14:textId="77777777" w:rsidR="00254F38" w:rsidRPr="001F27CE" w:rsidRDefault="00254F38" w:rsidP="00254F38">
      <w:pPr>
        <w:pStyle w:val="PargrafodaLista"/>
        <w:keepNext/>
        <w:suppressAutoHyphens/>
        <w:spacing w:before="120"/>
        <w:ind w:left="851"/>
        <w:jc w:val="both"/>
        <w:outlineLvl w:val="3"/>
        <w:rPr>
          <w:rFonts w:ascii="Arial" w:hAnsi="Arial" w:cs="Arial"/>
          <w:bCs/>
          <w:lang w:val="pt-BR" w:eastAsia="es-ES"/>
        </w:rPr>
      </w:pPr>
    </w:p>
    <w:p w14:paraId="294D55CD" w14:textId="77777777" w:rsidR="009E3354" w:rsidRPr="001F27CE" w:rsidRDefault="009E3354" w:rsidP="00666F04">
      <w:pPr>
        <w:pStyle w:val="PargrafodaLista"/>
        <w:keepNext/>
        <w:suppressAutoHyphens/>
        <w:ind w:left="1440"/>
        <w:jc w:val="both"/>
        <w:outlineLvl w:val="3"/>
        <w:rPr>
          <w:rFonts w:ascii="Arial" w:hAnsi="Arial" w:cs="Arial"/>
          <w:bCs/>
          <w:lang w:val="pt-BR" w:eastAsia="es-ES"/>
        </w:rPr>
      </w:pPr>
    </w:p>
    <w:tbl>
      <w:tblPr>
        <w:tblW w:w="6662" w:type="dxa"/>
        <w:tblInd w:w="1384" w:type="dxa"/>
        <w:tblLook w:val="04A0" w:firstRow="1" w:lastRow="0" w:firstColumn="1" w:lastColumn="0" w:noHBand="0" w:noVBand="1"/>
      </w:tblPr>
      <w:tblGrid>
        <w:gridCol w:w="4131"/>
        <w:gridCol w:w="2531"/>
      </w:tblGrid>
      <w:tr w:rsidR="0086509D" w:rsidRPr="00D14310" w14:paraId="294D55CF" w14:textId="77777777" w:rsidTr="00666F04">
        <w:trPr>
          <w:trHeight w:val="123"/>
        </w:trPr>
        <w:tc>
          <w:tcPr>
            <w:tcW w:w="6662" w:type="dxa"/>
            <w:gridSpan w:val="2"/>
            <w:tcBorders>
              <w:top w:val="nil"/>
              <w:left w:val="nil"/>
              <w:bottom w:val="nil"/>
              <w:right w:val="nil"/>
            </w:tcBorders>
            <w:shd w:val="clear" w:color="auto" w:fill="auto"/>
            <w:noWrap/>
            <w:vAlign w:val="bottom"/>
            <w:hideMark/>
          </w:tcPr>
          <w:p w14:paraId="294D55CE" w14:textId="01228C4A" w:rsidR="0086509D" w:rsidRPr="001F27CE" w:rsidRDefault="00E1480D" w:rsidP="003B2DA8">
            <w:pPr>
              <w:jc w:val="center"/>
              <w:rPr>
                <w:rFonts w:ascii="Arial" w:hAnsi="Arial" w:cs="Arial"/>
                <w:color w:val="000000"/>
                <w:sz w:val="20"/>
                <w:szCs w:val="20"/>
                <w:lang w:val="pt-BR"/>
              </w:rPr>
            </w:pPr>
            <w:r w:rsidRPr="00E1480D">
              <w:rPr>
                <w:rFonts w:ascii="Arial" w:hAnsi="Arial" w:cs="Arial"/>
                <w:b/>
                <w:color w:val="FF0000"/>
                <w:sz w:val="20"/>
                <w:szCs w:val="20"/>
                <w:lang w:val="pt-BR"/>
              </w:rPr>
              <w:t>Tabela 10</w:t>
            </w:r>
            <w:r w:rsidR="00171A3D" w:rsidRPr="00E1480D">
              <w:rPr>
                <w:rFonts w:ascii="Arial" w:hAnsi="Arial" w:cs="Arial"/>
                <w:b/>
                <w:color w:val="FF0000"/>
                <w:sz w:val="20"/>
                <w:szCs w:val="20"/>
                <w:lang w:val="pt-BR"/>
              </w:rPr>
              <w:t xml:space="preserve">: </w:t>
            </w:r>
            <w:r w:rsidR="00947A1A" w:rsidRPr="001F27CE">
              <w:rPr>
                <w:rFonts w:ascii="Arial" w:hAnsi="Arial" w:cs="Arial"/>
                <w:b/>
                <w:color w:val="000000"/>
                <w:sz w:val="20"/>
                <w:szCs w:val="20"/>
                <w:lang w:val="pt-BR"/>
              </w:rPr>
              <w:t>Estimativas de Economia com a Eliminação da DIEF e GIA-ST - 2016</w:t>
            </w:r>
          </w:p>
        </w:tc>
      </w:tr>
      <w:tr w:rsidR="0086509D" w:rsidRPr="001F27CE" w14:paraId="294D55D2" w14:textId="77777777" w:rsidTr="004F29AA">
        <w:trPr>
          <w:trHeight w:val="90"/>
        </w:trPr>
        <w:tc>
          <w:tcPr>
            <w:tcW w:w="41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D0" w14:textId="77777777" w:rsidR="0086509D" w:rsidRPr="001F27CE" w:rsidRDefault="0086509D" w:rsidP="0086509D">
            <w:pPr>
              <w:rPr>
                <w:rFonts w:ascii="Arial" w:hAnsi="Arial" w:cs="Arial"/>
                <w:color w:val="000000"/>
                <w:sz w:val="20"/>
                <w:szCs w:val="20"/>
              </w:rPr>
            </w:pPr>
            <w:proofErr w:type="spellStart"/>
            <w:r w:rsidRPr="001F27CE">
              <w:rPr>
                <w:rFonts w:ascii="Arial" w:hAnsi="Arial" w:cs="Arial"/>
                <w:color w:val="000000"/>
                <w:sz w:val="20"/>
                <w:szCs w:val="20"/>
              </w:rPr>
              <w:t>Número</w:t>
            </w:r>
            <w:proofErr w:type="spellEnd"/>
            <w:r w:rsidRPr="001F27CE">
              <w:rPr>
                <w:rFonts w:ascii="Arial" w:hAnsi="Arial" w:cs="Arial"/>
                <w:color w:val="000000"/>
                <w:sz w:val="20"/>
                <w:szCs w:val="20"/>
              </w:rPr>
              <w:t xml:space="preserve"> </w:t>
            </w:r>
            <w:proofErr w:type="spellStart"/>
            <w:r w:rsidRPr="001F27CE">
              <w:rPr>
                <w:rFonts w:ascii="Arial" w:hAnsi="Arial" w:cs="Arial"/>
                <w:color w:val="000000"/>
                <w:sz w:val="20"/>
                <w:szCs w:val="20"/>
              </w:rPr>
              <w:t>declarações</w:t>
            </w:r>
            <w:proofErr w:type="spellEnd"/>
            <w:r w:rsidRPr="001F27CE">
              <w:rPr>
                <w:rFonts w:ascii="Arial" w:hAnsi="Arial" w:cs="Arial"/>
                <w:color w:val="000000"/>
                <w:sz w:val="20"/>
                <w:szCs w:val="20"/>
              </w:rPr>
              <w:t xml:space="preserve"> DIEF</w:t>
            </w:r>
          </w:p>
        </w:tc>
        <w:tc>
          <w:tcPr>
            <w:tcW w:w="2531" w:type="dxa"/>
            <w:tcBorders>
              <w:top w:val="single" w:sz="4" w:space="0" w:color="auto"/>
              <w:left w:val="nil"/>
              <w:bottom w:val="single" w:sz="4" w:space="0" w:color="auto"/>
              <w:right w:val="single" w:sz="4" w:space="0" w:color="auto"/>
            </w:tcBorders>
            <w:shd w:val="clear" w:color="auto" w:fill="auto"/>
            <w:noWrap/>
            <w:vAlign w:val="bottom"/>
            <w:hideMark/>
          </w:tcPr>
          <w:p w14:paraId="294D55D1"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 xml:space="preserve">46.794 </w:t>
            </w:r>
          </w:p>
        </w:tc>
      </w:tr>
      <w:tr w:rsidR="0086509D" w:rsidRPr="001F27CE" w14:paraId="294D55D5" w14:textId="77777777" w:rsidTr="00666F04">
        <w:trPr>
          <w:trHeight w:val="121"/>
        </w:trPr>
        <w:tc>
          <w:tcPr>
            <w:tcW w:w="4131" w:type="dxa"/>
            <w:tcBorders>
              <w:top w:val="nil"/>
              <w:left w:val="single" w:sz="4" w:space="0" w:color="auto"/>
              <w:bottom w:val="single" w:sz="4" w:space="0" w:color="auto"/>
              <w:right w:val="single" w:sz="4" w:space="0" w:color="auto"/>
            </w:tcBorders>
            <w:shd w:val="clear" w:color="auto" w:fill="auto"/>
            <w:noWrap/>
            <w:vAlign w:val="bottom"/>
            <w:hideMark/>
          </w:tcPr>
          <w:p w14:paraId="294D55D3" w14:textId="77777777" w:rsidR="0086509D" w:rsidRPr="001F27CE" w:rsidRDefault="0086509D" w:rsidP="0086509D">
            <w:pPr>
              <w:rPr>
                <w:rFonts w:ascii="Arial" w:hAnsi="Arial" w:cs="Arial"/>
                <w:color w:val="000000"/>
                <w:sz w:val="20"/>
                <w:szCs w:val="20"/>
              </w:rPr>
            </w:pPr>
            <w:proofErr w:type="spellStart"/>
            <w:r w:rsidRPr="001F27CE">
              <w:rPr>
                <w:rFonts w:ascii="Arial" w:hAnsi="Arial" w:cs="Arial"/>
                <w:color w:val="000000"/>
                <w:sz w:val="20"/>
                <w:szCs w:val="20"/>
              </w:rPr>
              <w:t>Número</w:t>
            </w:r>
            <w:proofErr w:type="spellEnd"/>
            <w:r w:rsidRPr="001F27CE">
              <w:rPr>
                <w:rFonts w:ascii="Arial" w:hAnsi="Arial" w:cs="Arial"/>
                <w:color w:val="000000"/>
                <w:sz w:val="20"/>
                <w:szCs w:val="20"/>
              </w:rPr>
              <w:t xml:space="preserve"> </w:t>
            </w:r>
            <w:proofErr w:type="spellStart"/>
            <w:r w:rsidRPr="001F27CE">
              <w:rPr>
                <w:rFonts w:ascii="Arial" w:hAnsi="Arial" w:cs="Arial"/>
                <w:color w:val="000000"/>
                <w:sz w:val="20"/>
                <w:szCs w:val="20"/>
              </w:rPr>
              <w:t>declarações</w:t>
            </w:r>
            <w:proofErr w:type="spellEnd"/>
            <w:r w:rsidRPr="001F27CE">
              <w:rPr>
                <w:rFonts w:ascii="Arial" w:hAnsi="Arial" w:cs="Arial"/>
                <w:color w:val="000000"/>
                <w:sz w:val="20"/>
                <w:szCs w:val="20"/>
              </w:rPr>
              <w:t xml:space="preserve"> GIA-ST</w:t>
            </w:r>
          </w:p>
        </w:tc>
        <w:tc>
          <w:tcPr>
            <w:tcW w:w="2531" w:type="dxa"/>
            <w:tcBorders>
              <w:top w:val="nil"/>
              <w:left w:val="nil"/>
              <w:bottom w:val="single" w:sz="4" w:space="0" w:color="auto"/>
              <w:right w:val="single" w:sz="4" w:space="0" w:color="auto"/>
            </w:tcBorders>
            <w:shd w:val="clear" w:color="auto" w:fill="auto"/>
            <w:noWrap/>
            <w:vAlign w:val="bottom"/>
            <w:hideMark/>
          </w:tcPr>
          <w:p w14:paraId="294D55D4"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 xml:space="preserve">1.558 </w:t>
            </w:r>
          </w:p>
        </w:tc>
      </w:tr>
      <w:tr w:rsidR="0086509D" w:rsidRPr="001F27CE" w14:paraId="294D55D8" w14:textId="77777777" w:rsidTr="00666F04">
        <w:trPr>
          <w:trHeight w:val="56"/>
        </w:trPr>
        <w:tc>
          <w:tcPr>
            <w:tcW w:w="4131" w:type="dxa"/>
            <w:tcBorders>
              <w:top w:val="nil"/>
              <w:left w:val="single" w:sz="4" w:space="0" w:color="auto"/>
              <w:bottom w:val="single" w:sz="4" w:space="0" w:color="auto"/>
              <w:right w:val="single" w:sz="4" w:space="0" w:color="auto"/>
            </w:tcBorders>
            <w:shd w:val="clear" w:color="auto" w:fill="auto"/>
            <w:noWrap/>
            <w:vAlign w:val="bottom"/>
            <w:hideMark/>
          </w:tcPr>
          <w:p w14:paraId="294D55D6" w14:textId="77777777" w:rsidR="0086509D" w:rsidRPr="001F27CE" w:rsidRDefault="0086509D" w:rsidP="0086509D">
            <w:pPr>
              <w:rPr>
                <w:rFonts w:ascii="Arial" w:hAnsi="Arial" w:cs="Arial"/>
                <w:color w:val="000000"/>
                <w:sz w:val="20"/>
                <w:szCs w:val="20"/>
              </w:rPr>
            </w:pPr>
            <w:r w:rsidRPr="001F27CE">
              <w:rPr>
                <w:rFonts w:ascii="Arial" w:hAnsi="Arial" w:cs="Arial"/>
                <w:color w:val="000000"/>
                <w:sz w:val="20"/>
                <w:szCs w:val="20"/>
              </w:rPr>
              <w:t xml:space="preserve">Total </w:t>
            </w:r>
            <w:proofErr w:type="spellStart"/>
            <w:r w:rsidRPr="001F27CE">
              <w:rPr>
                <w:rFonts w:ascii="Arial" w:hAnsi="Arial" w:cs="Arial"/>
                <w:color w:val="000000"/>
                <w:sz w:val="20"/>
                <w:szCs w:val="20"/>
              </w:rPr>
              <w:t>Declarações</w:t>
            </w:r>
            <w:proofErr w:type="spellEnd"/>
          </w:p>
        </w:tc>
        <w:tc>
          <w:tcPr>
            <w:tcW w:w="2531" w:type="dxa"/>
            <w:tcBorders>
              <w:top w:val="nil"/>
              <w:left w:val="nil"/>
              <w:bottom w:val="single" w:sz="4" w:space="0" w:color="auto"/>
              <w:right w:val="single" w:sz="4" w:space="0" w:color="auto"/>
            </w:tcBorders>
            <w:shd w:val="clear" w:color="auto" w:fill="auto"/>
            <w:noWrap/>
            <w:vAlign w:val="bottom"/>
            <w:hideMark/>
          </w:tcPr>
          <w:p w14:paraId="294D55D7"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 xml:space="preserve">48.352 </w:t>
            </w:r>
          </w:p>
        </w:tc>
      </w:tr>
      <w:tr w:rsidR="0086509D" w:rsidRPr="001F27CE" w14:paraId="294D55DB" w14:textId="77777777" w:rsidTr="00666F04">
        <w:trPr>
          <w:trHeight w:val="56"/>
        </w:trPr>
        <w:tc>
          <w:tcPr>
            <w:tcW w:w="4131" w:type="dxa"/>
            <w:tcBorders>
              <w:top w:val="nil"/>
              <w:left w:val="single" w:sz="4" w:space="0" w:color="auto"/>
              <w:bottom w:val="single" w:sz="4" w:space="0" w:color="auto"/>
              <w:right w:val="single" w:sz="4" w:space="0" w:color="auto"/>
            </w:tcBorders>
            <w:shd w:val="clear" w:color="auto" w:fill="auto"/>
            <w:noWrap/>
            <w:vAlign w:val="bottom"/>
            <w:hideMark/>
          </w:tcPr>
          <w:p w14:paraId="294D55D9" w14:textId="77777777" w:rsidR="0086509D" w:rsidRPr="001F27CE" w:rsidRDefault="00554C31" w:rsidP="0086509D">
            <w:pPr>
              <w:rPr>
                <w:rFonts w:ascii="Arial" w:hAnsi="Arial" w:cs="Arial"/>
                <w:color w:val="000000"/>
                <w:sz w:val="20"/>
                <w:szCs w:val="20"/>
                <w:lang w:val="pt-BR"/>
              </w:rPr>
            </w:pPr>
            <w:r w:rsidRPr="001F27CE">
              <w:rPr>
                <w:rFonts w:ascii="Arial" w:hAnsi="Arial" w:cs="Arial"/>
                <w:color w:val="000000"/>
                <w:sz w:val="20"/>
                <w:szCs w:val="20"/>
                <w:lang w:val="pt-BR"/>
              </w:rPr>
              <w:t>T</w:t>
            </w:r>
            <w:r w:rsidR="0086509D" w:rsidRPr="001F27CE">
              <w:rPr>
                <w:rFonts w:ascii="Arial" w:hAnsi="Arial" w:cs="Arial"/>
                <w:color w:val="000000"/>
                <w:sz w:val="20"/>
                <w:szCs w:val="20"/>
                <w:lang w:val="pt-BR"/>
              </w:rPr>
              <w:t>empo por declaração em horas</w:t>
            </w:r>
          </w:p>
        </w:tc>
        <w:tc>
          <w:tcPr>
            <w:tcW w:w="2531" w:type="dxa"/>
            <w:tcBorders>
              <w:top w:val="nil"/>
              <w:left w:val="nil"/>
              <w:bottom w:val="single" w:sz="4" w:space="0" w:color="auto"/>
              <w:right w:val="single" w:sz="4" w:space="0" w:color="auto"/>
            </w:tcBorders>
            <w:shd w:val="clear" w:color="auto" w:fill="auto"/>
            <w:noWrap/>
            <w:vAlign w:val="bottom"/>
            <w:hideMark/>
          </w:tcPr>
          <w:p w14:paraId="294D55DA"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0,5</w:t>
            </w:r>
          </w:p>
        </w:tc>
      </w:tr>
      <w:tr w:rsidR="0086509D" w:rsidRPr="001F27CE" w14:paraId="294D55DE" w14:textId="77777777" w:rsidTr="00666F04">
        <w:trPr>
          <w:trHeight w:val="61"/>
        </w:trPr>
        <w:tc>
          <w:tcPr>
            <w:tcW w:w="4131" w:type="dxa"/>
            <w:tcBorders>
              <w:top w:val="nil"/>
              <w:left w:val="single" w:sz="4" w:space="0" w:color="auto"/>
              <w:bottom w:val="single" w:sz="4" w:space="0" w:color="auto"/>
              <w:right w:val="single" w:sz="4" w:space="0" w:color="auto"/>
            </w:tcBorders>
            <w:shd w:val="clear" w:color="auto" w:fill="auto"/>
            <w:noWrap/>
            <w:vAlign w:val="bottom"/>
            <w:hideMark/>
          </w:tcPr>
          <w:p w14:paraId="294D55DC" w14:textId="77777777" w:rsidR="0086509D" w:rsidRPr="001F27CE" w:rsidRDefault="00554C31" w:rsidP="0086509D">
            <w:pPr>
              <w:rPr>
                <w:rFonts w:ascii="Arial" w:hAnsi="Arial" w:cs="Arial"/>
                <w:color w:val="000000"/>
                <w:sz w:val="20"/>
                <w:szCs w:val="20"/>
              </w:rPr>
            </w:pPr>
            <w:r w:rsidRPr="001F27CE">
              <w:rPr>
                <w:rFonts w:ascii="Arial" w:hAnsi="Arial" w:cs="Arial"/>
                <w:color w:val="000000"/>
                <w:sz w:val="20"/>
                <w:szCs w:val="20"/>
              </w:rPr>
              <w:t>T</w:t>
            </w:r>
            <w:r w:rsidR="0086509D" w:rsidRPr="001F27CE">
              <w:rPr>
                <w:rFonts w:ascii="Arial" w:hAnsi="Arial" w:cs="Arial"/>
                <w:color w:val="000000"/>
                <w:sz w:val="20"/>
                <w:szCs w:val="20"/>
              </w:rPr>
              <w:t xml:space="preserve">otal horas </w:t>
            </w:r>
            <w:proofErr w:type="spellStart"/>
            <w:r w:rsidR="0086509D" w:rsidRPr="001F27CE">
              <w:rPr>
                <w:rFonts w:ascii="Arial" w:hAnsi="Arial" w:cs="Arial"/>
                <w:color w:val="000000"/>
                <w:sz w:val="20"/>
                <w:szCs w:val="20"/>
              </w:rPr>
              <w:t>mês</w:t>
            </w:r>
            <w:proofErr w:type="spellEnd"/>
          </w:p>
        </w:tc>
        <w:tc>
          <w:tcPr>
            <w:tcW w:w="2531" w:type="dxa"/>
            <w:tcBorders>
              <w:top w:val="nil"/>
              <w:left w:val="nil"/>
              <w:bottom w:val="single" w:sz="4" w:space="0" w:color="auto"/>
              <w:right w:val="single" w:sz="4" w:space="0" w:color="auto"/>
            </w:tcBorders>
            <w:shd w:val="clear" w:color="auto" w:fill="auto"/>
            <w:noWrap/>
            <w:vAlign w:val="bottom"/>
            <w:hideMark/>
          </w:tcPr>
          <w:p w14:paraId="294D55DD"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 xml:space="preserve">24.176 </w:t>
            </w:r>
          </w:p>
        </w:tc>
      </w:tr>
      <w:tr w:rsidR="0086509D" w:rsidRPr="001F27CE" w14:paraId="294D55E1" w14:textId="77777777" w:rsidTr="00666F04">
        <w:trPr>
          <w:trHeight w:val="94"/>
        </w:trPr>
        <w:tc>
          <w:tcPr>
            <w:tcW w:w="4131" w:type="dxa"/>
            <w:tcBorders>
              <w:top w:val="nil"/>
              <w:left w:val="single" w:sz="4" w:space="0" w:color="auto"/>
              <w:bottom w:val="single" w:sz="4" w:space="0" w:color="auto"/>
              <w:right w:val="single" w:sz="4" w:space="0" w:color="auto"/>
            </w:tcBorders>
            <w:shd w:val="clear" w:color="auto" w:fill="auto"/>
            <w:noWrap/>
            <w:vAlign w:val="bottom"/>
            <w:hideMark/>
          </w:tcPr>
          <w:p w14:paraId="294D55DF" w14:textId="77777777" w:rsidR="0086509D" w:rsidRPr="001F27CE" w:rsidRDefault="00554C31" w:rsidP="0086509D">
            <w:pPr>
              <w:rPr>
                <w:rFonts w:ascii="Arial" w:hAnsi="Arial" w:cs="Arial"/>
                <w:color w:val="000000"/>
                <w:sz w:val="20"/>
                <w:szCs w:val="20"/>
              </w:rPr>
            </w:pPr>
            <w:r w:rsidRPr="001F27CE">
              <w:rPr>
                <w:rFonts w:ascii="Arial" w:hAnsi="Arial" w:cs="Arial"/>
                <w:color w:val="000000"/>
                <w:sz w:val="20"/>
                <w:szCs w:val="20"/>
              </w:rPr>
              <w:t>H</w:t>
            </w:r>
            <w:r w:rsidR="0086509D" w:rsidRPr="001F27CE">
              <w:rPr>
                <w:rFonts w:ascii="Arial" w:hAnsi="Arial" w:cs="Arial"/>
                <w:color w:val="000000"/>
                <w:sz w:val="20"/>
                <w:szCs w:val="20"/>
              </w:rPr>
              <w:t xml:space="preserve">oras </w:t>
            </w:r>
            <w:proofErr w:type="spellStart"/>
            <w:r w:rsidR="0086509D" w:rsidRPr="001F27CE">
              <w:rPr>
                <w:rFonts w:ascii="Arial" w:hAnsi="Arial" w:cs="Arial"/>
                <w:color w:val="000000"/>
                <w:sz w:val="20"/>
                <w:szCs w:val="20"/>
              </w:rPr>
              <w:t>ano</w:t>
            </w:r>
            <w:proofErr w:type="spellEnd"/>
          </w:p>
        </w:tc>
        <w:tc>
          <w:tcPr>
            <w:tcW w:w="2531" w:type="dxa"/>
            <w:tcBorders>
              <w:top w:val="nil"/>
              <w:left w:val="nil"/>
              <w:bottom w:val="single" w:sz="4" w:space="0" w:color="auto"/>
              <w:right w:val="single" w:sz="4" w:space="0" w:color="auto"/>
            </w:tcBorders>
            <w:shd w:val="clear" w:color="auto" w:fill="auto"/>
            <w:noWrap/>
            <w:vAlign w:val="bottom"/>
            <w:hideMark/>
          </w:tcPr>
          <w:p w14:paraId="294D55E0"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 xml:space="preserve">290.112 </w:t>
            </w:r>
          </w:p>
        </w:tc>
      </w:tr>
      <w:tr w:rsidR="0086509D" w:rsidRPr="001F27CE" w14:paraId="294D55E4" w14:textId="77777777" w:rsidTr="00E1480D">
        <w:trPr>
          <w:trHeight w:val="125"/>
        </w:trPr>
        <w:tc>
          <w:tcPr>
            <w:tcW w:w="4131" w:type="dxa"/>
            <w:tcBorders>
              <w:top w:val="nil"/>
              <w:left w:val="single" w:sz="4" w:space="0" w:color="auto"/>
              <w:bottom w:val="single" w:sz="4" w:space="0" w:color="auto"/>
              <w:right w:val="single" w:sz="4" w:space="0" w:color="auto"/>
            </w:tcBorders>
            <w:shd w:val="clear" w:color="auto" w:fill="auto"/>
            <w:noWrap/>
            <w:vAlign w:val="bottom"/>
            <w:hideMark/>
          </w:tcPr>
          <w:p w14:paraId="294D55E2" w14:textId="77777777" w:rsidR="0086509D" w:rsidRPr="001F27CE" w:rsidRDefault="00554C31" w:rsidP="0086509D">
            <w:pPr>
              <w:rPr>
                <w:rFonts w:ascii="Arial" w:hAnsi="Arial" w:cs="Arial"/>
                <w:color w:val="000000"/>
                <w:sz w:val="20"/>
                <w:szCs w:val="20"/>
              </w:rPr>
            </w:pPr>
            <w:proofErr w:type="spellStart"/>
            <w:r w:rsidRPr="001F27CE">
              <w:rPr>
                <w:rFonts w:ascii="Arial" w:hAnsi="Arial" w:cs="Arial"/>
                <w:color w:val="000000"/>
                <w:sz w:val="20"/>
                <w:szCs w:val="20"/>
              </w:rPr>
              <w:t>P</w:t>
            </w:r>
            <w:r w:rsidR="0086509D" w:rsidRPr="001F27CE">
              <w:rPr>
                <w:rFonts w:ascii="Arial" w:hAnsi="Arial" w:cs="Arial"/>
                <w:color w:val="000000"/>
                <w:sz w:val="20"/>
                <w:szCs w:val="20"/>
              </w:rPr>
              <w:t>reço</w:t>
            </w:r>
            <w:proofErr w:type="spellEnd"/>
            <w:r w:rsidR="0086509D" w:rsidRPr="001F27CE">
              <w:rPr>
                <w:rFonts w:ascii="Arial" w:hAnsi="Arial" w:cs="Arial"/>
                <w:color w:val="000000"/>
                <w:sz w:val="20"/>
                <w:szCs w:val="20"/>
              </w:rPr>
              <w:t xml:space="preserve"> hora</w:t>
            </w:r>
          </w:p>
        </w:tc>
        <w:tc>
          <w:tcPr>
            <w:tcW w:w="2531" w:type="dxa"/>
            <w:tcBorders>
              <w:top w:val="nil"/>
              <w:left w:val="nil"/>
              <w:bottom w:val="single" w:sz="4" w:space="0" w:color="auto"/>
              <w:right w:val="single" w:sz="4" w:space="0" w:color="auto"/>
            </w:tcBorders>
            <w:shd w:val="clear" w:color="auto" w:fill="auto"/>
            <w:noWrap/>
            <w:vAlign w:val="bottom"/>
            <w:hideMark/>
          </w:tcPr>
          <w:p w14:paraId="294D55E3"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R$ 20,00</w:t>
            </w:r>
          </w:p>
        </w:tc>
      </w:tr>
      <w:tr w:rsidR="0086509D" w:rsidRPr="001F27CE" w14:paraId="294D55E7" w14:textId="77777777" w:rsidTr="00E1480D">
        <w:trPr>
          <w:trHeight w:val="300"/>
        </w:trPr>
        <w:tc>
          <w:tcPr>
            <w:tcW w:w="41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D55E5" w14:textId="77777777" w:rsidR="0086509D" w:rsidRPr="001F27CE" w:rsidRDefault="00554C31" w:rsidP="0086509D">
            <w:pPr>
              <w:rPr>
                <w:rFonts w:ascii="Arial" w:hAnsi="Arial" w:cs="Arial"/>
                <w:color w:val="000000"/>
                <w:sz w:val="20"/>
                <w:szCs w:val="20"/>
              </w:rPr>
            </w:pPr>
            <w:r w:rsidRPr="001F27CE">
              <w:rPr>
                <w:rFonts w:ascii="Arial" w:hAnsi="Arial" w:cs="Arial"/>
                <w:color w:val="000000"/>
                <w:sz w:val="20"/>
                <w:szCs w:val="20"/>
              </w:rPr>
              <w:t>T</w:t>
            </w:r>
            <w:r w:rsidR="0086509D" w:rsidRPr="001F27CE">
              <w:rPr>
                <w:rFonts w:ascii="Arial" w:hAnsi="Arial" w:cs="Arial"/>
                <w:color w:val="000000"/>
                <w:sz w:val="20"/>
                <w:szCs w:val="20"/>
              </w:rPr>
              <w:t xml:space="preserve">otal </w:t>
            </w:r>
            <w:proofErr w:type="spellStart"/>
            <w:r w:rsidR="0086509D" w:rsidRPr="001F27CE">
              <w:rPr>
                <w:rFonts w:ascii="Arial" w:hAnsi="Arial" w:cs="Arial"/>
                <w:color w:val="000000"/>
                <w:sz w:val="20"/>
                <w:szCs w:val="20"/>
              </w:rPr>
              <w:t>ano</w:t>
            </w:r>
            <w:proofErr w:type="spellEnd"/>
          </w:p>
        </w:tc>
        <w:tc>
          <w:tcPr>
            <w:tcW w:w="2531" w:type="dxa"/>
            <w:tcBorders>
              <w:top w:val="single" w:sz="4" w:space="0" w:color="auto"/>
              <w:left w:val="nil"/>
              <w:bottom w:val="single" w:sz="4" w:space="0" w:color="auto"/>
              <w:right w:val="single" w:sz="4" w:space="0" w:color="auto"/>
            </w:tcBorders>
            <w:shd w:val="clear" w:color="auto" w:fill="auto"/>
            <w:noWrap/>
            <w:vAlign w:val="bottom"/>
            <w:hideMark/>
          </w:tcPr>
          <w:p w14:paraId="294D55E6" w14:textId="77777777" w:rsidR="0086509D" w:rsidRPr="001F27CE" w:rsidRDefault="0086509D" w:rsidP="0086509D">
            <w:pPr>
              <w:jc w:val="right"/>
              <w:rPr>
                <w:rFonts w:ascii="Arial" w:hAnsi="Arial" w:cs="Arial"/>
                <w:color w:val="000000"/>
                <w:sz w:val="20"/>
                <w:szCs w:val="20"/>
              </w:rPr>
            </w:pPr>
            <w:r w:rsidRPr="001F27CE">
              <w:rPr>
                <w:rFonts w:ascii="Arial" w:hAnsi="Arial" w:cs="Arial"/>
                <w:color w:val="000000"/>
                <w:sz w:val="20"/>
                <w:szCs w:val="20"/>
              </w:rPr>
              <w:t>R$ 5.802.240</w:t>
            </w:r>
          </w:p>
        </w:tc>
      </w:tr>
      <w:tr w:rsidR="00E1480D" w:rsidRPr="00E1480D" w14:paraId="18952D21" w14:textId="77777777" w:rsidTr="00E1480D">
        <w:trPr>
          <w:trHeight w:val="300"/>
        </w:trPr>
        <w:tc>
          <w:tcPr>
            <w:tcW w:w="6662" w:type="dxa"/>
            <w:gridSpan w:val="2"/>
            <w:tcBorders>
              <w:top w:val="single" w:sz="4" w:space="0" w:color="auto"/>
            </w:tcBorders>
            <w:shd w:val="clear" w:color="auto" w:fill="auto"/>
            <w:noWrap/>
            <w:vAlign w:val="bottom"/>
          </w:tcPr>
          <w:p w14:paraId="3043154E" w14:textId="2F028FE4" w:rsidR="00E1480D" w:rsidRPr="00E1480D" w:rsidRDefault="00E1480D" w:rsidP="00E1480D">
            <w:pPr>
              <w:rPr>
                <w:rFonts w:ascii="Arial" w:hAnsi="Arial" w:cs="Arial"/>
                <w:color w:val="000000"/>
                <w:sz w:val="20"/>
                <w:szCs w:val="20"/>
                <w:lang w:val="pt-BR"/>
              </w:rPr>
            </w:pPr>
            <w:r w:rsidRPr="00E1480D">
              <w:rPr>
                <w:rFonts w:ascii="Arial" w:hAnsi="Arial" w:cs="Arial"/>
                <w:color w:val="FF0000"/>
                <w:sz w:val="20"/>
                <w:szCs w:val="20"/>
                <w:lang w:val="pt-BR"/>
              </w:rPr>
              <w:t xml:space="preserve">Fonte: </w:t>
            </w:r>
            <w:r>
              <w:rPr>
                <w:rFonts w:ascii="Arial" w:hAnsi="Arial" w:cs="Arial"/>
                <w:color w:val="FF0000"/>
                <w:sz w:val="20"/>
                <w:szCs w:val="20"/>
                <w:lang w:val="pt-BR"/>
              </w:rPr>
              <w:t>Cálculos do autor baseados em informações da SEFA-PA para</w:t>
            </w:r>
            <w:r w:rsidRPr="00E1480D">
              <w:rPr>
                <w:rFonts w:ascii="Arial" w:hAnsi="Arial" w:cs="Arial"/>
                <w:color w:val="FF0000"/>
                <w:sz w:val="20"/>
                <w:szCs w:val="20"/>
                <w:lang w:val="pt-BR"/>
              </w:rPr>
              <w:t xml:space="preserve"> número de declarações</w:t>
            </w:r>
            <w:r>
              <w:rPr>
                <w:rFonts w:ascii="Arial" w:hAnsi="Arial" w:cs="Arial"/>
                <w:color w:val="FF0000"/>
                <w:sz w:val="20"/>
                <w:szCs w:val="20"/>
                <w:lang w:val="pt-BR"/>
              </w:rPr>
              <w:t xml:space="preserve"> anuais e Sindicato dos Contabilistas PA para t</w:t>
            </w:r>
            <w:r w:rsidRPr="00E1480D">
              <w:rPr>
                <w:rFonts w:ascii="Arial" w:hAnsi="Arial" w:cs="Arial"/>
                <w:color w:val="FF0000"/>
                <w:sz w:val="20"/>
                <w:szCs w:val="20"/>
                <w:lang w:val="pt-BR"/>
              </w:rPr>
              <w:t>empo de elaboração de declarações e custo de hora trabalhada.</w:t>
            </w:r>
          </w:p>
        </w:tc>
      </w:tr>
    </w:tbl>
    <w:p w14:paraId="294D55E8" w14:textId="77777777" w:rsidR="000B764F" w:rsidRPr="003B2DA8" w:rsidRDefault="000A1E09" w:rsidP="000A1E09">
      <w:pPr>
        <w:pStyle w:val="Ttulo3"/>
        <w:rPr>
          <w:rFonts w:ascii="Arial" w:hAnsi="Arial" w:cs="Arial"/>
          <w:color w:val="000000" w:themeColor="text1"/>
          <w:lang w:val="pt-BR" w:eastAsia="es-ES"/>
        </w:rPr>
      </w:pPr>
      <w:bookmarkStart w:id="14" w:name="_Toc494137336"/>
      <w:r w:rsidRPr="003B2DA8">
        <w:rPr>
          <w:rFonts w:ascii="Arial" w:hAnsi="Arial" w:cs="Arial"/>
          <w:color w:val="000000" w:themeColor="text1"/>
          <w:lang w:val="pt-BR" w:eastAsia="es-ES"/>
        </w:rPr>
        <w:t>B.3.</w:t>
      </w:r>
      <w:r w:rsidRPr="003B2DA8">
        <w:rPr>
          <w:rFonts w:ascii="Arial" w:hAnsi="Arial" w:cs="Arial"/>
          <w:color w:val="000000" w:themeColor="text1"/>
          <w:lang w:val="pt-BR" w:eastAsia="es-ES"/>
        </w:rPr>
        <w:tab/>
      </w:r>
      <w:proofErr w:type="gramStart"/>
      <w:r w:rsidR="000B764F" w:rsidRPr="003B2DA8">
        <w:rPr>
          <w:rFonts w:ascii="Arial" w:hAnsi="Arial" w:cs="Arial"/>
          <w:color w:val="000000" w:themeColor="text1"/>
          <w:lang w:val="pt-BR" w:eastAsia="es-ES"/>
        </w:rPr>
        <w:t xml:space="preserve"> </w:t>
      </w:r>
      <w:r w:rsidR="003B2DA8">
        <w:rPr>
          <w:rFonts w:ascii="Arial" w:hAnsi="Arial" w:cs="Arial"/>
          <w:color w:val="000000" w:themeColor="text1"/>
          <w:lang w:val="pt-BR" w:eastAsia="es-ES"/>
        </w:rPr>
        <w:t xml:space="preserve"> </w:t>
      </w:r>
      <w:proofErr w:type="gramEnd"/>
      <w:r w:rsidR="000B764F" w:rsidRPr="003B2DA8">
        <w:rPr>
          <w:rFonts w:ascii="Arial" w:hAnsi="Arial" w:cs="Arial"/>
          <w:color w:val="000000" w:themeColor="text1"/>
          <w:lang w:val="pt-BR" w:eastAsia="es-ES"/>
        </w:rPr>
        <w:t xml:space="preserve">Redução de custos para o Estado do </w:t>
      </w:r>
      <w:r w:rsidR="00584442" w:rsidRPr="003B2DA8">
        <w:rPr>
          <w:rFonts w:ascii="Arial" w:hAnsi="Arial" w:cs="Arial"/>
          <w:color w:val="000000" w:themeColor="text1"/>
          <w:lang w:val="pt-BR" w:eastAsia="es-ES"/>
        </w:rPr>
        <w:t>P</w:t>
      </w:r>
      <w:r w:rsidR="00E76E5B" w:rsidRPr="003B2DA8">
        <w:rPr>
          <w:rFonts w:ascii="Arial" w:hAnsi="Arial" w:cs="Arial"/>
          <w:color w:val="000000" w:themeColor="text1"/>
          <w:lang w:val="pt-BR" w:eastAsia="es-ES"/>
        </w:rPr>
        <w:t>ará</w:t>
      </w:r>
      <w:r w:rsidR="000B764F" w:rsidRPr="003B2DA8">
        <w:rPr>
          <w:rFonts w:ascii="Arial" w:hAnsi="Arial" w:cs="Arial"/>
          <w:color w:val="000000" w:themeColor="text1"/>
          <w:lang w:val="pt-BR" w:eastAsia="es-ES"/>
        </w:rPr>
        <w:t xml:space="preserve"> na sua gestão fiscal</w:t>
      </w:r>
      <w:bookmarkEnd w:id="14"/>
    </w:p>
    <w:p w14:paraId="294D55E9" w14:textId="77777777" w:rsidR="00052FE8" w:rsidRPr="001F27CE" w:rsidRDefault="00912590"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A SEFA do</w:t>
      </w:r>
      <w:r w:rsidR="00E57380" w:rsidRPr="001F27CE">
        <w:rPr>
          <w:rFonts w:ascii="Arial" w:hAnsi="Arial" w:cs="Arial"/>
          <w:bCs/>
          <w:lang w:val="pt-BR" w:eastAsia="es-ES"/>
        </w:rPr>
        <w:t xml:space="preserve"> Pará </w:t>
      </w:r>
      <w:r w:rsidR="00052FE8" w:rsidRPr="001F27CE">
        <w:rPr>
          <w:rFonts w:ascii="Arial" w:hAnsi="Arial" w:cs="Arial"/>
          <w:bCs/>
          <w:lang w:val="pt-BR" w:eastAsia="es-ES"/>
        </w:rPr>
        <w:t>implantou em 2013, em formato piloto, um módulo de solicitação eletrônica de benefícios fiscais para quatro categorias: isenção de ICMS e IPVA para pessoas com deficiências, isenção de ICMS para os estabelecimentos integrantes da Cadeia Florestal Madeireira, isenção de ICMS para estabelecimentos da indústria moveleira e imunidade de IPVA para entidades assistenciais, educacionais, partidos políticos e sin</w:t>
      </w:r>
      <w:r w:rsidR="002E72A6" w:rsidRPr="001F27CE">
        <w:rPr>
          <w:rFonts w:ascii="Arial" w:hAnsi="Arial" w:cs="Arial"/>
          <w:bCs/>
          <w:lang w:val="pt-BR" w:eastAsia="es-ES"/>
        </w:rPr>
        <w:t xml:space="preserve">dicatos. A solicitação eletrônica permitiu a redução de tempo alocado por servidores para a análise destas solicitações. Adicionalmente houve uma redução dramática do número de solicitações de isenção de ICMS por integrantes da Cadeia Florestal Madeireira, de 109 em 2012 para </w:t>
      </w:r>
      <w:proofErr w:type="gramStart"/>
      <w:r w:rsidR="002E72A6" w:rsidRPr="001F27CE">
        <w:rPr>
          <w:rFonts w:ascii="Arial" w:hAnsi="Arial" w:cs="Arial"/>
          <w:bCs/>
          <w:lang w:val="pt-BR" w:eastAsia="es-ES"/>
        </w:rPr>
        <w:t>2</w:t>
      </w:r>
      <w:proofErr w:type="gramEnd"/>
      <w:r w:rsidR="002E72A6" w:rsidRPr="001F27CE">
        <w:rPr>
          <w:rFonts w:ascii="Arial" w:hAnsi="Arial" w:cs="Arial"/>
          <w:bCs/>
          <w:lang w:val="pt-BR" w:eastAsia="es-ES"/>
        </w:rPr>
        <w:t xml:space="preserve"> em 2016. A razão desta queda brutal foi </w:t>
      </w:r>
      <w:proofErr w:type="gramStart"/>
      <w:r w:rsidR="002E72A6" w:rsidRPr="001F27CE">
        <w:rPr>
          <w:rFonts w:ascii="Arial" w:hAnsi="Arial" w:cs="Arial"/>
          <w:bCs/>
          <w:lang w:val="pt-BR" w:eastAsia="es-ES"/>
        </w:rPr>
        <w:t>a</w:t>
      </w:r>
      <w:proofErr w:type="gramEnd"/>
      <w:r w:rsidR="002E72A6" w:rsidRPr="001F27CE">
        <w:rPr>
          <w:rFonts w:ascii="Arial" w:hAnsi="Arial" w:cs="Arial"/>
          <w:bCs/>
          <w:lang w:val="pt-BR" w:eastAsia="es-ES"/>
        </w:rPr>
        <w:t xml:space="preserve"> integração do sistema de solicitação eletrônica da SEFA com a Secretária de Meio Ambiente (SEMA), possibilitando verificar se o solicitante estava em conformidade com os requerimentos exigidos pela SEMA. Como quase todos não estavam e, cientes da capacidade da SEFA de verificar estes requerimentos, o número de solicitações caiu em sua quase totalidade, gerando economia para o Estado. </w:t>
      </w:r>
    </w:p>
    <w:p w14:paraId="294D55EA" w14:textId="7969ADAB" w:rsidR="008755B1" w:rsidRPr="001F27CE" w:rsidRDefault="00052FE8"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No entanto, a SEFA </w:t>
      </w:r>
      <w:r w:rsidR="00E57380" w:rsidRPr="001F27CE">
        <w:rPr>
          <w:rFonts w:ascii="Arial" w:hAnsi="Arial" w:cs="Arial"/>
          <w:bCs/>
          <w:lang w:val="pt-BR" w:eastAsia="es-ES"/>
        </w:rPr>
        <w:t xml:space="preserve">ainda tem muitas transações manuais </w:t>
      </w:r>
      <w:r w:rsidRPr="001F27CE">
        <w:rPr>
          <w:rFonts w:ascii="Arial" w:hAnsi="Arial" w:cs="Arial"/>
          <w:bCs/>
          <w:lang w:val="pt-BR" w:eastAsia="es-ES"/>
        </w:rPr>
        <w:t xml:space="preserve">e apenas presenciais, </w:t>
      </w:r>
      <w:r w:rsidR="00E57380" w:rsidRPr="001F27CE">
        <w:rPr>
          <w:rFonts w:ascii="Arial" w:hAnsi="Arial" w:cs="Arial"/>
          <w:bCs/>
          <w:lang w:val="pt-BR" w:eastAsia="es-ES"/>
        </w:rPr>
        <w:t>que requerem o trabalho de muitos servidores</w:t>
      </w:r>
      <w:r w:rsidRPr="001F27CE">
        <w:rPr>
          <w:rFonts w:ascii="Arial" w:hAnsi="Arial" w:cs="Arial"/>
          <w:bCs/>
          <w:lang w:val="pt-BR" w:eastAsia="es-ES"/>
        </w:rPr>
        <w:t xml:space="preserve"> e deslocamento e tempo de atendimento do contribuinte</w:t>
      </w:r>
      <w:r w:rsidR="00E57380" w:rsidRPr="001F27CE">
        <w:rPr>
          <w:rFonts w:ascii="Arial" w:hAnsi="Arial" w:cs="Arial"/>
          <w:bCs/>
          <w:lang w:val="pt-BR" w:eastAsia="es-ES"/>
        </w:rPr>
        <w:t>. Um bom exemplo</w:t>
      </w:r>
      <w:r w:rsidR="00912590" w:rsidRPr="001F27CE">
        <w:rPr>
          <w:rFonts w:ascii="Arial" w:hAnsi="Arial" w:cs="Arial"/>
          <w:bCs/>
          <w:lang w:val="pt-BR" w:eastAsia="es-ES"/>
        </w:rPr>
        <w:t xml:space="preserve"> é o processo de homologação do benefício fiscal para taxistas, de isenção do IPVA e ICMS na compra de veículo novo. Atualmente são 4</w:t>
      </w:r>
      <w:r w:rsidRPr="001F27CE">
        <w:rPr>
          <w:rFonts w:ascii="Arial" w:hAnsi="Arial" w:cs="Arial"/>
          <w:bCs/>
          <w:lang w:val="pt-BR" w:eastAsia="es-ES"/>
        </w:rPr>
        <w:t>.</w:t>
      </w:r>
      <w:r w:rsidR="00912590" w:rsidRPr="001F27CE">
        <w:rPr>
          <w:rFonts w:ascii="Arial" w:hAnsi="Arial" w:cs="Arial"/>
          <w:bCs/>
          <w:lang w:val="pt-BR" w:eastAsia="es-ES"/>
        </w:rPr>
        <w:t xml:space="preserve">295 taxistas atendidos anualmente. </w:t>
      </w:r>
      <w:r w:rsidRPr="001F27CE">
        <w:rPr>
          <w:rFonts w:ascii="Arial" w:hAnsi="Arial" w:cs="Arial"/>
          <w:bCs/>
          <w:lang w:val="pt-BR" w:eastAsia="es-ES"/>
        </w:rPr>
        <w:t xml:space="preserve">Adicionalmente, em 2016 foram </w:t>
      </w:r>
      <w:r w:rsidRPr="001F27CE">
        <w:rPr>
          <w:rFonts w:ascii="Arial" w:hAnsi="Arial" w:cs="Arial"/>
          <w:bCs/>
          <w:lang w:val="pt-BR" w:eastAsia="es-ES"/>
        </w:rPr>
        <w:lastRenderedPageBreak/>
        <w:t>analisados 1.863 processos de outros benefícios fiscais mais complexos.</w:t>
      </w:r>
      <w:proofErr w:type="gramStart"/>
      <w:r w:rsidR="00E10ABA">
        <w:rPr>
          <w:rStyle w:val="Refdenotaderodap"/>
          <w:rFonts w:ascii="Arial" w:hAnsi="Arial" w:cs="Arial"/>
          <w:bCs/>
          <w:lang w:val="pt-BR" w:eastAsia="es-ES"/>
        </w:rPr>
        <w:footnoteReference w:id="12"/>
      </w:r>
      <w:proofErr w:type="gramEnd"/>
    </w:p>
    <w:p w14:paraId="294D55EB" w14:textId="77777777" w:rsidR="002A5FB7" w:rsidRPr="001F27CE" w:rsidRDefault="002E72A6"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A SEFA tem atualmente um setor localizado nas dependências do Departamento de Trânsito do Pará (DETRAN) só para cuidar das mais de </w:t>
      </w:r>
      <w:proofErr w:type="gramStart"/>
      <w:r w:rsidRPr="001F27CE">
        <w:rPr>
          <w:rFonts w:ascii="Arial" w:hAnsi="Arial" w:cs="Arial"/>
          <w:bCs/>
          <w:lang w:val="pt-BR" w:eastAsia="es-ES"/>
        </w:rPr>
        <w:t>4</w:t>
      </w:r>
      <w:proofErr w:type="gramEnd"/>
      <w:r w:rsidRPr="001F27CE">
        <w:rPr>
          <w:rFonts w:ascii="Arial" w:hAnsi="Arial" w:cs="Arial"/>
          <w:bCs/>
          <w:lang w:val="pt-BR" w:eastAsia="es-ES"/>
        </w:rPr>
        <w:t xml:space="preserve"> mil solicitações anua</w:t>
      </w:r>
      <w:r w:rsidR="00B516F7" w:rsidRPr="001F27CE">
        <w:rPr>
          <w:rFonts w:ascii="Arial" w:hAnsi="Arial" w:cs="Arial"/>
          <w:bCs/>
          <w:lang w:val="pt-BR" w:eastAsia="es-ES"/>
        </w:rPr>
        <w:t>is</w:t>
      </w:r>
      <w:r w:rsidRPr="001F27CE">
        <w:rPr>
          <w:rFonts w:ascii="Arial" w:hAnsi="Arial" w:cs="Arial"/>
          <w:bCs/>
          <w:lang w:val="pt-BR" w:eastAsia="es-ES"/>
        </w:rPr>
        <w:t xml:space="preserve"> de isenção de IPVA e ICMS para condutores autônomos e taxistas, contando com 2 fiscais </w:t>
      </w:r>
      <w:r w:rsidR="009E1A58" w:rsidRPr="001F27CE">
        <w:rPr>
          <w:rFonts w:ascii="Arial" w:hAnsi="Arial" w:cs="Arial"/>
          <w:bCs/>
          <w:lang w:val="pt-BR" w:eastAsia="es-ES"/>
        </w:rPr>
        <w:t xml:space="preserve">de receita </w:t>
      </w:r>
      <w:r w:rsidRPr="001F27CE">
        <w:rPr>
          <w:rFonts w:ascii="Arial" w:hAnsi="Arial" w:cs="Arial"/>
          <w:bCs/>
          <w:lang w:val="pt-BR" w:eastAsia="es-ES"/>
        </w:rPr>
        <w:t>e 4 servidores de apoio</w:t>
      </w:r>
      <w:r w:rsidR="000C6E15" w:rsidRPr="001F27CE">
        <w:rPr>
          <w:rFonts w:ascii="Arial" w:hAnsi="Arial" w:cs="Arial"/>
          <w:bCs/>
          <w:lang w:val="pt-BR" w:eastAsia="es-ES"/>
        </w:rPr>
        <w:t>.</w:t>
      </w:r>
      <w:r w:rsidR="009E1A58" w:rsidRPr="001F27CE">
        <w:rPr>
          <w:rFonts w:ascii="Arial" w:hAnsi="Arial" w:cs="Arial"/>
          <w:bCs/>
          <w:lang w:val="pt-BR" w:eastAsia="es-ES"/>
        </w:rPr>
        <w:t xml:space="preserve"> Cada processo toma, em média, 80 minutos (1,3 horas) de um servidor de apoio e 40 minutos (</w:t>
      </w:r>
      <w:r w:rsidR="009B508F" w:rsidRPr="001F27CE">
        <w:rPr>
          <w:rFonts w:ascii="Arial" w:hAnsi="Arial" w:cs="Arial"/>
          <w:bCs/>
          <w:lang w:val="pt-BR" w:eastAsia="es-ES"/>
        </w:rPr>
        <w:t>0</w:t>
      </w:r>
      <w:r w:rsidR="009E1A58" w:rsidRPr="001F27CE">
        <w:rPr>
          <w:rFonts w:ascii="Arial" w:hAnsi="Arial" w:cs="Arial"/>
          <w:bCs/>
          <w:lang w:val="pt-BR" w:eastAsia="es-ES"/>
        </w:rPr>
        <w:t xml:space="preserve">,7 horas) para verificar todos os documentos anexados, a validade das informações prestadas, consulta a outros órgãos do governo quando necessária, elaboração da manifestação técnica, etc. Com relação aos outros benefícios fiscais mais complexos e de total competência de fiscais da receita, cada um leva, em média, 140 minutos (2,3 horas) </w:t>
      </w:r>
      <w:r w:rsidR="009B508F" w:rsidRPr="001F27CE">
        <w:rPr>
          <w:rFonts w:ascii="Arial" w:hAnsi="Arial" w:cs="Arial"/>
          <w:bCs/>
          <w:lang w:val="pt-BR" w:eastAsia="es-ES"/>
        </w:rPr>
        <w:t>para ser realizado.</w:t>
      </w:r>
      <w:r w:rsidR="009E1A58" w:rsidRPr="001F27CE">
        <w:rPr>
          <w:rFonts w:ascii="Arial" w:hAnsi="Arial" w:cs="Arial"/>
          <w:bCs/>
          <w:lang w:val="pt-BR" w:eastAsia="es-ES"/>
        </w:rPr>
        <w:t xml:space="preserve"> </w:t>
      </w:r>
    </w:p>
    <w:p w14:paraId="294D55EC" w14:textId="77777777" w:rsidR="009E3354" w:rsidRPr="001F27CE" w:rsidRDefault="000C6E15" w:rsidP="008759BC">
      <w:pPr>
        <w:pStyle w:val="PargrafodaLista"/>
        <w:keepNext/>
        <w:numPr>
          <w:ilvl w:val="1"/>
          <w:numId w:val="4"/>
        </w:numPr>
        <w:suppressAutoHyphens/>
        <w:spacing w:before="120" w:after="240"/>
        <w:ind w:left="851" w:hanging="567"/>
        <w:jc w:val="both"/>
        <w:outlineLvl w:val="3"/>
        <w:rPr>
          <w:rFonts w:ascii="Arial" w:hAnsi="Arial" w:cs="Arial"/>
          <w:bCs/>
          <w:lang w:val="pt-BR" w:eastAsia="es-ES"/>
        </w:rPr>
      </w:pPr>
      <w:r w:rsidRPr="001F27CE">
        <w:rPr>
          <w:rFonts w:ascii="Arial" w:hAnsi="Arial" w:cs="Arial"/>
          <w:bCs/>
          <w:lang w:val="pt-BR" w:eastAsia="es-ES"/>
        </w:rPr>
        <w:t xml:space="preserve">O </w:t>
      </w:r>
      <w:r w:rsidR="009E35DF" w:rsidRPr="001F27CE">
        <w:rPr>
          <w:rFonts w:ascii="Arial" w:hAnsi="Arial" w:cs="Arial"/>
          <w:bCs/>
          <w:lang w:val="pt-BR" w:eastAsia="es-ES"/>
        </w:rPr>
        <w:t xml:space="preserve">salário mensal médio </w:t>
      </w:r>
      <w:r w:rsidR="00FD102C" w:rsidRPr="001F27CE">
        <w:rPr>
          <w:rFonts w:ascii="Arial" w:hAnsi="Arial" w:cs="Arial"/>
          <w:bCs/>
          <w:lang w:val="pt-BR" w:eastAsia="es-ES"/>
        </w:rPr>
        <w:t xml:space="preserve">bruto </w:t>
      </w:r>
      <w:r w:rsidR="009E35DF" w:rsidRPr="001F27CE">
        <w:rPr>
          <w:rFonts w:ascii="Arial" w:hAnsi="Arial" w:cs="Arial"/>
          <w:bCs/>
          <w:lang w:val="pt-BR" w:eastAsia="es-ES"/>
        </w:rPr>
        <w:t xml:space="preserve">de um servidor de apoio </w:t>
      </w:r>
      <w:r w:rsidR="003B2DA8">
        <w:rPr>
          <w:rFonts w:ascii="Arial" w:hAnsi="Arial" w:cs="Arial"/>
          <w:bCs/>
          <w:lang w:val="pt-BR" w:eastAsia="es-ES"/>
        </w:rPr>
        <w:t>é de R$</w:t>
      </w:r>
      <w:r w:rsidR="00FD102C" w:rsidRPr="001F27CE">
        <w:rPr>
          <w:rFonts w:ascii="Arial" w:hAnsi="Arial" w:cs="Arial"/>
          <w:bCs/>
          <w:lang w:val="pt-BR" w:eastAsia="es-ES"/>
        </w:rPr>
        <w:t>9 mil</w:t>
      </w:r>
      <w:r w:rsidR="00FF3EBE" w:rsidRPr="001F27CE">
        <w:rPr>
          <w:rFonts w:ascii="Arial" w:hAnsi="Arial" w:cs="Arial"/>
          <w:bCs/>
          <w:lang w:val="pt-BR" w:eastAsia="es-ES"/>
        </w:rPr>
        <w:t xml:space="preserve">. </w:t>
      </w:r>
      <w:r w:rsidR="00FD102C" w:rsidRPr="001F27CE">
        <w:rPr>
          <w:rFonts w:ascii="Arial" w:hAnsi="Arial" w:cs="Arial"/>
          <w:bCs/>
          <w:lang w:val="pt-BR" w:eastAsia="es-ES"/>
        </w:rPr>
        <w:t>Adicionando décimo terceiro, adicional de férias e contribuição do Estado para o Fundo de Aposentadoria, cada servidor de apoio custa ao Estado mensalmente R$ 11.980. O fiscal de receitas tem um salário médio bruto mensal de R$ 30 mil. Com os adicionais, o custo mensal total para o Estado de cada fiscal fica em R$ 39.933. Estes servidores tem uma jornada de seis horas diárias. Assim, o custo por hora para o Estado é de R$ 333 e R$ 100 por fiscal de receita e servidor de apoio, respectivamente.</w:t>
      </w:r>
    </w:p>
    <w:p w14:paraId="294D55ED" w14:textId="7D7A0A0F" w:rsidR="00052FE8" w:rsidRPr="001F27CE" w:rsidRDefault="00FD102C" w:rsidP="00666F04">
      <w:pPr>
        <w:pStyle w:val="PargrafodaLista"/>
        <w:keepNext/>
        <w:numPr>
          <w:ilvl w:val="1"/>
          <w:numId w:val="4"/>
        </w:numPr>
        <w:suppressAutoHyphens/>
        <w:spacing w:before="120" w:after="120"/>
        <w:ind w:left="851" w:hanging="567"/>
        <w:jc w:val="both"/>
        <w:outlineLvl w:val="3"/>
        <w:rPr>
          <w:rFonts w:ascii="Arial" w:hAnsi="Arial" w:cs="Arial"/>
          <w:bCs/>
          <w:lang w:val="pt-BR" w:eastAsia="es-ES"/>
        </w:rPr>
      </w:pPr>
      <w:r w:rsidRPr="001F27CE">
        <w:rPr>
          <w:rFonts w:ascii="Arial" w:hAnsi="Arial" w:cs="Arial"/>
          <w:bCs/>
          <w:lang w:val="pt-BR" w:eastAsia="es-ES"/>
        </w:rPr>
        <w:t>O PROFISCO II financiará a automatização de</w:t>
      </w:r>
      <w:r w:rsidR="008F3CAD" w:rsidRPr="001F27CE">
        <w:rPr>
          <w:rFonts w:ascii="Arial" w:hAnsi="Arial" w:cs="Arial"/>
          <w:bCs/>
          <w:lang w:val="pt-BR" w:eastAsia="es-ES"/>
        </w:rPr>
        <w:t xml:space="preserve"> grande parte destes processos</w:t>
      </w:r>
      <w:r w:rsidR="00264EFD" w:rsidRPr="001F27CE">
        <w:rPr>
          <w:rFonts w:ascii="Arial" w:hAnsi="Arial" w:cs="Arial"/>
          <w:bCs/>
          <w:lang w:val="pt-BR" w:eastAsia="es-ES"/>
        </w:rPr>
        <w:t xml:space="preserve">, </w:t>
      </w:r>
      <w:r w:rsidR="00F2268B" w:rsidRPr="001F27CE">
        <w:rPr>
          <w:rFonts w:ascii="Arial" w:hAnsi="Arial" w:cs="Arial"/>
          <w:bCs/>
          <w:lang w:val="pt-BR" w:eastAsia="es-ES"/>
        </w:rPr>
        <w:t xml:space="preserve">eliminando muito do trabalho manual atualmente realizado por servidores. </w:t>
      </w:r>
      <w:r w:rsidR="00F2268B" w:rsidRPr="00E1480D">
        <w:rPr>
          <w:rFonts w:ascii="Arial" w:hAnsi="Arial" w:cs="Arial"/>
          <w:bCs/>
          <w:color w:val="FF0000"/>
          <w:lang w:val="pt-BR" w:eastAsia="es-ES"/>
        </w:rPr>
        <w:t xml:space="preserve">A Tabela </w:t>
      </w:r>
      <w:r w:rsidR="00E1480D" w:rsidRPr="00E1480D">
        <w:rPr>
          <w:rFonts w:ascii="Arial" w:hAnsi="Arial" w:cs="Arial"/>
          <w:bCs/>
          <w:color w:val="FF0000"/>
          <w:lang w:val="pt-BR" w:eastAsia="es-ES"/>
        </w:rPr>
        <w:t>11</w:t>
      </w:r>
      <w:r w:rsidR="00F2268B" w:rsidRPr="00E1480D">
        <w:rPr>
          <w:rFonts w:ascii="Arial" w:hAnsi="Arial" w:cs="Arial"/>
          <w:bCs/>
          <w:color w:val="FF0000"/>
          <w:lang w:val="pt-BR" w:eastAsia="es-ES"/>
        </w:rPr>
        <w:t xml:space="preserve"> </w:t>
      </w:r>
      <w:r w:rsidR="00F2268B" w:rsidRPr="001F27CE">
        <w:rPr>
          <w:rFonts w:ascii="Arial" w:hAnsi="Arial" w:cs="Arial"/>
          <w:bCs/>
          <w:lang w:val="pt-BR" w:eastAsia="es-ES"/>
        </w:rPr>
        <w:t>mostra as estimativas de tempo requerido dos servidores para realizar os processos antes e depois da automatizaç</w:t>
      </w:r>
      <w:r w:rsidR="003B2DA8">
        <w:rPr>
          <w:rFonts w:ascii="Arial" w:hAnsi="Arial" w:cs="Arial"/>
          <w:bCs/>
          <w:lang w:val="pt-BR" w:eastAsia="es-ES"/>
        </w:rPr>
        <w:t xml:space="preserve">ão. A economia de custos com a </w:t>
      </w:r>
      <w:r w:rsidR="00F2268B" w:rsidRPr="001F27CE">
        <w:rPr>
          <w:rFonts w:ascii="Arial" w:hAnsi="Arial" w:cs="Arial"/>
          <w:bCs/>
          <w:lang w:val="pt-BR" w:eastAsia="es-ES"/>
        </w:rPr>
        <w:t>automati</w:t>
      </w:r>
      <w:r w:rsidR="003B2DA8">
        <w:rPr>
          <w:rFonts w:ascii="Arial" w:hAnsi="Arial" w:cs="Arial"/>
          <w:bCs/>
          <w:lang w:val="pt-BR" w:eastAsia="es-ES"/>
        </w:rPr>
        <w:t>zação dos processos de IPVA (R$</w:t>
      </w:r>
      <w:r w:rsidR="00F2268B" w:rsidRPr="001F27CE">
        <w:rPr>
          <w:rFonts w:ascii="Arial" w:hAnsi="Arial" w:cs="Arial"/>
          <w:bCs/>
          <w:lang w:val="pt-BR" w:eastAsia="es-ES"/>
        </w:rPr>
        <w:t>1 milhão anual) começa no segundo ano de execução, enquanto que a economia com os processos d</w:t>
      </w:r>
      <w:r w:rsidR="003B2DA8">
        <w:rPr>
          <w:rFonts w:ascii="Arial" w:hAnsi="Arial" w:cs="Arial"/>
          <w:bCs/>
          <w:lang w:val="pt-BR" w:eastAsia="es-ES"/>
        </w:rPr>
        <w:t>e outros benefícios fiscais (R$</w:t>
      </w:r>
      <w:r w:rsidR="00F2268B" w:rsidRPr="001F27CE">
        <w:rPr>
          <w:rFonts w:ascii="Arial" w:hAnsi="Arial" w:cs="Arial"/>
          <w:bCs/>
          <w:lang w:val="pt-BR" w:eastAsia="es-ES"/>
        </w:rPr>
        <w:t>0,7 milhões) inicia no terceiro ano de execução.</w:t>
      </w:r>
    </w:p>
    <w:tbl>
      <w:tblPr>
        <w:tblW w:w="7920" w:type="dxa"/>
        <w:tblInd w:w="720" w:type="dxa"/>
        <w:tblLook w:val="04A0" w:firstRow="1" w:lastRow="0" w:firstColumn="1" w:lastColumn="0" w:noHBand="0" w:noVBand="1"/>
      </w:tblPr>
      <w:tblGrid>
        <w:gridCol w:w="1620"/>
        <w:gridCol w:w="1260"/>
        <w:gridCol w:w="1246"/>
        <w:gridCol w:w="1533"/>
        <w:gridCol w:w="1016"/>
        <w:gridCol w:w="1245"/>
      </w:tblGrid>
      <w:tr w:rsidR="00E1480D" w:rsidRPr="00D14310" w14:paraId="294D55F1" w14:textId="77777777" w:rsidTr="00FC756F">
        <w:trPr>
          <w:trHeight w:val="300"/>
        </w:trPr>
        <w:tc>
          <w:tcPr>
            <w:tcW w:w="7920" w:type="dxa"/>
            <w:gridSpan w:val="6"/>
            <w:tcBorders>
              <w:top w:val="nil"/>
              <w:left w:val="nil"/>
              <w:bottom w:val="nil"/>
              <w:right w:val="nil"/>
            </w:tcBorders>
            <w:shd w:val="clear" w:color="auto" w:fill="auto"/>
            <w:noWrap/>
            <w:vAlign w:val="bottom"/>
            <w:hideMark/>
          </w:tcPr>
          <w:p w14:paraId="294D55F0" w14:textId="7F06F4DF" w:rsidR="00E1480D" w:rsidRPr="001F27CE" w:rsidRDefault="00E1480D" w:rsidP="00F2268B">
            <w:pPr>
              <w:rPr>
                <w:rFonts w:ascii="Arial" w:hAnsi="Arial" w:cs="Arial"/>
                <w:color w:val="000000"/>
                <w:sz w:val="18"/>
                <w:szCs w:val="18"/>
                <w:lang w:val="pt-BR"/>
              </w:rPr>
            </w:pPr>
            <w:r w:rsidRPr="00E1480D">
              <w:rPr>
                <w:rFonts w:ascii="Arial" w:hAnsi="Arial" w:cs="Arial"/>
                <w:b/>
                <w:bCs/>
                <w:color w:val="FF0000"/>
                <w:sz w:val="18"/>
                <w:szCs w:val="18"/>
                <w:lang w:val="pt-BR"/>
              </w:rPr>
              <w:t>Tabela 11</w:t>
            </w:r>
            <w:r w:rsidRPr="001F27CE">
              <w:rPr>
                <w:rFonts w:ascii="Arial" w:hAnsi="Arial" w:cs="Arial"/>
                <w:b/>
                <w:bCs/>
                <w:color w:val="000000"/>
                <w:sz w:val="18"/>
                <w:szCs w:val="18"/>
                <w:lang w:val="pt-BR"/>
              </w:rPr>
              <w:t>: Economia com Automatização dos Processos de Benefícios Fiscais</w:t>
            </w:r>
          </w:p>
        </w:tc>
      </w:tr>
      <w:tr w:rsidR="00F2268B" w:rsidRPr="001F27CE" w14:paraId="294D55F5" w14:textId="77777777" w:rsidTr="005F50CC">
        <w:trPr>
          <w:trHeight w:val="180"/>
        </w:trPr>
        <w:tc>
          <w:tcPr>
            <w:tcW w:w="288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294D55F2" w14:textId="77777777" w:rsidR="00F2268B" w:rsidRPr="001F27CE" w:rsidRDefault="00F2268B" w:rsidP="00F2268B">
            <w:pPr>
              <w:jc w:val="center"/>
              <w:rPr>
                <w:rFonts w:ascii="Arial" w:hAnsi="Arial" w:cs="Arial"/>
                <w:color w:val="000000"/>
                <w:sz w:val="18"/>
                <w:szCs w:val="18"/>
                <w:lang w:val="pt-BR"/>
              </w:rPr>
            </w:pPr>
            <w:r w:rsidRPr="001F27CE">
              <w:rPr>
                <w:rFonts w:ascii="Arial" w:hAnsi="Arial" w:cs="Arial"/>
                <w:color w:val="000000"/>
                <w:sz w:val="18"/>
                <w:szCs w:val="18"/>
                <w:lang w:val="pt-BR"/>
              </w:rPr>
              <w:t> </w:t>
            </w:r>
          </w:p>
        </w:tc>
        <w:tc>
          <w:tcPr>
            <w:tcW w:w="2779" w:type="dxa"/>
            <w:gridSpan w:val="2"/>
            <w:tcBorders>
              <w:top w:val="single" w:sz="4" w:space="0" w:color="auto"/>
              <w:left w:val="nil"/>
              <w:bottom w:val="single" w:sz="4" w:space="0" w:color="auto"/>
              <w:right w:val="single" w:sz="4" w:space="0" w:color="auto"/>
            </w:tcBorders>
            <w:shd w:val="clear" w:color="auto" w:fill="auto"/>
            <w:noWrap/>
            <w:vAlign w:val="bottom"/>
            <w:hideMark/>
          </w:tcPr>
          <w:p w14:paraId="294D55F3" w14:textId="77777777" w:rsidR="00F2268B" w:rsidRPr="003B2DA8" w:rsidRDefault="00F2268B" w:rsidP="00F2268B">
            <w:pPr>
              <w:jc w:val="center"/>
              <w:rPr>
                <w:rFonts w:ascii="Arial" w:hAnsi="Arial" w:cs="Arial"/>
                <w:b/>
                <w:color w:val="000000"/>
                <w:sz w:val="18"/>
                <w:szCs w:val="18"/>
              </w:rPr>
            </w:pPr>
            <w:proofErr w:type="spellStart"/>
            <w:r w:rsidRPr="003B2DA8">
              <w:rPr>
                <w:rFonts w:ascii="Arial" w:hAnsi="Arial" w:cs="Arial"/>
                <w:b/>
                <w:color w:val="000000"/>
                <w:sz w:val="18"/>
                <w:szCs w:val="18"/>
              </w:rPr>
              <w:t>Atual</w:t>
            </w:r>
            <w:proofErr w:type="spellEnd"/>
          </w:p>
        </w:tc>
        <w:tc>
          <w:tcPr>
            <w:tcW w:w="226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94D55F4" w14:textId="77777777" w:rsidR="00F2268B" w:rsidRPr="003B2DA8" w:rsidRDefault="00F2268B" w:rsidP="00F2268B">
            <w:pPr>
              <w:jc w:val="center"/>
              <w:rPr>
                <w:rFonts w:ascii="Arial" w:hAnsi="Arial" w:cs="Arial"/>
                <w:b/>
                <w:color w:val="000000"/>
                <w:sz w:val="18"/>
                <w:szCs w:val="18"/>
              </w:rPr>
            </w:pPr>
            <w:proofErr w:type="spellStart"/>
            <w:r w:rsidRPr="003B2DA8">
              <w:rPr>
                <w:rFonts w:ascii="Arial" w:hAnsi="Arial" w:cs="Arial"/>
                <w:b/>
                <w:color w:val="000000"/>
                <w:sz w:val="18"/>
                <w:szCs w:val="18"/>
              </w:rPr>
              <w:t>Após</w:t>
            </w:r>
            <w:proofErr w:type="spellEnd"/>
          </w:p>
        </w:tc>
      </w:tr>
      <w:tr w:rsidR="00F2268B" w:rsidRPr="001F27CE" w14:paraId="294D55FB" w14:textId="77777777" w:rsidTr="005F50CC">
        <w:trPr>
          <w:trHeight w:val="84"/>
        </w:trPr>
        <w:tc>
          <w:tcPr>
            <w:tcW w:w="2880" w:type="dxa"/>
            <w:gridSpan w:val="2"/>
            <w:vMerge/>
            <w:tcBorders>
              <w:top w:val="single" w:sz="4" w:space="0" w:color="auto"/>
              <w:left w:val="single" w:sz="4" w:space="0" w:color="auto"/>
              <w:bottom w:val="single" w:sz="4" w:space="0" w:color="000000"/>
              <w:right w:val="single" w:sz="4" w:space="0" w:color="000000"/>
            </w:tcBorders>
            <w:vAlign w:val="center"/>
            <w:hideMark/>
          </w:tcPr>
          <w:p w14:paraId="294D55F6" w14:textId="77777777" w:rsidR="00F2268B" w:rsidRPr="001F27CE" w:rsidRDefault="00F2268B" w:rsidP="00F2268B">
            <w:pPr>
              <w:rPr>
                <w:rFonts w:ascii="Arial" w:hAnsi="Arial" w:cs="Arial"/>
                <w:color w:val="000000"/>
                <w:sz w:val="18"/>
                <w:szCs w:val="18"/>
              </w:rPr>
            </w:pPr>
          </w:p>
        </w:tc>
        <w:tc>
          <w:tcPr>
            <w:tcW w:w="1246" w:type="dxa"/>
            <w:tcBorders>
              <w:top w:val="nil"/>
              <w:left w:val="nil"/>
              <w:bottom w:val="single" w:sz="4" w:space="0" w:color="auto"/>
              <w:right w:val="single" w:sz="4" w:space="0" w:color="auto"/>
            </w:tcBorders>
            <w:shd w:val="clear" w:color="auto" w:fill="auto"/>
            <w:noWrap/>
            <w:vAlign w:val="center"/>
            <w:hideMark/>
          </w:tcPr>
          <w:p w14:paraId="294D55F7" w14:textId="77777777" w:rsidR="00F2268B" w:rsidRPr="003B2DA8" w:rsidRDefault="00F2268B" w:rsidP="00F2268B">
            <w:pPr>
              <w:jc w:val="center"/>
              <w:rPr>
                <w:rFonts w:ascii="Arial" w:hAnsi="Arial" w:cs="Arial"/>
                <w:b/>
                <w:color w:val="000000"/>
                <w:sz w:val="18"/>
                <w:szCs w:val="18"/>
              </w:rPr>
            </w:pPr>
            <w:r w:rsidRPr="003B2DA8">
              <w:rPr>
                <w:rFonts w:ascii="Arial" w:hAnsi="Arial" w:cs="Arial"/>
                <w:b/>
                <w:color w:val="000000"/>
                <w:sz w:val="18"/>
                <w:szCs w:val="18"/>
              </w:rPr>
              <w:t>IPVA</w:t>
            </w:r>
          </w:p>
        </w:tc>
        <w:tc>
          <w:tcPr>
            <w:tcW w:w="1533" w:type="dxa"/>
            <w:tcBorders>
              <w:top w:val="nil"/>
              <w:left w:val="nil"/>
              <w:bottom w:val="single" w:sz="4" w:space="0" w:color="auto"/>
              <w:right w:val="single" w:sz="4" w:space="0" w:color="auto"/>
            </w:tcBorders>
            <w:shd w:val="clear" w:color="auto" w:fill="auto"/>
            <w:vAlign w:val="center"/>
            <w:hideMark/>
          </w:tcPr>
          <w:p w14:paraId="294D55F8" w14:textId="77777777" w:rsidR="00F2268B" w:rsidRPr="003B2DA8" w:rsidRDefault="00F2268B" w:rsidP="00F2268B">
            <w:pPr>
              <w:jc w:val="center"/>
              <w:rPr>
                <w:rFonts w:ascii="Arial" w:hAnsi="Arial" w:cs="Arial"/>
                <w:b/>
                <w:color w:val="000000"/>
                <w:sz w:val="18"/>
                <w:szCs w:val="18"/>
              </w:rPr>
            </w:pPr>
            <w:proofErr w:type="spellStart"/>
            <w:r w:rsidRPr="003B2DA8">
              <w:rPr>
                <w:rFonts w:ascii="Arial" w:hAnsi="Arial" w:cs="Arial"/>
                <w:b/>
                <w:color w:val="000000"/>
                <w:sz w:val="18"/>
                <w:szCs w:val="18"/>
              </w:rPr>
              <w:t>Benefícios</w:t>
            </w:r>
            <w:proofErr w:type="spellEnd"/>
            <w:r w:rsidRPr="003B2DA8">
              <w:rPr>
                <w:rFonts w:ascii="Arial" w:hAnsi="Arial" w:cs="Arial"/>
                <w:b/>
                <w:color w:val="000000"/>
                <w:sz w:val="18"/>
                <w:szCs w:val="18"/>
              </w:rPr>
              <w:t xml:space="preserve"> </w:t>
            </w:r>
            <w:proofErr w:type="spellStart"/>
            <w:r w:rsidRPr="003B2DA8">
              <w:rPr>
                <w:rFonts w:ascii="Arial" w:hAnsi="Arial" w:cs="Arial"/>
                <w:b/>
                <w:color w:val="000000"/>
                <w:sz w:val="18"/>
                <w:szCs w:val="18"/>
              </w:rPr>
              <w:t>Fiscais</w:t>
            </w:r>
            <w:proofErr w:type="spellEnd"/>
          </w:p>
        </w:tc>
        <w:tc>
          <w:tcPr>
            <w:tcW w:w="1016" w:type="dxa"/>
            <w:tcBorders>
              <w:top w:val="nil"/>
              <w:left w:val="nil"/>
              <w:bottom w:val="single" w:sz="4" w:space="0" w:color="auto"/>
              <w:right w:val="single" w:sz="4" w:space="0" w:color="auto"/>
            </w:tcBorders>
            <w:shd w:val="clear" w:color="auto" w:fill="auto"/>
            <w:noWrap/>
            <w:vAlign w:val="center"/>
            <w:hideMark/>
          </w:tcPr>
          <w:p w14:paraId="294D55F9" w14:textId="77777777" w:rsidR="00F2268B" w:rsidRPr="003B2DA8" w:rsidRDefault="00F2268B" w:rsidP="00F2268B">
            <w:pPr>
              <w:jc w:val="center"/>
              <w:rPr>
                <w:rFonts w:ascii="Arial" w:hAnsi="Arial" w:cs="Arial"/>
                <w:b/>
                <w:color w:val="000000"/>
                <w:sz w:val="18"/>
                <w:szCs w:val="18"/>
              </w:rPr>
            </w:pPr>
            <w:r w:rsidRPr="003B2DA8">
              <w:rPr>
                <w:rFonts w:ascii="Arial" w:hAnsi="Arial" w:cs="Arial"/>
                <w:b/>
                <w:color w:val="000000"/>
                <w:sz w:val="18"/>
                <w:szCs w:val="18"/>
              </w:rPr>
              <w:t>IPVA</w:t>
            </w:r>
          </w:p>
        </w:tc>
        <w:tc>
          <w:tcPr>
            <w:tcW w:w="1245" w:type="dxa"/>
            <w:tcBorders>
              <w:top w:val="nil"/>
              <w:left w:val="nil"/>
              <w:bottom w:val="single" w:sz="4" w:space="0" w:color="auto"/>
              <w:right w:val="single" w:sz="4" w:space="0" w:color="auto"/>
            </w:tcBorders>
            <w:shd w:val="clear" w:color="auto" w:fill="auto"/>
            <w:vAlign w:val="center"/>
            <w:hideMark/>
          </w:tcPr>
          <w:p w14:paraId="294D55FA" w14:textId="77777777" w:rsidR="00F2268B" w:rsidRPr="003B2DA8" w:rsidRDefault="00F2268B" w:rsidP="00F2268B">
            <w:pPr>
              <w:jc w:val="center"/>
              <w:rPr>
                <w:rFonts w:ascii="Arial" w:hAnsi="Arial" w:cs="Arial"/>
                <w:b/>
                <w:color w:val="000000"/>
                <w:sz w:val="18"/>
                <w:szCs w:val="18"/>
              </w:rPr>
            </w:pPr>
            <w:proofErr w:type="spellStart"/>
            <w:r w:rsidRPr="003B2DA8">
              <w:rPr>
                <w:rFonts w:ascii="Arial" w:hAnsi="Arial" w:cs="Arial"/>
                <w:b/>
                <w:color w:val="000000"/>
                <w:sz w:val="18"/>
                <w:szCs w:val="18"/>
              </w:rPr>
              <w:t>Benefícios</w:t>
            </w:r>
            <w:proofErr w:type="spellEnd"/>
            <w:r w:rsidRPr="003B2DA8">
              <w:rPr>
                <w:rFonts w:ascii="Arial" w:hAnsi="Arial" w:cs="Arial"/>
                <w:b/>
                <w:color w:val="000000"/>
                <w:sz w:val="18"/>
                <w:szCs w:val="18"/>
              </w:rPr>
              <w:t xml:space="preserve"> </w:t>
            </w:r>
            <w:proofErr w:type="spellStart"/>
            <w:r w:rsidRPr="003B2DA8">
              <w:rPr>
                <w:rFonts w:ascii="Arial" w:hAnsi="Arial" w:cs="Arial"/>
                <w:b/>
                <w:color w:val="000000"/>
                <w:sz w:val="18"/>
                <w:szCs w:val="18"/>
              </w:rPr>
              <w:t>Fiscais</w:t>
            </w:r>
            <w:proofErr w:type="spellEnd"/>
          </w:p>
        </w:tc>
      </w:tr>
      <w:tr w:rsidR="00F2268B" w:rsidRPr="001F27CE" w14:paraId="294D5601" w14:textId="77777777" w:rsidTr="00FC756F">
        <w:trPr>
          <w:trHeight w:val="219"/>
        </w:trPr>
        <w:tc>
          <w:tcPr>
            <w:tcW w:w="28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4D55FC" w14:textId="77777777" w:rsidR="00F2268B" w:rsidRPr="001F27CE" w:rsidRDefault="00F2268B" w:rsidP="00F2268B">
            <w:pPr>
              <w:jc w:val="center"/>
              <w:rPr>
                <w:rFonts w:ascii="Arial" w:hAnsi="Arial" w:cs="Arial"/>
                <w:color w:val="000000"/>
                <w:sz w:val="18"/>
                <w:szCs w:val="18"/>
              </w:rPr>
            </w:pPr>
            <w:proofErr w:type="spellStart"/>
            <w:r w:rsidRPr="001F27CE">
              <w:rPr>
                <w:rFonts w:ascii="Arial" w:hAnsi="Arial" w:cs="Arial"/>
                <w:color w:val="000000"/>
                <w:sz w:val="18"/>
                <w:szCs w:val="18"/>
              </w:rPr>
              <w:t>Número</w:t>
            </w:r>
            <w:proofErr w:type="spellEnd"/>
            <w:r w:rsidRPr="001F27CE">
              <w:rPr>
                <w:rFonts w:ascii="Arial" w:hAnsi="Arial" w:cs="Arial"/>
                <w:color w:val="000000"/>
                <w:sz w:val="18"/>
                <w:szCs w:val="18"/>
              </w:rPr>
              <w:t xml:space="preserve"> de </w:t>
            </w:r>
            <w:proofErr w:type="spellStart"/>
            <w:r w:rsidRPr="001F27CE">
              <w:rPr>
                <w:rFonts w:ascii="Arial" w:hAnsi="Arial" w:cs="Arial"/>
                <w:color w:val="000000"/>
                <w:sz w:val="18"/>
                <w:szCs w:val="18"/>
              </w:rPr>
              <w:t>processos</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5FD" w14:textId="61838C2F"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4.295 </w:t>
            </w:r>
          </w:p>
        </w:tc>
        <w:tc>
          <w:tcPr>
            <w:tcW w:w="1533" w:type="dxa"/>
            <w:tcBorders>
              <w:top w:val="nil"/>
              <w:left w:val="nil"/>
              <w:bottom w:val="single" w:sz="4" w:space="0" w:color="auto"/>
              <w:right w:val="single" w:sz="4" w:space="0" w:color="auto"/>
            </w:tcBorders>
            <w:shd w:val="clear" w:color="auto" w:fill="auto"/>
            <w:noWrap/>
            <w:vAlign w:val="bottom"/>
            <w:hideMark/>
          </w:tcPr>
          <w:p w14:paraId="294D55FE" w14:textId="7D8BC14B" w:rsidR="00F2268B" w:rsidRPr="001F27CE" w:rsidRDefault="00FC756F" w:rsidP="00FC756F">
            <w:pPr>
              <w:jc w:val="right"/>
              <w:rPr>
                <w:rFonts w:ascii="Arial" w:hAnsi="Arial" w:cs="Arial"/>
                <w:color w:val="000000"/>
                <w:sz w:val="18"/>
                <w:szCs w:val="18"/>
              </w:rPr>
            </w:pPr>
            <w:r>
              <w:rPr>
                <w:rFonts w:ascii="Arial" w:hAnsi="Arial" w:cs="Arial"/>
                <w:color w:val="000000"/>
                <w:sz w:val="18"/>
                <w:szCs w:val="18"/>
              </w:rPr>
              <w:t xml:space="preserve">            </w:t>
            </w:r>
            <w:r w:rsidR="00F2268B" w:rsidRPr="001F27CE">
              <w:rPr>
                <w:rFonts w:ascii="Arial" w:hAnsi="Arial" w:cs="Arial"/>
                <w:color w:val="000000"/>
                <w:sz w:val="18"/>
                <w:szCs w:val="18"/>
              </w:rPr>
              <w:t xml:space="preserve">1.863 </w:t>
            </w:r>
          </w:p>
        </w:tc>
        <w:tc>
          <w:tcPr>
            <w:tcW w:w="1016" w:type="dxa"/>
            <w:tcBorders>
              <w:top w:val="nil"/>
              <w:left w:val="nil"/>
              <w:bottom w:val="single" w:sz="4" w:space="0" w:color="auto"/>
              <w:right w:val="single" w:sz="4" w:space="0" w:color="auto"/>
            </w:tcBorders>
            <w:shd w:val="clear" w:color="auto" w:fill="auto"/>
            <w:noWrap/>
            <w:vAlign w:val="bottom"/>
            <w:hideMark/>
          </w:tcPr>
          <w:p w14:paraId="294D55FF" w14:textId="4804440C" w:rsidR="00F2268B" w:rsidRPr="001F27CE" w:rsidRDefault="00F2268B" w:rsidP="00FC756F">
            <w:pPr>
              <w:jc w:val="right"/>
              <w:rPr>
                <w:rFonts w:ascii="Arial" w:hAnsi="Arial" w:cs="Arial"/>
                <w:color w:val="000000"/>
                <w:sz w:val="18"/>
                <w:szCs w:val="18"/>
              </w:rPr>
            </w:pPr>
            <w:r w:rsidRPr="001F27CE">
              <w:rPr>
                <w:rFonts w:ascii="Arial" w:hAnsi="Arial" w:cs="Arial"/>
                <w:color w:val="000000"/>
                <w:sz w:val="18"/>
                <w:szCs w:val="18"/>
              </w:rPr>
              <w:t xml:space="preserve"> 4.295 </w:t>
            </w:r>
          </w:p>
        </w:tc>
        <w:tc>
          <w:tcPr>
            <w:tcW w:w="1245" w:type="dxa"/>
            <w:tcBorders>
              <w:top w:val="nil"/>
              <w:left w:val="nil"/>
              <w:bottom w:val="single" w:sz="4" w:space="0" w:color="auto"/>
              <w:right w:val="single" w:sz="4" w:space="0" w:color="auto"/>
            </w:tcBorders>
            <w:shd w:val="clear" w:color="auto" w:fill="auto"/>
            <w:noWrap/>
            <w:vAlign w:val="bottom"/>
            <w:hideMark/>
          </w:tcPr>
          <w:p w14:paraId="294D5600" w14:textId="6A42EDEF" w:rsidR="00F2268B" w:rsidRPr="001F27CE" w:rsidRDefault="00FC756F" w:rsidP="003B2DA8">
            <w:pPr>
              <w:jc w:val="right"/>
              <w:rPr>
                <w:rFonts w:ascii="Arial" w:hAnsi="Arial" w:cs="Arial"/>
                <w:color w:val="000000"/>
                <w:sz w:val="18"/>
                <w:szCs w:val="18"/>
              </w:rPr>
            </w:pPr>
            <w:r>
              <w:rPr>
                <w:rFonts w:ascii="Arial" w:hAnsi="Arial" w:cs="Arial"/>
                <w:color w:val="000000"/>
                <w:sz w:val="18"/>
                <w:szCs w:val="18"/>
              </w:rPr>
              <w:t xml:space="preserve">   </w:t>
            </w:r>
            <w:r w:rsidR="00F2268B" w:rsidRPr="001F27CE">
              <w:rPr>
                <w:rFonts w:ascii="Arial" w:hAnsi="Arial" w:cs="Arial"/>
                <w:color w:val="000000"/>
                <w:sz w:val="18"/>
                <w:szCs w:val="18"/>
              </w:rPr>
              <w:t xml:space="preserve">  1.863 </w:t>
            </w:r>
          </w:p>
        </w:tc>
      </w:tr>
      <w:tr w:rsidR="00F2268B" w:rsidRPr="001F27CE" w14:paraId="294D5608" w14:textId="77777777" w:rsidTr="005F50CC">
        <w:trPr>
          <w:trHeight w:val="56"/>
        </w:trPr>
        <w:tc>
          <w:tcPr>
            <w:tcW w:w="1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4D5602" w14:textId="77777777" w:rsidR="00F2268B" w:rsidRPr="001F27CE" w:rsidRDefault="00F2268B" w:rsidP="00F2268B">
            <w:pPr>
              <w:rPr>
                <w:rFonts w:ascii="Arial" w:hAnsi="Arial" w:cs="Arial"/>
                <w:color w:val="000000"/>
                <w:sz w:val="18"/>
                <w:szCs w:val="18"/>
              </w:rPr>
            </w:pPr>
            <w:r w:rsidRPr="001F27CE">
              <w:rPr>
                <w:rFonts w:ascii="Arial" w:hAnsi="Arial" w:cs="Arial"/>
                <w:color w:val="000000"/>
                <w:sz w:val="18"/>
                <w:szCs w:val="18"/>
              </w:rPr>
              <w:t xml:space="preserve">Tempo </w:t>
            </w:r>
            <w:proofErr w:type="spellStart"/>
            <w:r w:rsidRPr="001F27CE">
              <w:rPr>
                <w:rFonts w:ascii="Arial" w:hAnsi="Arial" w:cs="Arial"/>
                <w:color w:val="000000"/>
                <w:sz w:val="18"/>
                <w:szCs w:val="18"/>
              </w:rPr>
              <w:t>por</w:t>
            </w:r>
            <w:proofErr w:type="spellEnd"/>
            <w:r w:rsidRPr="001F27CE">
              <w:rPr>
                <w:rFonts w:ascii="Arial" w:hAnsi="Arial" w:cs="Arial"/>
                <w:color w:val="000000"/>
                <w:sz w:val="18"/>
                <w:szCs w:val="18"/>
              </w:rPr>
              <w:t xml:space="preserve"> </w:t>
            </w:r>
            <w:proofErr w:type="spellStart"/>
            <w:r w:rsidRPr="001F27CE">
              <w:rPr>
                <w:rFonts w:ascii="Arial" w:hAnsi="Arial" w:cs="Arial"/>
                <w:color w:val="000000"/>
                <w:sz w:val="18"/>
                <w:szCs w:val="18"/>
              </w:rPr>
              <w:t>processo</w:t>
            </w:r>
            <w:proofErr w:type="spellEnd"/>
            <w:r w:rsidRPr="001F27CE">
              <w:rPr>
                <w:rFonts w:ascii="Arial" w:hAnsi="Arial" w:cs="Arial"/>
                <w:color w:val="000000"/>
                <w:sz w:val="18"/>
                <w:szCs w:val="18"/>
              </w:rPr>
              <w:t xml:space="preserve"> - horas</w:t>
            </w:r>
          </w:p>
        </w:tc>
        <w:tc>
          <w:tcPr>
            <w:tcW w:w="1260" w:type="dxa"/>
            <w:tcBorders>
              <w:top w:val="nil"/>
              <w:left w:val="nil"/>
              <w:bottom w:val="single" w:sz="4" w:space="0" w:color="auto"/>
              <w:right w:val="single" w:sz="4" w:space="0" w:color="auto"/>
            </w:tcBorders>
            <w:shd w:val="clear" w:color="auto" w:fill="auto"/>
            <w:noWrap/>
            <w:vAlign w:val="bottom"/>
            <w:hideMark/>
          </w:tcPr>
          <w:p w14:paraId="294D5603"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Fiscais</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04"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0,67</w:t>
            </w:r>
          </w:p>
        </w:tc>
        <w:tc>
          <w:tcPr>
            <w:tcW w:w="1533" w:type="dxa"/>
            <w:tcBorders>
              <w:top w:val="nil"/>
              <w:left w:val="nil"/>
              <w:bottom w:val="single" w:sz="4" w:space="0" w:color="auto"/>
              <w:right w:val="single" w:sz="4" w:space="0" w:color="auto"/>
            </w:tcBorders>
            <w:shd w:val="clear" w:color="auto" w:fill="auto"/>
            <w:noWrap/>
            <w:vAlign w:val="bottom"/>
            <w:hideMark/>
          </w:tcPr>
          <w:p w14:paraId="294D5605"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2,33</w:t>
            </w:r>
          </w:p>
        </w:tc>
        <w:tc>
          <w:tcPr>
            <w:tcW w:w="1016" w:type="dxa"/>
            <w:tcBorders>
              <w:top w:val="nil"/>
              <w:left w:val="nil"/>
              <w:bottom w:val="single" w:sz="4" w:space="0" w:color="auto"/>
              <w:right w:val="single" w:sz="4" w:space="0" w:color="auto"/>
            </w:tcBorders>
            <w:shd w:val="clear" w:color="auto" w:fill="auto"/>
            <w:noWrap/>
            <w:vAlign w:val="bottom"/>
            <w:hideMark/>
          </w:tcPr>
          <w:p w14:paraId="294D5606"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0,17</w:t>
            </w:r>
          </w:p>
        </w:tc>
        <w:tc>
          <w:tcPr>
            <w:tcW w:w="1245" w:type="dxa"/>
            <w:tcBorders>
              <w:top w:val="nil"/>
              <w:left w:val="nil"/>
              <w:bottom w:val="single" w:sz="4" w:space="0" w:color="auto"/>
              <w:right w:val="single" w:sz="4" w:space="0" w:color="auto"/>
            </w:tcBorders>
            <w:shd w:val="clear" w:color="auto" w:fill="auto"/>
            <w:noWrap/>
            <w:vAlign w:val="bottom"/>
            <w:hideMark/>
          </w:tcPr>
          <w:p w14:paraId="294D5607"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1,17</w:t>
            </w:r>
          </w:p>
        </w:tc>
      </w:tr>
      <w:tr w:rsidR="00F2268B" w:rsidRPr="001F27CE" w14:paraId="294D560F" w14:textId="77777777" w:rsidTr="005F50CC">
        <w:trPr>
          <w:trHeight w:val="107"/>
        </w:trPr>
        <w:tc>
          <w:tcPr>
            <w:tcW w:w="1620" w:type="dxa"/>
            <w:vMerge/>
            <w:tcBorders>
              <w:top w:val="nil"/>
              <w:left w:val="single" w:sz="4" w:space="0" w:color="auto"/>
              <w:bottom w:val="single" w:sz="4" w:space="0" w:color="000000"/>
              <w:right w:val="single" w:sz="4" w:space="0" w:color="auto"/>
            </w:tcBorders>
            <w:vAlign w:val="center"/>
            <w:hideMark/>
          </w:tcPr>
          <w:p w14:paraId="294D5609" w14:textId="77777777" w:rsidR="00F2268B" w:rsidRPr="001F27CE" w:rsidRDefault="00F2268B" w:rsidP="00F2268B">
            <w:pPr>
              <w:rPr>
                <w:rFonts w:ascii="Arial" w:hAnsi="Arial" w:cs="Arial"/>
                <w:color w:val="000000"/>
                <w:sz w:val="18"/>
                <w:szCs w:val="18"/>
              </w:rPr>
            </w:pPr>
          </w:p>
        </w:tc>
        <w:tc>
          <w:tcPr>
            <w:tcW w:w="1260" w:type="dxa"/>
            <w:tcBorders>
              <w:top w:val="nil"/>
              <w:left w:val="nil"/>
              <w:bottom w:val="single" w:sz="4" w:space="0" w:color="auto"/>
              <w:right w:val="single" w:sz="4" w:space="0" w:color="auto"/>
            </w:tcBorders>
            <w:shd w:val="clear" w:color="auto" w:fill="auto"/>
            <w:noWrap/>
            <w:vAlign w:val="bottom"/>
            <w:hideMark/>
          </w:tcPr>
          <w:p w14:paraId="294D560A"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Apoio</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0B"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1,33</w:t>
            </w:r>
          </w:p>
        </w:tc>
        <w:tc>
          <w:tcPr>
            <w:tcW w:w="1533" w:type="dxa"/>
            <w:tcBorders>
              <w:top w:val="nil"/>
              <w:left w:val="nil"/>
              <w:bottom w:val="single" w:sz="4" w:space="0" w:color="auto"/>
              <w:right w:val="single" w:sz="4" w:space="0" w:color="auto"/>
            </w:tcBorders>
            <w:shd w:val="clear" w:color="auto" w:fill="auto"/>
            <w:noWrap/>
            <w:vAlign w:val="bottom"/>
            <w:hideMark/>
          </w:tcPr>
          <w:p w14:paraId="294D560C"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w:t>
            </w:r>
          </w:p>
        </w:tc>
        <w:tc>
          <w:tcPr>
            <w:tcW w:w="1016" w:type="dxa"/>
            <w:tcBorders>
              <w:top w:val="nil"/>
              <w:left w:val="nil"/>
              <w:bottom w:val="single" w:sz="4" w:space="0" w:color="auto"/>
              <w:right w:val="single" w:sz="4" w:space="0" w:color="auto"/>
            </w:tcBorders>
            <w:shd w:val="clear" w:color="auto" w:fill="auto"/>
            <w:noWrap/>
            <w:vAlign w:val="bottom"/>
            <w:hideMark/>
          </w:tcPr>
          <w:p w14:paraId="294D560D"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0,67</w:t>
            </w:r>
          </w:p>
        </w:tc>
        <w:tc>
          <w:tcPr>
            <w:tcW w:w="1245" w:type="dxa"/>
            <w:tcBorders>
              <w:top w:val="nil"/>
              <w:left w:val="nil"/>
              <w:bottom w:val="single" w:sz="4" w:space="0" w:color="auto"/>
              <w:right w:val="single" w:sz="4" w:space="0" w:color="auto"/>
            </w:tcBorders>
            <w:shd w:val="clear" w:color="auto" w:fill="auto"/>
            <w:noWrap/>
            <w:vAlign w:val="bottom"/>
            <w:hideMark/>
          </w:tcPr>
          <w:p w14:paraId="294D560E"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w:t>
            </w:r>
          </w:p>
        </w:tc>
      </w:tr>
      <w:tr w:rsidR="00F2268B" w:rsidRPr="001F27CE" w14:paraId="294D5616" w14:textId="77777777" w:rsidTr="005F50CC">
        <w:trPr>
          <w:trHeight w:val="56"/>
        </w:trPr>
        <w:tc>
          <w:tcPr>
            <w:tcW w:w="1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4D5610"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Custo</w:t>
            </w:r>
            <w:proofErr w:type="spellEnd"/>
            <w:r w:rsidRPr="001F27CE">
              <w:rPr>
                <w:rFonts w:ascii="Arial" w:hAnsi="Arial" w:cs="Arial"/>
                <w:color w:val="000000"/>
                <w:sz w:val="18"/>
                <w:szCs w:val="18"/>
              </w:rPr>
              <w:t xml:space="preserve"> </w:t>
            </w:r>
            <w:proofErr w:type="spellStart"/>
            <w:r w:rsidRPr="001F27CE">
              <w:rPr>
                <w:rFonts w:ascii="Arial" w:hAnsi="Arial" w:cs="Arial"/>
                <w:color w:val="000000"/>
                <w:sz w:val="18"/>
                <w:szCs w:val="18"/>
              </w:rPr>
              <w:t>por</w:t>
            </w:r>
            <w:proofErr w:type="spellEnd"/>
            <w:r w:rsidRPr="001F27CE">
              <w:rPr>
                <w:rFonts w:ascii="Arial" w:hAnsi="Arial" w:cs="Arial"/>
                <w:color w:val="000000"/>
                <w:sz w:val="18"/>
                <w:szCs w:val="18"/>
              </w:rPr>
              <w:t xml:space="preserve"> hora</w:t>
            </w:r>
          </w:p>
        </w:tc>
        <w:tc>
          <w:tcPr>
            <w:tcW w:w="1260" w:type="dxa"/>
            <w:tcBorders>
              <w:top w:val="nil"/>
              <w:left w:val="nil"/>
              <w:bottom w:val="single" w:sz="4" w:space="0" w:color="auto"/>
              <w:right w:val="single" w:sz="4" w:space="0" w:color="auto"/>
            </w:tcBorders>
            <w:shd w:val="clear" w:color="auto" w:fill="auto"/>
            <w:noWrap/>
            <w:vAlign w:val="bottom"/>
            <w:hideMark/>
          </w:tcPr>
          <w:p w14:paraId="294D5611"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Fiscais</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12"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333</w:t>
            </w:r>
          </w:p>
        </w:tc>
        <w:tc>
          <w:tcPr>
            <w:tcW w:w="1533" w:type="dxa"/>
            <w:tcBorders>
              <w:top w:val="nil"/>
              <w:left w:val="nil"/>
              <w:bottom w:val="single" w:sz="4" w:space="0" w:color="auto"/>
              <w:right w:val="single" w:sz="4" w:space="0" w:color="auto"/>
            </w:tcBorders>
            <w:shd w:val="clear" w:color="auto" w:fill="auto"/>
            <w:noWrap/>
            <w:vAlign w:val="bottom"/>
            <w:hideMark/>
          </w:tcPr>
          <w:p w14:paraId="294D5613"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333</w:t>
            </w:r>
          </w:p>
        </w:tc>
        <w:tc>
          <w:tcPr>
            <w:tcW w:w="1016" w:type="dxa"/>
            <w:tcBorders>
              <w:top w:val="nil"/>
              <w:left w:val="nil"/>
              <w:bottom w:val="single" w:sz="4" w:space="0" w:color="auto"/>
              <w:right w:val="single" w:sz="4" w:space="0" w:color="auto"/>
            </w:tcBorders>
            <w:shd w:val="clear" w:color="auto" w:fill="auto"/>
            <w:noWrap/>
            <w:vAlign w:val="bottom"/>
            <w:hideMark/>
          </w:tcPr>
          <w:p w14:paraId="294D5614"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333</w:t>
            </w:r>
          </w:p>
        </w:tc>
        <w:tc>
          <w:tcPr>
            <w:tcW w:w="1245" w:type="dxa"/>
            <w:tcBorders>
              <w:top w:val="nil"/>
              <w:left w:val="nil"/>
              <w:bottom w:val="single" w:sz="4" w:space="0" w:color="auto"/>
              <w:right w:val="single" w:sz="4" w:space="0" w:color="auto"/>
            </w:tcBorders>
            <w:shd w:val="clear" w:color="auto" w:fill="auto"/>
            <w:noWrap/>
            <w:vAlign w:val="bottom"/>
            <w:hideMark/>
          </w:tcPr>
          <w:p w14:paraId="294D5615"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333</w:t>
            </w:r>
          </w:p>
        </w:tc>
      </w:tr>
      <w:tr w:rsidR="00F2268B" w:rsidRPr="001F27CE" w14:paraId="294D561D" w14:textId="77777777" w:rsidTr="005F50CC">
        <w:trPr>
          <w:trHeight w:val="86"/>
        </w:trPr>
        <w:tc>
          <w:tcPr>
            <w:tcW w:w="1620" w:type="dxa"/>
            <w:vMerge/>
            <w:tcBorders>
              <w:top w:val="nil"/>
              <w:left w:val="single" w:sz="4" w:space="0" w:color="auto"/>
              <w:bottom w:val="single" w:sz="4" w:space="0" w:color="000000"/>
              <w:right w:val="single" w:sz="4" w:space="0" w:color="auto"/>
            </w:tcBorders>
            <w:vAlign w:val="center"/>
            <w:hideMark/>
          </w:tcPr>
          <w:p w14:paraId="294D5617" w14:textId="77777777" w:rsidR="00F2268B" w:rsidRPr="001F27CE" w:rsidRDefault="00F2268B" w:rsidP="00F2268B">
            <w:pPr>
              <w:rPr>
                <w:rFonts w:ascii="Arial" w:hAnsi="Arial" w:cs="Arial"/>
                <w:color w:val="000000"/>
                <w:sz w:val="18"/>
                <w:szCs w:val="18"/>
              </w:rPr>
            </w:pPr>
          </w:p>
        </w:tc>
        <w:tc>
          <w:tcPr>
            <w:tcW w:w="1260" w:type="dxa"/>
            <w:tcBorders>
              <w:top w:val="nil"/>
              <w:left w:val="nil"/>
              <w:bottom w:val="single" w:sz="4" w:space="0" w:color="auto"/>
              <w:right w:val="single" w:sz="4" w:space="0" w:color="auto"/>
            </w:tcBorders>
            <w:shd w:val="clear" w:color="auto" w:fill="auto"/>
            <w:noWrap/>
            <w:vAlign w:val="bottom"/>
            <w:hideMark/>
          </w:tcPr>
          <w:p w14:paraId="294D5618"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Apoio</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19"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100</w:t>
            </w:r>
          </w:p>
        </w:tc>
        <w:tc>
          <w:tcPr>
            <w:tcW w:w="1533" w:type="dxa"/>
            <w:tcBorders>
              <w:top w:val="nil"/>
              <w:left w:val="nil"/>
              <w:bottom w:val="single" w:sz="4" w:space="0" w:color="auto"/>
              <w:right w:val="single" w:sz="4" w:space="0" w:color="auto"/>
            </w:tcBorders>
            <w:shd w:val="clear" w:color="auto" w:fill="auto"/>
            <w:noWrap/>
            <w:vAlign w:val="bottom"/>
            <w:hideMark/>
          </w:tcPr>
          <w:p w14:paraId="294D561A"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100</w:t>
            </w:r>
          </w:p>
        </w:tc>
        <w:tc>
          <w:tcPr>
            <w:tcW w:w="1016" w:type="dxa"/>
            <w:tcBorders>
              <w:top w:val="nil"/>
              <w:left w:val="nil"/>
              <w:bottom w:val="single" w:sz="4" w:space="0" w:color="auto"/>
              <w:right w:val="single" w:sz="4" w:space="0" w:color="auto"/>
            </w:tcBorders>
            <w:shd w:val="clear" w:color="auto" w:fill="auto"/>
            <w:noWrap/>
            <w:vAlign w:val="bottom"/>
            <w:hideMark/>
          </w:tcPr>
          <w:p w14:paraId="294D561B"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100</w:t>
            </w:r>
          </w:p>
        </w:tc>
        <w:tc>
          <w:tcPr>
            <w:tcW w:w="1245" w:type="dxa"/>
            <w:tcBorders>
              <w:top w:val="nil"/>
              <w:left w:val="nil"/>
              <w:bottom w:val="single" w:sz="4" w:space="0" w:color="auto"/>
              <w:right w:val="single" w:sz="4" w:space="0" w:color="auto"/>
            </w:tcBorders>
            <w:shd w:val="clear" w:color="auto" w:fill="auto"/>
            <w:noWrap/>
            <w:vAlign w:val="bottom"/>
            <w:hideMark/>
          </w:tcPr>
          <w:p w14:paraId="294D561C"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100</w:t>
            </w:r>
          </w:p>
        </w:tc>
      </w:tr>
      <w:tr w:rsidR="00F2268B" w:rsidRPr="001F27CE" w14:paraId="294D5624" w14:textId="77777777" w:rsidTr="005F50CC">
        <w:trPr>
          <w:trHeight w:val="56"/>
        </w:trPr>
        <w:tc>
          <w:tcPr>
            <w:tcW w:w="162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94D561E"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Custo</w:t>
            </w:r>
            <w:proofErr w:type="spellEnd"/>
            <w:r w:rsidRPr="001F27CE">
              <w:rPr>
                <w:rFonts w:ascii="Arial" w:hAnsi="Arial" w:cs="Arial"/>
                <w:color w:val="000000"/>
                <w:sz w:val="18"/>
                <w:szCs w:val="18"/>
              </w:rPr>
              <w:t xml:space="preserve"> Total</w:t>
            </w:r>
          </w:p>
        </w:tc>
        <w:tc>
          <w:tcPr>
            <w:tcW w:w="1260" w:type="dxa"/>
            <w:tcBorders>
              <w:top w:val="nil"/>
              <w:left w:val="nil"/>
              <w:bottom w:val="single" w:sz="4" w:space="0" w:color="auto"/>
              <w:right w:val="single" w:sz="4" w:space="0" w:color="auto"/>
            </w:tcBorders>
            <w:shd w:val="clear" w:color="auto" w:fill="auto"/>
            <w:noWrap/>
            <w:vAlign w:val="bottom"/>
            <w:hideMark/>
          </w:tcPr>
          <w:p w14:paraId="294D561F"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Fiscais</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20"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952.854 </w:t>
            </w:r>
          </w:p>
        </w:tc>
        <w:tc>
          <w:tcPr>
            <w:tcW w:w="1533" w:type="dxa"/>
            <w:tcBorders>
              <w:top w:val="nil"/>
              <w:left w:val="nil"/>
              <w:bottom w:val="single" w:sz="4" w:space="0" w:color="auto"/>
              <w:right w:val="single" w:sz="4" w:space="0" w:color="auto"/>
            </w:tcBorders>
            <w:shd w:val="clear" w:color="auto" w:fill="auto"/>
            <w:noWrap/>
            <w:vAlign w:val="bottom"/>
            <w:hideMark/>
          </w:tcPr>
          <w:p w14:paraId="294D5621"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1.446.585 </w:t>
            </w:r>
          </w:p>
        </w:tc>
        <w:tc>
          <w:tcPr>
            <w:tcW w:w="1016" w:type="dxa"/>
            <w:tcBorders>
              <w:top w:val="nil"/>
              <w:left w:val="nil"/>
              <w:bottom w:val="single" w:sz="4" w:space="0" w:color="auto"/>
              <w:right w:val="single" w:sz="4" w:space="0" w:color="auto"/>
            </w:tcBorders>
            <w:shd w:val="clear" w:color="auto" w:fill="auto"/>
            <w:noWrap/>
            <w:vAlign w:val="bottom"/>
            <w:hideMark/>
          </w:tcPr>
          <w:p w14:paraId="294D5622"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238.213 </w:t>
            </w:r>
          </w:p>
        </w:tc>
        <w:tc>
          <w:tcPr>
            <w:tcW w:w="1245" w:type="dxa"/>
            <w:tcBorders>
              <w:top w:val="nil"/>
              <w:left w:val="nil"/>
              <w:bottom w:val="single" w:sz="4" w:space="0" w:color="auto"/>
              <w:right w:val="single" w:sz="4" w:space="0" w:color="auto"/>
            </w:tcBorders>
            <w:shd w:val="clear" w:color="auto" w:fill="auto"/>
            <w:noWrap/>
            <w:vAlign w:val="bottom"/>
            <w:hideMark/>
          </w:tcPr>
          <w:p w14:paraId="294D5623"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723.293 </w:t>
            </w:r>
          </w:p>
        </w:tc>
      </w:tr>
      <w:tr w:rsidR="00F2268B" w:rsidRPr="001F27CE" w14:paraId="294D562B" w14:textId="77777777" w:rsidTr="005F50CC">
        <w:trPr>
          <w:trHeight w:val="56"/>
        </w:trPr>
        <w:tc>
          <w:tcPr>
            <w:tcW w:w="1620" w:type="dxa"/>
            <w:vMerge/>
            <w:tcBorders>
              <w:top w:val="nil"/>
              <w:left w:val="single" w:sz="4" w:space="0" w:color="auto"/>
              <w:bottom w:val="single" w:sz="4" w:space="0" w:color="000000"/>
              <w:right w:val="single" w:sz="4" w:space="0" w:color="auto"/>
            </w:tcBorders>
            <w:vAlign w:val="center"/>
            <w:hideMark/>
          </w:tcPr>
          <w:p w14:paraId="294D5625" w14:textId="77777777" w:rsidR="00F2268B" w:rsidRPr="001F27CE" w:rsidRDefault="00F2268B" w:rsidP="00F2268B">
            <w:pPr>
              <w:rPr>
                <w:rFonts w:ascii="Arial" w:hAnsi="Arial" w:cs="Arial"/>
                <w:color w:val="000000"/>
                <w:sz w:val="18"/>
                <w:szCs w:val="18"/>
              </w:rPr>
            </w:pPr>
          </w:p>
        </w:tc>
        <w:tc>
          <w:tcPr>
            <w:tcW w:w="1260" w:type="dxa"/>
            <w:tcBorders>
              <w:top w:val="nil"/>
              <w:left w:val="nil"/>
              <w:bottom w:val="single" w:sz="4" w:space="0" w:color="auto"/>
              <w:right w:val="single" w:sz="4" w:space="0" w:color="auto"/>
            </w:tcBorders>
            <w:shd w:val="clear" w:color="auto" w:fill="auto"/>
            <w:noWrap/>
            <w:vAlign w:val="bottom"/>
            <w:hideMark/>
          </w:tcPr>
          <w:p w14:paraId="294D5626" w14:textId="77777777" w:rsidR="00F2268B" w:rsidRPr="001F27CE" w:rsidRDefault="00F2268B" w:rsidP="00F2268B">
            <w:pPr>
              <w:rPr>
                <w:rFonts w:ascii="Arial" w:hAnsi="Arial" w:cs="Arial"/>
                <w:color w:val="000000"/>
                <w:sz w:val="18"/>
                <w:szCs w:val="18"/>
              </w:rPr>
            </w:pPr>
            <w:proofErr w:type="spellStart"/>
            <w:r w:rsidRPr="001F27CE">
              <w:rPr>
                <w:rFonts w:ascii="Arial" w:hAnsi="Arial" w:cs="Arial"/>
                <w:color w:val="000000"/>
                <w:sz w:val="18"/>
                <w:szCs w:val="18"/>
              </w:rPr>
              <w:t>Apoio</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27"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571.712 </w:t>
            </w:r>
          </w:p>
        </w:tc>
        <w:tc>
          <w:tcPr>
            <w:tcW w:w="1533" w:type="dxa"/>
            <w:tcBorders>
              <w:top w:val="nil"/>
              <w:left w:val="nil"/>
              <w:bottom w:val="single" w:sz="4" w:space="0" w:color="auto"/>
              <w:right w:val="single" w:sz="4" w:space="0" w:color="auto"/>
            </w:tcBorders>
            <w:shd w:val="clear" w:color="auto" w:fill="auto"/>
            <w:noWrap/>
            <w:vAlign w:val="bottom"/>
            <w:hideMark/>
          </w:tcPr>
          <w:p w14:paraId="294D5628"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w:t>
            </w:r>
          </w:p>
        </w:tc>
        <w:tc>
          <w:tcPr>
            <w:tcW w:w="1016" w:type="dxa"/>
            <w:tcBorders>
              <w:top w:val="nil"/>
              <w:left w:val="nil"/>
              <w:bottom w:val="single" w:sz="4" w:space="0" w:color="auto"/>
              <w:right w:val="single" w:sz="4" w:space="0" w:color="auto"/>
            </w:tcBorders>
            <w:shd w:val="clear" w:color="auto" w:fill="auto"/>
            <w:noWrap/>
            <w:vAlign w:val="bottom"/>
            <w:hideMark/>
          </w:tcPr>
          <w:p w14:paraId="294D5629"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285.856 </w:t>
            </w:r>
          </w:p>
        </w:tc>
        <w:tc>
          <w:tcPr>
            <w:tcW w:w="1245" w:type="dxa"/>
            <w:tcBorders>
              <w:top w:val="nil"/>
              <w:left w:val="nil"/>
              <w:bottom w:val="single" w:sz="4" w:space="0" w:color="auto"/>
              <w:right w:val="single" w:sz="4" w:space="0" w:color="auto"/>
            </w:tcBorders>
            <w:shd w:val="clear" w:color="auto" w:fill="auto"/>
            <w:noWrap/>
            <w:vAlign w:val="bottom"/>
            <w:hideMark/>
          </w:tcPr>
          <w:p w14:paraId="294D562A"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0</w:t>
            </w:r>
          </w:p>
        </w:tc>
      </w:tr>
      <w:tr w:rsidR="00F2268B" w:rsidRPr="001F27CE" w14:paraId="294D5631" w14:textId="77777777" w:rsidTr="00E1480D">
        <w:trPr>
          <w:trHeight w:val="233"/>
        </w:trPr>
        <w:tc>
          <w:tcPr>
            <w:tcW w:w="28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4D562C" w14:textId="77777777" w:rsidR="00F2268B" w:rsidRPr="001F27CE" w:rsidRDefault="00F2268B" w:rsidP="005F50CC">
            <w:pPr>
              <w:rPr>
                <w:rFonts w:ascii="Arial" w:hAnsi="Arial" w:cs="Arial"/>
                <w:b/>
                <w:bCs/>
                <w:color w:val="000000"/>
                <w:sz w:val="18"/>
                <w:szCs w:val="18"/>
              </w:rPr>
            </w:pPr>
            <w:r w:rsidRPr="001F27CE">
              <w:rPr>
                <w:rFonts w:ascii="Arial" w:hAnsi="Arial" w:cs="Arial"/>
                <w:b/>
                <w:bCs/>
                <w:color w:val="000000"/>
                <w:sz w:val="18"/>
                <w:szCs w:val="18"/>
              </w:rPr>
              <w:t xml:space="preserve">Total dos </w:t>
            </w:r>
            <w:proofErr w:type="spellStart"/>
            <w:r w:rsidRPr="001F27CE">
              <w:rPr>
                <w:rFonts w:ascii="Arial" w:hAnsi="Arial" w:cs="Arial"/>
                <w:b/>
                <w:bCs/>
                <w:color w:val="000000"/>
                <w:sz w:val="18"/>
                <w:szCs w:val="18"/>
              </w:rPr>
              <w:t>Custos</w:t>
            </w:r>
            <w:proofErr w:type="spellEnd"/>
          </w:p>
        </w:tc>
        <w:tc>
          <w:tcPr>
            <w:tcW w:w="1246" w:type="dxa"/>
            <w:tcBorders>
              <w:top w:val="nil"/>
              <w:left w:val="nil"/>
              <w:bottom w:val="single" w:sz="4" w:space="0" w:color="auto"/>
              <w:right w:val="single" w:sz="4" w:space="0" w:color="auto"/>
            </w:tcBorders>
            <w:shd w:val="clear" w:color="auto" w:fill="auto"/>
            <w:noWrap/>
            <w:vAlign w:val="bottom"/>
            <w:hideMark/>
          </w:tcPr>
          <w:p w14:paraId="294D562D" w14:textId="77777777" w:rsidR="00F2268B" w:rsidRPr="001F27CE" w:rsidRDefault="005F50CC" w:rsidP="003B2DA8">
            <w:pPr>
              <w:jc w:val="right"/>
              <w:rPr>
                <w:rFonts w:ascii="Arial" w:hAnsi="Arial" w:cs="Arial"/>
                <w:color w:val="000000"/>
                <w:sz w:val="18"/>
                <w:szCs w:val="18"/>
              </w:rPr>
            </w:pPr>
            <w:r>
              <w:rPr>
                <w:rFonts w:ascii="Arial" w:hAnsi="Arial" w:cs="Arial"/>
                <w:color w:val="000000"/>
                <w:sz w:val="18"/>
                <w:szCs w:val="18"/>
              </w:rPr>
              <w:t xml:space="preserve">    </w:t>
            </w:r>
            <w:r w:rsidR="00F2268B" w:rsidRPr="001F27CE">
              <w:rPr>
                <w:rFonts w:ascii="Arial" w:hAnsi="Arial" w:cs="Arial"/>
                <w:color w:val="000000"/>
                <w:sz w:val="18"/>
                <w:szCs w:val="18"/>
              </w:rPr>
              <w:t xml:space="preserve">1.524.566 </w:t>
            </w:r>
          </w:p>
        </w:tc>
        <w:tc>
          <w:tcPr>
            <w:tcW w:w="1533" w:type="dxa"/>
            <w:tcBorders>
              <w:top w:val="nil"/>
              <w:left w:val="nil"/>
              <w:bottom w:val="single" w:sz="4" w:space="0" w:color="auto"/>
              <w:right w:val="single" w:sz="4" w:space="0" w:color="auto"/>
            </w:tcBorders>
            <w:shd w:val="clear" w:color="auto" w:fill="auto"/>
            <w:noWrap/>
            <w:vAlign w:val="bottom"/>
            <w:hideMark/>
          </w:tcPr>
          <w:p w14:paraId="294D562E"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1.446.585 </w:t>
            </w:r>
          </w:p>
        </w:tc>
        <w:tc>
          <w:tcPr>
            <w:tcW w:w="1016" w:type="dxa"/>
            <w:tcBorders>
              <w:top w:val="nil"/>
              <w:left w:val="nil"/>
              <w:bottom w:val="single" w:sz="4" w:space="0" w:color="auto"/>
              <w:right w:val="single" w:sz="4" w:space="0" w:color="auto"/>
            </w:tcBorders>
            <w:shd w:val="clear" w:color="auto" w:fill="auto"/>
            <w:noWrap/>
            <w:vAlign w:val="bottom"/>
            <w:hideMark/>
          </w:tcPr>
          <w:p w14:paraId="294D562F"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524.070 </w:t>
            </w:r>
          </w:p>
        </w:tc>
        <w:tc>
          <w:tcPr>
            <w:tcW w:w="1245" w:type="dxa"/>
            <w:tcBorders>
              <w:top w:val="nil"/>
              <w:left w:val="nil"/>
              <w:bottom w:val="single" w:sz="4" w:space="0" w:color="auto"/>
              <w:right w:val="single" w:sz="4" w:space="0" w:color="auto"/>
            </w:tcBorders>
            <w:shd w:val="clear" w:color="auto" w:fill="auto"/>
            <w:noWrap/>
            <w:vAlign w:val="bottom"/>
            <w:hideMark/>
          </w:tcPr>
          <w:p w14:paraId="294D5630"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723.293 </w:t>
            </w:r>
          </w:p>
        </w:tc>
      </w:tr>
      <w:tr w:rsidR="00F2268B" w:rsidRPr="001F27CE" w14:paraId="294D5637" w14:textId="77777777" w:rsidTr="00E1480D">
        <w:trPr>
          <w:trHeight w:val="155"/>
        </w:trPr>
        <w:tc>
          <w:tcPr>
            <w:tcW w:w="28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4D5632" w14:textId="77777777" w:rsidR="00F2268B" w:rsidRPr="001F27CE" w:rsidRDefault="005F50CC" w:rsidP="005F50CC">
            <w:pPr>
              <w:rPr>
                <w:rFonts w:ascii="Arial" w:hAnsi="Arial" w:cs="Arial"/>
                <w:b/>
                <w:bCs/>
                <w:color w:val="000000"/>
                <w:sz w:val="18"/>
                <w:szCs w:val="18"/>
              </w:rPr>
            </w:pPr>
            <w:proofErr w:type="spellStart"/>
            <w:r>
              <w:rPr>
                <w:rFonts w:ascii="Arial" w:hAnsi="Arial" w:cs="Arial"/>
                <w:b/>
                <w:bCs/>
                <w:color w:val="000000"/>
                <w:sz w:val="18"/>
                <w:szCs w:val="18"/>
              </w:rPr>
              <w:t>Economia</w:t>
            </w:r>
            <w:proofErr w:type="spellEnd"/>
            <w:r>
              <w:rPr>
                <w:rFonts w:ascii="Arial" w:hAnsi="Arial" w:cs="Arial"/>
                <w:b/>
                <w:bCs/>
                <w:color w:val="000000"/>
                <w:sz w:val="18"/>
                <w:szCs w:val="18"/>
              </w:rPr>
              <w:t xml:space="preserve"> com </w:t>
            </w:r>
            <w:proofErr w:type="spellStart"/>
            <w:r w:rsidR="00F2268B" w:rsidRPr="001F27CE">
              <w:rPr>
                <w:rFonts w:ascii="Arial" w:hAnsi="Arial" w:cs="Arial"/>
                <w:b/>
                <w:bCs/>
                <w:color w:val="000000"/>
                <w:sz w:val="18"/>
                <w:szCs w:val="18"/>
              </w:rPr>
              <w:t>automatização</w:t>
            </w:r>
            <w:proofErr w:type="spellEnd"/>
          </w:p>
        </w:tc>
        <w:tc>
          <w:tcPr>
            <w:tcW w:w="1246" w:type="dxa"/>
            <w:tcBorders>
              <w:top w:val="single" w:sz="4" w:space="0" w:color="auto"/>
              <w:left w:val="nil"/>
              <w:bottom w:val="single" w:sz="4" w:space="0" w:color="auto"/>
              <w:right w:val="single" w:sz="4" w:space="0" w:color="auto"/>
            </w:tcBorders>
            <w:shd w:val="clear" w:color="auto" w:fill="auto"/>
            <w:noWrap/>
            <w:vAlign w:val="bottom"/>
            <w:hideMark/>
          </w:tcPr>
          <w:p w14:paraId="294D5633" w14:textId="77777777" w:rsidR="00F2268B" w:rsidRPr="001F27CE" w:rsidRDefault="005F50CC" w:rsidP="003B2DA8">
            <w:pPr>
              <w:jc w:val="right"/>
              <w:rPr>
                <w:rFonts w:ascii="Arial" w:hAnsi="Arial" w:cs="Arial"/>
                <w:color w:val="000000"/>
                <w:sz w:val="18"/>
                <w:szCs w:val="18"/>
              </w:rPr>
            </w:pPr>
            <w:r>
              <w:rPr>
                <w:rFonts w:ascii="Arial" w:hAnsi="Arial" w:cs="Arial"/>
                <w:color w:val="000000"/>
                <w:sz w:val="18"/>
                <w:szCs w:val="18"/>
              </w:rPr>
              <w:t xml:space="preserve">    </w:t>
            </w:r>
            <w:r w:rsidR="00F2268B" w:rsidRPr="001F27CE">
              <w:rPr>
                <w:rFonts w:ascii="Arial" w:hAnsi="Arial" w:cs="Arial"/>
                <w:color w:val="000000"/>
                <w:sz w:val="18"/>
                <w:szCs w:val="18"/>
              </w:rPr>
              <w:t xml:space="preserve">1.000.496 </w:t>
            </w:r>
          </w:p>
        </w:tc>
        <w:tc>
          <w:tcPr>
            <w:tcW w:w="1533" w:type="dxa"/>
            <w:tcBorders>
              <w:top w:val="single" w:sz="4" w:space="0" w:color="auto"/>
              <w:left w:val="nil"/>
              <w:bottom w:val="single" w:sz="4" w:space="0" w:color="auto"/>
              <w:right w:val="single" w:sz="4" w:space="0" w:color="auto"/>
            </w:tcBorders>
            <w:shd w:val="clear" w:color="auto" w:fill="auto"/>
            <w:noWrap/>
            <w:vAlign w:val="bottom"/>
            <w:hideMark/>
          </w:tcPr>
          <w:p w14:paraId="294D5634"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xml:space="preserve">            723.293 </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14:paraId="294D5635"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14:paraId="294D5636" w14:textId="77777777" w:rsidR="00F2268B" w:rsidRPr="001F27CE" w:rsidRDefault="00F2268B" w:rsidP="003B2DA8">
            <w:pPr>
              <w:jc w:val="right"/>
              <w:rPr>
                <w:rFonts w:ascii="Arial" w:hAnsi="Arial" w:cs="Arial"/>
                <w:color w:val="000000"/>
                <w:sz w:val="18"/>
                <w:szCs w:val="18"/>
              </w:rPr>
            </w:pPr>
            <w:r w:rsidRPr="001F27CE">
              <w:rPr>
                <w:rFonts w:ascii="Arial" w:hAnsi="Arial" w:cs="Arial"/>
                <w:color w:val="000000"/>
                <w:sz w:val="18"/>
                <w:szCs w:val="18"/>
              </w:rPr>
              <w:t> </w:t>
            </w:r>
          </w:p>
        </w:tc>
      </w:tr>
      <w:tr w:rsidR="00E1480D" w:rsidRPr="00E1480D" w14:paraId="329C9AC7" w14:textId="77777777" w:rsidTr="00E1480D">
        <w:trPr>
          <w:trHeight w:val="155"/>
        </w:trPr>
        <w:tc>
          <w:tcPr>
            <w:tcW w:w="7920" w:type="dxa"/>
            <w:gridSpan w:val="6"/>
            <w:tcBorders>
              <w:top w:val="single" w:sz="4" w:space="0" w:color="auto"/>
            </w:tcBorders>
            <w:shd w:val="clear" w:color="auto" w:fill="auto"/>
            <w:noWrap/>
            <w:vAlign w:val="bottom"/>
          </w:tcPr>
          <w:p w14:paraId="06457B6C" w14:textId="5C57E505" w:rsidR="00E1480D" w:rsidRPr="00E1480D" w:rsidRDefault="00E1480D" w:rsidP="00E1480D">
            <w:pPr>
              <w:rPr>
                <w:rFonts w:ascii="Arial" w:hAnsi="Arial" w:cs="Arial"/>
                <w:color w:val="000000"/>
                <w:sz w:val="18"/>
                <w:szCs w:val="18"/>
                <w:lang w:val="pt-BR"/>
              </w:rPr>
            </w:pPr>
            <w:r w:rsidRPr="00E1480D">
              <w:rPr>
                <w:rFonts w:ascii="Arial" w:hAnsi="Arial" w:cs="Arial"/>
                <w:color w:val="FF0000"/>
                <w:sz w:val="18"/>
                <w:szCs w:val="18"/>
                <w:lang w:val="pt-BR"/>
              </w:rPr>
              <w:t>Fonte: Cálculos do autor baseado em informações coletadas pela SEFA-PA para número de processos, tempo gasto por processo e custo por hora por tipo de trabalho – 2016.</w:t>
            </w:r>
          </w:p>
        </w:tc>
      </w:tr>
    </w:tbl>
    <w:p w14:paraId="294D5638" w14:textId="77777777" w:rsidR="005F50CC" w:rsidRDefault="005F50CC" w:rsidP="005F50CC">
      <w:pPr>
        <w:pStyle w:val="PargrafodaLista"/>
        <w:keepNext/>
        <w:suppressAutoHyphens/>
        <w:ind w:left="851"/>
        <w:jc w:val="both"/>
        <w:outlineLvl w:val="3"/>
        <w:rPr>
          <w:rFonts w:ascii="Arial" w:hAnsi="Arial" w:cs="Arial"/>
          <w:bCs/>
          <w:lang w:val="pt-BR" w:eastAsia="es-ES"/>
        </w:rPr>
      </w:pPr>
    </w:p>
    <w:p w14:paraId="294D5639" w14:textId="275A1F68" w:rsidR="00F2268B" w:rsidRPr="001F27CE" w:rsidRDefault="004566B8" w:rsidP="008759BC">
      <w:pPr>
        <w:pStyle w:val="PargrafodaLista"/>
        <w:keepNext/>
        <w:numPr>
          <w:ilvl w:val="1"/>
          <w:numId w:val="4"/>
        </w:numPr>
        <w:suppressAutoHyphens/>
        <w:ind w:left="851" w:hanging="567"/>
        <w:jc w:val="both"/>
        <w:outlineLvl w:val="3"/>
        <w:rPr>
          <w:rFonts w:ascii="Arial" w:hAnsi="Arial" w:cs="Arial"/>
          <w:bCs/>
          <w:lang w:val="pt-BR" w:eastAsia="es-ES"/>
        </w:rPr>
      </w:pPr>
      <w:r w:rsidRPr="001F27CE">
        <w:rPr>
          <w:rFonts w:ascii="Arial" w:hAnsi="Arial" w:cs="Arial"/>
          <w:bCs/>
          <w:lang w:val="pt-BR" w:eastAsia="es-ES"/>
        </w:rPr>
        <w:t>O</w:t>
      </w:r>
      <w:r w:rsidR="00F2268B" w:rsidRPr="001F27CE">
        <w:rPr>
          <w:rFonts w:ascii="Arial" w:hAnsi="Arial" w:cs="Arial"/>
          <w:bCs/>
          <w:lang w:val="pt-BR" w:eastAsia="es-ES"/>
        </w:rPr>
        <w:t>utra fonte de economia para o Estado está relacionada aos custos de publicação no Diário Oficial</w:t>
      </w:r>
      <w:r w:rsidRPr="001F27CE">
        <w:rPr>
          <w:rFonts w:ascii="Arial" w:hAnsi="Arial" w:cs="Arial"/>
          <w:bCs/>
          <w:lang w:val="pt-BR" w:eastAsia="es-ES"/>
        </w:rPr>
        <w:t xml:space="preserve"> de inúmeros atos, avisos e decisões advindas da administração fiscal. De setembro de 2016 a agosto de 2017, a SEFA-PA publicou no Diário Oficial do Estado 121 mil centímetros de espaço l</w:t>
      </w:r>
      <w:r w:rsidR="003B2DA8">
        <w:rPr>
          <w:rFonts w:ascii="Arial" w:hAnsi="Arial" w:cs="Arial"/>
          <w:bCs/>
          <w:lang w:val="pt-BR" w:eastAsia="es-ES"/>
        </w:rPr>
        <w:t>inear, com um custo total de R$</w:t>
      </w:r>
      <w:r w:rsidRPr="001F27CE">
        <w:rPr>
          <w:rFonts w:ascii="Arial" w:hAnsi="Arial" w:cs="Arial"/>
          <w:bCs/>
          <w:lang w:val="pt-BR" w:eastAsia="es-ES"/>
        </w:rPr>
        <w:t>630 mil.</w:t>
      </w:r>
      <w:proofErr w:type="gramStart"/>
      <w:r w:rsidR="001603CE">
        <w:rPr>
          <w:rStyle w:val="Refdenotaderodap"/>
          <w:rFonts w:ascii="Arial" w:hAnsi="Arial" w:cs="Arial"/>
          <w:bCs/>
          <w:lang w:val="pt-BR" w:eastAsia="es-ES"/>
        </w:rPr>
        <w:footnoteReference w:id="13"/>
      </w:r>
      <w:proofErr w:type="gramEnd"/>
      <w:r w:rsidRPr="001F27CE">
        <w:rPr>
          <w:rFonts w:ascii="Arial" w:hAnsi="Arial" w:cs="Arial"/>
          <w:bCs/>
          <w:lang w:val="pt-BR" w:eastAsia="es-ES"/>
        </w:rPr>
        <w:t xml:space="preserve"> </w:t>
      </w:r>
    </w:p>
    <w:p w14:paraId="294D563A" w14:textId="77777777" w:rsidR="004B197D" w:rsidRPr="001F27CE" w:rsidRDefault="004566B8" w:rsidP="008759BC">
      <w:pPr>
        <w:pStyle w:val="PargrafodaLista"/>
        <w:keepNext/>
        <w:numPr>
          <w:ilvl w:val="1"/>
          <w:numId w:val="4"/>
        </w:numPr>
        <w:suppressAutoHyphens/>
        <w:ind w:left="851" w:hanging="567"/>
        <w:jc w:val="both"/>
        <w:outlineLvl w:val="3"/>
        <w:rPr>
          <w:rFonts w:ascii="Arial" w:hAnsi="Arial" w:cs="Arial"/>
          <w:bCs/>
          <w:lang w:val="pt-BR" w:eastAsia="es-ES"/>
        </w:rPr>
      </w:pPr>
      <w:r w:rsidRPr="001F27CE">
        <w:rPr>
          <w:rFonts w:ascii="Arial" w:hAnsi="Arial" w:cs="Arial"/>
          <w:bCs/>
          <w:lang w:val="pt-BR" w:eastAsia="es-ES"/>
        </w:rPr>
        <w:t xml:space="preserve">O </w:t>
      </w:r>
      <w:r w:rsidR="00AD2742" w:rsidRPr="001F27CE">
        <w:rPr>
          <w:rFonts w:ascii="Arial" w:hAnsi="Arial" w:cs="Arial"/>
          <w:bCs/>
          <w:lang w:val="pt-BR" w:eastAsia="es-ES"/>
        </w:rPr>
        <w:t xml:space="preserve">PROFISCO II financiará a criação de um Diário Oficial da Fazenda que eliminará </w:t>
      </w:r>
      <w:r w:rsidR="004B197D" w:rsidRPr="001F27CE">
        <w:rPr>
          <w:rFonts w:ascii="Arial" w:hAnsi="Arial" w:cs="Arial"/>
          <w:bCs/>
          <w:lang w:val="pt-BR" w:eastAsia="es-ES"/>
        </w:rPr>
        <w:t>80% da publicação atual feita em papel no Diário Oficial do Estado. Além da economia de custos para a SEFA e de papel para o Estado, este produto irá facilitar o acesso do contribu</w:t>
      </w:r>
      <w:r w:rsidR="00B516F7" w:rsidRPr="001F27CE">
        <w:rPr>
          <w:rFonts w:ascii="Arial" w:hAnsi="Arial" w:cs="Arial"/>
          <w:bCs/>
          <w:lang w:val="pt-BR" w:eastAsia="es-ES"/>
        </w:rPr>
        <w:t>inte às informações publicadas</w:t>
      </w:r>
      <w:r w:rsidR="004B197D" w:rsidRPr="001F27CE">
        <w:rPr>
          <w:rFonts w:ascii="Arial" w:hAnsi="Arial" w:cs="Arial"/>
          <w:bCs/>
          <w:lang w:val="pt-BR" w:eastAsia="es-ES"/>
        </w:rPr>
        <w:t xml:space="preserve"> em tempo menor, visto que o Diário Oficial do Estado tem limites no que publica diariamente e, devido aos prazos necessários para preparação e publicação, resulta em um período maior entre o momento que os documentos estão prontos para a publicação e o momento em que são efetivamente publicados. A SEFA est</w:t>
      </w:r>
      <w:r w:rsidR="003B2DA8">
        <w:rPr>
          <w:rFonts w:ascii="Arial" w:hAnsi="Arial" w:cs="Arial"/>
          <w:bCs/>
          <w:lang w:val="pt-BR" w:eastAsia="es-ES"/>
        </w:rPr>
        <w:t>ima que economizará cerca de R$</w:t>
      </w:r>
      <w:r w:rsidR="004B197D" w:rsidRPr="001F27CE">
        <w:rPr>
          <w:rFonts w:ascii="Arial" w:hAnsi="Arial" w:cs="Arial"/>
          <w:bCs/>
          <w:lang w:val="pt-BR" w:eastAsia="es-ES"/>
        </w:rPr>
        <w:t>500 mil anualmente.</w:t>
      </w:r>
    </w:p>
    <w:p w14:paraId="294D563B" w14:textId="0C403143" w:rsidR="00F2268B" w:rsidRPr="001F27CE" w:rsidRDefault="00F2268B" w:rsidP="008759BC">
      <w:pPr>
        <w:pStyle w:val="PargrafodaLista"/>
        <w:keepNext/>
        <w:numPr>
          <w:ilvl w:val="1"/>
          <w:numId w:val="4"/>
        </w:numPr>
        <w:suppressAutoHyphens/>
        <w:ind w:left="851" w:hanging="567"/>
        <w:jc w:val="both"/>
        <w:outlineLvl w:val="3"/>
        <w:rPr>
          <w:rFonts w:ascii="Arial" w:hAnsi="Arial" w:cs="Arial"/>
          <w:bCs/>
          <w:lang w:val="pt-BR" w:eastAsia="es-ES"/>
        </w:rPr>
      </w:pPr>
      <w:r w:rsidRPr="00FC756F">
        <w:rPr>
          <w:rFonts w:ascii="Arial" w:hAnsi="Arial" w:cs="Arial"/>
          <w:bCs/>
          <w:color w:val="FF0000"/>
          <w:lang w:val="pt-BR" w:eastAsia="es-ES"/>
        </w:rPr>
        <w:t xml:space="preserve">A Tabela </w:t>
      </w:r>
      <w:r w:rsidR="00FC756F" w:rsidRPr="00FC756F">
        <w:rPr>
          <w:rFonts w:ascii="Arial" w:hAnsi="Arial" w:cs="Arial"/>
          <w:bCs/>
          <w:color w:val="FF0000"/>
          <w:lang w:val="pt-BR" w:eastAsia="es-ES"/>
        </w:rPr>
        <w:t>12</w:t>
      </w:r>
      <w:r w:rsidR="00FC756F">
        <w:rPr>
          <w:rFonts w:ascii="Arial" w:hAnsi="Arial" w:cs="Arial"/>
          <w:bCs/>
          <w:lang w:val="pt-BR" w:eastAsia="es-ES"/>
        </w:rPr>
        <w:t xml:space="preserve"> </w:t>
      </w:r>
      <w:r w:rsidRPr="001F27CE">
        <w:rPr>
          <w:rFonts w:ascii="Arial" w:hAnsi="Arial" w:cs="Arial"/>
          <w:bCs/>
          <w:lang w:val="pt-BR" w:eastAsia="es-ES"/>
        </w:rPr>
        <w:t xml:space="preserve">sumariza os benefícios estimados para os produtos incluídos na análise C-B para os 10 anos que a análise cobre, em </w:t>
      </w:r>
      <w:r w:rsidR="003B2DA8">
        <w:rPr>
          <w:rFonts w:ascii="Arial" w:hAnsi="Arial" w:cs="Arial"/>
          <w:bCs/>
          <w:lang w:val="pt-BR" w:eastAsia="es-ES"/>
        </w:rPr>
        <w:t>R$</w:t>
      </w:r>
      <w:r w:rsidR="00800E73" w:rsidRPr="001F27CE">
        <w:rPr>
          <w:rFonts w:ascii="Arial" w:hAnsi="Arial" w:cs="Arial"/>
          <w:bCs/>
          <w:lang w:val="pt-BR" w:eastAsia="es-ES"/>
        </w:rPr>
        <w:t xml:space="preserve">1000 e </w:t>
      </w:r>
      <w:r w:rsidR="003B2DA8">
        <w:rPr>
          <w:rFonts w:ascii="Arial" w:hAnsi="Arial" w:cs="Arial"/>
          <w:bCs/>
          <w:lang w:val="pt-BR" w:eastAsia="es-ES"/>
        </w:rPr>
        <w:t>US$</w:t>
      </w:r>
      <w:r w:rsidR="00DB3B42" w:rsidRPr="001F27CE">
        <w:rPr>
          <w:rFonts w:ascii="Arial" w:hAnsi="Arial" w:cs="Arial"/>
          <w:bCs/>
          <w:lang w:val="pt-BR" w:eastAsia="es-ES"/>
        </w:rPr>
        <w:t>1000</w:t>
      </w:r>
      <w:r w:rsidRPr="001F27CE">
        <w:rPr>
          <w:rFonts w:ascii="Arial" w:hAnsi="Arial" w:cs="Arial"/>
          <w:bCs/>
          <w:lang w:val="pt-BR" w:eastAsia="es-ES"/>
        </w:rPr>
        <w:t xml:space="preserve">. </w:t>
      </w:r>
    </w:p>
    <w:tbl>
      <w:tblPr>
        <w:tblW w:w="9540" w:type="dxa"/>
        <w:tblInd w:w="93" w:type="dxa"/>
        <w:tblLook w:val="04A0" w:firstRow="1" w:lastRow="0" w:firstColumn="1" w:lastColumn="0" w:noHBand="0" w:noVBand="1"/>
      </w:tblPr>
      <w:tblGrid>
        <w:gridCol w:w="1840"/>
        <w:gridCol w:w="620"/>
        <w:gridCol w:w="700"/>
        <w:gridCol w:w="700"/>
        <w:gridCol w:w="700"/>
        <w:gridCol w:w="700"/>
        <w:gridCol w:w="700"/>
        <w:gridCol w:w="700"/>
        <w:gridCol w:w="700"/>
        <w:gridCol w:w="700"/>
        <w:gridCol w:w="700"/>
        <w:gridCol w:w="780"/>
      </w:tblGrid>
      <w:tr w:rsidR="00FC756F" w:rsidRPr="00FC756F" w14:paraId="3BA3F6DD" w14:textId="77777777" w:rsidTr="00FC756F">
        <w:trPr>
          <w:trHeight w:val="300"/>
        </w:trPr>
        <w:tc>
          <w:tcPr>
            <w:tcW w:w="9540" w:type="dxa"/>
            <w:gridSpan w:val="12"/>
            <w:tcBorders>
              <w:top w:val="nil"/>
              <w:left w:val="nil"/>
              <w:bottom w:val="single" w:sz="4" w:space="0" w:color="auto"/>
              <w:right w:val="nil"/>
            </w:tcBorders>
            <w:shd w:val="clear" w:color="auto" w:fill="auto"/>
            <w:noWrap/>
            <w:vAlign w:val="bottom"/>
            <w:hideMark/>
          </w:tcPr>
          <w:p w14:paraId="4FD1B89B" w14:textId="77777777" w:rsidR="00FC756F" w:rsidRPr="00FC756F" w:rsidRDefault="00FC756F" w:rsidP="00FC756F">
            <w:pPr>
              <w:rPr>
                <w:rFonts w:ascii="Calibri" w:hAnsi="Calibri" w:cs="Calibri"/>
                <w:b/>
                <w:bCs/>
                <w:color w:val="000000"/>
                <w:sz w:val="16"/>
                <w:szCs w:val="16"/>
                <w:lang w:val="pt-BR"/>
              </w:rPr>
            </w:pPr>
            <w:r w:rsidRPr="00FC756F">
              <w:rPr>
                <w:rFonts w:ascii="Calibri" w:hAnsi="Calibri" w:cs="Calibri"/>
                <w:b/>
                <w:bCs/>
                <w:color w:val="FF0000"/>
                <w:sz w:val="16"/>
                <w:szCs w:val="16"/>
                <w:lang w:val="pt-BR"/>
              </w:rPr>
              <w:t xml:space="preserve">Tabela 12: </w:t>
            </w:r>
            <w:r w:rsidRPr="00FC756F">
              <w:rPr>
                <w:rFonts w:ascii="Calibri" w:hAnsi="Calibri" w:cs="Calibri"/>
                <w:b/>
                <w:bCs/>
                <w:color w:val="000000"/>
                <w:sz w:val="16"/>
                <w:szCs w:val="16"/>
                <w:lang w:val="pt-BR"/>
              </w:rPr>
              <w:t>Cálculos dos Benefícios do Programa - PA (em R$ 1000 e US$ 1000)</w:t>
            </w:r>
          </w:p>
        </w:tc>
      </w:tr>
      <w:tr w:rsidR="00FC756F" w:rsidRPr="00FC756F" w14:paraId="36902B13" w14:textId="77777777" w:rsidTr="00FC756F">
        <w:trPr>
          <w:trHeight w:val="259"/>
        </w:trPr>
        <w:tc>
          <w:tcPr>
            <w:tcW w:w="9540"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24CFC" w14:textId="77777777" w:rsidR="00FC756F" w:rsidRPr="00FC756F" w:rsidRDefault="00FC756F" w:rsidP="00FC756F">
            <w:pPr>
              <w:jc w:val="center"/>
              <w:rPr>
                <w:rFonts w:ascii="Calibri" w:hAnsi="Calibri" w:cs="Calibri"/>
                <w:b/>
                <w:bCs/>
                <w:color w:val="000000"/>
                <w:sz w:val="16"/>
                <w:szCs w:val="16"/>
              </w:rPr>
            </w:pPr>
            <w:proofErr w:type="spellStart"/>
            <w:r w:rsidRPr="00FC756F">
              <w:rPr>
                <w:rFonts w:ascii="Calibri" w:hAnsi="Calibri" w:cs="Calibri"/>
                <w:b/>
                <w:bCs/>
                <w:color w:val="000000"/>
                <w:sz w:val="16"/>
                <w:szCs w:val="16"/>
              </w:rPr>
              <w:t>Em</w:t>
            </w:r>
            <w:proofErr w:type="spellEnd"/>
            <w:r w:rsidRPr="00FC756F">
              <w:rPr>
                <w:rFonts w:ascii="Calibri" w:hAnsi="Calibri" w:cs="Calibri"/>
                <w:b/>
                <w:bCs/>
                <w:color w:val="000000"/>
                <w:sz w:val="16"/>
                <w:szCs w:val="16"/>
              </w:rPr>
              <w:t xml:space="preserve"> R$ 1000</w:t>
            </w:r>
          </w:p>
        </w:tc>
      </w:tr>
      <w:tr w:rsidR="00FC756F" w:rsidRPr="00FC756F" w14:paraId="435EF08F"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53D1555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w:t>
            </w:r>
          </w:p>
        </w:tc>
        <w:tc>
          <w:tcPr>
            <w:tcW w:w="620" w:type="dxa"/>
            <w:tcBorders>
              <w:top w:val="nil"/>
              <w:left w:val="nil"/>
              <w:bottom w:val="single" w:sz="4" w:space="0" w:color="auto"/>
              <w:right w:val="single" w:sz="4" w:space="0" w:color="auto"/>
            </w:tcBorders>
            <w:shd w:val="clear" w:color="auto" w:fill="auto"/>
            <w:noWrap/>
            <w:vAlign w:val="bottom"/>
            <w:hideMark/>
          </w:tcPr>
          <w:p w14:paraId="20C3B17D"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1</w:t>
            </w:r>
          </w:p>
        </w:tc>
        <w:tc>
          <w:tcPr>
            <w:tcW w:w="700" w:type="dxa"/>
            <w:tcBorders>
              <w:top w:val="nil"/>
              <w:left w:val="nil"/>
              <w:bottom w:val="single" w:sz="4" w:space="0" w:color="auto"/>
              <w:right w:val="single" w:sz="4" w:space="0" w:color="auto"/>
            </w:tcBorders>
            <w:shd w:val="clear" w:color="auto" w:fill="auto"/>
            <w:noWrap/>
            <w:vAlign w:val="bottom"/>
            <w:hideMark/>
          </w:tcPr>
          <w:p w14:paraId="0E7CDBCF"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2</w:t>
            </w:r>
          </w:p>
        </w:tc>
        <w:tc>
          <w:tcPr>
            <w:tcW w:w="700" w:type="dxa"/>
            <w:tcBorders>
              <w:top w:val="nil"/>
              <w:left w:val="nil"/>
              <w:bottom w:val="single" w:sz="4" w:space="0" w:color="auto"/>
              <w:right w:val="single" w:sz="4" w:space="0" w:color="auto"/>
            </w:tcBorders>
            <w:shd w:val="clear" w:color="auto" w:fill="auto"/>
            <w:noWrap/>
            <w:vAlign w:val="bottom"/>
            <w:hideMark/>
          </w:tcPr>
          <w:p w14:paraId="67094E0B"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3</w:t>
            </w:r>
          </w:p>
        </w:tc>
        <w:tc>
          <w:tcPr>
            <w:tcW w:w="700" w:type="dxa"/>
            <w:tcBorders>
              <w:top w:val="nil"/>
              <w:left w:val="nil"/>
              <w:bottom w:val="single" w:sz="4" w:space="0" w:color="auto"/>
              <w:right w:val="single" w:sz="4" w:space="0" w:color="auto"/>
            </w:tcBorders>
            <w:shd w:val="clear" w:color="auto" w:fill="auto"/>
            <w:noWrap/>
            <w:vAlign w:val="bottom"/>
            <w:hideMark/>
          </w:tcPr>
          <w:p w14:paraId="6B03DE86"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4</w:t>
            </w:r>
          </w:p>
        </w:tc>
        <w:tc>
          <w:tcPr>
            <w:tcW w:w="700" w:type="dxa"/>
            <w:tcBorders>
              <w:top w:val="nil"/>
              <w:left w:val="nil"/>
              <w:bottom w:val="single" w:sz="4" w:space="0" w:color="auto"/>
              <w:right w:val="single" w:sz="4" w:space="0" w:color="auto"/>
            </w:tcBorders>
            <w:shd w:val="clear" w:color="auto" w:fill="auto"/>
            <w:noWrap/>
            <w:vAlign w:val="bottom"/>
            <w:hideMark/>
          </w:tcPr>
          <w:p w14:paraId="0E7CB56A"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5</w:t>
            </w:r>
          </w:p>
        </w:tc>
        <w:tc>
          <w:tcPr>
            <w:tcW w:w="700" w:type="dxa"/>
            <w:tcBorders>
              <w:top w:val="nil"/>
              <w:left w:val="nil"/>
              <w:bottom w:val="single" w:sz="4" w:space="0" w:color="auto"/>
              <w:right w:val="single" w:sz="4" w:space="0" w:color="auto"/>
            </w:tcBorders>
            <w:shd w:val="clear" w:color="auto" w:fill="auto"/>
            <w:noWrap/>
            <w:vAlign w:val="bottom"/>
            <w:hideMark/>
          </w:tcPr>
          <w:p w14:paraId="61486B36"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6</w:t>
            </w:r>
          </w:p>
        </w:tc>
        <w:tc>
          <w:tcPr>
            <w:tcW w:w="700" w:type="dxa"/>
            <w:tcBorders>
              <w:top w:val="nil"/>
              <w:left w:val="nil"/>
              <w:bottom w:val="single" w:sz="4" w:space="0" w:color="auto"/>
              <w:right w:val="single" w:sz="4" w:space="0" w:color="auto"/>
            </w:tcBorders>
            <w:shd w:val="clear" w:color="auto" w:fill="auto"/>
            <w:noWrap/>
            <w:vAlign w:val="bottom"/>
            <w:hideMark/>
          </w:tcPr>
          <w:p w14:paraId="3245F04D"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7</w:t>
            </w:r>
          </w:p>
        </w:tc>
        <w:tc>
          <w:tcPr>
            <w:tcW w:w="700" w:type="dxa"/>
            <w:tcBorders>
              <w:top w:val="nil"/>
              <w:left w:val="nil"/>
              <w:bottom w:val="single" w:sz="4" w:space="0" w:color="auto"/>
              <w:right w:val="single" w:sz="4" w:space="0" w:color="auto"/>
            </w:tcBorders>
            <w:shd w:val="clear" w:color="auto" w:fill="auto"/>
            <w:noWrap/>
            <w:vAlign w:val="bottom"/>
            <w:hideMark/>
          </w:tcPr>
          <w:p w14:paraId="40209336"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8</w:t>
            </w:r>
          </w:p>
        </w:tc>
        <w:tc>
          <w:tcPr>
            <w:tcW w:w="700" w:type="dxa"/>
            <w:tcBorders>
              <w:top w:val="nil"/>
              <w:left w:val="nil"/>
              <w:bottom w:val="single" w:sz="4" w:space="0" w:color="auto"/>
              <w:right w:val="single" w:sz="4" w:space="0" w:color="auto"/>
            </w:tcBorders>
            <w:shd w:val="clear" w:color="auto" w:fill="auto"/>
            <w:noWrap/>
            <w:vAlign w:val="bottom"/>
            <w:hideMark/>
          </w:tcPr>
          <w:p w14:paraId="3CBC6545"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9</w:t>
            </w:r>
          </w:p>
        </w:tc>
        <w:tc>
          <w:tcPr>
            <w:tcW w:w="700" w:type="dxa"/>
            <w:tcBorders>
              <w:top w:val="nil"/>
              <w:left w:val="nil"/>
              <w:bottom w:val="single" w:sz="4" w:space="0" w:color="auto"/>
              <w:right w:val="single" w:sz="4" w:space="0" w:color="auto"/>
            </w:tcBorders>
            <w:shd w:val="clear" w:color="auto" w:fill="auto"/>
            <w:noWrap/>
            <w:vAlign w:val="bottom"/>
            <w:hideMark/>
          </w:tcPr>
          <w:p w14:paraId="2285DC10"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10</w:t>
            </w:r>
          </w:p>
        </w:tc>
        <w:tc>
          <w:tcPr>
            <w:tcW w:w="780" w:type="dxa"/>
            <w:tcBorders>
              <w:top w:val="nil"/>
              <w:left w:val="nil"/>
              <w:bottom w:val="single" w:sz="4" w:space="0" w:color="auto"/>
              <w:right w:val="single" w:sz="4" w:space="0" w:color="auto"/>
            </w:tcBorders>
            <w:shd w:val="clear" w:color="auto" w:fill="auto"/>
            <w:noWrap/>
            <w:vAlign w:val="bottom"/>
            <w:hideMark/>
          </w:tcPr>
          <w:p w14:paraId="04581D0B" w14:textId="77777777" w:rsidR="00FC756F" w:rsidRPr="00FC756F" w:rsidRDefault="00FC756F" w:rsidP="00FC756F">
            <w:pPr>
              <w:jc w:val="center"/>
              <w:rPr>
                <w:rFonts w:ascii="Calibri" w:hAnsi="Calibri" w:cs="Calibri"/>
                <w:color w:val="000000"/>
                <w:sz w:val="16"/>
                <w:szCs w:val="16"/>
              </w:rPr>
            </w:pPr>
            <w:r w:rsidRPr="00FC756F">
              <w:rPr>
                <w:rFonts w:ascii="Calibri" w:hAnsi="Calibri" w:cs="Calibri"/>
                <w:color w:val="000000"/>
                <w:sz w:val="16"/>
                <w:szCs w:val="16"/>
              </w:rPr>
              <w:t>Total</w:t>
            </w:r>
          </w:p>
        </w:tc>
      </w:tr>
      <w:tr w:rsidR="00FC756F" w:rsidRPr="00FC756F" w14:paraId="2CA5B38D"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2C3F7551" w14:textId="77777777" w:rsidR="00FC756F" w:rsidRPr="00FC756F" w:rsidRDefault="00FC756F" w:rsidP="00FC756F">
            <w:pPr>
              <w:rPr>
                <w:rFonts w:ascii="Calibri" w:hAnsi="Calibri" w:cs="Calibri"/>
                <w:color w:val="000000"/>
                <w:sz w:val="16"/>
                <w:szCs w:val="16"/>
              </w:rPr>
            </w:pPr>
            <w:proofErr w:type="spellStart"/>
            <w:r w:rsidRPr="00FC756F">
              <w:rPr>
                <w:rFonts w:ascii="Calibri" w:hAnsi="Calibri" w:cs="Calibri"/>
                <w:color w:val="000000"/>
                <w:sz w:val="16"/>
                <w:szCs w:val="16"/>
              </w:rPr>
              <w:t>Aumento</w:t>
            </w:r>
            <w:proofErr w:type="spellEnd"/>
            <w:r w:rsidRPr="00FC756F">
              <w:rPr>
                <w:rFonts w:ascii="Calibri" w:hAnsi="Calibri" w:cs="Calibri"/>
                <w:color w:val="000000"/>
                <w:sz w:val="16"/>
                <w:szCs w:val="16"/>
              </w:rPr>
              <w:t xml:space="preserve"> de </w:t>
            </w:r>
            <w:proofErr w:type="spellStart"/>
            <w:r w:rsidRPr="00FC756F">
              <w:rPr>
                <w:rFonts w:ascii="Calibri" w:hAnsi="Calibri" w:cs="Calibri"/>
                <w:color w:val="000000"/>
                <w:sz w:val="16"/>
                <w:szCs w:val="16"/>
              </w:rPr>
              <w:t>Arrecadação</w:t>
            </w:r>
            <w:proofErr w:type="spellEnd"/>
            <w:r w:rsidRPr="00FC756F">
              <w:rPr>
                <w:rFonts w:ascii="Calibri" w:hAnsi="Calibri" w:cs="Calibri"/>
                <w:color w:val="000000"/>
                <w:sz w:val="16"/>
                <w:szCs w:val="16"/>
              </w:rPr>
              <w:t xml:space="preserve"> ICMS</w:t>
            </w:r>
          </w:p>
        </w:tc>
        <w:tc>
          <w:tcPr>
            <w:tcW w:w="620" w:type="dxa"/>
            <w:tcBorders>
              <w:top w:val="nil"/>
              <w:left w:val="nil"/>
              <w:bottom w:val="single" w:sz="4" w:space="0" w:color="auto"/>
              <w:right w:val="single" w:sz="4" w:space="0" w:color="auto"/>
            </w:tcBorders>
            <w:shd w:val="clear" w:color="auto" w:fill="auto"/>
            <w:vAlign w:val="bottom"/>
            <w:hideMark/>
          </w:tcPr>
          <w:p w14:paraId="19847653"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vAlign w:val="bottom"/>
            <w:hideMark/>
          </w:tcPr>
          <w:p w14:paraId="09BC161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27.108 </w:t>
            </w:r>
          </w:p>
        </w:tc>
        <w:tc>
          <w:tcPr>
            <w:tcW w:w="700" w:type="dxa"/>
            <w:tcBorders>
              <w:top w:val="nil"/>
              <w:left w:val="nil"/>
              <w:bottom w:val="single" w:sz="4" w:space="0" w:color="auto"/>
              <w:right w:val="single" w:sz="4" w:space="0" w:color="auto"/>
            </w:tcBorders>
            <w:shd w:val="clear" w:color="auto" w:fill="auto"/>
            <w:vAlign w:val="bottom"/>
            <w:hideMark/>
          </w:tcPr>
          <w:p w14:paraId="0FA80BD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27.108 </w:t>
            </w:r>
          </w:p>
        </w:tc>
        <w:tc>
          <w:tcPr>
            <w:tcW w:w="700" w:type="dxa"/>
            <w:tcBorders>
              <w:top w:val="nil"/>
              <w:left w:val="nil"/>
              <w:bottom w:val="single" w:sz="4" w:space="0" w:color="auto"/>
              <w:right w:val="single" w:sz="4" w:space="0" w:color="auto"/>
            </w:tcBorders>
            <w:shd w:val="clear" w:color="auto" w:fill="auto"/>
            <w:vAlign w:val="bottom"/>
            <w:hideMark/>
          </w:tcPr>
          <w:p w14:paraId="3CDB9D6F"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40.663 </w:t>
            </w:r>
          </w:p>
        </w:tc>
        <w:tc>
          <w:tcPr>
            <w:tcW w:w="700" w:type="dxa"/>
            <w:tcBorders>
              <w:top w:val="nil"/>
              <w:left w:val="nil"/>
              <w:bottom w:val="single" w:sz="4" w:space="0" w:color="auto"/>
              <w:right w:val="single" w:sz="4" w:space="0" w:color="auto"/>
            </w:tcBorders>
            <w:shd w:val="clear" w:color="auto" w:fill="auto"/>
            <w:vAlign w:val="bottom"/>
            <w:hideMark/>
          </w:tcPr>
          <w:p w14:paraId="50339319"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67.771 </w:t>
            </w:r>
          </w:p>
        </w:tc>
        <w:tc>
          <w:tcPr>
            <w:tcW w:w="700" w:type="dxa"/>
            <w:tcBorders>
              <w:top w:val="nil"/>
              <w:left w:val="nil"/>
              <w:bottom w:val="single" w:sz="4" w:space="0" w:color="auto"/>
              <w:right w:val="single" w:sz="4" w:space="0" w:color="auto"/>
            </w:tcBorders>
            <w:shd w:val="clear" w:color="auto" w:fill="auto"/>
            <w:vAlign w:val="bottom"/>
            <w:hideMark/>
          </w:tcPr>
          <w:p w14:paraId="659F15E0"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81.325 </w:t>
            </w:r>
          </w:p>
        </w:tc>
        <w:tc>
          <w:tcPr>
            <w:tcW w:w="700" w:type="dxa"/>
            <w:tcBorders>
              <w:top w:val="nil"/>
              <w:left w:val="nil"/>
              <w:bottom w:val="single" w:sz="4" w:space="0" w:color="auto"/>
              <w:right w:val="single" w:sz="4" w:space="0" w:color="auto"/>
            </w:tcBorders>
            <w:shd w:val="clear" w:color="auto" w:fill="auto"/>
            <w:vAlign w:val="bottom"/>
            <w:hideMark/>
          </w:tcPr>
          <w:p w14:paraId="23170C8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81.325 </w:t>
            </w:r>
          </w:p>
        </w:tc>
        <w:tc>
          <w:tcPr>
            <w:tcW w:w="700" w:type="dxa"/>
            <w:tcBorders>
              <w:top w:val="nil"/>
              <w:left w:val="nil"/>
              <w:bottom w:val="single" w:sz="4" w:space="0" w:color="auto"/>
              <w:right w:val="single" w:sz="4" w:space="0" w:color="auto"/>
            </w:tcBorders>
            <w:shd w:val="clear" w:color="auto" w:fill="auto"/>
            <w:vAlign w:val="bottom"/>
            <w:hideMark/>
          </w:tcPr>
          <w:p w14:paraId="4647EB23"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81.325 </w:t>
            </w:r>
          </w:p>
        </w:tc>
        <w:tc>
          <w:tcPr>
            <w:tcW w:w="700" w:type="dxa"/>
            <w:tcBorders>
              <w:top w:val="nil"/>
              <w:left w:val="nil"/>
              <w:bottom w:val="single" w:sz="4" w:space="0" w:color="auto"/>
              <w:right w:val="single" w:sz="4" w:space="0" w:color="auto"/>
            </w:tcBorders>
            <w:shd w:val="clear" w:color="auto" w:fill="auto"/>
            <w:vAlign w:val="bottom"/>
            <w:hideMark/>
          </w:tcPr>
          <w:p w14:paraId="5014669F"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81.325 </w:t>
            </w:r>
          </w:p>
        </w:tc>
        <w:tc>
          <w:tcPr>
            <w:tcW w:w="700" w:type="dxa"/>
            <w:tcBorders>
              <w:top w:val="nil"/>
              <w:left w:val="nil"/>
              <w:bottom w:val="single" w:sz="4" w:space="0" w:color="auto"/>
              <w:right w:val="single" w:sz="4" w:space="0" w:color="auto"/>
            </w:tcBorders>
            <w:shd w:val="clear" w:color="auto" w:fill="auto"/>
            <w:vAlign w:val="bottom"/>
            <w:hideMark/>
          </w:tcPr>
          <w:p w14:paraId="39B1B17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81.325 </w:t>
            </w:r>
          </w:p>
        </w:tc>
        <w:tc>
          <w:tcPr>
            <w:tcW w:w="780" w:type="dxa"/>
            <w:tcBorders>
              <w:top w:val="nil"/>
              <w:left w:val="nil"/>
              <w:bottom w:val="single" w:sz="4" w:space="0" w:color="auto"/>
              <w:right w:val="single" w:sz="4" w:space="0" w:color="auto"/>
            </w:tcBorders>
            <w:shd w:val="clear" w:color="auto" w:fill="auto"/>
            <w:vAlign w:val="bottom"/>
            <w:hideMark/>
          </w:tcPr>
          <w:p w14:paraId="70F2C613"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569.277 </w:t>
            </w:r>
          </w:p>
        </w:tc>
      </w:tr>
      <w:tr w:rsidR="00FC756F" w:rsidRPr="00FC756F" w14:paraId="1A2C5E83"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6BE5EA3B" w14:textId="77777777" w:rsidR="00FC756F" w:rsidRPr="00FC756F" w:rsidRDefault="00FC756F" w:rsidP="00FC756F">
            <w:pPr>
              <w:rPr>
                <w:rFonts w:ascii="Calibri" w:hAnsi="Calibri" w:cs="Calibri"/>
                <w:color w:val="000000"/>
                <w:sz w:val="16"/>
                <w:szCs w:val="16"/>
                <w:lang w:val="pt-BR"/>
              </w:rPr>
            </w:pPr>
            <w:r w:rsidRPr="00FC756F">
              <w:rPr>
                <w:rFonts w:ascii="Calibri" w:hAnsi="Calibri" w:cs="Calibri"/>
                <w:color w:val="000000"/>
                <w:sz w:val="16"/>
                <w:szCs w:val="16"/>
                <w:lang w:val="pt-BR"/>
              </w:rPr>
              <w:t>Eliminação da DIEF e GIA-ST</w:t>
            </w:r>
          </w:p>
        </w:tc>
        <w:tc>
          <w:tcPr>
            <w:tcW w:w="620" w:type="dxa"/>
            <w:tcBorders>
              <w:top w:val="nil"/>
              <w:left w:val="nil"/>
              <w:bottom w:val="single" w:sz="4" w:space="0" w:color="auto"/>
              <w:right w:val="single" w:sz="4" w:space="0" w:color="auto"/>
            </w:tcBorders>
            <w:shd w:val="clear" w:color="auto" w:fill="auto"/>
            <w:vAlign w:val="bottom"/>
            <w:hideMark/>
          </w:tcPr>
          <w:p w14:paraId="6E57DA9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lang w:val="pt-BR"/>
              </w:rPr>
              <w:t xml:space="preserve">             </w:t>
            </w:r>
            <w:r w:rsidRPr="00FC756F">
              <w:rPr>
                <w:rFonts w:ascii="Calibri" w:hAnsi="Calibri" w:cs="Calibri"/>
                <w:color w:val="000000"/>
                <w:sz w:val="16"/>
                <w:szCs w:val="16"/>
              </w:rPr>
              <w:t xml:space="preserve">-   </w:t>
            </w:r>
          </w:p>
        </w:tc>
        <w:tc>
          <w:tcPr>
            <w:tcW w:w="700" w:type="dxa"/>
            <w:tcBorders>
              <w:top w:val="nil"/>
              <w:left w:val="nil"/>
              <w:bottom w:val="single" w:sz="4" w:space="0" w:color="auto"/>
              <w:right w:val="single" w:sz="4" w:space="0" w:color="auto"/>
            </w:tcBorders>
            <w:shd w:val="clear" w:color="auto" w:fill="auto"/>
            <w:vAlign w:val="bottom"/>
            <w:hideMark/>
          </w:tcPr>
          <w:p w14:paraId="3B6A7235"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vAlign w:val="bottom"/>
            <w:hideMark/>
          </w:tcPr>
          <w:p w14:paraId="7DAC2581"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5027C64A"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20EEEB7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08CBDAE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0F99528B"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08005FB0"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1163977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00" w:type="dxa"/>
            <w:tcBorders>
              <w:top w:val="nil"/>
              <w:left w:val="nil"/>
              <w:bottom w:val="single" w:sz="4" w:space="0" w:color="auto"/>
              <w:right w:val="single" w:sz="4" w:space="0" w:color="auto"/>
            </w:tcBorders>
            <w:shd w:val="clear" w:color="auto" w:fill="auto"/>
            <w:vAlign w:val="bottom"/>
            <w:hideMark/>
          </w:tcPr>
          <w:p w14:paraId="34B6705F"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5.802 </w:t>
            </w:r>
          </w:p>
        </w:tc>
        <w:tc>
          <w:tcPr>
            <w:tcW w:w="780" w:type="dxa"/>
            <w:tcBorders>
              <w:top w:val="nil"/>
              <w:left w:val="nil"/>
              <w:bottom w:val="single" w:sz="4" w:space="0" w:color="auto"/>
              <w:right w:val="single" w:sz="4" w:space="0" w:color="auto"/>
            </w:tcBorders>
            <w:shd w:val="clear" w:color="auto" w:fill="auto"/>
            <w:vAlign w:val="bottom"/>
            <w:hideMark/>
          </w:tcPr>
          <w:p w14:paraId="5601B292"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46.418 </w:t>
            </w:r>
          </w:p>
        </w:tc>
      </w:tr>
      <w:tr w:rsidR="00FC756F" w:rsidRPr="00FC756F" w14:paraId="4132A475"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33328867" w14:textId="77777777" w:rsidR="00FC756F" w:rsidRPr="00FC756F" w:rsidRDefault="00FC756F" w:rsidP="00FC756F">
            <w:pPr>
              <w:rPr>
                <w:rFonts w:ascii="Calibri" w:hAnsi="Calibri" w:cs="Calibri"/>
                <w:color w:val="000000"/>
                <w:sz w:val="16"/>
                <w:szCs w:val="16"/>
              </w:rPr>
            </w:pPr>
            <w:proofErr w:type="spellStart"/>
            <w:r w:rsidRPr="00FC756F">
              <w:rPr>
                <w:rFonts w:ascii="Calibri" w:hAnsi="Calibri" w:cs="Calibri"/>
                <w:color w:val="000000"/>
                <w:sz w:val="16"/>
                <w:szCs w:val="16"/>
              </w:rPr>
              <w:t>Redução</w:t>
            </w:r>
            <w:proofErr w:type="spellEnd"/>
            <w:r w:rsidRPr="00FC756F">
              <w:rPr>
                <w:rFonts w:ascii="Calibri" w:hAnsi="Calibri" w:cs="Calibri"/>
                <w:color w:val="000000"/>
                <w:sz w:val="16"/>
                <w:szCs w:val="16"/>
              </w:rPr>
              <w:t xml:space="preserve"> </w:t>
            </w:r>
            <w:proofErr w:type="spellStart"/>
            <w:r w:rsidRPr="00FC756F">
              <w:rPr>
                <w:rFonts w:ascii="Calibri" w:hAnsi="Calibri" w:cs="Calibri"/>
                <w:color w:val="000000"/>
                <w:sz w:val="16"/>
                <w:szCs w:val="16"/>
              </w:rPr>
              <w:t>Custos</w:t>
            </w:r>
            <w:proofErr w:type="spellEnd"/>
            <w:r w:rsidRPr="00FC756F">
              <w:rPr>
                <w:rFonts w:ascii="Calibri" w:hAnsi="Calibri" w:cs="Calibri"/>
                <w:color w:val="000000"/>
                <w:sz w:val="16"/>
                <w:szCs w:val="16"/>
              </w:rPr>
              <w:t xml:space="preserve"> IPVA</w:t>
            </w:r>
          </w:p>
        </w:tc>
        <w:tc>
          <w:tcPr>
            <w:tcW w:w="620" w:type="dxa"/>
            <w:tcBorders>
              <w:top w:val="nil"/>
              <w:left w:val="nil"/>
              <w:bottom w:val="single" w:sz="4" w:space="0" w:color="auto"/>
              <w:right w:val="single" w:sz="4" w:space="0" w:color="auto"/>
            </w:tcBorders>
            <w:shd w:val="clear" w:color="auto" w:fill="auto"/>
            <w:vAlign w:val="bottom"/>
            <w:hideMark/>
          </w:tcPr>
          <w:p w14:paraId="34A7B5D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vAlign w:val="bottom"/>
            <w:hideMark/>
          </w:tcPr>
          <w:p w14:paraId="20F75AC3"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vAlign w:val="bottom"/>
            <w:hideMark/>
          </w:tcPr>
          <w:p w14:paraId="4C61AF0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1.000 </w:t>
            </w:r>
          </w:p>
        </w:tc>
        <w:tc>
          <w:tcPr>
            <w:tcW w:w="700" w:type="dxa"/>
            <w:tcBorders>
              <w:top w:val="nil"/>
              <w:left w:val="nil"/>
              <w:bottom w:val="single" w:sz="4" w:space="0" w:color="auto"/>
              <w:right w:val="single" w:sz="4" w:space="0" w:color="auto"/>
            </w:tcBorders>
            <w:shd w:val="clear" w:color="auto" w:fill="auto"/>
            <w:vAlign w:val="bottom"/>
            <w:hideMark/>
          </w:tcPr>
          <w:p w14:paraId="5A845E42"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00" w:type="dxa"/>
            <w:tcBorders>
              <w:top w:val="nil"/>
              <w:left w:val="nil"/>
              <w:bottom w:val="single" w:sz="4" w:space="0" w:color="auto"/>
              <w:right w:val="single" w:sz="4" w:space="0" w:color="auto"/>
            </w:tcBorders>
            <w:shd w:val="clear" w:color="auto" w:fill="auto"/>
            <w:vAlign w:val="bottom"/>
            <w:hideMark/>
          </w:tcPr>
          <w:p w14:paraId="2320E51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00" w:type="dxa"/>
            <w:tcBorders>
              <w:top w:val="nil"/>
              <w:left w:val="nil"/>
              <w:bottom w:val="single" w:sz="4" w:space="0" w:color="auto"/>
              <w:right w:val="single" w:sz="4" w:space="0" w:color="auto"/>
            </w:tcBorders>
            <w:shd w:val="clear" w:color="auto" w:fill="auto"/>
            <w:vAlign w:val="bottom"/>
            <w:hideMark/>
          </w:tcPr>
          <w:p w14:paraId="4001786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00" w:type="dxa"/>
            <w:tcBorders>
              <w:top w:val="nil"/>
              <w:left w:val="nil"/>
              <w:bottom w:val="single" w:sz="4" w:space="0" w:color="auto"/>
              <w:right w:val="single" w:sz="4" w:space="0" w:color="auto"/>
            </w:tcBorders>
            <w:shd w:val="clear" w:color="auto" w:fill="auto"/>
            <w:vAlign w:val="bottom"/>
            <w:hideMark/>
          </w:tcPr>
          <w:p w14:paraId="1374C11E"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00" w:type="dxa"/>
            <w:tcBorders>
              <w:top w:val="nil"/>
              <w:left w:val="nil"/>
              <w:bottom w:val="single" w:sz="4" w:space="0" w:color="auto"/>
              <w:right w:val="single" w:sz="4" w:space="0" w:color="auto"/>
            </w:tcBorders>
            <w:shd w:val="clear" w:color="auto" w:fill="auto"/>
            <w:vAlign w:val="bottom"/>
            <w:hideMark/>
          </w:tcPr>
          <w:p w14:paraId="01214A22"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00" w:type="dxa"/>
            <w:tcBorders>
              <w:top w:val="nil"/>
              <w:left w:val="nil"/>
              <w:bottom w:val="single" w:sz="4" w:space="0" w:color="auto"/>
              <w:right w:val="single" w:sz="4" w:space="0" w:color="auto"/>
            </w:tcBorders>
            <w:shd w:val="clear" w:color="auto" w:fill="auto"/>
            <w:vAlign w:val="bottom"/>
            <w:hideMark/>
          </w:tcPr>
          <w:p w14:paraId="7525B099"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00" w:type="dxa"/>
            <w:tcBorders>
              <w:top w:val="nil"/>
              <w:left w:val="nil"/>
              <w:bottom w:val="single" w:sz="4" w:space="0" w:color="auto"/>
              <w:right w:val="single" w:sz="4" w:space="0" w:color="auto"/>
            </w:tcBorders>
            <w:shd w:val="clear" w:color="auto" w:fill="auto"/>
            <w:vAlign w:val="bottom"/>
            <w:hideMark/>
          </w:tcPr>
          <w:p w14:paraId="41F4CAE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1.724 </w:t>
            </w:r>
          </w:p>
        </w:tc>
        <w:tc>
          <w:tcPr>
            <w:tcW w:w="780" w:type="dxa"/>
            <w:tcBorders>
              <w:top w:val="nil"/>
              <w:left w:val="nil"/>
              <w:bottom w:val="single" w:sz="4" w:space="0" w:color="auto"/>
              <w:right w:val="single" w:sz="4" w:space="0" w:color="auto"/>
            </w:tcBorders>
            <w:shd w:val="clear" w:color="auto" w:fill="auto"/>
            <w:vAlign w:val="bottom"/>
            <w:hideMark/>
          </w:tcPr>
          <w:p w14:paraId="6718E5BE"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13.067 </w:t>
            </w:r>
          </w:p>
        </w:tc>
      </w:tr>
      <w:tr w:rsidR="00FC756F" w:rsidRPr="00FC756F" w14:paraId="6068D681"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4EDBEEB3" w14:textId="77777777" w:rsidR="00FC756F" w:rsidRPr="00FC756F" w:rsidRDefault="00FC756F" w:rsidP="00FC756F">
            <w:pPr>
              <w:rPr>
                <w:rFonts w:ascii="Calibri" w:hAnsi="Calibri" w:cs="Calibri"/>
                <w:color w:val="000000"/>
                <w:sz w:val="16"/>
                <w:szCs w:val="16"/>
              </w:rPr>
            </w:pPr>
            <w:proofErr w:type="spellStart"/>
            <w:r w:rsidRPr="00FC756F">
              <w:rPr>
                <w:rFonts w:ascii="Calibri" w:hAnsi="Calibri" w:cs="Calibri"/>
                <w:color w:val="000000"/>
                <w:sz w:val="16"/>
                <w:szCs w:val="16"/>
              </w:rPr>
              <w:t>Redução</w:t>
            </w:r>
            <w:proofErr w:type="spellEnd"/>
            <w:r w:rsidRPr="00FC756F">
              <w:rPr>
                <w:rFonts w:ascii="Calibri" w:hAnsi="Calibri" w:cs="Calibri"/>
                <w:color w:val="000000"/>
                <w:sz w:val="16"/>
                <w:szCs w:val="16"/>
              </w:rPr>
              <w:t xml:space="preserve"> </w:t>
            </w:r>
            <w:proofErr w:type="spellStart"/>
            <w:r w:rsidRPr="00FC756F">
              <w:rPr>
                <w:rFonts w:ascii="Calibri" w:hAnsi="Calibri" w:cs="Calibri"/>
                <w:color w:val="000000"/>
                <w:sz w:val="16"/>
                <w:szCs w:val="16"/>
              </w:rPr>
              <w:t>Publicação</w:t>
            </w:r>
            <w:proofErr w:type="spellEnd"/>
          </w:p>
        </w:tc>
        <w:tc>
          <w:tcPr>
            <w:tcW w:w="620" w:type="dxa"/>
            <w:tcBorders>
              <w:top w:val="nil"/>
              <w:left w:val="nil"/>
              <w:bottom w:val="single" w:sz="4" w:space="0" w:color="auto"/>
              <w:right w:val="single" w:sz="4" w:space="0" w:color="auto"/>
            </w:tcBorders>
            <w:shd w:val="clear" w:color="auto" w:fill="auto"/>
            <w:vAlign w:val="bottom"/>
            <w:hideMark/>
          </w:tcPr>
          <w:p w14:paraId="66612CD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vAlign w:val="bottom"/>
            <w:hideMark/>
          </w:tcPr>
          <w:p w14:paraId="3901BF1F"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vAlign w:val="bottom"/>
            <w:hideMark/>
          </w:tcPr>
          <w:p w14:paraId="130DD6A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14F004E8"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56F8FC0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28E9071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0EC1A479"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35CF626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6FFE652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00" w:type="dxa"/>
            <w:tcBorders>
              <w:top w:val="nil"/>
              <w:left w:val="nil"/>
              <w:bottom w:val="single" w:sz="4" w:space="0" w:color="auto"/>
              <w:right w:val="single" w:sz="4" w:space="0" w:color="auto"/>
            </w:tcBorders>
            <w:shd w:val="clear" w:color="auto" w:fill="auto"/>
            <w:vAlign w:val="bottom"/>
            <w:hideMark/>
          </w:tcPr>
          <w:p w14:paraId="0D7B664F"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504 </w:t>
            </w:r>
          </w:p>
        </w:tc>
        <w:tc>
          <w:tcPr>
            <w:tcW w:w="780" w:type="dxa"/>
            <w:tcBorders>
              <w:top w:val="nil"/>
              <w:left w:val="nil"/>
              <w:bottom w:val="single" w:sz="4" w:space="0" w:color="auto"/>
              <w:right w:val="single" w:sz="4" w:space="0" w:color="auto"/>
            </w:tcBorders>
            <w:shd w:val="clear" w:color="auto" w:fill="auto"/>
            <w:vAlign w:val="bottom"/>
            <w:hideMark/>
          </w:tcPr>
          <w:p w14:paraId="52108FC8"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4.032 </w:t>
            </w:r>
          </w:p>
        </w:tc>
      </w:tr>
      <w:tr w:rsidR="00FC756F" w:rsidRPr="00FC756F" w14:paraId="2ACF0797"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30F9ED7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Total</w:t>
            </w:r>
          </w:p>
        </w:tc>
        <w:tc>
          <w:tcPr>
            <w:tcW w:w="620" w:type="dxa"/>
            <w:tcBorders>
              <w:top w:val="nil"/>
              <w:left w:val="nil"/>
              <w:bottom w:val="single" w:sz="4" w:space="0" w:color="auto"/>
              <w:right w:val="single" w:sz="4" w:space="0" w:color="auto"/>
            </w:tcBorders>
            <w:shd w:val="clear" w:color="auto" w:fill="auto"/>
            <w:noWrap/>
            <w:vAlign w:val="bottom"/>
            <w:hideMark/>
          </w:tcPr>
          <w:p w14:paraId="7F1745C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3ADC6D1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27.108 </w:t>
            </w:r>
          </w:p>
        </w:tc>
        <w:tc>
          <w:tcPr>
            <w:tcW w:w="700" w:type="dxa"/>
            <w:tcBorders>
              <w:top w:val="nil"/>
              <w:left w:val="nil"/>
              <w:bottom w:val="single" w:sz="4" w:space="0" w:color="auto"/>
              <w:right w:val="single" w:sz="4" w:space="0" w:color="auto"/>
            </w:tcBorders>
            <w:shd w:val="clear" w:color="auto" w:fill="auto"/>
            <w:noWrap/>
            <w:vAlign w:val="bottom"/>
            <w:hideMark/>
          </w:tcPr>
          <w:p w14:paraId="35529D38"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34.415 </w:t>
            </w:r>
          </w:p>
        </w:tc>
        <w:tc>
          <w:tcPr>
            <w:tcW w:w="700" w:type="dxa"/>
            <w:tcBorders>
              <w:top w:val="nil"/>
              <w:left w:val="nil"/>
              <w:bottom w:val="single" w:sz="4" w:space="0" w:color="auto"/>
              <w:right w:val="single" w:sz="4" w:space="0" w:color="auto"/>
            </w:tcBorders>
            <w:shd w:val="clear" w:color="auto" w:fill="auto"/>
            <w:noWrap/>
            <w:vAlign w:val="bottom"/>
            <w:hideMark/>
          </w:tcPr>
          <w:p w14:paraId="3D66433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48.693 </w:t>
            </w:r>
          </w:p>
        </w:tc>
        <w:tc>
          <w:tcPr>
            <w:tcW w:w="700" w:type="dxa"/>
            <w:tcBorders>
              <w:top w:val="nil"/>
              <w:left w:val="nil"/>
              <w:bottom w:val="single" w:sz="4" w:space="0" w:color="auto"/>
              <w:right w:val="single" w:sz="4" w:space="0" w:color="auto"/>
            </w:tcBorders>
            <w:shd w:val="clear" w:color="auto" w:fill="auto"/>
            <w:noWrap/>
            <w:vAlign w:val="bottom"/>
            <w:hideMark/>
          </w:tcPr>
          <w:p w14:paraId="172D4E9A"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75.801 </w:t>
            </w:r>
          </w:p>
        </w:tc>
        <w:tc>
          <w:tcPr>
            <w:tcW w:w="700" w:type="dxa"/>
            <w:tcBorders>
              <w:top w:val="nil"/>
              <w:left w:val="nil"/>
              <w:bottom w:val="single" w:sz="4" w:space="0" w:color="auto"/>
              <w:right w:val="single" w:sz="4" w:space="0" w:color="auto"/>
            </w:tcBorders>
            <w:shd w:val="clear" w:color="auto" w:fill="auto"/>
            <w:noWrap/>
            <w:vAlign w:val="bottom"/>
            <w:hideMark/>
          </w:tcPr>
          <w:p w14:paraId="402D3792"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89.355 </w:t>
            </w:r>
          </w:p>
        </w:tc>
        <w:tc>
          <w:tcPr>
            <w:tcW w:w="700" w:type="dxa"/>
            <w:tcBorders>
              <w:top w:val="nil"/>
              <w:left w:val="nil"/>
              <w:bottom w:val="single" w:sz="4" w:space="0" w:color="auto"/>
              <w:right w:val="single" w:sz="4" w:space="0" w:color="auto"/>
            </w:tcBorders>
            <w:shd w:val="clear" w:color="auto" w:fill="auto"/>
            <w:noWrap/>
            <w:vAlign w:val="bottom"/>
            <w:hideMark/>
          </w:tcPr>
          <w:p w14:paraId="21B9BCC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89.355 </w:t>
            </w:r>
          </w:p>
        </w:tc>
        <w:tc>
          <w:tcPr>
            <w:tcW w:w="700" w:type="dxa"/>
            <w:tcBorders>
              <w:top w:val="nil"/>
              <w:left w:val="nil"/>
              <w:bottom w:val="single" w:sz="4" w:space="0" w:color="auto"/>
              <w:right w:val="single" w:sz="4" w:space="0" w:color="auto"/>
            </w:tcBorders>
            <w:shd w:val="clear" w:color="auto" w:fill="auto"/>
            <w:noWrap/>
            <w:vAlign w:val="bottom"/>
            <w:hideMark/>
          </w:tcPr>
          <w:p w14:paraId="6D8BBE82"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89.355 </w:t>
            </w:r>
          </w:p>
        </w:tc>
        <w:tc>
          <w:tcPr>
            <w:tcW w:w="700" w:type="dxa"/>
            <w:tcBorders>
              <w:top w:val="nil"/>
              <w:left w:val="nil"/>
              <w:bottom w:val="single" w:sz="4" w:space="0" w:color="auto"/>
              <w:right w:val="single" w:sz="4" w:space="0" w:color="auto"/>
            </w:tcBorders>
            <w:shd w:val="clear" w:color="auto" w:fill="auto"/>
            <w:noWrap/>
            <w:vAlign w:val="bottom"/>
            <w:hideMark/>
          </w:tcPr>
          <w:p w14:paraId="2518857A"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89.355 </w:t>
            </w:r>
          </w:p>
        </w:tc>
        <w:tc>
          <w:tcPr>
            <w:tcW w:w="700" w:type="dxa"/>
            <w:tcBorders>
              <w:top w:val="nil"/>
              <w:left w:val="nil"/>
              <w:bottom w:val="single" w:sz="4" w:space="0" w:color="auto"/>
              <w:right w:val="single" w:sz="4" w:space="0" w:color="auto"/>
            </w:tcBorders>
            <w:shd w:val="clear" w:color="auto" w:fill="auto"/>
            <w:noWrap/>
            <w:vAlign w:val="bottom"/>
            <w:hideMark/>
          </w:tcPr>
          <w:p w14:paraId="38C563BA"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89.355 </w:t>
            </w:r>
          </w:p>
        </w:tc>
        <w:tc>
          <w:tcPr>
            <w:tcW w:w="780" w:type="dxa"/>
            <w:tcBorders>
              <w:top w:val="nil"/>
              <w:left w:val="nil"/>
              <w:bottom w:val="single" w:sz="4" w:space="0" w:color="auto"/>
              <w:right w:val="single" w:sz="4" w:space="0" w:color="auto"/>
            </w:tcBorders>
            <w:shd w:val="clear" w:color="auto" w:fill="auto"/>
            <w:noWrap/>
            <w:vAlign w:val="bottom"/>
            <w:hideMark/>
          </w:tcPr>
          <w:p w14:paraId="078F9836"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632.794 </w:t>
            </w:r>
          </w:p>
        </w:tc>
      </w:tr>
      <w:tr w:rsidR="00FC756F" w:rsidRPr="00FC756F" w14:paraId="670F8428" w14:textId="77777777" w:rsidTr="00FC756F">
        <w:trPr>
          <w:trHeight w:val="259"/>
        </w:trPr>
        <w:tc>
          <w:tcPr>
            <w:tcW w:w="9540"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14:paraId="6362F9A1" w14:textId="77777777" w:rsidR="00FC756F" w:rsidRPr="00FC756F" w:rsidRDefault="00FC756F" w:rsidP="00FC756F">
            <w:pPr>
              <w:jc w:val="center"/>
              <w:rPr>
                <w:rFonts w:ascii="Calibri" w:hAnsi="Calibri" w:cs="Calibri"/>
                <w:b/>
                <w:bCs/>
                <w:color w:val="000000"/>
                <w:sz w:val="16"/>
                <w:szCs w:val="16"/>
              </w:rPr>
            </w:pPr>
            <w:proofErr w:type="spellStart"/>
            <w:r w:rsidRPr="00FC756F">
              <w:rPr>
                <w:rFonts w:ascii="Calibri" w:hAnsi="Calibri" w:cs="Calibri"/>
                <w:b/>
                <w:bCs/>
                <w:color w:val="000000"/>
                <w:sz w:val="16"/>
                <w:szCs w:val="16"/>
              </w:rPr>
              <w:t>Em</w:t>
            </w:r>
            <w:proofErr w:type="spellEnd"/>
            <w:r w:rsidRPr="00FC756F">
              <w:rPr>
                <w:rFonts w:ascii="Calibri" w:hAnsi="Calibri" w:cs="Calibri"/>
                <w:b/>
                <w:bCs/>
                <w:color w:val="000000"/>
                <w:sz w:val="16"/>
                <w:szCs w:val="16"/>
              </w:rPr>
              <w:t xml:space="preserve"> US$ 1000</w:t>
            </w:r>
          </w:p>
        </w:tc>
      </w:tr>
      <w:tr w:rsidR="00FC756F" w:rsidRPr="00FC756F" w14:paraId="7F4E3099"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594DD73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w:t>
            </w:r>
          </w:p>
        </w:tc>
        <w:tc>
          <w:tcPr>
            <w:tcW w:w="620" w:type="dxa"/>
            <w:tcBorders>
              <w:top w:val="nil"/>
              <w:left w:val="nil"/>
              <w:bottom w:val="single" w:sz="4" w:space="0" w:color="auto"/>
              <w:right w:val="single" w:sz="4" w:space="0" w:color="auto"/>
            </w:tcBorders>
            <w:shd w:val="clear" w:color="auto" w:fill="auto"/>
            <w:noWrap/>
            <w:vAlign w:val="bottom"/>
            <w:hideMark/>
          </w:tcPr>
          <w:p w14:paraId="1A46F76F"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1</w:t>
            </w:r>
          </w:p>
        </w:tc>
        <w:tc>
          <w:tcPr>
            <w:tcW w:w="700" w:type="dxa"/>
            <w:tcBorders>
              <w:top w:val="nil"/>
              <w:left w:val="nil"/>
              <w:bottom w:val="single" w:sz="4" w:space="0" w:color="auto"/>
              <w:right w:val="single" w:sz="4" w:space="0" w:color="auto"/>
            </w:tcBorders>
            <w:shd w:val="clear" w:color="auto" w:fill="auto"/>
            <w:noWrap/>
            <w:vAlign w:val="bottom"/>
            <w:hideMark/>
          </w:tcPr>
          <w:p w14:paraId="2F8F209C"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2</w:t>
            </w:r>
          </w:p>
        </w:tc>
        <w:tc>
          <w:tcPr>
            <w:tcW w:w="700" w:type="dxa"/>
            <w:tcBorders>
              <w:top w:val="nil"/>
              <w:left w:val="nil"/>
              <w:bottom w:val="single" w:sz="4" w:space="0" w:color="auto"/>
              <w:right w:val="single" w:sz="4" w:space="0" w:color="auto"/>
            </w:tcBorders>
            <w:shd w:val="clear" w:color="auto" w:fill="auto"/>
            <w:noWrap/>
            <w:vAlign w:val="bottom"/>
            <w:hideMark/>
          </w:tcPr>
          <w:p w14:paraId="20E2DEDC"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3</w:t>
            </w:r>
          </w:p>
        </w:tc>
        <w:tc>
          <w:tcPr>
            <w:tcW w:w="700" w:type="dxa"/>
            <w:tcBorders>
              <w:top w:val="nil"/>
              <w:left w:val="nil"/>
              <w:bottom w:val="single" w:sz="4" w:space="0" w:color="auto"/>
              <w:right w:val="single" w:sz="4" w:space="0" w:color="auto"/>
            </w:tcBorders>
            <w:shd w:val="clear" w:color="auto" w:fill="auto"/>
            <w:noWrap/>
            <w:vAlign w:val="bottom"/>
            <w:hideMark/>
          </w:tcPr>
          <w:p w14:paraId="3A8C5DC3"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4</w:t>
            </w:r>
          </w:p>
        </w:tc>
        <w:tc>
          <w:tcPr>
            <w:tcW w:w="700" w:type="dxa"/>
            <w:tcBorders>
              <w:top w:val="nil"/>
              <w:left w:val="nil"/>
              <w:bottom w:val="single" w:sz="4" w:space="0" w:color="auto"/>
              <w:right w:val="single" w:sz="4" w:space="0" w:color="auto"/>
            </w:tcBorders>
            <w:shd w:val="clear" w:color="auto" w:fill="auto"/>
            <w:noWrap/>
            <w:vAlign w:val="bottom"/>
            <w:hideMark/>
          </w:tcPr>
          <w:p w14:paraId="35F5D264"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5</w:t>
            </w:r>
          </w:p>
        </w:tc>
        <w:tc>
          <w:tcPr>
            <w:tcW w:w="700" w:type="dxa"/>
            <w:tcBorders>
              <w:top w:val="nil"/>
              <w:left w:val="nil"/>
              <w:bottom w:val="single" w:sz="4" w:space="0" w:color="auto"/>
              <w:right w:val="single" w:sz="4" w:space="0" w:color="auto"/>
            </w:tcBorders>
            <w:shd w:val="clear" w:color="auto" w:fill="auto"/>
            <w:noWrap/>
            <w:vAlign w:val="bottom"/>
            <w:hideMark/>
          </w:tcPr>
          <w:p w14:paraId="329503EC"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6</w:t>
            </w:r>
          </w:p>
        </w:tc>
        <w:tc>
          <w:tcPr>
            <w:tcW w:w="700" w:type="dxa"/>
            <w:tcBorders>
              <w:top w:val="nil"/>
              <w:left w:val="nil"/>
              <w:bottom w:val="single" w:sz="4" w:space="0" w:color="auto"/>
              <w:right w:val="single" w:sz="4" w:space="0" w:color="auto"/>
            </w:tcBorders>
            <w:shd w:val="clear" w:color="auto" w:fill="auto"/>
            <w:noWrap/>
            <w:vAlign w:val="bottom"/>
            <w:hideMark/>
          </w:tcPr>
          <w:p w14:paraId="19C4340D"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7</w:t>
            </w:r>
          </w:p>
        </w:tc>
        <w:tc>
          <w:tcPr>
            <w:tcW w:w="700" w:type="dxa"/>
            <w:tcBorders>
              <w:top w:val="nil"/>
              <w:left w:val="nil"/>
              <w:bottom w:val="single" w:sz="4" w:space="0" w:color="auto"/>
              <w:right w:val="single" w:sz="4" w:space="0" w:color="auto"/>
            </w:tcBorders>
            <w:shd w:val="clear" w:color="auto" w:fill="auto"/>
            <w:noWrap/>
            <w:vAlign w:val="bottom"/>
            <w:hideMark/>
          </w:tcPr>
          <w:p w14:paraId="170D9CDC"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8</w:t>
            </w:r>
          </w:p>
        </w:tc>
        <w:tc>
          <w:tcPr>
            <w:tcW w:w="700" w:type="dxa"/>
            <w:tcBorders>
              <w:top w:val="nil"/>
              <w:left w:val="nil"/>
              <w:bottom w:val="single" w:sz="4" w:space="0" w:color="auto"/>
              <w:right w:val="single" w:sz="4" w:space="0" w:color="auto"/>
            </w:tcBorders>
            <w:shd w:val="clear" w:color="auto" w:fill="auto"/>
            <w:noWrap/>
            <w:vAlign w:val="bottom"/>
            <w:hideMark/>
          </w:tcPr>
          <w:p w14:paraId="00475800"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9</w:t>
            </w:r>
          </w:p>
        </w:tc>
        <w:tc>
          <w:tcPr>
            <w:tcW w:w="700" w:type="dxa"/>
            <w:tcBorders>
              <w:top w:val="nil"/>
              <w:left w:val="nil"/>
              <w:bottom w:val="single" w:sz="4" w:space="0" w:color="auto"/>
              <w:right w:val="single" w:sz="4" w:space="0" w:color="auto"/>
            </w:tcBorders>
            <w:shd w:val="clear" w:color="auto" w:fill="auto"/>
            <w:noWrap/>
            <w:vAlign w:val="bottom"/>
            <w:hideMark/>
          </w:tcPr>
          <w:p w14:paraId="4C07B4B1" w14:textId="77777777" w:rsidR="00FC756F" w:rsidRPr="00FC756F" w:rsidRDefault="00FC756F" w:rsidP="00FC756F">
            <w:pPr>
              <w:jc w:val="center"/>
              <w:rPr>
                <w:rFonts w:ascii="Calibri" w:hAnsi="Calibri" w:cs="Calibri"/>
                <w:color w:val="000000"/>
                <w:sz w:val="16"/>
                <w:szCs w:val="16"/>
              </w:rPr>
            </w:pPr>
            <w:proofErr w:type="spellStart"/>
            <w:r w:rsidRPr="00FC756F">
              <w:rPr>
                <w:rFonts w:ascii="Calibri" w:hAnsi="Calibri" w:cs="Calibri"/>
                <w:color w:val="000000"/>
                <w:sz w:val="16"/>
                <w:szCs w:val="16"/>
              </w:rPr>
              <w:t>Ano</w:t>
            </w:r>
            <w:proofErr w:type="spellEnd"/>
            <w:r w:rsidRPr="00FC756F">
              <w:rPr>
                <w:rFonts w:ascii="Calibri" w:hAnsi="Calibri" w:cs="Calibri"/>
                <w:color w:val="000000"/>
                <w:sz w:val="16"/>
                <w:szCs w:val="16"/>
              </w:rPr>
              <w:t xml:space="preserve"> 10</w:t>
            </w:r>
          </w:p>
        </w:tc>
        <w:tc>
          <w:tcPr>
            <w:tcW w:w="780" w:type="dxa"/>
            <w:tcBorders>
              <w:top w:val="nil"/>
              <w:left w:val="nil"/>
              <w:bottom w:val="single" w:sz="4" w:space="0" w:color="auto"/>
              <w:right w:val="single" w:sz="4" w:space="0" w:color="auto"/>
            </w:tcBorders>
            <w:shd w:val="clear" w:color="auto" w:fill="auto"/>
            <w:noWrap/>
            <w:vAlign w:val="bottom"/>
            <w:hideMark/>
          </w:tcPr>
          <w:p w14:paraId="5EABC916" w14:textId="77777777" w:rsidR="00FC756F" w:rsidRPr="00FC756F" w:rsidRDefault="00FC756F" w:rsidP="00FC756F">
            <w:pPr>
              <w:jc w:val="center"/>
              <w:rPr>
                <w:rFonts w:ascii="Calibri" w:hAnsi="Calibri" w:cs="Calibri"/>
                <w:color w:val="000000"/>
                <w:sz w:val="16"/>
                <w:szCs w:val="16"/>
              </w:rPr>
            </w:pPr>
            <w:r w:rsidRPr="00FC756F">
              <w:rPr>
                <w:rFonts w:ascii="Calibri" w:hAnsi="Calibri" w:cs="Calibri"/>
                <w:color w:val="000000"/>
                <w:sz w:val="16"/>
                <w:szCs w:val="16"/>
              </w:rPr>
              <w:t>Total</w:t>
            </w:r>
          </w:p>
        </w:tc>
      </w:tr>
      <w:tr w:rsidR="00FC756F" w:rsidRPr="00FC756F" w14:paraId="4C9D2F56"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75AB5517" w14:textId="77777777" w:rsidR="00FC756F" w:rsidRPr="00FC756F" w:rsidRDefault="00FC756F" w:rsidP="00FC756F">
            <w:pPr>
              <w:rPr>
                <w:rFonts w:ascii="Calibri" w:hAnsi="Calibri" w:cs="Calibri"/>
                <w:color w:val="000000"/>
                <w:sz w:val="16"/>
                <w:szCs w:val="16"/>
              </w:rPr>
            </w:pPr>
            <w:proofErr w:type="spellStart"/>
            <w:r w:rsidRPr="00FC756F">
              <w:rPr>
                <w:rFonts w:ascii="Calibri" w:hAnsi="Calibri" w:cs="Calibri"/>
                <w:color w:val="000000"/>
                <w:sz w:val="16"/>
                <w:szCs w:val="16"/>
              </w:rPr>
              <w:t>Aumento</w:t>
            </w:r>
            <w:proofErr w:type="spellEnd"/>
            <w:r w:rsidRPr="00FC756F">
              <w:rPr>
                <w:rFonts w:ascii="Calibri" w:hAnsi="Calibri" w:cs="Calibri"/>
                <w:color w:val="000000"/>
                <w:sz w:val="16"/>
                <w:szCs w:val="16"/>
              </w:rPr>
              <w:t xml:space="preserve"> de </w:t>
            </w:r>
            <w:proofErr w:type="spellStart"/>
            <w:r w:rsidRPr="00FC756F">
              <w:rPr>
                <w:rFonts w:ascii="Calibri" w:hAnsi="Calibri" w:cs="Calibri"/>
                <w:color w:val="000000"/>
                <w:sz w:val="16"/>
                <w:szCs w:val="16"/>
              </w:rPr>
              <w:t>Arrecadação</w:t>
            </w:r>
            <w:proofErr w:type="spellEnd"/>
            <w:r w:rsidRPr="00FC756F">
              <w:rPr>
                <w:rFonts w:ascii="Calibri" w:hAnsi="Calibri" w:cs="Calibri"/>
                <w:color w:val="000000"/>
                <w:sz w:val="16"/>
                <w:szCs w:val="16"/>
              </w:rPr>
              <w:t xml:space="preserve"> ICMS</w:t>
            </w:r>
          </w:p>
        </w:tc>
        <w:tc>
          <w:tcPr>
            <w:tcW w:w="620" w:type="dxa"/>
            <w:tcBorders>
              <w:top w:val="nil"/>
              <w:left w:val="nil"/>
              <w:bottom w:val="single" w:sz="4" w:space="0" w:color="auto"/>
              <w:right w:val="single" w:sz="4" w:space="0" w:color="auto"/>
            </w:tcBorders>
            <w:shd w:val="clear" w:color="auto" w:fill="auto"/>
            <w:noWrap/>
            <w:vAlign w:val="bottom"/>
            <w:hideMark/>
          </w:tcPr>
          <w:p w14:paraId="48EC48C5"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2BB07952"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8.215 </w:t>
            </w:r>
          </w:p>
        </w:tc>
        <w:tc>
          <w:tcPr>
            <w:tcW w:w="700" w:type="dxa"/>
            <w:tcBorders>
              <w:top w:val="nil"/>
              <w:left w:val="nil"/>
              <w:bottom w:val="single" w:sz="4" w:space="0" w:color="auto"/>
              <w:right w:val="single" w:sz="4" w:space="0" w:color="auto"/>
            </w:tcBorders>
            <w:shd w:val="clear" w:color="auto" w:fill="auto"/>
            <w:noWrap/>
            <w:vAlign w:val="bottom"/>
            <w:hideMark/>
          </w:tcPr>
          <w:p w14:paraId="2C2B0AC5"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8.215 </w:t>
            </w:r>
          </w:p>
        </w:tc>
        <w:tc>
          <w:tcPr>
            <w:tcW w:w="700" w:type="dxa"/>
            <w:tcBorders>
              <w:top w:val="nil"/>
              <w:left w:val="nil"/>
              <w:bottom w:val="single" w:sz="4" w:space="0" w:color="auto"/>
              <w:right w:val="single" w:sz="4" w:space="0" w:color="auto"/>
            </w:tcBorders>
            <w:shd w:val="clear" w:color="auto" w:fill="auto"/>
            <w:noWrap/>
            <w:vAlign w:val="bottom"/>
            <w:hideMark/>
          </w:tcPr>
          <w:p w14:paraId="0A48E21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12.322 </w:t>
            </w:r>
          </w:p>
        </w:tc>
        <w:tc>
          <w:tcPr>
            <w:tcW w:w="700" w:type="dxa"/>
            <w:tcBorders>
              <w:top w:val="nil"/>
              <w:left w:val="nil"/>
              <w:bottom w:val="single" w:sz="4" w:space="0" w:color="auto"/>
              <w:right w:val="single" w:sz="4" w:space="0" w:color="auto"/>
            </w:tcBorders>
            <w:shd w:val="clear" w:color="auto" w:fill="auto"/>
            <w:noWrap/>
            <w:vAlign w:val="bottom"/>
            <w:hideMark/>
          </w:tcPr>
          <w:p w14:paraId="29163A83"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20.537 </w:t>
            </w:r>
          </w:p>
        </w:tc>
        <w:tc>
          <w:tcPr>
            <w:tcW w:w="700" w:type="dxa"/>
            <w:tcBorders>
              <w:top w:val="nil"/>
              <w:left w:val="nil"/>
              <w:bottom w:val="single" w:sz="4" w:space="0" w:color="auto"/>
              <w:right w:val="single" w:sz="4" w:space="0" w:color="auto"/>
            </w:tcBorders>
            <w:shd w:val="clear" w:color="auto" w:fill="auto"/>
            <w:noWrap/>
            <w:vAlign w:val="bottom"/>
            <w:hideMark/>
          </w:tcPr>
          <w:p w14:paraId="54CF893B"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24.644 </w:t>
            </w:r>
          </w:p>
        </w:tc>
        <w:tc>
          <w:tcPr>
            <w:tcW w:w="700" w:type="dxa"/>
            <w:tcBorders>
              <w:top w:val="nil"/>
              <w:left w:val="nil"/>
              <w:bottom w:val="single" w:sz="4" w:space="0" w:color="auto"/>
              <w:right w:val="single" w:sz="4" w:space="0" w:color="auto"/>
            </w:tcBorders>
            <w:shd w:val="clear" w:color="auto" w:fill="auto"/>
            <w:noWrap/>
            <w:vAlign w:val="bottom"/>
            <w:hideMark/>
          </w:tcPr>
          <w:p w14:paraId="38D08DE0"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24.644 </w:t>
            </w:r>
          </w:p>
        </w:tc>
        <w:tc>
          <w:tcPr>
            <w:tcW w:w="700" w:type="dxa"/>
            <w:tcBorders>
              <w:top w:val="nil"/>
              <w:left w:val="nil"/>
              <w:bottom w:val="single" w:sz="4" w:space="0" w:color="auto"/>
              <w:right w:val="single" w:sz="4" w:space="0" w:color="auto"/>
            </w:tcBorders>
            <w:shd w:val="clear" w:color="auto" w:fill="auto"/>
            <w:noWrap/>
            <w:vAlign w:val="bottom"/>
            <w:hideMark/>
          </w:tcPr>
          <w:p w14:paraId="33DFA45D"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24.644 </w:t>
            </w:r>
          </w:p>
        </w:tc>
        <w:tc>
          <w:tcPr>
            <w:tcW w:w="700" w:type="dxa"/>
            <w:tcBorders>
              <w:top w:val="nil"/>
              <w:left w:val="nil"/>
              <w:bottom w:val="single" w:sz="4" w:space="0" w:color="auto"/>
              <w:right w:val="single" w:sz="4" w:space="0" w:color="auto"/>
            </w:tcBorders>
            <w:shd w:val="clear" w:color="auto" w:fill="auto"/>
            <w:noWrap/>
            <w:vAlign w:val="bottom"/>
            <w:hideMark/>
          </w:tcPr>
          <w:p w14:paraId="25B16365"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24.644 </w:t>
            </w:r>
          </w:p>
        </w:tc>
        <w:tc>
          <w:tcPr>
            <w:tcW w:w="700" w:type="dxa"/>
            <w:tcBorders>
              <w:top w:val="nil"/>
              <w:left w:val="nil"/>
              <w:bottom w:val="single" w:sz="4" w:space="0" w:color="auto"/>
              <w:right w:val="single" w:sz="4" w:space="0" w:color="auto"/>
            </w:tcBorders>
            <w:shd w:val="clear" w:color="auto" w:fill="auto"/>
            <w:noWrap/>
            <w:vAlign w:val="bottom"/>
            <w:hideMark/>
          </w:tcPr>
          <w:p w14:paraId="213EEAD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24.644 </w:t>
            </w:r>
          </w:p>
        </w:tc>
        <w:tc>
          <w:tcPr>
            <w:tcW w:w="780" w:type="dxa"/>
            <w:tcBorders>
              <w:top w:val="nil"/>
              <w:left w:val="nil"/>
              <w:bottom w:val="single" w:sz="4" w:space="0" w:color="auto"/>
              <w:right w:val="single" w:sz="4" w:space="0" w:color="auto"/>
            </w:tcBorders>
            <w:shd w:val="clear" w:color="auto" w:fill="auto"/>
            <w:noWrap/>
            <w:vAlign w:val="bottom"/>
            <w:hideMark/>
          </w:tcPr>
          <w:p w14:paraId="05C40915"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172.508 </w:t>
            </w:r>
          </w:p>
        </w:tc>
      </w:tr>
      <w:tr w:rsidR="00FC756F" w:rsidRPr="00FC756F" w14:paraId="5F3FC977"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452DE5BC" w14:textId="77777777" w:rsidR="00FC756F" w:rsidRPr="00FC756F" w:rsidRDefault="00FC756F" w:rsidP="00FC756F">
            <w:pPr>
              <w:rPr>
                <w:rFonts w:ascii="Calibri" w:hAnsi="Calibri" w:cs="Calibri"/>
                <w:color w:val="000000"/>
                <w:sz w:val="16"/>
                <w:szCs w:val="16"/>
                <w:lang w:val="pt-BR"/>
              </w:rPr>
            </w:pPr>
            <w:r w:rsidRPr="00FC756F">
              <w:rPr>
                <w:rFonts w:ascii="Calibri" w:hAnsi="Calibri" w:cs="Calibri"/>
                <w:color w:val="000000"/>
                <w:sz w:val="16"/>
                <w:szCs w:val="16"/>
                <w:lang w:val="pt-BR"/>
              </w:rPr>
              <w:t>Eliminação da DIEF e GIA-ST</w:t>
            </w:r>
          </w:p>
        </w:tc>
        <w:tc>
          <w:tcPr>
            <w:tcW w:w="620" w:type="dxa"/>
            <w:tcBorders>
              <w:top w:val="nil"/>
              <w:left w:val="nil"/>
              <w:bottom w:val="single" w:sz="4" w:space="0" w:color="auto"/>
              <w:right w:val="single" w:sz="4" w:space="0" w:color="auto"/>
            </w:tcBorders>
            <w:shd w:val="clear" w:color="auto" w:fill="auto"/>
            <w:noWrap/>
            <w:vAlign w:val="bottom"/>
            <w:hideMark/>
          </w:tcPr>
          <w:p w14:paraId="0CD341EE"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lang w:val="pt-BR"/>
              </w:rPr>
              <w:t xml:space="preserve">             </w:t>
            </w:r>
            <w:r w:rsidRPr="00FC756F">
              <w:rPr>
                <w:rFonts w:ascii="Calibri" w:hAnsi="Calibri" w:cs="Calibri"/>
                <w:color w:val="000000"/>
                <w:sz w:val="16"/>
                <w:szCs w:val="16"/>
              </w:rPr>
              <w:t xml:space="preserve">-   </w:t>
            </w:r>
          </w:p>
        </w:tc>
        <w:tc>
          <w:tcPr>
            <w:tcW w:w="700" w:type="dxa"/>
            <w:tcBorders>
              <w:top w:val="nil"/>
              <w:left w:val="nil"/>
              <w:bottom w:val="single" w:sz="4" w:space="0" w:color="auto"/>
              <w:right w:val="single" w:sz="4" w:space="0" w:color="auto"/>
            </w:tcBorders>
            <w:shd w:val="clear" w:color="auto" w:fill="auto"/>
            <w:noWrap/>
            <w:vAlign w:val="bottom"/>
            <w:hideMark/>
          </w:tcPr>
          <w:p w14:paraId="1F94F8C4"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31183E9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0A26C47C"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0C4C8C69"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6FB356EF"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4E1AF0E8"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7A98C54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51D51C31"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00" w:type="dxa"/>
            <w:tcBorders>
              <w:top w:val="nil"/>
              <w:left w:val="nil"/>
              <w:bottom w:val="single" w:sz="4" w:space="0" w:color="auto"/>
              <w:right w:val="single" w:sz="4" w:space="0" w:color="auto"/>
            </w:tcBorders>
            <w:shd w:val="clear" w:color="auto" w:fill="auto"/>
            <w:noWrap/>
            <w:vAlign w:val="bottom"/>
            <w:hideMark/>
          </w:tcPr>
          <w:p w14:paraId="77A7771D"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1.758 </w:t>
            </w:r>
          </w:p>
        </w:tc>
        <w:tc>
          <w:tcPr>
            <w:tcW w:w="780" w:type="dxa"/>
            <w:tcBorders>
              <w:top w:val="nil"/>
              <w:left w:val="nil"/>
              <w:bottom w:val="single" w:sz="4" w:space="0" w:color="auto"/>
              <w:right w:val="single" w:sz="4" w:space="0" w:color="auto"/>
            </w:tcBorders>
            <w:shd w:val="clear" w:color="auto" w:fill="auto"/>
            <w:noWrap/>
            <w:vAlign w:val="bottom"/>
            <w:hideMark/>
          </w:tcPr>
          <w:p w14:paraId="6E918247"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14.066 </w:t>
            </w:r>
          </w:p>
        </w:tc>
      </w:tr>
      <w:tr w:rsidR="00FC756F" w:rsidRPr="00FC756F" w14:paraId="5CD6909F" w14:textId="77777777" w:rsidTr="00FC756F">
        <w:trPr>
          <w:trHeight w:val="16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2D20B4D2" w14:textId="77777777" w:rsidR="00FC756F" w:rsidRPr="00FC756F" w:rsidRDefault="00FC756F" w:rsidP="00FC756F">
            <w:pPr>
              <w:rPr>
                <w:rFonts w:ascii="Calibri" w:hAnsi="Calibri" w:cs="Calibri"/>
                <w:color w:val="000000"/>
                <w:sz w:val="16"/>
                <w:szCs w:val="16"/>
              </w:rPr>
            </w:pPr>
            <w:proofErr w:type="spellStart"/>
            <w:r w:rsidRPr="00FC756F">
              <w:rPr>
                <w:rFonts w:ascii="Calibri" w:hAnsi="Calibri" w:cs="Calibri"/>
                <w:color w:val="000000"/>
                <w:sz w:val="16"/>
                <w:szCs w:val="16"/>
              </w:rPr>
              <w:t>Redução</w:t>
            </w:r>
            <w:proofErr w:type="spellEnd"/>
            <w:r w:rsidRPr="00FC756F">
              <w:rPr>
                <w:rFonts w:ascii="Calibri" w:hAnsi="Calibri" w:cs="Calibri"/>
                <w:color w:val="000000"/>
                <w:sz w:val="16"/>
                <w:szCs w:val="16"/>
              </w:rPr>
              <w:t xml:space="preserve"> </w:t>
            </w:r>
            <w:proofErr w:type="spellStart"/>
            <w:r w:rsidRPr="00FC756F">
              <w:rPr>
                <w:rFonts w:ascii="Calibri" w:hAnsi="Calibri" w:cs="Calibri"/>
                <w:color w:val="000000"/>
                <w:sz w:val="16"/>
                <w:szCs w:val="16"/>
              </w:rPr>
              <w:t>Custos</w:t>
            </w:r>
            <w:proofErr w:type="spellEnd"/>
            <w:r w:rsidRPr="00FC756F">
              <w:rPr>
                <w:rFonts w:ascii="Calibri" w:hAnsi="Calibri" w:cs="Calibri"/>
                <w:color w:val="000000"/>
                <w:sz w:val="16"/>
                <w:szCs w:val="16"/>
              </w:rPr>
              <w:t xml:space="preserve"> IPVA</w:t>
            </w:r>
          </w:p>
        </w:tc>
        <w:tc>
          <w:tcPr>
            <w:tcW w:w="620" w:type="dxa"/>
            <w:tcBorders>
              <w:top w:val="nil"/>
              <w:left w:val="nil"/>
              <w:bottom w:val="single" w:sz="4" w:space="0" w:color="auto"/>
              <w:right w:val="single" w:sz="4" w:space="0" w:color="auto"/>
            </w:tcBorders>
            <w:shd w:val="clear" w:color="auto" w:fill="auto"/>
            <w:noWrap/>
            <w:vAlign w:val="bottom"/>
            <w:hideMark/>
          </w:tcPr>
          <w:p w14:paraId="5AC5A6EB" w14:textId="0EA5D48C"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6BA15BE9" w14:textId="0AD7C0CD"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284FF1FB" w14:textId="120C25F5"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303 </w:t>
            </w:r>
          </w:p>
        </w:tc>
        <w:tc>
          <w:tcPr>
            <w:tcW w:w="700" w:type="dxa"/>
            <w:tcBorders>
              <w:top w:val="nil"/>
              <w:left w:val="nil"/>
              <w:bottom w:val="single" w:sz="4" w:space="0" w:color="auto"/>
              <w:right w:val="single" w:sz="4" w:space="0" w:color="auto"/>
            </w:tcBorders>
            <w:shd w:val="clear" w:color="auto" w:fill="auto"/>
            <w:noWrap/>
            <w:vAlign w:val="bottom"/>
            <w:hideMark/>
          </w:tcPr>
          <w:p w14:paraId="1E02F916" w14:textId="7718E54B"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00" w:type="dxa"/>
            <w:tcBorders>
              <w:top w:val="nil"/>
              <w:left w:val="nil"/>
              <w:bottom w:val="single" w:sz="4" w:space="0" w:color="auto"/>
              <w:right w:val="single" w:sz="4" w:space="0" w:color="auto"/>
            </w:tcBorders>
            <w:shd w:val="clear" w:color="auto" w:fill="auto"/>
            <w:noWrap/>
            <w:vAlign w:val="bottom"/>
            <w:hideMark/>
          </w:tcPr>
          <w:p w14:paraId="731A7EBB" w14:textId="11215E6B"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00" w:type="dxa"/>
            <w:tcBorders>
              <w:top w:val="nil"/>
              <w:left w:val="nil"/>
              <w:bottom w:val="single" w:sz="4" w:space="0" w:color="auto"/>
              <w:right w:val="single" w:sz="4" w:space="0" w:color="auto"/>
            </w:tcBorders>
            <w:shd w:val="clear" w:color="auto" w:fill="auto"/>
            <w:noWrap/>
            <w:vAlign w:val="bottom"/>
            <w:hideMark/>
          </w:tcPr>
          <w:p w14:paraId="5A7CBF8C" w14:textId="482FDF33"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00" w:type="dxa"/>
            <w:tcBorders>
              <w:top w:val="nil"/>
              <w:left w:val="nil"/>
              <w:bottom w:val="single" w:sz="4" w:space="0" w:color="auto"/>
              <w:right w:val="single" w:sz="4" w:space="0" w:color="auto"/>
            </w:tcBorders>
            <w:shd w:val="clear" w:color="auto" w:fill="auto"/>
            <w:noWrap/>
            <w:vAlign w:val="bottom"/>
            <w:hideMark/>
          </w:tcPr>
          <w:p w14:paraId="7ECD422F" w14:textId="6F92876F"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00" w:type="dxa"/>
            <w:tcBorders>
              <w:top w:val="nil"/>
              <w:left w:val="nil"/>
              <w:bottom w:val="single" w:sz="4" w:space="0" w:color="auto"/>
              <w:right w:val="single" w:sz="4" w:space="0" w:color="auto"/>
            </w:tcBorders>
            <w:shd w:val="clear" w:color="auto" w:fill="auto"/>
            <w:noWrap/>
            <w:vAlign w:val="bottom"/>
            <w:hideMark/>
          </w:tcPr>
          <w:p w14:paraId="23710D98" w14:textId="63629A58"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00" w:type="dxa"/>
            <w:tcBorders>
              <w:top w:val="nil"/>
              <w:left w:val="nil"/>
              <w:bottom w:val="single" w:sz="4" w:space="0" w:color="auto"/>
              <w:right w:val="single" w:sz="4" w:space="0" w:color="auto"/>
            </w:tcBorders>
            <w:shd w:val="clear" w:color="auto" w:fill="auto"/>
            <w:noWrap/>
            <w:vAlign w:val="bottom"/>
            <w:hideMark/>
          </w:tcPr>
          <w:p w14:paraId="4323581C" w14:textId="58C806E5"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00" w:type="dxa"/>
            <w:tcBorders>
              <w:top w:val="nil"/>
              <w:left w:val="nil"/>
              <w:bottom w:val="single" w:sz="4" w:space="0" w:color="auto"/>
              <w:right w:val="single" w:sz="4" w:space="0" w:color="auto"/>
            </w:tcBorders>
            <w:shd w:val="clear" w:color="auto" w:fill="auto"/>
            <w:noWrap/>
            <w:vAlign w:val="bottom"/>
            <w:hideMark/>
          </w:tcPr>
          <w:p w14:paraId="3DF8067C" w14:textId="0CBD72BC"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522 </w:t>
            </w:r>
          </w:p>
        </w:tc>
        <w:tc>
          <w:tcPr>
            <w:tcW w:w="780" w:type="dxa"/>
            <w:tcBorders>
              <w:top w:val="nil"/>
              <w:left w:val="nil"/>
              <w:bottom w:val="single" w:sz="4" w:space="0" w:color="auto"/>
              <w:right w:val="single" w:sz="4" w:space="0" w:color="auto"/>
            </w:tcBorders>
            <w:shd w:val="clear" w:color="auto" w:fill="auto"/>
            <w:noWrap/>
            <w:vAlign w:val="bottom"/>
            <w:hideMark/>
          </w:tcPr>
          <w:p w14:paraId="6F1D947E" w14:textId="5AE74D38"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3.960 </w:t>
            </w:r>
          </w:p>
        </w:tc>
      </w:tr>
      <w:tr w:rsidR="00FC756F" w:rsidRPr="00FC756F" w14:paraId="621ED2BF"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2E76FE5A" w14:textId="77777777" w:rsidR="00FC756F" w:rsidRPr="00FC756F" w:rsidRDefault="00FC756F" w:rsidP="00FC756F">
            <w:pPr>
              <w:rPr>
                <w:rFonts w:ascii="Calibri" w:hAnsi="Calibri" w:cs="Calibri"/>
                <w:color w:val="000000"/>
                <w:sz w:val="16"/>
                <w:szCs w:val="16"/>
              </w:rPr>
            </w:pPr>
            <w:proofErr w:type="spellStart"/>
            <w:r w:rsidRPr="00FC756F">
              <w:rPr>
                <w:rFonts w:ascii="Calibri" w:hAnsi="Calibri" w:cs="Calibri"/>
                <w:color w:val="000000"/>
                <w:sz w:val="16"/>
                <w:szCs w:val="16"/>
              </w:rPr>
              <w:t>Redução</w:t>
            </w:r>
            <w:proofErr w:type="spellEnd"/>
            <w:r w:rsidRPr="00FC756F">
              <w:rPr>
                <w:rFonts w:ascii="Calibri" w:hAnsi="Calibri" w:cs="Calibri"/>
                <w:color w:val="000000"/>
                <w:sz w:val="16"/>
                <w:szCs w:val="16"/>
              </w:rPr>
              <w:t xml:space="preserve"> </w:t>
            </w:r>
            <w:proofErr w:type="spellStart"/>
            <w:r w:rsidRPr="00FC756F">
              <w:rPr>
                <w:rFonts w:ascii="Calibri" w:hAnsi="Calibri" w:cs="Calibri"/>
                <w:color w:val="000000"/>
                <w:sz w:val="16"/>
                <w:szCs w:val="16"/>
              </w:rPr>
              <w:t>Publicação</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6088D53" w14:textId="768A3CA6"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31227FB2" w14:textId="3045AE4E"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1389A1A3" w14:textId="7C3CC5DE"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00" w:type="dxa"/>
            <w:tcBorders>
              <w:top w:val="nil"/>
              <w:left w:val="nil"/>
              <w:bottom w:val="single" w:sz="4" w:space="0" w:color="auto"/>
              <w:right w:val="single" w:sz="4" w:space="0" w:color="auto"/>
            </w:tcBorders>
            <w:shd w:val="clear" w:color="auto" w:fill="auto"/>
            <w:noWrap/>
            <w:vAlign w:val="bottom"/>
            <w:hideMark/>
          </w:tcPr>
          <w:p w14:paraId="220AB91E" w14:textId="427FC631"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153 </w:t>
            </w:r>
          </w:p>
        </w:tc>
        <w:tc>
          <w:tcPr>
            <w:tcW w:w="700" w:type="dxa"/>
            <w:tcBorders>
              <w:top w:val="nil"/>
              <w:left w:val="nil"/>
              <w:bottom w:val="single" w:sz="4" w:space="0" w:color="auto"/>
              <w:right w:val="single" w:sz="4" w:space="0" w:color="auto"/>
            </w:tcBorders>
            <w:shd w:val="clear" w:color="auto" w:fill="auto"/>
            <w:noWrap/>
            <w:vAlign w:val="bottom"/>
            <w:hideMark/>
          </w:tcPr>
          <w:p w14:paraId="106C71A5" w14:textId="3AE318E6"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00" w:type="dxa"/>
            <w:tcBorders>
              <w:top w:val="nil"/>
              <w:left w:val="nil"/>
              <w:bottom w:val="single" w:sz="4" w:space="0" w:color="auto"/>
              <w:right w:val="single" w:sz="4" w:space="0" w:color="auto"/>
            </w:tcBorders>
            <w:shd w:val="clear" w:color="auto" w:fill="auto"/>
            <w:noWrap/>
            <w:vAlign w:val="bottom"/>
            <w:hideMark/>
          </w:tcPr>
          <w:p w14:paraId="2B506DD5" w14:textId="353EF3E4"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00" w:type="dxa"/>
            <w:tcBorders>
              <w:top w:val="nil"/>
              <w:left w:val="nil"/>
              <w:bottom w:val="single" w:sz="4" w:space="0" w:color="auto"/>
              <w:right w:val="single" w:sz="4" w:space="0" w:color="auto"/>
            </w:tcBorders>
            <w:shd w:val="clear" w:color="auto" w:fill="auto"/>
            <w:noWrap/>
            <w:vAlign w:val="bottom"/>
            <w:hideMark/>
          </w:tcPr>
          <w:p w14:paraId="47924245" w14:textId="4B1F3E7B"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00" w:type="dxa"/>
            <w:tcBorders>
              <w:top w:val="nil"/>
              <w:left w:val="nil"/>
              <w:bottom w:val="single" w:sz="4" w:space="0" w:color="auto"/>
              <w:right w:val="single" w:sz="4" w:space="0" w:color="auto"/>
            </w:tcBorders>
            <w:shd w:val="clear" w:color="auto" w:fill="auto"/>
            <w:noWrap/>
            <w:vAlign w:val="bottom"/>
            <w:hideMark/>
          </w:tcPr>
          <w:p w14:paraId="51052C41" w14:textId="08ACC78F"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00" w:type="dxa"/>
            <w:tcBorders>
              <w:top w:val="nil"/>
              <w:left w:val="nil"/>
              <w:bottom w:val="single" w:sz="4" w:space="0" w:color="auto"/>
              <w:right w:val="single" w:sz="4" w:space="0" w:color="auto"/>
            </w:tcBorders>
            <w:shd w:val="clear" w:color="auto" w:fill="auto"/>
            <w:noWrap/>
            <w:vAlign w:val="bottom"/>
            <w:hideMark/>
          </w:tcPr>
          <w:p w14:paraId="4E7F95A0" w14:textId="67706860"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00" w:type="dxa"/>
            <w:tcBorders>
              <w:top w:val="nil"/>
              <w:left w:val="nil"/>
              <w:bottom w:val="single" w:sz="4" w:space="0" w:color="auto"/>
              <w:right w:val="single" w:sz="4" w:space="0" w:color="auto"/>
            </w:tcBorders>
            <w:shd w:val="clear" w:color="auto" w:fill="auto"/>
            <w:noWrap/>
            <w:vAlign w:val="bottom"/>
            <w:hideMark/>
          </w:tcPr>
          <w:p w14:paraId="0F9BF711" w14:textId="5E612A40"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153 </w:t>
            </w:r>
          </w:p>
        </w:tc>
        <w:tc>
          <w:tcPr>
            <w:tcW w:w="780" w:type="dxa"/>
            <w:tcBorders>
              <w:top w:val="nil"/>
              <w:left w:val="nil"/>
              <w:bottom w:val="single" w:sz="4" w:space="0" w:color="auto"/>
              <w:right w:val="single" w:sz="4" w:space="0" w:color="auto"/>
            </w:tcBorders>
            <w:shd w:val="clear" w:color="auto" w:fill="auto"/>
            <w:noWrap/>
            <w:vAlign w:val="bottom"/>
            <w:hideMark/>
          </w:tcPr>
          <w:p w14:paraId="6D61F5C7" w14:textId="509ED15C"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1.222 </w:t>
            </w:r>
          </w:p>
        </w:tc>
      </w:tr>
      <w:tr w:rsidR="00FC756F" w:rsidRPr="00FC756F" w14:paraId="4468A5DF" w14:textId="77777777" w:rsidTr="00FC756F">
        <w:trPr>
          <w:trHeight w:val="259"/>
        </w:trPr>
        <w:tc>
          <w:tcPr>
            <w:tcW w:w="1840" w:type="dxa"/>
            <w:tcBorders>
              <w:top w:val="nil"/>
              <w:left w:val="single" w:sz="4" w:space="0" w:color="auto"/>
              <w:bottom w:val="single" w:sz="4" w:space="0" w:color="auto"/>
              <w:right w:val="single" w:sz="4" w:space="0" w:color="auto"/>
            </w:tcBorders>
            <w:shd w:val="clear" w:color="auto" w:fill="auto"/>
            <w:vAlign w:val="bottom"/>
            <w:hideMark/>
          </w:tcPr>
          <w:p w14:paraId="5387C22D" w14:textId="7777777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Total</w:t>
            </w:r>
          </w:p>
        </w:tc>
        <w:tc>
          <w:tcPr>
            <w:tcW w:w="620" w:type="dxa"/>
            <w:tcBorders>
              <w:top w:val="nil"/>
              <w:left w:val="nil"/>
              <w:bottom w:val="single" w:sz="4" w:space="0" w:color="auto"/>
              <w:right w:val="single" w:sz="4" w:space="0" w:color="auto"/>
            </w:tcBorders>
            <w:shd w:val="clear" w:color="auto" w:fill="auto"/>
            <w:noWrap/>
            <w:vAlign w:val="bottom"/>
            <w:hideMark/>
          </w:tcPr>
          <w:p w14:paraId="1A311B8E" w14:textId="77D296C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   </w:t>
            </w:r>
          </w:p>
        </w:tc>
        <w:tc>
          <w:tcPr>
            <w:tcW w:w="700" w:type="dxa"/>
            <w:tcBorders>
              <w:top w:val="nil"/>
              <w:left w:val="nil"/>
              <w:bottom w:val="single" w:sz="4" w:space="0" w:color="auto"/>
              <w:right w:val="single" w:sz="4" w:space="0" w:color="auto"/>
            </w:tcBorders>
            <w:shd w:val="clear" w:color="auto" w:fill="auto"/>
            <w:noWrap/>
            <w:vAlign w:val="bottom"/>
            <w:hideMark/>
          </w:tcPr>
          <w:p w14:paraId="68FADCF1" w14:textId="49DCF2EC"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8.215 </w:t>
            </w:r>
          </w:p>
        </w:tc>
        <w:tc>
          <w:tcPr>
            <w:tcW w:w="700" w:type="dxa"/>
            <w:tcBorders>
              <w:top w:val="nil"/>
              <w:left w:val="nil"/>
              <w:bottom w:val="single" w:sz="4" w:space="0" w:color="auto"/>
              <w:right w:val="single" w:sz="4" w:space="0" w:color="auto"/>
            </w:tcBorders>
            <w:shd w:val="clear" w:color="auto" w:fill="auto"/>
            <w:noWrap/>
            <w:vAlign w:val="bottom"/>
            <w:hideMark/>
          </w:tcPr>
          <w:p w14:paraId="7AFAF8E4" w14:textId="403EF229"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10.429 </w:t>
            </w:r>
          </w:p>
        </w:tc>
        <w:tc>
          <w:tcPr>
            <w:tcW w:w="700" w:type="dxa"/>
            <w:tcBorders>
              <w:top w:val="nil"/>
              <w:left w:val="nil"/>
              <w:bottom w:val="single" w:sz="4" w:space="0" w:color="auto"/>
              <w:right w:val="single" w:sz="4" w:space="0" w:color="auto"/>
            </w:tcBorders>
            <w:shd w:val="clear" w:color="auto" w:fill="auto"/>
            <w:noWrap/>
            <w:vAlign w:val="bottom"/>
            <w:hideMark/>
          </w:tcPr>
          <w:p w14:paraId="092B3FE3" w14:textId="7525A52F"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14.755 </w:t>
            </w:r>
          </w:p>
        </w:tc>
        <w:tc>
          <w:tcPr>
            <w:tcW w:w="700" w:type="dxa"/>
            <w:tcBorders>
              <w:top w:val="nil"/>
              <w:left w:val="nil"/>
              <w:bottom w:val="single" w:sz="4" w:space="0" w:color="auto"/>
              <w:right w:val="single" w:sz="4" w:space="0" w:color="auto"/>
            </w:tcBorders>
            <w:shd w:val="clear" w:color="auto" w:fill="auto"/>
            <w:noWrap/>
            <w:vAlign w:val="bottom"/>
            <w:hideMark/>
          </w:tcPr>
          <w:p w14:paraId="5B3EA115" w14:textId="233CF8E8"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 22.970 </w:t>
            </w:r>
          </w:p>
        </w:tc>
        <w:tc>
          <w:tcPr>
            <w:tcW w:w="700" w:type="dxa"/>
            <w:tcBorders>
              <w:top w:val="nil"/>
              <w:left w:val="nil"/>
              <w:bottom w:val="single" w:sz="4" w:space="0" w:color="auto"/>
              <w:right w:val="single" w:sz="4" w:space="0" w:color="auto"/>
            </w:tcBorders>
            <w:shd w:val="clear" w:color="auto" w:fill="auto"/>
            <w:noWrap/>
            <w:vAlign w:val="bottom"/>
            <w:hideMark/>
          </w:tcPr>
          <w:p w14:paraId="0CB6969F" w14:textId="7C7B5A1D"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27.077 </w:t>
            </w:r>
          </w:p>
        </w:tc>
        <w:tc>
          <w:tcPr>
            <w:tcW w:w="700" w:type="dxa"/>
            <w:tcBorders>
              <w:top w:val="nil"/>
              <w:left w:val="nil"/>
              <w:bottom w:val="single" w:sz="4" w:space="0" w:color="auto"/>
              <w:right w:val="single" w:sz="4" w:space="0" w:color="auto"/>
            </w:tcBorders>
            <w:shd w:val="clear" w:color="auto" w:fill="auto"/>
            <w:noWrap/>
            <w:vAlign w:val="bottom"/>
            <w:hideMark/>
          </w:tcPr>
          <w:p w14:paraId="53BD0C21" w14:textId="2EC2A687"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27.077 </w:t>
            </w:r>
          </w:p>
        </w:tc>
        <w:tc>
          <w:tcPr>
            <w:tcW w:w="700" w:type="dxa"/>
            <w:tcBorders>
              <w:top w:val="nil"/>
              <w:left w:val="nil"/>
              <w:bottom w:val="single" w:sz="4" w:space="0" w:color="auto"/>
              <w:right w:val="single" w:sz="4" w:space="0" w:color="auto"/>
            </w:tcBorders>
            <w:shd w:val="clear" w:color="auto" w:fill="auto"/>
            <w:noWrap/>
            <w:vAlign w:val="bottom"/>
            <w:hideMark/>
          </w:tcPr>
          <w:p w14:paraId="16873AF0" w14:textId="2C114CF9" w:rsidR="00FC756F" w:rsidRPr="00FC756F" w:rsidRDefault="00FC756F" w:rsidP="00FC756F">
            <w:pPr>
              <w:rPr>
                <w:rFonts w:ascii="Calibri" w:hAnsi="Calibri" w:cs="Calibri"/>
                <w:color w:val="000000"/>
                <w:sz w:val="16"/>
                <w:szCs w:val="16"/>
              </w:rPr>
            </w:pPr>
            <w:r w:rsidRPr="00FC756F">
              <w:rPr>
                <w:rFonts w:ascii="Calibri" w:hAnsi="Calibri" w:cs="Calibri"/>
                <w:color w:val="000000"/>
                <w:sz w:val="16"/>
                <w:szCs w:val="16"/>
              </w:rPr>
              <w:t xml:space="preserve">27.077 </w:t>
            </w:r>
          </w:p>
        </w:tc>
        <w:tc>
          <w:tcPr>
            <w:tcW w:w="700" w:type="dxa"/>
            <w:tcBorders>
              <w:top w:val="nil"/>
              <w:left w:val="nil"/>
              <w:bottom w:val="single" w:sz="4" w:space="0" w:color="auto"/>
              <w:right w:val="single" w:sz="4" w:space="0" w:color="auto"/>
            </w:tcBorders>
            <w:shd w:val="clear" w:color="auto" w:fill="auto"/>
            <w:noWrap/>
            <w:vAlign w:val="bottom"/>
            <w:hideMark/>
          </w:tcPr>
          <w:p w14:paraId="5CECC0B5" w14:textId="6FC3228C" w:rsidR="00FC756F" w:rsidRPr="00FC756F" w:rsidRDefault="00FC756F" w:rsidP="00FC756F">
            <w:pPr>
              <w:rPr>
                <w:rFonts w:ascii="Calibri" w:hAnsi="Calibri" w:cs="Calibri"/>
                <w:color w:val="000000"/>
                <w:sz w:val="16"/>
                <w:szCs w:val="16"/>
              </w:rPr>
            </w:pPr>
            <w:r>
              <w:rPr>
                <w:rFonts w:ascii="Calibri" w:hAnsi="Calibri" w:cs="Calibri"/>
                <w:color w:val="000000"/>
                <w:sz w:val="16"/>
                <w:szCs w:val="16"/>
              </w:rPr>
              <w:t xml:space="preserve"> </w:t>
            </w:r>
            <w:r w:rsidRPr="00FC756F">
              <w:rPr>
                <w:rFonts w:ascii="Calibri" w:hAnsi="Calibri" w:cs="Calibri"/>
                <w:color w:val="000000"/>
                <w:sz w:val="16"/>
                <w:szCs w:val="16"/>
              </w:rPr>
              <w:t xml:space="preserve">27.077 </w:t>
            </w:r>
          </w:p>
        </w:tc>
        <w:tc>
          <w:tcPr>
            <w:tcW w:w="700" w:type="dxa"/>
            <w:tcBorders>
              <w:top w:val="nil"/>
              <w:left w:val="nil"/>
              <w:bottom w:val="single" w:sz="4" w:space="0" w:color="auto"/>
              <w:right w:val="single" w:sz="4" w:space="0" w:color="auto"/>
            </w:tcBorders>
            <w:shd w:val="clear" w:color="auto" w:fill="auto"/>
            <w:noWrap/>
            <w:vAlign w:val="bottom"/>
            <w:hideMark/>
          </w:tcPr>
          <w:p w14:paraId="01A9D073" w14:textId="7A21DF20" w:rsidR="00FC756F" w:rsidRPr="00FC756F" w:rsidRDefault="00FC756F" w:rsidP="00FC756F">
            <w:pPr>
              <w:rPr>
                <w:rFonts w:ascii="Calibri" w:hAnsi="Calibri" w:cs="Calibri"/>
                <w:color w:val="000000"/>
                <w:sz w:val="16"/>
                <w:szCs w:val="16"/>
              </w:rPr>
            </w:pPr>
            <w:r>
              <w:rPr>
                <w:rFonts w:ascii="Calibri" w:hAnsi="Calibri" w:cs="Calibri"/>
                <w:color w:val="000000"/>
                <w:sz w:val="16"/>
                <w:szCs w:val="16"/>
              </w:rPr>
              <w:t xml:space="preserve"> </w:t>
            </w:r>
            <w:r w:rsidRPr="00FC756F">
              <w:rPr>
                <w:rFonts w:ascii="Calibri" w:hAnsi="Calibri" w:cs="Calibri"/>
                <w:color w:val="000000"/>
                <w:sz w:val="16"/>
                <w:szCs w:val="16"/>
              </w:rPr>
              <w:t xml:space="preserve">27.077 </w:t>
            </w:r>
          </w:p>
        </w:tc>
        <w:tc>
          <w:tcPr>
            <w:tcW w:w="780" w:type="dxa"/>
            <w:tcBorders>
              <w:top w:val="nil"/>
              <w:left w:val="nil"/>
              <w:bottom w:val="single" w:sz="4" w:space="0" w:color="auto"/>
              <w:right w:val="single" w:sz="4" w:space="0" w:color="auto"/>
            </w:tcBorders>
            <w:shd w:val="clear" w:color="auto" w:fill="auto"/>
            <w:noWrap/>
            <w:vAlign w:val="bottom"/>
            <w:hideMark/>
          </w:tcPr>
          <w:p w14:paraId="6AAE8672" w14:textId="4C16A564" w:rsidR="00FC756F" w:rsidRPr="00FC756F" w:rsidRDefault="00FC756F" w:rsidP="00FC756F">
            <w:pPr>
              <w:rPr>
                <w:rFonts w:ascii="Calibri" w:hAnsi="Calibri" w:cs="Calibri"/>
                <w:color w:val="000000"/>
                <w:sz w:val="16"/>
                <w:szCs w:val="16"/>
              </w:rPr>
            </w:pPr>
            <w:r>
              <w:rPr>
                <w:rFonts w:ascii="Calibri" w:hAnsi="Calibri" w:cs="Calibri"/>
                <w:color w:val="000000"/>
                <w:sz w:val="16"/>
                <w:szCs w:val="16"/>
              </w:rPr>
              <w:t xml:space="preserve"> </w:t>
            </w:r>
            <w:r w:rsidRPr="00FC756F">
              <w:rPr>
                <w:rFonts w:ascii="Calibri" w:hAnsi="Calibri" w:cs="Calibri"/>
                <w:color w:val="000000"/>
                <w:sz w:val="16"/>
                <w:szCs w:val="16"/>
              </w:rPr>
              <w:t xml:space="preserve">191.756 </w:t>
            </w:r>
          </w:p>
        </w:tc>
      </w:tr>
      <w:tr w:rsidR="00FC756F" w:rsidRPr="00FC756F" w14:paraId="533955B6" w14:textId="77777777" w:rsidTr="00FC756F">
        <w:trPr>
          <w:trHeight w:val="300"/>
        </w:trPr>
        <w:tc>
          <w:tcPr>
            <w:tcW w:w="7360" w:type="dxa"/>
            <w:gridSpan w:val="9"/>
            <w:tcBorders>
              <w:top w:val="nil"/>
              <w:left w:val="nil"/>
              <w:bottom w:val="nil"/>
              <w:right w:val="nil"/>
            </w:tcBorders>
            <w:shd w:val="clear" w:color="auto" w:fill="auto"/>
            <w:noWrap/>
            <w:vAlign w:val="bottom"/>
            <w:hideMark/>
          </w:tcPr>
          <w:p w14:paraId="7DB034E0" w14:textId="77777777" w:rsidR="00FC756F" w:rsidRPr="00FC756F" w:rsidRDefault="00FC756F" w:rsidP="00FC756F">
            <w:pPr>
              <w:rPr>
                <w:rFonts w:ascii="Arial" w:hAnsi="Arial" w:cs="Arial"/>
                <w:color w:val="FF0000"/>
                <w:sz w:val="20"/>
                <w:szCs w:val="20"/>
                <w:lang w:val="pt-BR"/>
              </w:rPr>
            </w:pPr>
            <w:r w:rsidRPr="00FC756F">
              <w:rPr>
                <w:rFonts w:ascii="Arial" w:hAnsi="Arial" w:cs="Arial"/>
                <w:color w:val="FF0000"/>
                <w:sz w:val="20"/>
                <w:szCs w:val="20"/>
                <w:lang w:val="pt-BR"/>
              </w:rPr>
              <w:t>Fonte: Cálculos do autor baseados nos benefícios estimados para o projeto</w:t>
            </w:r>
          </w:p>
        </w:tc>
        <w:tc>
          <w:tcPr>
            <w:tcW w:w="700" w:type="dxa"/>
            <w:tcBorders>
              <w:top w:val="nil"/>
              <w:left w:val="nil"/>
              <w:bottom w:val="nil"/>
              <w:right w:val="nil"/>
            </w:tcBorders>
            <w:shd w:val="clear" w:color="auto" w:fill="auto"/>
            <w:noWrap/>
            <w:vAlign w:val="bottom"/>
            <w:hideMark/>
          </w:tcPr>
          <w:p w14:paraId="6BE95F8C" w14:textId="77777777" w:rsidR="00FC756F" w:rsidRPr="00FC756F" w:rsidRDefault="00FC756F" w:rsidP="00FC756F">
            <w:pPr>
              <w:rPr>
                <w:rFonts w:ascii="Calibri" w:hAnsi="Calibri" w:cs="Calibri"/>
                <w:color w:val="FF0000"/>
                <w:sz w:val="22"/>
                <w:szCs w:val="22"/>
                <w:lang w:val="pt-BR"/>
              </w:rPr>
            </w:pPr>
          </w:p>
        </w:tc>
        <w:tc>
          <w:tcPr>
            <w:tcW w:w="700" w:type="dxa"/>
            <w:tcBorders>
              <w:top w:val="nil"/>
              <w:left w:val="nil"/>
              <w:bottom w:val="nil"/>
              <w:right w:val="nil"/>
            </w:tcBorders>
            <w:shd w:val="clear" w:color="auto" w:fill="auto"/>
            <w:noWrap/>
            <w:vAlign w:val="bottom"/>
            <w:hideMark/>
          </w:tcPr>
          <w:p w14:paraId="73036688" w14:textId="77777777" w:rsidR="00FC756F" w:rsidRPr="00FC756F" w:rsidRDefault="00FC756F" w:rsidP="00FC756F">
            <w:pPr>
              <w:rPr>
                <w:rFonts w:ascii="Calibri" w:hAnsi="Calibri" w:cs="Calibri"/>
                <w:color w:val="FF0000"/>
                <w:sz w:val="22"/>
                <w:szCs w:val="22"/>
                <w:lang w:val="pt-BR"/>
              </w:rPr>
            </w:pPr>
          </w:p>
        </w:tc>
        <w:tc>
          <w:tcPr>
            <w:tcW w:w="780" w:type="dxa"/>
            <w:tcBorders>
              <w:top w:val="nil"/>
              <w:left w:val="nil"/>
              <w:bottom w:val="nil"/>
              <w:right w:val="nil"/>
            </w:tcBorders>
            <w:shd w:val="clear" w:color="auto" w:fill="auto"/>
            <w:noWrap/>
            <w:vAlign w:val="bottom"/>
            <w:hideMark/>
          </w:tcPr>
          <w:p w14:paraId="6481662A" w14:textId="77777777" w:rsidR="00FC756F" w:rsidRPr="00FC756F" w:rsidRDefault="00FC756F" w:rsidP="00FC756F">
            <w:pPr>
              <w:rPr>
                <w:rFonts w:ascii="Calibri" w:hAnsi="Calibri" w:cs="Calibri"/>
                <w:color w:val="FF0000"/>
                <w:sz w:val="22"/>
                <w:szCs w:val="22"/>
                <w:lang w:val="pt-BR"/>
              </w:rPr>
            </w:pPr>
          </w:p>
        </w:tc>
      </w:tr>
    </w:tbl>
    <w:p w14:paraId="294D563E" w14:textId="77777777" w:rsidR="002A5FB7" w:rsidRPr="001F27CE" w:rsidRDefault="007244F2" w:rsidP="007244F2">
      <w:pPr>
        <w:pStyle w:val="Ttulo1"/>
        <w:numPr>
          <w:ilvl w:val="0"/>
          <w:numId w:val="4"/>
        </w:numPr>
        <w:tabs>
          <w:tab w:val="clear" w:pos="1260"/>
        </w:tabs>
        <w:ind w:left="90"/>
        <w:rPr>
          <w:rFonts w:ascii="Arial" w:hAnsi="Arial" w:cs="Arial"/>
          <w:lang w:val="pt-BR" w:eastAsia="es-ES"/>
        </w:rPr>
      </w:pPr>
      <w:bookmarkStart w:id="15" w:name="_Toc494137337"/>
      <w:r>
        <w:rPr>
          <w:rFonts w:ascii="Arial" w:hAnsi="Arial" w:cs="Arial"/>
          <w:color w:val="000000" w:themeColor="text1"/>
          <w:lang w:val="pt-BR" w:eastAsia="es-ES"/>
        </w:rPr>
        <w:t xml:space="preserve">  </w:t>
      </w:r>
      <w:r w:rsidR="005D0A66" w:rsidRPr="007244F2">
        <w:rPr>
          <w:rFonts w:ascii="Arial" w:hAnsi="Arial" w:cs="Arial"/>
          <w:color w:val="000000" w:themeColor="text1"/>
          <w:lang w:val="pt-BR" w:eastAsia="es-ES"/>
        </w:rPr>
        <w:t>Resultado da Análise Custo-Benefício</w:t>
      </w:r>
      <w:bookmarkEnd w:id="15"/>
    </w:p>
    <w:p w14:paraId="294D563F" w14:textId="77777777" w:rsidR="002A5FB7" w:rsidRPr="001F27CE" w:rsidRDefault="002A5FB7" w:rsidP="002A5FB7">
      <w:pPr>
        <w:pStyle w:val="PargrafodaLista"/>
        <w:keepNext/>
        <w:suppressAutoHyphens/>
        <w:spacing w:before="120"/>
        <w:ind w:left="1139"/>
        <w:jc w:val="both"/>
        <w:outlineLvl w:val="3"/>
        <w:rPr>
          <w:rFonts w:ascii="Arial" w:hAnsi="Arial" w:cs="Arial"/>
          <w:bCs/>
          <w:lang w:val="pt-BR" w:eastAsia="es-ES"/>
        </w:rPr>
      </w:pPr>
    </w:p>
    <w:p w14:paraId="294D5640" w14:textId="40DAD889" w:rsidR="0080625B" w:rsidRDefault="001519E3"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A análise C-B mostra que</w:t>
      </w:r>
      <w:r w:rsidR="009D0CCC" w:rsidRPr="001F27CE">
        <w:rPr>
          <w:rFonts w:ascii="Arial" w:hAnsi="Arial" w:cs="Arial"/>
          <w:bCs/>
          <w:lang w:val="pt-BR" w:eastAsia="es-ES"/>
        </w:rPr>
        <w:t>,</w:t>
      </w:r>
      <w:r w:rsidRPr="001F27CE">
        <w:rPr>
          <w:rFonts w:ascii="Arial" w:hAnsi="Arial" w:cs="Arial"/>
          <w:bCs/>
          <w:lang w:val="pt-BR" w:eastAsia="es-ES"/>
        </w:rPr>
        <w:t xml:space="preserve"> no horizonte de 10 anos, usando todos os custos e os benefícios estimados </w:t>
      </w:r>
      <w:r w:rsidR="009D0CCC" w:rsidRPr="001F27CE">
        <w:rPr>
          <w:rFonts w:ascii="Arial" w:hAnsi="Arial" w:cs="Arial"/>
          <w:bCs/>
          <w:lang w:val="pt-BR" w:eastAsia="es-ES"/>
        </w:rPr>
        <w:t>para</w:t>
      </w:r>
      <w:r w:rsidRPr="001F27CE">
        <w:rPr>
          <w:rFonts w:ascii="Arial" w:hAnsi="Arial" w:cs="Arial"/>
          <w:bCs/>
          <w:lang w:val="pt-BR" w:eastAsia="es-ES"/>
        </w:rPr>
        <w:t xml:space="preserve"> </w:t>
      </w:r>
      <w:r w:rsidR="002A481B" w:rsidRPr="001F27CE">
        <w:rPr>
          <w:rFonts w:ascii="Arial" w:hAnsi="Arial" w:cs="Arial"/>
          <w:bCs/>
          <w:lang w:val="pt-BR" w:eastAsia="es-ES"/>
        </w:rPr>
        <w:t xml:space="preserve">cinco </w:t>
      </w:r>
      <w:r w:rsidRPr="001F27CE">
        <w:rPr>
          <w:rFonts w:ascii="Arial" w:hAnsi="Arial" w:cs="Arial"/>
          <w:bCs/>
          <w:lang w:val="pt-BR" w:eastAsia="es-ES"/>
        </w:rPr>
        <w:t>produtos</w:t>
      </w:r>
      <w:r w:rsidR="009D0CCC" w:rsidRPr="001F27CE">
        <w:rPr>
          <w:rFonts w:ascii="Arial" w:hAnsi="Arial" w:cs="Arial"/>
          <w:bCs/>
          <w:lang w:val="pt-BR" w:eastAsia="es-ES"/>
        </w:rPr>
        <w:t>, o PROFISCO II</w:t>
      </w:r>
      <w:r w:rsidR="00604517" w:rsidRPr="001F27CE">
        <w:rPr>
          <w:rFonts w:ascii="Arial" w:hAnsi="Arial" w:cs="Arial"/>
          <w:bCs/>
          <w:lang w:val="pt-BR" w:eastAsia="es-ES"/>
        </w:rPr>
        <w:t xml:space="preserve"> </w:t>
      </w:r>
      <w:r w:rsidR="002324CC" w:rsidRPr="001F27CE">
        <w:rPr>
          <w:rFonts w:ascii="Arial" w:hAnsi="Arial" w:cs="Arial"/>
          <w:bCs/>
          <w:lang w:val="pt-BR" w:eastAsia="es-ES"/>
        </w:rPr>
        <w:lastRenderedPageBreak/>
        <w:t>tem uma taxa interna de retorn</w:t>
      </w:r>
      <w:r w:rsidR="00CC1577" w:rsidRPr="001F27CE">
        <w:rPr>
          <w:rFonts w:ascii="Arial" w:hAnsi="Arial" w:cs="Arial"/>
          <w:bCs/>
          <w:lang w:val="pt-BR" w:eastAsia="es-ES"/>
        </w:rPr>
        <w:t>o</w:t>
      </w:r>
      <w:r w:rsidR="002324CC" w:rsidRPr="001F27CE">
        <w:rPr>
          <w:rFonts w:ascii="Arial" w:hAnsi="Arial" w:cs="Arial"/>
          <w:bCs/>
          <w:lang w:val="pt-BR" w:eastAsia="es-ES"/>
        </w:rPr>
        <w:t xml:space="preserve"> bastante sólida</w:t>
      </w:r>
      <w:r w:rsidR="00333252" w:rsidRPr="001F27CE">
        <w:rPr>
          <w:rFonts w:ascii="Arial" w:hAnsi="Arial" w:cs="Arial"/>
          <w:bCs/>
          <w:lang w:val="pt-BR" w:eastAsia="es-ES"/>
        </w:rPr>
        <w:t xml:space="preserve">. </w:t>
      </w:r>
      <w:r w:rsidR="003B5504" w:rsidRPr="003D3CA6">
        <w:rPr>
          <w:rFonts w:ascii="Arial" w:hAnsi="Arial" w:cs="Arial"/>
          <w:bCs/>
          <w:color w:val="FF0000"/>
          <w:lang w:val="pt-BR" w:eastAsia="es-ES"/>
        </w:rPr>
        <w:t xml:space="preserve">A Tabela </w:t>
      </w:r>
      <w:r w:rsidR="003D3CA6" w:rsidRPr="003D3CA6">
        <w:rPr>
          <w:rFonts w:ascii="Arial" w:hAnsi="Arial" w:cs="Arial"/>
          <w:bCs/>
          <w:color w:val="FF0000"/>
          <w:lang w:val="pt-BR" w:eastAsia="es-ES"/>
        </w:rPr>
        <w:t>13</w:t>
      </w:r>
      <w:r w:rsidR="003B5504" w:rsidRPr="003D3CA6">
        <w:rPr>
          <w:rFonts w:ascii="Arial" w:hAnsi="Arial" w:cs="Arial"/>
          <w:bCs/>
          <w:color w:val="FF0000"/>
          <w:lang w:val="pt-BR" w:eastAsia="es-ES"/>
        </w:rPr>
        <w:t xml:space="preserve"> </w:t>
      </w:r>
      <w:r w:rsidR="003B5504" w:rsidRPr="001F27CE">
        <w:rPr>
          <w:rFonts w:ascii="Arial" w:hAnsi="Arial" w:cs="Arial"/>
          <w:bCs/>
          <w:lang w:val="pt-BR" w:eastAsia="es-ES"/>
        </w:rPr>
        <w:t>mostra que, n</w:t>
      </w:r>
      <w:r w:rsidR="00333252" w:rsidRPr="001F27CE">
        <w:rPr>
          <w:rFonts w:ascii="Arial" w:hAnsi="Arial" w:cs="Arial"/>
          <w:bCs/>
          <w:lang w:val="pt-BR" w:eastAsia="es-ES"/>
        </w:rPr>
        <w:t xml:space="preserve">o Cenário </w:t>
      </w:r>
      <w:proofErr w:type="gramStart"/>
      <w:r w:rsidR="00333252" w:rsidRPr="001F27CE">
        <w:rPr>
          <w:rFonts w:ascii="Arial" w:hAnsi="Arial" w:cs="Arial"/>
          <w:bCs/>
          <w:lang w:val="pt-BR" w:eastAsia="es-ES"/>
        </w:rPr>
        <w:t>1</w:t>
      </w:r>
      <w:proofErr w:type="gramEnd"/>
      <w:r w:rsidR="00333252" w:rsidRPr="001F27CE">
        <w:rPr>
          <w:rFonts w:ascii="Arial" w:hAnsi="Arial" w:cs="Arial"/>
          <w:bCs/>
          <w:lang w:val="pt-BR" w:eastAsia="es-ES"/>
        </w:rPr>
        <w:t xml:space="preserve"> (básico)</w:t>
      </w:r>
      <w:r w:rsidRPr="001F27CE">
        <w:rPr>
          <w:rFonts w:ascii="Arial" w:hAnsi="Arial" w:cs="Arial"/>
          <w:bCs/>
          <w:lang w:val="pt-BR" w:eastAsia="es-ES"/>
        </w:rPr>
        <w:t xml:space="preserve">, </w:t>
      </w:r>
      <w:r w:rsidR="00333252" w:rsidRPr="001F27CE">
        <w:rPr>
          <w:rFonts w:ascii="Arial" w:hAnsi="Arial" w:cs="Arial"/>
          <w:bCs/>
          <w:lang w:val="pt-BR" w:eastAsia="es-ES"/>
        </w:rPr>
        <w:t>usando os resultados descritos acima</w:t>
      </w:r>
      <w:r w:rsidR="00604517" w:rsidRPr="001F27CE">
        <w:rPr>
          <w:rFonts w:ascii="Arial" w:hAnsi="Arial" w:cs="Arial"/>
          <w:bCs/>
          <w:lang w:val="pt-BR" w:eastAsia="es-ES"/>
        </w:rPr>
        <w:t xml:space="preserve"> e uma taxa de desconto de 12%, </w:t>
      </w:r>
      <w:r w:rsidRPr="001F27CE">
        <w:rPr>
          <w:rFonts w:ascii="Arial" w:hAnsi="Arial" w:cs="Arial"/>
          <w:bCs/>
          <w:lang w:val="pt-BR" w:eastAsia="es-ES"/>
        </w:rPr>
        <w:t xml:space="preserve">o programa obtém uma taxa interna de retorno (TIR) de </w:t>
      </w:r>
      <w:r w:rsidR="00872148" w:rsidRPr="001F27CE">
        <w:rPr>
          <w:rFonts w:ascii="Arial" w:hAnsi="Arial" w:cs="Arial"/>
          <w:bCs/>
          <w:lang w:val="pt-BR" w:eastAsia="es-ES"/>
        </w:rPr>
        <w:t>56</w:t>
      </w:r>
      <w:r w:rsidR="002A481B" w:rsidRPr="001F27CE">
        <w:rPr>
          <w:rFonts w:ascii="Arial" w:hAnsi="Arial" w:cs="Arial"/>
          <w:bCs/>
          <w:lang w:val="pt-BR" w:eastAsia="es-ES"/>
        </w:rPr>
        <w:t>,</w:t>
      </w:r>
      <w:r w:rsidR="00554C31" w:rsidRPr="001F27CE">
        <w:rPr>
          <w:rFonts w:ascii="Arial" w:hAnsi="Arial" w:cs="Arial"/>
          <w:bCs/>
          <w:lang w:val="pt-BR" w:eastAsia="es-ES"/>
        </w:rPr>
        <w:t>1</w:t>
      </w:r>
      <w:r w:rsidRPr="001F27CE">
        <w:rPr>
          <w:rFonts w:ascii="Arial" w:hAnsi="Arial" w:cs="Arial"/>
          <w:bCs/>
          <w:lang w:val="pt-BR" w:eastAsia="es-ES"/>
        </w:rPr>
        <w:t xml:space="preserve">% e um valor presente </w:t>
      </w:r>
      <w:r w:rsidR="00730DAA" w:rsidRPr="001F27CE">
        <w:rPr>
          <w:rFonts w:ascii="Arial" w:hAnsi="Arial" w:cs="Arial"/>
          <w:bCs/>
          <w:lang w:val="pt-BR" w:eastAsia="es-ES"/>
        </w:rPr>
        <w:t>líquido</w:t>
      </w:r>
      <w:r w:rsidR="007244F2">
        <w:rPr>
          <w:rFonts w:ascii="Arial" w:hAnsi="Arial" w:cs="Arial"/>
          <w:bCs/>
          <w:lang w:val="pt-BR" w:eastAsia="es-ES"/>
        </w:rPr>
        <w:t xml:space="preserve"> (VPL) de US$</w:t>
      </w:r>
      <w:r w:rsidR="00872148" w:rsidRPr="001F27CE">
        <w:rPr>
          <w:rFonts w:ascii="Arial" w:hAnsi="Arial" w:cs="Arial"/>
          <w:bCs/>
          <w:lang w:val="pt-BR" w:eastAsia="es-ES"/>
        </w:rPr>
        <w:t>5</w:t>
      </w:r>
      <w:r w:rsidR="00554C31" w:rsidRPr="001F27CE">
        <w:rPr>
          <w:rFonts w:ascii="Arial" w:hAnsi="Arial" w:cs="Arial"/>
          <w:bCs/>
          <w:lang w:val="pt-BR" w:eastAsia="es-ES"/>
        </w:rPr>
        <w:t>0</w:t>
      </w:r>
      <w:r w:rsidR="007244F2">
        <w:rPr>
          <w:rFonts w:ascii="Arial" w:hAnsi="Arial" w:cs="Arial"/>
          <w:bCs/>
          <w:lang w:val="pt-BR" w:eastAsia="es-ES"/>
        </w:rPr>
        <w:t> </w:t>
      </w:r>
      <w:r w:rsidRPr="001F27CE">
        <w:rPr>
          <w:rFonts w:ascii="Arial" w:hAnsi="Arial" w:cs="Arial"/>
          <w:bCs/>
          <w:lang w:val="pt-BR" w:eastAsia="es-ES"/>
        </w:rPr>
        <w:t xml:space="preserve">milhões. </w:t>
      </w:r>
      <w:r w:rsidR="00730DAA" w:rsidRPr="001F27CE">
        <w:rPr>
          <w:rFonts w:ascii="Arial" w:hAnsi="Arial" w:cs="Arial"/>
          <w:bCs/>
          <w:lang w:val="pt-BR" w:eastAsia="es-ES"/>
        </w:rPr>
        <w:t>O fluxo financeiro anual (Benefícios – Custos) passa a ser positivo</w:t>
      </w:r>
      <w:r w:rsidRPr="001F27CE">
        <w:rPr>
          <w:rFonts w:ascii="Arial" w:hAnsi="Arial" w:cs="Arial"/>
          <w:bCs/>
          <w:lang w:val="pt-BR" w:eastAsia="es-ES"/>
        </w:rPr>
        <w:t xml:space="preserve"> </w:t>
      </w:r>
      <w:r w:rsidR="00730DAA" w:rsidRPr="001F27CE">
        <w:rPr>
          <w:rFonts w:ascii="Arial" w:hAnsi="Arial" w:cs="Arial"/>
          <w:bCs/>
          <w:lang w:val="pt-BR" w:eastAsia="es-ES"/>
        </w:rPr>
        <w:t xml:space="preserve">no </w:t>
      </w:r>
      <w:r w:rsidR="00554C31" w:rsidRPr="001F27CE">
        <w:rPr>
          <w:rFonts w:ascii="Arial" w:hAnsi="Arial" w:cs="Arial"/>
          <w:bCs/>
          <w:lang w:val="pt-BR" w:eastAsia="es-ES"/>
        </w:rPr>
        <w:t>terceiro</w:t>
      </w:r>
      <w:r w:rsidR="00730DAA" w:rsidRPr="001F27CE">
        <w:rPr>
          <w:rFonts w:ascii="Arial" w:hAnsi="Arial" w:cs="Arial"/>
          <w:bCs/>
          <w:lang w:val="pt-BR" w:eastAsia="es-ES"/>
        </w:rPr>
        <w:t xml:space="preserve"> ano do programa e, no acumulado, passa a ser positivo no </w:t>
      </w:r>
      <w:r w:rsidR="00872148" w:rsidRPr="001F27CE">
        <w:rPr>
          <w:rFonts w:ascii="Arial" w:hAnsi="Arial" w:cs="Arial"/>
          <w:bCs/>
          <w:lang w:val="pt-BR" w:eastAsia="es-ES"/>
        </w:rPr>
        <w:t>quinto</w:t>
      </w:r>
      <w:r w:rsidR="00730DAA" w:rsidRPr="001F27CE">
        <w:rPr>
          <w:rFonts w:ascii="Arial" w:hAnsi="Arial" w:cs="Arial"/>
          <w:bCs/>
          <w:lang w:val="pt-BR" w:eastAsia="es-ES"/>
        </w:rPr>
        <w:t xml:space="preserve"> ano do programa, ou seja, já com retorno positivo para o programa como um todo.</w:t>
      </w:r>
    </w:p>
    <w:p w14:paraId="7F280BAE" w14:textId="77777777" w:rsidR="00B13601" w:rsidRDefault="00B13601" w:rsidP="00B13601">
      <w:pPr>
        <w:pStyle w:val="PargrafodaLista"/>
        <w:keepNext/>
        <w:suppressAutoHyphens/>
        <w:spacing w:before="120"/>
        <w:ind w:left="851"/>
        <w:jc w:val="both"/>
        <w:outlineLvl w:val="3"/>
        <w:rPr>
          <w:rFonts w:ascii="Arial" w:hAnsi="Arial" w:cs="Arial"/>
          <w:bCs/>
          <w:lang w:val="pt-BR" w:eastAsia="es-ES"/>
        </w:rPr>
      </w:pPr>
    </w:p>
    <w:tbl>
      <w:tblPr>
        <w:tblW w:w="9892" w:type="dxa"/>
        <w:tblInd w:w="93" w:type="dxa"/>
        <w:tblLook w:val="04A0" w:firstRow="1" w:lastRow="0" w:firstColumn="1" w:lastColumn="0" w:noHBand="0" w:noVBand="1"/>
      </w:tblPr>
      <w:tblGrid>
        <w:gridCol w:w="1393"/>
        <w:gridCol w:w="712"/>
        <w:gridCol w:w="711"/>
        <w:gridCol w:w="885"/>
        <w:gridCol w:w="850"/>
        <w:gridCol w:w="718"/>
        <w:gridCol w:w="718"/>
        <w:gridCol w:w="718"/>
        <w:gridCol w:w="823"/>
        <w:gridCol w:w="718"/>
        <w:gridCol w:w="718"/>
        <w:gridCol w:w="809"/>
        <w:gridCol w:w="119"/>
      </w:tblGrid>
      <w:tr w:rsidR="00B13601" w:rsidRPr="00B13601" w14:paraId="6BF44E18" w14:textId="77777777" w:rsidTr="00B13601">
        <w:trPr>
          <w:trHeight w:val="300"/>
        </w:trPr>
        <w:tc>
          <w:tcPr>
            <w:tcW w:w="9892" w:type="dxa"/>
            <w:gridSpan w:val="13"/>
            <w:tcBorders>
              <w:top w:val="nil"/>
              <w:left w:val="nil"/>
              <w:bottom w:val="nil"/>
              <w:right w:val="nil"/>
            </w:tcBorders>
            <w:shd w:val="clear" w:color="auto" w:fill="auto"/>
            <w:noWrap/>
            <w:vAlign w:val="bottom"/>
            <w:hideMark/>
          </w:tcPr>
          <w:p w14:paraId="14967ADE" w14:textId="77777777" w:rsidR="00B13601" w:rsidRPr="00B13601" w:rsidRDefault="00B13601" w:rsidP="00B13601">
            <w:pPr>
              <w:rPr>
                <w:rFonts w:ascii="Calibri" w:hAnsi="Calibri" w:cs="Calibri"/>
                <w:b/>
                <w:bCs/>
                <w:color w:val="FF0000"/>
                <w:sz w:val="22"/>
                <w:szCs w:val="22"/>
                <w:lang w:val="pt-BR"/>
              </w:rPr>
            </w:pPr>
            <w:r w:rsidRPr="00B13601">
              <w:rPr>
                <w:rFonts w:ascii="Calibri" w:hAnsi="Calibri" w:cs="Calibri"/>
                <w:b/>
                <w:bCs/>
                <w:color w:val="FF0000"/>
                <w:sz w:val="22"/>
                <w:szCs w:val="22"/>
                <w:lang w:val="pt-BR"/>
              </w:rPr>
              <w:t>Tabela 13: Cenário Básico da Análise Custo-Benefício (em US$1000)</w:t>
            </w:r>
          </w:p>
        </w:tc>
      </w:tr>
      <w:tr w:rsidR="00B13601" w:rsidRPr="00B13601" w14:paraId="516D2887" w14:textId="77777777" w:rsidTr="00B13601">
        <w:trPr>
          <w:gridAfter w:val="1"/>
          <w:wAfter w:w="119" w:type="dxa"/>
          <w:trHeight w:val="300"/>
        </w:trPr>
        <w:tc>
          <w:tcPr>
            <w:tcW w:w="1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4D872" w14:textId="77777777" w:rsidR="00B13601" w:rsidRPr="00B13601" w:rsidRDefault="00B13601" w:rsidP="00B13601">
            <w:pPr>
              <w:rPr>
                <w:rFonts w:ascii="Calibri" w:hAnsi="Calibri" w:cs="Calibri"/>
                <w:color w:val="000000"/>
                <w:sz w:val="18"/>
                <w:szCs w:val="18"/>
                <w:lang w:val="pt-BR"/>
              </w:rPr>
            </w:pPr>
            <w:r w:rsidRPr="00B13601">
              <w:rPr>
                <w:rFonts w:ascii="Calibri" w:hAnsi="Calibri" w:cs="Calibri"/>
                <w:color w:val="000000"/>
                <w:sz w:val="18"/>
                <w:szCs w:val="18"/>
                <w:lang w:val="pt-BR"/>
              </w:rPr>
              <w:t> </w:t>
            </w:r>
          </w:p>
        </w:tc>
        <w:tc>
          <w:tcPr>
            <w:tcW w:w="712" w:type="dxa"/>
            <w:tcBorders>
              <w:top w:val="single" w:sz="4" w:space="0" w:color="auto"/>
              <w:left w:val="nil"/>
              <w:bottom w:val="single" w:sz="4" w:space="0" w:color="auto"/>
              <w:right w:val="single" w:sz="4" w:space="0" w:color="auto"/>
            </w:tcBorders>
            <w:shd w:val="clear" w:color="auto" w:fill="auto"/>
            <w:noWrap/>
            <w:vAlign w:val="bottom"/>
            <w:hideMark/>
          </w:tcPr>
          <w:p w14:paraId="35D04C48"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1</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14:paraId="130B28D8"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2</w:t>
            </w:r>
          </w:p>
        </w:tc>
        <w:tc>
          <w:tcPr>
            <w:tcW w:w="885" w:type="dxa"/>
            <w:tcBorders>
              <w:top w:val="single" w:sz="4" w:space="0" w:color="auto"/>
              <w:left w:val="nil"/>
              <w:bottom w:val="single" w:sz="4" w:space="0" w:color="auto"/>
              <w:right w:val="single" w:sz="4" w:space="0" w:color="auto"/>
            </w:tcBorders>
            <w:shd w:val="clear" w:color="auto" w:fill="auto"/>
            <w:noWrap/>
            <w:vAlign w:val="bottom"/>
            <w:hideMark/>
          </w:tcPr>
          <w:p w14:paraId="2E2AB346"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72C3EE0"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4</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3774E4ED"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A7F31DD"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6</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CA8B5FE"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7</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14:paraId="0F5A886D"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8</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F306516"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9</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EA2CC45"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ano</w:t>
            </w:r>
            <w:proofErr w:type="spellEnd"/>
            <w:r w:rsidRPr="00B13601">
              <w:rPr>
                <w:rFonts w:ascii="Calibri" w:hAnsi="Calibri" w:cs="Calibri"/>
                <w:color w:val="000000"/>
                <w:sz w:val="18"/>
                <w:szCs w:val="18"/>
              </w:rPr>
              <w:t xml:space="preserve"> 10</w:t>
            </w:r>
          </w:p>
        </w:tc>
        <w:tc>
          <w:tcPr>
            <w:tcW w:w="809" w:type="dxa"/>
            <w:tcBorders>
              <w:top w:val="single" w:sz="4" w:space="0" w:color="auto"/>
              <w:left w:val="nil"/>
              <w:bottom w:val="single" w:sz="4" w:space="0" w:color="auto"/>
              <w:right w:val="single" w:sz="4" w:space="0" w:color="auto"/>
            </w:tcBorders>
            <w:shd w:val="clear" w:color="auto" w:fill="auto"/>
            <w:noWrap/>
            <w:vAlign w:val="bottom"/>
            <w:hideMark/>
          </w:tcPr>
          <w:p w14:paraId="66832D49" w14:textId="77777777" w:rsidR="00B13601" w:rsidRPr="00B13601" w:rsidRDefault="00B13601" w:rsidP="00B13601">
            <w:pPr>
              <w:rPr>
                <w:rFonts w:ascii="Calibri" w:hAnsi="Calibri" w:cs="Calibri"/>
                <w:color w:val="000000"/>
                <w:sz w:val="18"/>
                <w:szCs w:val="18"/>
              </w:rPr>
            </w:pPr>
            <w:r w:rsidRPr="00B13601">
              <w:rPr>
                <w:rFonts w:ascii="Calibri" w:hAnsi="Calibri" w:cs="Calibri"/>
                <w:color w:val="000000"/>
                <w:sz w:val="18"/>
                <w:szCs w:val="18"/>
              </w:rPr>
              <w:t>Total</w:t>
            </w:r>
          </w:p>
        </w:tc>
      </w:tr>
      <w:tr w:rsidR="00B13601" w:rsidRPr="00B13601" w14:paraId="73FA2AFF" w14:textId="77777777" w:rsidTr="00B13601">
        <w:trPr>
          <w:gridAfter w:val="1"/>
          <w:wAfter w:w="119" w:type="dxa"/>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14:paraId="63B8A92B"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Custos</w:t>
            </w:r>
            <w:proofErr w:type="spellEnd"/>
            <w:r w:rsidRPr="00B13601">
              <w:rPr>
                <w:rFonts w:ascii="Calibri" w:hAnsi="Calibri" w:cs="Calibri"/>
                <w:color w:val="000000"/>
                <w:sz w:val="18"/>
                <w:szCs w:val="18"/>
              </w:rPr>
              <w:t xml:space="preserve"> </w:t>
            </w:r>
            <w:proofErr w:type="spellStart"/>
            <w:r w:rsidRPr="00B13601">
              <w:rPr>
                <w:rFonts w:ascii="Calibri" w:hAnsi="Calibri" w:cs="Calibri"/>
                <w:color w:val="000000"/>
                <w:sz w:val="18"/>
                <w:szCs w:val="18"/>
              </w:rPr>
              <w:t>totais</w:t>
            </w:r>
            <w:proofErr w:type="spellEnd"/>
          </w:p>
        </w:tc>
        <w:tc>
          <w:tcPr>
            <w:tcW w:w="712" w:type="dxa"/>
            <w:tcBorders>
              <w:top w:val="nil"/>
              <w:left w:val="nil"/>
              <w:bottom w:val="single" w:sz="4" w:space="0" w:color="auto"/>
              <w:right w:val="single" w:sz="4" w:space="0" w:color="auto"/>
            </w:tcBorders>
            <w:shd w:val="clear" w:color="auto" w:fill="auto"/>
            <w:noWrap/>
            <w:vAlign w:val="bottom"/>
            <w:hideMark/>
          </w:tcPr>
          <w:p w14:paraId="3E3EC690"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-9.183 </w:t>
            </w:r>
          </w:p>
        </w:tc>
        <w:tc>
          <w:tcPr>
            <w:tcW w:w="711" w:type="dxa"/>
            <w:tcBorders>
              <w:top w:val="nil"/>
              <w:left w:val="nil"/>
              <w:bottom w:val="single" w:sz="4" w:space="0" w:color="auto"/>
              <w:right w:val="single" w:sz="4" w:space="0" w:color="auto"/>
            </w:tcBorders>
            <w:shd w:val="clear" w:color="auto" w:fill="auto"/>
            <w:noWrap/>
            <w:vAlign w:val="bottom"/>
            <w:hideMark/>
          </w:tcPr>
          <w:p w14:paraId="09546A64"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-8.984 </w:t>
            </w:r>
          </w:p>
        </w:tc>
        <w:tc>
          <w:tcPr>
            <w:tcW w:w="885" w:type="dxa"/>
            <w:tcBorders>
              <w:top w:val="nil"/>
              <w:left w:val="nil"/>
              <w:bottom w:val="single" w:sz="4" w:space="0" w:color="auto"/>
              <w:right w:val="single" w:sz="4" w:space="0" w:color="auto"/>
            </w:tcBorders>
            <w:shd w:val="clear" w:color="auto" w:fill="auto"/>
            <w:noWrap/>
            <w:vAlign w:val="bottom"/>
            <w:hideMark/>
          </w:tcPr>
          <w:p w14:paraId="06823D46"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-10.327 </w:t>
            </w:r>
          </w:p>
        </w:tc>
        <w:tc>
          <w:tcPr>
            <w:tcW w:w="850" w:type="dxa"/>
            <w:tcBorders>
              <w:top w:val="nil"/>
              <w:left w:val="nil"/>
              <w:bottom w:val="single" w:sz="4" w:space="0" w:color="auto"/>
              <w:right w:val="single" w:sz="4" w:space="0" w:color="auto"/>
            </w:tcBorders>
            <w:shd w:val="clear" w:color="auto" w:fill="auto"/>
            <w:noWrap/>
            <w:vAlign w:val="bottom"/>
            <w:hideMark/>
          </w:tcPr>
          <w:p w14:paraId="4D7549B8"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-11.133 </w:t>
            </w:r>
          </w:p>
        </w:tc>
        <w:tc>
          <w:tcPr>
            <w:tcW w:w="718" w:type="dxa"/>
            <w:tcBorders>
              <w:top w:val="nil"/>
              <w:left w:val="nil"/>
              <w:bottom w:val="single" w:sz="4" w:space="0" w:color="auto"/>
              <w:right w:val="single" w:sz="4" w:space="0" w:color="auto"/>
            </w:tcBorders>
            <w:shd w:val="clear" w:color="auto" w:fill="auto"/>
            <w:noWrap/>
            <w:vAlign w:val="bottom"/>
            <w:hideMark/>
          </w:tcPr>
          <w:p w14:paraId="279A06E4"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-8.435 </w:t>
            </w:r>
          </w:p>
        </w:tc>
        <w:tc>
          <w:tcPr>
            <w:tcW w:w="718" w:type="dxa"/>
            <w:tcBorders>
              <w:top w:val="nil"/>
              <w:left w:val="nil"/>
              <w:bottom w:val="single" w:sz="4" w:space="0" w:color="auto"/>
              <w:right w:val="single" w:sz="4" w:space="0" w:color="auto"/>
            </w:tcBorders>
            <w:shd w:val="clear" w:color="auto" w:fill="auto"/>
            <w:noWrap/>
            <w:vAlign w:val="bottom"/>
            <w:hideMark/>
          </w:tcPr>
          <w:p w14:paraId="5B0713A5"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-3.839 </w:t>
            </w:r>
          </w:p>
        </w:tc>
        <w:tc>
          <w:tcPr>
            <w:tcW w:w="718" w:type="dxa"/>
            <w:tcBorders>
              <w:top w:val="nil"/>
              <w:left w:val="nil"/>
              <w:bottom w:val="single" w:sz="4" w:space="0" w:color="auto"/>
              <w:right w:val="single" w:sz="4" w:space="0" w:color="auto"/>
            </w:tcBorders>
            <w:shd w:val="clear" w:color="auto" w:fill="auto"/>
            <w:noWrap/>
            <w:vAlign w:val="bottom"/>
            <w:hideMark/>
          </w:tcPr>
          <w:p w14:paraId="39899156"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-3.799 </w:t>
            </w:r>
          </w:p>
        </w:tc>
        <w:tc>
          <w:tcPr>
            <w:tcW w:w="823" w:type="dxa"/>
            <w:tcBorders>
              <w:top w:val="nil"/>
              <w:left w:val="nil"/>
              <w:bottom w:val="single" w:sz="4" w:space="0" w:color="auto"/>
              <w:right w:val="single" w:sz="4" w:space="0" w:color="auto"/>
            </w:tcBorders>
            <w:shd w:val="clear" w:color="auto" w:fill="auto"/>
            <w:noWrap/>
            <w:vAlign w:val="bottom"/>
            <w:hideMark/>
          </w:tcPr>
          <w:p w14:paraId="6D995566"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-3.760 </w:t>
            </w:r>
          </w:p>
        </w:tc>
        <w:tc>
          <w:tcPr>
            <w:tcW w:w="718" w:type="dxa"/>
            <w:tcBorders>
              <w:top w:val="nil"/>
              <w:left w:val="nil"/>
              <w:bottom w:val="single" w:sz="4" w:space="0" w:color="auto"/>
              <w:right w:val="single" w:sz="4" w:space="0" w:color="auto"/>
            </w:tcBorders>
            <w:shd w:val="clear" w:color="auto" w:fill="auto"/>
            <w:noWrap/>
            <w:vAlign w:val="bottom"/>
            <w:hideMark/>
          </w:tcPr>
          <w:p w14:paraId="2E6E1CFF"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-3.720 </w:t>
            </w:r>
          </w:p>
        </w:tc>
        <w:tc>
          <w:tcPr>
            <w:tcW w:w="718" w:type="dxa"/>
            <w:tcBorders>
              <w:top w:val="nil"/>
              <w:left w:val="nil"/>
              <w:bottom w:val="single" w:sz="4" w:space="0" w:color="auto"/>
              <w:right w:val="single" w:sz="4" w:space="0" w:color="auto"/>
            </w:tcBorders>
            <w:shd w:val="clear" w:color="auto" w:fill="auto"/>
            <w:noWrap/>
            <w:vAlign w:val="bottom"/>
            <w:hideMark/>
          </w:tcPr>
          <w:p w14:paraId="515B2E8A"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-3.479 </w:t>
            </w:r>
          </w:p>
        </w:tc>
        <w:tc>
          <w:tcPr>
            <w:tcW w:w="809" w:type="dxa"/>
            <w:tcBorders>
              <w:top w:val="nil"/>
              <w:left w:val="nil"/>
              <w:bottom w:val="single" w:sz="4" w:space="0" w:color="auto"/>
              <w:right w:val="single" w:sz="4" w:space="0" w:color="auto"/>
            </w:tcBorders>
            <w:shd w:val="clear" w:color="auto" w:fill="auto"/>
            <w:noWrap/>
            <w:vAlign w:val="bottom"/>
            <w:hideMark/>
          </w:tcPr>
          <w:p w14:paraId="32153E0C"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-66.659 </w:t>
            </w:r>
          </w:p>
        </w:tc>
      </w:tr>
      <w:tr w:rsidR="00B13601" w:rsidRPr="00B13601" w14:paraId="0777258B" w14:textId="77777777" w:rsidTr="00B13601">
        <w:trPr>
          <w:gridAfter w:val="1"/>
          <w:wAfter w:w="119" w:type="dxa"/>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14:paraId="5F507444"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Benefícios</w:t>
            </w:r>
            <w:proofErr w:type="spellEnd"/>
          </w:p>
        </w:tc>
        <w:tc>
          <w:tcPr>
            <w:tcW w:w="712" w:type="dxa"/>
            <w:tcBorders>
              <w:top w:val="nil"/>
              <w:left w:val="nil"/>
              <w:bottom w:val="single" w:sz="4" w:space="0" w:color="auto"/>
              <w:right w:val="single" w:sz="4" w:space="0" w:color="auto"/>
            </w:tcBorders>
            <w:shd w:val="clear" w:color="auto" w:fill="auto"/>
            <w:noWrap/>
            <w:vAlign w:val="bottom"/>
            <w:hideMark/>
          </w:tcPr>
          <w:p w14:paraId="2C8949AB"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0 </w:t>
            </w:r>
          </w:p>
        </w:tc>
        <w:tc>
          <w:tcPr>
            <w:tcW w:w="711" w:type="dxa"/>
            <w:tcBorders>
              <w:top w:val="nil"/>
              <w:left w:val="nil"/>
              <w:bottom w:val="single" w:sz="4" w:space="0" w:color="auto"/>
              <w:right w:val="single" w:sz="4" w:space="0" w:color="auto"/>
            </w:tcBorders>
            <w:shd w:val="clear" w:color="auto" w:fill="auto"/>
            <w:noWrap/>
            <w:vAlign w:val="bottom"/>
            <w:hideMark/>
          </w:tcPr>
          <w:p w14:paraId="29DBED5B"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8.215 </w:t>
            </w:r>
          </w:p>
        </w:tc>
        <w:tc>
          <w:tcPr>
            <w:tcW w:w="885" w:type="dxa"/>
            <w:tcBorders>
              <w:top w:val="nil"/>
              <w:left w:val="nil"/>
              <w:bottom w:val="single" w:sz="4" w:space="0" w:color="auto"/>
              <w:right w:val="single" w:sz="4" w:space="0" w:color="auto"/>
            </w:tcBorders>
            <w:shd w:val="clear" w:color="auto" w:fill="auto"/>
            <w:noWrap/>
            <w:vAlign w:val="bottom"/>
            <w:hideMark/>
          </w:tcPr>
          <w:p w14:paraId="752D736D"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10.429 </w:t>
            </w:r>
          </w:p>
        </w:tc>
        <w:tc>
          <w:tcPr>
            <w:tcW w:w="850" w:type="dxa"/>
            <w:tcBorders>
              <w:top w:val="nil"/>
              <w:left w:val="nil"/>
              <w:bottom w:val="single" w:sz="4" w:space="0" w:color="auto"/>
              <w:right w:val="single" w:sz="4" w:space="0" w:color="auto"/>
            </w:tcBorders>
            <w:shd w:val="clear" w:color="auto" w:fill="auto"/>
            <w:noWrap/>
            <w:vAlign w:val="bottom"/>
            <w:hideMark/>
          </w:tcPr>
          <w:p w14:paraId="6BB225B7"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14.755 </w:t>
            </w:r>
          </w:p>
        </w:tc>
        <w:tc>
          <w:tcPr>
            <w:tcW w:w="718" w:type="dxa"/>
            <w:tcBorders>
              <w:top w:val="nil"/>
              <w:left w:val="nil"/>
              <w:bottom w:val="single" w:sz="4" w:space="0" w:color="auto"/>
              <w:right w:val="single" w:sz="4" w:space="0" w:color="auto"/>
            </w:tcBorders>
            <w:shd w:val="clear" w:color="auto" w:fill="auto"/>
            <w:noWrap/>
            <w:vAlign w:val="bottom"/>
            <w:hideMark/>
          </w:tcPr>
          <w:p w14:paraId="2C5DC6C2"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22.970 </w:t>
            </w:r>
          </w:p>
        </w:tc>
        <w:tc>
          <w:tcPr>
            <w:tcW w:w="718" w:type="dxa"/>
            <w:tcBorders>
              <w:top w:val="nil"/>
              <w:left w:val="nil"/>
              <w:bottom w:val="single" w:sz="4" w:space="0" w:color="auto"/>
              <w:right w:val="single" w:sz="4" w:space="0" w:color="auto"/>
            </w:tcBorders>
            <w:shd w:val="clear" w:color="auto" w:fill="auto"/>
            <w:noWrap/>
            <w:vAlign w:val="bottom"/>
            <w:hideMark/>
          </w:tcPr>
          <w:p w14:paraId="249EBBE6"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27.077 </w:t>
            </w:r>
          </w:p>
        </w:tc>
        <w:tc>
          <w:tcPr>
            <w:tcW w:w="718" w:type="dxa"/>
            <w:tcBorders>
              <w:top w:val="nil"/>
              <w:left w:val="nil"/>
              <w:bottom w:val="single" w:sz="4" w:space="0" w:color="auto"/>
              <w:right w:val="single" w:sz="4" w:space="0" w:color="auto"/>
            </w:tcBorders>
            <w:shd w:val="clear" w:color="auto" w:fill="auto"/>
            <w:noWrap/>
            <w:vAlign w:val="bottom"/>
            <w:hideMark/>
          </w:tcPr>
          <w:p w14:paraId="789B1B9A"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27.077 </w:t>
            </w:r>
          </w:p>
        </w:tc>
        <w:tc>
          <w:tcPr>
            <w:tcW w:w="823" w:type="dxa"/>
            <w:tcBorders>
              <w:top w:val="nil"/>
              <w:left w:val="nil"/>
              <w:bottom w:val="single" w:sz="4" w:space="0" w:color="auto"/>
              <w:right w:val="single" w:sz="4" w:space="0" w:color="auto"/>
            </w:tcBorders>
            <w:shd w:val="clear" w:color="auto" w:fill="auto"/>
            <w:noWrap/>
            <w:vAlign w:val="bottom"/>
            <w:hideMark/>
          </w:tcPr>
          <w:p w14:paraId="717ED3DC"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27.077 </w:t>
            </w:r>
          </w:p>
        </w:tc>
        <w:tc>
          <w:tcPr>
            <w:tcW w:w="718" w:type="dxa"/>
            <w:tcBorders>
              <w:top w:val="nil"/>
              <w:left w:val="nil"/>
              <w:bottom w:val="single" w:sz="4" w:space="0" w:color="auto"/>
              <w:right w:val="single" w:sz="4" w:space="0" w:color="auto"/>
            </w:tcBorders>
            <w:shd w:val="clear" w:color="auto" w:fill="auto"/>
            <w:noWrap/>
            <w:vAlign w:val="bottom"/>
            <w:hideMark/>
          </w:tcPr>
          <w:p w14:paraId="299294F0"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27.077 </w:t>
            </w:r>
          </w:p>
        </w:tc>
        <w:tc>
          <w:tcPr>
            <w:tcW w:w="718" w:type="dxa"/>
            <w:tcBorders>
              <w:top w:val="nil"/>
              <w:left w:val="nil"/>
              <w:bottom w:val="single" w:sz="4" w:space="0" w:color="auto"/>
              <w:right w:val="single" w:sz="4" w:space="0" w:color="auto"/>
            </w:tcBorders>
            <w:shd w:val="clear" w:color="auto" w:fill="auto"/>
            <w:noWrap/>
            <w:vAlign w:val="bottom"/>
            <w:hideMark/>
          </w:tcPr>
          <w:p w14:paraId="776871F5"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27.077 </w:t>
            </w:r>
          </w:p>
        </w:tc>
        <w:tc>
          <w:tcPr>
            <w:tcW w:w="809" w:type="dxa"/>
            <w:tcBorders>
              <w:top w:val="nil"/>
              <w:left w:val="nil"/>
              <w:bottom w:val="single" w:sz="4" w:space="0" w:color="auto"/>
              <w:right w:val="single" w:sz="4" w:space="0" w:color="auto"/>
            </w:tcBorders>
            <w:shd w:val="clear" w:color="auto" w:fill="auto"/>
            <w:noWrap/>
            <w:vAlign w:val="bottom"/>
            <w:hideMark/>
          </w:tcPr>
          <w:p w14:paraId="7CE8BBBC"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191.756 </w:t>
            </w:r>
          </w:p>
        </w:tc>
      </w:tr>
      <w:tr w:rsidR="00B13601" w:rsidRPr="00B13601" w14:paraId="6CC8F64C" w14:textId="77777777" w:rsidTr="00B13601">
        <w:trPr>
          <w:gridAfter w:val="1"/>
          <w:wAfter w:w="119" w:type="dxa"/>
          <w:trHeight w:val="300"/>
        </w:trPr>
        <w:tc>
          <w:tcPr>
            <w:tcW w:w="1393" w:type="dxa"/>
            <w:tcBorders>
              <w:top w:val="nil"/>
              <w:left w:val="single" w:sz="4" w:space="0" w:color="auto"/>
              <w:bottom w:val="single" w:sz="4" w:space="0" w:color="auto"/>
              <w:right w:val="single" w:sz="4" w:space="0" w:color="auto"/>
            </w:tcBorders>
            <w:shd w:val="clear" w:color="auto" w:fill="auto"/>
            <w:noWrap/>
            <w:vAlign w:val="bottom"/>
            <w:hideMark/>
          </w:tcPr>
          <w:p w14:paraId="00E7FDEC" w14:textId="77777777" w:rsidR="00B13601" w:rsidRPr="00B13601" w:rsidRDefault="00B13601" w:rsidP="00B13601">
            <w:pPr>
              <w:rPr>
                <w:rFonts w:ascii="Calibri" w:hAnsi="Calibri" w:cs="Calibri"/>
                <w:color w:val="000000"/>
                <w:sz w:val="18"/>
                <w:szCs w:val="18"/>
              </w:rPr>
            </w:pPr>
            <w:proofErr w:type="spellStart"/>
            <w:r w:rsidRPr="00B13601">
              <w:rPr>
                <w:rFonts w:ascii="Calibri" w:hAnsi="Calibri" w:cs="Calibri"/>
                <w:color w:val="000000"/>
                <w:sz w:val="18"/>
                <w:szCs w:val="18"/>
              </w:rPr>
              <w:t>Fluxo</w:t>
            </w:r>
            <w:proofErr w:type="spellEnd"/>
          </w:p>
        </w:tc>
        <w:tc>
          <w:tcPr>
            <w:tcW w:w="712" w:type="dxa"/>
            <w:tcBorders>
              <w:top w:val="nil"/>
              <w:left w:val="nil"/>
              <w:bottom w:val="single" w:sz="4" w:space="0" w:color="auto"/>
              <w:right w:val="single" w:sz="4" w:space="0" w:color="auto"/>
            </w:tcBorders>
            <w:shd w:val="clear" w:color="auto" w:fill="auto"/>
            <w:noWrap/>
            <w:vAlign w:val="bottom"/>
            <w:hideMark/>
          </w:tcPr>
          <w:p w14:paraId="5F04F197"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-9.183 </w:t>
            </w:r>
          </w:p>
        </w:tc>
        <w:tc>
          <w:tcPr>
            <w:tcW w:w="711" w:type="dxa"/>
            <w:tcBorders>
              <w:top w:val="nil"/>
              <w:left w:val="nil"/>
              <w:bottom w:val="single" w:sz="4" w:space="0" w:color="auto"/>
              <w:right w:val="single" w:sz="4" w:space="0" w:color="auto"/>
            </w:tcBorders>
            <w:shd w:val="clear" w:color="auto" w:fill="auto"/>
            <w:noWrap/>
            <w:vAlign w:val="bottom"/>
            <w:hideMark/>
          </w:tcPr>
          <w:p w14:paraId="5BB52A29"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-769 </w:t>
            </w:r>
          </w:p>
        </w:tc>
        <w:tc>
          <w:tcPr>
            <w:tcW w:w="885" w:type="dxa"/>
            <w:tcBorders>
              <w:top w:val="nil"/>
              <w:left w:val="nil"/>
              <w:bottom w:val="single" w:sz="4" w:space="0" w:color="auto"/>
              <w:right w:val="single" w:sz="4" w:space="0" w:color="auto"/>
            </w:tcBorders>
            <w:shd w:val="clear" w:color="auto" w:fill="auto"/>
            <w:noWrap/>
            <w:vAlign w:val="bottom"/>
            <w:hideMark/>
          </w:tcPr>
          <w:p w14:paraId="501F594F"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102 </w:t>
            </w:r>
          </w:p>
        </w:tc>
        <w:tc>
          <w:tcPr>
            <w:tcW w:w="850" w:type="dxa"/>
            <w:tcBorders>
              <w:top w:val="nil"/>
              <w:left w:val="nil"/>
              <w:bottom w:val="single" w:sz="4" w:space="0" w:color="auto"/>
              <w:right w:val="single" w:sz="4" w:space="0" w:color="auto"/>
            </w:tcBorders>
            <w:shd w:val="clear" w:color="auto" w:fill="auto"/>
            <w:noWrap/>
            <w:vAlign w:val="bottom"/>
            <w:hideMark/>
          </w:tcPr>
          <w:p w14:paraId="5DB2138C"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3.623 </w:t>
            </w:r>
          </w:p>
        </w:tc>
        <w:tc>
          <w:tcPr>
            <w:tcW w:w="718" w:type="dxa"/>
            <w:tcBorders>
              <w:top w:val="nil"/>
              <w:left w:val="nil"/>
              <w:bottom w:val="single" w:sz="4" w:space="0" w:color="auto"/>
              <w:right w:val="single" w:sz="4" w:space="0" w:color="auto"/>
            </w:tcBorders>
            <w:shd w:val="clear" w:color="auto" w:fill="auto"/>
            <w:noWrap/>
            <w:vAlign w:val="bottom"/>
            <w:hideMark/>
          </w:tcPr>
          <w:p w14:paraId="13A4D8A0"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14.535 </w:t>
            </w:r>
          </w:p>
        </w:tc>
        <w:tc>
          <w:tcPr>
            <w:tcW w:w="718" w:type="dxa"/>
            <w:tcBorders>
              <w:top w:val="nil"/>
              <w:left w:val="nil"/>
              <w:bottom w:val="single" w:sz="4" w:space="0" w:color="auto"/>
              <w:right w:val="single" w:sz="4" w:space="0" w:color="auto"/>
            </w:tcBorders>
            <w:shd w:val="clear" w:color="auto" w:fill="auto"/>
            <w:noWrap/>
            <w:vAlign w:val="bottom"/>
            <w:hideMark/>
          </w:tcPr>
          <w:p w14:paraId="361721C8"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23.239 </w:t>
            </w:r>
          </w:p>
        </w:tc>
        <w:tc>
          <w:tcPr>
            <w:tcW w:w="718" w:type="dxa"/>
            <w:tcBorders>
              <w:top w:val="nil"/>
              <w:left w:val="nil"/>
              <w:bottom w:val="single" w:sz="4" w:space="0" w:color="auto"/>
              <w:right w:val="single" w:sz="4" w:space="0" w:color="auto"/>
            </w:tcBorders>
            <w:shd w:val="clear" w:color="auto" w:fill="auto"/>
            <w:noWrap/>
            <w:vAlign w:val="bottom"/>
            <w:hideMark/>
          </w:tcPr>
          <w:p w14:paraId="3077BD37"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23.278 </w:t>
            </w:r>
          </w:p>
        </w:tc>
        <w:tc>
          <w:tcPr>
            <w:tcW w:w="823" w:type="dxa"/>
            <w:tcBorders>
              <w:top w:val="nil"/>
              <w:left w:val="nil"/>
              <w:bottom w:val="single" w:sz="4" w:space="0" w:color="auto"/>
              <w:right w:val="single" w:sz="4" w:space="0" w:color="auto"/>
            </w:tcBorders>
            <w:shd w:val="clear" w:color="auto" w:fill="auto"/>
            <w:noWrap/>
            <w:vAlign w:val="bottom"/>
            <w:hideMark/>
          </w:tcPr>
          <w:p w14:paraId="7CA2AC5C"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23.318 </w:t>
            </w:r>
          </w:p>
        </w:tc>
        <w:tc>
          <w:tcPr>
            <w:tcW w:w="718" w:type="dxa"/>
            <w:tcBorders>
              <w:top w:val="nil"/>
              <w:left w:val="nil"/>
              <w:bottom w:val="single" w:sz="4" w:space="0" w:color="auto"/>
              <w:right w:val="single" w:sz="4" w:space="0" w:color="auto"/>
            </w:tcBorders>
            <w:shd w:val="clear" w:color="auto" w:fill="auto"/>
            <w:noWrap/>
            <w:vAlign w:val="bottom"/>
            <w:hideMark/>
          </w:tcPr>
          <w:p w14:paraId="07BB4D45"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23.357 </w:t>
            </w:r>
          </w:p>
        </w:tc>
        <w:tc>
          <w:tcPr>
            <w:tcW w:w="718" w:type="dxa"/>
            <w:tcBorders>
              <w:top w:val="nil"/>
              <w:left w:val="nil"/>
              <w:bottom w:val="single" w:sz="4" w:space="0" w:color="auto"/>
              <w:right w:val="single" w:sz="4" w:space="0" w:color="auto"/>
            </w:tcBorders>
            <w:shd w:val="clear" w:color="auto" w:fill="auto"/>
            <w:noWrap/>
            <w:vAlign w:val="bottom"/>
            <w:hideMark/>
          </w:tcPr>
          <w:p w14:paraId="37900FAE"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23.598 </w:t>
            </w:r>
          </w:p>
        </w:tc>
        <w:tc>
          <w:tcPr>
            <w:tcW w:w="809" w:type="dxa"/>
            <w:tcBorders>
              <w:top w:val="nil"/>
              <w:left w:val="nil"/>
              <w:bottom w:val="single" w:sz="4" w:space="0" w:color="auto"/>
              <w:right w:val="single" w:sz="4" w:space="0" w:color="auto"/>
            </w:tcBorders>
            <w:shd w:val="clear" w:color="auto" w:fill="auto"/>
            <w:noWrap/>
            <w:vAlign w:val="bottom"/>
            <w:hideMark/>
          </w:tcPr>
          <w:p w14:paraId="2CB66838" w14:textId="77777777" w:rsidR="00B13601" w:rsidRPr="00B13601" w:rsidRDefault="00B13601" w:rsidP="00B13601">
            <w:pPr>
              <w:jc w:val="right"/>
              <w:rPr>
                <w:rFonts w:ascii="Calibri" w:hAnsi="Calibri" w:cs="Calibri"/>
                <w:color w:val="000000"/>
                <w:sz w:val="18"/>
                <w:szCs w:val="18"/>
              </w:rPr>
            </w:pPr>
            <w:r w:rsidRPr="00B13601">
              <w:rPr>
                <w:rFonts w:ascii="Calibri" w:hAnsi="Calibri" w:cs="Calibri"/>
                <w:color w:val="000000"/>
                <w:sz w:val="18"/>
                <w:szCs w:val="18"/>
              </w:rPr>
              <w:t xml:space="preserve">125.097 </w:t>
            </w:r>
          </w:p>
        </w:tc>
      </w:tr>
      <w:tr w:rsidR="00B13601" w:rsidRPr="00B13601" w14:paraId="4B29D3AE" w14:textId="77777777" w:rsidTr="00B13601">
        <w:trPr>
          <w:gridAfter w:val="1"/>
          <w:wAfter w:w="119" w:type="dxa"/>
          <w:trHeight w:val="300"/>
        </w:trPr>
        <w:tc>
          <w:tcPr>
            <w:tcW w:w="2816" w:type="dxa"/>
            <w:gridSpan w:val="3"/>
            <w:tcBorders>
              <w:top w:val="single" w:sz="4" w:space="0" w:color="auto"/>
              <w:left w:val="nil"/>
              <w:bottom w:val="nil"/>
              <w:right w:val="nil"/>
            </w:tcBorders>
            <w:shd w:val="clear" w:color="auto" w:fill="auto"/>
            <w:noWrap/>
            <w:vAlign w:val="bottom"/>
            <w:hideMark/>
          </w:tcPr>
          <w:p w14:paraId="749DA629" w14:textId="77777777" w:rsidR="00B13601" w:rsidRPr="00B13601" w:rsidRDefault="00B13601" w:rsidP="00B13601">
            <w:pPr>
              <w:jc w:val="center"/>
              <w:rPr>
                <w:rFonts w:ascii="Calibri" w:hAnsi="Calibri" w:cs="Calibri"/>
                <w:b/>
                <w:bCs/>
                <w:color w:val="000000"/>
                <w:sz w:val="18"/>
                <w:szCs w:val="18"/>
              </w:rPr>
            </w:pPr>
            <w:r w:rsidRPr="00B13601">
              <w:rPr>
                <w:rFonts w:ascii="Calibri" w:hAnsi="Calibri" w:cs="Calibri"/>
                <w:b/>
                <w:bCs/>
                <w:color w:val="000000"/>
                <w:sz w:val="18"/>
                <w:szCs w:val="18"/>
              </w:rPr>
              <w:t xml:space="preserve">Valor </w:t>
            </w:r>
            <w:proofErr w:type="spellStart"/>
            <w:r w:rsidRPr="00B13601">
              <w:rPr>
                <w:rFonts w:ascii="Calibri" w:hAnsi="Calibri" w:cs="Calibri"/>
                <w:b/>
                <w:bCs/>
                <w:color w:val="000000"/>
                <w:sz w:val="18"/>
                <w:szCs w:val="18"/>
              </w:rPr>
              <w:t>Presente</w:t>
            </w:r>
            <w:proofErr w:type="spellEnd"/>
            <w:r w:rsidRPr="00B13601">
              <w:rPr>
                <w:rFonts w:ascii="Calibri" w:hAnsi="Calibri" w:cs="Calibri"/>
                <w:b/>
                <w:bCs/>
                <w:color w:val="000000"/>
                <w:sz w:val="18"/>
                <w:szCs w:val="18"/>
              </w:rPr>
              <w:t xml:space="preserve"> </w:t>
            </w:r>
            <w:proofErr w:type="spellStart"/>
            <w:r w:rsidRPr="00B13601">
              <w:rPr>
                <w:rFonts w:ascii="Calibri" w:hAnsi="Calibri" w:cs="Calibri"/>
                <w:b/>
                <w:bCs/>
                <w:color w:val="000000"/>
                <w:sz w:val="18"/>
                <w:szCs w:val="18"/>
              </w:rPr>
              <w:t>Líquido</w:t>
            </w:r>
            <w:proofErr w:type="spellEnd"/>
          </w:p>
        </w:tc>
        <w:tc>
          <w:tcPr>
            <w:tcW w:w="885" w:type="dxa"/>
            <w:tcBorders>
              <w:top w:val="nil"/>
              <w:left w:val="nil"/>
              <w:bottom w:val="nil"/>
              <w:right w:val="nil"/>
            </w:tcBorders>
            <w:shd w:val="clear" w:color="auto" w:fill="auto"/>
            <w:noWrap/>
            <w:vAlign w:val="bottom"/>
            <w:hideMark/>
          </w:tcPr>
          <w:p w14:paraId="5EFC69F4" w14:textId="77777777" w:rsidR="00B13601" w:rsidRPr="00B13601" w:rsidRDefault="00B13601" w:rsidP="00B13601">
            <w:pPr>
              <w:rPr>
                <w:rFonts w:ascii="Calibri" w:hAnsi="Calibri" w:cs="Calibri"/>
                <w:b/>
                <w:bCs/>
                <w:color w:val="000000"/>
                <w:sz w:val="18"/>
                <w:szCs w:val="18"/>
              </w:rPr>
            </w:pPr>
            <w:r w:rsidRPr="00B13601">
              <w:rPr>
                <w:rFonts w:ascii="Calibri" w:hAnsi="Calibri" w:cs="Calibri"/>
                <w:b/>
                <w:bCs/>
                <w:color w:val="000000"/>
                <w:sz w:val="18"/>
                <w:szCs w:val="18"/>
              </w:rPr>
              <w:t xml:space="preserve">     49.552 </w:t>
            </w:r>
          </w:p>
        </w:tc>
        <w:tc>
          <w:tcPr>
            <w:tcW w:w="850" w:type="dxa"/>
            <w:tcBorders>
              <w:top w:val="nil"/>
              <w:left w:val="nil"/>
              <w:bottom w:val="nil"/>
              <w:right w:val="nil"/>
            </w:tcBorders>
            <w:shd w:val="clear" w:color="auto" w:fill="auto"/>
            <w:noWrap/>
            <w:vAlign w:val="bottom"/>
            <w:hideMark/>
          </w:tcPr>
          <w:p w14:paraId="1479A79C"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1A1FC9B7"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508A343E"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103024B" w14:textId="77777777" w:rsidR="00B13601" w:rsidRPr="00B13601" w:rsidRDefault="00B13601" w:rsidP="00B13601">
            <w:pPr>
              <w:rPr>
                <w:rFonts w:ascii="Calibri" w:hAnsi="Calibri" w:cs="Calibri"/>
                <w:color w:val="000000"/>
                <w:sz w:val="18"/>
                <w:szCs w:val="18"/>
              </w:rPr>
            </w:pPr>
          </w:p>
        </w:tc>
        <w:tc>
          <w:tcPr>
            <w:tcW w:w="823" w:type="dxa"/>
            <w:tcBorders>
              <w:top w:val="nil"/>
              <w:left w:val="nil"/>
              <w:bottom w:val="nil"/>
              <w:right w:val="nil"/>
            </w:tcBorders>
            <w:shd w:val="clear" w:color="auto" w:fill="auto"/>
            <w:noWrap/>
            <w:vAlign w:val="bottom"/>
            <w:hideMark/>
          </w:tcPr>
          <w:p w14:paraId="4B7BD3EF"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87E45BF"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4F46ACFE" w14:textId="77777777" w:rsidR="00B13601" w:rsidRPr="00B13601" w:rsidRDefault="00B13601" w:rsidP="00B13601">
            <w:pPr>
              <w:rPr>
                <w:rFonts w:ascii="Calibri" w:hAnsi="Calibri" w:cs="Calibri"/>
                <w:color w:val="000000"/>
                <w:sz w:val="18"/>
                <w:szCs w:val="18"/>
              </w:rPr>
            </w:pPr>
          </w:p>
        </w:tc>
        <w:tc>
          <w:tcPr>
            <w:tcW w:w="809" w:type="dxa"/>
            <w:tcBorders>
              <w:top w:val="nil"/>
              <w:left w:val="nil"/>
              <w:bottom w:val="nil"/>
              <w:right w:val="nil"/>
            </w:tcBorders>
            <w:shd w:val="clear" w:color="auto" w:fill="auto"/>
            <w:noWrap/>
            <w:vAlign w:val="bottom"/>
            <w:hideMark/>
          </w:tcPr>
          <w:p w14:paraId="656768BC" w14:textId="77777777" w:rsidR="00B13601" w:rsidRPr="00B13601" w:rsidRDefault="00B13601" w:rsidP="00B13601">
            <w:pPr>
              <w:rPr>
                <w:rFonts w:ascii="Calibri" w:hAnsi="Calibri" w:cs="Calibri"/>
                <w:color w:val="000000"/>
                <w:sz w:val="18"/>
                <w:szCs w:val="18"/>
              </w:rPr>
            </w:pPr>
          </w:p>
        </w:tc>
      </w:tr>
      <w:tr w:rsidR="00B13601" w:rsidRPr="00B13601" w14:paraId="7369A8E9" w14:textId="77777777" w:rsidTr="00B13601">
        <w:trPr>
          <w:gridAfter w:val="1"/>
          <w:wAfter w:w="119" w:type="dxa"/>
          <w:trHeight w:val="300"/>
        </w:trPr>
        <w:tc>
          <w:tcPr>
            <w:tcW w:w="2816" w:type="dxa"/>
            <w:gridSpan w:val="3"/>
            <w:tcBorders>
              <w:top w:val="nil"/>
              <w:left w:val="nil"/>
              <w:bottom w:val="nil"/>
              <w:right w:val="nil"/>
            </w:tcBorders>
            <w:shd w:val="clear" w:color="auto" w:fill="auto"/>
            <w:noWrap/>
            <w:vAlign w:val="bottom"/>
            <w:hideMark/>
          </w:tcPr>
          <w:p w14:paraId="1EAA9CD2" w14:textId="77777777" w:rsidR="00B13601" w:rsidRPr="00B13601" w:rsidRDefault="00B13601" w:rsidP="00B13601">
            <w:pPr>
              <w:jc w:val="center"/>
              <w:rPr>
                <w:rFonts w:ascii="Calibri" w:hAnsi="Calibri" w:cs="Calibri"/>
                <w:b/>
                <w:bCs/>
                <w:color w:val="000000"/>
                <w:sz w:val="18"/>
                <w:szCs w:val="18"/>
              </w:rPr>
            </w:pPr>
            <w:r w:rsidRPr="00B13601">
              <w:rPr>
                <w:rFonts w:ascii="Calibri" w:hAnsi="Calibri" w:cs="Calibri"/>
                <w:b/>
                <w:bCs/>
                <w:color w:val="000000"/>
                <w:sz w:val="18"/>
                <w:szCs w:val="18"/>
              </w:rPr>
              <w:t>TIR</w:t>
            </w:r>
          </w:p>
        </w:tc>
        <w:tc>
          <w:tcPr>
            <w:tcW w:w="885" w:type="dxa"/>
            <w:tcBorders>
              <w:top w:val="nil"/>
              <w:left w:val="nil"/>
              <w:bottom w:val="nil"/>
              <w:right w:val="nil"/>
            </w:tcBorders>
            <w:shd w:val="clear" w:color="auto" w:fill="auto"/>
            <w:noWrap/>
            <w:vAlign w:val="bottom"/>
            <w:hideMark/>
          </w:tcPr>
          <w:p w14:paraId="124ED944" w14:textId="77777777" w:rsidR="00B13601" w:rsidRPr="00B13601" w:rsidRDefault="00B13601" w:rsidP="00B13601">
            <w:pPr>
              <w:jc w:val="right"/>
              <w:rPr>
                <w:rFonts w:ascii="Calibri" w:hAnsi="Calibri" w:cs="Calibri"/>
                <w:b/>
                <w:bCs/>
                <w:color w:val="000000"/>
                <w:sz w:val="18"/>
                <w:szCs w:val="18"/>
              </w:rPr>
            </w:pPr>
            <w:r w:rsidRPr="00B13601">
              <w:rPr>
                <w:rFonts w:ascii="Calibri" w:hAnsi="Calibri" w:cs="Calibri"/>
                <w:b/>
                <w:bCs/>
                <w:color w:val="000000"/>
                <w:sz w:val="18"/>
                <w:szCs w:val="18"/>
              </w:rPr>
              <w:t>56,1%</w:t>
            </w:r>
          </w:p>
        </w:tc>
        <w:tc>
          <w:tcPr>
            <w:tcW w:w="850" w:type="dxa"/>
            <w:tcBorders>
              <w:top w:val="nil"/>
              <w:left w:val="nil"/>
              <w:bottom w:val="nil"/>
              <w:right w:val="nil"/>
            </w:tcBorders>
            <w:shd w:val="clear" w:color="auto" w:fill="auto"/>
            <w:noWrap/>
            <w:vAlign w:val="bottom"/>
            <w:hideMark/>
          </w:tcPr>
          <w:p w14:paraId="75F1C949"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57C3EF94"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12CAD690"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0A9604F8" w14:textId="77777777" w:rsidR="00B13601" w:rsidRPr="00B13601" w:rsidRDefault="00B13601" w:rsidP="00B13601">
            <w:pPr>
              <w:rPr>
                <w:rFonts w:ascii="Calibri" w:hAnsi="Calibri" w:cs="Calibri"/>
                <w:color w:val="000000"/>
                <w:sz w:val="18"/>
                <w:szCs w:val="18"/>
              </w:rPr>
            </w:pPr>
          </w:p>
        </w:tc>
        <w:tc>
          <w:tcPr>
            <w:tcW w:w="823" w:type="dxa"/>
            <w:tcBorders>
              <w:top w:val="nil"/>
              <w:left w:val="nil"/>
              <w:bottom w:val="nil"/>
              <w:right w:val="nil"/>
            </w:tcBorders>
            <w:shd w:val="clear" w:color="auto" w:fill="auto"/>
            <w:noWrap/>
            <w:vAlign w:val="bottom"/>
            <w:hideMark/>
          </w:tcPr>
          <w:p w14:paraId="3849497A"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E94ADAD" w14:textId="77777777" w:rsidR="00B13601" w:rsidRPr="00B13601" w:rsidRDefault="00B13601" w:rsidP="00B13601">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58D7B650" w14:textId="77777777" w:rsidR="00B13601" w:rsidRPr="00B13601" w:rsidRDefault="00B13601" w:rsidP="00B13601">
            <w:pPr>
              <w:rPr>
                <w:rFonts w:ascii="Calibri" w:hAnsi="Calibri" w:cs="Calibri"/>
                <w:color w:val="000000"/>
                <w:sz w:val="18"/>
                <w:szCs w:val="18"/>
              </w:rPr>
            </w:pPr>
          </w:p>
        </w:tc>
        <w:tc>
          <w:tcPr>
            <w:tcW w:w="809" w:type="dxa"/>
            <w:tcBorders>
              <w:top w:val="nil"/>
              <w:left w:val="nil"/>
              <w:bottom w:val="nil"/>
              <w:right w:val="nil"/>
            </w:tcBorders>
            <w:shd w:val="clear" w:color="auto" w:fill="auto"/>
            <w:noWrap/>
            <w:vAlign w:val="bottom"/>
            <w:hideMark/>
          </w:tcPr>
          <w:p w14:paraId="667A0DA0" w14:textId="77777777" w:rsidR="00B13601" w:rsidRPr="00B13601" w:rsidRDefault="00B13601" w:rsidP="00B13601">
            <w:pPr>
              <w:rPr>
                <w:rFonts w:ascii="Calibri" w:hAnsi="Calibri" w:cs="Calibri"/>
                <w:color w:val="000000"/>
                <w:sz w:val="18"/>
                <w:szCs w:val="18"/>
              </w:rPr>
            </w:pPr>
          </w:p>
        </w:tc>
      </w:tr>
      <w:tr w:rsidR="00B13601" w:rsidRPr="00B13601" w14:paraId="0CA7DF1A" w14:textId="77777777" w:rsidTr="00B13601">
        <w:trPr>
          <w:gridAfter w:val="1"/>
          <w:wAfter w:w="119" w:type="dxa"/>
          <w:trHeight w:val="300"/>
        </w:trPr>
        <w:tc>
          <w:tcPr>
            <w:tcW w:w="9773" w:type="dxa"/>
            <w:gridSpan w:val="12"/>
            <w:tcBorders>
              <w:top w:val="nil"/>
              <w:left w:val="nil"/>
              <w:bottom w:val="nil"/>
              <w:right w:val="nil"/>
            </w:tcBorders>
            <w:shd w:val="clear" w:color="auto" w:fill="auto"/>
            <w:noWrap/>
            <w:vAlign w:val="bottom"/>
            <w:hideMark/>
          </w:tcPr>
          <w:p w14:paraId="3781E12A" w14:textId="77777777" w:rsidR="00B13601" w:rsidRPr="00B13601" w:rsidRDefault="00B13601" w:rsidP="00B13601">
            <w:pPr>
              <w:rPr>
                <w:rFonts w:ascii="Calibri" w:hAnsi="Calibri" w:cs="Calibri"/>
                <w:color w:val="FF0000"/>
                <w:sz w:val="18"/>
                <w:szCs w:val="18"/>
                <w:lang w:val="pt-BR"/>
              </w:rPr>
            </w:pPr>
            <w:r w:rsidRPr="00B13601">
              <w:rPr>
                <w:rFonts w:ascii="Calibri" w:hAnsi="Calibri" w:cs="Calibri"/>
                <w:color w:val="FF0000"/>
                <w:sz w:val="18"/>
                <w:szCs w:val="18"/>
                <w:lang w:val="pt-BR"/>
              </w:rPr>
              <w:t>Fonte: Fonte: Cálculos do autor para o Cenário Básico da Análise Custo-Benefício</w:t>
            </w:r>
          </w:p>
        </w:tc>
      </w:tr>
      <w:tr w:rsidR="00B13601" w:rsidRPr="00B13601" w14:paraId="40C6A5FA" w14:textId="77777777" w:rsidTr="00B13601">
        <w:trPr>
          <w:gridAfter w:val="1"/>
          <w:wAfter w:w="119" w:type="dxa"/>
          <w:trHeight w:val="300"/>
        </w:trPr>
        <w:tc>
          <w:tcPr>
            <w:tcW w:w="9773" w:type="dxa"/>
            <w:gridSpan w:val="12"/>
            <w:tcBorders>
              <w:top w:val="nil"/>
              <w:left w:val="nil"/>
              <w:bottom w:val="nil"/>
              <w:right w:val="nil"/>
            </w:tcBorders>
            <w:shd w:val="clear" w:color="auto" w:fill="auto"/>
            <w:noWrap/>
            <w:vAlign w:val="bottom"/>
          </w:tcPr>
          <w:p w14:paraId="2A37FBE1" w14:textId="77777777" w:rsidR="00B13601" w:rsidRPr="00B13601" w:rsidRDefault="00B13601" w:rsidP="00B13601">
            <w:pPr>
              <w:rPr>
                <w:rFonts w:ascii="Calibri" w:hAnsi="Calibri" w:cs="Calibri"/>
                <w:color w:val="000000"/>
                <w:sz w:val="18"/>
                <w:szCs w:val="18"/>
                <w:lang w:val="pt-BR"/>
              </w:rPr>
            </w:pPr>
          </w:p>
        </w:tc>
      </w:tr>
    </w:tbl>
    <w:p w14:paraId="294D5642" w14:textId="6C324E5A" w:rsidR="00CA7074" w:rsidRPr="001F27CE" w:rsidRDefault="00CA7074" w:rsidP="005F50CC">
      <w:pPr>
        <w:pStyle w:val="PargrafodaLista"/>
        <w:keepNext/>
        <w:suppressAutoHyphens/>
        <w:spacing w:before="120"/>
        <w:ind w:left="142"/>
        <w:jc w:val="center"/>
        <w:outlineLvl w:val="3"/>
        <w:rPr>
          <w:rFonts w:ascii="Arial" w:hAnsi="Arial" w:cs="Arial"/>
          <w:bCs/>
          <w:lang w:val="pt-BR" w:eastAsia="es-ES"/>
        </w:rPr>
      </w:pPr>
    </w:p>
    <w:p w14:paraId="294D5643" w14:textId="77777777" w:rsidR="00473B0F" w:rsidRPr="001F27CE" w:rsidRDefault="00473B0F" w:rsidP="00666F04">
      <w:pPr>
        <w:pStyle w:val="PargrafodaLista"/>
        <w:keepNext/>
        <w:suppressAutoHyphens/>
        <w:ind w:left="284"/>
        <w:jc w:val="both"/>
        <w:outlineLvl w:val="3"/>
        <w:rPr>
          <w:rFonts w:ascii="Arial" w:hAnsi="Arial" w:cs="Arial"/>
          <w:bCs/>
          <w:lang w:val="pt-BR" w:eastAsia="es-ES"/>
        </w:rPr>
      </w:pPr>
    </w:p>
    <w:p w14:paraId="294D5644" w14:textId="77777777" w:rsidR="0080625B" w:rsidRPr="007244F2" w:rsidRDefault="007244F2" w:rsidP="007244F2">
      <w:pPr>
        <w:pStyle w:val="Ttulo1"/>
        <w:numPr>
          <w:ilvl w:val="0"/>
          <w:numId w:val="4"/>
        </w:numPr>
        <w:tabs>
          <w:tab w:val="clear" w:pos="1260"/>
        </w:tabs>
        <w:spacing w:before="120"/>
        <w:ind w:left="270" w:firstLine="289"/>
        <w:rPr>
          <w:rFonts w:ascii="Arial" w:hAnsi="Arial" w:cs="Arial"/>
          <w:color w:val="000000" w:themeColor="text1"/>
          <w:lang w:val="pt-BR" w:eastAsia="es-ES"/>
        </w:rPr>
      </w:pPr>
      <w:bookmarkStart w:id="16" w:name="_Toc494137338"/>
      <w:r>
        <w:rPr>
          <w:rFonts w:ascii="Arial" w:hAnsi="Arial" w:cs="Arial"/>
          <w:color w:val="000000" w:themeColor="text1"/>
          <w:lang w:val="pt-BR" w:eastAsia="es-ES"/>
        </w:rPr>
        <w:t xml:space="preserve">  </w:t>
      </w:r>
      <w:r w:rsidR="00730DAA" w:rsidRPr="007244F2">
        <w:rPr>
          <w:rFonts w:ascii="Arial" w:hAnsi="Arial" w:cs="Arial"/>
          <w:color w:val="000000" w:themeColor="text1"/>
          <w:lang w:val="pt-BR" w:eastAsia="es-ES"/>
        </w:rPr>
        <w:t>Análise de Sensibilidade</w:t>
      </w:r>
      <w:bookmarkEnd w:id="16"/>
    </w:p>
    <w:p w14:paraId="294D5645" w14:textId="77777777" w:rsidR="00301567" w:rsidRPr="001F27CE" w:rsidRDefault="006E70FB"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Toda análise C-B </w:t>
      </w:r>
      <w:proofErr w:type="spellStart"/>
      <w:r w:rsidRPr="001F27CE">
        <w:rPr>
          <w:rFonts w:ascii="Arial" w:hAnsi="Arial" w:cs="Arial"/>
          <w:bCs/>
          <w:lang w:val="pt-BR" w:eastAsia="es-ES"/>
        </w:rPr>
        <w:t>ex-</w:t>
      </w:r>
      <w:proofErr w:type="gramStart"/>
      <w:r w:rsidRPr="001F27CE">
        <w:rPr>
          <w:rFonts w:ascii="Arial" w:hAnsi="Arial" w:cs="Arial"/>
          <w:bCs/>
          <w:lang w:val="pt-BR" w:eastAsia="es-ES"/>
        </w:rPr>
        <w:t>ante</w:t>
      </w:r>
      <w:proofErr w:type="spellEnd"/>
      <w:r w:rsidRPr="001F27CE">
        <w:rPr>
          <w:rFonts w:ascii="Arial" w:hAnsi="Arial" w:cs="Arial"/>
          <w:bCs/>
          <w:lang w:val="pt-BR" w:eastAsia="es-ES"/>
        </w:rPr>
        <w:t xml:space="preserve"> está</w:t>
      </w:r>
      <w:proofErr w:type="gramEnd"/>
      <w:r w:rsidRPr="001F27CE">
        <w:rPr>
          <w:rFonts w:ascii="Arial" w:hAnsi="Arial" w:cs="Arial"/>
          <w:bCs/>
          <w:lang w:val="pt-BR" w:eastAsia="es-ES"/>
        </w:rPr>
        <w:t xml:space="preserve"> associada a riscos de diferentes tipos</w:t>
      </w:r>
      <w:r w:rsidR="00AB12AB" w:rsidRPr="001F27CE">
        <w:rPr>
          <w:rFonts w:ascii="Arial" w:hAnsi="Arial" w:cs="Arial"/>
          <w:bCs/>
          <w:lang w:val="pt-BR" w:eastAsia="es-ES"/>
        </w:rPr>
        <w:t>. Neste case específico, os riscos estão relacionados a</w:t>
      </w:r>
      <w:r w:rsidRPr="001F27CE">
        <w:rPr>
          <w:rFonts w:ascii="Arial" w:hAnsi="Arial" w:cs="Arial"/>
          <w:bCs/>
          <w:lang w:val="pt-BR" w:eastAsia="es-ES"/>
        </w:rPr>
        <w:t xml:space="preserve"> benefícios menores do que esperados</w:t>
      </w:r>
      <w:r w:rsidR="00AB12AB" w:rsidRPr="001F27CE">
        <w:rPr>
          <w:rFonts w:ascii="Arial" w:hAnsi="Arial" w:cs="Arial"/>
          <w:bCs/>
          <w:lang w:val="pt-BR" w:eastAsia="es-ES"/>
        </w:rPr>
        <w:t xml:space="preserve"> e uma possível desvalorização do Real, visto que os benefícios serão obtidos nesta moeda enquanto os custos são fixos em dólares.</w:t>
      </w:r>
      <w:r w:rsidRPr="001F27CE">
        <w:rPr>
          <w:rFonts w:ascii="Arial" w:hAnsi="Arial" w:cs="Arial"/>
          <w:bCs/>
          <w:lang w:val="pt-BR" w:eastAsia="es-ES"/>
        </w:rPr>
        <w:t xml:space="preserve"> Uma análise de sensibilidade</w:t>
      </w:r>
      <w:r w:rsidR="00B516F7" w:rsidRPr="001F27CE">
        <w:rPr>
          <w:rFonts w:ascii="Arial" w:hAnsi="Arial" w:cs="Arial"/>
          <w:bCs/>
          <w:lang w:val="pt-BR" w:eastAsia="es-ES"/>
        </w:rPr>
        <w:t>,</w:t>
      </w:r>
      <w:r w:rsidRPr="001F27CE">
        <w:rPr>
          <w:rFonts w:ascii="Arial" w:hAnsi="Arial" w:cs="Arial"/>
          <w:bCs/>
          <w:lang w:val="pt-BR" w:eastAsia="es-ES"/>
        </w:rPr>
        <w:t xml:space="preserve"> mudando alguns parâmetros usados no cenário básico</w:t>
      </w:r>
      <w:r w:rsidR="00B516F7" w:rsidRPr="001F27CE">
        <w:rPr>
          <w:rFonts w:ascii="Arial" w:hAnsi="Arial" w:cs="Arial"/>
          <w:bCs/>
          <w:lang w:val="pt-BR" w:eastAsia="es-ES"/>
        </w:rPr>
        <w:t>,</w:t>
      </w:r>
      <w:r w:rsidRPr="001F27CE">
        <w:rPr>
          <w:rFonts w:ascii="Arial" w:hAnsi="Arial" w:cs="Arial"/>
          <w:bCs/>
          <w:lang w:val="pt-BR" w:eastAsia="es-ES"/>
        </w:rPr>
        <w:t xml:space="preserve"> pode melhor contextualizar estes riscos.</w:t>
      </w:r>
    </w:p>
    <w:p w14:paraId="294D5646" w14:textId="77777777" w:rsidR="006E70FB" w:rsidRPr="001F27CE" w:rsidRDefault="006E70FB"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Três diferentes cenários foram</w:t>
      </w:r>
      <w:r w:rsidR="000C3C8E" w:rsidRPr="001F27CE">
        <w:rPr>
          <w:rFonts w:ascii="Arial" w:hAnsi="Arial" w:cs="Arial"/>
          <w:bCs/>
          <w:lang w:val="pt-BR" w:eastAsia="es-ES"/>
        </w:rPr>
        <w:t xml:space="preserve"> desenhados: </w:t>
      </w:r>
      <w:r w:rsidR="00301567" w:rsidRPr="001F27CE">
        <w:rPr>
          <w:rFonts w:ascii="Arial" w:hAnsi="Arial" w:cs="Arial"/>
          <w:bCs/>
          <w:lang w:val="pt-BR" w:eastAsia="es-ES"/>
        </w:rPr>
        <w:t>uma desvalorização do Real, uma redução de benefícios e um cenário que mistura desvalorização e redução de benefícios.</w:t>
      </w:r>
      <w:r w:rsidR="00411420" w:rsidRPr="001F27CE">
        <w:rPr>
          <w:rFonts w:ascii="Arial" w:hAnsi="Arial" w:cs="Arial"/>
          <w:bCs/>
          <w:lang w:val="pt-BR" w:eastAsia="es-ES"/>
        </w:rPr>
        <w:t xml:space="preserve"> Todos os cenários usam uma taxa de desconto de 12%.</w:t>
      </w:r>
    </w:p>
    <w:p w14:paraId="294D5647" w14:textId="77777777" w:rsidR="009C017D" w:rsidRPr="001F27CE" w:rsidRDefault="00333252"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
          <w:bCs/>
          <w:lang w:val="pt-BR" w:eastAsia="es-ES"/>
        </w:rPr>
        <w:t xml:space="preserve">Cenário </w:t>
      </w:r>
      <w:proofErr w:type="gramStart"/>
      <w:r w:rsidRPr="001F27CE">
        <w:rPr>
          <w:rFonts w:ascii="Arial" w:hAnsi="Arial" w:cs="Arial"/>
          <w:b/>
          <w:bCs/>
          <w:lang w:val="pt-BR" w:eastAsia="es-ES"/>
        </w:rPr>
        <w:t>2</w:t>
      </w:r>
      <w:proofErr w:type="gramEnd"/>
      <w:r w:rsidRPr="001F27CE">
        <w:rPr>
          <w:rFonts w:ascii="Arial" w:hAnsi="Arial" w:cs="Arial"/>
          <w:b/>
          <w:bCs/>
          <w:lang w:val="pt-BR" w:eastAsia="es-ES"/>
        </w:rPr>
        <w:t xml:space="preserve">: </w:t>
      </w:r>
      <w:r w:rsidR="00E12AEE" w:rsidRPr="001F27CE">
        <w:rPr>
          <w:rFonts w:ascii="Arial" w:hAnsi="Arial" w:cs="Arial"/>
          <w:b/>
          <w:bCs/>
          <w:lang w:val="pt-BR" w:eastAsia="es-ES"/>
        </w:rPr>
        <w:t xml:space="preserve">Desvalorização de </w:t>
      </w:r>
      <w:r w:rsidR="00385881" w:rsidRPr="001F27CE">
        <w:rPr>
          <w:rFonts w:ascii="Arial" w:hAnsi="Arial" w:cs="Arial"/>
          <w:b/>
          <w:bCs/>
          <w:lang w:val="pt-BR" w:eastAsia="es-ES"/>
        </w:rPr>
        <w:t>25</w:t>
      </w:r>
      <w:r w:rsidR="00E12AEE" w:rsidRPr="001F27CE">
        <w:rPr>
          <w:rFonts w:ascii="Arial" w:hAnsi="Arial" w:cs="Arial"/>
          <w:b/>
          <w:bCs/>
          <w:lang w:val="pt-BR" w:eastAsia="es-ES"/>
        </w:rPr>
        <w:t>% do Real.</w:t>
      </w:r>
      <w:r w:rsidR="00E12AEE" w:rsidRPr="001F27CE">
        <w:rPr>
          <w:rFonts w:ascii="Arial" w:hAnsi="Arial" w:cs="Arial"/>
          <w:bCs/>
          <w:lang w:val="pt-BR" w:eastAsia="es-ES"/>
        </w:rPr>
        <w:t xml:space="preserve"> Como os custos, exceto manutenção, s</w:t>
      </w:r>
      <w:r w:rsidR="005E3342" w:rsidRPr="001F27CE">
        <w:rPr>
          <w:rFonts w:ascii="Arial" w:hAnsi="Arial" w:cs="Arial"/>
          <w:bCs/>
          <w:lang w:val="pt-BR" w:eastAsia="es-ES"/>
        </w:rPr>
        <w:t>ão fix</w:t>
      </w:r>
      <w:r w:rsidR="00E12AEE" w:rsidRPr="001F27CE">
        <w:rPr>
          <w:rFonts w:ascii="Arial" w:hAnsi="Arial" w:cs="Arial"/>
          <w:bCs/>
          <w:lang w:val="pt-BR" w:eastAsia="es-ES"/>
        </w:rPr>
        <w:t xml:space="preserve">os em dólares e os benefícios </w:t>
      </w:r>
      <w:r w:rsidR="005E3342" w:rsidRPr="001F27CE">
        <w:rPr>
          <w:rFonts w:ascii="Arial" w:hAnsi="Arial" w:cs="Arial"/>
          <w:bCs/>
          <w:lang w:val="pt-BR" w:eastAsia="es-ES"/>
        </w:rPr>
        <w:t>são aferidos em Reais, uma desvalorização do Real implica em uma redução dos benefícios medidos em dólares.</w:t>
      </w:r>
      <w:r w:rsidR="002324CC" w:rsidRPr="001F27CE">
        <w:rPr>
          <w:rFonts w:ascii="Arial" w:hAnsi="Arial" w:cs="Arial"/>
          <w:bCs/>
          <w:lang w:val="pt-BR" w:eastAsia="es-ES"/>
        </w:rPr>
        <w:t xml:space="preserve"> </w:t>
      </w:r>
      <w:r w:rsidR="009C017D" w:rsidRPr="001F27CE">
        <w:rPr>
          <w:rFonts w:ascii="Arial" w:hAnsi="Arial" w:cs="Arial"/>
          <w:bCs/>
          <w:lang w:val="pt-BR" w:eastAsia="es-ES"/>
        </w:rPr>
        <w:t>No cenário básico, os benefícios são estimados em Reais para todos os dez anos da análise</w:t>
      </w:r>
      <w:r w:rsidR="00DB262C" w:rsidRPr="001F27CE">
        <w:rPr>
          <w:rFonts w:ascii="Arial" w:hAnsi="Arial" w:cs="Arial"/>
          <w:bCs/>
          <w:lang w:val="pt-BR" w:eastAsia="es-ES"/>
        </w:rPr>
        <w:t xml:space="preserve"> e </w:t>
      </w:r>
      <w:r w:rsidR="009C017D" w:rsidRPr="001F27CE">
        <w:rPr>
          <w:rFonts w:ascii="Arial" w:hAnsi="Arial" w:cs="Arial"/>
          <w:bCs/>
          <w:lang w:val="pt-BR" w:eastAsia="es-ES"/>
        </w:rPr>
        <w:t xml:space="preserve">são transformados em dólares usando a taxa de câmbio projetada para 2018 (R$3,3 </w:t>
      </w:r>
      <w:proofErr w:type="gramStart"/>
      <w:r w:rsidR="009C017D" w:rsidRPr="001F27CE">
        <w:rPr>
          <w:rFonts w:ascii="Arial" w:hAnsi="Arial" w:cs="Arial"/>
          <w:bCs/>
          <w:lang w:val="pt-BR" w:eastAsia="es-ES"/>
        </w:rPr>
        <w:t>= US$1), Pesquisa Focus do Banco Central setembro de 2017)</w:t>
      </w:r>
      <w:proofErr w:type="gramEnd"/>
      <w:r w:rsidR="009C017D" w:rsidRPr="001F27CE">
        <w:rPr>
          <w:rFonts w:ascii="Arial" w:hAnsi="Arial" w:cs="Arial"/>
          <w:bCs/>
          <w:lang w:val="pt-BR" w:eastAsia="es-ES"/>
        </w:rPr>
        <w:t xml:space="preserve">. Assim, a taxa de câmbio estimada é aplicada no período inteiro. </w:t>
      </w:r>
    </w:p>
    <w:p w14:paraId="294D5648" w14:textId="5B91FB17" w:rsidR="006E70FB" w:rsidRDefault="002324CC" w:rsidP="008759BC">
      <w:pPr>
        <w:pStyle w:val="PargrafodaLista"/>
        <w:keepNext/>
        <w:numPr>
          <w:ilvl w:val="1"/>
          <w:numId w:val="4"/>
        </w:numPr>
        <w:suppressAutoHyphens/>
        <w:spacing w:before="120"/>
        <w:ind w:left="851" w:hanging="567"/>
        <w:jc w:val="both"/>
        <w:outlineLvl w:val="3"/>
        <w:rPr>
          <w:rFonts w:ascii="Arial" w:hAnsi="Arial" w:cs="Arial"/>
          <w:bCs/>
          <w:lang w:val="pt-BR" w:eastAsia="es-ES"/>
        </w:rPr>
      </w:pPr>
      <w:r w:rsidRPr="001F27CE">
        <w:rPr>
          <w:rFonts w:ascii="Arial" w:hAnsi="Arial" w:cs="Arial"/>
          <w:bCs/>
          <w:lang w:val="pt-BR" w:eastAsia="es-ES"/>
        </w:rPr>
        <w:t xml:space="preserve">Assumindo uma desvalorização de </w:t>
      </w:r>
      <w:r w:rsidR="00385881" w:rsidRPr="001F27CE">
        <w:rPr>
          <w:rFonts w:ascii="Arial" w:hAnsi="Arial" w:cs="Arial"/>
          <w:bCs/>
          <w:lang w:val="pt-BR" w:eastAsia="es-ES"/>
        </w:rPr>
        <w:t>25</w:t>
      </w:r>
      <w:r w:rsidRPr="001F27CE">
        <w:rPr>
          <w:rFonts w:ascii="Arial" w:hAnsi="Arial" w:cs="Arial"/>
          <w:bCs/>
          <w:lang w:val="pt-BR" w:eastAsia="es-ES"/>
        </w:rPr>
        <w:t>% do Real</w:t>
      </w:r>
      <w:r w:rsidR="00DB262C" w:rsidRPr="001F27CE">
        <w:rPr>
          <w:rFonts w:ascii="Arial" w:hAnsi="Arial" w:cs="Arial"/>
          <w:bCs/>
          <w:lang w:val="pt-BR" w:eastAsia="es-ES"/>
        </w:rPr>
        <w:t xml:space="preserve"> (R$ 4,125 = US$1</w:t>
      </w:r>
      <w:proofErr w:type="gramStart"/>
      <w:r w:rsidR="00DB262C" w:rsidRPr="001F27CE">
        <w:rPr>
          <w:rFonts w:ascii="Arial" w:hAnsi="Arial" w:cs="Arial"/>
          <w:bCs/>
          <w:lang w:val="pt-BR" w:eastAsia="es-ES"/>
        </w:rPr>
        <w:t>)</w:t>
      </w:r>
      <w:proofErr w:type="gramEnd"/>
      <w:r w:rsidR="00690D59" w:rsidRPr="001F27CE">
        <w:rPr>
          <w:rStyle w:val="Refdenotaderodap"/>
          <w:rFonts w:ascii="Arial" w:hAnsi="Arial" w:cs="Arial"/>
          <w:bCs/>
          <w:lang w:val="pt-BR" w:eastAsia="es-ES"/>
        </w:rPr>
        <w:footnoteReference w:id="14"/>
      </w:r>
      <w:r w:rsidRPr="001F27CE">
        <w:rPr>
          <w:rFonts w:ascii="Arial" w:hAnsi="Arial" w:cs="Arial"/>
          <w:bCs/>
          <w:lang w:val="pt-BR" w:eastAsia="es-ES"/>
        </w:rPr>
        <w:t xml:space="preserve">, </w:t>
      </w:r>
      <w:r w:rsidR="00301567" w:rsidRPr="001F27CE">
        <w:rPr>
          <w:rFonts w:ascii="Arial" w:hAnsi="Arial" w:cs="Arial"/>
          <w:bCs/>
          <w:lang w:val="pt-BR" w:eastAsia="es-ES"/>
        </w:rPr>
        <w:t xml:space="preserve">a </w:t>
      </w:r>
      <w:r w:rsidR="00B13601" w:rsidRPr="00B13601">
        <w:rPr>
          <w:rFonts w:ascii="Arial" w:hAnsi="Arial" w:cs="Arial"/>
          <w:bCs/>
          <w:color w:val="FF0000"/>
          <w:lang w:val="pt-BR" w:eastAsia="es-ES"/>
        </w:rPr>
        <w:t xml:space="preserve">Tabela 14 </w:t>
      </w:r>
      <w:r w:rsidR="00B13601">
        <w:rPr>
          <w:rFonts w:ascii="Arial" w:hAnsi="Arial" w:cs="Arial"/>
          <w:bCs/>
          <w:lang w:val="pt-BR" w:eastAsia="es-ES"/>
        </w:rPr>
        <w:t>mostra que a T</w:t>
      </w:r>
      <w:r w:rsidR="00301567" w:rsidRPr="001F27CE">
        <w:rPr>
          <w:rFonts w:ascii="Arial" w:hAnsi="Arial" w:cs="Arial"/>
          <w:bCs/>
          <w:lang w:val="pt-BR" w:eastAsia="es-ES"/>
        </w:rPr>
        <w:t xml:space="preserve">IR cai para </w:t>
      </w:r>
      <w:r w:rsidR="00DB262C" w:rsidRPr="001F27CE">
        <w:rPr>
          <w:rFonts w:ascii="Arial" w:hAnsi="Arial" w:cs="Arial"/>
          <w:bCs/>
          <w:lang w:val="pt-BR" w:eastAsia="es-ES"/>
        </w:rPr>
        <w:t>42,5</w:t>
      </w:r>
      <w:r w:rsidR="00301567" w:rsidRPr="001F27CE">
        <w:rPr>
          <w:rFonts w:ascii="Arial" w:hAnsi="Arial" w:cs="Arial"/>
          <w:bCs/>
          <w:lang w:val="pt-BR" w:eastAsia="es-ES"/>
        </w:rPr>
        <w:t xml:space="preserve">%, o VPL para </w:t>
      </w:r>
      <w:r w:rsidR="00DB262C" w:rsidRPr="001F27CE">
        <w:rPr>
          <w:rFonts w:ascii="Arial" w:hAnsi="Arial" w:cs="Arial"/>
          <w:bCs/>
          <w:lang w:val="pt-BR" w:eastAsia="es-ES"/>
        </w:rPr>
        <w:t xml:space="preserve">pouco mais de </w:t>
      </w:r>
      <w:r w:rsidRPr="001F27CE">
        <w:rPr>
          <w:rFonts w:ascii="Arial" w:hAnsi="Arial" w:cs="Arial"/>
          <w:bCs/>
          <w:lang w:val="pt-BR" w:eastAsia="es-ES"/>
        </w:rPr>
        <w:t xml:space="preserve">US$ </w:t>
      </w:r>
      <w:r w:rsidR="00DB262C" w:rsidRPr="001F27CE">
        <w:rPr>
          <w:rFonts w:ascii="Arial" w:hAnsi="Arial" w:cs="Arial"/>
          <w:bCs/>
          <w:lang w:val="pt-BR" w:eastAsia="es-ES"/>
        </w:rPr>
        <w:t>33</w:t>
      </w:r>
      <w:r w:rsidR="00385881" w:rsidRPr="001F27CE">
        <w:rPr>
          <w:rFonts w:ascii="Arial" w:hAnsi="Arial" w:cs="Arial"/>
          <w:bCs/>
          <w:lang w:val="pt-BR" w:eastAsia="es-ES"/>
        </w:rPr>
        <w:t xml:space="preserve"> </w:t>
      </w:r>
      <w:r w:rsidRPr="001F27CE">
        <w:rPr>
          <w:rFonts w:ascii="Arial" w:hAnsi="Arial" w:cs="Arial"/>
          <w:bCs/>
          <w:lang w:val="pt-BR" w:eastAsia="es-ES"/>
        </w:rPr>
        <w:t>milhões, o</w:t>
      </w:r>
      <w:r w:rsidR="00301567" w:rsidRPr="001F27CE">
        <w:rPr>
          <w:rFonts w:ascii="Arial" w:hAnsi="Arial" w:cs="Arial"/>
          <w:bCs/>
          <w:lang w:val="pt-BR" w:eastAsia="es-ES"/>
        </w:rPr>
        <w:t xml:space="preserve"> fluxo passa a ser positivo no qu</w:t>
      </w:r>
      <w:r w:rsidR="00385881" w:rsidRPr="001F27CE">
        <w:rPr>
          <w:rFonts w:ascii="Arial" w:hAnsi="Arial" w:cs="Arial"/>
          <w:bCs/>
          <w:lang w:val="pt-BR" w:eastAsia="es-ES"/>
        </w:rPr>
        <w:t>arto</w:t>
      </w:r>
      <w:r w:rsidR="00411420" w:rsidRPr="001F27CE">
        <w:rPr>
          <w:rFonts w:ascii="Arial" w:hAnsi="Arial" w:cs="Arial"/>
          <w:bCs/>
          <w:lang w:val="pt-BR" w:eastAsia="es-ES"/>
        </w:rPr>
        <w:t xml:space="preserve"> ano e o acumulado no s</w:t>
      </w:r>
      <w:r w:rsidR="00385881" w:rsidRPr="001F27CE">
        <w:rPr>
          <w:rFonts w:ascii="Arial" w:hAnsi="Arial" w:cs="Arial"/>
          <w:bCs/>
          <w:lang w:val="pt-BR" w:eastAsia="es-ES"/>
        </w:rPr>
        <w:t>exto</w:t>
      </w:r>
      <w:r w:rsidR="00301567" w:rsidRPr="001F27CE">
        <w:rPr>
          <w:rFonts w:ascii="Arial" w:hAnsi="Arial" w:cs="Arial"/>
          <w:bCs/>
          <w:lang w:val="pt-BR" w:eastAsia="es-ES"/>
        </w:rPr>
        <w:t xml:space="preserve">. Mesmo </w:t>
      </w:r>
      <w:r w:rsidR="00E314FA" w:rsidRPr="001F27CE">
        <w:rPr>
          <w:rFonts w:ascii="Arial" w:hAnsi="Arial" w:cs="Arial"/>
          <w:bCs/>
          <w:lang w:val="pt-BR" w:eastAsia="es-ES"/>
        </w:rPr>
        <w:t xml:space="preserve">com um choque extremo que levasse a uma </w:t>
      </w:r>
      <w:r w:rsidR="00301567" w:rsidRPr="001F27CE">
        <w:rPr>
          <w:rFonts w:ascii="Arial" w:hAnsi="Arial" w:cs="Arial"/>
          <w:bCs/>
          <w:lang w:val="pt-BR" w:eastAsia="es-ES"/>
        </w:rPr>
        <w:t xml:space="preserve">desvalorização do Real </w:t>
      </w:r>
      <w:r w:rsidR="00E314FA" w:rsidRPr="001F27CE">
        <w:rPr>
          <w:rFonts w:ascii="Arial" w:hAnsi="Arial" w:cs="Arial"/>
          <w:bCs/>
          <w:lang w:val="pt-BR" w:eastAsia="es-ES"/>
        </w:rPr>
        <w:t>de 150</w:t>
      </w:r>
      <w:r w:rsidR="00301567" w:rsidRPr="001F27CE">
        <w:rPr>
          <w:rFonts w:ascii="Arial" w:hAnsi="Arial" w:cs="Arial"/>
          <w:bCs/>
          <w:lang w:val="pt-BR" w:eastAsia="es-ES"/>
        </w:rPr>
        <w:t xml:space="preserve">%, a TIR continuaria sólida em </w:t>
      </w:r>
      <w:r w:rsidR="00B979B9" w:rsidRPr="001F27CE">
        <w:rPr>
          <w:rFonts w:ascii="Arial" w:hAnsi="Arial" w:cs="Arial"/>
          <w:bCs/>
          <w:lang w:val="pt-BR" w:eastAsia="es-ES"/>
        </w:rPr>
        <w:t>12</w:t>
      </w:r>
      <w:r w:rsidR="00301567" w:rsidRPr="001F27CE">
        <w:rPr>
          <w:rFonts w:ascii="Arial" w:hAnsi="Arial" w:cs="Arial"/>
          <w:bCs/>
          <w:lang w:val="pt-BR" w:eastAsia="es-ES"/>
        </w:rPr>
        <w:t>%.</w:t>
      </w:r>
    </w:p>
    <w:p w14:paraId="6962943A" w14:textId="77777777" w:rsidR="00F07B3B" w:rsidRPr="001F27CE" w:rsidRDefault="00F07B3B" w:rsidP="00F07B3B">
      <w:pPr>
        <w:pStyle w:val="PargrafodaLista"/>
        <w:keepNext/>
        <w:suppressAutoHyphens/>
        <w:spacing w:before="120"/>
        <w:ind w:left="851"/>
        <w:jc w:val="both"/>
        <w:outlineLvl w:val="3"/>
        <w:rPr>
          <w:rFonts w:ascii="Arial" w:hAnsi="Arial" w:cs="Arial"/>
          <w:bCs/>
          <w:lang w:val="pt-BR" w:eastAsia="es-ES"/>
        </w:rPr>
      </w:pPr>
    </w:p>
    <w:tbl>
      <w:tblPr>
        <w:tblW w:w="9796" w:type="dxa"/>
        <w:tblInd w:w="93" w:type="dxa"/>
        <w:tblLook w:val="04A0" w:firstRow="1" w:lastRow="0" w:firstColumn="1" w:lastColumn="0" w:noHBand="0" w:noVBand="1"/>
      </w:tblPr>
      <w:tblGrid>
        <w:gridCol w:w="1291"/>
        <w:gridCol w:w="709"/>
        <w:gridCol w:w="709"/>
        <w:gridCol w:w="850"/>
        <w:gridCol w:w="851"/>
        <w:gridCol w:w="718"/>
        <w:gridCol w:w="718"/>
        <w:gridCol w:w="832"/>
        <w:gridCol w:w="850"/>
        <w:gridCol w:w="718"/>
        <w:gridCol w:w="718"/>
        <w:gridCol w:w="832"/>
      </w:tblGrid>
      <w:tr w:rsidR="00F07B3B" w:rsidRPr="00F07B3B" w14:paraId="16BA0DBB" w14:textId="77777777" w:rsidTr="00F07B3B">
        <w:trPr>
          <w:trHeight w:val="300"/>
        </w:trPr>
        <w:tc>
          <w:tcPr>
            <w:tcW w:w="9796" w:type="dxa"/>
            <w:gridSpan w:val="12"/>
            <w:tcBorders>
              <w:top w:val="nil"/>
              <w:left w:val="nil"/>
              <w:bottom w:val="nil"/>
              <w:right w:val="nil"/>
            </w:tcBorders>
            <w:shd w:val="clear" w:color="auto" w:fill="auto"/>
            <w:noWrap/>
            <w:vAlign w:val="bottom"/>
            <w:hideMark/>
          </w:tcPr>
          <w:p w14:paraId="06842632" w14:textId="77777777" w:rsidR="00F07B3B" w:rsidRPr="00F07B3B" w:rsidRDefault="00F07B3B" w:rsidP="00F07B3B">
            <w:pPr>
              <w:rPr>
                <w:rFonts w:ascii="Calibri" w:hAnsi="Calibri" w:cs="Calibri"/>
                <w:b/>
                <w:bCs/>
                <w:color w:val="000000"/>
                <w:sz w:val="22"/>
                <w:szCs w:val="22"/>
                <w:lang w:val="pt-BR"/>
              </w:rPr>
            </w:pPr>
            <w:r w:rsidRPr="00F07B3B">
              <w:rPr>
                <w:rFonts w:ascii="Calibri" w:hAnsi="Calibri" w:cs="Calibri"/>
                <w:b/>
                <w:bCs/>
                <w:color w:val="FF0000"/>
                <w:sz w:val="22"/>
                <w:szCs w:val="22"/>
                <w:lang w:val="pt-BR"/>
              </w:rPr>
              <w:t>Tabela 14</w:t>
            </w:r>
            <w:r w:rsidRPr="00F07B3B">
              <w:rPr>
                <w:rFonts w:ascii="Calibri" w:hAnsi="Calibri" w:cs="Calibri"/>
                <w:b/>
                <w:bCs/>
                <w:color w:val="000000"/>
                <w:sz w:val="22"/>
                <w:szCs w:val="22"/>
                <w:lang w:val="pt-BR"/>
              </w:rPr>
              <w:t xml:space="preserve">: Cenário </w:t>
            </w:r>
            <w:proofErr w:type="gramStart"/>
            <w:r w:rsidRPr="00F07B3B">
              <w:rPr>
                <w:rFonts w:ascii="Calibri" w:hAnsi="Calibri" w:cs="Calibri"/>
                <w:b/>
                <w:bCs/>
                <w:color w:val="000000"/>
                <w:sz w:val="22"/>
                <w:szCs w:val="22"/>
                <w:lang w:val="pt-BR"/>
              </w:rPr>
              <w:t>2</w:t>
            </w:r>
            <w:proofErr w:type="gramEnd"/>
            <w:r w:rsidRPr="00F07B3B">
              <w:rPr>
                <w:rFonts w:ascii="Calibri" w:hAnsi="Calibri" w:cs="Calibri"/>
                <w:b/>
                <w:bCs/>
                <w:color w:val="000000"/>
                <w:sz w:val="22"/>
                <w:szCs w:val="22"/>
                <w:lang w:val="pt-BR"/>
              </w:rPr>
              <w:t xml:space="preserve"> - Análise Custo-Benefício - Desvalorização do Real em 25% Em US$ 1000)</w:t>
            </w:r>
          </w:p>
        </w:tc>
      </w:tr>
      <w:tr w:rsidR="00F07B3B" w:rsidRPr="00F07B3B" w14:paraId="791B4ABC" w14:textId="77777777" w:rsidTr="00F07B3B">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D6FEF" w14:textId="77777777" w:rsidR="00F07B3B" w:rsidRPr="00F07B3B" w:rsidRDefault="00F07B3B" w:rsidP="00F07B3B">
            <w:pPr>
              <w:rPr>
                <w:rFonts w:ascii="Calibri" w:hAnsi="Calibri" w:cs="Calibri"/>
                <w:color w:val="000000"/>
                <w:sz w:val="18"/>
                <w:szCs w:val="18"/>
                <w:lang w:val="pt-BR"/>
              </w:rPr>
            </w:pPr>
            <w:r w:rsidRPr="00F07B3B">
              <w:rPr>
                <w:rFonts w:ascii="Calibri" w:hAnsi="Calibri" w:cs="Calibri"/>
                <w:color w:val="000000"/>
                <w:sz w:val="18"/>
                <w:szCs w:val="18"/>
                <w:lang w:val="pt-BR"/>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AAC1C15"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7BE3FFF"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8AA08D6"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E219C21"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4</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6A6FAC80"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93996C5"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6</w:t>
            </w:r>
          </w:p>
        </w:tc>
        <w:tc>
          <w:tcPr>
            <w:tcW w:w="832" w:type="dxa"/>
            <w:tcBorders>
              <w:top w:val="single" w:sz="4" w:space="0" w:color="auto"/>
              <w:left w:val="nil"/>
              <w:bottom w:val="single" w:sz="4" w:space="0" w:color="auto"/>
              <w:right w:val="single" w:sz="4" w:space="0" w:color="auto"/>
            </w:tcBorders>
            <w:shd w:val="clear" w:color="auto" w:fill="auto"/>
            <w:noWrap/>
            <w:vAlign w:val="bottom"/>
            <w:hideMark/>
          </w:tcPr>
          <w:p w14:paraId="1159EF77"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2447149"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8</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6BADB2E"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9</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9774F7F" w14:textId="77777777" w:rsidR="00F07B3B" w:rsidRPr="00F07B3B" w:rsidRDefault="00F07B3B" w:rsidP="00F07B3B">
            <w:pPr>
              <w:jc w:val="center"/>
              <w:rPr>
                <w:rFonts w:ascii="Calibri" w:hAnsi="Calibri" w:cs="Calibri"/>
                <w:color w:val="000000"/>
                <w:sz w:val="18"/>
                <w:szCs w:val="18"/>
              </w:rPr>
            </w:pPr>
            <w:proofErr w:type="spellStart"/>
            <w:r w:rsidRPr="00F07B3B">
              <w:rPr>
                <w:rFonts w:ascii="Calibri" w:hAnsi="Calibri" w:cs="Calibri"/>
                <w:color w:val="000000"/>
                <w:sz w:val="18"/>
                <w:szCs w:val="18"/>
              </w:rPr>
              <w:t>ano</w:t>
            </w:r>
            <w:proofErr w:type="spellEnd"/>
            <w:r w:rsidRPr="00F07B3B">
              <w:rPr>
                <w:rFonts w:ascii="Calibri" w:hAnsi="Calibri" w:cs="Calibri"/>
                <w:color w:val="000000"/>
                <w:sz w:val="18"/>
                <w:szCs w:val="18"/>
              </w:rPr>
              <w:t xml:space="preserve"> 10</w:t>
            </w:r>
          </w:p>
        </w:tc>
        <w:tc>
          <w:tcPr>
            <w:tcW w:w="832" w:type="dxa"/>
            <w:tcBorders>
              <w:top w:val="single" w:sz="4" w:space="0" w:color="auto"/>
              <w:left w:val="nil"/>
              <w:bottom w:val="single" w:sz="4" w:space="0" w:color="auto"/>
              <w:right w:val="single" w:sz="4" w:space="0" w:color="auto"/>
            </w:tcBorders>
            <w:shd w:val="clear" w:color="auto" w:fill="auto"/>
            <w:noWrap/>
            <w:vAlign w:val="bottom"/>
            <w:hideMark/>
          </w:tcPr>
          <w:p w14:paraId="5131A888" w14:textId="77777777" w:rsidR="00F07B3B" w:rsidRPr="00F07B3B" w:rsidRDefault="00F07B3B" w:rsidP="00F07B3B">
            <w:pPr>
              <w:jc w:val="center"/>
              <w:rPr>
                <w:rFonts w:ascii="Calibri" w:hAnsi="Calibri" w:cs="Calibri"/>
                <w:color w:val="000000"/>
                <w:sz w:val="18"/>
                <w:szCs w:val="18"/>
              </w:rPr>
            </w:pPr>
            <w:r w:rsidRPr="00F07B3B">
              <w:rPr>
                <w:rFonts w:ascii="Calibri" w:hAnsi="Calibri" w:cs="Calibri"/>
                <w:color w:val="000000"/>
                <w:sz w:val="18"/>
                <w:szCs w:val="18"/>
              </w:rPr>
              <w:t>Total</w:t>
            </w:r>
          </w:p>
        </w:tc>
      </w:tr>
      <w:tr w:rsidR="00F07B3B" w:rsidRPr="00F07B3B" w14:paraId="3165ED2E" w14:textId="77777777" w:rsidTr="00F07B3B">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70F0CA1" w14:textId="77777777" w:rsidR="00F07B3B" w:rsidRPr="00F07B3B" w:rsidRDefault="00F07B3B" w:rsidP="00F07B3B">
            <w:pPr>
              <w:rPr>
                <w:rFonts w:ascii="Calibri" w:hAnsi="Calibri" w:cs="Calibri"/>
                <w:color w:val="000000"/>
                <w:sz w:val="18"/>
                <w:szCs w:val="18"/>
              </w:rPr>
            </w:pPr>
            <w:proofErr w:type="spellStart"/>
            <w:r w:rsidRPr="00F07B3B">
              <w:rPr>
                <w:rFonts w:ascii="Calibri" w:hAnsi="Calibri" w:cs="Calibri"/>
                <w:color w:val="000000"/>
                <w:sz w:val="18"/>
                <w:szCs w:val="18"/>
              </w:rPr>
              <w:t>Custos</w:t>
            </w:r>
            <w:proofErr w:type="spellEnd"/>
            <w:r w:rsidRPr="00F07B3B">
              <w:rPr>
                <w:rFonts w:ascii="Calibri" w:hAnsi="Calibri" w:cs="Calibri"/>
                <w:color w:val="000000"/>
                <w:sz w:val="18"/>
                <w:szCs w:val="18"/>
              </w:rPr>
              <w:t xml:space="preserve"> </w:t>
            </w:r>
            <w:proofErr w:type="spellStart"/>
            <w:r w:rsidRPr="00F07B3B">
              <w:rPr>
                <w:rFonts w:ascii="Calibri" w:hAnsi="Calibri" w:cs="Calibri"/>
                <w:color w:val="000000"/>
                <w:sz w:val="18"/>
                <w:szCs w:val="18"/>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7643969"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-9.183</w:t>
            </w:r>
          </w:p>
        </w:tc>
        <w:tc>
          <w:tcPr>
            <w:tcW w:w="709" w:type="dxa"/>
            <w:tcBorders>
              <w:top w:val="nil"/>
              <w:left w:val="nil"/>
              <w:bottom w:val="single" w:sz="4" w:space="0" w:color="auto"/>
              <w:right w:val="single" w:sz="4" w:space="0" w:color="auto"/>
            </w:tcBorders>
            <w:shd w:val="clear" w:color="auto" w:fill="auto"/>
            <w:noWrap/>
            <w:vAlign w:val="bottom"/>
            <w:hideMark/>
          </w:tcPr>
          <w:p w14:paraId="2AFB181C"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-8.903</w:t>
            </w:r>
          </w:p>
        </w:tc>
        <w:tc>
          <w:tcPr>
            <w:tcW w:w="850" w:type="dxa"/>
            <w:tcBorders>
              <w:top w:val="nil"/>
              <w:left w:val="nil"/>
              <w:bottom w:val="single" w:sz="4" w:space="0" w:color="auto"/>
              <w:right w:val="single" w:sz="4" w:space="0" w:color="auto"/>
            </w:tcBorders>
            <w:shd w:val="clear" w:color="auto" w:fill="auto"/>
            <w:noWrap/>
            <w:vAlign w:val="bottom"/>
            <w:hideMark/>
          </w:tcPr>
          <w:p w14:paraId="7DD8AF07"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-10.130</w:t>
            </w:r>
          </w:p>
        </w:tc>
        <w:tc>
          <w:tcPr>
            <w:tcW w:w="851" w:type="dxa"/>
            <w:tcBorders>
              <w:top w:val="nil"/>
              <w:left w:val="nil"/>
              <w:bottom w:val="single" w:sz="4" w:space="0" w:color="auto"/>
              <w:right w:val="single" w:sz="4" w:space="0" w:color="auto"/>
            </w:tcBorders>
            <w:shd w:val="clear" w:color="auto" w:fill="auto"/>
            <w:noWrap/>
            <w:vAlign w:val="bottom"/>
            <w:hideMark/>
          </w:tcPr>
          <w:p w14:paraId="7CBF9CF8"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-10.737</w:t>
            </w:r>
          </w:p>
        </w:tc>
        <w:tc>
          <w:tcPr>
            <w:tcW w:w="718" w:type="dxa"/>
            <w:tcBorders>
              <w:top w:val="nil"/>
              <w:left w:val="nil"/>
              <w:bottom w:val="single" w:sz="4" w:space="0" w:color="auto"/>
              <w:right w:val="single" w:sz="4" w:space="0" w:color="auto"/>
            </w:tcBorders>
            <w:shd w:val="clear" w:color="auto" w:fill="auto"/>
            <w:noWrap/>
            <w:vAlign w:val="bottom"/>
            <w:hideMark/>
          </w:tcPr>
          <w:p w14:paraId="5DF5D8D8"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-7.880</w:t>
            </w:r>
          </w:p>
        </w:tc>
        <w:tc>
          <w:tcPr>
            <w:tcW w:w="718" w:type="dxa"/>
            <w:tcBorders>
              <w:top w:val="nil"/>
              <w:left w:val="nil"/>
              <w:bottom w:val="single" w:sz="4" w:space="0" w:color="auto"/>
              <w:right w:val="single" w:sz="4" w:space="0" w:color="auto"/>
            </w:tcBorders>
            <w:shd w:val="clear" w:color="auto" w:fill="auto"/>
            <w:noWrap/>
            <w:vAlign w:val="bottom"/>
            <w:hideMark/>
          </w:tcPr>
          <w:p w14:paraId="3B8CAEF6"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-3.221</w:t>
            </w:r>
          </w:p>
        </w:tc>
        <w:tc>
          <w:tcPr>
            <w:tcW w:w="832" w:type="dxa"/>
            <w:tcBorders>
              <w:top w:val="nil"/>
              <w:left w:val="nil"/>
              <w:bottom w:val="single" w:sz="4" w:space="0" w:color="auto"/>
              <w:right w:val="single" w:sz="4" w:space="0" w:color="auto"/>
            </w:tcBorders>
            <w:shd w:val="clear" w:color="auto" w:fill="auto"/>
            <w:noWrap/>
            <w:vAlign w:val="bottom"/>
            <w:hideMark/>
          </w:tcPr>
          <w:p w14:paraId="1F20DAB4"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-3.181</w:t>
            </w:r>
          </w:p>
        </w:tc>
        <w:tc>
          <w:tcPr>
            <w:tcW w:w="850" w:type="dxa"/>
            <w:tcBorders>
              <w:top w:val="nil"/>
              <w:left w:val="nil"/>
              <w:bottom w:val="single" w:sz="4" w:space="0" w:color="auto"/>
              <w:right w:val="single" w:sz="4" w:space="0" w:color="auto"/>
            </w:tcBorders>
            <w:shd w:val="clear" w:color="auto" w:fill="auto"/>
            <w:noWrap/>
            <w:vAlign w:val="bottom"/>
            <w:hideMark/>
          </w:tcPr>
          <w:p w14:paraId="4A72DBDE"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-3.142</w:t>
            </w:r>
          </w:p>
        </w:tc>
        <w:tc>
          <w:tcPr>
            <w:tcW w:w="718" w:type="dxa"/>
            <w:tcBorders>
              <w:top w:val="nil"/>
              <w:left w:val="nil"/>
              <w:bottom w:val="single" w:sz="4" w:space="0" w:color="auto"/>
              <w:right w:val="single" w:sz="4" w:space="0" w:color="auto"/>
            </w:tcBorders>
            <w:shd w:val="clear" w:color="auto" w:fill="auto"/>
            <w:noWrap/>
            <w:vAlign w:val="bottom"/>
            <w:hideMark/>
          </w:tcPr>
          <w:p w14:paraId="3369C17F"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-3.102</w:t>
            </w:r>
          </w:p>
        </w:tc>
        <w:tc>
          <w:tcPr>
            <w:tcW w:w="718" w:type="dxa"/>
            <w:tcBorders>
              <w:top w:val="nil"/>
              <w:left w:val="nil"/>
              <w:bottom w:val="single" w:sz="4" w:space="0" w:color="auto"/>
              <w:right w:val="single" w:sz="4" w:space="0" w:color="auto"/>
            </w:tcBorders>
            <w:shd w:val="clear" w:color="auto" w:fill="auto"/>
            <w:noWrap/>
            <w:vAlign w:val="bottom"/>
            <w:hideMark/>
          </w:tcPr>
          <w:p w14:paraId="7B30E38C"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-2.902</w:t>
            </w:r>
          </w:p>
        </w:tc>
        <w:tc>
          <w:tcPr>
            <w:tcW w:w="832" w:type="dxa"/>
            <w:tcBorders>
              <w:top w:val="nil"/>
              <w:left w:val="nil"/>
              <w:bottom w:val="single" w:sz="4" w:space="0" w:color="auto"/>
              <w:right w:val="single" w:sz="4" w:space="0" w:color="auto"/>
            </w:tcBorders>
            <w:shd w:val="clear" w:color="auto" w:fill="auto"/>
            <w:noWrap/>
            <w:vAlign w:val="bottom"/>
            <w:hideMark/>
          </w:tcPr>
          <w:p w14:paraId="1D967DD4"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-62.381</w:t>
            </w:r>
          </w:p>
        </w:tc>
      </w:tr>
      <w:tr w:rsidR="00F07B3B" w:rsidRPr="00F07B3B" w14:paraId="232ACE7B" w14:textId="77777777" w:rsidTr="00F07B3B">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2E48DC46" w14:textId="77777777" w:rsidR="00F07B3B" w:rsidRPr="00F07B3B" w:rsidRDefault="00F07B3B" w:rsidP="00F07B3B">
            <w:pPr>
              <w:rPr>
                <w:rFonts w:ascii="Calibri" w:hAnsi="Calibri" w:cs="Calibri"/>
                <w:color w:val="000000"/>
                <w:sz w:val="18"/>
                <w:szCs w:val="18"/>
              </w:rPr>
            </w:pPr>
            <w:proofErr w:type="spellStart"/>
            <w:r w:rsidRPr="00F07B3B">
              <w:rPr>
                <w:rFonts w:ascii="Calibri" w:hAnsi="Calibri" w:cs="Calibri"/>
                <w:color w:val="000000"/>
                <w:sz w:val="18"/>
                <w:szCs w:val="18"/>
              </w:rPr>
              <w:t>Benefícios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C3725BF"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2AAFF2B2"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6.572</w:t>
            </w:r>
          </w:p>
        </w:tc>
        <w:tc>
          <w:tcPr>
            <w:tcW w:w="850" w:type="dxa"/>
            <w:tcBorders>
              <w:top w:val="nil"/>
              <w:left w:val="nil"/>
              <w:bottom w:val="single" w:sz="4" w:space="0" w:color="auto"/>
              <w:right w:val="single" w:sz="4" w:space="0" w:color="auto"/>
            </w:tcBorders>
            <w:shd w:val="clear" w:color="auto" w:fill="auto"/>
            <w:noWrap/>
            <w:vAlign w:val="bottom"/>
            <w:hideMark/>
          </w:tcPr>
          <w:p w14:paraId="3AFE5621"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8.343</w:t>
            </w:r>
          </w:p>
        </w:tc>
        <w:tc>
          <w:tcPr>
            <w:tcW w:w="851" w:type="dxa"/>
            <w:tcBorders>
              <w:top w:val="nil"/>
              <w:left w:val="nil"/>
              <w:bottom w:val="single" w:sz="4" w:space="0" w:color="auto"/>
              <w:right w:val="single" w:sz="4" w:space="0" w:color="auto"/>
            </w:tcBorders>
            <w:shd w:val="clear" w:color="auto" w:fill="auto"/>
            <w:noWrap/>
            <w:vAlign w:val="bottom"/>
            <w:hideMark/>
          </w:tcPr>
          <w:p w14:paraId="4A3B040F"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11.804</w:t>
            </w:r>
          </w:p>
        </w:tc>
        <w:tc>
          <w:tcPr>
            <w:tcW w:w="718" w:type="dxa"/>
            <w:tcBorders>
              <w:top w:val="nil"/>
              <w:left w:val="nil"/>
              <w:bottom w:val="single" w:sz="4" w:space="0" w:color="auto"/>
              <w:right w:val="single" w:sz="4" w:space="0" w:color="auto"/>
            </w:tcBorders>
            <w:shd w:val="clear" w:color="auto" w:fill="auto"/>
            <w:noWrap/>
            <w:vAlign w:val="bottom"/>
            <w:hideMark/>
          </w:tcPr>
          <w:p w14:paraId="551785A5"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18.376</w:t>
            </w:r>
          </w:p>
        </w:tc>
        <w:tc>
          <w:tcPr>
            <w:tcW w:w="718" w:type="dxa"/>
            <w:tcBorders>
              <w:top w:val="nil"/>
              <w:left w:val="nil"/>
              <w:bottom w:val="single" w:sz="4" w:space="0" w:color="auto"/>
              <w:right w:val="single" w:sz="4" w:space="0" w:color="auto"/>
            </w:tcBorders>
            <w:shd w:val="clear" w:color="auto" w:fill="auto"/>
            <w:noWrap/>
            <w:vAlign w:val="bottom"/>
            <w:hideMark/>
          </w:tcPr>
          <w:p w14:paraId="026EEEC0"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21.662</w:t>
            </w:r>
          </w:p>
        </w:tc>
        <w:tc>
          <w:tcPr>
            <w:tcW w:w="832" w:type="dxa"/>
            <w:tcBorders>
              <w:top w:val="nil"/>
              <w:left w:val="nil"/>
              <w:bottom w:val="single" w:sz="4" w:space="0" w:color="auto"/>
              <w:right w:val="single" w:sz="4" w:space="0" w:color="auto"/>
            </w:tcBorders>
            <w:shd w:val="clear" w:color="auto" w:fill="auto"/>
            <w:noWrap/>
            <w:vAlign w:val="bottom"/>
            <w:hideMark/>
          </w:tcPr>
          <w:p w14:paraId="74C9ED20"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21.662</w:t>
            </w:r>
          </w:p>
        </w:tc>
        <w:tc>
          <w:tcPr>
            <w:tcW w:w="850" w:type="dxa"/>
            <w:tcBorders>
              <w:top w:val="nil"/>
              <w:left w:val="nil"/>
              <w:bottom w:val="single" w:sz="4" w:space="0" w:color="auto"/>
              <w:right w:val="single" w:sz="4" w:space="0" w:color="auto"/>
            </w:tcBorders>
            <w:shd w:val="clear" w:color="auto" w:fill="auto"/>
            <w:noWrap/>
            <w:vAlign w:val="bottom"/>
            <w:hideMark/>
          </w:tcPr>
          <w:p w14:paraId="019AD95F"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21.662</w:t>
            </w:r>
          </w:p>
        </w:tc>
        <w:tc>
          <w:tcPr>
            <w:tcW w:w="718" w:type="dxa"/>
            <w:tcBorders>
              <w:top w:val="nil"/>
              <w:left w:val="nil"/>
              <w:bottom w:val="single" w:sz="4" w:space="0" w:color="auto"/>
              <w:right w:val="single" w:sz="4" w:space="0" w:color="auto"/>
            </w:tcBorders>
            <w:shd w:val="clear" w:color="auto" w:fill="auto"/>
            <w:noWrap/>
            <w:vAlign w:val="bottom"/>
            <w:hideMark/>
          </w:tcPr>
          <w:p w14:paraId="2C91B567"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21.662</w:t>
            </w:r>
          </w:p>
        </w:tc>
        <w:tc>
          <w:tcPr>
            <w:tcW w:w="718" w:type="dxa"/>
            <w:tcBorders>
              <w:top w:val="nil"/>
              <w:left w:val="nil"/>
              <w:bottom w:val="single" w:sz="4" w:space="0" w:color="auto"/>
              <w:right w:val="single" w:sz="4" w:space="0" w:color="auto"/>
            </w:tcBorders>
            <w:shd w:val="clear" w:color="auto" w:fill="auto"/>
            <w:noWrap/>
            <w:vAlign w:val="bottom"/>
            <w:hideMark/>
          </w:tcPr>
          <w:p w14:paraId="6CE90A7B"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21.662</w:t>
            </w:r>
          </w:p>
        </w:tc>
        <w:tc>
          <w:tcPr>
            <w:tcW w:w="832" w:type="dxa"/>
            <w:tcBorders>
              <w:top w:val="nil"/>
              <w:left w:val="nil"/>
              <w:bottom w:val="single" w:sz="4" w:space="0" w:color="auto"/>
              <w:right w:val="single" w:sz="4" w:space="0" w:color="auto"/>
            </w:tcBorders>
            <w:shd w:val="clear" w:color="auto" w:fill="auto"/>
            <w:noWrap/>
            <w:vAlign w:val="bottom"/>
            <w:hideMark/>
          </w:tcPr>
          <w:p w14:paraId="434402C3"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153.405</w:t>
            </w:r>
          </w:p>
        </w:tc>
      </w:tr>
      <w:tr w:rsidR="00F07B3B" w:rsidRPr="00F07B3B" w14:paraId="017CD2FA" w14:textId="77777777" w:rsidTr="00F07B3B">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3C3FFDC8" w14:textId="77777777" w:rsidR="00F07B3B" w:rsidRPr="00F07B3B" w:rsidRDefault="00F07B3B" w:rsidP="00F07B3B">
            <w:pPr>
              <w:rPr>
                <w:rFonts w:ascii="Calibri" w:hAnsi="Calibri" w:cs="Calibri"/>
                <w:color w:val="000000"/>
                <w:sz w:val="18"/>
                <w:szCs w:val="18"/>
              </w:rPr>
            </w:pPr>
            <w:proofErr w:type="spellStart"/>
            <w:r w:rsidRPr="00F07B3B">
              <w:rPr>
                <w:rFonts w:ascii="Calibri" w:hAnsi="Calibri" w:cs="Calibri"/>
                <w:color w:val="000000"/>
                <w:sz w:val="18"/>
                <w:szCs w:val="18"/>
              </w:rPr>
              <w:t>Fluxo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DF7A4DD"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-9.183</w:t>
            </w:r>
          </w:p>
        </w:tc>
        <w:tc>
          <w:tcPr>
            <w:tcW w:w="709" w:type="dxa"/>
            <w:tcBorders>
              <w:top w:val="nil"/>
              <w:left w:val="nil"/>
              <w:bottom w:val="single" w:sz="4" w:space="0" w:color="auto"/>
              <w:right w:val="single" w:sz="4" w:space="0" w:color="auto"/>
            </w:tcBorders>
            <w:shd w:val="clear" w:color="auto" w:fill="auto"/>
            <w:noWrap/>
            <w:vAlign w:val="bottom"/>
            <w:hideMark/>
          </w:tcPr>
          <w:p w14:paraId="207CAFDE"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-2.331</w:t>
            </w:r>
          </w:p>
        </w:tc>
        <w:tc>
          <w:tcPr>
            <w:tcW w:w="850" w:type="dxa"/>
            <w:tcBorders>
              <w:top w:val="nil"/>
              <w:left w:val="nil"/>
              <w:bottom w:val="single" w:sz="4" w:space="0" w:color="auto"/>
              <w:right w:val="single" w:sz="4" w:space="0" w:color="auto"/>
            </w:tcBorders>
            <w:shd w:val="clear" w:color="auto" w:fill="auto"/>
            <w:noWrap/>
            <w:vAlign w:val="bottom"/>
            <w:hideMark/>
          </w:tcPr>
          <w:p w14:paraId="6A739B9B"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-1.787</w:t>
            </w:r>
          </w:p>
        </w:tc>
        <w:tc>
          <w:tcPr>
            <w:tcW w:w="851" w:type="dxa"/>
            <w:tcBorders>
              <w:top w:val="nil"/>
              <w:left w:val="nil"/>
              <w:bottom w:val="single" w:sz="4" w:space="0" w:color="auto"/>
              <w:right w:val="single" w:sz="4" w:space="0" w:color="auto"/>
            </w:tcBorders>
            <w:shd w:val="clear" w:color="auto" w:fill="auto"/>
            <w:noWrap/>
            <w:vAlign w:val="bottom"/>
            <w:hideMark/>
          </w:tcPr>
          <w:p w14:paraId="70257FD8"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1.067</w:t>
            </w:r>
          </w:p>
        </w:tc>
        <w:tc>
          <w:tcPr>
            <w:tcW w:w="718" w:type="dxa"/>
            <w:tcBorders>
              <w:top w:val="nil"/>
              <w:left w:val="nil"/>
              <w:bottom w:val="single" w:sz="4" w:space="0" w:color="auto"/>
              <w:right w:val="single" w:sz="4" w:space="0" w:color="auto"/>
            </w:tcBorders>
            <w:shd w:val="clear" w:color="auto" w:fill="auto"/>
            <w:noWrap/>
            <w:vAlign w:val="bottom"/>
            <w:hideMark/>
          </w:tcPr>
          <w:p w14:paraId="69A668F1"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10.496</w:t>
            </w:r>
          </w:p>
        </w:tc>
        <w:tc>
          <w:tcPr>
            <w:tcW w:w="718" w:type="dxa"/>
            <w:tcBorders>
              <w:top w:val="nil"/>
              <w:left w:val="nil"/>
              <w:bottom w:val="single" w:sz="4" w:space="0" w:color="auto"/>
              <w:right w:val="single" w:sz="4" w:space="0" w:color="auto"/>
            </w:tcBorders>
            <w:shd w:val="clear" w:color="auto" w:fill="auto"/>
            <w:noWrap/>
            <w:vAlign w:val="bottom"/>
            <w:hideMark/>
          </w:tcPr>
          <w:p w14:paraId="3014DFE9"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18.441</w:t>
            </w:r>
          </w:p>
        </w:tc>
        <w:tc>
          <w:tcPr>
            <w:tcW w:w="832" w:type="dxa"/>
            <w:tcBorders>
              <w:top w:val="nil"/>
              <w:left w:val="nil"/>
              <w:bottom w:val="single" w:sz="4" w:space="0" w:color="auto"/>
              <w:right w:val="single" w:sz="4" w:space="0" w:color="auto"/>
            </w:tcBorders>
            <w:shd w:val="clear" w:color="auto" w:fill="auto"/>
            <w:noWrap/>
            <w:vAlign w:val="bottom"/>
            <w:hideMark/>
          </w:tcPr>
          <w:p w14:paraId="2BDEB8E0"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18.480</w:t>
            </w:r>
          </w:p>
        </w:tc>
        <w:tc>
          <w:tcPr>
            <w:tcW w:w="850" w:type="dxa"/>
            <w:tcBorders>
              <w:top w:val="nil"/>
              <w:left w:val="nil"/>
              <w:bottom w:val="single" w:sz="4" w:space="0" w:color="auto"/>
              <w:right w:val="single" w:sz="4" w:space="0" w:color="auto"/>
            </w:tcBorders>
            <w:shd w:val="clear" w:color="auto" w:fill="auto"/>
            <w:noWrap/>
            <w:vAlign w:val="bottom"/>
            <w:hideMark/>
          </w:tcPr>
          <w:p w14:paraId="1A672AF1"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18.520</w:t>
            </w:r>
          </w:p>
        </w:tc>
        <w:tc>
          <w:tcPr>
            <w:tcW w:w="718" w:type="dxa"/>
            <w:tcBorders>
              <w:top w:val="nil"/>
              <w:left w:val="nil"/>
              <w:bottom w:val="single" w:sz="4" w:space="0" w:color="auto"/>
              <w:right w:val="single" w:sz="4" w:space="0" w:color="auto"/>
            </w:tcBorders>
            <w:shd w:val="clear" w:color="auto" w:fill="auto"/>
            <w:noWrap/>
            <w:vAlign w:val="bottom"/>
            <w:hideMark/>
          </w:tcPr>
          <w:p w14:paraId="02E7108F"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18.559</w:t>
            </w:r>
          </w:p>
        </w:tc>
        <w:tc>
          <w:tcPr>
            <w:tcW w:w="718" w:type="dxa"/>
            <w:tcBorders>
              <w:top w:val="nil"/>
              <w:left w:val="nil"/>
              <w:bottom w:val="single" w:sz="4" w:space="0" w:color="auto"/>
              <w:right w:val="single" w:sz="4" w:space="0" w:color="auto"/>
            </w:tcBorders>
            <w:shd w:val="clear" w:color="auto" w:fill="auto"/>
            <w:noWrap/>
            <w:vAlign w:val="bottom"/>
            <w:hideMark/>
          </w:tcPr>
          <w:p w14:paraId="7572E97B"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18.760</w:t>
            </w:r>
          </w:p>
        </w:tc>
        <w:tc>
          <w:tcPr>
            <w:tcW w:w="832" w:type="dxa"/>
            <w:tcBorders>
              <w:top w:val="nil"/>
              <w:left w:val="nil"/>
              <w:bottom w:val="single" w:sz="4" w:space="0" w:color="auto"/>
              <w:right w:val="single" w:sz="4" w:space="0" w:color="auto"/>
            </w:tcBorders>
            <w:shd w:val="clear" w:color="auto" w:fill="auto"/>
            <w:noWrap/>
            <w:vAlign w:val="bottom"/>
            <w:hideMark/>
          </w:tcPr>
          <w:p w14:paraId="547401FB" w14:textId="77777777" w:rsidR="00F07B3B" w:rsidRPr="00F07B3B" w:rsidRDefault="00F07B3B" w:rsidP="00F07B3B">
            <w:pPr>
              <w:jc w:val="right"/>
              <w:rPr>
                <w:rFonts w:ascii="Calibri" w:hAnsi="Calibri" w:cs="Calibri"/>
                <w:color w:val="000000"/>
                <w:sz w:val="18"/>
                <w:szCs w:val="18"/>
              </w:rPr>
            </w:pPr>
            <w:r w:rsidRPr="00F07B3B">
              <w:rPr>
                <w:rFonts w:ascii="Calibri" w:hAnsi="Calibri" w:cs="Calibri"/>
                <w:color w:val="000000"/>
                <w:sz w:val="18"/>
                <w:szCs w:val="18"/>
              </w:rPr>
              <w:t>91.023</w:t>
            </w:r>
          </w:p>
        </w:tc>
      </w:tr>
      <w:tr w:rsidR="00F07B3B" w:rsidRPr="00F07B3B" w14:paraId="6A4B3847" w14:textId="77777777" w:rsidTr="00F07B3B">
        <w:trPr>
          <w:trHeight w:val="300"/>
        </w:trPr>
        <w:tc>
          <w:tcPr>
            <w:tcW w:w="2709" w:type="dxa"/>
            <w:gridSpan w:val="3"/>
            <w:tcBorders>
              <w:top w:val="single" w:sz="4" w:space="0" w:color="auto"/>
              <w:left w:val="nil"/>
              <w:bottom w:val="nil"/>
              <w:right w:val="nil"/>
            </w:tcBorders>
            <w:shd w:val="clear" w:color="auto" w:fill="auto"/>
            <w:noWrap/>
            <w:vAlign w:val="bottom"/>
            <w:hideMark/>
          </w:tcPr>
          <w:p w14:paraId="2CB67DAA" w14:textId="77777777" w:rsidR="00F07B3B" w:rsidRPr="00F07B3B" w:rsidRDefault="00F07B3B" w:rsidP="00F07B3B">
            <w:pPr>
              <w:jc w:val="center"/>
              <w:rPr>
                <w:rFonts w:ascii="Calibri" w:hAnsi="Calibri" w:cs="Calibri"/>
                <w:b/>
                <w:bCs/>
                <w:color w:val="000000"/>
                <w:sz w:val="18"/>
                <w:szCs w:val="18"/>
              </w:rPr>
            </w:pPr>
            <w:r w:rsidRPr="00F07B3B">
              <w:rPr>
                <w:rFonts w:ascii="Calibri" w:hAnsi="Calibri" w:cs="Calibri"/>
                <w:b/>
                <w:bCs/>
                <w:color w:val="000000"/>
                <w:sz w:val="18"/>
                <w:szCs w:val="18"/>
              </w:rPr>
              <w:t xml:space="preserve">Valor </w:t>
            </w:r>
            <w:proofErr w:type="spellStart"/>
            <w:r w:rsidRPr="00F07B3B">
              <w:rPr>
                <w:rFonts w:ascii="Calibri" w:hAnsi="Calibri" w:cs="Calibri"/>
                <w:b/>
                <w:bCs/>
                <w:color w:val="000000"/>
                <w:sz w:val="18"/>
                <w:szCs w:val="18"/>
              </w:rPr>
              <w:t>Presente</w:t>
            </w:r>
            <w:proofErr w:type="spellEnd"/>
            <w:r w:rsidRPr="00F07B3B">
              <w:rPr>
                <w:rFonts w:ascii="Calibri" w:hAnsi="Calibri" w:cs="Calibri"/>
                <w:b/>
                <w:bCs/>
                <w:color w:val="000000"/>
                <w:sz w:val="18"/>
                <w:szCs w:val="18"/>
              </w:rPr>
              <w:t xml:space="preserve"> </w:t>
            </w:r>
            <w:proofErr w:type="spellStart"/>
            <w:r w:rsidRPr="00F07B3B">
              <w:rPr>
                <w:rFonts w:ascii="Calibri" w:hAnsi="Calibri" w:cs="Calibri"/>
                <w:b/>
                <w:bCs/>
                <w:color w:val="000000"/>
                <w:sz w:val="18"/>
                <w:szCs w:val="18"/>
              </w:rPr>
              <w:t>Líquido</w:t>
            </w:r>
            <w:proofErr w:type="spellEnd"/>
          </w:p>
        </w:tc>
        <w:tc>
          <w:tcPr>
            <w:tcW w:w="850" w:type="dxa"/>
            <w:tcBorders>
              <w:top w:val="nil"/>
              <w:left w:val="nil"/>
              <w:bottom w:val="nil"/>
              <w:right w:val="nil"/>
            </w:tcBorders>
            <w:shd w:val="clear" w:color="auto" w:fill="auto"/>
            <w:noWrap/>
            <w:vAlign w:val="bottom"/>
            <w:hideMark/>
          </w:tcPr>
          <w:p w14:paraId="6FFFA91D" w14:textId="5709DE5F" w:rsidR="00F07B3B" w:rsidRPr="00F07B3B" w:rsidRDefault="00F07B3B" w:rsidP="00F07B3B">
            <w:pPr>
              <w:rPr>
                <w:rFonts w:ascii="Calibri" w:hAnsi="Calibri" w:cs="Calibri"/>
                <w:b/>
                <w:bCs/>
                <w:color w:val="000000"/>
                <w:sz w:val="18"/>
                <w:szCs w:val="18"/>
              </w:rPr>
            </w:pPr>
            <w:r>
              <w:rPr>
                <w:rFonts w:ascii="Calibri" w:hAnsi="Calibri" w:cs="Calibri"/>
                <w:b/>
                <w:bCs/>
                <w:color w:val="000000"/>
                <w:sz w:val="18"/>
                <w:szCs w:val="18"/>
              </w:rPr>
              <w:t xml:space="preserve">   </w:t>
            </w:r>
            <w:r w:rsidRPr="00F07B3B">
              <w:rPr>
                <w:rFonts w:ascii="Calibri" w:hAnsi="Calibri" w:cs="Calibri"/>
                <w:b/>
                <w:bCs/>
                <w:color w:val="000000"/>
                <w:sz w:val="18"/>
                <w:szCs w:val="18"/>
              </w:rPr>
              <w:t xml:space="preserve">33.220 </w:t>
            </w:r>
          </w:p>
        </w:tc>
        <w:tc>
          <w:tcPr>
            <w:tcW w:w="851" w:type="dxa"/>
            <w:tcBorders>
              <w:top w:val="nil"/>
              <w:left w:val="nil"/>
              <w:bottom w:val="nil"/>
              <w:right w:val="nil"/>
            </w:tcBorders>
            <w:shd w:val="clear" w:color="auto" w:fill="auto"/>
            <w:noWrap/>
            <w:vAlign w:val="bottom"/>
            <w:hideMark/>
          </w:tcPr>
          <w:p w14:paraId="3E07B861"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4939469E"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3556EC06" w14:textId="77777777" w:rsidR="00F07B3B" w:rsidRPr="00F07B3B" w:rsidRDefault="00F07B3B" w:rsidP="00F07B3B">
            <w:pPr>
              <w:rPr>
                <w:rFonts w:ascii="Calibri" w:hAnsi="Calibri" w:cs="Calibri"/>
                <w:color w:val="000000"/>
                <w:sz w:val="18"/>
                <w:szCs w:val="18"/>
              </w:rPr>
            </w:pPr>
          </w:p>
        </w:tc>
        <w:tc>
          <w:tcPr>
            <w:tcW w:w="832" w:type="dxa"/>
            <w:tcBorders>
              <w:top w:val="nil"/>
              <w:left w:val="nil"/>
              <w:bottom w:val="nil"/>
              <w:right w:val="nil"/>
            </w:tcBorders>
            <w:shd w:val="clear" w:color="auto" w:fill="auto"/>
            <w:noWrap/>
            <w:vAlign w:val="bottom"/>
            <w:hideMark/>
          </w:tcPr>
          <w:p w14:paraId="62A966BD" w14:textId="77777777" w:rsidR="00F07B3B" w:rsidRPr="00F07B3B" w:rsidRDefault="00F07B3B" w:rsidP="00F07B3B">
            <w:pPr>
              <w:rPr>
                <w:rFonts w:ascii="Calibri" w:hAnsi="Calibri" w:cs="Calibri"/>
                <w:color w:val="000000"/>
                <w:sz w:val="18"/>
                <w:szCs w:val="18"/>
              </w:rPr>
            </w:pPr>
          </w:p>
        </w:tc>
        <w:tc>
          <w:tcPr>
            <w:tcW w:w="850" w:type="dxa"/>
            <w:tcBorders>
              <w:top w:val="nil"/>
              <w:left w:val="nil"/>
              <w:bottom w:val="nil"/>
              <w:right w:val="nil"/>
            </w:tcBorders>
            <w:shd w:val="clear" w:color="auto" w:fill="auto"/>
            <w:noWrap/>
            <w:vAlign w:val="bottom"/>
            <w:hideMark/>
          </w:tcPr>
          <w:p w14:paraId="17D74238"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381424DA"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77D6961C" w14:textId="77777777" w:rsidR="00F07B3B" w:rsidRPr="00F07B3B" w:rsidRDefault="00F07B3B" w:rsidP="00F07B3B">
            <w:pPr>
              <w:rPr>
                <w:rFonts w:ascii="Calibri" w:hAnsi="Calibri" w:cs="Calibri"/>
                <w:color w:val="000000"/>
                <w:sz w:val="18"/>
                <w:szCs w:val="18"/>
              </w:rPr>
            </w:pPr>
          </w:p>
        </w:tc>
        <w:tc>
          <w:tcPr>
            <w:tcW w:w="832" w:type="dxa"/>
            <w:tcBorders>
              <w:top w:val="nil"/>
              <w:left w:val="nil"/>
              <w:bottom w:val="nil"/>
              <w:right w:val="nil"/>
            </w:tcBorders>
            <w:shd w:val="clear" w:color="auto" w:fill="auto"/>
            <w:noWrap/>
            <w:vAlign w:val="bottom"/>
            <w:hideMark/>
          </w:tcPr>
          <w:p w14:paraId="7E49A4FB" w14:textId="77777777" w:rsidR="00F07B3B" w:rsidRPr="00F07B3B" w:rsidRDefault="00F07B3B" w:rsidP="00F07B3B">
            <w:pPr>
              <w:rPr>
                <w:rFonts w:ascii="Calibri" w:hAnsi="Calibri" w:cs="Calibri"/>
                <w:color w:val="000000"/>
                <w:sz w:val="18"/>
                <w:szCs w:val="18"/>
              </w:rPr>
            </w:pPr>
          </w:p>
        </w:tc>
      </w:tr>
      <w:tr w:rsidR="00F07B3B" w:rsidRPr="00F07B3B" w14:paraId="0D9991BA" w14:textId="77777777" w:rsidTr="00F07B3B">
        <w:trPr>
          <w:trHeight w:val="300"/>
        </w:trPr>
        <w:tc>
          <w:tcPr>
            <w:tcW w:w="2709" w:type="dxa"/>
            <w:gridSpan w:val="3"/>
            <w:tcBorders>
              <w:top w:val="nil"/>
              <w:left w:val="nil"/>
              <w:bottom w:val="nil"/>
              <w:right w:val="nil"/>
            </w:tcBorders>
            <w:shd w:val="clear" w:color="auto" w:fill="auto"/>
            <w:noWrap/>
            <w:vAlign w:val="bottom"/>
            <w:hideMark/>
          </w:tcPr>
          <w:p w14:paraId="62BAE8D0" w14:textId="77777777" w:rsidR="00F07B3B" w:rsidRPr="00F07B3B" w:rsidRDefault="00F07B3B" w:rsidP="00F07B3B">
            <w:pPr>
              <w:jc w:val="center"/>
              <w:rPr>
                <w:rFonts w:ascii="Calibri" w:hAnsi="Calibri" w:cs="Calibri"/>
                <w:b/>
                <w:bCs/>
                <w:color w:val="000000"/>
                <w:sz w:val="18"/>
                <w:szCs w:val="18"/>
              </w:rPr>
            </w:pPr>
            <w:r w:rsidRPr="00F07B3B">
              <w:rPr>
                <w:rFonts w:ascii="Calibri" w:hAnsi="Calibri" w:cs="Calibri"/>
                <w:b/>
                <w:bCs/>
                <w:color w:val="000000"/>
                <w:sz w:val="18"/>
                <w:szCs w:val="18"/>
              </w:rPr>
              <w:t>TIR</w:t>
            </w:r>
          </w:p>
        </w:tc>
        <w:tc>
          <w:tcPr>
            <w:tcW w:w="850" w:type="dxa"/>
            <w:tcBorders>
              <w:top w:val="nil"/>
              <w:left w:val="nil"/>
              <w:bottom w:val="nil"/>
              <w:right w:val="nil"/>
            </w:tcBorders>
            <w:shd w:val="clear" w:color="auto" w:fill="auto"/>
            <w:noWrap/>
            <w:vAlign w:val="bottom"/>
            <w:hideMark/>
          </w:tcPr>
          <w:p w14:paraId="3782586B" w14:textId="77777777" w:rsidR="00F07B3B" w:rsidRPr="00F07B3B" w:rsidRDefault="00F07B3B" w:rsidP="00F07B3B">
            <w:pPr>
              <w:jc w:val="right"/>
              <w:rPr>
                <w:rFonts w:ascii="Calibri" w:hAnsi="Calibri" w:cs="Calibri"/>
                <w:b/>
                <w:bCs/>
                <w:color w:val="000000"/>
                <w:sz w:val="18"/>
                <w:szCs w:val="18"/>
              </w:rPr>
            </w:pPr>
            <w:r w:rsidRPr="00F07B3B">
              <w:rPr>
                <w:rFonts w:ascii="Calibri" w:hAnsi="Calibri" w:cs="Calibri"/>
                <w:b/>
                <w:bCs/>
                <w:color w:val="000000"/>
                <w:sz w:val="18"/>
                <w:szCs w:val="18"/>
              </w:rPr>
              <w:t>42,5%</w:t>
            </w:r>
          </w:p>
        </w:tc>
        <w:tc>
          <w:tcPr>
            <w:tcW w:w="851" w:type="dxa"/>
            <w:tcBorders>
              <w:top w:val="nil"/>
              <w:left w:val="nil"/>
              <w:bottom w:val="nil"/>
              <w:right w:val="nil"/>
            </w:tcBorders>
            <w:shd w:val="clear" w:color="auto" w:fill="auto"/>
            <w:noWrap/>
            <w:vAlign w:val="bottom"/>
            <w:hideMark/>
          </w:tcPr>
          <w:p w14:paraId="1E86C715"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33902BAC"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3CE8446B" w14:textId="77777777" w:rsidR="00F07B3B" w:rsidRPr="00F07B3B" w:rsidRDefault="00F07B3B" w:rsidP="00F07B3B">
            <w:pPr>
              <w:rPr>
                <w:rFonts w:ascii="Calibri" w:hAnsi="Calibri" w:cs="Calibri"/>
                <w:color w:val="000000"/>
                <w:sz w:val="18"/>
                <w:szCs w:val="18"/>
              </w:rPr>
            </w:pPr>
          </w:p>
        </w:tc>
        <w:tc>
          <w:tcPr>
            <w:tcW w:w="832" w:type="dxa"/>
            <w:tcBorders>
              <w:top w:val="nil"/>
              <w:left w:val="nil"/>
              <w:bottom w:val="nil"/>
              <w:right w:val="nil"/>
            </w:tcBorders>
            <w:shd w:val="clear" w:color="auto" w:fill="auto"/>
            <w:noWrap/>
            <w:vAlign w:val="bottom"/>
            <w:hideMark/>
          </w:tcPr>
          <w:p w14:paraId="35959C08" w14:textId="77777777" w:rsidR="00F07B3B" w:rsidRPr="00F07B3B" w:rsidRDefault="00F07B3B" w:rsidP="00F07B3B">
            <w:pPr>
              <w:rPr>
                <w:rFonts w:ascii="Calibri" w:hAnsi="Calibri" w:cs="Calibri"/>
                <w:color w:val="000000"/>
                <w:sz w:val="18"/>
                <w:szCs w:val="18"/>
              </w:rPr>
            </w:pPr>
          </w:p>
        </w:tc>
        <w:tc>
          <w:tcPr>
            <w:tcW w:w="850" w:type="dxa"/>
            <w:tcBorders>
              <w:top w:val="nil"/>
              <w:left w:val="nil"/>
              <w:bottom w:val="nil"/>
              <w:right w:val="nil"/>
            </w:tcBorders>
            <w:shd w:val="clear" w:color="auto" w:fill="auto"/>
            <w:noWrap/>
            <w:vAlign w:val="bottom"/>
            <w:hideMark/>
          </w:tcPr>
          <w:p w14:paraId="478FAC9B"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DDD9E02" w14:textId="77777777" w:rsidR="00F07B3B" w:rsidRPr="00F07B3B" w:rsidRDefault="00F07B3B" w:rsidP="00F07B3B">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A039B8D" w14:textId="77777777" w:rsidR="00F07B3B" w:rsidRPr="00F07B3B" w:rsidRDefault="00F07B3B" w:rsidP="00F07B3B">
            <w:pPr>
              <w:rPr>
                <w:rFonts w:ascii="Calibri" w:hAnsi="Calibri" w:cs="Calibri"/>
                <w:color w:val="000000"/>
                <w:sz w:val="18"/>
                <w:szCs w:val="18"/>
              </w:rPr>
            </w:pPr>
          </w:p>
        </w:tc>
        <w:tc>
          <w:tcPr>
            <w:tcW w:w="832" w:type="dxa"/>
            <w:tcBorders>
              <w:top w:val="nil"/>
              <w:left w:val="nil"/>
              <w:bottom w:val="nil"/>
              <w:right w:val="nil"/>
            </w:tcBorders>
            <w:shd w:val="clear" w:color="auto" w:fill="auto"/>
            <w:noWrap/>
            <w:vAlign w:val="bottom"/>
            <w:hideMark/>
          </w:tcPr>
          <w:p w14:paraId="27734E8F" w14:textId="77777777" w:rsidR="00F07B3B" w:rsidRPr="00F07B3B" w:rsidRDefault="00F07B3B" w:rsidP="00F07B3B">
            <w:pPr>
              <w:rPr>
                <w:rFonts w:ascii="Calibri" w:hAnsi="Calibri" w:cs="Calibri"/>
                <w:color w:val="000000"/>
                <w:sz w:val="18"/>
                <w:szCs w:val="18"/>
              </w:rPr>
            </w:pPr>
          </w:p>
        </w:tc>
      </w:tr>
      <w:tr w:rsidR="00F07B3B" w:rsidRPr="00F07B3B" w14:paraId="3E5CFA14" w14:textId="77777777" w:rsidTr="00F07B3B">
        <w:trPr>
          <w:trHeight w:val="300"/>
        </w:trPr>
        <w:tc>
          <w:tcPr>
            <w:tcW w:w="9796" w:type="dxa"/>
            <w:gridSpan w:val="12"/>
            <w:tcBorders>
              <w:top w:val="nil"/>
              <w:left w:val="nil"/>
              <w:bottom w:val="nil"/>
              <w:right w:val="nil"/>
            </w:tcBorders>
            <w:shd w:val="clear" w:color="auto" w:fill="auto"/>
            <w:noWrap/>
            <w:vAlign w:val="bottom"/>
            <w:hideMark/>
          </w:tcPr>
          <w:p w14:paraId="577854E0" w14:textId="77777777" w:rsidR="00F07B3B" w:rsidRPr="00F07B3B" w:rsidRDefault="00F07B3B" w:rsidP="00F07B3B">
            <w:pPr>
              <w:rPr>
                <w:rFonts w:ascii="Calibri" w:hAnsi="Calibri" w:cs="Calibri"/>
                <w:color w:val="FF0000"/>
                <w:sz w:val="22"/>
                <w:szCs w:val="22"/>
                <w:lang w:val="pt-BR"/>
              </w:rPr>
            </w:pPr>
            <w:r w:rsidRPr="00F07B3B">
              <w:rPr>
                <w:rFonts w:ascii="Calibri" w:hAnsi="Calibri" w:cs="Calibri"/>
                <w:color w:val="FF0000"/>
                <w:sz w:val="22"/>
                <w:szCs w:val="22"/>
                <w:lang w:val="pt-BR"/>
              </w:rPr>
              <w:t>Fonte: Cálculos do autor para o Cenário com desvalorização do Real em 25%.</w:t>
            </w:r>
          </w:p>
        </w:tc>
      </w:tr>
    </w:tbl>
    <w:p w14:paraId="294D564C" w14:textId="7FB3A3E4" w:rsidR="005E3342" w:rsidRDefault="00333252" w:rsidP="00F07B3B">
      <w:pPr>
        <w:pStyle w:val="PargrafodaLista"/>
        <w:keepNext/>
        <w:numPr>
          <w:ilvl w:val="1"/>
          <w:numId w:val="4"/>
        </w:numPr>
        <w:suppressAutoHyphens/>
        <w:ind w:left="283" w:hanging="567"/>
        <w:jc w:val="both"/>
        <w:outlineLvl w:val="3"/>
        <w:rPr>
          <w:rFonts w:ascii="Arial" w:hAnsi="Arial" w:cs="Arial"/>
          <w:bCs/>
          <w:lang w:val="pt-BR" w:eastAsia="es-ES"/>
        </w:rPr>
      </w:pPr>
      <w:r w:rsidRPr="001F27CE">
        <w:rPr>
          <w:rFonts w:ascii="Arial" w:hAnsi="Arial" w:cs="Arial"/>
          <w:b/>
          <w:bCs/>
          <w:lang w:val="pt-BR" w:eastAsia="es-ES"/>
        </w:rPr>
        <w:lastRenderedPageBreak/>
        <w:t xml:space="preserve">Cenário </w:t>
      </w:r>
      <w:proofErr w:type="gramStart"/>
      <w:r w:rsidRPr="001F27CE">
        <w:rPr>
          <w:rFonts w:ascii="Arial" w:hAnsi="Arial" w:cs="Arial"/>
          <w:b/>
          <w:bCs/>
          <w:lang w:val="pt-BR" w:eastAsia="es-ES"/>
        </w:rPr>
        <w:t>3</w:t>
      </w:r>
      <w:proofErr w:type="gramEnd"/>
      <w:r w:rsidRPr="001F27CE">
        <w:rPr>
          <w:rFonts w:ascii="Arial" w:hAnsi="Arial" w:cs="Arial"/>
          <w:b/>
          <w:bCs/>
          <w:lang w:val="pt-BR" w:eastAsia="es-ES"/>
        </w:rPr>
        <w:t xml:space="preserve">: </w:t>
      </w:r>
      <w:r w:rsidR="005E3342" w:rsidRPr="001F27CE">
        <w:rPr>
          <w:rFonts w:ascii="Arial" w:hAnsi="Arial" w:cs="Arial"/>
          <w:b/>
          <w:bCs/>
          <w:lang w:val="pt-BR" w:eastAsia="es-ES"/>
        </w:rPr>
        <w:t>Redução de Benefícios</w:t>
      </w:r>
      <w:r w:rsidR="005E3342" w:rsidRPr="001F27CE">
        <w:rPr>
          <w:rFonts w:ascii="Arial" w:hAnsi="Arial" w:cs="Arial"/>
          <w:bCs/>
          <w:lang w:val="pt-BR" w:eastAsia="es-ES"/>
        </w:rPr>
        <w:t xml:space="preserve">. </w:t>
      </w:r>
      <w:r w:rsidR="00411420" w:rsidRPr="001F27CE">
        <w:rPr>
          <w:rFonts w:ascii="Arial" w:hAnsi="Arial" w:cs="Arial"/>
          <w:bCs/>
          <w:lang w:val="pt-BR" w:eastAsia="es-ES"/>
        </w:rPr>
        <w:t xml:space="preserve">A redução do Gap Tributário </w:t>
      </w:r>
      <w:r w:rsidR="005E3342" w:rsidRPr="001F27CE">
        <w:rPr>
          <w:rFonts w:ascii="Arial" w:hAnsi="Arial" w:cs="Arial"/>
          <w:bCs/>
          <w:lang w:val="pt-BR" w:eastAsia="es-ES"/>
        </w:rPr>
        <w:t xml:space="preserve">representa, no cenário básico, 90% do total dos benefícios medidos, o que não é surpresa em projetos fiscais, onde os maiores ganhos resultam de produtos tributários. </w:t>
      </w:r>
      <w:r w:rsidR="00301567" w:rsidRPr="001F27CE">
        <w:rPr>
          <w:rFonts w:ascii="Arial" w:hAnsi="Arial" w:cs="Arial"/>
          <w:bCs/>
          <w:lang w:val="pt-BR" w:eastAsia="es-ES"/>
        </w:rPr>
        <w:t xml:space="preserve">No cenário básico </w:t>
      </w:r>
      <w:r w:rsidRPr="001F27CE">
        <w:rPr>
          <w:rFonts w:ascii="Arial" w:hAnsi="Arial" w:cs="Arial"/>
          <w:bCs/>
          <w:lang w:val="pt-BR" w:eastAsia="es-ES"/>
        </w:rPr>
        <w:t xml:space="preserve">assumiu-se </w:t>
      </w:r>
      <w:r w:rsidR="00411420" w:rsidRPr="001F27CE">
        <w:rPr>
          <w:rFonts w:ascii="Arial" w:hAnsi="Arial" w:cs="Arial"/>
          <w:bCs/>
          <w:lang w:val="pt-BR" w:eastAsia="es-ES"/>
        </w:rPr>
        <w:t>uma redução do Gap Tributário</w:t>
      </w:r>
      <w:r w:rsidR="00B53B52" w:rsidRPr="001F27CE">
        <w:rPr>
          <w:rFonts w:ascii="Arial" w:hAnsi="Arial" w:cs="Arial"/>
          <w:bCs/>
          <w:lang w:val="pt-BR" w:eastAsia="es-ES"/>
        </w:rPr>
        <w:t>, bastante conservadora,</w:t>
      </w:r>
      <w:r w:rsidR="00411420" w:rsidRPr="001F27CE">
        <w:rPr>
          <w:rFonts w:ascii="Arial" w:hAnsi="Arial" w:cs="Arial"/>
          <w:bCs/>
          <w:lang w:val="pt-BR" w:eastAsia="es-ES"/>
        </w:rPr>
        <w:t xml:space="preserve"> </w:t>
      </w:r>
      <w:r w:rsidR="006F3675" w:rsidRPr="001F27CE">
        <w:rPr>
          <w:rFonts w:ascii="Arial" w:hAnsi="Arial" w:cs="Arial"/>
          <w:bCs/>
          <w:lang w:val="pt-BR" w:eastAsia="es-ES"/>
        </w:rPr>
        <w:t>de</w:t>
      </w:r>
      <w:r w:rsidR="006C48A4" w:rsidRPr="001F27CE">
        <w:rPr>
          <w:rFonts w:ascii="Arial" w:hAnsi="Arial" w:cs="Arial"/>
          <w:bCs/>
          <w:lang w:val="pt-BR" w:eastAsia="es-ES"/>
        </w:rPr>
        <w:t xml:space="preserve"> 0,2</w:t>
      </w:r>
      <w:r w:rsidR="00411420" w:rsidRPr="001F27CE">
        <w:rPr>
          <w:rFonts w:ascii="Arial" w:hAnsi="Arial" w:cs="Arial"/>
          <w:bCs/>
          <w:lang w:val="pt-BR" w:eastAsia="es-ES"/>
        </w:rPr>
        <w:t>% nos dois primeiros anos</w:t>
      </w:r>
      <w:r w:rsidR="006F3675" w:rsidRPr="001F27CE">
        <w:rPr>
          <w:rFonts w:ascii="Arial" w:hAnsi="Arial" w:cs="Arial"/>
          <w:bCs/>
          <w:lang w:val="pt-BR" w:eastAsia="es-ES"/>
        </w:rPr>
        <w:t xml:space="preserve">, chegando a </w:t>
      </w:r>
      <w:r w:rsidR="006C48A4" w:rsidRPr="001F27CE">
        <w:rPr>
          <w:rFonts w:ascii="Arial" w:hAnsi="Arial" w:cs="Arial"/>
          <w:bCs/>
          <w:lang w:val="pt-BR" w:eastAsia="es-ES"/>
        </w:rPr>
        <w:t>0,6</w:t>
      </w:r>
      <w:r w:rsidR="00411420" w:rsidRPr="001F27CE">
        <w:rPr>
          <w:rFonts w:ascii="Arial" w:hAnsi="Arial" w:cs="Arial"/>
          <w:bCs/>
          <w:lang w:val="pt-BR" w:eastAsia="es-ES"/>
        </w:rPr>
        <w:t>% do quinto ano em diante</w:t>
      </w:r>
      <w:r w:rsidRPr="001F27CE">
        <w:rPr>
          <w:rFonts w:ascii="Arial" w:hAnsi="Arial" w:cs="Arial"/>
          <w:bCs/>
          <w:lang w:val="pt-BR" w:eastAsia="es-ES"/>
        </w:rPr>
        <w:t>.</w:t>
      </w:r>
      <w:r w:rsidR="00610C60" w:rsidRPr="001F27CE">
        <w:rPr>
          <w:rFonts w:ascii="Arial" w:hAnsi="Arial" w:cs="Arial"/>
          <w:bCs/>
          <w:lang w:val="pt-BR" w:eastAsia="es-ES"/>
        </w:rPr>
        <w:t xml:space="preserve"> </w:t>
      </w:r>
      <w:r w:rsidR="00583265" w:rsidRPr="001F27CE">
        <w:rPr>
          <w:rFonts w:ascii="Arial" w:hAnsi="Arial" w:cs="Arial"/>
          <w:bCs/>
          <w:lang w:val="pt-BR" w:eastAsia="es-ES"/>
        </w:rPr>
        <w:t xml:space="preserve">Em outras palavras, o Gap Tributário reduziria do nível atual de </w:t>
      </w:r>
      <w:r w:rsidR="006C48A4" w:rsidRPr="001F27CE">
        <w:rPr>
          <w:rFonts w:ascii="Arial" w:hAnsi="Arial" w:cs="Arial"/>
          <w:bCs/>
          <w:lang w:val="pt-BR" w:eastAsia="es-ES"/>
        </w:rPr>
        <w:t>27,8</w:t>
      </w:r>
      <w:r w:rsidR="00583265" w:rsidRPr="001F27CE">
        <w:rPr>
          <w:rFonts w:ascii="Arial" w:hAnsi="Arial" w:cs="Arial"/>
          <w:bCs/>
          <w:lang w:val="pt-BR" w:eastAsia="es-ES"/>
        </w:rPr>
        <w:t xml:space="preserve">% para </w:t>
      </w:r>
      <w:r w:rsidR="006C48A4" w:rsidRPr="001F27CE">
        <w:rPr>
          <w:rFonts w:ascii="Arial" w:hAnsi="Arial" w:cs="Arial"/>
          <w:bCs/>
          <w:lang w:val="pt-BR" w:eastAsia="es-ES"/>
        </w:rPr>
        <w:t>27,2</w:t>
      </w:r>
      <w:r w:rsidR="00583265" w:rsidRPr="001F27CE">
        <w:rPr>
          <w:rFonts w:ascii="Arial" w:hAnsi="Arial" w:cs="Arial"/>
          <w:bCs/>
          <w:lang w:val="pt-BR" w:eastAsia="es-ES"/>
        </w:rPr>
        <w:t xml:space="preserve">% ao fim do programa. </w:t>
      </w:r>
      <w:r w:rsidRPr="001F27CE">
        <w:rPr>
          <w:rFonts w:ascii="Arial" w:hAnsi="Arial" w:cs="Arial"/>
          <w:bCs/>
          <w:lang w:val="pt-BR" w:eastAsia="es-ES"/>
        </w:rPr>
        <w:t>N</w:t>
      </w:r>
      <w:r w:rsidR="00583265" w:rsidRPr="001F27CE">
        <w:rPr>
          <w:rFonts w:ascii="Arial" w:hAnsi="Arial" w:cs="Arial"/>
          <w:bCs/>
          <w:lang w:val="pt-BR" w:eastAsia="es-ES"/>
        </w:rPr>
        <w:t xml:space="preserve">o cenário </w:t>
      </w:r>
      <w:proofErr w:type="gramStart"/>
      <w:r w:rsidR="00583265" w:rsidRPr="001F27CE">
        <w:rPr>
          <w:rFonts w:ascii="Arial" w:hAnsi="Arial" w:cs="Arial"/>
          <w:bCs/>
          <w:lang w:val="pt-BR" w:eastAsia="es-ES"/>
        </w:rPr>
        <w:t>3</w:t>
      </w:r>
      <w:proofErr w:type="gramEnd"/>
      <w:r w:rsidR="00583265" w:rsidRPr="001F27CE">
        <w:rPr>
          <w:rFonts w:ascii="Arial" w:hAnsi="Arial" w:cs="Arial"/>
          <w:bCs/>
          <w:lang w:val="pt-BR" w:eastAsia="es-ES"/>
        </w:rPr>
        <w:t>, assume-se uma</w:t>
      </w:r>
      <w:r w:rsidR="00610C60" w:rsidRPr="001F27CE">
        <w:rPr>
          <w:rFonts w:ascii="Arial" w:hAnsi="Arial" w:cs="Arial"/>
          <w:bCs/>
          <w:lang w:val="pt-BR" w:eastAsia="es-ES"/>
        </w:rPr>
        <w:t xml:space="preserve"> </w:t>
      </w:r>
      <w:r w:rsidR="00B53B52" w:rsidRPr="001F27CE">
        <w:rPr>
          <w:rFonts w:ascii="Arial" w:hAnsi="Arial" w:cs="Arial"/>
          <w:bCs/>
          <w:lang w:val="pt-BR" w:eastAsia="es-ES"/>
        </w:rPr>
        <w:t xml:space="preserve">redução </w:t>
      </w:r>
      <w:r w:rsidR="00612D3A" w:rsidRPr="001F27CE">
        <w:rPr>
          <w:rFonts w:ascii="Arial" w:hAnsi="Arial" w:cs="Arial"/>
          <w:bCs/>
          <w:lang w:val="pt-BR" w:eastAsia="es-ES"/>
        </w:rPr>
        <w:t>dos benefícios de arrecadação fiscal pela metade,</w:t>
      </w:r>
      <w:r w:rsidR="00E040C1" w:rsidRPr="001F27CE">
        <w:rPr>
          <w:rFonts w:ascii="Arial" w:hAnsi="Arial" w:cs="Arial"/>
          <w:bCs/>
          <w:lang w:val="pt-BR" w:eastAsia="es-ES"/>
        </w:rPr>
        <w:t xml:space="preserve"> como mostra</w:t>
      </w:r>
      <w:r w:rsidR="00CC1577" w:rsidRPr="001F27CE">
        <w:rPr>
          <w:rFonts w:ascii="Arial" w:hAnsi="Arial" w:cs="Arial"/>
          <w:bCs/>
          <w:lang w:val="pt-BR" w:eastAsia="es-ES"/>
        </w:rPr>
        <w:t xml:space="preserve"> a </w:t>
      </w:r>
      <w:r w:rsidR="00CC1577" w:rsidRPr="00F07B3B">
        <w:rPr>
          <w:rFonts w:ascii="Arial" w:hAnsi="Arial" w:cs="Arial"/>
          <w:bCs/>
          <w:color w:val="FF0000"/>
          <w:lang w:val="pt-BR" w:eastAsia="es-ES"/>
        </w:rPr>
        <w:t xml:space="preserve">Tabela </w:t>
      </w:r>
      <w:r w:rsidR="00F07B3B" w:rsidRPr="00F07B3B">
        <w:rPr>
          <w:rFonts w:ascii="Arial" w:hAnsi="Arial" w:cs="Arial"/>
          <w:bCs/>
          <w:color w:val="FF0000"/>
          <w:lang w:val="pt-BR" w:eastAsia="es-ES"/>
        </w:rPr>
        <w:t>15</w:t>
      </w:r>
      <w:r w:rsidR="00E040C1" w:rsidRPr="001F27CE">
        <w:rPr>
          <w:rFonts w:ascii="Arial" w:hAnsi="Arial" w:cs="Arial"/>
          <w:bCs/>
          <w:lang w:val="pt-BR" w:eastAsia="es-ES"/>
        </w:rPr>
        <w:t xml:space="preserve">. Neste cenário, ao final do programa, a redução anual do Gap Tributário </w:t>
      </w:r>
      <w:r w:rsidR="000952B0" w:rsidRPr="001F27CE">
        <w:rPr>
          <w:rFonts w:ascii="Arial" w:hAnsi="Arial" w:cs="Arial"/>
          <w:bCs/>
          <w:lang w:val="pt-BR" w:eastAsia="es-ES"/>
        </w:rPr>
        <w:t>é de apenas 0,3%</w:t>
      </w:r>
      <w:r w:rsidR="00E040C1" w:rsidRPr="001F27CE">
        <w:rPr>
          <w:rFonts w:ascii="Arial" w:hAnsi="Arial" w:cs="Arial"/>
          <w:bCs/>
          <w:lang w:val="pt-BR" w:eastAsia="es-ES"/>
        </w:rPr>
        <w:t>.</w:t>
      </w:r>
      <w:r w:rsidR="0082059D" w:rsidRPr="001F27CE">
        <w:rPr>
          <w:rFonts w:ascii="Arial" w:hAnsi="Arial" w:cs="Arial"/>
          <w:bCs/>
          <w:lang w:val="pt-BR" w:eastAsia="es-ES"/>
        </w:rPr>
        <w:t xml:space="preserve"> </w:t>
      </w:r>
      <w:r w:rsidR="00E040C1" w:rsidRPr="001F27CE">
        <w:rPr>
          <w:rFonts w:ascii="Arial" w:hAnsi="Arial" w:cs="Arial"/>
          <w:bCs/>
          <w:lang w:val="pt-BR" w:eastAsia="es-ES"/>
        </w:rPr>
        <w:t>Com todas as ações que serão implantadas na área tributária, esta é uma hipótese extremamente conservadora.</w:t>
      </w:r>
    </w:p>
    <w:p w14:paraId="00AC5134" w14:textId="77777777" w:rsidR="00D312C0" w:rsidRPr="001F27CE" w:rsidRDefault="00D312C0" w:rsidP="00D312C0">
      <w:pPr>
        <w:pStyle w:val="PargrafodaLista"/>
        <w:keepNext/>
        <w:suppressAutoHyphens/>
        <w:ind w:left="283"/>
        <w:jc w:val="both"/>
        <w:outlineLvl w:val="3"/>
        <w:rPr>
          <w:rFonts w:ascii="Arial" w:hAnsi="Arial" w:cs="Arial"/>
          <w:bCs/>
          <w:lang w:val="pt-BR" w:eastAsia="es-ES"/>
        </w:rPr>
      </w:pPr>
    </w:p>
    <w:tbl>
      <w:tblPr>
        <w:tblW w:w="8748" w:type="dxa"/>
        <w:tblInd w:w="108" w:type="dxa"/>
        <w:tblLook w:val="04A0" w:firstRow="1" w:lastRow="0" w:firstColumn="1" w:lastColumn="0" w:noHBand="0" w:noVBand="1"/>
      </w:tblPr>
      <w:tblGrid>
        <w:gridCol w:w="1449"/>
        <w:gridCol w:w="732"/>
        <w:gridCol w:w="730"/>
        <w:gridCol w:w="737"/>
        <w:gridCol w:w="747"/>
        <w:gridCol w:w="1417"/>
        <w:gridCol w:w="1551"/>
        <w:gridCol w:w="1385"/>
      </w:tblGrid>
      <w:tr w:rsidR="00D312C0" w:rsidRPr="00D312C0" w14:paraId="1BBA5814" w14:textId="77777777" w:rsidTr="00D877FD">
        <w:trPr>
          <w:trHeight w:val="300"/>
        </w:trPr>
        <w:tc>
          <w:tcPr>
            <w:tcW w:w="8748" w:type="dxa"/>
            <w:gridSpan w:val="8"/>
            <w:tcBorders>
              <w:top w:val="nil"/>
              <w:left w:val="nil"/>
              <w:bottom w:val="nil"/>
              <w:right w:val="nil"/>
            </w:tcBorders>
            <w:shd w:val="clear" w:color="auto" w:fill="auto"/>
            <w:noWrap/>
            <w:vAlign w:val="center"/>
            <w:hideMark/>
          </w:tcPr>
          <w:p w14:paraId="53A5D3C7" w14:textId="77777777" w:rsidR="00D312C0" w:rsidRPr="00D312C0" w:rsidRDefault="00D312C0" w:rsidP="00D312C0">
            <w:pPr>
              <w:rPr>
                <w:rFonts w:ascii="Calibri" w:hAnsi="Calibri" w:cs="Calibri"/>
                <w:b/>
                <w:bCs/>
                <w:color w:val="000000"/>
                <w:sz w:val="20"/>
                <w:szCs w:val="20"/>
                <w:lang w:val="pt-BR"/>
              </w:rPr>
            </w:pPr>
            <w:r w:rsidRPr="00D312C0">
              <w:rPr>
                <w:rFonts w:ascii="Calibri" w:hAnsi="Calibri" w:cs="Calibri"/>
                <w:b/>
                <w:bCs/>
                <w:color w:val="FF0000"/>
                <w:sz w:val="20"/>
                <w:szCs w:val="20"/>
                <w:lang w:val="pt-BR"/>
              </w:rPr>
              <w:t>Tabela 15:</w:t>
            </w:r>
            <w:r w:rsidRPr="00D312C0">
              <w:rPr>
                <w:rFonts w:ascii="Calibri" w:hAnsi="Calibri" w:cs="Calibri"/>
                <w:b/>
                <w:bCs/>
                <w:color w:val="000000"/>
                <w:sz w:val="20"/>
                <w:szCs w:val="20"/>
                <w:lang w:val="pt-BR"/>
              </w:rPr>
              <w:t xml:space="preserve"> Redução do Gap Tributário em % e em R$ 1000</w:t>
            </w:r>
          </w:p>
        </w:tc>
      </w:tr>
      <w:tr w:rsidR="00D877FD" w:rsidRPr="00D312C0" w14:paraId="1615D3BB" w14:textId="77777777" w:rsidTr="00D877FD">
        <w:trPr>
          <w:trHeight w:val="300"/>
        </w:trPr>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1C87D" w14:textId="77777777" w:rsidR="00D312C0" w:rsidRPr="00D312C0" w:rsidRDefault="00D312C0" w:rsidP="00D312C0">
            <w:pPr>
              <w:rPr>
                <w:rFonts w:ascii="Calibri" w:hAnsi="Calibri" w:cs="Calibri"/>
                <w:color w:val="000000"/>
                <w:sz w:val="16"/>
                <w:szCs w:val="16"/>
                <w:lang w:val="pt-BR"/>
              </w:rPr>
            </w:pPr>
            <w:r w:rsidRPr="00D312C0">
              <w:rPr>
                <w:rFonts w:ascii="Calibri" w:hAnsi="Calibri" w:cs="Calibri"/>
                <w:color w:val="000000"/>
                <w:sz w:val="16"/>
                <w:szCs w:val="16"/>
                <w:lang w:val="pt-BR"/>
              </w:rPr>
              <w:t> </w:t>
            </w:r>
          </w:p>
        </w:tc>
        <w:tc>
          <w:tcPr>
            <w:tcW w:w="732" w:type="dxa"/>
            <w:tcBorders>
              <w:top w:val="single" w:sz="4" w:space="0" w:color="auto"/>
              <w:left w:val="nil"/>
              <w:bottom w:val="single" w:sz="4" w:space="0" w:color="auto"/>
              <w:right w:val="single" w:sz="4" w:space="0" w:color="auto"/>
            </w:tcBorders>
            <w:shd w:val="clear" w:color="auto" w:fill="auto"/>
            <w:noWrap/>
            <w:vAlign w:val="bottom"/>
            <w:hideMark/>
          </w:tcPr>
          <w:p w14:paraId="4905395A"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ano</w:t>
            </w:r>
            <w:proofErr w:type="spellEnd"/>
            <w:r w:rsidRPr="00D312C0">
              <w:rPr>
                <w:rFonts w:ascii="Calibri" w:hAnsi="Calibri" w:cs="Calibri"/>
                <w:color w:val="000000"/>
                <w:sz w:val="16"/>
                <w:szCs w:val="16"/>
              </w:rPr>
              <w:t xml:space="preserve"> 2</w:t>
            </w:r>
          </w:p>
        </w:tc>
        <w:tc>
          <w:tcPr>
            <w:tcW w:w="730" w:type="dxa"/>
            <w:tcBorders>
              <w:top w:val="single" w:sz="4" w:space="0" w:color="auto"/>
              <w:left w:val="nil"/>
              <w:bottom w:val="single" w:sz="4" w:space="0" w:color="auto"/>
              <w:right w:val="single" w:sz="4" w:space="0" w:color="auto"/>
            </w:tcBorders>
            <w:shd w:val="clear" w:color="auto" w:fill="auto"/>
            <w:noWrap/>
            <w:vAlign w:val="bottom"/>
            <w:hideMark/>
          </w:tcPr>
          <w:p w14:paraId="687618A5"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ano</w:t>
            </w:r>
            <w:proofErr w:type="spellEnd"/>
            <w:r w:rsidRPr="00D312C0">
              <w:rPr>
                <w:rFonts w:ascii="Calibri" w:hAnsi="Calibri" w:cs="Calibri"/>
                <w:color w:val="000000"/>
                <w:sz w:val="16"/>
                <w:szCs w:val="16"/>
              </w:rPr>
              <w:t xml:space="preserve"> 3</w:t>
            </w:r>
          </w:p>
        </w:tc>
        <w:tc>
          <w:tcPr>
            <w:tcW w:w="737" w:type="dxa"/>
            <w:tcBorders>
              <w:top w:val="single" w:sz="4" w:space="0" w:color="auto"/>
              <w:left w:val="nil"/>
              <w:bottom w:val="single" w:sz="4" w:space="0" w:color="auto"/>
              <w:right w:val="single" w:sz="4" w:space="0" w:color="auto"/>
            </w:tcBorders>
            <w:shd w:val="clear" w:color="auto" w:fill="auto"/>
            <w:noWrap/>
            <w:vAlign w:val="bottom"/>
            <w:hideMark/>
          </w:tcPr>
          <w:p w14:paraId="159C61D0"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ano</w:t>
            </w:r>
            <w:proofErr w:type="spellEnd"/>
            <w:r w:rsidRPr="00D312C0">
              <w:rPr>
                <w:rFonts w:ascii="Calibri" w:hAnsi="Calibri" w:cs="Calibri"/>
                <w:color w:val="000000"/>
                <w:sz w:val="16"/>
                <w:szCs w:val="16"/>
              </w:rPr>
              <w:t xml:space="preserve"> 4</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14:paraId="2B61234F" w14:textId="7AD9C45F" w:rsidR="00D312C0" w:rsidRPr="00D312C0" w:rsidRDefault="00D312C0" w:rsidP="00827DC2">
            <w:pPr>
              <w:jc w:val="center"/>
              <w:rPr>
                <w:rFonts w:ascii="Calibri" w:hAnsi="Calibri" w:cs="Calibri"/>
                <w:color w:val="000000"/>
                <w:sz w:val="16"/>
                <w:szCs w:val="16"/>
              </w:rPr>
            </w:pPr>
            <w:proofErr w:type="spellStart"/>
            <w:r w:rsidRPr="00D312C0">
              <w:rPr>
                <w:rFonts w:ascii="Calibri" w:hAnsi="Calibri" w:cs="Calibri"/>
                <w:color w:val="000000"/>
                <w:sz w:val="16"/>
                <w:szCs w:val="16"/>
              </w:rPr>
              <w:t>Ano</w:t>
            </w:r>
            <w:proofErr w:type="spellEnd"/>
            <w:r w:rsidRPr="00D312C0">
              <w:rPr>
                <w:rFonts w:ascii="Calibri" w:hAnsi="Calibri" w:cs="Calibri"/>
                <w:color w:val="000000"/>
                <w:sz w:val="16"/>
                <w:szCs w:val="16"/>
              </w:rPr>
              <w:t xml:space="preserve"> 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89450C3" w14:textId="77777777" w:rsidR="00D312C0" w:rsidRPr="00D312C0" w:rsidRDefault="00D312C0" w:rsidP="00827DC2">
            <w:pPr>
              <w:jc w:val="center"/>
              <w:rPr>
                <w:rFonts w:ascii="Calibri" w:hAnsi="Calibri" w:cs="Calibri"/>
                <w:color w:val="000000"/>
                <w:sz w:val="16"/>
                <w:szCs w:val="16"/>
              </w:rPr>
            </w:pPr>
            <w:proofErr w:type="spellStart"/>
            <w:r w:rsidRPr="00D312C0">
              <w:rPr>
                <w:rFonts w:ascii="Calibri" w:hAnsi="Calibri" w:cs="Calibri"/>
                <w:color w:val="000000"/>
                <w:sz w:val="16"/>
                <w:szCs w:val="16"/>
              </w:rPr>
              <w:t>Ano</w:t>
            </w:r>
            <w:proofErr w:type="spellEnd"/>
            <w:r w:rsidRPr="00D312C0">
              <w:rPr>
                <w:rFonts w:ascii="Calibri" w:hAnsi="Calibri" w:cs="Calibri"/>
                <w:color w:val="000000"/>
                <w:sz w:val="16"/>
                <w:szCs w:val="16"/>
              </w:rPr>
              <w:t xml:space="preserve"> 6 </w:t>
            </w:r>
            <w:proofErr w:type="spellStart"/>
            <w:r w:rsidRPr="00D312C0">
              <w:rPr>
                <w:rFonts w:ascii="Calibri" w:hAnsi="Calibri" w:cs="Calibri"/>
                <w:color w:val="000000"/>
                <w:sz w:val="16"/>
                <w:szCs w:val="16"/>
              </w:rPr>
              <w:t>em</w:t>
            </w:r>
            <w:proofErr w:type="spellEnd"/>
            <w:r w:rsidRPr="00D312C0">
              <w:rPr>
                <w:rFonts w:ascii="Calibri" w:hAnsi="Calibri" w:cs="Calibri"/>
                <w:color w:val="000000"/>
                <w:sz w:val="16"/>
                <w:szCs w:val="16"/>
              </w:rPr>
              <w:t xml:space="preserve"> </w:t>
            </w:r>
            <w:proofErr w:type="spellStart"/>
            <w:r w:rsidRPr="00D312C0">
              <w:rPr>
                <w:rFonts w:ascii="Calibri" w:hAnsi="Calibri" w:cs="Calibri"/>
                <w:color w:val="000000"/>
                <w:sz w:val="16"/>
                <w:szCs w:val="16"/>
              </w:rPr>
              <w:t>diante</w:t>
            </w:r>
            <w:proofErr w:type="spellEnd"/>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14:paraId="7CEB121E" w14:textId="77777777" w:rsidR="00D312C0" w:rsidRPr="00D312C0" w:rsidRDefault="00D312C0" w:rsidP="00827DC2">
            <w:pPr>
              <w:jc w:val="center"/>
              <w:rPr>
                <w:rFonts w:ascii="Calibri" w:hAnsi="Calibri" w:cs="Calibri"/>
                <w:color w:val="000000"/>
                <w:sz w:val="16"/>
                <w:szCs w:val="16"/>
              </w:rPr>
            </w:pPr>
            <w:proofErr w:type="spellStart"/>
            <w:r w:rsidRPr="00D312C0">
              <w:rPr>
                <w:rFonts w:ascii="Calibri" w:hAnsi="Calibri" w:cs="Calibri"/>
                <w:color w:val="000000"/>
                <w:sz w:val="16"/>
                <w:szCs w:val="16"/>
              </w:rPr>
              <w:t>Inicio</w:t>
            </w:r>
            <w:proofErr w:type="spellEnd"/>
            <w:r w:rsidRPr="00D312C0">
              <w:rPr>
                <w:rFonts w:ascii="Calibri" w:hAnsi="Calibri" w:cs="Calibri"/>
                <w:color w:val="000000"/>
                <w:sz w:val="16"/>
                <w:szCs w:val="16"/>
              </w:rPr>
              <w:t xml:space="preserve"> do </w:t>
            </w:r>
            <w:proofErr w:type="spellStart"/>
            <w:r w:rsidRPr="00D312C0">
              <w:rPr>
                <w:rFonts w:ascii="Calibri" w:hAnsi="Calibri" w:cs="Calibri"/>
                <w:color w:val="000000"/>
                <w:sz w:val="16"/>
                <w:szCs w:val="16"/>
              </w:rPr>
              <w:t>Programa</w:t>
            </w:r>
            <w:proofErr w:type="spellEnd"/>
          </w:p>
        </w:tc>
        <w:tc>
          <w:tcPr>
            <w:tcW w:w="1385" w:type="dxa"/>
            <w:tcBorders>
              <w:top w:val="single" w:sz="4" w:space="0" w:color="auto"/>
              <w:left w:val="nil"/>
              <w:bottom w:val="single" w:sz="4" w:space="0" w:color="auto"/>
              <w:right w:val="single" w:sz="4" w:space="0" w:color="auto"/>
            </w:tcBorders>
            <w:shd w:val="clear" w:color="auto" w:fill="auto"/>
            <w:noWrap/>
            <w:vAlign w:val="bottom"/>
            <w:hideMark/>
          </w:tcPr>
          <w:p w14:paraId="6122FB76" w14:textId="77777777" w:rsidR="00D312C0" w:rsidRPr="00D312C0" w:rsidRDefault="00D312C0" w:rsidP="00827DC2">
            <w:pPr>
              <w:jc w:val="center"/>
              <w:rPr>
                <w:rFonts w:ascii="Calibri" w:hAnsi="Calibri" w:cs="Calibri"/>
                <w:color w:val="000000"/>
                <w:sz w:val="16"/>
                <w:szCs w:val="16"/>
              </w:rPr>
            </w:pPr>
            <w:proofErr w:type="spellStart"/>
            <w:r w:rsidRPr="00D312C0">
              <w:rPr>
                <w:rFonts w:ascii="Calibri" w:hAnsi="Calibri" w:cs="Calibri"/>
                <w:color w:val="000000"/>
                <w:sz w:val="16"/>
                <w:szCs w:val="16"/>
              </w:rPr>
              <w:t>Fim</w:t>
            </w:r>
            <w:proofErr w:type="spellEnd"/>
            <w:r w:rsidRPr="00D312C0">
              <w:rPr>
                <w:rFonts w:ascii="Calibri" w:hAnsi="Calibri" w:cs="Calibri"/>
                <w:color w:val="000000"/>
                <w:sz w:val="16"/>
                <w:szCs w:val="16"/>
              </w:rPr>
              <w:t xml:space="preserve"> do </w:t>
            </w:r>
            <w:proofErr w:type="spellStart"/>
            <w:r w:rsidRPr="00D312C0">
              <w:rPr>
                <w:rFonts w:ascii="Calibri" w:hAnsi="Calibri" w:cs="Calibri"/>
                <w:color w:val="000000"/>
                <w:sz w:val="16"/>
                <w:szCs w:val="16"/>
              </w:rPr>
              <w:t>Programa</w:t>
            </w:r>
            <w:proofErr w:type="spellEnd"/>
          </w:p>
        </w:tc>
      </w:tr>
      <w:tr w:rsidR="00D877FD" w:rsidRPr="00D312C0" w14:paraId="3F13F119" w14:textId="77777777" w:rsidTr="00D877FD">
        <w:trPr>
          <w:trHeight w:val="255"/>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5E687C0E"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Cenário</w:t>
            </w:r>
            <w:proofErr w:type="spellEnd"/>
            <w:r w:rsidRPr="00D312C0">
              <w:rPr>
                <w:rFonts w:ascii="Calibri" w:hAnsi="Calibri" w:cs="Calibri"/>
                <w:color w:val="000000"/>
                <w:sz w:val="16"/>
                <w:szCs w:val="16"/>
              </w:rPr>
              <w:t xml:space="preserve"> </w:t>
            </w:r>
            <w:proofErr w:type="spellStart"/>
            <w:r w:rsidRPr="00D312C0">
              <w:rPr>
                <w:rFonts w:ascii="Calibri" w:hAnsi="Calibri" w:cs="Calibri"/>
                <w:color w:val="000000"/>
                <w:sz w:val="16"/>
                <w:szCs w:val="16"/>
              </w:rPr>
              <w:t>Básico</w:t>
            </w:r>
            <w:proofErr w:type="spellEnd"/>
          </w:p>
        </w:tc>
        <w:tc>
          <w:tcPr>
            <w:tcW w:w="732" w:type="dxa"/>
            <w:tcBorders>
              <w:top w:val="nil"/>
              <w:left w:val="nil"/>
              <w:bottom w:val="single" w:sz="4" w:space="0" w:color="auto"/>
              <w:right w:val="single" w:sz="4" w:space="0" w:color="auto"/>
            </w:tcBorders>
            <w:shd w:val="clear" w:color="auto" w:fill="auto"/>
            <w:noWrap/>
            <w:vAlign w:val="bottom"/>
            <w:hideMark/>
          </w:tcPr>
          <w:p w14:paraId="696C1E18"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0,20%</w:t>
            </w:r>
          </w:p>
        </w:tc>
        <w:tc>
          <w:tcPr>
            <w:tcW w:w="730" w:type="dxa"/>
            <w:tcBorders>
              <w:top w:val="nil"/>
              <w:left w:val="nil"/>
              <w:bottom w:val="single" w:sz="4" w:space="0" w:color="auto"/>
              <w:right w:val="single" w:sz="4" w:space="0" w:color="auto"/>
            </w:tcBorders>
            <w:shd w:val="clear" w:color="auto" w:fill="auto"/>
            <w:noWrap/>
            <w:vAlign w:val="bottom"/>
            <w:hideMark/>
          </w:tcPr>
          <w:p w14:paraId="73CB65F8"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0,20%</w:t>
            </w:r>
          </w:p>
        </w:tc>
        <w:tc>
          <w:tcPr>
            <w:tcW w:w="737" w:type="dxa"/>
            <w:tcBorders>
              <w:top w:val="nil"/>
              <w:left w:val="nil"/>
              <w:bottom w:val="single" w:sz="4" w:space="0" w:color="auto"/>
              <w:right w:val="single" w:sz="4" w:space="0" w:color="auto"/>
            </w:tcBorders>
            <w:shd w:val="clear" w:color="auto" w:fill="auto"/>
            <w:noWrap/>
            <w:vAlign w:val="bottom"/>
            <w:hideMark/>
          </w:tcPr>
          <w:p w14:paraId="5D13C078"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0,30%</w:t>
            </w:r>
          </w:p>
        </w:tc>
        <w:tc>
          <w:tcPr>
            <w:tcW w:w="747" w:type="dxa"/>
            <w:tcBorders>
              <w:top w:val="nil"/>
              <w:left w:val="nil"/>
              <w:bottom w:val="single" w:sz="4" w:space="0" w:color="auto"/>
              <w:right w:val="single" w:sz="4" w:space="0" w:color="auto"/>
            </w:tcBorders>
            <w:shd w:val="clear" w:color="auto" w:fill="auto"/>
            <w:noWrap/>
            <w:vAlign w:val="bottom"/>
            <w:hideMark/>
          </w:tcPr>
          <w:p w14:paraId="59CBB2A7"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0,50%</w:t>
            </w:r>
          </w:p>
        </w:tc>
        <w:tc>
          <w:tcPr>
            <w:tcW w:w="1417" w:type="dxa"/>
            <w:tcBorders>
              <w:top w:val="nil"/>
              <w:left w:val="nil"/>
              <w:bottom w:val="single" w:sz="4" w:space="0" w:color="auto"/>
              <w:right w:val="single" w:sz="4" w:space="0" w:color="auto"/>
            </w:tcBorders>
            <w:shd w:val="clear" w:color="auto" w:fill="auto"/>
            <w:noWrap/>
            <w:vAlign w:val="bottom"/>
            <w:hideMark/>
          </w:tcPr>
          <w:p w14:paraId="7691A28E"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0,60%</w:t>
            </w:r>
          </w:p>
        </w:tc>
        <w:tc>
          <w:tcPr>
            <w:tcW w:w="1551" w:type="dxa"/>
            <w:tcBorders>
              <w:top w:val="nil"/>
              <w:left w:val="nil"/>
              <w:bottom w:val="single" w:sz="4" w:space="0" w:color="auto"/>
              <w:right w:val="single" w:sz="4" w:space="0" w:color="auto"/>
            </w:tcBorders>
            <w:shd w:val="clear" w:color="auto" w:fill="auto"/>
            <w:noWrap/>
            <w:vAlign w:val="bottom"/>
            <w:hideMark/>
          </w:tcPr>
          <w:p w14:paraId="4C162562"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27,80%</w:t>
            </w:r>
          </w:p>
        </w:tc>
        <w:tc>
          <w:tcPr>
            <w:tcW w:w="1385" w:type="dxa"/>
            <w:tcBorders>
              <w:top w:val="nil"/>
              <w:left w:val="nil"/>
              <w:bottom w:val="single" w:sz="4" w:space="0" w:color="auto"/>
              <w:right w:val="single" w:sz="4" w:space="0" w:color="auto"/>
            </w:tcBorders>
            <w:shd w:val="clear" w:color="auto" w:fill="auto"/>
            <w:noWrap/>
            <w:vAlign w:val="bottom"/>
            <w:hideMark/>
          </w:tcPr>
          <w:p w14:paraId="08A50DED"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27,20%</w:t>
            </w:r>
          </w:p>
        </w:tc>
      </w:tr>
      <w:tr w:rsidR="00D877FD" w:rsidRPr="00D312C0" w14:paraId="14ABEEB1" w14:textId="77777777" w:rsidTr="00D877FD">
        <w:trPr>
          <w:trHeight w:val="216"/>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7B15282A"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Em</w:t>
            </w:r>
            <w:proofErr w:type="spellEnd"/>
            <w:r w:rsidRPr="00D312C0">
              <w:rPr>
                <w:rFonts w:ascii="Calibri" w:hAnsi="Calibri" w:cs="Calibri"/>
                <w:color w:val="000000"/>
                <w:sz w:val="16"/>
                <w:szCs w:val="16"/>
              </w:rPr>
              <w:t xml:space="preserve"> (R$ 1000)</w:t>
            </w:r>
          </w:p>
        </w:tc>
        <w:tc>
          <w:tcPr>
            <w:tcW w:w="732" w:type="dxa"/>
            <w:tcBorders>
              <w:top w:val="nil"/>
              <w:left w:val="nil"/>
              <w:bottom w:val="single" w:sz="4" w:space="0" w:color="auto"/>
              <w:right w:val="single" w:sz="4" w:space="0" w:color="auto"/>
            </w:tcBorders>
            <w:shd w:val="clear" w:color="auto" w:fill="auto"/>
            <w:noWrap/>
            <w:vAlign w:val="bottom"/>
            <w:hideMark/>
          </w:tcPr>
          <w:p w14:paraId="75B2DC86" w14:textId="77777777" w:rsidR="00D312C0" w:rsidRPr="00D312C0" w:rsidRDefault="00D312C0" w:rsidP="00D312C0">
            <w:pPr>
              <w:rPr>
                <w:rFonts w:ascii="Calibri" w:hAnsi="Calibri" w:cs="Calibri"/>
                <w:color w:val="000000"/>
                <w:sz w:val="16"/>
                <w:szCs w:val="16"/>
              </w:rPr>
            </w:pPr>
            <w:r w:rsidRPr="00D312C0">
              <w:rPr>
                <w:rFonts w:ascii="Calibri" w:hAnsi="Calibri" w:cs="Calibri"/>
                <w:color w:val="000000"/>
                <w:sz w:val="16"/>
                <w:szCs w:val="16"/>
              </w:rPr>
              <w:t xml:space="preserve"> 27.108 </w:t>
            </w:r>
          </w:p>
        </w:tc>
        <w:tc>
          <w:tcPr>
            <w:tcW w:w="730" w:type="dxa"/>
            <w:tcBorders>
              <w:top w:val="nil"/>
              <w:left w:val="nil"/>
              <w:bottom w:val="single" w:sz="4" w:space="0" w:color="auto"/>
              <w:right w:val="single" w:sz="4" w:space="0" w:color="auto"/>
            </w:tcBorders>
            <w:shd w:val="clear" w:color="auto" w:fill="auto"/>
            <w:noWrap/>
            <w:vAlign w:val="bottom"/>
            <w:hideMark/>
          </w:tcPr>
          <w:p w14:paraId="69C2F7E3" w14:textId="5554731E" w:rsidR="00D312C0" w:rsidRPr="00D312C0" w:rsidRDefault="00D312C0" w:rsidP="00D312C0">
            <w:pPr>
              <w:rPr>
                <w:rFonts w:ascii="Calibri" w:hAnsi="Calibri" w:cs="Calibri"/>
                <w:color w:val="000000"/>
                <w:sz w:val="16"/>
                <w:szCs w:val="16"/>
              </w:rPr>
            </w:pPr>
            <w:r w:rsidRPr="00D312C0">
              <w:rPr>
                <w:rFonts w:ascii="Calibri" w:hAnsi="Calibri" w:cs="Calibri"/>
                <w:color w:val="000000"/>
                <w:sz w:val="16"/>
                <w:szCs w:val="16"/>
              </w:rPr>
              <w:t xml:space="preserve">27.108 </w:t>
            </w:r>
          </w:p>
        </w:tc>
        <w:tc>
          <w:tcPr>
            <w:tcW w:w="737" w:type="dxa"/>
            <w:tcBorders>
              <w:top w:val="nil"/>
              <w:left w:val="nil"/>
              <w:bottom w:val="single" w:sz="4" w:space="0" w:color="auto"/>
              <w:right w:val="single" w:sz="4" w:space="0" w:color="auto"/>
            </w:tcBorders>
            <w:shd w:val="clear" w:color="auto" w:fill="auto"/>
            <w:noWrap/>
            <w:vAlign w:val="bottom"/>
            <w:hideMark/>
          </w:tcPr>
          <w:p w14:paraId="77ACBF5D" w14:textId="77777777" w:rsidR="00D312C0" w:rsidRPr="00D312C0" w:rsidRDefault="00D312C0" w:rsidP="00D312C0">
            <w:pPr>
              <w:rPr>
                <w:rFonts w:ascii="Calibri" w:hAnsi="Calibri" w:cs="Calibri"/>
                <w:color w:val="000000"/>
                <w:sz w:val="16"/>
                <w:szCs w:val="16"/>
              </w:rPr>
            </w:pPr>
            <w:r w:rsidRPr="00D312C0">
              <w:rPr>
                <w:rFonts w:ascii="Calibri" w:hAnsi="Calibri" w:cs="Calibri"/>
                <w:color w:val="000000"/>
                <w:sz w:val="16"/>
                <w:szCs w:val="16"/>
              </w:rPr>
              <w:t xml:space="preserve"> 40.663 </w:t>
            </w:r>
          </w:p>
        </w:tc>
        <w:tc>
          <w:tcPr>
            <w:tcW w:w="747" w:type="dxa"/>
            <w:tcBorders>
              <w:top w:val="nil"/>
              <w:left w:val="nil"/>
              <w:bottom w:val="single" w:sz="4" w:space="0" w:color="auto"/>
              <w:right w:val="single" w:sz="4" w:space="0" w:color="auto"/>
            </w:tcBorders>
            <w:shd w:val="clear" w:color="auto" w:fill="auto"/>
            <w:noWrap/>
            <w:vAlign w:val="bottom"/>
            <w:hideMark/>
          </w:tcPr>
          <w:p w14:paraId="39365550" w14:textId="5AB89E5C" w:rsidR="00D312C0" w:rsidRPr="00D312C0" w:rsidRDefault="00D877FD" w:rsidP="00D312C0">
            <w:pPr>
              <w:rPr>
                <w:rFonts w:ascii="Calibri" w:hAnsi="Calibri" w:cs="Calibri"/>
                <w:color w:val="000000"/>
                <w:sz w:val="16"/>
                <w:szCs w:val="16"/>
              </w:rPr>
            </w:pPr>
            <w:r>
              <w:rPr>
                <w:rFonts w:ascii="Calibri" w:hAnsi="Calibri" w:cs="Calibri"/>
                <w:color w:val="000000"/>
                <w:sz w:val="16"/>
                <w:szCs w:val="16"/>
              </w:rPr>
              <w:t xml:space="preserve"> </w:t>
            </w:r>
            <w:r w:rsidR="00D312C0" w:rsidRPr="00D312C0">
              <w:rPr>
                <w:rFonts w:ascii="Calibri" w:hAnsi="Calibri" w:cs="Calibri"/>
                <w:color w:val="000000"/>
                <w:sz w:val="16"/>
                <w:szCs w:val="16"/>
              </w:rPr>
              <w:t xml:space="preserve">67.771 </w:t>
            </w:r>
          </w:p>
        </w:tc>
        <w:tc>
          <w:tcPr>
            <w:tcW w:w="1417" w:type="dxa"/>
            <w:tcBorders>
              <w:top w:val="nil"/>
              <w:left w:val="nil"/>
              <w:bottom w:val="single" w:sz="4" w:space="0" w:color="auto"/>
              <w:right w:val="single" w:sz="4" w:space="0" w:color="auto"/>
            </w:tcBorders>
            <w:shd w:val="clear" w:color="auto" w:fill="auto"/>
            <w:noWrap/>
            <w:vAlign w:val="bottom"/>
            <w:hideMark/>
          </w:tcPr>
          <w:p w14:paraId="7473A192" w14:textId="2A9B957F" w:rsidR="00D312C0" w:rsidRPr="00D312C0" w:rsidRDefault="00D312C0" w:rsidP="00D877FD">
            <w:pPr>
              <w:jc w:val="right"/>
              <w:rPr>
                <w:rFonts w:ascii="Calibri" w:hAnsi="Calibri" w:cs="Calibri"/>
                <w:color w:val="000000"/>
                <w:sz w:val="16"/>
                <w:szCs w:val="16"/>
              </w:rPr>
            </w:pPr>
            <w:r w:rsidRPr="00D312C0">
              <w:rPr>
                <w:rFonts w:ascii="Calibri" w:hAnsi="Calibri" w:cs="Calibri"/>
                <w:color w:val="000000"/>
                <w:sz w:val="16"/>
                <w:szCs w:val="16"/>
              </w:rPr>
              <w:t xml:space="preserve">          81.325 </w:t>
            </w:r>
          </w:p>
        </w:tc>
        <w:tc>
          <w:tcPr>
            <w:tcW w:w="1551" w:type="dxa"/>
            <w:tcBorders>
              <w:top w:val="nil"/>
              <w:left w:val="nil"/>
              <w:bottom w:val="single" w:sz="4" w:space="0" w:color="auto"/>
              <w:right w:val="single" w:sz="4" w:space="0" w:color="auto"/>
            </w:tcBorders>
            <w:shd w:val="clear" w:color="auto" w:fill="auto"/>
            <w:noWrap/>
            <w:vAlign w:val="bottom"/>
            <w:hideMark/>
          </w:tcPr>
          <w:p w14:paraId="130A5122" w14:textId="6DAF0CC3" w:rsidR="00D312C0" w:rsidRPr="00D312C0" w:rsidRDefault="00D312C0" w:rsidP="00827DC2">
            <w:pPr>
              <w:jc w:val="right"/>
              <w:rPr>
                <w:rFonts w:ascii="Calibri" w:hAnsi="Calibri" w:cs="Calibri"/>
                <w:color w:val="000000"/>
                <w:sz w:val="16"/>
                <w:szCs w:val="16"/>
              </w:rPr>
            </w:pPr>
            <w:r w:rsidRPr="00D312C0">
              <w:rPr>
                <w:rFonts w:ascii="Calibri" w:hAnsi="Calibri" w:cs="Calibri"/>
                <w:color w:val="000000"/>
                <w:sz w:val="16"/>
                <w:szCs w:val="16"/>
              </w:rPr>
              <w:t xml:space="preserve">                  3.765.390 </w:t>
            </w:r>
          </w:p>
        </w:tc>
        <w:tc>
          <w:tcPr>
            <w:tcW w:w="1385" w:type="dxa"/>
            <w:tcBorders>
              <w:top w:val="nil"/>
              <w:left w:val="nil"/>
              <w:bottom w:val="single" w:sz="4" w:space="0" w:color="auto"/>
              <w:right w:val="single" w:sz="4" w:space="0" w:color="auto"/>
            </w:tcBorders>
            <w:shd w:val="clear" w:color="auto" w:fill="auto"/>
            <w:noWrap/>
            <w:vAlign w:val="bottom"/>
            <w:hideMark/>
          </w:tcPr>
          <w:p w14:paraId="0DD738D5" w14:textId="0F4F6661" w:rsidR="00D312C0" w:rsidRPr="00D312C0" w:rsidRDefault="00D312C0" w:rsidP="00827DC2">
            <w:pPr>
              <w:jc w:val="right"/>
              <w:rPr>
                <w:rFonts w:ascii="Calibri" w:hAnsi="Calibri" w:cs="Calibri"/>
                <w:color w:val="000000"/>
                <w:sz w:val="16"/>
                <w:szCs w:val="16"/>
              </w:rPr>
            </w:pPr>
            <w:r w:rsidRPr="00D312C0">
              <w:rPr>
                <w:rFonts w:ascii="Calibri" w:hAnsi="Calibri" w:cs="Calibri"/>
                <w:color w:val="000000"/>
                <w:sz w:val="16"/>
                <w:szCs w:val="16"/>
              </w:rPr>
              <w:t xml:space="preserve">3.684.065 </w:t>
            </w:r>
          </w:p>
        </w:tc>
      </w:tr>
      <w:tr w:rsidR="00D877FD" w:rsidRPr="00D312C0" w14:paraId="1EBAD5CB" w14:textId="77777777" w:rsidTr="00D877FD">
        <w:trPr>
          <w:trHeight w:val="133"/>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22F0AF54"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Cenários</w:t>
            </w:r>
            <w:proofErr w:type="spellEnd"/>
            <w:r w:rsidRPr="00D312C0">
              <w:rPr>
                <w:rFonts w:ascii="Calibri" w:hAnsi="Calibri" w:cs="Calibri"/>
                <w:color w:val="000000"/>
                <w:sz w:val="16"/>
                <w:szCs w:val="16"/>
              </w:rPr>
              <w:t xml:space="preserve"> 3 e 4</w:t>
            </w:r>
          </w:p>
        </w:tc>
        <w:tc>
          <w:tcPr>
            <w:tcW w:w="732" w:type="dxa"/>
            <w:tcBorders>
              <w:top w:val="nil"/>
              <w:left w:val="nil"/>
              <w:bottom w:val="single" w:sz="4" w:space="0" w:color="auto"/>
              <w:right w:val="single" w:sz="4" w:space="0" w:color="auto"/>
            </w:tcBorders>
            <w:shd w:val="clear" w:color="auto" w:fill="auto"/>
            <w:noWrap/>
            <w:vAlign w:val="bottom"/>
            <w:hideMark/>
          </w:tcPr>
          <w:p w14:paraId="0682F7BF"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0,10%</w:t>
            </w:r>
          </w:p>
        </w:tc>
        <w:tc>
          <w:tcPr>
            <w:tcW w:w="730" w:type="dxa"/>
            <w:tcBorders>
              <w:top w:val="nil"/>
              <w:left w:val="nil"/>
              <w:bottom w:val="single" w:sz="4" w:space="0" w:color="auto"/>
              <w:right w:val="single" w:sz="4" w:space="0" w:color="auto"/>
            </w:tcBorders>
            <w:shd w:val="clear" w:color="auto" w:fill="auto"/>
            <w:noWrap/>
            <w:vAlign w:val="bottom"/>
            <w:hideMark/>
          </w:tcPr>
          <w:p w14:paraId="6966FFC6"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0,10%</w:t>
            </w:r>
          </w:p>
        </w:tc>
        <w:tc>
          <w:tcPr>
            <w:tcW w:w="737" w:type="dxa"/>
            <w:tcBorders>
              <w:top w:val="nil"/>
              <w:left w:val="nil"/>
              <w:bottom w:val="single" w:sz="4" w:space="0" w:color="auto"/>
              <w:right w:val="single" w:sz="4" w:space="0" w:color="auto"/>
            </w:tcBorders>
            <w:shd w:val="clear" w:color="auto" w:fill="auto"/>
            <w:noWrap/>
            <w:vAlign w:val="bottom"/>
            <w:hideMark/>
          </w:tcPr>
          <w:p w14:paraId="2F6F4146"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0,15%</w:t>
            </w:r>
          </w:p>
        </w:tc>
        <w:tc>
          <w:tcPr>
            <w:tcW w:w="747" w:type="dxa"/>
            <w:tcBorders>
              <w:top w:val="nil"/>
              <w:left w:val="nil"/>
              <w:bottom w:val="single" w:sz="4" w:space="0" w:color="auto"/>
              <w:right w:val="single" w:sz="4" w:space="0" w:color="auto"/>
            </w:tcBorders>
            <w:shd w:val="clear" w:color="auto" w:fill="auto"/>
            <w:noWrap/>
            <w:vAlign w:val="bottom"/>
            <w:hideMark/>
          </w:tcPr>
          <w:p w14:paraId="5A27D4F3"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0,25%</w:t>
            </w:r>
          </w:p>
        </w:tc>
        <w:tc>
          <w:tcPr>
            <w:tcW w:w="1417" w:type="dxa"/>
            <w:tcBorders>
              <w:top w:val="nil"/>
              <w:left w:val="nil"/>
              <w:bottom w:val="single" w:sz="4" w:space="0" w:color="auto"/>
              <w:right w:val="single" w:sz="4" w:space="0" w:color="auto"/>
            </w:tcBorders>
            <w:shd w:val="clear" w:color="auto" w:fill="auto"/>
            <w:noWrap/>
            <w:vAlign w:val="bottom"/>
            <w:hideMark/>
          </w:tcPr>
          <w:p w14:paraId="452142CC"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0,30%</w:t>
            </w:r>
          </w:p>
        </w:tc>
        <w:tc>
          <w:tcPr>
            <w:tcW w:w="1551" w:type="dxa"/>
            <w:tcBorders>
              <w:top w:val="nil"/>
              <w:left w:val="nil"/>
              <w:bottom w:val="single" w:sz="4" w:space="0" w:color="auto"/>
              <w:right w:val="single" w:sz="4" w:space="0" w:color="auto"/>
            </w:tcBorders>
            <w:shd w:val="clear" w:color="auto" w:fill="auto"/>
            <w:noWrap/>
            <w:vAlign w:val="bottom"/>
            <w:hideMark/>
          </w:tcPr>
          <w:p w14:paraId="280C61C1"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27,80%</w:t>
            </w:r>
          </w:p>
        </w:tc>
        <w:tc>
          <w:tcPr>
            <w:tcW w:w="1385" w:type="dxa"/>
            <w:tcBorders>
              <w:top w:val="nil"/>
              <w:left w:val="nil"/>
              <w:bottom w:val="single" w:sz="4" w:space="0" w:color="auto"/>
              <w:right w:val="single" w:sz="4" w:space="0" w:color="auto"/>
            </w:tcBorders>
            <w:shd w:val="clear" w:color="auto" w:fill="auto"/>
            <w:noWrap/>
            <w:vAlign w:val="bottom"/>
            <w:hideMark/>
          </w:tcPr>
          <w:p w14:paraId="7E0EF430"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27,50%</w:t>
            </w:r>
          </w:p>
        </w:tc>
      </w:tr>
      <w:tr w:rsidR="00D877FD" w:rsidRPr="00D312C0" w14:paraId="1EB6EB15" w14:textId="77777777" w:rsidTr="00D877FD">
        <w:trPr>
          <w:trHeight w:val="79"/>
        </w:trPr>
        <w:tc>
          <w:tcPr>
            <w:tcW w:w="1449" w:type="dxa"/>
            <w:tcBorders>
              <w:top w:val="nil"/>
              <w:left w:val="single" w:sz="4" w:space="0" w:color="auto"/>
              <w:bottom w:val="single" w:sz="4" w:space="0" w:color="auto"/>
              <w:right w:val="single" w:sz="4" w:space="0" w:color="auto"/>
            </w:tcBorders>
            <w:shd w:val="clear" w:color="auto" w:fill="auto"/>
            <w:noWrap/>
            <w:vAlign w:val="bottom"/>
            <w:hideMark/>
          </w:tcPr>
          <w:p w14:paraId="00A88612" w14:textId="77777777" w:rsidR="00D312C0" w:rsidRPr="00D312C0" w:rsidRDefault="00D312C0" w:rsidP="00D312C0">
            <w:pPr>
              <w:rPr>
                <w:rFonts w:ascii="Calibri" w:hAnsi="Calibri" w:cs="Calibri"/>
                <w:color w:val="000000"/>
                <w:sz w:val="16"/>
                <w:szCs w:val="16"/>
              </w:rPr>
            </w:pPr>
            <w:proofErr w:type="spellStart"/>
            <w:r w:rsidRPr="00D312C0">
              <w:rPr>
                <w:rFonts w:ascii="Calibri" w:hAnsi="Calibri" w:cs="Calibri"/>
                <w:color w:val="000000"/>
                <w:sz w:val="16"/>
                <w:szCs w:val="16"/>
              </w:rPr>
              <w:t>Em</w:t>
            </w:r>
            <w:proofErr w:type="spellEnd"/>
            <w:r w:rsidRPr="00D312C0">
              <w:rPr>
                <w:rFonts w:ascii="Calibri" w:hAnsi="Calibri" w:cs="Calibri"/>
                <w:color w:val="000000"/>
                <w:sz w:val="16"/>
                <w:szCs w:val="16"/>
              </w:rPr>
              <w:t xml:space="preserve"> (R$ 1000)</w:t>
            </w:r>
          </w:p>
        </w:tc>
        <w:tc>
          <w:tcPr>
            <w:tcW w:w="732" w:type="dxa"/>
            <w:tcBorders>
              <w:top w:val="nil"/>
              <w:left w:val="nil"/>
              <w:bottom w:val="single" w:sz="4" w:space="0" w:color="auto"/>
              <w:right w:val="single" w:sz="4" w:space="0" w:color="auto"/>
            </w:tcBorders>
            <w:shd w:val="clear" w:color="auto" w:fill="auto"/>
            <w:noWrap/>
            <w:vAlign w:val="bottom"/>
            <w:hideMark/>
          </w:tcPr>
          <w:p w14:paraId="5C2C124A"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13.554</w:t>
            </w:r>
          </w:p>
        </w:tc>
        <w:tc>
          <w:tcPr>
            <w:tcW w:w="730" w:type="dxa"/>
            <w:tcBorders>
              <w:top w:val="nil"/>
              <w:left w:val="nil"/>
              <w:bottom w:val="single" w:sz="4" w:space="0" w:color="auto"/>
              <w:right w:val="single" w:sz="4" w:space="0" w:color="auto"/>
            </w:tcBorders>
            <w:shd w:val="clear" w:color="auto" w:fill="auto"/>
            <w:noWrap/>
            <w:vAlign w:val="bottom"/>
            <w:hideMark/>
          </w:tcPr>
          <w:p w14:paraId="21C6921A"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13.554</w:t>
            </w:r>
          </w:p>
        </w:tc>
        <w:tc>
          <w:tcPr>
            <w:tcW w:w="737" w:type="dxa"/>
            <w:tcBorders>
              <w:top w:val="nil"/>
              <w:left w:val="nil"/>
              <w:bottom w:val="single" w:sz="4" w:space="0" w:color="auto"/>
              <w:right w:val="single" w:sz="4" w:space="0" w:color="auto"/>
            </w:tcBorders>
            <w:shd w:val="clear" w:color="auto" w:fill="auto"/>
            <w:noWrap/>
            <w:vAlign w:val="bottom"/>
            <w:hideMark/>
          </w:tcPr>
          <w:p w14:paraId="59DFBFFE"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20.331</w:t>
            </w:r>
          </w:p>
        </w:tc>
        <w:tc>
          <w:tcPr>
            <w:tcW w:w="747" w:type="dxa"/>
            <w:tcBorders>
              <w:top w:val="nil"/>
              <w:left w:val="nil"/>
              <w:bottom w:val="single" w:sz="4" w:space="0" w:color="auto"/>
              <w:right w:val="single" w:sz="4" w:space="0" w:color="auto"/>
            </w:tcBorders>
            <w:shd w:val="clear" w:color="auto" w:fill="auto"/>
            <w:noWrap/>
            <w:vAlign w:val="bottom"/>
            <w:hideMark/>
          </w:tcPr>
          <w:p w14:paraId="77D5573A"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33.886</w:t>
            </w:r>
          </w:p>
        </w:tc>
        <w:tc>
          <w:tcPr>
            <w:tcW w:w="1417" w:type="dxa"/>
            <w:tcBorders>
              <w:top w:val="nil"/>
              <w:left w:val="nil"/>
              <w:bottom w:val="single" w:sz="4" w:space="0" w:color="auto"/>
              <w:right w:val="single" w:sz="4" w:space="0" w:color="auto"/>
            </w:tcBorders>
            <w:shd w:val="clear" w:color="auto" w:fill="auto"/>
            <w:noWrap/>
            <w:vAlign w:val="bottom"/>
            <w:hideMark/>
          </w:tcPr>
          <w:p w14:paraId="4E8031BF"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40.663</w:t>
            </w:r>
          </w:p>
        </w:tc>
        <w:tc>
          <w:tcPr>
            <w:tcW w:w="1551" w:type="dxa"/>
            <w:tcBorders>
              <w:top w:val="nil"/>
              <w:left w:val="nil"/>
              <w:bottom w:val="single" w:sz="4" w:space="0" w:color="auto"/>
              <w:right w:val="single" w:sz="4" w:space="0" w:color="auto"/>
            </w:tcBorders>
            <w:shd w:val="clear" w:color="auto" w:fill="auto"/>
            <w:noWrap/>
            <w:vAlign w:val="bottom"/>
            <w:hideMark/>
          </w:tcPr>
          <w:p w14:paraId="270158F6"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3.765.390</w:t>
            </w:r>
          </w:p>
        </w:tc>
        <w:tc>
          <w:tcPr>
            <w:tcW w:w="1385" w:type="dxa"/>
            <w:tcBorders>
              <w:top w:val="nil"/>
              <w:left w:val="nil"/>
              <w:bottom w:val="single" w:sz="4" w:space="0" w:color="auto"/>
              <w:right w:val="single" w:sz="4" w:space="0" w:color="auto"/>
            </w:tcBorders>
            <w:shd w:val="clear" w:color="auto" w:fill="auto"/>
            <w:noWrap/>
            <w:vAlign w:val="bottom"/>
            <w:hideMark/>
          </w:tcPr>
          <w:p w14:paraId="79BE9068" w14:textId="77777777" w:rsidR="00D312C0" w:rsidRPr="00D312C0" w:rsidRDefault="00D312C0" w:rsidP="00D312C0">
            <w:pPr>
              <w:jc w:val="right"/>
              <w:rPr>
                <w:rFonts w:ascii="Calibri" w:hAnsi="Calibri" w:cs="Calibri"/>
                <w:color w:val="000000"/>
                <w:sz w:val="16"/>
                <w:szCs w:val="16"/>
              </w:rPr>
            </w:pPr>
            <w:r w:rsidRPr="00D312C0">
              <w:rPr>
                <w:rFonts w:ascii="Calibri" w:hAnsi="Calibri" w:cs="Calibri"/>
                <w:color w:val="000000"/>
                <w:sz w:val="16"/>
                <w:szCs w:val="16"/>
              </w:rPr>
              <w:t>3.724.727</w:t>
            </w:r>
          </w:p>
        </w:tc>
      </w:tr>
      <w:tr w:rsidR="00D312C0" w:rsidRPr="00D312C0" w14:paraId="48F52C2B" w14:textId="77777777" w:rsidTr="00D877FD">
        <w:trPr>
          <w:trHeight w:val="300"/>
        </w:trPr>
        <w:tc>
          <w:tcPr>
            <w:tcW w:w="8748" w:type="dxa"/>
            <w:gridSpan w:val="8"/>
            <w:tcBorders>
              <w:top w:val="single" w:sz="4" w:space="0" w:color="auto"/>
              <w:left w:val="nil"/>
              <w:bottom w:val="nil"/>
              <w:right w:val="nil"/>
            </w:tcBorders>
            <w:shd w:val="clear" w:color="auto" w:fill="auto"/>
            <w:noWrap/>
            <w:vAlign w:val="bottom"/>
            <w:hideMark/>
          </w:tcPr>
          <w:p w14:paraId="11283ACD" w14:textId="77777777" w:rsidR="00D312C0" w:rsidRDefault="00D312C0" w:rsidP="00827DC2">
            <w:pPr>
              <w:pStyle w:val="Ttulo1"/>
              <w:spacing w:before="120"/>
              <w:rPr>
                <w:rFonts w:ascii="Arial" w:hAnsi="Arial" w:cs="Arial"/>
                <w:b w:val="0"/>
                <w:color w:val="000000" w:themeColor="text1"/>
                <w:sz w:val="20"/>
                <w:szCs w:val="20"/>
                <w:lang w:val="pt-BR" w:eastAsia="es-ES"/>
              </w:rPr>
            </w:pPr>
            <w:r w:rsidRPr="00D312C0">
              <w:rPr>
                <w:rFonts w:ascii="Arial" w:hAnsi="Arial" w:cs="Arial"/>
                <w:color w:val="FF0000"/>
                <w:sz w:val="20"/>
                <w:szCs w:val="20"/>
                <w:lang w:val="pt-BR"/>
              </w:rPr>
              <w:t xml:space="preserve">Fonte: </w:t>
            </w:r>
            <w:r w:rsidR="00827DC2">
              <w:rPr>
                <w:rFonts w:ascii="Arial" w:hAnsi="Arial" w:cs="Arial"/>
                <w:b w:val="0"/>
                <w:color w:val="000000" w:themeColor="text1"/>
                <w:sz w:val="20"/>
                <w:szCs w:val="20"/>
                <w:lang w:val="pt-BR" w:eastAsia="es-ES"/>
              </w:rPr>
              <w:t>Fonte: Cálculos do autor para diferentes parâmetros de redução do Gap Tributário.</w:t>
            </w:r>
          </w:p>
          <w:p w14:paraId="6A653D7F" w14:textId="3366FDED" w:rsidR="00827DC2" w:rsidRPr="00827DC2" w:rsidRDefault="00827DC2" w:rsidP="00827DC2">
            <w:pPr>
              <w:rPr>
                <w:lang w:val="pt-BR" w:eastAsia="es-ES"/>
              </w:rPr>
            </w:pPr>
          </w:p>
        </w:tc>
      </w:tr>
    </w:tbl>
    <w:p w14:paraId="294D5650" w14:textId="4E5E6E2F" w:rsidR="006114AD" w:rsidRPr="001F27CE" w:rsidRDefault="0082059D" w:rsidP="008759BC">
      <w:pPr>
        <w:pStyle w:val="PargrafodaLista"/>
        <w:keepNext/>
        <w:numPr>
          <w:ilvl w:val="1"/>
          <w:numId w:val="4"/>
        </w:numPr>
        <w:suppressAutoHyphens/>
        <w:spacing w:before="120"/>
        <w:ind w:left="284" w:hanging="567"/>
        <w:jc w:val="both"/>
        <w:outlineLvl w:val="3"/>
        <w:rPr>
          <w:rFonts w:ascii="Arial" w:hAnsi="Arial" w:cs="Arial"/>
          <w:bCs/>
          <w:lang w:val="pt-BR" w:eastAsia="es-ES"/>
        </w:rPr>
      </w:pPr>
      <w:r w:rsidRPr="001F27CE">
        <w:rPr>
          <w:rFonts w:ascii="Arial" w:hAnsi="Arial" w:cs="Arial"/>
          <w:bCs/>
          <w:lang w:val="pt-BR" w:eastAsia="es-ES"/>
        </w:rPr>
        <w:t xml:space="preserve">Neste cenário, </w:t>
      </w:r>
      <w:r w:rsidR="00827DC2">
        <w:rPr>
          <w:rFonts w:ascii="Arial" w:hAnsi="Arial" w:cs="Arial"/>
          <w:bCs/>
          <w:lang w:val="pt-BR" w:eastAsia="es-ES"/>
        </w:rPr>
        <w:t xml:space="preserve">de uma menor redução do Gap Tributário, </w:t>
      </w:r>
      <w:r w:rsidRPr="00827DC2">
        <w:rPr>
          <w:rFonts w:ascii="Arial" w:hAnsi="Arial" w:cs="Arial"/>
          <w:bCs/>
          <w:color w:val="FF0000"/>
          <w:lang w:val="pt-BR" w:eastAsia="es-ES"/>
        </w:rPr>
        <w:t xml:space="preserve">a </w:t>
      </w:r>
      <w:r w:rsidR="00827DC2" w:rsidRPr="00827DC2">
        <w:rPr>
          <w:rFonts w:ascii="Arial" w:hAnsi="Arial" w:cs="Arial"/>
          <w:bCs/>
          <w:color w:val="FF0000"/>
          <w:lang w:val="pt-BR" w:eastAsia="es-ES"/>
        </w:rPr>
        <w:t xml:space="preserve">Tabela 16 </w:t>
      </w:r>
      <w:r w:rsidR="00827DC2">
        <w:rPr>
          <w:rFonts w:ascii="Arial" w:hAnsi="Arial" w:cs="Arial"/>
          <w:bCs/>
          <w:lang w:val="pt-BR" w:eastAsia="es-ES"/>
        </w:rPr>
        <w:t xml:space="preserve">mostra que a </w:t>
      </w:r>
      <w:r w:rsidRPr="001F27CE">
        <w:rPr>
          <w:rFonts w:ascii="Arial" w:hAnsi="Arial" w:cs="Arial"/>
          <w:bCs/>
          <w:lang w:val="pt-BR" w:eastAsia="es-ES"/>
        </w:rPr>
        <w:t xml:space="preserve">TIR passa para </w:t>
      </w:r>
      <w:r w:rsidR="00414639" w:rsidRPr="001F27CE">
        <w:rPr>
          <w:rFonts w:ascii="Arial" w:hAnsi="Arial" w:cs="Arial"/>
          <w:bCs/>
          <w:lang w:val="pt-BR" w:eastAsia="es-ES"/>
        </w:rPr>
        <w:t>20,5</w:t>
      </w:r>
      <w:r w:rsidRPr="001F27CE">
        <w:rPr>
          <w:rFonts w:ascii="Arial" w:hAnsi="Arial" w:cs="Arial"/>
          <w:bCs/>
          <w:lang w:val="pt-BR" w:eastAsia="es-ES"/>
        </w:rPr>
        <w:t xml:space="preserve">%, o VPL reduz para US$ </w:t>
      </w:r>
      <w:r w:rsidR="00414639" w:rsidRPr="001F27CE">
        <w:rPr>
          <w:rFonts w:ascii="Arial" w:hAnsi="Arial" w:cs="Arial"/>
          <w:bCs/>
          <w:lang w:val="pt-BR" w:eastAsia="es-ES"/>
        </w:rPr>
        <w:t>8</w:t>
      </w:r>
      <w:r w:rsidRPr="001F27CE">
        <w:rPr>
          <w:rFonts w:ascii="Arial" w:hAnsi="Arial" w:cs="Arial"/>
          <w:bCs/>
          <w:lang w:val="pt-BR" w:eastAsia="es-ES"/>
        </w:rPr>
        <w:t xml:space="preserve"> milhões, </w:t>
      </w:r>
      <w:r w:rsidR="000E768E" w:rsidRPr="001F27CE">
        <w:rPr>
          <w:rFonts w:ascii="Arial" w:hAnsi="Arial" w:cs="Arial"/>
          <w:bCs/>
          <w:lang w:val="pt-BR" w:eastAsia="es-ES"/>
        </w:rPr>
        <w:t xml:space="preserve">o fluxo se torna positivo no </w:t>
      </w:r>
      <w:r w:rsidR="00A81491" w:rsidRPr="001F27CE">
        <w:rPr>
          <w:rFonts w:ascii="Arial" w:hAnsi="Arial" w:cs="Arial"/>
          <w:bCs/>
          <w:lang w:val="pt-BR" w:eastAsia="es-ES"/>
        </w:rPr>
        <w:t>quinto</w:t>
      </w:r>
      <w:r w:rsidR="000E768E" w:rsidRPr="001F27CE">
        <w:rPr>
          <w:rFonts w:ascii="Arial" w:hAnsi="Arial" w:cs="Arial"/>
          <w:bCs/>
          <w:lang w:val="pt-BR" w:eastAsia="es-ES"/>
        </w:rPr>
        <w:t xml:space="preserve"> ano, mas o fluxo acumulado (retorno) só fica positivo a partir do </w:t>
      </w:r>
      <w:r w:rsidR="00A81491" w:rsidRPr="001F27CE">
        <w:rPr>
          <w:rFonts w:ascii="Arial" w:hAnsi="Arial" w:cs="Arial"/>
          <w:bCs/>
          <w:lang w:val="pt-BR" w:eastAsia="es-ES"/>
        </w:rPr>
        <w:t>sétimo</w:t>
      </w:r>
      <w:r w:rsidR="000E768E" w:rsidRPr="001F27CE">
        <w:rPr>
          <w:rFonts w:ascii="Arial" w:hAnsi="Arial" w:cs="Arial"/>
          <w:bCs/>
          <w:lang w:val="pt-BR" w:eastAsia="es-ES"/>
        </w:rPr>
        <w:t xml:space="preserve"> ano.</w:t>
      </w:r>
    </w:p>
    <w:p w14:paraId="294D5652" w14:textId="6B932E23" w:rsidR="00D43076" w:rsidRPr="001F27CE" w:rsidRDefault="00D43076" w:rsidP="005F50CC">
      <w:pPr>
        <w:pStyle w:val="PargrafodaLista"/>
        <w:keepNext/>
        <w:suppressAutoHyphens/>
        <w:spacing w:before="120"/>
        <w:ind w:left="284"/>
        <w:jc w:val="center"/>
        <w:outlineLvl w:val="3"/>
        <w:rPr>
          <w:rFonts w:ascii="Arial" w:hAnsi="Arial" w:cs="Arial"/>
          <w:bCs/>
          <w:lang w:val="pt-BR" w:eastAsia="es-ES"/>
        </w:rPr>
      </w:pPr>
    </w:p>
    <w:tbl>
      <w:tblPr>
        <w:tblW w:w="9513" w:type="dxa"/>
        <w:tblInd w:w="93" w:type="dxa"/>
        <w:tblLook w:val="04A0" w:firstRow="1" w:lastRow="0" w:firstColumn="1" w:lastColumn="0" w:noHBand="0" w:noVBand="1"/>
      </w:tblPr>
      <w:tblGrid>
        <w:gridCol w:w="1291"/>
        <w:gridCol w:w="709"/>
        <w:gridCol w:w="709"/>
        <w:gridCol w:w="850"/>
        <w:gridCol w:w="851"/>
        <w:gridCol w:w="718"/>
        <w:gridCol w:w="718"/>
        <w:gridCol w:w="718"/>
        <w:gridCol w:w="718"/>
        <w:gridCol w:w="718"/>
        <w:gridCol w:w="804"/>
        <w:gridCol w:w="809"/>
      </w:tblGrid>
      <w:tr w:rsidR="00B13601" w:rsidRPr="003D3CA6" w14:paraId="2D9B4B38" w14:textId="77777777" w:rsidTr="00B13601">
        <w:trPr>
          <w:trHeight w:val="300"/>
        </w:trPr>
        <w:tc>
          <w:tcPr>
            <w:tcW w:w="9513" w:type="dxa"/>
            <w:gridSpan w:val="12"/>
            <w:tcBorders>
              <w:top w:val="nil"/>
              <w:left w:val="nil"/>
              <w:bottom w:val="nil"/>
              <w:right w:val="nil"/>
            </w:tcBorders>
            <w:shd w:val="clear" w:color="auto" w:fill="auto"/>
            <w:noWrap/>
            <w:vAlign w:val="bottom"/>
            <w:hideMark/>
          </w:tcPr>
          <w:p w14:paraId="2F06A957" w14:textId="4C0C0C86" w:rsidR="00B13601" w:rsidRPr="003D3CA6" w:rsidRDefault="00827DC2" w:rsidP="003F7B43">
            <w:pPr>
              <w:rPr>
                <w:rFonts w:ascii="Calibri" w:hAnsi="Calibri" w:cs="Calibri"/>
                <w:b/>
                <w:bCs/>
                <w:color w:val="000000"/>
                <w:sz w:val="22"/>
                <w:szCs w:val="22"/>
                <w:lang w:val="pt-BR"/>
              </w:rPr>
            </w:pPr>
            <w:r>
              <w:rPr>
                <w:rFonts w:ascii="Calibri" w:hAnsi="Calibri" w:cs="Calibri"/>
                <w:b/>
                <w:bCs/>
                <w:color w:val="FF0000"/>
                <w:sz w:val="22"/>
                <w:szCs w:val="22"/>
                <w:lang w:val="pt-BR"/>
              </w:rPr>
              <w:t>Tabela 16</w:t>
            </w:r>
            <w:r w:rsidR="00B13601" w:rsidRPr="003D3CA6">
              <w:rPr>
                <w:rFonts w:ascii="Calibri" w:hAnsi="Calibri" w:cs="Calibri"/>
                <w:b/>
                <w:bCs/>
                <w:color w:val="FF0000"/>
                <w:sz w:val="22"/>
                <w:szCs w:val="22"/>
                <w:lang w:val="pt-BR"/>
              </w:rPr>
              <w:t xml:space="preserve">: </w:t>
            </w:r>
            <w:r w:rsidR="00B13601" w:rsidRPr="003D3CA6">
              <w:rPr>
                <w:rFonts w:ascii="Calibri" w:hAnsi="Calibri" w:cs="Calibri"/>
                <w:b/>
                <w:bCs/>
                <w:color w:val="000000"/>
                <w:sz w:val="22"/>
                <w:szCs w:val="22"/>
                <w:lang w:val="pt-BR"/>
              </w:rPr>
              <w:t xml:space="preserve">Cenário </w:t>
            </w:r>
            <w:proofErr w:type="gramStart"/>
            <w:r w:rsidR="00B13601" w:rsidRPr="003D3CA6">
              <w:rPr>
                <w:rFonts w:ascii="Calibri" w:hAnsi="Calibri" w:cs="Calibri"/>
                <w:b/>
                <w:bCs/>
                <w:color w:val="000000"/>
                <w:sz w:val="22"/>
                <w:szCs w:val="22"/>
                <w:lang w:val="pt-BR"/>
              </w:rPr>
              <w:t>3</w:t>
            </w:r>
            <w:proofErr w:type="gramEnd"/>
            <w:r w:rsidR="00B13601" w:rsidRPr="003D3CA6">
              <w:rPr>
                <w:rFonts w:ascii="Calibri" w:hAnsi="Calibri" w:cs="Calibri"/>
                <w:b/>
                <w:bCs/>
                <w:color w:val="000000"/>
                <w:sz w:val="22"/>
                <w:szCs w:val="22"/>
                <w:lang w:val="pt-BR"/>
              </w:rPr>
              <w:t xml:space="preserve"> - Análise Custo-Benefício - Redução de Benefícios (Em US$ 1000)</w:t>
            </w:r>
          </w:p>
        </w:tc>
      </w:tr>
      <w:tr w:rsidR="00B13601" w:rsidRPr="003D3CA6" w14:paraId="2E6B1410" w14:textId="77777777" w:rsidTr="00B13601">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16A4D" w14:textId="77777777" w:rsidR="00B13601" w:rsidRPr="003D3CA6" w:rsidRDefault="00B13601" w:rsidP="003F7B43">
            <w:pPr>
              <w:rPr>
                <w:rFonts w:ascii="Calibri" w:hAnsi="Calibri" w:cs="Calibri"/>
                <w:color w:val="000000"/>
                <w:sz w:val="18"/>
                <w:szCs w:val="18"/>
                <w:lang w:val="pt-BR"/>
              </w:rPr>
            </w:pPr>
            <w:r w:rsidRPr="003D3CA6">
              <w:rPr>
                <w:rFonts w:ascii="Calibri" w:hAnsi="Calibri" w:cs="Calibri"/>
                <w:color w:val="000000"/>
                <w:sz w:val="18"/>
                <w:szCs w:val="18"/>
                <w:lang w:val="pt-BR"/>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077E657"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12CC4D55"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42BF726C"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5957595"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4</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1CCBD48"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76863910"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6</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64806B6"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7</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64363D2C"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8</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0FD59EA6"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9</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14:paraId="1133FBBB"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ano</w:t>
            </w:r>
            <w:proofErr w:type="spellEnd"/>
            <w:r w:rsidRPr="003D3CA6">
              <w:rPr>
                <w:rFonts w:ascii="Calibri" w:hAnsi="Calibri" w:cs="Calibri"/>
                <w:color w:val="000000"/>
                <w:sz w:val="18"/>
                <w:szCs w:val="18"/>
              </w:rPr>
              <w:t xml:space="preserve"> 10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124CFBF8" w14:textId="77777777" w:rsidR="00B13601" w:rsidRPr="003D3CA6" w:rsidRDefault="00B13601" w:rsidP="003F7B43">
            <w:pPr>
              <w:rPr>
                <w:rFonts w:ascii="Calibri" w:hAnsi="Calibri" w:cs="Calibri"/>
                <w:color w:val="000000"/>
                <w:sz w:val="18"/>
                <w:szCs w:val="18"/>
              </w:rPr>
            </w:pPr>
            <w:r w:rsidRPr="003D3CA6">
              <w:rPr>
                <w:rFonts w:ascii="Calibri" w:hAnsi="Calibri" w:cs="Calibri"/>
                <w:color w:val="000000"/>
                <w:sz w:val="18"/>
                <w:szCs w:val="18"/>
              </w:rPr>
              <w:t>Total</w:t>
            </w:r>
          </w:p>
        </w:tc>
      </w:tr>
      <w:tr w:rsidR="00B13601" w:rsidRPr="003D3CA6" w14:paraId="0E448DAD" w14:textId="77777777" w:rsidTr="00B13601">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5CED81C7"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Custos</w:t>
            </w:r>
            <w:proofErr w:type="spellEnd"/>
            <w:r w:rsidRPr="003D3CA6">
              <w:rPr>
                <w:rFonts w:ascii="Calibri" w:hAnsi="Calibri" w:cs="Calibri"/>
                <w:color w:val="000000"/>
                <w:sz w:val="18"/>
                <w:szCs w:val="18"/>
              </w:rPr>
              <w:t xml:space="preserve"> </w:t>
            </w:r>
            <w:proofErr w:type="spellStart"/>
            <w:r w:rsidRPr="003D3CA6">
              <w:rPr>
                <w:rFonts w:ascii="Calibri" w:hAnsi="Calibri" w:cs="Calibri"/>
                <w:color w:val="000000"/>
                <w:sz w:val="18"/>
                <w:szCs w:val="18"/>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E989293"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-9.183 </w:t>
            </w:r>
          </w:p>
        </w:tc>
        <w:tc>
          <w:tcPr>
            <w:tcW w:w="709" w:type="dxa"/>
            <w:tcBorders>
              <w:top w:val="nil"/>
              <w:left w:val="nil"/>
              <w:bottom w:val="single" w:sz="4" w:space="0" w:color="auto"/>
              <w:right w:val="single" w:sz="4" w:space="0" w:color="auto"/>
            </w:tcBorders>
            <w:shd w:val="clear" w:color="auto" w:fill="auto"/>
            <w:noWrap/>
            <w:vAlign w:val="bottom"/>
            <w:hideMark/>
          </w:tcPr>
          <w:p w14:paraId="5E3BDEBA"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-8.984 </w:t>
            </w:r>
          </w:p>
        </w:tc>
        <w:tc>
          <w:tcPr>
            <w:tcW w:w="850" w:type="dxa"/>
            <w:tcBorders>
              <w:top w:val="nil"/>
              <w:left w:val="nil"/>
              <w:bottom w:val="single" w:sz="4" w:space="0" w:color="auto"/>
              <w:right w:val="single" w:sz="4" w:space="0" w:color="auto"/>
            </w:tcBorders>
            <w:shd w:val="clear" w:color="auto" w:fill="auto"/>
            <w:noWrap/>
            <w:vAlign w:val="bottom"/>
            <w:hideMark/>
          </w:tcPr>
          <w:p w14:paraId="39DC70CB"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-10.327 </w:t>
            </w:r>
          </w:p>
        </w:tc>
        <w:tc>
          <w:tcPr>
            <w:tcW w:w="851" w:type="dxa"/>
            <w:tcBorders>
              <w:top w:val="nil"/>
              <w:left w:val="nil"/>
              <w:bottom w:val="single" w:sz="4" w:space="0" w:color="auto"/>
              <w:right w:val="single" w:sz="4" w:space="0" w:color="auto"/>
            </w:tcBorders>
            <w:shd w:val="clear" w:color="auto" w:fill="auto"/>
            <w:noWrap/>
            <w:vAlign w:val="bottom"/>
            <w:hideMark/>
          </w:tcPr>
          <w:p w14:paraId="58DFF2D0"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-11.133 </w:t>
            </w:r>
          </w:p>
        </w:tc>
        <w:tc>
          <w:tcPr>
            <w:tcW w:w="718" w:type="dxa"/>
            <w:tcBorders>
              <w:top w:val="nil"/>
              <w:left w:val="nil"/>
              <w:bottom w:val="single" w:sz="4" w:space="0" w:color="auto"/>
              <w:right w:val="single" w:sz="4" w:space="0" w:color="auto"/>
            </w:tcBorders>
            <w:shd w:val="clear" w:color="auto" w:fill="auto"/>
            <w:noWrap/>
            <w:vAlign w:val="bottom"/>
            <w:hideMark/>
          </w:tcPr>
          <w:p w14:paraId="2272F1F4"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-8.435 </w:t>
            </w:r>
          </w:p>
        </w:tc>
        <w:tc>
          <w:tcPr>
            <w:tcW w:w="718" w:type="dxa"/>
            <w:tcBorders>
              <w:top w:val="nil"/>
              <w:left w:val="nil"/>
              <w:bottom w:val="single" w:sz="4" w:space="0" w:color="auto"/>
              <w:right w:val="single" w:sz="4" w:space="0" w:color="auto"/>
            </w:tcBorders>
            <w:shd w:val="clear" w:color="auto" w:fill="auto"/>
            <w:noWrap/>
            <w:vAlign w:val="bottom"/>
            <w:hideMark/>
          </w:tcPr>
          <w:p w14:paraId="2EB8CFB2"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-3.839 </w:t>
            </w:r>
          </w:p>
        </w:tc>
        <w:tc>
          <w:tcPr>
            <w:tcW w:w="718" w:type="dxa"/>
            <w:tcBorders>
              <w:top w:val="nil"/>
              <w:left w:val="nil"/>
              <w:bottom w:val="single" w:sz="4" w:space="0" w:color="auto"/>
              <w:right w:val="single" w:sz="4" w:space="0" w:color="auto"/>
            </w:tcBorders>
            <w:shd w:val="clear" w:color="auto" w:fill="auto"/>
            <w:noWrap/>
            <w:vAlign w:val="bottom"/>
            <w:hideMark/>
          </w:tcPr>
          <w:p w14:paraId="0304A008"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-3.799 </w:t>
            </w:r>
          </w:p>
        </w:tc>
        <w:tc>
          <w:tcPr>
            <w:tcW w:w="718" w:type="dxa"/>
            <w:tcBorders>
              <w:top w:val="nil"/>
              <w:left w:val="nil"/>
              <w:bottom w:val="single" w:sz="4" w:space="0" w:color="auto"/>
              <w:right w:val="single" w:sz="4" w:space="0" w:color="auto"/>
            </w:tcBorders>
            <w:shd w:val="clear" w:color="auto" w:fill="auto"/>
            <w:noWrap/>
            <w:vAlign w:val="bottom"/>
            <w:hideMark/>
          </w:tcPr>
          <w:p w14:paraId="637C0781"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-3.760 </w:t>
            </w:r>
          </w:p>
        </w:tc>
        <w:tc>
          <w:tcPr>
            <w:tcW w:w="718" w:type="dxa"/>
            <w:tcBorders>
              <w:top w:val="nil"/>
              <w:left w:val="nil"/>
              <w:bottom w:val="single" w:sz="4" w:space="0" w:color="auto"/>
              <w:right w:val="single" w:sz="4" w:space="0" w:color="auto"/>
            </w:tcBorders>
            <w:shd w:val="clear" w:color="auto" w:fill="auto"/>
            <w:noWrap/>
            <w:vAlign w:val="bottom"/>
            <w:hideMark/>
          </w:tcPr>
          <w:p w14:paraId="2838CD56"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-3.720 </w:t>
            </w:r>
          </w:p>
        </w:tc>
        <w:tc>
          <w:tcPr>
            <w:tcW w:w="804" w:type="dxa"/>
            <w:tcBorders>
              <w:top w:val="nil"/>
              <w:left w:val="nil"/>
              <w:bottom w:val="single" w:sz="4" w:space="0" w:color="auto"/>
              <w:right w:val="single" w:sz="4" w:space="0" w:color="auto"/>
            </w:tcBorders>
            <w:shd w:val="clear" w:color="auto" w:fill="auto"/>
            <w:noWrap/>
            <w:vAlign w:val="bottom"/>
            <w:hideMark/>
          </w:tcPr>
          <w:p w14:paraId="262A352F"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-3.479 </w:t>
            </w:r>
          </w:p>
        </w:tc>
        <w:tc>
          <w:tcPr>
            <w:tcW w:w="709" w:type="dxa"/>
            <w:tcBorders>
              <w:top w:val="nil"/>
              <w:left w:val="nil"/>
              <w:bottom w:val="single" w:sz="4" w:space="0" w:color="auto"/>
              <w:right w:val="single" w:sz="4" w:space="0" w:color="auto"/>
            </w:tcBorders>
            <w:shd w:val="clear" w:color="auto" w:fill="auto"/>
            <w:noWrap/>
            <w:vAlign w:val="bottom"/>
            <w:hideMark/>
          </w:tcPr>
          <w:p w14:paraId="3C4716DA"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-66.659 </w:t>
            </w:r>
          </w:p>
        </w:tc>
      </w:tr>
      <w:tr w:rsidR="00B13601" w:rsidRPr="003D3CA6" w14:paraId="6258629C" w14:textId="77777777" w:rsidTr="00B13601">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76FBEF93"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Benefícios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A22D06A"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0 </w:t>
            </w:r>
          </w:p>
        </w:tc>
        <w:tc>
          <w:tcPr>
            <w:tcW w:w="709" w:type="dxa"/>
            <w:tcBorders>
              <w:top w:val="nil"/>
              <w:left w:val="nil"/>
              <w:bottom w:val="single" w:sz="4" w:space="0" w:color="auto"/>
              <w:right w:val="single" w:sz="4" w:space="0" w:color="auto"/>
            </w:tcBorders>
            <w:shd w:val="clear" w:color="auto" w:fill="auto"/>
            <w:noWrap/>
            <w:vAlign w:val="bottom"/>
            <w:hideMark/>
          </w:tcPr>
          <w:p w14:paraId="64A24FA4"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4.107 </w:t>
            </w:r>
          </w:p>
        </w:tc>
        <w:tc>
          <w:tcPr>
            <w:tcW w:w="850" w:type="dxa"/>
            <w:tcBorders>
              <w:top w:val="nil"/>
              <w:left w:val="nil"/>
              <w:bottom w:val="single" w:sz="4" w:space="0" w:color="auto"/>
              <w:right w:val="single" w:sz="4" w:space="0" w:color="auto"/>
            </w:tcBorders>
            <w:shd w:val="clear" w:color="auto" w:fill="auto"/>
            <w:noWrap/>
            <w:vAlign w:val="bottom"/>
            <w:hideMark/>
          </w:tcPr>
          <w:p w14:paraId="41D63E50"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6.321 </w:t>
            </w:r>
          </w:p>
        </w:tc>
        <w:tc>
          <w:tcPr>
            <w:tcW w:w="851" w:type="dxa"/>
            <w:tcBorders>
              <w:top w:val="nil"/>
              <w:left w:val="nil"/>
              <w:bottom w:val="single" w:sz="4" w:space="0" w:color="auto"/>
              <w:right w:val="single" w:sz="4" w:space="0" w:color="auto"/>
            </w:tcBorders>
            <w:shd w:val="clear" w:color="auto" w:fill="auto"/>
            <w:noWrap/>
            <w:vAlign w:val="bottom"/>
            <w:hideMark/>
          </w:tcPr>
          <w:p w14:paraId="532166F1"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8.594 </w:t>
            </w:r>
          </w:p>
        </w:tc>
        <w:tc>
          <w:tcPr>
            <w:tcW w:w="718" w:type="dxa"/>
            <w:tcBorders>
              <w:top w:val="nil"/>
              <w:left w:val="nil"/>
              <w:bottom w:val="single" w:sz="4" w:space="0" w:color="auto"/>
              <w:right w:val="single" w:sz="4" w:space="0" w:color="auto"/>
            </w:tcBorders>
            <w:shd w:val="clear" w:color="auto" w:fill="auto"/>
            <w:noWrap/>
            <w:vAlign w:val="bottom"/>
            <w:hideMark/>
          </w:tcPr>
          <w:p w14:paraId="43770A43"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12.702 </w:t>
            </w:r>
          </w:p>
        </w:tc>
        <w:tc>
          <w:tcPr>
            <w:tcW w:w="718" w:type="dxa"/>
            <w:tcBorders>
              <w:top w:val="nil"/>
              <w:left w:val="nil"/>
              <w:bottom w:val="single" w:sz="4" w:space="0" w:color="auto"/>
              <w:right w:val="single" w:sz="4" w:space="0" w:color="auto"/>
            </w:tcBorders>
            <w:shd w:val="clear" w:color="auto" w:fill="auto"/>
            <w:noWrap/>
            <w:vAlign w:val="bottom"/>
            <w:hideMark/>
          </w:tcPr>
          <w:p w14:paraId="48D17698"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14.755 </w:t>
            </w:r>
          </w:p>
        </w:tc>
        <w:tc>
          <w:tcPr>
            <w:tcW w:w="718" w:type="dxa"/>
            <w:tcBorders>
              <w:top w:val="nil"/>
              <w:left w:val="nil"/>
              <w:bottom w:val="single" w:sz="4" w:space="0" w:color="auto"/>
              <w:right w:val="single" w:sz="4" w:space="0" w:color="auto"/>
            </w:tcBorders>
            <w:shd w:val="clear" w:color="auto" w:fill="auto"/>
            <w:noWrap/>
            <w:vAlign w:val="bottom"/>
            <w:hideMark/>
          </w:tcPr>
          <w:p w14:paraId="26BF7F49"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14.755 </w:t>
            </w:r>
          </w:p>
        </w:tc>
        <w:tc>
          <w:tcPr>
            <w:tcW w:w="718" w:type="dxa"/>
            <w:tcBorders>
              <w:top w:val="nil"/>
              <w:left w:val="nil"/>
              <w:bottom w:val="single" w:sz="4" w:space="0" w:color="auto"/>
              <w:right w:val="single" w:sz="4" w:space="0" w:color="auto"/>
            </w:tcBorders>
            <w:shd w:val="clear" w:color="auto" w:fill="auto"/>
            <w:noWrap/>
            <w:vAlign w:val="bottom"/>
            <w:hideMark/>
          </w:tcPr>
          <w:p w14:paraId="1B82D3BC"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14.755 </w:t>
            </w:r>
          </w:p>
        </w:tc>
        <w:tc>
          <w:tcPr>
            <w:tcW w:w="718" w:type="dxa"/>
            <w:tcBorders>
              <w:top w:val="nil"/>
              <w:left w:val="nil"/>
              <w:bottom w:val="single" w:sz="4" w:space="0" w:color="auto"/>
              <w:right w:val="single" w:sz="4" w:space="0" w:color="auto"/>
            </w:tcBorders>
            <w:shd w:val="clear" w:color="auto" w:fill="auto"/>
            <w:noWrap/>
            <w:vAlign w:val="bottom"/>
            <w:hideMark/>
          </w:tcPr>
          <w:p w14:paraId="0501A054"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14.755 </w:t>
            </w:r>
          </w:p>
        </w:tc>
        <w:tc>
          <w:tcPr>
            <w:tcW w:w="804" w:type="dxa"/>
            <w:tcBorders>
              <w:top w:val="nil"/>
              <w:left w:val="nil"/>
              <w:bottom w:val="single" w:sz="4" w:space="0" w:color="auto"/>
              <w:right w:val="single" w:sz="4" w:space="0" w:color="auto"/>
            </w:tcBorders>
            <w:shd w:val="clear" w:color="auto" w:fill="auto"/>
            <w:noWrap/>
            <w:vAlign w:val="bottom"/>
            <w:hideMark/>
          </w:tcPr>
          <w:p w14:paraId="2A705F81"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14.755 </w:t>
            </w:r>
          </w:p>
        </w:tc>
        <w:tc>
          <w:tcPr>
            <w:tcW w:w="709" w:type="dxa"/>
            <w:tcBorders>
              <w:top w:val="nil"/>
              <w:left w:val="nil"/>
              <w:bottom w:val="single" w:sz="4" w:space="0" w:color="auto"/>
              <w:right w:val="single" w:sz="4" w:space="0" w:color="auto"/>
            </w:tcBorders>
            <w:shd w:val="clear" w:color="auto" w:fill="auto"/>
            <w:noWrap/>
            <w:vAlign w:val="bottom"/>
            <w:hideMark/>
          </w:tcPr>
          <w:p w14:paraId="340C990D"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105.502 </w:t>
            </w:r>
          </w:p>
        </w:tc>
      </w:tr>
      <w:tr w:rsidR="00B13601" w:rsidRPr="003D3CA6" w14:paraId="1F69FD17" w14:textId="77777777" w:rsidTr="00B13601">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14:paraId="73CBE12C" w14:textId="77777777" w:rsidR="00B13601" w:rsidRPr="003D3CA6" w:rsidRDefault="00B13601" w:rsidP="003F7B43">
            <w:pPr>
              <w:rPr>
                <w:rFonts w:ascii="Calibri" w:hAnsi="Calibri" w:cs="Calibri"/>
                <w:color w:val="000000"/>
                <w:sz w:val="18"/>
                <w:szCs w:val="18"/>
              </w:rPr>
            </w:pPr>
            <w:proofErr w:type="spellStart"/>
            <w:r w:rsidRPr="003D3CA6">
              <w:rPr>
                <w:rFonts w:ascii="Calibri" w:hAnsi="Calibri" w:cs="Calibri"/>
                <w:color w:val="000000"/>
                <w:sz w:val="18"/>
                <w:szCs w:val="18"/>
              </w:rPr>
              <w:t>Fluxo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F8A4167"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-9.183 </w:t>
            </w:r>
          </w:p>
        </w:tc>
        <w:tc>
          <w:tcPr>
            <w:tcW w:w="709" w:type="dxa"/>
            <w:tcBorders>
              <w:top w:val="nil"/>
              <w:left w:val="nil"/>
              <w:bottom w:val="single" w:sz="4" w:space="0" w:color="auto"/>
              <w:right w:val="single" w:sz="4" w:space="0" w:color="auto"/>
            </w:tcBorders>
            <w:shd w:val="clear" w:color="auto" w:fill="auto"/>
            <w:noWrap/>
            <w:vAlign w:val="bottom"/>
            <w:hideMark/>
          </w:tcPr>
          <w:p w14:paraId="25FC0654"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-4.876 </w:t>
            </w:r>
          </w:p>
        </w:tc>
        <w:tc>
          <w:tcPr>
            <w:tcW w:w="850" w:type="dxa"/>
            <w:tcBorders>
              <w:top w:val="nil"/>
              <w:left w:val="nil"/>
              <w:bottom w:val="single" w:sz="4" w:space="0" w:color="auto"/>
              <w:right w:val="single" w:sz="4" w:space="0" w:color="auto"/>
            </w:tcBorders>
            <w:shd w:val="clear" w:color="auto" w:fill="auto"/>
            <w:noWrap/>
            <w:vAlign w:val="bottom"/>
            <w:hideMark/>
          </w:tcPr>
          <w:p w14:paraId="508B8C5F"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-4.006 </w:t>
            </w:r>
          </w:p>
        </w:tc>
        <w:tc>
          <w:tcPr>
            <w:tcW w:w="851" w:type="dxa"/>
            <w:tcBorders>
              <w:top w:val="nil"/>
              <w:left w:val="nil"/>
              <w:bottom w:val="single" w:sz="4" w:space="0" w:color="auto"/>
              <w:right w:val="single" w:sz="4" w:space="0" w:color="auto"/>
            </w:tcBorders>
            <w:shd w:val="clear" w:color="auto" w:fill="auto"/>
            <w:noWrap/>
            <w:vAlign w:val="bottom"/>
            <w:hideMark/>
          </w:tcPr>
          <w:p w14:paraId="1494F9C6"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-2.538 </w:t>
            </w:r>
          </w:p>
        </w:tc>
        <w:tc>
          <w:tcPr>
            <w:tcW w:w="718" w:type="dxa"/>
            <w:tcBorders>
              <w:top w:val="nil"/>
              <w:left w:val="nil"/>
              <w:bottom w:val="single" w:sz="4" w:space="0" w:color="auto"/>
              <w:right w:val="single" w:sz="4" w:space="0" w:color="auto"/>
            </w:tcBorders>
            <w:shd w:val="clear" w:color="auto" w:fill="auto"/>
            <w:noWrap/>
            <w:vAlign w:val="bottom"/>
            <w:hideMark/>
          </w:tcPr>
          <w:p w14:paraId="323ECB91"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4.266 </w:t>
            </w:r>
          </w:p>
        </w:tc>
        <w:tc>
          <w:tcPr>
            <w:tcW w:w="718" w:type="dxa"/>
            <w:tcBorders>
              <w:top w:val="nil"/>
              <w:left w:val="nil"/>
              <w:bottom w:val="single" w:sz="4" w:space="0" w:color="auto"/>
              <w:right w:val="single" w:sz="4" w:space="0" w:color="auto"/>
            </w:tcBorders>
            <w:shd w:val="clear" w:color="auto" w:fill="auto"/>
            <w:noWrap/>
            <w:vAlign w:val="bottom"/>
            <w:hideMark/>
          </w:tcPr>
          <w:p w14:paraId="2E143AB7"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10.917 </w:t>
            </w:r>
          </w:p>
        </w:tc>
        <w:tc>
          <w:tcPr>
            <w:tcW w:w="718" w:type="dxa"/>
            <w:tcBorders>
              <w:top w:val="nil"/>
              <w:left w:val="nil"/>
              <w:bottom w:val="single" w:sz="4" w:space="0" w:color="auto"/>
              <w:right w:val="single" w:sz="4" w:space="0" w:color="auto"/>
            </w:tcBorders>
            <w:shd w:val="clear" w:color="auto" w:fill="auto"/>
            <w:noWrap/>
            <w:vAlign w:val="bottom"/>
            <w:hideMark/>
          </w:tcPr>
          <w:p w14:paraId="591D4B6E"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10.956 </w:t>
            </w:r>
          </w:p>
        </w:tc>
        <w:tc>
          <w:tcPr>
            <w:tcW w:w="718" w:type="dxa"/>
            <w:tcBorders>
              <w:top w:val="nil"/>
              <w:left w:val="nil"/>
              <w:bottom w:val="single" w:sz="4" w:space="0" w:color="auto"/>
              <w:right w:val="single" w:sz="4" w:space="0" w:color="auto"/>
            </w:tcBorders>
            <w:shd w:val="clear" w:color="auto" w:fill="auto"/>
            <w:noWrap/>
            <w:vAlign w:val="bottom"/>
            <w:hideMark/>
          </w:tcPr>
          <w:p w14:paraId="53E3A9B4"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10.996 </w:t>
            </w:r>
          </w:p>
        </w:tc>
        <w:tc>
          <w:tcPr>
            <w:tcW w:w="718" w:type="dxa"/>
            <w:tcBorders>
              <w:top w:val="nil"/>
              <w:left w:val="nil"/>
              <w:bottom w:val="single" w:sz="4" w:space="0" w:color="auto"/>
              <w:right w:val="single" w:sz="4" w:space="0" w:color="auto"/>
            </w:tcBorders>
            <w:shd w:val="clear" w:color="auto" w:fill="auto"/>
            <w:noWrap/>
            <w:vAlign w:val="bottom"/>
            <w:hideMark/>
          </w:tcPr>
          <w:p w14:paraId="5FF24A10"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11.035 </w:t>
            </w:r>
          </w:p>
        </w:tc>
        <w:tc>
          <w:tcPr>
            <w:tcW w:w="804" w:type="dxa"/>
            <w:tcBorders>
              <w:top w:val="nil"/>
              <w:left w:val="nil"/>
              <w:bottom w:val="single" w:sz="4" w:space="0" w:color="auto"/>
              <w:right w:val="single" w:sz="4" w:space="0" w:color="auto"/>
            </w:tcBorders>
            <w:shd w:val="clear" w:color="auto" w:fill="auto"/>
            <w:noWrap/>
            <w:vAlign w:val="bottom"/>
            <w:hideMark/>
          </w:tcPr>
          <w:p w14:paraId="6D102253"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11.276 </w:t>
            </w:r>
          </w:p>
        </w:tc>
        <w:tc>
          <w:tcPr>
            <w:tcW w:w="709" w:type="dxa"/>
            <w:tcBorders>
              <w:top w:val="nil"/>
              <w:left w:val="nil"/>
              <w:bottom w:val="single" w:sz="4" w:space="0" w:color="auto"/>
              <w:right w:val="single" w:sz="4" w:space="0" w:color="auto"/>
            </w:tcBorders>
            <w:shd w:val="clear" w:color="auto" w:fill="auto"/>
            <w:noWrap/>
            <w:vAlign w:val="bottom"/>
            <w:hideMark/>
          </w:tcPr>
          <w:p w14:paraId="1F01B42E" w14:textId="77777777" w:rsidR="00B13601" w:rsidRPr="003D3CA6" w:rsidRDefault="00B13601" w:rsidP="003F7B43">
            <w:pPr>
              <w:jc w:val="right"/>
              <w:rPr>
                <w:rFonts w:ascii="Calibri" w:hAnsi="Calibri" w:cs="Calibri"/>
                <w:color w:val="000000"/>
                <w:sz w:val="18"/>
                <w:szCs w:val="18"/>
              </w:rPr>
            </w:pPr>
            <w:r w:rsidRPr="003D3CA6">
              <w:rPr>
                <w:rFonts w:ascii="Calibri" w:hAnsi="Calibri" w:cs="Calibri"/>
                <w:color w:val="000000"/>
                <w:sz w:val="18"/>
                <w:szCs w:val="18"/>
              </w:rPr>
              <w:t xml:space="preserve">38.843 </w:t>
            </w:r>
          </w:p>
        </w:tc>
      </w:tr>
      <w:tr w:rsidR="00B13601" w:rsidRPr="003D3CA6" w14:paraId="10219CF6" w14:textId="77777777" w:rsidTr="00B13601">
        <w:trPr>
          <w:trHeight w:val="300"/>
        </w:trPr>
        <w:tc>
          <w:tcPr>
            <w:tcW w:w="2709" w:type="dxa"/>
            <w:gridSpan w:val="3"/>
            <w:tcBorders>
              <w:top w:val="single" w:sz="4" w:space="0" w:color="auto"/>
              <w:left w:val="nil"/>
              <w:bottom w:val="nil"/>
              <w:right w:val="nil"/>
            </w:tcBorders>
            <w:shd w:val="clear" w:color="auto" w:fill="auto"/>
            <w:noWrap/>
            <w:vAlign w:val="bottom"/>
            <w:hideMark/>
          </w:tcPr>
          <w:p w14:paraId="401F0D8F" w14:textId="77777777" w:rsidR="00B13601" w:rsidRPr="003D3CA6" w:rsidRDefault="00B13601" w:rsidP="003F7B43">
            <w:pPr>
              <w:jc w:val="center"/>
              <w:rPr>
                <w:rFonts w:ascii="Calibri" w:hAnsi="Calibri" w:cs="Calibri"/>
                <w:b/>
                <w:bCs/>
                <w:color w:val="000000"/>
                <w:sz w:val="18"/>
                <w:szCs w:val="18"/>
              </w:rPr>
            </w:pPr>
            <w:r w:rsidRPr="003D3CA6">
              <w:rPr>
                <w:rFonts w:ascii="Calibri" w:hAnsi="Calibri" w:cs="Calibri"/>
                <w:b/>
                <w:bCs/>
                <w:color w:val="000000"/>
                <w:sz w:val="18"/>
                <w:szCs w:val="18"/>
              </w:rPr>
              <w:t xml:space="preserve">Valor </w:t>
            </w:r>
            <w:proofErr w:type="spellStart"/>
            <w:r w:rsidRPr="003D3CA6">
              <w:rPr>
                <w:rFonts w:ascii="Calibri" w:hAnsi="Calibri" w:cs="Calibri"/>
                <w:b/>
                <w:bCs/>
                <w:color w:val="000000"/>
                <w:sz w:val="18"/>
                <w:szCs w:val="18"/>
              </w:rPr>
              <w:t>Presente</w:t>
            </w:r>
            <w:proofErr w:type="spellEnd"/>
            <w:r w:rsidRPr="003D3CA6">
              <w:rPr>
                <w:rFonts w:ascii="Calibri" w:hAnsi="Calibri" w:cs="Calibri"/>
                <w:b/>
                <w:bCs/>
                <w:color w:val="000000"/>
                <w:sz w:val="18"/>
                <w:szCs w:val="18"/>
              </w:rPr>
              <w:t xml:space="preserve"> </w:t>
            </w:r>
            <w:proofErr w:type="spellStart"/>
            <w:r w:rsidRPr="003D3CA6">
              <w:rPr>
                <w:rFonts w:ascii="Calibri" w:hAnsi="Calibri" w:cs="Calibri"/>
                <w:b/>
                <w:bCs/>
                <w:color w:val="000000"/>
                <w:sz w:val="18"/>
                <w:szCs w:val="18"/>
              </w:rPr>
              <w:t>Líquido</w:t>
            </w:r>
            <w:proofErr w:type="spellEnd"/>
          </w:p>
        </w:tc>
        <w:tc>
          <w:tcPr>
            <w:tcW w:w="850" w:type="dxa"/>
            <w:tcBorders>
              <w:top w:val="nil"/>
              <w:left w:val="nil"/>
              <w:bottom w:val="nil"/>
              <w:right w:val="nil"/>
            </w:tcBorders>
            <w:shd w:val="clear" w:color="auto" w:fill="auto"/>
            <w:noWrap/>
            <w:vAlign w:val="bottom"/>
            <w:hideMark/>
          </w:tcPr>
          <w:p w14:paraId="0257F541" w14:textId="223A7352" w:rsidR="00B13601" w:rsidRPr="003D3CA6" w:rsidRDefault="00B13601" w:rsidP="00CA7F15">
            <w:pPr>
              <w:jc w:val="right"/>
              <w:rPr>
                <w:rFonts w:ascii="Calibri" w:hAnsi="Calibri" w:cs="Calibri"/>
                <w:b/>
                <w:bCs/>
                <w:color w:val="000000"/>
                <w:sz w:val="18"/>
                <w:szCs w:val="18"/>
              </w:rPr>
            </w:pPr>
            <w:r w:rsidRPr="003D3CA6">
              <w:rPr>
                <w:rFonts w:ascii="Calibri" w:hAnsi="Calibri" w:cs="Calibri"/>
                <w:b/>
                <w:bCs/>
                <w:color w:val="000000"/>
                <w:sz w:val="18"/>
                <w:szCs w:val="18"/>
              </w:rPr>
              <w:t xml:space="preserve">8.408 </w:t>
            </w:r>
          </w:p>
        </w:tc>
        <w:tc>
          <w:tcPr>
            <w:tcW w:w="851" w:type="dxa"/>
            <w:tcBorders>
              <w:top w:val="nil"/>
              <w:left w:val="nil"/>
              <w:bottom w:val="nil"/>
              <w:right w:val="nil"/>
            </w:tcBorders>
            <w:shd w:val="clear" w:color="auto" w:fill="auto"/>
            <w:noWrap/>
            <w:vAlign w:val="bottom"/>
            <w:hideMark/>
          </w:tcPr>
          <w:p w14:paraId="03686AFA"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57DC9A51"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4518E751"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76EF513"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26BCD443"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3527D992" w14:textId="77777777" w:rsidR="00B13601" w:rsidRPr="003D3CA6" w:rsidRDefault="00B13601" w:rsidP="003F7B43">
            <w:pPr>
              <w:rPr>
                <w:rFonts w:ascii="Calibri" w:hAnsi="Calibri" w:cs="Calibri"/>
                <w:color w:val="000000"/>
                <w:sz w:val="18"/>
                <w:szCs w:val="18"/>
              </w:rPr>
            </w:pPr>
          </w:p>
        </w:tc>
        <w:tc>
          <w:tcPr>
            <w:tcW w:w="804" w:type="dxa"/>
            <w:tcBorders>
              <w:top w:val="nil"/>
              <w:left w:val="nil"/>
              <w:bottom w:val="nil"/>
              <w:right w:val="nil"/>
            </w:tcBorders>
            <w:shd w:val="clear" w:color="auto" w:fill="auto"/>
            <w:noWrap/>
            <w:vAlign w:val="bottom"/>
            <w:hideMark/>
          </w:tcPr>
          <w:p w14:paraId="54D2779A" w14:textId="77777777" w:rsidR="00B13601" w:rsidRPr="003D3CA6" w:rsidRDefault="00B13601" w:rsidP="003F7B43">
            <w:pPr>
              <w:rPr>
                <w:rFonts w:ascii="Calibri" w:hAnsi="Calibri" w:cs="Calibri"/>
                <w:color w:val="000000"/>
                <w:sz w:val="18"/>
                <w:szCs w:val="18"/>
              </w:rPr>
            </w:pPr>
          </w:p>
        </w:tc>
        <w:tc>
          <w:tcPr>
            <w:tcW w:w="709" w:type="dxa"/>
            <w:tcBorders>
              <w:top w:val="nil"/>
              <w:left w:val="nil"/>
              <w:bottom w:val="nil"/>
              <w:right w:val="nil"/>
            </w:tcBorders>
            <w:shd w:val="clear" w:color="auto" w:fill="auto"/>
            <w:noWrap/>
            <w:vAlign w:val="bottom"/>
            <w:hideMark/>
          </w:tcPr>
          <w:p w14:paraId="29432650" w14:textId="77777777" w:rsidR="00B13601" w:rsidRPr="003D3CA6" w:rsidRDefault="00B13601" w:rsidP="003F7B43">
            <w:pPr>
              <w:rPr>
                <w:rFonts w:ascii="Calibri" w:hAnsi="Calibri" w:cs="Calibri"/>
                <w:color w:val="000000"/>
                <w:sz w:val="18"/>
                <w:szCs w:val="18"/>
              </w:rPr>
            </w:pPr>
          </w:p>
        </w:tc>
      </w:tr>
      <w:tr w:rsidR="00B13601" w:rsidRPr="003D3CA6" w14:paraId="1085F7C7" w14:textId="77777777" w:rsidTr="00B13601">
        <w:trPr>
          <w:trHeight w:val="300"/>
        </w:trPr>
        <w:tc>
          <w:tcPr>
            <w:tcW w:w="2709" w:type="dxa"/>
            <w:gridSpan w:val="3"/>
            <w:tcBorders>
              <w:top w:val="nil"/>
              <w:left w:val="nil"/>
              <w:bottom w:val="nil"/>
              <w:right w:val="nil"/>
            </w:tcBorders>
            <w:shd w:val="clear" w:color="auto" w:fill="auto"/>
            <w:noWrap/>
            <w:vAlign w:val="bottom"/>
            <w:hideMark/>
          </w:tcPr>
          <w:p w14:paraId="748F514C" w14:textId="77777777" w:rsidR="00B13601" w:rsidRPr="003D3CA6" w:rsidRDefault="00B13601" w:rsidP="003F7B43">
            <w:pPr>
              <w:jc w:val="center"/>
              <w:rPr>
                <w:rFonts w:ascii="Calibri" w:hAnsi="Calibri" w:cs="Calibri"/>
                <w:b/>
                <w:bCs/>
                <w:color w:val="000000"/>
                <w:sz w:val="18"/>
                <w:szCs w:val="18"/>
              </w:rPr>
            </w:pPr>
            <w:r w:rsidRPr="003D3CA6">
              <w:rPr>
                <w:rFonts w:ascii="Calibri" w:hAnsi="Calibri" w:cs="Calibri"/>
                <w:b/>
                <w:bCs/>
                <w:color w:val="000000"/>
                <w:sz w:val="18"/>
                <w:szCs w:val="18"/>
              </w:rPr>
              <w:t>TIR</w:t>
            </w:r>
          </w:p>
        </w:tc>
        <w:tc>
          <w:tcPr>
            <w:tcW w:w="850" w:type="dxa"/>
            <w:tcBorders>
              <w:top w:val="nil"/>
              <w:left w:val="nil"/>
              <w:bottom w:val="nil"/>
              <w:right w:val="nil"/>
            </w:tcBorders>
            <w:shd w:val="clear" w:color="auto" w:fill="auto"/>
            <w:noWrap/>
            <w:vAlign w:val="bottom"/>
            <w:hideMark/>
          </w:tcPr>
          <w:p w14:paraId="392EB8D6" w14:textId="77777777" w:rsidR="00B13601" w:rsidRPr="003D3CA6" w:rsidRDefault="00B13601" w:rsidP="00CA7F15">
            <w:pPr>
              <w:jc w:val="right"/>
              <w:rPr>
                <w:rFonts w:ascii="Calibri" w:hAnsi="Calibri" w:cs="Calibri"/>
                <w:b/>
                <w:bCs/>
                <w:color w:val="000000"/>
                <w:sz w:val="18"/>
                <w:szCs w:val="18"/>
              </w:rPr>
            </w:pPr>
            <w:r w:rsidRPr="003D3CA6">
              <w:rPr>
                <w:rFonts w:ascii="Calibri" w:hAnsi="Calibri" w:cs="Calibri"/>
                <w:b/>
                <w:bCs/>
                <w:color w:val="000000"/>
                <w:sz w:val="18"/>
                <w:szCs w:val="18"/>
              </w:rPr>
              <w:t>20,5%</w:t>
            </w:r>
          </w:p>
        </w:tc>
        <w:tc>
          <w:tcPr>
            <w:tcW w:w="851" w:type="dxa"/>
            <w:tcBorders>
              <w:top w:val="nil"/>
              <w:left w:val="nil"/>
              <w:bottom w:val="nil"/>
              <w:right w:val="nil"/>
            </w:tcBorders>
            <w:shd w:val="clear" w:color="auto" w:fill="auto"/>
            <w:noWrap/>
            <w:vAlign w:val="bottom"/>
            <w:hideMark/>
          </w:tcPr>
          <w:p w14:paraId="5075B6B1"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4EEE930B"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318BF8AB"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61CF92A2"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73393ADF" w14:textId="77777777" w:rsidR="00B13601" w:rsidRPr="003D3CA6" w:rsidRDefault="00B13601" w:rsidP="003F7B43">
            <w:pPr>
              <w:rPr>
                <w:rFonts w:ascii="Calibri" w:hAnsi="Calibri" w:cs="Calibri"/>
                <w:color w:val="000000"/>
                <w:sz w:val="18"/>
                <w:szCs w:val="18"/>
              </w:rPr>
            </w:pPr>
          </w:p>
        </w:tc>
        <w:tc>
          <w:tcPr>
            <w:tcW w:w="718" w:type="dxa"/>
            <w:tcBorders>
              <w:top w:val="nil"/>
              <w:left w:val="nil"/>
              <w:bottom w:val="nil"/>
              <w:right w:val="nil"/>
            </w:tcBorders>
            <w:shd w:val="clear" w:color="auto" w:fill="auto"/>
            <w:noWrap/>
            <w:vAlign w:val="bottom"/>
            <w:hideMark/>
          </w:tcPr>
          <w:p w14:paraId="75947E09" w14:textId="77777777" w:rsidR="00B13601" w:rsidRPr="003D3CA6" w:rsidRDefault="00B13601" w:rsidP="003F7B43">
            <w:pPr>
              <w:rPr>
                <w:rFonts w:ascii="Calibri" w:hAnsi="Calibri" w:cs="Calibri"/>
                <w:color w:val="000000"/>
                <w:sz w:val="18"/>
                <w:szCs w:val="18"/>
              </w:rPr>
            </w:pPr>
          </w:p>
        </w:tc>
        <w:tc>
          <w:tcPr>
            <w:tcW w:w="804" w:type="dxa"/>
            <w:tcBorders>
              <w:top w:val="nil"/>
              <w:left w:val="nil"/>
              <w:bottom w:val="nil"/>
              <w:right w:val="nil"/>
            </w:tcBorders>
            <w:shd w:val="clear" w:color="auto" w:fill="auto"/>
            <w:noWrap/>
            <w:vAlign w:val="bottom"/>
            <w:hideMark/>
          </w:tcPr>
          <w:p w14:paraId="5CB4173A" w14:textId="77777777" w:rsidR="00B13601" w:rsidRPr="003D3CA6" w:rsidRDefault="00B13601" w:rsidP="003F7B43">
            <w:pPr>
              <w:rPr>
                <w:rFonts w:ascii="Calibri" w:hAnsi="Calibri" w:cs="Calibri"/>
                <w:color w:val="000000"/>
                <w:sz w:val="18"/>
                <w:szCs w:val="18"/>
              </w:rPr>
            </w:pPr>
          </w:p>
        </w:tc>
        <w:tc>
          <w:tcPr>
            <w:tcW w:w="709" w:type="dxa"/>
            <w:tcBorders>
              <w:top w:val="nil"/>
              <w:left w:val="nil"/>
              <w:bottom w:val="nil"/>
              <w:right w:val="nil"/>
            </w:tcBorders>
            <w:shd w:val="clear" w:color="auto" w:fill="auto"/>
            <w:noWrap/>
            <w:vAlign w:val="bottom"/>
            <w:hideMark/>
          </w:tcPr>
          <w:p w14:paraId="03EC04EF" w14:textId="77777777" w:rsidR="00B13601" w:rsidRPr="003D3CA6" w:rsidRDefault="00B13601" w:rsidP="003F7B43">
            <w:pPr>
              <w:rPr>
                <w:rFonts w:ascii="Calibri" w:hAnsi="Calibri" w:cs="Calibri"/>
                <w:color w:val="000000"/>
                <w:sz w:val="18"/>
                <w:szCs w:val="18"/>
              </w:rPr>
            </w:pPr>
          </w:p>
        </w:tc>
      </w:tr>
      <w:tr w:rsidR="00B13601" w:rsidRPr="003D3CA6" w14:paraId="75DB7518" w14:textId="77777777" w:rsidTr="00B13601">
        <w:trPr>
          <w:trHeight w:val="300"/>
        </w:trPr>
        <w:tc>
          <w:tcPr>
            <w:tcW w:w="9513" w:type="dxa"/>
            <w:gridSpan w:val="12"/>
            <w:tcBorders>
              <w:top w:val="nil"/>
              <w:left w:val="nil"/>
              <w:bottom w:val="nil"/>
              <w:right w:val="nil"/>
            </w:tcBorders>
            <w:shd w:val="clear" w:color="auto" w:fill="auto"/>
            <w:noWrap/>
            <w:vAlign w:val="bottom"/>
            <w:hideMark/>
          </w:tcPr>
          <w:p w14:paraId="16F98571" w14:textId="77777777" w:rsidR="00D877FD" w:rsidRPr="00D877FD" w:rsidRDefault="00D877FD" w:rsidP="00D877FD">
            <w:pPr>
              <w:pStyle w:val="Ttulo1"/>
              <w:spacing w:before="120"/>
              <w:rPr>
                <w:rFonts w:ascii="Arial" w:hAnsi="Arial" w:cs="Arial"/>
                <w:b w:val="0"/>
                <w:color w:val="FF0000"/>
                <w:sz w:val="20"/>
                <w:szCs w:val="20"/>
                <w:lang w:val="pt-BR" w:eastAsia="es-ES"/>
              </w:rPr>
            </w:pPr>
            <w:r w:rsidRPr="00D877FD">
              <w:rPr>
                <w:rFonts w:ascii="Arial" w:hAnsi="Arial" w:cs="Arial"/>
                <w:b w:val="0"/>
                <w:color w:val="FF0000"/>
                <w:sz w:val="20"/>
                <w:szCs w:val="20"/>
                <w:lang w:val="pt-BR" w:eastAsia="es-ES"/>
              </w:rPr>
              <w:t xml:space="preserve">Fonte: Cálculos do autor para o Cenário </w:t>
            </w:r>
            <w:proofErr w:type="gramStart"/>
            <w:r w:rsidRPr="00D877FD">
              <w:rPr>
                <w:rFonts w:ascii="Arial" w:hAnsi="Arial" w:cs="Arial"/>
                <w:b w:val="0"/>
                <w:color w:val="FF0000"/>
                <w:sz w:val="20"/>
                <w:szCs w:val="20"/>
                <w:lang w:val="pt-BR" w:eastAsia="es-ES"/>
              </w:rPr>
              <w:t>3</w:t>
            </w:r>
            <w:proofErr w:type="gramEnd"/>
            <w:r w:rsidRPr="00D877FD">
              <w:rPr>
                <w:rFonts w:ascii="Arial" w:hAnsi="Arial" w:cs="Arial"/>
                <w:b w:val="0"/>
                <w:color w:val="FF0000"/>
                <w:sz w:val="20"/>
                <w:szCs w:val="20"/>
                <w:lang w:val="pt-BR" w:eastAsia="es-ES"/>
              </w:rPr>
              <w:t xml:space="preserve"> com uma redução menor do Gap Tributário resultando em menor aumento de arrecadação adicional do ICMS.  </w:t>
            </w:r>
          </w:p>
          <w:p w14:paraId="7E7F548C" w14:textId="5E3E4C14" w:rsidR="00B13601" w:rsidRPr="003D3CA6" w:rsidRDefault="00B13601" w:rsidP="003F7B43">
            <w:pPr>
              <w:rPr>
                <w:rFonts w:ascii="Calibri" w:hAnsi="Calibri" w:cs="Calibri"/>
                <w:color w:val="FF0000"/>
                <w:sz w:val="18"/>
                <w:szCs w:val="18"/>
                <w:lang w:val="pt-BR"/>
              </w:rPr>
            </w:pPr>
          </w:p>
        </w:tc>
      </w:tr>
    </w:tbl>
    <w:p w14:paraId="294D5654" w14:textId="6723AFF0" w:rsidR="00E12AEE" w:rsidRPr="001F27CE" w:rsidRDefault="000E59CF" w:rsidP="008759BC">
      <w:pPr>
        <w:pStyle w:val="PargrafodaLista"/>
        <w:keepNext/>
        <w:numPr>
          <w:ilvl w:val="1"/>
          <w:numId w:val="4"/>
        </w:numPr>
        <w:suppressAutoHyphens/>
        <w:spacing w:before="120"/>
        <w:ind w:left="284" w:hanging="567"/>
        <w:jc w:val="both"/>
        <w:outlineLvl w:val="3"/>
        <w:rPr>
          <w:rFonts w:ascii="Arial" w:hAnsi="Arial" w:cs="Arial"/>
          <w:bCs/>
          <w:lang w:val="pt-BR" w:eastAsia="es-ES"/>
        </w:rPr>
      </w:pPr>
      <w:r w:rsidRPr="001F27CE">
        <w:rPr>
          <w:rFonts w:ascii="Arial" w:hAnsi="Arial" w:cs="Arial"/>
          <w:b/>
          <w:bCs/>
          <w:lang w:val="pt-BR" w:eastAsia="es-ES"/>
        </w:rPr>
        <w:t xml:space="preserve">Cenário </w:t>
      </w:r>
      <w:proofErr w:type="gramStart"/>
      <w:r w:rsidRPr="001F27CE">
        <w:rPr>
          <w:rFonts w:ascii="Arial" w:hAnsi="Arial" w:cs="Arial"/>
          <w:b/>
          <w:bCs/>
          <w:lang w:val="pt-BR" w:eastAsia="es-ES"/>
        </w:rPr>
        <w:t>4</w:t>
      </w:r>
      <w:proofErr w:type="gramEnd"/>
      <w:r w:rsidRPr="001F27CE">
        <w:rPr>
          <w:rFonts w:ascii="Arial" w:hAnsi="Arial" w:cs="Arial"/>
          <w:b/>
          <w:bCs/>
          <w:lang w:val="pt-BR" w:eastAsia="es-ES"/>
        </w:rPr>
        <w:t>: Desvalorização e Redução de Benefícios</w:t>
      </w:r>
      <w:r w:rsidRPr="001F27CE">
        <w:rPr>
          <w:rFonts w:ascii="Arial" w:hAnsi="Arial" w:cs="Arial"/>
          <w:bCs/>
          <w:lang w:val="pt-BR" w:eastAsia="es-ES"/>
        </w:rPr>
        <w:t xml:space="preserve">. Este cenário assume uma desvalorização do Real em </w:t>
      </w:r>
      <w:r w:rsidR="004B4717" w:rsidRPr="001F27CE">
        <w:rPr>
          <w:rFonts w:ascii="Arial" w:hAnsi="Arial" w:cs="Arial"/>
          <w:bCs/>
          <w:lang w:val="pt-BR" w:eastAsia="es-ES"/>
        </w:rPr>
        <w:t>25</w:t>
      </w:r>
      <w:r w:rsidRPr="001F27CE">
        <w:rPr>
          <w:rFonts w:ascii="Arial" w:hAnsi="Arial" w:cs="Arial"/>
          <w:bCs/>
          <w:lang w:val="pt-BR" w:eastAsia="es-ES"/>
        </w:rPr>
        <w:t xml:space="preserve">% e a </w:t>
      </w:r>
      <w:r w:rsidR="00613638" w:rsidRPr="001F27CE">
        <w:rPr>
          <w:rFonts w:ascii="Arial" w:hAnsi="Arial" w:cs="Arial"/>
          <w:bCs/>
          <w:lang w:val="pt-BR" w:eastAsia="es-ES"/>
        </w:rPr>
        <w:t xml:space="preserve">redução do Gap Tributário </w:t>
      </w:r>
      <w:r w:rsidR="004B4717" w:rsidRPr="001F27CE">
        <w:rPr>
          <w:rFonts w:ascii="Arial" w:hAnsi="Arial" w:cs="Arial"/>
          <w:bCs/>
          <w:lang w:val="pt-BR" w:eastAsia="es-ES"/>
        </w:rPr>
        <w:t>em 0,</w:t>
      </w:r>
      <w:r w:rsidR="00AD64E2" w:rsidRPr="001F27CE">
        <w:rPr>
          <w:rFonts w:ascii="Arial" w:hAnsi="Arial" w:cs="Arial"/>
          <w:bCs/>
          <w:lang w:val="pt-BR" w:eastAsia="es-ES"/>
        </w:rPr>
        <w:t>3</w:t>
      </w:r>
      <w:r w:rsidR="00613638" w:rsidRPr="001F27CE">
        <w:rPr>
          <w:rFonts w:ascii="Arial" w:hAnsi="Arial" w:cs="Arial"/>
          <w:bCs/>
          <w:lang w:val="pt-BR" w:eastAsia="es-ES"/>
        </w:rPr>
        <w:t xml:space="preserve">% ao final do programa. </w:t>
      </w:r>
      <w:r w:rsidRPr="001F27CE">
        <w:rPr>
          <w:rFonts w:ascii="Arial" w:hAnsi="Arial" w:cs="Arial"/>
          <w:bCs/>
          <w:lang w:val="pt-BR" w:eastAsia="es-ES"/>
        </w:rPr>
        <w:t xml:space="preserve">Neste caso a TIR passa para </w:t>
      </w:r>
      <w:r w:rsidR="00AD64E2" w:rsidRPr="001F27CE">
        <w:rPr>
          <w:rFonts w:ascii="Arial" w:hAnsi="Arial" w:cs="Arial"/>
          <w:bCs/>
          <w:lang w:val="pt-BR" w:eastAsia="es-ES"/>
        </w:rPr>
        <w:t>12</w:t>
      </w:r>
      <w:r w:rsidR="00B6494D" w:rsidRPr="001F27CE">
        <w:rPr>
          <w:rFonts w:ascii="Arial" w:hAnsi="Arial" w:cs="Arial"/>
          <w:bCs/>
          <w:lang w:val="pt-BR" w:eastAsia="es-ES"/>
        </w:rPr>
        <w:t>,3</w:t>
      </w:r>
      <w:r w:rsidRPr="001F27CE">
        <w:rPr>
          <w:rFonts w:ascii="Arial" w:hAnsi="Arial" w:cs="Arial"/>
          <w:bCs/>
          <w:lang w:val="pt-BR" w:eastAsia="es-ES"/>
        </w:rPr>
        <w:t xml:space="preserve">%, o VPL cai para </w:t>
      </w:r>
      <w:r w:rsidR="00285064" w:rsidRPr="001F27CE">
        <w:rPr>
          <w:rFonts w:ascii="Arial" w:hAnsi="Arial" w:cs="Arial"/>
          <w:bCs/>
          <w:lang w:val="pt-BR" w:eastAsia="es-ES"/>
        </w:rPr>
        <w:t>um pouco m</w:t>
      </w:r>
      <w:r w:rsidR="00AD64E2" w:rsidRPr="001F27CE">
        <w:rPr>
          <w:rFonts w:ascii="Arial" w:hAnsi="Arial" w:cs="Arial"/>
          <w:bCs/>
          <w:lang w:val="pt-BR" w:eastAsia="es-ES"/>
        </w:rPr>
        <w:t>ais</w:t>
      </w:r>
      <w:r w:rsidR="00285064" w:rsidRPr="001F27CE">
        <w:rPr>
          <w:rFonts w:ascii="Arial" w:hAnsi="Arial" w:cs="Arial"/>
          <w:bCs/>
          <w:lang w:val="pt-BR" w:eastAsia="es-ES"/>
        </w:rPr>
        <w:t xml:space="preserve"> de </w:t>
      </w:r>
      <w:r w:rsidRPr="001F27CE">
        <w:rPr>
          <w:rFonts w:ascii="Arial" w:hAnsi="Arial" w:cs="Arial"/>
          <w:bCs/>
          <w:lang w:val="pt-BR" w:eastAsia="es-ES"/>
        </w:rPr>
        <w:t>US$</w:t>
      </w:r>
      <w:r w:rsidR="00AD64E2" w:rsidRPr="001F27CE">
        <w:rPr>
          <w:rFonts w:ascii="Arial" w:hAnsi="Arial" w:cs="Arial"/>
          <w:bCs/>
          <w:lang w:val="pt-BR" w:eastAsia="es-ES"/>
        </w:rPr>
        <w:t xml:space="preserve"> 2 milhões</w:t>
      </w:r>
      <w:r w:rsidRPr="001F27CE">
        <w:rPr>
          <w:rFonts w:ascii="Arial" w:hAnsi="Arial" w:cs="Arial"/>
          <w:bCs/>
          <w:lang w:val="pt-BR" w:eastAsia="es-ES"/>
        </w:rPr>
        <w:t xml:space="preserve">, o fluxo anual passa a ser positivo no </w:t>
      </w:r>
      <w:r w:rsidR="00AD64E2" w:rsidRPr="001F27CE">
        <w:rPr>
          <w:rFonts w:ascii="Arial" w:hAnsi="Arial" w:cs="Arial"/>
          <w:bCs/>
          <w:lang w:val="pt-BR" w:eastAsia="es-ES"/>
        </w:rPr>
        <w:t xml:space="preserve">quinto </w:t>
      </w:r>
      <w:r w:rsidRPr="001F27CE">
        <w:rPr>
          <w:rFonts w:ascii="Arial" w:hAnsi="Arial" w:cs="Arial"/>
          <w:bCs/>
          <w:lang w:val="pt-BR" w:eastAsia="es-ES"/>
        </w:rPr>
        <w:t>ano</w:t>
      </w:r>
      <w:r w:rsidR="00285064" w:rsidRPr="001F27CE">
        <w:rPr>
          <w:rFonts w:ascii="Arial" w:hAnsi="Arial" w:cs="Arial"/>
          <w:bCs/>
          <w:lang w:val="pt-BR" w:eastAsia="es-ES"/>
        </w:rPr>
        <w:t>, e o acumulado no ano</w:t>
      </w:r>
      <w:r w:rsidR="00AD64E2" w:rsidRPr="001F27CE">
        <w:rPr>
          <w:rFonts w:ascii="Arial" w:hAnsi="Arial" w:cs="Arial"/>
          <w:bCs/>
          <w:lang w:val="pt-BR" w:eastAsia="es-ES"/>
        </w:rPr>
        <w:t xml:space="preserve"> oito</w:t>
      </w:r>
      <w:r w:rsidR="00CA7F15">
        <w:rPr>
          <w:rFonts w:ascii="Arial" w:hAnsi="Arial" w:cs="Arial"/>
          <w:bCs/>
          <w:lang w:val="pt-BR" w:eastAsia="es-ES"/>
        </w:rPr>
        <w:t xml:space="preserve">, como mostra a </w:t>
      </w:r>
      <w:r w:rsidR="00CA7F15" w:rsidRPr="00CA7F15">
        <w:rPr>
          <w:rFonts w:ascii="Arial" w:hAnsi="Arial" w:cs="Arial"/>
          <w:bCs/>
          <w:color w:val="FF0000"/>
          <w:lang w:val="pt-BR" w:eastAsia="es-ES"/>
        </w:rPr>
        <w:t>Tabela 17</w:t>
      </w:r>
      <w:r w:rsidR="00CA7F15">
        <w:rPr>
          <w:rFonts w:ascii="Arial" w:hAnsi="Arial" w:cs="Arial"/>
          <w:bCs/>
          <w:lang w:val="pt-BR" w:eastAsia="es-ES"/>
        </w:rPr>
        <w:t>.</w:t>
      </w:r>
      <w:r w:rsidRPr="001F27CE">
        <w:rPr>
          <w:rFonts w:ascii="Arial" w:hAnsi="Arial" w:cs="Arial"/>
          <w:bCs/>
          <w:lang w:val="pt-BR" w:eastAsia="es-ES"/>
        </w:rPr>
        <w:t xml:space="preserve"> Mesmo neste cenário extremamente pessimista, o programa ainda tem uma taxa interna de retorno aceitável.</w:t>
      </w:r>
      <w:r w:rsidR="003B5504" w:rsidRPr="001F27CE">
        <w:rPr>
          <w:rFonts w:ascii="Arial" w:hAnsi="Arial" w:cs="Arial"/>
          <w:bCs/>
          <w:lang w:val="pt-BR" w:eastAsia="es-ES"/>
        </w:rPr>
        <w:t xml:space="preserve"> </w:t>
      </w:r>
    </w:p>
    <w:tbl>
      <w:tblPr>
        <w:tblW w:w="10313" w:type="dxa"/>
        <w:tblInd w:w="93" w:type="dxa"/>
        <w:tblLook w:val="04A0" w:firstRow="1" w:lastRow="0" w:firstColumn="1" w:lastColumn="0" w:noHBand="0" w:noVBand="1"/>
      </w:tblPr>
      <w:tblGrid>
        <w:gridCol w:w="1149"/>
        <w:gridCol w:w="709"/>
        <w:gridCol w:w="709"/>
        <w:gridCol w:w="267"/>
        <w:gridCol w:w="583"/>
        <w:gridCol w:w="467"/>
        <w:gridCol w:w="384"/>
        <w:gridCol w:w="463"/>
        <w:gridCol w:w="387"/>
        <w:gridCol w:w="380"/>
        <w:gridCol w:w="329"/>
        <w:gridCol w:w="438"/>
        <w:gridCol w:w="271"/>
        <w:gridCol w:w="496"/>
        <w:gridCol w:w="354"/>
        <w:gridCol w:w="413"/>
        <w:gridCol w:w="296"/>
        <w:gridCol w:w="471"/>
        <w:gridCol w:w="238"/>
        <w:gridCol w:w="662"/>
        <w:gridCol w:w="188"/>
        <w:gridCol w:w="659"/>
      </w:tblGrid>
      <w:tr w:rsidR="00CA7F15" w:rsidRPr="00CA7F15" w14:paraId="0FBEF936" w14:textId="77777777" w:rsidTr="00470583">
        <w:trPr>
          <w:trHeight w:val="300"/>
        </w:trPr>
        <w:tc>
          <w:tcPr>
            <w:tcW w:w="10313" w:type="dxa"/>
            <w:gridSpan w:val="22"/>
            <w:tcBorders>
              <w:top w:val="nil"/>
              <w:left w:val="nil"/>
              <w:bottom w:val="nil"/>
              <w:right w:val="nil"/>
            </w:tcBorders>
            <w:shd w:val="clear" w:color="auto" w:fill="auto"/>
            <w:noWrap/>
            <w:vAlign w:val="bottom"/>
            <w:hideMark/>
          </w:tcPr>
          <w:p w14:paraId="6E13FC32" w14:textId="77777777" w:rsidR="00CA7F15" w:rsidRPr="00CA7F15" w:rsidRDefault="00CA7F15" w:rsidP="00CA7F15">
            <w:pPr>
              <w:rPr>
                <w:rFonts w:ascii="Calibri" w:hAnsi="Calibri" w:cs="Calibri"/>
                <w:b/>
                <w:bCs/>
                <w:color w:val="000000"/>
                <w:sz w:val="22"/>
                <w:szCs w:val="22"/>
                <w:lang w:val="pt-BR"/>
              </w:rPr>
            </w:pPr>
            <w:r w:rsidRPr="00CA7F15">
              <w:rPr>
                <w:rFonts w:ascii="Calibri" w:hAnsi="Calibri" w:cs="Calibri"/>
                <w:b/>
                <w:bCs/>
                <w:color w:val="FF0000"/>
                <w:sz w:val="22"/>
                <w:szCs w:val="22"/>
                <w:lang w:val="pt-BR"/>
              </w:rPr>
              <w:t xml:space="preserve">Tabela 17: </w:t>
            </w:r>
            <w:r w:rsidRPr="00CA7F15">
              <w:rPr>
                <w:rFonts w:ascii="Calibri" w:hAnsi="Calibri" w:cs="Calibri"/>
                <w:b/>
                <w:bCs/>
                <w:color w:val="000000"/>
                <w:sz w:val="22"/>
                <w:szCs w:val="22"/>
                <w:lang w:val="pt-BR"/>
              </w:rPr>
              <w:t xml:space="preserve">Cenário </w:t>
            </w:r>
            <w:proofErr w:type="gramStart"/>
            <w:r w:rsidRPr="00CA7F15">
              <w:rPr>
                <w:rFonts w:ascii="Calibri" w:hAnsi="Calibri" w:cs="Calibri"/>
                <w:b/>
                <w:bCs/>
                <w:color w:val="000000"/>
                <w:sz w:val="22"/>
                <w:szCs w:val="22"/>
                <w:lang w:val="pt-BR"/>
              </w:rPr>
              <w:t>4</w:t>
            </w:r>
            <w:proofErr w:type="gramEnd"/>
            <w:r w:rsidRPr="00CA7F15">
              <w:rPr>
                <w:rFonts w:ascii="Calibri" w:hAnsi="Calibri" w:cs="Calibri"/>
                <w:b/>
                <w:bCs/>
                <w:color w:val="000000"/>
                <w:sz w:val="22"/>
                <w:szCs w:val="22"/>
                <w:lang w:val="pt-BR"/>
              </w:rPr>
              <w:t xml:space="preserve"> - Análise Custo-Benefício - Desvalorização e Redução de Benefícios</w:t>
            </w:r>
          </w:p>
        </w:tc>
      </w:tr>
      <w:tr w:rsidR="00470583" w:rsidRPr="00CA7F15" w14:paraId="713556C9" w14:textId="77777777" w:rsidTr="00470583">
        <w:trPr>
          <w:gridAfter w:val="1"/>
          <w:wAfter w:w="659" w:type="dxa"/>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B4770" w14:textId="77777777" w:rsidR="00CA7F15" w:rsidRPr="00CA7F15" w:rsidRDefault="00CA7F15" w:rsidP="00CA7F15">
            <w:pPr>
              <w:rPr>
                <w:rFonts w:ascii="Calibri" w:hAnsi="Calibri" w:cs="Calibri"/>
                <w:color w:val="000000"/>
                <w:sz w:val="16"/>
                <w:szCs w:val="16"/>
                <w:lang w:val="pt-BR"/>
              </w:rPr>
            </w:pPr>
            <w:r w:rsidRPr="00CA7F15">
              <w:rPr>
                <w:rFonts w:ascii="Calibri" w:hAnsi="Calibri" w:cs="Calibri"/>
                <w:color w:val="000000"/>
                <w:sz w:val="16"/>
                <w:szCs w:val="16"/>
                <w:lang w:val="pt-BR"/>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AA05DB8"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5382100"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2</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56EFF1"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3</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3FBC74"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4</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2D880F"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5</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C959BA"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6</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14:paraId="378409D7"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7</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F7A4BB4"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8</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1B726FB"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9</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14:paraId="1A5F6F49" w14:textId="77777777" w:rsidR="00CA7F15" w:rsidRPr="00CA7F15" w:rsidRDefault="00CA7F15" w:rsidP="00CA7F15">
            <w:pPr>
              <w:jc w:val="center"/>
              <w:rPr>
                <w:rFonts w:ascii="Calibri" w:hAnsi="Calibri" w:cs="Calibri"/>
                <w:color w:val="000000"/>
                <w:sz w:val="16"/>
                <w:szCs w:val="16"/>
              </w:rPr>
            </w:pPr>
            <w:proofErr w:type="spellStart"/>
            <w:r w:rsidRPr="00CA7F15">
              <w:rPr>
                <w:rFonts w:ascii="Calibri" w:hAnsi="Calibri" w:cs="Calibri"/>
                <w:color w:val="000000"/>
                <w:sz w:val="16"/>
                <w:szCs w:val="16"/>
              </w:rPr>
              <w:t>ano</w:t>
            </w:r>
            <w:proofErr w:type="spellEnd"/>
            <w:r w:rsidRPr="00CA7F15">
              <w:rPr>
                <w:rFonts w:ascii="Calibri" w:hAnsi="Calibri" w:cs="Calibri"/>
                <w:color w:val="000000"/>
                <w:sz w:val="16"/>
                <w:szCs w:val="16"/>
              </w:rPr>
              <w:t xml:space="preserve"> 10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3CFFFC" w14:textId="77777777" w:rsidR="00CA7F15" w:rsidRPr="00CA7F15" w:rsidRDefault="00CA7F15" w:rsidP="00CA7F15">
            <w:pPr>
              <w:jc w:val="center"/>
              <w:rPr>
                <w:rFonts w:ascii="Calibri" w:hAnsi="Calibri" w:cs="Calibri"/>
                <w:color w:val="000000"/>
                <w:sz w:val="16"/>
                <w:szCs w:val="16"/>
              </w:rPr>
            </w:pPr>
            <w:r w:rsidRPr="00CA7F15">
              <w:rPr>
                <w:rFonts w:ascii="Calibri" w:hAnsi="Calibri" w:cs="Calibri"/>
                <w:color w:val="000000"/>
                <w:sz w:val="16"/>
                <w:szCs w:val="16"/>
              </w:rPr>
              <w:t>Total</w:t>
            </w:r>
          </w:p>
        </w:tc>
      </w:tr>
      <w:tr w:rsidR="00470583" w:rsidRPr="00CA7F15" w14:paraId="6C991AF4" w14:textId="77777777" w:rsidTr="00470583">
        <w:trPr>
          <w:gridAfter w:val="1"/>
          <w:wAfter w:w="659" w:type="dxa"/>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264F60F8" w14:textId="77777777" w:rsidR="00CA7F15" w:rsidRPr="00CA7F15" w:rsidRDefault="00CA7F15" w:rsidP="00CA7F15">
            <w:pPr>
              <w:rPr>
                <w:rFonts w:ascii="Calibri" w:hAnsi="Calibri" w:cs="Calibri"/>
                <w:color w:val="000000"/>
                <w:sz w:val="16"/>
                <w:szCs w:val="16"/>
              </w:rPr>
            </w:pPr>
            <w:proofErr w:type="spellStart"/>
            <w:r w:rsidRPr="00CA7F15">
              <w:rPr>
                <w:rFonts w:ascii="Calibri" w:hAnsi="Calibri" w:cs="Calibri"/>
                <w:color w:val="000000"/>
                <w:sz w:val="16"/>
                <w:szCs w:val="16"/>
              </w:rPr>
              <w:t>Custos</w:t>
            </w:r>
            <w:proofErr w:type="spellEnd"/>
            <w:r w:rsidRPr="00CA7F15">
              <w:rPr>
                <w:rFonts w:ascii="Calibri" w:hAnsi="Calibri" w:cs="Calibri"/>
                <w:color w:val="000000"/>
                <w:sz w:val="16"/>
                <w:szCs w:val="16"/>
              </w:rPr>
              <w:t xml:space="preserve"> </w:t>
            </w:r>
            <w:proofErr w:type="spellStart"/>
            <w:r w:rsidRPr="00CA7F15">
              <w:rPr>
                <w:rFonts w:ascii="Calibri" w:hAnsi="Calibri" w:cs="Calibri"/>
                <w:color w:val="000000"/>
                <w:sz w:val="16"/>
                <w:szCs w:val="16"/>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E47DEFD"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-9.183 </w:t>
            </w:r>
          </w:p>
        </w:tc>
        <w:tc>
          <w:tcPr>
            <w:tcW w:w="709" w:type="dxa"/>
            <w:tcBorders>
              <w:top w:val="nil"/>
              <w:left w:val="nil"/>
              <w:bottom w:val="single" w:sz="4" w:space="0" w:color="auto"/>
              <w:right w:val="single" w:sz="4" w:space="0" w:color="auto"/>
            </w:tcBorders>
            <w:shd w:val="clear" w:color="auto" w:fill="auto"/>
            <w:noWrap/>
            <w:vAlign w:val="bottom"/>
            <w:hideMark/>
          </w:tcPr>
          <w:p w14:paraId="36426208"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-8.903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2BB7A9BE"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-10.130 </w:t>
            </w:r>
          </w:p>
        </w:tc>
        <w:tc>
          <w:tcPr>
            <w:tcW w:w="851" w:type="dxa"/>
            <w:gridSpan w:val="2"/>
            <w:tcBorders>
              <w:top w:val="nil"/>
              <w:left w:val="nil"/>
              <w:bottom w:val="single" w:sz="4" w:space="0" w:color="auto"/>
              <w:right w:val="single" w:sz="4" w:space="0" w:color="auto"/>
            </w:tcBorders>
            <w:shd w:val="clear" w:color="auto" w:fill="auto"/>
            <w:noWrap/>
            <w:vAlign w:val="bottom"/>
            <w:hideMark/>
          </w:tcPr>
          <w:p w14:paraId="3FF7B9E3"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-10.737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1DA30778"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-7.880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12623D72"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-3.221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5DDBF064"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-3.181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59A20C16"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-3.142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38B68714"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-3.102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D68D0FF"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-2.902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4926B275"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-62.381 </w:t>
            </w:r>
          </w:p>
        </w:tc>
      </w:tr>
      <w:tr w:rsidR="00470583" w:rsidRPr="00CA7F15" w14:paraId="40307D14" w14:textId="77777777" w:rsidTr="00470583">
        <w:trPr>
          <w:gridAfter w:val="1"/>
          <w:wAfter w:w="659" w:type="dxa"/>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48ABE46C" w14:textId="77777777" w:rsidR="00CA7F15" w:rsidRPr="00CA7F15" w:rsidRDefault="00CA7F15" w:rsidP="00CA7F15">
            <w:pPr>
              <w:rPr>
                <w:rFonts w:ascii="Calibri" w:hAnsi="Calibri" w:cs="Calibri"/>
                <w:color w:val="000000"/>
                <w:sz w:val="16"/>
                <w:szCs w:val="16"/>
              </w:rPr>
            </w:pPr>
            <w:proofErr w:type="spellStart"/>
            <w:r w:rsidRPr="00CA7F15">
              <w:rPr>
                <w:rFonts w:ascii="Calibri" w:hAnsi="Calibri" w:cs="Calibri"/>
                <w:color w:val="000000"/>
                <w:sz w:val="16"/>
                <w:szCs w:val="16"/>
              </w:rPr>
              <w:lastRenderedPageBreak/>
              <w:t>Benefícios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566DEBA"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0 </w:t>
            </w:r>
          </w:p>
        </w:tc>
        <w:tc>
          <w:tcPr>
            <w:tcW w:w="709" w:type="dxa"/>
            <w:tcBorders>
              <w:top w:val="nil"/>
              <w:left w:val="nil"/>
              <w:bottom w:val="single" w:sz="4" w:space="0" w:color="auto"/>
              <w:right w:val="single" w:sz="4" w:space="0" w:color="auto"/>
            </w:tcBorders>
            <w:shd w:val="clear" w:color="auto" w:fill="auto"/>
            <w:noWrap/>
            <w:vAlign w:val="bottom"/>
            <w:hideMark/>
          </w:tcPr>
          <w:p w14:paraId="567B30BA"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3.286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4F094163"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5.057 </w:t>
            </w:r>
          </w:p>
        </w:tc>
        <w:tc>
          <w:tcPr>
            <w:tcW w:w="851" w:type="dxa"/>
            <w:gridSpan w:val="2"/>
            <w:tcBorders>
              <w:top w:val="nil"/>
              <w:left w:val="nil"/>
              <w:bottom w:val="single" w:sz="4" w:space="0" w:color="auto"/>
              <w:right w:val="single" w:sz="4" w:space="0" w:color="auto"/>
            </w:tcBorders>
            <w:shd w:val="clear" w:color="auto" w:fill="auto"/>
            <w:noWrap/>
            <w:vAlign w:val="bottom"/>
            <w:hideMark/>
          </w:tcPr>
          <w:p w14:paraId="311E496F"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6.875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71F3F253"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10.161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36A45389"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11.804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5925927F"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11.804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11720947"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11.804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5EDA94ED"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11.804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0290216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11.804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6E5EA6C3"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84.401 </w:t>
            </w:r>
          </w:p>
        </w:tc>
      </w:tr>
      <w:tr w:rsidR="00470583" w:rsidRPr="00CA7F15" w14:paraId="487D049A" w14:textId="77777777" w:rsidTr="00470583">
        <w:trPr>
          <w:gridAfter w:val="1"/>
          <w:wAfter w:w="659" w:type="dxa"/>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14:paraId="1F3B4ACC" w14:textId="77777777" w:rsidR="00CA7F15" w:rsidRPr="00CA7F15" w:rsidRDefault="00CA7F15" w:rsidP="00CA7F15">
            <w:pPr>
              <w:rPr>
                <w:rFonts w:ascii="Calibri" w:hAnsi="Calibri" w:cs="Calibri"/>
                <w:color w:val="000000"/>
                <w:sz w:val="16"/>
                <w:szCs w:val="16"/>
              </w:rPr>
            </w:pPr>
            <w:proofErr w:type="spellStart"/>
            <w:r w:rsidRPr="00CA7F15">
              <w:rPr>
                <w:rFonts w:ascii="Calibri" w:hAnsi="Calibri" w:cs="Calibri"/>
                <w:color w:val="000000"/>
                <w:sz w:val="16"/>
                <w:szCs w:val="16"/>
              </w:rPr>
              <w:t>Fluxo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0B1487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-9.183 </w:t>
            </w:r>
          </w:p>
        </w:tc>
        <w:tc>
          <w:tcPr>
            <w:tcW w:w="709" w:type="dxa"/>
            <w:tcBorders>
              <w:top w:val="nil"/>
              <w:left w:val="nil"/>
              <w:bottom w:val="single" w:sz="4" w:space="0" w:color="auto"/>
              <w:right w:val="single" w:sz="4" w:space="0" w:color="auto"/>
            </w:tcBorders>
            <w:shd w:val="clear" w:color="auto" w:fill="auto"/>
            <w:noWrap/>
            <w:vAlign w:val="bottom"/>
            <w:hideMark/>
          </w:tcPr>
          <w:p w14:paraId="6C365E63"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-5.617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7CCFF5A5"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-5.072 </w:t>
            </w:r>
          </w:p>
        </w:tc>
        <w:tc>
          <w:tcPr>
            <w:tcW w:w="851" w:type="dxa"/>
            <w:gridSpan w:val="2"/>
            <w:tcBorders>
              <w:top w:val="nil"/>
              <w:left w:val="nil"/>
              <w:bottom w:val="single" w:sz="4" w:space="0" w:color="auto"/>
              <w:right w:val="single" w:sz="4" w:space="0" w:color="auto"/>
            </w:tcBorders>
            <w:shd w:val="clear" w:color="auto" w:fill="auto"/>
            <w:noWrap/>
            <w:vAlign w:val="bottom"/>
            <w:hideMark/>
          </w:tcPr>
          <w:p w14:paraId="510FBA8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-3.862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63744D39"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2.282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7FC35EA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8.583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0513B398"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8.623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5FDD903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8.662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51F3023F"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8.702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72AA0A6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8.902 </w:t>
            </w:r>
          </w:p>
        </w:tc>
        <w:tc>
          <w:tcPr>
            <w:tcW w:w="850" w:type="dxa"/>
            <w:gridSpan w:val="2"/>
            <w:tcBorders>
              <w:top w:val="nil"/>
              <w:left w:val="nil"/>
              <w:bottom w:val="single" w:sz="4" w:space="0" w:color="auto"/>
              <w:right w:val="single" w:sz="4" w:space="0" w:color="auto"/>
            </w:tcBorders>
            <w:shd w:val="clear" w:color="auto" w:fill="auto"/>
            <w:noWrap/>
            <w:vAlign w:val="bottom"/>
            <w:hideMark/>
          </w:tcPr>
          <w:p w14:paraId="005E9B6B" w14:textId="77777777" w:rsidR="00CA7F15" w:rsidRPr="00CA7F15" w:rsidRDefault="00CA7F15" w:rsidP="00CA7F15">
            <w:pPr>
              <w:jc w:val="right"/>
              <w:rPr>
                <w:rFonts w:ascii="Calibri" w:hAnsi="Calibri" w:cs="Calibri"/>
                <w:color w:val="000000"/>
                <w:sz w:val="16"/>
                <w:szCs w:val="16"/>
              </w:rPr>
            </w:pPr>
            <w:r w:rsidRPr="00CA7F15">
              <w:rPr>
                <w:rFonts w:ascii="Calibri" w:hAnsi="Calibri" w:cs="Calibri"/>
                <w:color w:val="000000"/>
                <w:sz w:val="16"/>
                <w:szCs w:val="16"/>
              </w:rPr>
              <w:t xml:space="preserve">22.020 </w:t>
            </w:r>
          </w:p>
        </w:tc>
      </w:tr>
      <w:tr w:rsidR="00470583" w:rsidRPr="00CA7F15" w14:paraId="3149845F" w14:textId="77777777" w:rsidTr="00470583">
        <w:trPr>
          <w:gridAfter w:val="2"/>
          <w:wAfter w:w="847" w:type="dxa"/>
          <w:trHeight w:val="300"/>
        </w:trPr>
        <w:tc>
          <w:tcPr>
            <w:tcW w:w="2834" w:type="dxa"/>
            <w:gridSpan w:val="4"/>
            <w:tcBorders>
              <w:top w:val="single" w:sz="4" w:space="0" w:color="auto"/>
              <w:left w:val="nil"/>
              <w:bottom w:val="nil"/>
              <w:right w:val="nil"/>
            </w:tcBorders>
            <w:shd w:val="clear" w:color="auto" w:fill="auto"/>
            <w:noWrap/>
            <w:vAlign w:val="bottom"/>
            <w:hideMark/>
          </w:tcPr>
          <w:p w14:paraId="7F2672A4" w14:textId="77777777" w:rsidR="00470583" w:rsidRPr="00CA7F15" w:rsidRDefault="00470583" w:rsidP="00CA7F15">
            <w:pPr>
              <w:jc w:val="center"/>
              <w:rPr>
                <w:rFonts w:ascii="Calibri" w:hAnsi="Calibri" w:cs="Calibri"/>
                <w:b/>
                <w:bCs/>
                <w:color w:val="000000"/>
                <w:sz w:val="18"/>
                <w:szCs w:val="18"/>
              </w:rPr>
            </w:pPr>
            <w:r w:rsidRPr="00CA7F15">
              <w:rPr>
                <w:rFonts w:ascii="Calibri" w:hAnsi="Calibri" w:cs="Calibri"/>
                <w:b/>
                <w:bCs/>
                <w:color w:val="000000"/>
                <w:sz w:val="18"/>
                <w:szCs w:val="18"/>
              </w:rPr>
              <w:t xml:space="preserve">Valor </w:t>
            </w:r>
            <w:proofErr w:type="spellStart"/>
            <w:r w:rsidRPr="00CA7F15">
              <w:rPr>
                <w:rFonts w:ascii="Calibri" w:hAnsi="Calibri" w:cs="Calibri"/>
                <w:b/>
                <w:bCs/>
                <w:color w:val="000000"/>
                <w:sz w:val="18"/>
                <w:szCs w:val="18"/>
              </w:rPr>
              <w:t>Presente</w:t>
            </w:r>
            <w:proofErr w:type="spellEnd"/>
            <w:r w:rsidRPr="00CA7F15">
              <w:rPr>
                <w:rFonts w:ascii="Calibri" w:hAnsi="Calibri" w:cs="Calibri"/>
                <w:b/>
                <w:bCs/>
                <w:color w:val="000000"/>
                <w:sz w:val="18"/>
                <w:szCs w:val="18"/>
              </w:rPr>
              <w:t xml:space="preserve"> </w:t>
            </w:r>
            <w:proofErr w:type="spellStart"/>
            <w:r w:rsidRPr="00CA7F15">
              <w:rPr>
                <w:rFonts w:ascii="Calibri" w:hAnsi="Calibri" w:cs="Calibri"/>
                <w:b/>
                <w:bCs/>
                <w:color w:val="000000"/>
                <w:sz w:val="18"/>
                <w:szCs w:val="18"/>
              </w:rPr>
              <w:t>Líquido</w:t>
            </w:r>
            <w:proofErr w:type="spellEnd"/>
          </w:p>
        </w:tc>
        <w:tc>
          <w:tcPr>
            <w:tcW w:w="1050" w:type="dxa"/>
            <w:gridSpan w:val="2"/>
            <w:tcBorders>
              <w:top w:val="nil"/>
              <w:left w:val="nil"/>
              <w:bottom w:val="nil"/>
              <w:right w:val="nil"/>
            </w:tcBorders>
            <w:shd w:val="clear" w:color="auto" w:fill="auto"/>
            <w:noWrap/>
            <w:vAlign w:val="bottom"/>
            <w:hideMark/>
          </w:tcPr>
          <w:p w14:paraId="0108FEFC" w14:textId="77777777" w:rsidR="00470583" w:rsidRPr="00CA7F15" w:rsidRDefault="00470583" w:rsidP="00CA7F15">
            <w:pPr>
              <w:rPr>
                <w:rFonts w:ascii="Calibri" w:hAnsi="Calibri" w:cs="Calibri"/>
                <w:b/>
                <w:bCs/>
                <w:color w:val="000000"/>
                <w:sz w:val="18"/>
                <w:szCs w:val="18"/>
              </w:rPr>
            </w:pPr>
            <w:r w:rsidRPr="00CA7F15">
              <w:rPr>
                <w:rFonts w:ascii="Calibri" w:hAnsi="Calibri" w:cs="Calibri"/>
                <w:b/>
                <w:bCs/>
                <w:color w:val="000000"/>
                <w:sz w:val="18"/>
                <w:szCs w:val="18"/>
              </w:rPr>
              <w:t xml:space="preserve">       2.411 </w:t>
            </w:r>
          </w:p>
        </w:tc>
        <w:tc>
          <w:tcPr>
            <w:tcW w:w="847" w:type="dxa"/>
            <w:gridSpan w:val="2"/>
            <w:tcBorders>
              <w:top w:val="nil"/>
              <w:left w:val="nil"/>
              <w:bottom w:val="nil"/>
              <w:right w:val="nil"/>
            </w:tcBorders>
            <w:shd w:val="clear" w:color="auto" w:fill="auto"/>
            <w:noWrap/>
            <w:vAlign w:val="bottom"/>
            <w:hideMark/>
          </w:tcPr>
          <w:p w14:paraId="512AB155"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6DE1F506"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1081E91C"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62D8894C"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2818164E"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3F1C852E" w14:textId="77777777" w:rsidR="00470583" w:rsidRPr="00CA7F15" w:rsidRDefault="00470583" w:rsidP="00CA7F15">
            <w:pPr>
              <w:rPr>
                <w:rFonts w:ascii="Calibri" w:hAnsi="Calibri" w:cs="Calibri"/>
                <w:color w:val="000000"/>
                <w:sz w:val="18"/>
                <w:szCs w:val="18"/>
              </w:rPr>
            </w:pPr>
          </w:p>
        </w:tc>
        <w:tc>
          <w:tcPr>
            <w:tcW w:w="900" w:type="dxa"/>
            <w:gridSpan w:val="2"/>
            <w:tcBorders>
              <w:top w:val="nil"/>
              <w:left w:val="nil"/>
              <w:bottom w:val="nil"/>
              <w:right w:val="nil"/>
            </w:tcBorders>
            <w:shd w:val="clear" w:color="auto" w:fill="auto"/>
            <w:noWrap/>
            <w:vAlign w:val="bottom"/>
            <w:hideMark/>
          </w:tcPr>
          <w:p w14:paraId="442DFD31" w14:textId="77777777" w:rsidR="00470583" w:rsidRPr="00CA7F15" w:rsidRDefault="00470583" w:rsidP="00CA7F15">
            <w:pPr>
              <w:rPr>
                <w:rFonts w:ascii="Calibri" w:hAnsi="Calibri" w:cs="Calibri"/>
                <w:color w:val="000000"/>
                <w:sz w:val="18"/>
                <w:szCs w:val="18"/>
              </w:rPr>
            </w:pPr>
          </w:p>
        </w:tc>
      </w:tr>
      <w:tr w:rsidR="00470583" w:rsidRPr="00CA7F15" w14:paraId="0D2B3192" w14:textId="77777777" w:rsidTr="00470583">
        <w:trPr>
          <w:gridAfter w:val="2"/>
          <w:wAfter w:w="847" w:type="dxa"/>
          <w:trHeight w:val="240"/>
        </w:trPr>
        <w:tc>
          <w:tcPr>
            <w:tcW w:w="2834" w:type="dxa"/>
            <w:gridSpan w:val="4"/>
            <w:tcBorders>
              <w:top w:val="nil"/>
              <w:left w:val="nil"/>
              <w:bottom w:val="nil"/>
              <w:right w:val="nil"/>
            </w:tcBorders>
            <w:shd w:val="clear" w:color="auto" w:fill="auto"/>
            <w:noWrap/>
            <w:vAlign w:val="bottom"/>
            <w:hideMark/>
          </w:tcPr>
          <w:p w14:paraId="6C67EFAD" w14:textId="77777777" w:rsidR="00470583" w:rsidRPr="00CA7F15" w:rsidRDefault="00470583" w:rsidP="00CA7F15">
            <w:pPr>
              <w:jc w:val="center"/>
              <w:rPr>
                <w:rFonts w:ascii="Calibri" w:hAnsi="Calibri" w:cs="Calibri"/>
                <w:b/>
                <w:bCs/>
                <w:color w:val="000000"/>
                <w:sz w:val="18"/>
                <w:szCs w:val="18"/>
              </w:rPr>
            </w:pPr>
            <w:r w:rsidRPr="00CA7F15">
              <w:rPr>
                <w:rFonts w:ascii="Calibri" w:hAnsi="Calibri" w:cs="Calibri"/>
                <w:b/>
                <w:bCs/>
                <w:color w:val="000000"/>
                <w:sz w:val="18"/>
                <w:szCs w:val="18"/>
              </w:rPr>
              <w:t>TIR</w:t>
            </w:r>
          </w:p>
        </w:tc>
        <w:tc>
          <w:tcPr>
            <w:tcW w:w="1050" w:type="dxa"/>
            <w:gridSpan w:val="2"/>
            <w:tcBorders>
              <w:top w:val="nil"/>
              <w:left w:val="nil"/>
              <w:bottom w:val="nil"/>
              <w:right w:val="nil"/>
            </w:tcBorders>
            <w:shd w:val="clear" w:color="auto" w:fill="auto"/>
            <w:noWrap/>
            <w:vAlign w:val="bottom"/>
            <w:hideMark/>
          </w:tcPr>
          <w:p w14:paraId="6A629E68" w14:textId="77777777" w:rsidR="00470583" w:rsidRPr="00CA7F15" w:rsidRDefault="00470583" w:rsidP="00CA7F15">
            <w:pPr>
              <w:jc w:val="right"/>
              <w:rPr>
                <w:rFonts w:ascii="Calibri" w:hAnsi="Calibri" w:cs="Calibri"/>
                <w:b/>
                <w:bCs/>
                <w:color w:val="000000"/>
                <w:sz w:val="18"/>
                <w:szCs w:val="18"/>
              </w:rPr>
            </w:pPr>
            <w:r w:rsidRPr="00CA7F15">
              <w:rPr>
                <w:rFonts w:ascii="Calibri" w:hAnsi="Calibri" w:cs="Calibri"/>
                <w:b/>
                <w:bCs/>
                <w:color w:val="000000"/>
                <w:sz w:val="18"/>
                <w:szCs w:val="18"/>
              </w:rPr>
              <w:t>12,3%</w:t>
            </w:r>
          </w:p>
        </w:tc>
        <w:tc>
          <w:tcPr>
            <w:tcW w:w="847" w:type="dxa"/>
            <w:gridSpan w:val="2"/>
            <w:tcBorders>
              <w:top w:val="nil"/>
              <w:left w:val="nil"/>
              <w:bottom w:val="nil"/>
              <w:right w:val="nil"/>
            </w:tcBorders>
            <w:shd w:val="clear" w:color="auto" w:fill="auto"/>
            <w:noWrap/>
            <w:vAlign w:val="bottom"/>
            <w:hideMark/>
          </w:tcPr>
          <w:p w14:paraId="6463DE76"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665A372C"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2E0378D0"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563E97A2"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3A4BF40C" w14:textId="77777777" w:rsidR="00470583" w:rsidRPr="00CA7F15" w:rsidRDefault="00470583" w:rsidP="00CA7F15">
            <w:pPr>
              <w:rPr>
                <w:rFonts w:ascii="Calibri" w:hAnsi="Calibri" w:cs="Calibri"/>
                <w:color w:val="000000"/>
                <w:sz w:val="18"/>
                <w:szCs w:val="18"/>
              </w:rPr>
            </w:pPr>
          </w:p>
        </w:tc>
        <w:tc>
          <w:tcPr>
            <w:tcW w:w="767" w:type="dxa"/>
            <w:gridSpan w:val="2"/>
            <w:tcBorders>
              <w:top w:val="nil"/>
              <w:left w:val="nil"/>
              <w:bottom w:val="nil"/>
              <w:right w:val="nil"/>
            </w:tcBorders>
            <w:shd w:val="clear" w:color="auto" w:fill="auto"/>
            <w:noWrap/>
            <w:vAlign w:val="bottom"/>
            <w:hideMark/>
          </w:tcPr>
          <w:p w14:paraId="0EDE542B" w14:textId="77777777" w:rsidR="00470583" w:rsidRPr="00CA7F15" w:rsidRDefault="00470583" w:rsidP="00CA7F15">
            <w:pPr>
              <w:rPr>
                <w:rFonts w:ascii="Calibri" w:hAnsi="Calibri" w:cs="Calibri"/>
                <w:color w:val="000000"/>
                <w:sz w:val="18"/>
                <w:szCs w:val="18"/>
              </w:rPr>
            </w:pPr>
          </w:p>
        </w:tc>
        <w:tc>
          <w:tcPr>
            <w:tcW w:w="900" w:type="dxa"/>
            <w:gridSpan w:val="2"/>
            <w:tcBorders>
              <w:top w:val="nil"/>
              <w:left w:val="nil"/>
              <w:bottom w:val="nil"/>
              <w:right w:val="nil"/>
            </w:tcBorders>
            <w:shd w:val="clear" w:color="auto" w:fill="auto"/>
            <w:noWrap/>
            <w:vAlign w:val="bottom"/>
            <w:hideMark/>
          </w:tcPr>
          <w:p w14:paraId="024FA701" w14:textId="77777777" w:rsidR="00470583" w:rsidRPr="00CA7F15" w:rsidRDefault="00470583" w:rsidP="00CA7F15">
            <w:pPr>
              <w:rPr>
                <w:rFonts w:ascii="Calibri" w:hAnsi="Calibri" w:cs="Calibri"/>
                <w:color w:val="000000"/>
                <w:sz w:val="18"/>
                <w:szCs w:val="18"/>
              </w:rPr>
            </w:pPr>
          </w:p>
        </w:tc>
      </w:tr>
      <w:tr w:rsidR="00470583" w:rsidRPr="00CA7F15" w14:paraId="61E15512" w14:textId="77777777" w:rsidTr="00470583">
        <w:trPr>
          <w:trHeight w:val="600"/>
        </w:trPr>
        <w:tc>
          <w:tcPr>
            <w:tcW w:w="10313" w:type="dxa"/>
            <w:gridSpan w:val="22"/>
            <w:tcBorders>
              <w:top w:val="nil"/>
              <w:left w:val="nil"/>
              <w:bottom w:val="nil"/>
              <w:right w:val="nil"/>
            </w:tcBorders>
            <w:shd w:val="clear" w:color="auto" w:fill="auto"/>
            <w:hideMark/>
          </w:tcPr>
          <w:p w14:paraId="4D19626A" w14:textId="3364372E" w:rsidR="00CA7F15" w:rsidRPr="00CA7F15" w:rsidRDefault="00470583" w:rsidP="00470583">
            <w:pPr>
              <w:pStyle w:val="Ttulo1"/>
              <w:spacing w:before="120"/>
              <w:rPr>
                <w:rFonts w:ascii="Calibri" w:hAnsi="Calibri" w:cs="Calibri"/>
                <w:color w:val="FF0000"/>
                <w:sz w:val="22"/>
                <w:szCs w:val="22"/>
                <w:lang w:val="pt-BR"/>
              </w:rPr>
            </w:pPr>
            <w:r>
              <w:rPr>
                <w:rFonts w:ascii="Arial" w:hAnsi="Arial" w:cs="Arial"/>
                <w:b w:val="0"/>
                <w:color w:val="FF0000"/>
                <w:sz w:val="20"/>
                <w:szCs w:val="20"/>
                <w:lang w:val="pt-BR" w:eastAsia="es-ES"/>
              </w:rPr>
              <w:t>F</w:t>
            </w:r>
            <w:r w:rsidRPr="00470583">
              <w:rPr>
                <w:rFonts w:ascii="Arial" w:hAnsi="Arial" w:cs="Arial"/>
                <w:b w:val="0"/>
                <w:color w:val="FF0000"/>
                <w:sz w:val="20"/>
                <w:szCs w:val="20"/>
                <w:lang w:val="pt-BR" w:eastAsia="es-ES"/>
              </w:rPr>
              <w:t xml:space="preserve">onte: Cálculos do </w:t>
            </w:r>
            <w:r>
              <w:rPr>
                <w:rFonts w:ascii="Arial" w:hAnsi="Arial" w:cs="Arial"/>
                <w:b w:val="0"/>
                <w:color w:val="FF0000"/>
                <w:sz w:val="20"/>
                <w:szCs w:val="20"/>
                <w:lang w:val="pt-BR" w:eastAsia="es-ES"/>
              </w:rPr>
              <w:t xml:space="preserve">autor para um cenário misto de </w:t>
            </w:r>
            <w:r w:rsidRPr="00470583">
              <w:rPr>
                <w:rFonts w:ascii="Arial" w:hAnsi="Arial" w:cs="Arial"/>
                <w:b w:val="0"/>
                <w:color w:val="FF0000"/>
                <w:sz w:val="20"/>
                <w:szCs w:val="20"/>
                <w:lang w:val="pt-BR" w:eastAsia="es-ES"/>
              </w:rPr>
              <w:t>desvalorização do Real e aumento menor de arrecadação.</w:t>
            </w:r>
          </w:p>
        </w:tc>
      </w:tr>
    </w:tbl>
    <w:p w14:paraId="294D5658" w14:textId="77777777" w:rsidR="00562D79" w:rsidRPr="007244F2" w:rsidRDefault="007244F2" w:rsidP="007244F2">
      <w:pPr>
        <w:pStyle w:val="Ttulo1"/>
        <w:numPr>
          <w:ilvl w:val="0"/>
          <w:numId w:val="4"/>
        </w:numPr>
        <w:tabs>
          <w:tab w:val="clear" w:pos="1260"/>
        </w:tabs>
        <w:spacing w:before="120"/>
        <w:ind w:left="-360" w:firstLine="180"/>
        <w:rPr>
          <w:rFonts w:ascii="Arial" w:hAnsi="Arial" w:cs="Arial"/>
          <w:color w:val="000000" w:themeColor="text1"/>
          <w:lang w:val="pt-BR" w:eastAsia="es-ES"/>
        </w:rPr>
      </w:pPr>
      <w:bookmarkStart w:id="17" w:name="_Toc494137339"/>
      <w:r>
        <w:rPr>
          <w:rFonts w:ascii="Arial" w:hAnsi="Arial" w:cs="Arial"/>
          <w:color w:val="000000" w:themeColor="text1"/>
          <w:lang w:val="pt-BR" w:eastAsia="es-ES"/>
        </w:rPr>
        <w:t xml:space="preserve">     </w:t>
      </w:r>
      <w:r w:rsidR="00562D79" w:rsidRPr="007244F2">
        <w:rPr>
          <w:rFonts w:ascii="Arial" w:hAnsi="Arial" w:cs="Arial"/>
          <w:color w:val="000000" w:themeColor="text1"/>
          <w:lang w:val="pt-BR" w:eastAsia="es-ES"/>
        </w:rPr>
        <w:t>Conclusões</w:t>
      </w:r>
      <w:bookmarkEnd w:id="17"/>
    </w:p>
    <w:p w14:paraId="294D5659" w14:textId="77777777" w:rsidR="00562D79" w:rsidRPr="001F27CE" w:rsidRDefault="00562D79" w:rsidP="00562D79">
      <w:pPr>
        <w:pStyle w:val="PargrafodaLista"/>
        <w:keepNext/>
        <w:suppressAutoHyphens/>
        <w:spacing w:before="120"/>
        <w:ind w:left="1440"/>
        <w:jc w:val="both"/>
        <w:outlineLvl w:val="3"/>
        <w:rPr>
          <w:rFonts w:ascii="Arial" w:hAnsi="Arial" w:cs="Arial"/>
          <w:bCs/>
          <w:lang w:val="pt-BR" w:eastAsia="es-ES"/>
        </w:rPr>
      </w:pPr>
    </w:p>
    <w:p w14:paraId="294D565A" w14:textId="77777777" w:rsidR="00FF5302" w:rsidRPr="001F27CE" w:rsidRDefault="00562D79" w:rsidP="008759BC">
      <w:pPr>
        <w:pStyle w:val="PargrafodaLista"/>
        <w:keepNext/>
        <w:numPr>
          <w:ilvl w:val="1"/>
          <w:numId w:val="4"/>
        </w:numPr>
        <w:suppressAutoHyphens/>
        <w:spacing w:before="120"/>
        <w:ind w:left="284" w:hanging="567"/>
        <w:jc w:val="both"/>
        <w:outlineLvl w:val="3"/>
        <w:rPr>
          <w:rFonts w:ascii="Arial" w:hAnsi="Arial" w:cs="Arial"/>
          <w:bCs/>
          <w:lang w:val="pt-BR" w:eastAsia="es-ES"/>
        </w:rPr>
      </w:pPr>
      <w:r w:rsidRPr="001F27CE">
        <w:rPr>
          <w:rFonts w:ascii="Arial" w:hAnsi="Arial" w:cs="Arial"/>
          <w:bCs/>
          <w:lang w:val="pt-BR" w:eastAsia="es-ES"/>
        </w:rPr>
        <w:t xml:space="preserve">O PROFISCO II para o Estado do </w:t>
      </w:r>
      <w:r w:rsidR="00393119" w:rsidRPr="001F27CE">
        <w:rPr>
          <w:rFonts w:ascii="Arial" w:hAnsi="Arial" w:cs="Arial"/>
          <w:bCs/>
          <w:lang w:val="pt-BR" w:eastAsia="es-ES"/>
        </w:rPr>
        <w:t>P</w:t>
      </w:r>
      <w:r w:rsidR="004B4717" w:rsidRPr="001F27CE">
        <w:rPr>
          <w:rFonts w:ascii="Arial" w:hAnsi="Arial" w:cs="Arial"/>
          <w:bCs/>
          <w:lang w:val="pt-BR" w:eastAsia="es-ES"/>
        </w:rPr>
        <w:t>ará</w:t>
      </w:r>
      <w:r w:rsidRPr="001F27CE">
        <w:rPr>
          <w:rFonts w:ascii="Arial" w:hAnsi="Arial" w:cs="Arial"/>
          <w:bCs/>
          <w:lang w:val="pt-BR" w:eastAsia="es-ES"/>
        </w:rPr>
        <w:t xml:space="preserve"> está desenhado para atuar nas áreas de gestão fazendária e transparência fiscal; </w:t>
      </w:r>
      <w:proofErr w:type="gramStart"/>
      <w:r w:rsidR="00FF5302" w:rsidRPr="001F27CE">
        <w:rPr>
          <w:rFonts w:ascii="Arial" w:hAnsi="Arial" w:cs="Arial"/>
          <w:bCs/>
          <w:lang w:val="pt-BR" w:eastAsia="es-ES"/>
        </w:rPr>
        <w:t>administração tributária e contencioso fiscal</w:t>
      </w:r>
      <w:proofErr w:type="gramEnd"/>
      <w:r w:rsidR="00FF5302" w:rsidRPr="001F27CE">
        <w:rPr>
          <w:rFonts w:ascii="Arial" w:hAnsi="Arial" w:cs="Arial"/>
          <w:bCs/>
          <w:lang w:val="pt-BR" w:eastAsia="es-ES"/>
        </w:rPr>
        <w:t xml:space="preserve">; e administração financeira e gasto público. O programa conta com um financiamento de </w:t>
      </w:r>
      <w:r w:rsidR="00393119" w:rsidRPr="001F27CE">
        <w:rPr>
          <w:rFonts w:ascii="Arial" w:hAnsi="Arial" w:cs="Arial"/>
          <w:bCs/>
          <w:lang w:val="pt-BR" w:eastAsia="es-ES"/>
        </w:rPr>
        <w:t xml:space="preserve">US$ </w:t>
      </w:r>
      <w:r w:rsidR="00B516F7" w:rsidRPr="001F27CE">
        <w:rPr>
          <w:rFonts w:ascii="Arial" w:hAnsi="Arial" w:cs="Arial"/>
          <w:bCs/>
          <w:lang w:val="pt-BR" w:eastAsia="es-ES"/>
        </w:rPr>
        <w:t>35</w:t>
      </w:r>
      <w:r w:rsidR="00D43076" w:rsidRPr="001F27CE">
        <w:rPr>
          <w:rFonts w:ascii="Arial" w:hAnsi="Arial" w:cs="Arial"/>
          <w:bCs/>
          <w:lang w:val="pt-BR" w:eastAsia="es-ES"/>
        </w:rPr>
        <w:t>,</w:t>
      </w:r>
      <w:r w:rsidR="00B516F7" w:rsidRPr="001F27CE">
        <w:rPr>
          <w:rFonts w:ascii="Arial" w:hAnsi="Arial" w:cs="Arial"/>
          <w:bCs/>
          <w:lang w:val="pt-BR" w:eastAsia="es-ES"/>
        </w:rPr>
        <w:t>1</w:t>
      </w:r>
      <w:r w:rsidR="00393119" w:rsidRPr="001F27CE">
        <w:rPr>
          <w:rFonts w:ascii="Arial" w:hAnsi="Arial" w:cs="Arial"/>
          <w:bCs/>
          <w:lang w:val="pt-BR" w:eastAsia="es-ES"/>
        </w:rPr>
        <w:t xml:space="preserve"> milhões de financiamento BID e US$ </w:t>
      </w:r>
      <w:r w:rsidR="00D43076" w:rsidRPr="001F27CE">
        <w:rPr>
          <w:rFonts w:ascii="Arial" w:hAnsi="Arial" w:cs="Arial"/>
          <w:bCs/>
          <w:lang w:val="pt-BR" w:eastAsia="es-ES"/>
        </w:rPr>
        <w:t>3,9</w:t>
      </w:r>
      <w:r w:rsidR="00393119" w:rsidRPr="001F27CE">
        <w:rPr>
          <w:rFonts w:ascii="Arial" w:hAnsi="Arial" w:cs="Arial"/>
          <w:bCs/>
          <w:lang w:val="pt-BR" w:eastAsia="es-ES"/>
        </w:rPr>
        <w:t xml:space="preserve"> milhões de contrapartida </w:t>
      </w:r>
      <w:r w:rsidR="00FF5302" w:rsidRPr="001F27CE">
        <w:rPr>
          <w:rFonts w:ascii="Arial" w:hAnsi="Arial" w:cs="Arial"/>
          <w:bCs/>
          <w:lang w:val="pt-BR" w:eastAsia="es-ES"/>
        </w:rPr>
        <w:t xml:space="preserve">local. </w:t>
      </w:r>
    </w:p>
    <w:p w14:paraId="294D565B" w14:textId="77777777" w:rsidR="00FF5302" w:rsidRPr="001F27CE" w:rsidRDefault="00FF5302" w:rsidP="008759BC">
      <w:pPr>
        <w:pStyle w:val="PargrafodaLista"/>
        <w:keepNext/>
        <w:numPr>
          <w:ilvl w:val="1"/>
          <w:numId w:val="4"/>
        </w:numPr>
        <w:suppressAutoHyphens/>
        <w:spacing w:before="120"/>
        <w:ind w:left="284" w:hanging="567"/>
        <w:jc w:val="both"/>
        <w:outlineLvl w:val="3"/>
        <w:rPr>
          <w:rFonts w:ascii="Arial" w:hAnsi="Arial" w:cs="Arial"/>
          <w:bCs/>
          <w:lang w:val="pt-BR" w:eastAsia="es-ES"/>
        </w:rPr>
      </w:pPr>
      <w:r w:rsidRPr="001F27CE">
        <w:rPr>
          <w:rFonts w:ascii="Arial" w:hAnsi="Arial" w:cs="Arial"/>
          <w:bCs/>
          <w:lang w:val="pt-BR" w:eastAsia="es-ES"/>
        </w:rPr>
        <w:t xml:space="preserve">A análise C-B incluiu </w:t>
      </w:r>
      <w:r w:rsidR="00393119" w:rsidRPr="001F27CE">
        <w:rPr>
          <w:rFonts w:ascii="Arial" w:hAnsi="Arial" w:cs="Arial"/>
          <w:bCs/>
          <w:lang w:val="pt-BR" w:eastAsia="es-ES"/>
        </w:rPr>
        <w:t xml:space="preserve">alguns </w:t>
      </w:r>
      <w:r w:rsidRPr="001F27CE">
        <w:rPr>
          <w:rFonts w:ascii="Arial" w:hAnsi="Arial" w:cs="Arial"/>
          <w:bCs/>
          <w:lang w:val="pt-BR" w:eastAsia="es-ES"/>
        </w:rPr>
        <w:t>produtos do programa. Os cri</w:t>
      </w:r>
      <w:r w:rsidR="00393119" w:rsidRPr="001F27CE">
        <w:rPr>
          <w:rFonts w:ascii="Arial" w:hAnsi="Arial" w:cs="Arial"/>
          <w:bCs/>
          <w:lang w:val="pt-BR" w:eastAsia="es-ES"/>
        </w:rPr>
        <w:t xml:space="preserve">térios para a escolha destes </w:t>
      </w:r>
      <w:r w:rsidRPr="001F27CE">
        <w:rPr>
          <w:rFonts w:ascii="Arial" w:hAnsi="Arial" w:cs="Arial"/>
          <w:bCs/>
          <w:lang w:val="pt-BR" w:eastAsia="es-ES"/>
        </w:rPr>
        <w:t>produtos foram principalmente a representatividade deles para a arrecadação fiscal, o impacto para o contribuinte e para a eficiência da administração fiscal e a disponibilidade de dados consistentes para s</w:t>
      </w:r>
      <w:r w:rsidR="00393119" w:rsidRPr="001F27CE">
        <w:rPr>
          <w:rFonts w:ascii="Arial" w:hAnsi="Arial" w:cs="Arial"/>
          <w:bCs/>
          <w:lang w:val="pt-BR" w:eastAsia="es-ES"/>
        </w:rPr>
        <w:t xml:space="preserve">e realizar a análise. Na arrecadação fiscal, </w:t>
      </w:r>
      <w:r w:rsidRPr="001F27CE">
        <w:rPr>
          <w:rFonts w:ascii="Arial" w:hAnsi="Arial" w:cs="Arial"/>
          <w:bCs/>
          <w:lang w:val="pt-BR" w:eastAsia="es-ES"/>
        </w:rPr>
        <w:t xml:space="preserve">produtos relacionados à inteligência fiscal, gestão da dívida ativa, </w:t>
      </w:r>
      <w:r w:rsidR="00393119" w:rsidRPr="001F27CE">
        <w:rPr>
          <w:rFonts w:ascii="Arial" w:hAnsi="Arial" w:cs="Arial"/>
          <w:bCs/>
          <w:lang w:val="pt-BR" w:eastAsia="es-ES"/>
        </w:rPr>
        <w:t xml:space="preserve">cobrança, </w:t>
      </w:r>
      <w:r w:rsidRPr="001F27CE">
        <w:rPr>
          <w:rFonts w:ascii="Arial" w:hAnsi="Arial" w:cs="Arial"/>
          <w:bCs/>
          <w:lang w:val="pt-BR" w:eastAsia="es-ES"/>
        </w:rPr>
        <w:t xml:space="preserve">contencioso fiscal, </w:t>
      </w:r>
      <w:r w:rsidR="00393119" w:rsidRPr="001F27CE">
        <w:rPr>
          <w:rFonts w:ascii="Arial" w:hAnsi="Arial" w:cs="Arial"/>
          <w:bCs/>
          <w:lang w:val="pt-BR" w:eastAsia="es-ES"/>
        </w:rPr>
        <w:t xml:space="preserve">modernização de postos fiscais, melhoria e ampliação de monitoramento móvel do trânsito de mercadorias, melhoria da gestão do ICMS dobre as importações internacionais, </w:t>
      </w:r>
      <w:r w:rsidRPr="001F27CE">
        <w:rPr>
          <w:rFonts w:ascii="Arial" w:hAnsi="Arial" w:cs="Arial"/>
          <w:bCs/>
          <w:lang w:val="pt-BR" w:eastAsia="es-ES"/>
        </w:rPr>
        <w:t xml:space="preserve">entre outros, gerarão aumento de arrecadação. </w:t>
      </w:r>
      <w:r w:rsidR="00393119" w:rsidRPr="001F27CE">
        <w:rPr>
          <w:rFonts w:ascii="Arial" w:hAnsi="Arial" w:cs="Arial"/>
          <w:bCs/>
          <w:lang w:val="pt-BR" w:eastAsia="es-ES"/>
        </w:rPr>
        <w:t xml:space="preserve">No entanto, se optou por adotar hipóteses fortemente conservadoras com relação à redução do Gap Tributário resultantes das ações descritas. </w:t>
      </w:r>
      <w:r w:rsidRPr="001F27CE">
        <w:rPr>
          <w:rFonts w:ascii="Arial" w:hAnsi="Arial" w:cs="Arial"/>
          <w:bCs/>
          <w:lang w:val="pt-BR" w:eastAsia="es-ES"/>
        </w:rPr>
        <w:t xml:space="preserve">Outros subprodutos de integração de sistemas e redesenho de processos irão melhorar o ambiente de negócios com economia de tempo e custos para o contribuinte cumprir com suas obrigações tributárias. </w:t>
      </w:r>
    </w:p>
    <w:p w14:paraId="294D565C" w14:textId="5F2B0936" w:rsidR="00FF5302" w:rsidRDefault="00470583" w:rsidP="008759BC">
      <w:pPr>
        <w:pStyle w:val="PargrafodaLista"/>
        <w:keepNext/>
        <w:numPr>
          <w:ilvl w:val="1"/>
          <w:numId w:val="4"/>
        </w:numPr>
        <w:suppressAutoHyphens/>
        <w:spacing w:before="120"/>
        <w:ind w:left="284" w:hanging="567"/>
        <w:jc w:val="both"/>
        <w:outlineLvl w:val="3"/>
        <w:rPr>
          <w:rFonts w:ascii="Arial" w:hAnsi="Arial" w:cs="Arial"/>
          <w:bCs/>
          <w:lang w:val="pt-BR" w:eastAsia="es-ES"/>
        </w:rPr>
      </w:pPr>
      <w:r>
        <w:rPr>
          <w:rFonts w:ascii="Arial" w:hAnsi="Arial" w:cs="Arial"/>
          <w:bCs/>
          <w:lang w:val="pt-BR" w:eastAsia="es-ES"/>
        </w:rPr>
        <w:t xml:space="preserve">A </w:t>
      </w:r>
      <w:r w:rsidRPr="00470583">
        <w:rPr>
          <w:rFonts w:ascii="Arial" w:hAnsi="Arial" w:cs="Arial"/>
          <w:bCs/>
          <w:color w:val="FF0000"/>
          <w:lang w:val="pt-BR" w:eastAsia="es-ES"/>
        </w:rPr>
        <w:t>T</w:t>
      </w:r>
      <w:r w:rsidR="00562D79" w:rsidRPr="00470583">
        <w:rPr>
          <w:rFonts w:ascii="Arial" w:hAnsi="Arial" w:cs="Arial"/>
          <w:bCs/>
          <w:color w:val="FF0000"/>
          <w:lang w:val="pt-BR" w:eastAsia="es-ES"/>
        </w:rPr>
        <w:t xml:space="preserve">abela </w:t>
      </w:r>
      <w:r w:rsidRPr="00470583">
        <w:rPr>
          <w:rFonts w:ascii="Arial" w:hAnsi="Arial" w:cs="Arial"/>
          <w:bCs/>
          <w:color w:val="FF0000"/>
          <w:lang w:val="pt-BR" w:eastAsia="es-ES"/>
        </w:rPr>
        <w:t xml:space="preserve">18 </w:t>
      </w:r>
      <w:r w:rsidR="00562D79" w:rsidRPr="001F27CE">
        <w:rPr>
          <w:rFonts w:ascii="Arial" w:hAnsi="Arial" w:cs="Arial"/>
          <w:bCs/>
          <w:lang w:val="pt-BR" w:eastAsia="es-ES"/>
        </w:rPr>
        <w:t xml:space="preserve">abaixo sumariza os quatro cenários da análise de sensibilidade. Lembrando que a análise apenas focou em casos de deterioração do cenário básico. </w:t>
      </w:r>
      <w:r w:rsidR="00FF5302" w:rsidRPr="001F27CE">
        <w:rPr>
          <w:rFonts w:ascii="Arial" w:hAnsi="Arial" w:cs="Arial"/>
          <w:bCs/>
          <w:lang w:val="pt-BR" w:eastAsia="es-ES"/>
        </w:rPr>
        <w:t xml:space="preserve">Como mencionado acima, as hipóteses do cenário básico são substancialmente conservadoras, especialmente para </w:t>
      </w:r>
      <w:r w:rsidR="00393119" w:rsidRPr="001F27CE">
        <w:rPr>
          <w:rFonts w:ascii="Arial" w:hAnsi="Arial" w:cs="Arial"/>
          <w:bCs/>
          <w:lang w:val="pt-BR" w:eastAsia="es-ES"/>
        </w:rPr>
        <w:t>o percentual de redução do Gap Tributário</w:t>
      </w:r>
      <w:r w:rsidR="00FF5302" w:rsidRPr="001F27CE">
        <w:rPr>
          <w:rFonts w:ascii="Arial" w:hAnsi="Arial" w:cs="Arial"/>
          <w:bCs/>
          <w:lang w:val="pt-BR" w:eastAsia="es-ES"/>
        </w:rPr>
        <w:t xml:space="preserve">. A probabilidade de um retorno maior do que o cenário básico é </w:t>
      </w:r>
      <w:proofErr w:type="gramStart"/>
      <w:r w:rsidR="00FF5302" w:rsidRPr="001F27CE">
        <w:rPr>
          <w:rFonts w:ascii="Arial" w:hAnsi="Arial" w:cs="Arial"/>
          <w:bCs/>
          <w:lang w:val="pt-BR" w:eastAsia="es-ES"/>
        </w:rPr>
        <w:t>alta</w:t>
      </w:r>
      <w:proofErr w:type="gramEnd"/>
      <w:r w:rsidR="00FF5302" w:rsidRPr="001F27CE">
        <w:rPr>
          <w:rFonts w:ascii="Arial" w:hAnsi="Arial" w:cs="Arial"/>
          <w:bCs/>
          <w:lang w:val="pt-BR" w:eastAsia="es-ES"/>
        </w:rPr>
        <w:t xml:space="preserve">. </w:t>
      </w:r>
    </w:p>
    <w:p w14:paraId="272C7342" w14:textId="77777777" w:rsidR="00470583" w:rsidRPr="001F27CE" w:rsidRDefault="00470583" w:rsidP="00470583">
      <w:pPr>
        <w:pStyle w:val="PargrafodaLista"/>
        <w:keepNext/>
        <w:suppressAutoHyphens/>
        <w:spacing w:before="120"/>
        <w:ind w:left="284"/>
        <w:jc w:val="both"/>
        <w:outlineLvl w:val="3"/>
        <w:rPr>
          <w:rFonts w:ascii="Arial" w:hAnsi="Arial" w:cs="Arial"/>
          <w:bCs/>
          <w:lang w:val="pt-BR" w:eastAsia="es-ES"/>
        </w:rPr>
      </w:pPr>
    </w:p>
    <w:tbl>
      <w:tblPr>
        <w:tblW w:w="7440" w:type="dxa"/>
        <w:tblInd w:w="93" w:type="dxa"/>
        <w:tblLook w:val="04A0" w:firstRow="1" w:lastRow="0" w:firstColumn="1" w:lastColumn="0" w:noHBand="0" w:noVBand="1"/>
      </w:tblPr>
      <w:tblGrid>
        <w:gridCol w:w="2588"/>
        <w:gridCol w:w="845"/>
        <w:gridCol w:w="4007"/>
      </w:tblGrid>
      <w:tr w:rsidR="00470583" w:rsidRPr="00470583" w14:paraId="2E3E3EE4" w14:textId="77777777" w:rsidTr="00470583">
        <w:trPr>
          <w:trHeight w:val="300"/>
        </w:trPr>
        <w:tc>
          <w:tcPr>
            <w:tcW w:w="7440" w:type="dxa"/>
            <w:gridSpan w:val="3"/>
            <w:tcBorders>
              <w:top w:val="nil"/>
              <w:left w:val="nil"/>
              <w:bottom w:val="nil"/>
              <w:right w:val="nil"/>
            </w:tcBorders>
            <w:shd w:val="clear" w:color="auto" w:fill="auto"/>
            <w:noWrap/>
            <w:vAlign w:val="center"/>
            <w:hideMark/>
          </w:tcPr>
          <w:p w14:paraId="6CA5C332" w14:textId="77777777" w:rsidR="00470583" w:rsidRPr="00470583" w:rsidRDefault="00470583" w:rsidP="00470583">
            <w:pPr>
              <w:rPr>
                <w:b/>
                <w:bCs/>
                <w:color w:val="000000"/>
                <w:sz w:val="22"/>
                <w:szCs w:val="22"/>
                <w:lang w:val="pt-BR"/>
              </w:rPr>
            </w:pPr>
            <w:r w:rsidRPr="00470583">
              <w:rPr>
                <w:b/>
                <w:bCs/>
                <w:color w:val="FF0000"/>
                <w:sz w:val="22"/>
                <w:szCs w:val="22"/>
                <w:lang w:val="pt-BR"/>
              </w:rPr>
              <w:t>Tabela18</w:t>
            </w:r>
            <w:r w:rsidRPr="00470583">
              <w:rPr>
                <w:b/>
                <w:bCs/>
                <w:color w:val="000000"/>
                <w:sz w:val="22"/>
                <w:szCs w:val="22"/>
                <w:lang w:val="pt-BR"/>
              </w:rPr>
              <w:t>: Sumário da Análise de Sensibilidade da Análise Custo-Benefício</w:t>
            </w:r>
          </w:p>
        </w:tc>
      </w:tr>
      <w:tr w:rsidR="00470583" w:rsidRPr="00470583" w14:paraId="5F20C004" w14:textId="77777777" w:rsidTr="00470583">
        <w:trPr>
          <w:trHeight w:val="300"/>
        </w:trPr>
        <w:tc>
          <w:tcPr>
            <w:tcW w:w="25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F6FB2" w14:textId="77777777" w:rsidR="00470583" w:rsidRPr="00470583" w:rsidRDefault="00470583" w:rsidP="00470583">
            <w:pPr>
              <w:rPr>
                <w:rFonts w:ascii="Calibri" w:hAnsi="Calibri" w:cs="Calibri"/>
                <w:color w:val="000000"/>
                <w:sz w:val="22"/>
                <w:szCs w:val="22"/>
                <w:lang w:val="pt-BR"/>
              </w:rPr>
            </w:pPr>
            <w:r w:rsidRPr="00470583">
              <w:rPr>
                <w:rFonts w:ascii="Calibri" w:hAnsi="Calibri" w:cs="Calibri"/>
                <w:color w:val="000000"/>
                <w:sz w:val="22"/>
                <w:szCs w:val="22"/>
                <w:lang w:val="pt-BR"/>
              </w:rPr>
              <w:t> </w:t>
            </w:r>
          </w:p>
        </w:tc>
        <w:tc>
          <w:tcPr>
            <w:tcW w:w="845" w:type="dxa"/>
            <w:tcBorders>
              <w:top w:val="single" w:sz="4" w:space="0" w:color="auto"/>
              <w:left w:val="nil"/>
              <w:bottom w:val="single" w:sz="4" w:space="0" w:color="auto"/>
              <w:right w:val="single" w:sz="4" w:space="0" w:color="auto"/>
            </w:tcBorders>
            <w:shd w:val="clear" w:color="auto" w:fill="auto"/>
            <w:noWrap/>
            <w:vAlign w:val="bottom"/>
            <w:hideMark/>
          </w:tcPr>
          <w:p w14:paraId="766CC259" w14:textId="77777777" w:rsidR="00470583" w:rsidRPr="00470583" w:rsidRDefault="00470583" w:rsidP="00470583">
            <w:pPr>
              <w:jc w:val="center"/>
              <w:rPr>
                <w:rFonts w:ascii="Calibri" w:hAnsi="Calibri" w:cs="Calibri"/>
                <w:color w:val="000000"/>
                <w:sz w:val="22"/>
                <w:szCs w:val="22"/>
              </w:rPr>
            </w:pPr>
            <w:r w:rsidRPr="00470583">
              <w:rPr>
                <w:rFonts w:ascii="Calibri" w:hAnsi="Calibri" w:cs="Calibri"/>
                <w:color w:val="000000"/>
                <w:sz w:val="22"/>
                <w:szCs w:val="22"/>
              </w:rPr>
              <w:t>TIR</w:t>
            </w:r>
          </w:p>
        </w:tc>
        <w:tc>
          <w:tcPr>
            <w:tcW w:w="4007" w:type="dxa"/>
            <w:tcBorders>
              <w:top w:val="single" w:sz="4" w:space="0" w:color="auto"/>
              <w:left w:val="nil"/>
              <w:bottom w:val="single" w:sz="4" w:space="0" w:color="auto"/>
              <w:right w:val="single" w:sz="4" w:space="0" w:color="auto"/>
            </w:tcBorders>
            <w:shd w:val="clear" w:color="auto" w:fill="auto"/>
            <w:noWrap/>
            <w:vAlign w:val="bottom"/>
            <w:hideMark/>
          </w:tcPr>
          <w:p w14:paraId="4568C37F" w14:textId="77777777" w:rsidR="00470583" w:rsidRPr="00470583" w:rsidRDefault="00470583" w:rsidP="00470583">
            <w:pPr>
              <w:jc w:val="center"/>
              <w:rPr>
                <w:rFonts w:ascii="Calibri" w:hAnsi="Calibri" w:cs="Calibri"/>
                <w:color w:val="000000"/>
                <w:sz w:val="22"/>
                <w:szCs w:val="22"/>
              </w:rPr>
            </w:pPr>
            <w:r w:rsidRPr="00470583">
              <w:rPr>
                <w:rFonts w:ascii="Calibri" w:hAnsi="Calibri" w:cs="Calibri"/>
                <w:color w:val="000000"/>
                <w:sz w:val="22"/>
                <w:szCs w:val="22"/>
              </w:rPr>
              <w:t>VPL</w:t>
            </w:r>
          </w:p>
        </w:tc>
      </w:tr>
      <w:tr w:rsidR="00470583" w:rsidRPr="00470583" w14:paraId="6FC6FD7B" w14:textId="77777777" w:rsidTr="00470583">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06735457" w14:textId="77777777" w:rsidR="00470583" w:rsidRPr="00470583" w:rsidRDefault="00470583" w:rsidP="00470583">
            <w:pPr>
              <w:rPr>
                <w:rFonts w:ascii="Calibri" w:hAnsi="Calibri" w:cs="Calibri"/>
                <w:color w:val="000000"/>
                <w:sz w:val="22"/>
                <w:szCs w:val="22"/>
              </w:rPr>
            </w:pPr>
            <w:proofErr w:type="spellStart"/>
            <w:r w:rsidRPr="00470583">
              <w:rPr>
                <w:rFonts w:ascii="Calibri" w:hAnsi="Calibri" w:cs="Calibri"/>
                <w:color w:val="000000"/>
                <w:sz w:val="22"/>
                <w:szCs w:val="22"/>
              </w:rPr>
              <w:t>Básico</w:t>
            </w:r>
            <w:proofErr w:type="spellEnd"/>
          </w:p>
        </w:tc>
        <w:tc>
          <w:tcPr>
            <w:tcW w:w="845" w:type="dxa"/>
            <w:tcBorders>
              <w:top w:val="nil"/>
              <w:left w:val="nil"/>
              <w:bottom w:val="single" w:sz="4" w:space="0" w:color="auto"/>
              <w:right w:val="single" w:sz="4" w:space="0" w:color="auto"/>
            </w:tcBorders>
            <w:shd w:val="clear" w:color="auto" w:fill="auto"/>
            <w:noWrap/>
            <w:vAlign w:val="bottom"/>
            <w:hideMark/>
          </w:tcPr>
          <w:p w14:paraId="11773CE3" w14:textId="77777777" w:rsidR="00470583" w:rsidRPr="00470583" w:rsidRDefault="00470583" w:rsidP="00470583">
            <w:pPr>
              <w:jc w:val="center"/>
              <w:rPr>
                <w:rFonts w:ascii="Calibri" w:hAnsi="Calibri" w:cs="Calibri"/>
                <w:color w:val="000000"/>
                <w:sz w:val="22"/>
                <w:szCs w:val="22"/>
              </w:rPr>
            </w:pPr>
            <w:r w:rsidRPr="00470583">
              <w:rPr>
                <w:rFonts w:ascii="Calibri" w:hAnsi="Calibri" w:cs="Calibri"/>
                <w:color w:val="000000"/>
                <w:sz w:val="22"/>
                <w:szCs w:val="22"/>
              </w:rPr>
              <w:t>56,1%</w:t>
            </w:r>
          </w:p>
        </w:tc>
        <w:tc>
          <w:tcPr>
            <w:tcW w:w="4007" w:type="dxa"/>
            <w:tcBorders>
              <w:top w:val="nil"/>
              <w:left w:val="nil"/>
              <w:bottom w:val="single" w:sz="4" w:space="0" w:color="auto"/>
              <w:right w:val="single" w:sz="4" w:space="0" w:color="auto"/>
            </w:tcBorders>
            <w:shd w:val="clear" w:color="auto" w:fill="auto"/>
            <w:noWrap/>
            <w:vAlign w:val="bottom"/>
            <w:hideMark/>
          </w:tcPr>
          <w:p w14:paraId="26679B8B" w14:textId="77777777" w:rsidR="00470583" w:rsidRPr="00470583" w:rsidRDefault="00470583" w:rsidP="00470583">
            <w:pPr>
              <w:rPr>
                <w:rFonts w:ascii="Calibri" w:hAnsi="Calibri" w:cs="Calibri"/>
                <w:color w:val="000000"/>
                <w:sz w:val="22"/>
                <w:szCs w:val="22"/>
              </w:rPr>
            </w:pPr>
            <w:r w:rsidRPr="00470583">
              <w:rPr>
                <w:rFonts w:ascii="Calibri" w:hAnsi="Calibri" w:cs="Calibri"/>
                <w:color w:val="000000"/>
                <w:sz w:val="22"/>
                <w:szCs w:val="22"/>
              </w:rPr>
              <w:t xml:space="preserve"> $                               49.551.651 </w:t>
            </w:r>
          </w:p>
        </w:tc>
      </w:tr>
      <w:tr w:rsidR="00470583" w:rsidRPr="00470583" w14:paraId="64B86AA5" w14:textId="77777777" w:rsidTr="00470583">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3FF75DA8" w14:textId="77777777" w:rsidR="00470583" w:rsidRPr="00470583" w:rsidRDefault="00470583" w:rsidP="00470583">
            <w:pPr>
              <w:rPr>
                <w:rFonts w:ascii="Calibri" w:hAnsi="Calibri" w:cs="Calibri"/>
                <w:color w:val="000000"/>
                <w:sz w:val="22"/>
                <w:szCs w:val="22"/>
              </w:rPr>
            </w:pPr>
            <w:proofErr w:type="spellStart"/>
            <w:r w:rsidRPr="00470583">
              <w:rPr>
                <w:rFonts w:ascii="Calibri" w:hAnsi="Calibri" w:cs="Calibri"/>
                <w:color w:val="000000"/>
                <w:sz w:val="22"/>
                <w:szCs w:val="22"/>
              </w:rPr>
              <w:t>Desvalorização</w:t>
            </w:r>
            <w:proofErr w:type="spellEnd"/>
          </w:p>
        </w:tc>
        <w:tc>
          <w:tcPr>
            <w:tcW w:w="845" w:type="dxa"/>
            <w:tcBorders>
              <w:top w:val="nil"/>
              <w:left w:val="nil"/>
              <w:bottom w:val="single" w:sz="4" w:space="0" w:color="auto"/>
              <w:right w:val="single" w:sz="4" w:space="0" w:color="auto"/>
            </w:tcBorders>
            <w:shd w:val="clear" w:color="auto" w:fill="auto"/>
            <w:noWrap/>
            <w:vAlign w:val="bottom"/>
            <w:hideMark/>
          </w:tcPr>
          <w:p w14:paraId="0FD0C72F" w14:textId="77777777" w:rsidR="00470583" w:rsidRPr="00470583" w:rsidRDefault="00470583" w:rsidP="00470583">
            <w:pPr>
              <w:jc w:val="center"/>
              <w:rPr>
                <w:rFonts w:ascii="Calibri" w:hAnsi="Calibri" w:cs="Calibri"/>
                <w:color w:val="000000"/>
                <w:sz w:val="22"/>
                <w:szCs w:val="22"/>
              </w:rPr>
            </w:pPr>
            <w:r w:rsidRPr="00470583">
              <w:rPr>
                <w:rFonts w:ascii="Calibri" w:hAnsi="Calibri" w:cs="Calibri"/>
                <w:color w:val="000000"/>
                <w:sz w:val="22"/>
                <w:szCs w:val="22"/>
              </w:rPr>
              <w:t>42,5%</w:t>
            </w:r>
          </w:p>
        </w:tc>
        <w:tc>
          <w:tcPr>
            <w:tcW w:w="4007" w:type="dxa"/>
            <w:tcBorders>
              <w:top w:val="nil"/>
              <w:left w:val="nil"/>
              <w:bottom w:val="single" w:sz="4" w:space="0" w:color="auto"/>
              <w:right w:val="single" w:sz="4" w:space="0" w:color="auto"/>
            </w:tcBorders>
            <w:shd w:val="clear" w:color="auto" w:fill="auto"/>
            <w:noWrap/>
            <w:vAlign w:val="bottom"/>
            <w:hideMark/>
          </w:tcPr>
          <w:p w14:paraId="5775FEAF" w14:textId="77777777" w:rsidR="00470583" w:rsidRPr="00470583" w:rsidRDefault="00470583" w:rsidP="00470583">
            <w:pPr>
              <w:rPr>
                <w:rFonts w:ascii="Calibri" w:hAnsi="Calibri" w:cs="Calibri"/>
                <w:color w:val="000000"/>
                <w:sz w:val="22"/>
                <w:szCs w:val="22"/>
              </w:rPr>
            </w:pPr>
            <w:r w:rsidRPr="00470583">
              <w:rPr>
                <w:rFonts w:ascii="Calibri" w:hAnsi="Calibri" w:cs="Calibri"/>
                <w:color w:val="000000"/>
                <w:sz w:val="22"/>
                <w:szCs w:val="22"/>
              </w:rPr>
              <w:t xml:space="preserve"> $                               33.219.845 </w:t>
            </w:r>
          </w:p>
        </w:tc>
      </w:tr>
      <w:tr w:rsidR="00470583" w:rsidRPr="00470583" w14:paraId="4D90731B" w14:textId="77777777" w:rsidTr="00470583">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11E02B70" w14:textId="77777777" w:rsidR="00470583" w:rsidRPr="00470583" w:rsidRDefault="00470583" w:rsidP="00470583">
            <w:pPr>
              <w:rPr>
                <w:rFonts w:ascii="Calibri" w:hAnsi="Calibri" w:cs="Calibri"/>
                <w:color w:val="000000"/>
                <w:sz w:val="22"/>
                <w:szCs w:val="22"/>
              </w:rPr>
            </w:pPr>
            <w:proofErr w:type="spellStart"/>
            <w:r w:rsidRPr="00470583">
              <w:rPr>
                <w:rFonts w:ascii="Calibri" w:hAnsi="Calibri" w:cs="Calibri"/>
                <w:color w:val="000000"/>
                <w:sz w:val="22"/>
                <w:szCs w:val="22"/>
              </w:rPr>
              <w:t>Redução</w:t>
            </w:r>
            <w:proofErr w:type="spellEnd"/>
            <w:r w:rsidRPr="00470583">
              <w:rPr>
                <w:rFonts w:ascii="Calibri" w:hAnsi="Calibri" w:cs="Calibri"/>
                <w:color w:val="000000"/>
                <w:sz w:val="22"/>
                <w:szCs w:val="22"/>
              </w:rPr>
              <w:t xml:space="preserve"> </w:t>
            </w:r>
            <w:proofErr w:type="spellStart"/>
            <w:r w:rsidRPr="00470583">
              <w:rPr>
                <w:rFonts w:ascii="Calibri" w:hAnsi="Calibri" w:cs="Calibri"/>
                <w:color w:val="000000"/>
                <w:sz w:val="22"/>
                <w:szCs w:val="22"/>
              </w:rPr>
              <w:t>benefícios</w:t>
            </w:r>
            <w:proofErr w:type="spellEnd"/>
          </w:p>
        </w:tc>
        <w:tc>
          <w:tcPr>
            <w:tcW w:w="845" w:type="dxa"/>
            <w:tcBorders>
              <w:top w:val="nil"/>
              <w:left w:val="nil"/>
              <w:bottom w:val="single" w:sz="4" w:space="0" w:color="auto"/>
              <w:right w:val="single" w:sz="4" w:space="0" w:color="auto"/>
            </w:tcBorders>
            <w:shd w:val="clear" w:color="auto" w:fill="auto"/>
            <w:noWrap/>
            <w:vAlign w:val="bottom"/>
            <w:hideMark/>
          </w:tcPr>
          <w:p w14:paraId="5FEF25F4" w14:textId="77777777" w:rsidR="00470583" w:rsidRPr="00470583" w:rsidRDefault="00470583" w:rsidP="00470583">
            <w:pPr>
              <w:jc w:val="center"/>
              <w:rPr>
                <w:rFonts w:ascii="Calibri" w:hAnsi="Calibri" w:cs="Calibri"/>
                <w:color w:val="000000"/>
                <w:sz w:val="22"/>
                <w:szCs w:val="22"/>
              </w:rPr>
            </w:pPr>
            <w:r w:rsidRPr="00470583">
              <w:rPr>
                <w:rFonts w:ascii="Calibri" w:hAnsi="Calibri" w:cs="Calibri"/>
                <w:color w:val="000000"/>
                <w:sz w:val="22"/>
                <w:szCs w:val="22"/>
              </w:rPr>
              <w:t>20,5%</w:t>
            </w:r>
          </w:p>
        </w:tc>
        <w:tc>
          <w:tcPr>
            <w:tcW w:w="4007" w:type="dxa"/>
            <w:tcBorders>
              <w:top w:val="nil"/>
              <w:left w:val="nil"/>
              <w:bottom w:val="single" w:sz="4" w:space="0" w:color="auto"/>
              <w:right w:val="single" w:sz="4" w:space="0" w:color="auto"/>
            </w:tcBorders>
            <w:shd w:val="clear" w:color="auto" w:fill="auto"/>
            <w:noWrap/>
            <w:vAlign w:val="bottom"/>
            <w:hideMark/>
          </w:tcPr>
          <w:p w14:paraId="748FD94E" w14:textId="77777777" w:rsidR="00470583" w:rsidRPr="00470583" w:rsidRDefault="00470583" w:rsidP="00470583">
            <w:pPr>
              <w:rPr>
                <w:rFonts w:ascii="Calibri" w:hAnsi="Calibri" w:cs="Calibri"/>
                <w:color w:val="000000"/>
                <w:sz w:val="22"/>
                <w:szCs w:val="22"/>
              </w:rPr>
            </w:pPr>
            <w:r w:rsidRPr="00470583">
              <w:rPr>
                <w:rFonts w:ascii="Calibri" w:hAnsi="Calibri" w:cs="Calibri"/>
                <w:color w:val="000000"/>
                <w:sz w:val="22"/>
                <w:szCs w:val="22"/>
              </w:rPr>
              <w:t xml:space="preserve"> $                                 8.407.821 </w:t>
            </w:r>
          </w:p>
        </w:tc>
      </w:tr>
      <w:tr w:rsidR="00470583" w:rsidRPr="00470583" w14:paraId="240935CB" w14:textId="77777777" w:rsidTr="00470583">
        <w:trPr>
          <w:trHeight w:val="300"/>
        </w:trPr>
        <w:tc>
          <w:tcPr>
            <w:tcW w:w="2588" w:type="dxa"/>
            <w:tcBorders>
              <w:top w:val="nil"/>
              <w:left w:val="single" w:sz="4" w:space="0" w:color="auto"/>
              <w:bottom w:val="single" w:sz="4" w:space="0" w:color="auto"/>
              <w:right w:val="single" w:sz="4" w:space="0" w:color="auto"/>
            </w:tcBorders>
            <w:shd w:val="clear" w:color="auto" w:fill="auto"/>
            <w:noWrap/>
            <w:vAlign w:val="bottom"/>
            <w:hideMark/>
          </w:tcPr>
          <w:p w14:paraId="399CB0B2" w14:textId="77777777" w:rsidR="00470583" w:rsidRPr="00470583" w:rsidRDefault="00470583" w:rsidP="00470583">
            <w:pPr>
              <w:rPr>
                <w:rFonts w:ascii="Calibri" w:hAnsi="Calibri" w:cs="Calibri"/>
                <w:color w:val="000000"/>
                <w:sz w:val="22"/>
                <w:szCs w:val="22"/>
              </w:rPr>
            </w:pPr>
            <w:r w:rsidRPr="00470583">
              <w:rPr>
                <w:rFonts w:ascii="Calibri" w:hAnsi="Calibri" w:cs="Calibri"/>
                <w:color w:val="000000"/>
                <w:sz w:val="22"/>
                <w:szCs w:val="22"/>
              </w:rPr>
              <w:t>Duplo</w:t>
            </w:r>
          </w:p>
        </w:tc>
        <w:tc>
          <w:tcPr>
            <w:tcW w:w="845" w:type="dxa"/>
            <w:tcBorders>
              <w:top w:val="nil"/>
              <w:left w:val="nil"/>
              <w:bottom w:val="single" w:sz="4" w:space="0" w:color="auto"/>
              <w:right w:val="single" w:sz="4" w:space="0" w:color="auto"/>
            </w:tcBorders>
            <w:shd w:val="clear" w:color="auto" w:fill="auto"/>
            <w:noWrap/>
            <w:vAlign w:val="bottom"/>
            <w:hideMark/>
          </w:tcPr>
          <w:p w14:paraId="4B3366FE" w14:textId="77777777" w:rsidR="00470583" w:rsidRPr="00470583" w:rsidRDefault="00470583" w:rsidP="00470583">
            <w:pPr>
              <w:jc w:val="center"/>
              <w:rPr>
                <w:rFonts w:ascii="Calibri" w:hAnsi="Calibri" w:cs="Calibri"/>
                <w:color w:val="000000"/>
                <w:sz w:val="22"/>
                <w:szCs w:val="22"/>
              </w:rPr>
            </w:pPr>
            <w:r w:rsidRPr="00470583">
              <w:rPr>
                <w:rFonts w:ascii="Calibri" w:hAnsi="Calibri" w:cs="Calibri"/>
                <w:color w:val="000000"/>
                <w:sz w:val="22"/>
                <w:szCs w:val="22"/>
              </w:rPr>
              <w:t>12,3%</w:t>
            </w:r>
          </w:p>
        </w:tc>
        <w:tc>
          <w:tcPr>
            <w:tcW w:w="4007" w:type="dxa"/>
            <w:tcBorders>
              <w:top w:val="nil"/>
              <w:left w:val="nil"/>
              <w:bottom w:val="single" w:sz="4" w:space="0" w:color="auto"/>
              <w:right w:val="single" w:sz="4" w:space="0" w:color="auto"/>
            </w:tcBorders>
            <w:shd w:val="clear" w:color="auto" w:fill="auto"/>
            <w:noWrap/>
            <w:vAlign w:val="bottom"/>
            <w:hideMark/>
          </w:tcPr>
          <w:p w14:paraId="0E02FF4F" w14:textId="77777777" w:rsidR="00470583" w:rsidRPr="00470583" w:rsidRDefault="00470583" w:rsidP="00470583">
            <w:pPr>
              <w:rPr>
                <w:rFonts w:ascii="Calibri" w:hAnsi="Calibri" w:cs="Calibri"/>
                <w:color w:val="000000"/>
                <w:sz w:val="22"/>
                <w:szCs w:val="22"/>
              </w:rPr>
            </w:pPr>
            <w:r w:rsidRPr="00470583">
              <w:rPr>
                <w:rFonts w:ascii="Calibri" w:hAnsi="Calibri" w:cs="Calibri"/>
                <w:color w:val="000000"/>
                <w:sz w:val="22"/>
                <w:szCs w:val="22"/>
              </w:rPr>
              <w:t xml:space="preserve"> $                                 2.411.170 </w:t>
            </w:r>
          </w:p>
        </w:tc>
      </w:tr>
      <w:tr w:rsidR="00470583" w:rsidRPr="00470583" w14:paraId="0697CFA3" w14:textId="77777777" w:rsidTr="00470583">
        <w:trPr>
          <w:trHeight w:val="300"/>
        </w:trPr>
        <w:tc>
          <w:tcPr>
            <w:tcW w:w="7440" w:type="dxa"/>
            <w:gridSpan w:val="3"/>
            <w:tcBorders>
              <w:top w:val="single" w:sz="4" w:space="0" w:color="auto"/>
              <w:left w:val="nil"/>
              <w:bottom w:val="nil"/>
              <w:right w:val="nil"/>
            </w:tcBorders>
            <w:shd w:val="clear" w:color="auto" w:fill="auto"/>
            <w:noWrap/>
            <w:vAlign w:val="bottom"/>
            <w:hideMark/>
          </w:tcPr>
          <w:p w14:paraId="10617A26" w14:textId="77777777" w:rsidR="00470583" w:rsidRPr="00470583" w:rsidRDefault="00470583" w:rsidP="00470583">
            <w:pPr>
              <w:rPr>
                <w:rFonts w:ascii="Arial" w:hAnsi="Arial" w:cs="Arial"/>
                <w:color w:val="FF0000"/>
                <w:sz w:val="20"/>
                <w:szCs w:val="20"/>
                <w:lang w:val="pt-BR"/>
              </w:rPr>
            </w:pPr>
            <w:r w:rsidRPr="00470583">
              <w:rPr>
                <w:rFonts w:ascii="Arial" w:hAnsi="Arial" w:cs="Arial"/>
                <w:color w:val="FF0000"/>
                <w:sz w:val="20"/>
                <w:szCs w:val="20"/>
                <w:lang w:val="pt-BR"/>
              </w:rPr>
              <w:t>Fonte: Cálculos do autor para os diferentes cenários da avaliação C-B.</w:t>
            </w:r>
          </w:p>
        </w:tc>
      </w:tr>
    </w:tbl>
    <w:p w14:paraId="294D565D" w14:textId="77777777" w:rsidR="00B6494D" w:rsidRPr="001F27CE" w:rsidRDefault="00B6494D" w:rsidP="00B6494D">
      <w:pPr>
        <w:pStyle w:val="PargrafodaLista"/>
        <w:keepNext/>
        <w:suppressAutoHyphens/>
        <w:spacing w:before="120"/>
        <w:ind w:left="284"/>
        <w:jc w:val="both"/>
        <w:outlineLvl w:val="3"/>
        <w:rPr>
          <w:rFonts w:ascii="Arial" w:hAnsi="Arial" w:cs="Arial"/>
          <w:bCs/>
          <w:lang w:val="pt-BR" w:eastAsia="es-ES"/>
        </w:rPr>
      </w:pPr>
    </w:p>
    <w:p w14:paraId="294D565E" w14:textId="44205367" w:rsidR="005D0A66" w:rsidRPr="001F27CE" w:rsidRDefault="005D0A66" w:rsidP="005F50CC">
      <w:pPr>
        <w:pStyle w:val="PargrafodaLista"/>
        <w:keepNext/>
        <w:suppressAutoHyphens/>
        <w:spacing w:before="120"/>
        <w:ind w:left="284"/>
        <w:jc w:val="center"/>
        <w:outlineLvl w:val="3"/>
        <w:rPr>
          <w:rFonts w:ascii="Arial" w:hAnsi="Arial" w:cs="Arial"/>
          <w:bCs/>
          <w:lang w:val="pt-BR" w:eastAsia="es-ES"/>
        </w:rPr>
      </w:pPr>
    </w:p>
    <w:p w14:paraId="294D565F" w14:textId="77777777" w:rsidR="007244F2" w:rsidRDefault="007244F2" w:rsidP="00481B57">
      <w:pPr>
        <w:spacing w:before="120" w:after="120"/>
        <w:contextualSpacing/>
        <w:rPr>
          <w:rFonts w:ascii="Arial" w:hAnsi="Arial" w:cs="Arial"/>
          <w:b/>
          <w:smallCaps/>
          <w:lang w:val="pt-BR"/>
        </w:rPr>
      </w:pPr>
    </w:p>
    <w:p w14:paraId="294D5660" w14:textId="77777777" w:rsidR="00481B57" w:rsidRPr="001F27CE" w:rsidRDefault="00481B57" w:rsidP="00481B57">
      <w:pPr>
        <w:spacing w:before="120" w:after="120"/>
        <w:contextualSpacing/>
        <w:rPr>
          <w:rFonts w:ascii="Arial" w:hAnsi="Arial" w:cs="Arial"/>
          <w:b/>
          <w:smallCaps/>
          <w:lang w:val="pt-BR"/>
        </w:rPr>
      </w:pPr>
      <w:r w:rsidRPr="001F27CE">
        <w:rPr>
          <w:rFonts w:ascii="Arial" w:hAnsi="Arial" w:cs="Arial"/>
          <w:b/>
          <w:smallCaps/>
          <w:lang w:val="pt-BR"/>
        </w:rPr>
        <w:t>Referencias</w:t>
      </w:r>
    </w:p>
    <w:p w14:paraId="266B5704" w14:textId="77777777" w:rsidR="00B00582" w:rsidRDefault="00B00582" w:rsidP="00B00582">
      <w:pPr>
        <w:spacing w:before="120" w:after="120"/>
        <w:contextualSpacing/>
        <w:rPr>
          <w:rFonts w:ascii="Arial" w:hAnsi="Arial" w:cs="Arial"/>
          <w:b/>
          <w:smallCaps/>
          <w:sz w:val="22"/>
          <w:szCs w:val="22"/>
          <w:lang w:val="pt-BR"/>
        </w:rPr>
      </w:pPr>
    </w:p>
    <w:p w14:paraId="7EF5FC4E" w14:textId="77777777" w:rsidR="00B00582" w:rsidRDefault="00B00582" w:rsidP="00B00582">
      <w:pPr>
        <w:spacing w:before="120" w:after="120"/>
        <w:contextualSpacing/>
        <w:rPr>
          <w:rFonts w:ascii="Arial" w:eastAsiaTheme="minorHAnsi" w:hAnsi="Arial" w:cs="Arial"/>
          <w:spacing w:val="-3"/>
          <w:sz w:val="22"/>
          <w:szCs w:val="22"/>
          <w:lang w:val="pt-BR" w:eastAsia="zh-CN"/>
        </w:rPr>
      </w:pPr>
      <w:r>
        <w:rPr>
          <w:rFonts w:ascii="Arial" w:eastAsiaTheme="minorHAnsi" w:hAnsi="Arial" w:cs="Arial"/>
          <w:spacing w:val="-3"/>
          <w:sz w:val="22"/>
          <w:szCs w:val="22"/>
          <w:lang w:val="pt-BR" w:eastAsia="zh-CN"/>
        </w:rPr>
        <w:t xml:space="preserve">Amaral, G. L.; </w:t>
      </w:r>
      <w:proofErr w:type="spellStart"/>
      <w:r>
        <w:rPr>
          <w:rFonts w:ascii="Arial" w:eastAsiaTheme="minorHAnsi" w:hAnsi="Arial" w:cs="Arial"/>
          <w:spacing w:val="-3"/>
          <w:sz w:val="22"/>
          <w:szCs w:val="22"/>
          <w:lang w:val="pt-BR" w:eastAsia="zh-CN"/>
        </w:rPr>
        <w:t>Olenike</w:t>
      </w:r>
      <w:proofErr w:type="spellEnd"/>
      <w:r>
        <w:rPr>
          <w:rFonts w:ascii="Arial" w:eastAsiaTheme="minorHAnsi" w:hAnsi="Arial" w:cs="Arial"/>
          <w:spacing w:val="-3"/>
          <w:sz w:val="22"/>
          <w:szCs w:val="22"/>
          <w:lang w:val="pt-BR" w:eastAsia="zh-CN"/>
        </w:rPr>
        <w:t>, J. E</w:t>
      </w:r>
      <w:proofErr w:type="gramStart"/>
      <w:r>
        <w:rPr>
          <w:rFonts w:ascii="Arial" w:eastAsiaTheme="minorHAnsi" w:hAnsi="Arial" w:cs="Arial"/>
          <w:spacing w:val="-3"/>
          <w:sz w:val="22"/>
          <w:szCs w:val="22"/>
          <w:lang w:val="pt-BR" w:eastAsia="zh-CN"/>
        </w:rPr>
        <w:t>.;</w:t>
      </w:r>
      <w:proofErr w:type="gramEnd"/>
      <w:r>
        <w:rPr>
          <w:rFonts w:ascii="Arial" w:eastAsiaTheme="minorHAnsi" w:hAnsi="Arial" w:cs="Arial"/>
          <w:spacing w:val="-3"/>
          <w:sz w:val="22"/>
          <w:szCs w:val="22"/>
          <w:lang w:val="pt-BR" w:eastAsia="zh-CN"/>
        </w:rPr>
        <w:t xml:space="preserve"> Amaral, L. M. F. “Carga tributária brasileira 2012”. Curitiba: Instituto Brasileiro de Planejamento e </w:t>
      </w:r>
      <w:proofErr w:type="gramStart"/>
      <w:r>
        <w:rPr>
          <w:rFonts w:ascii="Arial" w:eastAsiaTheme="minorHAnsi" w:hAnsi="Arial" w:cs="Arial"/>
          <w:spacing w:val="-3"/>
          <w:sz w:val="22"/>
          <w:szCs w:val="22"/>
          <w:lang w:val="pt-BR" w:eastAsia="zh-CN"/>
        </w:rPr>
        <w:t>Tributação -IBPT</w:t>
      </w:r>
      <w:proofErr w:type="gramEnd"/>
      <w:r>
        <w:rPr>
          <w:rFonts w:ascii="Arial" w:eastAsiaTheme="minorHAnsi" w:hAnsi="Arial" w:cs="Arial"/>
          <w:spacing w:val="-3"/>
          <w:sz w:val="22"/>
          <w:szCs w:val="22"/>
          <w:lang w:val="pt-BR" w:eastAsia="zh-CN"/>
        </w:rPr>
        <w:t>, 2013 (Nota Técnica).</w:t>
      </w:r>
    </w:p>
    <w:p w14:paraId="3DDD43F5" w14:textId="77777777" w:rsidR="00B00582" w:rsidRDefault="00B00582" w:rsidP="00B00582">
      <w:pPr>
        <w:spacing w:before="120" w:after="120"/>
        <w:contextualSpacing/>
        <w:jc w:val="both"/>
        <w:rPr>
          <w:rFonts w:ascii="Arial" w:eastAsiaTheme="minorHAnsi" w:hAnsi="Arial" w:cs="Arial"/>
          <w:spacing w:val="-3"/>
          <w:sz w:val="22"/>
          <w:szCs w:val="22"/>
          <w:lang w:val="pt-BR" w:eastAsia="zh-CN"/>
        </w:rPr>
      </w:pPr>
    </w:p>
    <w:p w14:paraId="6C84DF00" w14:textId="77777777" w:rsidR="00B00582" w:rsidRDefault="00B00582" w:rsidP="00B00582">
      <w:pPr>
        <w:spacing w:before="120" w:after="120"/>
        <w:contextualSpacing/>
        <w:jc w:val="both"/>
        <w:rPr>
          <w:rFonts w:ascii="Arial" w:eastAsiaTheme="minorHAnsi" w:hAnsi="Arial" w:cs="Arial"/>
          <w:spacing w:val="-3"/>
          <w:sz w:val="22"/>
          <w:szCs w:val="22"/>
          <w:lang w:val="es-ES_tradnl" w:eastAsia="zh-CN"/>
        </w:rPr>
      </w:pPr>
      <w:proofErr w:type="gramStart"/>
      <w:r>
        <w:rPr>
          <w:rFonts w:ascii="Arial" w:eastAsiaTheme="minorHAnsi" w:hAnsi="Arial" w:cs="Arial"/>
          <w:spacing w:val="-3"/>
          <w:sz w:val="22"/>
          <w:szCs w:val="22"/>
          <w:lang w:eastAsia="zh-CN"/>
        </w:rPr>
        <w:t>Banco Mundial.</w:t>
      </w:r>
      <w:proofErr w:type="gramEnd"/>
      <w:r>
        <w:rPr>
          <w:rFonts w:ascii="Arial" w:eastAsiaTheme="minorHAnsi" w:hAnsi="Arial" w:cs="Arial"/>
          <w:spacing w:val="-3"/>
          <w:sz w:val="22"/>
          <w:szCs w:val="22"/>
          <w:lang w:eastAsia="zh-CN"/>
        </w:rPr>
        <w:t xml:space="preserve"> </w:t>
      </w:r>
      <w:proofErr w:type="gramStart"/>
      <w:r>
        <w:rPr>
          <w:rFonts w:ascii="Arial" w:eastAsiaTheme="minorHAnsi" w:hAnsi="Arial" w:cs="Arial"/>
          <w:spacing w:val="-3"/>
          <w:sz w:val="22"/>
          <w:szCs w:val="22"/>
          <w:lang w:eastAsia="zh-CN"/>
        </w:rPr>
        <w:t>Doing Business in Brazil, measuring business regulations.</w:t>
      </w:r>
      <w:proofErr w:type="gramEnd"/>
      <w:r>
        <w:rPr>
          <w:rFonts w:ascii="Arial" w:eastAsiaTheme="minorHAnsi" w:hAnsi="Arial" w:cs="Arial"/>
          <w:spacing w:val="-3"/>
          <w:sz w:val="22"/>
          <w:szCs w:val="22"/>
          <w:lang w:eastAsia="zh-CN"/>
        </w:rPr>
        <w:t xml:space="preserve"> </w:t>
      </w:r>
      <w:r>
        <w:rPr>
          <w:rFonts w:ascii="Arial" w:eastAsiaTheme="minorHAnsi" w:hAnsi="Arial" w:cs="Arial"/>
          <w:spacing w:val="-3"/>
          <w:sz w:val="22"/>
          <w:szCs w:val="22"/>
          <w:lang w:val="es-ES_tradnl" w:eastAsia="zh-CN"/>
        </w:rPr>
        <w:t xml:space="preserve">2017. </w:t>
      </w:r>
      <w:hyperlink r:id="rId16" w:history="1">
        <w:r>
          <w:rPr>
            <w:rStyle w:val="Hyperlink"/>
            <w:rFonts w:ascii="Arial" w:eastAsiaTheme="minorHAnsi" w:hAnsi="Arial" w:cs="Arial"/>
            <w:spacing w:val="-3"/>
            <w:sz w:val="22"/>
            <w:szCs w:val="22"/>
            <w:lang w:val="es-ES_tradnl" w:eastAsia="zh-CN"/>
          </w:rPr>
          <w:t>http://www.doingbusiness.org/data/exploreeconomies/brazil</w:t>
        </w:r>
      </w:hyperlink>
    </w:p>
    <w:p w14:paraId="406BEA67" w14:textId="77777777" w:rsidR="00B00582" w:rsidRDefault="00B00582" w:rsidP="00B00582">
      <w:pPr>
        <w:spacing w:before="120" w:after="120"/>
        <w:contextualSpacing/>
        <w:jc w:val="both"/>
        <w:rPr>
          <w:rFonts w:ascii="Arial" w:eastAsiaTheme="minorHAnsi" w:hAnsi="Arial" w:cs="Arial"/>
          <w:spacing w:val="-3"/>
          <w:sz w:val="22"/>
          <w:szCs w:val="22"/>
          <w:lang w:val="es-ES_tradnl" w:eastAsia="zh-CN"/>
        </w:rPr>
      </w:pPr>
    </w:p>
    <w:p w14:paraId="070C3E60" w14:textId="7E59F143" w:rsidR="00B00582" w:rsidRDefault="00B00582" w:rsidP="00B00582">
      <w:pPr>
        <w:spacing w:before="120" w:after="120"/>
        <w:contextualSpacing/>
        <w:rPr>
          <w:rFonts w:ascii="Arial" w:eastAsiaTheme="minorHAnsi" w:hAnsi="Arial" w:cs="Arial"/>
          <w:spacing w:val="-3"/>
          <w:sz w:val="22"/>
          <w:szCs w:val="22"/>
          <w:lang w:val="es-ES_tradnl" w:eastAsia="zh-CN"/>
        </w:rPr>
      </w:pPr>
      <w:proofErr w:type="spellStart"/>
      <w:r>
        <w:rPr>
          <w:rFonts w:ascii="Arial" w:eastAsiaTheme="minorHAnsi" w:hAnsi="Arial" w:cs="Arial"/>
          <w:spacing w:val="-3"/>
          <w:sz w:val="22"/>
          <w:szCs w:val="22"/>
          <w:lang w:val="es-ES_tradnl" w:eastAsia="zh-CN"/>
        </w:rPr>
        <w:t>Comissão</w:t>
      </w:r>
      <w:proofErr w:type="spellEnd"/>
      <w:r>
        <w:rPr>
          <w:rFonts w:ascii="Arial" w:eastAsiaTheme="minorHAnsi" w:hAnsi="Arial" w:cs="Arial"/>
          <w:spacing w:val="-3"/>
          <w:sz w:val="22"/>
          <w:szCs w:val="22"/>
          <w:lang w:val="es-ES_tradnl" w:eastAsia="zh-CN"/>
        </w:rPr>
        <w:t xml:space="preserve"> </w:t>
      </w:r>
      <w:proofErr w:type="spellStart"/>
      <w:r>
        <w:rPr>
          <w:rFonts w:ascii="Arial" w:eastAsiaTheme="minorHAnsi" w:hAnsi="Arial" w:cs="Arial"/>
          <w:spacing w:val="-3"/>
          <w:sz w:val="22"/>
          <w:szCs w:val="22"/>
          <w:lang w:val="es-ES_tradnl" w:eastAsia="zh-CN"/>
        </w:rPr>
        <w:t>Europeia</w:t>
      </w:r>
      <w:proofErr w:type="spellEnd"/>
      <w:r>
        <w:rPr>
          <w:rFonts w:ascii="Arial" w:eastAsiaTheme="minorHAnsi" w:hAnsi="Arial" w:cs="Arial"/>
          <w:spacing w:val="-3"/>
          <w:sz w:val="22"/>
          <w:szCs w:val="22"/>
          <w:lang w:val="es-ES_tradnl" w:eastAsia="zh-CN"/>
        </w:rPr>
        <w:t xml:space="preserve"> (2003) - Guía del análisis costos-beneficios de los proyectos de inversión” de la Comisión Europea. </w:t>
      </w:r>
    </w:p>
    <w:p w14:paraId="7BC18AE4" w14:textId="77777777" w:rsidR="00B00582" w:rsidRDefault="00B00582" w:rsidP="00B00582">
      <w:pPr>
        <w:spacing w:before="120" w:after="120"/>
        <w:contextualSpacing/>
        <w:rPr>
          <w:rFonts w:ascii="Arial" w:hAnsi="Arial" w:cs="Arial"/>
          <w:sz w:val="18"/>
          <w:szCs w:val="18"/>
          <w:lang w:val="pt-BR"/>
        </w:rPr>
      </w:pPr>
      <w:r>
        <w:rPr>
          <w:rFonts w:ascii="Arial" w:eastAsiaTheme="minorHAnsi" w:hAnsi="Arial" w:cs="Arial"/>
          <w:spacing w:val="-3"/>
          <w:sz w:val="22"/>
          <w:szCs w:val="22"/>
          <w:lang w:val="pt-BR" w:eastAsia="zh-CN"/>
        </w:rPr>
        <w:t xml:space="preserve">Link: </w:t>
      </w:r>
      <w:hyperlink r:id="rId17" w:history="1">
        <w:r>
          <w:rPr>
            <w:rStyle w:val="Hyperlink"/>
            <w:rFonts w:ascii="Arial" w:hAnsi="Arial" w:cs="Arial"/>
            <w:sz w:val="18"/>
            <w:szCs w:val="18"/>
            <w:lang w:val="pt-BR"/>
          </w:rPr>
          <w:t>http://ec.europa.eu/regional_policy/sources/docgener/guides/cost/guide02_es.pdf</w:t>
        </w:r>
      </w:hyperlink>
    </w:p>
    <w:p w14:paraId="5BD13753" w14:textId="77777777" w:rsidR="00B00582" w:rsidRDefault="00B00582" w:rsidP="00B00582">
      <w:pPr>
        <w:spacing w:before="120" w:after="120"/>
        <w:contextualSpacing/>
        <w:jc w:val="both"/>
        <w:rPr>
          <w:rFonts w:ascii="Arial" w:hAnsi="Arial" w:cs="Arial"/>
          <w:sz w:val="22"/>
          <w:szCs w:val="22"/>
          <w:lang w:val="pt-BR"/>
        </w:rPr>
      </w:pPr>
    </w:p>
    <w:p w14:paraId="04325A10" w14:textId="6C9A05A6" w:rsidR="00ED23D0" w:rsidRDefault="00ED23D0" w:rsidP="00ED23D0">
      <w:pPr>
        <w:spacing w:before="120" w:after="120"/>
        <w:contextualSpacing/>
        <w:rPr>
          <w:rFonts w:ascii="Arial" w:hAnsi="Arial" w:cs="Arial"/>
          <w:sz w:val="22"/>
          <w:szCs w:val="22"/>
          <w:lang w:val="pt-BR"/>
        </w:rPr>
      </w:pPr>
      <w:r w:rsidRPr="00ED23D0">
        <w:rPr>
          <w:rFonts w:ascii="Arial" w:hAnsi="Arial" w:cs="Arial"/>
          <w:sz w:val="22"/>
          <w:szCs w:val="22"/>
          <w:lang w:val="pt-BR"/>
        </w:rPr>
        <w:t xml:space="preserve">IBGE (2016) – </w:t>
      </w:r>
      <w:r>
        <w:rPr>
          <w:rFonts w:ascii="Arial" w:hAnsi="Arial" w:cs="Arial"/>
          <w:sz w:val="22"/>
          <w:szCs w:val="22"/>
          <w:lang w:val="pt-BR"/>
        </w:rPr>
        <w:t xml:space="preserve">Contas Regionais do Brasil link: </w:t>
      </w:r>
      <w:r w:rsidRPr="00ED23D0">
        <w:rPr>
          <w:rFonts w:ascii="Arial" w:hAnsi="Arial" w:cs="Arial"/>
          <w:sz w:val="22"/>
          <w:szCs w:val="22"/>
          <w:lang w:val="pt-BR"/>
        </w:rPr>
        <w:t>ttps://</w:t>
      </w:r>
      <w:proofErr w:type="gramStart"/>
      <w:r w:rsidRPr="00ED23D0">
        <w:rPr>
          <w:rFonts w:ascii="Arial" w:hAnsi="Arial" w:cs="Arial"/>
          <w:sz w:val="22"/>
          <w:szCs w:val="22"/>
          <w:lang w:val="pt-BR"/>
        </w:rPr>
        <w:t>ww2.</w:t>
      </w:r>
      <w:proofErr w:type="gramEnd"/>
      <w:r w:rsidRPr="00ED23D0">
        <w:rPr>
          <w:rFonts w:ascii="Arial" w:hAnsi="Arial" w:cs="Arial"/>
          <w:sz w:val="22"/>
          <w:szCs w:val="22"/>
          <w:lang w:val="pt-BR"/>
        </w:rPr>
        <w:t>ibge.gov.br/home/estatistica/economia/contasregionais/2014/default_xls.shtm</w:t>
      </w:r>
    </w:p>
    <w:p w14:paraId="6BD79ED9" w14:textId="77777777" w:rsidR="00ED23D0" w:rsidRPr="00ED23D0" w:rsidRDefault="00ED23D0" w:rsidP="00ED23D0">
      <w:pPr>
        <w:spacing w:before="120" w:after="120"/>
        <w:contextualSpacing/>
        <w:rPr>
          <w:rFonts w:ascii="Arial" w:hAnsi="Arial" w:cs="Arial"/>
          <w:sz w:val="22"/>
          <w:szCs w:val="22"/>
          <w:lang w:val="pt-BR"/>
        </w:rPr>
      </w:pPr>
    </w:p>
    <w:p w14:paraId="5E4E15B4" w14:textId="25E91B9E" w:rsidR="001B17E5" w:rsidRDefault="001B17E5" w:rsidP="001B17E5">
      <w:pPr>
        <w:pStyle w:val="Textodenotaderodap"/>
        <w:rPr>
          <w:lang w:val="pt-BR"/>
        </w:rPr>
      </w:pPr>
      <w:r w:rsidRPr="001B17E5">
        <w:rPr>
          <w:rFonts w:ascii="Arial" w:eastAsiaTheme="minorHAnsi" w:hAnsi="Arial" w:cs="Arial"/>
          <w:spacing w:val="-3"/>
          <w:sz w:val="22"/>
          <w:szCs w:val="22"/>
          <w:lang w:val="pt-BR" w:eastAsia="zh-CN"/>
        </w:rPr>
        <w:t>Ministério da Indústria, Com</w:t>
      </w:r>
      <w:r>
        <w:rPr>
          <w:rFonts w:ascii="Arial" w:eastAsiaTheme="minorHAnsi" w:hAnsi="Arial" w:cs="Arial"/>
          <w:spacing w:val="-3"/>
          <w:sz w:val="22"/>
          <w:szCs w:val="22"/>
          <w:lang w:val="pt-BR" w:eastAsia="zh-CN"/>
        </w:rPr>
        <w:t>ércio Exterior e Serviços (</w:t>
      </w:r>
      <w:r w:rsidRPr="001B17E5">
        <w:rPr>
          <w:rFonts w:ascii="Arial" w:eastAsiaTheme="minorHAnsi" w:hAnsi="Arial" w:cs="Arial"/>
          <w:spacing w:val="-3"/>
          <w:sz w:val="22"/>
          <w:szCs w:val="22"/>
          <w:lang w:val="pt-BR" w:eastAsia="zh-CN"/>
        </w:rPr>
        <w:t>2017) – Dados de Importação por Unidade da Federação. Link</w:t>
      </w:r>
      <w:r>
        <w:rPr>
          <w:rFonts w:ascii="Arial" w:hAnsi="Arial" w:cs="Arial"/>
          <w:bCs/>
          <w:sz w:val="22"/>
          <w:szCs w:val="22"/>
          <w:lang w:val="pt-BR" w:eastAsia="es-ES"/>
        </w:rPr>
        <w:t xml:space="preserve">: </w:t>
      </w:r>
      <w:r>
        <w:rPr>
          <w:lang w:val="pt-BR"/>
        </w:rPr>
        <w:t xml:space="preserve"> </w:t>
      </w:r>
      <w:hyperlink r:id="rId18" w:history="1">
        <w:r>
          <w:rPr>
            <w:rStyle w:val="Hyperlink"/>
            <w:lang w:val="pt-BR"/>
          </w:rPr>
          <w:t>http://www.mdic.gov.br/comercio-exterior/estatisticas-de-comercio-exterior/balanca-comercial-brasileira-unidades-da-federacao</w:t>
        </w:r>
      </w:hyperlink>
    </w:p>
    <w:p w14:paraId="3B0DC697" w14:textId="77777777" w:rsidR="001B17E5" w:rsidRDefault="001B17E5" w:rsidP="00B00582">
      <w:pPr>
        <w:spacing w:before="120" w:after="120"/>
        <w:contextualSpacing/>
        <w:jc w:val="both"/>
        <w:rPr>
          <w:rFonts w:ascii="Arial" w:hAnsi="Arial" w:cs="Arial"/>
          <w:sz w:val="22"/>
          <w:szCs w:val="22"/>
          <w:lang w:val="pt-BR"/>
        </w:rPr>
      </w:pPr>
    </w:p>
    <w:p w14:paraId="4348207A" w14:textId="39D6F218" w:rsidR="00BA0FDA" w:rsidRPr="00BA0FDA" w:rsidRDefault="00BA0FDA" w:rsidP="00BA0FDA">
      <w:pPr>
        <w:pStyle w:val="Default"/>
        <w:rPr>
          <w:rFonts w:ascii="Arial" w:eastAsiaTheme="minorHAnsi" w:hAnsi="Arial" w:cs="Arial"/>
          <w:color w:val="auto"/>
          <w:spacing w:val="-3"/>
          <w:sz w:val="22"/>
          <w:szCs w:val="22"/>
          <w:lang w:val="pt-BR" w:eastAsia="zh-CN"/>
        </w:rPr>
      </w:pPr>
      <w:r>
        <w:rPr>
          <w:rFonts w:ascii="Arial" w:eastAsiaTheme="minorHAnsi" w:hAnsi="Arial" w:cs="Arial"/>
          <w:color w:val="auto"/>
          <w:spacing w:val="-3"/>
          <w:sz w:val="22"/>
          <w:szCs w:val="22"/>
          <w:lang w:val="pt-BR" w:eastAsia="zh-CN"/>
        </w:rPr>
        <w:t>Receita Federal (2015</w:t>
      </w:r>
      <w:r w:rsidRPr="00BA0FDA">
        <w:rPr>
          <w:rFonts w:ascii="Arial" w:eastAsiaTheme="minorHAnsi" w:hAnsi="Arial" w:cs="Arial"/>
          <w:color w:val="auto"/>
          <w:spacing w:val="-3"/>
          <w:sz w:val="22"/>
          <w:szCs w:val="22"/>
          <w:lang w:val="pt-BR" w:eastAsia="zh-CN"/>
        </w:rPr>
        <w:t>) - Estudo sobre a balança das operações interestaduais</w:t>
      </w:r>
      <w:r>
        <w:rPr>
          <w:rFonts w:ascii="Arial" w:eastAsiaTheme="minorHAnsi" w:hAnsi="Arial" w:cs="Arial"/>
          <w:color w:val="auto"/>
          <w:spacing w:val="-3"/>
          <w:sz w:val="22"/>
          <w:szCs w:val="22"/>
          <w:lang w:val="pt-BR" w:eastAsia="zh-CN"/>
        </w:rPr>
        <w:t xml:space="preserve">. Nota Técnica da Receita Federal do Brasil, Ministério da Fazenda. </w:t>
      </w:r>
      <w:r w:rsidRPr="00BA0FDA">
        <w:rPr>
          <w:rFonts w:ascii="Arial" w:eastAsiaTheme="minorHAnsi" w:hAnsi="Arial" w:cs="Arial"/>
          <w:color w:val="auto"/>
          <w:spacing w:val="-3"/>
          <w:sz w:val="22"/>
          <w:szCs w:val="22"/>
          <w:lang w:val="pt-BR" w:eastAsia="zh-CN"/>
        </w:rPr>
        <w:t xml:space="preserve"> Brasília, 24 de fevereiro de </w:t>
      </w:r>
      <w:proofErr w:type="gramStart"/>
      <w:r w:rsidRPr="00BA0FDA">
        <w:rPr>
          <w:rFonts w:ascii="Arial" w:eastAsiaTheme="minorHAnsi" w:hAnsi="Arial" w:cs="Arial"/>
          <w:color w:val="auto"/>
          <w:spacing w:val="-3"/>
          <w:sz w:val="22"/>
          <w:szCs w:val="22"/>
          <w:lang w:val="pt-BR" w:eastAsia="zh-CN"/>
        </w:rPr>
        <w:t>2015</w:t>
      </w:r>
      <w:proofErr w:type="gramEnd"/>
    </w:p>
    <w:p w14:paraId="0444606B" w14:textId="77777777" w:rsidR="00B00582" w:rsidRDefault="00B00582" w:rsidP="00B00582">
      <w:pPr>
        <w:spacing w:before="120" w:after="120"/>
        <w:contextualSpacing/>
        <w:jc w:val="both"/>
        <w:rPr>
          <w:rFonts w:ascii="Arial" w:eastAsiaTheme="minorHAnsi" w:hAnsi="Arial" w:cs="Arial"/>
          <w:spacing w:val="-3"/>
          <w:sz w:val="22"/>
          <w:szCs w:val="22"/>
          <w:lang w:val="pt-BR" w:eastAsia="zh-CN"/>
        </w:rPr>
      </w:pPr>
      <w:r>
        <w:rPr>
          <w:rFonts w:ascii="Arial" w:eastAsiaTheme="minorHAnsi" w:hAnsi="Arial" w:cs="Arial"/>
          <w:spacing w:val="-3"/>
          <w:sz w:val="22"/>
          <w:szCs w:val="22"/>
          <w:lang w:val="pt-BR" w:eastAsia="zh-CN"/>
        </w:rPr>
        <w:t>Secretaria do Tesouro Nacional (2017). Boletim de Finanças subnacionais 2016. Agosto de 2017.</w:t>
      </w:r>
    </w:p>
    <w:p w14:paraId="4E33A69D" w14:textId="77777777" w:rsidR="00B00582" w:rsidRDefault="00B00582" w:rsidP="00B00582">
      <w:pPr>
        <w:spacing w:before="120" w:after="120"/>
        <w:contextualSpacing/>
        <w:jc w:val="both"/>
        <w:rPr>
          <w:rFonts w:ascii="Arial" w:hAnsi="Arial" w:cs="Arial"/>
          <w:b/>
          <w:smallCaps/>
          <w:sz w:val="22"/>
          <w:szCs w:val="22"/>
          <w:lang w:val="pt-BR"/>
        </w:rPr>
      </w:pPr>
    </w:p>
    <w:p w14:paraId="2E8BA24A" w14:textId="323B1C6F" w:rsidR="00B00582" w:rsidRDefault="00D20886" w:rsidP="00B00582">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SEFA-PA</w:t>
      </w:r>
      <w:r w:rsidR="00B00582">
        <w:rPr>
          <w:rFonts w:ascii="Arial" w:hAnsi="Arial" w:cs="Arial"/>
          <w:bCs/>
          <w:sz w:val="22"/>
          <w:szCs w:val="22"/>
          <w:lang w:val="pt-BR" w:eastAsia="es-ES"/>
        </w:rPr>
        <w:t xml:space="preserve"> (2016-1) – Metodologia de Estimativa do Gap Tributário baseada em estudos da Escola de Administração Fazendária. </w:t>
      </w:r>
    </w:p>
    <w:p w14:paraId="3DDDAEC6" w14:textId="77777777" w:rsidR="00B00582" w:rsidRDefault="00B00582" w:rsidP="00B00582">
      <w:pPr>
        <w:spacing w:before="120" w:after="120"/>
        <w:contextualSpacing/>
        <w:jc w:val="both"/>
        <w:rPr>
          <w:rFonts w:ascii="Arial" w:hAnsi="Arial" w:cs="Arial"/>
          <w:bCs/>
          <w:sz w:val="22"/>
          <w:szCs w:val="22"/>
          <w:lang w:val="pt-BR" w:eastAsia="es-ES"/>
        </w:rPr>
      </w:pPr>
    </w:p>
    <w:p w14:paraId="7C86BD1D" w14:textId="076946D1" w:rsidR="00B00582" w:rsidRDefault="00D20886" w:rsidP="00B00582">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SEFA</w:t>
      </w:r>
      <w:r w:rsidR="006222C5">
        <w:rPr>
          <w:rFonts w:ascii="Arial" w:hAnsi="Arial" w:cs="Arial"/>
          <w:bCs/>
          <w:sz w:val="22"/>
          <w:szCs w:val="22"/>
          <w:lang w:val="pt-BR" w:eastAsia="es-ES"/>
        </w:rPr>
        <w:t>-PA</w:t>
      </w:r>
      <w:r w:rsidR="00B00582">
        <w:rPr>
          <w:rFonts w:ascii="Arial" w:hAnsi="Arial" w:cs="Arial"/>
          <w:bCs/>
          <w:sz w:val="22"/>
          <w:szCs w:val="22"/>
          <w:lang w:val="pt-BR" w:eastAsia="es-ES"/>
        </w:rPr>
        <w:t xml:space="preserve"> (2016-2) </w:t>
      </w:r>
      <w:r w:rsidR="006222C5">
        <w:rPr>
          <w:rFonts w:ascii="Arial" w:hAnsi="Arial" w:cs="Arial"/>
          <w:bCs/>
          <w:sz w:val="22"/>
          <w:szCs w:val="22"/>
          <w:lang w:val="pt-BR" w:eastAsia="es-ES"/>
        </w:rPr>
        <w:t>- Relatórios Fiscais da SEFAZ/PA</w:t>
      </w:r>
      <w:r w:rsidR="00B00582">
        <w:rPr>
          <w:rFonts w:ascii="Arial" w:hAnsi="Arial" w:cs="Arial"/>
          <w:bCs/>
          <w:sz w:val="22"/>
          <w:szCs w:val="22"/>
          <w:lang w:val="pt-BR" w:eastAsia="es-ES"/>
        </w:rPr>
        <w:t xml:space="preserve"> para </w:t>
      </w:r>
      <w:r w:rsidR="00043B26">
        <w:rPr>
          <w:rFonts w:ascii="Arial" w:hAnsi="Arial" w:cs="Arial"/>
          <w:bCs/>
          <w:sz w:val="22"/>
          <w:szCs w:val="22"/>
          <w:lang w:val="pt-BR" w:eastAsia="es-ES"/>
        </w:rPr>
        <w:t>a arrecadação da área de trânsito de mercadorias para 2016.</w:t>
      </w:r>
      <w:r w:rsidR="00B00582">
        <w:rPr>
          <w:rFonts w:ascii="Arial" w:hAnsi="Arial" w:cs="Arial"/>
          <w:bCs/>
          <w:sz w:val="22"/>
          <w:szCs w:val="22"/>
          <w:lang w:val="pt-BR" w:eastAsia="es-ES"/>
        </w:rPr>
        <w:t xml:space="preserve"> Secretaria de Estado Da Fazenda, Estado do P</w:t>
      </w:r>
      <w:r w:rsidR="006222C5">
        <w:rPr>
          <w:rFonts w:ascii="Arial" w:hAnsi="Arial" w:cs="Arial"/>
          <w:bCs/>
          <w:sz w:val="22"/>
          <w:szCs w:val="22"/>
          <w:lang w:val="pt-BR" w:eastAsia="es-ES"/>
        </w:rPr>
        <w:t>ará</w:t>
      </w:r>
      <w:r w:rsidR="00B00582">
        <w:rPr>
          <w:rFonts w:ascii="Arial" w:hAnsi="Arial" w:cs="Arial"/>
          <w:bCs/>
          <w:sz w:val="22"/>
          <w:szCs w:val="22"/>
          <w:lang w:val="pt-BR" w:eastAsia="es-ES"/>
        </w:rPr>
        <w:t>, Dezembro de 2016.</w:t>
      </w:r>
    </w:p>
    <w:p w14:paraId="581203E9" w14:textId="77777777" w:rsidR="00B00582" w:rsidRDefault="00B00582" w:rsidP="00B00582">
      <w:pPr>
        <w:spacing w:before="120" w:after="120"/>
        <w:contextualSpacing/>
        <w:jc w:val="both"/>
        <w:rPr>
          <w:rFonts w:ascii="Arial" w:hAnsi="Arial" w:cs="Arial"/>
          <w:bCs/>
          <w:sz w:val="22"/>
          <w:szCs w:val="22"/>
          <w:lang w:val="pt-BR" w:eastAsia="es-ES"/>
        </w:rPr>
      </w:pPr>
    </w:p>
    <w:p w14:paraId="7D4B41B7" w14:textId="1280D618" w:rsidR="000A2A50" w:rsidRDefault="000A2A50" w:rsidP="00B00582">
      <w:pPr>
        <w:spacing w:before="120" w:after="120"/>
        <w:contextualSpacing/>
        <w:jc w:val="both"/>
        <w:rPr>
          <w:rFonts w:ascii="Arial" w:hAnsi="Arial" w:cs="Arial"/>
          <w:bCs/>
          <w:sz w:val="22"/>
          <w:szCs w:val="22"/>
          <w:lang w:val="pt-BR" w:eastAsia="es-ES"/>
        </w:rPr>
      </w:pPr>
      <w:r w:rsidRPr="000A2A50">
        <w:rPr>
          <w:rFonts w:ascii="Arial" w:hAnsi="Arial" w:cs="Arial"/>
          <w:bCs/>
          <w:sz w:val="22"/>
          <w:szCs w:val="22"/>
          <w:lang w:val="pt-BR" w:eastAsia="es-ES"/>
        </w:rPr>
        <w:t>SEFAZ-GO 2016/17 – Relatórios Fiscais semestrais de Arrecadação do Trânsito</w:t>
      </w:r>
      <w:r>
        <w:rPr>
          <w:rFonts w:ascii="Arial" w:hAnsi="Arial" w:cs="Arial"/>
          <w:bCs/>
          <w:sz w:val="22"/>
          <w:szCs w:val="22"/>
          <w:lang w:val="pt-BR" w:eastAsia="es-ES"/>
        </w:rPr>
        <w:t xml:space="preserve"> dos primeiros semestres de 2016 e 2017. Estado de Goiás.</w:t>
      </w:r>
    </w:p>
    <w:p w14:paraId="182F040E" w14:textId="77777777" w:rsidR="00043B26" w:rsidRDefault="00043B26" w:rsidP="00B00582">
      <w:pPr>
        <w:spacing w:before="120" w:after="120"/>
        <w:contextualSpacing/>
        <w:jc w:val="both"/>
        <w:rPr>
          <w:rFonts w:ascii="Arial" w:hAnsi="Arial" w:cs="Arial"/>
          <w:bCs/>
          <w:sz w:val="22"/>
          <w:szCs w:val="22"/>
          <w:lang w:val="pt-BR" w:eastAsia="es-ES"/>
        </w:rPr>
      </w:pPr>
    </w:p>
    <w:p w14:paraId="0A2BA809" w14:textId="6F6BF55D" w:rsidR="00043B26" w:rsidRDefault="008B4F03" w:rsidP="00043B26">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SEFA-PA</w:t>
      </w:r>
      <w:r w:rsidR="00B00582">
        <w:rPr>
          <w:rFonts w:ascii="Arial" w:hAnsi="Arial" w:cs="Arial"/>
          <w:bCs/>
          <w:sz w:val="22"/>
          <w:szCs w:val="22"/>
          <w:lang w:val="pt-BR" w:eastAsia="es-ES"/>
        </w:rPr>
        <w:t xml:space="preserve"> (2016-3) –</w:t>
      </w:r>
      <w:r w:rsidR="00043B26">
        <w:rPr>
          <w:rFonts w:ascii="Arial" w:hAnsi="Arial" w:cs="Arial"/>
          <w:bCs/>
          <w:sz w:val="22"/>
          <w:szCs w:val="22"/>
          <w:lang w:val="pt-BR" w:eastAsia="es-ES"/>
        </w:rPr>
        <w:t xml:space="preserve"> </w:t>
      </w:r>
      <w:r w:rsidR="007422FC">
        <w:rPr>
          <w:rFonts w:ascii="Arial" w:hAnsi="Arial" w:cs="Arial"/>
          <w:bCs/>
          <w:sz w:val="22"/>
          <w:szCs w:val="22"/>
          <w:lang w:val="pt-BR" w:eastAsia="es-ES"/>
        </w:rPr>
        <w:t>Relatórios Fiscais da SEFA</w:t>
      </w:r>
      <w:r w:rsidR="00043B26">
        <w:rPr>
          <w:rFonts w:ascii="Arial" w:hAnsi="Arial" w:cs="Arial"/>
          <w:bCs/>
          <w:sz w:val="22"/>
          <w:szCs w:val="22"/>
          <w:lang w:val="pt-BR" w:eastAsia="es-ES"/>
        </w:rPr>
        <w:t>/PA para o ano de 2016, baseado no Cadastro Geral de Firmas Ativas no Estado. Secretaria de Estado Da Fazenda, Estado do Pará, Dezembro de 2016.</w:t>
      </w:r>
    </w:p>
    <w:p w14:paraId="0BB659D3" w14:textId="77777777" w:rsidR="00E10ABA" w:rsidRDefault="00E10ABA" w:rsidP="00043B26">
      <w:pPr>
        <w:spacing w:before="120" w:after="120"/>
        <w:contextualSpacing/>
        <w:jc w:val="both"/>
        <w:rPr>
          <w:rFonts w:ascii="Arial" w:hAnsi="Arial" w:cs="Arial"/>
          <w:bCs/>
          <w:sz w:val="22"/>
          <w:szCs w:val="22"/>
          <w:lang w:val="pt-BR" w:eastAsia="es-ES"/>
        </w:rPr>
      </w:pPr>
    </w:p>
    <w:p w14:paraId="14333649" w14:textId="5DBC2107" w:rsidR="00E10ABA" w:rsidRDefault="00E10ABA" w:rsidP="00E10ABA">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 xml:space="preserve">SEFA-PA (2016-4) – Fontes de dados: Número de concessões de processos de benefícios fiscais e tempo de trabalho por tipo de benefício (Relatórios da Área de Concessão de Benefícios Fiscais da SEFA/PA para o ano de 2016); Custos </w:t>
      </w:r>
      <w:r w:rsidR="00A1587F">
        <w:rPr>
          <w:rFonts w:ascii="Arial" w:hAnsi="Arial" w:cs="Arial"/>
          <w:bCs/>
          <w:sz w:val="22"/>
          <w:szCs w:val="22"/>
          <w:lang w:val="pt-BR" w:eastAsia="es-ES"/>
        </w:rPr>
        <w:t xml:space="preserve">por servidor (Relatório de Gastos com Pessoal atuando na área de Concessão de Benefícios Fiscais). Secretaria de Estado </w:t>
      </w:r>
      <w:r>
        <w:rPr>
          <w:rFonts w:ascii="Arial" w:hAnsi="Arial" w:cs="Arial"/>
          <w:bCs/>
          <w:sz w:val="22"/>
          <w:szCs w:val="22"/>
          <w:lang w:val="pt-BR" w:eastAsia="es-ES"/>
        </w:rPr>
        <w:t>a Fazenda, Estado do Pará, Dezembro de 2016.</w:t>
      </w:r>
    </w:p>
    <w:p w14:paraId="52190305" w14:textId="77777777" w:rsidR="001603CE" w:rsidRDefault="001603CE" w:rsidP="00E10ABA">
      <w:pPr>
        <w:spacing w:before="120" w:after="120"/>
        <w:contextualSpacing/>
        <w:jc w:val="both"/>
        <w:rPr>
          <w:rFonts w:ascii="Arial" w:hAnsi="Arial" w:cs="Arial"/>
          <w:bCs/>
          <w:sz w:val="22"/>
          <w:szCs w:val="22"/>
          <w:lang w:val="pt-BR" w:eastAsia="es-ES"/>
        </w:rPr>
      </w:pPr>
    </w:p>
    <w:p w14:paraId="12794A03" w14:textId="22A83811" w:rsidR="001603CE" w:rsidRDefault="001603CE" w:rsidP="001603CE">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lastRenderedPageBreak/>
        <w:t>SEFA-PA (2016-5) – Relatórios de Custos Operacionais – Publicação no Diário Oficial do Estado. Secretaria de Estado Da Fazenda, Estado do Pará, Dezembro de 2016.</w:t>
      </w:r>
    </w:p>
    <w:p w14:paraId="462CDD95" w14:textId="164FB050" w:rsidR="00B00582" w:rsidRDefault="00B00582" w:rsidP="00B00582">
      <w:pPr>
        <w:spacing w:before="120" w:after="120"/>
        <w:contextualSpacing/>
        <w:jc w:val="both"/>
        <w:rPr>
          <w:rFonts w:ascii="Arial" w:hAnsi="Arial" w:cs="Arial"/>
          <w:bCs/>
          <w:sz w:val="22"/>
          <w:szCs w:val="22"/>
          <w:lang w:val="pt-BR" w:eastAsia="es-ES"/>
        </w:rPr>
      </w:pPr>
    </w:p>
    <w:p w14:paraId="423D7219" w14:textId="5E95DA32" w:rsidR="00B00582" w:rsidRDefault="00B00582" w:rsidP="00B00582">
      <w:pPr>
        <w:pStyle w:val="Textodenotaderodap"/>
        <w:rPr>
          <w:rFonts w:ascii="Arial" w:hAnsi="Arial" w:cs="Arial"/>
          <w:bCs/>
          <w:sz w:val="22"/>
          <w:szCs w:val="22"/>
          <w:lang w:val="pt-BR" w:eastAsia="es-ES"/>
        </w:rPr>
      </w:pPr>
      <w:r>
        <w:rPr>
          <w:rFonts w:ascii="Arial" w:hAnsi="Arial" w:cs="Arial"/>
          <w:bCs/>
          <w:sz w:val="22"/>
          <w:szCs w:val="22"/>
          <w:lang w:val="pt-BR" w:eastAsia="es-ES"/>
        </w:rPr>
        <w:t>S</w:t>
      </w:r>
      <w:r w:rsidR="000A2A50">
        <w:rPr>
          <w:rFonts w:ascii="Arial" w:hAnsi="Arial" w:cs="Arial"/>
          <w:bCs/>
          <w:sz w:val="22"/>
          <w:szCs w:val="22"/>
          <w:lang w:val="pt-BR" w:eastAsia="es-ES"/>
        </w:rPr>
        <w:t>indicato dos Contadores do Pará</w:t>
      </w:r>
      <w:r>
        <w:rPr>
          <w:rFonts w:ascii="Arial" w:hAnsi="Arial" w:cs="Arial"/>
          <w:bCs/>
          <w:sz w:val="22"/>
          <w:szCs w:val="22"/>
          <w:lang w:val="pt-BR" w:eastAsia="es-ES"/>
        </w:rPr>
        <w:t xml:space="preserve"> (2016-2017) - Acordo Coletivo de Trabalho do Sindicato dos Profissionais de Contabilidade do Estado do P</w:t>
      </w:r>
      <w:r w:rsidR="000A2A50">
        <w:rPr>
          <w:rFonts w:ascii="Arial" w:hAnsi="Arial" w:cs="Arial"/>
          <w:bCs/>
          <w:sz w:val="22"/>
          <w:szCs w:val="22"/>
          <w:lang w:val="pt-BR" w:eastAsia="es-ES"/>
        </w:rPr>
        <w:t>ará</w:t>
      </w:r>
      <w:r>
        <w:rPr>
          <w:rFonts w:ascii="Arial" w:hAnsi="Arial" w:cs="Arial"/>
          <w:bCs/>
          <w:sz w:val="22"/>
          <w:szCs w:val="22"/>
          <w:lang w:val="pt-BR" w:eastAsia="es-ES"/>
        </w:rPr>
        <w:t xml:space="preserve"> para 2016-2017.</w:t>
      </w:r>
    </w:p>
    <w:p w14:paraId="73BAD8F2" w14:textId="77777777" w:rsidR="00B00582" w:rsidRDefault="00B00582" w:rsidP="00D43076">
      <w:pPr>
        <w:pStyle w:val="PargrafodaLista"/>
        <w:keepNext/>
        <w:suppressAutoHyphens/>
        <w:spacing w:before="120"/>
        <w:ind w:left="284"/>
        <w:jc w:val="both"/>
        <w:outlineLvl w:val="3"/>
        <w:rPr>
          <w:rFonts w:ascii="Arial" w:hAnsi="Arial" w:cs="Arial"/>
          <w:b/>
          <w:smallCaps/>
          <w:lang w:val="pt-BR"/>
        </w:rPr>
      </w:pPr>
    </w:p>
    <w:p w14:paraId="6221A736" w14:textId="77777777" w:rsidR="00B00582" w:rsidRPr="001F27CE" w:rsidRDefault="00B00582" w:rsidP="00D43076">
      <w:pPr>
        <w:pStyle w:val="PargrafodaLista"/>
        <w:keepNext/>
        <w:suppressAutoHyphens/>
        <w:spacing w:before="120"/>
        <w:ind w:left="284"/>
        <w:jc w:val="both"/>
        <w:outlineLvl w:val="3"/>
        <w:rPr>
          <w:rFonts w:ascii="Arial" w:hAnsi="Arial" w:cs="Arial"/>
          <w:b/>
          <w:smallCaps/>
          <w:lang w:val="pt-BR"/>
        </w:rPr>
      </w:pPr>
    </w:p>
    <w:sectPr w:rsidR="00B00582" w:rsidRPr="001F27CE" w:rsidSect="00F9158B">
      <w:head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05BCC" w14:textId="77777777" w:rsidR="001C09BD" w:rsidRDefault="001C09BD" w:rsidP="00D60DB6">
      <w:r>
        <w:separator/>
      </w:r>
    </w:p>
  </w:endnote>
  <w:endnote w:type="continuationSeparator" w:id="0">
    <w:p w14:paraId="48D5B544" w14:textId="77777777" w:rsidR="001C09BD" w:rsidRDefault="001C09BD" w:rsidP="00D6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0B5E9" w14:textId="77777777" w:rsidR="001C09BD" w:rsidRDefault="001C09BD" w:rsidP="00D60DB6">
      <w:r>
        <w:separator/>
      </w:r>
    </w:p>
  </w:footnote>
  <w:footnote w:type="continuationSeparator" w:id="0">
    <w:p w14:paraId="11211925" w14:textId="77777777" w:rsidR="001C09BD" w:rsidRDefault="001C09BD" w:rsidP="00D60DB6">
      <w:r>
        <w:continuationSeparator/>
      </w:r>
    </w:p>
  </w:footnote>
  <w:footnote w:id="1">
    <w:p w14:paraId="294D5688" w14:textId="77777777" w:rsidR="003F7B43" w:rsidRPr="001F27CE" w:rsidRDefault="003F7B43" w:rsidP="00254F38">
      <w:pPr>
        <w:pStyle w:val="Textodenotaderodap"/>
        <w:ind w:left="548" w:hanging="274"/>
        <w:jc w:val="both"/>
        <w:rPr>
          <w:rStyle w:val="Refdenotaderodap"/>
          <w:rFonts w:ascii="Arial" w:hAnsi="Arial" w:cs="Arial"/>
          <w:sz w:val="18"/>
          <w:szCs w:val="18"/>
          <w:lang w:val="pt-BR"/>
        </w:rPr>
      </w:pPr>
      <w:r w:rsidRPr="001F27CE">
        <w:rPr>
          <w:rStyle w:val="Refdenotaderodap"/>
          <w:rFonts w:ascii="Arial" w:hAnsi="Arial" w:cs="Arial"/>
          <w:sz w:val="18"/>
          <w:szCs w:val="18"/>
        </w:rPr>
        <w:footnoteRef/>
      </w:r>
      <w:r w:rsidRPr="001F27CE">
        <w:rPr>
          <w:rFonts w:ascii="Arial" w:hAnsi="Arial" w:cs="Arial"/>
          <w:sz w:val="18"/>
          <w:szCs w:val="18"/>
          <w:lang w:val="pt-BR"/>
        </w:rPr>
        <w:t xml:space="preserve"> </w:t>
      </w:r>
      <w:r>
        <w:rPr>
          <w:rFonts w:ascii="Arial" w:hAnsi="Arial" w:cs="Arial"/>
          <w:sz w:val="18"/>
          <w:szCs w:val="18"/>
          <w:lang w:val="pt-BR"/>
        </w:rPr>
        <w:tab/>
      </w:r>
      <w:r w:rsidRPr="001F27CE">
        <w:rPr>
          <w:rStyle w:val="Refdenotaderodap"/>
          <w:rFonts w:ascii="Arial" w:hAnsi="Arial" w:cs="Arial"/>
          <w:sz w:val="18"/>
          <w:szCs w:val="18"/>
          <w:lang w:val="pt-BR"/>
        </w:rPr>
        <w:t>AMARAL, G.L; OLENIKE, J. E.; AMARAL, L. M. F. (IBPT) Carga Tributária Brasileira 2012. Março de 2013.</w:t>
      </w:r>
    </w:p>
  </w:footnote>
  <w:footnote w:id="2">
    <w:p w14:paraId="294D5689" w14:textId="77777777" w:rsidR="003F7B43" w:rsidRPr="001F27CE" w:rsidRDefault="003F7B43" w:rsidP="00254F38">
      <w:pPr>
        <w:pStyle w:val="Textodenotaderodap"/>
        <w:ind w:left="548" w:hanging="274"/>
        <w:jc w:val="both"/>
        <w:rPr>
          <w:rFonts w:ascii="Arial" w:hAnsi="Arial" w:cs="Arial"/>
          <w:sz w:val="18"/>
          <w:szCs w:val="18"/>
          <w:lang w:val="pt-BR"/>
        </w:rPr>
      </w:pPr>
      <w:r w:rsidRPr="001F27CE">
        <w:rPr>
          <w:rStyle w:val="Refdenotaderodap"/>
          <w:rFonts w:ascii="Arial" w:hAnsi="Arial" w:cs="Arial"/>
          <w:sz w:val="18"/>
          <w:szCs w:val="18"/>
        </w:rPr>
        <w:footnoteRef/>
      </w:r>
      <w:r w:rsidRPr="001F27CE">
        <w:rPr>
          <w:rFonts w:ascii="Arial" w:hAnsi="Arial" w:cs="Arial"/>
          <w:sz w:val="18"/>
          <w:szCs w:val="18"/>
          <w:lang w:val="pt-BR"/>
        </w:rPr>
        <w:t xml:space="preserve"> </w:t>
      </w:r>
      <w:r>
        <w:rPr>
          <w:rFonts w:ascii="Arial" w:hAnsi="Arial" w:cs="Arial"/>
          <w:sz w:val="18"/>
          <w:szCs w:val="18"/>
          <w:lang w:val="pt-BR"/>
        </w:rPr>
        <w:tab/>
      </w:r>
      <w:r w:rsidRPr="001F27CE">
        <w:rPr>
          <w:rFonts w:ascii="Arial" w:hAnsi="Arial" w:cs="Arial"/>
          <w:sz w:val="18"/>
          <w:szCs w:val="18"/>
          <w:lang w:val="pt-BR"/>
        </w:rPr>
        <w:t>O Estado do Pará concede isenção de pagamento do Imposto sobre a Propriedade de Veículos Automotores (IPVA) para os veículos detentores de permissão para o transporte público de passageiros (táxi). Adicionalmente, os taxistas podem solicitar isenção de pagamento do ICMS para comprar de novos veículos (táxis) a cada dois anos. No âmbito federal, eles podem também solicitar a isenção do Imposto sobre Produtos Industrializados (IPI).</w:t>
      </w:r>
    </w:p>
  </w:footnote>
  <w:footnote w:id="3">
    <w:p w14:paraId="294D568A" w14:textId="77777777" w:rsidR="003F7B43" w:rsidRPr="001F27CE" w:rsidRDefault="003F7B43" w:rsidP="00254F38">
      <w:pPr>
        <w:pStyle w:val="Textodenotaderodap"/>
        <w:ind w:left="548" w:hanging="274"/>
        <w:jc w:val="both"/>
        <w:rPr>
          <w:rFonts w:ascii="Arial" w:hAnsi="Arial" w:cs="Arial"/>
          <w:sz w:val="18"/>
          <w:szCs w:val="18"/>
          <w:lang w:val="pt-BR"/>
        </w:rPr>
      </w:pPr>
      <w:r w:rsidRPr="001F27CE">
        <w:rPr>
          <w:rStyle w:val="Refdenotaderodap"/>
          <w:rFonts w:ascii="Arial" w:hAnsi="Arial" w:cs="Arial"/>
          <w:sz w:val="18"/>
          <w:szCs w:val="18"/>
        </w:rPr>
        <w:footnoteRef/>
      </w:r>
      <w:r w:rsidRPr="001F27CE">
        <w:rPr>
          <w:rFonts w:ascii="Arial" w:hAnsi="Arial" w:cs="Arial"/>
          <w:sz w:val="18"/>
          <w:szCs w:val="18"/>
          <w:lang w:val="pt-BR"/>
        </w:rPr>
        <w:t xml:space="preserve"> </w:t>
      </w:r>
      <w:r>
        <w:rPr>
          <w:rFonts w:ascii="Arial" w:hAnsi="Arial" w:cs="Arial"/>
          <w:sz w:val="18"/>
          <w:szCs w:val="18"/>
          <w:lang w:val="pt-BR"/>
        </w:rPr>
        <w:tab/>
      </w:r>
      <w:r w:rsidRPr="001F27CE">
        <w:rPr>
          <w:rFonts w:ascii="Arial" w:hAnsi="Arial" w:cs="Arial"/>
          <w:sz w:val="18"/>
          <w:szCs w:val="18"/>
          <w:lang w:val="pt-BR"/>
        </w:rPr>
        <w:t>Existem inúmeros incentivos fiscais além do IPVA e ICMS para taxistas. Em 2017 está previsto na Lei de Diretrizes Orçamentárias do Estado uma renúncia de receita de mais de R$ 300 milhões, para diversas áreas da economia, como agroindústria, indústria em geral, alguns setores, etc. baseados em diferentes leis tais como a Lei do ICMS nº 6.489 de 27.09.02/Politica de Incentivos Estadual, Lei Semear nº 6.572 de 08.08.03, Lei do IPVA nº 6.017 de 30.10.96 e Lei do ITCD nº 5.529 de 05.01.8.</w:t>
      </w:r>
    </w:p>
  </w:footnote>
  <w:footnote w:id="4">
    <w:p w14:paraId="3F7ED029" w14:textId="77777777" w:rsidR="003F7B43" w:rsidRDefault="003F7B43" w:rsidP="00D14310">
      <w:pPr>
        <w:pStyle w:val="Textodenotaderodap"/>
        <w:rPr>
          <w:lang w:val="es-ES_tradnl"/>
        </w:rPr>
      </w:pPr>
      <w:r>
        <w:rPr>
          <w:rStyle w:val="Refdenotaderodap"/>
        </w:rPr>
        <w:footnoteRef/>
      </w:r>
      <w:r>
        <w:rPr>
          <w:lang w:val="pt-BR"/>
        </w:rPr>
        <w:t xml:space="preserve"> </w:t>
      </w:r>
      <w:r w:rsidRPr="00D14310">
        <w:rPr>
          <w:rFonts w:ascii="Calibri" w:eastAsia="Calibri" w:hAnsi="Calibri"/>
          <w:color w:val="FF0000"/>
          <w:lang w:val="pt-BR"/>
        </w:rPr>
        <w:t>Em uma avaliação econômica, se os custos dos bens e serviços são afetados por fortes distorções de preços, preços sombra devem ser aplicados, pois mais adequadamente refletem os custos sociais de oportunidade dos recursos</w:t>
      </w:r>
      <w:r w:rsidRPr="00D14310">
        <w:rPr>
          <w:color w:val="FF0000"/>
          <w:lang w:val="pt-BR"/>
        </w:rPr>
        <w:t xml:space="preserve">. Por exemplo, quando os preços reais dos bens e serviços utilizados no projeto estão distorcidos devido a deficiências do mercado ou os salários não guardam relação com a produtividade da mão de obra. </w:t>
      </w:r>
      <w:r w:rsidRPr="00D14310">
        <w:rPr>
          <w:color w:val="FF0000"/>
          <w:lang w:val="es-ES_tradnl"/>
        </w:rPr>
        <w:t xml:space="preserve">Ver </w:t>
      </w:r>
      <w:proofErr w:type="spellStart"/>
      <w:r w:rsidRPr="00D14310">
        <w:rPr>
          <w:color w:val="FF0000"/>
          <w:lang w:val="es-ES_tradnl"/>
        </w:rPr>
        <w:t>Comissão</w:t>
      </w:r>
      <w:proofErr w:type="spellEnd"/>
      <w:r w:rsidRPr="00D14310">
        <w:rPr>
          <w:color w:val="FF0000"/>
          <w:lang w:val="es-ES_tradnl"/>
        </w:rPr>
        <w:t xml:space="preserve"> </w:t>
      </w:r>
      <w:proofErr w:type="spellStart"/>
      <w:r w:rsidRPr="00D14310">
        <w:rPr>
          <w:color w:val="FF0000"/>
          <w:lang w:val="es-ES_tradnl"/>
        </w:rPr>
        <w:t>Europeia</w:t>
      </w:r>
      <w:proofErr w:type="spellEnd"/>
      <w:r w:rsidRPr="00D14310">
        <w:rPr>
          <w:color w:val="FF0000"/>
          <w:lang w:val="es-ES_tradnl"/>
        </w:rPr>
        <w:t xml:space="preserve"> (2003), </w:t>
      </w:r>
      <w:r w:rsidRPr="00D14310">
        <w:rPr>
          <w:rFonts w:ascii="Arial" w:hAnsi="Arial" w:cs="Arial"/>
          <w:color w:val="FF0000"/>
          <w:sz w:val="18"/>
          <w:szCs w:val="18"/>
          <w:lang w:val="es-ES_tradnl"/>
        </w:rPr>
        <w:t xml:space="preserve"> “Guía del análisis costes-beneficios de los proyectos de inversión” de la Comisión Europea.</w:t>
      </w:r>
    </w:p>
  </w:footnote>
  <w:footnote w:id="5">
    <w:p w14:paraId="6E7AB340" w14:textId="4E306620" w:rsidR="003F7B43" w:rsidRDefault="003F7B43" w:rsidP="00D14310">
      <w:pPr>
        <w:pStyle w:val="Textodenotaderodap"/>
        <w:rPr>
          <w:lang w:val="pt-BR"/>
        </w:rPr>
      </w:pPr>
      <w:r>
        <w:rPr>
          <w:rStyle w:val="Refdenotaderodap"/>
        </w:rPr>
        <w:footnoteRef/>
      </w:r>
      <w:r>
        <w:rPr>
          <w:lang w:val="pt-BR"/>
        </w:rPr>
        <w:t xml:space="preserve"> </w:t>
      </w:r>
      <w:r w:rsidRPr="00D14310">
        <w:rPr>
          <w:color w:val="FF0000"/>
          <w:lang w:val="pt-BR"/>
        </w:rPr>
        <w:t xml:space="preserve">As aquisições de bens para o projeto se darão por processos licitatórios que mitigam a possibilidade de formação de carteis e garantem a competitividade aproximando os preços de mercado dos custos sociais de oportunidade dos mesmos. Com relação aos impostos, parte deles </w:t>
      </w:r>
      <w:proofErr w:type="gramStart"/>
      <w:r w:rsidRPr="00D14310">
        <w:rPr>
          <w:color w:val="FF0000"/>
          <w:lang w:val="pt-BR"/>
        </w:rPr>
        <w:t>são</w:t>
      </w:r>
      <w:proofErr w:type="gramEnd"/>
      <w:r w:rsidRPr="00D14310">
        <w:rPr>
          <w:color w:val="FF0000"/>
          <w:lang w:val="pt-BR"/>
        </w:rPr>
        <w:t xml:space="preserve"> federais e representam custos de oportunidade para o P</w:t>
      </w:r>
      <w:r>
        <w:rPr>
          <w:color w:val="FF0000"/>
          <w:lang w:val="pt-BR"/>
        </w:rPr>
        <w:t>ará</w:t>
      </w:r>
      <w:r w:rsidRPr="00D14310">
        <w:rPr>
          <w:color w:val="FF0000"/>
          <w:lang w:val="pt-BR"/>
        </w:rPr>
        <w:t xml:space="preserve"> e não devem ser retirados como seriam se utilizados preços sombra, os bens importados de outros estados da federação, parte dos impostos retornam aos estados de origem e representam verdadeiros custos de oportunidade para o </w:t>
      </w:r>
      <w:proofErr w:type="spellStart"/>
      <w:r w:rsidRPr="00D14310">
        <w:rPr>
          <w:color w:val="FF0000"/>
          <w:lang w:val="pt-BR"/>
        </w:rPr>
        <w:t>P</w:t>
      </w:r>
      <w:r>
        <w:rPr>
          <w:color w:val="FF0000"/>
          <w:lang w:val="pt-BR"/>
        </w:rPr>
        <w:t>srá</w:t>
      </w:r>
      <w:proofErr w:type="spellEnd"/>
      <w:r w:rsidRPr="00D14310">
        <w:rPr>
          <w:color w:val="FF0000"/>
          <w:lang w:val="pt-BR"/>
        </w:rPr>
        <w:t xml:space="preserve">. Assim, os preços de mercado </w:t>
      </w:r>
      <w:r>
        <w:rPr>
          <w:color w:val="FF0000"/>
          <w:lang w:val="pt-BR"/>
        </w:rPr>
        <w:t xml:space="preserve">são os mesmos ou </w:t>
      </w:r>
      <w:r w:rsidRPr="00D14310">
        <w:rPr>
          <w:color w:val="FF0000"/>
          <w:lang w:val="pt-BR"/>
        </w:rPr>
        <w:t xml:space="preserve">muito próximos dos custos sociais de oportunidade. Os custos de serviços de consultoria também são similares. Estes são serviços de alta qualidade, de mão de obra altamente qualificada e seus preços de mercado são os mesmos ou muito próximos dos custos sociais de oportunidade. O mesmo se aplica aos custos de manutenção.  </w:t>
      </w:r>
    </w:p>
  </w:footnote>
  <w:footnote w:id="6">
    <w:p w14:paraId="294D568B" w14:textId="77777777" w:rsidR="003F7B43" w:rsidRPr="006E63D7" w:rsidRDefault="003F7B43" w:rsidP="00254F38">
      <w:pPr>
        <w:pStyle w:val="Textodenotaderodap"/>
        <w:ind w:left="548" w:hanging="274"/>
        <w:jc w:val="both"/>
        <w:rPr>
          <w:rStyle w:val="Refdenotaderodap"/>
          <w:rFonts w:ascii="Arial" w:hAnsi="Arial" w:cs="Arial"/>
          <w:sz w:val="18"/>
          <w:szCs w:val="18"/>
        </w:rPr>
      </w:pPr>
      <w:r w:rsidRPr="001F27CE">
        <w:rPr>
          <w:rStyle w:val="Refdenotaderodap"/>
          <w:rFonts w:ascii="Arial" w:hAnsi="Arial" w:cs="Arial"/>
          <w:sz w:val="18"/>
          <w:szCs w:val="18"/>
        </w:rPr>
        <w:footnoteRef/>
      </w:r>
      <w:r w:rsidRPr="006E63D7">
        <w:rPr>
          <w:rFonts w:ascii="Arial" w:hAnsi="Arial" w:cs="Arial"/>
          <w:sz w:val="18"/>
          <w:szCs w:val="18"/>
        </w:rPr>
        <w:t xml:space="preserve"> </w:t>
      </w:r>
      <w:r w:rsidRPr="006E63D7">
        <w:rPr>
          <w:rFonts w:ascii="Arial" w:hAnsi="Arial" w:cs="Arial"/>
          <w:sz w:val="18"/>
          <w:szCs w:val="18"/>
        </w:rPr>
        <w:tab/>
      </w:r>
      <w:r w:rsidRPr="006E63D7">
        <w:rPr>
          <w:rStyle w:val="Refdenotaderodap"/>
          <w:rFonts w:ascii="Arial" w:hAnsi="Arial" w:cs="Arial"/>
          <w:sz w:val="18"/>
          <w:szCs w:val="18"/>
        </w:rPr>
        <w:t xml:space="preserve">Um </w:t>
      </w:r>
      <w:proofErr w:type="spellStart"/>
      <w:r w:rsidRPr="006E63D7">
        <w:rPr>
          <w:rStyle w:val="Refdenotaderodap"/>
          <w:rFonts w:ascii="Arial" w:hAnsi="Arial" w:cs="Arial"/>
          <w:sz w:val="18"/>
          <w:szCs w:val="18"/>
        </w:rPr>
        <w:t>estudo</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publicado</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este</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ano</w:t>
      </w:r>
      <w:proofErr w:type="spellEnd"/>
      <w:r w:rsidRPr="006E63D7">
        <w:rPr>
          <w:rStyle w:val="Refdenotaderodap"/>
          <w:rFonts w:ascii="Arial" w:hAnsi="Arial" w:cs="Arial"/>
          <w:sz w:val="18"/>
          <w:szCs w:val="18"/>
        </w:rPr>
        <w:t xml:space="preserve"> pela OECD, </w:t>
      </w:r>
      <w:hyperlink r:id="rId1" w:history="1">
        <w:r w:rsidRPr="006E63D7">
          <w:rPr>
            <w:rStyle w:val="Hyperlink"/>
            <w:rFonts w:ascii="Arial" w:hAnsi="Arial" w:cs="Arial"/>
            <w:sz w:val="18"/>
            <w:szCs w:val="18"/>
            <w:vertAlign w:val="superscript"/>
          </w:rPr>
          <w:t>“Technology Tools to Tackle Tax Evasion and</w:t>
        </w:r>
        <w:r w:rsidRPr="006E63D7">
          <w:rPr>
            <w:rStyle w:val="Hyperlink"/>
            <w:rFonts w:ascii="Arial" w:hAnsi="Arial" w:cs="Arial"/>
            <w:sz w:val="18"/>
            <w:szCs w:val="18"/>
          </w:rPr>
          <w:t xml:space="preserve"> </w:t>
        </w:r>
        <w:r w:rsidRPr="006E63D7">
          <w:rPr>
            <w:rStyle w:val="Hyperlink"/>
            <w:rFonts w:ascii="Arial" w:hAnsi="Arial" w:cs="Arial"/>
            <w:sz w:val="18"/>
            <w:szCs w:val="18"/>
            <w:vertAlign w:val="superscript"/>
          </w:rPr>
          <w:t>Tax Fraud</w:t>
        </w:r>
      </w:hyperlink>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provê</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exemplos</w:t>
      </w:r>
      <w:proofErr w:type="spellEnd"/>
      <w:r w:rsidRPr="006E63D7">
        <w:rPr>
          <w:rStyle w:val="Refdenotaderodap"/>
          <w:rFonts w:ascii="Arial" w:hAnsi="Arial" w:cs="Arial"/>
          <w:sz w:val="18"/>
          <w:szCs w:val="18"/>
        </w:rPr>
        <w:t xml:space="preserve"> de </w:t>
      </w:r>
      <w:proofErr w:type="spellStart"/>
      <w:r w:rsidRPr="006E63D7">
        <w:rPr>
          <w:rStyle w:val="Refdenotaderodap"/>
          <w:rFonts w:ascii="Arial" w:hAnsi="Arial" w:cs="Arial"/>
          <w:sz w:val="18"/>
          <w:szCs w:val="18"/>
        </w:rPr>
        <w:t>sucesso</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em</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diversos</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países</w:t>
      </w:r>
      <w:proofErr w:type="spellEnd"/>
      <w:r w:rsidRPr="006E63D7">
        <w:rPr>
          <w:rStyle w:val="Refdenotaderodap"/>
          <w:rFonts w:ascii="Arial" w:hAnsi="Arial" w:cs="Arial"/>
          <w:sz w:val="18"/>
          <w:szCs w:val="18"/>
        </w:rPr>
        <w:t xml:space="preserve"> com o </w:t>
      </w:r>
      <w:proofErr w:type="spellStart"/>
      <w:r w:rsidRPr="006E63D7">
        <w:rPr>
          <w:rStyle w:val="Refdenotaderodap"/>
          <w:rFonts w:ascii="Arial" w:hAnsi="Arial" w:cs="Arial"/>
          <w:sz w:val="18"/>
          <w:szCs w:val="18"/>
        </w:rPr>
        <w:t>uso</w:t>
      </w:r>
      <w:proofErr w:type="spellEnd"/>
      <w:r w:rsidRPr="006E63D7">
        <w:rPr>
          <w:rStyle w:val="Refdenotaderodap"/>
          <w:rFonts w:ascii="Arial" w:hAnsi="Arial" w:cs="Arial"/>
          <w:sz w:val="18"/>
          <w:szCs w:val="18"/>
        </w:rPr>
        <w:t xml:space="preserve"> de </w:t>
      </w:r>
      <w:proofErr w:type="spellStart"/>
      <w:r w:rsidRPr="006E63D7">
        <w:rPr>
          <w:rStyle w:val="Refdenotaderodap"/>
          <w:rFonts w:ascii="Arial" w:hAnsi="Arial" w:cs="Arial"/>
          <w:sz w:val="18"/>
          <w:szCs w:val="18"/>
        </w:rPr>
        <w:t>tecnologia</w:t>
      </w:r>
      <w:proofErr w:type="spellEnd"/>
      <w:r w:rsidRPr="006E63D7">
        <w:rPr>
          <w:rStyle w:val="Refdenotaderodap"/>
          <w:rFonts w:ascii="Arial" w:hAnsi="Arial" w:cs="Arial"/>
          <w:sz w:val="18"/>
          <w:szCs w:val="18"/>
        </w:rPr>
        <w:t xml:space="preserve"> no </w:t>
      </w:r>
      <w:proofErr w:type="spellStart"/>
      <w:r w:rsidRPr="006E63D7">
        <w:rPr>
          <w:rStyle w:val="Refdenotaderodap"/>
          <w:rFonts w:ascii="Arial" w:hAnsi="Arial" w:cs="Arial"/>
          <w:sz w:val="18"/>
          <w:szCs w:val="18"/>
        </w:rPr>
        <w:t>combate</w:t>
      </w:r>
      <w:proofErr w:type="spellEnd"/>
      <w:r w:rsidRPr="006E63D7">
        <w:rPr>
          <w:rStyle w:val="Refdenotaderodap"/>
          <w:rFonts w:ascii="Arial" w:hAnsi="Arial" w:cs="Arial"/>
          <w:sz w:val="18"/>
          <w:szCs w:val="18"/>
        </w:rPr>
        <w:t xml:space="preserve"> à </w:t>
      </w:r>
      <w:proofErr w:type="spellStart"/>
      <w:r w:rsidRPr="006E63D7">
        <w:rPr>
          <w:rStyle w:val="Refdenotaderodap"/>
          <w:rFonts w:ascii="Arial" w:hAnsi="Arial" w:cs="Arial"/>
          <w:sz w:val="18"/>
          <w:szCs w:val="18"/>
        </w:rPr>
        <w:t>evasão</w:t>
      </w:r>
      <w:proofErr w:type="spellEnd"/>
      <w:r w:rsidRPr="006E63D7">
        <w:rPr>
          <w:rStyle w:val="Refdenotaderodap"/>
          <w:rFonts w:ascii="Arial" w:hAnsi="Arial" w:cs="Arial"/>
          <w:sz w:val="18"/>
          <w:szCs w:val="18"/>
        </w:rPr>
        <w:t xml:space="preserve"> e </w:t>
      </w:r>
      <w:proofErr w:type="spellStart"/>
      <w:r w:rsidRPr="006E63D7">
        <w:rPr>
          <w:rStyle w:val="Refdenotaderodap"/>
          <w:rFonts w:ascii="Arial" w:hAnsi="Arial" w:cs="Arial"/>
          <w:sz w:val="18"/>
          <w:szCs w:val="18"/>
        </w:rPr>
        <w:t>fraude</w:t>
      </w:r>
      <w:proofErr w:type="spellEnd"/>
      <w:r w:rsidRPr="006E63D7">
        <w:rPr>
          <w:rStyle w:val="Refdenotaderodap"/>
          <w:rFonts w:ascii="Arial" w:hAnsi="Arial" w:cs="Arial"/>
          <w:sz w:val="18"/>
          <w:szCs w:val="18"/>
        </w:rPr>
        <w:t xml:space="preserve"> </w:t>
      </w:r>
      <w:proofErr w:type="spellStart"/>
      <w:r w:rsidRPr="006E63D7">
        <w:rPr>
          <w:rStyle w:val="Refdenotaderodap"/>
          <w:rFonts w:ascii="Arial" w:hAnsi="Arial" w:cs="Arial"/>
          <w:sz w:val="18"/>
          <w:szCs w:val="18"/>
        </w:rPr>
        <w:t>fiscais</w:t>
      </w:r>
      <w:proofErr w:type="spellEnd"/>
      <w:r w:rsidRPr="006E63D7">
        <w:rPr>
          <w:rStyle w:val="Refdenotaderodap"/>
          <w:rFonts w:ascii="Arial" w:hAnsi="Arial" w:cs="Arial"/>
          <w:sz w:val="18"/>
          <w:szCs w:val="18"/>
        </w:rPr>
        <w:t xml:space="preserve">. </w:t>
      </w:r>
    </w:p>
  </w:footnote>
  <w:footnote w:id="7">
    <w:p w14:paraId="294D568C" w14:textId="77777777" w:rsidR="003F7B43" w:rsidRPr="00D14310" w:rsidRDefault="003F7B43" w:rsidP="00254F38">
      <w:pPr>
        <w:pStyle w:val="Textodenotaderodap"/>
        <w:ind w:left="548" w:hanging="274"/>
        <w:jc w:val="both"/>
        <w:rPr>
          <w:rFonts w:ascii="Arial" w:hAnsi="Arial" w:cs="Arial"/>
          <w:sz w:val="18"/>
          <w:szCs w:val="18"/>
        </w:rPr>
      </w:pPr>
      <w:r w:rsidRPr="001F27CE">
        <w:rPr>
          <w:rStyle w:val="Refdenotaderodap"/>
          <w:rFonts w:ascii="Arial" w:hAnsi="Arial" w:cs="Arial"/>
          <w:sz w:val="18"/>
          <w:szCs w:val="18"/>
        </w:rPr>
        <w:footnoteRef/>
      </w:r>
      <w:r w:rsidRPr="00D14310">
        <w:rPr>
          <w:rFonts w:ascii="Arial" w:hAnsi="Arial" w:cs="Arial"/>
          <w:sz w:val="18"/>
          <w:szCs w:val="18"/>
        </w:rPr>
        <w:t xml:space="preserve"> </w:t>
      </w:r>
      <w:r w:rsidRPr="00D14310">
        <w:rPr>
          <w:rFonts w:ascii="Arial" w:hAnsi="Arial" w:cs="Arial"/>
          <w:sz w:val="18"/>
          <w:szCs w:val="18"/>
        </w:rPr>
        <w:tab/>
      </w:r>
      <w:r w:rsidRPr="00D14310">
        <w:rPr>
          <w:rStyle w:val="Refdenotaderodap"/>
          <w:rFonts w:ascii="Arial" w:hAnsi="Arial" w:cs="Arial"/>
          <w:sz w:val="18"/>
          <w:szCs w:val="18"/>
        </w:rPr>
        <w:t xml:space="preserve">Se o Gap </w:t>
      </w:r>
      <w:proofErr w:type="spellStart"/>
      <w:r w:rsidRPr="00D14310">
        <w:rPr>
          <w:rStyle w:val="Refdenotaderodap"/>
          <w:rFonts w:ascii="Arial" w:hAnsi="Arial" w:cs="Arial"/>
          <w:sz w:val="18"/>
          <w:szCs w:val="18"/>
        </w:rPr>
        <w:t>Tributário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como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percentual</w:t>
      </w:r>
      <w:proofErr w:type="spellEnd"/>
      <w:r w:rsidRPr="00D14310">
        <w:rPr>
          <w:rStyle w:val="Refdenotaderodap"/>
          <w:rFonts w:ascii="Arial" w:hAnsi="Arial" w:cs="Arial"/>
          <w:sz w:val="18"/>
          <w:szCs w:val="18"/>
        </w:rPr>
        <w:t xml:space="preserve"> do PIB </w:t>
      </w:r>
      <w:proofErr w:type="spellStart"/>
      <w:r w:rsidRPr="00D14310">
        <w:rPr>
          <w:rStyle w:val="Refdenotaderodap"/>
          <w:rFonts w:ascii="Arial" w:hAnsi="Arial" w:cs="Arial"/>
          <w:sz w:val="18"/>
          <w:szCs w:val="18"/>
        </w:rPr>
        <w:t>em</w:t>
      </w:r>
      <w:proofErr w:type="spellEnd"/>
      <w:r w:rsidRPr="00D14310">
        <w:rPr>
          <w:rStyle w:val="Refdenotaderodap"/>
          <w:rFonts w:ascii="Arial" w:hAnsi="Arial" w:cs="Arial"/>
          <w:sz w:val="18"/>
          <w:szCs w:val="18"/>
        </w:rPr>
        <w:t xml:space="preserve"> 2016 fosse o </w:t>
      </w:r>
      <w:proofErr w:type="spellStart"/>
      <w:r w:rsidRPr="00D14310">
        <w:rPr>
          <w:rStyle w:val="Refdenotaderodap"/>
          <w:rFonts w:ascii="Arial" w:hAnsi="Arial" w:cs="Arial"/>
          <w:sz w:val="18"/>
          <w:szCs w:val="18"/>
        </w:rPr>
        <w:t>mesmo</w:t>
      </w:r>
      <w:proofErr w:type="spellEnd"/>
      <w:r w:rsidRPr="00D14310">
        <w:rPr>
          <w:rStyle w:val="Refdenotaderodap"/>
          <w:rFonts w:ascii="Arial" w:hAnsi="Arial" w:cs="Arial"/>
          <w:sz w:val="18"/>
          <w:szCs w:val="18"/>
        </w:rPr>
        <w:t xml:space="preserve"> de 2012 (2,8%), a </w:t>
      </w:r>
      <w:proofErr w:type="spellStart"/>
      <w:r w:rsidRPr="00D14310">
        <w:rPr>
          <w:rStyle w:val="Refdenotaderodap"/>
          <w:rFonts w:ascii="Arial" w:hAnsi="Arial" w:cs="Arial"/>
          <w:sz w:val="18"/>
          <w:szCs w:val="18"/>
        </w:rPr>
        <w:t>redução</w:t>
      </w:r>
      <w:proofErr w:type="spellEnd"/>
      <w:r w:rsidRPr="00D14310">
        <w:rPr>
          <w:rStyle w:val="Refdenotaderodap"/>
          <w:rFonts w:ascii="Arial" w:hAnsi="Arial" w:cs="Arial"/>
          <w:sz w:val="18"/>
          <w:szCs w:val="18"/>
        </w:rPr>
        <w:t xml:space="preserve"> de 0,6% do Gap </w:t>
      </w:r>
      <w:proofErr w:type="spellStart"/>
      <w:r w:rsidRPr="00D14310">
        <w:rPr>
          <w:rStyle w:val="Refdenotaderodap"/>
          <w:rFonts w:ascii="Arial" w:hAnsi="Arial" w:cs="Arial"/>
          <w:sz w:val="18"/>
          <w:szCs w:val="18"/>
        </w:rPr>
        <w:t>representaria</w:t>
      </w:r>
      <w:proofErr w:type="spellEnd"/>
      <w:r w:rsidRPr="00D14310">
        <w:rPr>
          <w:rStyle w:val="Refdenotaderodap"/>
          <w:rFonts w:ascii="Arial" w:hAnsi="Arial" w:cs="Arial"/>
          <w:sz w:val="18"/>
          <w:szCs w:val="18"/>
        </w:rPr>
        <w:t xml:space="preserve"> 0,06% do PIB. Se, </w:t>
      </w:r>
      <w:proofErr w:type="spellStart"/>
      <w:r w:rsidRPr="00D14310">
        <w:rPr>
          <w:rStyle w:val="Refdenotaderodap"/>
          <w:rFonts w:ascii="Arial" w:hAnsi="Arial" w:cs="Arial"/>
          <w:sz w:val="18"/>
          <w:szCs w:val="18"/>
        </w:rPr>
        <w:t>por</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exemplo</w:t>
      </w:r>
      <w:proofErr w:type="spellEnd"/>
      <w:r w:rsidRPr="00D14310">
        <w:rPr>
          <w:rStyle w:val="Refdenotaderodap"/>
          <w:rFonts w:ascii="Arial" w:hAnsi="Arial" w:cs="Arial"/>
          <w:sz w:val="18"/>
          <w:szCs w:val="18"/>
        </w:rPr>
        <w:t xml:space="preserve">,  o </w:t>
      </w:r>
      <w:proofErr w:type="spellStart"/>
      <w:r w:rsidRPr="00D14310">
        <w:rPr>
          <w:rStyle w:val="Refdenotaderodap"/>
          <w:rFonts w:ascii="Arial" w:hAnsi="Arial" w:cs="Arial"/>
          <w:sz w:val="18"/>
          <w:szCs w:val="18"/>
        </w:rPr>
        <w:t>aumento</w:t>
      </w:r>
      <w:proofErr w:type="spellEnd"/>
      <w:r w:rsidRPr="00D14310">
        <w:rPr>
          <w:rStyle w:val="Refdenotaderodap"/>
          <w:rFonts w:ascii="Arial" w:hAnsi="Arial" w:cs="Arial"/>
          <w:sz w:val="18"/>
          <w:szCs w:val="18"/>
        </w:rPr>
        <w:t xml:space="preserve"> da </w:t>
      </w:r>
      <w:proofErr w:type="spellStart"/>
      <w:r w:rsidRPr="00D14310">
        <w:rPr>
          <w:rStyle w:val="Refdenotaderodap"/>
          <w:rFonts w:ascii="Arial" w:hAnsi="Arial" w:cs="Arial"/>
          <w:sz w:val="18"/>
          <w:szCs w:val="18"/>
        </w:rPr>
        <w:t>arrecadação</w:t>
      </w:r>
      <w:proofErr w:type="spellEnd"/>
      <w:r w:rsidRPr="00D14310">
        <w:rPr>
          <w:rStyle w:val="Refdenotaderodap"/>
          <w:rFonts w:ascii="Arial" w:hAnsi="Arial" w:cs="Arial"/>
          <w:sz w:val="18"/>
          <w:szCs w:val="18"/>
        </w:rPr>
        <w:t xml:space="preserve"> do ICMS fosse de 1% do PIB, o Gap </w:t>
      </w:r>
      <w:proofErr w:type="spellStart"/>
      <w:r w:rsidRPr="00D14310">
        <w:rPr>
          <w:rStyle w:val="Refdenotaderodap"/>
          <w:rFonts w:ascii="Arial" w:hAnsi="Arial" w:cs="Arial"/>
          <w:sz w:val="18"/>
          <w:szCs w:val="18"/>
        </w:rPr>
        <w:t>cairia</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em</w:t>
      </w:r>
      <w:proofErr w:type="spellEnd"/>
      <w:r w:rsidRPr="00D14310">
        <w:rPr>
          <w:rStyle w:val="Refdenotaderodap"/>
          <w:rFonts w:ascii="Arial" w:hAnsi="Arial" w:cs="Arial"/>
          <w:sz w:val="18"/>
          <w:szCs w:val="18"/>
        </w:rPr>
        <w:t xml:space="preserve"> 9,9 </w:t>
      </w:r>
      <w:proofErr w:type="spellStart"/>
      <w:r w:rsidRPr="00D14310">
        <w:rPr>
          <w:rStyle w:val="Refdenotaderodap"/>
          <w:rFonts w:ascii="Arial" w:hAnsi="Arial" w:cs="Arial"/>
          <w:sz w:val="18"/>
          <w:szCs w:val="18"/>
        </w:rPr>
        <w:t>pontos</w:t>
      </w:r>
      <w:proofErr w:type="spellEnd"/>
      <w:r w:rsidRPr="00D14310">
        <w:rPr>
          <w:rStyle w:val="Refdenotaderodap"/>
          <w:rFonts w:ascii="Arial" w:hAnsi="Arial" w:cs="Arial"/>
          <w:sz w:val="18"/>
          <w:szCs w:val="18"/>
        </w:rPr>
        <w:t>, de 27,8% para 17,9%.</w:t>
      </w:r>
    </w:p>
  </w:footnote>
  <w:footnote w:id="8">
    <w:p w14:paraId="25B1F480" w14:textId="30781569" w:rsidR="003F7B43" w:rsidRPr="00043B26" w:rsidRDefault="003F7B43">
      <w:pPr>
        <w:pStyle w:val="Textodenotaderodap"/>
      </w:pPr>
      <w:r>
        <w:rPr>
          <w:rStyle w:val="Refdenotaderodap"/>
        </w:rPr>
        <w:footnoteRef/>
      </w:r>
      <w:r>
        <w:t xml:space="preserve"> Fonte: </w:t>
      </w:r>
      <w:r w:rsidRPr="00043B26">
        <w:t>SEFA-PA (2016-2)</w:t>
      </w:r>
      <w:r>
        <w:t>.</w:t>
      </w:r>
    </w:p>
  </w:footnote>
  <w:footnote w:id="9">
    <w:p w14:paraId="294D568D" w14:textId="77777777" w:rsidR="003F7B43" w:rsidRPr="00D14310" w:rsidRDefault="003F7B43" w:rsidP="00254F38">
      <w:pPr>
        <w:pStyle w:val="Textodenotaderodap"/>
        <w:ind w:left="548" w:hanging="274"/>
        <w:jc w:val="both"/>
        <w:rPr>
          <w:rFonts w:ascii="Arial" w:hAnsi="Arial" w:cs="Arial"/>
          <w:color w:val="000000"/>
          <w:sz w:val="18"/>
          <w:szCs w:val="18"/>
        </w:rPr>
      </w:pPr>
      <w:r w:rsidRPr="001F27CE">
        <w:rPr>
          <w:rStyle w:val="Refdenotaderodap"/>
          <w:rFonts w:ascii="Arial" w:hAnsi="Arial" w:cs="Arial"/>
          <w:sz w:val="18"/>
          <w:szCs w:val="18"/>
        </w:rPr>
        <w:footnoteRef/>
      </w:r>
      <w:r w:rsidRPr="00D14310">
        <w:rPr>
          <w:rFonts w:ascii="Arial" w:hAnsi="Arial" w:cs="Arial"/>
          <w:sz w:val="18"/>
          <w:szCs w:val="18"/>
        </w:rPr>
        <w:t xml:space="preserve"> </w:t>
      </w:r>
      <w:r w:rsidRPr="00D14310">
        <w:rPr>
          <w:rFonts w:ascii="Arial" w:hAnsi="Arial" w:cs="Arial"/>
          <w:sz w:val="18"/>
          <w:szCs w:val="18"/>
        </w:rPr>
        <w:tab/>
      </w:r>
      <w:r w:rsidRPr="00D14310">
        <w:rPr>
          <w:rStyle w:val="Refdenotaderodap"/>
          <w:rFonts w:ascii="Arial" w:hAnsi="Arial" w:cs="Arial"/>
          <w:sz w:val="18"/>
          <w:szCs w:val="18"/>
        </w:rPr>
        <w:t xml:space="preserve">Sistema digital que </w:t>
      </w:r>
      <w:proofErr w:type="spellStart"/>
      <w:r w:rsidRPr="00D14310">
        <w:rPr>
          <w:rStyle w:val="Refdenotaderodap"/>
          <w:rFonts w:ascii="Arial" w:hAnsi="Arial" w:cs="Arial"/>
          <w:sz w:val="18"/>
          <w:szCs w:val="18"/>
        </w:rPr>
        <w:t>permite</w:t>
      </w:r>
      <w:proofErr w:type="spellEnd"/>
      <w:r w:rsidRPr="00D14310">
        <w:rPr>
          <w:rStyle w:val="Refdenotaderodap"/>
          <w:rFonts w:ascii="Arial" w:hAnsi="Arial" w:cs="Arial"/>
          <w:sz w:val="18"/>
          <w:szCs w:val="18"/>
        </w:rPr>
        <w:t xml:space="preserve"> o </w:t>
      </w:r>
      <w:proofErr w:type="spellStart"/>
      <w:r w:rsidRPr="00D14310">
        <w:rPr>
          <w:rStyle w:val="Refdenotaderodap"/>
          <w:rFonts w:ascii="Arial" w:hAnsi="Arial" w:cs="Arial"/>
          <w:sz w:val="18"/>
          <w:szCs w:val="18"/>
        </w:rPr>
        <w:t>envio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eletrônico</w:t>
      </w:r>
      <w:proofErr w:type="spellEnd"/>
      <w:r w:rsidRPr="00D14310">
        <w:rPr>
          <w:rStyle w:val="Refdenotaderodap"/>
          <w:rFonts w:ascii="Arial" w:hAnsi="Arial" w:cs="Arial"/>
          <w:sz w:val="18"/>
          <w:szCs w:val="18"/>
        </w:rPr>
        <w:t xml:space="preserve"> dos </w:t>
      </w:r>
      <w:proofErr w:type="spellStart"/>
      <w:r w:rsidRPr="00D14310">
        <w:rPr>
          <w:rStyle w:val="Refdenotaderodap"/>
          <w:rFonts w:ascii="Arial" w:hAnsi="Arial" w:cs="Arial"/>
          <w:sz w:val="18"/>
          <w:szCs w:val="18"/>
        </w:rPr>
        <w:t>livros</w:t>
      </w:r>
      <w:proofErr w:type="spellEnd"/>
      <w:r w:rsidRPr="00D14310">
        <w:rPr>
          <w:rStyle w:val="Refdenotaderodap"/>
          <w:rFonts w:ascii="Arial" w:hAnsi="Arial" w:cs="Arial"/>
          <w:sz w:val="18"/>
          <w:szCs w:val="18"/>
        </w:rPr>
        <w:t xml:space="preserve"> e </w:t>
      </w:r>
      <w:proofErr w:type="spellStart"/>
      <w:r w:rsidRPr="00D14310">
        <w:rPr>
          <w:rStyle w:val="Refdenotaderodap"/>
          <w:rFonts w:ascii="Arial" w:hAnsi="Arial" w:cs="Arial"/>
          <w:sz w:val="18"/>
          <w:szCs w:val="18"/>
        </w:rPr>
        <w:t>documentos</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contábeis</w:t>
      </w:r>
      <w:proofErr w:type="spellEnd"/>
      <w:r w:rsidRPr="00D14310">
        <w:rPr>
          <w:rStyle w:val="Refdenotaderodap"/>
          <w:rFonts w:ascii="Arial" w:hAnsi="Arial" w:cs="Arial"/>
          <w:sz w:val="18"/>
          <w:szCs w:val="18"/>
        </w:rPr>
        <w:t xml:space="preserve"> e </w:t>
      </w:r>
      <w:proofErr w:type="spellStart"/>
      <w:r w:rsidRPr="00D14310">
        <w:rPr>
          <w:rStyle w:val="Refdenotaderodap"/>
          <w:rFonts w:ascii="Arial" w:hAnsi="Arial" w:cs="Arial"/>
          <w:sz w:val="18"/>
          <w:szCs w:val="18"/>
        </w:rPr>
        <w:t>fiscais</w:t>
      </w:r>
      <w:proofErr w:type="spellEnd"/>
      <w:r w:rsidRPr="00D14310">
        <w:rPr>
          <w:rStyle w:val="Refdenotaderodap"/>
          <w:rFonts w:ascii="Arial" w:hAnsi="Arial" w:cs="Arial"/>
          <w:sz w:val="18"/>
          <w:szCs w:val="18"/>
        </w:rPr>
        <w:t xml:space="preserve"> das </w:t>
      </w:r>
      <w:proofErr w:type="spellStart"/>
      <w:r w:rsidRPr="00D14310">
        <w:rPr>
          <w:rStyle w:val="Refdenotaderodap"/>
          <w:rFonts w:ascii="Arial" w:hAnsi="Arial" w:cs="Arial"/>
          <w:sz w:val="18"/>
          <w:szCs w:val="18"/>
        </w:rPr>
        <w:t>empresas</w:t>
      </w:r>
      <w:proofErr w:type="spellEnd"/>
      <w:r w:rsidRPr="00D14310">
        <w:rPr>
          <w:rStyle w:val="Refdenotaderodap"/>
          <w:rFonts w:ascii="Arial" w:hAnsi="Arial" w:cs="Arial"/>
          <w:sz w:val="18"/>
          <w:szCs w:val="18"/>
        </w:rPr>
        <w:t xml:space="preserve"> de forma </w:t>
      </w:r>
      <w:proofErr w:type="spellStart"/>
      <w:r w:rsidRPr="00D14310">
        <w:rPr>
          <w:rStyle w:val="Refdenotaderodap"/>
          <w:rFonts w:ascii="Arial" w:hAnsi="Arial" w:cs="Arial"/>
          <w:sz w:val="18"/>
          <w:szCs w:val="18"/>
        </w:rPr>
        <w:t>integrada</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aos</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três</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níveis</w:t>
      </w:r>
      <w:proofErr w:type="spellEnd"/>
      <w:r w:rsidRPr="00D14310">
        <w:rPr>
          <w:rStyle w:val="Refdenotaderodap"/>
          <w:rFonts w:ascii="Arial" w:hAnsi="Arial" w:cs="Arial"/>
          <w:sz w:val="18"/>
          <w:szCs w:val="18"/>
        </w:rPr>
        <w:t xml:space="preserve"> de </w:t>
      </w:r>
      <w:proofErr w:type="spellStart"/>
      <w:r w:rsidRPr="00D14310">
        <w:rPr>
          <w:rStyle w:val="Refdenotaderodap"/>
          <w:rFonts w:ascii="Arial" w:hAnsi="Arial" w:cs="Arial"/>
          <w:sz w:val="18"/>
          <w:szCs w:val="18"/>
        </w:rPr>
        <w:t>governo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Proporciona</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ao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fisco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informação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em</w:t>
      </w:r>
      <w:proofErr w:type="spellEnd"/>
      <w:r w:rsidRPr="00D14310">
        <w:rPr>
          <w:rStyle w:val="Refdenotaderodap"/>
          <w:rFonts w:ascii="Arial" w:hAnsi="Arial" w:cs="Arial"/>
          <w:sz w:val="18"/>
          <w:szCs w:val="18"/>
        </w:rPr>
        <w:t xml:space="preserve"> tempo real e </w:t>
      </w:r>
      <w:proofErr w:type="spellStart"/>
      <w:r w:rsidRPr="00D14310">
        <w:rPr>
          <w:rStyle w:val="Refdenotaderodap"/>
          <w:rFonts w:ascii="Arial" w:hAnsi="Arial" w:cs="Arial"/>
          <w:sz w:val="18"/>
          <w:szCs w:val="18"/>
        </w:rPr>
        <w:t>maior</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efetividade</w:t>
      </w:r>
      <w:proofErr w:type="spellEnd"/>
      <w:r w:rsidRPr="00D14310">
        <w:rPr>
          <w:rStyle w:val="Refdenotaderodap"/>
          <w:rFonts w:ascii="Arial" w:hAnsi="Arial" w:cs="Arial"/>
          <w:sz w:val="18"/>
          <w:szCs w:val="18"/>
        </w:rPr>
        <w:t xml:space="preserve"> no </w:t>
      </w:r>
      <w:proofErr w:type="spellStart"/>
      <w:r w:rsidRPr="00D14310">
        <w:rPr>
          <w:rStyle w:val="Refdenotaderodap"/>
          <w:rFonts w:ascii="Arial" w:hAnsi="Arial" w:cs="Arial"/>
          <w:sz w:val="18"/>
          <w:szCs w:val="18"/>
        </w:rPr>
        <w:t>controle</w:t>
      </w:r>
      <w:proofErr w:type="spellEnd"/>
      <w:r w:rsidRPr="00D14310">
        <w:rPr>
          <w:rStyle w:val="Refdenotaderodap"/>
          <w:rFonts w:ascii="Arial" w:hAnsi="Arial" w:cs="Arial"/>
          <w:sz w:val="18"/>
          <w:szCs w:val="18"/>
        </w:rPr>
        <w:t xml:space="preserve"> fiscal e </w:t>
      </w:r>
      <w:proofErr w:type="spellStart"/>
      <w:r w:rsidRPr="00D14310">
        <w:rPr>
          <w:rStyle w:val="Refdenotaderodap"/>
          <w:rFonts w:ascii="Arial" w:hAnsi="Arial" w:cs="Arial"/>
          <w:sz w:val="18"/>
          <w:szCs w:val="18"/>
        </w:rPr>
        <w:t>ao</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contribuinte</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racionalização</w:t>
      </w:r>
      <w:proofErr w:type="spellEnd"/>
      <w:r w:rsidRPr="00D14310">
        <w:rPr>
          <w:rStyle w:val="Refdenotaderodap"/>
          <w:rFonts w:ascii="Arial" w:hAnsi="Arial" w:cs="Arial"/>
          <w:sz w:val="18"/>
          <w:szCs w:val="18"/>
        </w:rPr>
        <w:t xml:space="preserve"> no </w:t>
      </w:r>
      <w:proofErr w:type="spellStart"/>
      <w:r w:rsidRPr="00D14310">
        <w:rPr>
          <w:rStyle w:val="Refdenotaderodap"/>
          <w:rFonts w:ascii="Arial" w:hAnsi="Arial" w:cs="Arial"/>
          <w:sz w:val="18"/>
          <w:szCs w:val="18"/>
        </w:rPr>
        <w:t>cumprimento</w:t>
      </w:r>
      <w:proofErr w:type="spellEnd"/>
      <w:r w:rsidRPr="00D14310">
        <w:rPr>
          <w:rStyle w:val="Refdenotaderodap"/>
          <w:rFonts w:ascii="Arial" w:hAnsi="Arial" w:cs="Arial"/>
          <w:sz w:val="18"/>
          <w:szCs w:val="18"/>
        </w:rPr>
        <w:t xml:space="preserve"> das </w:t>
      </w:r>
      <w:proofErr w:type="spellStart"/>
      <w:r w:rsidRPr="00D14310">
        <w:rPr>
          <w:rStyle w:val="Refdenotaderodap"/>
          <w:rFonts w:ascii="Arial" w:hAnsi="Arial" w:cs="Arial"/>
          <w:sz w:val="18"/>
          <w:szCs w:val="18"/>
        </w:rPr>
        <w:t>obrigações</w:t>
      </w:r>
      <w:proofErr w:type="spellEnd"/>
      <w:r w:rsidRPr="00D14310">
        <w:rPr>
          <w:rStyle w:val="Refdenotaderodap"/>
          <w:rFonts w:ascii="Arial" w:hAnsi="Arial" w:cs="Arial"/>
          <w:sz w:val="18"/>
          <w:szCs w:val="18"/>
        </w:rPr>
        <w:t xml:space="preserve"> </w:t>
      </w:r>
      <w:proofErr w:type="spellStart"/>
      <w:r w:rsidRPr="00D14310">
        <w:rPr>
          <w:rStyle w:val="Refdenotaderodap"/>
          <w:rFonts w:ascii="Arial" w:hAnsi="Arial" w:cs="Arial"/>
          <w:sz w:val="18"/>
          <w:szCs w:val="18"/>
        </w:rPr>
        <w:t>tributárias</w:t>
      </w:r>
      <w:proofErr w:type="spellEnd"/>
      <w:r w:rsidRPr="00D14310">
        <w:rPr>
          <w:rStyle w:val="Refdenotaderodap"/>
          <w:rFonts w:ascii="Arial" w:hAnsi="Arial" w:cs="Arial"/>
          <w:sz w:val="18"/>
          <w:szCs w:val="18"/>
        </w:rPr>
        <w:t>.</w:t>
      </w:r>
      <w:r w:rsidRPr="00D14310">
        <w:rPr>
          <w:rFonts w:ascii="Arial" w:hAnsi="Arial" w:cs="Arial"/>
          <w:color w:val="000000"/>
          <w:sz w:val="18"/>
          <w:szCs w:val="18"/>
        </w:rPr>
        <w:t xml:space="preserve"> </w:t>
      </w:r>
    </w:p>
  </w:footnote>
  <w:footnote w:id="10">
    <w:p w14:paraId="6F1DBF8F" w14:textId="58231551" w:rsidR="003F7B43" w:rsidRPr="007422FC" w:rsidRDefault="003F7B43">
      <w:pPr>
        <w:pStyle w:val="Textodenotaderodap"/>
        <w:rPr>
          <w:lang w:val="pt-BR"/>
        </w:rPr>
      </w:pPr>
      <w:r>
        <w:rPr>
          <w:rStyle w:val="Refdenotaderodap"/>
        </w:rPr>
        <w:footnoteRef/>
      </w:r>
      <w:r w:rsidRPr="007422FC">
        <w:rPr>
          <w:lang w:val="pt-BR"/>
        </w:rPr>
        <w:t xml:space="preserve"> </w:t>
      </w:r>
      <w:r>
        <w:rPr>
          <w:lang w:val="pt-BR"/>
        </w:rPr>
        <w:t>Fonte dos dados de número de firmas é SEFA-PA (2016-3)</w:t>
      </w:r>
    </w:p>
  </w:footnote>
  <w:footnote w:id="11">
    <w:p w14:paraId="7FD0ED9B" w14:textId="7144D9F0" w:rsidR="003F7B43" w:rsidRPr="00E40C0E" w:rsidRDefault="003F7B43">
      <w:pPr>
        <w:pStyle w:val="Textodenotaderodap"/>
        <w:rPr>
          <w:lang w:val="pt-BR"/>
        </w:rPr>
      </w:pPr>
      <w:r>
        <w:rPr>
          <w:rStyle w:val="Refdenotaderodap"/>
        </w:rPr>
        <w:footnoteRef/>
      </w:r>
      <w:r w:rsidRPr="00E40C0E">
        <w:rPr>
          <w:lang w:val="pt-BR"/>
        </w:rPr>
        <w:t xml:space="preserve"> </w:t>
      </w:r>
      <w:r>
        <w:rPr>
          <w:lang w:val="pt-BR"/>
        </w:rPr>
        <w:t xml:space="preserve">Fonte: </w:t>
      </w:r>
      <w:r w:rsidRPr="00E10ABA">
        <w:rPr>
          <w:lang w:val="pt-BR"/>
        </w:rPr>
        <w:t>Sindicato dos Contadores do Pará (2016-2017).</w:t>
      </w:r>
    </w:p>
  </w:footnote>
  <w:footnote w:id="12">
    <w:p w14:paraId="66385F19" w14:textId="5591F4D4" w:rsidR="003F7B43" w:rsidRPr="00E10ABA" w:rsidRDefault="003F7B43">
      <w:pPr>
        <w:pStyle w:val="Textodenotaderodap"/>
        <w:rPr>
          <w:lang w:val="pt-BR"/>
        </w:rPr>
      </w:pPr>
      <w:r>
        <w:rPr>
          <w:rStyle w:val="Refdenotaderodap"/>
        </w:rPr>
        <w:footnoteRef/>
      </w:r>
      <w:r w:rsidRPr="00E10ABA">
        <w:rPr>
          <w:lang w:val="pt-BR"/>
        </w:rPr>
        <w:t xml:space="preserve"> </w:t>
      </w:r>
      <w:r>
        <w:rPr>
          <w:lang w:val="pt-BR"/>
        </w:rPr>
        <w:t xml:space="preserve">Todos os dados de números de processos, tempo trabalhado em cada serviço e custo associado são da SEFA (2016-4). </w:t>
      </w:r>
    </w:p>
  </w:footnote>
  <w:footnote w:id="13">
    <w:p w14:paraId="477393C0" w14:textId="7D37DD2A" w:rsidR="003F7B43" w:rsidRPr="001603CE" w:rsidRDefault="003F7B43">
      <w:pPr>
        <w:pStyle w:val="Textodenotaderodap"/>
        <w:rPr>
          <w:lang w:val="pt-BR"/>
        </w:rPr>
      </w:pPr>
      <w:r>
        <w:rPr>
          <w:rStyle w:val="Refdenotaderodap"/>
        </w:rPr>
        <w:footnoteRef/>
      </w:r>
      <w:r w:rsidRPr="001603CE">
        <w:rPr>
          <w:lang w:val="pt-BR"/>
        </w:rPr>
        <w:t xml:space="preserve"> </w:t>
      </w:r>
      <w:r>
        <w:rPr>
          <w:lang w:val="pt-BR"/>
        </w:rPr>
        <w:t>Fonte de dados: SEFA-PA (2016-5).</w:t>
      </w:r>
    </w:p>
  </w:footnote>
  <w:footnote w:id="14">
    <w:p w14:paraId="294D568E" w14:textId="77777777" w:rsidR="003F7B43" w:rsidRPr="001F27CE" w:rsidRDefault="003F7B43" w:rsidP="00254F38">
      <w:pPr>
        <w:pStyle w:val="Textodenotaderodap"/>
        <w:ind w:left="548" w:hanging="274"/>
        <w:jc w:val="both"/>
        <w:rPr>
          <w:rFonts w:ascii="Arial" w:hAnsi="Arial" w:cs="Arial"/>
          <w:sz w:val="18"/>
          <w:szCs w:val="18"/>
          <w:lang w:val="pt-BR"/>
        </w:rPr>
      </w:pPr>
      <w:r w:rsidRPr="001F27CE">
        <w:rPr>
          <w:rStyle w:val="Refdenotaderodap"/>
          <w:rFonts w:ascii="Arial" w:hAnsi="Arial" w:cs="Arial"/>
          <w:sz w:val="18"/>
          <w:szCs w:val="18"/>
        </w:rPr>
        <w:footnoteRef/>
      </w:r>
      <w:r w:rsidRPr="001F27CE">
        <w:rPr>
          <w:rFonts w:ascii="Arial" w:hAnsi="Arial" w:cs="Arial"/>
          <w:sz w:val="18"/>
          <w:szCs w:val="18"/>
          <w:lang w:val="pt-BR"/>
        </w:rPr>
        <w:t xml:space="preserve"> </w:t>
      </w:r>
      <w:r>
        <w:rPr>
          <w:rFonts w:ascii="Arial" w:hAnsi="Arial" w:cs="Arial"/>
          <w:sz w:val="18"/>
          <w:szCs w:val="18"/>
          <w:lang w:val="pt-BR"/>
        </w:rPr>
        <w:tab/>
      </w:r>
      <w:r w:rsidRPr="001F27CE">
        <w:rPr>
          <w:rFonts w:ascii="Arial" w:hAnsi="Arial" w:cs="Arial"/>
          <w:sz w:val="18"/>
          <w:szCs w:val="18"/>
          <w:lang w:val="pt-BR"/>
        </w:rPr>
        <w:t>Previsões de taxas de câmbio são difíceis de realizar para períodos mais longos, visto que muitas variáveis influenciam as mesmas. Por exemplo, em 200</w:t>
      </w:r>
      <w:r>
        <w:rPr>
          <w:rFonts w:ascii="Arial" w:hAnsi="Arial" w:cs="Arial"/>
          <w:sz w:val="18"/>
          <w:szCs w:val="18"/>
          <w:lang w:val="pt-BR"/>
        </w:rPr>
        <w:t xml:space="preserve">3, a taxa de câmbio chegou a </w:t>
      </w:r>
      <w:proofErr w:type="gramStart"/>
      <w:r>
        <w:rPr>
          <w:rFonts w:ascii="Arial" w:hAnsi="Arial" w:cs="Arial"/>
          <w:sz w:val="18"/>
          <w:szCs w:val="18"/>
          <w:lang w:val="pt-BR"/>
        </w:rPr>
        <w:t>R$</w:t>
      </w:r>
      <w:r w:rsidRPr="001F27CE">
        <w:rPr>
          <w:rFonts w:ascii="Arial" w:hAnsi="Arial" w:cs="Arial"/>
          <w:sz w:val="18"/>
          <w:szCs w:val="18"/>
          <w:lang w:val="pt-BR"/>
        </w:rPr>
        <w:t>3,07 por dólar, maior</w:t>
      </w:r>
      <w:proofErr w:type="gramEnd"/>
      <w:r w:rsidRPr="001F27CE">
        <w:rPr>
          <w:rFonts w:ascii="Arial" w:hAnsi="Arial" w:cs="Arial"/>
          <w:sz w:val="18"/>
          <w:szCs w:val="18"/>
          <w:lang w:val="pt-BR"/>
        </w:rPr>
        <w:t xml:space="preserve"> valor desde a adoção do Real. A valorização do Real </w:t>
      </w:r>
      <w:r>
        <w:rPr>
          <w:rFonts w:ascii="Arial" w:hAnsi="Arial" w:cs="Arial"/>
          <w:sz w:val="18"/>
          <w:szCs w:val="18"/>
          <w:lang w:val="pt-BR"/>
        </w:rPr>
        <w:t>resultou em uma taxa de R$1,67 </w:t>
      </w:r>
      <w:r w:rsidRPr="001F27CE">
        <w:rPr>
          <w:rFonts w:ascii="Arial" w:hAnsi="Arial" w:cs="Arial"/>
          <w:sz w:val="18"/>
          <w:szCs w:val="18"/>
          <w:lang w:val="pt-BR"/>
        </w:rPr>
        <w:t>em 2011, uma valorização de cerca de 50%. Os problemas econômicos e políticos a partir de 2012 resultaram em uma desvalorização da moeda em mais de 100%, sendo 42% apenas em 2015, an</w:t>
      </w:r>
      <w:r>
        <w:rPr>
          <w:rFonts w:ascii="Arial" w:hAnsi="Arial" w:cs="Arial"/>
          <w:sz w:val="18"/>
          <w:szCs w:val="18"/>
          <w:lang w:val="pt-BR"/>
        </w:rPr>
        <w:t>o do impeachment, chegando a R$</w:t>
      </w:r>
      <w:r w:rsidRPr="001F27CE">
        <w:rPr>
          <w:rFonts w:ascii="Arial" w:hAnsi="Arial" w:cs="Arial"/>
          <w:sz w:val="18"/>
          <w:szCs w:val="18"/>
          <w:lang w:val="pt-BR"/>
        </w:rPr>
        <w:t>3,48 em 2016. Este ano, a moeda voltou a se valorizar em mais de 8% até o i</w:t>
      </w:r>
      <w:r>
        <w:rPr>
          <w:rFonts w:ascii="Arial" w:hAnsi="Arial" w:cs="Arial"/>
          <w:sz w:val="18"/>
          <w:szCs w:val="18"/>
          <w:lang w:val="pt-BR"/>
        </w:rPr>
        <w:t>nicio de outubro, alcançando R$3,</w:t>
      </w:r>
      <w:r w:rsidRPr="001F27CE">
        <w:rPr>
          <w:rFonts w:ascii="Arial" w:hAnsi="Arial" w:cs="Arial"/>
          <w:sz w:val="18"/>
          <w:szCs w:val="18"/>
          <w:lang w:val="pt-BR"/>
        </w:rPr>
        <w:t>18. Assim, a adoção de uma de uma desvalorização real de 25% tem o objetivo de criar uma referência para medir o impacto de uma desvalorização na taxa interna de retorno do projeto.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D5686" w14:textId="4D6F38C5" w:rsidR="003F7B43" w:rsidRDefault="003F7B43">
    <w:pPr>
      <w:pStyle w:val="Cabealho"/>
      <w:jc w:val="center"/>
    </w:pPr>
    <w:r>
      <w:fldChar w:fldCharType="begin"/>
    </w:r>
    <w:r>
      <w:instrText xml:space="preserve"> PAGE   \* MERGEFORMAT </w:instrText>
    </w:r>
    <w:r>
      <w:fldChar w:fldCharType="separate"/>
    </w:r>
    <w:r w:rsidR="00671D41">
      <w:rPr>
        <w:noProof/>
      </w:rPr>
      <w:t>14</w:t>
    </w:r>
    <w:r>
      <w:fldChar w:fldCharType="end"/>
    </w:r>
  </w:p>
  <w:p w14:paraId="294D5687" w14:textId="77777777" w:rsidR="003F7B43" w:rsidRDefault="003F7B4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52B6BC1"/>
    <w:multiLevelType w:val="multilevel"/>
    <w:tmpl w:val="0409001D"/>
    <w:numStyleLink w:val="Estilo3"/>
  </w:abstractNum>
  <w:abstractNum w:abstractNumId="2">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3AD0654"/>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nsid w:val="1DEB02C9"/>
    <w:multiLevelType w:val="hybridMultilevel"/>
    <w:tmpl w:val="A94EB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1E1746"/>
    <w:multiLevelType w:val="multilevel"/>
    <w:tmpl w:val="922C3D12"/>
    <w:numStyleLink w:val="Estilo4"/>
  </w:abstractNum>
  <w:abstractNum w:abstractNumId="6">
    <w:nsid w:val="318D35A8"/>
    <w:multiLevelType w:val="multilevel"/>
    <w:tmpl w:val="78FCF368"/>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lvlText w:val="%9."/>
      <w:lvlJc w:val="left"/>
      <w:pPr>
        <w:tabs>
          <w:tab w:val="num" w:pos="1287"/>
        </w:tabs>
        <w:ind w:left="0" w:firstLine="567"/>
      </w:pPr>
      <w:rPr>
        <w:rFonts w:ascii="Arial" w:hAnsi="Arial" w:hint="default"/>
        <w:b w:val="0"/>
        <w:i w:val="0"/>
        <w:sz w:val="24"/>
      </w:rPr>
    </w:lvl>
  </w:abstractNum>
  <w:abstractNum w:abstractNumId="7">
    <w:nsid w:val="34EC0224"/>
    <w:multiLevelType w:val="multilevel"/>
    <w:tmpl w:val="ACCEFF1C"/>
    <w:lvl w:ilvl="0">
      <w:start w:val="1"/>
      <w:numFmt w:val="upperRoman"/>
      <w:lvlText w:val="%1."/>
      <w:lvlJc w:val="left"/>
      <w:pPr>
        <w:tabs>
          <w:tab w:val="num" w:pos="1800"/>
        </w:tabs>
        <w:ind w:left="1152" w:firstLine="288"/>
      </w:pPr>
      <w:rPr>
        <w:rFonts w:hint="default"/>
        <w:b/>
        <w:i w:val="0"/>
        <w:sz w:val="24"/>
        <w:szCs w:val="24"/>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nsid w:val="38A9671B"/>
    <w:multiLevelType w:val="hybridMultilevel"/>
    <w:tmpl w:val="42C4A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98611A"/>
    <w:multiLevelType w:val="multilevel"/>
    <w:tmpl w:val="04160027"/>
    <w:numStyleLink w:val="Estilo2"/>
  </w:abstractNum>
  <w:abstractNum w:abstractNumId="10">
    <w:nsid w:val="3F1C6440"/>
    <w:multiLevelType w:val="multilevel"/>
    <w:tmpl w:val="922C3D12"/>
    <w:styleLink w:val="Estilo4"/>
    <w:lvl w:ilvl="0">
      <w:start w:val="4"/>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1">
    <w:nsid w:val="406A5102"/>
    <w:multiLevelType w:val="multilevel"/>
    <w:tmpl w:val="0409001D"/>
    <w:styleLink w:val="Estilo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4AF41C1"/>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Ttulo9"/>
      <w:lvlText w:val="%9."/>
      <w:lvlJc w:val="left"/>
      <w:pPr>
        <w:tabs>
          <w:tab w:val="num" w:pos="1287"/>
        </w:tabs>
        <w:ind w:left="0" w:firstLine="567"/>
      </w:pPr>
      <w:rPr>
        <w:rFonts w:ascii="Arial" w:hAnsi="Arial" w:hint="default"/>
        <w:b w:val="0"/>
        <w:i w:val="0"/>
        <w:sz w:val="24"/>
      </w:rPr>
    </w:lvl>
  </w:abstractNum>
  <w:abstractNum w:abstractNumId="13">
    <w:nsid w:val="4F757C7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4">
    <w:nsid w:val="522802E7"/>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lvlText w:val="%9."/>
      <w:lvlJc w:val="left"/>
      <w:pPr>
        <w:tabs>
          <w:tab w:val="num" w:pos="1287"/>
        </w:tabs>
        <w:ind w:left="0" w:firstLine="567"/>
      </w:pPr>
      <w:rPr>
        <w:rFonts w:ascii="Arial" w:hAnsi="Arial" w:hint="default"/>
        <w:b w:val="0"/>
        <w:i w:val="0"/>
        <w:sz w:val="24"/>
      </w:rPr>
    </w:lvl>
  </w:abstractNum>
  <w:abstractNum w:abstractNumId="15">
    <w:nsid w:val="5D317449"/>
    <w:multiLevelType w:val="multilevel"/>
    <w:tmpl w:val="04160027"/>
    <w:styleLink w:val="Estilo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nsid w:val="5E484527"/>
    <w:multiLevelType w:val="multilevel"/>
    <w:tmpl w:val="04160027"/>
    <w:numStyleLink w:val="Estilo1"/>
  </w:abstractNum>
  <w:abstractNum w:abstractNumId="17">
    <w:nsid w:val="61555454"/>
    <w:multiLevelType w:val="multilevel"/>
    <w:tmpl w:val="04160027"/>
    <w:styleLink w:val="Estilo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8">
    <w:nsid w:val="6E40588F"/>
    <w:multiLevelType w:val="multilevel"/>
    <w:tmpl w:val="98CC55DA"/>
    <w:lvl w:ilvl="0">
      <w:start w:val="1"/>
      <w:numFmt w:val="upperRoman"/>
      <w:lvlText w:val="%1."/>
      <w:lvlJc w:val="center"/>
      <w:pPr>
        <w:tabs>
          <w:tab w:val="num" w:pos="1260"/>
        </w:tabs>
        <w:ind w:left="612" w:firstLine="288"/>
      </w:pPr>
      <w:rPr>
        <w:rFonts w:hint="default"/>
        <w:b/>
        <w:i w:val="0"/>
        <w:color w:val="000000" w:themeColor="text1"/>
        <w:sz w:val="24"/>
        <w:szCs w:val="24"/>
      </w:rPr>
    </w:lvl>
    <w:lvl w:ilvl="1">
      <w:start w:val="1"/>
      <w:numFmt w:val="decimal"/>
      <w:isLgl/>
      <w:lvlText w:val="%1.%2"/>
      <w:lvlJc w:val="left"/>
      <w:pPr>
        <w:tabs>
          <w:tab w:val="num" w:pos="1009"/>
        </w:tabs>
        <w:ind w:left="1009" w:hanging="1296"/>
      </w:pPr>
      <w:rPr>
        <w:rFonts w:hint="default"/>
      </w:rPr>
    </w:lvl>
    <w:lvl w:ilvl="2">
      <w:start w:val="1"/>
      <w:numFmt w:val="lowerLetter"/>
      <w:lvlText w:val="%3."/>
      <w:lvlJc w:val="left"/>
      <w:pPr>
        <w:tabs>
          <w:tab w:val="num" w:pos="1602"/>
        </w:tabs>
        <w:ind w:left="1602" w:hanging="432"/>
      </w:pPr>
      <w:rPr>
        <w:rFonts w:hint="default"/>
        <w:color w:val="auto"/>
      </w:rPr>
    </w:lvl>
    <w:lvl w:ilvl="3">
      <w:start w:val="1"/>
      <w:numFmt w:val="lowerRoman"/>
      <w:lvlText w:val="%4."/>
      <w:lvlJc w:val="right"/>
      <w:pPr>
        <w:tabs>
          <w:tab w:val="num" w:pos="2449"/>
        </w:tabs>
        <w:ind w:left="2449" w:hanging="288"/>
      </w:pPr>
      <w:rPr>
        <w:rFonts w:hint="default"/>
      </w:rPr>
    </w:lvl>
    <w:lvl w:ilvl="4">
      <w:start w:val="1"/>
      <w:numFmt w:val="decimal"/>
      <w:lvlText w:val="%1.%2.%3.%4.%5"/>
      <w:lvlJc w:val="left"/>
      <w:pPr>
        <w:ind w:left="1873" w:hanging="1008"/>
      </w:pPr>
      <w:rPr>
        <w:rFonts w:hint="default"/>
      </w:rPr>
    </w:lvl>
    <w:lvl w:ilvl="5">
      <w:start w:val="1"/>
      <w:numFmt w:val="decimal"/>
      <w:lvlText w:val="%1.%2.%3.%4.%5.%6"/>
      <w:lvlJc w:val="left"/>
      <w:pPr>
        <w:ind w:left="2017" w:hanging="1152"/>
      </w:pPr>
      <w:rPr>
        <w:rFonts w:hint="default"/>
      </w:rPr>
    </w:lvl>
    <w:lvl w:ilvl="6">
      <w:start w:val="1"/>
      <w:numFmt w:val="decimal"/>
      <w:lvlText w:val="%1.%2.%3.%4.%5.%6.%7"/>
      <w:lvlJc w:val="left"/>
      <w:pPr>
        <w:ind w:left="2161" w:hanging="1296"/>
      </w:pPr>
      <w:rPr>
        <w:rFonts w:hint="default"/>
      </w:rPr>
    </w:lvl>
    <w:lvl w:ilvl="7">
      <w:start w:val="1"/>
      <w:numFmt w:val="decimal"/>
      <w:lvlText w:val="%1.%2.%3.%4.%5.%6.%7.%8"/>
      <w:lvlJc w:val="left"/>
      <w:pPr>
        <w:ind w:left="2305" w:hanging="1440"/>
      </w:pPr>
      <w:rPr>
        <w:rFonts w:hint="default"/>
      </w:rPr>
    </w:lvl>
    <w:lvl w:ilvl="8">
      <w:start w:val="1"/>
      <w:numFmt w:val="decimal"/>
      <w:lvlText w:val="%1.%2.%3.%4.%5.%6.%7.%8.%9"/>
      <w:lvlJc w:val="left"/>
      <w:pPr>
        <w:ind w:left="2449" w:hanging="1584"/>
      </w:pPr>
      <w:rPr>
        <w:rFonts w:hint="default"/>
      </w:rPr>
    </w:lvl>
  </w:abstractNum>
  <w:abstractNum w:abstractNumId="19">
    <w:nsid w:val="6F02630C"/>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nsid w:val="72184DF6"/>
    <w:multiLevelType w:val="multilevel"/>
    <w:tmpl w:val="D66EF6A2"/>
    <w:lvl w:ilvl="0">
      <w:start w:val="1"/>
      <w:numFmt w:val="upperRoman"/>
      <w:lvlText w:val="%1."/>
      <w:lvlJc w:val="center"/>
      <w:pPr>
        <w:tabs>
          <w:tab w:val="num" w:pos="1499"/>
        </w:tabs>
        <w:ind w:left="851" w:firstLine="288"/>
      </w:pPr>
      <w:rPr>
        <w:b/>
        <w:i w:val="0"/>
        <w:sz w:val="24"/>
        <w:szCs w:val="24"/>
      </w:rPr>
    </w:lvl>
    <w:lvl w:ilvl="1">
      <w:start w:val="1"/>
      <w:numFmt w:val="decimal"/>
      <w:isLgl/>
      <w:lvlText w:val="%1.%2"/>
      <w:lvlJc w:val="left"/>
      <w:pPr>
        <w:tabs>
          <w:tab w:val="num" w:pos="995"/>
        </w:tabs>
        <w:ind w:left="995" w:hanging="1296"/>
      </w:pPr>
    </w:lvl>
    <w:lvl w:ilvl="2">
      <w:start w:val="1"/>
      <w:numFmt w:val="lowerLetter"/>
      <w:lvlText w:val="%3."/>
      <w:lvlJc w:val="left"/>
      <w:pPr>
        <w:tabs>
          <w:tab w:val="num" w:pos="1602"/>
        </w:tabs>
        <w:ind w:left="1602" w:hanging="432"/>
      </w:pPr>
      <w:rPr>
        <w:color w:val="auto"/>
      </w:rPr>
    </w:lvl>
    <w:lvl w:ilvl="3">
      <w:start w:val="1"/>
      <w:numFmt w:val="lowerRoman"/>
      <w:lvlText w:val="%4."/>
      <w:lvlJc w:val="right"/>
      <w:pPr>
        <w:tabs>
          <w:tab w:val="num" w:pos="2435"/>
        </w:tabs>
        <w:ind w:left="2435" w:hanging="288"/>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21">
    <w:nsid w:val="79366029"/>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2">
    <w:nsid w:val="7B3E4FC6"/>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3">
    <w:nsid w:val="7C343AC2"/>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2"/>
  </w:num>
  <w:num w:numId="2">
    <w:abstractNumId w:val="6"/>
  </w:num>
  <w:num w:numId="3">
    <w:abstractNumId w:val="7"/>
  </w:num>
  <w:num w:numId="4">
    <w:abstractNumId w:val="18"/>
  </w:num>
  <w:num w:numId="5">
    <w:abstractNumId w:val="20"/>
  </w:num>
  <w:num w:numId="6">
    <w:abstractNumId w:val="4"/>
  </w:num>
  <w:num w:numId="7">
    <w:abstractNumId w:val="19"/>
  </w:num>
  <w:num w:numId="8">
    <w:abstractNumId w:val="18"/>
    <w:lvlOverride w:ilvl="0">
      <w:lvl w:ilvl="0">
        <w:start w:val="1"/>
        <w:numFmt w:val="upperRoman"/>
        <w:lvlText w:val="%1."/>
        <w:lvlJc w:val="center"/>
        <w:pPr>
          <w:tabs>
            <w:tab w:val="num" w:pos="1499"/>
          </w:tabs>
          <w:ind w:left="851" w:firstLine="288"/>
        </w:pPr>
        <w:rPr>
          <w:rFonts w:hint="default"/>
          <w:b/>
          <w:i w:val="0"/>
          <w:sz w:val="24"/>
          <w:szCs w:val="24"/>
        </w:rPr>
      </w:lvl>
    </w:lvlOverride>
    <w:lvlOverride w:ilvl="1">
      <w:lvl w:ilvl="1">
        <w:start w:val="1"/>
        <w:numFmt w:val="decimal"/>
        <w:isLgl/>
        <w:lvlText w:val="%1.%2"/>
        <w:lvlJc w:val="left"/>
        <w:pPr>
          <w:tabs>
            <w:tab w:val="num" w:pos="995"/>
          </w:tabs>
          <w:ind w:left="995" w:hanging="1296"/>
        </w:pPr>
        <w:rPr>
          <w:rFonts w:hint="default"/>
        </w:rPr>
      </w:lvl>
    </w:lvlOverride>
    <w:lvlOverride w:ilvl="2">
      <w:lvl w:ilvl="2">
        <w:start w:val="1"/>
        <w:numFmt w:val="lowerLetter"/>
        <w:lvlText w:val="%3."/>
        <w:lvlJc w:val="left"/>
        <w:pPr>
          <w:tabs>
            <w:tab w:val="num" w:pos="2003"/>
          </w:tabs>
          <w:ind w:left="2003" w:hanging="432"/>
        </w:pPr>
        <w:rPr>
          <w:rFonts w:hint="default"/>
          <w:color w:val="auto"/>
        </w:rPr>
      </w:lvl>
    </w:lvlOverride>
    <w:lvlOverride w:ilvl="3">
      <w:lvl w:ilvl="3">
        <w:start w:val="1"/>
        <w:numFmt w:val="lowerRoman"/>
        <w:lvlText w:val="%4."/>
        <w:lvlJc w:val="right"/>
        <w:pPr>
          <w:tabs>
            <w:tab w:val="num" w:pos="2435"/>
          </w:tabs>
          <w:ind w:left="2435" w:hanging="288"/>
        </w:pPr>
        <w:rPr>
          <w:rFonts w:hint="default"/>
        </w:rPr>
      </w:lvl>
    </w:lvlOverride>
    <w:lvlOverride w:ilvl="4">
      <w:lvl w:ilvl="4">
        <w:start w:val="1"/>
        <w:numFmt w:val="decimal"/>
        <w:lvlText w:val="%1.%2.%3.%4.%5"/>
        <w:lvlJc w:val="left"/>
        <w:pPr>
          <w:ind w:left="1859" w:hanging="1008"/>
        </w:pPr>
        <w:rPr>
          <w:rFonts w:hint="default"/>
        </w:rPr>
      </w:lvl>
    </w:lvlOverride>
    <w:lvlOverride w:ilvl="5">
      <w:lvl w:ilvl="5">
        <w:start w:val="1"/>
        <w:numFmt w:val="decimal"/>
        <w:lvlText w:val="%1.%2.%3.%4.%5.%6"/>
        <w:lvlJc w:val="left"/>
        <w:pPr>
          <w:ind w:left="2003" w:hanging="1152"/>
        </w:pPr>
        <w:rPr>
          <w:rFonts w:hint="default"/>
        </w:rPr>
      </w:lvl>
    </w:lvlOverride>
    <w:lvlOverride w:ilvl="6">
      <w:lvl w:ilvl="6">
        <w:start w:val="1"/>
        <w:numFmt w:val="decimal"/>
        <w:lvlText w:val="%1.%2.%3.%4.%5.%6.%7"/>
        <w:lvlJc w:val="left"/>
        <w:pPr>
          <w:ind w:left="2147" w:hanging="1296"/>
        </w:pPr>
        <w:rPr>
          <w:rFonts w:hint="default"/>
        </w:rPr>
      </w:lvl>
    </w:lvlOverride>
    <w:lvlOverride w:ilvl="7">
      <w:lvl w:ilvl="7">
        <w:start w:val="1"/>
        <w:numFmt w:val="decimal"/>
        <w:lvlText w:val="%1.%2.%3.%4.%5.%6.%7.%8"/>
        <w:lvlJc w:val="left"/>
        <w:pPr>
          <w:ind w:left="2291" w:hanging="1440"/>
        </w:pPr>
        <w:rPr>
          <w:rFonts w:hint="default"/>
        </w:rPr>
      </w:lvl>
    </w:lvlOverride>
    <w:lvlOverride w:ilvl="8">
      <w:lvl w:ilvl="8">
        <w:start w:val="1"/>
        <w:numFmt w:val="decimal"/>
        <w:lvlText w:val="%1.%2.%3.%4.%5.%6.%7.%8.%9"/>
        <w:lvlJc w:val="left"/>
        <w:pPr>
          <w:ind w:left="2435" w:hanging="1584"/>
        </w:pPr>
        <w:rPr>
          <w:rFonts w:hint="default"/>
        </w:rPr>
      </w:lvl>
    </w:lvlOverride>
  </w:num>
  <w:num w:numId="9">
    <w:abstractNumId w:val="23"/>
  </w:num>
  <w:num w:numId="10">
    <w:abstractNumId w:val="14"/>
  </w:num>
  <w:num w:numId="11">
    <w:abstractNumId w:val="3"/>
  </w:num>
  <w:num w:numId="12">
    <w:abstractNumId w:val="12"/>
  </w:num>
  <w:num w:numId="13">
    <w:abstractNumId w:val="14"/>
    <w:lvlOverride w:ilvl="0">
      <w:lvl w:ilvl="0">
        <w:start w:val="1"/>
        <w:numFmt w:val="upperRoman"/>
        <w:lvlText w:val="%1."/>
        <w:lvlJc w:val="left"/>
        <w:pPr>
          <w:tabs>
            <w:tab w:val="num" w:pos="454"/>
          </w:tabs>
          <w:ind w:left="0" w:firstLine="0"/>
        </w:pPr>
        <w:rPr>
          <w:rFonts w:ascii="Arial" w:hAnsi="Arial" w:hint="default"/>
          <w:b/>
          <w:i w:val="0"/>
          <w:sz w:val="28"/>
        </w:rPr>
      </w:lvl>
    </w:lvlOverride>
    <w:lvlOverride w:ilvl="1">
      <w:lvl w:ilvl="1">
        <w:start w:val="1"/>
        <w:numFmt w:val="upperLetter"/>
        <w:lvlText w:val="%2."/>
        <w:lvlJc w:val="left"/>
        <w:pPr>
          <w:tabs>
            <w:tab w:val="num" w:pos="360"/>
          </w:tabs>
          <w:ind w:left="0" w:firstLine="0"/>
        </w:pPr>
        <w:rPr>
          <w:rFonts w:ascii="Arial" w:hAnsi="Arial" w:hint="default"/>
          <w:b w:val="0"/>
          <w:i/>
          <w:sz w:val="28"/>
        </w:rPr>
      </w:lvl>
    </w:lvlOverride>
    <w:lvlOverride w:ilvl="2">
      <w:lvl w:ilvl="2">
        <w:start w:val="1"/>
        <w:numFmt w:val="decimal"/>
        <w:lvlText w:val="%3."/>
        <w:lvlJc w:val="left"/>
        <w:pPr>
          <w:tabs>
            <w:tab w:val="num" w:pos="360"/>
          </w:tabs>
          <w:ind w:left="0" w:firstLine="0"/>
        </w:pPr>
        <w:rPr>
          <w:rFonts w:ascii="Arial" w:hAnsi="Arial" w:hint="default"/>
          <w:sz w:val="24"/>
          <w:u w:val="none"/>
        </w:rPr>
      </w:lvl>
    </w:lvlOverride>
    <w:lvlOverride w:ilvl="3">
      <w:lvl w:ilvl="3">
        <w:start w:val="1"/>
        <w:numFmt w:val="lowerLetter"/>
        <w:lvlText w:val="%4."/>
        <w:lvlJc w:val="left"/>
        <w:pPr>
          <w:tabs>
            <w:tab w:val="num" w:pos="360"/>
          </w:tabs>
          <w:ind w:left="0" w:firstLine="0"/>
        </w:pPr>
        <w:rPr>
          <w:rFonts w:ascii="Arial" w:hAnsi="Arial" w:hint="default"/>
          <w:b w:val="0"/>
          <w:i/>
          <w:sz w:val="24"/>
        </w:rPr>
      </w:lvl>
    </w:lvlOverride>
    <w:lvlOverride w:ilvl="4">
      <w:lvl w:ilvl="4">
        <w:start w:val="1"/>
        <w:numFmt w:val="lowerRoman"/>
        <w:lvlText w:val="%5)"/>
        <w:lvlJc w:val="left"/>
        <w:pPr>
          <w:tabs>
            <w:tab w:val="num" w:pos="1287"/>
          </w:tabs>
          <w:ind w:left="0" w:firstLine="567"/>
        </w:pPr>
        <w:rPr>
          <w:rFonts w:ascii="Arial" w:hAnsi="Arial" w:hint="default"/>
          <w:b w:val="0"/>
          <w:i w:val="0"/>
          <w:sz w:val="24"/>
        </w:rPr>
      </w:lvl>
    </w:lvlOverride>
    <w:lvlOverride w:ilvl="5">
      <w:lvl w:ilvl="5">
        <w:start w:val="1"/>
        <w:numFmt w:val="lowerLetter"/>
        <w:lvlText w:val="%6)"/>
        <w:lvlJc w:val="left"/>
        <w:pPr>
          <w:tabs>
            <w:tab w:val="num" w:pos="927"/>
          </w:tabs>
          <w:ind w:left="0" w:firstLine="567"/>
        </w:pPr>
        <w:rPr>
          <w:rFonts w:ascii="Arial" w:hAnsi="Arial" w:hint="default"/>
          <w:b w:val="0"/>
          <w:i w:val="0"/>
          <w:sz w:val="24"/>
        </w:rPr>
      </w:lvl>
    </w:lvlOverride>
    <w:lvlOverride w:ilvl="6">
      <w:lvl w:ilvl="6">
        <w:start w:val="1"/>
        <w:numFmt w:val="decimal"/>
        <w:lvlText w:val="%7."/>
        <w:lvlJc w:val="left"/>
        <w:pPr>
          <w:tabs>
            <w:tab w:val="num" w:pos="927"/>
          </w:tabs>
          <w:ind w:left="0" w:firstLine="567"/>
        </w:pPr>
        <w:rPr>
          <w:rFonts w:ascii="Arial" w:hAnsi="Arial" w:hint="default"/>
          <w:b w:val="0"/>
          <w:i w:val="0"/>
          <w:sz w:val="24"/>
        </w:rPr>
      </w:lvl>
    </w:lvlOverride>
    <w:lvlOverride w:ilvl="7">
      <w:lvl w:ilvl="7">
        <w:start w:val="1"/>
        <w:numFmt w:val="lowerLetter"/>
        <w:lvlText w:val="%8."/>
        <w:lvlJc w:val="left"/>
        <w:pPr>
          <w:tabs>
            <w:tab w:val="num" w:pos="927"/>
          </w:tabs>
          <w:ind w:left="0" w:firstLine="567"/>
        </w:pPr>
        <w:rPr>
          <w:rFonts w:ascii="Arial" w:hAnsi="Arial" w:hint="default"/>
          <w:b w:val="0"/>
          <w:i w:val="0"/>
          <w:sz w:val="24"/>
        </w:rPr>
      </w:lvl>
    </w:lvlOverride>
    <w:lvlOverride w:ilvl="8">
      <w:lvl w:ilvl="8">
        <w:start w:val="1"/>
        <w:numFmt w:val="lowerRoman"/>
        <w:lvlText w:val="%9."/>
        <w:lvlJc w:val="left"/>
        <w:pPr>
          <w:tabs>
            <w:tab w:val="num" w:pos="1287"/>
          </w:tabs>
          <w:ind w:left="0" w:firstLine="567"/>
        </w:pPr>
        <w:rPr>
          <w:rFonts w:ascii="Arial" w:hAnsi="Arial" w:hint="default"/>
          <w:b w:val="0"/>
          <w:i w:val="0"/>
          <w:sz w:val="24"/>
        </w:rPr>
      </w:lvl>
    </w:lvlOverride>
  </w:num>
  <w:num w:numId="14">
    <w:abstractNumId w:val="9"/>
  </w:num>
  <w:num w:numId="15">
    <w:abstractNumId w:val="16"/>
  </w:num>
  <w:num w:numId="16">
    <w:abstractNumId w:val="15"/>
  </w:num>
  <w:num w:numId="17">
    <w:abstractNumId w:val="17"/>
  </w:num>
  <w:num w:numId="18">
    <w:abstractNumId w:val="11"/>
  </w:num>
  <w:num w:numId="19">
    <w:abstractNumId w:val="1"/>
  </w:num>
  <w:num w:numId="20">
    <w:abstractNumId w:val="10"/>
  </w:num>
  <w:num w:numId="21">
    <w:abstractNumId w:val="5"/>
  </w:num>
  <w:num w:numId="22">
    <w:abstractNumId w:val="8"/>
  </w:num>
  <w:num w:numId="23">
    <w:abstractNumId w:val="13"/>
  </w:num>
  <w:num w:numId="24">
    <w:abstractNumId w:val="22"/>
  </w:num>
  <w:num w:numId="25">
    <w:abstractNumId w:val="2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434"/>
    <w:rsid w:val="00004B24"/>
    <w:rsid w:val="00005D70"/>
    <w:rsid w:val="0000671C"/>
    <w:rsid w:val="00006889"/>
    <w:rsid w:val="000145FF"/>
    <w:rsid w:val="00014CAC"/>
    <w:rsid w:val="0002458C"/>
    <w:rsid w:val="00024DF4"/>
    <w:rsid w:val="00025999"/>
    <w:rsid w:val="000378DF"/>
    <w:rsid w:val="00037ACA"/>
    <w:rsid w:val="00040E35"/>
    <w:rsid w:val="00041082"/>
    <w:rsid w:val="00043B26"/>
    <w:rsid w:val="0004770A"/>
    <w:rsid w:val="00052FE8"/>
    <w:rsid w:val="00053587"/>
    <w:rsid w:val="00054043"/>
    <w:rsid w:val="000548B3"/>
    <w:rsid w:val="0005505E"/>
    <w:rsid w:val="000643A8"/>
    <w:rsid w:val="000671B1"/>
    <w:rsid w:val="00070DE4"/>
    <w:rsid w:val="00071EDA"/>
    <w:rsid w:val="0007257B"/>
    <w:rsid w:val="00073B05"/>
    <w:rsid w:val="0007543E"/>
    <w:rsid w:val="00077F7F"/>
    <w:rsid w:val="00084539"/>
    <w:rsid w:val="000853E0"/>
    <w:rsid w:val="00087454"/>
    <w:rsid w:val="00087EA5"/>
    <w:rsid w:val="0009031D"/>
    <w:rsid w:val="00090FD1"/>
    <w:rsid w:val="000952B0"/>
    <w:rsid w:val="000A1E09"/>
    <w:rsid w:val="000A2970"/>
    <w:rsid w:val="000A2A50"/>
    <w:rsid w:val="000A31A6"/>
    <w:rsid w:val="000A6E8E"/>
    <w:rsid w:val="000B01E8"/>
    <w:rsid w:val="000B13FC"/>
    <w:rsid w:val="000B191E"/>
    <w:rsid w:val="000B1D5B"/>
    <w:rsid w:val="000B3BEC"/>
    <w:rsid w:val="000B54BB"/>
    <w:rsid w:val="000B72C3"/>
    <w:rsid w:val="000B764F"/>
    <w:rsid w:val="000C0FE7"/>
    <w:rsid w:val="000C3AB7"/>
    <w:rsid w:val="000C3B6E"/>
    <w:rsid w:val="000C3C8E"/>
    <w:rsid w:val="000C57F7"/>
    <w:rsid w:val="000C66C4"/>
    <w:rsid w:val="000C6E15"/>
    <w:rsid w:val="000C7109"/>
    <w:rsid w:val="000C72D7"/>
    <w:rsid w:val="000C7848"/>
    <w:rsid w:val="000D02D7"/>
    <w:rsid w:val="000D4C7A"/>
    <w:rsid w:val="000D4CE6"/>
    <w:rsid w:val="000D674F"/>
    <w:rsid w:val="000D7734"/>
    <w:rsid w:val="000E53CB"/>
    <w:rsid w:val="000E59CF"/>
    <w:rsid w:val="000E6588"/>
    <w:rsid w:val="000E768E"/>
    <w:rsid w:val="000F0E45"/>
    <w:rsid w:val="000F367D"/>
    <w:rsid w:val="000F6863"/>
    <w:rsid w:val="000F75D3"/>
    <w:rsid w:val="00100B3E"/>
    <w:rsid w:val="00112AEC"/>
    <w:rsid w:val="00114300"/>
    <w:rsid w:val="00116430"/>
    <w:rsid w:val="00121B3C"/>
    <w:rsid w:val="00121EFE"/>
    <w:rsid w:val="00132A36"/>
    <w:rsid w:val="00132EDC"/>
    <w:rsid w:val="00133057"/>
    <w:rsid w:val="0013442F"/>
    <w:rsid w:val="00134CAA"/>
    <w:rsid w:val="00135425"/>
    <w:rsid w:val="00137613"/>
    <w:rsid w:val="00141E73"/>
    <w:rsid w:val="001421C8"/>
    <w:rsid w:val="0014239F"/>
    <w:rsid w:val="001440A0"/>
    <w:rsid w:val="0014500E"/>
    <w:rsid w:val="001468B3"/>
    <w:rsid w:val="001519E3"/>
    <w:rsid w:val="00153308"/>
    <w:rsid w:val="00155ED6"/>
    <w:rsid w:val="00156467"/>
    <w:rsid w:val="00157017"/>
    <w:rsid w:val="001603CE"/>
    <w:rsid w:val="0016041F"/>
    <w:rsid w:val="0016443B"/>
    <w:rsid w:val="00166A1B"/>
    <w:rsid w:val="00170345"/>
    <w:rsid w:val="0017172D"/>
    <w:rsid w:val="00171A3D"/>
    <w:rsid w:val="0017289C"/>
    <w:rsid w:val="00174603"/>
    <w:rsid w:val="001805B7"/>
    <w:rsid w:val="001815AA"/>
    <w:rsid w:val="00183791"/>
    <w:rsid w:val="00183D4B"/>
    <w:rsid w:val="0018501B"/>
    <w:rsid w:val="001964CE"/>
    <w:rsid w:val="001A35E8"/>
    <w:rsid w:val="001A5FA3"/>
    <w:rsid w:val="001B139D"/>
    <w:rsid w:val="001B17E5"/>
    <w:rsid w:val="001B1B23"/>
    <w:rsid w:val="001B29B2"/>
    <w:rsid w:val="001B6AF9"/>
    <w:rsid w:val="001B6F28"/>
    <w:rsid w:val="001C018D"/>
    <w:rsid w:val="001C09BD"/>
    <w:rsid w:val="001C3FDC"/>
    <w:rsid w:val="001C4843"/>
    <w:rsid w:val="001C574F"/>
    <w:rsid w:val="001C6AF8"/>
    <w:rsid w:val="001D7E2F"/>
    <w:rsid w:val="001E0051"/>
    <w:rsid w:val="001E0606"/>
    <w:rsid w:val="001E3977"/>
    <w:rsid w:val="001E7189"/>
    <w:rsid w:val="001F051C"/>
    <w:rsid w:val="001F0D8E"/>
    <w:rsid w:val="001F1038"/>
    <w:rsid w:val="001F1912"/>
    <w:rsid w:val="001F27CE"/>
    <w:rsid w:val="001F5C78"/>
    <w:rsid w:val="001F71A7"/>
    <w:rsid w:val="00201349"/>
    <w:rsid w:val="00201AC4"/>
    <w:rsid w:val="00202008"/>
    <w:rsid w:val="002054C9"/>
    <w:rsid w:val="00205DC0"/>
    <w:rsid w:val="00207493"/>
    <w:rsid w:val="00211836"/>
    <w:rsid w:val="0021384E"/>
    <w:rsid w:val="00214402"/>
    <w:rsid w:val="00214966"/>
    <w:rsid w:val="0021500F"/>
    <w:rsid w:val="002176D4"/>
    <w:rsid w:val="002215AF"/>
    <w:rsid w:val="0022604D"/>
    <w:rsid w:val="00227EDA"/>
    <w:rsid w:val="002324CC"/>
    <w:rsid w:val="00232C72"/>
    <w:rsid w:val="002332CD"/>
    <w:rsid w:val="00241A35"/>
    <w:rsid w:val="002422B9"/>
    <w:rsid w:val="0024742D"/>
    <w:rsid w:val="00254F38"/>
    <w:rsid w:val="00260BC5"/>
    <w:rsid w:val="00262986"/>
    <w:rsid w:val="0026409A"/>
    <w:rsid w:val="00264EFD"/>
    <w:rsid w:val="00265154"/>
    <w:rsid w:val="00265B22"/>
    <w:rsid w:val="0026650D"/>
    <w:rsid w:val="002666AF"/>
    <w:rsid w:val="00270639"/>
    <w:rsid w:val="00271704"/>
    <w:rsid w:val="00275D05"/>
    <w:rsid w:val="002775DF"/>
    <w:rsid w:val="0028269B"/>
    <w:rsid w:val="00282722"/>
    <w:rsid w:val="002848A6"/>
    <w:rsid w:val="00285064"/>
    <w:rsid w:val="002879B6"/>
    <w:rsid w:val="0029174A"/>
    <w:rsid w:val="00296B0F"/>
    <w:rsid w:val="002970CC"/>
    <w:rsid w:val="0029797A"/>
    <w:rsid w:val="002A3658"/>
    <w:rsid w:val="002A3D3B"/>
    <w:rsid w:val="002A481B"/>
    <w:rsid w:val="002A53E9"/>
    <w:rsid w:val="002A574C"/>
    <w:rsid w:val="002A5FB7"/>
    <w:rsid w:val="002A6907"/>
    <w:rsid w:val="002A6AEE"/>
    <w:rsid w:val="002B08A7"/>
    <w:rsid w:val="002B08D3"/>
    <w:rsid w:val="002B12F8"/>
    <w:rsid w:val="002B4A49"/>
    <w:rsid w:val="002B5550"/>
    <w:rsid w:val="002B5A5C"/>
    <w:rsid w:val="002B5C7F"/>
    <w:rsid w:val="002B70A4"/>
    <w:rsid w:val="002C01D6"/>
    <w:rsid w:val="002C4C41"/>
    <w:rsid w:val="002C6237"/>
    <w:rsid w:val="002D0BBC"/>
    <w:rsid w:val="002D12C5"/>
    <w:rsid w:val="002D26A2"/>
    <w:rsid w:val="002D41B7"/>
    <w:rsid w:val="002D4DDD"/>
    <w:rsid w:val="002D6574"/>
    <w:rsid w:val="002D7848"/>
    <w:rsid w:val="002E0DA4"/>
    <w:rsid w:val="002E4363"/>
    <w:rsid w:val="002E4E61"/>
    <w:rsid w:val="002E72A6"/>
    <w:rsid w:val="002E7382"/>
    <w:rsid w:val="002F1B43"/>
    <w:rsid w:val="002F3A0B"/>
    <w:rsid w:val="002F57DB"/>
    <w:rsid w:val="002F7340"/>
    <w:rsid w:val="00301567"/>
    <w:rsid w:val="0030158A"/>
    <w:rsid w:val="003017DF"/>
    <w:rsid w:val="0031235D"/>
    <w:rsid w:val="00312978"/>
    <w:rsid w:val="0031314D"/>
    <w:rsid w:val="0031606F"/>
    <w:rsid w:val="00316EAB"/>
    <w:rsid w:val="00321038"/>
    <w:rsid w:val="0032166E"/>
    <w:rsid w:val="00321788"/>
    <w:rsid w:val="00321C2C"/>
    <w:rsid w:val="00323E14"/>
    <w:rsid w:val="00325DCC"/>
    <w:rsid w:val="00333252"/>
    <w:rsid w:val="0034382A"/>
    <w:rsid w:val="003453F8"/>
    <w:rsid w:val="003458D4"/>
    <w:rsid w:val="00345E3E"/>
    <w:rsid w:val="00346DC5"/>
    <w:rsid w:val="00347C79"/>
    <w:rsid w:val="003502B5"/>
    <w:rsid w:val="003527CA"/>
    <w:rsid w:val="00352B22"/>
    <w:rsid w:val="003566C7"/>
    <w:rsid w:val="00360FC6"/>
    <w:rsid w:val="00361FC8"/>
    <w:rsid w:val="003620D1"/>
    <w:rsid w:val="00363AF9"/>
    <w:rsid w:val="00364457"/>
    <w:rsid w:val="0036722A"/>
    <w:rsid w:val="00367A99"/>
    <w:rsid w:val="003703C4"/>
    <w:rsid w:val="003713F0"/>
    <w:rsid w:val="00371932"/>
    <w:rsid w:val="00372435"/>
    <w:rsid w:val="00372591"/>
    <w:rsid w:val="00372F6A"/>
    <w:rsid w:val="003759A4"/>
    <w:rsid w:val="00380C92"/>
    <w:rsid w:val="003825E1"/>
    <w:rsid w:val="003852FC"/>
    <w:rsid w:val="00385881"/>
    <w:rsid w:val="00391EB5"/>
    <w:rsid w:val="00393119"/>
    <w:rsid w:val="00393D03"/>
    <w:rsid w:val="0039473C"/>
    <w:rsid w:val="00395356"/>
    <w:rsid w:val="003960FC"/>
    <w:rsid w:val="0039643E"/>
    <w:rsid w:val="003A1831"/>
    <w:rsid w:val="003A1E34"/>
    <w:rsid w:val="003A3B77"/>
    <w:rsid w:val="003A4F81"/>
    <w:rsid w:val="003A58B7"/>
    <w:rsid w:val="003B118F"/>
    <w:rsid w:val="003B24F1"/>
    <w:rsid w:val="003B27CA"/>
    <w:rsid w:val="003B2DA8"/>
    <w:rsid w:val="003B415D"/>
    <w:rsid w:val="003B5504"/>
    <w:rsid w:val="003B5CF7"/>
    <w:rsid w:val="003C05E0"/>
    <w:rsid w:val="003C0F68"/>
    <w:rsid w:val="003C2BB3"/>
    <w:rsid w:val="003C36F1"/>
    <w:rsid w:val="003C5FD4"/>
    <w:rsid w:val="003C65F7"/>
    <w:rsid w:val="003C674F"/>
    <w:rsid w:val="003C74F0"/>
    <w:rsid w:val="003D01FC"/>
    <w:rsid w:val="003D050D"/>
    <w:rsid w:val="003D0971"/>
    <w:rsid w:val="003D0EBF"/>
    <w:rsid w:val="003D3CA6"/>
    <w:rsid w:val="003D48BB"/>
    <w:rsid w:val="003E1C0A"/>
    <w:rsid w:val="003E1FBB"/>
    <w:rsid w:val="003E3913"/>
    <w:rsid w:val="003E4FB1"/>
    <w:rsid w:val="003E6EA7"/>
    <w:rsid w:val="003E754E"/>
    <w:rsid w:val="003F1B79"/>
    <w:rsid w:val="003F23EC"/>
    <w:rsid w:val="003F3BBE"/>
    <w:rsid w:val="003F3D36"/>
    <w:rsid w:val="003F51F4"/>
    <w:rsid w:val="003F532E"/>
    <w:rsid w:val="003F7999"/>
    <w:rsid w:val="003F7B43"/>
    <w:rsid w:val="00400147"/>
    <w:rsid w:val="0040144E"/>
    <w:rsid w:val="0040235A"/>
    <w:rsid w:val="00402577"/>
    <w:rsid w:val="00411420"/>
    <w:rsid w:val="00411A48"/>
    <w:rsid w:val="0041272E"/>
    <w:rsid w:val="00414639"/>
    <w:rsid w:val="00414C77"/>
    <w:rsid w:val="00416445"/>
    <w:rsid w:val="00417009"/>
    <w:rsid w:val="004207E2"/>
    <w:rsid w:val="00421279"/>
    <w:rsid w:val="0042176B"/>
    <w:rsid w:val="00430889"/>
    <w:rsid w:val="004450DF"/>
    <w:rsid w:val="00447A25"/>
    <w:rsid w:val="00451D35"/>
    <w:rsid w:val="004540C5"/>
    <w:rsid w:val="00455BB8"/>
    <w:rsid w:val="004566B8"/>
    <w:rsid w:val="0046117F"/>
    <w:rsid w:val="0046720D"/>
    <w:rsid w:val="00470583"/>
    <w:rsid w:val="00470C9D"/>
    <w:rsid w:val="00471E17"/>
    <w:rsid w:val="00473B0F"/>
    <w:rsid w:val="00475166"/>
    <w:rsid w:val="00481112"/>
    <w:rsid w:val="00481B57"/>
    <w:rsid w:val="00482527"/>
    <w:rsid w:val="00484934"/>
    <w:rsid w:val="004859F8"/>
    <w:rsid w:val="004875C1"/>
    <w:rsid w:val="004914B1"/>
    <w:rsid w:val="004923A8"/>
    <w:rsid w:val="00496B86"/>
    <w:rsid w:val="004A006C"/>
    <w:rsid w:val="004A0219"/>
    <w:rsid w:val="004A091D"/>
    <w:rsid w:val="004A2760"/>
    <w:rsid w:val="004A3737"/>
    <w:rsid w:val="004B197D"/>
    <w:rsid w:val="004B31F7"/>
    <w:rsid w:val="004B43CB"/>
    <w:rsid w:val="004B4717"/>
    <w:rsid w:val="004B48CF"/>
    <w:rsid w:val="004B4FC9"/>
    <w:rsid w:val="004C06AC"/>
    <w:rsid w:val="004C360E"/>
    <w:rsid w:val="004C557F"/>
    <w:rsid w:val="004D377C"/>
    <w:rsid w:val="004D48F3"/>
    <w:rsid w:val="004D749A"/>
    <w:rsid w:val="004E4768"/>
    <w:rsid w:val="004E4BD6"/>
    <w:rsid w:val="004E4EC7"/>
    <w:rsid w:val="004E55BB"/>
    <w:rsid w:val="004E675C"/>
    <w:rsid w:val="004F29AA"/>
    <w:rsid w:val="004F402D"/>
    <w:rsid w:val="004F42D5"/>
    <w:rsid w:val="004F493E"/>
    <w:rsid w:val="004F58FA"/>
    <w:rsid w:val="004F7F36"/>
    <w:rsid w:val="00500743"/>
    <w:rsid w:val="005014D4"/>
    <w:rsid w:val="00502046"/>
    <w:rsid w:val="00503BB9"/>
    <w:rsid w:val="005071B0"/>
    <w:rsid w:val="00512567"/>
    <w:rsid w:val="0051420D"/>
    <w:rsid w:val="00515B69"/>
    <w:rsid w:val="00515DAA"/>
    <w:rsid w:val="00515F21"/>
    <w:rsid w:val="00516063"/>
    <w:rsid w:val="00516322"/>
    <w:rsid w:val="005171C5"/>
    <w:rsid w:val="00517C80"/>
    <w:rsid w:val="00521E38"/>
    <w:rsid w:val="005227F8"/>
    <w:rsid w:val="00524F42"/>
    <w:rsid w:val="00525C73"/>
    <w:rsid w:val="0052635A"/>
    <w:rsid w:val="005311C8"/>
    <w:rsid w:val="00531DFC"/>
    <w:rsid w:val="00532631"/>
    <w:rsid w:val="0053580E"/>
    <w:rsid w:val="005363CE"/>
    <w:rsid w:val="00536BB4"/>
    <w:rsid w:val="00540E43"/>
    <w:rsid w:val="0054286A"/>
    <w:rsid w:val="00543F15"/>
    <w:rsid w:val="00545683"/>
    <w:rsid w:val="00546B41"/>
    <w:rsid w:val="0054734B"/>
    <w:rsid w:val="00552023"/>
    <w:rsid w:val="0055289E"/>
    <w:rsid w:val="00552C9D"/>
    <w:rsid w:val="00554C31"/>
    <w:rsid w:val="00556416"/>
    <w:rsid w:val="00562D79"/>
    <w:rsid w:val="00563520"/>
    <w:rsid w:val="00564761"/>
    <w:rsid w:val="00567AA6"/>
    <w:rsid w:val="0057129C"/>
    <w:rsid w:val="00577167"/>
    <w:rsid w:val="0057781F"/>
    <w:rsid w:val="00580BEF"/>
    <w:rsid w:val="0058269A"/>
    <w:rsid w:val="00582E83"/>
    <w:rsid w:val="00583265"/>
    <w:rsid w:val="00584442"/>
    <w:rsid w:val="00585557"/>
    <w:rsid w:val="005876CB"/>
    <w:rsid w:val="00596300"/>
    <w:rsid w:val="00596E1F"/>
    <w:rsid w:val="005A19EC"/>
    <w:rsid w:val="005A2F78"/>
    <w:rsid w:val="005A4F3F"/>
    <w:rsid w:val="005A665E"/>
    <w:rsid w:val="005B514C"/>
    <w:rsid w:val="005B734E"/>
    <w:rsid w:val="005C13AE"/>
    <w:rsid w:val="005C221D"/>
    <w:rsid w:val="005C243F"/>
    <w:rsid w:val="005C3BCC"/>
    <w:rsid w:val="005C5B91"/>
    <w:rsid w:val="005D06F0"/>
    <w:rsid w:val="005D0A66"/>
    <w:rsid w:val="005D3D2E"/>
    <w:rsid w:val="005D58B6"/>
    <w:rsid w:val="005D5DDD"/>
    <w:rsid w:val="005D7DB6"/>
    <w:rsid w:val="005E1AEA"/>
    <w:rsid w:val="005E3342"/>
    <w:rsid w:val="005E4481"/>
    <w:rsid w:val="005E49F1"/>
    <w:rsid w:val="005E6DDC"/>
    <w:rsid w:val="005E717E"/>
    <w:rsid w:val="005F24B2"/>
    <w:rsid w:val="005F4DAC"/>
    <w:rsid w:val="005F50CC"/>
    <w:rsid w:val="005F5D80"/>
    <w:rsid w:val="00602376"/>
    <w:rsid w:val="00604517"/>
    <w:rsid w:val="00604C3D"/>
    <w:rsid w:val="00607A7C"/>
    <w:rsid w:val="00610598"/>
    <w:rsid w:val="00610C60"/>
    <w:rsid w:val="006114AD"/>
    <w:rsid w:val="00612D3A"/>
    <w:rsid w:val="00613638"/>
    <w:rsid w:val="0061459D"/>
    <w:rsid w:val="00615103"/>
    <w:rsid w:val="00615CB0"/>
    <w:rsid w:val="00615FD7"/>
    <w:rsid w:val="0062086B"/>
    <w:rsid w:val="006222C5"/>
    <w:rsid w:val="006316B2"/>
    <w:rsid w:val="00634D77"/>
    <w:rsid w:val="00634FED"/>
    <w:rsid w:val="0063504D"/>
    <w:rsid w:val="00636D3F"/>
    <w:rsid w:val="00642F28"/>
    <w:rsid w:val="006469C0"/>
    <w:rsid w:val="00647CD5"/>
    <w:rsid w:val="00656A05"/>
    <w:rsid w:val="00657071"/>
    <w:rsid w:val="00662CC7"/>
    <w:rsid w:val="00663884"/>
    <w:rsid w:val="00664620"/>
    <w:rsid w:val="006663E2"/>
    <w:rsid w:val="00666F04"/>
    <w:rsid w:val="00667083"/>
    <w:rsid w:val="00671D41"/>
    <w:rsid w:val="006741DC"/>
    <w:rsid w:val="0067740C"/>
    <w:rsid w:val="00677C04"/>
    <w:rsid w:val="00683A98"/>
    <w:rsid w:val="00684033"/>
    <w:rsid w:val="006845C5"/>
    <w:rsid w:val="00687CBE"/>
    <w:rsid w:val="00690C6C"/>
    <w:rsid w:val="00690D59"/>
    <w:rsid w:val="00691023"/>
    <w:rsid w:val="006A1DBB"/>
    <w:rsid w:val="006A3961"/>
    <w:rsid w:val="006A6C58"/>
    <w:rsid w:val="006A6D73"/>
    <w:rsid w:val="006B228D"/>
    <w:rsid w:val="006B2639"/>
    <w:rsid w:val="006B3D07"/>
    <w:rsid w:val="006B5333"/>
    <w:rsid w:val="006B6C7A"/>
    <w:rsid w:val="006C2556"/>
    <w:rsid w:val="006C44D8"/>
    <w:rsid w:val="006C4555"/>
    <w:rsid w:val="006C48A4"/>
    <w:rsid w:val="006C496D"/>
    <w:rsid w:val="006C59C8"/>
    <w:rsid w:val="006C6B57"/>
    <w:rsid w:val="006C6ED0"/>
    <w:rsid w:val="006D5D4E"/>
    <w:rsid w:val="006D7C90"/>
    <w:rsid w:val="006E0F6B"/>
    <w:rsid w:val="006E12C3"/>
    <w:rsid w:val="006E162B"/>
    <w:rsid w:val="006E2F4E"/>
    <w:rsid w:val="006E3B85"/>
    <w:rsid w:val="006E4CD9"/>
    <w:rsid w:val="006E6197"/>
    <w:rsid w:val="006E63D7"/>
    <w:rsid w:val="006E6A59"/>
    <w:rsid w:val="006E70FB"/>
    <w:rsid w:val="006E74CF"/>
    <w:rsid w:val="006F1E49"/>
    <w:rsid w:val="006F2267"/>
    <w:rsid w:val="006F22A1"/>
    <w:rsid w:val="006F3675"/>
    <w:rsid w:val="006F7C37"/>
    <w:rsid w:val="00704FFF"/>
    <w:rsid w:val="0070580A"/>
    <w:rsid w:val="007125AB"/>
    <w:rsid w:val="00713058"/>
    <w:rsid w:val="00713F6B"/>
    <w:rsid w:val="00714972"/>
    <w:rsid w:val="007174F6"/>
    <w:rsid w:val="00717F79"/>
    <w:rsid w:val="007244F2"/>
    <w:rsid w:val="00730DAA"/>
    <w:rsid w:val="00731E55"/>
    <w:rsid w:val="00734AF4"/>
    <w:rsid w:val="007379F1"/>
    <w:rsid w:val="00737E47"/>
    <w:rsid w:val="007409A2"/>
    <w:rsid w:val="00741A42"/>
    <w:rsid w:val="007422FC"/>
    <w:rsid w:val="007436CD"/>
    <w:rsid w:val="007444A4"/>
    <w:rsid w:val="007459E7"/>
    <w:rsid w:val="0075283D"/>
    <w:rsid w:val="007538DA"/>
    <w:rsid w:val="0075560C"/>
    <w:rsid w:val="00756D3D"/>
    <w:rsid w:val="00756E5C"/>
    <w:rsid w:val="007570BF"/>
    <w:rsid w:val="00757678"/>
    <w:rsid w:val="00757A17"/>
    <w:rsid w:val="00760EB1"/>
    <w:rsid w:val="007613E5"/>
    <w:rsid w:val="007617F5"/>
    <w:rsid w:val="00764B8C"/>
    <w:rsid w:val="007706B1"/>
    <w:rsid w:val="00770A84"/>
    <w:rsid w:val="00771C5B"/>
    <w:rsid w:val="007742B6"/>
    <w:rsid w:val="00774B18"/>
    <w:rsid w:val="007803EE"/>
    <w:rsid w:val="007831A1"/>
    <w:rsid w:val="007836AF"/>
    <w:rsid w:val="00784D35"/>
    <w:rsid w:val="00786759"/>
    <w:rsid w:val="007870AB"/>
    <w:rsid w:val="00787DB6"/>
    <w:rsid w:val="00794D29"/>
    <w:rsid w:val="00796548"/>
    <w:rsid w:val="0079690E"/>
    <w:rsid w:val="007979E1"/>
    <w:rsid w:val="007A01B7"/>
    <w:rsid w:val="007A4F51"/>
    <w:rsid w:val="007A5FB8"/>
    <w:rsid w:val="007B25ED"/>
    <w:rsid w:val="007B2891"/>
    <w:rsid w:val="007B44E3"/>
    <w:rsid w:val="007B5092"/>
    <w:rsid w:val="007B689F"/>
    <w:rsid w:val="007C4B67"/>
    <w:rsid w:val="007C7B21"/>
    <w:rsid w:val="007D057B"/>
    <w:rsid w:val="007D220D"/>
    <w:rsid w:val="007D29A5"/>
    <w:rsid w:val="007D2BD4"/>
    <w:rsid w:val="007D3547"/>
    <w:rsid w:val="007D4DBD"/>
    <w:rsid w:val="007D52BD"/>
    <w:rsid w:val="007D596F"/>
    <w:rsid w:val="007E12BB"/>
    <w:rsid w:val="007E284F"/>
    <w:rsid w:val="007E3D7C"/>
    <w:rsid w:val="007E6345"/>
    <w:rsid w:val="007F1132"/>
    <w:rsid w:val="007F1A71"/>
    <w:rsid w:val="007F1D88"/>
    <w:rsid w:val="007F34DC"/>
    <w:rsid w:val="007F3722"/>
    <w:rsid w:val="007F3F0C"/>
    <w:rsid w:val="007F4929"/>
    <w:rsid w:val="007F4DCB"/>
    <w:rsid w:val="007F5376"/>
    <w:rsid w:val="007F63AE"/>
    <w:rsid w:val="007F689B"/>
    <w:rsid w:val="007F7BEC"/>
    <w:rsid w:val="00800E73"/>
    <w:rsid w:val="0080625B"/>
    <w:rsid w:val="00806B57"/>
    <w:rsid w:val="00806E89"/>
    <w:rsid w:val="008076FE"/>
    <w:rsid w:val="00812080"/>
    <w:rsid w:val="0081343E"/>
    <w:rsid w:val="00817FA1"/>
    <w:rsid w:val="0082059D"/>
    <w:rsid w:val="00826229"/>
    <w:rsid w:val="00827559"/>
    <w:rsid w:val="00827D19"/>
    <w:rsid w:val="00827DC2"/>
    <w:rsid w:val="00833A69"/>
    <w:rsid w:val="00835681"/>
    <w:rsid w:val="0083721C"/>
    <w:rsid w:val="0084023A"/>
    <w:rsid w:val="00845BCC"/>
    <w:rsid w:val="00847017"/>
    <w:rsid w:val="00847081"/>
    <w:rsid w:val="008528F9"/>
    <w:rsid w:val="00852F1D"/>
    <w:rsid w:val="00853464"/>
    <w:rsid w:val="0085788F"/>
    <w:rsid w:val="008607AE"/>
    <w:rsid w:val="00861A4B"/>
    <w:rsid w:val="00862434"/>
    <w:rsid w:val="00863BD3"/>
    <w:rsid w:val="008642F4"/>
    <w:rsid w:val="0086509D"/>
    <w:rsid w:val="00865D93"/>
    <w:rsid w:val="008664A6"/>
    <w:rsid w:val="00866E69"/>
    <w:rsid w:val="00867F04"/>
    <w:rsid w:val="00870117"/>
    <w:rsid w:val="00872148"/>
    <w:rsid w:val="0087287D"/>
    <w:rsid w:val="008755B1"/>
    <w:rsid w:val="008759BC"/>
    <w:rsid w:val="008807F4"/>
    <w:rsid w:val="008816F0"/>
    <w:rsid w:val="00882619"/>
    <w:rsid w:val="0088775C"/>
    <w:rsid w:val="00887EF6"/>
    <w:rsid w:val="00890612"/>
    <w:rsid w:val="00892A95"/>
    <w:rsid w:val="0089407F"/>
    <w:rsid w:val="008975AE"/>
    <w:rsid w:val="0089788A"/>
    <w:rsid w:val="008A3760"/>
    <w:rsid w:val="008A6216"/>
    <w:rsid w:val="008B025F"/>
    <w:rsid w:val="008B0F10"/>
    <w:rsid w:val="008B1AAD"/>
    <w:rsid w:val="008B248A"/>
    <w:rsid w:val="008B4BDC"/>
    <w:rsid w:val="008B4F03"/>
    <w:rsid w:val="008B5BBD"/>
    <w:rsid w:val="008C14E5"/>
    <w:rsid w:val="008C4A1A"/>
    <w:rsid w:val="008D1500"/>
    <w:rsid w:val="008D28E9"/>
    <w:rsid w:val="008D4DA8"/>
    <w:rsid w:val="008D5AD8"/>
    <w:rsid w:val="008D6728"/>
    <w:rsid w:val="008D7A70"/>
    <w:rsid w:val="008E24D4"/>
    <w:rsid w:val="008E51AE"/>
    <w:rsid w:val="008E6002"/>
    <w:rsid w:val="008E62BB"/>
    <w:rsid w:val="008E6C22"/>
    <w:rsid w:val="008E7EA8"/>
    <w:rsid w:val="008F0973"/>
    <w:rsid w:val="008F0FD2"/>
    <w:rsid w:val="008F1DF3"/>
    <w:rsid w:val="008F2530"/>
    <w:rsid w:val="008F3CAD"/>
    <w:rsid w:val="008F430F"/>
    <w:rsid w:val="008F72A7"/>
    <w:rsid w:val="00900208"/>
    <w:rsid w:val="0090266C"/>
    <w:rsid w:val="0090441D"/>
    <w:rsid w:val="0091072B"/>
    <w:rsid w:val="00912590"/>
    <w:rsid w:val="0091386C"/>
    <w:rsid w:val="00914AA1"/>
    <w:rsid w:val="00915CCF"/>
    <w:rsid w:val="00920082"/>
    <w:rsid w:val="00921927"/>
    <w:rsid w:val="009219D9"/>
    <w:rsid w:val="00922591"/>
    <w:rsid w:val="009237A7"/>
    <w:rsid w:val="00925701"/>
    <w:rsid w:val="00925C36"/>
    <w:rsid w:val="00925E4C"/>
    <w:rsid w:val="009306C3"/>
    <w:rsid w:val="00932A38"/>
    <w:rsid w:val="0093526E"/>
    <w:rsid w:val="00935526"/>
    <w:rsid w:val="0093712A"/>
    <w:rsid w:val="00942CAE"/>
    <w:rsid w:val="00947A1A"/>
    <w:rsid w:val="00951470"/>
    <w:rsid w:val="00953E28"/>
    <w:rsid w:val="0095672C"/>
    <w:rsid w:val="009600ED"/>
    <w:rsid w:val="00960C65"/>
    <w:rsid w:val="00961FE0"/>
    <w:rsid w:val="00963148"/>
    <w:rsid w:val="00970590"/>
    <w:rsid w:val="00972A60"/>
    <w:rsid w:val="009744F1"/>
    <w:rsid w:val="00975208"/>
    <w:rsid w:val="00977F33"/>
    <w:rsid w:val="00980B81"/>
    <w:rsid w:val="009853B9"/>
    <w:rsid w:val="00986C05"/>
    <w:rsid w:val="00987036"/>
    <w:rsid w:val="00990F07"/>
    <w:rsid w:val="00991E4B"/>
    <w:rsid w:val="009932AC"/>
    <w:rsid w:val="009960BB"/>
    <w:rsid w:val="00996458"/>
    <w:rsid w:val="00996D81"/>
    <w:rsid w:val="009A0796"/>
    <w:rsid w:val="009A1895"/>
    <w:rsid w:val="009A2235"/>
    <w:rsid w:val="009A720F"/>
    <w:rsid w:val="009A73BB"/>
    <w:rsid w:val="009A7F5F"/>
    <w:rsid w:val="009B13B8"/>
    <w:rsid w:val="009B250B"/>
    <w:rsid w:val="009B30C4"/>
    <w:rsid w:val="009B30EC"/>
    <w:rsid w:val="009B508F"/>
    <w:rsid w:val="009B6A49"/>
    <w:rsid w:val="009C017D"/>
    <w:rsid w:val="009C4479"/>
    <w:rsid w:val="009C6665"/>
    <w:rsid w:val="009C6C00"/>
    <w:rsid w:val="009C7251"/>
    <w:rsid w:val="009D0CCC"/>
    <w:rsid w:val="009D147E"/>
    <w:rsid w:val="009D4698"/>
    <w:rsid w:val="009D5F33"/>
    <w:rsid w:val="009D6289"/>
    <w:rsid w:val="009E055D"/>
    <w:rsid w:val="009E0986"/>
    <w:rsid w:val="009E1A58"/>
    <w:rsid w:val="009E29B6"/>
    <w:rsid w:val="009E2FA5"/>
    <w:rsid w:val="009E3354"/>
    <w:rsid w:val="009E35DF"/>
    <w:rsid w:val="009E6924"/>
    <w:rsid w:val="009F116B"/>
    <w:rsid w:val="009F1849"/>
    <w:rsid w:val="009F22DD"/>
    <w:rsid w:val="009F2DE1"/>
    <w:rsid w:val="009F4E06"/>
    <w:rsid w:val="009F56EC"/>
    <w:rsid w:val="009F65E8"/>
    <w:rsid w:val="009F7E00"/>
    <w:rsid w:val="00A002E6"/>
    <w:rsid w:val="00A0181C"/>
    <w:rsid w:val="00A02DF9"/>
    <w:rsid w:val="00A032F3"/>
    <w:rsid w:val="00A07A6C"/>
    <w:rsid w:val="00A10D3A"/>
    <w:rsid w:val="00A15002"/>
    <w:rsid w:val="00A1587F"/>
    <w:rsid w:val="00A16736"/>
    <w:rsid w:val="00A23467"/>
    <w:rsid w:val="00A2362B"/>
    <w:rsid w:val="00A23CCD"/>
    <w:rsid w:val="00A2568A"/>
    <w:rsid w:val="00A26F80"/>
    <w:rsid w:val="00A31BCC"/>
    <w:rsid w:val="00A31BF3"/>
    <w:rsid w:val="00A32C18"/>
    <w:rsid w:val="00A33E61"/>
    <w:rsid w:val="00A33F2D"/>
    <w:rsid w:val="00A34C51"/>
    <w:rsid w:val="00A42821"/>
    <w:rsid w:val="00A43C59"/>
    <w:rsid w:val="00A46ADD"/>
    <w:rsid w:val="00A472B6"/>
    <w:rsid w:val="00A5130F"/>
    <w:rsid w:val="00A51B2C"/>
    <w:rsid w:val="00A525EE"/>
    <w:rsid w:val="00A53C46"/>
    <w:rsid w:val="00A54B32"/>
    <w:rsid w:val="00A55E3F"/>
    <w:rsid w:val="00A57859"/>
    <w:rsid w:val="00A6187C"/>
    <w:rsid w:val="00A6349E"/>
    <w:rsid w:val="00A63935"/>
    <w:rsid w:val="00A6413C"/>
    <w:rsid w:val="00A64D8A"/>
    <w:rsid w:val="00A65263"/>
    <w:rsid w:val="00A67637"/>
    <w:rsid w:val="00A707E9"/>
    <w:rsid w:val="00A70A1D"/>
    <w:rsid w:val="00A70D0C"/>
    <w:rsid w:val="00A729A2"/>
    <w:rsid w:val="00A7385E"/>
    <w:rsid w:val="00A742E1"/>
    <w:rsid w:val="00A74EE1"/>
    <w:rsid w:val="00A778FB"/>
    <w:rsid w:val="00A77E82"/>
    <w:rsid w:val="00A81491"/>
    <w:rsid w:val="00A823A7"/>
    <w:rsid w:val="00A83D29"/>
    <w:rsid w:val="00A84E92"/>
    <w:rsid w:val="00A91992"/>
    <w:rsid w:val="00A923F9"/>
    <w:rsid w:val="00A93697"/>
    <w:rsid w:val="00A95CAF"/>
    <w:rsid w:val="00A96D7A"/>
    <w:rsid w:val="00A96E6A"/>
    <w:rsid w:val="00AA0E87"/>
    <w:rsid w:val="00AA1A19"/>
    <w:rsid w:val="00AA42E3"/>
    <w:rsid w:val="00AA4451"/>
    <w:rsid w:val="00AA4F5D"/>
    <w:rsid w:val="00AA574B"/>
    <w:rsid w:val="00AA6DB3"/>
    <w:rsid w:val="00AB12AB"/>
    <w:rsid w:val="00AB2548"/>
    <w:rsid w:val="00AB421C"/>
    <w:rsid w:val="00AB4F45"/>
    <w:rsid w:val="00AB550A"/>
    <w:rsid w:val="00AB5F60"/>
    <w:rsid w:val="00AC0FDC"/>
    <w:rsid w:val="00AC24BB"/>
    <w:rsid w:val="00AC3AC8"/>
    <w:rsid w:val="00AC50CF"/>
    <w:rsid w:val="00AC6DF7"/>
    <w:rsid w:val="00AD1E94"/>
    <w:rsid w:val="00AD2742"/>
    <w:rsid w:val="00AD3E68"/>
    <w:rsid w:val="00AD64E2"/>
    <w:rsid w:val="00AD669A"/>
    <w:rsid w:val="00AE0CC0"/>
    <w:rsid w:val="00AE105E"/>
    <w:rsid w:val="00AE1FF6"/>
    <w:rsid w:val="00AE31E3"/>
    <w:rsid w:val="00AE3615"/>
    <w:rsid w:val="00AE3ADB"/>
    <w:rsid w:val="00AE5277"/>
    <w:rsid w:val="00AE6192"/>
    <w:rsid w:val="00AE760B"/>
    <w:rsid w:val="00AF0709"/>
    <w:rsid w:val="00AF2ABA"/>
    <w:rsid w:val="00AF2B6A"/>
    <w:rsid w:val="00AF3D71"/>
    <w:rsid w:val="00AF4514"/>
    <w:rsid w:val="00AF7107"/>
    <w:rsid w:val="00B00582"/>
    <w:rsid w:val="00B04062"/>
    <w:rsid w:val="00B043A7"/>
    <w:rsid w:val="00B044EF"/>
    <w:rsid w:val="00B057C6"/>
    <w:rsid w:val="00B106C2"/>
    <w:rsid w:val="00B11085"/>
    <w:rsid w:val="00B13601"/>
    <w:rsid w:val="00B14C92"/>
    <w:rsid w:val="00B15164"/>
    <w:rsid w:val="00B154BC"/>
    <w:rsid w:val="00B207EA"/>
    <w:rsid w:val="00B214EF"/>
    <w:rsid w:val="00B219DB"/>
    <w:rsid w:val="00B21EBB"/>
    <w:rsid w:val="00B23A25"/>
    <w:rsid w:val="00B26B4B"/>
    <w:rsid w:val="00B27D9B"/>
    <w:rsid w:val="00B27EF1"/>
    <w:rsid w:val="00B3316B"/>
    <w:rsid w:val="00B33A3B"/>
    <w:rsid w:val="00B34E45"/>
    <w:rsid w:val="00B373D1"/>
    <w:rsid w:val="00B404BA"/>
    <w:rsid w:val="00B42798"/>
    <w:rsid w:val="00B43317"/>
    <w:rsid w:val="00B433C7"/>
    <w:rsid w:val="00B4761E"/>
    <w:rsid w:val="00B516F7"/>
    <w:rsid w:val="00B52D4E"/>
    <w:rsid w:val="00B53B52"/>
    <w:rsid w:val="00B548EE"/>
    <w:rsid w:val="00B549A8"/>
    <w:rsid w:val="00B5555C"/>
    <w:rsid w:val="00B564EC"/>
    <w:rsid w:val="00B57B6F"/>
    <w:rsid w:val="00B6109B"/>
    <w:rsid w:val="00B625FD"/>
    <w:rsid w:val="00B63038"/>
    <w:rsid w:val="00B6396B"/>
    <w:rsid w:val="00B645DC"/>
    <w:rsid w:val="00B6494D"/>
    <w:rsid w:val="00B65E5D"/>
    <w:rsid w:val="00B65E87"/>
    <w:rsid w:val="00B66158"/>
    <w:rsid w:val="00B7162F"/>
    <w:rsid w:val="00B72339"/>
    <w:rsid w:val="00B72BFD"/>
    <w:rsid w:val="00B748FA"/>
    <w:rsid w:val="00B75BB6"/>
    <w:rsid w:val="00B778A9"/>
    <w:rsid w:val="00B77A51"/>
    <w:rsid w:val="00B80AFB"/>
    <w:rsid w:val="00B83235"/>
    <w:rsid w:val="00B854DC"/>
    <w:rsid w:val="00B92905"/>
    <w:rsid w:val="00B93D9B"/>
    <w:rsid w:val="00B95670"/>
    <w:rsid w:val="00B96C12"/>
    <w:rsid w:val="00B974BC"/>
    <w:rsid w:val="00B979B9"/>
    <w:rsid w:val="00BA0B99"/>
    <w:rsid w:val="00BA0FDA"/>
    <w:rsid w:val="00BA49EB"/>
    <w:rsid w:val="00BA54F6"/>
    <w:rsid w:val="00BB09DF"/>
    <w:rsid w:val="00BB164C"/>
    <w:rsid w:val="00BB1764"/>
    <w:rsid w:val="00BB1C0B"/>
    <w:rsid w:val="00BB67B7"/>
    <w:rsid w:val="00BC0828"/>
    <w:rsid w:val="00BC17EC"/>
    <w:rsid w:val="00BC3192"/>
    <w:rsid w:val="00BC766D"/>
    <w:rsid w:val="00BD0211"/>
    <w:rsid w:val="00BD1685"/>
    <w:rsid w:val="00BD44C4"/>
    <w:rsid w:val="00BD51EC"/>
    <w:rsid w:val="00BD59F4"/>
    <w:rsid w:val="00BD761A"/>
    <w:rsid w:val="00BE183E"/>
    <w:rsid w:val="00BE38E3"/>
    <w:rsid w:val="00BE4A1F"/>
    <w:rsid w:val="00BE7529"/>
    <w:rsid w:val="00BF13BD"/>
    <w:rsid w:val="00BF574E"/>
    <w:rsid w:val="00BF618C"/>
    <w:rsid w:val="00BF6194"/>
    <w:rsid w:val="00BF6C41"/>
    <w:rsid w:val="00C01662"/>
    <w:rsid w:val="00C02558"/>
    <w:rsid w:val="00C05506"/>
    <w:rsid w:val="00C05725"/>
    <w:rsid w:val="00C07266"/>
    <w:rsid w:val="00C104E9"/>
    <w:rsid w:val="00C110EC"/>
    <w:rsid w:val="00C11F64"/>
    <w:rsid w:val="00C15584"/>
    <w:rsid w:val="00C16016"/>
    <w:rsid w:val="00C171E2"/>
    <w:rsid w:val="00C240B6"/>
    <w:rsid w:val="00C255BB"/>
    <w:rsid w:val="00C255EE"/>
    <w:rsid w:val="00C2603C"/>
    <w:rsid w:val="00C26DB5"/>
    <w:rsid w:val="00C272B8"/>
    <w:rsid w:val="00C33D5B"/>
    <w:rsid w:val="00C34ED4"/>
    <w:rsid w:val="00C4082C"/>
    <w:rsid w:val="00C40AEA"/>
    <w:rsid w:val="00C418B3"/>
    <w:rsid w:val="00C44972"/>
    <w:rsid w:val="00C44B53"/>
    <w:rsid w:val="00C45808"/>
    <w:rsid w:val="00C521A4"/>
    <w:rsid w:val="00C526C7"/>
    <w:rsid w:val="00C53E37"/>
    <w:rsid w:val="00C55248"/>
    <w:rsid w:val="00C56105"/>
    <w:rsid w:val="00C56863"/>
    <w:rsid w:val="00C6008A"/>
    <w:rsid w:val="00C6385F"/>
    <w:rsid w:val="00C648DC"/>
    <w:rsid w:val="00C64E31"/>
    <w:rsid w:val="00C6518C"/>
    <w:rsid w:val="00C65546"/>
    <w:rsid w:val="00C66F4A"/>
    <w:rsid w:val="00C67DA1"/>
    <w:rsid w:val="00C711F1"/>
    <w:rsid w:val="00C7130E"/>
    <w:rsid w:val="00C727D7"/>
    <w:rsid w:val="00C73C05"/>
    <w:rsid w:val="00C73C2B"/>
    <w:rsid w:val="00C750E2"/>
    <w:rsid w:val="00C75C6D"/>
    <w:rsid w:val="00C75F11"/>
    <w:rsid w:val="00C75F72"/>
    <w:rsid w:val="00C76512"/>
    <w:rsid w:val="00C77FDE"/>
    <w:rsid w:val="00C82D9B"/>
    <w:rsid w:val="00C83BD1"/>
    <w:rsid w:val="00C85F56"/>
    <w:rsid w:val="00C911AA"/>
    <w:rsid w:val="00C92461"/>
    <w:rsid w:val="00C93A82"/>
    <w:rsid w:val="00C957BC"/>
    <w:rsid w:val="00C976B8"/>
    <w:rsid w:val="00CA0358"/>
    <w:rsid w:val="00CA3254"/>
    <w:rsid w:val="00CA50ED"/>
    <w:rsid w:val="00CA7074"/>
    <w:rsid w:val="00CA7F15"/>
    <w:rsid w:val="00CB2799"/>
    <w:rsid w:val="00CB64C4"/>
    <w:rsid w:val="00CB696C"/>
    <w:rsid w:val="00CC00C6"/>
    <w:rsid w:val="00CC051B"/>
    <w:rsid w:val="00CC07B5"/>
    <w:rsid w:val="00CC0C62"/>
    <w:rsid w:val="00CC1577"/>
    <w:rsid w:val="00CC189E"/>
    <w:rsid w:val="00CC238A"/>
    <w:rsid w:val="00CC26E5"/>
    <w:rsid w:val="00CC3545"/>
    <w:rsid w:val="00CC52F8"/>
    <w:rsid w:val="00CC5D18"/>
    <w:rsid w:val="00CC7984"/>
    <w:rsid w:val="00CD2120"/>
    <w:rsid w:val="00CD577A"/>
    <w:rsid w:val="00CE1192"/>
    <w:rsid w:val="00CE1271"/>
    <w:rsid w:val="00CE1DEB"/>
    <w:rsid w:val="00CE2968"/>
    <w:rsid w:val="00CE3225"/>
    <w:rsid w:val="00CE6A43"/>
    <w:rsid w:val="00CF1BCF"/>
    <w:rsid w:val="00D04E1D"/>
    <w:rsid w:val="00D064C5"/>
    <w:rsid w:val="00D0664A"/>
    <w:rsid w:val="00D06EB9"/>
    <w:rsid w:val="00D07D78"/>
    <w:rsid w:val="00D07DE7"/>
    <w:rsid w:val="00D112B0"/>
    <w:rsid w:val="00D14310"/>
    <w:rsid w:val="00D152AD"/>
    <w:rsid w:val="00D15AA8"/>
    <w:rsid w:val="00D163D3"/>
    <w:rsid w:val="00D20886"/>
    <w:rsid w:val="00D22071"/>
    <w:rsid w:val="00D225DE"/>
    <w:rsid w:val="00D2669B"/>
    <w:rsid w:val="00D27893"/>
    <w:rsid w:val="00D312C0"/>
    <w:rsid w:val="00D33B61"/>
    <w:rsid w:val="00D34045"/>
    <w:rsid w:val="00D3586D"/>
    <w:rsid w:val="00D43076"/>
    <w:rsid w:val="00D454BC"/>
    <w:rsid w:val="00D469F5"/>
    <w:rsid w:val="00D46DCA"/>
    <w:rsid w:val="00D47708"/>
    <w:rsid w:val="00D505F4"/>
    <w:rsid w:val="00D52820"/>
    <w:rsid w:val="00D5377D"/>
    <w:rsid w:val="00D55BB0"/>
    <w:rsid w:val="00D60DB6"/>
    <w:rsid w:val="00D61F12"/>
    <w:rsid w:val="00D6795B"/>
    <w:rsid w:val="00D8171F"/>
    <w:rsid w:val="00D82503"/>
    <w:rsid w:val="00D82638"/>
    <w:rsid w:val="00D834E4"/>
    <w:rsid w:val="00D85A93"/>
    <w:rsid w:val="00D877FD"/>
    <w:rsid w:val="00D87CB0"/>
    <w:rsid w:val="00D87DC6"/>
    <w:rsid w:val="00D910B9"/>
    <w:rsid w:val="00D935C5"/>
    <w:rsid w:val="00D9400B"/>
    <w:rsid w:val="00D96F3F"/>
    <w:rsid w:val="00D97C23"/>
    <w:rsid w:val="00DA1559"/>
    <w:rsid w:val="00DA15CD"/>
    <w:rsid w:val="00DA26ED"/>
    <w:rsid w:val="00DA4C55"/>
    <w:rsid w:val="00DA4E39"/>
    <w:rsid w:val="00DA53B6"/>
    <w:rsid w:val="00DA65A6"/>
    <w:rsid w:val="00DA6CB0"/>
    <w:rsid w:val="00DB044A"/>
    <w:rsid w:val="00DB262C"/>
    <w:rsid w:val="00DB3AEB"/>
    <w:rsid w:val="00DB3B42"/>
    <w:rsid w:val="00DB4D88"/>
    <w:rsid w:val="00DB4E9F"/>
    <w:rsid w:val="00DC1751"/>
    <w:rsid w:val="00DC1BBD"/>
    <w:rsid w:val="00DC3A4F"/>
    <w:rsid w:val="00DC3D38"/>
    <w:rsid w:val="00DC56F5"/>
    <w:rsid w:val="00DC6601"/>
    <w:rsid w:val="00DC7DD4"/>
    <w:rsid w:val="00DD1DEA"/>
    <w:rsid w:val="00DD5382"/>
    <w:rsid w:val="00DD53F2"/>
    <w:rsid w:val="00DE5503"/>
    <w:rsid w:val="00DE57A6"/>
    <w:rsid w:val="00DF13C5"/>
    <w:rsid w:val="00DF157A"/>
    <w:rsid w:val="00DF230A"/>
    <w:rsid w:val="00DF55BD"/>
    <w:rsid w:val="00DF65EA"/>
    <w:rsid w:val="00DF69D9"/>
    <w:rsid w:val="00E040C1"/>
    <w:rsid w:val="00E050E6"/>
    <w:rsid w:val="00E070CA"/>
    <w:rsid w:val="00E10524"/>
    <w:rsid w:val="00E10ABA"/>
    <w:rsid w:val="00E12AEE"/>
    <w:rsid w:val="00E1480D"/>
    <w:rsid w:val="00E160CD"/>
    <w:rsid w:val="00E20A93"/>
    <w:rsid w:val="00E20EF1"/>
    <w:rsid w:val="00E22440"/>
    <w:rsid w:val="00E22F31"/>
    <w:rsid w:val="00E26DE9"/>
    <w:rsid w:val="00E27DC5"/>
    <w:rsid w:val="00E305E1"/>
    <w:rsid w:val="00E314FA"/>
    <w:rsid w:val="00E360B3"/>
    <w:rsid w:val="00E370C1"/>
    <w:rsid w:val="00E40C0E"/>
    <w:rsid w:val="00E4105A"/>
    <w:rsid w:val="00E41A01"/>
    <w:rsid w:val="00E52FCF"/>
    <w:rsid w:val="00E5337C"/>
    <w:rsid w:val="00E56113"/>
    <w:rsid w:val="00E57380"/>
    <w:rsid w:val="00E60BF6"/>
    <w:rsid w:val="00E6397E"/>
    <w:rsid w:val="00E709A7"/>
    <w:rsid w:val="00E7291C"/>
    <w:rsid w:val="00E730F1"/>
    <w:rsid w:val="00E73E28"/>
    <w:rsid w:val="00E76E5B"/>
    <w:rsid w:val="00E81A0C"/>
    <w:rsid w:val="00E83490"/>
    <w:rsid w:val="00E918B1"/>
    <w:rsid w:val="00E95123"/>
    <w:rsid w:val="00E95FB0"/>
    <w:rsid w:val="00EA17C0"/>
    <w:rsid w:val="00EA3F2A"/>
    <w:rsid w:val="00EA5E9A"/>
    <w:rsid w:val="00EA7D70"/>
    <w:rsid w:val="00EB0B74"/>
    <w:rsid w:val="00EB1C74"/>
    <w:rsid w:val="00EB1CDF"/>
    <w:rsid w:val="00EB7462"/>
    <w:rsid w:val="00EB7D6D"/>
    <w:rsid w:val="00EC444A"/>
    <w:rsid w:val="00EC4C3E"/>
    <w:rsid w:val="00EC5ECA"/>
    <w:rsid w:val="00ED15FF"/>
    <w:rsid w:val="00ED23D0"/>
    <w:rsid w:val="00EE3310"/>
    <w:rsid w:val="00EF0661"/>
    <w:rsid w:val="00EF69F9"/>
    <w:rsid w:val="00F000BD"/>
    <w:rsid w:val="00F02272"/>
    <w:rsid w:val="00F02FA6"/>
    <w:rsid w:val="00F0410E"/>
    <w:rsid w:val="00F04AFF"/>
    <w:rsid w:val="00F0756D"/>
    <w:rsid w:val="00F076DD"/>
    <w:rsid w:val="00F07B3B"/>
    <w:rsid w:val="00F11805"/>
    <w:rsid w:val="00F13CE2"/>
    <w:rsid w:val="00F13FAF"/>
    <w:rsid w:val="00F14C9E"/>
    <w:rsid w:val="00F16BB4"/>
    <w:rsid w:val="00F21489"/>
    <w:rsid w:val="00F21A5E"/>
    <w:rsid w:val="00F21D9E"/>
    <w:rsid w:val="00F2268B"/>
    <w:rsid w:val="00F2374C"/>
    <w:rsid w:val="00F2478B"/>
    <w:rsid w:val="00F27AC0"/>
    <w:rsid w:val="00F32F16"/>
    <w:rsid w:val="00F35D9E"/>
    <w:rsid w:val="00F35F42"/>
    <w:rsid w:val="00F4196E"/>
    <w:rsid w:val="00F44535"/>
    <w:rsid w:val="00F4468D"/>
    <w:rsid w:val="00F45673"/>
    <w:rsid w:val="00F47CBA"/>
    <w:rsid w:val="00F50C5A"/>
    <w:rsid w:val="00F51C68"/>
    <w:rsid w:val="00F53C06"/>
    <w:rsid w:val="00F54E0C"/>
    <w:rsid w:val="00F55DC8"/>
    <w:rsid w:val="00F56CBA"/>
    <w:rsid w:val="00F57380"/>
    <w:rsid w:val="00F619DC"/>
    <w:rsid w:val="00F61A56"/>
    <w:rsid w:val="00F6203A"/>
    <w:rsid w:val="00F63F49"/>
    <w:rsid w:val="00F64785"/>
    <w:rsid w:val="00F6540A"/>
    <w:rsid w:val="00F657D5"/>
    <w:rsid w:val="00F71ABA"/>
    <w:rsid w:val="00F735A1"/>
    <w:rsid w:val="00F73A66"/>
    <w:rsid w:val="00F75140"/>
    <w:rsid w:val="00F83512"/>
    <w:rsid w:val="00F84FA6"/>
    <w:rsid w:val="00F85666"/>
    <w:rsid w:val="00F86A74"/>
    <w:rsid w:val="00F9158B"/>
    <w:rsid w:val="00F95D5F"/>
    <w:rsid w:val="00F975FC"/>
    <w:rsid w:val="00FA0D54"/>
    <w:rsid w:val="00FA1040"/>
    <w:rsid w:val="00FA129A"/>
    <w:rsid w:val="00FA5EDC"/>
    <w:rsid w:val="00FA60F6"/>
    <w:rsid w:val="00FA7819"/>
    <w:rsid w:val="00FB096C"/>
    <w:rsid w:val="00FB25F2"/>
    <w:rsid w:val="00FB570F"/>
    <w:rsid w:val="00FB5B25"/>
    <w:rsid w:val="00FB6C08"/>
    <w:rsid w:val="00FC1DCB"/>
    <w:rsid w:val="00FC32DF"/>
    <w:rsid w:val="00FC4556"/>
    <w:rsid w:val="00FC5F72"/>
    <w:rsid w:val="00FC756F"/>
    <w:rsid w:val="00FC7D09"/>
    <w:rsid w:val="00FD102C"/>
    <w:rsid w:val="00FD3025"/>
    <w:rsid w:val="00FD4109"/>
    <w:rsid w:val="00FD4A49"/>
    <w:rsid w:val="00FD4EDD"/>
    <w:rsid w:val="00FD6A22"/>
    <w:rsid w:val="00FD6DA2"/>
    <w:rsid w:val="00FE29BC"/>
    <w:rsid w:val="00FE32D2"/>
    <w:rsid w:val="00FE3E25"/>
    <w:rsid w:val="00FE51E8"/>
    <w:rsid w:val="00FF275F"/>
    <w:rsid w:val="00FF2CF5"/>
    <w:rsid w:val="00FF3EBE"/>
    <w:rsid w:val="00FF53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D5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9BC"/>
    <w:rPr>
      <w:rFonts w:ascii="Times New Roman" w:eastAsia="Times New Roman" w:hAnsi="Times New Roman"/>
      <w:sz w:val="24"/>
      <w:szCs w:val="24"/>
      <w:lang w:val="en-US" w:eastAsia="en-US"/>
    </w:rPr>
  </w:style>
  <w:style w:type="paragraph" w:styleId="Ttulo1">
    <w:name w:val="heading 1"/>
    <w:basedOn w:val="Normal"/>
    <w:next w:val="Normal"/>
    <w:link w:val="Ttulo1Char"/>
    <w:uiPriority w:val="9"/>
    <w:qFormat/>
    <w:rsid w:val="00C713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A1E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0A1E09"/>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FD4109"/>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BF574E"/>
    <w:pPr>
      <w:spacing w:before="240" w:after="60"/>
      <w:ind w:left="5112" w:hanging="432"/>
      <w:outlineLvl w:val="4"/>
    </w:pPr>
    <w:rPr>
      <w:szCs w:val="20"/>
      <w:lang w:val="es-ES_tradnl"/>
    </w:rPr>
  </w:style>
  <w:style w:type="paragraph" w:styleId="Ttulo6">
    <w:name w:val="heading 6"/>
    <w:basedOn w:val="Normal"/>
    <w:next w:val="Normal"/>
    <w:link w:val="Ttulo6Char"/>
    <w:qFormat/>
    <w:rsid w:val="00BF574E"/>
    <w:pPr>
      <w:spacing w:before="240" w:after="60"/>
      <w:ind w:left="5256" w:hanging="432"/>
      <w:outlineLvl w:val="5"/>
    </w:pPr>
    <w:rPr>
      <w:i/>
      <w:szCs w:val="20"/>
      <w:lang w:val="es-ES_tradnl"/>
    </w:rPr>
  </w:style>
  <w:style w:type="paragraph" w:styleId="Ttulo7">
    <w:name w:val="heading 7"/>
    <w:basedOn w:val="Normal"/>
    <w:next w:val="Normal"/>
    <w:link w:val="Ttulo7Char"/>
    <w:qFormat/>
    <w:rsid w:val="00BF574E"/>
    <w:pPr>
      <w:spacing w:before="240" w:after="60"/>
      <w:ind w:left="5400" w:hanging="288"/>
      <w:outlineLvl w:val="6"/>
    </w:pPr>
    <w:rPr>
      <w:rFonts w:ascii="Arial" w:hAnsi="Arial"/>
      <w:szCs w:val="20"/>
      <w:lang w:val="es-ES_tradnl"/>
    </w:rPr>
  </w:style>
  <w:style w:type="paragraph" w:styleId="Ttulo8">
    <w:name w:val="heading 8"/>
    <w:basedOn w:val="Normal"/>
    <w:next w:val="Normal"/>
    <w:link w:val="Ttulo8Char"/>
    <w:qFormat/>
    <w:rsid w:val="00BF574E"/>
    <w:pPr>
      <w:spacing w:before="240" w:after="60"/>
      <w:ind w:left="5544" w:hanging="432"/>
      <w:outlineLvl w:val="7"/>
    </w:pPr>
    <w:rPr>
      <w:rFonts w:ascii="Arial" w:hAnsi="Arial"/>
      <w:i/>
      <w:szCs w:val="20"/>
      <w:lang w:val="es-ES_tradnl"/>
    </w:rPr>
  </w:style>
  <w:style w:type="paragraph" w:styleId="Ttulo9">
    <w:name w:val="heading 9"/>
    <w:basedOn w:val="Normal"/>
    <w:next w:val="Normal"/>
    <w:link w:val="Ttulo9Char"/>
    <w:qFormat/>
    <w:rsid w:val="000853E0"/>
    <w:pPr>
      <w:numPr>
        <w:ilvl w:val="8"/>
        <w:numId w:val="12"/>
      </w:numPr>
      <w:spacing w:before="240" w:after="60"/>
      <w:outlineLvl w:val="8"/>
    </w:pPr>
    <w:rPr>
      <w:rFonts w:ascii="Arial" w:hAnsi="Arial"/>
      <w:sz w:val="20"/>
      <w:szCs w:val="20"/>
      <w:lang w:eastAsia="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62434"/>
    <w:pPr>
      <w:ind w:left="720"/>
      <w:contextualSpacing/>
    </w:pPr>
  </w:style>
  <w:style w:type="paragraph" w:customStyle="1" w:styleId="Chapter">
    <w:name w:val="Chapter"/>
    <w:basedOn w:val="Normal"/>
    <w:next w:val="Normal"/>
    <w:link w:val="ChapterChar"/>
    <w:rsid w:val="008E7EA8"/>
    <w:pPr>
      <w:numPr>
        <w:numId w:val="1"/>
      </w:numPr>
      <w:tabs>
        <w:tab w:val="left" w:pos="1440"/>
      </w:tabs>
      <w:spacing w:after="240"/>
      <w:jc w:val="center"/>
    </w:pPr>
    <w:rPr>
      <w:b/>
      <w:smallCaps/>
      <w:szCs w:val="20"/>
    </w:rPr>
  </w:style>
  <w:style w:type="paragraph" w:customStyle="1" w:styleId="Paragraph">
    <w:name w:val="Paragraph"/>
    <w:aliases w:val="paragraph,p,PARAGRAPH,PG,pa,at"/>
    <w:basedOn w:val="Recuodecorpodetexto"/>
    <w:link w:val="ParagraphChar"/>
    <w:qFormat/>
    <w:rsid w:val="008E7EA8"/>
    <w:pPr>
      <w:numPr>
        <w:ilvl w:val="1"/>
        <w:numId w:val="1"/>
      </w:numPr>
      <w:spacing w:before="120"/>
      <w:jc w:val="both"/>
      <w:outlineLvl w:val="1"/>
    </w:pPr>
    <w:rPr>
      <w:szCs w:val="20"/>
    </w:rPr>
  </w:style>
  <w:style w:type="paragraph" w:customStyle="1" w:styleId="subpar">
    <w:name w:val="subpar"/>
    <w:basedOn w:val="Recuodecorpodetexto3"/>
    <w:uiPriority w:val="99"/>
    <w:rsid w:val="008E7EA8"/>
    <w:pPr>
      <w:numPr>
        <w:ilvl w:val="2"/>
        <w:numId w:val="1"/>
      </w:numPr>
    </w:pPr>
  </w:style>
  <w:style w:type="paragraph" w:customStyle="1" w:styleId="SubSubPar">
    <w:name w:val="SubSubPar"/>
    <w:basedOn w:val="subpar"/>
    <w:rsid w:val="008E7EA8"/>
    <w:pPr>
      <w:numPr>
        <w:ilvl w:val="3"/>
      </w:numPr>
      <w:tabs>
        <w:tab w:val="clear" w:pos="1584"/>
      </w:tabs>
      <w:ind w:left="360" w:firstLine="0"/>
    </w:pPr>
  </w:style>
  <w:style w:type="character" w:customStyle="1" w:styleId="ChapterChar">
    <w:name w:val="Chapter Char"/>
    <w:link w:val="Chapter"/>
    <w:locked/>
    <w:rsid w:val="008E7EA8"/>
    <w:rPr>
      <w:rFonts w:ascii="Times New Roman" w:eastAsia="Times New Roman" w:hAnsi="Times New Roman"/>
      <w:b/>
      <w:smallCaps/>
      <w:sz w:val="24"/>
      <w:lang w:val="en-US" w:eastAsia="en-US"/>
    </w:rPr>
  </w:style>
  <w:style w:type="paragraph" w:styleId="Recuodecorpodetexto">
    <w:name w:val="Body Text Indent"/>
    <w:basedOn w:val="Normal"/>
    <w:link w:val="RecuodecorpodetextoChar"/>
    <w:uiPriority w:val="99"/>
    <w:semiHidden/>
    <w:unhideWhenUsed/>
    <w:rsid w:val="008E7EA8"/>
    <w:pPr>
      <w:spacing w:after="120"/>
      <w:ind w:left="360"/>
    </w:pPr>
  </w:style>
  <w:style w:type="character" w:customStyle="1" w:styleId="RecuodecorpodetextoChar">
    <w:name w:val="Recuo de corpo de texto Char"/>
    <w:basedOn w:val="Fontepargpadro"/>
    <w:link w:val="Recuodecorpodetexto"/>
    <w:uiPriority w:val="99"/>
    <w:semiHidden/>
    <w:rsid w:val="008E7EA8"/>
  </w:style>
  <w:style w:type="paragraph" w:styleId="Recuodecorpodetexto3">
    <w:name w:val="Body Text Indent 3"/>
    <w:basedOn w:val="Normal"/>
    <w:link w:val="Recuodecorpodetexto3Char"/>
    <w:uiPriority w:val="99"/>
    <w:semiHidden/>
    <w:unhideWhenUsed/>
    <w:rsid w:val="008E7EA8"/>
    <w:pPr>
      <w:spacing w:after="120"/>
      <w:ind w:left="360"/>
    </w:pPr>
    <w:rPr>
      <w:sz w:val="16"/>
      <w:szCs w:val="16"/>
    </w:rPr>
  </w:style>
  <w:style w:type="character" w:customStyle="1" w:styleId="Recuodecorpodetexto3Char">
    <w:name w:val="Recuo de corpo de texto 3 Char"/>
    <w:link w:val="Recuodecorpodetexto3"/>
    <w:uiPriority w:val="99"/>
    <w:semiHidden/>
    <w:rsid w:val="008E7EA8"/>
    <w:rPr>
      <w:sz w:val="16"/>
      <w:szCs w:val="16"/>
    </w:rPr>
  </w:style>
  <w:style w:type="paragraph" w:styleId="Textodenotadefim">
    <w:name w:val="endnote text"/>
    <w:basedOn w:val="Normal"/>
    <w:link w:val="TextodenotadefimChar"/>
    <w:uiPriority w:val="99"/>
    <w:semiHidden/>
    <w:unhideWhenUsed/>
    <w:rsid w:val="00D60DB6"/>
    <w:rPr>
      <w:sz w:val="20"/>
      <w:szCs w:val="20"/>
    </w:rPr>
  </w:style>
  <w:style w:type="character" w:customStyle="1" w:styleId="TextodenotadefimChar">
    <w:name w:val="Texto de nota de fim Char"/>
    <w:link w:val="Textodenotadefim"/>
    <w:uiPriority w:val="99"/>
    <w:semiHidden/>
    <w:rsid w:val="00D60DB6"/>
    <w:rPr>
      <w:sz w:val="20"/>
      <w:szCs w:val="20"/>
    </w:rPr>
  </w:style>
  <w:style w:type="character" w:styleId="Refdenotadefim">
    <w:name w:val="endnote reference"/>
    <w:uiPriority w:val="99"/>
    <w:semiHidden/>
    <w:unhideWhenUsed/>
    <w:rsid w:val="00D60DB6"/>
    <w:rPr>
      <w:vertAlign w:val="superscript"/>
    </w:rPr>
  </w:style>
  <w:style w:type="paragraph" w:styleId="Textodenotaderodap">
    <w:name w:val="footnote text"/>
    <w:aliases w:val="fn,Texto de rodapé,nota_rodapé,nota de rodapé,FOOTNOTES,single space,footnote text,Footnote Text Char Char,footnote,ADB,foottextfra,F,Texto nota pie Car Car,Texto nota pie IIRSA,Style 25,Texto nota piepddes Car Car,f,ft"/>
    <w:basedOn w:val="Normal"/>
    <w:link w:val="TextodenotaderodapChar"/>
    <w:unhideWhenUsed/>
    <w:qFormat/>
    <w:rsid w:val="00D60DB6"/>
    <w:rPr>
      <w:sz w:val="20"/>
      <w:szCs w:val="20"/>
    </w:rPr>
  </w:style>
  <w:style w:type="character" w:customStyle="1" w:styleId="TextodenotaderodapChar">
    <w:name w:val="Texto de nota de rodapé Char"/>
    <w:aliases w:val="fn Char,Texto de rodapé Char,nota_rodapé Char,nota de rodapé Char,FOOTNOTES Char,single space Char,footnote text Char,Footnote Text Char Char Char,footnote Char,ADB Char,foottextfra Char,F Char,Texto nota pie Car Car Char"/>
    <w:link w:val="Textodenotaderodap"/>
    <w:rsid w:val="00D60DB6"/>
    <w:rPr>
      <w:sz w:val="20"/>
      <w:szCs w:val="20"/>
    </w:rPr>
  </w:style>
  <w:style w:type="character" w:styleId="Refdenotaderodap">
    <w:name w:val="footnote reference"/>
    <w:aliases w:val="Footnotes refss,ftref,Ref. de nota al pie.,Ref,de nota al pie,referencia nota al pie,16 Point,Superscript 6 Point,(Ref. de nota al pie),Texto de nota al pie,Fußnotenzeichen DISS,FC,Style 24,Footnote Reference1,Referência de rodapé"/>
    <w:link w:val="Char2"/>
    <w:unhideWhenUsed/>
    <w:qFormat/>
    <w:rsid w:val="00D60DB6"/>
    <w:rPr>
      <w:vertAlign w:val="superscript"/>
    </w:rPr>
  </w:style>
  <w:style w:type="paragraph" w:styleId="Legenda">
    <w:name w:val="caption"/>
    <w:basedOn w:val="Normal"/>
    <w:next w:val="Normal"/>
    <w:qFormat/>
    <w:rsid w:val="00F44535"/>
    <w:rPr>
      <w:b/>
      <w:bCs/>
      <w:sz w:val="20"/>
      <w:szCs w:val="20"/>
      <w:lang w:eastAsia="es-ES"/>
    </w:rPr>
  </w:style>
  <w:style w:type="character" w:customStyle="1" w:styleId="Ttulo9Char">
    <w:name w:val="Título 9 Char"/>
    <w:link w:val="Ttulo9"/>
    <w:rsid w:val="000853E0"/>
    <w:rPr>
      <w:rFonts w:ascii="Arial" w:eastAsia="Times New Roman" w:hAnsi="Arial"/>
      <w:lang w:val="en-US" w:eastAsia="es-ES"/>
    </w:rPr>
  </w:style>
  <w:style w:type="character" w:customStyle="1" w:styleId="TituloA">
    <w:name w:val="Titulo A"/>
    <w:rsid w:val="000853E0"/>
    <w:rPr>
      <w:rFonts w:ascii="Times New Roman" w:hAnsi="Times New Roman"/>
      <w:b/>
      <w:sz w:val="28"/>
      <w:szCs w:val="22"/>
    </w:rPr>
  </w:style>
  <w:style w:type="paragraph" w:styleId="Cabealho">
    <w:name w:val="header"/>
    <w:basedOn w:val="Normal"/>
    <w:link w:val="CabealhoChar"/>
    <w:uiPriority w:val="99"/>
    <w:unhideWhenUsed/>
    <w:rsid w:val="009E2FA5"/>
    <w:pPr>
      <w:tabs>
        <w:tab w:val="center" w:pos="4680"/>
        <w:tab w:val="right" w:pos="9360"/>
      </w:tabs>
    </w:pPr>
  </w:style>
  <w:style w:type="character" w:customStyle="1" w:styleId="CabealhoChar">
    <w:name w:val="Cabeçalho Char"/>
    <w:basedOn w:val="Fontepargpadro"/>
    <w:link w:val="Cabealho"/>
    <w:uiPriority w:val="99"/>
    <w:rsid w:val="009E2FA5"/>
  </w:style>
  <w:style w:type="paragraph" w:styleId="Rodap">
    <w:name w:val="footer"/>
    <w:basedOn w:val="Normal"/>
    <w:link w:val="RodapChar"/>
    <w:uiPriority w:val="99"/>
    <w:unhideWhenUsed/>
    <w:rsid w:val="009E2FA5"/>
    <w:pPr>
      <w:tabs>
        <w:tab w:val="center" w:pos="4680"/>
        <w:tab w:val="right" w:pos="9360"/>
      </w:tabs>
    </w:pPr>
  </w:style>
  <w:style w:type="character" w:customStyle="1" w:styleId="RodapChar">
    <w:name w:val="Rodapé Char"/>
    <w:basedOn w:val="Fontepargpadro"/>
    <w:link w:val="Rodap"/>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lang w:val="en-US" w:eastAsia="en-US"/>
    </w:rPr>
  </w:style>
  <w:style w:type="table" w:styleId="ListaClara-nfase2">
    <w:name w:val="Light List Accent 2"/>
    <w:basedOn w:val="Tabelanormal"/>
    <w:uiPriority w:val="61"/>
    <w:rsid w:val="0075283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ombreamentoClaro-nfase6">
    <w:name w:val="Light Shading Accent 6"/>
    <w:basedOn w:val="Tabelanormal"/>
    <w:uiPriority w:val="60"/>
    <w:rsid w:val="0075283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ombreamentoClaro-nfase5">
    <w:name w:val="Light Shading Accent 5"/>
    <w:basedOn w:val="Tabelanormal"/>
    <w:uiPriority w:val="60"/>
    <w:rsid w:val="0075283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elacomgrade">
    <w:name w:val="Table Grid"/>
    <w:basedOn w:val="Tabelanormal"/>
    <w:uiPriority w:val="59"/>
    <w:rsid w:val="0075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elanormal"/>
    <w:uiPriority w:val="61"/>
    <w:rsid w:val="0075283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RefernciaSutil">
    <w:name w:val="Subtle Reference"/>
    <w:uiPriority w:val="31"/>
    <w:qFormat/>
    <w:rsid w:val="007D52BD"/>
    <w:rPr>
      <w:smallCaps/>
      <w:color w:val="C0504D"/>
      <w:u w:val="single"/>
    </w:rPr>
  </w:style>
  <w:style w:type="paragraph" w:styleId="Textodebalo">
    <w:name w:val="Balloon Text"/>
    <w:basedOn w:val="Normal"/>
    <w:link w:val="TextodebaloChar"/>
    <w:uiPriority w:val="99"/>
    <w:semiHidden/>
    <w:unhideWhenUsed/>
    <w:rsid w:val="00D47708"/>
    <w:rPr>
      <w:rFonts w:ascii="Tahoma" w:hAnsi="Tahoma"/>
      <w:sz w:val="16"/>
      <w:szCs w:val="16"/>
    </w:rPr>
  </w:style>
  <w:style w:type="character" w:customStyle="1" w:styleId="TextodebaloChar">
    <w:name w:val="Texto de balão Char"/>
    <w:link w:val="Textodebalo"/>
    <w:uiPriority w:val="99"/>
    <w:semiHidden/>
    <w:rsid w:val="00D47708"/>
    <w:rPr>
      <w:rFonts w:ascii="Tahoma" w:hAnsi="Tahoma" w:cs="Tahoma"/>
      <w:sz w:val="16"/>
      <w:szCs w:val="16"/>
    </w:rPr>
  </w:style>
  <w:style w:type="character" w:customStyle="1" w:styleId="ParagraphChar">
    <w:name w:val="Paragraph Char"/>
    <w:aliases w:val="p Char,PARAGRAPH Char,PG Char,pa Char,at Char,paragraph Char"/>
    <w:link w:val="Paragraph"/>
    <w:locked/>
    <w:rsid w:val="006B5333"/>
    <w:rPr>
      <w:rFonts w:ascii="Times New Roman" w:eastAsia="Times New Roman" w:hAnsi="Times New Roman"/>
      <w:sz w:val="24"/>
      <w:lang w:val="en-US" w:eastAsia="en-US"/>
    </w:rPr>
  </w:style>
  <w:style w:type="paragraph" w:styleId="Partesuperior-zdoformulrio">
    <w:name w:val="HTML Top of Form"/>
    <w:basedOn w:val="Normal"/>
    <w:next w:val="Normal"/>
    <w:link w:val="Partesuperior-zdoformulrioChar"/>
    <w:hidden/>
    <w:uiPriority w:val="99"/>
    <w:semiHidden/>
    <w:unhideWhenUsed/>
    <w:rsid w:val="00391EB5"/>
    <w:pPr>
      <w:pBdr>
        <w:bottom w:val="single" w:sz="6" w:space="1" w:color="auto"/>
      </w:pBdr>
      <w:jc w:val="center"/>
    </w:pPr>
    <w:rPr>
      <w:rFonts w:ascii="Arial" w:hAnsi="Arial"/>
      <w:vanish/>
      <w:sz w:val="16"/>
      <w:szCs w:val="16"/>
    </w:rPr>
  </w:style>
  <w:style w:type="character" w:customStyle="1" w:styleId="Partesuperior-zdoformulrioChar">
    <w:name w:val="Parte superior-z do formulário Char"/>
    <w:link w:val="Partesuperior-zdoformulrio"/>
    <w:uiPriority w:val="99"/>
    <w:semiHidden/>
    <w:rsid w:val="00391EB5"/>
    <w:rPr>
      <w:rFonts w:ascii="Arial" w:eastAsia="Times New Roman"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391EB5"/>
    <w:pPr>
      <w:pBdr>
        <w:top w:val="single" w:sz="6" w:space="1" w:color="auto"/>
      </w:pBdr>
      <w:jc w:val="center"/>
    </w:pPr>
    <w:rPr>
      <w:rFonts w:ascii="Arial" w:hAnsi="Arial"/>
      <w:vanish/>
      <w:sz w:val="16"/>
      <w:szCs w:val="16"/>
    </w:rPr>
  </w:style>
  <w:style w:type="character" w:customStyle="1" w:styleId="ParteinferiordoformulrioChar">
    <w:name w:val="Parte inferior do formulário Char"/>
    <w:link w:val="Parteinferiordoformulrio"/>
    <w:uiPriority w:val="99"/>
    <w:rsid w:val="00391EB5"/>
    <w:rPr>
      <w:rFonts w:ascii="Arial" w:eastAsia="Times New Roman" w:hAnsi="Arial" w:cs="Arial"/>
      <w:vanish/>
      <w:sz w:val="16"/>
      <w:szCs w:val="16"/>
    </w:rPr>
  </w:style>
  <w:style w:type="paragraph" w:styleId="SemEspaamento">
    <w:name w:val="No Spacing"/>
    <w:link w:val="SemEspaamentoChar"/>
    <w:uiPriority w:val="1"/>
    <w:qFormat/>
    <w:rsid w:val="00114300"/>
    <w:rPr>
      <w:rFonts w:eastAsia="Times New Roman"/>
      <w:sz w:val="22"/>
      <w:szCs w:val="22"/>
      <w:lang w:eastAsia="en-US"/>
    </w:rPr>
  </w:style>
  <w:style w:type="character" w:customStyle="1" w:styleId="SemEspaamentoChar">
    <w:name w:val="Sem Espaçamento Char"/>
    <w:link w:val="SemEspaamento"/>
    <w:uiPriority w:val="1"/>
    <w:rsid w:val="00114300"/>
    <w:rPr>
      <w:rFonts w:eastAsia="Times New Roman"/>
      <w:sz w:val="22"/>
      <w:szCs w:val="22"/>
      <w:lang w:val="pt-BR" w:eastAsia="en-US" w:bidi="ar-SA"/>
    </w:rPr>
  </w:style>
  <w:style w:type="character" w:styleId="Refdecomentrio">
    <w:name w:val="annotation reference"/>
    <w:semiHidden/>
    <w:unhideWhenUsed/>
    <w:rsid w:val="00BC3192"/>
    <w:rPr>
      <w:sz w:val="16"/>
      <w:szCs w:val="16"/>
    </w:rPr>
  </w:style>
  <w:style w:type="paragraph" w:styleId="Textodecomentrio">
    <w:name w:val="annotation text"/>
    <w:basedOn w:val="Normal"/>
    <w:link w:val="TextodecomentrioChar"/>
    <w:semiHidden/>
    <w:unhideWhenUsed/>
    <w:rsid w:val="00BC3192"/>
    <w:rPr>
      <w:sz w:val="20"/>
      <w:szCs w:val="20"/>
    </w:rPr>
  </w:style>
  <w:style w:type="character" w:customStyle="1" w:styleId="TextodecomentrioChar">
    <w:name w:val="Texto de comentário Char"/>
    <w:link w:val="Textodecomentrio"/>
    <w:semiHidden/>
    <w:rsid w:val="00BC3192"/>
    <w:rPr>
      <w:noProof/>
      <w:lang w:val="es-ES"/>
    </w:rPr>
  </w:style>
  <w:style w:type="paragraph" w:styleId="Assuntodocomentrio">
    <w:name w:val="annotation subject"/>
    <w:basedOn w:val="Textodecomentrio"/>
    <w:next w:val="Textodecomentrio"/>
    <w:link w:val="AssuntodocomentrioChar"/>
    <w:uiPriority w:val="99"/>
    <w:semiHidden/>
    <w:unhideWhenUsed/>
    <w:rsid w:val="00BC3192"/>
    <w:rPr>
      <w:b/>
      <w:bCs/>
    </w:rPr>
  </w:style>
  <w:style w:type="character" w:customStyle="1" w:styleId="AssuntodocomentrioChar">
    <w:name w:val="Assunto do comentário Char"/>
    <w:link w:val="Assuntodocomentrio"/>
    <w:uiPriority w:val="99"/>
    <w:semiHidden/>
    <w:rsid w:val="00BC3192"/>
    <w:rPr>
      <w:b/>
      <w:bCs/>
      <w:noProof/>
      <w:lang w:val="es-ES"/>
    </w:rPr>
  </w:style>
  <w:style w:type="paragraph" w:styleId="Reviso">
    <w:name w:val="Revision"/>
    <w:hidden/>
    <w:uiPriority w:val="99"/>
    <w:semiHidden/>
    <w:rsid w:val="0067740C"/>
    <w:rPr>
      <w:noProof/>
      <w:sz w:val="22"/>
      <w:szCs w:val="22"/>
      <w:lang w:val="es-ES" w:eastAsia="en-US"/>
    </w:rPr>
  </w:style>
  <w:style w:type="character" w:customStyle="1" w:styleId="Ttulo4Char">
    <w:name w:val="Título 4 Char"/>
    <w:basedOn w:val="Fontepargpadro"/>
    <w:link w:val="Ttulo4"/>
    <w:uiPriority w:val="9"/>
    <w:semiHidden/>
    <w:rsid w:val="00FD4109"/>
    <w:rPr>
      <w:rFonts w:asciiTheme="majorHAnsi" w:eastAsiaTheme="majorEastAsia" w:hAnsiTheme="majorHAnsi" w:cstheme="majorBidi"/>
      <w:b/>
      <w:bCs/>
      <w:i/>
      <w:iCs/>
      <w:noProof/>
      <w:color w:val="4F81BD" w:themeColor="accent1"/>
      <w:sz w:val="22"/>
      <w:szCs w:val="22"/>
      <w:lang w:val="es-ES" w:eastAsia="en-US"/>
    </w:rPr>
  </w:style>
  <w:style w:type="paragraph" w:styleId="NormalWeb">
    <w:name w:val="Normal (Web)"/>
    <w:basedOn w:val="Normal"/>
    <w:uiPriority w:val="99"/>
    <w:semiHidden/>
    <w:unhideWhenUsed/>
    <w:rsid w:val="001F71A7"/>
    <w:pPr>
      <w:spacing w:before="100" w:beforeAutospacing="1" w:after="100" w:afterAutospacing="1"/>
    </w:pPr>
  </w:style>
  <w:style w:type="character" w:styleId="nfase">
    <w:name w:val="Emphasis"/>
    <w:basedOn w:val="Fontepargpadro"/>
    <w:uiPriority w:val="20"/>
    <w:qFormat/>
    <w:rsid w:val="001F71A7"/>
    <w:rPr>
      <w:i/>
      <w:iCs/>
    </w:rPr>
  </w:style>
  <w:style w:type="paragraph" w:styleId="Corpodetexto">
    <w:name w:val="Body Text"/>
    <w:basedOn w:val="Normal"/>
    <w:link w:val="CorpodetextoChar"/>
    <w:uiPriority w:val="99"/>
    <w:semiHidden/>
    <w:unhideWhenUsed/>
    <w:rsid w:val="00B72339"/>
    <w:pPr>
      <w:spacing w:after="120"/>
    </w:pPr>
  </w:style>
  <w:style w:type="character" w:customStyle="1" w:styleId="CorpodetextoChar">
    <w:name w:val="Corpo de texto Char"/>
    <w:basedOn w:val="Fontepargpadro"/>
    <w:link w:val="Corpodetexto"/>
    <w:uiPriority w:val="99"/>
    <w:semiHidden/>
    <w:rsid w:val="00B72339"/>
    <w:rPr>
      <w:noProof/>
      <w:sz w:val="22"/>
      <w:szCs w:val="22"/>
      <w:lang w:val="es-ES" w:eastAsia="en-US"/>
    </w:rPr>
  </w:style>
  <w:style w:type="character" w:customStyle="1" w:styleId="Ttulo5Char">
    <w:name w:val="Título 5 Char"/>
    <w:basedOn w:val="Fontepargpadro"/>
    <w:link w:val="Ttulo5"/>
    <w:rsid w:val="00BF574E"/>
    <w:rPr>
      <w:rFonts w:ascii="Times New Roman" w:eastAsia="Times New Roman" w:hAnsi="Times New Roman"/>
      <w:sz w:val="22"/>
      <w:lang w:val="es-ES_tradnl" w:eastAsia="en-US"/>
    </w:rPr>
  </w:style>
  <w:style w:type="character" w:customStyle="1" w:styleId="Ttulo6Char">
    <w:name w:val="Título 6 Char"/>
    <w:basedOn w:val="Fontepargpadro"/>
    <w:link w:val="Ttulo6"/>
    <w:rsid w:val="00BF574E"/>
    <w:rPr>
      <w:rFonts w:ascii="Times New Roman" w:eastAsia="Times New Roman" w:hAnsi="Times New Roman"/>
      <w:i/>
      <w:sz w:val="22"/>
      <w:lang w:val="es-ES_tradnl" w:eastAsia="en-US"/>
    </w:rPr>
  </w:style>
  <w:style w:type="character" w:customStyle="1" w:styleId="Ttulo7Char">
    <w:name w:val="Título 7 Char"/>
    <w:basedOn w:val="Fontepargpadro"/>
    <w:link w:val="Ttulo7"/>
    <w:rsid w:val="00BF574E"/>
    <w:rPr>
      <w:rFonts w:ascii="Arial" w:eastAsia="Times New Roman" w:hAnsi="Arial"/>
      <w:sz w:val="24"/>
      <w:lang w:val="es-ES_tradnl" w:eastAsia="en-US"/>
    </w:rPr>
  </w:style>
  <w:style w:type="character" w:customStyle="1" w:styleId="Ttulo8Char">
    <w:name w:val="Título 8 Char"/>
    <w:basedOn w:val="Fontepargpadro"/>
    <w:link w:val="Ttulo8"/>
    <w:rsid w:val="00BF574E"/>
    <w:rPr>
      <w:rFonts w:ascii="Arial" w:eastAsia="Times New Roman" w:hAnsi="Arial"/>
      <w:i/>
      <w:sz w:val="24"/>
      <w:lang w:val="es-ES_tradnl" w:eastAsia="en-US"/>
    </w:rPr>
  </w:style>
  <w:style w:type="paragraph" w:customStyle="1" w:styleId="FirstHeading">
    <w:name w:val="FirstHeading"/>
    <w:basedOn w:val="Normal"/>
    <w:next w:val="Normal"/>
    <w:rsid w:val="00BF574E"/>
    <w:pPr>
      <w:keepNext/>
      <w:tabs>
        <w:tab w:val="left" w:pos="0"/>
        <w:tab w:val="left" w:pos="86"/>
      </w:tabs>
      <w:spacing w:before="120" w:after="120"/>
      <w:ind w:left="720" w:hanging="720"/>
    </w:pPr>
    <w:rPr>
      <w:b/>
      <w:szCs w:val="20"/>
      <w:lang w:val="es-ES_tradnl"/>
    </w:rPr>
  </w:style>
  <w:style w:type="paragraph" w:customStyle="1" w:styleId="SecHeading">
    <w:name w:val="SecHeading"/>
    <w:basedOn w:val="Normal"/>
    <w:next w:val="Paragraph"/>
    <w:rsid w:val="00BF574E"/>
    <w:pPr>
      <w:keepNext/>
      <w:tabs>
        <w:tab w:val="num" w:pos="1296"/>
      </w:tabs>
      <w:spacing w:before="120" w:after="120"/>
      <w:ind w:left="1296" w:hanging="576"/>
    </w:pPr>
    <w:rPr>
      <w:b/>
      <w:szCs w:val="20"/>
      <w:lang w:val="es-ES_tradnl"/>
    </w:rPr>
  </w:style>
  <w:style w:type="paragraph" w:customStyle="1" w:styleId="SubHeading1">
    <w:name w:val="SubHeading1"/>
    <w:basedOn w:val="SecHeading"/>
    <w:rsid w:val="00BF574E"/>
    <w:pPr>
      <w:tabs>
        <w:tab w:val="clear" w:pos="1296"/>
        <w:tab w:val="num" w:pos="1872"/>
      </w:tabs>
      <w:ind w:left="1872"/>
    </w:pPr>
  </w:style>
  <w:style w:type="paragraph" w:customStyle="1" w:styleId="Subheading2">
    <w:name w:val="Subheading2"/>
    <w:basedOn w:val="SecHeading"/>
    <w:rsid w:val="00BF574E"/>
    <w:pPr>
      <w:tabs>
        <w:tab w:val="clear" w:pos="1296"/>
        <w:tab w:val="num" w:pos="2376"/>
      </w:tabs>
      <w:ind w:left="2376" w:hanging="288"/>
    </w:pPr>
  </w:style>
  <w:style w:type="character" w:styleId="Hyperlink">
    <w:name w:val="Hyperlink"/>
    <w:uiPriority w:val="99"/>
    <w:rsid w:val="00BF574E"/>
    <w:rPr>
      <w:color w:val="0000FF"/>
      <w:u w:val="single"/>
    </w:rPr>
  </w:style>
  <w:style w:type="paragraph" w:customStyle="1" w:styleId="Char2">
    <w:name w:val="Char2"/>
    <w:basedOn w:val="Normal"/>
    <w:link w:val="Refdenotaderodap"/>
    <w:rsid w:val="00BF574E"/>
    <w:pPr>
      <w:spacing w:after="160" w:line="240" w:lineRule="exact"/>
    </w:pPr>
    <w:rPr>
      <w:sz w:val="20"/>
      <w:szCs w:val="20"/>
      <w:vertAlign w:val="superscript"/>
      <w:lang w:val="pt-BR" w:eastAsia="pt-BR"/>
    </w:rPr>
  </w:style>
  <w:style w:type="character" w:customStyle="1" w:styleId="Ttulo1Char">
    <w:name w:val="Título 1 Char"/>
    <w:basedOn w:val="Fontepargpadro"/>
    <w:link w:val="Ttulo1"/>
    <w:uiPriority w:val="9"/>
    <w:rsid w:val="00C7130E"/>
    <w:rPr>
      <w:rFonts w:asciiTheme="majorHAnsi" w:eastAsiaTheme="majorEastAsia" w:hAnsiTheme="majorHAnsi" w:cstheme="majorBidi"/>
      <w:b/>
      <w:bCs/>
      <w:color w:val="365F91" w:themeColor="accent1" w:themeShade="BF"/>
      <w:sz w:val="28"/>
      <w:szCs w:val="28"/>
      <w:lang w:val="en-US" w:eastAsia="en-US"/>
    </w:rPr>
  </w:style>
  <w:style w:type="paragraph" w:styleId="CabealhodoSumrio">
    <w:name w:val="TOC Heading"/>
    <w:basedOn w:val="Ttulo1"/>
    <w:next w:val="Normal"/>
    <w:uiPriority w:val="39"/>
    <w:semiHidden/>
    <w:unhideWhenUsed/>
    <w:qFormat/>
    <w:rsid w:val="00C7130E"/>
    <w:pPr>
      <w:spacing w:line="276" w:lineRule="auto"/>
      <w:outlineLvl w:val="9"/>
    </w:pPr>
  </w:style>
  <w:style w:type="paragraph" w:styleId="Sumrio3">
    <w:name w:val="toc 3"/>
    <w:basedOn w:val="Normal"/>
    <w:next w:val="Normal"/>
    <w:autoRedefine/>
    <w:uiPriority w:val="39"/>
    <w:unhideWhenUsed/>
    <w:qFormat/>
    <w:rsid w:val="00C7130E"/>
    <w:pPr>
      <w:spacing w:after="100"/>
      <w:ind w:left="480"/>
    </w:pPr>
  </w:style>
  <w:style w:type="paragraph" w:styleId="Sumrio2">
    <w:name w:val="toc 2"/>
    <w:basedOn w:val="Normal"/>
    <w:next w:val="Normal"/>
    <w:autoRedefine/>
    <w:uiPriority w:val="39"/>
    <w:unhideWhenUsed/>
    <w:qFormat/>
    <w:rsid w:val="00C7130E"/>
    <w:pPr>
      <w:spacing w:after="100"/>
      <w:ind w:left="240"/>
    </w:pPr>
  </w:style>
  <w:style w:type="paragraph" w:styleId="Sumrio1">
    <w:name w:val="toc 1"/>
    <w:basedOn w:val="Normal"/>
    <w:next w:val="Normal"/>
    <w:autoRedefine/>
    <w:uiPriority w:val="39"/>
    <w:unhideWhenUsed/>
    <w:qFormat/>
    <w:rsid w:val="00C7130E"/>
    <w:pPr>
      <w:spacing w:after="100" w:line="276" w:lineRule="auto"/>
    </w:pPr>
    <w:rPr>
      <w:rFonts w:asciiTheme="minorHAnsi" w:eastAsiaTheme="minorEastAsia" w:hAnsiTheme="minorHAnsi" w:cstheme="minorBidi"/>
      <w:sz w:val="22"/>
      <w:szCs w:val="22"/>
    </w:rPr>
  </w:style>
  <w:style w:type="paragraph" w:styleId="Remissivo1">
    <w:name w:val="index 1"/>
    <w:basedOn w:val="Normal"/>
    <w:next w:val="Normal"/>
    <w:autoRedefine/>
    <w:uiPriority w:val="99"/>
    <w:semiHidden/>
    <w:unhideWhenUsed/>
    <w:rsid w:val="00C7130E"/>
    <w:pPr>
      <w:ind w:left="240" w:hanging="240"/>
    </w:pPr>
  </w:style>
  <w:style w:type="numbering" w:customStyle="1" w:styleId="Estilo1">
    <w:name w:val="Estilo1"/>
    <w:uiPriority w:val="99"/>
    <w:rsid w:val="00731E55"/>
    <w:pPr>
      <w:numPr>
        <w:numId w:val="16"/>
      </w:numPr>
    </w:pPr>
  </w:style>
  <w:style w:type="numbering" w:customStyle="1" w:styleId="Estilo2">
    <w:name w:val="Estilo2"/>
    <w:uiPriority w:val="99"/>
    <w:rsid w:val="00731E55"/>
    <w:pPr>
      <w:numPr>
        <w:numId w:val="17"/>
      </w:numPr>
    </w:pPr>
  </w:style>
  <w:style w:type="numbering" w:customStyle="1" w:styleId="Estilo3">
    <w:name w:val="Estilo3"/>
    <w:uiPriority w:val="99"/>
    <w:rsid w:val="00731E55"/>
    <w:pPr>
      <w:numPr>
        <w:numId w:val="18"/>
      </w:numPr>
    </w:pPr>
  </w:style>
  <w:style w:type="numbering" w:customStyle="1" w:styleId="Estilo4">
    <w:name w:val="Estilo4"/>
    <w:uiPriority w:val="99"/>
    <w:rsid w:val="00731E55"/>
    <w:pPr>
      <w:numPr>
        <w:numId w:val="20"/>
      </w:numPr>
    </w:pPr>
  </w:style>
  <w:style w:type="character" w:customStyle="1" w:styleId="Ttulo2Char">
    <w:name w:val="Título 2 Char"/>
    <w:basedOn w:val="Fontepargpadro"/>
    <w:link w:val="Ttulo2"/>
    <w:uiPriority w:val="9"/>
    <w:rsid w:val="000A1E09"/>
    <w:rPr>
      <w:rFonts w:asciiTheme="majorHAnsi" w:eastAsiaTheme="majorEastAsia" w:hAnsiTheme="majorHAnsi" w:cstheme="majorBidi"/>
      <w:b/>
      <w:bCs/>
      <w:color w:val="4F81BD" w:themeColor="accent1"/>
      <w:sz w:val="26"/>
      <w:szCs w:val="26"/>
      <w:lang w:val="en-US" w:eastAsia="en-US"/>
    </w:rPr>
  </w:style>
  <w:style w:type="character" w:customStyle="1" w:styleId="Ttulo3Char">
    <w:name w:val="Título 3 Char"/>
    <w:basedOn w:val="Fontepargpadro"/>
    <w:link w:val="Ttulo3"/>
    <w:uiPriority w:val="9"/>
    <w:rsid w:val="000A1E09"/>
    <w:rPr>
      <w:rFonts w:asciiTheme="majorHAnsi" w:eastAsiaTheme="majorEastAsia" w:hAnsiTheme="majorHAnsi" w:cstheme="majorBidi"/>
      <w:b/>
      <w:bCs/>
      <w:color w:val="4F81BD" w:themeColor="accent1"/>
      <w:sz w:val="24"/>
      <w:szCs w:val="24"/>
      <w:lang w:val="en-US" w:eastAsia="en-US"/>
    </w:rPr>
  </w:style>
  <w:style w:type="character" w:customStyle="1" w:styleId="UnresolvedMention">
    <w:name w:val="Unresolved Mention"/>
    <w:basedOn w:val="Fontepargpadro"/>
    <w:uiPriority w:val="99"/>
    <w:semiHidden/>
    <w:unhideWhenUsed/>
    <w:rsid w:val="003B2DA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0" w:qFormat="1"/>
    <w:lsdException w:name="footnote reference"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9BC"/>
    <w:rPr>
      <w:rFonts w:ascii="Times New Roman" w:eastAsia="Times New Roman" w:hAnsi="Times New Roman"/>
      <w:sz w:val="24"/>
      <w:szCs w:val="24"/>
      <w:lang w:val="en-US" w:eastAsia="en-US"/>
    </w:rPr>
  </w:style>
  <w:style w:type="paragraph" w:styleId="Ttulo1">
    <w:name w:val="heading 1"/>
    <w:basedOn w:val="Normal"/>
    <w:next w:val="Normal"/>
    <w:link w:val="Ttulo1Char"/>
    <w:uiPriority w:val="9"/>
    <w:qFormat/>
    <w:rsid w:val="00C713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0A1E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0A1E09"/>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FD4109"/>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qFormat/>
    <w:rsid w:val="00BF574E"/>
    <w:pPr>
      <w:spacing w:before="240" w:after="60"/>
      <w:ind w:left="5112" w:hanging="432"/>
      <w:outlineLvl w:val="4"/>
    </w:pPr>
    <w:rPr>
      <w:szCs w:val="20"/>
      <w:lang w:val="es-ES_tradnl"/>
    </w:rPr>
  </w:style>
  <w:style w:type="paragraph" w:styleId="Ttulo6">
    <w:name w:val="heading 6"/>
    <w:basedOn w:val="Normal"/>
    <w:next w:val="Normal"/>
    <w:link w:val="Ttulo6Char"/>
    <w:qFormat/>
    <w:rsid w:val="00BF574E"/>
    <w:pPr>
      <w:spacing w:before="240" w:after="60"/>
      <w:ind w:left="5256" w:hanging="432"/>
      <w:outlineLvl w:val="5"/>
    </w:pPr>
    <w:rPr>
      <w:i/>
      <w:szCs w:val="20"/>
      <w:lang w:val="es-ES_tradnl"/>
    </w:rPr>
  </w:style>
  <w:style w:type="paragraph" w:styleId="Ttulo7">
    <w:name w:val="heading 7"/>
    <w:basedOn w:val="Normal"/>
    <w:next w:val="Normal"/>
    <w:link w:val="Ttulo7Char"/>
    <w:qFormat/>
    <w:rsid w:val="00BF574E"/>
    <w:pPr>
      <w:spacing w:before="240" w:after="60"/>
      <w:ind w:left="5400" w:hanging="288"/>
      <w:outlineLvl w:val="6"/>
    </w:pPr>
    <w:rPr>
      <w:rFonts w:ascii="Arial" w:hAnsi="Arial"/>
      <w:szCs w:val="20"/>
      <w:lang w:val="es-ES_tradnl"/>
    </w:rPr>
  </w:style>
  <w:style w:type="paragraph" w:styleId="Ttulo8">
    <w:name w:val="heading 8"/>
    <w:basedOn w:val="Normal"/>
    <w:next w:val="Normal"/>
    <w:link w:val="Ttulo8Char"/>
    <w:qFormat/>
    <w:rsid w:val="00BF574E"/>
    <w:pPr>
      <w:spacing w:before="240" w:after="60"/>
      <w:ind w:left="5544" w:hanging="432"/>
      <w:outlineLvl w:val="7"/>
    </w:pPr>
    <w:rPr>
      <w:rFonts w:ascii="Arial" w:hAnsi="Arial"/>
      <w:i/>
      <w:szCs w:val="20"/>
      <w:lang w:val="es-ES_tradnl"/>
    </w:rPr>
  </w:style>
  <w:style w:type="paragraph" w:styleId="Ttulo9">
    <w:name w:val="heading 9"/>
    <w:basedOn w:val="Normal"/>
    <w:next w:val="Normal"/>
    <w:link w:val="Ttulo9Char"/>
    <w:qFormat/>
    <w:rsid w:val="000853E0"/>
    <w:pPr>
      <w:numPr>
        <w:ilvl w:val="8"/>
        <w:numId w:val="12"/>
      </w:numPr>
      <w:spacing w:before="240" w:after="60"/>
      <w:outlineLvl w:val="8"/>
    </w:pPr>
    <w:rPr>
      <w:rFonts w:ascii="Arial" w:hAnsi="Arial"/>
      <w:sz w:val="20"/>
      <w:szCs w:val="20"/>
      <w:lang w:eastAsia="es-E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862434"/>
    <w:pPr>
      <w:ind w:left="720"/>
      <w:contextualSpacing/>
    </w:pPr>
  </w:style>
  <w:style w:type="paragraph" w:customStyle="1" w:styleId="Chapter">
    <w:name w:val="Chapter"/>
    <w:basedOn w:val="Normal"/>
    <w:next w:val="Normal"/>
    <w:link w:val="ChapterChar"/>
    <w:rsid w:val="008E7EA8"/>
    <w:pPr>
      <w:numPr>
        <w:numId w:val="1"/>
      </w:numPr>
      <w:tabs>
        <w:tab w:val="left" w:pos="1440"/>
      </w:tabs>
      <w:spacing w:after="240"/>
      <w:jc w:val="center"/>
    </w:pPr>
    <w:rPr>
      <w:b/>
      <w:smallCaps/>
      <w:szCs w:val="20"/>
    </w:rPr>
  </w:style>
  <w:style w:type="paragraph" w:customStyle="1" w:styleId="Paragraph">
    <w:name w:val="Paragraph"/>
    <w:aliases w:val="paragraph,p,PARAGRAPH,PG,pa,at"/>
    <w:basedOn w:val="Recuodecorpodetexto"/>
    <w:link w:val="ParagraphChar"/>
    <w:qFormat/>
    <w:rsid w:val="008E7EA8"/>
    <w:pPr>
      <w:numPr>
        <w:ilvl w:val="1"/>
        <w:numId w:val="1"/>
      </w:numPr>
      <w:spacing w:before="120"/>
      <w:jc w:val="both"/>
      <w:outlineLvl w:val="1"/>
    </w:pPr>
    <w:rPr>
      <w:szCs w:val="20"/>
    </w:rPr>
  </w:style>
  <w:style w:type="paragraph" w:customStyle="1" w:styleId="subpar">
    <w:name w:val="subpar"/>
    <w:basedOn w:val="Recuodecorpodetexto3"/>
    <w:uiPriority w:val="99"/>
    <w:rsid w:val="008E7EA8"/>
    <w:pPr>
      <w:numPr>
        <w:ilvl w:val="2"/>
        <w:numId w:val="1"/>
      </w:numPr>
    </w:pPr>
  </w:style>
  <w:style w:type="paragraph" w:customStyle="1" w:styleId="SubSubPar">
    <w:name w:val="SubSubPar"/>
    <w:basedOn w:val="subpar"/>
    <w:rsid w:val="008E7EA8"/>
    <w:pPr>
      <w:numPr>
        <w:ilvl w:val="3"/>
      </w:numPr>
      <w:tabs>
        <w:tab w:val="clear" w:pos="1584"/>
      </w:tabs>
      <w:ind w:left="360" w:firstLine="0"/>
    </w:pPr>
  </w:style>
  <w:style w:type="character" w:customStyle="1" w:styleId="ChapterChar">
    <w:name w:val="Chapter Char"/>
    <w:link w:val="Chapter"/>
    <w:locked/>
    <w:rsid w:val="008E7EA8"/>
    <w:rPr>
      <w:rFonts w:ascii="Times New Roman" w:eastAsia="Times New Roman" w:hAnsi="Times New Roman"/>
      <w:b/>
      <w:smallCaps/>
      <w:sz w:val="24"/>
      <w:lang w:val="en-US" w:eastAsia="en-US"/>
    </w:rPr>
  </w:style>
  <w:style w:type="paragraph" w:styleId="Recuodecorpodetexto">
    <w:name w:val="Body Text Indent"/>
    <w:basedOn w:val="Normal"/>
    <w:link w:val="RecuodecorpodetextoChar"/>
    <w:uiPriority w:val="99"/>
    <w:semiHidden/>
    <w:unhideWhenUsed/>
    <w:rsid w:val="008E7EA8"/>
    <w:pPr>
      <w:spacing w:after="120"/>
      <w:ind w:left="360"/>
    </w:pPr>
  </w:style>
  <w:style w:type="character" w:customStyle="1" w:styleId="RecuodecorpodetextoChar">
    <w:name w:val="Recuo de corpo de texto Char"/>
    <w:basedOn w:val="Fontepargpadro"/>
    <w:link w:val="Recuodecorpodetexto"/>
    <w:uiPriority w:val="99"/>
    <w:semiHidden/>
    <w:rsid w:val="008E7EA8"/>
  </w:style>
  <w:style w:type="paragraph" w:styleId="Recuodecorpodetexto3">
    <w:name w:val="Body Text Indent 3"/>
    <w:basedOn w:val="Normal"/>
    <w:link w:val="Recuodecorpodetexto3Char"/>
    <w:uiPriority w:val="99"/>
    <w:semiHidden/>
    <w:unhideWhenUsed/>
    <w:rsid w:val="008E7EA8"/>
    <w:pPr>
      <w:spacing w:after="120"/>
      <w:ind w:left="360"/>
    </w:pPr>
    <w:rPr>
      <w:sz w:val="16"/>
      <w:szCs w:val="16"/>
    </w:rPr>
  </w:style>
  <w:style w:type="character" w:customStyle="1" w:styleId="Recuodecorpodetexto3Char">
    <w:name w:val="Recuo de corpo de texto 3 Char"/>
    <w:link w:val="Recuodecorpodetexto3"/>
    <w:uiPriority w:val="99"/>
    <w:semiHidden/>
    <w:rsid w:val="008E7EA8"/>
    <w:rPr>
      <w:sz w:val="16"/>
      <w:szCs w:val="16"/>
    </w:rPr>
  </w:style>
  <w:style w:type="paragraph" w:styleId="Textodenotadefim">
    <w:name w:val="endnote text"/>
    <w:basedOn w:val="Normal"/>
    <w:link w:val="TextodenotadefimChar"/>
    <w:uiPriority w:val="99"/>
    <w:semiHidden/>
    <w:unhideWhenUsed/>
    <w:rsid w:val="00D60DB6"/>
    <w:rPr>
      <w:sz w:val="20"/>
      <w:szCs w:val="20"/>
    </w:rPr>
  </w:style>
  <w:style w:type="character" w:customStyle="1" w:styleId="TextodenotadefimChar">
    <w:name w:val="Texto de nota de fim Char"/>
    <w:link w:val="Textodenotadefim"/>
    <w:uiPriority w:val="99"/>
    <w:semiHidden/>
    <w:rsid w:val="00D60DB6"/>
    <w:rPr>
      <w:sz w:val="20"/>
      <w:szCs w:val="20"/>
    </w:rPr>
  </w:style>
  <w:style w:type="character" w:styleId="Refdenotadefim">
    <w:name w:val="endnote reference"/>
    <w:uiPriority w:val="99"/>
    <w:semiHidden/>
    <w:unhideWhenUsed/>
    <w:rsid w:val="00D60DB6"/>
    <w:rPr>
      <w:vertAlign w:val="superscript"/>
    </w:rPr>
  </w:style>
  <w:style w:type="paragraph" w:styleId="Textodenotaderodap">
    <w:name w:val="footnote text"/>
    <w:aliases w:val="fn,Texto de rodapé,nota_rodapé,nota de rodapé,FOOTNOTES,single space,footnote text,Footnote Text Char Char,footnote,ADB,foottextfra,F,Texto nota pie Car Car,Texto nota pie IIRSA,Style 25,Texto nota piepddes Car Car,f,ft"/>
    <w:basedOn w:val="Normal"/>
    <w:link w:val="TextodenotaderodapChar"/>
    <w:unhideWhenUsed/>
    <w:qFormat/>
    <w:rsid w:val="00D60DB6"/>
    <w:rPr>
      <w:sz w:val="20"/>
      <w:szCs w:val="20"/>
    </w:rPr>
  </w:style>
  <w:style w:type="character" w:customStyle="1" w:styleId="TextodenotaderodapChar">
    <w:name w:val="Texto de nota de rodapé Char"/>
    <w:aliases w:val="fn Char,Texto de rodapé Char,nota_rodapé Char,nota de rodapé Char,FOOTNOTES Char,single space Char,footnote text Char,Footnote Text Char Char Char,footnote Char,ADB Char,foottextfra Char,F Char,Texto nota pie Car Car Char"/>
    <w:link w:val="Textodenotaderodap"/>
    <w:rsid w:val="00D60DB6"/>
    <w:rPr>
      <w:sz w:val="20"/>
      <w:szCs w:val="20"/>
    </w:rPr>
  </w:style>
  <w:style w:type="character" w:styleId="Refdenotaderodap">
    <w:name w:val="footnote reference"/>
    <w:aliases w:val="Footnotes refss,ftref,Ref. de nota al pie.,Ref,de nota al pie,referencia nota al pie,16 Point,Superscript 6 Point,(Ref. de nota al pie),Texto de nota al pie,Fußnotenzeichen DISS,FC,Style 24,Footnote Reference1,Referência de rodapé"/>
    <w:link w:val="Char2"/>
    <w:unhideWhenUsed/>
    <w:qFormat/>
    <w:rsid w:val="00D60DB6"/>
    <w:rPr>
      <w:vertAlign w:val="superscript"/>
    </w:rPr>
  </w:style>
  <w:style w:type="paragraph" w:styleId="Legenda">
    <w:name w:val="caption"/>
    <w:basedOn w:val="Normal"/>
    <w:next w:val="Normal"/>
    <w:qFormat/>
    <w:rsid w:val="00F44535"/>
    <w:rPr>
      <w:b/>
      <w:bCs/>
      <w:sz w:val="20"/>
      <w:szCs w:val="20"/>
      <w:lang w:eastAsia="es-ES"/>
    </w:rPr>
  </w:style>
  <w:style w:type="character" w:customStyle="1" w:styleId="Ttulo9Char">
    <w:name w:val="Título 9 Char"/>
    <w:link w:val="Ttulo9"/>
    <w:rsid w:val="000853E0"/>
    <w:rPr>
      <w:rFonts w:ascii="Arial" w:eastAsia="Times New Roman" w:hAnsi="Arial"/>
      <w:lang w:val="en-US" w:eastAsia="es-ES"/>
    </w:rPr>
  </w:style>
  <w:style w:type="character" w:customStyle="1" w:styleId="TituloA">
    <w:name w:val="Titulo A"/>
    <w:rsid w:val="000853E0"/>
    <w:rPr>
      <w:rFonts w:ascii="Times New Roman" w:hAnsi="Times New Roman"/>
      <w:b/>
      <w:sz w:val="28"/>
      <w:szCs w:val="22"/>
    </w:rPr>
  </w:style>
  <w:style w:type="paragraph" w:styleId="Cabealho">
    <w:name w:val="header"/>
    <w:basedOn w:val="Normal"/>
    <w:link w:val="CabealhoChar"/>
    <w:uiPriority w:val="99"/>
    <w:unhideWhenUsed/>
    <w:rsid w:val="009E2FA5"/>
    <w:pPr>
      <w:tabs>
        <w:tab w:val="center" w:pos="4680"/>
        <w:tab w:val="right" w:pos="9360"/>
      </w:tabs>
    </w:pPr>
  </w:style>
  <w:style w:type="character" w:customStyle="1" w:styleId="CabealhoChar">
    <w:name w:val="Cabeçalho Char"/>
    <w:basedOn w:val="Fontepargpadro"/>
    <w:link w:val="Cabealho"/>
    <w:uiPriority w:val="99"/>
    <w:rsid w:val="009E2FA5"/>
  </w:style>
  <w:style w:type="paragraph" w:styleId="Rodap">
    <w:name w:val="footer"/>
    <w:basedOn w:val="Normal"/>
    <w:link w:val="RodapChar"/>
    <w:uiPriority w:val="99"/>
    <w:unhideWhenUsed/>
    <w:rsid w:val="009E2FA5"/>
    <w:pPr>
      <w:tabs>
        <w:tab w:val="center" w:pos="4680"/>
        <w:tab w:val="right" w:pos="9360"/>
      </w:tabs>
    </w:pPr>
  </w:style>
  <w:style w:type="character" w:customStyle="1" w:styleId="RodapChar">
    <w:name w:val="Rodapé Char"/>
    <w:basedOn w:val="Fontepargpadro"/>
    <w:link w:val="Rodap"/>
    <w:uiPriority w:val="99"/>
    <w:rsid w:val="009E2FA5"/>
  </w:style>
  <w:style w:type="paragraph" w:customStyle="1" w:styleId="Default">
    <w:name w:val="Default"/>
    <w:rsid w:val="00970590"/>
    <w:pPr>
      <w:autoSpaceDE w:val="0"/>
      <w:autoSpaceDN w:val="0"/>
      <w:adjustRightInd w:val="0"/>
    </w:pPr>
    <w:rPr>
      <w:rFonts w:ascii="Times New Roman" w:hAnsi="Times New Roman"/>
      <w:color w:val="000000"/>
      <w:sz w:val="24"/>
      <w:szCs w:val="24"/>
      <w:lang w:val="en-US" w:eastAsia="en-US"/>
    </w:rPr>
  </w:style>
  <w:style w:type="table" w:styleId="ListaClara-nfase2">
    <w:name w:val="Light List Accent 2"/>
    <w:basedOn w:val="Tabelanormal"/>
    <w:uiPriority w:val="61"/>
    <w:rsid w:val="0075283D"/>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ombreamentoClaro-nfase6">
    <w:name w:val="Light Shading Accent 6"/>
    <w:basedOn w:val="Tabelanormal"/>
    <w:uiPriority w:val="60"/>
    <w:rsid w:val="0075283D"/>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ombreamentoClaro-nfase5">
    <w:name w:val="Light Shading Accent 5"/>
    <w:basedOn w:val="Tabelanormal"/>
    <w:uiPriority w:val="60"/>
    <w:rsid w:val="0075283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elacomgrade">
    <w:name w:val="Table Grid"/>
    <w:basedOn w:val="Tabelanormal"/>
    <w:uiPriority w:val="59"/>
    <w:rsid w:val="00752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elanormal"/>
    <w:uiPriority w:val="61"/>
    <w:rsid w:val="0075283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RefernciaSutil">
    <w:name w:val="Subtle Reference"/>
    <w:uiPriority w:val="31"/>
    <w:qFormat/>
    <w:rsid w:val="007D52BD"/>
    <w:rPr>
      <w:smallCaps/>
      <w:color w:val="C0504D"/>
      <w:u w:val="single"/>
    </w:rPr>
  </w:style>
  <w:style w:type="paragraph" w:styleId="Textodebalo">
    <w:name w:val="Balloon Text"/>
    <w:basedOn w:val="Normal"/>
    <w:link w:val="TextodebaloChar"/>
    <w:uiPriority w:val="99"/>
    <w:semiHidden/>
    <w:unhideWhenUsed/>
    <w:rsid w:val="00D47708"/>
    <w:rPr>
      <w:rFonts w:ascii="Tahoma" w:hAnsi="Tahoma"/>
      <w:sz w:val="16"/>
      <w:szCs w:val="16"/>
    </w:rPr>
  </w:style>
  <w:style w:type="character" w:customStyle="1" w:styleId="TextodebaloChar">
    <w:name w:val="Texto de balão Char"/>
    <w:link w:val="Textodebalo"/>
    <w:uiPriority w:val="99"/>
    <w:semiHidden/>
    <w:rsid w:val="00D47708"/>
    <w:rPr>
      <w:rFonts w:ascii="Tahoma" w:hAnsi="Tahoma" w:cs="Tahoma"/>
      <w:sz w:val="16"/>
      <w:szCs w:val="16"/>
    </w:rPr>
  </w:style>
  <w:style w:type="character" w:customStyle="1" w:styleId="ParagraphChar">
    <w:name w:val="Paragraph Char"/>
    <w:aliases w:val="p Char,PARAGRAPH Char,PG Char,pa Char,at Char,paragraph Char"/>
    <w:link w:val="Paragraph"/>
    <w:locked/>
    <w:rsid w:val="006B5333"/>
    <w:rPr>
      <w:rFonts w:ascii="Times New Roman" w:eastAsia="Times New Roman" w:hAnsi="Times New Roman"/>
      <w:sz w:val="24"/>
      <w:lang w:val="en-US" w:eastAsia="en-US"/>
    </w:rPr>
  </w:style>
  <w:style w:type="paragraph" w:styleId="Partesuperior-zdoformulrio">
    <w:name w:val="HTML Top of Form"/>
    <w:basedOn w:val="Normal"/>
    <w:next w:val="Normal"/>
    <w:link w:val="Partesuperior-zdoformulrioChar"/>
    <w:hidden/>
    <w:uiPriority w:val="99"/>
    <w:semiHidden/>
    <w:unhideWhenUsed/>
    <w:rsid w:val="00391EB5"/>
    <w:pPr>
      <w:pBdr>
        <w:bottom w:val="single" w:sz="6" w:space="1" w:color="auto"/>
      </w:pBdr>
      <w:jc w:val="center"/>
    </w:pPr>
    <w:rPr>
      <w:rFonts w:ascii="Arial" w:hAnsi="Arial"/>
      <w:vanish/>
      <w:sz w:val="16"/>
      <w:szCs w:val="16"/>
    </w:rPr>
  </w:style>
  <w:style w:type="character" w:customStyle="1" w:styleId="Partesuperior-zdoformulrioChar">
    <w:name w:val="Parte superior-z do formulário Char"/>
    <w:link w:val="Partesuperior-zdoformulrio"/>
    <w:uiPriority w:val="99"/>
    <w:semiHidden/>
    <w:rsid w:val="00391EB5"/>
    <w:rPr>
      <w:rFonts w:ascii="Arial" w:eastAsia="Times New Roman"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391EB5"/>
    <w:pPr>
      <w:pBdr>
        <w:top w:val="single" w:sz="6" w:space="1" w:color="auto"/>
      </w:pBdr>
      <w:jc w:val="center"/>
    </w:pPr>
    <w:rPr>
      <w:rFonts w:ascii="Arial" w:hAnsi="Arial"/>
      <w:vanish/>
      <w:sz w:val="16"/>
      <w:szCs w:val="16"/>
    </w:rPr>
  </w:style>
  <w:style w:type="character" w:customStyle="1" w:styleId="ParteinferiordoformulrioChar">
    <w:name w:val="Parte inferior do formulário Char"/>
    <w:link w:val="Parteinferiordoformulrio"/>
    <w:uiPriority w:val="99"/>
    <w:rsid w:val="00391EB5"/>
    <w:rPr>
      <w:rFonts w:ascii="Arial" w:eastAsia="Times New Roman" w:hAnsi="Arial" w:cs="Arial"/>
      <w:vanish/>
      <w:sz w:val="16"/>
      <w:szCs w:val="16"/>
    </w:rPr>
  </w:style>
  <w:style w:type="paragraph" w:styleId="SemEspaamento">
    <w:name w:val="No Spacing"/>
    <w:link w:val="SemEspaamentoChar"/>
    <w:uiPriority w:val="1"/>
    <w:qFormat/>
    <w:rsid w:val="00114300"/>
    <w:rPr>
      <w:rFonts w:eastAsia="Times New Roman"/>
      <w:sz w:val="22"/>
      <w:szCs w:val="22"/>
      <w:lang w:eastAsia="en-US"/>
    </w:rPr>
  </w:style>
  <w:style w:type="character" w:customStyle="1" w:styleId="SemEspaamentoChar">
    <w:name w:val="Sem Espaçamento Char"/>
    <w:link w:val="SemEspaamento"/>
    <w:uiPriority w:val="1"/>
    <w:rsid w:val="00114300"/>
    <w:rPr>
      <w:rFonts w:eastAsia="Times New Roman"/>
      <w:sz w:val="22"/>
      <w:szCs w:val="22"/>
      <w:lang w:val="pt-BR" w:eastAsia="en-US" w:bidi="ar-SA"/>
    </w:rPr>
  </w:style>
  <w:style w:type="character" w:styleId="Refdecomentrio">
    <w:name w:val="annotation reference"/>
    <w:semiHidden/>
    <w:unhideWhenUsed/>
    <w:rsid w:val="00BC3192"/>
    <w:rPr>
      <w:sz w:val="16"/>
      <w:szCs w:val="16"/>
    </w:rPr>
  </w:style>
  <w:style w:type="paragraph" w:styleId="Textodecomentrio">
    <w:name w:val="annotation text"/>
    <w:basedOn w:val="Normal"/>
    <w:link w:val="TextodecomentrioChar"/>
    <w:semiHidden/>
    <w:unhideWhenUsed/>
    <w:rsid w:val="00BC3192"/>
    <w:rPr>
      <w:sz w:val="20"/>
      <w:szCs w:val="20"/>
    </w:rPr>
  </w:style>
  <w:style w:type="character" w:customStyle="1" w:styleId="TextodecomentrioChar">
    <w:name w:val="Texto de comentário Char"/>
    <w:link w:val="Textodecomentrio"/>
    <w:semiHidden/>
    <w:rsid w:val="00BC3192"/>
    <w:rPr>
      <w:noProof/>
      <w:lang w:val="es-ES"/>
    </w:rPr>
  </w:style>
  <w:style w:type="paragraph" w:styleId="Assuntodocomentrio">
    <w:name w:val="annotation subject"/>
    <w:basedOn w:val="Textodecomentrio"/>
    <w:next w:val="Textodecomentrio"/>
    <w:link w:val="AssuntodocomentrioChar"/>
    <w:uiPriority w:val="99"/>
    <w:semiHidden/>
    <w:unhideWhenUsed/>
    <w:rsid w:val="00BC3192"/>
    <w:rPr>
      <w:b/>
      <w:bCs/>
    </w:rPr>
  </w:style>
  <w:style w:type="character" w:customStyle="1" w:styleId="AssuntodocomentrioChar">
    <w:name w:val="Assunto do comentário Char"/>
    <w:link w:val="Assuntodocomentrio"/>
    <w:uiPriority w:val="99"/>
    <w:semiHidden/>
    <w:rsid w:val="00BC3192"/>
    <w:rPr>
      <w:b/>
      <w:bCs/>
      <w:noProof/>
      <w:lang w:val="es-ES"/>
    </w:rPr>
  </w:style>
  <w:style w:type="paragraph" w:styleId="Reviso">
    <w:name w:val="Revision"/>
    <w:hidden/>
    <w:uiPriority w:val="99"/>
    <w:semiHidden/>
    <w:rsid w:val="0067740C"/>
    <w:rPr>
      <w:noProof/>
      <w:sz w:val="22"/>
      <w:szCs w:val="22"/>
      <w:lang w:val="es-ES" w:eastAsia="en-US"/>
    </w:rPr>
  </w:style>
  <w:style w:type="character" w:customStyle="1" w:styleId="Ttulo4Char">
    <w:name w:val="Título 4 Char"/>
    <w:basedOn w:val="Fontepargpadro"/>
    <w:link w:val="Ttulo4"/>
    <w:uiPriority w:val="9"/>
    <w:semiHidden/>
    <w:rsid w:val="00FD4109"/>
    <w:rPr>
      <w:rFonts w:asciiTheme="majorHAnsi" w:eastAsiaTheme="majorEastAsia" w:hAnsiTheme="majorHAnsi" w:cstheme="majorBidi"/>
      <w:b/>
      <w:bCs/>
      <w:i/>
      <w:iCs/>
      <w:noProof/>
      <w:color w:val="4F81BD" w:themeColor="accent1"/>
      <w:sz w:val="22"/>
      <w:szCs w:val="22"/>
      <w:lang w:val="es-ES" w:eastAsia="en-US"/>
    </w:rPr>
  </w:style>
  <w:style w:type="paragraph" w:styleId="NormalWeb">
    <w:name w:val="Normal (Web)"/>
    <w:basedOn w:val="Normal"/>
    <w:uiPriority w:val="99"/>
    <w:semiHidden/>
    <w:unhideWhenUsed/>
    <w:rsid w:val="001F71A7"/>
    <w:pPr>
      <w:spacing w:before="100" w:beforeAutospacing="1" w:after="100" w:afterAutospacing="1"/>
    </w:pPr>
  </w:style>
  <w:style w:type="character" w:styleId="nfase">
    <w:name w:val="Emphasis"/>
    <w:basedOn w:val="Fontepargpadro"/>
    <w:uiPriority w:val="20"/>
    <w:qFormat/>
    <w:rsid w:val="001F71A7"/>
    <w:rPr>
      <w:i/>
      <w:iCs/>
    </w:rPr>
  </w:style>
  <w:style w:type="paragraph" w:styleId="Corpodetexto">
    <w:name w:val="Body Text"/>
    <w:basedOn w:val="Normal"/>
    <w:link w:val="CorpodetextoChar"/>
    <w:uiPriority w:val="99"/>
    <w:semiHidden/>
    <w:unhideWhenUsed/>
    <w:rsid w:val="00B72339"/>
    <w:pPr>
      <w:spacing w:after="120"/>
    </w:pPr>
  </w:style>
  <w:style w:type="character" w:customStyle="1" w:styleId="CorpodetextoChar">
    <w:name w:val="Corpo de texto Char"/>
    <w:basedOn w:val="Fontepargpadro"/>
    <w:link w:val="Corpodetexto"/>
    <w:uiPriority w:val="99"/>
    <w:semiHidden/>
    <w:rsid w:val="00B72339"/>
    <w:rPr>
      <w:noProof/>
      <w:sz w:val="22"/>
      <w:szCs w:val="22"/>
      <w:lang w:val="es-ES" w:eastAsia="en-US"/>
    </w:rPr>
  </w:style>
  <w:style w:type="character" w:customStyle="1" w:styleId="Ttulo5Char">
    <w:name w:val="Título 5 Char"/>
    <w:basedOn w:val="Fontepargpadro"/>
    <w:link w:val="Ttulo5"/>
    <w:rsid w:val="00BF574E"/>
    <w:rPr>
      <w:rFonts w:ascii="Times New Roman" w:eastAsia="Times New Roman" w:hAnsi="Times New Roman"/>
      <w:sz w:val="22"/>
      <w:lang w:val="es-ES_tradnl" w:eastAsia="en-US"/>
    </w:rPr>
  </w:style>
  <w:style w:type="character" w:customStyle="1" w:styleId="Ttulo6Char">
    <w:name w:val="Título 6 Char"/>
    <w:basedOn w:val="Fontepargpadro"/>
    <w:link w:val="Ttulo6"/>
    <w:rsid w:val="00BF574E"/>
    <w:rPr>
      <w:rFonts w:ascii="Times New Roman" w:eastAsia="Times New Roman" w:hAnsi="Times New Roman"/>
      <w:i/>
      <w:sz w:val="22"/>
      <w:lang w:val="es-ES_tradnl" w:eastAsia="en-US"/>
    </w:rPr>
  </w:style>
  <w:style w:type="character" w:customStyle="1" w:styleId="Ttulo7Char">
    <w:name w:val="Título 7 Char"/>
    <w:basedOn w:val="Fontepargpadro"/>
    <w:link w:val="Ttulo7"/>
    <w:rsid w:val="00BF574E"/>
    <w:rPr>
      <w:rFonts w:ascii="Arial" w:eastAsia="Times New Roman" w:hAnsi="Arial"/>
      <w:sz w:val="24"/>
      <w:lang w:val="es-ES_tradnl" w:eastAsia="en-US"/>
    </w:rPr>
  </w:style>
  <w:style w:type="character" w:customStyle="1" w:styleId="Ttulo8Char">
    <w:name w:val="Título 8 Char"/>
    <w:basedOn w:val="Fontepargpadro"/>
    <w:link w:val="Ttulo8"/>
    <w:rsid w:val="00BF574E"/>
    <w:rPr>
      <w:rFonts w:ascii="Arial" w:eastAsia="Times New Roman" w:hAnsi="Arial"/>
      <w:i/>
      <w:sz w:val="24"/>
      <w:lang w:val="es-ES_tradnl" w:eastAsia="en-US"/>
    </w:rPr>
  </w:style>
  <w:style w:type="paragraph" w:customStyle="1" w:styleId="FirstHeading">
    <w:name w:val="FirstHeading"/>
    <w:basedOn w:val="Normal"/>
    <w:next w:val="Normal"/>
    <w:rsid w:val="00BF574E"/>
    <w:pPr>
      <w:keepNext/>
      <w:tabs>
        <w:tab w:val="left" w:pos="0"/>
        <w:tab w:val="left" w:pos="86"/>
      </w:tabs>
      <w:spacing w:before="120" w:after="120"/>
      <w:ind w:left="720" w:hanging="720"/>
    </w:pPr>
    <w:rPr>
      <w:b/>
      <w:szCs w:val="20"/>
      <w:lang w:val="es-ES_tradnl"/>
    </w:rPr>
  </w:style>
  <w:style w:type="paragraph" w:customStyle="1" w:styleId="SecHeading">
    <w:name w:val="SecHeading"/>
    <w:basedOn w:val="Normal"/>
    <w:next w:val="Paragraph"/>
    <w:rsid w:val="00BF574E"/>
    <w:pPr>
      <w:keepNext/>
      <w:tabs>
        <w:tab w:val="num" w:pos="1296"/>
      </w:tabs>
      <w:spacing w:before="120" w:after="120"/>
      <w:ind w:left="1296" w:hanging="576"/>
    </w:pPr>
    <w:rPr>
      <w:b/>
      <w:szCs w:val="20"/>
      <w:lang w:val="es-ES_tradnl"/>
    </w:rPr>
  </w:style>
  <w:style w:type="paragraph" w:customStyle="1" w:styleId="SubHeading1">
    <w:name w:val="SubHeading1"/>
    <w:basedOn w:val="SecHeading"/>
    <w:rsid w:val="00BF574E"/>
    <w:pPr>
      <w:tabs>
        <w:tab w:val="clear" w:pos="1296"/>
        <w:tab w:val="num" w:pos="1872"/>
      </w:tabs>
      <w:ind w:left="1872"/>
    </w:pPr>
  </w:style>
  <w:style w:type="paragraph" w:customStyle="1" w:styleId="Subheading2">
    <w:name w:val="Subheading2"/>
    <w:basedOn w:val="SecHeading"/>
    <w:rsid w:val="00BF574E"/>
    <w:pPr>
      <w:tabs>
        <w:tab w:val="clear" w:pos="1296"/>
        <w:tab w:val="num" w:pos="2376"/>
      </w:tabs>
      <w:ind w:left="2376" w:hanging="288"/>
    </w:pPr>
  </w:style>
  <w:style w:type="character" w:styleId="Hyperlink">
    <w:name w:val="Hyperlink"/>
    <w:uiPriority w:val="99"/>
    <w:rsid w:val="00BF574E"/>
    <w:rPr>
      <w:color w:val="0000FF"/>
      <w:u w:val="single"/>
    </w:rPr>
  </w:style>
  <w:style w:type="paragraph" w:customStyle="1" w:styleId="Char2">
    <w:name w:val="Char2"/>
    <w:basedOn w:val="Normal"/>
    <w:link w:val="Refdenotaderodap"/>
    <w:rsid w:val="00BF574E"/>
    <w:pPr>
      <w:spacing w:after="160" w:line="240" w:lineRule="exact"/>
    </w:pPr>
    <w:rPr>
      <w:sz w:val="20"/>
      <w:szCs w:val="20"/>
      <w:vertAlign w:val="superscript"/>
      <w:lang w:val="pt-BR" w:eastAsia="pt-BR"/>
    </w:rPr>
  </w:style>
  <w:style w:type="character" w:customStyle="1" w:styleId="Ttulo1Char">
    <w:name w:val="Título 1 Char"/>
    <w:basedOn w:val="Fontepargpadro"/>
    <w:link w:val="Ttulo1"/>
    <w:uiPriority w:val="9"/>
    <w:rsid w:val="00C7130E"/>
    <w:rPr>
      <w:rFonts w:asciiTheme="majorHAnsi" w:eastAsiaTheme="majorEastAsia" w:hAnsiTheme="majorHAnsi" w:cstheme="majorBidi"/>
      <w:b/>
      <w:bCs/>
      <w:color w:val="365F91" w:themeColor="accent1" w:themeShade="BF"/>
      <w:sz w:val="28"/>
      <w:szCs w:val="28"/>
      <w:lang w:val="en-US" w:eastAsia="en-US"/>
    </w:rPr>
  </w:style>
  <w:style w:type="paragraph" w:styleId="CabealhodoSumrio">
    <w:name w:val="TOC Heading"/>
    <w:basedOn w:val="Ttulo1"/>
    <w:next w:val="Normal"/>
    <w:uiPriority w:val="39"/>
    <w:semiHidden/>
    <w:unhideWhenUsed/>
    <w:qFormat/>
    <w:rsid w:val="00C7130E"/>
    <w:pPr>
      <w:spacing w:line="276" w:lineRule="auto"/>
      <w:outlineLvl w:val="9"/>
    </w:pPr>
  </w:style>
  <w:style w:type="paragraph" w:styleId="Sumrio3">
    <w:name w:val="toc 3"/>
    <w:basedOn w:val="Normal"/>
    <w:next w:val="Normal"/>
    <w:autoRedefine/>
    <w:uiPriority w:val="39"/>
    <w:unhideWhenUsed/>
    <w:qFormat/>
    <w:rsid w:val="00C7130E"/>
    <w:pPr>
      <w:spacing w:after="100"/>
      <w:ind w:left="480"/>
    </w:pPr>
  </w:style>
  <w:style w:type="paragraph" w:styleId="Sumrio2">
    <w:name w:val="toc 2"/>
    <w:basedOn w:val="Normal"/>
    <w:next w:val="Normal"/>
    <w:autoRedefine/>
    <w:uiPriority w:val="39"/>
    <w:unhideWhenUsed/>
    <w:qFormat/>
    <w:rsid w:val="00C7130E"/>
    <w:pPr>
      <w:spacing w:after="100"/>
      <w:ind w:left="240"/>
    </w:pPr>
  </w:style>
  <w:style w:type="paragraph" w:styleId="Sumrio1">
    <w:name w:val="toc 1"/>
    <w:basedOn w:val="Normal"/>
    <w:next w:val="Normal"/>
    <w:autoRedefine/>
    <w:uiPriority w:val="39"/>
    <w:unhideWhenUsed/>
    <w:qFormat/>
    <w:rsid w:val="00C7130E"/>
    <w:pPr>
      <w:spacing w:after="100" w:line="276" w:lineRule="auto"/>
    </w:pPr>
    <w:rPr>
      <w:rFonts w:asciiTheme="minorHAnsi" w:eastAsiaTheme="minorEastAsia" w:hAnsiTheme="minorHAnsi" w:cstheme="minorBidi"/>
      <w:sz w:val="22"/>
      <w:szCs w:val="22"/>
    </w:rPr>
  </w:style>
  <w:style w:type="paragraph" w:styleId="Remissivo1">
    <w:name w:val="index 1"/>
    <w:basedOn w:val="Normal"/>
    <w:next w:val="Normal"/>
    <w:autoRedefine/>
    <w:uiPriority w:val="99"/>
    <w:semiHidden/>
    <w:unhideWhenUsed/>
    <w:rsid w:val="00C7130E"/>
    <w:pPr>
      <w:ind w:left="240" w:hanging="240"/>
    </w:pPr>
  </w:style>
  <w:style w:type="numbering" w:customStyle="1" w:styleId="Estilo1">
    <w:name w:val="Estilo1"/>
    <w:uiPriority w:val="99"/>
    <w:rsid w:val="00731E55"/>
    <w:pPr>
      <w:numPr>
        <w:numId w:val="16"/>
      </w:numPr>
    </w:pPr>
  </w:style>
  <w:style w:type="numbering" w:customStyle="1" w:styleId="Estilo2">
    <w:name w:val="Estilo2"/>
    <w:uiPriority w:val="99"/>
    <w:rsid w:val="00731E55"/>
    <w:pPr>
      <w:numPr>
        <w:numId w:val="17"/>
      </w:numPr>
    </w:pPr>
  </w:style>
  <w:style w:type="numbering" w:customStyle="1" w:styleId="Estilo3">
    <w:name w:val="Estilo3"/>
    <w:uiPriority w:val="99"/>
    <w:rsid w:val="00731E55"/>
    <w:pPr>
      <w:numPr>
        <w:numId w:val="18"/>
      </w:numPr>
    </w:pPr>
  </w:style>
  <w:style w:type="numbering" w:customStyle="1" w:styleId="Estilo4">
    <w:name w:val="Estilo4"/>
    <w:uiPriority w:val="99"/>
    <w:rsid w:val="00731E55"/>
    <w:pPr>
      <w:numPr>
        <w:numId w:val="20"/>
      </w:numPr>
    </w:pPr>
  </w:style>
  <w:style w:type="character" w:customStyle="1" w:styleId="Ttulo2Char">
    <w:name w:val="Título 2 Char"/>
    <w:basedOn w:val="Fontepargpadro"/>
    <w:link w:val="Ttulo2"/>
    <w:uiPriority w:val="9"/>
    <w:rsid w:val="000A1E09"/>
    <w:rPr>
      <w:rFonts w:asciiTheme="majorHAnsi" w:eastAsiaTheme="majorEastAsia" w:hAnsiTheme="majorHAnsi" w:cstheme="majorBidi"/>
      <w:b/>
      <w:bCs/>
      <w:color w:val="4F81BD" w:themeColor="accent1"/>
      <w:sz w:val="26"/>
      <w:szCs w:val="26"/>
      <w:lang w:val="en-US" w:eastAsia="en-US"/>
    </w:rPr>
  </w:style>
  <w:style w:type="character" w:customStyle="1" w:styleId="Ttulo3Char">
    <w:name w:val="Título 3 Char"/>
    <w:basedOn w:val="Fontepargpadro"/>
    <w:link w:val="Ttulo3"/>
    <w:uiPriority w:val="9"/>
    <w:rsid w:val="000A1E09"/>
    <w:rPr>
      <w:rFonts w:asciiTheme="majorHAnsi" w:eastAsiaTheme="majorEastAsia" w:hAnsiTheme="majorHAnsi" w:cstheme="majorBidi"/>
      <w:b/>
      <w:bCs/>
      <w:color w:val="4F81BD" w:themeColor="accent1"/>
      <w:sz w:val="24"/>
      <w:szCs w:val="24"/>
      <w:lang w:val="en-US" w:eastAsia="en-US"/>
    </w:rPr>
  </w:style>
  <w:style w:type="character" w:customStyle="1" w:styleId="UnresolvedMention">
    <w:name w:val="Unresolved Mention"/>
    <w:basedOn w:val="Fontepargpadro"/>
    <w:uiPriority w:val="99"/>
    <w:semiHidden/>
    <w:unhideWhenUsed/>
    <w:rsid w:val="003B2D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38434214">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57749341">
      <w:bodyDiv w:val="1"/>
      <w:marLeft w:val="0"/>
      <w:marRight w:val="0"/>
      <w:marTop w:val="0"/>
      <w:marBottom w:val="0"/>
      <w:divBdr>
        <w:top w:val="none" w:sz="0" w:space="0" w:color="auto"/>
        <w:left w:val="none" w:sz="0" w:space="0" w:color="auto"/>
        <w:bottom w:val="none" w:sz="0" w:space="0" w:color="auto"/>
        <w:right w:val="none" w:sz="0" w:space="0" w:color="auto"/>
      </w:divBdr>
    </w:div>
    <w:div w:id="59715532">
      <w:bodyDiv w:val="1"/>
      <w:marLeft w:val="0"/>
      <w:marRight w:val="0"/>
      <w:marTop w:val="0"/>
      <w:marBottom w:val="0"/>
      <w:divBdr>
        <w:top w:val="none" w:sz="0" w:space="0" w:color="auto"/>
        <w:left w:val="none" w:sz="0" w:space="0" w:color="auto"/>
        <w:bottom w:val="none" w:sz="0" w:space="0" w:color="auto"/>
        <w:right w:val="none" w:sz="0" w:space="0" w:color="auto"/>
      </w:divBdr>
    </w:div>
    <w:div w:id="62067190">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53188118">
      <w:bodyDiv w:val="1"/>
      <w:marLeft w:val="0"/>
      <w:marRight w:val="0"/>
      <w:marTop w:val="0"/>
      <w:marBottom w:val="0"/>
      <w:divBdr>
        <w:top w:val="none" w:sz="0" w:space="0" w:color="auto"/>
        <w:left w:val="none" w:sz="0" w:space="0" w:color="auto"/>
        <w:bottom w:val="none" w:sz="0" w:space="0" w:color="auto"/>
        <w:right w:val="none" w:sz="0" w:space="0" w:color="auto"/>
      </w:divBdr>
    </w:div>
    <w:div w:id="154422195">
      <w:bodyDiv w:val="1"/>
      <w:marLeft w:val="0"/>
      <w:marRight w:val="0"/>
      <w:marTop w:val="0"/>
      <w:marBottom w:val="0"/>
      <w:divBdr>
        <w:top w:val="none" w:sz="0" w:space="0" w:color="auto"/>
        <w:left w:val="none" w:sz="0" w:space="0" w:color="auto"/>
        <w:bottom w:val="none" w:sz="0" w:space="0" w:color="auto"/>
        <w:right w:val="none" w:sz="0" w:space="0" w:color="auto"/>
      </w:divBdr>
    </w:div>
    <w:div w:id="162547380">
      <w:bodyDiv w:val="1"/>
      <w:marLeft w:val="0"/>
      <w:marRight w:val="0"/>
      <w:marTop w:val="0"/>
      <w:marBottom w:val="0"/>
      <w:divBdr>
        <w:top w:val="none" w:sz="0" w:space="0" w:color="auto"/>
        <w:left w:val="none" w:sz="0" w:space="0" w:color="auto"/>
        <w:bottom w:val="none" w:sz="0" w:space="0" w:color="auto"/>
        <w:right w:val="none" w:sz="0" w:space="0" w:color="auto"/>
      </w:divBdr>
    </w:div>
    <w:div w:id="171536263">
      <w:bodyDiv w:val="1"/>
      <w:marLeft w:val="0"/>
      <w:marRight w:val="0"/>
      <w:marTop w:val="0"/>
      <w:marBottom w:val="0"/>
      <w:divBdr>
        <w:top w:val="none" w:sz="0" w:space="0" w:color="auto"/>
        <w:left w:val="none" w:sz="0" w:space="0" w:color="auto"/>
        <w:bottom w:val="none" w:sz="0" w:space="0" w:color="auto"/>
        <w:right w:val="none" w:sz="0" w:space="0" w:color="auto"/>
      </w:divBdr>
    </w:div>
    <w:div w:id="200168868">
      <w:bodyDiv w:val="1"/>
      <w:marLeft w:val="0"/>
      <w:marRight w:val="0"/>
      <w:marTop w:val="0"/>
      <w:marBottom w:val="0"/>
      <w:divBdr>
        <w:top w:val="none" w:sz="0" w:space="0" w:color="auto"/>
        <w:left w:val="none" w:sz="0" w:space="0" w:color="auto"/>
        <w:bottom w:val="none" w:sz="0" w:space="0" w:color="auto"/>
        <w:right w:val="none" w:sz="0" w:space="0" w:color="auto"/>
      </w:divBdr>
    </w:div>
    <w:div w:id="211818771">
      <w:bodyDiv w:val="1"/>
      <w:marLeft w:val="0"/>
      <w:marRight w:val="0"/>
      <w:marTop w:val="0"/>
      <w:marBottom w:val="0"/>
      <w:divBdr>
        <w:top w:val="none" w:sz="0" w:space="0" w:color="auto"/>
        <w:left w:val="none" w:sz="0" w:space="0" w:color="auto"/>
        <w:bottom w:val="none" w:sz="0" w:space="0" w:color="auto"/>
        <w:right w:val="none" w:sz="0" w:space="0" w:color="auto"/>
      </w:divBdr>
    </w:div>
    <w:div w:id="219243851">
      <w:bodyDiv w:val="1"/>
      <w:marLeft w:val="0"/>
      <w:marRight w:val="0"/>
      <w:marTop w:val="0"/>
      <w:marBottom w:val="0"/>
      <w:divBdr>
        <w:top w:val="none" w:sz="0" w:space="0" w:color="auto"/>
        <w:left w:val="none" w:sz="0" w:space="0" w:color="auto"/>
        <w:bottom w:val="none" w:sz="0" w:space="0" w:color="auto"/>
        <w:right w:val="none" w:sz="0" w:space="0" w:color="auto"/>
      </w:divBdr>
    </w:div>
    <w:div w:id="231701058">
      <w:bodyDiv w:val="1"/>
      <w:marLeft w:val="0"/>
      <w:marRight w:val="0"/>
      <w:marTop w:val="0"/>
      <w:marBottom w:val="0"/>
      <w:divBdr>
        <w:top w:val="none" w:sz="0" w:space="0" w:color="auto"/>
        <w:left w:val="none" w:sz="0" w:space="0" w:color="auto"/>
        <w:bottom w:val="none" w:sz="0" w:space="0" w:color="auto"/>
        <w:right w:val="none" w:sz="0" w:space="0" w:color="auto"/>
      </w:divBdr>
    </w:div>
    <w:div w:id="272826747">
      <w:bodyDiv w:val="1"/>
      <w:marLeft w:val="0"/>
      <w:marRight w:val="0"/>
      <w:marTop w:val="0"/>
      <w:marBottom w:val="0"/>
      <w:divBdr>
        <w:top w:val="none" w:sz="0" w:space="0" w:color="auto"/>
        <w:left w:val="none" w:sz="0" w:space="0" w:color="auto"/>
        <w:bottom w:val="none" w:sz="0" w:space="0" w:color="auto"/>
        <w:right w:val="none" w:sz="0" w:space="0" w:color="auto"/>
      </w:divBdr>
    </w:div>
    <w:div w:id="280379495">
      <w:bodyDiv w:val="1"/>
      <w:marLeft w:val="0"/>
      <w:marRight w:val="0"/>
      <w:marTop w:val="0"/>
      <w:marBottom w:val="0"/>
      <w:divBdr>
        <w:top w:val="none" w:sz="0" w:space="0" w:color="auto"/>
        <w:left w:val="none" w:sz="0" w:space="0" w:color="auto"/>
        <w:bottom w:val="none" w:sz="0" w:space="0" w:color="auto"/>
        <w:right w:val="none" w:sz="0" w:space="0" w:color="auto"/>
      </w:divBdr>
    </w:div>
    <w:div w:id="314143544">
      <w:bodyDiv w:val="1"/>
      <w:marLeft w:val="0"/>
      <w:marRight w:val="0"/>
      <w:marTop w:val="0"/>
      <w:marBottom w:val="0"/>
      <w:divBdr>
        <w:top w:val="none" w:sz="0" w:space="0" w:color="auto"/>
        <w:left w:val="none" w:sz="0" w:space="0" w:color="auto"/>
        <w:bottom w:val="none" w:sz="0" w:space="0" w:color="auto"/>
        <w:right w:val="none" w:sz="0" w:space="0" w:color="auto"/>
      </w:divBdr>
    </w:div>
    <w:div w:id="373583969">
      <w:bodyDiv w:val="1"/>
      <w:marLeft w:val="0"/>
      <w:marRight w:val="0"/>
      <w:marTop w:val="0"/>
      <w:marBottom w:val="0"/>
      <w:divBdr>
        <w:top w:val="none" w:sz="0" w:space="0" w:color="auto"/>
        <w:left w:val="none" w:sz="0" w:space="0" w:color="auto"/>
        <w:bottom w:val="none" w:sz="0" w:space="0" w:color="auto"/>
        <w:right w:val="none" w:sz="0" w:space="0" w:color="auto"/>
      </w:divBdr>
    </w:div>
    <w:div w:id="388113671">
      <w:bodyDiv w:val="1"/>
      <w:marLeft w:val="0"/>
      <w:marRight w:val="0"/>
      <w:marTop w:val="0"/>
      <w:marBottom w:val="0"/>
      <w:divBdr>
        <w:top w:val="none" w:sz="0" w:space="0" w:color="auto"/>
        <w:left w:val="none" w:sz="0" w:space="0" w:color="auto"/>
        <w:bottom w:val="none" w:sz="0" w:space="0" w:color="auto"/>
        <w:right w:val="none" w:sz="0" w:space="0" w:color="auto"/>
      </w:divBdr>
    </w:div>
    <w:div w:id="419911844">
      <w:bodyDiv w:val="1"/>
      <w:marLeft w:val="0"/>
      <w:marRight w:val="0"/>
      <w:marTop w:val="0"/>
      <w:marBottom w:val="0"/>
      <w:divBdr>
        <w:top w:val="none" w:sz="0" w:space="0" w:color="auto"/>
        <w:left w:val="none" w:sz="0" w:space="0" w:color="auto"/>
        <w:bottom w:val="none" w:sz="0" w:space="0" w:color="auto"/>
        <w:right w:val="none" w:sz="0" w:space="0" w:color="auto"/>
      </w:divBdr>
    </w:div>
    <w:div w:id="423653231">
      <w:bodyDiv w:val="1"/>
      <w:marLeft w:val="0"/>
      <w:marRight w:val="0"/>
      <w:marTop w:val="0"/>
      <w:marBottom w:val="0"/>
      <w:divBdr>
        <w:top w:val="none" w:sz="0" w:space="0" w:color="auto"/>
        <w:left w:val="none" w:sz="0" w:space="0" w:color="auto"/>
        <w:bottom w:val="none" w:sz="0" w:space="0" w:color="auto"/>
        <w:right w:val="none" w:sz="0" w:space="0" w:color="auto"/>
      </w:divBdr>
    </w:div>
    <w:div w:id="425149377">
      <w:bodyDiv w:val="1"/>
      <w:marLeft w:val="0"/>
      <w:marRight w:val="0"/>
      <w:marTop w:val="0"/>
      <w:marBottom w:val="0"/>
      <w:divBdr>
        <w:top w:val="none" w:sz="0" w:space="0" w:color="auto"/>
        <w:left w:val="none" w:sz="0" w:space="0" w:color="auto"/>
        <w:bottom w:val="none" w:sz="0" w:space="0" w:color="auto"/>
        <w:right w:val="none" w:sz="0" w:space="0" w:color="auto"/>
      </w:divBdr>
    </w:div>
    <w:div w:id="430391756">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46851295">
      <w:bodyDiv w:val="1"/>
      <w:marLeft w:val="0"/>
      <w:marRight w:val="0"/>
      <w:marTop w:val="0"/>
      <w:marBottom w:val="0"/>
      <w:divBdr>
        <w:top w:val="none" w:sz="0" w:space="0" w:color="auto"/>
        <w:left w:val="none" w:sz="0" w:space="0" w:color="auto"/>
        <w:bottom w:val="none" w:sz="0" w:space="0" w:color="auto"/>
        <w:right w:val="none" w:sz="0" w:space="0" w:color="auto"/>
      </w:divBdr>
    </w:div>
    <w:div w:id="472866032">
      <w:bodyDiv w:val="1"/>
      <w:marLeft w:val="0"/>
      <w:marRight w:val="0"/>
      <w:marTop w:val="0"/>
      <w:marBottom w:val="0"/>
      <w:divBdr>
        <w:top w:val="none" w:sz="0" w:space="0" w:color="auto"/>
        <w:left w:val="none" w:sz="0" w:space="0" w:color="auto"/>
        <w:bottom w:val="none" w:sz="0" w:space="0" w:color="auto"/>
        <w:right w:val="none" w:sz="0" w:space="0" w:color="auto"/>
      </w:divBdr>
    </w:div>
    <w:div w:id="475532121">
      <w:bodyDiv w:val="1"/>
      <w:marLeft w:val="0"/>
      <w:marRight w:val="0"/>
      <w:marTop w:val="0"/>
      <w:marBottom w:val="0"/>
      <w:divBdr>
        <w:top w:val="none" w:sz="0" w:space="0" w:color="auto"/>
        <w:left w:val="none" w:sz="0" w:space="0" w:color="auto"/>
        <w:bottom w:val="none" w:sz="0" w:space="0" w:color="auto"/>
        <w:right w:val="none" w:sz="0" w:space="0" w:color="auto"/>
      </w:divBdr>
    </w:div>
    <w:div w:id="482240433">
      <w:bodyDiv w:val="1"/>
      <w:marLeft w:val="0"/>
      <w:marRight w:val="0"/>
      <w:marTop w:val="0"/>
      <w:marBottom w:val="0"/>
      <w:divBdr>
        <w:top w:val="none" w:sz="0" w:space="0" w:color="auto"/>
        <w:left w:val="none" w:sz="0" w:space="0" w:color="auto"/>
        <w:bottom w:val="none" w:sz="0" w:space="0" w:color="auto"/>
        <w:right w:val="none" w:sz="0" w:space="0" w:color="auto"/>
      </w:divBdr>
    </w:div>
    <w:div w:id="484052989">
      <w:bodyDiv w:val="1"/>
      <w:marLeft w:val="0"/>
      <w:marRight w:val="0"/>
      <w:marTop w:val="0"/>
      <w:marBottom w:val="0"/>
      <w:divBdr>
        <w:top w:val="none" w:sz="0" w:space="0" w:color="auto"/>
        <w:left w:val="none" w:sz="0" w:space="0" w:color="auto"/>
        <w:bottom w:val="none" w:sz="0" w:space="0" w:color="auto"/>
        <w:right w:val="none" w:sz="0" w:space="0" w:color="auto"/>
      </w:divBdr>
    </w:div>
    <w:div w:id="491675355">
      <w:bodyDiv w:val="1"/>
      <w:marLeft w:val="0"/>
      <w:marRight w:val="0"/>
      <w:marTop w:val="0"/>
      <w:marBottom w:val="0"/>
      <w:divBdr>
        <w:top w:val="none" w:sz="0" w:space="0" w:color="auto"/>
        <w:left w:val="none" w:sz="0" w:space="0" w:color="auto"/>
        <w:bottom w:val="none" w:sz="0" w:space="0" w:color="auto"/>
        <w:right w:val="none" w:sz="0" w:space="0" w:color="auto"/>
      </w:divBdr>
    </w:div>
    <w:div w:id="523634427">
      <w:bodyDiv w:val="1"/>
      <w:marLeft w:val="0"/>
      <w:marRight w:val="0"/>
      <w:marTop w:val="0"/>
      <w:marBottom w:val="0"/>
      <w:divBdr>
        <w:top w:val="none" w:sz="0" w:space="0" w:color="auto"/>
        <w:left w:val="none" w:sz="0" w:space="0" w:color="auto"/>
        <w:bottom w:val="none" w:sz="0" w:space="0" w:color="auto"/>
        <w:right w:val="none" w:sz="0" w:space="0" w:color="auto"/>
      </w:divBdr>
    </w:div>
    <w:div w:id="535310352">
      <w:bodyDiv w:val="1"/>
      <w:marLeft w:val="0"/>
      <w:marRight w:val="0"/>
      <w:marTop w:val="0"/>
      <w:marBottom w:val="0"/>
      <w:divBdr>
        <w:top w:val="none" w:sz="0" w:space="0" w:color="auto"/>
        <w:left w:val="none" w:sz="0" w:space="0" w:color="auto"/>
        <w:bottom w:val="none" w:sz="0" w:space="0" w:color="auto"/>
        <w:right w:val="none" w:sz="0" w:space="0" w:color="auto"/>
      </w:divBdr>
    </w:div>
    <w:div w:id="538054917">
      <w:bodyDiv w:val="1"/>
      <w:marLeft w:val="0"/>
      <w:marRight w:val="0"/>
      <w:marTop w:val="0"/>
      <w:marBottom w:val="0"/>
      <w:divBdr>
        <w:top w:val="none" w:sz="0" w:space="0" w:color="auto"/>
        <w:left w:val="none" w:sz="0" w:space="0" w:color="auto"/>
        <w:bottom w:val="none" w:sz="0" w:space="0" w:color="auto"/>
        <w:right w:val="none" w:sz="0" w:space="0" w:color="auto"/>
      </w:divBdr>
    </w:div>
    <w:div w:id="554046252">
      <w:bodyDiv w:val="1"/>
      <w:marLeft w:val="0"/>
      <w:marRight w:val="0"/>
      <w:marTop w:val="0"/>
      <w:marBottom w:val="0"/>
      <w:divBdr>
        <w:top w:val="none" w:sz="0" w:space="0" w:color="auto"/>
        <w:left w:val="none" w:sz="0" w:space="0" w:color="auto"/>
        <w:bottom w:val="none" w:sz="0" w:space="0" w:color="auto"/>
        <w:right w:val="none" w:sz="0" w:space="0" w:color="auto"/>
      </w:divBdr>
    </w:div>
    <w:div w:id="576936165">
      <w:bodyDiv w:val="1"/>
      <w:marLeft w:val="0"/>
      <w:marRight w:val="0"/>
      <w:marTop w:val="0"/>
      <w:marBottom w:val="0"/>
      <w:divBdr>
        <w:top w:val="none" w:sz="0" w:space="0" w:color="auto"/>
        <w:left w:val="none" w:sz="0" w:space="0" w:color="auto"/>
        <w:bottom w:val="none" w:sz="0" w:space="0" w:color="auto"/>
        <w:right w:val="none" w:sz="0" w:space="0" w:color="auto"/>
      </w:divBdr>
    </w:div>
    <w:div w:id="596013735">
      <w:bodyDiv w:val="1"/>
      <w:marLeft w:val="0"/>
      <w:marRight w:val="0"/>
      <w:marTop w:val="0"/>
      <w:marBottom w:val="0"/>
      <w:divBdr>
        <w:top w:val="none" w:sz="0" w:space="0" w:color="auto"/>
        <w:left w:val="none" w:sz="0" w:space="0" w:color="auto"/>
        <w:bottom w:val="none" w:sz="0" w:space="0" w:color="auto"/>
        <w:right w:val="none" w:sz="0" w:space="0" w:color="auto"/>
      </w:divBdr>
    </w:div>
    <w:div w:id="610551005">
      <w:bodyDiv w:val="1"/>
      <w:marLeft w:val="0"/>
      <w:marRight w:val="0"/>
      <w:marTop w:val="0"/>
      <w:marBottom w:val="0"/>
      <w:divBdr>
        <w:top w:val="none" w:sz="0" w:space="0" w:color="auto"/>
        <w:left w:val="none" w:sz="0" w:space="0" w:color="auto"/>
        <w:bottom w:val="none" w:sz="0" w:space="0" w:color="auto"/>
        <w:right w:val="none" w:sz="0" w:space="0" w:color="auto"/>
      </w:divBdr>
    </w:div>
    <w:div w:id="634023591">
      <w:bodyDiv w:val="1"/>
      <w:marLeft w:val="0"/>
      <w:marRight w:val="0"/>
      <w:marTop w:val="0"/>
      <w:marBottom w:val="0"/>
      <w:divBdr>
        <w:top w:val="none" w:sz="0" w:space="0" w:color="auto"/>
        <w:left w:val="none" w:sz="0" w:space="0" w:color="auto"/>
        <w:bottom w:val="none" w:sz="0" w:space="0" w:color="auto"/>
        <w:right w:val="none" w:sz="0" w:space="0" w:color="auto"/>
      </w:divBdr>
    </w:div>
    <w:div w:id="646395974">
      <w:bodyDiv w:val="1"/>
      <w:marLeft w:val="0"/>
      <w:marRight w:val="0"/>
      <w:marTop w:val="0"/>
      <w:marBottom w:val="0"/>
      <w:divBdr>
        <w:top w:val="none" w:sz="0" w:space="0" w:color="auto"/>
        <w:left w:val="none" w:sz="0" w:space="0" w:color="auto"/>
        <w:bottom w:val="none" w:sz="0" w:space="0" w:color="auto"/>
        <w:right w:val="none" w:sz="0" w:space="0" w:color="auto"/>
      </w:divBdr>
    </w:div>
    <w:div w:id="690228339">
      <w:bodyDiv w:val="1"/>
      <w:marLeft w:val="0"/>
      <w:marRight w:val="0"/>
      <w:marTop w:val="0"/>
      <w:marBottom w:val="0"/>
      <w:divBdr>
        <w:top w:val="none" w:sz="0" w:space="0" w:color="auto"/>
        <w:left w:val="none" w:sz="0" w:space="0" w:color="auto"/>
        <w:bottom w:val="none" w:sz="0" w:space="0" w:color="auto"/>
        <w:right w:val="none" w:sz="0" w:space="0" w:color="auto"/>
      </w:divBdr>
    </w:div>
    <w:div w:id="691959361">
      <w:bodyDiv w:val="1"/>
      <w:marLeft w:val="0"/>
      <w:marRight w:val="0"/>
      <w:marTop w:val="0"/>
      <w:marBottom w:val="0"/>
      <w:divBdr>
        <w:top w:val="none" w:sz="0" w:space="0" w:color="auto"/>
        <w:left w:val="none" w:sz="0" w:space="0" w:color="auto"/>
        <w:bottom w:val="none" w:sz="0" w:space="0" w:color="auto"/>
        <w:right w:val="none" w:sz="0" w:space="0" w:color="auto"/>
      </w:divBdr>
    </w:div>
    <w:div w:id="710114100">
      <w:bodyDiv w:val="1"/>
      <w:marLeft w:val="0"/>
      <w:marRight w:val="0"/>
      <w:marTop w:val="0"/>
      <w:marBottom w:val="0"/>
      <w:divBdr>
        <w:top w:val="none" w:sz="0" w:space="0" w:color="auto"/>
        <w:left w:val="none" w:sz="0" w:space="0" w:color="auto"/>
        <w:bottom w:val="none" w:sz="0" w:space="0" w:color="auto"/>
        <w:right w:val="none" w:sz="0" w:space="0" w:color="auto"/>
      </w:divBdr>
    </w:div>
    <w:div w:id="711539709">
      <w:bodyDiv w:val="1"/>
      <w:marLeft w:val="0"/>
      <w:marRight w:val="0"/>
      <w:marTop w:val="0"/>
      <w:marBottom w:val="0"/>
      <w:divBdr>
        <w:top w:val="none" w:sz="0" w:space="0" w:color="auto"/>
        <w:left w:val="none" w:sz="0" w:space="0" w:color="auto"/>
        <w:bottom w:val="none" w:sz="0" w:space="0" w:color="auto"/>
        <w:right w:val="none" w:sz="0" w:space="0" w:color="auto"/>
      </w:divBdr>
    </w:div>
    <w:div w:id="739208665">
      <w:bodyDiv w:val="1"/>
      <w:marLeft w:val="0"/>
      <w:marRight w:val="0"/>
      <w:marTop w:val="0"/>
      <w:marBottom w:val="0"/>
      <w:divBdr>
        <w:top w:val="none" w:sz="0" w:space="0" w:color="auto"/>
        <w:left w:val="none" w:sz="0" w:space="0" w:color="auto"/>
        <w:bottom w:val="none" w:sz="0" w:space="0" w:color="auto"/>
        <w:right w:val="none" w:sz="0" w:space="0" w:color="auto"/>
      </w:divBdr>
    </w:div>
    <w:div w:id="750736386">
      <w:bodyDiv w:val="1"/>
      <w:marLeft w:val="0"/>
      <w:marRight w:val="0"/>
      <w:marTop w:val="0"/>
      <w:marBottom w:val="0"/>
      <w:divBdr>
        <w:top w:val="none" w:sz="0" w:space="0" w:color="auto"/>
        <w:left w:val="none" w:sz="0" w:space="0" w:color="auto"/>
        <w:bottom w:val="none" w:sz="0" w:space="0" w:color="auto"/>
        <w:right w:val="none" w:sz="0" w:space="0" w:color="auto"/>
      </w:divBdr>
    </w:div>
    <w:div w:id="754595402">
      <w:bodyDiv w:val="1"/>
      <w:marLeft w:val="0"/>
      <w:marRight w:val="0"/>
      <w:marTop w:val="0"/>
      <w:marBottom w:val="0"/>
      <w:divBdr>
        <w:top w:val="none" w:sz="0" w:space="0" w:color="auto"/>
        <w:left w:val="none" w:sz="0" w:space="0" w:color="auto"/>
        <w:bottom w:val="none" w:sz="0" w:space="0" w:color="auto"/>
        <w:right w:val="none" w:sz="0" w:space="0" w:color="auto"/>
      </w:divBdr>
    </w:div>
    <w:div w:id="764613517">
      <w:bodyDiv w:val="1"/>
      <w:marLeft w:val="0"/>
      <w:marRight w:val="0"/>
      <w:marTop w:val="0"/>
      <w:marBottom w:val="0"/>
      <w:divBdr>
        <w:top w:val="none" w:sz="0" w:space="0" w:color="auto"/>
        <w:left w:val="none" w:sz="0" w:space="0" w:color="auto"/>
        <w:bottom w:val="none" w:sz="0" w:space="0" w:color="auto"/>
        <w:right w:val="none" w:sz="0" w:space="0" w:color="auto"/>
      </w:divBdr>
    </w:div>
    <w:div w:id="773400727">
      <w:bodyDiv w:val="1"/>
      <w:marLeft w:val="0"/>
      <w:marRight w:val="0"/>
      <w:marTop w:val="0"/>
      <w:marBottom w:val="0"/>
      <w:divBdr>
        <w:top w:val="none" w:sz="0" w:space="0" w:color="auto"/>
        <w:left w:val="none" w:sz="0" w:space="0" w:color="auto"/>
        <w:bottom w:val="none" w:sz="0" w:space="0" w:color="auto"/>
        <w:right w:val="none" w:sz="0" w:space="0" w:color="auto"/>
      </w:divBdr>
    </w:div>
    <w:div w:id="799109205">
      <w:bodyDiv w:val="1"/>
      <w:marLeft w:val="0"/>
      <w:marRight w:val="0"/>
      <w:marTop w:val="0"/>
      <w:marBottom w:val="0"/>
      <w:divBdr>
        <w:top w:val="none" w:sz="0" w:space="0" w:color="auto"/>
        <w:left w:val="none" w:sz="0" w:space="0" w:color="auto"/>
        <w:bottom w:val="none" w:sz="0" w:space="0" w:color="auto"/>
        <w:right w:val="none" w:sz="0" w:space="0" w:color="auto"/>
      </w:divBdr>
    </w:div>
    <w:div w:id="814762813">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45945247">
      <w:bodyDiv w:val="1"/>
      <w:marLeft w:val="0"/>
      <w:marRight w:val="0"/>
      <w:marTop w:val="0"/>
      <w:marBottom w:val="0"/>
      <w:divBdr>
        <w:top w:val="none" w:sz="0" w:space="0" w:color="auto"/>
        <w:left w:val="none" w:sz="0" w:space="0" w:color="auto"/>
        <w:bottom w:val="none" w:sz="0" w:space="0" w:color="auto"/>
        <w:right w:val="none" w:sz="0" w:space="0" w:color="auto"/>
      </w:divBdr>
    </w:div>
    <w:div w:id="856193492">
      <w:bodyDiv w:val="1"/>
      <w:marLeft w:val="0"/>
      <w:marRight w:val="0"/>
      <w:marTop w:val="0"/>
      <w:marBottom w:val="0"/>
      <w:divBdr>
        <w:top w:val="none" w:sz="0" w:space="0" w:color="auto"/>
        <w:left w:val="none" w:sz="0" w:space="0" w:color="auto"/>
        <w:bottom w:val="none" w:sz="0" w:space="0" w:color="auto"/>
        <w:right w:val="none" w:sz="0" w:space="0" w:color="auto"/>
      </w:divBdr>
    </w:div>
    <w:div w:id="861364500">
      <w:bodyDiv w:val="1"/>
      <w:marLeft w:val="0"/>
      <w:marRight w:val="0"/>
      <w:marTop w:val="0"/>
      <w:marBottom w:val="0"/>
      <w:divBdr>
        <w:top w:val="none" w:sz="0" w:space="0" w:color="auto"/>
        <w:left w:val="none" w:sz="0" w:space="0" w:color="auto"/>
        <w:bottom w:val="none" w:sz="0" w:space="0" w:color="auto"/>
        <w:right w:val="none" w:sz="0" w:space="0" w:color="auto"/>
      </w:divBdr>
    </w:div>
    <w:div w:id="862716575">
      <w:bodyDiv w:val="1"/>
      <w:marLeft w:val="0"/>
      <w:marRight w:val="0"/>
      <w:marTop w:val="0"/>
      <w:marBottom w:val="0"/>
      <w:divBdr>
        <w:top w:val="none" w:sz="0" w:space="0" w:color="auto"/>
        <w:left w:val="none" w:sz="0" w:space="0" w:color="auto"/>
        <w:bottom w:val="none" w:sz="0" w:space="0" w:color="auto"/>
        <w:right w:val="none" w:sz="0" w:space="0" w:color="auto"/>
      </w:divBdr>
    </w:div>
    <w:div w:id="880821355">
      <w:bodyDiv w:val="1"/>
      <w:marLeft w:val="0"/>
      <w:marRight w:val="0"/>
      <w:marTop w:val="0"/>
      <w:marBottom w:val="0"/>
      <w:divBdr>
        <w:top w:val="none" w:sz="0" w:space="0" w:color="auto"/>
        <w:left w:val="none" w:sz="0" w:space="0" w:color="auto"/>
        <w:bottom w:val="none" w:sz="0" w:space="0" w:color="auto"/>
        <w:right w:val="none" w:sz="0" w:space="0" w:color="auto"/>
      </w:divBdr>
    </w:div>
    <w:div w:id="882596396">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913706210">
      <w:bodyDiv w:val="1"/>
      <w:marLeft w:val="0"/>
      <w:marRight w:val="0"/>
      <w:marTop w:val="0"/>
      <w:marBottom w:val="0"/>
      <w:divBdr>
        <w:top w:val="none" w:sz="0" w:space="0" w:color="auto"/>
        <w:left w:val="none" w:sz="0" w:space="0" w:color="auto"/>
        <w:bottom w:val="none" w:sz="0" w:space="0" w:color="auto"/>
        <w:right w:val="none" w:sz="0" w:space="0" w:color="auto"/>
      </w:divBdr>
    </w:div>
    <w:div w:id="926186534">
      <w:bodyDiv w:val="1"/>
      <w:marLeft w:val="0"/>
      <w:marRight w:val="0"/>
      <w:marTop w:val="0"/>
      <w:marBottom w:val="0"/>
      <w:divBdr>
        <w:top w:val="none" w:sz="0" w:space="0" w:color="auto"/>
        <w:left w:val="none" w:sz="0" w:space="0" w:color="auto"/>
        <w:bottom w:val="none" w:sz="0" w:space="0" w:color="auto"/>
        <w:right w:val="none" w:sz="0" w:space="0" w:color="auto"/>
      </w:divBdr>
    </w:div>
    <w:div w:id="940726544">
      <w:bodyDiv w:val="1"/>
      <w:marLeft w:val="0"/>
      <w:marRight w:val="0"/>
      <w:marTop w:val="0"/>
      <w:marBottom w:val="0"/>
      <w:divBdr>
        <w:top w:val="none" w:sz="0" w:space="0" w:color="auto"/>
        <w:left w:val="none" w:sz="0" w:space="0" w:color="auto"/>
        <w:bottom w:val="none" w:sz="0" w:space="0" w:color="auto"/>
        <w:right w:val="none" w:sz="0" w:space="0" w:color="auto"/>
      </w:divBdr>
    </w:div>
    <w:div w:id="952591830">
      <w:bodyDiv w:val="1"/>
      <w:marLeft w:val="0"/>
      <w:marRight w:val="0"/>
      <w:marTop w:val="0"/>
      <w:marBottom w:val="0"/>
      <w:divBdr>
        <w:top w:val="none" w:sz="0" w:space="0" w:color="auto"/>
        <w:left w:val="none" w:sz="0" w:space="0" w:color="auto"/>
        <w:bottom w:val="none" w:sz="0" w:space="0" w:color="auto"/>
        <w:right w:val="none" w:sz="0" w:space="0" w:color="auto"/>
      </w:divBdr>
    </w:div>
    <w:div w:id="955336045">
      <w:bodyDiv w:val="1"/>
      <w:marLeft w:val="0"/>
      <w:marRight w:val="0"/>
      <w:marTop w:val="0"/>
      <w:marBottom w:val="0"/>
      <w:divBdr>
        <w:top w:val="none" w:sz="0" w:space="0" w:color="auto"/>
        <w:left w:val="none" w:sz="0" w:space="0" w:color="auto"/>
        <w:bottom w:val="none" w:sz="0" w:space="0" w:color="auto"/>
        <w:right w:val="none" w:sz="0" w:space="0" w:color="auto"/>
      </w:divBdr>
    </w:div>
    <w:div w:id="962543976">
      <w:bodyDiv w:val="1"/>
      <w:marLeft w:val="0"/>
      <w:marRight w:val="0"/>
      <w:marTop w:val="0"/>
      <w:marBottom w:val="0"/>
      <w:divBdr>
        <w:top w:val="none" w:sz="0" w:space="0" w:color="auto"/>
        <w:left w:val="none" w:sz="0" w:space="0" w:color="auto"/>
        <w:bottom w:val="none" w:sz="0" w:space="0" w:color="auto"/>
        <w:right w:val="none" w:sz="0" w:space="0" w:color="auto"/>
      </w:divBdr>
    </w:div>
    <w:div w:id="1035040663">
      <w:bodyDiv w:val="1"/>
      <w:marLeft w:val="0"/>
      <w:marRight w:val="0"/>
      <w:marTop w:val="0"/>
      <w:marBottom w:val="0"/>
      <w:divBdr>
        <w:top w:val="none" w:sz="0" w:space="0" w:color="auto"/>
        <w:left w:val="none" w:sz="0" w:space="0" w:color="auto"/>
        <w:bottom w:val="none" w:sz="0" w:space="0" w:color="auto"/>
        <w:right w:val="none" w:sz="0" w:space="0" w:color="auto"/>
      </w:divBdr>
    </w:div>
    <w:div w:id="1039628793">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50501330">
      <w:bodyDiv w:val="1"/>
      <w:marLeft w:val="0"/>
      <w:marRight w:val="0"/>
      <w:marTop w:val="0"/>
      <w:marBottom w:val="0"/>
      <w:divBdr>
        <w:top w:val="none" w:sz="0" w:space="0" w:color="auto"/>
        <w:left w:val="none" w:sz="0" w:space="0" w:color="auto"/>
        <w:bottom w:val="none" w:sz="0" w:space="0" w:color="auto"/>
        <w:right w:val="none" w:sz="0" w:space="0" w:color="auto"/>
      </w:divBdr>
    </w:div>
    <w:div w:id="1057315817">
      <w:bodyDiv w:val="1"/>
      <w:marLeft w:val="0"/>
      <w:marRight w:val="0"/>
      <w:marTop w:val="0"/>
      <w:marBottom w:val="0"/>
      <w:divBdr>
        <w:top w:val="none" w:sz="0" w:space="0" w:color="auto"/>
        <w:left w:val="none" w:sz="0" w:space="0" w:color="auto"/>
        <w:bottom w:val="none" w:sz="0" w:space="0" w:color="auto"/>
        <w:right w:val="none" w:sz="0" w:space="0" w:color="auto"/>
      </w:divBdr>
    </w:div>
    <w:div w:id="1077676028">
      <w:bodyDiv w:val="1"/>
      <w:marLeft w:val="0"/>
      <w:marRight w:val="0"/>
      <w:marTop w:val="0"/>
      <w:marBottom w:val="0"/>
      <w:divBdr>
        <w:top w:val="none" w:sz="0" w:space="0" w:color="auto"/>
        <w:left w:val="none" w:sz="0" w:space="0" w:color="auto"/>
        <w:bottom w:val="none" w:sz="0" w:space="0" w:color="auto"/>
        <w:right w:val="none" w:sz="0" w:space="0" w:color="auto"/>
      </w:divBdr>
    </w:div>
    <w:div w:id="1107889913">
      <w:bodyDiv w:val="1"/>
      <w:marLeft w:val="0"/>
      <w:marRight w:val="0"/>
      <w:marTop w:val="0"/>
      <w:marBottom w:val="0"/>
      <w:divBdr>
        <w:top w:val="none" w:sz="0" w:space="0" w:color="auto"/>
        <w:left w:val="none" w:sz="0" w:space="0" w:color="auto"/>
        <w:bottom w:val="none" w:sz="0" w:space="0" w:color="auto"/>
        <w:right w:val="none" w:sz="0" w:space="0" w:color="auto"/>
      </w:divBdr>
    </w:div>
    <w:div w:id="1119448906">
      <w:bodyDiv w:val="1"/>
      <w:marLeft w:val="0"/>
      <w:marRight w:val="0"/>
      <w:marTop w:val="0"/>
      <w:marBottom w:val="0"/>
      <w:divBdr>
        <w:top w:val="none" w:sz="0" w:space="0" w:color="auto"/>
        <w:left w:val="none" w:sz="0" w:space="0" w:color="auto"/>
        <w:bottom w:val="none" w:sz="0" w:space="0" w:color="auto"/>
        <w:right w:val="none" w:sz="0" w:space="0" w:color="auto"/>
      </w:divBdr>
    </w:div>
    <w:div w:id="1141069651">
      <w:bodyDiv w:val="1"/>
      <w:marLeft w:val="0"/>
      <w:marRight w:val="0"/>
      <w:marTop w:val="0"/>
      <w:marBottom w:val="0"/>
      <w:divBdr>
        <w:top w:val="none" w:sz="0" w:space="0" w:color="auto"/>
        <w:left w:val="none" w:sz="0" w:space="0" w:color="auto"/>
        <w:bottom w:val="none" w:sz="0" w:space="0" w:color="auto"/>
        <w:right w:val="none" w:sz="0" w:space="0" w:color="auto"/>
      </w:divBdr>
    </w:div>
    <w:div w:id="1146823496">
      <w:bodyDiv w:val="1"/>
      <w:marLeft w:val="0"/>
      <w:marRight w:val="0"/>
      <w:marTop w:val="0"/>
      <w:marBottom w:val="0"/>
      <w:divBdr>
        <w:top w:val="none" w:sz="0" w:space="0" w:color="auto"/>
        <w:left w:val="none" w:sz="0" w:space="0" w:color="auto"/>
        <w:bottom w:val="none" w:sz="0" w:space="0" w:color="auto"/>
        <w:right w:val="none" w:sz="0" w:space="0" w:color="auto"/>
      </w:divBdr>
    </w:div>
    <w:div w:id="1156142740">
      <w:bodyDiv w:val="1"/>
      <w:marLeft w:val="0"/>
      <w:marRight w:val="0"/>
      <w:marTop w:val="0"/>
      <w:marBottom w:val="0"/>
      <w:divBdr>
        <w:top w:val="none" w:sz="0" w:space="0" w:color="auto"/>
        <w:left w:val="none" w:sz="0" w:space="0" w:color="auto"/>
        <w:bottom w:val="none" w:sz="0" w:space="0" w:color="auto"/>
        <w:right w:val="none" w:sz="0" w:space="0" w:color="auto"/>
      </w:divBdr>
    </w:div>
    <w:div w:id="1164784524">
      <w:bodyDiv w:val="1"/>
      <w:marLeft w:val="0"/>
      <w:marRight w:val="0"/>
      <w:marTop w:val="0"/>
      <w:marBottom w:val="0"/>
      <w:divBdr>
        <w:top w:val="none" w:sz="0" w:space="0" w:color="auto"/>
        <w:left w:val="none" w:sz="0" w:space="0" w:color="auto"/>
        <w:bottom w:val="none" w:sz="0" w:space="0" w:color="auto"/>
        <w:right w:val="none" w:sz="0" w:space="0" w:color="auto"/>
      </w:divBdr>
    </w:div>
    <w:div w:id="1177890451">
      <w:bodyDiv w:val="1"/>
      <w:marLeft w:val="0"/>
      <w:marRight w:val="0"/>
      <w:marTop w:val="0"/>
      <w:marBottom w:val="0"/>
      <w:divBdr>
        <w:top w:val="none" w:sz="0" w:space="0" w:color="auto"/>
        <w:left w:val="none" w:sz="0" w:space="0" w:color="auto"/>
        <w:bottom w:val="none" w:sz="0" w:space="0" w:color="auto"/>
        <w:right w:val="none" w:sz="0" w:space="0" w:color="auto"/>
      </w:divBdr>
    </w:div>
    <w:div w:id="1189640761">
      <w:bodyDiv w:val="1"/>
      <w:marLeft w:val="0"/>
      <w:marRight w:val="0"/>
      <w:marTop w:val="0"/>
      <w:marBottom w:val="0"/>
      <w:divBdr>
        <w:top w:val="none" w:sz="0" w:space="0" w:color="auto"/>
        <w:left w:val="none" w:sz="0" w:space="0" w:color="auto"/>
        <w:bottom w:val="none" w:sz="0" w:space="0" w:color="auto"/>
        <w:right w:val="none" w:sz="0" w:space="0" w:color="auto"/>
      </w:divBdr>
    </w:div>
    <w:div w:id="1210797453">
      <w:bodyDiv w:val="1"/>
      <w:marLeft w:val="0"/>
      <w:marRight w:val="0"/>
      <w:marTop w:val="0"/>
      <w:marBottom w:val="0"/>
      <w:divBdr>
        <w:top w:val="none" w:sz="0" w:space="0" w:color="auto"/>
        <w:left w:val="none" w:sz="0" w:space="0" w:color="auto"/>
        <w:bottom w:val="none" w:sz="0" w:space="0" w:color="auto"/>
        <w:right w:val="none" w:sz="0" w:space="0" w:color="auto"/>
      </w:divBdr>
    </w:div>
    <w:div w:id="1256018964">
      <w:bodyDiv w:val="1"/>
      <w:marLeft w:val="0"/>
      <w:marRight w:val="0"/>
      <w:marTop w:val="0"/>
      <w:marBottom w:val="0"/>
      <w:divBdr>
        <w:top w:val="none" w:sz="0" w:space="0" w:color="auto"/>
        <w:left w:val="none" w:sz="0" w:space="0" w:color="auto"/>
        <w:bottom w:val="none" w:sz="0" w:space="0" w:color="auto"/>
        <w:right w:val="none" w:sz="0" w:space="0" w:color="auto"/>
      </w:divBdr>
    </w:div>
    <w:div w:id="1264533241">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278563742">
      <w:bodyDiv w:val="1"/>
      <w:marLeft w:val="0"/>
      <w:marRight w:val="0"/>
      <w:marTop w:val="0"/>
      <w:marBottom w:val="0"/>
      <w:divBdr>
        <w:top w:val="none" w:sz="0" w:space="0" w:color="auto"/>
        <w:left w:val="none" w:sz="0" w:space="0" w:color="auto"/>
        <w:bottom w:val="none" w:sz="0" w:space="0" w:color="auto"/>
        <w:right w:val="none" w:sz="0" w:space="0" w:color="auto"/>
      </w:divBdr>
    </w:div>
    <w:div w:id="1357928029">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05103039">
      <w:bodyDiv w:val="1"/>
      <w:marLeft w:val="0"/>
      <w:marRight w:val="0"/>
      <w:marTop w:val="0"/>
      <w:marBottom w:val="0"/>
      <w:divBdr>
        <w:top w:val="none" w:sz="0" w:space="0" w:color="auto"/>
        <w:left w:val="none" w:sz="0" w:space="0" w:color="auto"/>
        <w:bottom w:val="none" w:sz="0" w:space="0" w:color="auto"/>
        <w:right w:val="none" w:sz="0" w:space="0" w:color="auto"/>
      </w:divBdr>
    </w:div>
    <w:div w:id="1421216463">
      <w:bodyDiv w:val="1"/>
      <w:marLeft w:val="0"/>
      <w:marRight w:val="0"/>
      <w:marTop w:val="0"/>
      <w:marBottom w:val="0"/>
      <w:divBdr>
        <w:top w:val="none" w:sz="0" w:space="0" w:color="auto"/>
        <w:left w:val="none" w:sz="0" w:space="0" w:color="auto"/>
        <w:bottom w:val="none" w:sz="0" w:space="0" w:color="auto"/>
        <w:right w:val="none" w:sz="0" w:space="0" w:color="auto"/>
      </w:divBdr>
    </w:div>
    <w:div w:id="1460148954">
      <w:bodyDiv w:val="1"/>
      <w:marLeft w:val="0"/>
      <w:marRight w:val="0"/>
      <w:marTop w:val="0"/>
      <w:marBottom w:val="0"/>
      <w:divBdr>
        <w:top w:val="none" w:sz="0" w:space="0" w:color="auto"/>
        <w:left w:val="none" w:sz="0" w:space="0" w:color="auto"/>
        <w:bottom w:val="none" w:sz="0" w:space="0" w:color="auto"/>
        <w:right w:val="none" w:sz="0" w:space="0" w:color="auto"/>
      </w:divBdr>
    </w:div>
    <w:div w:id="1473520060">
      <w:bodyDiv w:val="1"/>
      <w:marLeft w:val="0"/>
      <w:marRight w:val="0"/>
      <w:marTop w:val="0"/>
      <w:marBottom w:val="0"/>
      <w:divBdr>
        <w:top w:val="none" w:sz="0" w:space="0" w:color="auto"/>
        <w:left w:val="none" w:sz="0" w:space="0" w:color="auto"/>
        <w:bottom w:val="none" w:sz="0" w:space="0" w:color="auto"/>
        <w:right w:val="none" w:sz="0" w:space="0" w:color="auto"/>
      </w:divBdr>
    </w:div>
    <w:div w:id="1485589275">
      <w:bodyDiv w:val="1"/>
      <w:marLeft w:val="0"/>
      <w:marRight w:val="0"/>
      <w:marTop w:val="0"/>
      <w:marBottom w:val="0"/>
      <w:divBdr>
        <w:top w:val="none" w:sz="0" w:space="0" w:color="auto"/>
        <w:left w:val="none" w:sz="0" w:space="0" w:color="auto"/>
        <w:bottom w:val="none" w:sz="0" w:space="0" w:color="auto"/>
        <w:right w:val="none" w:sz="0" w:space="0" w:color="auto"/>
      </w:divBdr>
    </w:div>
    <w:div w:id="1517302235">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47525839">
      <w:bodyDiv w:val="1"/>
      <w:marLeft w:val="0"/>
      <w:marRight w:val="0"/>
      <w:marTop w:val="0"/>
      <w:marBottom w:val="0"/>
      <w:divBdr>
        <w:top w:val="none" w:sz="0" w:space="0" w:color="auto"/>
        <w:left w:val="none" w:sz="0" w:space="0" w:color="auto"/>
        <w:bottom w:val="none" w:sz="0" w:space="0" w:color="auto"/>
        <w:right w:val="none" w:sz="0" w:space="0" w:color="auto"/>
      </w:divBdr>
    </w:div>
    <w:div w:id="1551530671">
      <w:bodyDiv w:val="1"/>
      <w:marLeft w:val="0"/>
      <w:marRight w:val="0"/>
      <w:marTop w:val="0"/>
      <w:marBottom w:val="0"/>
      <w:divBdr>
        <w:top w:val="none" w:sz="0" w:space="0" w:color="auto"/>
        <w:left w:val="none" w:sz="0" w:space="0" w:color="auto"/>
        <w:bottom w:val="none" w:sz="0" w:space="0" w:color="auto"/>
        <w:right w:val="none" w:sz="0" w:space="0" w:color="auto"/>
      </w:divBdr>
    </w:div>
    <w:div w:id="1564758905">
      <w:bodyDiv w:val="1"/>
      <w:marLeft w:val="0"/>
      <w:marRight w:val="0"/>
      <w:marTop w:val="0"/>
      <w:marBottom w:val="0"/>
      <w:divBdr>
        <w:top w:val="none" w:sz="0" w:space="0" w:color="auto"/>
        <w:left w:val="none" w:sz="0" w:space="0" w:color="auto"/>
        <w:bottom w:val="none" w:sz="0" w:space="0" w:color="auto"/>
        <w:right w:val="none" w:sz="0" w:space="0" w:color="auto"/>
      </w:divBdr>
    </w:div>
    <w:div w:id="1567228223">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80482634">
      <w:bodyDiv w:val="1"/>
      <w:marLeft w:val="0"/>
      <w:marRight w:val="0"/>
      <w:marTop w:val="0"/>
      <w:marBottom w:val="0"/>
      <w:divBdr>
        <w:top w:val="none" w:sz="0" w:space="0" w:color="auto"/>
        <w:left w:val="none" w:sz="0" w:space="0" w:color="auto"/>
        <w:bottom w:val="none" w:sz="0" w:space="0" w:color="auto"/>
        <w:right w:val="none" w:sz="0" w:space="0" w:color="auto"/>
      </w:divBdr>
    </w:div>
    <w:div w:id="1589345795">
      <w:bodyDiv w:val="1"/>
      <w:marLeft w:val="0"/>
      <w:marRight w:val="0"/>
      <w:marTop w:val="0"/>
      <w:marBottom w:val="0"/>
      <w:divBdr>
        <w:top w:val="none" w:sz="0" w:space="0" w:color="auto"/>
        <w:left w:val="none" w:sz="0" w:space="0" w:color="auto"/>
        <w:bottom w:val="none" w:sz="0" w:space="0" w:color="auto"/>
        <w:right w:val="none" w:sz="0" w:space="0" w:color="auto"/>
      </w:divBdr>
    </w:div>
    <w:div w:id="1604459842">
      <w:bodyDiv w:val="1"/>
      <w:marLeft w:val="0"/>
      <w:marRight w:val="0"/>
      <w:marTop w:val="0"/>
      <w:marBottom w:val="0"/>
      <w:divBdr>
        <w:top w:val="none" w:sz="0" w:space="0" w:color="auto"/>
        <w:left w:val="none" w:sz="0" w:space="0" w:color="auto"/>
        <w:bottom w:val="none" w:sz="0" w:space="0" w:color="auto"/>
        <w:right w:val="none" w:sz="0" w:space="0" w:color="auto"/>
      </w:divBdr>
    </w:div>
    <w:div w:id="1642540879">
      <w:bodyDiv w:val="1"/>
      <w:marLeft w:val="0"/>
      <w:marRight w:val="0"/>
      <w:marTop w:val="0"/>
      <w:marBottom w:val="0"/>
      <w:divBdr>
        <w:top w:val="none" w:sz="0" w:space="0" w:color="auto"/>
        <w:left w:val="none" w:sz="0" w:space="0" w:color="auto"/>
        <w:bottom w:val="none" w:sz="0" w:space="0" w:color="auto"/>
        <w:right w:val="none" w:sz="0" w:space="0" w:color="auto"/>
      </w:divBdr>
    </w:div>
    <w:div w:id="1647323448">
      <w:bodyDiv w:val="1"/>
      <w:marLeft w:val="0"/>
      <w:marRight w:val="0"/>
      <w:marTop w:val="0"/>
      <w:marBottom w:val="0"/>
      <w:divBdr>
        <w:top w:val="none" w:sz="0" w:space="0" w:color="auto"/>
        <w:left w:val="none" w:sz="0" w:space="0" w:color="auto"/>
        <w:bottom w:val="none" w:sz="0" w:space="0" w:color="auto"/>
        <w:right w:val="none" w:sz="0" w:space="0" w:color="auto"/>
      </w:divBdr>
    </w:div>
    <w:div w:id="1658071156">
      <w:bodyDiv w:val="1"/>
      <w:marLeft w:val="0"/>
      <w:marRight w:val="0"/>
      <w:marTop w:val="0"/>
      <w:marBottom w:val="0"/>
      <w:divBdr>
        <w:top w:val="none" w:sz="0" w:space="0" w:color="auto"/>
        <w:left w:val="none" w:sz="0" w:space="0" w:color="auto"/>
        <w:bottom w:val="none" w:sz="0" w:space="0" w:color="auto"/>
        <w:right w:val="none" w:sz="0" w:space="0" w:color="auto"/>
      </w:divBdr>
    </w:div>
    <w:div w:id="1686863186">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34620544">
      <w:bodyDiv w:val="1"/>
      <w:marLeft w:val="0"/>
      <w:marRight w:val="0"/>
      <w:marTop w:val="0"/>
      <w:marBottom w:val="0"/>
      <w:divBdr>
        <w:top w:val="none" w:sz="0" w:space="0" w:color="auto"/>
        <w:left w:val="none" w:sz="0" w:space="0" w:color="auto"/>
        <w:bottom w:val="none" w:sz="0" w:space="0" w:color="auto"/>
        <w:right w:val="none" w:sz="0" w:space="0" w:color="auto"/>
      </w:divBdr>
    </w:div>
    <w:div w:id="1748647995">
      <w:bodyDiv w:val="1"/>
      <w:marLeft w:val="0"/>
      <w:marRight w:val="0"/>
      <w:marTop w:val="0"/>
      <w:marBottom w:val="0"/>
      <w:divBdr>
        <w:top w:val="none" w:sz="0" w:space="0" w:color="auto"/>
        <w:left w:val="none" w:sz="0" w:space="0" w:color="auto"/>
        <w:bottom w:val="none" w:sz="0" w:space="0" w:color="auto"/>
        <w:right w:val="none" w:sz="0" w:space="0" w:color="auto"/>
      </w:divBdr>
    </w:div>
    <w:div w:id="1750737777">
      <w:bodyDiv w:val="1"/>
      <w:marLeft w:val="0"/>
      <w:marRight w:val="0"/>
      <w:marTop w:val="0"/>
      <w:marBottom w:val="0"/>
      <w:divBdr>
        <w:top w:val="none" w:sz="0" w:space="0" w:color="auto"/>
        <w:left w:val="none" w:sz="0" w:space="0" w:color="auto"/>
        <w:bottom w:val="none" w:sz="0" w:space="0" w:color="auto"/>
        <w:right w:val="none" w:sz="0" w:space="0" w:color="auto"/>
      </w:divBdr>
    </w:div>
    <w:div w:id="1789664251">
      <w:bodyDiv w:val="1"/>
      <w:marLeft w:val="0"/>
      <w:marRight w:val="0"/>
      <w:marTop w:val="0"/>
      <w:marBottom w:val="0"/>
      <w:divBdr>
        <w:top w:val="none" w:sz="0" w:space="0" w:color="auto"/>
        <w:left w:val="none" w:sz="0" w:space="0" w:color="auto"/>
        <w:bottom w:val="none" w:sz="0" w:space="0" w:color="auto"/>
        <w:right w:val="none" w:sz="0" w:space="0" w:color="auto"/>
      </w:divBdr>
    </w:div>
    <w:div w:id="1811358871">
      <w:bodyDiv w:val="1"/>
      <w:marLeft w:val="0"/>
      <w:marRight w:val="0"/>
      <w:marTop w:val="0"/>
      <w:marBottom w:val="0"/>
      <w:divBdr>
        <w:top w:val="none" w:sz="0" w:space="0" w:color="auto"/>
        <w:left w:val="none" w:sz="0" w:space="0" w:color="auto"/>
        <w:bottom w:val="none" w:sz="0" w:space="0" w:color="auto"/>
        <w:right w:val="none" w:sz="0" w:space="0" w:color="auto"/>
      </w:divBdr>
    </w:div>
    <w:div w:id="1844123318">
      <w:bodyDiv w:val="1"/>
      <w:marLeft w:val="0"/>
      <w:marRight w:val="0"/>
      <w:marTop w:val="0"/>
      <w:marBottom w:val="0"/>
      <w:divBdr>
        <w:top w:val="none" w:sz="0" w:space="0" w:color="auto"/>
        <w:left w:val="none" w:sz="0" w:space="0" w:color="auto"/>
        <w:bottom w:val="none" w:sz="0" w:space="0" w:color="auto"/>
        <w:right w:val="none" w:sz="0" w:space="0" w:color="auto"/>
      </w:divBdr>
    </w:div>
    <w:div w:id="1846091703">
      <w:bodyDiv w:val="1"/>
      <w:marLeft w:val="0"/>
      <w:marRight w:val="0"/>
      <w:marTop w:val="0"/>
      <w:marBottom w:val="0"/>
      <w:divBdr>
        <w:top w:val="none" w:sz="0" w:space="0" w:color="auto"/>
        <w:left w:val="none" w:sz="0" w:space="0" w:color="auto"/>
        <w:bottom w:val="none" w:sz="0" w:space="0" w:color="auto"/>
        <w:right w:val="none" w:sz="0" w:space="0" w:color="auto"/>
      </w:divBdr>
    </w:div>
    <w:div w:id="1855652899">
      <w:bodyDiv w:val="1"/>
      <w:marLeft w:val="0"/>
      <w:marRight w:val="0"/>
      <w:marTop w:val="0"/>
      <w:marBottom w:val="0"/>
      <w:divBdr>
        <w:top w:val="none" w:sz="0" w:space="0" w:color="auto"/>
        <w:left w:val="none" w:sz="0" w:space="0" w:color="auto"/>
        <w:bottom w:val="none" w:sz="0" w:space="0" w:color="auto"/>
        <w:right w:val="none" w:sz="0" w:space="0" w:color="auto"/>
      </w:divBdr>
    </w:div>
    <w:div w:id="1885630618">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8149704">
      <w:bodyDiv w:val="1"/>
      <w:marLeft w:val="0"/>
      <w:marRight w:val="0"/>
      <w:marTop w:val="0"/>
      <w:marBottom w:val="0"/>
      <w:divBdr>
        <w:top w:val="none" w:sz="0" w:space="0" w:color="auto"/>
        <w:left w:val="none" w:sz="0" w:space="0" w:color="auto"/>
        <w:bottom w:val="none" w:sz="0" w:space="0" w:color="auto"/>
        <w:right w:val="none" w:sz="0" w:space="0" w:color="auto"/>
      </w:divBdr>
    </w:div>
    <w:div w:id="1939678556">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56206860">
      <w:bodyDiv w:val="1"/>
      <w:marLeft w:val="0"/>
      <w:marRight w:val="0"/>
      <w:marTop w:val="0"/>
      <w:marBottom w:val="0"/>
      <w:divBdr>
        <w:top w:val="none" w:sz="0" w:space="0" w:color="auto"/>
        <w:left w:val="none" w:sz="0" w:space="0" w:color="auto"/>
        <w:bottom w:val="none" w:sz="0" w:space="0" w:color="auto"/>
        <w:right w:val="none" w:sz="0" w:space="0" w:color="auto"/>
      </w:divBdr>
    </w:div>
    <w:div w:id="1967269889">
      <w:bodyDiv w:val="1"/>
      <w:marLeft w:val="0"/>
      <w:marRight w:val="0"/>
      <w:marTop w:val="0"/>
      <w:marBottom w:val="0"/>
      <w:divBdr>
        <w:top w:val="none" w:sz="0" w:space="0" w:color="auto"/>
        <w:left w:val="none" w:sz="0" w:space="0" w:color="auto"/>
        <w:bottom w:val="none" w:sz="0" w:space="0" w:color="auto"/>
        <w:right w:val="none" w:sz="0" w:space="0" w:color="auto"/>
      </w:divBdr>
    </w:div>
    <w:div w:id="1980761006">
      <w:bodyDiv w:val="1"/>
      <w:marLeft w:val="0"/>
      <w:marRight w:val="0"/>
      <w:marTop w:val="0"/>
      <w:marBottom w:val="0"/>
      <w:divBdr>
        <w:top w:val="none" w:sz="0" w:space="0" w:color="auto"/>
        <w:left w:val="none" w:sz="0" w:space="0" w:color="auto"/>
        <w:bottom w:val="none" w:sz="0" w:space="0" w:color="auto"/>
        <w:right w:val="none" w:sz="0" w:space="0" w:color="auto"/>
      </w:divBdr>
    </w:div>
    <w:div w:id="1998802411">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036928648">
      <w:bodyDiv w:val="1"/>
      <w:marLeft w:val="0"/>
      <w:marRight w:val="0"/>
      <w:marTop w:val="0"/>
      <w:marBottom w:val="0"/>
      <w:divBdr>
        <w:top w:val="none" w:sz="0" w:space="0" w:color="auto"/>
        <w:left w:val="none" w:sz="0" w:space="0" w:color="auto"/>
        <w:bottom w:val="none" w:sz="0" w:space="0" w:color="auto"/>
        <w:right w:val="none" w:sz="0" w:space="0" w:color="auto"/>
      </w:divBdr>
    </w:div>
    <w:div w:id="2055348498">
      <w:bodyDiv w:val="1"/>
      <w:marLeft w:val="0"/>
      <w:marRight w:val="0"/>
      <w:marTop w:val="0"/>
      <w:marBottom w:val="0"/>
      <w:divBdr>
        <w:top w:val="none" w:sz="0" w:space="0" w:color="auto"/>
        <w:left w:val="none" w:sz="0" w:space="0" w:color="auto"/>
        <w:bottom w:val="none" w:sz="0" w:space="0" w:color="auto"/>
        <w:right w:val="none" w:sz="0" w:space="0" w:color="auto"/>
      </w:divBdr>
    </w:div>
    <w:div w:id="2057510542">
      <w:bodyDiv w:val="1"/>
      <w:marLeft w:val="0"/>
      <w:marRight w:val="0"/>
      <w:marTop w:val="0"/>
      <w:marBottom w:val="0"/>
      <w:divBdr>
        <w:top w:val="none" w:sz="0" w:space="0" w:color="auto"/>
        <w:left w:val="none" w:sz="0" w:space="0" w:color="auto"/>
        <w:bottom w:val="none" w:sz="0" w:space="0" w:color="auto"/>
        <w:right w:val="none" w:sz="0" w:space="0" w:color="auto"/>
      </w:divBdr>
    </w:div>
    <w:div w:id="2065367962">
      <w:bodyDiv w:val="1"/>
      <w:marLeft w:val="0"/>
      <w:marRight w:val="0"/>
      <w:marTop w:val="0"/>
      <w:marBottom w:val="0"/>
      <w:divBdr>
        <w:top w:val="none" w:sz="0" w:space="0" w:color="auto"/>
        <w:left w:val="none" w:sz="0" w:space="0" w:color="auto"/>
        <w:bottom w:val="none" w:sz="0" w:space="0" w:color="auto"/>
        <w:right w:val="none" w:sz="0" w:space="0" w:color="auto"/>
      </w:divBdr>
    </w:div>
    <w:div w:id="2076121838">
      <w:bodyDiv w:val="1"/>
      <w:marLeft w:val="0"/>
      <w:marRight w:val="0"/>
      <w:marTop w:val="0"/>
      <w:marBottom w:val="0"/>
      <w:divBdr>
        <w:top w:val="none" w:sz="0" w:space="0" w:color="auto"/>
        <w:left w:val="none" w:sz="0" w:space="0" w:color="auto"/>
        <w:bottom w:val="none" w:sz="0" w:space="0" w:color="auto"/>
        <w:right w:val="none" w:sz="0" w:space="0" w:color="auto"/>
      </w:divBdr>
    </w:div>
    <w:div w:id="2097510399">
      <w:bodyDiv w:val="1"/>
      <w:marLeft w:val="0"/>
      <w:marRight w:val="0"/>
      <w:marTop w:val="0"/>
      <w:marBottom w:val="0"/>
      <w:divBdr>
        <w:top w:val="none" w:sz="0" w:space="0" w:color="auto"/>
        <w:left w:val="none" w:sz="0" w:space="0" w:color="auto"/>
        <w:bottom w:val="none" w:sz="0" w:space="0" w:color="auto"/>
        <w:right w:val="none" w:sz="0" w:space="0" w:color="auto"/>
      </w:divBdr>
    </w:div>
    <w:div w:id="2100563139">
      <w:bodyDiv w:val="1"/>
      <w:marLeft w:val="0"/>
      <w:marRight w:val="0"/>
      <w:marTop w:val="0"/>
      <w:marBottom w:val="0"/>
      <w:divBdr>
        <w:top w:val="none" w:sz="0" w:space="0" w:color="auto"/>
        <w:left w:val="none" w:sz="0" w:space="0" w:color="auto"/>
        <w:bottom w:val="none" w:sz="0" w:space="0" w:color="auto"/>
        <w:right w:val="none" w:sz="0" w:space="0" w:color="auto"/>
      </w:divBdr>
    </w:div>
    <w:div w:id="21420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http://www.mdic.gov.br/comercio-exterior/estatisticas-de-comercio-exterior/balanca-comercial-brasileira-unidades-da-federaca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http://ec.europa.eu/regional_policy/sources/docgener/guides/cost/guide02_es.pdf" TargetMode="External"/><Relationship Id="rId2" Type="http://schemas.openxmlformats.org/officeDocument/2006/relationships/customXml" Target="../customXml/item2.xml"/><Relationship Id="rId16" Type="http://schemas.openxmlformats.org/officeDocument/2006/relationships/hyperlink" Target="http://www.doingbusiness.org/data/exploreeconomies/braz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15" Type="http://schemas.openxmlformats.org/officeDocument/2006/relationships/endnotes" Target="endnotes.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customXml" Target="../customXml/item9.xml"/></Relationships>
</file>

<file path=word/_rels/footnotes.xml.rels><?xml version="1.0" encoding="UTF-8" standalone="yes"?>
<Relationships xmlns="http://schemas.openxmlformats.org/package/2006/relationships"><Relationship Id="rId1" Type="http://schemas.openxmlformats.org/officeDocument/2006/relationships/hyperlink" Target="https://www.oecd.org/tax/crime/technology-tools-to-tackle-tax-evasion-and-tax-fraud.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2011-05-31T00:00:00</PublishDate>
  <Abstract>El presente estudio fue preparado por Luiz Villela (IFD/FMM) y Javier Beverinottil (Consultor IFD/FMM).</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75F3AD0C650845BA7AAAC313FE2F01" ma:contentTypeVersion="34" ma:contentTypeDescription="A content type to manage public (operations) IDB documents" ma:contentTypeScope="" ma:versionID="ee7182cf158dfdf381ecfc05da3dc9a5">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R0001320844</Record_x0020_Number>
    <Key_x0020_Document xmlns="cdc7663a-08f0-4737-9e8c-148ce897a09c">false</Key_x0020_Document>
    <Other_x0020_Author xmlns="cdc7663a-08f0-4737-9e8c-148ce897a09c" xsi:nil="true"/>
    <Division_x0020_or_x0020_Unit xmlns="cdc7663a-08f0-4737-9e8c-148ce897a09c">IFD/FMM</Division_x0020_or_x0020_Unit>
    <IDBDocs_x0020_Number xmlns="cdc7663a-08f0-4737-9e8c-148ce897a09c" xsi:nil="true"/>
    <Document_x0020_Author xmlns="cdc7663a-08f0-4737-9e8c-148ce897a09c">Maria Crsitina Mac Dowell</Document_x0020_Author>
    <_dlc_DocId xmlns="cdc7663a-08f0-4737-9e8c-148ce897a09c">EZSHARE-1708157268-11</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32</Value>
      <Value>15</Value>
      <Value>31</Value>
      <Value>30</Value>
      <Value>33</Value>
      <Value>1</Value>
    </TaxCatchAll>
    <Fiscal_x0020_Year_x0020_IDB xmlns="cdc7663a-08f0-4737-9e8c-148ce897a09c">2017</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BR-L1499</Project_x0020_Number>
    <Package_x0020_Code xmlns="cdc7663a-08f0-4737-9e8c-148ce897a09c" xsi:nil="true"/>
    <Migration_x0020_Info xmlns="cdc7663a-08f0-4737-9e8c-148ce897a09c" xsi:nil="true"/>
    <Approval_x0020_Number xmlns="cdc7663a-08f0-4737-9e8c-148ce897a09c">4459/OC-BR;</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Portuguese</Document_x0020_Language_x0020_IDB>
    <_dlc_DocIdUrl xmlns="cdc7663a-08f0-4737-9e8c-148ce897a09c">
      <Url>https://idbg.sharepoint.com/teams/EZ-BR-LON/BR-L1499/_layouts/15/DocIdRedir.aspx?ID=EZSHARE-1708157268-11</Url>
      <Description>EZSHARE-1708157268-11</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E776A0-2BBE-4AF0-B6D5-6C593C988E16}">
  <ds:schemaRefs>
    <ds:schemaRef ds:uri="http://schemas.microsoft.com/sharepoint/events"/>
  </ds:schemaRefs>
</ds:datastoreItem>
</file>

<file path=customXml/itemProps3.xml><?xml version="1.0" encoding="utf-8"?>
<ds:datastoreItem xmlns:ds="http://schemas.openxmlformats.org/officeDocument/2006/customXml" ds:itemID="{CFBA3B31-CE17-49E4-BC6E-7F4D3374C908}"/>
</file>

<file path=customXml/itemProps4.xml><?xml version="1.0" encoding="utf-8"?>
<ds:datastoreItem xmlns:ds="http://schemas.openxmlformats.org/officeDocument/2006/customXml" ds:itemID="{AC95FBEE-5453-48D0-AE8F-117DC661D203}">
  <ds:schemaRefs>
    <ds:schemaRef ds:uri="http://schemas.microsoft.com/sharepoint/v3/contenttype/forms"/>
  </ds:schemaRefs>
</ds:datastoreItem>
</file>

<file path=customXml/itemProps5.xml><?xml version="1.0" encoding="utf-8"?>
<ds:datastoreItem xmlns:ds="http://schemas.openxmlformats.org/officeDocument/2006/customXml" ds:itemID="{0CDC83D6-688B-45A3-B257-586DC7FA724C}">
  <ds:schemaRefs>
    <ds:schemaRef ds:uri="http://schemas.microsoft.com/sharepoint/v3/contenttype/forms/url"/>
  </ds:schemaRefs>
</ds:datastoreItem>
</file>

<file path=customXml/itemProps6.xml><?xml version="1.0" encoding="utf-8"?>
<ds:datastoreItem xmlns:ds="http://schemas.openxmlformats.org/officeDocument/2006/customXml" ds:itemID="{FCD646C3-42BB-4AD4-A4BC-BD99882A6CD4}"/>
</file>

<file path=customXml/itemProps7.xml><?xml version="1.0" encoding="utf-8"?>
<ds:datastoreItem xmlns:ds="http://schemas.openxmlformats.org/officeDocument/2006/customXml" ds:itemID="{D794E7D0-661E-49A8-98C6-472F642211AC}">
  <ds:schemaRefs>
    <ds:schemaRef ds:uri="http://schemas.microsoft.com/office/2006/metadata/properties"/>
    <ds:schemaRef ds:uri="http://schemas.microsoft.com/office/infopath/2007/PartnerControls"/>
    <ds:schemaRef ds:uri="cdc7663a-08f0-4737-9e8c-148ce897a09c"/>
  </ds:schemaRefs>
</ds:datastoreItem>
</file>

<file path=customXml/itemProps8.xml><?xml version="1.0" encoding="utf-8"?>
<ds:datastoreItem xmlns:ds="http://schemas.openxmlformats.org/officeDocument/2006/customXml" ds:itemID="{94B0ACC4-AA0F-437E-9537-5C4118D86F65}">
  <ds:schemaRefs>
    <ds:schemaRef ds:uri="http://schemas.openxmlformats.org/officeDocument/2006/bibliography"/>
  </ds:schemaRefs>
</ds:datastoreItem>
</file>

<file path=customXml/itemProps9.xml><?xml version="1.0" encoding="utf-8"?>
<ds:datastoreItem xmlns:ds="http://schemas.openxmlformats.org/officeDocument/2006/customXml" ds:itemID="{0D8A76D0-E4B2-490C-91D9-2DEE9849AE00}"/>
</file>

<file path=docProps/app.xml><?xml version="1.0" encoding="utf-8"?>
<Properties xmlns="http://schemas.openxmlformats.org/officeDocument/2006/extended-properties" xmlns:vt="http://schemas.openxmlformats.org/officeDocument/2006/docPropsVTypes">
  <Template>Normal</Template>
  <TotalTime>963</TotalTime>
  <Pages>28</Pages>
  <Words>9196</Words>
  <Characters>52420</Characters>
  <Application>Microsoft Office Word</Application>
  <DocSecurity>0</DocSecurity>
  <Lines>436</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Colombia</vt:lpstr>
      <vt:lpstr>Colombia</vt:lpstr>
    </vt:vector>
  </TitlesOfParts>
  <Company>Grizli777</Company>
  <LinksUpToDate>false</LinksUpToDate>
  <CharactersWithSpaces>61494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Colombia</dc:title>
  <dc:subject>PROGRAMA DE CONSOLIDACIÓN DE LA RESPONSABILIDAD FISCAL TERRITORIAL II (CO-L1117))</dc:subject>
  <dc:creator>Anexo de Análisis Económico</dc:creator>
  <cp:keywords/>
  <cp:lastModifiedBy>Ricardo</cp:lastModifiedBy>
  <cp:revision>36</cp:revision>
  <cp:lastPrinted>2011-06-07T12:21:00Z</cp:lastPrinted>
  <dcterms:created xsi:type="dcterms:W3CDTF">2017-11-06T02:07:00Z</dcterms:created>
  <dcterms:modified xsi:type="dcterms:W3CDTF">2017-11-06T18:09:00Z</dcterms:modified>
  <cp:category>Estúdio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axKeyword">
    <vt:lpwstr/>
  </property>
  <property fmtid="{D5CDD505-2E9C-101B-9397-08002B2CF9AE}" pid="5" name="TaxKeywordTaxHTField">
    <vt:lpwstr/>
  </property>
  <property fmtid="{D5CDD505-2E9C-101B-9397-08002B2CF9AE}" pid="6" name="Series Operations IDB">
    <vt:lpwstr>15;#Proposal for Operation Development (POD)|24e0d6d4-9e5f-4c37-abe1-0e66100c0228</vt:lpwstr>
  </property>
  <property fmtid="{D5CDD505-2E9C-101B-9397-08002B2CF9AE}" pid="7" name="Sub-Sector">
    <vt:lpwstr>32;#FISCAL POLICY FOR SUSTAINABILITY AND GROWTH|6e15b5e0-ae82-4b06-920a-eef6dd27cc8b</vt:lpwstr>
  </property>
  <property fmtid="{D5CDD505-2E9C-101B-9397-08002B2CF9AE}" pid="8" name="Country">
    <vt:lpwstr>30;#Brazil|7deb27ec-6837-4974-9aa8-6cfbac841ef8</vt:lpwstr>
  </property>
  <property fmtid="{D5CDD505-2E9C-101B-9397-08002B2CF9AE}" pid="9" name="Fund IDB">
    <vt:lpwstr>33;#ORC|c028a4b2-ad8b-4cf4-9cac-a2ae6a778e23</vt:lpwstr>
  </property>
  <property fmtid="{D5CDD505-2E9C-101B-9397-08002B2CF9AE}" pid="10" name="_dlc_DocIdItemGuid">
    <vt:lpwstr>e6556369-acf3-4be2-99f4-3ec3a582c94f</vt:lpwstr>
  </property>
  <property fmtid="{D5CDD505-2E9C-101B-9397-08002B2CF9AE}" pid="11" name="Sector IDB">
    <vt:lpwstr>31;#REFORM / MODERNIZATION OF THE STATE|c8fda4a7-691a-4c65-b227-9825197b5cd2</vt:lpwstr>
  </property>
  <property fmtid="{D5CDD505-2E9C-101B-9397-08002B2CF9AE}" pid="12" name="Function Operations IDB">
    <vt:lpwstr>1;#Project Preparation, Planning and Design|29ca0c72-1fc4-435f-a09c-28585cb5eac9</vt:lpwstr>
  </property>
  <property fmtid="{D5CDD505-2E9C-101B-9397-08002B2CF9AE}" pid="13" name="RecordPoint_ActiveItemMoved">
    <vt:lpwstr>/teams/EZ-BR-LON/BR-L1499/05 Basic Data/Draft Area/BR-L1499. EO1 .Analisis economico.docx</vt:lpwstr>
  </property>
  <property fmtid="{D5CDD505-2E9C-101B-9397-08002B2CF9AE}" pid="14" name="RecordStorageActiveId">
    <vt:lpwstr>50eee344-9aac-45be-9056-61ad830f17d1</vt:lpwstr>
  </property>
  <property fmtid="{D5CDD505-2E9C-101B-9397-08002B2CF9AE}" pid="15" name="Abstract">
    <vt:lpwstr/>
  </property>
  <property fmtid="{D5CDD505-2E9C-101B-9397-08002B2CF9AE}" pid="16" name="Disclosure Activity">
    <vt:lpwstr>Loan Proposal</vt:lpwstr>
  </property>
  <property fmtid="{D5CDD505-2E9C-101B-9397-08002B2CF9AE}" pid="17" name="Region">
    <vt:lpwstr/>
  </property>
  <property fmtid="{D5CDD505-2E9C-101B-9397-08002B2CF9AE}" pid="19" name="Webtopic">
    <vt:lpwstr/>
  </property>
  <property fmtid="{D5CDD505-2E9C-101B-9397-08002B2CF9AE}" pid="20" name="Publishing House">
    <vt:lpwstr/>
  </property>
  <property fmtid="{D5CDD505-2E9C-101B-9397-08002B2CF9AE}" pid="21" name="Disclosed">
    <vt:bool>false</vt:bool>
  </property>
  <property fmtid="{D5CDD505-2E9C-101B-9397-08002B2CF9AE}" pid="22" name="KP Topics">
    <vt:lpwstr/>
  </property>
  <property fmtid="{D5CDD505-2E9C-101B-9397-08002B2CF9AE}" pid="23" name="ATI Undisclose Document Workflow">
    <vt:lpwstr/>
  </property>
  <property fmtid="{D5CDD505-2E9C-101B-9397-08002B2CF9AE}" pid="24" name="Editor1">
    <vt:lpwstr/>
  </property>
  <property fmtid="{D5CDD505-2E9C-101B-9397-08002B2CF9AE}" pid="25" name="URL">
    <vt:lpwstr/>
  </property>
  <property fmtid="{D5CDD505-2E9C-101B-9397-08002B2CF9AE}" pid="26" name="ATI Disclose Document Workflow v5">
    <vt:lpwstr/>
  </property>
  <property fmtid="{D5CDD505-2E9C-101B-9397-08002B2CF9AE}" pid="27" name="Publication Type">
    <vt:lpwstr/>
  </property>
  <property fmtid="{D5CDD505-2E9C-101B-9397-08002B2CF9AE}" pid="28" name="ContentTypeId">
    <vt:lpwstr>0x0101001A458A224826124E8B45B1D613300CFC003C75F3AD0C650845BA7AAAC313FE2F01</vt:lpwstr>
  </property>
</Properties>
</file>