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89BFD" w14:textId="77777777" w:rsidR="00EA12BC" w:rsidRDefault="00EA12BC" w:rsidP="00EA12BC">
      <w:pPr>
        <w:pStyle w:val="ListParagraph"/>
        <w:spacing w:before="120" w:after="0" w:line="240" w:lineRule="auto"/>
        <w:ind w:left="360"/>
        <w:contextualSpacing w:val="0"/>
        <w:jc w:val="center"/>
        <w:rPr>
          <w:rFonts w:ascii="Arial" w:hAnsi="Arial" w:cs="Arial"/>
          <w:b/>
          <w:lang w:val="es-ES"/>
        </w:rPr>
      </w:pPr>
      <w:r w:rsidRPr="00D97FAD">
        <w:rPr>
          <w:rFonts w:ascii="Arial" w:hAnsi="Arial" w:cs="Arial"/>
          <w:b/>
          <w:lang w:val="es-ES"/>
        </w:rPr>
        <w:t xml:space="preserve">Matriz de Resultados Indicativa </w:t>
      </w:r>
    </w:p>
    <w:tbl>
      <w:tblPr>
        <w:tblW w:w="6301" w:type="pct"/>
        <w:tblInd w:w="-1152" w:type="dxa"/>
        <w:tblLayout w:type="fixed"/>
        <w:tblLook w:val="04A0" w:firstRow="1" w:lastRow="0" w:firstColumn="1" w:lastColumn="0" w:noHBand="0" w:noVBand="1"/>
      </w:tblPr>
      <w:tblGrid>
        <w:gridCol w:w="1139"/>
        <w:gridCol w:w="47"/>
        <w:gridCol w:w="2659"/>
        <w:gridCol w:w="87"/>
        <w:gridCol w:w="7"/>
        <w:gridCol w:w="874"/>
        <w:gridCol w:w="26"/>
        <w:gridCol w:w="7"/>
        <w:gridCol w:w="890"/>
        <w:gridCol w:w="20"/>
        <w:gridCol w:w="17"/>
        <w:gridCol w:w="87"/>
        <w:gridCol w:w="711"/>
        <w:gridCol w:w="183"/>
        <w:gridCol w:w="424"/>
        <w:gridCol w:w="96"/>
        <w:gridCol w:w="96"/>
        <w:gridCol w:w="131"/>
        <w:gridCol w:w="485"/>
        <w:gridCol w:w="553"/>
        <w:gridCol w:w="61"/>
        <w:gridCol w:w="1188"/>
        <w:gridCol w:w="1088"/>
      </w:tblGrid>
      <w:tr w:rsidR="00EA12BC" w:rsidRPr="00EC158A" w14:paraId="6C5164ED" w14:textId="77777777" w:rsidTr="00BB4B5E">
        <w:trPr>
          <w:trHeight w:val="315"/>
        </w:trPr>
        <w:tc>
          <w:tcPr>
            <w:tcW w:w="17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</w:tcPr>
          <w:p w14:paraId="22F4F78D" w14:textId="77777777" w:rsidR="00EA12BC" w:rsidRPr="00EC158A" w:rsidRDefault="00EA12BC" w:rsidP="00497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Indicador de Resultado</w:t>
            </w:r>
          </w:p>
        </w:tc>
        <w:tc>
          <w:tcPr>
            <w:tcW w:w="8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2AC9B05E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Unidad de Medida</w:t>
            </w:r>
          </w:p>
        </w:tc>
        <w:tc>
          <w:tcPr>
            <w:tcW w:w="4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167FDF51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Año 1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42A6DFBF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Año 2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16E27A81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EOP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098271B8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Medio de Verificación</w:t>
            </w:r>
          </w:p>
        </w:tc>
      </w:tr>
      <w:tr w:rsidR="00EA12BC" w:rsidRPr="005E5FFE" w14:paraId="6B03B6A3" w14:textId="77777777" w:rsidTr="00497386">
        <w:trPr>
          <w:trHeight w:val="315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14:paraId="0999C413" w14:textId="77777777" w:rsidR="00EA12BC" w:rsidRPr="00EC158A" w:rsidRDefault="00480D61" w:rsidP="00497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Resultado 1: </w:t>
            </w:r>
            <w:r w:rsidRPr="00480D6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Programa aprobado según las especificaciones de los estudios/diseños/planes financiados por la CT.</w:t>
            </w:r>
          </w:p>
        </w:tc>
      </w:tr>
      <w:tr w:rsidR="00EA12BC" w:rsidRPr="00EC158A" w14:paraId="2744E7B6" w14:textId="77777777" w:rsidTr="00BB4B5E">
        <w:trPr>
          <w:trHeight w:val="69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BBA" w14:textId="77777777" w:rsidR="00EA12BC" w:rsidRPr="00C05AF9" w:rsidRDefault="00EA12BC" w:rsidP="0049738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EC158A">
              <w:rPr>
                <w:rFonts w:ascii="Arial" w:eastAsia="Times New Roman" w:hAnsi="Arial" w:cs="Arial"/>
                <w:sz w:val="18"/>
                <w:szCs w:val="18"/>
              </w:rPr>
              <w:t>Indicador</w:t>
            </w:r>
          </w:p>
        </w:tc>
        <w:tc>
          <w:tcPr>
            <w:tcW w:w="12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7040" w14:textId="77777777" w:rsidR="00EA12BC" w:rsidRPr="00C05AF9" w:rsidRDefault="00EA12BC" w:rsidP="0049738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EC158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La CT influenció </w:t>
            </w:r>
            <w:r w:rsidR="00480D6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en </w:t>
            </w:r>
            <w:r w:rsidRPr="00EC158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la aprobación </w:t>
            </w:r>
            <w:r w:rsidRPr="003A568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del préstamo de inversión </w:t>
            </w:r>
            <w:r w:rsidR="00480D61" w:rsidRPr="00154144">
              <w:rPr>
                <w:rFonts w:ascii="Arial" w:hAnsi="Arial" w:cs="Arial"/>
                <w:sz w:val="18"/>
                <w:szCs w:val="18"/>
                <w:lang w:val="es-ES_tradnl"/>
              </w:rPr>
              <w:t>“Expansión y Mejoramiento del Sistema de San</w:t>
            </w:r>
            <w:r w:rsidR="00480D61">
              <w:rPr>
                <w:rFonts w:ascii="Arial" w:hAnsi="Arial" w:cs="Arial"/>
                <w:sz w:val="18"/>
                <w:szCs w:val="18"/>
                <w:lang w:val="es-ES_tradnl"/>
              </w:rPr>
              <w:t>eamiento del distrito de Lurín”.</w:t>
            </w:r>
          </w:p>
        </w:tc>
        <w:tc>
          <w:tcPr>
            <w:tcW w:w="9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0B22" w14:textId="77777777" w:rsidR="00EA12BC" w:rsidRPr="00EC158A" w:rsidRDefault="00EA12BC" w:rsidP="0049738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Préstamo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BE06EB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EC158A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1C50F8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5B0DA3" w14:textId="77777777" w:rsidR="00EA12BC" w:rsidRPr="00EC158A" w:rsidRDefault="00EA12BC" w:rsidP="00497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27145C" w14:textId="77777777" w:rsidR="00EA12BC" w:rsidRPr="00EC158A" w:rsidRDefault="00EA12BC" w:rsidP="00497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158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Préstamo en pipeline</w:t>
            </w:r>
          </w:p>
        </w:tc>
      </w:tr>
      <w:tr w:rsidR="00480D61" w:rsidRPr="005E5FFE" w14:paraId="794E12D2" w14:textId="77777777" w:rsidTr="00480D61">
        <w:trPr>
          <w:trHeight w:val="341"/>
        </w:trPr>
        <w:tc>
          <w:tcPr>
            <w:tcW w:w="5000" w:type="pct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97A063D" w14:textId="77777777" w:rsidR="00480D61" w:rsidRPr="009365F5" w:rsidRDefault="00480D61" w:rsidP="00480D6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Resultado 2:</w:t>
            </w:r>
            <w:r w:rsidRPr="009365F5">
              <w:rPr>
                <w:lang w:val="es-ES_tradnl"/>
              </w:rPr>
              <w:t xml:space="preserve"> </w:t>
            </w:r>
            <w:r w:rsidRPr="009365F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Unidad Ejecutora “Agua para Lima y Callao operando </w:t>
            </w:r>
          </w:p>
        </w:tc>
      </w:tr>
      <w:tr w:rsidR="00480D61" w:rsidRPr="00480D61" w14:paraId="75933488" w14:textId="77777777" w:rsidTr="00BB4B5E">
        <w:trPr>
          <w:trHeight w:val="69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F920" w14:textId="77777777" w:rsidR="00480D61" w:rsidRPr="00480D61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2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1DC2" w14:textId="77777777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La CT influenció en la estructuración e implementación de la UE “Agua para Lima y Callao” </w:t>
            </w:r>
          </w:p>
        </w:tc>
        <w:tc>
          <w:tcPr>
            <w:tcW w:w="9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9336" w14:textId="77777777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Unidad Ejecutora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4C627F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B6B80D8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3ACF15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9275921" w14:textId="77777777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UE operando</w:t>
            </w:r>
          </w:p>
        </w:tc>
      </w:tr>
      <w:tr w:rsidR="00480D61" w:rsidRPr="00EC158A" w14:paraId="526498B8" w14:textId="77777777" w:rsidTr="008C7B7F">
        <w:trPr>
          <w:trHeight w:val="330"/>
        </w:trPr>
        <w:tc>
          <w:tcPr>
            <w:tcW w:w="4500" w:type="pct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F81BD"/>
          </w:tcPr>
          <w:p w14:paraId="2B5334D4" w14:textId="77777777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Indicadores de Producto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F81BD"/>
          </w:tcPr>
          <w:p w14:paraId="321E6064" w14:textId="77777777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8C7B7F" w:rsidRPr="00EC158A" w14:paraId="2849460B" w14:textId="77777777" w:rsidTr="00BB4B5E">
        <w:trPr>
          <w:trHeight w:val="64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4F81BD"/>
          </w:tcPr>
          <w:p w14:paraId="7843B41D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Indicador Estándar </w:t>
            </w:r>
          </w:p>
        </w:tc>
        <w:tc>
          <w:tcPr>
            <w:tcW w:w="124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5861C49B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Indicador del Proyecto</w:t>
            </w:r>
          </w:p>
        </w:tc>
        <w:tc>
          <w:tcPr>
            <w:tcW w:w="44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39C042C1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Unidad de Medida</w:t>
            </w:r>
          </w:p>
        </w:tc>
        <w:tc>
          <w:tcPr>
            <w:tcW w:w="441" w:type="pct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1FCDB4CA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Año de línea base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319D7895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Línea base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0127C5BF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Año 1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6DD9ED27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Año 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5C6BD6EC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EOP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center"/>
            <w:hideMark/>
          </w:tcPr>
          <w:p w14:paraId="3020F460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Medio de Verificación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</w:tcPr>
          <w:p w14:paraId="7B4BDC24" w14:textId="77777777" w:rsidR="00480D61" w:rsidRPr="009365F5" w:rsidRDefault="00480D61" w:rsidP="00480D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Costo (US$)</w:t>
            </w:r>
          </w:p>
        </w:tc>
      </w:tr>
      <w:tr w:rsidR="00480D61" w:rsidRPr="005E5FFE" w14:paraId="45037D7B" w14:textId="77777777" w:rsidTr="008C7B7F">
        <w:trPr>
          <w:trHeight w:val="315"/>
        </w:trPr>
        <w:tc>
          <w:tcPr>
            <w:tcW w:w="4500" w:type="pct"/>
            <w:gridSpan w:val="2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</w:tcPr>
          <w:p w14:paraId="1E10DC4E" w14:textId="0622C6BD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COMPONENTE 1: </w:t>
            </w:r>
            <w:r w:rsidR="00BB4B5E" w:rsidRPr="009365F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Estructuración e implementación de la Unidad Ejecutora “Agua para Lima y Callao”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</w:tcPr>
          <w:p w14:paraId="07E05AAE" w14:textId="77777777" w:rsidR="00480D61" w:rsidRPr="009365F5" w:rsidRDefault="00480D61" w:rsidP="00480D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8C7B7F" w:rsidRPr="00F96D29" w14:paraId="0F3D4C90" w14:textId="77777777" w:rsidTr="00BB4B5E">
        <w:trPr>
          <w:trHeight w:val="63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C155" w14:textId="77777777" w:rsidR="008C7B7F" w:rsidRPr="008C7B7F" w:rsidRDefault="00D10CE4" w:rsidP="008C7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10.1</w:t>
            </w:r>
            <w:r w:rsidR="002E0D2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2E0D2F" w:rsidRPr="002E0D2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Project implementation unit established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B811" w14:textId="77777777" w:rsidR="008C7B7F" w:rsidRPr="009365F5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hAnsi="Arial" w:cs="Arial"/>
                <w:sz w:val="18"/>
                <w:szCs w:val="18"/>
                <w:lang w:val="es-ES_tradnl"/>
              </w:rPr>
              <w:t>UES de proyecto establecida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2403" w14:textId="77777777" w:rsidR="008C7B7F" w:rsidRPr="009365F5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PIU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7E00" w14:textId="77777777" w:rsidR="008C7B7F" w:rsidRPr="009365F5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</w:rPr>
              <w:t>2016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AA08" w14:textId="77777777" w:rsidR="008C7B7F" w:rsidRPr="009365F5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BB43" w14:textId="77777777" w:rsidR="008C7B7F" w:rsidRPr="009365F5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BE8AF" w14:textId="77777777" w:rsidR="008C7B7F" w:rsidRPr="009365F5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586B" w14:textId="77777777" w:rsidR="008C7B7F" w:rsidRPr="009365F5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C85A" w14:textId="32E55440" w:rsidR="008C7B7F" w:rsidRPr="009365F5" w:rsidRDefault="00097387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UE establecida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90979" w14:textId="77777777" w:rsidR="008C7B7F" w:rsidRPr="009365F5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365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220000</w:t>
            </w:r>
          </w:p>
        </w:tc>
      </w:tr>
      <w:tr w:rsidR="008C7B7F" w:rsidRPr="00480D61" w14:paraId="7AF620B8" w14:textId="77777777" w:rsidTr="00BB4B5E">
        <w:trPr>
          <w:trHeight w:val="63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EF7A" w14:textId="77777777" w:rsidR="008C7B7F" w:rsidRPr="00EC158A" w:rsidRDefault="00D10CE4" w:rsidP="008C7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14.1</w:t>
            </w:r>
            <w:r w:rsidR="002E0D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2E0D2F" w:rsidRPr="002E0D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Operational manuals developed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F9E0" w14:textId="77777777" w:rsidR="008C7B7F" w:rsidRPr="003511B9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Manual de operaciones (MOP) de la UES desarrollado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0F6A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Manual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5E40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2016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AA1F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3E2F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5392A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BA8D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9934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Manual aprobado por el 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MVCS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D1B88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30000</w:t>
            </w:r>
          </w:p>
        </w:tc>
      </w:tr>
      <w:tr w:rsidR="008C7B7F" w:rsidRPr="00480D61" w14:paraId="7C54EF96" w14:textId="77777777" w:rsidTr="00BB4B5E">
        <w:trPr>
          <w:trHeight w:val="63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DC3" w14:textId="77777777" w:rsidR="008C7B7F" w:rsidRPr="00480D61" w:rsidRDefault="00D10CE4" w:rsidP="008C7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15.4</w:t>
            </w:r>
            <w:r w:rsidR="002E0D2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2E0D2F" w:rsidRPr="002E0D2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Institutional capacity analysis conducted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32B1" w14:textId="77777777" w:rsidR="008C7B7F" w:rsidRPr="003511B9" w:rsidDel="00263A40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s-ES_tradnl"/>
              </w:rPr>
              <w:t>An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álisis de capacidad institucional del viceministerio de saneamiento realizado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6367" w14:textId="77777777" w:rsidR="008C7B7F" w:rsidRPr="003511B9" w:rsidDel="00EF7D97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Evaluación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3B9C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2016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BDAB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1579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3A052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29B5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B5E9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Informe de consultoría </w:t>
            </w:r>
            <w:r>
              <w:rPr>
                <w:rFonts w:ascii="Arial" w:eastAsia="Times New Roman" w:hAnsi="Arial" w:cs="Arial" w:hint="eastAsia"/>
                <w:sz w:val="18"/>
                <w:szCs w:val="18"/>
                <w:lang w:val="es-ES_tradnl"/>
              </w:rPr>
              <w:t xml:space="preserve">aprobado por el 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MVSC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5651E" w14:textId="77777777" w:rsidR="008C7B7F" w:rsidRPr="003511B9" w:rsidDel="00EF7D97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50000</w:t>
            </w:r>
          </w:p>
        </w:tc>
      </w:tr>
      <w:tr w:rsidR="008C7B7F" w:rsidRPr="00480D61" w14:paraId="1419236B" w14:textId="77777777" w:rsidTr="00BB4B5E">
        <w:trPr>
          <w:trHeight w:val="63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3677" w14:textId="77777777" w:rsidR="008C7B7F" w:rsidRPr="00480D61" w:rsidRDefault="00D10CE4" w:rsidP="008C7B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15.12</w:t>
            </w:r>
            <w:r w:rsidR="002E0D2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2E0D2F" w:rsidRPr="002E0D2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Institutional development plan designed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5F80" w14:textId="77777777" w:rsidR="008C7B7F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s-ES_tradnl"/>
              </w:rPr>
              <w:t xml:space="preserve">Plan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fortalecimiento institucional diseñado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9D66" w14:textId="77777777" w:rsidR="008C7B7F" w:rsidRPr="00367CA1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1B1D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2016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DED5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6D2A" w14:textId="77777777" w:rsidR="008C7B7F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2D1A7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1D4FF" w14:textId="77777777" w:rsidR="008C7B7F" w:rsidRPr="00EC158A" w:rsidRDefault="008C7B7F" w:rsidP="008C7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38F8" w14:textId="77777777" w:rsidR="008C7B7F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Plan diseñado </w:t>
            </w: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con conformidad del MVCS y del Banco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73F03" w14:textId="77777777" w:rsidR="008C7B7F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50000</w:t>
            </w:r>
          </w:p>
        </w:tc>
      </w:tr>
      <w:tr w:rsidR="00BB4B5E" w:rsidRPr="005E5FFE" w14:paraId="6A7EC962" w14:textId="77777777" w:rsidTr="00BB4B5E">
        <w:trPr>
          <w:trHeight w:val="312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14:paraId="2EA0D100" w14:textId="0D5CBDBA" w:rsidR="00BB4B5E" w:rsidRPr="00BB4B5E" w:rsidRDefault="00BB4B5E" w:rsidP="008C7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B4B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COMPONENTE 2: Apoyo a la preparación del proyecto de ampliación y mejoramiento de agua y alcantarillado en Lurín</w:t>
            </w:r>
          </w:p>
        </w:tc>
      </w:tr>
      <w:tr w:rsidR="008C7B7F" w:rsidRPr="008C7B7F" w14:paraId="210D6237" w14:textId="77777777" w:rsidTr="0031102C">
        <w:trPr>
          <w:trHeight w:val="1286"/>
        </w:trPr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B362" w14:textId="246B0973" w:rsidR="008C7B7F" w:rsidRPr="008C7B7F" w:rsidRDefault="009365F5" w:rsidP="008C7B7F">
            <w:pPr>
              <w:spacing w:after="0" w:line="240" w:lineRule="auto"/>
              <w:rPr>
                <w:rFonts w:ascii="Arial" w:eastAsia="Times New Roman" w:hAnsi="Arial" w:cs="Arial"/>
                <w:color w:val="E36C0A" w:themeColor="accent6" w:themeShade="BF"/>
                <w:sz w:val="18"/>
                <w:szCs w:val="18"/>
              </w:rPr>
            </w:pPr>
            <w:r w:rsidRPr="0031102C">
              <w:rPr>
                <w:rFonts w:ascii="Arial" w:eastAsia="Times New Roman" w:hAnsi="Arial" w:cs="Arial"/>
                <w:sz w:val="18"/>
                <w:szCs w:val="18"/>
              </w:rPr>
              <w:t xml:space="preserve">03.3 </w:t>
            </w:r>
            <w:r w:rsidR="0089185B" w:rsidRPr="0031102C">
              <w:rPr>
                <w:rFonts w:ascii="Arial" w:eastAsia="Times New Roman" w:hAnsi="Arial" w:cs="Arial"/>
                <w:sz w:val="18"/>
                <w:szCs w:val="18"/>
              </w:rPr>
              <w:t>Project proposal developed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76F7" w14:textId="77777777" w:rsidR="00F56BC2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Diseño del Programa, bajo la norma invierte.pe 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BCB1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Estudio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BFC5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D0DD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A87F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CD6F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BEC4" w14:textId="77777777" w:rsidR="008C7B7F" w:rsidRPr="00F56BC2" w:rsidRDefault="008C7B7F" w:rsidP="003110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56BC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3BD2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Estudio </w:t>
            </w: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realizado con conformidad MVCS y Banco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AC03A" w14:textId="2E55BFAF" w:rsidR="008C7B7F" w:rsidRPr="003511B9" w:rsidRDefault="00CD382E" w:rsidP="00CD382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8C7B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0000</w:t>
            </w:r>
          </w:p>
        </w:tc>
      </w:tr>
      <w:tr w:rsidR="008C7B7F" w:rsidRPr="008C7B7F" w14:paraId="1BB6DF85" w14:textId="77777777" w:rsidTr="0031102C">
        <w:trPr>
          <w:trHeight w:val="1286"/>
        </w:trPr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9619" w14:textId="77777777" w:rsidR="008C7B7F" w:rsidRPr="0031102C" w:rsidRDefault="00F56BC2" w:rsidP="008C7B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1102C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X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06D1" w14:textId="77777777" w:rsidR="008C7B7F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Elaboración TDR para Planes Directores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2937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Estudios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D9AF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C99C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355B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D7BF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A59B" w14:textId="77777777" w:rsidR="008C7B7F" w:rsidRPr="00F56BC2" w:rsidRDefault="008C7B7F" w:rsidP="003110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56BC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28BD" w14:textId="77777777" w:rsidR="008C7B7F" w:rsidRPr="003511B9" w:rsidDel="00A357BA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TDR aprobados por MVCS y Banco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EB731" w14:textId="6F6860B1" w:rsidR="008C7B7F" w:rsidRPr="003511B9" w:rsidRDefault="00385316" w:rsidP="0038531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</w:t>
            </w:r>
            <w:r w:rsidR="008C7B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0000</w:t>
            </w:r>
          </w:p>
        </w:tc>
      </w:tr>
      <w:tr w:rsidR="008C7B7F" w:rsidRPr="008C7B7F" w14:paraId="70128069" w14:textId="77777777" w:rsidTr="0031102C">
        <w:trPr>
          <w:trHeight w:val="1286"/>
        </w:trPr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A996" w14:textId="045E6F22" w:rsidR="008C7B7F" w:rsidRPr="0031102C" w:rsidRDefault="003163BD" w:rsidP="008C7B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14.1 </w:t>
            </w:r>
            <w:r w:rsidRPr="002E0D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Operational manuals developed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C923" w14:textId="77777777" w:rsidR="008C7B7F" w:rsidRPr="003511B9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Reglamento Operativo (ROP) del Programa Lurín, elaborado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4844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Estudios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189E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3CEA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BCD8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6A29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16982" w14:textId="77777777" w:rsidR="008C7B7F" w:rsidRPr="00F56BC2" w:rsidRDefault="008C7B7F" w:rsidP="003110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56BC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6610" w14:textId="2EBD3141" w:rsidR="008C7B7F" w:rsidRPr="003511B9" w:rsidRDefault="0077473D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ROP aprobado por el MVCS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D3261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10000</w:t>
            </w:r>
          </w:p>
        </w:tc>
      </w:tr>
      <w:tr w:rsidR="008C7B7F" w:rsidRPr="00F96D29" w14:paraId="55F30856" w14:textId="77777777" w:rsidTr="0031102C">
        <w:trPr>
          <w:trHeight w:val="1286"/>
        </w:trPr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3FCC" w14:textId="7402A607" w:rsidR="008C7B7F" w:rsidRPr="008C7B7F" w:rsidRDefault="00F56BC2" w:rsidP="008C7B7F">
            <w:pPr>
              <w:spacing w:after="0" w:line="240" w:lineRule="auto"/>
              <w:rPr>
                <w:rFonts w:ascii="Arial" w:eastAsia="Times New Roman" w:hAnsi="Arial" w:cs="Arial"/>
                <w:color w:val="E36C0A" w:themeColor="accent6" w:themeShade="BF"/>
                <w:sz w:val="18"/>
                <w:szCs w:val="18"/>
                <w:lang w:val="es-ES_tradnl"/>
              </w:rPr>
            </w:pPr>
            <w:r w:rsidRPr="005F326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25.2</w:t>
            </w:r>
            <w:r w:rsidR="005F3261" w:rsidRPr="005F326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Surveys conducted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2E21" w14:textId="77777777" w:rsidR="008C7B7F" w:rsidRPr="003511B9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hAnsi="Arial" w:cs="Arial"/>
                <w:sz w:val="18"/>
                <w:szCs w:val="18"/>
                <w:lang w:val="es-ES_tradnl"/>
              </w:rPr>
              <w:t>Encuestas realizadas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8A99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Encuestas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C48F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6588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0C77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highlight w:val="cyan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700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0706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4A31" w14:textId="77777777" w:rsidR="008C7B7F" w:rsidRPr="00F56BC2" w:rsidRDefault="008C7B7F" w:rsidP="003110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56BC2">
              <w:rPr>
                <w:rFonts w:ascii="Arial" w:eastAsia="Times New Roman" w:hAnsi="Arial" w:cs="Arial"/>
                <w:sz w:val="18"/>
                <w:szCs w:val="18"/>
              </w:rPr>
              <w:t>700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931E9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aprobado por</w:t>
            </w: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Banco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C9814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25000</w:t>
            </w:r>
          </w:p>
        </w:tc>
      </w:tr>
      <w:tr w:rsidR="008C7B7F" w:rsidRPr="008C7B7F" w14:paraId="56DF06EA" w14:textId="77777777" w:rsidTr="0031102C">
        <w:trPr>
          <w:trHeight w:val="1286"/>
        </w:trPr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B99C" w14:textId="5617CCDC" w:rsidR="008C7B7F" w:rsidRPr="008C7B7F" w:rsidRDefault="005E5FFE" w:rsidP="008C7B7F">
            <w:pPr>
              <w:spacing w:after="0" w:line="240" w:lineRule="auto"/>
              <w:rPr>
                <w:rFonts w:ascii="Arial" w:eastAsia="Times New Roman" w:hAnsi="Arial" w:cs="Arial"/>
                <w:color w:val="E36C0A" w:themeColor="accent6" w:themeShade="BF"/>
                <w:sz w:val="18"/>
                <w:szCs w:val="18"/>
              </w:rPr>
            </w:pPr>
            <w:bookmarkStart w:id="0" w:name="_GoBack"/>
            <w:bookmarkEnd w:id="0"/>
            <w:r w:rsidRPr="005E5FFE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84DE" w14:textId="77777777" w:rsidR="008C7B7F" w:rsidRPr="003511B9" w:rsidRDefault="008C7B7F" w:rsidP="008C7B7F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Herramientas de gestión: PEP, PA, PF, GRP, MR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0167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Herramientas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B491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0AF2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D1D0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E19D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4810" w14:textId="77777777" w:rsidR="008C7B7F" w:rsidRPr="00F56BC2" w:rsidRDefault="008C7B7F" w:rsidP="003110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56BC2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4363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PA aprobado por JEP del Banco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801EF" w14:textId="77777777" w:rsidR="008C7B7F" w:rsidRPr="003511B9" w:rsidDel="00584ECB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15000</w:t>
            </w:r>
          </w:p>
        </w:tc>
      </w:tr>
      <w:tr w:rsidR="008C7B7F" w:rsidRPr="008C7B7F" w14:paraId="2B8E59C0" w14:textId="77777777" w:rsidTr="0031102C">
        <w:trPr>
          <w:trHeight w:val="1286"/>
        </w:trPr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17B9" w14:textId="6C018107" w:rsidR="008C7B7F" w:rsidRPr="008C7B7F" w:rsidRDefault="007362C1" w:rsidP="008C7B7F">
            <w:pPr>
              <w:spacing w:after="0" w:line="240" w:lineRule="auto"/>
              <w:rPr>
                <w:rFonts w:ascii="Arial" w:eastAsia="Times New Roman" w:hAnsi="Arial" w:cs="Arial"/>
                <w:color w:val="E36C0A" w:themeColor="accent6" w:themeShade="BF"/>
                <w:sz w:val="18"/>
                <w:szCs w:val="18"/>
                <w:lang w:val="es-ES_tradnl"/>
              </w:rPr>
            </w:pPr>
            <w:r w:rsidRPr="005F326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02.1 </w:t>
            </w:r>
            <w:r w:rsidR="005F3261" w:rsidRPr="005F3261">
              <w:t xml:space="preserve"> </w:t>
            </w:r>
            <w:r w:rsidR="005F3261" w:rsidRPr="005F326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Environmental impact assessment completed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F071" w14:textId="321AB58C" w:rsidR="008C7B7F" w:rsidRPr="003511B9" w:rsidRDefault="008C7B7F" w:rsidP="008C7B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studios ambientales </w:t>
            </w:r>
            <w:r w:rsidRPr="003511B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completad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os</w:t>
            </w:r>
            <w:r w:rsidR="00385316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y sociales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0FE4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Estudios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8CF2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0824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19F4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8D6A" w14:textId="77777777" w:rsidR="008C7B7F" w:rsidRPr="003511B9" w:rsidRDefault="008C7B7F" w:rsidP="0031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0B4E" w14:textId="3E208484" w:rsidR="008C7B7F" w:rsidRPr="00F56BC2" w:rsidRDefault="00483118" w:rsidP="003110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31D" w14:textId="77777777" w:rsidR="008C7B7F" w:rsidRPr="003511B9" w:rsidRDefault="008C7B7F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Estudio </w:t>
            </w:r>
            <w:r w:rsidRPr="003511B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realizado con conformidad MVCS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216B7" w14:textId="3504DB42" w:rsidR="008C7B7F" w:rsidRPr="003511B9" w:rsidRDefault="002A7586" w:rsidP="008C7B7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6</w:t>
            </w:r>
            <w:r w:rsidR="008C7B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0000</w:t>
            </w:r>
          </w:p>
        </w:tc>
      </w:tr>
    </w:tbl>
    <w:p w14:paraId="0F15EA8D" w14:textId="77777777" w:rsidR="00450817" w:rsidRDefault="00450817" w:rsidP="00060FE9"/>
    <w:sectPr w:rsidR="00450817" w:rsidSect="00060FE9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BC"/>
    <w:rsid w:val="00060FE9"/>
    <w:rsid w:val="00097387"/>
    <w:rsid w:val="000D0520"/>
    <w:rsid w:val="002A7586"/>
    <w:rsid w:val="002E0D2F"/>
    <w:rsid w:val="0031102C"/>
    <w:rsid w:val="003163BD"/>
    <w:rsid w:val="00385316"/>
    <w:rsid w:val="003B6C4A"/>
    <w:rsid w:val="00450817"/>
    <w:rsid w:val="00477F74"/>
    <w:rsid w:val="00480D61"/>
    <w:rsid w:val="00483118"/>
    <w:rsid w:val="005C006F"/>
    <w:rsid w:val="005E5FFE"/>
    <w:rsid w:val="005F3261"/>
    <w:rsid w:val="006A4A2E"/>
    <w:rsid w:val="007362C1"/>
    <w:rsid w:val="0077473D"/>
    <w:rsid w:val="007C7861"/>
    <w:rsid w:val="0089185B"/>
    <w:rsid w:val="008C7B7F"/>
    <w:rsid w:val="009365F5"/>
    <w:rsid w:val="00BB4B5E"/>
    <w:rsid w:val="00C13E0D"/>
    <w:rsid w:val="00CD382E"/>
    <w:rsid w:val="00CF66C2"/>
    <w:rsid w:val="00D10CE4"/>
    <w:rsid w:val="00D77431"/>
    <w:rsid w:val="00EA12BC"/>
    <w:rsid w:val="00F5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C4D2B"/>
  <w15:docId w15:val="{BB808100-BA10-4315-A83E-FBCB2BE7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A12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uente"/>
    <w:basedOn w:val="Normal"/>
    <w:link w:val="ListParagraphChar"/>
    <w:uiPriority w:val="34"/>
    <w:qFormat/>
    <w:rsid w:val="00EA12BC"/>
    <w:pPr>
      <w:ind w:left="720"/>
      <w:contextualSpacing/>
    </w:pPr>
  </w:style>
  <w:style w:type="character" w:customStyle="1" w:styleId="ListParagraphChar">
    <w:name w:val="List Paragraph Char"/>
    <w:aliases w:val="fuente Char"/>
    <w:basedOn w:val="DefaultParagraphFont"/>
    <w:link w:val="ListParagraph"/>
    <w:uiPriority w:val="34"/>
    <w:locked/>
    <w:rsid w:val="00EA12BC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0D0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5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52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520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2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IDBDocs_x0020_Number xmlns="cdc7663a-08f0-4737-9e8c-148ce897a09c" xsi:nil="true"/>
    <Division_x0020_or_x0020_Unit xmlns="cdc7663a-08f0-4737-9e8c-148ce897a09c">CAN/CPE</Division_x0020_or_x0020_Unit>
    <From_x003a_ xmlns="cdc7663a-08f0-4737-9e8c-148ce897a09c" xsi:nil="true"/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Cueva Guayama, Ana Rosa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29</Value>
      <Value>78</Value>
      <Value>107</Value>
      <Value>106</Value>
      <Value>105</Value>
      <Value>1</Value>
    </TaxCatchAll>
    <Operation_x0020_Type xmlns="cdc7663a-08f0-4737-9e8c-148ce897a09c" xsi:nil="true"/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PE-T1370;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_dlc_DocId xmlns="cdc7663a-08f0-4737-9e8c-148ce897a09c">EZSHARE-1709841478-4</_dlc_DocId>
    <_dlc_DocIdUrl xmlns="cdc7663a-08f0-4737-9e8c-148ce897a09c">
      <Url>https://idbg.sharepoint.com/teams/EZ-PE-TCP/PE-T1370/_layouts/15/DocIdRedir.aspx?ID=EZSHARE-1709841478-4</Url>
      <Description>EZSHARE-1709841478-4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2E9EE22FAB0854FB543D009486DF278" ma:contentTypeVersion="0" ma:contentTypeDescription="The base project type from which other project content types inherit their information." ma:contentTypeScope="" ma:versionID="1b43889bd0cb80f8dd67074653707d7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6bc5e0df9532225e22fe987848608f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E8FC7-29E6-4376-A395-2E47C450B34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197FB24-80CE-47F3-8360-EE4A650B3DB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28E4456-FD54-4C40-AB29-D24944DC6E3F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cdc7663a-08f0-4737-9e8c-148ce897a09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27D584-9594-444D-9F3F-1940F80BE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FA23839-A0B5-495A-A656-AB48FBBF1D7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693AD882-91E7-4044-8C74-3A487909A303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17956E5B-A02F-4C2E-8EB3-CDB3718A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</dc:creator>
  <cp:keywords>Anexo - TC document</cp:keywords>
  <dc:description/>
  <cp:lastModifiedBy>Cueva Guayama, Ana Rosa</cp:lastModifiedBy>
  <cp:revision>52</cp:revision>
  <dcterms:created xsi:type="dcterms:W3CDTF">2017-03-30T14:13:00Z</dcterms:created>
  <dcterms:modified xsi:type="dcterms:W3CDTF">2017-03-30T22:44:00Z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0x010100ACF722E9F6B0B149B0CD8BE2560A66720092E9EE22FAB0854FB543D009486DF278</vt:lpwstr>
  </property>
  <property fmtid="{D5CDD505-2E9C-101B-9397-08002B2CF9AE}" pid="3" name="Function Operations IDB">
    <vt:lpwstr>1;#Monitoring and Reporting|df3c2aa1-d63e-41aa-b1f5-bb15dee691ca</vt:lpwstr>
  </property>
  <property fmtid="{D5CDD505-2E9C-101B-9397-08002B2CF9AE}" pid="4" name="TaxKeyword">
    <vt:lpwstr>107;#Anexo - TC document|c3bc6cde-80ed-4b39-8b69-7ee1f8d01066</vt:lpwstr>
  </property>
  <property fmtid="{D5CDD505-2E9C-101B-9397-08002B2CF9AE}" pid="5" name="TaxKeywordTaxHTField">
    <vt:lpwstr>Anexo - TC document|c3bc6cde-80ed-4b39-8b69-7ee1f8d01066</vt:lpwstr>
  </property>
  <property fmtid="{D5CDD505-2E9C-101B-9397-08002B2CF9AE}" pid="6" name="Series Operations IDB">
    <vt:lpwstr/>
  </property>
  <property fmtid="{D5CDD505-2E9C-101B-9397-08002B2CF9AE}" pid="7" name="Sub-Sector">
    <vt:lpwstr>106;#WATER SUPPLY URBAN|28df1b5d-8f50-49f8-b50a-8bcbae67d2a4</vt:lpwstr>
  </property>
  <property fmtid="{D5CDD505-2E9C-101B-9397-08002B2CF9AE}" pid="8" name="Fund IDB">
    <vt:lpwstr>78;#TBD|d62f6e05-3e80-4abd-9bb4-5f10b4906ff6</vt:lpwstr>
  </property>
  <property fmtid="{D5CDD505-2E9C-101B-9397-08002B2CF9AE}" pid="9" name="Country">
    <vt:lpwstr>29;#Peru|c988f60b-81f1-4c24-8da7-d5473741c5b0</vt:lpwstr>
  </property>
  <property fmtid="{D5CDD505-2E9C-101B-9397-08002B2CF9AE}" pid="10" name="Sector IDB">
    <vt:lpwstr>105;#WATER AND SANITATION|ba6b63cd-e402-47cb-9357-08149f7ce046</vt:lpwstr>
  </property>
  <property fmtid="{D5CDD505-2E9C-101B-9397-08002B2CF9AE}" pid="11" name="_dlc_DocIdItemGuid">
    <vt:lpwstr>48787760-8397-47bc-be14-64d8f1afac24</vt:lpwstr>
  </property>
</Properties>
</file>