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DEC558" w14:textId="0EFFA20B" w:rsidR="00556685" w:rsidRDefault="00556685" w:rsidP="002A0D87">
      <w:pPr>
        <w:jc w:val="center"/>
        <w:rPr>
          <w:b/>
          <w:bCs/>
          <w:sz w:val="24"/>
          <w:szCs w:val="24"/>
          <w:lang w:val="es-ES_tradnl"/>
        </w:rPr>
      </w:pPr>
      <w:r w:rsidRPr="00556685">
        <w:rPr>
          <w:b/>
          <w:bCs/>
          <w:sz w:val="24"/>
          <w:szCs w:val="24"/>
          <w:lang w:val="es-ES_tradnl"/>
        </w:rPr>
        <w:t>PROYECTO DE INTEGRACIÓN FRONTERIZA-EJE VIAL NO. 4 CARRETERA BELLAVISTA-ZUMBA-LA BALSA, PROVINCIA ZAMORA CHINCHIPE</w:t>
      </w:r>
    </w:p>
    <w:p w14:paraId="62D609A2" w14:textId="1FFA3562" w:rsidR="002A0D87" w:rsidRPr="007B2BFD" w:rsidRDefault="002A0D87" w:rsidP="002A0D87">
      <w:pPr>
        <w:jc w:val="center"/>
        <w:rPr>
          <w:b/>
          <w:bCs/>
          <w:sz w:val="24"/>
          <w:szCs w:val="24"/>
          <w:lang w:val="es-ES_tradnl"/>
        </w:rPr>
      </w:pPr>
      <w:r w:rsidRPr="007B2BFD">
        <w:rPr>
          <w:b/>
          <w:bCs/>
          <w:sz w:val="24"/>
          <w:szCs w:val="24"/>
          <w:lang w:val="es-ES_tradnl"/>
        </w:rPr>
        <w:t>Anexo de Género y Diversidad</w:t>
      </w:r>
    </w:p>
    <w:p w14:paraId="3EAC30CD" w14:textId="483C66BD" w:rsidR="002A0D87" w:rsidRDefault="002A0D87" w:rsidP="009C6683">
      <w:pPr>
        <w:rPr>
          <w:b/>
          <w:bCs/>
          <w:lang w:val="es-419"/>
        </w:rPr>
      </w:pPr>
    </w:p>
    <w:p w14:paraId="402802E7" w14:textId="52996090" w:rsidR="002A0D87" w:rsidRDefault="002A0D87" w:rsidP="003C7469">
      <w:pPr>
        <w:jc w:val="both"/>
        <w:rPr>
          <w:sz w:val="24"/>
          <w:szCs w:val="24"/>
          <w:lang w:val="es-ES_tradnl"/>
        </w:rPr>
      </w:pPr>
      <w:r w:rsidRPr="007B2BFD">
        <w:rPr>
          <w:b/>
          <w:bCs/>
          <w:sz w:val="24"/>
          <w:szCs w:val="24"/>
          <w:lang w:val="es-ES_tradnl"/>
        </w:rPr>
        <w:t xml:space="preserve">Descripción de la </w:t>
      </w:r>
      <w:r>
        <w:rPr>
          <w:b/>
          <w:bCs/>
          <w:sz w:val="24"/>
          <w:szCs w:val="24"/>
          <w:lang w:val="es-ES_tradnl"/>
        </w:rPr>
        <w:t>S</w:t>
      </w:r>
      <w:r w:rsidRPr="007B2BFD">
        <w:rPr>
          <w:b/>
          <w:bCs/>
          <w:sz w:val="24"/>
          <w:szCs w:val="24"/>
          <w:lang w:val="es-ES_tradnl"/>
        </w:rPr>
        <w:t>ituación</w:t>
      </w:r>
      <w:r w:rsidRPr="007B2BFD">
        <w:rPr>
          <w:sz w:val="24"/>
          <w:szCs w:val="24"/>
          <w:lang w:val="es-ES_tradnl"/>
        </w:rPr>
        <w:t xml:space="preserve"> </w:t>
      </w:r>
    </w:p>
    <w:p w14:paraId="611A484E" w14:textId="1969A349" w:rsidR="00556685" w:rsidRPr="00556685" w:rsidRDefault="00556685" w:rsidP="003C7469">
      <w:pPr>
        <w:jc w:val="both"/>
        <w:rPr>
          <w:lang w:val="es-ES_tradnl"/>
        </w:rPr>
      </w:pPr>
      <w:r>
        <w:rPr>
          <w:lang w:val="es-ES_tradnl"/>
        </w:rPr>
        <w:t xml:space="preserve">En la última década, Ecuador ha realizado importantes avances para mejorar la igualdad entre hombres y mujeres. </w:t>
      </w:r>
      <w:r w:rsidR="00964277">
        <w:rPr>
          <w:lang w:val="es-ES_tradnl"/>
        </w:rPr>
        <w:t>Los indicadores de salud y participación política también</w:t>
      </w:r>
      <w:r w:rsidR="00174C4D">
        <w:rPr>
          <w:lang w:val="es-ES_tradnl"/>
        </w:rPr>
        <w:t xml:space="preserve"> han mejorado </w:t>
      </w:r>
      <w:r w:rsidR="00964277">
        <w:rPr>
          <w:lang w:val="es-ES_tradnl"/>
        </w:rPr>
        <w:t>en la última década</w:t>
      </w:r>
      <w:r w:rsidR="009903D1">
        <w:rPr>
          <w:lang w:val="es-ES_tradnl"/>
        </w:rPr>
        <w:t>, por ejemplo,</w:t>
      </w:r>
      <w:r w:rsidR="00174C4D">
        <w:rPr>
          <w:lang w:val="es-ES_tradnl"/>
        </w:rPr>
        <w:t xml:space="preserve"> la tasa de mortalidad infantil</w:t>
      </w:r>
      <w:r w:rsidR="009903D1">
        <w:rPr>
          <w:lang w:val="es-ES_tradnl"/>
        </w:rPr>
        <w:t xml:space="preserve"> y</w:t>
      </w:r>
      <w:r w:rsidR="00174C4D">
        <w:rPr>
          <w:lang w:val="es-ES_tradnl"/>
        </w:rPr>
        <w:t xml:space="preserve"> la tasa de mortalidad materna</w:t>
      </w:r>
      <w:r w:rsidR="009903D1">
        <w:rPr>
          <w:lang w:val="es-ES_tradnl"/>
        </w:rPr>
        <w:t xml:space="preserve"> han disminuido</w:t>
      </w:r>
      <w:r w:rsidR="00174C4D">
        <w:rPr>
          <w:lang w:val="es-ES_tradnl"/>
        </w:rPr>
        <w:t>,</w:t>
      </w:r>
      <w:r w:rsidR="009903D1">
        <w:rPr>
          <w:lang w:val="es-ES_tradnl"/>
        </w:rPr>
        <w:t xml:space="preserve"> y</w:t>
      </w:r>
      <w:r w:rsidR="00174C4D">
        <w:rPr>
          <w:lang w:val="es-ES_tradnl"/>
        </w:rPr>
        <w:t xml:space="preserve"> el uso de métodos anticonceptivos y la participación de las mujeres en los espacios públicos, como el parlamento nacional</w:t>
      </w:r>
      <w:r w:rsidR="009903D1">
        <w:rPr>
          <w:lang w:val="es-ES_tradnl"/>
        </w:rPr>
        <w:t xml:space="preserve"> han incrementado</w:t>
      </w:r>
      <w:r w:rsidR="00174C4D">
        <w:rPr>
          <w:lang w:val="es-ES_tradnl"/>
        </w:rPr>
        <w:t>.</w:t>
      </w:r>
      <w:r w:rsidR="00174C4D">
        <w:rPr>
          <w:rStyle w:val="Refdenotaalpie"/>
          <w:lang w:val="es-ES_tradnl"/>
        </w:rPr>
        <w:footnoteReference w:id="1"/>
      </w:r>
      <w:r w:rsidR="00174C4D">
        <w:rPr>
          <w:lang w:val="es-ES_tradnl"/>
        </w:rPr>
        <w:t xml:space="preserve"> No obstante, </w:t>
      </w:r>
      <w:r w:rsidR="00935E1B">
        <w:rPr>
          <w:lang w:val="es-ES_tradnl"/>
        </w:rPr>
        <w:t xml:space="preserve">los indicadores de oportunidades </w:t>
      </w:r>
      <w:r w:rsidR="0003166C">
        <w:rPr>
          <w:lang w:val="es-ES_tradnl"/>
        </w:rPr>
        <w:t xml:space="preserve">laborales no han tenido avances relevantes, </w:t>
      </w:r>
      <w:r w:rsidR="00174C4D">
        <w:rPr>
          <w:lang w:val="es-ES_tradnl"/>
        </w:rPr>
        <w:t xml:space="preserve">la participación de las mujeres en el mercado laboral </w:t>
      </w:r>
      <w:r w:rsidR="00DA54DF">
        <w:rPr>
          <w:lang w:val="es-ES_tradnl"/>
        </w:rPr>
        <w:t>tuvo un ligero incremento, pero</w:t>
      </w:r>
      <w:r w:rsidR="00174C4D">
        <w:rPr>
          <w:lang w:val="es-ES_tradnl"/>
        </w:rPr>
        <w:t xml:space="preserve"> la participación de las mujeres jóvenes (15-24 años) en el mercado laboral </w:t>
      </w:r>
      <w:r w:rsidR="00DA54DF">
        <w:rPr>
          <w:lang w:val="es-ES_tradnl"/>
        </w:rPr>
        <w:t>disminuyó</w:t>
      </w:r>
      <w:r w:rsidR="00174C4D">
        <w:rPr>
          <w:lang w:val="es-ES_tradnl"/>
        </w:rPr>
        <w:t>.</w:t>
      </w:r>
    </w:p>
    <w:p w14:paraId="134C5349" w14:textId="5FE07F82" w:rsidR="003C7469" w:rsidRPr="003C7469" w:rsidRDefault="002A0D87" w:rsidP="003C7469">
      <w:pPr>
        <w:pStyle w:val="Prrafodelista"/>
        <w:numPr>
          <w:ilvl w:val="0"/>
          <w:numId w:val="3"/>
        </w:numPr>
        <w:jc w:val="both"/>
        <w:rPr>
          <w:b/>
          <w:bCs/>
          <w:lang w:val="es-ES_tradnl"/>
        </w:rPr>
      </w:pPr>
      <w:r>
        <w:rPr>
          <w:b/>
          <w:bCs/>
          <w:lang w:val="es-ES_tradnl"/>
        </w:rPr>
        <w:t>Marco Legal e Institucional</w:t>
      </w:r>
    </w:p>
    <w:p w14:paraId="44F0CA0C" w14:textId="4288986F" w:rsidR="003C7469" w:rsidRDefault="003C7469" w:rsidP="003C7469">
      <w:pPr>
        <w:jc w:val="both"/>
        <w:rPr>
          <w:bCs/>
          <w:lang w:val="es-ES_tradnl"/>
        </w:rPr>
      </w:pPr>
      <w:r>
        <w:rPr>
          <w:bCs/>
          <w:lang w:val="es-ES_tradnl"/>
        </w:rPr>
        <w:t xml:space="preserve">Ecuador ha firmado y ratificado diferentes instrumentos legales internacionales para promover la igualdad de género y evitar la violencia en contra de las mujeres y niñas. En ese contexto, el Ecuador ha ratificado la </w:t>
      </w:r>
      <w:r w:rsidRPr="003C7469">
        <w:rPr>
          <w:bCs/>
          <w:lang w:val="es-ES_tradnl"/>
        </w:rPr>
        <w:t>Convención sobre la Eliminación de todas las formas de Discriminación contra la Mujer CEDAW</w:t>
      </w:r>
      <w:r>
        <w:rPr>
          <w:bCs/>
          <w:lang w:val="es-ES_tradnl"/>
        </w:rPr>
        <w:t xml:space="preserve"> </w:t>
      </w:r>
      <w:r w:rsidRPr="003C7469">
        <w:rPr>
          <w:bCs/>
          <w:lang w:val="es-ES_tradnl"/>
        </w:rPr>
        <w:t xml:space="preserve">(1979), </w:t>
      </w:r>
      <w:r>
        <w:rPr>
          <w:bCs/>
          <w:lang w:val="es-ES_tradnl"/>
        </w:rPr>
        <w:t>y</w:t>
      </w:r>
      <w:r w:rsidRPr="003C7469">
        <w:rPr>
          <w:bCs/>
          <w:lang w:val="es-ES_tradnl"/>
        </w:rPr>
        <w:t xml:space="preserve"> su Protocolo Facultativo (firmado en 1999)</w:t>
      </w:r>
      <w:r>
        <w:rPr>
          <w:bCs/>
          <w:lang w:val="es-ES_tradnl"/>
        </w:rPr>
        <w:t xml:space="preserve">, la </w:t>
      </w:r>
      <w:r w:rsidRPr="003C7469">
        <w:rPr>
          <w:bCs/>
          <w:lang w:val="es-ES_tradnl"/>
        </w:rPr>
        <w:t>Convención Interamericana para Prevenir, Sancionar y Erradicar la Violencia contra la Mujer (1994)</w:t>
      </w:r>
      <w:r>
        <w:rPr>
          <w:bCs/>
          <w:lang w:val="es-ES_tradnl"/>
        </w:rPr>
        <w:t xml:space="preserve">, el </w:t>
      </w:r>
      <w:r w:rsidRPr="003C7469">
        <w:rPr>
          <w:bCs/>
          <w:lang w:val="es-ES_tradnl"/>
        </w:rPr>
        <w:t>Consenso de Quito aprobado por la X Conferencia Regional sobre la Mujer de América Latina y el</w:t>
      </w:r>
      <w:r>
        <w:rPr>
          <w:bCs/>
          <w:lang w:val="es-ES_tradnl"/>
        </w:rPr>
        <w:t xml:space="preserve"> </w:t>
      </w:r>
      <w:r w:rsidRPr="003C7469">
        <w:rPr>
          <w:bCs/>
          <w:lang w:val="es-ES_tradnl"/>
        </w:rPr>
        <w:t xml:space="preserve">Caribe </w:t>
      </w:r>
      <w:r>
        <w:rPr>
          <w:bCs/>
          <w:lang w:val="es-ES_tradnl"/>
        </w:rPr>
        <w:t>(</w:t>
      </w:r>
      <w:r w:rsidRPr="003C7469">
        <w:rPr>
          <w:bCs/>
          <w:lang w:val="es-ES_tradnl"/>
        </w:rPr>
        <w:t>2007</w:t>
      </w:r>
      <w:r>
        <w:rPr>
          <w:bCs/>
          <w:lang w:val="es-ES_tradnl"/>
        </w:rPr>
        <w:t xml:space="preserve">), y el </w:t>
      </w:r>
      <w:r w:rsidRPr="003C7469">
        <w:rPr>
          <w:bCs/>
          <w:lang w:val="es-ES_tradnl"/>
        </w:rPr>
        <w:t>Consenso de Brasilia aprobado por la XI Conferencia Regional sobre la Mujer de América Latina y</w:t>
      </w:r>
      <w:r>
        <w:rPr>
          <w:bCs/>
          <w:lang w:val="es-ES_tradnl"/>
        </w:rPr>
        <w:t xml:space="preserve"> </w:t>
      </w:r>
      <w:r w:rsidRPr="003C7469">
        <w:rPr>
          <w:bCs/>
          <w:lang w:val="es-ES_tradnl"/>
        </w:rPr>
        <w:t>el Caribe</w:t>
      </w:r>
      <w:r>
        <w:rPr>
          <w:bCs/>
          <w:lang w:val="es-ES_tradnl"/>
        </w:rPr>
        <w:t xml:space="preserve"> (2010), entre otros instrumentos que proveen herramientas al Estado para garantizar la equidad de género.</w:t>
      </w:r>
    </w:p>
    <w:p w14:paraId="42156E52" w14:textId="06CB9BBA" w:rsidR="003C7469" w:rsidRDefault="003C7469" w:rsidP="003C7469">
      <w:pPr>
        <w:jc w:val="both"/>
        <w:rPr>
          <w:bCs/>
          <w:lang w:val="es-ES_tradnl"/>
        </w:rPr>
      </w:pPr>
      <w:r>
        <w:rPr>
          <w:bCs/>
          <w:lang w:val="es-ES_tradnl"/>
        </w:rPr>
        <w:t>La Constitución de Ecuador de 2008 reconoce la igualdad entre todas las personas y garantiza el goce efectivo de los derechos humanos, así mismo contempla explícitamente la igualdad de género en los capítulos 1 y 2. Adicionalmente, en las últimas décadas Ecuador ha realizado avances para garantizar la igualdad de género a través del diseño e implementación de leyes</w:t>
      </w:r>
      <w:r w:rsidR="007C5BC7">
        <w:rPr>
          <w:bCs/>
          <w:lang w:val="es-ES_tradnl"/>
        </w:rPr>
        <w:t>,</w:t>
      </w:r>
      <w:r w:rsidR="00F77BE5">
        <w:rPr>
          <w:bCs/>
          <w:lang w:val="es-ES_tradnl"/>
        </w:rPr>
        <w:t xml:space="preserve"> normativas</w:t>
      </w:r>
      <w:r w:rsidR="007C5BC7">
        <w:rPr>
          <w:bCs/>
          <w:lang w:val="es-ES_tradnl"/>
        </w:rPr>
        <w:t xml:space="preserve"> y políticas, </w:t>
      </w:r>
      <w:r>
        <w:rPr>
          <w:bCs/>
          <w:lang w:val="es-ES_tradnl"/>
        </w:rPr>
        <w:t>entre las más importantes se encuentran</w:t>
      </w:r>
      <w:r w:rsidR="00F77BE5">
        <w:rPr>
          <w:rStyle w:val="Refdenotaalpie"/>
          <w:bCs/>
          <w:lang w:val="es-ES_tradnl"/>
        </w:rPr>
        <w:footnoteReference w:id="2"/>
      </w:r>
      <w:r>
        <w:rPr>
          <w:bCs/>
          <w:lang w:val="es-ES_tradnl"/>
        </w:rPr>
        <w:t>:</w:t>
      </w:r>
    </w:p>
    <w:p w14:paraId="79E02A4D" w14:textId="3D71B462" w:rsidR="003C7469" w:rsidRPr="00F77BE5" w:rsidRDefault="00F77BE5" w:rsidP="00F77BE5">
      <w:pPr>
        <w:pStyle w:val="Prrafodelista"/>
        <w:numPr>
          <w:ilvl w:val="0"/>
          <w:numId w:val="6"/>
        </w:numPr>
        <w:jc w:val="both"/>
        <w:rPr>
          <w:bCs/>
          <w:lang w:val="es-ES_tradnl"/>
        </w:rPr>
      </w:pPr>
      <w:r w:rsidRPr="00F77BE5">
        <w:rPr>
          <w:bCs/>
          <w:lang w:val="es-ES_tradnl"/>
        </w:rPr>
        <w:t>Ley Orgánica</w:t>
      </w:r>
      <w:r>
        <w:rPr>
          <w:bCs/>
          <w:lang w:val="es-ES_tradnl"/>
        </w:rPr>
        <w:t xml:space="preserve"> </w:t>
      </w:r>
      <w:r w:rsidRPr="00F77BE5">
        <w:rPr>
          <w:bCs/>
          <w:lang w:val="es-ES_tradnl"/>
        </w:rPr>
        <w:t>Integral para Prevenir y Erradicar la Violencia contra las Mujeres</w:t>
      </w:r>
      <w:r w:rsidR="003C7469" w:rsidRPr="00F77BE5">
        <w:rPr>
          <w:bCs/>
          <w:lang w:val="es-ES_tradnl"/>
        </w:rPr>
        <w:t xml:space="preserve"> (</w:t>
      </w:r>
      <w:r>
        <w:rPr>
          <w:bCs/>
          <w:lang w:val="es-ES_tradnl"/>
        </w:rPr>
        <w:t>2018</w:t>
      </w:r>
      <w:r w:rsidR="003C7469" w:rsidRPr="00F77BE5">
        <w:rPr>
          <w:bCs/>
          <w:lang w:val="es-ES_tradnl"/>
        </w:rPr>
        <w:t>).</w:t>
      </w:r>
    </w:p>
    <w:p w14:paraId="19B7AB0F" w14:textId="3CD04C6A" w:rsidR="003C7469" w:rsidRDefault="003C7469" w:rsidP="003C7469">
      <w:pPr>
        <w:pStyle w:val="Prrafodelista"/>
        <w:numPr>
          <w:ilvl w:val="0"/>
          <w:numId w:val="6"/>
        </w:numPr>
        <w:jc w:val="both"/>
        <w:rPr>
          <w:bCs/>
          <w:lang w:val="es-ES_tradnl"/>
        </w:rPr>
      </w:pPr>
      <w:r w:rsidRPr="003C7469">
        <w:rPr>
          <w:bCs/>
          <w:lang w:val="es-ES_tradnl"/>
        </w:rPr>
        <w:t>Código Orgánico Integral Penal (COIP, 2014)</w:t>
      </w:r>
      <w:r>
        <w:rPr>
          <w:bCs/>
          <w:lang w:val="es-ES_tradnl"/>
        </w:rPr>
        <w:t>: tipifica la discriminación y la violencia en contra de las mujeres.</w:t>
      </w:r>
    </w:p>
    <w:p w14:paraId="4741EF59" w14:textId="48759A94" w:rsidR="003C7469" w:rsidRDefault="003C7469" w:rsidP="003C7469">
      <w:pPr>
        <w:pStyle w:val="Prrafodelista"/>
        <w:numPr>
          <w:ilvl w:val="0"/>
          <w:numId w:val="6"/>
        </w:numPr>
        <w:jc w:val="both"/>
        <w:rPr>
          <w:bCs/>
          <w:lang w:val="es-ES_tradnl"/>
        </w:rPr>
      </w:pPr>
      <w:r w:rsidRPr="003C7469">
        <w:rPr>
          <w:bCs/>
          <w:lang w:val="es-ES_tradnl"/>
        </w:rPr>
        <w:t>Ley Orgánica de Comunicación (2013)</w:t>
      </w:r>
      <w:r>
        <w:rPr>
          <w:bCs/>
          <w:lang w:val="es-ES_tradnl"/>
        </w:rPr>
        <w:t>: prohíbe la difusión de contenidos discriminatorios y sanciona la discriminación por sexo, orientación sexual e identidad de género.</w:t>
      </w:r>
    </w:p>
    <w:p w14:paraId="1E104E3C" w14:textId="644EFB9E" w:rsidR="003C7469" w:rsidRDefault="003C7469" w:rsidP="003C7469">
      <w:pPr>
        <w:pStyle w:val="Prrafodelista"/>
        <w:numPr>
          <w:ilvl w:val="0"/>
          <w:numId w:val="6"/>
        </w:numPr>
        <w:jc w:val="both"/>
        <w:rPr>
          <w:bCs/>
          <w:lang w:val="es-ES_tradnl"/>
        </w:rPr>
      </w:pPr>
      <w:r w:rsidRPr="003C7469">
        <w:rPr>
          <w:bCs/>
          <w:lang w:val="es-ES_tradnl"/>
        </w:rPr>
        <w:t>Código Orgánico de Planificación y Finanzas Públicas (COPFT, 2010)</w:t>
      </w:r>
      <w:r>
        <w:rPr>
          <w:bCs/>
          <w:lang w:val="es-ES_tradnl"/>
        </w:rPr>
        <w:t>: promueve un enfoque de igualdad e inclusión y establece que la planificación y las políticas públicas se deben desarrollar con coordinación para incluir enfoques de género, étnico-culturales, generacionales, de discapacidad y movilidad.</w:t>
      </w:r>
    </w:p>
    <w:p w14:paraId="1F2A15CA" w14:textId="2BA5E839" w:rsidR="003C7469" w:rsidRPr="00F77BE5" w:rsidRDefault="00F77BE5" w:rsidP="00F77BE5">
      <w:pPr>
        <w:pStyle w:val="Prrafodelista"/>
        <w:numPr>
          <w:ilvl w:val="0"/>
          <w:numId w:val="6"/>
        </w:numPr>
        <w:jc w:val="both"/>
        <w:rPr>
          <w:bCs/>
          <w:lang w:val="es-ES_tradnl"/>
        </w:rPr>
      </w:pPr>
      <w:r w:rsidRPr="00F77BE5">
        <w:rPr>
          <w:bCs/>
          <w:lang w:val="es-ES_tradnl"/>
        </w:rPr>
        <w:lastRenderedPageBreak/>
        <w:t>Ley Orgánica para la Justicia Laboral y</w:t>
      </w:r>
      <w:r>
        <w:rPr>
          <w:bCs/>
          <w:lang w:val="es-ES_tradnl"/>
        </w:rPr>
        <w:t xml:space="preserve"> </w:t>
      </w:r>
      <w:r w:rsidRPr="00F77BE5">
        <w:rPr>
          <w:bCs/>
          <w:lang w:val="es-ES_tradnl"/>
        </w:rPr>
        <w:t>Reconocimiento del Trabajo en el Hogar</w:t>
      </w:r>
      <w:r w:rsidR="003C7469" w:rsidRPr="00F77BE5">
        <w:rPr>
          <w:bCs/>
          <w:lang w:val="es-ES_tradnl"/>
        </w:rPr>
        <w:t xml:space="preserve"> (20</w:t>
      </w:r>
      <w:r>
        <w:rPr>
          <w:bCs/>
          <w:lang w:val="es-ES_tradnl"/>
        </w:rPr>
        <w:t>1</w:t>
      </w:r>
      <w:r w:rsidR="003C7469" w:rsidRPr="00F77BE5">
        <w:rPr>
          <w:bCs/>
          <w:lang w:val="es-ES_tradnl"/>
        </w:rPr>
        <w:t>5): reconoce el derecho a licencia de maternidad y paternidad y prohíbe el despido por maternidad</w:t>
      </w:r>
      <w:r>
        <w:rPr>
          <w:bCs/>
          <w:lang w:val="es-ES_tradnl"/>
        </w:rPr>
        <w:t>, también reconoce el derecho a seguridad social y pensión por jubilación de las personas que se dedican exclusivamente a tareas del hogar sin remuneración o compensación económica</w:t>
      </w:r>
      <w:r w:rsidR="003C7469" w:rsidRPr="00F77BE5">
        <w:rPr>
          <w:bCs/>
          <w:lang w:val="es-ES_tradnl"/>
        </w:rPr>
        <w:t>.</w:t>
      </w:r>
    </w:p>
    <w:p w14:paraId="0FDC2AB7" w14:textId="44556253" w:rsidR="007C5BC7" w:rsidRDefault="007C5BC7" w:rsidP="007C5BC7">
      <w:pPr>
        <w:jc w:val="both"/>
        <w:rPr>
          <w:bCs/>
          <w:lang w:val="es-ES_tradnl"/>
        </w:rPr>
      </w:pPr>
      <w:r>
        <w:rPr>
          <w:bCs/>
          <w:lang w:val="es-ES_tradnl"/>
        </w:rPr>
        <w:t>El Consejo Nacional para la Igualdad de Género apoya el cumplimiento del Plan Nacional de Desarrollo 2017-2021 a través de la implementación de la Agenda Nacional para la Igualdad de las Mujeres y Personas LGBTI 2018-2021. Esta Agenda Nacional define acciones afirmativas para disminuir la pobreza y desigualdad que afecta desproporcionalmente a mujeres y personas LGBI y tiene como objetivos:</w:t>
      </w:r>
    </w:p>
    <w:p w14:paraId="138D4BF7" w14:textId="4426BBBF" w:rsidR="007C5BC7" w:rsidRDefault="007C5BC7" w:rsidP="007C5BC7">
      <w:pPr>
        <w:pStyle w:val="Prrafodelista"/>
        <w:numPr>
          <w:ilvl w:val="0"/>
          <w:numId w:val="7"/>
        </w:numPr>
        <w:jc w:val="both"/>
        <w:rPr>
          <w:bCs/>
          <w:lang w:val="es-ES_tradnl"/>
        </w:rPr>
      </w:pPr>
      <w:r>
        <w:rPr>
          <w:bCs/>
          <w:lang w:val="es-ES_tradnl"/>
        </w:rPr>
        <w:t>Garantizar una vida libre de violencia y discriminación;</w:t>
      </w:r>
    </w:p>
    <w:p w14:paraId="0770FF1A" w14:textId="6000AA9D" w:rsidR="007C5BC7" w:rsidRDefault="007C5BC7" w:rsidP="007C5BC7">
      <w:pPr>
        <w:pStyle w:val="Prrafodelista"/>
        <w:numPr>
          <w:ilvl w:val="0"/>
          <w:numId w:val="7"/>
        </w:numPr>
        <w:jc w:val="both"/>
        <w:rPr>
          <w:bCs/>
          <w:lang w:val="es-ES_tradnl"/>
        </w:rPr>
      </w:pPr>
      <w:r>
        <w:rPr>
          <w:bCs/>
          <w:lang w:val="es-ES_tradnl"/>
        </w:rPr>
        <w:t>Asegurar el derecho a la salud y el ejercicio de los derechos sexuales y reproductivos; y</w:t>
      </w:r>
    </w:p>
    <w:p w14:paraId="2794033B" w14:textId="1BC9BFC6" w:rsidR="007C5BC7" w:rsidRDefault="007C5BC7" w:rsidP="007C5BC7">
      <w:pPr>
        <w:pStyle w:val="Prrafodelista"/>
        <w:numPr>
          <w:ilvl w:val="0"/>
          <w:numId w:val="7"/>
        </w:numPr>
        <w:jc w:val="both"/>
        <w:rPr>
          <w:bCs/>
          <w:lang w:val="es-ES_tradnl"/>
        </w:rPr>
      </w:pPr>
      <w:r>
        <w:rPr>
          <w:bCs/>
          <w:lang w:val="es-ES_tradnl"/>
        </w:rPr>
        <w:t>Promover el acceso a un trabajo digno.</w:t>
      </w:r>
      <w:r>
        <w:rPr>
          <w:rStyle w:val="Refdenotaalpie"/>
          <w:bCs/>
          <w:lang w:val="es-ES_tradnl"/>
        </w:rPr>
        <w:footnoteReference w:id="3"/>
      </w:r>
    </w:p>
    <w:p w14:paraId="25CEDC7B" w14:textId="77777777" w:rsidR="007C5BC7" w:rsidRPr="007C5BC7" w:rsidRDefault="007C5BC7" w:rsidP="007C5BC7">
      <w:pPr>
        <w:pStyle w:val="Prrafodelista"/>
        <w:jc w:val="both"/>
        <w:rPr>
          <w:bCs/>
          <w:lang w:val="es-ES_tradnl"/>
        </w:rPr>
      </w:pPr>
    </w:p>
    <w:p w14:paraId="37D320E9" w14:textId="4C90C85F" w:rsidR="009C6683" w:rsidRPr="002A0D87" w:rsidRDefault="009C6683" w:rsidP="003C7469">
      <w:pPr>
        <w:pStyle w:val="Prrafodelista"/>
        <w:numPr>
          <w:ilvl w:val="0"/>
          <w:numId w:val="3"/>
        </w:numPr>
        <w:jc w:val="both"/>
        <w:rPr>
          <w:b/>
          <w:bCs/>
          <w:lang w:val="es-ES_tradnl"/>
        </w:rPr>
      </w:pPr>
      <w:r w:rsidRPr="002A0D87">
        <w:rPr>
          <w:b/>
          <w:bCs/>
          <w:lang w:val="es-419"/>
        </w:rPr>
        <w:t xml:space="preserve">Brechas de </w:t>
      </w:r>
      <w:r w:rsidR="002A0D87">
        <w:rPr>
          <w:b/>
          <w:bCs/>
          <w:lang w:val="es-419"/>
        </w:rPr>
        <w:t>G</w:t>
      </w:r>
      <w:r w:rsidRPr="002A0D87">
        <w:rPr>
          <w:b/>
          <w:bCs/>
          <w:lang w:val="es-419"/>
        </w:rPr>
        <w:t>énero</w:t>
      </w:r>
      <w:r w:rsidR="002A0D87">
        <w:rPr>
          <w:b/>
          <w:bCs/>
          <w:lang w:val="es-419"/>
        </w:rPr>
        <w:t xml:space="preserve"> Identificadas</w:t>
      </w:r>
    </w:p>
    <w:p w14:paraId="0FEC19B5" w14:textId="04A9E304" w:rsidR="001B7EFB" w:rsidRDefault="001B7EFB" w:rsidP="003C7469">
      <w:pPr>
        <w:pStyle w:val="Prrafodelista"/>
        <w:numPr>
          <w:ilvl w:val="1"/>
          <w:numId w:val="3"/>
        </w:numPr>
        <w:jc w:val="both"/>
        <w:rPr>
          <w:b/>
          <w:bCs/>
          <w:lang w:val="es-ES_tradnl"/>
        </w:rPr>
      </w:pPr>
      <w:r>
        <w:rPr>
          <w:b/>
          <w:bCs/>
          <w:lang w:val="es-ES_tradnl"/>
        </w:rPr>
        <w:t>Brechas Educativas</w:t>
      </w:r>
    </w:p>
    <w:p w14:paraId="0476CC7A" w14:textId="390DEFE1" w:rsidR="000301AD" w:rsidRPr="000301AD" w:rsidRDefault="000301AD" w:rsidP="000301AD">
      <w:pPr>
        <w:jc w:val="both"/>
        <w:rPr>
          <w:b/>
          <w:bCs/>
          <w:lang w:val="es-ES_tradnl"/>
        </w:rPr>
      </w:pPr>
      <w:r>
        <w:rPr>
          <w:lang w:val="es-ES_tradnl"/>
        </w:rPr>
        <w:t>Según cifras del Banco Mundial, en materia educativa las brechas entre niñas y niños eran pequeñas en el año 2000 y la mayoría de estos indicadores mejoraron significativamente para el año 2017. La matriculación en escuela primaria disminuyó entre el 2000 y el 2017 (Año 2000: Mujeres 96%, Hombres 95%; Año 2017: Mujeres 92%, Hombres 91%), sin embargo, la matriculación en escuela secundaria incrementó significativamente (Año 2000: Mujeres 49%, Hombres 47%; Año 2017: Mujeres 89%, Hombres 87%). Se observa una pequeña diferencia en la tasa de matriculación escolar primaria y secundaria entre mujeres y hombres a favor de las mujeres, esta brecha se incrementa en la escuela terciaria. La tasa de matriculación en escuela terciaria (% del grupo etario relevante) para el 2017 fue 49% para mujeres y 42% para hombres, y la tasa de graduación a nivel terciario para el mismo año fue 47% para mujeres y 30% para hombres.</w:t>
      </w:r>
      <w:r>
        <w:rPr>
          <w:rStyle w:val="Refdenotaalpie"/>
          <w:lang w:val="es-ES_tradnl"/>
        </w:rPr>
        <w:footnoteReference w:id="4"/>
      </w:r>
    </w:p>
    <w:p w14:paraId="76AAF782" w14:textId="353DFA57" w:rsidR="001B7EFB" w:rsidRPr="001B7EFB" w:rsidRDefault="000301AD" w:rsidP="001B7EFB">
      <w:pPr>
        <w:jc w:val="both"/>
        <w:rPr>
          <w:b/>
          <w:bCs/>
          <w:lang w:val="es-ES_tradnl"/>
        </w:rPr>
      </w:pPr>
      <w:r>
        <w:rPr>
          <w:rFonts w:cs="Arial"/>
          <w:lang w:val="es-419"/>
        </w:rPr>
        <w:t xml:space="preserve">La data </w:t>
      </w:r>
      <w:r w:rsidRPr="00CF3449">
        <w:rPr>
          <w:rFonts w:cs="Arial"/>
          <w:lang w:val="es-419"/>
        </w:rPr>
        <w:t>del Censo 2010,</w:t>
      </w:r>
      <w:r>
        <w:rPr>
          <w:rFonts w:cs="Arial"/>
          <w:lang w:val="es-419"/>
        </w:rPr>
        <w:t xml:space="preserve"> con </w:t>
      </w:r>
      <w:r w:rsidRPr="00CF3449">
        <w:rPr>
          <w:rFonts w:cs="Arial"/>
          <w:lang w:val="es-419"/>
        </w:rPr>
        <w:t>in</w:t>
      </w:r>
      <w:r w:rsidRPr="00CF3449">
        <w:rPr>
          <w:rFonts w:cs="Arial"/>
          <w:lang w:val="es-EC"/>
        </w:rPr>
        <w:t xml:space="preserve">formación a nivel nacional </w:t>
      </w:r>
      <w:r>
        <w:rPr>
          <w:rFonts w:cs="Arial"/>
          <w:lang w:val="es-EC"/>
        </w:rPr>
        <w:t>desagregada por</w:t>
      </w:r>
      <w:r w:rsidRPr="00CF3449">
        <w:rPr>
          <w:rFonts w:cs="Arial"/>
          <w:lang w:val="es-EC"/>
        </w:rPr>
        <w:t xml:space="preserve"> género y por sectores urbano y rural</w:t>
      </w:r>
      <w:r>
        <w:rPr>
          <w:rFonts w:cs="Arial"/>
          <w:lang w:val="es-EC"/>
        </w:rPr>
        <w:t>,</w:t>
      </w:r>
      <w:r w:rsidRPr="00CF3449">
        <w:rPr>
          <w:rFonts w:cs="Arial"/>
          <w:lang w:val="es-EC"/>
        </w:rPr>
        <w:t xml:space="preserve"> denota que l</w:t>
      </w:r>
      <w:r>
        <w:rPr>
          <w:rFonts w:cs="Arial"/>
          <w:lang w:val="es-EC"/>
        </w:rPr>
        <w:t>os principales motivos de las</w:t>
      </w:r>
      <w:r w:rsidRPr="00CF3449">
        <w:rPr>
          <w:rFonts w:cs="Arial"/>
          <w:lang w:val="es-EC"/>
        </w:rPr>
        <w:t xml:space="preserve"> mujeres</w:t>
      </w:r>
      <w:r>
        <w:rPr>
          <w:rFonts w:cs="Arial"/>
          <w:lang w:val="es-EC"/>
        </w:rPr>
        <w:t xml:space="preserve"> para migrar, tanto</w:t>
      </w:r>
      <w:r w:rsidRPr="00CF3449">
        <w:rPr>
          <w:rFonts w:cs="Arial"/>
          <w:lang w:val="es-EC"/>
        </w:rPr>
        <w:t xml:space="preserve"> en área</w:t>
      </w:r>
      <w:r>
        <w:rPr>
          <w:rFonts w:cs="Arial"/>
          <w:lang w:val="es-EC"/>
        </w:rPr>
        <w:t>s</w:t>
      </w:r>
      <w:r w:rsidRPr="00CF3449">
        <w:rPr>
          <w:rFonts w:cs="Arial"/>
          <w:lang w:val="es-EC"/>
        </w:rPr>
        <w:t xml:space="preserve"> urbana</w:t>
      </w:r>
      <w:r>
        <w:rPr>
          <w:rFonts w:cs="Arial"/>
          <w:lang w:val="es-EC"/>
        </w:rPr>
        <w:t>s</w:t>
      </w:r>
      <w:r w:rsidRPr="00CF3449">
        <w:rPr>
          <w:rFonts w:cs="Arial"/>
          <w:lang w:val="es-EC"/>
        </w:rPr>
        <w:t xml:space="preserve"> </w:t>
      </w:r>
      <w:r>
        <w:rPr>
          <w:rFonts w:cs="Arial"/>
          <w:lang w:val="es-EC"/>
        </w:rPr>
        <w:t>como</w:t>
      </w:r>
      <w:r w:rsidRPr="00CF3449">
        <w:rPr>
          <w:rFonts w:cs="Arial"/>
          <w:lang w:val="es-EC"/>
        </w:rPr>
        <w:t xml:space="preserve"> rural</w:t>
      </w:r>
      <w:r>
        <w:rPr>
          <w:rFonts w:cs="Arial"/>
          <w:lang w:val="es-EC"/>
        </w:rPr>
        <w:t xml:space="preserve">es, son oportunidades laborales </w:t>
      </w:r>
      <w:r w:rsidRPr="00CF3449">
        <w:rPr>
          <w:rFonts w:cs="Arial"/>
          <w:lang w:val="es-EC"/>
        </w:rPr>
        <w:t>o unión familiar.</w:t>
      </w:r>
      <w:r w:rsidRPr="002664C0">
        <w:rPr>
          <w:rFonts w:cs="Arial"/>
          <w:vertAlign w:val="superscript"/>
          <w:lang w:val="es-419"/>
        </w:rPr>
        <w:footnoteReference w:id="5"/>
      </w:r>
      <w:r w:rsidRPr="00CF3449">
        <w:rPr>
          <w:rFonts w:cs="Arial"/>
          <w:lang w:val="es-EC"/>
        </w:rPr>
        <w:t xml:space="preserve"> El desplazamiento por motivo de estudios tiene una menor</w:t>
      </w:r>
      <w:r>
        <w:rPr>
          <w:rFonts w:cs="Arial"/>
          <w:lang w:val="es-EC"/>
        </w:rPr>
        <w:t xml:space="preserve"> incidencia</w:t>
      </w:r>
      <w:r w:rsidRPr="00CF3449">
        <w:rPr>
          <w:rFonts w:cs="Arial"/>
          <w:lang w:val="es-EC"/>
        </w:rPr>
        <w:t xml:space="preserve">. </w:t>
      </w:r>
      <w:r>
        <w:rPr>
          <w:rFonts w:cs="Arial"/>
          <w:lang w:val="es-EC"/>
        </w:rPr>
        <w:t xml:space="preserve">Los hogares con </w:t>
      </w:r>
      <w:r w:rsidRPr="00CF3449">
        <w:rPr>
          <w:rFonts w:cs="Arial"/>
          <w:lang w:val="es-EC"/>
        </w:rPr>
        <w:t xml:space="preserve">jefatura </w:t>
      </w:r>
      <w:r>
        <w:rPr>
          <w:rFonts w:cs="Arial"/>
          <w:lang w:val="es-EC"/>
        </w:rPr>
        <w:t xml:space="preserve">femenina - </w:t>
      </w:r>
      <w:r w:rsidRPr="00CF3449">
        <w:rPr>
          <w:rFonts w:cs="Arial"/>
          <w:lang w:val="es-EC"/>
        </w:rPr>
        <w:t xml:space="preserve">31,4% </w:t>
      </w:r>
      <w:r>
        <w:rPr>
          <w:rFonts w:cs="Arial"/>
          <w:lang w:val="es-EC"/>
        </w:rPr>
        <w:t xml:space="preserve">áreas urbanas </w:t>
      </w:r>
      <w:r w:rsidRPr="00CF3449">
        <w:rPr>
          <w:rFonts w:cs="Arial"/>
          <w:lang w:val="es-EC"/>
        </w:rPr>
        <w:t xml:space="preserve">y de 23,9% </w:t>
      </w:r>
      <w:r>
        <w:rPr>
          <w:rFonts w:cs="Arial"/>
          <w:lang w:val="es-EC"/>
        </w:rPr>
        <w:t>áreas rurales - suelen alcanzar menores niveles educativos.</w:t>
      </w:r>
      <w:r w:rsidRPr="00CF3449">
        <w:rPr>
          <w:rFonts w:cs="Arial"/>
          <w:lang w:val="es-EC"/>
        </w:rPr>
        <w:t xml:space="preserve"> </w:t>
      </w:r>
      <w:r>
        <w:rPr>
          <w:rFonts w:cs="Arial"/>
          <w:lang w:val="es-EC"/>
        </w:rPr>
        <w:t xml:space="preserve">La mayoría de </w:t>
      </w:r>
      <w:r w:rsidRPr="00CF3449">
        <w:rPr>
          <w:rFonts w:cs="Arial"/>
          <w:lang w:val="es-EC"/>
        </w:rPr>
        <w:t>l</w:t>
      </w:r>
      <w:r>
        <w:rPr>
          <w:rFonts w:cs="Arial"/>
          <w:lang w:val="es-EC"/>
        </w:rPr>
        <w:t>o</w:t>
      </w:r>
      <w:r w:rsidRPr="00CF3449">
        <w:rPr>
          <w:rFonts w:cs="Arial"/>
          <w:lang w:val="es-EC"/>
        </w:rPr>
        <w:t>s</w:t>
      </w:r>
      <w:r>
        <w:rPr>
          <w:rFonts w:cs="Arial"/>
          <w:lang w:val="es-EC"/>
        </w:rPr>
        <w:t xml:space="preserve"> hogares con jefatura femenina</w:t>
      </w:r>
      <w:r w:rsidRPr="00CF3449">
        <w:rPr>
          <w:rFonts w:cs="Arial"/>
          <w:lang w:val="es-EC"/>
        </w:rPr>
        <w:t xml:space="preserve"> alcanzan </w:t>
      </w:r>
      <w:r>
        <w:rPr>
          <w:rFonts w:cs="Arial"/>
          <w:lang w:val="es-EC"/>
        </w:rPr>
        <w:t>un</w:t>
      </w:r>
      <w:r w:rsidRPr="00CF3449">
        <w:rPr>
          <w:rFonts w:cs="Arial"/>
          <w:lang w:val="es-EC"/>
        </w:rPr>
        <w:t xml:space="preserve"> nivel de educación </w:t>
      </w:r>
      <w:r>
        <w:rPr>
          <w:rFonts w:cs="Arial"/>
          <w:lang w:val="es-EC"/>
        </w:rPr>
        <w:t>b</w:t>
      </w:r>
      <w:r w:rsidRPr="00CF3449">
        <w:rPr>
          <w:rFonts w:cs="Arial"/>
          <w:lang w:val="es-EC"/>
        </w:rPr>
        <w:t xml:space="preserve">ásico, tanto en el sector rural como en el urbano </w:t>
      </w:r>
      <w:r>
        <w:rPr>
          <w:rFonts w:cs="Arial"/>
          <w:lang w:val="es-EC"/>
        </w:rPr>
        <w:t>(</w:t>
      </w:r>
      <w:r w:rsidRPr="00CF3449">
        <w:rPr>
          <w:rFonts w:cs="Arial"/>
          <w:lang w:val="es-EC"/>
        </w:rPr>
        <w:t>45,5% y 58,5%, respectivamente</w:t>
      </w:r>
      <w:r>
        <w:rPr>
          <w:rFonts w:cs="Arial"/>
          <w:lang w:val="es-EC"/>
        </w:rPr>
        <w:t>)</w:t>
      </w:r>
      <w:r w:rsidRPr="00CF3449">
        <w:rPr>
          <w:rFonts w:cs="Arial"/>
          <w:lang w:val="es-EC"/>
        </w:rPr>
        <w:t xml:space="preserve">. </w:t>
      </w:r>
      <w:r>
        <w:rPr>
          <w:rFonts w:cs="Arial"/>
          <w:lang w:val="es-EC"/>
        </w:rPr>
        <w:t xml:space="preserve">En general, las mujeres no asisten a </w:t>
      </w:r>
      <w:r w:rsidRPr="00CF3449">
        <w:rPr>
          <w:rFonts w:cs="Arial"/>
          <w:lang w:val="es-EC"/>
        </w:rPr>
        <w:t>establecimientos educativos por falta de recursos económicos. Esta situación se acentúa en la población del sector rural.</w:t>
      </w:r>
    </w:p>
    <w:p w14:paraId="70DC1D8A" w14:textId="46B103D0" w:rsidR="002A0D87" w:rsidRDefault="002A0D87" w:rsidP="003C7469">
      <w:pPr>
        <w:pStyle w:val="Prrafodelista"/>
        <w:numPr>
          <w:ilvl w:val="1"/>
          <w:numId w:val="3"/>
        </w:numPr>
        <w:jc w:val="both"/>
        <w:rPr>
          <w:b/>
          <w:bCs/>
          <w:lang w:val="es-ES_tradnl"/>
        </w:rPr>
      </w:pPr>
      <w:r>
        <w:rPr>
          <w:b/>
          <w:bCs/>
          <w:lang w:val="es-ES_tradnl"/>
        </w:rPr>
        <w:t>Brechas Laborales</w:t>
      </w:r>
    </w:p>
    <w:p w14:paraId="0F74E135" w14:textId="3F2646DC" w:rsidR="00A204E1" w:rsidRDefault="00A204E1" w:rsidP="007A1C32">
      <w:pPr>
        <w:jc w:val="both"/>
        <w:rPr>
          <w:lang w:val="es-ES_tradnl"/>
        </w:rPr>
      </w:pPr>
      <w:r>
        <w:rPr>
          <w:lang w:val="es-ES_tradnl"/>
        </w:rPr>
        <w:t>La tasa de participación en el mercado laboral</w:t>
      </w:r>
      <w:r w:rsidR="00147166">
        <w:rPr>
          <w:lang w:val="es-ES_tradnl"/>
        </w:rPr>
        <w:t xml:space="preserve"> (% de la población mayor de 15 años)</w:t>
      </w:r>
      <w:r>
        <w:rPr>
          <w:lang w:val="es-ES_tradnl"/>
        </w:rPr>
        <w:t xml:space="preserve"> e</w:t>
      </w:r>
      <w:r w:rsidR="00147166">
        <w:rPr>
          <w:lang w:val="es-ES_tradnl"/>
        </w:rPr>
        <w:t>s</w:t>
      </w:r>
      <w:r>
        <w:rPr>
          <w:lang w:val="es-ES_tradnl"/>
        </w:rPr>
        <w:t xml:space="preserve"> mucho menor para mujeres que </w:t>
      </w:r>
      <w:r w:rsidR="00147166">
        <w:rPr>
          <w:lang w:val="es-ES_tradnl"/>
        </w:rPr>
        <w:t>para hombres (mujeres 57% y hombres 82%</w:t>
      </w:r>
      <w:r w:rsidR="001A3FB2">
        <w:rPr>
          <w:lang w:val="es-ES_tradnl"/>
        </w:rPr>
        <w:t xml:space="preserve">). </w:t>
      </w:r>
      <w:r w:rsidR="00E16428">
        <w:rPr>
          <w:lang w:val="es-ES_tradnl"/>
        </w:rPr>
        <w:t xml:space="preserve">Así mismo las condiciones de empleo de las mujeres suelen ser </w:t>
      </w:r>
      <w:r w:rsidR="002710EB">
        <w:rPr>
          <w:lang w:val="es-ES_tradnl"/>
        </w:rPr>
        <w:t xml:space="preserve">peores que las de los hombres: un mayor porcentaje de hombres son empleados </w:t>
      </w:r>
      <w:r w:rsidR="002710EB">
        <w:rPr>
          <w:lang w:val="es-ES_tradnl"/>
        </w:rPr>
        <w:lastRenderedPageBreak/>
        <w:t>asalariados (</w:t>
      </w:r>
      <w:r w:rsidR="00D37C1B">
        <w:rPr>
          <w:lang w:val="es-ES_tradnl"/>
        </w:rPr>
        <w:t>57% de los hombres en comparación con 42% de las mujeres)</w:t>
      </w:r>
      <w:r w:rsidR="0026451A">
        <w:rPr>
          <w:lang w:val="es-ES_tradnl"/>
        </w:rPr>
        <w:t>,</w:t>
      </w:r>
      <w:r w:rsidR="00D37C1B">
        <w:rPr>
          <w:lang w:val="es-ES_tradnl"/>
        </w:rPr>
        <w:t xml:space="preserve"> el porcentaje de mujeres en empleos vulnerables es </w:t>
      </w:r>
      <w:r w:rsidR="0026451A">
        <w:rPr>
          <w:lang w:val="es-ES_tradnl"/>
        </w:rPr>
        <w:t>más alto que el de hombres (57% de las mujeres en comparación con 39% de los hombres) y la tasa de de</w:t>
      </w:r>
      <w:r w:rsidR="00352670">
        <w:rPr>
          <w:lang w:val="es-ES_tradnl"/>
        </w:rPr>
        <w:t>sempleo es mayor en mujeres que en hombres (5% mujeres y 3% hombres)</w:t>
      </w:r>
      <w:r w:rsidR="0026451A">
        <w:rPr>
          <w:lang w:val="es-ES_tradnl"/>
        </w:rPr>
        <w:t>.</w:t>
      </w:r>
      <w:r w:rsidR="0026451A">
        <w:rPr>
          <w:rStyle w:val="Refdenotaalpie"/>
          <w:lang w:val="es-ES_tradnl"/>
        </w:rPr>
        <w:footnoteReference w:id="6"/>
      </w:r>
    </w:p>
    <w:p w14:paraId="25DAACC5" w14:textId="5DDBB4A0" w:rsidR="009C6683" w:rsidRPr="00244EA3" w:rsidRDefault="00161E69" w:rsidP="003C7469">
      <w:pPr>
        <w:jc w:val="both"/>
        <w:rPr>
          <w:rFonts w:cs="Arial"/>
          <w:lang w:val="es-ES"/>
        </w:rPr>
      </w:pPr>
      <w:r>
        <w:rPr>
          <w:lang w:val="es-ES_tradnl"/>
        </w:rPr>
        <w:t xml:space="preserve">En Ecuador, </w:t>
      </w:r>
      <w:r w:rsidR="00510884">
        <w:rPr>
          <w:lang w:val="es-ES_tradnl"/>
        </w:rPr>
        <w:t xml:space="preserve">la población en edad de trabajar (PET) </w:t>
      </w:r>
      <w:r w:rsidR="002B7FB8">
        <w:rPr>
          <w:lang w:val="es-ES_tradnl"/>
        </w:rPr>
        <w:t>para 2015 era ligeramente más alta para mujeres que para hombres (</w:t>
      </w:r>
      <w:r w:rsidR="00A204E1">
        <w:rPr>
          <w:lang w:val="es-ES_tradnl"/>
        </w:rPr>
        <w:t>5,5 millones de hombres y 5,8 millones de mujeres</w:t>
      </w:r>
      <w:r w:rsidR="006E5C40">
        <w:rPr>
          <w:lang w:val="es-ES_tradnl"/>
        </w:rPr>
        <w:t>), sin embargo, la población económicamente activa (PEA)</w:t>
      </w:r>
      <w:r w:rsidR="00862179">
        <w:rPr>
          <w:lang w:val="es-ES_tradnl"/>
        </w:rPr>
        <w:t xml:space="preserve"> de mujeres era significativamente inferior a la de hombres (</w:t>
      </w:r>
      <w:r w:rsidR="00971890">
        <w:rPr>
          <w:lang w:val="es-ES_tradnl"/>
        </w:rPr>
        <w:t>4</w:t>
      </w:r>
      <w:r w:rsidR="00F2575B">
        <w:rPr>
          <w:lang w:val="es-ES_tradnl"/>
        </w:rPr>
        <w:t>,4 millones de hombres y 3</w:t>
      </w:r>
      <w:r w:rsidR="004D7A6D">
        <w:rPr>
          <w:lang w:val="es-ES_tradnl"/>
        </w:rPr>
        <w:t>.2</w:t>
      </w:r>
      <w:r w:rsidR="00F2575B">
        <w:rPr>
          <w:lang w:val="es-ES_tradnl"/>
        </w:rPr>
        <w:t xml:space="preserve"> millones de mujeres).</w:t>
      </w:r>
      <w:r w:rsidR="000A5E04">
        <w:rPr>
          <w:rStyle w:val="Refdenotaalpie"/>
          <w:lang w:val="es-ES_tradnl"/>
        </w:rPr>
        <w:footnoteReference w:id="7"/>
      </w:r>
      <w:r w:rsidR="00330185">
        <w:rPr>
          <w:lang w:val="es-ES_tradnl"/>
        </w:rPr>
        <w:t xml:space="preserve"> </w:t>
      </w:r>
      <w:r w:rsidR="00C85994">
        <w:rPr>
          <w:lang w:val="es-ES_tradnl"/>
        </w:rPr>
        <w:t>La brecha de empleo adecuado entre hombres y mujeres es amplia</w:t>
      </w:r>
      <w:r w:rsidR="00A36169">
        <w:rPr>
          <w:lang w:val="es-ES_tradnl"/>
        </w:rPr>
        <w:t>, en Diciembre de 2015 la tasa de empleo adecuado para hombres era 53,1%, mientras que para mujeres era 3</w:t>
      </w:r>
      <w:r w:rsidR="00AA38FB">
        <w:rPr>
          <w:lang w:val="es-ES_tradnl"/>
        </w:rPr>
        <w:t>6,9% (16,2 puntos de diferencia).</w:t>
      </w:r>
      <w:r w:rsidR="004D6D84">
        <w:rPr>
          <w:rStyle w:val="Refdenotaalpie"/>
          <w:lang w:val="es-ES_tradnl"/>
        </w:rPr>
        <w:footnoteReference w:id="8"/>
      </w:r>
      <w:r w:rsidR="00F40DE5">
        <w:rPr>
          <w:lang w:val="es-ES_tradnl"/>
        </w:rPr>
        <w:t xml:space="preserve"> </w:t>
      </w:r>
      <w:r w:rsidR="009C7DFF">
        <w:rPr>
          <w:lang w:val="es-ES_tradnl"/>
        </w:rPr>
        <w:t xml:space="preserve">Asimismo, </w:t>
      </w:r>
      <w:r w:rsidR="007A115A">
        <w:rPr>
          <w:lang w:val="es-ES_tradnl"/>
        </w:rPr>
        <w:t xml:space="preserve">el empleo inadecuado es mayor para las mujeres (56,5%) que para </w:t>
      </w:r>
      <w:r w:rsidR="0033089C">
        <w:rPr>
          <w:lang w:val="es-ES_tradnl"/>
        </w:rPr>
        <w:t xml:space="preserve">los hombres (42,3%). </w:t>
      </w:r>
      <w:r w:rsidR="00CE2255">
        <w:rPr>
          <w:lang w:val="es-ES_tradnl"/>
        </w:rPr>
        <w:t xml:space="preserve">Los </w:t>
      </w:r>
      <w:r w:rsidR="00A33BC2">
        <w:rPr>
          <w:lang w:val="es-ES_tradnl"/>
        </w:rPr>
        <w:t xml:space="preserve">principales </w:t>
      </w:r>
      <w:r w:rsidR="00CE2255">
        <w:rPr>
          <w:lang w:val="es-ES_tradnl"/>
        </w:rPr>
        <w:t xml:space="preserve">componentes del empleo inadecuado son </w:t>
      </w:r>
      <w:r w:rsidR="00A33BC2">
        <w:rPr>
          <w:lang w:val="es-ES_tradnl"/>
        </w:rPr>
        <w:t>el subempleo, otro empleo inadecuado y el empleo no remunerado.</w:t>
      </w:r>
      <w:r w:rsidR="00A33BC2">
        <w:rPr>
          <w:rStyle w:val="Refdenotaalpie"/>
          <w:lang w:val="es-ES_tradnl"/>
        </w:rPr>
        <w:footnoteReference w:id="9"/>
      </w:r>
      <w:r w:rsidR="00156D68">
        <w:rPr>
          <w:lang w:val="es-ES_tradnl"/>
        </w:rPr>
        <w:t xml:space="preserve"> </w:t>
      </w:r>
      <w:r w:rsidR="00B05E2D">
        <w:rPr>
          <w:lang w:val="es-ES_tradnl"/>
        </w:rPr>
        <w:t>Los empleados adecuado</w:t>
      </w:r>
      <w:r w:rsidR="002717E9">
        <w:rPr>
          <w:lang w:val="es-ES_tradnl"/>
        </w:rPr>
        <w:t>s</w:t>
      </w:r>
      <w:r w:rsidR="00B05E2D">
        <w:rPr>
          <w:lang w:val="es-ES_tradnl"/>
        </w:rPr>
        <w:t xml:space="preserve"> reciben un ingreso medio</w:t>
      </w:r>
      <w:r w:rsidR="00D22C39">
        <w:rPr>
          <w:lang w:val="es-ES_tradnl"/>
        </w:rPr>
        <w:t xml:space="preserve"> mensual</w:t>
      </w:r>
      <w:r w:rsidR="00B05E2D">
        <w:rPr>
          <w:lang w:val="es-ES_tradnl"/>
        </w:rPr>
        <w:t xml:space="preserve"> n</w:t>
      </w:r>
      <w:r w:rsidR="00D22C39">
        <w:rPr>
          <w:lang w:val="es-ES_tradnl"/>
        </w:rPr>
        <w:t>o</w:t>
      </w:r>
      <w:r w:rsidR="00B05E2D">
        <w:rPr>
          <w:lang w:val="es-ES_tradnl"/>
        </w:rPr>
        <w:t>tablemente superior que los empleados inadecuados (</w:t>
      </w:r>
      <w:r w:rsidR="00D22C39">
        <w:rPr>
          <w:lang w:val="es-ES_tradnl"/>
        </w:rPr>
        <w:t>$US 757,5 y $US 191,6, respectivamente).</w:t>
      </w:r>
      <w:r w:rsidR="000F7AA4">
        <w:rPr>
          <w:rStyle w:val="Refdenotaalpie"/>
          <w:lang w:val="es-ES_tradnl"/>
        </w:rPr>
        <w:footnoteReference w:id="10"/>
      </w:r>
      <w:r w:rsidR="00FD6EF4">
        <w:rPr>
          <w:lang w:val="es-ES_tradnl"/>
        </w:rPr>
        <w:t xml:space="preserve"> </w:t>
      </w:r>
      <w:r w:rsidR="008D6D27">
        <w:rPr>
          <w:lang w:val="es-ES_tradnl"/>
        </w:rPr>
        <w:t>La brecha de género en empleo no remunerado se ha mantenido entre 2007 y 2015</w:t>
      </w:r>
      <w:r w:rsidR="00264200">
        <w:rPr>
          <w:lang w:val="es-ES_tradnl"/>
        </w:rPr>
        <w:t xml:space="preserve">. En septiembre de 2015, </w:t>
      </w:r>
      <w:r w:rsidR="00264200" w:rsidRPr="00264200">
        <w:rPr>
          <w:lang w:val="es-ES_tradnl"/>
        </w:rPr>
        <w:t>8,4% de mujeres en la PEA t</w:t>
      </w:r>
      <w:r w:rsidR="00264200">
        <w:rPr>
          <w:lang w:val="es-ES_tradnl"/>
        </w:rPr>
        <w:t>enían</w:t>
      </w:r>
      <w:r w:rsidR="00264200" w:rsidRPr="00264200">
        <w:rPr>
          <w:lang w:val="es-ES_tradnl"/>
        </w:rPr>
        <w:t xml:space="preserve"> un empleo no remunerado, </w:t>
      </w:r>
      <w:r w:rsidR="00D70300">
        <w:rPr>
          <w:lang w:val="es-ES_tradnl"/>
        </w:rPr>
        <w:t>en comparación con</w:t>
      </w:r>
      <w:r w:rsidR="00264200" w:rsidRPr="00264200">
        <w:rPr>
          <w:lang w:val="es-ES_tradnl"/>
        </w:rPr>
        <w:t xml:space="preserve"> 2,1% de los hombres de la PEA</w:t>
      </w:r>
      <w:r w:rsidR="00D70300">
        <w:rPr>
          <w:lang w:val="es-ES_tradnl"/>
        </w:rPr>
        <w:t>.</w:t>
      </w:r>
      <w:r w:rsidR="00C27FC2" w:rsidRPr="00C27FC2">
        <w:rPr>
          <w:vertAlign w:val="superscript"/>
          <w:lang w:val="es-419"/>
        </w:rPr>
        <w:t xml:space="preserve"> </w:t>
      </w:r>
      <w:r w:rsidR="00C27FC2" w:rsidRPr="009C6683">
        <w:rPr>
          <w:vertAlign w:val="superscript"/>
          <w:lang w:val="es-419"/>
        </w:rPr>
        <w:footnoteReference w:id="11"/>
      </w:r>
      <w:r w:rsidR="00325D2E">
        <w:rPr>
          <w:lang w:val="es-ES_tradnl"/>
        </w:rPr>
        <w:t xml:space="preserve"> </w:t>
      </w:r>
      <w:r w:rsidR="00244EA3">
        <w:rPr>
          <w:rFonts w:cs="Arial"/>
          <w:lang w:val="es-ES"/>
        </w:rPr>
        <w:t>L</w:t>
      </w:r>
      <w:r w:rsidR="000301AD">
        <w:rPr>
          <w:rFonts w:cs="Arial"/>
          <w:lang w:val="es-ES"/>
        </w:rPr>
        <w:t>os</w:t>
      </w:r>
      <w:r w:rsidR="000301AD" w:rsidRPr="00EE3E3E">
        <w:rPr>
          <w:rFonts w:cs="Arial"/>
          <w:lang w:val="es-ES"/>
        </w:rPr>
        <w:t xml:space="preserve"> hombre</w:t>
      </w:r>
      <w:r w:rsidR="000301AD">
        <w:rPr>
          <w:rFonts w:cs="Arial"/>
          <w:lang w:val="es-ES"/>
        </w:rPr>
        <w:t>s</w:t>
      </w:r>
      <w:r w:rsidR="000301AD" w:rsidRPr="00EE3E3E">
        <w:rPr>
          <w:rFonts w:cs="Arial"/>
          <w:lang w:val="es-ES"/>
        </w:rPr>
        <w:t xml:space="preserve"> gan</w:t>
      </w:r>
      <w:r w:rsidR="000301AD" w:rsidRPr="00801648">
        <w:rPr>
          <w:rFonts w:cs="Arial"/>
          <w:lang w:val="es-ES"/>
        </w:rPr>
        <w:t>a</w:t>
      </w:r>
      <w:r w:rsidR="000301AD">
        <w:rPr>
          <w:rFonts w:cs="Arial"/>
          <w:lang w:val="es-ES"/>
        </w:rPr>
        <w:t>n</w:t>
      </w:r>
      <w:r w:rsidR="000301AD" w:rsidRPr="00801648">
        <w:rPr>
          <w:rFonts w:cs="Arial"/>
          <w:lang w:val="es-ES"/>
        </w:rPr>
        <w:t xml:space="preserve"> </w:t>
      </w:r>
      <w:r w:rsidR="000301AD">
        <w:rPr>
          <w:rFonts w:cs="Arial"/>
          <w:lang w:val="es-ES"/>
        </w:rPr>
        <w:t>e</w:t>
      </w:r>
      <w:r w:rsidR="000301AD" w:rsidRPr="00801648">
        <w:rPr>
          <w:rFonts w:cs="Arial"/>
          <w:lang w:val="es-ES"/>
        </w:rPr>
        <w:t xml:space="preserve">n promedio </w:t>
      </w:r>
      <w:r w:rsidR="000301AD">
        <w:rPr>
          <w:rFonts w:cs="Arial"/>
          <w:lang w:val="es-ES"/>
        </w:rPr>
        <w:t>US</w:t>
      </w:r>
      <w:r w:rsidR="000301AD" w:rsidRPr="00801648">
        <w:rPr>
          <w:rFonts w:cs="Arial"/>
          <w:lang w:val="es-ES"/>
        </w:rPr>
        <w:t xml:space="preserve">$73,90 más </w:t>
      </w:r>
      <w:r w:rsidR="000301AD">
        <w:rPr>
          <w:rFonts w:cs="Arial"/>
          <w:lang w:val="es-ES"/>
        </w:rPr>
        <w:t>que las</w:t>
      </w:r>
      <w:r w:rsidR="000301AD" w:rsidRPr="00EE3E3E">
        <w:rPr>
          <w:rFonts w:cs="Arial"/>
          <w:lang w:val="es-ES"/>
        </w:rPr>
        <w:t xml:space="preserve"> mujer</w:t>
      </w:r>
      <w:r w:rsidR="000301AD">
        <w:rPr>
          <w:rFonts w:cs="Arial"/>
          <w:lang w:val="es-ES"/>
        </w:rPr>
        <w:t>es;</w:t>
      </w:r>
      <w:r w:rsidR="000301AD" w:rsidRPr="00801648">
        <w:rPr>
          <w:rFonts w:cs="Arial"/>
          <w:lang w:val="es-ES"/>
        </w:rPr>
        <w:t xml:space="preserve"> </w:t>
      </w:r>
      <w:r w:rsidR="000301AD">
        <w:rPr>
          <w:rFonts w:cs="Arial"/>
          <w:lang w:val="es-ES"/>
        </w:rPr>
        <w:t>e</w:t>
      </w:r>
      <w:r w:rsidR="000301AD" w:rsidRPr="00801648">
        <w:rPr>
          <w:rFonts w:cs="Arial"/>
          <w:lang w:val="es-ES"/>
        </w:rPr>
        <w:t xml:space="preserve">l ingreso laboral promedio </w:t>
      </w:r>
      <w:r w:rsidR="000301AD">
        <w:rPr>
          <w:rFonts w:cs="Arial"/>
          <w:lang w:val="es-ES"/>
        </w:rPr>
        <w:t xml:space="preserve">de los </w:t>
      </w:r>
      <w:r w:rsidR="000301AD" w:rsidRPr="00EE3E3E">
        <w:rPr>
          <w:lang w:val="es-ES"/>
        </w:rPr>
        <w:t>hombre</w:t>
      </w:r>
      <w:r w:rsidR="000301AD">
        <w:rPr>
          <w:lang w:val="es-ES"/>
        </w:rPr>
        <w:t>s</w:t>
      </w:r>
      <w:r w:rsidR="000301AD" w:rsidRPr="00EE3E3E">
        <w:rPr>
          <w:lang w:val="es-ES"/>
        </w:rPr>
        <w:t xml:space="preserve"> con empleo es de </w:t>
      </w:r>
      <w:r w:rsidR="000301AD">
        <w:rPr>
          <w:lang w:val="es-ES"/>
        </w:rPr>
        <w:t>US</w:t>
      </w:r>
      <w:r w:rsidR="000301AD" w:rsidRPr="00EE3E3E">
        <w:rPr>
          <w:lang w:val="es-ES"/>
        </w:rPr>
        <w:t>$369,30</w:t>
      </w:r>
      <w:r w:rsidR="000301AD">
        <w:rPr>
          <w:lang w:val="es-ES"/>
        </w:rPr>
        <w:t>,</w:t>
      </w:r>
      <w:r w:rsidR="000301AD" w:rsidRPr="00EE3E3E">
        <w:rPr>
          <w:lang w:val="es-ES"/>
        </w:rPr>
        <w:t xml:space="preserve"> mientras que el de </w:t>
      </w:r>
      <w:r w:rsidR="000301AD">
        <w:rPr>
          <w:lang w:val="es-ES"/>
        </w:rPr>
        <w:t>las</w:t>
      </w:r>
      <w:r w:rsidR="000301AD" w:rsidRPr="00EE3E3E">
        <w:rPr>
          <w:lang w:val="es-ES"/>
        </w:rPr>
        <w:t xml:space="preserve"> mujer</w:t>
      </w:r>
      <w:r w:rsidR="000301AD">
        <w:rPr>
          <w:lang w:val="es-ES"/>
        </w:rPr>
        <w:t>es</w:t>
      </w:r>
      <w:r w:rsidR="000301AD" w:rsidRPr="00EE3E3E">
        <w:rPr>
          <w:lang w:val="es-ES"/>
        </w:rPr>
        <w:t xml:space="preserve"> en las mismas condiciones es de </w:t>
      </w:r>
      <w:r w:rsidR="000301AD">
        <w:rPr>
          <w:lang w:val="es-ES"/>
        </w:rPr>
        <w:t>US</w:t>
      </w:r>
      <w:r w:rsidR="000301AD" w:rsidRPr="00EE3E3E">
        <w:rPr>
          <w:lang w:val="es-ES"/>
        </w:rPr>
        <w:t>$2</w:t>
      </w:r>
      <w:r w:rsidR="000301AD" w:rsidRPr="00801648">
        <w:rPr>
          <w:lang w:val="es-ES"/>
        </w:rPr>
        <w:t>95,40</w:t>
      </w:r>
      <w:r w:rsidR="00244EA3">
        <w:rPr>
          <w:lang w:val="es-ES"/>
        </w:rPr>
        <w:t>.</w:t>
      </w:r>
      <w:r w:rsidR="000301AD">
        <w:rPr>
          <w:rStyle w:val="Refdenotaalpie"/>
          <w:rFonts w:cs="Arial"/>
          <w:lang w:val="es-ES"/>
        </w:rPr>
        <w:footnoteReference w:id="12"/>
      </w:r>
      <w:r w:rsidR="000301AD" w:rsidRPr="00047D2E">
        <w:rPr>
          <w:lang w:val="es-ES"/>
        </w:rPr>
        <w:t xml:space="preserve"> </w:t>
      </w:r>
      <w:r w:rsidR="000301AD">
        <w:rPr>
          <w:rFonts w:cs="Arial"/>
          <w:lang w:val="es-ES"/>
        </w:rPr>
        <w:t xml:space="preserve">Del total de horas de trabajo no remunerado, </w:t>
      </w:r>
      <w:r w:rsidR="000301AD" w:rsidRPr="00CF3449">
        <w:rPr>
          <w:rFonts w:cs="Arial"/>
          <w:lang w:val="es-ES"/>
        </w:rPr>
        <w:t>78,34% de son cubiertas por mujeres y 21,66% por hombres</w:t>
      </w:r>
      <w:r w:rsidR="000301AD">
        <w:rPr>
          <w:rFonts w:cs="Arial"/>
          <w:lang w:val="es-ES"/>
        </w:rPr>
        <w:t>. Esto demuestra que las mujeres son las principales responsables de las tareas domésticas y de cuidado, mientras que la participación de los hombres en estas actividades es mucho menor</w:t>
      </w:r>
      <w:r w:rsidR="00244EA3">
        <w:rPr>
          <w:rFonts w:cs="Arial"/>
          <w:lang w:val="es-ES"/>
        </w:rPr>
        <w:t>.</w:t>
      </w:r>
    </w:p>
    <w:p w14:paraId="440BD43D" w14:textId="3208A245" w:rsidR="009C6683" w:rsidRPr="00791F4F" w:rsidRDefault="00791F4F" w:rsidP="00791F4F">
      <w:pPr>
        <w:pStyle w:val="Prrafodelista"/>
        <w:numPr>
          <w:ilvl w:val="0"/>
          <w:numId w:val="3"/>
        </w:numPr>
        <w:jc w:val="both"/>
        <w:rPr>
          <w:b/>
          <w:bCs/>
          <w:lang w:val="es-419"/>
        </w:rPr>
      </w:pPr>
      <w:r w:rsidRPr="00791F4F">
        <w:rPr>
          <w:b/>
          <w:bCs/>
          <w:lang w:val="es-419"/>
        </w:rPr>
        <w:t>Contexto de la Operación</w:t>
      </w:r>
    </w:p>
    <w:p w14:paraId="24550099" w14:textId="4B6BA252" w:rsidR="009C6683" w:rsidRDefault="009C6683" w:rsidP="003C7469">
      <w:pPr>
        <w:jc w:val="both"/>
        <w:rPr>
          <w:lang w:val="es-EC"/>
        </w:rPr>
      </w:pPr>
      <w:r>
        <w:rPr>
          <w:lang w:val="es-EC"/>
        </w:rPr>
        <w:t xml:space="preserve">El BID ha venido trabajando con el ministerio de Agricultura en el apoyo a organizaciones de productores de cacao </w:t>
      </w:r>
      <w:r w:rsidR="00733F4D">
        <w:rPr>
          <w:lang w:val="es-EC"/>
        </w:rPr>
        <w:t>y café</w:t>
      </w:r>
      <w:r w:rsidR="00791F4F">
        <w:rPr>
          <w:lang w:val="es-EC"/>
        </w:rPr>
        <w:t xml:space="preserve"> en el Proyecto </w:t>
      </w:r>
      <w:r w:rsidR="00791F4F" w:rsidRPr="00791F4F">
        <w:rPr>
          <w:lang w:val="es-EC"/>
        </w:rPr>
        <w:t xml:space="preserve">Fortalecimiento </w:t>
      </w:r>
      <w:r w:rsidR="00791F4F">
        <w:rPr>
          <w:lang w:val="es-EC"/>
        </w:rPr>
        <w:t>d</w:t>
      </w:r>
      <w:r w:rsidR="00791F4F" w:rsidRPr="00791F4F">
        <w:rPr>
          <w:lang w:val="es-EC"/>
        </w:rPr>
        <w:t xml:space="preserve">e Cadenas </w:t>
      </w:r>
      <w:r w:rsidR="00791F4F">
        <w:rPr>
          <w:lang w:val="es-EC"/>
        </w:rPr>
        <w:t>d</w:t>
      </w:r>
      <w:r w:rsidR="00791F4F" w:rsidRPr="00791F4F">
        <w:rPr>
          <w:lang w:val="es-EC"/>
        </w:rPr>
        <w:t xml:space="preserve">e Valor </w:t>
      </w:r>
      <w:r w:rsidR="00791F4F">
        <w:rPr>
          <w:lang w:val="es-EC"/>
        </w:rPr>
        <w:t>c</w:t>
      </w:r>
      <w:r w:rsidR="00791F4F" w:rsidRPr="00791F4F">
        <w:rPr>
          <w:lang w:val="es-EC"/>
        </w:rPr>
        <w:t xml:space="preserve">on Enfoque </w:t>
      </w:r>
      <w:r w:rsidR="00791F4F">
        <w:rPr>
          <w:lang w:val="es-EC"/>
        </w:rPr>
        <w:t>d</w:t>
      </w:r>
      <w:r w:rsidR="00791F4F" w:rsidRPr="00791F4F">
        <w:rPr>
          <w:lang w:val="es-EC"/>
        </w:rPr>
        <w:t xml:space="preserve">e Género </w:t>
      </w:r>
      <w:r w:rsidR="00791F4F">
        <w:rPr>
          <w:lang w:val="es-EC"/>
        </w:rPr>
        <w:t>e</w:t>
      </w:r>
      <w:r w:rsidR="00791F4F" w:rsidRPr="00791F4F">
        <w:rPr>
          <w:lang w:val="es-EC"/>
        </w:rPr>
        <w:t xml:space="preserve">n </w:t>
      </w:r>
      <w:r w:rsidR="00791F4F">
        <w:rPr>
          <w:lang w:val="es-EC"/>
        </w:rPr>
        <w:t>e</w:t>
      </w:r>
      <w:r w:rsidR="00791F4F" w:rsidRPr="00791F4F">
        <w:rPr>
          <w:lang w:val="es-EC"/>
        </w:rPr>
        <w:t xml:space="preserve">l Sector </w:t>
      </w:r>
      <w:r w:rsidR="00791F4F">
        <w:rPr>
          <w:lang w:val="es-EC"/>
        </w:rPr>
        <w:t>l</w:t>
      </w:r>
      <w:r w:rsidR="00791F4F" w:rsidRPr="00791F4F">
        <w:rPr>
          <w:lang w:val="es-EC"/>
        </w:rPr>
        <w:t xml:space="preserve">as Balsas </w:t>
      </w:r>
      <w:r w:rsidR="00791F4F">
        <w:rPr>
          <w:lang w:val="es-EC"/>
        </w:rPr>
        <w:t>y</w:t>
      </w:r>
      <w:r w:rsidR="00791F4F" w:rsidRPr="00791F4F">
        <w:rPr>
          <w:lang w:val="es-EC"/>
        </w:rPr>
        <w:t xml:space="preserve"> Bellavista </w:t>
      </w:r>
      <w:r w:rsidR="00791F4F">
        <w:rPr>
          <w:lang w:val="es-EC"/>
        </w:rPr>
        <w:t>d</w:t>
      </w:r>
      <w:r w:rsidR="00791F4F" w:rsidRPr="00791F4F">
        <w:rPr>
          <w:lang w:val="es-EC"/>
        </w:rPr>
        <w:t xml:space="preserve">el </w:t>
      </w:r>
      <w:proofErr w:type="spellStart"/>
      <w:r w:rsidR="00791F4F" w:rsidRPr="00791F4F">
        <w:rPr>
          <w:lang w:val="es-EC"/>
        </w:rPr>
        <w:t>Canton</w:t>
      </w:r>
      <w:proofErr w:type="spellEnd"/>
      <w:r w:rsidR="00791F4F" w:rsidRPr="00791F4F">
        <w:rPr>
          <w:lang w:val="es-EC"/>
        </w:rPr>
        <w:t xml:space="preserve"> Chinchipe</w:t>
      </w:r>
      <w:r w:rsidR="00733F4D">
        <w:rPr>
          <w:lang w:val="es-EC"/>
        </w:rPr>
        <w:t xml:space="preserve">. </w:t>
      </w:r>
      <w:r w:rsidR="00733F4D" w:rsidRPr="00733F4D">
        <w:rPr>
          <w:lang w:val="es-EC"/>
        </w:rPr>
        <w:t>La intervención se basa en el desarrollo e involucramiento de las mujeres en los procesos organizativos relacionados con: el fortalecimiento de la base social, toma de decisiones, mejora de capacidades individuales y colectivas, consolidación del capital social, la ampliación de la democracia y el mejoramiento de las condiciones de medios de vida de las familias del sector, mediante el desarrollo de servicios complementarios sociales, productivos, financieros, entre otros.</w:t>
      </w:r>
    </w:p>
    <w:p w14:paraId="1215ADC9" w14:textId="6755BB7A" w:rsidR="00CB0623" w:rsidRPr="00733F4D" w:rsidRDefault="00733F4D" w:rsidP="00733F4D">
      <w:pPr>
        <w:jc w:val="both"/>
        <w:rPr>
          <w:lang w:val="es-EC"/>
        </w:rPr>
      </w:pPr>
      <w:r>
        <w:rPr>
          <w:lang w:val="es-EC"/>
        </w:rPr>
        <w:t xml:space="preserve">El enfoque de género del proyecto busca que </w:t>
      </w:r>
      <w:r w:rsidR="00CB0623" w:rsidRPr="00733F4D">
        <w:rPr>
          <w:lang w:val="es-EC"/>
        </w:rPr>
        <w:t xml:space="preserve">las mujeres se beneficien de la mayor conectividad e integración binacional. Dado que el área de influencia es mayormente agrícola se ha coordinado con el Ministerio de Agricultura para que fortalezca a las organizaciones del sector en la inclusión de las mujeres en la cadena de valor agropecuaria (producción, transformación, industrialización y comercialización). Para ello, con recursos del préstamo se realizará un diagnóstico a profundidad en la zona de influencia para entender cuál es el rol de la mujer en las distintas etapas de la cadena de valor y cuáles son sus </w:t>
      </w:r>
      <w:r w:rsidR="00CB0623" w:rsidRPr="00733F4D">
        <w:rPr>
          <w:lang w:val="es-EC"/>
        </w:rPr>
        <w:lastRenderedPageBreak/>
        <w:t xml:space="preserve">principales limitantes. </w:t>
      </w:r>
      <w:r w:rsidRPr="00733F4D">
        <w:rPr>
          <w:lang w:val="es-EC"/>
        </w:rPr>
        <w:t>T</w:t>
      </w:r>
      <w:r w:rsidR="00CB0623" w:rsidRPr="00733F4D">
        <w:rPr>
          <w:lang w:val="es-EC"/>
        </w:rPr>
        <w:t>ambién se calculará un indicador de línea de base para saber hasta qué punto cada familia incluye a la mujer en la cadena de valor y poder calcular en la evaluación final si esto ha mejorado. Con ello se elaborará un programa de capacitación a ser implementado durante 2.5 años. Al final del mismo se espera que el 90% de las familias capacitadas hayan logrado una mayor inclusión de la mujer en alguna etapa de la cadena de valor.</w:t>
      </w:r>
    </w:p>
    <w:p w14:paraId="07B77267" w14:textId="77777777" w:rsidR="002A0D87" w:rsidRDefault="002A0D87" w:rsidP="003C7469">
      <w:pPr>
        <w:jc w:val="both"/>
        <w:rPr>
          <w:b/>
          <w:bCs/>
          <w:sz w:val="24"/>
          <w:szCs w:val="24"/>
          <w:lang w:val="es-ES_tradnl"/>
        </w:rPr>
      </w:pPr>
      <w:r w:rsidRPr="007B2BFD">
        <w:rPr>
          <w:b/>
          <w:bCs/>
          <w:sz w:val="24"/>
          <w:szCs w:val="24"/>
          <w:lang w:val="es-ES_tradnl"/>
        </w:rPr>
        <w:t xml:space="preserve">Acciones </w:t>
      </w:r>
      <w:r>
        <w:rPr>
          <w:b/>
          <w:bCs/>
          <w:sz w:val="24"/>
          <w:szCs w:val="24"/>
          <w:lang w:val="es-ES_tradnl"/>
        </w:rPr>
        <w:t>de Género en la Operación</w:t>
      </w:r>
    </w:p>
    <w:p w14:paraId="3684480C" w14:textId="77777777" w:rsidR="002A0D87" w:rsidRDefault="002A0D87" w:rsidP="003C7469">
      <w:pPr>
        <w:jc w:val="both"/>
        <w:rPr>
          <w:lang w:val="es-ES_tradnl"/>
        </w:rPr>
      </w:pPr>
      <w:r>
        <w:rPr>
          <w:lang w:val="es-ES_tradnl"/>
        </w:rPr>
        <w:t>Las acciones propuestas en este anexo siguen las tres líneas estratégicas de acción de género de la División de Transporte del BID:</w:t>
      </w:r>
    </w:p>
    <w:p w14:paraId="0BCCC25D" w14:textId="77777777" w:rsidR="002A0D87" w:rsidRDefault="002A0D87" w:rsidP="003C7469">
      <w:pPr>
        <w:pStyle w:val="Prrafodelista"/>
        <w:numPr>
          <w:ilvl w:val="0"/>
          <w:numId w:val="4"/>
        </w:numPr>
        <w:jc w:val="both"/>
        <w:rPr>
          <w:lang w:val="es-ES_tradnl"/>
        </w:rPr>
      </w:pPr>
      <w:r w:rsidRPr="00C57F16">
        <w:rPr>
          <w:lang w:val="es-ES_tradnl"/>
        </w:rPr>
        <w:t xml:space="preserve">Promover la incorporación de mujeres a empleos no tradicionales en el sector. </w:t>
      </w:r>
    </w:p>
    <w:p w14:paraId="494920A2" w14:textId="77777777" w:rsidR="002A0D87" w:rsidRDefault="002A0D87" w:rsidP="003C7469">
      <w:pPr>
        <w:pStyle w:val="Prrafodelista"/>
        <w:numPr>
          <w:ilvl w:val="0"/>
          <w:numId w:val="4"/>
        </w:numPr>
        <w:jc w:val="both"/>
        <w:rPr>
          <w:lang w:val="es-ES_tradnl"/>
        </w:rPr>
      </w:pPr>
      <w:r w:rsidRPr="00C57F16">
        <w:rPr>
          <w:lang w:val="es-ES_tradnl"/>
        </w:rPr>
        <w:t xml:space="preserve">Incorporar las necesidades diferenciadas por género en la infraestructura y servicios de transporte. </w:t>
      </w:r>
    </w:p>
    <w:p w14:paraId="18093003" w14:textId="411E1414" w:rsidR="002A0D87" w:rsidRDefault="002A0D87" w:rsidP="003C7469">
      <w:pPr>
        <w:pStyle w:val="Prrafodelista"/>
        <w:numPr>
          <w:ilvl w:val="0"/>
          <w:numId w:val="4"/>
        </w:numPr>
        <w:jc w:val="both"/>
        <w:rPr>
          <w:lang w:val="es-ES_tradnl"/>
        </w:rPr>
      </w:pPr>
      <w:r w:rsidRPr="00C57F16">
        <w:rPr>
          <w:lang w:val="es-ES_tradnl"/>
        </w:rPr>
        <w:t>Recolectar datos desagregados en el sector para apoyar el diseño de políticas y proyectos.</w:t>
      </w:r>
    </w:p>
    <w:p w14:paraId="39F51EAE" w14:textId="77777777" w:rsidR="005648CD" w:rsidRPr="005648CD" w:rsidRDefault="005648CD" w:rsidP="005648CD">
      <w:pPr>
        <w:pStyle w:val="Prrafodelista"/>
        <w:jc w:val="both"/>
        <w:rPr>
          <w:lang w:val="es-ES_tradnl"/>
        </w:rPr>
      </w:pPr>
    </w:p>
    <w:p w14:paraId="06774AD2" w14:textId="4B85A908" w:rsidR="002A0D87" w:rsidRDefault="002A0D87" w:rsidP="003C7469">
      <w:pPr>
        <w:pStyle w:val="Prrafodelista"/>
        <w:numPr>
          <w:ilvl w:val="0"/>
          <w:numId w:val="5"/>
        </w:numPr>
        <w:jc w:val="both"/>
        <w:rPr>
          <w:b/>
          <w:bCs/>
          <w:sz w:val="24"/>
          <w:szCs w:val="24"/>
          <w:lang w:val="es-ES_tradnl"/>
        </w:rPr>
      </w:pPr>
      <w:r>
        <w:rPr>
          <w:b/>
          <w:bCs/>
          <w:sz w:val="24"/>
          <w:szCs w:val="24"/>
          <w:lang w:val="es-ES_tradnl"/>
        </w:rPr>
        <w:t>Participación de las Mujeres en el Sector</w:t>
      </w:r>
    </w:p>
    <w:p w14:paraId="47CAD9AD" w14:textId="77777777" w:rsidR="00F7012F" w:rsidRDefault="00192607" w:rsidP="00F7012F">
      <w:pPr>
        <w:spacing w:after="0" w:line="240" w:lineRule="auto"/>
        <w:jc w:val="both"/>
        <w:rPr>
          <w:lang w:val="es-ES_tradnl"/>
        </w:rPr>
      </w:pPr>
      <w:r w:rsidRPr="00192607">
        <w:rPr>
          <w:lang w:val="es-ES_tradnl"/>
        </w:rPr>
        <w:t xml:space="preserve">El proyecto propone varios programas para disminuir las brechas de género en oportunidades laborales, especialmente busca incrementar el acceso de las mujeres al trabajo asalariado y disminuir la brecha salarial entre hombres y mujeres. </w:t>
      </w:r>
      <w:r w:rsidR="00F7012F" w:rsidRPr="00F7012F">
        <w:rPr>
          <w:lang w:val="es-ES_tradnl"/>
        </w:rPr>
        <w:t xml:space="preserve">Las actividades que propone el proyecto para impulsar la igualdad de género en el área de intervención son: </w:t>
      </w:r>
    </w:p>
    <w:p w14:paraId="71B91E84" w14:textId="38180CA3" w:rsidR="00F7012F" w:rsidRDefault="00F7012F" w:rsidP="00F7012F">
      <w:pPr>
        <w:pStyle w:val="Prrafodelista"/>
        <w:numPr>
          <w:ilvl w:val="1"/>
          <w:numId w:val="8"/>
        </w:numPr>
        <w:spacing w:after="0" w:line="240" w:lineRule="auto"/>
        <w:jc w:val="both"/>
        <w:rPr>
          <w:lang w:val="es-ES_tradnl"/>
        </w:rPr>
      </w:pPr>
      <w:r w:rsidRPr="00F7012F">
        <w:rPr>
          <w:lang w:val="es-ES_tradnl"/>
        </w:rPr>
        <w:t xml:space="preserve">Establecer un convenio con la Universidad Técnica de Loja para identificar buenas prácticas y lecciones aprendidas del proceso de capacitación de mujeres en el uso de maquinaria pesada, y vincular a las mujeres graduadas con las empresas contratistas del proyecto; </w:t>
      </w:r>
    </w:p>
    <w:p w14:paraId="01FFB7AE" w14:textId="77777777" w:rsidR="00F95B79" w:rsidRDefault="00F7012F" w:rsidP="00F7012F">
      <w:pPr>
        <w:pStyle w:val="Prrafodelista"/>
        <w:numPr>
          <w:ilvl w:val="1"/>
          <w:numId w:val="8"/>
        </w:numPr>
        <w:spacing w:after="0" w:line="240" w:lineRule="auto"/>
        <w:jc w:val="both"/>
        <w:rPr>
          <w:lang w:val="es-ES_tradnl"/>
        </w:rPr>
      </w:pPr>
      <w:r w:rsidRPr="00F7012F">
        <w:rPr>
          <w:lang w:val="es-ES_tradnl"/>
        </w:rPr>
        <w:t xml:space="preserve">Brindar capacitaciones, junto con el Ministerio de Transporte, a los contratistas y otros entes relacionados, sobre equidad de género en el trabajo que incluyan temas como: oportunidades de empleo y procesos de contratación responsables que consideren temas de género, acoso sexual en el lugar de trabajo, violencia en contra de la mujer; </w:t>
      </w:r>
    </w:p>
    <w:p w14:paraId="617F5017" w14:textId="282260AB" w:rsidR="00F95B79" w:rsidRDefault="00F7012F" w:rsidP="00F7012F">
      <w:pPr>
        <w:pStyle w:val="Prrafodelista"/>
        <w:numPr>
          <w:ilvl w:val="1"/>
          <w:numId w:val="8"/>
        </w:numPr>
        <w:spacing w:after="0" w:line="240" w:lineRule="auto"/>
        <w:jc w:val="both"/>
        <w:rPr>
          <w:lang w:val="es-ES_tradnl"/>
        </w:rPr>
      </w:pPr>
      <w:r w:rsidRPr="00F7012F">
        <w:rPr>
          <w:lang w:val="es-ES_tradnl"/>
        </w:rPr>
        <w:t xml:space="preserve">Diseñar un programa de pasantías junto a la Universidad Técnica de Loja para fortalecer la participación de mujeres que están estudiando ingeniería en el sector transporte a través del proyecto; </w:t>
      </w:r>
    </w:p>
    <w:p w14:paraId="1CE7C8BC" w14:textId="77777777" w:rsidR="00F95B79" w:rsidRDefault="00F7012F" w:rsidP="00F7012F">
      <w:pPr>
        <w:pStyle w:val="Prrafodelista"/>
        <w:numPr>
          <w:ilvl w:val="1"/>
          <w:numId w:val="8"/>
        </w:numPr>
        <w:spacing w:after="0" w:line="240" w:lineRule="auto"/>
        <w:jc w:val="both"/>
        <w:rPr>
          <w:lang w:val="es-ES_tradnl"/>
        </w:rPr>
      </w:pPr>
      <w:r w:rsidRPr="00F7012F">
        <w:rPr>
          <w:lang w:val="es-ES_tradnl"/>
        </w:rPr>
        <w:t xml:space="preserve">Contratar una consultoría para el diseño de un pilotaje; y </w:t>
      </w:r>
    </w:p>
    <w:p w14:paraId="155F4A79" w14:textId="2048E23E" w:rsidR="00F95B79" w:rsidRDefault="00F7012F" w:rsidP="00F7012F">
      <w:pPr>
        <w:pStyle w:val="Prrafodelista"/>
        <w:numPr>
          <w:ilvl w:val="1"/>
          <w:numId w:val="8"/>
        </w:numPr>
        <w:spacing w:after="0" w:line="240" w:lineRule="auto"/>
        <w:jc w:val="both"/>
        <w:rPr>
          <w:lang w:val="es-ES_tradnl"/>
        </w:rPr>
      </w:pPr>
      <w:r w:rsidRPr="00F95B79">
        <w:rPr>
          <w:lang w:val="es-ES_tradnl"/>
        </w:rPr>
        <w:t>Fortalecer la participación de las mujeres de las organizaciones en los procesos de toma de decisiones, desarrollar sus capacidades productivas y de comercialización, en coordinación con el Ministerio de Agricultura, en la zona a partir de las experiencias del proyecto de café y cacao.</w:t>
      </w:r>
      <w:r w:rsidR="00EF47A5">
        <w:rPr>
          <w:lang w:val="es-ES_tradnl"/>
        </w:rPr>
        <w:t xml:space="preserve"> El proyecto promoverá </w:t>
      </w:r>
      <w:r w:rsidR="00EF47A5" w:rsidRPr="00F95B79">
        <w:rPr>
          <w:lang w:val="es-ES_tradnl"/>
        </w:rPr>
        <w:t>el empoderamiento económico de las mujeres a través del desarrollo de un piloto con cooperativas o asociaciones de mujeres productoras de café y cacao, las cuales serán apoyadas en sus planes de negocio, comercialización, maquinaria y temas de derechos, empoderamiento, liderazgo y prevención de violencia.  </w:t>
      </w:r>
    </w:p>
    <w:p w14:paraId="790F6E4D" w14:textId="46AC1C0A" w:rsidR="002A0D87" w:rsidRDefault="002A0D87" w:rsidP="003C7469">
      <w:pPr>
        <w:jc w:val="both"/>
        <w:rPr>
          <w:lang w:val="es-EC"/>
        </w:rPr>
      </w:pPr>
    </w:p>
    <w:p w14:paraId="53BC955B" w14:textId="04BAA937" w:rsidR="00CB042B" w:rsidRDefault="00CB042B" w:rsidP="003C7469">
      <w:pPr>
        <w:jc w:val="both"/>
        <w:rPr>
          <w:lang w:val="es-EC"/>
        </w:rPr>
      </w:pPr>
    </w:p>
    <w:p w14:paraId="07FA5EB4" w14:textId="2B0FC9F4" w:rsidR="00CB042B" w:rsidRDefault="00CB042B" w:rsidP="003C7469">
      <w:pPr>
        <w:jc w:val="both"/>
        <w:rPr>
          <w:lang w:val="es-EC"/>
        </w:rPr>
      </w:pPr>
    </w:p>
    <w:p w14:paraId="17C34FB6" w14:textId="77777777" w:rsidR="00CB042B" w:rsidRDefault="00CB042B" w:rsidP="003C7469">
      <w:pPr>
        <w:jc w:val="both"/>
        <w:rPr>
          <w:lang w:val="es-EC"/>
        </w:rPr>
      </w:pPr>
    </w:p>
    <w:p w14:paraId="5518E8C5" w14:textId="77777777" w:rsidR="00CB042B" w:rsidRPr="00682CBA" w:rsidRDefault="00CB042B" w:rsidP="00CB042B">
      <w:pPr>
        <w:spacing w:after="0" w:line="240" w:lineRule="auto"/>
        <w:jc w:val="both"/>
        <w:rPr>
          <w:rFonts w:cstheme="minorHAnsi"/>
          <w:lang w:val="es-ES_tradnl"/>
        </w:rPr>
      </w:pPr>
      <w:r w:rsidRPr="00682CBA">
        <w:rPr>
          <w:rFonts w:cstheme="minorHAnsi"/>
          <w:lang w:val="es-ES_tradnl"/>
        </w:rPr>
        <w:lastRenderedPageBreak/>
        <w:t>De acuerdo con las actividades diseñada se proponen las siguientes metas y medios de verificación:</w:t>
      </w: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1870"/>
        <w:gridCol w:w="1870"/>
        <w:gridCol w:w="1870"/>
      </w:tblGrid>
      <w:tr w:rsidR="00CB042B" w:rsidRPr="00682CBA" w14:paraId="5F149BF8" w14:textId="77777777" w:rsidTr="00CB042B">
        <w:trPr>
          <w:trHeight w:val="620"/>
          <w:jc w:val="center"/>
        </w:trPr>
        <w:tc>
          <w:tcPr>
            <w:tcW w:w="1870" w:type="dxa"/>
            <w:shd w:val="clear" w:color="auto" w:fill="00547E"/>
            <w:vAlign w:val="center"/>
          </w:tcPr>
          <w:p w14:paraId="37A6A60F" w14:textId="77777777" w:rsidR="00CB042B" w:rsidRPr="00682CBA" w:rsidRDefault="00CB042B" w:rsidP="0082265A">
            <w:pPr>
              <w:jc w:val="center"/>
              <w:rPr>
                <w:rFonts w:cstheme="minorHAnsi"/>
                <w:b/>
                <w:bCs/>
                <w:color w:val="FFFFFF" w:themeColor="background1"/>
                <w:sz w:val="18"/>
                <w:szCs w:val="18"/>
                <w:lang w:val="es-ES_tradnl"/>
              </w:rPr>
            </w:pPr>
            <w:r w:rsidRPr="00682CBA">
              <w:rPr>
                <w:rFonts w:cstheme="minorHAnsi"/>
                <w:b/>
                <w:bCs/>
                <w:color w:val="FFFFFF" w:themeColor="background1"/>
                <w:sz w:val="18"/>
                <w:szCs w:val="18"/>
                <w:lang w:val="es-ES_tradnl"/>
              </w:rPr>
              <w:t>Indicador</w:t>
            </w:r>
          </w:p>
        </w:tc>
        <w:tc>
          <w:tcPr>
            <w:tcW w:w="1870" w:type="dxa"/>
            <w:shd w:val="clear" w:color="auto" w:fill="00547E"/>
            <w:vAlign w:val="center"/>
          </w:tcPr>
          <w:p w14:paraId="0F3D54C9" w14:textId="77777777" w:rsidR="00CB042B" w:rsidRPr="00682CBA" w:rsidRDefault="00CB042B" w:rsidP="0082265A">
            <w:pPr>
              <w:jc w:val="center"/>
              <w:rPr>
                <w:rFonts w:cstheme="minorHAnsi"/>
                <w:b/>
                <w:bCs/>
                <w:color w:val="FFFFFF" w:themeColor="background1"/>
                <w:sz w:val="18"/>
                <w:szCs w:val="18"/>
                <w:lang w:val="es-ES_tradnl"/>
              </w:rPr>
            </w:pPr>
            <w:r w:rsidRPr="00682CBA">
              <w:rPr>
                <w:rFonts w:cstheme="minorHAnsi"/>
                <w:b/>
                <w:bCs/>
                <w:color w:val="FFFFFF" w:themeColor="background1"/>
                <w:sz w:val="18"/>
                <w:szCs w:val="18"/>
                <w:lang w:val="es-ES_tradnl"/>
              </w:rPr>
              <w:t>Unidad</w:t>
            </w:r>
          </w:p>
        </w:tc>
        <w:tc>
          <w:tcPr>
            <w:tcW w:w="1870" w:type="dxa"/>
            <w:shd w:val="clear" w:color="auto" w:fill="00547E"/>
            <w:vAlign w:val="center"/>
          </w:tcPr>
          <w:p w14:paraId="3EEA5380" w14:textId="77777777" w:rsidR="00CB042B" w:rsidRPr="00682CBA" w:rsidRDefault="00CB042B" w:rsidP="0082265A">
            <w:pPr>
              <w:jc w:val="center"/>
              <w:rPr>
                <w:rFonts w:cstheme="minorHAnsi"/>
                <w:b/>
                <w:bCs/>
                <w:color w:val="FFFFFF" w:themeColor="background1"/>
                <w:sz w:val="18"/>
                <w:szCs w:val="18"/>
                <w:lang w:val="es-ES_tradnl"/>
              </w:rPr>
            </w:pPr>
            <w:r w:rsidRPr="00682CBA">
              <w:rPr>
                <w:rFonts w:cstheme="minorHAnsi"/>
                <w:b/>
                <w:bCs/>
                <w:color w:val="FFFFFF" w:themeColor="background1"/>
                <w:sz w:val="18"/>
                <w:szCs w:val="18"/>
                <w:lang w:val="es-ES_tradnl"/>
              </w:rPr>
              <w:t>Línea de Base</w:t>
            </w:r>
          </w:p>
        </w:tc>
      </w:tr>
      <w:tr w:rsidR="00E9304D" w:rsidRPr="00CB042B" w14:paraId="18ACF363" w14:textId="77777777" w:rsidTr="0082265A">
        <w:trPr>
          <w:jc w:val="center"/>
        </w:trPr>
        <w:tc>
          <w:tcPr>
            <w:tcW w:w="1870" w:type="dxa"/>
            <w:vAlign w:val="center"/>
          </w:tcPr>
          <w:p w14:paraId="1FB9A479" w14:textId="22DA5674" w:rsidR="00E9304D" w:rsidRPr="00682CBA" w:rsidRDefault="00F9622D" w:rsidP="00E9304D">
            <w:pPr>
              <w:jc w:val="center"/>
              <w:rPr>
                <w:rFonts w:cstheme="minorHAnsi"/>
                <w:sz w:val="18"/>
                <w:szCs w:val="18"/>
                <w:lang w:val="es-ES_tradnl"/>
              </w:rPr>
            </w:pPr>
            <w:r>
              <w:rPr>
                <w:rFonts w:cstheme="minorHAnsi"/>
                <w:sz w:val="18"/>
                <w:szCs w:val="18"/>
                <w:lang w:val="es-ES_tradnl"/>
              </w:rPr>
              <w:t>Incremento de las capacidades de comercialización y liderazgo de las mujeres productoras agrícolas seleccionadas de la zona</w:t>
            </w:r>
          </w:p>
        </w:tc>
        <w:tc>
          <w:tcPr>
            <w:tcW w:w="1870" w:type="dxa"/>
            <w:vAlign w:val="center"/>
          </w:tcPr>
          <w:p w14:paraId="558C3CD4" w14:textId="77777777" w:rsidR="00E9304D" w:rsidRPr="00E9304D" w:rsidRDefault="00E9304D" w:rsidP="00E9304D">
            <w:pPr>
              <w:jc w:val="center"/>
              <w:rPr>
                <w:rFonts w:cstheme="minorHAnsi"/>
                <w:sz w:val="18"/>
                <w:szCs w:val="18"/>
                <w:lang w:val="es-ES_tradnl"/>
              </w:rPr>
            </w:pPr>
          </w:p>
          <w:p w14:paraId="2FE771FA" w14:textId="598EAA18" w:rsidR="00E9304D" w:rsidRPr="00682CBA" w:rsidRDefault="00F9622D" w:rsidP="00E9304D">
            <w:pPr>
              <w:jc w:val="center"/>
              <w:rPr>
                <w:rFonts w:cstheme="minorHAnsi"/>
                <w:sz w:val="18"/>
                <w:szCs w:val="18"/>
                <w:lang w:val="es-ES_tradnl"/>
              </w:rPr>
            </w:pPr>
            <w:r>
              <w:rPr>
                <w:rFonts w:cstheme="minorHAnsi"/>
                <w:sz w:val="18"/>
                <w:szCs w:val="18"/>
                <w:lang w:val="es-ES_tradnl"/>
              </w:rPr>
              <w:t>Número de talleres de capacitación</w:t>
            </w:r>
          </w:p>
        </w:tc>
        <w:tc>
          <w:tcPr>
            <w:tcW w:w="1870" w:type="dxa"/>
            <w:vAlign w:val="center"/>
          </w:tcPr>
          <w:p w14:paraId="5D0C4A40" w14:textId="77777777" w:rsidR="00E9304D" w:rsidRPr="00682CBA" w:rsidRDefault="00E9304D" w:rsidP="00E9304D">
            <w:pPr>
              <w:jc w:val="center"/>
              <w:rPr>
                <w:rFonts w:cstheme="minorHAnsi"/>
                <w:sz w:val="18"/>
                <w:szCs w:val="18"/>
                <w:lang w:val="es-ES_tradnl"/>
              </w:rPr>
            </w:pPr>
            <w:r w:rsidRPr="00682CBA">
              <w:rPr>
                <w:rFonts w:cstheme="minorHAnsi"/>
                <w:sz w:val="18"/>
                <w:szCs w:val="18"/>
                <w:lang w:val="es-ES_tradnl"/>
              </w:rPr>
              <w:t>0</w:t>
            </w:r>
          </w:p>
        </w:tc>
        <w:bookmarkStart w:id="1" w:name="_GoBack"/>
        <w:bookmarkEnd w:id="1"/>
      </w:tr>
    </w:tbl>
    <w:p w14:paraId="39F2DB70" w14:textId="77777777" w:rsidR="00CB042B" w:rsidRPr="00682CBA" w:rsidRDefault="00CB042B" w:rsidP="00CB042B">
      <w:pPr>
        <w:spacing w:after="0" w:line="240" w:lineRule="auto"/>
        <w:jc w:val="both"/>
        <w:rPr>
          <w:rFonts w:cstheme="minorHAnsi"/>
          <w:lang w:val="es-ES_tradnl"/>
        </w:rPr>
      </w:pPr>
    </w:p>
    <w:p w14:paraId="3F8464B9" w14:textId="77777777" w:rsidR="00CB042B" w:rsidRDefault="00CB042B" w:rsidP="003C7469">
      <w:pPr>
        <w:jc w:val="both"/>
        <w:rPr>
          <w:lang w:val="es-EC"/>
        </w:rPr>
      </w:pPr>
    </w:p>
    <w:p w14:paraId="03E6D676" w14:textId="49BE23DD" w:rsidR="00874BCC" w:rsidRDefault="00874BCC" w:rsidP="003C7469">
      <w:pPr>
        <w:jc w:val="both"/>
        <w:rPr>
          <w:lang w:val="es-EC"/>
        </w:rPr>
      </w:pPr>
    </w:p>
    <w:p w14:paraId="1E72BB91" w14:textId="475E95E1" w:rsidR="00874BCC" w:rsidRPr="009C6683" w:rsidRDefault="00874BCC" w:rsidP="003C7469">
      <w:pPr>
        <w:jc w:val="both"/>
        <w:rPr>
          <w:lang w:val="es-EC"/>
        </w:rPr>
      </w:pPr>
    </w:p>
    <w:sectPr w:rsidR="00874BCC" w:rsidRPr="009C668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784CB9" w14:textId="77777777" w:rsidR="005510CA" w:rsidRDefault="005510CA" w:rsidP="009C6683">
      <w:pPr>
        <w:spacing w:after="0" w:line="240" w:lineRule="auto"/>
      </w:pPr>
      <w:r>
        <w:separator/>
      </w:r>
    </w:p>
  </w:endnote>
  <w:endnote w:type="continuationSeparator" w:id="0">
    <w:p w14:paraId="79021083" w14:textId="77777777" w:rsidR="005510CA" w:rsidRDefault="005510CA" w:rsidP="009C66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4F4C7C" w14:textId="77777777" w:rsidR="005510CA" w:rsidRDefault="005510CA" w:rsidP="009C6683">
      <w:pPr>
        <w:spacing w:after="0" w:line="240" w:lineRule="auto"/>
      </w:pPr>
      <w:r>
        <w:separator/>
      </w:r>
    </w:p>
  </w:footnote>
  <w:footnote w:type="continuationSeparator" w:id="0">
    <w:p w14:paraId="1291A08C" w14:textId="77777777" w:rsidR="005510CA" w:rsidRDefault="005510CA" w:rsidP="009C6683">
      <w:pPr>
        <w:spacing w:after="0" w:line="240" w:lineRule="auto"/>
      </w:pPr>
      <w:r>
        <w:continuationSeparator/>
      </w:r>
    </w:p>
  </w:footnote>
  <w:footnote w:id="1">
    <w:p w14:paraId="0C552EE8" w14:textId="1432178B" w:rsidR="00174C4D" w:rsidRPr="00174C4D" w:rsidRDefault="00174C4D">
      <w:pPr>
        <w:pStyle w:val="Textonotapie"/>
        <w:rPr>
          <w:lang w:val="es-419"/>
        </w:rPr>
      </w:pPr>
      <w:r>
        <w:rPr>
          <w:rStyle w:val="Refdenotaalpie"/>
        </w:rPr>
        <w:footnoteRef/>
      </w:r>
      <w:r w:rsidRPr="00174C4D">
        <w:rPr>
          <w:lang w:val="es-419"/>
        </w:rPr>
        <w:t xml:space="preserve"> </w:t>
      </w:r>
      <w:proofErr w:type="spellStart"/>
      <w:r>
        <w:rPr>
          <w:lang w:val="es-419"/>
        </w:rPr>
        <w:t>Idem</w:t>
      </w:r>
      <w:proofErr w:type="spellEnd"/>
      <w:r>
        <w:rPr>
          <w:lang w:val="es-419"/>
        </w:rPr>
        <w:t>.</w:t>
      </w:r>
    </w:p>
  </w:footnote>
  <w:footnote w:id="2">
    <w:p w14:paraId="285394EC" w14:textId="41429D80" w:rsidR="00F77BE5" w:rsidRPr="00556685" w:rsidRDefault="00F77BE5" w:rsidP="00F77BE5">
      <w:pPr>
        <w:pStyle w:val="Textonotapie"/>
        <w:jc w:val="both"/>
        <w:rPr>
          <w:lang w:val="es-419"/>
        </w:rPr>
      </w:pPr>
      <w:r>
        <w:rPr>
          <w:rStyle w:val="Refdenotaalpie"/>
        </w:rPr>
        <w:footnoteRef/>
      </w:r>
      <w:r w:rsidRPr="00556685">
        <w:rPr>
          <w:lang w:val="es-419"/>
        </w:rPr>
        <w:t xml:space="preserve"> Consejo Nacional para la Igualdad de Género. (2018). Agenda Nacional de las Mujeres y Personas LGBTI 2018-2021. Disponible en: https://www.igualdadgenero.gob.ec/wp-content/uploads/2018/11/Agenda_ANI.pdf</w:t>
      </w:r>
    </w:p>
  </w:footnote>
  <w:footnote w:id="3">
    <w:p w14:paraId="0303D44B" w14:textId="5ECB57EE" w:rsidR="007C5BC7" w:rsidRPr="00E9304D" w:rsidRDefault="007C5BC7">
      <w:pPr>
        <w:pStyle w:val="Textonotapie"/>
        <w:rPr>
          <w:lang w:val="en-CA"/>
        </w:rPr>
      </w:pPr>
      <w:r>
        <w:rPr>
          <w:rStyle w:val="Refdenotaalpie"/>
        </w:rPr>
        <w:footnoteRef/>
      </w:r>
      <w:r w:rsidRPr="00E9304D">
        <w:rPr>
          <w:lang w:val="en-CA"/>
        </w:rPr>
        <w:t xml:space="preserve"> Idem.</w:t>
      </w:r>
    </w:p>
  </w:footnote>
  <w:footnote w:id="4">
    <w:p w14:paraId="66B85391" w14:textId="77777777" w:rsidR="000301AD" w:rsidRPr="00534987" w:rsidRDefault="000301AD" w:rsidP="000301AD">
      <w:pPr>
        <w:pStyle w:val="Textonotapie"/>
        <w:jc w:val="both"/>
        <w:rPr>
          <w:lang w:val="es-419"/>
        </w:rPr>
      </w:pPr>
      <w:r>
        <w:rPr>
          <w:rStyle w:val="Refdenotaalpie"/>
        </w:rPr>
        <w:footnoteRef/>
      </w:r>
      <w:r w:rsidRPr="00534987">
        <w:t xml:space="preserve"> The Little Data Book o</w:t>
      </w:r>
      <w:r>
        <w:t xml:space="preserve">n Gender. </w:t>
      </w:r>
      <w:r w:rsidRPr="00534987">
        <w:rPr>
          <w:lang w:val="es-419"/>
        </w:rPr>
        <w:t>(2019). Ecuador. Disponible en: https://openknowledge.worldbank.org/bitstream/handle/10986/31689/LDB-Gender-2019.pdf?sequence=2&amp;isAllowed=y</w:t>
      </w:r>
    </w:p>
  </w:footnote>
  <w:footnote w:id="5">
    <w:p w14:paraId="05B63050" w14:textId="77777777" w:rsidR="000301AD" w:rsidRPr="007833B9" w:rsidRDefault="000301AD" w:rsidP="000301AD">
      <w:pPr>
        <w:pStyle w:val="Textonotapie"/>
        <w:rPr>
          <w:rFonts w:ascii="Arial" w:hAnsi="Arial" w:cs="Arial"/>
          <w:sz w:val="18"/>
          <w:szCs w:val="18"/>
          <w:lang w:val="es-419"/>
        </w:rPr>
      </w:pPr>
      <w:r w:rsidRPr="007833B9">
        <w:rPr>
          <w:rStyle w:val="Refdenotaalpie"/>
          <w:rFonts w:ascii="Arial" w:hAnsi="Arial" w:cs="Arial"/>
          <w:sz w:val="18"/>
          <w:szCs w:val="18"/>
        </w:rPr>
        <w:footnoteRef/>
      </w:r>
      <w:r w:rsidRPr="007833B9">
        <w:rPr>
          <w:rFonts w:ascii="Arial" w:hAnsi="Arial" w:cs="Arial"/>
          <w:sz w:val="18"/>
          <w:szCs w:val="18"/>
          <w:lang w:val="es-419"/>
        </w:rPr>
        <w:t xml:space="preserve">   Instituto Nacional de Estadísticas y Censos, 2010.</w:t>
      </w:r>
    </w:p>
  </w:footnote>
  <w:footnote w:id="6">
    <w:p w14:paraId="3D2772C0" w14:textId="4CE73004" w:rsidR="0026451A" w:rsidRPr="0026451A" w:rsidRDefault="0026451A" w:rsidP="0026451A">
      <w:pPr>
        <w:pStyle w:val="Textonotapie"/>
        <w:jc w:val="both"/>
        <w:rPr>
          <w:lang w:val="es-419"/>
        </w:rPr>
      </w:pPr>
      <w:r>
        <w:rPr>
          <w:rStyle w:val="Refdenotaalpie"/>
        </w:rPr>
        <w:footnoteRef/>
      </w:r>
      <w:r w:rsidRPr="0026451A">
        <w:t xml:space="preserve"> </w:t>
      </w:r>
      <w:r w:rsidRPr="00534987">
        <w:t>The Little Data Book o</w:t>
      </w:r>
      <w:r>
        <w:t xml:space="preserve">n Gender. </w:t>
      </w:r>
      <w:r w:rsidRPr="00534987">
        <w:rPr>
          <w:lang w:val="es-419"/>
        </w:rPr>
        <w:t>(2019). Ecuador. Disponible en: https://openknowledge.worldbank.org/bitstream/handle/10986/31689/LDB-Gender-2019.pdf?sequence=2&amp;isAllowed=y</w:t>
      </w:r>
    </w:p>
  </w:footnote>
  <w:footnote w:id="7">
    <w:p w14:paraId="3E6CE126" w14:textId="78231EFF" w:rsidR="000A5E04" w:rsidRPr="000A5E04" w:rsidRDefault="000A5E04">
      <w:pPr>
        <w:pStyle w:val="Textonotapie"/>
        <w:rPr>
          <w:lang w:val="es-419"/>
        </w:rPr>
      </w:pPr>
      <w:r>
        <w:rPr>
          <w:rStyle w:val="Refdenotaalpie"/>
        </w:rPr>
        <w:footnoteRef/>
      </w:r>
      <w:r w:rsidRPr="000A5E04">
        <w:rPr>
          <w:lang w:val="es-419"/>
        </w:rPr>
        <w:t xml:space="preserve"> </w:t>
      </w:r>
      <w:r w:rsidR="00E6555B">
        <w:rPr>
          <w:lang w:val="es-419"/>
        </w:rPr>
        <w:t xml:space="preserve">INEC. (2015). Indicadores Laborales </w:t>
      </w:r>
      <w:proofErr w:type="gramStart"/>
      <w:r w:rsidR="00E6555B">
        <w:rPr>
          <w:lang w:val="es-419"/>
        </w:rPr>
        <w:t>Junio</w:t>
      </w:r>
      <w:proofErr w:type="gramEnd"/>
      <w:r w:rsidR="00E6555B">
        <w:rPr>
          <w:lang w:val="es-419"/>
        </w:rPr>
        <w:t xml:space="preserve"> 2015. </w:t>
      </w:r>
    </w:p>
  </w:footnote>
  <w:footnote w:id="8">
    <w:p w14:paraId="3B91F12E" w14:textId="766919EA" w:rsidR="004D6D84" w:rsidRPr="004D6D84" w:rsidRDefault="004D6D84">
      <w:pPr>
        <w:pStyle w:val="Textonotapie"/>
        <w:rPr>
          <w:lang w:val="es-419"/>
        </w:rPr>
      </w:pPr>
      <w:r>
        <w:rPr>
          <w:rStyle w:val="Refdenotaalpie"/>
        </w:rPr>
        <w:footnoteRef/>
      </w:r>
      <w:r w:rsidRPr="004D6D84">
        <w:rPr>
          <w:lang w:val="es-419"/>
        </w:rPr>
        <w:t xml:space="preserve"> </w:t>
      </w:r>
      <w:r>
        <w:rPr>
          <w:lang w:val="es-419"/>
        </w:rPr>
        <w:t xml:space="preserve">INEC. (2015). </w:t>
      </w:r>
      <w:bookmarkStart w:id="0" w:name="_Hlk19786513"/>
      <w:r>
        <w:rPr>
          <w:lang w:val="es-419"/>
        </w:rPr>
        <w:t xml:space="preserve">Indicadores Laborales </w:t>
      </w:r>
      <w:bookmarkEnd w:id="0"/>
      <w:proofErr w:type="gramStart"/>
      <w:r>
        <w:rPr>
          <w:lang w:val="es-419"/>
        </w:rPr>
        <w:t>Diciembre</w:t>
      </w:r>
      <w:proofErr w:type="gramEnd"/>
      <w:r>
        <w:rPr>
          <w:lang w:val="es-419"/>
        </w:rPr>
        <w:t xml:space="preserve"> 2015. </w:t>
      </w:r>
    </w:p>
  </w:footnote>
  <w:footnote w:id="9">
    <w:p w14:paraId="296250AE" w14:textId="5CB31B02" w:rsidR="00A33BC2" w:rsidRPr="00C27FC2" w:rsidRDefault="00A33BC2">
      <w:pPr>
        <w:pStyle w:val="Textonotapie"/>
        <w:rPr>
          <w:lang w:val="pt-BR"/>
        </w:rPr>
      </w:pPr>
      <w:r>
        <w:rPr>
          <w:rStyle w:val="Refdenotaalpie"/>
        </w:rPr>
        <w:footnoteRef/>
      </w:r>
      <w:r w:rsidRPr="00C27FC2">
        <w:rPr>
          <w:lang w:val="pt-BR"/>
        </w:rPr>
        <w:t xml:space="preserve"> </w:t>
      </w:r>
      <w:r w:rsidR="00DC500F" w:rsidRPr="00C27FC2">
        <w:rPr>
          <w:lang w:val="pt-BR"/>
        </w:rPr>
        <w:t>Idem.</w:t>
      </w:r>
    </w:p>
  </w:footnote>
  <w:footnote w:id="10">
    <w:p w14:paraId="5847C126" w14:textId="5DA62D1F" w:rsidR="000F7AA4" w:rsidRPr="00C27FC2" w:rsidRDefault="000F7AA4">
      <w:pPr>
        <w:pStyle w:val="Textonotapie"/>
        <w:rPr>
          <w:lang w:val="pt-BR"/>
        </w:rPr>
      </w:pPr>
      <w:r>
        <w:rPr>
          <w:rStyle w:val="Refdenotaalpie"/>
        </w:rPr>
        <w:footnoteRef/>
      </w:r>
      <w:r w:rsidRPr="00C27FC2">
        <w:rPr>
          <w:lang w:val="pt-BR"/>
        </w:rPr>
        <w:t xml:space="preserve"> Idem.</w:t>
      </w:r>
    </w:p>
  </w:footnote>
  <w:footnote w:id="11">
    <w:p w14:paraId="67C734C2" w14:textId="3525A548" w:rsidR="00C27FC2" w:rsidRPr="007D3C05" w:rsidRDefault="00C27FC2" w:rsidP="008F3122">
      <w:pPr>
        <w:spacing w:after="0" w:line="240" w:lineRule="auto"/>
        <w:rPr>
          <w:rFonts w:ascii="Arial" w:hAnsi="Arial" w:cs="Arial"/>
          <w:sz w:val="20"/>
          <w:lang w:val="es-419"/>
        </w:rPr>
      </w:pPr>
      <w:r w:rsidRPr="007D3C05">
        <w:rPr>
          <w:rStyle w:val="Refdenotaalpie"/>
          <w:rFonts w:ascii="Arial" w:hAnsi="Arial" w:cs="Arial"/>
          <w:sz w:val="18"/>
          <w:szCs w:val="20"/>
        </w:rPr>
        <w:footnoteRef/>
      </w:r>
      <w:r w:rsidRPr="007D3C05">
        <w:rPr>
          <w:rFonts w:ascii="Arial" w:hAnsi="Arial" w:cs="Arial"/>
          <w:sz w:val="18"/>
          <w:szCs w:val="20"/>
          <w:lang w:val="es-ES_tradnl"/>
        </w:rPr>
        <w:t xml:space="preserve"> </w:t>
      </w:r>
      <w:r w:rsidRPr="00FD6EF4">
        <w:rPr>
          <w:sz w:val="20"/>
          <w:szCs w:val="20"/>
          <w:lang w:val="es-419"/>
        </w:rPr>
        <w:t>INEC</w:t>
      </w:r>
      <w:r>
        <w:rPr>
          <w:sz w:val="20"/>
          <w:szCs w:val="20"/>
          <w:lang w:val="es-419"/>
        </w:rPr>
        <w:t>. (2015).</w:t>
      </w:r>
      <w:r w:rsidRPr="00FD6EF4">
        <w:rPr>
          <w:sz w:val="20"/>
          <w:szCs w:val="20"/>
          <w:lang w:val="es-419"/>
        </w:rPr>
        <w:t xml:space="preserve"> Indicadores Laborales </w:t>
      </w:r>
      <w:proofErr w:type="gramStart"/>
      <w:r w:rsidRPr="00FD6EF4">
        <w:rPr>
          <w:sz w:val="20"/>
          <w:szCs w:val="20"/>
          <w:lang w:val="es-419"/>
        </w:rPr>
        <w:t>Septiembre</w:t>
      </w:r>
      <w:proofErr w:type="gramEnd"/>
      <w:r w:rsidRPr="00FD6EF4">
        <w:rPr>
          <w:sz w:val="20"/>
          <w:szCs w:val="20"/>
          <w:lang w:val="es-419"/>
        </w:rPr>
        <w:t xml:space="preserve"> 201</w:t>
      </w:r>
      <w:r>
        <w:rPr>
          <w:sz w:val="20"/>
          <w:szCs w:val="20"/>
          <w:lang w:val="es-419"/>
        </w:rPr>
        <w:t>5.</w:t>
      </w:r>
    </w:p>
  </w:footnote>
  <w:footnote w:id="12">
    <w:p w14:paraId="61613D5A" w14:textId="7226D830" w:rsidR="000301AD" w:rsidRPr="00325D2E" w:rsidRDefault="000301AD" w:rsidP="000301AD">
      <w:pPr>
        <w:pStyle w:val="Textonotapie"/>
        <w:ind w:left="284" w:hanging="284"/>
        <w:rPr>
          <w:lang w:val="es-419"/>
        </w:rPr>
      </w:pPr>
      <w:r w:rsidRPr="007833B9">
        <w:rPr>
          <w:rStyle w:val="Refdenotaalpie"/>
          <w:rFonts w:ascii="Arial" w:hAnsi="Arial" w:cs="Arial"/>
          <w:sz w:val="18"/>
          <w:szCs w:val="18"/>
        </w:rPr>
        <w:footnoteRef/>
      </w:r>
      <w:r w:rsidRPr="007833B9">
        <w:rPr>
          <w:rFonts w:ascii="Arial" w:hAnsi="Arial" w:cs="Arial"/>
          <w:sz w:val="18"/>
          <w:szCs w:val="18"/>
          <w:lang w:val="es-EC"/>
        </w:rPr>
        <w:t xml:space="preserve"> </w:t>
      </w:r>
      <w:r w:rsidRPr="00325D2E">
        <w:rPr>
          <w:lang w:val="es-419"/>
        </w:rPr>
        <w:t>Encuesta Nacional de empleo, Desempleo y Subempleo. INEC (2017).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1B0179"/>
    <w:multiLevelType w:val="hybridMultilevel"/>
    <w:tmpl w:val="6AB8A06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283863C6">
      <w:start w:val="1"/>
      <w:numFmt w:val="lowerRoman"/>
      <w:lvlText w:val="(%2)"/>
      <w:lvlJc w:val="left"/>
      <w:pPr>
        <w:ind w:left="18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C215A0"/>
    <w:multiLevelType w:val="hybridMultilevel"/>
    <w:tmpl w:val="8C287B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C31E90"/>
    <w:multiLevelType w:val="hybridMultilevel"/>
    <w:tmpl w:val="A2D6872A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EF0058"/>
    <w:multiLevelType w:val="hybridMultilevel"/>
    <w:tmpl w:val="A4247258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A77ED8"/>
    <w:multiLevelType w:val="hybridMultilevel"/>
    <w:tmpl w:val="D780E39C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0B2FAC"/>
    <w:multiLevelType w:val="hybridMultilevel"/>
    <w:tmpl w:val="C2CA7B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576BE2"/>
    <w:multiLevelType w:val="hybridMultilevel"/>
    <w:tmpl w:val="700A9D70"/>
    <w:lvl w:ilvl="0" w:tplc="AC26B2F6">
      <w:start w:val="1"/>
      <w:numFmt w:val="lowerRoman"/>
      <w:lvlText w:val="%1)"/>
      <w:lvlJc w:val="left"/>
      <w:pPr>
        <w:ind w:left="720" w:hanging="360"/>
      </w:pPr>
      <w:rPr>
        <w:rFonts w:hint="default"/>
      </w:rPr>
    </w:lvl>
    <w:lvl w:ilvl="1" w:tplc="AC26B2F6">
      <w:start w:val="1"/>
      <w:numFmt w:val="lowerRoman"/>
      <w:lvlText w:val="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154D78"/>
    <w:multiLevelType w:val="hybridMultilevel"/>
    <w:tmpl w:val="24CC1304"/>
    <w:lvl w:ilvl="0" w:tplc="30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00A0019" w:tentative="1">
      <w:start w:val="1"/>
      <w:numFmt w:val="lowerLetter"/>
      <w:lvlText w:val="%2."/>
      <w:lvlJc w:val="left"/>
      <w:pPr>
        <w:ind w:left="1080" w:hanging="360"/>
      </w:pPr>
    </w:lvl>
    <w:lvl w:ilvl="2" w:tplc="300A001B" w:tentative="1">
      <w:start w:val="1"/>
      <w:numFmt w:val="lowerRoman"/>
      <w:lvlText w:val="%3."/>
      <w:lvlJc w:val="right"/>
      <w:pPr>
        <w:ind w:left="1800" w:hanging="180"/>
      </w:pPr>
    </w:lvl>
    <w:lvl w:ilvl="3" w:tplc="300A000F" w:tentative="1">
      <w:start w:val="1"/>
      <w:numFmt w:val="decimal"/>
      <w:lvlText w:val="%4."/>
      <w:lvlJc w:val="left"/>
      <w:pPr>
        <w:ind w:left="2520" w:hanging="360"/>
      </w:pPr>
    </w:lvl>
    <w:lvl w:ilvl="4" w:tplc="300A0019" w:tentative="1">
      <w:start w:val="1"/>
      <w:numFmt w:val="lowerLetter"/>
      <w:lvlText w:val="%5."/>
      <w:lvlJc w:val="left"/>
      <w:pPr>
        <w:ind w:left="3240" w:hanging="360"/>
      </w:pPr>
    </w:lvl>
    <w:lvl w:ilvl="5" w:tplc="300A001B" w:tentative="1">
      <w:start w:val="1"/>
      <w:numFmt w:val="lowerRoman"/>
      <w:lvlText w:val="%6."/>
      <w:lvlJc w:val="right"/>
      <w:pPr>
        <w:ind w:left="3960" w:hanging="180"/>
      </w:pPr>
    </w:lvl>
    <w:lvl w:ilvl="6" w:tplc="300A000F" w:tentative="1">
      <w:start w:val="1"/>
      <w:numFmt w:val="decimal"/>
      <w:lvlText w:val="%7."/>
      <w:lvlJc w:val="left"/>
      <w:pPr>
        <w:ind w:left="4680" w:hanging="360"/>
      </w:pPr>
    </w:lvl>
    <w:lvl w:ilvl="7" w:tplc="300A0019" w:tentative="1">
      <w:start w:val="1"/>
      <w:numFmt w:val="lowerLetter"/>
      <w:lvlText w:val="%8."/>
      <w:lvlJc w:val="left"/>
      <w:pPr>
        <w:ind w:left="5400" w:hanging="360"/>
      </w:pPr>
    </w:lvl>
    <w:lvl w:ilvl="8" w:tplc="300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3"/>
  </w:num>
  <w:num w:numId="3">
    <w:abstractNumId w:val="5"/>
  </w:num>
  <w:num w:numId="4">
    <w:abstractNumId w:val="1"/>
  </w:num>
  <w:num w:numId="5">
    <w:abstractNumId w:val="0"/>
  </w:num>
  <w:num w:numId="6">
    <w:abstractNumId w:val="2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6683"/>
    <w:rsid w:val="00013176"/>
    <w:rsid w:val="000301AD"/>
    <w:rsid w:val="0003166C"/>
    <w:rsid w:val="000A5E04"/>
    <w:rsid w:val="000D661F"/>
    <w:rsid w:val="000E1D14"/>
    <w:rsid w:val="000F2575"/>
    <w:rsid w:val="000F7AA4"/>
    <w:rsid w:val="00147166"/>
    <w:rsid w:val="00156D68"/>
    <w:rsid w:val="00161E69"/>
    <w:rsid w:val="00174C4D"/>
    <w:rsid w:val="00192607"/>
    <w:rsid w:val="001A3FB2"/>
    <w:rsid w:val="001B429D"/>
    <w:rsid w:val="001B7EFB"/>
    <w:rsid w:val="00244EA3"/>
    <w:rsid w:val="00264200"/>
    <w:rsid w:val="0026451A"/>
    <w:rsid w:val="002710EB"/>
    <w:rsid w:val="002717E9"/>
    <w:rsid w:val="002A0D87"/>
    <w:rsid w:val="002B7FB8"/>
    <w:rsid w:val="00325D2E"/>
    <w:rsid w:val="00330185"/>
    <w:rsid w:val="0033089C"/>
    <w:rsid w:val="00352670"/>
    <w:rsid w:val="003A0B1A"/>
    <w:rsid w:val="003C0B35"/>
    <w:rsid w:val="003C7469"/>
    <w:rsid w:val="004D6D84"/>
    <w:rsid w:val="004D7A6D"/>
    <w:rsid w:val="00510884"/>
    <w:rsid w:val="00534987"/>
    <w:rsid w:val="005510CA"/>
    <w:rsid w:val="00555CA9"/>
    <w:rsid w:val="00556685"/>
    <w:rsid w:val="005648CD"/>
    <w:rsid w:val="00603FAA"/>
    <w:rsid w:val="006265E8"/>
    <w:rsid w:val="006B11C0"/>
    <w:rsid w:val="006C731A"/>
    <w:rsid w:val="006E5C40"/>
    <w:rsid w:val="0070125C"/>
    <w:rsid w:val="00701B29"/>
    <w:rsid w:val="007252C6"/>
    <w:rsid w:val="00733F4D"/>
    <w:rsid w:val="00791F4F"/>
    <w:rsid w:val="007A115A"/>
    <w:rsid w:val="007A1C32"/>
    <w:rsid w:val="007C1C00"/>
    <w:rsid w:val="007C5BC7"/>
    <w:rsid w:val="00862179"/>
    <w:rsid w:val="00874BCC"/>
    <w:rsid w:val="008D6D27"/>
    <w:rsid w:val="008F3122"/>
    <w:rsid w:val="008F62BE"/>
    <w:rsid w:val="00935E1B"/>
    <w:rsid w:val="00964153"/>
    <w:rsid w:val="00964277"/>
    <w:rsid w:val="00971890"/>
    <w:rsid w:val="009903D1"/>
    <w:rsid w:val="009B63CC"/>
    <w:rsid w:val="009C6683"/>
    <w:rsid w:val="009C7DFF"/>
    <w:rsid w:val="00A204E1"/>
    <w:rsid w:val="00A33BC2"/>
    <w:rsid w:val="00A36169"/>
    <w:rsid w:val="00A45A98"/>
    <w:rsid w:val="00AA38FB"/>
    <w:rsid w:val="00B05E2D"/>
    <w:rsid w:val="00C27FC2"/>
    <w:rsid w:val="00C85994"/>
    <w:rsid w:val="00CB042B"/>
    <w:rsid w:val="00CB0623"/>
    <w:rsid w:val="00CE2255"/>
    <w:rsid w:val="00D22C39"/>
    <w:rsid w:val="00D37C1B"/>
    <w:rsid w:val="00D70300"/>
    <w:rsid w:val="00DA54DF"/>
    <w:rsid w:val="00DC500F"/>
    <w:rsid w:val="00E16428"/>
    <w:rsid w:val="00E6555B"/>
    <w:rsid w:val="00E9304D"/>
    <w:rsid w:val="00EA1A75"/>
    <w:rsid w:val="00EC4E01"/>
    <w:rsid w:val="00EF47A5"/>
    <w:rsid w:val="00F2575B"/>
    <w:rsid w:val="00F40DE5"/>
    <w:rsid w:val="00F7012F"/>
    <w:rsid w:val="00F77BE5"/>
    <w:rsid w:val="00F95B79"/>
    <w:rsid w:val="00F9622D"/>
    <w:rsid w:val="00FB7A76"/>
    <w:rsid w:val="00FD6E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5BD22C8"/>
  <w15:chartTrackingRefBased/>
  <w15:docId w15:val="{5EA49EC2-D358-4CE0-8FED-3EA061AD13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notapie">
    <w:name w:val="footnote text"/>
    <w:aliases w:val="fn,FOOTNOTES,single space,footnote text,Footnote Text Char Char,footnote,Texto nota pie IIRSA,Texto de rodapé,nota_rodapé,nota de rodapé,texto de nota al pie,Texto nota pie Car Car Car Car Car Car Car Car,foottextfra,F"/>
    <w:basedOn w:val="Normal"/>
    <w:link w:val="TextonotapieCar"/>
    <w:unhideWhenUsed/>
    <w:qFormat/>
    <w:rsid w:val="009C6683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aliases w:val="fn Car,FOOTNOTES Car,single space Car,footnote text Car,Footnote Text Char Char Car,footnote Car,Texto nota pie IIRSA Car,Texto de rodapé Car,nota_rodapé Car,nota de rodapé Car,texto de nota al pie Car,foottextfra Car,F Car"/>
    <w:basedOn w:val="Fuentedeprrafopredeter"/>
    <w:link w:val="Textonotapie"/>
    <w:uiPriority w:val="99"/>
    <w:semiHidden/>
    <w:rsid w:val="009C6683"/>
    <w:rPr>
      <w:sz w:val="20"/>
      <w:szCs w:val="20"/>
    </w:rPr>
  </w:style>
  <w:style w:type="character" w:styleId="Refdenotaalpie">
    <w:name w:val="footnote reference"/>
    <w:aliases w:val="pie pddes,FC,referencia nota al pie,Ref. de nota al pie.,Fußnotenzeichen DISS,16 Point,Superscript 6 Point,ftref,Style 24,titulo 2,(Ref. de nota al pie),Referência a notas de rodapé,Footnotes refss,Ref,de nota al pie,BVI fnr, BVI fnr"/>
    <w:basedOn w:val="Fuentedeprrafopredeter"/>
    <w:unhideWhenUsed/>
    <w:qFormat/>
    <w:rsid w:val="009C6683"/>
    <w:rPr>
      <w:vertAlign w:val="superscript"/>
    </w:rPr>
  </w:style>
  <w:style w:type="table" w:customStyle="1" w:styleId="TableGrid1">
    <w:name w:val="Table Grid1"/>
    <w:basedOn w:val="Tablanormal"/>
    <w:next w:val="Tablaconcuadrcula"/>
    <w:uiPriority w:val="59"/>
    <w:rsid w:val="00CB0623"/>
    <w:pPr>
      <w:spacing w:after="0" w:line="312" w:lineRule="auto"/>
    </w:pPr>
    <w:rPr>
      <w:rFonts w:eastAsia="Times New Roman"/>
      <w:lang w:val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concuadrcula">
    <w:name w:val="Table Grid"/>
    <w:basedOn w:val="Tablanormal"/>
    <w:uiPriority w:val="39"/>
    <w:rsid w:val="00CB06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A45A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45A98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2A0D87"/>
    <w:pPr>
      <w:ind w:left="720"/>
      <w:contextualSpacing/>
    </w:pPr>
  </w:style>
  <w:style w:type="character" w:customStyle="1" w:styleId="FootnoteTextChar1">
    <w:name w:val="Footnote Text Char1"/>
    <w:aliases w:val="fn Char,FOOTNOTES Char,single space Char,footnote text Char,Footnote Text Char Char Char,Footnote Text Char Char1,footnote Char,Texto nota pie IIRSA Char,Texto de rodapé Char,nota_rodapé Char,nota de rodapé Char,foottextfra Char"/>
    <w:basedOn w:val="Fuentedeprrafopredeter"/>
    <w:rsid w:val="000301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586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23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customXml" Target="../customXml/item5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customXml" Target="../customXml/item7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customXml" Target="../customXml/item6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ccess_x0020_to_x0020_Information_x00a0_Policy xmlns="cdc7663a-08f0-4737-9e8c-148ce897a09c">Public - Simultaneous Disclosure</Access_x0020_to_x0020_Information_x00a0_Policy>
    <SISCOR_x0020_Number xmlns="cdc7663a-08f0-4737-9e8c-148ce897a09c" xsi:nil="true"/>
    <b26cdb1da78c4bb4b1c1bac2f6ac5911 xmlns="cdc7663a-08f0-4737-9e8c-148ce897a09c">
      <Terms xmlns="http://schemas.microsoft.com/office/infopath/2007/PartnerControls"/>
    </b26cdb1da78c4bb4b1c1bac2f6ac5911>
    <ic46d7e087fd4a108fb86518ca413c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Regional</TermName>
          <TermId xmlns="http://schemas.microsoft.com/office/infopath/2007/PartnerControls">2537a5b7-6d8e-482c-94dc-32c3cc44ff65</TermId>
        </TermInfo>
      </Terms>
    </ic46d7e087fd4a108fb86518ca413cc6>
    <IDBDocs_x0020_Number xmlns="cdc7663a-08f0-4737-9e8c-148ce897a09c" xsi:nil="true"/>
    <Division_x0020_or_x0020_Unit xmlns="cdc7663a-08f0-4737-9e8c-148ce897a09c">INE/TSP</Division_x0020_or_x0020_Unit>
    <Fiscal_x0020_Year_x0020_IDB xmlns="cdc7663a-08f0-4737-9e8c-148ce897a09c">2019</Fiscal_x0020_Year_x0020_IDB>
    <e46fe2894295491da65140ffd2369f49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Project Preparation, Planning and Design</TermName>
          <TermId xmlns="http://schemas.microsoft.com/office/infopath/2007/PartnerControls">29ca0c72-1fc4-435f-a09c-28585cb5eac9</TermId>
        </TermInfo>
      </Terms>
    </e46fe2894295491da65140ffd2369f49>
    <Other_x0020_Author xmlns="cdc7663a-08f0-4737-9e8c-148ce897a09c" xsi:nil="true"/>
    <Migration_x0020_Info xmlns="cdc7663a-08f0-4737-9e8c-148ce897a09c" xsi:nil="true"/>
    <Approval_x0020_Number xmlns="cdc7663a-08f0-4737-9e8c-148ce897a09c" xsi:nil="true"/>
    <Phase xmlns="cdc7663a-08f0-4737-9e8c-148ce897a09c">ACTIVE</Phase>
    <Document_x0020_Author xmlns="cdc7663a-08f0-4737-9e8c-148ce897a09c">Baladi Rodriguez,Aziz</Document_x0020_Author>
    <b2ec7cfb18674cb8803df6b262e8b107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TRANSPORT NETWORKS CONNECTIVITY</TermName>
          <TermId xmlns="http://schemas.microsoft.com/office/infopath/2007/PartnerControls">8ac6e18a-47fc-496c-8842-4870f8aa7a8e</TermId>
        </TermInfo>
      </Terms>
    </b2ec7cfb18674cb8803df6b262e8b107>
    <Business_x0020_Area xmlns="cdc7663a-08f0-4737-9e8c-148ce897a09c">Life Cycle</Business_x0020_Area>
    <Key_x0020_Document xmlns="cdc7663a-08f0-4737-9e8c-148ce897a09c">false</Key_x0020_Document>
    <Document_x0020_Language_x0020_IDB xmlns="cdc7663a-08f0-4737-9e8c-148ce897a09c">Spanish</Document_x0020_Language_x0020_IDB>
    <Project_x0020_Document_x0020_Type xmlns="cdc7663a-08f0-4737-9e8c-148ce897a09c" xsi:nil="true"/>
    <g511464f9e53401d84b16fa9b379a574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TBD</TermName>
          <TermId xmlns="http://schemas.microsoft.com/office/infopath/2007/PartnerControls">d62f6e05-3e80-4abd-9bb4-5f10b4906ff6</TermId>
        </TermInfo>
      </Terms>
    </g511464f9e53401d84b16fa9b379a574>
    <Related_x0020_SisCor_x0020_Number xmlns="cdc7663a-08f0-4737-9e8c-148ce897a09c" xsi:nil="true"/>
    <TaxCatchAll xmlns="cdc7663a-08f0-4737-9e8c-148ce897a09c">
      <Value>20</Value>
      <Value>129</Value>
      <Value>17</Value>
      <Value>1</Value>
      <Value>28</Value>
    </TaxCatchAll>
    <Operation_x0020_Type xmlns="cdc7663a-08f0-4737-9e8c-148ce897a09c">Loan Operation</Operation_x0020_Type>
    <Package_x0020_Code xmlns="cdc7663a-08f0-4737-9e8c-148ce897a09c" xsi:nil="true"/>
    <Identifier xmlns="cdc7663a-08f0-4737-9e8c-148ce897a09c" xsi:nil="true"/>
    <Project_x0020_Number xmlns="cdc7663a-08f0-4737-9e8c-148ce897a09c">RG-L1132</Project_x0020_Number>
    <nddeef1749674d76abdbe4b239a70b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TRANSPORT</TermName>
          <TermId xmlns="http://schemas.microsoft.com/office/infopath/2007/PartnerControls">5a25d1a8-4baf-41a8-9e3b-e167accda6ea</TermId>
        </TermInfo>
      </Terms>
    </nddeef1749674d76abdbe4b239a70bc6>
    <Record_x0020_Number xmlns="cdc7663a-08f0-4737-9e8c-148ce897a09c" xsi:nil="true"/>
    <_dlc_DocId xmlns="cdc7663a-08f0-4737-9e8c-148ce897a09c">EZSHARE-1717780721-23</_dlc_DocId>
    <_dlc_DocIdUrl xmlns="cdc7663a-08f0-4737-9e8c-148ce897a09c">
      <Url>https://idbg.sharepoint.com/teams/EZ-RG-LON/RG-L1132/_layouts/15/DocIdRedir.aspx?ID=EZSHARE-1717780721-23</Url>
      <Description>EZSHARE-1717780721-23</Description>
    </_dlc_DocIdUrl>
    <Disclosure_x0020_Activity xmlns="cdc7663a-08f0-4737-9e8c-148ce897a09c">Loan Proposal</Disclosure_x0020_Activity>
    <Issue_x0020_Date xmlns="cdc7663a-08f0-4737-9e8c-148ce897a09c" xsi:nil="true"/>
    <KP_x0020_Topics xmlns="cdc7663a-08f0-4737-9e8c-148ce897a09c" xsi:nil="true"/>
    <Disclosed xmlns="cdc7663a-08f0-4737-9e8c-148ce897a09c">false</Disclosed>
    <Publication_x0020_Type xmlns="cdc7663a-08f0-4737-9e8c-148ce897a09c" xsi:nil="true"/>
    <Editor1 xmlns="cdc7663a-08f0-4737-9e8c-148ce897a09c" xsi:nil="true"/>
    <Region xmlns="cdc7663a-08f0-4737-9e8c-148ce897a09c" xsi:nil="true"/>
    <Webtopic xmlns="cdc7663a-08f0-4737-9e8c-148ce897a09c" xsi:nil="true"/>
    <Abstract xmlns="cdc7663a-08f0-4737-9e8c-148ce897a09c" xsi:nil="true"/>
    <Publishing_x0020_House xmlns="cdc7663a-08f0-4737-9e8c-148ce897a09c" xsi:nil="true"/>
  </documentManagement>
</p:properties>
</file>

<file path=customXml/item3.xml><?xml version="1.0" encoding="utf-8"?>
<?mso-contentType ?>
<SharedContentType xmlns="Microsoft.SharePoint.Taxonomy.ContentTypeSync" SourceId="ae61f9b1-e23d-4f49-b3d7-56b991556c4b" ContentTypeId="0x0101001A458A224826124E8B45B1D613300CFC" PreviousValue="false"/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1A458A224826124E8B45B1D613300CFC00E50738CC600DF040B1A491005851AA10" ma:contentTypeVersion="1826" ma:contentTypeDescription="A content type to manage public (operations) IDB documents" ma:contentTypeScope="" ma:versionID="5d6f7eebf99f9d9fac2546787e765900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9d6c7bf6aa4c0f55b5fc02b7f099a77c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e46fe2894295491da65140ffd2369f49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b26cdb1da78c4bb4b1c1bac2f6ac5911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g511464f9e53401d84b16fa9b379a574" minOccurs="0"/>
                <xsd:element ref="ns2:nddeef1749674d76abdbe4b239a70bc6" minOccurs="0"/>
                <xsd:element ref="ns2:b2ec7cfb18674cb8803df6b262e8b107" minOccurs="0"/>
                <xsd:element ref="ns2:Document_x0020_Language_x0020_IDB"/>
                <xsd:element ref="ns2:Division_x0020_or_x0020_Unit"/>
                <xsd:element ref="ns2:Identifier" minOccurs="0"/>
                <xsd:element ref="ns2:Fiscal_x0020_Year_x0020_IDB" minOccurs="0"/>
                <xsd:element ref="ns2:ic46d7e087fd4a108fb86518ca413cc6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Disclosed" minOccurs="0"/>
                <xsd:element ref="ns2:Record_x0020_Number" minOccurs="0"/>
                <xsd:element ref="ns2:Related_x0020_SisCor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e46fe2894295491da65140ffd2369f49" ma:index="11" ma:taxonomy="true" ma:internalName="e46fe2894295491da65140ffd2369f49" ma:taxonomyFieldName="Function_x0020_Operations_x0020_IDB" ma:displayName="Function Operations IDB" ma:readOnly="false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b26cdb1da78c4bb4b1c1bac2f6ac5911" ma:index="16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g511464f9e53401d84b16fa9b379a574" ma:index="24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26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28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33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34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6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7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8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9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40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1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2" nillable="true" ma:displayName="Abstract" ma:internalName="Abstract">
      <xsd:simpleType>
        <xsd:restriction base="dms:Note"/>
      </xsd:simpleType>
    </xsd:element>
    <xsd:element name="Migration_x0020_Info" ma:index="43" nillable="true" ma:displayName="Migration Info" ma:internalName="Migration_x0020_Info">
      <xsd:simpleType>
        <xsd:restriction base="dms:Note"/>
      </xsd:simpleType>
    </xsd:element>
    <xsd:element name="SISCOR_x0020_Number" ma:index="44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5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Editor1" ma:index="46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7" nillable="true" ma:displayName="Issue Date" ma:format="DateOnly" ma:internalName="Issue_x0020_Date">
      <xsd:simpleType>
        <xsd:restriction base="dms:DateTime"/>
      </xsd:simpleType>
    </xsd:element>
    <xsd:element name="Publishing_x0020_House" ma:index="48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9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50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1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Disclosed" ma:index="52" nillable="true" ma:displayName="Disclosed" ma:default="0" ma:internalName="Disclosed">
      <xsd:simpleType>
        <xsd:restriction base="dms:Boolean"/>
      </xsd:simpleType>
    </xsd:element>
    <xsd:element name="Record_x0020_Number" ma:index="53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54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6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7.xml><?xml version="1.0" encoding="utf-8"?>
<?mso-contentType ?>
<FormUrls xmlns="http://schemas.microsoft.com/sharepoint/v3/contenttype/forms/url">
  <Display>_catalogs/masterpage/ECMForms/DisclosureOperationsCT/View.aspx</Display>
  <Edit>_catalogs/masterpage/ECMForms/DisclosureOperationsCT/Edit.aspx</Edit>
</FormUrls>
</file>

<file path=customXml/itemProps1.xml><?xml version="1.0" encoding="utf-8"?>
<ds:datastoreItem xmlns:ds="http://schemas.openxmlformats.org/officeDocument/2006/customXml" ds:itemID="{E93ABC9B-6108-4A1B-969D-C3BA4123C3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4E71118-7D66-47F8-8738-2B594B27C61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2141796-C676-4060-BA89-4DB0649B145D}"/>
</file>

<file path=customXml/itemProps4.xml><?xml version="1.0" encoding="utf-8"?>
<ds:datastoreItem xmlns:ds="http://schemas.openxmlformats.org/officeDocument/2006/customXml" ds:itemID="{79654529-5F89-454B-8A6E-CD34ACFA63EE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A7D1DDA4-84B8-4A47-BD66-400E9D327078}"/>
</file>

<file path=customXml/itemProps6.xml><?xml version="1.0" encoding="utf-8"?>
<ds:datastoreItem xmlns:ds="http://schemas.openxmlformats.org/officeDocument/2006/customXml" ds:itemID="{322DDDEA-8320-416F-93CC-23AD538F1E78}"/>
</file>

<file path=customXml/itemProps7.xml><?xml version="1.0" encoding="utf-8"?>
<ds:datastoreItem xmlns:ds="http://schemas.openxmlformats.org/officeDocument/2006/customXml" ds:itemID="{F954FA31-19D8-47C6-A71F-E71C9B9FDE8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5</Pages>
  <Words>1870</Words>
  <Characters>10291</Characters>
  <Application>Microsoft Office Word</Application>
  <DocSecurity>0</DocSecurity>
  <Lines>85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Larrea Castelo, Sisi Alexandra</dc:creator>
  <cp:keywords/>
  <dc:description/>
  <cp:lastModifiedBy>Nathaly Noboa López</cp:lastModifiedBy>
  <cp:revision>81</cp:revision>
  <cp:lastPrinted>2019-09-16T21:32:00Z</cp:lastPrinted>
  <dcterms:created xsi:type="dcterms:W3CDTF">2019-09-19T14:53:00Z</dcterms:created>
  <dcterms:modified xsi:type="dcterms:W3CDTF">2019-10-04T17:19:00Z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3" name="TaxKeyword">
    <vt:lpwstr/>
  </property>
  <property fmtid="{D5CDD505-2E9C-101B-9397-08002B2CF9AE}" pid="4" name="TaxKeywordTaxHTField">
    <vt:lpwstr/>
  </property>
  <property fmtid="{D5CDD505-2E9C-101B-9397-08002B2CF9AE}" pid="5" name="Series Operations IDB">
    <vt:lpwstr/>
  </property>
  <property fmtid="{D5CDD505-2E9C-101B-9397-08002B2CF9AE}" pid="6" name="Sub-Sector">
    <vt:lpwstr>129;#TRANSPORT NETWORKS CONNECTIVITY|8ac6e18a-47fc-496c-8842-4870f8aa7a8e</vt:lpwstr>
  </property>
  <property fmtid="{D5CDD505-2E9C-101B-9397-08002B2CF9AE}" pid="7" name="Country">
    <vt:lpwstr>20;#Regional|2537a5b7-6d8e-482c-94dc-32c3cc44ff65</vt:lpwstr>
  </property>
  <property fmtid="{D5CDD505-2E9C-101B-9397-08002B2CF9AE}" pid="8" name="_dlc_DocIdItemGuid">
    <vt:lpwstr>17859786-7a6a-4830-827e-fe44e731f83f</vt:lpwstr>
  </property>
  <property fmtid="{D5CDD505-2E9C-101B-9397-08002B2CF9AE}" pid="9" name="Fund IDB">
    <vt:lpwstr>28;#TBD|d62f6e05-3e80-4abd-9bb4-5f10b4906ff6</vt:lpwstr>
  </property>
  <property fmtid="{D5CDD505-2E9C-101B-9397-08002B2CF9AE}" pid="10" name="Disclosed">
    <vt:bool>false</vt:bool>
  </property>
  <property fmtid="{D5CDD505-2E9C-101B-9397-08002B2CF9AE}" pid="11" name="Sector IDB">
    <vt:lpwstr>17;#TRANSPORT|5a25d1a8-4baf-41a8-9e3b-e167accda6ea</vt:lpwstr>
  </property>
  <property fmtid="{D5CDD505-2E9C-101B-9397-08002B2CF9AE}" pid="12" name="Function Operations IDB">
    <vt:lpwstr>1;#Project Preparation, Planning and Design|29ca0c72-1fc4-435f-a09c-28585cb5eac9</vt:lpwstr>
  </property>
  <property fmtid="{D5CDD505-2E9C-101B-9397-08002B2CF9AE}" pid="13" name="Disclosure Activity">
    <vt:lpwstr>Loan Proposal</vt:lpwstr>
  </property>
  <property fmtid="{D5CDD505-2E9C-101B-9397-08002B2CF9AE}" pid="14" name="ContentTypeId">
    <vt:lpwstr>0x0101001A458A224826124E8B45B1D613300CFC00E50738CC600DF040B1A491005851AA10</vt:lpwstr>
  </property>
</Properties>
</file>